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13F1" w:rsidR="00F515B8" w:rsidP="003B4A14" w:rsidRDefault="00F515B8" w14:paraId="1417867F" w14:textId="4445FF45">
      <w:pPr>
        <w:pStyle w:val="NoSpacing"/>
        <w:jc w:val="center"/>
        <w:rPr>
          <w:rFonts w:ascii="Times New Roman" w:hAnsi="Times New Roman" w:cs="Times New Roman"/>
          <w:b/>
          <w:bCs/>
          <w:sz w:val="24"/>
          <w:szCs w:val="24"/>
        </w:rPr>
      </w:pPr>
      <w:r w:rsidRPr="006513F1">
        <w:rPr>
          <w:rFonts w:ascii="Times New Roman" w:hAnsi="Times New Roman" w:cs="Times New Roman"/>
          <w:b/>
          <w:bCs/>
          <w:sz w:val="24"/>
          <w:szCs w:val="24"/>
        </w:rPr>
        <w:t>Supporting Statement Part, A for Paperwork Reduction Act Submission</w:t>
      </w:r>
    </w:p>
    <w:p w:rsidRPr="006513F1" w:rsidR="00F515B8" w:rsidP="003B4A14" w:rsidRDefault="00F515B8" w14:paraId="18A74F26" w14:textId="77777777">
      <w:pPr>
        <w:pStyle w:val="NoSpacing"/>
        <w:jc w:val="center"/>
        <w:rPr>
          <w:rFonts w:ascii="Times New Roman" w:hAnsi="Times New Roman" w:cs="Times New Roman"/>
          <w:b/>
          <w:bCs/>
          <w:sz w:val="24"/>
          <w:szCs w:val="24"/>
        </w:rPr>
      </w:pPr>
      <w:r w:rsidRPr="006513F1">
        <w:rPr>
          <w:rFonts w:ascii="Times New Roman" w:hAnsi="Times New Roman" w:cs="Times New Roman"/>
          <w:b/>
          <w:bCs/>
          <w:sz w:val="24"/>
          <w:szCs w:val="24"/>
        </w:rPr>
        <w:t>Rent Reform Demonstration: 6-Year Follow-Up</w:t>
      </w:r>
    </w:p>
    <w:p w:rsidRPr="006513F1" w:rsidR="00F515B8" w:rsidP="003B4A14" w:rsidRDefault="00F515B8" w14:paraId="07CE7AE6" w14:textId="043412DB">
      <w:pPr>
        <w:pStyle w:val="NoSpacing"/>
        <w:jc w:val="center"/>
        <w:rPr>
          <w:rFonts w:ascii="Times New Roman" w:hAnsi="Times New Roman" w:cs="Times New Roman"/>
          <w:b/>
          <w:bCs/>
          <w:sz w:val="24"/>
          <w:szCs w:val="24"/>
        </w:rPr>
      </w:pPr>
      <w:r w:rsidRPr="006513F1">
        <w:rPr>
          <w:rFonts w:ascii="Times New Roman" w:hAnsi="Times New Roman" w:cs="Times New Roman"/>
          <w:b/>
          <w:bCs/>
          <w:sz w:val="24"/>
          <w:szCs w:val="24"/>
        </w:rPr>
        <w:t>OMB Control # 2528-0306</w:t>
      </w:r>
    </w:p>
    <w:p w:rsidRPr="003B4A14" w:rsidR="003B4A14" w:rsidP="003B4A14" w:rsidRDefault="003B4A14" w14:paraId="5CC414F4" w14:textId="77777777">
      <w:pPr>
        <w:pStyle w:val="NoSpacing"/>
        <w:jc w:val="center"/>
        <w:rPr>
          <w:rFonts w:ascii="Times New Roman" w:hAnsi="Times New Roman" w:cs="Times New Roman" w:eastAsiaTheme="minorHAnsi"/>
          <w:sz w:val="24"/>
          <w:szCs w:val="24"/>
        </w:rPr>
      </w:pPr>
    </w:p>
    <w:p w:rsidRPr="003B4A14" w:rsidR="00D5515C" w:rsidP="003B4A14" w:rsidRDefault="003B4A14" w14:paraId="4E4537F8" w14:textId="1C2AE28A">
      <w:pPr>
        <w:ind w:firstLine="0"/>
        <w:rPr>
          <w:rFonts w:ascii="Times New Roman" w:hAnsi="Times New Roman"/>
          <w:b/>
        </w:rPr>
      </w:pPr>
      <w:r w:rsidRPr="003B4A14">
        <w:rPr>
          <w:rFonts w:ascii="Times New Roman" w:hAnsi="Times New Roman"/>
          <w:b/>
          <w:bCs/>
          <w:sz w:val="28"/>
          <w:szCs w:val="28"/>
        </w:rPr>
        <w:t>P</w:t>
      </w:r>
      <w:r w:rsidRPr="003B4A14" w:rsidR="009E7C41">
        <w:rPr>
          <w:rFonts w:ascii="Times New Roman" w:hAnsi="Times New Roman"/>
          <w:b/>
        </w:rPr>
        <w:t xml:space="preserve">art </w:t>
      </w:r>
      <w:r w:rsidRPr="003B4A14" w:rsidR="00D5515C">
        <w:rPr>
          <w:rFonts w:ascii="Times New Roman" w:hAnsi="Times New Roman"/>
          <w:b/>
        </w:rPr>
        <w:t>A. Justification</w:t>
      </w:r>
    </w:p>
    <w:p w:rsidR="00BF7776" w:rsidP="003B4A14" w:rsidRDefault="00D5515C" w14:paraId="0EE2E6FF" w14:textId="624A4947">
      <w:pPr>
        <w:keepLines/>
        <w:tabs>
          <w:tab w:val="left" w:pos="360"/>
        </w:tabs>
        <w:spacing w:after="120" w:line="240" w:lineRule="auto"/>
        <w:ind w:left="360" w:hanging="360"/>
        <w:rPr>
          <w:rFonts w:ascii="Times New Roman" w:hAnsi="Times New Roman"/>
        </w:rPr>
      </w:pPr>
      <w:r w:rsidRPr="003B4A14">
        <w:rPr>
          <w:rFonts w:ascii="Times New Roman" w:hAnsi="Times New Roman"/>
          <w:b/>
        </w:rPr>
        <w:t>1.</w:t>
      </w:r>
      <w:r w:rsidRPr="003B4A14">
        <w:rPr>
          <w:rFonts w:ascii="Times New Roman" w:hAnsi="Times New Roman"/>
          <w:b/>
        </w:rPr>
        <w:tab/>
      </w:r>
      <w:r w:rsidRPr="008064C8">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27C17" w:rsidP="009E60F2" w:rsidRDefault="00C7523E" w14:paraId="39F1C034" w14:textId="5786692E">
      <w:pPr>
        <w:spacing w:line="240" w:lineRule="auto"/>
        <w:ind w:left="360" w:firstLine="0"/>
        <w:rPr>
          <w:rFonts w:ascii="Times New Roman" w:hAnsi="Times New Roman"/>
        </w:rPr>
      </w:pPr>
      <w:r>
        <w:rPr>
          <w:rFonts w:ascii="Times New Roman" w:hAnsi="Times New Roman"/>
        </w:rPr>
        <w:t xml:space="preserve">This is revision of a currently approved collection. </w:t>
      </w:r>
      <w:r w:rsidRPr="00927C17" w:rsidR="00927C17">
        <w:rPr>
          <w:rFonts w:ascii="Times New Roman" w:hAnsi="Times New Roman"/>
        </w:rPr>
        <w:t xml:space="preserve">This research is conducted under the authority of the Secretary of the U.S. Department of Housing and Urban Development </w:t>
      </w:r>
      <w:r w:rsidR="00DC6B3A">
        <w:rPr>
          <w:rFonts w:ascii="Times New Roman" w:hAnsi="Times New Roman"/>
        </w:rPr>
        <w:t xml:space="preserve">(HUD) </w:t>
      </w:r>
      <w:r w:rsidRPr="00927C17" w:rsidR="00927C17">
        <w:rPr>
          <w:rFonts w:ascii="Times New Roman" w:hAnsi="Times New Roman"/>
        </w:rPr>
        <w:t xml:space="preserve">to undertake programs of research, studies, </w:t>
      </w:r>
      <w:proofErr w:type="gramStart"/>
      <w:r w:rsidRPr="00927C17" w:rsidR="00927C17">
        <w:rPr>
          <w:rFonts w:ascii="Times New Roman" w:hAnsi="Times New Roman"/>
        </w:rPr>
        <w:t>testing</w:t>
      </w:r>
      <w:proofErr w:type="gramEnd"/>
      <w:r w:rsidRPr="00927C17" w:rsidR="00927C17">
        <w:rPr>
          <w:rFonts w:ascii="Times New Roman" w:hAnsi="Times New Roman"/>
        </w:rPr>
        <w:t xml:space="preserve"> and demonstration related to HUD’s mission and programs </w:t>
      </w:r>
      <w:r w:rsidR="00927C17">
        <w:rPr>
          <w:rFonts w:ascii="Times New Roman" w:hAnsi="Times New Roman"/>
        </w:rPr>
        <w:t xml:space="preserve">as deemed to be necessary and appropriate </w:t>
      </w:r>
      <w:r w:rsidRPr="00927C17" w:rsidR="00927C17">
        <w:rPr>
          <w:rFonts w:ascii="Times New Roman" w:hAnsi="Times New Roman"/>
        </w:rPr>
        <w:t>(12 USC 1701z-1 et seq.).</w:t>
      </w:r>
    </w:p>
    <w:p w:rsidRPr="00927C17" w:rsidR="00927C17" w:rsidP="009E60F2" w:rsidRDefault="00927C17" w14:paraId="7319B7A6" w14:textId="77777777">
      <w:pPr>
        <w:spacing w:line="240" w:lineRule="auto"/>
        <w:ind w:left="360"/>
        <w:rPr>
          <w:rFonts w:ascii="Times New Roman" w:hAnsi="Times New Roman"/>
        </w:rPr>
      </w:pPr>
    </w:p>
    <w:p w:rsidRPr="000B280D" w:rsidR="006C2D27" w:rsidP="009E60F2" w:rsidRDefault="006C2D27" w14:paraId="5A749AE5" w14:textId="2DFA2B2F">
      <w:pPr>
        <w:keepLines/>
        <w:tabs>
          <w:tab w:val="left" w:pos="360"/>
        </w:tabs>
        <w:spacing w:after="120" w:line="240" w:lineRule="auto"/>
        <w:ind w:left="360" w:firstLine="0"/>
        <w:jc w:val="left"/>
        <w:rPr>
          <w:rFonts w:ascii="Times New Roman" w:hAnsi="Times New Roman"/>
        </w:rPr>
      </w:pPr>
      <w:r w:rsidRPr="000B280D">
        <w:rPr>
          <w:rFonts w:ascii="Times New Roman" w:hAnsi="Times New Roman"/>
        </w:rPr>
        <w:t xml:space="preserve">This supporting statement provides information on the </w:t>
      </w:r>
      <w:r w:rsidR="00452F68">
        <w:rPr>
          <w:rFonts w:ascii="Times New Roman" w:hAnsi="Times New Roman"/>
        </w:rPr>
        <w:t xml:space="preserve">ongoing </w:t>
      </w:r>
      <w:r w:rsidRPr="000B280D">
        <w:rPr>
          <w:rFonts w:ascii="Times New Roman" w:hAnsi="Times New Roman"/>
        </w:rPr>
        <w:t>data collection activities associated with the Rent Reform Demonstration</w:t>
      </w:r>
      <w:r w:rsidR="00452F68">
        <w:rPr>
          <w:rFonts w:ascii="Times New Roman" w:hAnsi="Times New Roman"/>
        </w:rPr>
        <w:t xml:space="preserve">, commissioned </w:t>
      </w:r>
      <w:r w:rsidRPr="000B280D">
        <w:rPr>
          <w:rFonts w:ascii="Times New Roman" w:hAnsi="Times New Roman"/>
        </w:rPr>
        <w:t xml:space="preserve">by the HUD. The rent policy </w:t>
      </w:r>
      <w:r w:rsidR="00452F68">
        <w:rPr>
          <w:rFonts w:ascii="Times New Roman" w:hAnsi="Times New Roman"/>
        </w:rPr>
        <w:t xml:space="preserve">being tested as part of this demonstration </w:t>
      </w:r>
      <w:r w:rsidRPr="000B280D">
        <w:rPr>
          <w:rFonts w:ascii="Times New Roman" w:hAnsi="Times New Roman"/>
        </w:rPr>
        <w:t xml:space="preserve">was developed by a design team, which includes: MDRC and its subcontractors at the Urban Institute, </w:t>
      </w:r>
      <w:proofErr w:type="spellStart"/>
      <w:r w:rsidRPr="000B280D">
        <w:rPr>
          <w:rFonts w:ascii="Times New Roman" w:hAnsi="Times New Roman"/>
        </w:rPr>
        <w:t>Quadel</w:t>
      </w:r>
      <w:proofErr w:type="spellEnd"/>
      <w:r w:rsidRPr="000B280D">
        <w:rPr>
          <w:rFonts w:ascii="Times New Roman" w:hAnsi="Times New Roman"/>
        </w:rPr>
        <w:t xml:space="preserve"> Consulting, the Bronner Group, and independent and academic consultants; HUD; and participating housing agencies. MDRC is leading the evaluation effort.</w:t>
      </w:r>
    </w:p>
    <w:p w:rsidR="006C2D27" w:rsidP="009E60F2" w:rsidRDefault="006C2D27" w14:paraId="46673370" w14:textId="3AAFF05F">
      <w:pPr>
        <w:pStyle w:val="paragraph"/>
        <w:spacing w:before="0" w:beforeAutospacing="0" w:after="120" w:afterAutospacing="0"/>
        <w:ind w:left="360"/>
        <w:textAlignment w:val="baseline"/>
        <w:rPr>
          <w:rStyle w:val="normaltextrun"/>
        </w:rPr>
      </w:pPr>
      <w:r w:rsidRPr="003C5855">
        <w:rPr>
          <w:rStyle w:val="normaltextrun"/>
        </w:rPr>
        <w:t>The evaluation will document the progress of a group of housing voucher holders, drawn from current residents, and the impact of the alternative rent system on the families as well as the administrative burden on Public Housing Agencies (PHAs). Three PHAs continue to participate in the long-term evaluation</w:t>
      </w:r>
      <w:r w:rsidRPr="003C5855">
        <w:rPr>
          <w:rStyle w:val="FootnoteReference"/>
        </w:rPr>
        <w:footnoteReference w:id="2"/>
      </w:r>
      <w:r w:rsidRPr="003C5855">
        <w:rPr>
          <w:rStyle w:val="normaltextrun"/>
        </w:rPr>
        <w:t>:</w:t>
      </w:r>
      <w:r w:rsidRPr="003C5855">
        <w:rPr>
          <w:rStyle w:val="eop"/>
        </w:rPr>
        <w:t> </w:t>
      </w:r>
      <w:r w:rsidRPr="003C5855">
        <w:rPr>
          <w:rStyle w:val="normaltextrun"/>
        </w:rPr>
        <w:t>(1) Lexington Housing Authority (LHA), Lexington, Kentucky; (2) Louisville Metro Housing Authority (LMHA), Louisville, Kentucky; (3) San Antonio Housing Authority (SAHA), San Antonio, Texas</w:t>
      </w:r>
      <w:r>
        <w:rPr>
          <w:rStyle w:val="normaltextrun"/>
        </w:rPr>
        <w:t>.</w:t>
      </w:r>
    </w:p>
    <w:p w:rsidR="006C2D27" w:rsidP="009E60F2" w:rsidRDefault="006C2D27" w14:paraId="5DE165C2" w14:textId="667B1B63">
      <w:pPr>
        <w:pStyle w:val="paragraph"/>
        <w:spacing w:before="0" w:beforeAutospacing="0" w:after="0" w:afterAutospacing="0"/>
        <w:ind w:left="360"/>
        <w:textAlignment w:val="baseline"/>
      </w:pPr>
      <w:r w:rsidRPr="003C5855">
        <w:rPr>
          <w:rStyle w:val="normaltextrun"/>
        </w:rPr>
        <w:t xml:space="preserve">Data </w:t>
      </w:r>
      <w:r w:rsidR="00452F68">
        <w:rPr>
          <w:rStyle w:val="normaltextrun"/>
        </w:rPr>
        <w:t xml:space="preserve">for this evaluation </w:t>
      </w:r>
      <w:r w:rsidRPr="003C5855">
        <w:rPr>
          <w:rStyle w:val="normaltextrun"/>
        </w:rPr>
        <w:t>will be gathered through a variety of methods</w:t>
      </w:r>
      <w:r w:rsidR="00452F68">
        <w:rPr>
          <w:rStyle w:val="normaltextrun"/>
        </w:rPr>
        <w:t>,</w:t>
      </w:r>
      <w:r w:rsidRPr="003C5855">
        <w:rPr>
          <w:rStyle w:val="normaltextrun"/>
        </w:rPr>
        <w:t xml:space="preserve"> including</w:t>
      </w:r>
      <w:r w:rsidR="002D2911">
        <w:rPr>
          <w:rStyle w:val="normaltextrun"/>
        </w:rPr>
        <w:t xml:space="preserve"> administrative records, </w:t>
      </w:r>
      <w:r w:rsidRPr="003C5855">
        <w:rPr>
          <w:rStyle w:val="normaltextrun"/>
        </w:rPr>
        <w:t>interviews</w:t>
      </w:r>
      <w:r w:rsidR="00452F68">
        <w:rPr>
          <w:rStyle w:val="normaltextrun"/>
        </w:rPr>
        <w:t xml:space="preserve">, </w:t>
      </w:r>
      <w:r w:rsidRPr="003C5855">
        <w:rPr>
          <w:rStyle w:val="normaltextrun"/>
        </w:rPr>
        <w:t xml:space="preserve">direct observation, and analysis of </w:t>
      </w:r>
      <w:r>
        <w:rPr>
          <w:rStyle w:val="normaltextrun"/>
        </w:rPr>
        <w:t xml:space="preserve">financial documents and </w:t>
      </w:r>
      <w:r w:rsidRPr="003C5855">
        <w:rPr>
          <w:rStyle w:val="normaltextrun"/>
        </w:rPr>
        <w:t>administrative records. </w:t>
      </w:r>
      <w:r w:rsidRPr="000B280D">
        <w:t xml:space="preserve">This information request </w:t>
      </w:r>
      <w:r w:rsidR="002D2911">
        <w:t xml:space="preserve">focuses on </w:t>
      </w:r>
      <w:r>
        <w:t xml:space="preserve">the Rent Reform Demonstrations’ </w:t>
      </w:r>
      <w:r w:rsidRPr="000B280D">
        <w:t>data collection efforts for the 6-Y</w:t>
      </w:r>
      <w:r>
        <w:t xml:space="preserve">ear Follow-Up Study, the final phase of </w:t>
      </w:r>
      <w:r w:rsidR="002D2911">
        <w:t xml:space="preserve">this </w:t>
      </w:r>
      <w:r>
        <w:t>multi-year evaluation. The data collection activities, which build on similar activities conducted during earlier phases of the evaluation, include:</w:t>
      </w:r>
      <w:r w:rsidRPr="000B280D">
        <w:t xml:space="preserve"> 1) interviews with PHA staff to understand </w:t>
      </w:r>
      <w:r>
        <w:t xml:space="preserve">new rent policy implementation and experiences, </w:t>
      </w:r>
      <w:r w:rsidRPr="000B280D">
        <w:t>2) interviews with study participants to understand their experience</w:t>
      </w:r>
      <w:r w:rsidR="00452F68">
        <w:t>s</w:t>
      </w:r>
      <w:r w:rsidRPr="000B280D">
        <w:t xml:space="preserve"> with the </w:t>
      </w:r>
      <w:r>
        <w:t xml:space="preserve">new rent </w:t>
      </w:r>
      <w:r w:rsidRPr="000112F8">
        <w:t>policy</w:t>
      </w:r>
      <w:r w:rsidR="00452F68">
        <w:t>,</w:t>
      </w:r>
      <w:r w:rsidRPr="000112F8">
        <w:t xml:space="preserve"> and 3) </w:t>
      </w:r>
      <w:r w:rsidR="00452F68">
        <w:t xml:space="preserve">housing agency </w:t>
      </w:r>
      <w:r w:rsidRPr="000112F8">
        <w:t>cost data</w:t>
      </w:r>
      <w:r w:rsidR="00452F68">
        <w:t xml:space="preserve">. </w:t>
      </w:r>
    </w:p>
    <w:p w:rsidR="00545569" w:rsidP="009E60F2" w:rsidRDefault="00545569" w14:paraId="1BD6931D" w14:textId="11D67377">
      <w:pPr>
        <w:pStyle w:val="paragraph"/>
        <w:spacing w:before="0" w:beforeAutospacing="0" w:after="0" w:afterAutospacing="0"/>
        <w:ind w:left="360"/>
        <w:textAlignment w:val="baseline"/>
      </w:pPr>
    </w:p>
    <w:p w:rsidR="00794B45" w:rsidP="009E60F2" w:rsidRDefault="00794B45" w14:paraId="3C37D19E" w14:textId="06E9E687">
      <w:pPr>
        <w:spacing w:line="240" w:lineRule="auto"/>
        <w:ind w:left="360" w:firstLine="0"/>
        <w:jc w:val="left"/>
        <w:rPr>
          <w:rFonts w:ascii="Arial" w:hAnsi="Arial" w:cs="Arial"/>
          <w:b/>
        </w:rPr>
      </w:pPr>
      <w:r w:rsidRPr="00933DA0">
        <w:rPr>
          <w:rFonts w:ascii="Arial" w:hAnsi="Arial" w:cs="Arial"/>
          <w:b/>
        </w:rPr>
        <w:t>Background and Policy Context</w:t>
      </w:r>
    </w:p>
    <w:p w:rsidR="00794B45" w:rsidP="009E60F2" w:rsidRDefault="00794B45" w14:paraId="44716FE4" w14:textId="77777777">
      <w:pPr>
        <w:spacing w:line="240" w:lineRule="auto"/>
        <w:ind w:left="360" w:firstLine="0"/>
        <w:jc w:val="left"/>
        <w:rPr>
          <w:rFonts w:ascii="Arial" w:hAnsi="Arial" w:cs="Arial"/>
          <w:b/>
        </w:rPr>
      </w:pPr>
    </w:p>
    <w:p w:rsidRPr="001D47CF" w:rsidR="00794B45" w:rsidP="009E60F2" w:rsidRDefault="00794B45" w14:paraId="3A30FD08" w14:textId="6144B278">
      <w:pPr>
        <w:tabs>
          <w:tab w:val="clear" w:pos="432"/>
        </w:tabs>
        <w:spacing w:line="240" w:lineRule="auto"/>
        <w:ind w:left="360" w:firstLine="0"/>
        <w:jc w:val="left"/>
        <w:rPr>
          <w:rFonts w:ascii="Times New Roman" w:hAnsi="Times New Roman"/>
        </w:rPr>
      </w:pPr>
      <w:r w:rsidRPr="001D47CF">
        <w:rPr>
          <w:rFonts w:ascii="Times New Roman" w:hAnsi="Times New Roman"/>
        </w:rPr>
        <w:t>Since the passage of the Brooke Amendment in 1969, rents in subsidized housing have been directly tied to income.</w:t>
      </w:r>
      <w:r w:rsidRPr="001D47CF">
        <w:rPr>
          <w:rFonts w:ascii="Times New Roman" w:hAnsi="Times New Roman"/>
          <w:color w:val="000000"/>
        </w:rPr>
        <w:t xml:space="preserve"> </w:t>
      </w:r>
      <w:r w:rsidRPr="001D47CF">
        <w:rPr>
          <w:rFonts w:ascii="Times New Roman" w:hAnsi="Times New Roman"/>
        </w:rPr>
        <w:t>A variety of stakeholders have advocated reform of the rent system, some em</w:t>
      </w:r>
      <w:r>
        <w:rPr>
          <w:rFonts w:ascii="Times New Roman" w:hAnsi="Times New Roman"/>
        </w:rPr>
        <w:t>ph</w:t>
      </w:r>
      <w:r w:rsidRPr="001D47CF">
        <w:rPr>
          <w:rFonts w:ascii="Times New Roman" w:hAnsi="Times New Roman"/>
        </w:rPr>
        <w:t xml:space="preserve">asizing its adverse impacts on beneficiaries (and eligible non-beneficiaries) and </w:t>
      </w:r>
      <w:r w:rsidRPr="001D47CF">
        <w:rPr>
          <w:rFonts w:ascii="Times New Roman" w:hAnsi="Times New Roman"/>
        </w:rPr>
        <w:lastRenderedPageBreak/>
        <w:t>others em</w:t>
      </w:r>
      <w:r>
        <w:rPr>
          <w:rFonts w:ascii="Times New Roman" w:hAnsi="Times New Roman"/>
        </w:rPr>
        <w:t>ph</w:t>
      </w:r>
      <w:r w:rsidRPr="001D47CF">
        <w:rPr>
          <w:rFonts w:ascii="Times New Roman" w:hAnsi="Times New Roman"/>
        </w:rPr>
        <w:t xml:space="preserve">asizing its impacts on </w:t>
      </w:r>
      <w:r>
        <w:rPr>
          <w:rFonts w:ascii="Times New Roman" w:hAnsi="Times New Roman"/>
        </w:rPr>
        <w:t>PHAs</w:t>
      </w:r>
      <w:r w:rsidRPr="001D47CF">
        <w:rPr>
          <w:rFonts w:ascii="Times New Roman" w:hAnsi="Times New Roman"/>
        </w:rPr>
        <w:t xml:space="preserve"> and their finances. Rent reform has been elusive, however, because moving to a new system involves some fundamental tradeoffs around which agreement has been hard to achieve. For example, simplifying the rent structure may make it more difficult to ensure that tenants with the greatest need receive the most assistance. At the same time, offering deep subsidies for an unlimited term makes it difficult to serve equally needy families on waiting lists -- given a fixed appropriation level. Also, the advantages of standards and protections built into a common federal approach must be weighed against the benefits of allowing local agencies to set rent rules based on local conditions. And finding the right balance in the mission of housing assistance between a strict focus on providing decent affordable housing versus other objectives, such as family self-sufficiency, is another source of tension among stakeholders. </w:t>
      </w:r>
    </w:p>
    <w:p w:rsidRPr="001D47CF" w:rsidR="00794B45" w:rsidP="009E60F2" w:rsidRDefault="00794B45" w14:paraId="0467F41A" w14:textId="77777777">
      <w:pPr>
        <w:tabs>
          <w:tab w:val="clear" w:pos="432"/>
        </w:tabs>
        <w:spacing w:before="100" w:beforeAutospacing="1" w:after="100" w:afterAutospacing="1" w:line="240" w:lineRule="auto"/>
        <w:ind w:left="360" w:firstLine="0"/>
        <w:jc w:val="left"/>
        <w:rPr>
          <w:rFonts w:ascii="Times New Roman" w:hAnsi="Times New Roman" w:eastAsia="Calibri"/>
        </w:rPr>
      </w:pPr>
      <w:r w:rsidRPr="001D47CF">
        <w:rPr>
          <w:rFonts w:ascii="Times New Roman" w:hAnsi="Times New Roman" w:eastAsia="Calibri"/>
        </w:rPr>
        <w:t xml:space="preserve">In September 2012, HUD commissioned a national evaluation of alternatives to the current rent structure for households receiving vouchers from Moving-to-Work </w:t>
      </w:r>
      <w:r>
        <w:rPr>
          <w:rFonts w:ascii="Times New Roman" w:hAnsi="Times New Roman" w:eastAsia="Calibri"/>
        </w:rPr>
        <w:t>(MTW) PHAs</w:t>
      </w:r>
      <w:r w:rsidRPr="001D47CF">
        <w:rPr>
          <w:rFonts w:ascii="Times New Roman" w:hAnsi="Times New Roman" w:eastAsia="Calibri"/>
        </w:rPr>
        <w:t xml:space="preserve">, </w:t>
      </w:r>
      <w:r w:rsidRPr="001D47CF">
        <w:rPr>
          <w:rFonts w:ascii="Times New Roman" w:hAnsi="Times New Roman" w:eastAsia="Calibri"/>
          <w:i/>
        </w:rPr>
        <w:t xml:space="preserve">which have the </w:t>
      </w:r>
      <w:r>
        <w:rPr>
          <w:rFonts w:ascii="Times New Roman" w:hAnsi="Times New Roman" w:eastAsia="Calibri"/>
          <w:i/>
        </w:rPr>
        <w:t>statutory</w:t>
      </w:r>
      <w:r w:rsidRPr="001D47CF">
        <w:rPr>
          <w:rFonts w:ascii="Times New Roman" w:hAnsi="Times New Roman" w:eastAsia="Calibri"/>
          <w:i/>
        </w:rPr>
        <w:t xml:space="preserve"> authority to change rent rules</w:t>
      </w:r>
      <w:r w:rsidRPr="001D47CF">
        <w:rPr>
          <w:rFonts w:ascii="Times New Roman" w:hAnsi="Times New Roman" w:eastAsia="Calibri"/>
        </w:rPr>
        <w:t>. While the current income-based system protects most tenants against excessively burdensome rents (i</w:t>
      </w:r>
      <w:r w:rsidRPr="001D47CF">
        <w:rPr>
          <w:rFonts w:ascii="Times New Roman" w:hAnsi="Times New Roman" w:eastAsia="Calibri"/>
          <w:color w:val="000000"/>
        </w:rPr>
        <w:t xml:space="preserve">n general, the portion of rent that the voucher holder is responsible for is 30 percent of the household’s adjusted income), </w:t>
      </w:r>
      <w:r w:rsidRPr="001D47CF">
        <w:rPr>
          <w:rFonts w:ascii="Times New Roman" w:hAnsi="Times New Roman" w:eastAsia="Calibri"/>
        </w:rPr>
        <w:t xml:space="preserve">it may also encourage underreporting of income and a reduction in work effort leading to lower earned income.   </w:t>
      </w:r>
    </w:p>
    <w:p w:rsidRPr="001D47CF" w:rsidR="00794B45" w:rsidP="009E60F2" w:rsidRDefault="00794B45" w14:paraId="230C34E8" w14:textId="4BD0EE21">
      <w:pPr>
        <w:tabs>
          <w:tab w:val="clear" w:pos="432"/>
        </w:tabs>
        <w:spacing w:before="100" w:beforeAutospacing="1" w:after="100" w:afterAutospacing="1" w:line="240" w:lineRule="auto"/>
        <w:ind w:left="360" w:firstLine="0"/>
        <w:jc w:val="left"/>
        <w:rPr>
          <w:rFonts w:ascii="Times New Roman" w:hAnsi="Times New Roman" w:eastAsia="Calibri"/>
        </w:rPr>
      </w:pPr>
      <w:r w:rsidRPr="001D47CF">
        <w:rPr>
          <w:rFonts w:ascii="Times New Roman" w:hAnsi="Times New Roman" w:eastAsia="Calibri"/>
        </w:rPr>
        <w:t xml:space="preserve">The key goals considered in the design of the alternative policy include: </w:t>
      </w:r>
      <w:r w:rsidR="00D25295">
        <w:rPr>
          <w:rFonts w:ascii="Times New Roman" w:hAnsi="Times New Roman" w:eastAsia="Calibri"/>
        </w:rPr>
        <w:t xml:space="preserve">1) </w:t>
      </w:r>
      <w:r w:rsidRPr="001D47CF">
        <w:rPr>
          <w:rFonts w:ascii="Times New Roman" w:hAnsi="Times New Roman" w:eastAsia="Calibri"/>
        </w:rPr>
        <w:t xml:space="preserve">increasing work effort and earnings for voucher families, </w:t>
      </w:r>
      <w:r w:rsidR="00D25295">
        <w:rPr>
          <w:rFonts w:ascii="Times New Roman" w:hAnsi="Times New Roman" w:eastAsia="Calibri"/>
        </w:rPr>
        <w:t xml:space="preserve">2) </w:t>
      </w:r>
      <w:r w:rsidRPr="001D47CF">
        <w:rPr>
          <w:rFonts w:ascii="Times New Roman" w:hAnsi="Times New Roman" w:eastAsia="Calibri"/>
        </w:rPr>
        <w:t xml:space="preserve">simplifying administration of vouchers, and </w:t>
      </w:r>
      <w:r w:rsidR="00D25295">
        <w:rPr>
          <w:rFonts w:ascii="Times New Roman" w:hAnsi="Times New Roman" w:eastAsia="Calibri"/>
        </w:rPr>
        <w:t xml:space="preserve">3) </w:t>
      </w:r>
      <w:r w:rsidRPr="001D47CF">
        <w:rPr>
          <w:rFonts w:ascii="Times New Roman" w:hAnsi="Times New Roman" w:eastAsia="Calibri"/>
        </w:rPr>
        <w:t xml:space="preserve">cost-neutrality for Moving-to-Work housing authorities via administrative efficiencies or restructuring (simplification) – all while sustaining the voucher program’s important role in reducing homelessness and serving more families with housing assistance. </w:t>
      </w:r>
    </w:p>
    <w:p w:rsidR="00794B45" w:rsidP="009E60F2" w:rsidRDefault="007719C2" w14:paraId="2E4D189D" w14:textId="327E369F">
      <w:pPr>
        <w:tabs>
          <w:tab w:val="clear" w:pos="432"/>
        </w:tabs>
        <w:spacing w:line="240" w:lineRule="auto"/>
        <w:ind w:left="360" w:firstLine="720"/>
        <w:jc w:val="left"/>
        <w:rPr>
          <w:rFonts w:ascii="Arial" w:hAnsi="Arial" w:cs="Arial"/>
          <w:b/>
        </w:rPr>
      </w:pPr>
      <w:r>
        <w:rPr>
          <w:rFonts w:ascii="Arial" w:hAnsi="Arial" w:cs="Arial"/>
          <w:b/>
        </w:rPr>
        <w:t xml:space="preserve">Key </w:t>
      </w:r>
      <w:r w:rsidRPr="00DB5E86" w:rsidR="00794B45">
        <w:rPr>
          <w:rFonts w:ascii="Arial" w:hAnsi="Arial" w:cs="Arial"/>
          <w:b/>
        </w:rPr>
        <w:t>Features of the Alternative Rent Model</w:t>
      </w:r>
    </w:p>
    <w:p w:rsidRPr="001D47CF" w:rsidR="00794B45" w:rsidP="009E60F2" w:rsidRDefault="00794B45" w14:paraId="5EB618A6" w14:textId="77777777">
      <w:pPr>
        <w:tabs>
          <w:tab w:val="clear" w:pos="432"/>
        </w:tabs>
        <w:spacing w:line="240" w:lineRule="auto"/>
        <w:ind w:left="360" w:firstLine="0"/>
        <w:jc w:val="left"/>
        <w:rPr>
          <w:rFonts w:ascii="Times New Roman" w:hAnsi="Times New Roman"/>
        </w:rPr>
      </w:pPr>
    </w:p>
    <w:p w:rsidRPr="001D47CF" w:rsidR="00794B45" w:rsidP="009E60F2" w:rsidRDefault="00794B45" w14:paraId="0ADC7B70" w14:textId="71A0B1BE">
      <w:pPr>
        <w:tabs>
          <w:tab w:val="clear" w:pos="432"/>
        </w:tabs>
        <w:spacing w:before="240" w:line="240" w:lineRule="auto"/>
        <w:ind w:left="360" w:firstLine="0"/>
        <w:contextualSpacing/>
        <w:jc w:val="left"/>
        <w:rPr>
          <w:rFonts w:ascii="Times New Roman" w:hAnsi="Times New Roman" w:eastAsia="Calibri"/>
        </w:rPr>
      </w:pPr>
      <w:r w:rsidRPr="001D47CF">
        <w:rPr>
          <w:rFonts w:ascii="Times New Roman" w:hAnsi="Times New Roman" w:eastAsia="Calibri"/>
        </w:rPr>
        <w:t xml:space="preserve">The MDRC team has consulted extensively with HUD program and research </w:t>
      </w:r>
      <w:r>
        <w:rPr>
          <w:rFonts w:ascii="Times New Roman" w:hAnsi="Times New Roman" w:eastAsia="Calibri"/>
        </w:rPr>
        <w:t xml:space="preserve">staff, </w:t>
      </w:r>
      <w:r w:rsidRPr="001D47CF">
        <w:rPr>
          <w:rFonts w:ascii="Times New Roman" w:hAnsi="Times New Roman" w:eastAsia="Calibri"/>
        </w:rPr>
        <w:t xml:space="preserve">advocacy organizations, </w:t>
      </w:r>
      <w:r w:rsidR="009E60F2">
        <w:rPr>
          <w:rFonts w:ascii="Times New Roman" w:hAnsi="Times New Roman" w:eastAsia="Calibri"/>
        </w:rPr>
        <w:t>(</w:t>
      </w:r>
      <w:r w:rsidRPr="001D47CF">
        <w:rPr>
          <w:rFonts w:ascii="Times New Roman" w:hAnsi="Times New Roman" w:eastAsia="Calibri"/>
        </w:rPr>
        <w:t>MTW</w:t>
      </w:r>
      <w:r w:rsidR="009E60F2">
        <w:rPr>
          <w:rFonts w:ascii="Times New Roman" w:hAnsi="Times New Roman" w:eastAsia="Calibri"/>
        </w:rPr>
        <w:t xml:space="preserve">) </w:t>
      </w:r>
      <w:r>
        <w:rPr>
          <w:rFonts w:ascii="Times New Roman" w:hAnsi="Times New Roman" w:eastAsia="Calibri"/>
        </w:rPr>
        <w:t>PHAs</w:t>
      </w:r>
      <w:r w:rsidRPr="001D47CF">
        <w:rPr>
          <w:rFonts w:ascii="Times New Roman" w:hAnsi="Times New Roman" w:eastAsia="Calibri"/>
        </w:rPr>
        <w:t xml:space="preserve">, and consulting organizations that support the activities of </w:t>
      </w:r>
      <w:r>
        <w:rPr>
          <w:rFonts w:ascii="Times New Roman" w:hAnsi="Times New Roman" w:eastAsia="Calibri"/>
        </w:rPr>
        <w:t>PHAs</w:t>
      </w:r>
      <w:r w:rsidRPr="001D47CF">
        <w:rPr>
          <w:rFonts w:ascii="Times New Roman" w:hAnsi="Times New Roman" w:eastAsia="Calibri"/>
        </w:rPr>
        <w:t xml:space="preserve">.  Following on this process, an alternative rent model is taking the shape of </w:t>
      </w:r>
      <w:r>
        <w:rPr>
          <w:rFonts w:ascii="Times New Roman" w:hAnsi="Times New Roman" w:eastAsia="Calibri"/>
        </w:rPr>
        <w:t xml:space="preserve">a framework with </w:t>
      </w:r>
      <w:r w:rsidRPr="001D47CF">
        <w:rPr>
          <w:rFonts w:ascii="Times New Roman" w:hAnsi="Times New Roman" w:eastAsia="Calibri"/>
        </w:rPr>
        <w:t xml:space="preserve">several fundamental features while leaving some room for </w:t>
      </w:r>
      <w:r>
        <w:rPr>
          <w:rFonts w:ascii="Times New Roman" w:hAnsi="Times New Roman" w:eastAsia="Calibri"/>
        </w:rPr>
        <w:t>P</w:t>
      </w:r>
      <w:r w:rsidRPr="001D47CF">
        <w:rPr>
          <w:rFonts w:ascii="Times New Roman" w:hAnsi="Times New Roman" w:eastAsia="Calibri"/>
        </w:rPr>
        <w:t>HA discretion in adapting those features to local conditions.</w:t>
      </w:r>
    </w:p>
    <w:p w:rsidRPr="001D47CF" w:rsidR="00794B45" w:rsidP="009E60F2" w:rsidRDefault="00794B45" w14:paraId="47783714" w14:textId="77777777">
      <w:pPr>
        <w:tabs>
          <w:tab w:val="clear" w:pos="432"/>
        </w:tabs>
        <w:spacing w:before="240" w:line="240" w:lineRule="auto"/>
        <w:ind w:left="360" w:firstLine="0"/>
        <w:contextualSpacing/>
        <w:jc w:val="left"/>
        <w:rPr>
          <w:rFonts w:ascii="Times New Roman" w:hAnsi="Times New Roman" w:eastAsia="Calibri"/>
        </w:rPr>
      </w:pPr>
    </w:p>
    <w:p w:rsidRPr="0086435D" w:rsidR="00794B45" w:rsidP="009E60F2" w:rsidRDefault="00794B45" w14:paraId="69E5C75D" w14:textId="0A2CE42D">
      <w:pPr>
        <w:tabs>
          <w:tab w:val="clear" w:pos="432"/>
        </w:tabs>
        <w:spacing w:line="240" w:lineRule="auto"/>
        <w:ind w:left="360" w:firstLine="0"/>
        <w:contextualSpacing/>
        <w:jc w:val="left"/>
        <w:rPr>
          <w:rFonts w:ascii="Times New Roman" w:hAnsi="Times New Roman" w:eastAsia="Calibri"/>
        </w:rPr>
      </w:pPr>
      <w:r w:rsidRPr="0086435D">
        <w:rPr>
          <w:rFonts w:ascii="Times New Roman" w:hAnsi="Times New Roman" w:eastAsia="Calibri"/>
        </w:rPr>
        <w:t xml:space="preserve">The alternative rent policy will apply only to </w:t>
      </w:r>
      <w:r w:rsidR="00DC6B3A">
        <w:rPr>
          <w:rFonts w:ascii="Times New Roman" w:hAnsi="Times New Roman" w:eastAsia="Calibri"/>
        </w:rPr>
        <w:t>Housing Choice Voucher (</w:t>
      </w:r>
      <w:r w:rsidRPr="0086435D">
        <w:rPr>
          <w:rFonts w:ascii="Times New Roman" w:hAnsi="Times New Roman" w:eastAsia="Calibri"/>
        </w:rPr>
        <w:t>HCV</w:t>
      </w:r>
      <w:r w:rsidR="00DC6B3A">
        <w:rPr>
          <w:rFonts w:ascii="Times New Roman" w:hAnsi="Times New Roman" w:eastAsia="Calibri"/>
        </w:rPr>
        <w:t>)</w:t>
      </w:r>
      <w:r w:rsidRPr="0086435D">
        <w:rPr>
          <w:rFonts w:ascii="Times New Roman" w:hAnsi="Times New Roman" w:eastAsia="Calibri"/>
        </w:rPr>
        <w:t xml:space="preserve"> recipient</w:t>
      </w:r>
      <w:r w:rsidR="00FB6CD3">
        <w:rPr>
          <w:rFonts w:ascii="Times New Roman" w:hAnsi="Times New Roman" w:eastAsia="Calibri"/>
        </w:rPr>
        <w:t>s</w:t>
      </w:r>
      <w:r w:rsidRPr="0086435D">
        <w:rPr>
          <w:rFonts w:ascii="Times New Roman" w:hAnsi="Times New Roman" w:eastAsia="Calibri"/>
        </w:rPr>
        <w:t xml:space="preserve"> and include the following key features: </w:t>
      </w:r>
    </w:p>
    <w:p w:rsidRPr="0086435D" w:rsidR="00794B45" w:rsidP="009E60F2" w:rsidRDefault="00794B45" w14:paraId="2F1E3778" w14:textId="77777777">
      <w:pPr>
        <w:tabs>
          <w:tab w:val="clear" w:pos="432"/>
        </w:tabs>
        <w:spacing w:line="240" w:lineRule="auto"/>
        <w:ind w:left="1080" w:firstLine="0"/>
        <w:contextualSpacing/>
        <w:jc w:val="left"/>
        <w:rPr>
          <w:rFonts w:ascii="Times New Roman" w:hAnsi="Times New Roman" w:eastAsia="Calibri"/>
        </w:rPr>
      </w:pPr>
    </w:p>
    <w:p w:rsidR="00794B45" w:rsidP="009E60F2" w:rsidRDefault="00794B45" w14:paraId="3542B3A9" w14:textId="77777777">
      <w:pPr>
        <w:numPr>
          <w:ilvl w:val="0"/>
          <w:numId w:val="29"/>
        </w:numPr>
        <w:tabs>
          <w:tab w:val="clear" w:pos="432"/>
        </w:tabs>
        <w:spacing w:line="240" w:lineRule="auto"/>
        <w:ind w:left="1440"/>
        <w:contextualSpacing/>
        <w:jc w:val="left"/>
        <w:rPr>
          <w:rFonts w:ascii="Times New Roman" w:hAnsi="Times New Roman" w:eastAsia="Calibri"/>
          <w:b/>
        </w:rPr>
      </w:pPr>
      <w:r w:rsidRPr="0086435D">
        <w:rPr>
          <w:rFonts w:ascii="Times New Roman" w:hAnsi="Times New Roman" w:eastAsia="Calibri"/>
          <w:b/>
        </w:rPr>
        <w:t>Simplifying the calculation of the household’s total tenant payment (TTP) and subsidy amount by:</w:t>
      </w:r>
    </w:p>
    <w:p w:rsidRPr="0086435D" w:rsidR="00794B45" w:rsidP="009E60F2" w:rsidRDefault="00794B45" w14:paraId="5AF335A8" w14:textId="77777777">
      <w:pPr>
        <w:tabs>
          <w:tab w:val="clear" w:pos="432"/>
        </w:tabs>
        <w:spacing w:line="240" w:lineRule="auto"/>
        <w:ind w:left="1440" w:firstLine="0"/>
        <w:contextualSpacing/>
        <w:jc w:val="left"/>
        <w:rPr>
          <w:rFonts w:ascii="Times New Roman" w:hAnsi="Times New Roman" w:eastAsia="Calibri"/>
          <w:b/>
        </w:rPr>
      </w:pPr>
    </w:p>
    <w:p w:rsidRPr="0086435D" w:rsidR="00794B45" w:rsidP="009E60F2" w:rsidRDefault="00794B45" w14:paraId="3F5E5103" w14:textId="77777777">
      <w:pPr>
        <w:numPr>
          <w:ilvl w:val="1"/>
          <w:numId w:val="29"/>
        </w:numPr>
        <w:tabs>
          <w:tab w:val="clear" w:pos="432"/>
        </w:tabs>
        <w:spacing w:line="240" w:lineRule="auto"/>
        <w:ind w:left="1890"/>
        <w:contextualSpacing/>
        <w:jc w:val="left"/>
        <w:rPr>
          <w:rFonts w:ascii="Times New Roman" w:hAnsi="Times New Roman" w:eastAsia="Calibri"/>
        </w:rPr>
      </w:pPr>
      <w:r>
        <w:rPr>
          <w:rFonts w:ascii="Times New Roman" w:hAnsi="Times New Roman" w:eastAsia="Calibri"/>
        </w:rPr>
        <w:t xml:space="preserve"> </w:t>
      </w:r>
      <w:r w:rsidRPr="0086435D">
        <w:rPr>
          <w:rFonts w:ascii="Times New Roman" w:hAnsi="Times New Roman" w:eastAsia="Calibri"/>
        </w:rPr>
        <w:t>Eliminating deductions and allowances,</w:t>
      </w:r>
    </w:p>
    <w:p w:rsidRPr="0086435D" w:rsidR="00794B45" w:rsidP="009E60F2" w:rsidRDefault="00794B45" w14:paraId="2056B7E8" w14:textId="77777777">
      <w:pPr>
        <w:numPr>
          <w:ilvl w:val="1"/>
          <w:numId w:val="29"/>
        </w:numPr>
        <w:tabs>
          <w:tab w:val="clear" w:pos="432"/>
        </w:tabs>
        <w:spacing w:line="240" w:lineRule="auto"/>
        <w:ind w:left="1890"/>
        <w:contextualSpacing/>
        <w:jc w:val="left"/>
        <w:rPr>
          <w:rFonts w:ascii="Times New Roman" w:hAnsi="Times New Roman" w:eastAsia="Calibri"/>
        </w:rPr>
      </w:pPr>
      <w:r w:rsidRPr="0086435D">
        <w:rPr>
          <w:rFonts w:ascii="Times New Roman" w:hAnsi="Times New Roman" w:eastAsia="Calibri"/>
        </w:rPr>
        <w:t xml:space="preserve">Changing the percent of income that a household pays for its share, from 30 percent of </w:t>
      </w:r>
      <w:r w:rsidRPr="0086435D">
        <w:rPr>
          <w:rFonts w:ascii="Times New Roman" w:hAnsi="Times New Roman" w:eastAsia="Calibri"/>
          <w:i/>
        </w:rPr>
        <w:t>adjusted income</w:t>
      </w:r>
      <w:r w:rsidRPr="0086435D">
        <w:rPr>
          <w:rFonts w:ascii="Times New Roman" w:hAnsi="Times New Roman" w:eastAsia="Calibri"/>
        </w:rPr>
        <w:t xml:space="preserve"> to 28 percent of </w:t>
      </w:r>
      <w:r w:rsidRPr="0086435D">
        <w:rPr>
          <w:rFonts w:ascii="Times New Roman" w:hAnsi="Times New Roman" w:eastAsia="Calibri"/>
          <w:i/>
        </w:rPr>
        <w:t>gross income,</w:t>
      </w:r>
      <w:r w:rsidRPr="0086435D">
        <w:rPr>
          <w:rFonts w:ascii="Times New Roman" w:hAnsi="Times New Roman" w:eastAsia="Calibri"/>
        </w:rPr>
        <w:t xml:space="preserve">  </w:t>
      </w:r>
    </w:p>
    <w:p w:rsidRPr="0086435D" w:rsidR="00794B45" w:rsidP="009E60F2" w:rsidRDefault="00794B45" w14:paraId="39DA14A0" w14:textId="77777777">
      <w:pPr>
        <w:numPr>
          <w:ilvl w:val="1"/>
          <w:numId w:val="29"/>
        </w:numPr>
        <w:tabs>
          <w:tab w:val="clear" w:pos="432"/>
        </w:tabs>
        <w:spacing w:line="240" w:lineRule="auto"/>
        <w:ind w:left="1890"/>
        <w:contextualSpacing/>
        <w:jc w:val="left"/>
        <w:rPr>
          <w:rFonts w:ascii="Times New Roman" w:hAnsi="Times New Roman" w:eastAsia="Calibri"/>
        </w:rPr>
      </w:pPr>
      <w:r>
        <w:rPr>
          <w:rFonts w:ascii="Times New Roman" w:hAnsi="Times New Roman" w:eastAsia="Calibri"/>
        </w:rPr>
        <w:t xml:space="preserve"> </w:t>
      </w:r>
      <w:r w:rsidRPr="0086435D">
        <w:rPr>
          <w:rFonts w:ascii="Times New Roman" w:hAnsi="Times New Roman" w:eastAsia="Calibri"/>
        </w:rPr>
        <w:t>Ignoring a household’s income from assets when the total value of its assets is $25,000</w:t>
      </w:r>
      <w:r>
        <w:rPr>
          <w:rFonts w:ascii="Times New Roman" w:hAnsi="Times New Roman" w:eastAsia="Calibri"/>
        </w:rPr>
        <w:t xml:space="preserve"> or less</w:t>
      </w:r>
      <w:r w:rsidRPr="0086435D">
        <w:rPr>
          <w:rFonts w:ascii="Times New Roman" w:hAnsi="Times New Roman" w:eastAsia="Calibri"/>
        </w:rPr>
        <w:t>, and</w:t>
      </w:r>
    </w:p>
    <w:p w:rsidRPr="0086435D" w:rsidR="00794B45" w:rsidDel="00F11389" w:rsidP="009E60F2" w:rsidRDefault="00794B45" w14:paraId="7E5613B1" w14:textId="77777777">
      <w:pPr>
        <w:numPr>
          <w:ilvl w:val="1"/>
          <w:numId w:val="29"/>
        </w:numPr>
        <w:tabs>
          <w:tab w:val="clear" w:pos="432"/>
        </w:tabs>
        <w:spacing w:line="240" w:lineRule="auto"/>
        <w:ind w:left="1890"/>
        <w:contextualSpacing/>
        <w:jc w:val="left"/>
        <w:rPr>
          <w:rFonts w:ascii="Times New Roman" w:hAnsi="Times New Roman" w:eastAsia="Calibri"/>
        </w:rPr>
      </w:pPr>
      <w:r w:rsidRPr="0086435D">
        <w:rPr>
          <w:rFonts w:ascii="Times New Roman" w:hAnsi="Times New Roman" w:eastAsia="Calibri"/>
        </w:rPr>
        <w:t>Simplifying the policy for determining utility allowances</w:t>
      </w:r>
      <w:r>
        <w:rPr>
          <w:rFonts w:ascii="Times New Roman" w:hAnsi="Times New Roman" w:eastAsia="Calibri"/>
        </w:rPr>
        <w:t>.</w:t>
      </w:r>
    </w:p>
    <w:p w:rsidRPr="0086435D" w:rsidR="00794B45" w:rsidP="009E60F2" w:rsidRDefault="00794B45" w14:paraId="473E57C6" w14:textId="77777777">
      <w:pPr>
        <w:tabs>
          <w:tab w:val="clear" w:pos="432"/>
        </w:tabs>
        <w:spacing w:line="240" w:lineRule="auto"/>
        <w:ind w:left="1440" w:firstLine="0"/>
        <w:contextualSpacing/>
        <w:jc w:val="left"/>
        <w:rPr>
          <w:rFonts w:ascii="Times New Roman" w:hAnsi="Times New Roman" w:eastAsia="Calibri"/>
        </w:rPr>
      </w:pPr>
    </w:p>
    <w:p w:rsidRPr="0086435D" w:rsidR="00794B45" w:rsidP="009E60F2" w:rsidRDefault="00794B45" w14:paraId="3DBA251D" w14:textId="77777777">
      <w:pPr>
        <w:numPr>
          <w:ilvl w:val="0"/>
          <w:numId w:val="29"/>
        </w:numPr>
        <w:tabs>
          <w:tab w:val="clear" w:pos="432"/>
        </w:tabs>
        <w:spacing w:line="240" w:lineRule="auto"/>
        <w:ind w:left="1440"/>
        <w:contextualSpacing/>
        <w:jc w:val="left"/>
        <w:rPr>
          <w:rFonts w:ascii="Times New Roman" w:hAnsi="Times New Roman" w:eastAsia="Calibri"/>
        </w:rPr>
      </w:pPr>
      <w:r>
        <w:rPr>
          <w:rFonts w:ascii="Times New Roman" w:hAnsi="Times New Roman" w:eastAsia="Calibri"/>
          <w:b/>
        </w:rPr>
        <w:t>Using</w:t>
      </w:r>
      <w:r w:rsidRPr="0086435D">
        <w:rPr>
          <w:rFonts w:ascii="Times New Roman" w:hAnsi="Times New Roman" w:eastAsia="Calibri"/>
          <w:b/>
        </w:rPr>
        <w:t xml:space="preserve"> </w:t>
      </w:r>
      <w:r w:rsidRPr="0086435D">
        <w:rPr>
          <w:rFonts w:ascii="Times New Roman" w:hAnsi="Times New Roman" w:eastAsia="Calibri"/>
          <w:b/>
          <w:i/>
        </w:rPr>
        <w:t>retrospective</w:t>
      </w:r>
      <w:r w:rsidRPr="0086435D">
        <w:rPr>
          <w:rFonts w:ascii="Times New Roman" w:hAnsi="Times New Roman" w:eastAsia="Calibri"/>
          <w:b/>
        </w:rPr>
        <w:t xml:space="preserve"> income in setting a household’s TTP and housing subsidy</w:t>
      </w:r>
      <w:r w:rsidRPr="0086435D">
        <w:rPr>
          <w:rFonts w:ascii="Times New Roman" w:hAnsi="Times New Roman" w:eastAsia="Calibri"/>
        </w:rPr>
        <w:t xml:space="preserve"> (to discourage intention</w:t>
      </w:r>
      <w:r>
        <w:rPr>
          <w:rFonts w:ascii="Times New Roman" w:hAnsi="Times New Roman" w:eastAsia="Calibri"/>
        </w:rPr>
        <w:t>al</w:t>
      </w:r>
      <w:r w:rsidRPr="0086435D">
        <w:rPr>
          <w:rFonts w:ascii="Times New Roman" w:hAnsi="Times New Roman" w:eastAsia="Calibri"/>
        </w:rPr>
        <w:t xml:space="preserve"> reductions in income)</w:t>
      </w:r>
    </w:p>
    <w:p w:rsidRPr="0086435D" w:rsidR="00794B45" w:rsidP="009E60F2" w:rsidRDefault="00794B45" w14:paraId="292EAFBD" w14:textId="77777777">
      <w:pPr>
        <w:tabs>
          <w:tab w:val="clear" w:pos="432"/>
        </w:tabs>
        <w:spacing w:line="240" w:lineRule="auto"/>
        <w:ind w:left="1440" w:firstLine="0"/>
        <w:contextualSpacing/>
        <w:jc w:val="left"/>
        <w:rPr>
          <w:rFonts w:ascii="Times New Roman" w:hAnsi="Times New Roman" w:eastAsia="Calibri"/>
          <w:highlight w:val="yellow"/>
        </w:rPr>
      </w:pPr>
      <w:r w:rsidRPr="0086435D">
        <w:rPr>
          <w:rFonts w:ascii="Times New Roman" w:hAnsi="Times New Roman" w:eastAsia="Calibri"/>
          <w:highlight w:val="yellow"/>
        </w:rPr>
        <w:t xml:space="preserve"> </w:t>
      </w:r>
    </w:p>
    <w:p w:rsidRPr="0086435D" w:rsidR="00794B45" w:rsidP="009E60F2" w:rsidRDefault="00794B45" w14:paraId="7F18B634" w14:textId="77777777">
      <w:pPr>
        <w:numPr>
          <w:ilvl w:val="0"/>
          <w:numId w:val="29"/>
        </w:numPr>
        <w:tabs>
          <w:tab w:val="clear" w:pos="432"/>
        </w:tabs>
        <w:spacing w:line="240" w:lineRule="auto"/>
        <w:ind w:left="1440"/>
        <w:contextualSpacing/>
        <w:jc w:val="left"/>
        <w:rPr>
          <w:rFonts w:ascii="Times New Roman" w:hAnsi="Times New Roman" w:eastAsia="Calibri"/>
        </w:rPr>
      </w:pPr>
      <w:r w:rsidRPr="0086435D">
        <w:rPr>
          <w:rFonts w:ascii="Times New Roman" w:hAnsi="Times New Roman" w:eastAsia="Calibri"/>
          <w:b/>
        </w:rPr>
        <w:t>Establishing a minimum TTP of at least $</w:t>
      </w:r>
      <w:r>
        <w:rPr>
          <w:rFonts w:ascii="Times New Roman" w:hAnsi="Times New Roman" w:eastAsia="Calibri"/>
          <w:b/>
        </w:rPr>
        <w:t>50</w:t>
      </w:r>
      <w:r w:rsidRPr="0086435D">
        <w:rPr>
          <w:rFonts w:ascii="Times New Roman" w:hAnsi="Times New Roman" w:eastAsia="Calibri"/>
          <w:b/>
        </w:rPr>
        <w:t xml:space="preserve"> and requiring that all households pay a minimum amount of rent directly to the landlord, </w:t>
      </w:r>
      <w:r w:rsidRPr="0086435D">
        <w:rPr>
          <w:rFonts w:ascii="Times New Roman" w:hAnsi="Times New Roman" w:eastAsia="Calibri"/>
        </w:rPr>
        <w:t>to mirror the landlord-tenant relationship in the non-subsidized rental market</w:t>
      </w:r>
    </w:p>
    <w:p w:rsidRPr="0086435D" w:rsidR="00794B45" w:rsidP="009E60F2" w:rsidRDefault="00794B45" w14:paraId="7212F335" w14:textId="77777777">
      <w:pPr>
        <w:tabs>
          <w:tab w:val="clear" w:pos="432"/>
        </w:tabs>
        <w:spacing w:line="240" w:lineRule="auto"/>
        <w:ind w:left="1080" w:firstLine="0"/>
        <w:contextualSpacing/>
        <w:jc w:val="left"/>
        <w:rPr>
          <w:rFonts w:ascii="Times New Roman" w:hAnsi="Times New Roman" w:eastAsia="Calibri"/>
        </w:rPr>
      </w:pPr>
    </w:p>
    <w:p w:rsidRPr="0086435D" w:rsidR="00794B45" w:rsidP="009E60F2" w:rsidRDefault="00794B45" w14:paraId="5C091E14" w14:textId="1FB6C683">
      <w:pPr>
        <w:numPr>
          <w:ilvl w:val="0"/>
          <w:numId w:val="29"/>
        </w:numPr>
        <w:tabs>
          <w:tab w:val="clear" w:pos="432"/>
        </w:tabs>
        <w:spacing w:line="240" w:lineRule="auto"/>
        <w:ind w:left="1440"/>
        <w:contextualSpacing/>
        <w:jc w:val="left"/>
        <w:rPr>
          <w:rFonts w:ascii="Times New Roman" w:hAnsi="Times New Roman" w:eastAsia="Calibri"/>
        </w:rPr>
      </w:pPr>
      <w:r w:rsidRPr="0086435D">
        <w:rPr>
          <w:rFonts w:ascii="Times New Roman" w:hAnsi="Times New Roman" w:eastAsia="Calibri"/>
          <w:b/>
        </w:rPr>
        <w:t>Conducting income recertifications triennially rather than annually,</w:t>
      </w:r>
      <w:r w:rsidRPr="0086435D">
        <w:rPr>
          <w:rFonts w:ascii="Times New Roman" w:hAnsi="Times New Roman" w:eastAsia="Calibri"/>
        </w:rPr>
        <w:t xml:space="preserve"> so that earnings gains do not increase TTP for three years (thus creating a strong work incentive by eliminating, for an extended period, the implicit housing-subsidy-related “tax” on increased </w:t>
      </w:r>
      <w:r w:rsidRPr="0086435D" w:rsidR="00D25295">
        <w:rPr>
          <w:rFonts w:ascii="Times New Roman" w:hAnsi="Times New Roman" w:eastAsia="Calibri"/>
        </w:rPr>
        <w:t>earnings)</w:t>
      </w:r>
      <w:r w:rsidRPr="0086435D">
        <w:rPr>
          <w:rFonts w:ascii="Times New Roman" w:hAnsi="Times New Roman" w:eastAsia="Calibri"/>
        </w:rPr>
        <w:t xml:space="preserve"> </w:t>
      </w:r>
    </w:p>
    <w:p w:rsidRPr="0086435D" w:rsidR="00794B45" w:rsidP="009E60F2" w:rsidRDefault="00794B45" w14:paraId="64D3DFC5" w14:textId="77777777">
      <w:pPr>
        <w:tabs>
          <w:tab w:val="clear" w:pos="432"/>
        </w:tabs>
        <w:spacing w:line="240" w:lineRule="auto"/>
        <w:ind w:left="1440" w:firstLine="0"/>
        <w:contextualSpacing/>
        <w:jc w:val="left"/>
        <w:rPr>
          <w:rFonts w:ascii="Times New Roman" w:hAnsi="Times New Roman" w:eastAsia="Calibri"/>
        </w:rPr>
      </w:pPr>
    </w:p>
    <w:p w:rsidRPr="0086435D" w:rsidR="00794B45" w:rsidP="009E60F2" w:rsidRDefault="00794B45" w14:paraId="2F3C8819" w14:textId="77777777">
      <w:pPr>
        <w:numPr>
          <w:ilvl w:val="0"/>
          <w:numId w:val="29"/>
        </w:numPr>
        <w:tabs>
          <w:tab w:val="clear" w:pos="432"/>
        </w:tabs>
        <w:spacing w:line="240" w:lineRule="auto"/>
        <w:ind w:left="1440"/>
        <w:contextualSpacing/>
        <w:jc w:val="left"/>
        <w:rPr>
          <w:rFonts w:ascii="Times New Roman" w:hAnsi="Times New Roman" w:eastAsia="Calibri"/>
        </w:rPr>
      </w:pPr>
      <w:r w:rsidRPr="0086435D">
        <w:rPr>
          <w:rFonts w:ascii="Times New Roman" w:hAnsi="Times New Roman" w:eastAsia="Calibri"/>
          <w:b/>
        </w:rPr>
        <w:t xml:space="preserve">Limiting </w:t>
      </w:r>
      <w:r>
        <w:rPr>
          <w:rFonts w:ascii="Times New Roman" w:hAnsi="Times New Roman" w:eastAsia="Calibri"/>
          <w:b/>
        </w:rPr>
        <w:t xml:space="preserve">household-requested </w:t>
      </w:r>
      <w:r w:rsidRPr="0086435D">
        <w:rPr>
          <w:rFonts w:ascii="Times New Roman" w:hAnsi="Times New Roman" w:eastAsia="Calibri"/>
          <w:b/>
        </w:rPr>
        <w:t>interim recertifications to a maximum of one per year</w:t>
      </w:r>
      <w:r w:rsidRPr="0086435D">
        <w:rPr>
          <w:rFonts w:ascii="Times New Roman" w:hAnsi="Times New Roman" w:eastAsia="Calibri"/>
        </w:rPr>
        <w:t xml:space="preserve">, to protect households when their income drops while limiting the burden to the housing agency </w:t>
      </w:r>
    </w:p>
    <w:p w:rsidRPr="0086435D" w:rsidR="00794B45" w:rsidP="009E60F2" w:rsidRDefault="00794B45" w14:paraId="403DE067" w14:textId="77777777">
      <w:pPr>
        <w:tabs>
          <w:tab w:val="clear" w:pos="432"/>
        </w:tabs>
        <w:spacing w:line="276" w:lineRule="auto"/>
        <w:ind w:left="1440" w:firstLine="0"/>
        <w:contextualSpacing/>
        <w:jc w:val="left"/>
        <w:rPr>
          <w:rFonts w:ascii="Times New Roman" w:hAnsi="Times New Roman" w:eastAsia="Calibri"/>
        </w:rPr>
      </w:pPr>
    </w:p>
    <w:p w:rsidRPr="0086435D" w:rsidR="00794B45" w:rsidP="009E60F2" w:rsidRDefault="00794B45" w14:paraId="20D6A789" w14:textId="77777777">
      <w:pPr>
        <w:numPr>
          <w:ilvl w:val="0"/>
          <w:numId w:val="29"/>
        </w:numPr>
        <w:tabs>
          <w:tab w:val="clear" w:pos="432"/>
        </w:tabs>
        <w:spacing w:line="240" w:lineRule="auto"/>
        <w:ind w:left="1440"/>
        <w:contextualSpacing/>
        <w:jc w:val="left"/>
        <w:rPr>
          <w:rFonts w:ascii="Times New Roman" w:hAnsi="Times New Roman" w:eastAsia="Calibri"/>
        </w:rPr>
      </w:pPr>
      <w:r w:rsidRPr="0086435D">
        <w:rPr>
          <w:rFonts w:ascii="Times New Roman" w:hAnsi="Times New Roman" w:eastAsia="Calibri"/>
          <w:b/>
        </w:rPr>
        <w:t>Establishing a suitable hardship policy</w:t>
      </w:r>
      <w:r w:rsidRPr="0086435D">
        <w:rPr>
          <w:rFonts w:ascii="Times New Roman" w:hAnsi="Times New Roman" w:eastAsia="Calibri"/>
        </w:rPr>
        <w:t xml:space="preserve"> that identifies a standard set of hardship conditions and remedies to protect households from excessive rent burdens.  </w:t>
      </w:r>
    </w:p>
    <w:p w:rsidRPr="0086435D" w:rsidR="00794B45" w:rsidP="009E60F2" w:rsidRDefault="00794B45" w14:paraId="65E5FD9F" w14:textId="77777777">
      <w:pPr>
        <w:tabs>
          <w:tab w:val="clear" w:pos="432"/>
        </w:tabs>
        <w:spacing w:line="240" w:lineRule="auto"/>
        <w:ind w:left="1080" w:firstLine="0"/>
        <w:contextualSpacing/>
        <w:jc w:val="left"/>
        <w:rPr>
          <w:rFonts w:ascii="Times New Roman" w:hAnsi="Times New Roman" w:eastAsia="Calibri"/>
        </w:rPr>
      </w:pPr>
    </w:p>
    <w:p w:rsidRPr="0086435D" w:rsidR="00794B45" w:rsidP="009E60F2" w:rsidRDefault="00794B45" w14:paraId="433FA836" w14:textId="77777777">
      <w:pPr>
        <w:tabs>
          <w:tab w:val="clear" w:pos="432"/>
        </w:tabs>
        <w:spacing w:line="240" w:lineRule="auto"/>
        <w:ind w:left="360" w:firstLine="0"/>
        <w:jc w:val="left"/>
        <w:rPr>
          <w:rFonts w:ascii="Times New Roman" w:hAnsi="Times New Roman" w:eastAsia="Calibri"/>
        </w:rPr>
      </w:pPr>
      <w:r>
        <w:rPr>
          <w:rFonts w:ascii="Times New Roman" w:hAnsi="Times New Roman" w:eastAsia="Calibri"/>
        </w:rPr>
        <w:t>T</w:t>
      </w:r>
      <w:r w:rsidRPr="0086435D">
        <w:rPr>
          <w:rFonts w:ascii="Times New Roman" w:hAnsi="Times New Roman" w:eastAsia="Calibri"/>
        </w:rPr>
        <w:t xml:space="preserve">o increase the likelihood that the alternative rent policy encourages tenants to increase their work efforts, it will be important to inform them clearly and periodically of the implicit incentives associated with not having to report any earnings gains for three years. They must also understand the safeguards in place to protect them from excessive rent burdens if their incomes fall.  The MDRC team, as part of its technical assistance role, will help housing authorities develop appropriate materials and strategies for communicating these incentives and safeguards. </w:t>
      </w:r>
    </w:p>
    <w:p w:rsidR="00794B45" w:rsidP="009E60F2" w:rsidRDefault="00794B45" w14:paraId="7C24E539" w14:textId="77777777">
      <w:pPr>
        <w:tabs>
          <w:tab w:val="clear" w:pos="432"/>
        </w:tabs>
        <w:spacing w:before="240" w:line="240" w:lineRule="auto"/>
        <w:ind w:left="360" w:firstLine="720"/>
        <w:contextualSpacing/>
        <w:jc w:val="left"/>
        <w:rPr>
          <w:rFonts w:ascii="Times New Roman" w:hAnsi="Times New Roman" w:eastAsia="Calibri"/>
          <w:i/>
        </w:rPr>
      </w:pPr>
    </w:p>
    <w:p w:rsidRPr="0086435D" w:rsidR="00794B45" w:rsidP="009E60F2" w:rsidRDefault="00794B45" w14:paraId="2E7AB218" w14:textId="77777777">
      <w:pPr>
        <w:tabs>
          <w:tab w:val="clear" w:pos="432"/>
        </w:tabs>
        <w:spacing w:before="240" w:line="240" w:lineRule="auto"/>
        <w:ind w:left="360" w:firstLine="720"/>
        <w:contextualSpacing/>
        <w:jc w:val="left"/>
        <w:rPr>
          <w:rFonts w:ascii="Times New Roman" w:hAnsi="Times New Roman" w:eastAsia="Calibri"/>
          <w:i/>
        </w:rPr>
      </w:pPr>
      <w:r w:rsidRPr="0086435D">
        <w:rPr>
          <w:rFonts w:ascii="Times New Roman" w:hAnsi="Times New Roman" w:eastAsia="Calibri"/>
          <w:i/>
        </w:rPr>
        <w:t>Local variations allowed</w:t>
      </w:r>
    </w:p>
    <w:p w:rsidRPr="0086435D" w:rsidR="00794B45" w:rsidP="009E60F2" w:rsidRDefault="00794B45" w14:paraId="340F1C42" w14:textId="77777777">
      <w:pPr>
        <w:tabs>
          <w:tab w:val="clear" w:pos="432"/>
        </w:tabs>
        <w:spacing w:before="240" w:line="240" w:lineRule="auto"/>
        <w:ind w:left="360" w:firstLine="720"/>
        <w:contextualSpacing/>
        <w:jc w:val="left"/>
        <w:rPr>
          <w:rFonts w:ascii="Times New Roman" w:hAnsi="Times New Roman" w:eastAsia="Calibri"/>
          <w:b/>
          <w:i/>
        </w:rPr>
      </w:pPr>
    </w:p>
    <w:p w:rsidR="00794B45" w:rsidP="009E60F2" w:rsidRDefault="00794B45" w14:paraId="42BBEC23" w14:textId="77777777">
      <w:pPr>
        <w:tabs>
          <w:tab w:val="clear" w:pos="432"/>
        </w:tabs>
        <w:spacing w:before="240" w:line="240" w:lineRule="auto"/>
        <w:ind w:left="360" w:firstLine="0"/>
        <w:contextualSpacing/>
        <w:jc w:val="left"/>
        <w:rPr>
          <w:rFonts w:ascii="Times New Roman" w:hAnsi="Times New Roman" w:eastAsia="Calibri"/>
        </w:rPr>
      </w:pPr>
      <w:r w:rsidRPr="0086435D">
        <w:rPr>
          <w:rFonts w:ascii="Times New Roman" w:hAnsi="Times New Roman" w:eastAsia="Calibri"/>
        </w:rPr>
        <w:t xml:space="preserve">As previously indicated, the housing agencies </w:t>
      </w:r>
      <w:r>
        <w:rPr>
          <w:rFonts w:ascii="Times New Roman" w:hAnsi="Times New Roman" w:eastAsia="Calibri"/>
        </w:rPr>
        <w:t>that are participating</w:t>
      </w:r>
      <w:r w:rsidRPr="0086435D">
        <w:rPr>
          <w:rFonts w:ascii="Times New Roman" w:hAnsi="Times New Roman" w:eastAsia="Calibri"/>
        </w:rPr>
        <w:t xml:space="preserve"> in the demonstration helped to develop and support this common framework. However, they also saw a need for some local adaptions of the model in response to local considerations.  For example, the</w:t>
      </w:r>
      <w:r>
        <w:rPr>
          <w:rFonts w:ascii="Times New Roman" w:hAnsi="Times New Roman" w:eastAsia="Calibri"/>
        </w:rPr>
        <w:t xml:space="preserve"> need to </w:t>
      </w:r>
      <w:r w:rsidRPr="0086435D">
        <w:rPr>
          <w:rFonts w:ascii="Times New Roman" w:hAnsi="Times New Roman" w:eastAsia="Calibri"/>
        </w:rPr>
        <w:t>set the minimum TTP at different levels. The process for determining hardship remedies (although not the conditions defining a hardship or the remedies themselve</w:t>
      </w:r>
      <w:r>
        <w:rPr>
          <w:rFonts w:ascii="Times New Roman" w:hAnsi="Times New Roman" w:eastAsia="Calibri"/>
        </w:rPr>
        <w:t xml:space="preserve">s) may also vary.  </w:t>
      </w:r>
      <w:r w:rsidRPr="0086435D">
        <w:rPr>
          <w:rFonts w:ascii="Times New Roman" w:hAnsi="Times New Roman" w:eastAsia="Calibri"/>
        </w:rPr>
        <w:t xml:space="preserve">The design team attempted to strike an effective balance between the extent of standardization that would be required in a national policy and the need to permit some local flexibility that may also be reasonable to include within a national policy.  </w:t>
      </w:r>
    </w:p>
    <w:p w:rsidR="00794B45" w:rsidP="009E60F2" w:rsidRDefault="00794B45" w14:paraId="3E5EE497" w14:textId="77777777">
      <w:pPr>
        <w:tabs>
          <w:tab w:val="clear" w:pos="432"/>
        </w:tabs>
        <w:spacing w:before="240" w:line="240" w:lineRule="auto"/>
        <w:ind w:left="360" w:firstLine="0"/>
        <w:contextualSpacing/>
        <w:jc w:val="left"/>
        <w:rPr>
          <w:rFonts w:ascii="Times New Roman" w:hAnsi="Times New Roman" w:eastAsia="Calibri"/>
        </w:rPr>
      </w:pPr>
    </w:p>
    <w:p w:rsidRPr="0086435D" w:rsidR="00794B45" w:rsidP="009E60F2" w:rsidRDefault="00794B45" w14:paraId="59744195" w14:textId="77777777">
      <w:pPr>
        <w:tabs>
          <w:tab w:val="clear" w:pos="432"/>
        </w:tabs>
        <w:spacing w:before="240" w:line="240" w:lineRule="auto"/>
        <w:ind w:left="360" w:firstLine="720"/>
        <w:contextualSpacing/>
        <w:jc w:val="left"/>
        <w:rPr>
          <w:rFonts w:ascii="Times New Roman" w:hAnsi="Times New Roman" w:eastAsia="Calibri"/>
          <w:i/>
        </w:rPr>
      </w:pPr>
      <w:r>
        <w:rPr>
          <w:rFonts w:ascii="Times New Roman" w:hAnsi="Times New Roman" w:eastAsia="Calibri"/>
          <w:i/>
        </w:rPr>
        <w:t xml:space="preserve">Eligibility </w:t>
      </w:r>
    </w:p>
    <w:p w:rsidR="00794B45" w:rsidP="009E60F2" w:rsidRDefault="00794B45" w14:paraId="5C04CAF7" w14:textId="77777777">
      <w:pPr>
        <w:tabs>
          <w:tab w:val="clear" w:pos="432"/>
        </w:tabs>
        <w:spacing w:line="240" w:lineRule="auto"/>
        <w:ind w:left="360" w:firstLine="0"/>
        <w:contextualSpacing/>
        <w:jc w:val="left"/>
        <w:rPr>
          <w:rFonts w:ascii="Times New Roman" w:hAnsi="Times New Roman" w:eastAsia="Calibri"/>
        </w:rPr>
      </w:pPr>
    </w:p>
    <w:p w:rsidRPr="00187FBB" w:rsidR="00794B45" w:rsidP="009E60F2" w:rsidRDefault="00794B45" w14:paraId="3EEB5DC4" w14:textId="41EA53C6">
      <w:pPr>
        <w:tabs>
          <w:tab w:val="clear" w:pos="432"/>
        </w:tabs>
        <w:spacing w:line="240" w:lineRule="auto"/>
        <w:ind w:left="360" w:firstLine="0"/>
        <w:contextualSpacing/>
        <w:jc w:val="left"/>
        <w:rPr>
          <w:rFonts w:ascii="Times New Roman" w:hAnsi="Times New Roman" w:eastAsia="Calibri"/>
        </w:rPr>
      </w:pPr>
      <w:r w:rsidRPr="00302868">
        <w:rPr>
          <w:rFonts w:ascii="Times New Roman" w:hAnsi="Times New Roman" w:eastAsia="Calibri"/>
        </w:rPr>
        <w:t xml:space="preserve">The alternative rent policy will apply only to HCV recipients. </w:t>
      </w:r>
      <w:r w:rsidRPr="00302868">
        <w:rPr>
          <w:rFonts w:ascii="Times New Roman" w:hAnsi="Times New Roman"/>
        </w:rPr>
        <w:t xml:space="preserve">Eligible sample members will include voucher holders with vouchers that are administered under the (MTW) demonstration. Non-MTW Vouchers (i.e., Veterans Assisted Special Housing, Moderate Rehabilitation, and Shelter Plus Care), Enhanced Vouchers, </w:t>
      </w:r>
      <w:r>
        <w:rPr>
          <w:rFonts w:ascii="Times New Roman" w:hAnsi="Times New Roman"/>
        </w:rPr>
        <w:t xml:space="preserve">and </w:t>
      </w:r>
      <w:r w:rsidRPr="00302868">
        <w:rPr>
          <w:rFonts w:ascii="Times New Roman" w:hAnsi="Times New Roman"/>
        </w:rPr>
        <w:t xml:space="preserve">Project-Based Vouchers are excluded from the study.  </w:t>
      </w:r>
      <w:r>
        <w:rPr>
          <w:rFonts w:ascii="Times New Roman" w:hAnsi="Times New Roman"/>
        </w:rPr>
        <w:t xml:space="preserve">Households that have ported out are excluded.  </w:t>
      </w:r>
      <w:r w:rsidRPr="00302868">
        <w:rPr>
          <w:rFonts w:ascii="Times New Roman" w:hAnsi="Times New Roman"/>
        </w:rPr>
        <w:t xml:space="preserve">Additionally, the study is focused on work-able populations and will not include elderly households, disabled households, </w:t>
      </w:r>
      <w:r w:rsidRPr="00447C89">
        <w:rPr>
          <w:rFonts w:ascii="Times New Roman" w:hAnsi="Times New Roman"/>
        </w:rPr>
        <w:t xml:space="preserve">households that will become elderly </w:t>
      </w:r>
      <w:proofErr w:type="gramStart"/>
      <w:r w:rsidRPr="00447C89">
        <w:rPr>
          <w:rFonts w:ascii="Times New Roman" w:hAnsi="Times New Roman"/>
        </w:rPr>
        <w:t>during the course of</w:t>
      </w:r>
      <w:proofErr w:type="gramEnd"/>
      <w:r w:rsidRPr="00447C89">
        <w:rPr>
          <w:rFonts w:ascii="Times New Roman" w:hAnsi="Times New Roman"/>
        </w:rPr>
        <w:t xml:space="preserve"> the long-term study, </w:t>
      </w:r>
      <w:r>
        <w:rPr>
          <w:rFonts w:ascii="Times New Roman" w:hAnsi="Times New Roman"/>
        </w:rPr>
        <w:t>or</w:t>
      </w:r>
      <w:r w:rsidRPr="00447C89">
        <w:rPr>
          <w:rFonts w:ascii="Times New Roman" w:hAnsi="Times New Roman"/>
        </w:rPr>
        <w:t xml:space="preserve"> households</w:t>
      </w:r>
      <w:r>
        <w:rPr>
          <w:rFonts w:ascii="Times New Roman" w:hAnsi="Times New Roman"/>
        </w:rPr>
        <w:t xml:space="preserve"> where</w:t>
      </w:r>
      <w:r w:rsidRPr="00447C89">
        <w:rPr>
          <w:rFonts w:ascii="Times New Roman" w:hAnsi="Times New Roman"/>
        </w:rPr>
        <w:t xml:space="preserve"> at least one member does not have legal status in the U.S</w:t>
      </w:r>
      <w:r w:rsidRPr="00302868">
        <w:rPr>
          <w:rFonts w:ascii="Times New Roman" w:hAnsi="Times New Roman"/>
        </w:rPr>
        <w:t xml:space="preserve">.  Households receiving a </w:t>
      </w:r>
      <w:r w:rsidRPr="00302868" w:rsidR="00D25295">
        <w:rPr>
          <w:rFonts w:ascii="Times New Roman" w:hAnsi="Times New Roman"/>
        </w:rPr>
        <w:t>childcare</w:t>
      </w:r>
      <w:r w:rsidRPr="00302868">
        <w:rPr>
          <w:rFonts w:ascii="Times New Roman" w:hAnsi="Times New Roman"/>
        </w:rPr>
        <w:t xml:space="preserve"> deduction at the time of random assignment will also be excluded from the study.  </w:t>
      </w:r>
      <w:r>
        <w:rPr>
          <w:rFonts w:ascii="Times New Roman" w:hAnsi="Times New Roman"/>
        </w:rPr>
        <w:t>H</w:t>
      </w:r>
      <w:r w:rsidRPr="00302868">
        <w:rPr>
          <w:rFonts w:ascii="Times New Roman" w:hAnsi="Times New Roman"/>
        </w:rPr>
        <w:t xml:space="preserve">ouseholds currently participating in </w:t>
      </w:r>
      <w:r>
        <w:rPr>
          <w:rFonts w:ascii="Times New Roman" w:hAnsi="Times New Roman"/>
        </w:rPr>
        <w:t xml:space="preserve">the PHA’s </w:t>
      </w:r>
      <w:r w:rsidRPr="00302868">
        <w:rPr>
          <w:rFonts w:ascii="Times New Roman" w:hAnsi="Times New Roman"/>
        </w:rPr>
        <w:t>Family Self-Sufficiency</w:t>
      </w:r>
      <w:r>
        <w:rPr>
          <w:rFonts w:ascii="Times New Roman" w:hAnsi="Times New Roman"/>
        </w:rPr>
        <w:t>,</w:t>
      </w:r>
      <w:r w:rsidRPr="00302868">
        <w:rPr>
          <w:rFonts w:ascii="Times New Roman" w:hAnsi="Times New Roman"/>
        </w:rPr>
        <w:t xml:space="preserve"> homeownership programs</w:t>
      </w:r>
      <w:r>
        <w:rPr>
          <w:rFonts w:ascii="Times New Roman" w:hAnsi="Times New Roman"/>
        </w:rPr>
        <w:t>, or any of the PHA’s special programs with partner agencies</w:t>
      </w:r>
      <w:r w:rsidRPr="00302868">
        <w:rPr>
          <w:rFonts w:ascii="Times New Roman" w:hAnsi="Times New Roman"/>
        </w:rPr>
        <w:t xml:space="preserve"> will not be included in the study.</w:t>
      </w:r>
      <w:r w:rsidRPr="00447C89">
        <w:t xml:space="preserve"> </w:t>
      </w:r>
      <w:r>
        <w:rPr>
          <w:rFonts w:ascii="Times New Roman" w:hAnsi="Times New Roman"/>
        </w:rPr>
        <w:t>Lastly</w:t>
      </w:r>
      <w:r w:rsidRPr="00447C89">
        <w:rPr>
          <w:rFonts w:ascii="Times New Roman" w:hAnsi="Times New Roman"/>
        </w:rPr>
        <w:t>, households who have 0 HAP at the time of random assignment will not be included in the study.</w:t>
      </w:r>
    </w:p>
    <w:p w:rsidR="00794B45" w:rsidP="009E60F2" w:rsidRDefault="00794B45" w14:paraId="66790197" w14:textId="77777777">
      <w:pPr>
        <w:tabs>
          <w:tab w:val="clear" w:pos="432"/>
        </w:tabs>
        <w:spacing w:line="240" w:lineRule="auto"/>
        <w:ind w:left="360" w:firstLine="720"/>
        <w:jc w:val="left"/>
        <w:rPr>
          <w:rFonts w:ascii="Arial" w:hAnsi="Arial" w:cs="Arial"/>
          <w:b/>
        </w:rPr>
      </w:pPr>
    </w:p>
    <w:p w:rsidRPr="001233A3" w:rsidR="00794B45" w:rsidP="009E60F2" w:rsidRDefault="00794B45" w14:paraId="4B3EF272" w14:textId="77777777">
      <w:pPr>
        <w:tabs>
          <w:tab w:val="clear" w:pos="432"/>
        </w:tabs>
        <w:spacing w:line="240" w:lineRule="auto"/>
        <w:ind w:left="360" w:firstLine="720"/>
        <w:jc w:val="left"/>
        <w:rPr>
          <w:rFonts w:ascii="Arial" w:hAnsi="Arial" w:cs="Arial"/>
          <w:b/>
        </w:rPr>
      </w:pPr>
      <w:r w:rsidRPr="00302868">
        <w:rPr>
          <w:rFonts w:ascii="Arial" w:hAnsi="Arial" w:cs="Arial"/>
          <w:b/>
        </w:rPr>
        <w:t>Evaluation design and components</w:t>
      </w:r>
    </w:p>
    <w:p w:rsidR="00794B45" w:rsidP="009E60F2" w:rsidRDefault="00794B45" w14:paraId="48E7CB2B" w14:textId="77777777">
      <w:pPr>
        <w:tabs>
          <w:tab w:val="clear" w:pos="432"/>
        </w:tabs>
        <w:spacing w:line="240" w:lineRule="auto"/>
        <w:ind w:left="360" w:firstLine="0"/>
        <w:jc w:val="left"/>
        <w:rPr>
          <w:rFonts w:ascii="Times New Roman" w:hAnsi="Times New Roman"/>
        </w:rPr>
      </w:pPr>
    </w:p>
    <w:p w:rsidR="00794B45" w:rsidP="009E60F2" w:rsidRDefault="00794B45" w14:paraId="7F69FC98" w14:textId="74F7B5D6">
      <w:pPr>
        <w:spacing w:line="240" w:lineRule="auto"/>
        <w:ind w:left="360" w:firstLine="0"/>
        <w:jc w:val="left"/>
        <w:rPr>
          <w:rFonts w:ascii="Times New Roman" w:hAnsi="Times New Roman"/>
        </w:rPr>
      </w:pPr>
      <w:r w:rsidRPr="001D47CF">
        <w:rPr>
          <w:rFonts w:ascii="Times New Roman" w:hAnsi="Times New Roman"/>
        </w:rPr>
        <w:t>The demonstration will use a randomized controlled experiment to compare the current rent</w:t>
      </w:r>
      <w:r>
        <w:rPr>
          <w:rFonts w:ascii="Times New Roman" w:hAnsi="Times New Roman"/>
        </w:rPr>
        <w:t xml:space="preserve"> subsidy</w:t>
      </w:r>
      <w:r w:rsidRPr="001D47CF">
        <w:rPr>
          <w:rFonts w:ascii="Times New Roman" w:hAnsi="Times New Roman"/>
        </w:rPr>
        <w:t xml:space="preserve"> </w:t>
      </w:r>
      <w:r>
        <w:rPr>
          <w:rFonts w:ascii="Times New Roman" w:hAnsi="Times New Roman"/>
        </w:rPr>
        <w:t>policy</w:t>
      </w:r>
      <w:r w:rsidRPr="001D47CF">
        <w:rPr>
          <w:rFonts w:ascii="Times New Roman" w:hAnsi="Times New Roman"/>
        </w:rPr>
        <w:t xml:space="preserve"> </w:t>
      </w:r>
      <w:r>
        <w:rPr>
          <w:rFonts w:ascii="Times New Roman" w:hAnsi="Times New Roman"/>
        </w:rPr>
        <w:t>for HCV</w:t>
      </w:r>
      <w:r w:rsidRPr="001D47CF">
        <w:rPr>
          <w:rFonts w:ascii="Times New Roman" w:hAnsi="Times New Roman"/>
        </w:rPr>
        <w:t xml:space="preserve"> to </w:t>
      </w:r>
      <w:r>
        <w:rPr>
          <w:rFonts w:ascii="Times New Roman" w:hAnsi="Times New Roman"/>
        </w:rPr>
        <w:t xml:space="preserve">an </w:t>
      </w:r>
      <w:r w:rsidRPr="001D47CF">
        <w:rPr>
          <w:rFonts w:ascii="Times New Roman" w:hAnsi="Times New Roman"/>
        </w:rPr>
        <w:t>alternat</w:t>
      </w:r>
      <w:r>
        <w:rPr>
          <w:rFonts w:ascii="Times New Roman" w:hAnsi="Times New Roman"/>
        </w:rPr>
        <w:t xml:space="preserve">ive rent policy.  </w:t>
      </w:r>
      <w:r w:rsidRPr="00400C5C">
        <w:rPr>
          <w:rFonts w:ascii="Times New Roman" w:hAnsi="Times New Roman"/>
        </w:rPr>
        <w:t xml:space="preserve">Four </w:t>
      </w:r>
      <w:r>
        <w:rPr>
          <w:rFonts w:ascii="Times New Roman" w:hAnsi="Times New Roman"/>
        </w:rPr>
        <w:t>MTW PHAs</w:t>
      </w:r>
      <w:r w:rsidRPr="001D47CF">
        <w:rPr>
          <w:rFonts w:ascii="Times New Roman" w:hAnsi="Times New Roman"/>
        </w:rPr>
        <w:t xml:space="preserve"> will participa</w:t>
      </w:r>
      <w:r>
        <w:rPr>
          <w:rFonts w:ascii="Times New Roman" w:hAnsi="Times New Roman"/>
        </w:rPr>
        <w:t xml:space="preserve">te in the study. </w:t>
      </w:r>
      <w:r w:rsidRPr="001D47CF">
        <w:rPr>
          <w:rFonts w:ascii="Times New Roman" w:hAnsi="Times New Roman"/>
        </w:rPr>
        <w:t>The demonstration is being guided by a comprehensive research agenda structured around three study components: impacts, implementation processes, and cost</w:t>
      </w:r>
      <w:r>
        <w:rPr>
          <w:rFonts w:ascii="Times New Roman" w:hAnsi="Times New Roman"/>
        </w:rPr>
        <w:t xml:space="preserve"> analysis</w:t>
      </w:r>
      <w:r w:rsidRPr="001D47CF">
        <w:rPr>
          <w:rFonts w:ascii="Times New Roman" w:hAnsi="Times New Roman"/>
        </w:rPr>
        <w:t>.</w:t>
      </w:r>
      <w:r>
        <w:rPr>
          <w:rFonts w:ascii="Times New Roman" w:hAnsi="Times New Roman"/>
        </w:rPr>
        <w:t xml:space="preserve"> </w:t>
      </w:r>
    </w:p>
    <w:p w:rsidR="00794B45" w:rsidP="009E60F2" w:rsidRDefault="00794B45" w14:paraId="200C5A77" w14:textId="77777777">
      <w:pPr>
        <w:spacing w:line="240" w:lineRule="auto"/>
        <w:ind w:left="360" w:firstLine="0"/>
        <w:jc w:val="left"/>
        <w:rPr>
          <w:rFonts w:ascii="Times New Roman" w:hAnsi="Times New Roman"/>
        </w:rPr>
      </w:pPr>
    </w:p>
    <w:p w:rsidR="00794B45" w:rsidP="009E60F2" w:rsidRDefault="00794B45" w14:paraId="14F75BD4" w14:textId="77777777">
      <w:pPr>
        <w:tabs>
          <w:tab w:val="clear" w:pos="432"/>
        </w:tabs>
        <w:spacing w:line="240" w:lineRule="auto"/>
        <w:ind w:left="360" w:firstLine="0"/>
        <w:jc w:val="left"/>
        <w:rPr>
          <w:rFonts w:ascii="Times New Roman" w:hAnsi="Times New Roman"/>
        </w:rPr>
      </w:pPr>
      <w:proofErr w:type="gramStart"/>
      <w:r w:rsidRPr="000E1899">
        <w:rPr>
          <w:rFonts w:ascii="Times New Roman" w:hAnsi="Times New Roman"/>
        </w:rPr>
        <w:t>In order to</w:t>
      </w:r>
      <w:proofErr w:type="gramEnd"/>
      <w:r w:rsidRPr="000E1899">
        <w:rPr>
          <w:rFonts w:ascii="Times New Roman" w:hAnsi="Times New Roman"/>
        </w:rPr>
        <w:t xml:space="preserve"> evaluate the impacts of the alternative rent policy, all households that meet the eligibility requirements for the demonstration </w:t>
      </w:r>
      <w:r>
        <w:rPr>
          <w:rFonts w:ascii="Times New Roman" w:hAnsi="Times New Roman"/>
        </w:rPr>
        <w:t xml:space="preserve">are being </w:t>
      </w:r>
      <w:r w:rsidRPr="000E1899">
        <w:rPr>
          <w:rFonts w:ascii="Times New Roman" w:hAnsi="Times New Roman"/>
        </w:rPr>
        <w:t xml:space="preserve">randomly assigned to either a new policy group or an existing rent policy group (i.e., the control group).  Households will not have an opportunity to switch their assignment from one rent policy group to the other.  This approach is consistent with the MTW Demonstration’s policy of authorizing PHAs to implement and test innovative rent policies to try to help voucher holders become self-sufficient and to reduce administrative costs.  When MTW PHAs that are not part of the Rent Reform Demonstration have implemented their own rent reforms, they have not been expected to limit these new policies to tenants who volunteer for them.   </w:t>
      </w:r>
    </w:p>
    <w:p w:rsidRPr="000E1899" w:rsidR="00794B45" w:rsidP="009E60F2" w:rsidRDefault="00794B45" w14:paraId="708A8A43" w14:textId="77777777">
      <w:pPr>
        <w:spacing w:line="240" w:lineRule="auto"/>
        <w:ind w:left="360" w:firstLine="0"/>
        <w:jc w:val="left"/>
        <w:rPr>
          <w:rFonts w:ascii="Times New Roman" w:hAnsi="Times New Roman"/>
        </w:rPr>
      </w:pPr>
      <w:r w:rsidRPr="000E1899">
        <w:rPr>
          <w:rFonts w:ascii="Times New Roman" w:hAnsi="Times New Roman"/>
        </w:rPr>
        <w:t xml:space="preserve"> </w:t>
      </w:r>
    </w:p>
    <w:p w:rsidRPr="000E1899" w:rsidR="00794B45" w:rsidP="009E60F2" w:rsidRDefault="00794B45" w14:paraId="0DE719AA" w14:textId="288F424B">
      <w:pPr>
        <w:spacing w:line="240" w:lineRule="auto"/>
        <w:ind w:left="360" w:firstLine="0"/>
        <w:jc w:val="left"/>
        <w:rPr>
          <w:rFonts w:ascii="Times New Roman" w:hAnsi="Times New Roman"/>
        </w:rPr>
      </w:pPr>
      <w:r w:rsidRPr="000E1899">
        <w:rPr>
          <w:rFonts w:ascii="Times New Roman" w:hAnsi="Times New Roman"/>
        </w:rPr>
        <w:t xml:space="preserve">A research design that includes the broader eligible population fits the compelling need for HUD and Congress to understand the effectiveness of the new rent policy for the full eligible population, not just for a subset of volunteers recruited for a special demonstration project. For a variety of reasons, volunteers may not adequately represent the full eligible population. The new rent policy itself offers all tenants the possibility of becoming economically better off, while also including </w:t>
      </w:r>
      <w:proofErr w:type="gramStart"/>
      <w:r w:rsidRPr="000E1899">
        <w:rPr>
          <w:rFonts w:ascii="Times New Roman" w:hAnsi="Times New Roman"/>
        </w:rPr>
        <w:t>a number of</w:t>
      </w:r>
      <w:proofErr w:type="gramEnd"/>
      <w:r w:rsidRPr="000E1899">
        <w:rPr>
          <w:rFonts w:ascii="Times New Roman" w:hAnsi="Times New Roman"/>
        </w:rPr>
        <w:t xml:space="preserve"> safeguards intended to help prevent them from becoming </w:t>
      </w:r>
      <w:r>
        <w:rPr>
          <w:rFonts w:ascii="Times New Roman" w:hAnsi="Times New Roman"/>
        </w:rPr>
        <w:t xml:space="preserve">economically </w:t>
      </w:r>
      <w:r w:rsidRPr="000E1899">
        <w:rPr>
          <w:rFonts w:ascii="Times New Roman" w:hAnsi="Times New Roman"/>
        </w:rPr>
        <w:t xml:space="preserve">worse off. </w:t>
      </w:r>
      <w:r>
        <w:rPr>
          <w:rFonts w:ascii="Times New Roman" w:hAnsi="Times New Roman"/>
        </w:rPr>
        <w:t>(A</w:t>
      </w:r>
      <w:r w:rsidR="00670E8A">
        <w:rPr>
          <w:rFonts w:ascii="Times New Roman" w:hAnsi="Times New Roman"/>
        </w:rPr>
        <w:t xml:space="preserve">ll </w:t>
      </w:r>
      <w:r>
        <w:rPr>
          <w:rFonts w:ascii="Times New Roman" w:hAnsi="Times New Roman"/>
        </w:rPr>
        <w:t xml:space="preserve">tenants will be given an opportunity to withdraw from having their personally identifiable data shared with the researchers if they wish that it not be disclosed.)  </w:t>
      </w:r>
    </w:p>
    <w:p w:rsidR="00794B45" w:rsidP="009E60F2" w:rsidRDefault="00794B45" w14:paraId="75D042D4" w14:textId="77777777">
      <w:pPr>
        <w:spacing w:line="240" w:lineRule="auto"/>
        <w:ind w:left="360" w:firstLine="0"/>
        <w:jc w:val="left"/>
        <w:rPr>
          <w:rFonts w:ascii="Times New Roman" w:hAnsi="Times New Roman"/>
        </w:rPr>
      </w:pPr>
    </w:p>
    <w:p w:rsidRPr="000E1899" w:rsidR="00794B45" w:rsidP="009E60F2" w:rsidRDefault="00794B45" w14:paraId="51A0C86F" w14:textId="615562F7">
      <w:pPr>
        <w:spacing w:line="240" w:lineRule="auto"/>
        <w:ind w:left="360" w:firstLine="0"/>
        <w:jc w:val="left"/>
        <w:rPr>
          <w:rFonts w:ascii="Times New Roman" w:hAnsi="Times New Roman"/>
        </w:rPr>
      </w:pPr>
      <w:r>
        <w:rPr>
          <w:rFonts w:ascii="Times New Roman" w:hAnsi="Times New Roman"/>
        </w:rPr>
        <w:t>The evaluation plan includes</w:t>
      </w:r>
      <w:r w:rsidRPr="000E1899">
        <w:rPr>
          <w:rFonts w:ascii="Times New Roman" w:hAnsi="Times New Roman"/>
        </w:rPr>
        <w:t xml:space="preserve"> an exception for one of its sites, the LMHA.  Households in this PHA that are randomly assigned to the new policy will be given the option to opt out of the new rent policy group in addition to </w:t>
      </w:r>
      <w:r>
        <w:rPr>
          <w:rFonts w:ascii="Times New Roman" w:hAnsi="Times New Roman"/>
        </w:rPr>
        <w:t>withdrawing from</w:t>
      </w:r>
      <w:r w:rsidRPr="000E1899">
        <w:rPr>
          <w:rFonts w:ascii="Times New Roman" w:hAnsi="Times New Roman"/>
        </w:rPr>
        <w:t xml:space="preserve"> having their data disclosed to the researchers.  HUD agreed to this exception to be responsive to concerns raised by LMHA and the local community.  </w:t>
      </w:r>
    </w:p>
    <w:p w:rsidRPr="000E1899" w:rsidR="00794B45" w:rsidP="009E60F2" w:rsidRDefault="00794B45" w14:paraId="20362943" w14:textId="77777777">
      <w:pPr>
        <w:spacing w:line="240" w:lineRule="auto"/>
        <w:ind w:left="360" w:firstLine="0"/>
        <w:jc w:val="left"/>
        <w:rPr>
          <w:rFonts w:ascii="Times New Roman" w:hAnsi="Times New Roman"/>
        </w:rPr>
      </w:pPr>
    </w:p>
    <w:p w:rsidR="00794B45" w:rsidP="009E60F2" w:rsidRDefault="00794B45" w14:paraId="58D9A822" w14:textId="6B85D5EE">
      <w:pPr>
        <w:spacing w:line="240" w:lineRule="auto"/>
        <w:ind w:left="360" w:firstLine="0"/>
        <w:jc w:val="left"/>
        <w:rPr>
          <w:rFonts w:ascii="Times New Roman" w:hAnsi="Times New Roman"/>
        </w:rPr>
      </w:pPr>
      <w:r>
        <w:rPr>
          <w:rFonts w:ascii="Times New Roman" w:hAnsi="Times New Roman"/>
        </w:rPr>
        <w:t>The study examine</w:t>
      </w:r>
      <w:r w:rsidR="00D565E5">
        <w:rPr>
          <w:rFonts w:ascii="Times New Roman" w:hAnsi="Times New Roman"/>
        </w:rPr>
        <w:t>s</w:t>
      </w:r>
      <w:r>
        <w:rPr>
          <w:rFonts w:ascii="Times New Roman" w:hAnsi="Times New Roman"/>
        </w:rPr>
        <w:t xml:space="preserve"> the effects of the alternative policy from </w:t>
      </w:r>
      <w:r w:rsidRPr="00364A8A">
        <w:rPr>
          <w:rFonts w:ascii="Times New Roman" w:hAnsi="Times New Roman"/>
        </w:rPr>
        <w:t>two perspectives: that of the housing a</w:t>
      </w:r>
      <w:r>
        <w:rPr>
          <w:rFonts w:ascii="Times New Roman" w:hAnsi="Times New Roman"/>
        </w:rPr>
        <w:t xml:space="preserve">gencies </w:t>
      </w:r>
      <w:r w:rsidRPr="00364A8A">
        <w:rPr>
          <w:rFonts w:ascii="Times New Roman" w:hAnsi="Times New Roman"/>
        </w:rPr>
        <w:t>and that of the voucher holders</w:t>
      </w:r>
      <w:r w:rsidRPr="00AD1687">
        <w:rPr>
          <w:rFonts w:ascii="Times New Roman" w:hAnsi="Times New Roman"/>
        </w:rPr>
        <w:t>.</w:t>
      </w:r>
      <w:r w:rsidRPr="00364A8A">
        <w:rPr>
          <w:rFonts w:ascii="Times New Roman" w:hAnsi="Times New Roman"/>
        </w:rPr>
        <w:t xml:space="preserve"> </w:t>
      </w:r>
      <w:r w:rsidR="00AE5E43">
        <w:rPr>
          <w:rFonts w:ascii="Times New Roman" w:hAnsi="Times New Roman"/>
        </w:rPr>
        <w:t>It draws on agency administrative records (housing, TANF/SNAP, homelessness</w:t>
      </w:r>
      <w:r w:rsidR="0029091F">
        <w:rPr>
          <w:rFonts w:ascii="Times New Roman" w:hAnsi="Times New Roman"/>
        </w:rPr>
        <w:t>), wage records from the National Database of New Hires (NDNH), baseline and follow-up surveys, and field research.</w:t>
      </w:r>
    </w:p>
    <w:p w:rsidRPr="00364A8A" w:rsidR="00794B45" w:rsidP="00794B45" w:rsidRDefault="00794B45" w14:paraId="3114146B" w14:textId="77777777">
      <w:pPr>
        <w:spacing w:line="240" w:lineRule="auto"/>
        <w:ind w:firstLine="0"/>
        <w:jc w:val="left"/>
        <w:rPr>
          <w:rFonts w:ascii="Times New Roman" w:hAnsi="Times New Roman"/>
        </w:rPr>
      </w:pPr>
    </w:p>
    <w:p w:rsidR="00E07A41" w:rsidP="00542556" w:rsidRDefault="00E07A41" w14:paraId="1837F6A4" w14:textId="77777777">
      <w:pPr>
        <w:spacing w:line="240" w:lineRule="auto"/>
        <w:ind w:firstLine="0"/>
        <w:rPr>
          <w:rFonts w:ascii="Times New Roman" w:hAnsi="Times New Roman"/>
          <w:b/>
        </w:rPr>
      </w:pPr>
    </w:p>
    <w:p w:rsidR="00392468" w:rsidP="00392468" w:rsidRDefault="00392468" w14:paraId="71756FE4" w14:textId="37110BA1">
      <w:pPr>
        <w:keepLines/>
        <w:tabs>
          <w:tab w:val="left" w:pos="360"/>
        </w:tabs>
        <w:spacing w:after="120" w:line="240" w:lineRule="auto"/>
        <w:ind w:left="360" w:hanging="360"/>
        <w:rPr>
          <w:rFonts w:ascii="Times New Roman" w:hAnsi="Times New Roman"/>
          <w:b/>
        </w:rPr>
      </w:pPr>
      <w:r w:rsidRPr="008064C8">
        <w:rPr>
          <w:rFonts w:ascii="Times New Roman" w:hAnsi="Times New Roman"/>
          <w:b/>
        </w:rPr>
        <w:t>2.</w:t>
      </w:r>
      <w:r w:rsidRPr="008064C8">
        <w:rPr>
          <w:rFonts w:ascii="Times New Roman" w:hAnsi="Times New Roman"/>
          <w:b/>
        </w:rPr>
        <w:tab/>
        <w:t xml:space="preserve">Indicate how, by whom and for what purpose the information is to be used.  Except for a new collection, </w:t>
      </w:r>
      <w:bookmarkStart w:name="_Hlk63340014" w:id="0"/>
      <w:r w:rsidRPr="008064C8">
        <w:rPr>
          <w:rFonts w:ascii="Times New Roman" w:hAnsi="Times New Roman"/>
          <w:b/>
        </w:rPr>
        <w:t>indicate the actual use the agency has made of the information received from the current collection</w:t>
      </w:r>
      <w:bookmarkEnd w:id="0"/>
      <w:r w:rsidRPr="008064C8">
        <w:rPr>
          <w:rFonts w:ascii="Times New Roman" w:hAnsi="Times New Roman"/>
          <w:b/>
        </w:rPr>
        <w:t>.</w:t>
      </w:r>
    </w:p>
    <w:p w:rsidRPr="000B280D" w:rsidR="00267B95" w:rsidP="009E60F2" w:rsidRDefault="00267B95" w14:paraId="157B40C5" w14:textId="77777777">
      <w:pPr>
        <w:spacing w:after="120" w:line="240" w:lineRule="auto"/>
        <w:ind w:left="360" w:firstLine="0"/>
        <w:jc w:val="left"/>
        <w:rPr>
          <w:rFonts w:ascii="Times New Roman" w:hAnsi="Times New Roman"/>
        </w:rPr>
      </w:pPr>
      <w:r w:rsidRPr="000B280D">
        <w:rPr>
          <w:rFonts w:ascii="Times New Roman" w:hAnsi="Times New Roman"/>
        </w:rPr>
        <w:t>The primary goal of the project is to test the effects of an alternative rent policy on voucher holders and housing authorities that issue them.  HUD authorized the evaluation of the Rent Reform options following the Office of Policy Development and Research statement of policy objectives and initiatives for 2011 (“2011 report”) (</w:t>
      </w:r>
      <w:hyperlink w:history="1" r:id="rId9">
        <w:r w:rsidRPr="000B280D">
          <w:rPr>
            <w:rStyle w:val="Hyperlink"/>
            <w:rFonts w:ascii="Times New Roman" w:hAnsi="Times New Roman"/>
          </w:rPr>
          <w:t>http://hud.gov/offices/cfo/reports/2011/cjs/Research_and_Technology_2011.pdf</w:t>
        </w:r>
      </w:hyperlink>
      <w:r w:rsidRPr="000B280D">
        <w:rPr>
          <w:rFonts w:ascii="Times New Roman" w:hAnsi="Times New Roman"/>
        </w:rPr>
        <w:t>).</w:t>
      </w:r>
    </w:p>
    <w:p w:rsidRPr="000B280D" w:rsidR="00267B95" w:rsidP="009E60F2" w:rsidRDefault="00267B95" w14:paraId="347087A7" w14:textId="77777777">
      <w:pPr>
        <w:spacing w:after="120" w:line="240" w:lineRule="auto"/>
        <w:ind w:left="360" w:firstLine="0"/>
        <w:jc w:val="left"/>
        <w:rPr>
          <w:rFonts w:ascii="Times New Roman" w:hAnsi="Times New Roman"/>
        </w:rPr>
      </w:pPr>
      <w:r w:rsidRPr="000B280D">
        <w:rPr>
          <w:rFonts w:ascii="Times New Roman" w:hAnsi="Times New Roman"/>
        </w:rPr>
        <w:t>Under Title V of the Housing and Urban Development Act of 1970, as amended, the Secretary is authorized and directed to conduct demonstration projects, evaluations, and research that relate to the mission of the Department. The policy objectives for 2011 set forth the Office’s proposal to support the government-wide initiative to strengthen program evaluation by underwriting rigorous evaluations of three demonstrations, including the Rent Reform option demonstration (2011 report). The Office’s proposed support would supplement funding from the Transformation Initiative.</w:t>
      </w:r>
    </w:p>
    <w:p w:rsidRPr="000B280D" w:rsidR="00267B95" w:rsidP="009E60F2" w:rsidRDefault="00267B95" w14:paraId="5C10F373" w14:textId="77777777">
      <w:pPr>
        <w:spacing w:after="120" w:line="240" w:lineRule="auto"/>
        <w:ind w:left="360" w:firstLine="0"/>
        <w:jc w:val="left"/>
        <w:rPr>
          <w:rFonts w:ascii="Times New Roman" w:hAnsi="Times New Roman"/>
        </w:rPr>
      </w:pPr>
      <w:r w:rsidRPr="000B280D">
        <w:rPr>
          <w:rFonts w:ascii="Times New Roman" w:hAnsi="Times New Roman"/>
        </w:rPr>
        <w:t>The report referenced the approval by the Office of Management and Budget of specific evaluation proposals for 2011, which included the study of Rent Reform options. Further, it underscored HUD’s commitment to “strong, independent evaluations that can inform policy and program management decisions” (2011 report, page 0-12).</w:t>
      </w:r>
    </w:p>
    <w:p w:rsidR="00267B95" w:rsidP="009E60F2" w:rsidRDefault="00267B95" w14:paraId="11585E31" w14:textId="494EDFC8">
      <w:pPr>
        <w:spacing w:line="240" w:lineRule="auto"/>
        <w:ind w:left="360" w:firstLine="0"/>
        <w:jc w:val="left"/>
        <w:rPr>
          <w:rFonts w:ascii="Times New Roman" w:hAnsi="Times New Roman"/>
        </w:rPr>
      </w:pPr>
      <w:r>
        <w:rPr>
          <w:rFonts w:ascii="Times New Roman" w:hAnsi="Times New Roman"/>
        </w:rPr>
        <w:t>As described in previous OMB submissions for this study, t</w:t>
      </w:r>
      <w:r w:rsidRPr="000B280D">
        <w:rPr>
          <w:rFonts w:ascii="Times New Roman" w:hAnsi="Times New Roman"/>
        </w:rPr>
        <w:t xml:space="preserve">he Rent Reform </w:t>
      </w:r>
      <w:r>
        <w:rPr>
          <w:rFonts w:ascii="Times New Roman" w:hAnsi="Times New Roman"/>
        </w:rPr>
        <w:t xml:space="preserve">Demonstration </w:t>
      </w:r>
      <w:r w:rsidRPr="000B280D">
        <w:rPr>
          <w:rFonts w:ascii="Times New Roman" w:hAnsi="Times New Roman"/>
        </w:rPr>
        <w:t>was designed to test, and “systematically observe,” methods for creating incentives, and removing related disincentives, for tenants to increase their earnings (2011 report, page 0-13).</w:t>
      </w:r>
    </w:p>
    <w:p w:rsidR="00C060DA" w:rsidP="009E60F2" w:rsidRDefault="00C060DA" w14:paraId="71EBCBD4" w14:textId="7DF76B7D">
      <w:pPr>
        <w:spacing w:line="240" w:lineRule="auto"/>
        <w:ind w:left="360" w:firstLine="0"/>
        <w:jc w:val="left"/>
        <w:rPr>
          <w:rFonts w:ascii="Times New Roman" w:hAnsi="Times New Roman"/>
        </w:rPr>
      </w:pPr>
    </w:p>
    <w:p w:rsidR="00C060DA" w:rsidP="009E60F2" w:rsidRDefault="00C060DA" w14:paraId="17E394C5" w14:textId="1386F818">
      <w:pPr>
        <w:spacing w:line="240" w:lineRule="auto"/>
        <w:ind w:left="360" w:firstLine="0"/>
        <w:jc w:val="left"/>
        <w:rPr>
          <w:rFonts w:ascii="Times New Roman" w:hAnsi="Times New Roman"/>
        </w:rPr>
      </w:pPr>
      <w:r>
        <w:rPr>
          <w:rFonts w:ascii="Times New Roman" w:hAnsi="Times New Roman"/>
        </w:rPr>
        <w:t xml:space="preserve">To date, the evaluation team </w:t>
      </w:r>
      <w:r w:rsidR="00EC524D">
        <w:rPr>
          <w:rFonts w:ascii="Times New Roman" w:hAnsi="Times New Roman"/>
        </w:rPr>
        <w:t>has produced three formal reports, a</w:t>
      </w:r>
      <w:r w:rsidR="00A44850">
        <w:rPr>
          <w:rFonts w:ascii="Times New Roman" w:hAnsi="Times New Roman"/>
        </w:rPr>
        <w:t xml:space="preserve"> fourth is going through </w:t>
      </w:r>
      <w:r w:rsidR="004E7D90">
        <w:rPr>
          <w:rFonts w:ascii="Times New Roman" w:hAnsi="Times New Roman"/>
        </w:rPr>
        <w:t xml:space="preserve">HUD </w:t>
      </w:r>
      <w:r w:rsidR="00A44850">
        <w:rPr>
          <w:rFonts w:ascii="Times New Roman" w:hAnsi="Times New Roman"/>
        </w:rPr>
        <w:t xml:space="preserve">Departmental clearance, and a final report will be published at the end of this evaluation. </w:t>
      </w:r>
      <w:r w:rsidR="005F55F1">
        <w:rPr>
          <w:rFonts w:ascii="Times New Roman" w:hAnsi="Times New Roman"/>
        </w:rPr>
        <w:t>P</w:t>
      </w:r>
      <w:r w:rsidR="00AF5BAB">
        <w:rPr>
          <w:rFonts w:ascii="Times New Roman" w:hAnsi="Times New Roman"/>
        </w:rPr>
        <w:t>ublished reports include</w:t>
      </w:r>
      <w:r w:rsidR="004E7D90">
        <w:rPr>
          <w:rFonts w:ascii="Times New Roman" w:hAnsi="Times New Roman"/>
        </w:rPr>
        <w:t xml:space="preserve">: </w:t>
      </w:r>
      <w:r w:rsidR="00AF5BAB">
        <w:rPr>
          <w:rFonts w:ascii="Times New Roman" w:hAnsi="Times New Roman"/>
        </w:rPr>
        <w:t xml:space="preserve"> </w:t>
      </w:r>
    </w:p>
    <w:p w:rsidR="00AF5BAB" w:rsidP="009E60F2" w:rsidRDefault="00AF5BAB" w14:paraId="044FAB88" w14:textId="7F7437ED">
      <w:pPr>
        <w:spacing w:line="240" w:lineRule="auto"/>
        <w:ind w:left="360" w:firstLine="0"/>
        <w:jc w:val="left"/>
        <w:rPr>
          <w:rFonts w:ascii="Times New Roman" w:hAnsi="Times New Roman"/>
        </w:rPr>
      </w:pPr>
    </w:p>
    <w:p w:rsidRPr="004E7D90" w:rsidR="004E7D90" w:rsidP="009E60F2" w:rsidRDefault="00E91083" w14:paraId="2B68F59D" w14:textId="58831E2D">
      <w:pPr>
        <w:widowControl w:val="0"/>
        <w:tabs>
          <w:tab w:val="clear" w:pos="432"/>
        </w:tabs>
        <w:kinsoku w:val="0"/>
        <w:overflowPunct w:val="0"/>
        <w:spacing w:line="240" w:lineRule="auto"/>
        <w:ind w:left="720" w:right="119" w:hanging="360"/>
        <w:rPr>
          <w:rFonts w:ascii="Times New Roman" w:hAnsi="Times New Roman" w:eastAsia="Garamond"/>
          <w:spacing w:val="-1"/>
          <w:sz w:val="20"/>
          <w:szCs w:val="20"/>
        </w:rPr>
      </w:pPr>
      <w:r>
        <w:rPr>
          <w:rFonts w:ascii="Times New Roman" w:hAnsi="Times New Roman" w:eastAsia="Garamond"/>
          <w:spacing w:val="-1"/>
          <w:sz w:val="20"/>
          <w:szCs w:val="20"/>
        </w:rPr>
        <w:t xml:space="preserve">        </w:t>
      </w:r>
      <w:r w:rsidRPr="004E7D90" w:rsidR="004E7D90">
        <w:rPr>
          <w:rFonts w:ascii="Times New Roman" w:hAnsi="Times New Roman" w:eastAsia="Garamond"/>
          <w:spacing w:val="-1"/>
          <w:sz w:val="20"/>
          <w:szCs w:val="20"/>
        </w:rPr>
        <w:t xml:space="preserve">Riccio, James, Nandita Verma, and Victoria Deitch. 2019. </w:t>
      </w:r>
      <w:r w:rsidRPr="004E7D90" w:rsidR="004E7D90">
        <w:rPr>
          <w:rFonts w:ascii="Times New Roman" w:hAnsi="Times New Roman" w:eastAsia="Garamond"/>
          <w:i/>
          <w:spacing w:val="-1"/>
          <w:sz w:val="20"/>
          <w:szCs w:val="20"/>
        </w:rPr>
        <w:t>The Rent Reform Demonstration: Interim Findings on</w:t>
      </w:r>
      <w:r>
        <w:rPr>
          <w:rFonts w:ascii="Times New Roman" w:hAnsi="Times New Roman" w:eastAsia="Garamond"/>
          <w:i/>
          <w:spacing w:val="-1"/>
          <w:sz w:val="20"/>
          <w:szCs w:val="20"/>
        </w:rPr>
        <w:t xml:space="preserve"> </w:t>
      </w:r>
      <w:r w:rsidRPr="004E7D90" w:rsidR="004E7D90">
        <w:rPr>
          <w:rFonts w:ascii="Times New Roman" w:hAnsi="Times New Roman" w:eastAsia="Garamond"/>
          <w:i/>
          <w:spacing w:val="-1"/>
          <w:sz w:val="20"/>
          <w:szCs w:val="20"/>
        </w:rPr>
        <w:t>Implementation, Work, and Other Outcomes</w:t>
      </w:r>
      <w:r w:rsidRPr="004E7D90" w:rsidR="004E7D90">
        <w:rPr>
          <w:rFonts w:ascii="Times New Roman" w:hAnsi="Times New Roman" w:eastAsia="Garamond"/>
          <w:spacing w:val="-1"/>
          <w:sz w:val="20"/>
          <w:szCs w:val="20"/>
        </w:rPr>
        <w:t>. New York: MDRC.</w:t>
      </w:r>
    </w:p>
    <w:p w:rsidRPr="004E7D90" w:rsidR="004E7D90" w:rsidP="009E60F2" w:rsidRDefault="004E7D90" w14:paraId="74A3610C" w14:textId="77777777">
      <w:pPr>
        <w:widowControl w:val="0"/>
        <w:tabs>
          <w:tab w:val="clear" w:pos="432"/>
        </w:tabs>
        <w:kinsoku w:val="0"/>
        <w:overflowPunct w:val="0"/>
        <w:spacing w:line="240" w:lineRule="auto"/>
        <w:ind w:left="720" w:right="119" w:hanging="360"/>
        <w:rPr>
          <w:rFonts w:ascii="Times New Roman" w:hAnsi="Times New Roman" w:eastAsia="Garamond"/>
          <w:spacing w:val="-1"/>
          <w:sz w:val="20"/>
          <w:szCs w:val="20"/>
        </w:rPr>
      </w:pPr>
    </w:p>
    <w:p w:rsidRPr="004E7D90" w:rsidR="004E7D90" w:rsidP="009E60F2" w:rsidRDefault="00E91083" w14:paraId="3ACF0178" w14:textId="16A2B027">
      <w:pPr>
        <w:widowControl w:val="0"/>
        <w:tabs>
          <w:tab w:val="clear" w:pos="432"/>
        </w:tabs>
        <w:kinsoku w:val="0"/>
        <w:overflowPunct w:val="0"/>
        <w:spacing w:line="240" w:lineRule="auto"/>
        <w:ind w:left="720" w:right="119" w:hanging="360"/>
        <w:rPr>
          <w:rFonts w:ascii="Times New Roman" w:hAnsi="Times New Roman" w:eastAsia="Garamond"/>
          <w:spacing w:val="-1"/>
          <w:sz w:val="20"/>
          <w:szCs w:val="20"/>
        </w:rPr>
      </w:pPr>
      <w:r>
        <w:rPr>
          <w:rFonts w:ascii="Times New Roman" w:hAnsi="Times New Roman" w:eastAsia="Garamond"/>
          <w:spacing w:val="-1"/>
          <w:sz w:val="20"/>
          <w:szCs w:val="20"/>
        </w:rPr>
        <w:t xml:space="preserve">        </w:t>
      </w:r>
      <w:r w:rsidRPr="004E7D90" w:rsidR="004E7D90">
        <w:rPr>
          <w:rFonts w:ascii="Times New Roman" w:hAnsi="Times New Roman" w:eastAsia="Garamond"/>
          <w:spacing w:val="-1"/>
          <w:sz w:val="20"/>
          <w:szCs w:val="20"/>
        </w:rPr>
        <w:t>Riccio, James, and Victoria Deitch. 2019.</w:t>
      </w:r>
      <w:r w:rsidRPr="004E7D90" w:rsidR="004E7D90">
        <w:rPr>
          <w:rFonts w:ascii="Times New Roman" w:hAnsi="Times New Roman" w:eastAsia="Garamond"/>
          <w:sz w:val="20"/>
          <w:szCs w:val="20"/>
        </w:rPr>
        <w:t xml:space="preserve"> </w:t>
      </w:r>
      <w:r w:rsidRPr="004E7D90" w:rsidR="004E7D90">
        <w:rPr>
          <w:rFonts w:ascii="Times New Roman" w:hAnsi="Times New Roman" w:eastAsia="Garamond"/>
          <w:i/>
          <w:spacing w:val="-1"/>
          <w:sz w:val="20"/>
          <w:szCs w:val="20"/>
        </w:rPr>
        <w:t xml:space="preserve">The Rent Reform Demonstration: Early Effects on Employment and Housing </w:t>
      </w:r>
      <w:r w:rsidRPr="004E7D90" w:rsidR="00D25295">
        <w:rPr>
          <w:rFonts w:ascii="Times New Roman" w:hAnsi="Times New Roman" w:eastAsia="Garamond"/>
          <w:i/>
          <w:spacing w:val="-1"/>
          <w:sz w:val="20"/>
          <w:szCs w:val="20"/>
        </w:rPr>
        <w:t>Subsidies.</w:t>
      </w:r>
      <w:r w:rsidRPr="004E7D90" w:rsidR="004E7D90">
        <w:rPr>
          <w:rFonts w:ascii="Times New Roman" w:hAnsi="Times New Roman" w:eastAsia="Garamond"/>
          <w:spacing w:val="-1"/>
          <w:sz w:val="20"/>
          <w:szCs w:val="20"/>
        </w:rPr>
        <w:t xml:space="preserve"> New York: MDRC.</w:t>
      </w:r>
    </w:p>
    <w:p w:rsidRPr="004E7D90" w:rsidR="004E7D90" w:rsidP="009E60F2" w:rsidRDefault="004E7D90" w14:paraId="32783907" w14:textId="77777777">
      <w:pPr>
        <w:widowControl w:val="0"/>
        <w:tabs>
          <w:tab w:val="clear" w:pos="432"/>
        </w:tabs>
        <w:kinsoku w:val="0"/>
        <w:overflowPunct w:val="0"/>
        <w:spacing w:line="240" w:lineRule="auto"/>
        <w:ind w:left="720" w:right="119" w:hanging="360"/>
        <w:rPr>
          <w:rFonts w:ascii="Times New Roman" w:hAnsi="Times New Roman" w:eastAsia="Garamond"/>
          <w:spacing w:val="-1"/>
          <w:sz w:val="20"/>
          <w:szCs w:val="20"/>
        </w:rPr>
      </w:pPr>
    </w:p>
    <w:p w:rsidR="004E7D90" w:rsidP="009E60F2" w:rsidRDefault="00E91083" w14:paraId="4930929D" w14:textId="529D526D">
      <w:pPr>
        <w:widowControl w:val="0"/>
        <w:tabs>
          <w:tab w:val="clear" w:pos="432"/>
        </w:tabs>
        <w:kinsoku w:val="0"/>
        <w:overflowPunct w:val="0"/>
        <w:spacing w:line="240" w:lineRule="auto"/>
        <w:ind w:left="720" w:right="119" w:hanging="360"/>
        <w:rPr>
          <w:rFonts w:ascii="Times New Roman" w:hAnsi="Times New Roman" w:eastAsia="Garamond"/>
          <w:spacing w:val="-1"/>
          <w:sz w:val="20"/>
          <w:szCs w:val="20"/>
        </w:rPr>
      </w:pPr>
      <w:r>
        <w:rPr>
          <w:rFonts w:ascii="Times New Roman" w:hAnsi="Times New Roman" w:eastAsia="Garamond"/>
          <w:spacing w:val="-1"/>
          <w:sz w:val="20"/>
          <w:szCs w:val="20"/>
        </w:rPr>
        <w:t xml:space="preserve">        </w:t>
      </w:r>
      <w:r w:rsidRPr="004E7D90" w:rsidR="004E7D90">
        <w:rPr>
          <w:rFonts w:ascii="Times New Roman" w:hAnsi="Times New Roman" w:eastAsia="Garamond"/>
          <w:spacing w:val="-1"/>
          <w:sz w:val="20"/>
          <w:szCs w:val="20"/>
        </w:rPr>
        <w:t xml:space="preserve">Riccio, James, Victoria Deitch, and Nandita Verma. 2017. </w:t>
      </w:r>
      <w:r w:rsidRPr="004E7D90" w:rsidR="004E7D90">
        <w:rPr>
          <w:rFonts w:ascii="Times New Roman" w:hAnsi="Times New Roman" w:eastAsia="Garamond"/>
          <w:i/>
          <w:spacing w:val="-1"/>
          <w:sz w:val="20"/>
          <w:szCs w:val="20"/>
        </w:rPr>
        <w:t>Reducing Work Disincentives in the Housing Choice Voucher Program: Rent Reform Demonstration Baseline Report.</w:t>
      </w:r>
      <w:r w:rsidRPr="004E7D90" w:rsidR="004E7D90">
        <w:rPr>
          <w:rFonts w:ascii="Times New Roman" w:hAnsi="Times New Roman" w:eastAsia="Garamond"/>
          <w:spacing w:val="-1"/>
          <w:sz w:val="20"/>
          <w:szCs w:val="20"/>
        </w:rPr>
        <w:t xml:space="preserve"> New York: MDRC.</w:t>
      </w:r>
    </w:p>
    <w:p w:rsidRPr="004E7D90" w:rsidR="00156250" w:rsidP="004E7D90" w:rsidRDefault="00156250" w14:paraId="787002A6" w14:textId="77777777">
      <w:pPr>
        <w:widowControl w:val="0"/>
        <w:tabs>
          <w:tab w:val="clear" w:pos="432"/>
        </w:tabs>
        <w:kinsoku w:val="0"/>
        <w:overflowPunct w:val="0"/>
        <w:spacing w:line="240" w:lineRule="auto"/>
        <w:ind w:left="360" w:right="119" w:hanging="360"/>
        <w:rPr>
          <w:rFonts w:ascii="Times New Roman" w:hAnsi="Times New Roman" w:eastAsia="Garamond"/>
          <w:color w:val="000000"/>
          <w:spacing w:val="-1"/>
          <w:sz w:val="20"/>
          <w:szCs w:val="20"/>
        </w:rPr>
      </w:pPr>
    </w:p>
    <w:p w:rsidR="00601A4B" w:rsidP="00601A4B" w:rsidRDefault="00601A4B" w14:paraId="2D262E53" w14:textId="77777777">
      <w:pPr>
        <w:keepLines/>
        <w:tabs>
          <w:tab w:val="left" w:pos="360"/>
        </w:tabs>
        <w:spacing w:after="120" w:line="240" w:lineRule="auto"/>
        <w:ind w:left="360" w:hanging="360"/>
        <w:rPr>
          <w:rFonts w:ascii="Times New Roman" w:hAnsi="Times New Roman"/>
          <w:b/>
        </w:rPr>
      </w:pPr>
      <w:r w:rsidRPr="008064C8">
        <w:rPr>
          <w:rFonts w:ascii="Times New Roman" w:hAnsi="Times New Roman"/>
          <w:b/>
        </w:rPr>
        <w:t>3.</w:t>
      </w:r>
      <w:r w:rsidRPr="008064C8">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D0B69" w:rsidR="00031C0C" w:rsidP="009E60F2" w:rsidRDefault="00031C0C" w14:paraId="4A98C557" w14:textId="70E34D7B">
      <w:pPr>
        <w:spacing w:line="240" w:lineRule="auto"/>
        <w:ind w:left="360" w:firstLine="0"/>
        <w:jc w:val="left"/>
        <w:rPr>
          <w:rFonts w:ascii="Times New Roman" w:hAnsi="Times New Roman"/>
          <w:lang w:val="x-none"/>
        </w:rPr>
      </w:pPr>
      <w:r w:rsidRPr="00DD0B69">
        <w:rPr>
          <w:rFonts w:ascii="Times New Roman" w:hAnsi="Times New Roman"/>
          <w:lang w:val="x-none"/>
        </w:rPr>
        <w:t xml:space="preserve">Wherever possible, advanced technology will be used in data collection efforts to reduce burden on study participants and on site staff. </w:t>
      </w:r>
      <w:r w:rsidRPr="00DD0B69">
        <w:rPr>
          <w:rFonts w:ascii="Times New Roman" w:hAnsi="Times New Roman"/>
        </w:rPr>
        <w:t>As it pertains to th</w:t>
      </w:r>
      <w:r w:rsidR="00452F68">
        <w:rPr>
          <w:rFonts w:ascii="Times New Roman" w:hAnsi="Times New Roman"/>
        </w:rPr>
        <w:t>e</w:t>
      </w:r>
      <w:r w:rsidRPr="00DD0B69">
        <w:rPr>
          <w:rFonts w:ascii="Times New Roman" w:hAnsi="Times New Roman"/>
        </w:rPr>
        <w:t xml:space="preserve"> </w:t>
      </w:r>
      <w:r>
        <w:rPr>
          <w:rFonts w:ascii="Times New Roman" w:hAnsi="Times New Roman"/>
        </w:rPr>
        <w:t xml:space="preserve">6-Year Follow-Up Study, </w:t>
      </w:r>
      <w:r w:rsidRPr="00DD0B69">
        <w:rPr>
          <w:rFonts w:ascii="Times New Roman" w:hAnsi="Times New Roman"/>
        </w:rPr>
        <w:t>w</w:t>
      </w:r>
      <w:r w:rsidRPr="00DD0B69">
        <w:rPr>
          <w:rFonts w:ascii="Times New Roman" w:hAnsi="Times New Roman"/>
          <w:lang w:val="x-none"/>
        </w:rPr>
        <w:t>he</w:t>
      </w:r>
      <w:r w:rsidRPr="00DD0B69">
        <w:rPr>
          <w:rFonts w:ascii="Times New Roman" w:hAnsi="Times New Roman"/>
        </w:rPr>
        <w:t xml:space="preserve">re </w:t>
      </w:r>
      <w:r w:rsidRPr="00DD0B69">
        <w:rPr>
          <w:rFonts w:ascii="Times New Roman" w:hAnsi="Times New Roman"/>
          <w:lang w:val="x-none"/>
        </w:rPr>
        <w:t>relevant person-level data has been identified as available through an accessible, centralized</w:t>
      </w:r>
      <w:r w:rsidRPr="00DD0B69">
        <w:rPr>
          <w:rFonts w:ascii="Times New Roman" w:hAnsi="Times New Roman"/>
        </w:rPr>
        <w:t>,</w:t>
      </w:r>
      <w:r w:rsidRPr="00DD0B69">
        <w:rPr>
          <w:rFonts w:ascii="Times New Roman" w:hAnsi="Times New Roman"/>
          <w:lang w:val="x-none"/>
        </w:rPr>
        <w:t xml:space="preserve"> and computerized source, th</w:t>
      </w:r>
      <w:r w:rsidRPr="00DD0B69">
        <w:rPr>
          <w:rFonts w:ascii="Times New Roman" w:hAnsi="Times New Roman"/>
        </w:rPr>
        <w:t xml:space="preserve">at source is being pursued. </w:t>
      </w:r>
      <w:r w:rsidRPr="00DD0B69">
        <w:rPr>
          <w:rFonts w:ascii="Times New Roman" w:hAnsi="Times New Roman"/>
          <w:lang w:val="x-none"/>
        </w:rPr>
        <w:t xml:space="preserve">For example, </w:t>
      </w:r>
      <w:r w:rsidRPr="00DD0B69">
        <w:rPr>
          <w:rFonts w:ascii="Times New Roman" w:hAnsi="Times New Roman"/>
        </w:rPr>
        <w:t xml:space="preserve">MDRC </w:t>
      </w:r>
      <w:r>
        <w:rPr>
          <w:rFonts w:ascii="Times New Roman" w:hAnsi="Times New Roman"/>
        </w:rPr>
        <w:t xml:space="preserve">has developed a schedule with </w:t>
      </w:r>
      <w:r w:rsidRPr="00DD0B69">
        <w:rPr>
          <w:rFonts w:ascii="Times New Roman" w:hAnsi="Times New Roman"/>
        </w:rPr>
        <w:t xml:space="preserve">HUD to </w:t>
      </w:r>
      <w:r>
        <w:rPr>
          <w:rFonts w:ascii="Times New Roman" w:hAnsi="Times New Roman"/>
        </w:rPr>
        <w:t xml:space="preserve">request </w:t>
      </w:r>
      <w:r w:rsidRPr="00DD0B69">
        <w:rPr>
          <w:rFonts w:ascii="Times New Roman" w:hAnsi="Times New Roman"/>
        </w:rPr>
        <w:t xml:space="preserve">records from the </w:t>
      </w:r>
      <w:r w:rsidR="003076F2">
        <w:rPr>
          <w:rFonts w:ascii="Times New Roman" w:hAnsi="Times New Roman"/>
        </w:rPr>
        <w:t xml:space="preserve">NDNH </w:t>
      </w:r>
      <w:r w:rsidRPr="00DD0B69">
        <w:rPr>
          <w:rFonts w:ascii="Times New Roman" w:hAnsi="Times New Roman"/>
        </w:rPr>
        <w:t>database to analyze study participants’</w:t>
      </w:r>
      <w:r w:rsidR="00FF73DB">
        <w:rPr>
          <w:rFonts w:ascii="Times New Roman" w:hAnsi="Times New Roman"/>
        </w:rPr>
        <w:t xml:space="preserve"> </w:t>
      </w:r>
      <w:r>
        <w:rPr>
          <w:rFonts w:ascii="Times New Roman" w:hAnsi="Times New Roman"/>
        </w:rPr>
        <w:t xml:space="preserve">longer-term </w:t>
      </w:r>
      <w:r w:rsidRPr="00DD0B69">
        <w:rPr>
          <w:rFonts w:ascii="Times New Roman" w:hAnsi="Times New Roman"/>
        </w:rPr>
        <w:t xml:space="preserve">employment and earnings. </w:t>
      </w:r>
      <w:r w:rsidRPr="00DD0B69">
        <w:rPr>
          <w:rFonts w:ascii="Times New Roman" w:hAnsi="Times New Roman"/>
          <w:lang w:val="x-none"/>
        </w:rPr>
        <w:t xml:space="preserve">While </w:t>
      </w:r>
      <w:r w:rsidRPr="00DD0B69">
        <w:rPr>
          <w:rFonts w:ascii="Times New Roman" w:hAnsi="Times New Roman"/>
        </w:rPr>
        <w:t xml:space="preserve">program </w:t>
      </w:r>
      <w:r w:rsidRPr="00DD0B69">
        <w:rPr>
          <w:rFonts w:ascii="Times New Roman" w:hAnsi="Times New Roman"/>
          <w:lang w:val="x-none"/>
        </w:rPr>
        <w:t>implementation data collection relies on evaluation staff efforts on-site, we have sought</w:t>
      </w:r>
      <w:r w:rsidRPr="00DD0B69">
        <w:rPr>
          <w:rFonts w:ascii="Times New Roman" w:hAnsi="Times New Roman"/>
        </w:rPr>
        <w:t>,</w:t>
      </w:r>
      <w:r w:rsidRPr="00DD0B69">
        <w:rPr>
          <w:rFonts w:ascii="Times New Roman" w:hAnsi="Times New Roman"/>
          <w:lang w:val="x-none"/>
        </w:rPr>
        <w:t xml:space="preserve"> wherever possible</w:t>
      </w:r>
      <w:r w:rsidRPr="00DD0B69">
        <w:rPr>
          <w:rFonts w:ascii="Times New Roman" w:hAnsi="Times New Roman"/>
        </w:rPr>
        <w:t>,</w:t>
      </w:r>
      <w:r w:rsidRPr="00DD0B69">
        <w:rPr>
          <w:rFonts w:ascii="Times New Roman" w:hAnsi="Times New Roman"/>
          <w:lang w:val="x-none"/>
        </w:rPr>
        <w:t xml:space="preserve"> to minimize overlap between questions we include in implementation </w:t>
      </w:r>
      <w:r w:rsidRPr="00DD0B69">
        <w:rPr>
          <w:rFonts w:ascii="Times New Roman" w:hAnsi="Times New Roman"/>
        </w:rPr>
        <w:t xml:space="preserve">research </w:t>
      </w:r>
      <w:r w:rsidRPr="00DD0B69">
        <w:rPr>
          <w:rFonts w:ascii="Times New Roman" w:hAnsi="Times New Roman"/>
          <w:lang w:val="x-none"/>
        </w:rPr>
        <w:t xml:space="preserve">protocols and </w:t>
      </w:r>
      <w:r w:rsidRPr="00DD0B69">
        <w:rPr>
          <w:rFonts w:ascii="Times New Roman" w:hAnsi="Times New Roman"/>
        </w:rPr>
        <w:t>information that is available through PHA data and other administrative records</w:t>
      </w:r>
      <w:r w:rsidRPr="00DD0B69">
        <w:rPr>
          <w:rFonts w:ascii="Times New Roman" w:hAnsi="Times New Roman"/>
          <w:lang w:val="x-none"/>
        </w:rPr>
        <w:t>.</w:t>
      </w:r>
    </w:p>
    <w:p w:rsidRPr="009A3605" w:rsidR="00AE30EE" w:rsidP="00AE30EE" w:rsidRDefault="00AE30EE" w14:paraId="76E567CA" w14:textId="77777777">
      <w:pPr>
        <w:pStyle w:val="Heading4"/>
        <w:spacing w:before="0" w:line="240" w:lineRule="auto"/>
        <w:ind w:firstLine="0"/>
        <w:jc w:val="left"/>
        <w:rPr>
          <w:rFonts w:ascii="Arial" w:hAnsi="Arial" w:cs="Arial"/>
          <w:b w:val="0"/>
          <w:bCs w:val="0"/>
          <w:i w:val="0"/>
          <w:color w:val="auto"/>
        </w:rPr>
      </w:pPr>
    </w:p>
    <w:p w:rsidRPr="00933DA0" w:rsidR="007579E8" w:rsidP="002A4FBA" w:rsidRDefault="000E7329" w14:paraId="75FF6824" w14:textId="07102B0C">
      <w:pPr>
        <w:keepLines/>
        <w:tabs>
          <w:tab w:val="left" w:pos="360"/>
        </w:tabs>
        <w:spacing w:after="120" w:line="240" w:lineRule="auto"/>
        <w:ind w:left="360" w:hanging="360"/>
        <w:rPr>
          <w:rFonts w:ascii="Arial" w:hAnsi="Arial" w:cs="Arial"/>
          <w:i/>
        </w:rPr>
      </w:pPr>
      <w:r w:rsidRPr="008064C8">
        <w:rPr>
          <w:rFonts w:ascii="Times New Roman" w:hAnsi="Times New Roman"/>
          <w:b/>
        </w:rPr>
        <w:t>4.</w:t>
      </w:r>
      <w:r w:rsidRPr="008064C8">
        <w:rPr>
          <w:rFonts w:ascii="Times New Roman" w:hAnsi="Times New Roman"/>
          <w:b/>
        </w:rPr>
        <w:tab/>
        <w:t>Describe efforts to identify duplication.  Show specifically why any similar information already available cannot be used or modified for use for the purposes described in Item 2 above.</w:t>
      </w:r>
    </w:p>
    <w:p w:rsidRPr="00D9283C" w:rsidR="007579E8" w:rsidP="009E60F2" w:rsidRDefault="00D9283C" w14:paraId="76CD6F14" w14:textId="27322DDC">
      <w:pPr>
        <w:pStyle w:val="BodyText"/>
        <w:ind w:left="360"/>
        <w:rPr>
          <w:rFonts w:ascii="Times New Roman" w:hAnsi="Times New Roman"/>
          <w:sz w:val="24"/>
          <w:szCs w:val="24"/>
        </w:rPr>
      </w:pPr>
      <w:r w:rsidRPr="00D9283C">
        <w:rPr>
          <w:rFonts w:ascii="Times New Roman" w:hAnsi="Times New Roman"/>
          <w:sz w:val="24"/>
          <w:szCs w:val="22"/>
          <w:lang w:eastAsia="zh-CN" w:bidi="hi-IN"/>
        </w:rPr>
        <w:t xml:space="preserve">No other data source, either public or private, has been identified that provides the </w:t>
      </w:r>
      <w:r w:rsidRPr="00D9283C">
        <w:rPr>
          <w:rFonts w:ascii="Times New Roman" w:hAnsi="Times New Roman"/>
          <w:sz w:val="24"/>
          <w:szCs w:val="22"/>
          <w:lang w:val="en-US" w:eastAsia="zh-CN" w:bidi="hi-IN"/>
        </w:rPr>
        <w:t xml:space="preserve">type of qualitative </w:t>
      </w:r>
      <w:r w:rsidRPr="00D9283C">
        <w:rPr>
          <w:rFonts w:ascii="Times New Roman" w:hAnsi="Times New Roman"/>
          <w:sz w:val="24"/>
          <w:szCs w:val="22"/>
          <w:lang w:eastAsia="zh-CN" w:bidi="hi-IN"/>
        </w:rPr>
        <w:t>information available from the</w:t>
      </w:r>
      <w:r w:rsidRPr="00D9283C">
        <w:rPr>
          <w:rFonts w:ascii="Times New Roman" w:hAnsi="Times New Roman"/>
          <w:sz w:val="24"/>
          <w:szCs w:val="22"/>
          <w:lang w:val="en-US" w:eastAsia="zh-CN" w:bidi="hi-IN"/>
        </w:rPr>
        <w:t xml:space="preserve"> proposed field research interviews. Neither is </w:t>
      </w:r>
      <w:proofErr w:type="gramStart"/>
      <w:r w:rsidRPr="00D9283C">
        <w:rPr>
          <w:rFonts w:ascii="Times New Roman" w:hAnsi="Times New Roman"/>
          <w:sz w:val="24"/>
          <w:szCs w:val="22"/>
          <w:lang w:val="en-US" w:eastAsia="zh-CN" w:bidi="hi-IN"/>
        </w:rPr>
        <w:t>there</w:t>
      </w:r>
      <w:proofErr w:type="gramEnd"/>
      <w:r w:rsidRPr="00D9283C">
        <w:rPr>
          <w:rFonts w:ascii="Times New Roman" w:hAnsi="Times New Roman"/>
          <w:sz w:val="24"/>
          <w:szCs w:val="22"/>
          <w:lang w:val="en-US" w:eastAsia="zh-CN" w:bidi="hi-IN"/>
        </w:rPr>
        <w:t xml:space="preserve"> </w:t>
      </w:r>
      <w:r w:rsidRPr="00D9283C">
        <w:rPr>
          <w:rFonts w:ascii="Times New Roman" w:hAnsi="Times New Roman"/>
          <w:sz w:val="24"/>
          <w:szCs w:val="22"/>
          <w:lang w:eastAsia="zh-CN" w:bidi="hi-IN"/>
        </w:rPr>
        <w:t>similar information available at the local level that could be used or modified for use for the purposes described.</w:t>
      </w:r>
      <w:r w:rsidRPr="00D9283C">
        <w:rPr>
          <w:rFonts w:ascii="Times New Roman" w:hAnsi="Times New Roman"/>
          <w:sz w:val="24"/>
          <w:szCs w:val="22"/>
          <w:lang w:val="en-US" w:eastAsia="zh-CN" w:bidi="hi-IN"/>
        </w:rPr>
        <w:t xml:space="preserve"> Thus, </w:t>
      </w:r>
      <w:proofErr w:type="spellStart"/>
      <w:r>
        <w:rPr>
          <w:rFonts w:ascii="Times New Roman" w:hAnsi="Times New Roman"/>
          <w:sz w:val="24"/>
          <w:szCs w:val="22"/>
          <w:lang w:val="en-US" w:eastAsia="zh-CN" w:bidi="hi-IN"/>
        </w:rPr>
        <w:t>t</w:t>
      </w:r>
      <w:r w:rsidRPr="00D9283C" w:rsidR="007579E8">
        <w:rPr>
          <w:rFonts w:ascii="Times New Roman" w:hAnsi="Times New Roman"/>
          <w:sz w:val="24"/>
          <w:szCs w:val="24"/>
        </w:rPr>
        <w:t>he</w:t>
      </w:r>
      <w:proofErr w:type="spellEnd"/>
      <w:r w:rsidRPr="00D9283C" w:rsidR="007579E8">
        <w:rPr>
          <w:rFonts w:ascii="Times New Roman" w:hAnsi="Times New Roman"/>
          <w:sz w:val="24"/>
          <w:szCs w:val="24"/>
        </w:rPr>
        <w:t xml:space="preserve"> information collection will not duplicate information that is already available. Where possible, the evaluation will use available data sources, such as </w:t>
      </w:r>
      <w:r w:rsidRPr="00D9283C" w:rsidR="00F877CE">
        <w:rPr>
          <w:rFonts w:ascii="Times New Roman" w:hAnsi="Times New Roman"/>
          <w:sz w:val="24"/>
          <w:szCs w:val="24"/>
          <w:lang w:val="en-US"/>
        </w:rPr>
        <w:t xml:space="preserve">employment </w:t>
      </w:r>
      <w:r>
        <w:rPr>
          <w:rFonts w:ascii="Times New Roman" w:hAnsi="Times New Roman"/>
          <w:sz w:val="24"/>
          <w:szCs w:val="24"/>
          <w:lang w:val="en-US"/>
        </w:rPr>
        <w:t xml:space="preserve">or public housing agency </w:t>
      </w:r>
      <w:r w:rsidRPr="00D9283C" w:rsidR="007579E8">
        <w:rPr>
          <w:rFonts w:ascii="Times New Roman" w:hAnsi="Times New Roman"/>
          <w:sz w:val="24"/>
          <w:szCs w:val="24"/>
        </w:rPr>
        <w:t>records.</w:t>
      </w:r>
    </w:p>
    <w:p w:rsidRPr="00542556" w:rsidR="00B1381C" w:rsidP="00AE30EE" w:rsidRDefault="00B1381C" w14:paraId="422B4A9A" w14:textId="77777777">
      <w:pPr>
        <w:pStyle w:val="BodyText"/>
        <w:rPr>
          <w:rFonts w:ascii="Times New Roman" w:hAnsi="Times New Roman"/>
          <w:sz w:val="24"/>
          <w:szCs w:val="24"/>
        </w:rPr>
      </w:pPr>
    </w:p>
    <w:p w:rsidR="00E43724" w:rsidP="00E43724" w:rsidRDefault="00E43724" w14:paraId="3637F4E7" w14:textId="77777777">
      <w:pPr>
        <w:keepLines/>
        <w:tabs>
          <w:tab w:val="left" w:pos="360"/>
        </w:tabs>
        <w:spacing w:after="120" w:line="240" w:lineRule="auto"/>
        <w:ind w:left="360" w:hanging="360"/>
        <w:rPr>
          <w:rFonts w:ascii="Times New Roman" w:hAnsi="Times New Roman"/>
          <w:b/>
        </w:rPr>
      </w:pPr>
      <w:r w:rsidRPr="008064C8">
        <w:rPr>
          <w:rFonts w:ascii="Times New Roman" w:hAnsi="Times New Roman"/>
          <w:b/>
        </w:rPr>
        <w:t>5.</w:t>
      </w:r>
      <w:r w:rsidRPr="008064C8">
        <w:rPr>
          <w:rFonts w:ascii="Times New Roman" w:hAnsi="Times New Roman"/>
        </w:rPr>
        <w:tab/>
      </w:r>
      <w:r w:rsidRPr="008064C8">
        <w:rPr>
          <w:rFonts w:ascii="Times New Roman" w:hAnsi="Times New Roman"/>
          <w:b/>
        </w:rPr>
        <w:t>If the collection of information impacts small businesses or other small entities (Item 5 of OMB Form 83-I) describe any methods used to minimize burden.</w:t>
      </w:r>
    </w:p>
    <w:p w:rsidR="00086398" w:rsidP="009E60F2" w:rsidRDefault="007579E8" w14:paraId="6A673650" w14:textId="50C0591E">
      <w:pPr>
        <w:spacing w:line="240" w:lineRule="auto"/>
        <w:ind w:left="360" w:firstLine="0"/>
        <w:rPr>
          <w:rFonts w:ascii="Times New Roman" w:hAnsi="Times New Roman"/>
        </w:rPr>
      </w:pPr>
      <w:r w:rsidRPr="00542556">
        <w:rPr>
          <w:rFonts w:ascii="Times New Roman" w:hAnsi="Times New Roman"/>
        </w:rPr>
        <w:t>We do not anticipate that this study will burden small businesses.</w:t>
      </w:r>
    </w:p>
    <w:p w:rsidRPr="00542556" w:rsidR="009709F2" w:rsidP="00542556" w:rsidRDefault="009709F2" w14:paraId="7E27A830" w14:textId="77777777">
      <w:pPr>
        <w:spacing w:line="240" w:lineRule="auto"/>
        <w:ind w:firstLine="0"/>
        <w:rPr>
          <w:rFonts w:ascii="Times New Roman" w:hAnsi="Times New Roman"/>
        </w:rPr>
      </w:pPr>
    </w:p>
    <w:p w:rsidR="00D71837" w:rsidP="00D71837" w:rsidRDefault="00D71837" w14:paraId="74652894" w14:textId="77777777">
      <w:pPr>
        <w:keepLines/>
        <w:tabs>
          <w:tab w:val="left" w:pos="360"/>
        </w:tabs>
        <w:spacing w:after="120" w:line="240" w:lineRule="auto"/>
        <w:ind w:left="360" w:hanging="360"/>
        <w:rPr>
          <w:rFonts w:ascii="Times New Roman" w:hAnsi="Times New Roman"/>
          <w:b/>
        </w:rPr>
      </w:pPr>
      <w:r w:rsidRPr="008064C8">
        <w:rPr>
          <w:rFonts w:ascii="Times New Roman" w:hAnsi="Times New Roman"/>
          <w:b/>
        </w:rPr>
        <w:t>6.</w:t>
      </w:r>
      <w:r w:rsidRPr="008064C8">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40E33" w:rsidP="009E60F2" w:rsidRDefault="00740E33" w14:paraId="50E7ABA9" w14:textId="16935EE2">
      <w:pPr>
        <w:spacing w:line="240" w:lineRule="auto"/>
        <w:ind w:left="360" w:firstLine="0"/>
        <w:jc w:val="left"/>
        <w:rPr>
          <w:rFonts w:ascii="Times New Roman" w:hAnsi="Times New Roman"/>
        </w:rPr>
      </w:pPr>
      <w:r w:rsidRPr="00542556">
        <w:rPr>
          <w:rFonts w:ascii="Times New Roman" w:hAnsi="Times New Roman"/>
        </w:rPr>
        <w:t xml:space="preserve">This evaluation represents an important opportunity for the Federal </w:t>
      </w:r>
      <w:r>
        <w:rPr>
          <w:rFonts w:ascii="Times New Roman" w:hAnsi="Times New Roman"/>
        </w:rPr>
        <w:t>g</w:t>
      </w:r>
      <w:r w:rsidRPr="00542556">
        <w:rPr>
          <w:rFonts w:ascii="Times New Roman" w:hAnsi="Times New Roman"/>
        </w:rPr>
        <w:t xml:space="preserve">overnment to </w:t>
      </w:r>
      <w:r>
        <w:rPr>
          <w:rFonts w:ascii="Times New Roman" w:hAnsi="Times New Roman"/>
        </w:rPr>
        <w:t>build a</w:t>
      </w:r>
      <w:r w:rsidRPr="00542556">
        <w:rPr>
          <w:rFonts w:ascii="Times New Roman" w:hAnsi="Times New Roman"/>
        </w:rPr>
        <w:t xml:space="preserve"> body of knowledge about the </w:t>
      </w:r>
      <w:r w:rsidR="00D9283C">
        <w:rPr>
          <w:rFonts w:ascii="Times New Roman" w:hAnsi="Times New Roman"/>
        </w:rPr>
        <w:t xml:space="preserve">implementation and the </w:t>
      </w:r>
      <w:r>
        <w:rPr>
          <w:rFonts w:ascii="Times New Roman" w:hAnsi="Times New Roman"/>
        </w:rPr>
        <w:t xml:space="preserve">effects </w:t>
      </w:r>
      <w:r w:rsidRPr="00542556">
        <w:rPr>
          <w:rFonts w:ascii="Times New Roman" w:hAnsi="Times New Roman"/>
        </w:rPr>
        <w:t>of a</w:t>
      </w:r>
      <w:r>
        <w:rPr>
          <w:rFonts w:ascii="Times New Roman" w:hAnsi="Times New Roman"/>
        </w:rPr>
        <w:t>n alternative rent policy.</w:t>
      </w:r>
      <w:r w:rsidRPr="00542556">
        <w:rPr>
          <w:rFonts w:ascii="Times New Roman" w:hAnsi="Times New Roman"/>
        </w:rPr>
        <w:t xml:space="preserve"> This is consistent with the Administration’s strong focus on evidence-based policymaking. </w:t>
      </w:r>
      <w:r>
        <w:rPr>
          <w:rFonts w:ascii="Times New Roman" w:hAnsi="Times New Roman"/>
        </w:rPr>
        <w:t>If this study is not conducted and the</w:t>
      </w:r>
      <w:r w:rsidRPr="00542556">
        <w:rPr>
          <w:rFonts w:ascii="Times New Roman" w:hAnsi="Times New Roman"/>
        </w:rPr>
        <w:t xml:space="preserve"> </w:t>
      </w:r>
      <w:r w:rsidR="00754658">
        <w:rPr>
          <w:rFonts w:ascii="Times New Roman" w:hAnsi="Times New Roman"/>
        </w:rPr>
        <w:t xml:space="preserve">longer-term </w:t>
      </w:r>
      <w:r w:rsidR="00D9283C">
        <w:rPr>
          <w:rFonts w:ascii="Times New Roman" w:hAnsi="Times New Roman"/>
        </w:rPr>
        <w:t xml:space="preserve">follow-up </w:t>
      </w:r>
      <w:r>
        <w:rPr>
          <w:rFonts w:ascii="Times New Roman" w:hAnsi="Times New Roman"/>
        </w:rPr>
        <w:t xml:space="preserve">data </w:t>
      </w:r>
      <w:r w:rsidRPr="00542556">
        <w:rPr>
          <w:rFonts w:ascii="Times New Roman" w:hAnsi="Times New Roman"/>
        </w:rPr>
        <w:t xml:space="preserve">not collected, analyzed, reported, and disseminated, Federal </w:t>
      </w:r>
      <w:r>
        <w:rPr>
          <w:rFonts w:ascii="Times New Roman" w:hAnsi="Times New Roman"/>
        </w:rPr>
        <w:t xml:space="preserve">and local </w:t>
      </w:r>
      <w:r w:rsidRPr="00542556">
        <w:rPr>
          <w:rFonts w:ascii="Times New Roman" w:hAnsi="Times New Roman"/>
        </w:rPr>
        <w:t xml:space="preserve">program or policy </w:t>
      </w:r>
      <w:r>
        <w:rPr>
          <w:rFonts w:ascii="Times New Roman" w:hAnsi="Times New Roman"/>
        </w:rPr>
        <w:t>decisions</w:t>
      </w:r>
      <w:r w:rsidRPr="00542556">
        <w:rPr>
          <w:rFonts w:ascii="Times New Roman" w:hAnsi="Times New Roman"/>
        </w:rPr>
        <w:t xml:space="preserve"> will not be informed by </w:t>
      </w:r>
      <w:r w:rsidR="00754658">
        <w:rPr>
          <w:rFonts w:ascii="Times New Roman" w:hAnsi="Times New Roman"/>
        </w:rPr>
        <w:t xml:space="preserve">robust and </w:t>
      </w:r>
      <w:r w:rsidRPr="00542556">
        <w:rPr>
          <w:rFonts w:ascii="Times New Roman" w:hAnsi="Times New Roman"/>
        </w:rPr>
        <w:t>high</w:t>
      </w:r>
      <w:r w:rsidR="00452F68">
        <w:rPr>
          <w:rFonts w:ascii="Times New Roman" w:hAnsi="Times New Roman"/>
        </w:rPr>
        <w:t>-</w:t>
      </w:r>
      <w:r w:rsidRPr="00542556">
        <w:rPr>
          <w:rFonts w:ascii="Times New Roman" w:hAnsi="Times New Roman"/>
        </w:rPr>
        <w:t xml:space="preserve">quality </w:t>
      </w:r>
      <w:r>
        <w:rPr>
          <w:rFonts w:ascii="Times New Roman" w:hAnsi="Times New Roman"/>
        </w:rPr>
        <w:t>evidence</w:t>
      </w:r>
      <w:r w:rsidRPr="00542556">
        <w:rPr>
          <w:rFonts w:ascii="Times New Roman" w:hAnsi="Times New Roman"/>
        </w:rPr>
        <w:t xml:space="preserve"> upon which to base critical decisions regarding </w:t>
      </w:r>
      <w:r>
        <w:rPr>
          <w:rFonts w:ascii="Times New Roman" w:hAnsi="Times New Roman"/>
        </w:rPr>
        <w:t>future rent policy.</w:t>
      </w:r>
    </w:p>
    <w:p w:rsidRPr="00542556" w:rsidR="00480367" w:rsidP="00740E33" w:rsidRDefault="00480367" w14:paraId="6AB23BFB" w14:textId="77777777">
      <w:pPr>
        <w:spacing w:line="240" w:lineRule="auto"/>
        <w:ind w:firstLine="0"/>
        <w:jc w:val="left"/>
        <w:rPr>
          <w:rFonts w:ascii="Times New Roman" w:hAnsi="Times New Roman"/>
        </w:rPr>
      </w:pPr>
    </w:p>
    <w:p w:rsidRPr="008064C8" w:rsidR="003E0055" w:rsidP="003E0055" w:rsidRDefault="003E0055" w14:paraId="575F1CCC" w14:textId="77777777">
      <w:pPr>
        <w:numPr>
          <w:ilvl w:val="0"/>
          <w:numId w:val="34"/>
        </w:numPr>
        <w:tabs>
          <w:tab w:val="clear" w:pos="432"/>
          <w:tab w:val="left" w:pos="360"/>
        </w:tabs>
        <w:overflowPunct w:val="0"/>
        <w:autoSpaceDE w:val="0"/>
        <w:autoSpaceDN w:val="0"/>
        <w:adjustRightInd w:val="0"/>
        <w:spacing w:line="240" w:lineRule="auto"/>
        <w:jc w:val="left"/>
        <w:rPr>
          <w:rFonts w:ascii="Times New Roman" w:hAnsi="Times New Roman"/>
          <w:b/>
        </w:rPr>
      </w:pPr>
      <w:r w:rsidRPr="008064C8">
        <w:rPr>
          <w:rFonts w:ascii="Times New Roman" w:hAnsi="Times New Roman"/>
          <w:b/>
        </w:rPr>
        <w:t xml:space="preserve">Explain any special circumstances that would cause an information collection to be conducted in a manner: </w:t>
      </w:r>
    </w:p>
    <w:p w:rsidR="000F4D7D" w:rsidP="009E60F2" w:rsidRDefault="00834371" w14:paraId="3CFDE171" w14:textId="2E35DC77">
      <w:pPr>
        <w:spacing w:line="240" w:lineRule="auto"/>
        <w:ind w:left="360" w:firstLine="0"/>
        <w:jc w:val="left"/>
        <w:rPr>
          <w:rFonts w:ascii="Times New Roman" w:hAnsi="Times New Roman"/>
        </w:rPr>
      </w:pPr>
      <w:r w:rsidRPr="00542556">
        <w:rPr>
          <w:rFonts w:ascii="Times New Roman" w:hAnsi="Times New Roman"/>
        </w:rPr>
        <w:t>The proposed data collection activities are consistent with the guidelines set forth in 5 CFR 1320 (Controlling Paperwork Burdens on the Public). There are no special circumstances that require deviation from these guidelines.</w:t>
      </w:r>
      <w:r w:rsidR="000F4D7D">
        <w:rPr>
          <w:rFonts w:ascii="Times New Roman" w:hAnsi="Times New Roman"/>
        </w:rPr>
        <w:t xml:space="preserve"> </w:t>
      </w:r>
      <w:r w:rsidRPr="008064C8" w:rsidR="000F4D7D">
        <w:rPr>
          <w:rFonts w:ascii="Times New Roman" w:hAnsi="Times New Roman"/>
        </w:rPr>
        <w:t xml:space="preserve">The following below are </w:t>
      </w:r>
      <w:r w:rsidRPr="008064C8" w:rsidR="000F4D7D">
        <w:rPr>
          <w:rFonts w:ascii="Times New Roman" w:hAnsi="Times New Roman"/>
          <w:b/>
        </w:rPr>
        <w:t>“Not Applicable”</w:t>
      </w:r>
      <w:r w:rsidRPr="008064C8" w:rsidR="000F4D7D">
        <w:rPr>
          <w:rFonts w:ascii="Times New Roman" w:hAnsi="Times New Roman"/>
        </w:rPr>
        <w:t xml:space="preserve"> to this collection:</w:t>
      </w:r>
    </w:p>
    <w:p w:rsidR="00452F68" w:rsidP="009E60F2" w:rsidRDefault="00452F68" w14:paraId="635785A3" w14:textId="77777777">
      <w:pPr>
        <w:spacing w:line="240" w:lineRule="auto"/>
        <w:ind w:left="360" w:firstLine="0"/>
        <w:jc w:val="left"/>
        <w:rPr>
          <w:rFonts w:ascii="Times New Roman" w:hAnsi="Times New Roman"/>
        </w:rPr>
      </w:pPr>
    </w:p>
    <w:p w:rsidRPr="008A082A" w:rsidR="000F4D7D" w:rsidP="009E60F2" w:rsidRDefault="000F4D7D" w14:paraId="72BE76E7" w14:textId="13C7B134">
      <w:pPr>
        <w:widowControl w:val="0"/>
        <w:numPr>
          <w:ilvl w:val="0"/>
          <w:numId w:val="36"/>
        </w:numPr>
        <w:tabs>
          <w:tab w:val="clear" w:pos="432"/>
          <w:tab w:val="left" w:pos="-1440"/>
        </w:tabs>
        <w:autoSpaceDE w:val="0"/>
        <w:autoSpaceDN w:val="0"/>
        <w:adjustRightInd w:val="0"/>
        <w:spacing w:line="240" w:lineRule="auto"/>
        <w:ind w:left="720"/>
        <w:jc w:val="left"/>
        <w:rPr>
          <w:rFonts w:ascii="Times New Roman" w:hAnsi="Times New Roman"/>
        </w:rPr>
      </w:pPr>
      <w:r w:rsidRPr="008A082A">
        <w:rPr>
          <w:rFonts w:ascii="Times New Roman" w:hAnsi="Times New Roman"/>
        </w:rPr>
        <w:t>requiring respondents to report information to the agency more than quarterly – “</w:t>
      </w:r>
      <w:r w:rsidRPr="008A082A">
        <w:rPr>
          <w:rFonts w:ascii="Times New Roman" w:hAnsi="Times New Roman"/>
          <w:b/>
        </w:rPr>
        <w:t>Not Applicable</w:t>
      </w:r>
      <w:r w:rsidRPr="008A082A">
        <w:rPr>
          <w:rFonts w:ascii="Times New Roman" w:hAnsi="Times New Roman"/>
        </w:rPr>
        <w:t>”</w:t>
      </w:r>
    </w:p>
    <w:p w:rsidRPr="008A082A" w:rsidR="000F4D7D" w:rsidP="009E60F2" w:rsidRDefault="000F4D7D" w14:paraId="0FE4675E" w14:textId="6EE5D075">
      <w:pPr>
        <w:widowControl w:val="0"/>
        <w:numPr>
          <w:ilvl w:val="0"/>
          <w:numId w:val="36"/>
        </w:numPr>
        <w:tabs>
          <w:tab w:val="clear" w:pos="432"/>
          <w:tab w:val="left" w:pos="-1440"/>
        </w:tabs>
        <w:autoSpaceDE w:val="0"/>
        <w:autoSpaceDN w:val="0"/>
        <w:adjustRightInd w:val="0"/>
        <w:spacing w:line="240" w:lineRule="auto"/>
        <w:ind w:left="720"/>
        <w:jc w:val="left"/>
        <w:rPr>
          <w:rFonts w:ascii="Times New Roman" w:hAnsi="Times New Roman"/>
        </w:rPr>
      </w:pPr>
      <w:r w:rsidRPr="008A082A">
        <w:rPr>
          <w:rFonts w:ascii="Times New Roman" w:hAnsi="Times New Roman"/>
        </w:rPr>
        <w:t>requiring respondents to prepare a written response to a collection of information in fewer than 30 days after receipt of it – “</w:t>
      </w:r>
      <w:r w:rsidRPr="008A082A">
        <w:rPr>
          <w:rFonts w:ascii="Times New Roman" w:hAnsi="Times New Roman"/>
          <w:b/>
        </w:rPr>
        <w:t>Not Applicable</w:t>
      </w:r>
      <w:r w:rsidRPr="008A082A">
        <w:rPr>
          <w:rFonts w:ascii="Times New Roman" w:hAnsi="Times New Roman"/>
        </w:rPr>
        <w:t>”</w:t>
      </w:r>
    </w:p>
    <w:p w:rsidRPr="008A082A" w:rsidR="000F4D7D" w:rsidP="009E60F2" w:rsidRDefault="000F4D7D" w14:paraId="485E46E8" w14:textId="017B1E08">
      <w:pPr>
        <w:widowControl w:val="0"/>
        <w:numPr>
          <w:ilvl w:val="0"/>
          <w:numId w:val="36"/>
        </w:numPr>
        <w:tabs>
          <w:tab w:val="clear" w:pos="432"/>
          <w:tab w:val="left" w:pos="-1440"/>
        </w:tabs>
        <w:autoSpaceDE w:val="0"/>
        <w:autoSpaceDN w:val="0"/>
        <w:adjustRightInd w:val="0"/>
        <w:spacing w:line="240" w:lineRule="auto"/>
        <w:ind w:left="720"/>
        <w:jc w:val="left"/>
        <w:rPr>
          <w:rFonts w:ascii="Times New Roman" w:hAnsi="Times New Roman"/>
        </w:rPr>
      </w:pPr>
      <w:r w:rsidRPr="008A082A">
        <w:rPr>
          <w:rFonts w:ascii="Times New Roman" w:hAnsi="Times New Roman"/>
        </w:rPr>
        <w:t>requiring respondents to submit more than an original and two copies of any document – “</w:t>
      </w:r>
      <w:r w:rsidRPr="008A082A">
        <w:rPr>
          <w:rFonts w:ascii="Times New Roman" w:hAnsi="Times New Roman"/>
          <w:b/>
        </w:rPr>
        <w:t>Not Applicable</w:t>
      </w:r>
      <w:r w:rsidRPr="008A082A">
        <w:rPr>
          <w:rFonts w:ascii="Times New Roman" w:hAnsi="Times New Roman"/>
        </w:rPr>
        <w:t>”</w:t>
      </w:r>
    </w:p>
    <w:p w:rsidRPr="008A082A" w:rsidR="000F4D7D" w:rsidP="009E60F2" w:rsidRDefault="000F4D7D" w14:paraId="63D3103D" w14:textId="6B3BC064">
      <w:pPr>
        <w:widowControl w:val="0"/>
        <w:numPr>
          <w:ilvl w:val="0"/>
          <w:numId w:val="36"/>
        </w:numPr>
        <w:tabs>
          <w:tab w:val="clear" w:pos="432"/>
          <w:tab w:val="left" w:pos="-1440"/>
        </w:tabs>
        <w:autoSpaceDE w:val="0"/>
        <w:autoSpaceDN w:val="0"/>
        <w:adjustRightInd w:val="0"/>
        <w:spacing w:line="240" w:lineRule="auto"/>
        <w:ind w:left="720"/>
        <w:jc w:val="left"/>
        <w:rPr>
          <w:rFonts w:ascii="Times New Roman" w:hAnsi="Times New Roman"/>
        </w:rPr>
      </w:pPr>
      <w:r w:rsidRPr="008A082A">
        <w:rPr>
          <w:rFonts w:ascii="Times New Roman" w:hAnsi="Times New Roman"/>
        </w:rPr>
        <w:t>requiring respondents to retain records other than health, medical, government contract, grant-in-aid, or tax records for more than three years – “</w:t>
      </w:r>
      <w:r w:rsidRPr="008A082A">
        <w:rPr>
          <w:rFonts w:ascii="Times New Roman" w:hAnsi="Times New Roman"/>
          <w:b/>
        </w:rPr>
        <w:t>Not Applicable</w:t>
      </w:r>
      <w:r w:rsidRPr="008A082A">
        <w:rPr>
          <w:rFonts w:ascii="Times New Roman" w:hAnsi="Times New Roman"/>
        </w:rPr>
        <w:t>”</w:t>
      </w:r>
    </w:p>
    <w:p w:rsidRPr="008A082A" w:rsidR="000F4D7D" w:rsidP="009E60F2" w:rsidRDefault="000F4D7D" w14:paraId="3322EBD2" w14:textId="6D2A8439">
      <w:pPr>
        <w:widowControl w:val="0"/>
        <w:numPr>
          <w:ilvl w:val="0"/>
          <w:numId w:val="36"/>
        </w:numPr>
        <w:tabs>
          <w:tab w:val="clear" w:pos="432"/>
          <w:tab w:val="left" w:pos="-1440"/>
        </w:tabs>
        <w:autoSpaceDE w:val="0"/>
        <w:autoSpaceDN w:val="0"/>
        <w:adjustRightInd w:val="0"/>
        <w:spacing w:line="240" w:lineRule="auto"/>
        <w:ind w:left="720"/>
        <w:jc w:val="left"/>
        <w:rPr>
          <w:rFonts w:ascii="Times New Roman" w:hAnsi="Times New Roman"/>
        </w:rPr>
      </w:pPr>
      <w:r w:rsidRPr="008A082A">
        <w:rPr>
          <w:rFonts w:ascii="Times New Roman" w:hAnsi="Times New Roman"/>
        </w:rPr>
        <w:t>in connection with a statistical survey, that is not designed to produce valid and reliable results than can be generalized to the universe of study – “</w:t>
      </w:r>
      <w:r w:rsidRPr="008A082A">
        <w:rPr>
          <w:rFonts w:ascii="Times New Roman" w:hAnsi="Times New Roman"/>
          <w:b/>
        </w:rPr>
        <w:t>Not Applicable</w:t>
      </w:r>
      <w:proofErr w:type="gramStart"/>
      <w:r w:rsidRPr="008A082A">
        <w:rPr>
          <w:rFonts w:ascii="Times New Roman" w:hAnsi="Times New Roman"/>
        </w:rPr>
        <w:t>”;</w:t>
      </w:r>
      <w:proofErr w:type="gramEnd"/>
    </w:p>
    <w:p w:rsidRPr="008A082A" w:rsidR="000F4D7D" w:rsidP="009E60F2" w:rsidRDefault="000F4D7D" w14:paraId="5DBDB433" w14:textId="6E50B1F7">
      <w:pPr>
        <w:widowControl w:val="0"/>
        <w:numPr>
          <w:ilvl w:val="0"/>
          <w:numId w:val="36"/>
        </w:numPr>
        <w:tabs>
          <w:tab w:val="clear" w:pos="432"/>
          <w:tab w:val="left" w:pos="-1440"/>
        </w:tabs>
        <w:autoSpaceDE w:val="0"/>
        <w:autoSpaceDN w:val="0"/>
        <w:adjustRightInd w:val="0"/>
        <w:spacing w:line="240" w:lineRule="auto"/>
        <w:ind w:left="720"/>
        <w:jc w:val="left"/>
        <w:rPr>
          <w:rFonts w:ascii="Times New Roman" w:hAnsi="Times New Roman"/>
        </w:rPr>
      </w:pPr>
      <w:r w:rsidRPr="008A082A">
        <w:rPr>
          <w:rFonts w:ascii="Times New Roman" w:hAnsi="Times New Roman"/>
        </w:rPr>
        <w:t>requiring the use of a statistical data classification that has not been reviewed and approved by OMB – “</w:t>
      </w:r>
      <w:r w:rsidRPr="008A082A">
        <w:rPr>
          <w:rFonts w:ascii="Times New Roman" w:hAnsi="Times New Roman"/>
          <w:b/>
        </w:rPr>
        <w:t>Not Applicable</w:t>
      </w:r>
      <w:r w:rsidRPr="008A082A">
        <w:rPr>
          <w:rFonts w:ascii="Times New Roman" w:hAnsi="Times New Roman"/>
        </w:rPr>
        <w:t>”</w:t>
      </w:r>
    </w:p>
    <w:p w:rsidRPr="008A082A" w:rsidR="000F4D7D" w:rsidP="009E60F2" w:rsidRDefault="000F4D7D" w14:paraId="51B6EB5B" w14:textId="28C83CDB">
      <w:pPr>
        <w:widowControl w:val="0"/>
        <w:numPr>
          <w:ilvl w:val="0"/>
          <w:numId w:val="36"/>
        </w:numPr>
        <w:tabs>
          <w:tab w:val="clear" w:pos="432"/>
          <w:tab w:val="left" w:pos="-1440"/>
        </w:tabs>
        <w:autoSpaceDE w:val="0"/>
        <w:autoSpaceDN w:val="0"/>
        <w:adjustRightInd w:val="0"/>
        <w:spacing w:line="240" w:lineRule="auto"/>
        <w:ind w:left="720"/>
        <w:jc w:val="left"/>
        <w:rPr>
          <w:rFonts w:ascii="Times New Roman" w:hAnsi="Times New Roman"/>
        </w:rPr>
      </w:pPr>
      <w:r w:rsidRPr="008A082A">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8A082A">
        <w:rPr>
          <w:rFonts w:ascii="Times New Roman" w:hAnsi="Times New Roman"/>
          <w:b/>
        </w:rPr>
        <w:t>Not Applicable</w:t>
      </w:r>
      <w:r w:rsidRPr="008A082A">
        <w:rPr>
          <w:rFonts w:ascii="Times New Roman" w:hAnsi="Times New Roman"/>
        </w:rPr>
        <w:t>”; or</w:t>
      </w:r>
    </w:p>
    <w:p w:rsidRPr="008A082A" w:rsidR="000F4D7D" w:rsidP="009E60F2" w:rsidRDefault="000F4D7D" w14:paraId="716FF24C" w14:textId="77777777">
      <w:pPr>
        <w:widowControl w:val="0"/>
        <w:numPr>
          <w:ilvl w:val="0"/>
          <w:numId w:val="36"/>
        </w:numPr>
        <w:tabs>
          <w:tab w:val="clear" w:pos="432"/>
          <w:tab w:val="left" w:pos="-1440"/>
        </w:tabs>
        <w:autoSpaceDE w:val="0"/>
        <w:autoSpaceDN w:val="0"/>
        <w:adjustRightInd w:val="0"/>
        <w:spacing w:line="240" w:lineRule="auto"/>
        <w:ind w:left="720"/>
        <w:jc w:val="left"/>
        <w:rPr>
          <w:rFonts w:ascii="Times New Roman" w:hAnsi="Times New Roman"/>
        </w:rPr>
      </w:pPr>
      <w:r w:rsidRPr="008A082A">
        <w:rPr>
          <w:rFonts w:ascii="Times New Roman" w:hAnsi="Times New Roman"/>
        </w:rPr>
        <w:t>requiring respondents to submit proprietary trade secret, or other confidential information unless the agency can demonstrate that it has instituted procedures to protect the information's confidentiality to the extent permitted by law – “</w:t>
      </w:r>
      <w:r w:rsidRPr="008A082A">
        <w:rPr>
          <w:rFonts w:ascii="Times New Roman" w:hAnsi="Times New Roman"/>
          <w:b/>
        </w:rPr>
        <w:t>Not Applicable</w:t>
      </w:r>
      <w:r w:rsidRPr="008A082A">
        <w:rPr>
          <w:rFonts w:ascii="Times New Roman" w:hAnsi="Times New Roman"/>
        </w:rPr>
        <w:t>”.</w:t>
      </w:r>
    </w:p>
    <w:p w:rsidR="000F4D7D" w:rsidP="00542556" w:rsidRDefault="000F4D7D" w14:paraId="0C7ADE8F" w14:textId="60B8C6C0">
      <w:pPr>
        <w:spacing w:line="240" w:lineRule="auto"/>
        <w:ind w:firstLine="0"/>
        <w:jc w:val="left"/>
        <w:rPr>
          <w:rFonts w:ascii="Times New Roman" w:hAnsi="Times New Roman"/>
        </w:rPr>
      </w:pPr>
    </w:p>
    <w:p w:rsidRPr="008064C8" w:rsidR="007A1060" w:rsidP="007A1060" w:rsidRDefault="007A1060" w14:paraId="3AEFA004" w14:textId="77777777">
      <w:pPr>
        <w:tabs>
          <w:tab w:val="left" w:pos="360"/>
        </w:tabs>
        <w:spacing w:line="240" w:lineRule="auto"/>
        <w:ind w:left="360" w:hanging="360"/>
        <w:rPr>
          <w:rFonts w:ascii="Times New Roman" w:hAnsi="Times New Roman"/>
          <w:b/>
        </w:rPr>
      </w:pPr>
      <w:r w:rsidRPr="008064C8">
        <w:rPr>
          <w:rFonts w:ascii="Times New Roman" w:hAnsi="Times New Roman"/>
          <w:b/>
        </w:rPr>
        <w:t>8.</w:t>
      </w:r>
      <w:r w:rsidRPr="008064C8">
        <w:rPr>
          <w:rFonts w:ascii="Times New Roman" w:hAnsi="Times New Roman"/>
          <w:b/>
        </w:rPr>
        <w:tab/>
        <w:t xml:space="preserve">If applicable, provide a copy and identify the date and page number of </w:t>
      </w:r>
      <w:proofErr w:type="gramStart"/>
      <w:r w:rsidRPr="008064C8">
        <w:rPr>
          <w:rFonts w:ascii="Times New Roman" w:hAnsi="Times New Roman"/>
          <w:b/>
        </w:rPr>
        <w:t>publication</w:t>
      </w:r>
      <w:proofErr w:type="gramEnd"/>
      <w:r w:rsidRPr="008064C8">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8064C8" w:rsidR="007A1060" w:rsidP="007A1060" w:rsidRDefault="007A1060" w14:paraId="15DA8DC0" w14:textId="77777777">
      <w:pPr>
        <w:numPr>
          <w:ilvl w:val="0"/>
          <w:numId w:val="37"/>
        </w:numPr>
        <w:tabs>
          <w:tab w:val="clear" w:pos="432"/>
          <w:tab w:val="left" w:pos="360"/>
        </w:tabs>
        <w:overflowPunct w:val="0"/>
        <w:autoSpaceDE w:val="0"/>
        <w:autoSpaceDN w:val="0"/>
        <w:adjustRightInd w:val="0"/>
        <w:spacing w:line="240" w:lineRule="auto"/>
        <w:ind w:left="720"/>
        <w:jc w:val="left"/>
        <w:rPr>
          <w:rFonts w:ascii="Times New Roman" w:hAnsi="Times New Roman"/>
          <w:b/>
        </w:rPr>
      </w:pPr>
      <w:r w:rsidRPr="008064C8">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8064C8" w:rsidR="007A1060" w:rsidP="007A1060" w:rsidRDefault="007A1060" w14:paraId="7C7CBF7C" w14:textId="4C55A5C8">
      <w:pPr>
        <w:keepLines/>
        <w:numPr>
          <w:ilvl w:val="0"/>
          <w:numId w:val="37"/>
        </w:numPr>
        <w:tabs>
          <w:tab w:val="clear" w:pos="432"/>
          <w:tab w:val="left" w:pos="360"/>
        </w:tabs>
        <w:overflowPunct w:val="0"/>
        <w:autoSpaceDE w:val="0"/>
        <w:autoSpaceDN w:val="0"/>
        <w:adjustRightInd w:val="0"/>
        <w:spacing w:after="120" w:line="240" w:lineRule="auto"/>
        <w:ind w:left="696"/>
        <w:jc w:val="left"/>
        <w:rPr>
          <w:rFonts w:ascii="Times New Roman" w:hAnsi="Times New Roman"/>
          <w:b/>
        </w:rPr>
      </w:pPr>
      <w:r w:rsidRPr="008064C8">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Pr="00106274" w:rsidR="00834371" w:rsidP="009E60F2" w:rsidRDefault="00834371" w14:paraId="70AB3E64" w14:textId="0DD0C218">
      <w:pPr>
        <w:pStyle w:val="Heading4"/>
        <w:numPr>
          <w:ilvl w:val="0"/>
          <w:numId w:val="44"/>
        </w:numPr>
        <w:spacing w:before="0" w:after="120" w:line="240" w:lineRule="auto"/>
        <w:ind w:left="720" w:hanging="288"/>
        <w:jc w:val="left"/>
        <w:rPr>
          <w:rFonts w:ascii="Times New Roman" w:hAnsi="Times New Roman"/>
          <w:b w:val="0"/>
          <w:i w:val="0"/>
          <w:color w:val="auto"/>
        </w:rPr>
      </w:pPr>
      <w:r w:rsidRPr="00106274">
        <w:rPr>
          <w:rFonts w:ascii="Times New Roman" w:hAnsi="Times New Roman"/>
          <w:b w:val="0"/>
          <w:i w:val="0"/>
          <w:color w:val="auto"/>
        </w:rPr>
        <w:t>Federal Register Notice and Comments</w:t>
      </w:r>
    </w:p>
    <w:p w:rsidRPr="003C080C" w:rsidR="00D9283C" w:rsidP="009E60F2" w:rsidRDefault="00D9283C" w14:paraId="4F2723B3" w14:textId="1205EE12">
      <w:pPr>
        <w:spacing w:after="120" w:line="240" w:lineRule="auto"/>
        <w:ind w:left="720" w:firstLine="0"/>
        <w:rPr>
          <w:rFonts w:ascii="Times New Roman" w:hAnsi="Times New Roman"/>
        </w:rPr>
      </w:pPr>
      <w:r w:rsidRPr="003C080C">
        <w:rPr>
          <w:rFonts w:ascii="Times New Roman" w:hAnsi="Times New Roman"/>
        </w:rPr>
        <w:t xml:space="preserve">In accordance with 5 CFR § 1320.8 (d), a Notice of Proposed Information Collection for publication in the Federal register was prepared to announce the agency’s intention to request an OMB review of supplemental data collection activities for the Rent Reform Demonstration.  HUD published a 60-Day Notice of Proposed Information Collection in the Federal Register on 12/18/2020 (Docket No. </w:t>
      </w:r>
      <w:r w:rsidRPr="003B4A14">
        <w:rPr>
          <w:rFonts w:ascii="Times New Roman" w:hAnsi="Times New Roman"/>
          <w:color w:val="333333"/>
          <w:shd w:val="clear" w:color="auto" w:fill="FFFFFF" w:themeFill="background1"/>
        </w:rPr>
        <w:t>FR-7029-N-11, p</w:t>
      </w:r>
      <w:r w:rsidRPr="003B4A14" w:rsidR="003C080C">
        <w:rPr>
          <w:rFonts w:ascii="Times New Roman" w:hAnsi="Times New Roman"/>
          <w:color w:val="333333"/>
          <w:shd w:val="clear" w:color="auto" w:fill="FFFFFF" w:themeFill="background1"/>
        </w:rPr>
        <w:t>ages, 82498 - 82499</w:t>
      </w:r>
      <w:r w:rsidRPr="003C080C">
        <w:rPr>
          <w:rFonts w:ascii="Times New Roman" w:hAnsi="Times New Roman"/>
        </w:rPr>
        <w:t xml:space="preserve"> The notice provided a 60-day period for public comments, </w:t>
      </w:r>
      <w:r w:rsidRPr="003C080C" w:rsidR="003C080C">
        <w:rPr>
          <w:rFonts w:ascii="Times New Roman" w:hAnsi="Times New Roman"/>
        </w:rPr>
        <w:t>with c</w:t>
      </w:r>
      <w:r w:rsidRPr="003C080C">
        <w:rPr>
          <w:rFonts w:ascii="Times New Roman" w:hAnsi="Times New Roman"/>
        </w:rPr>
        <w:t xml:space="preserve">omments due </w:t>
      </w:r>
      <w:r w:rsidRPr="003C080C" w:rsidR="003C080C">
        <w:rPr>
          <w:rFonts w:ascii="Times New Roman" w:hAnsi="Times New Roman"/>
        </w:rPr>
        <w:t xml:space="preserve">February 16, 2021. </w:t>
      </w:r>
      <w:r w:rsidRPr="003C080C">
        <w:rPr>
          <w:rFonts w:ascii="Times New Roman" w:hAnsi="Times New Roman"/>
        </w:rPr>
        <w:t xml:space="preserve">No public comments have been received. </w:t>
      </w:r>
      <w:r w:rsidRPr="003C080C" w:rsidR="003C080C">
        <w:rPr>
          <w:rFonts w:ascii="Times New Roman" w:hAnsi="Times New Roman"/>
        </w:rPr>
        <w:t xml:space="preserve"> </w:t>
      </w:r>
      <w:r w:rsidRPr="003C080C">
        <w:rPr>
          <w:rFonts w:ascii="Times New Roman" w:hAnsi="Times New Roman"/>
        </w:rPr>
        <w:t xml:space="preserve"> </w:t>
      </w:r>
    </w:p>
    <w:p w:rsidR="00C20762" w:rsidP="009E60F2" w:rsidRDefault="00C20762" w14:paraId="57D0CC48" w14:textId="77777777">
      <w:pPr>
        <w:tabs>
          <w:tab w:val="clear" w:pos="432"/>
        </w:tabs>
        <w:autoSpaceDE w:val="0"/>
        <w:autoSpaceDN w:val="0"/>
        <w:adjustRightInd w:val="0"/>
        <w:spacing w:line="240" w:lineRule="auto"/>
        <w:ind w:left="288" w:firstLine="0"/>
        <w:jc w:val="left"/>
        <w:rPr>
          <w:rFonts w:ascii="Times New Roman" w:hAnsi="Times New Roman"/>
        </w:rPr>
      </w:pPr>
    </w:p>
    <w:p w:rsidRPr="009E60F2" w:rsidR="00834371" w:rsidP="009E60F2" w:rsidRDefault="00834371" w14:paraId="0039CBE0" w14:textId="07C37AF6">
      <w:pPr>
        <w:pStyle w:val="ListParagraph"/>
        <w:numPr>
          <w:ilvl w:val="0"/>
          <w:numId w:val="44"/>
        </w:numPr>
        <w:spacing w:after="120"/>
        <w:ind w:left="720" w:hanging="288"/>
      </w:pPr>
      <w:r w:rsidRPr="009E60F2">
        <w:t>Consultations Outside of the Agency</w:t>
      </w:r>
    </w:p>
    <w:p w:rsidR="00834371" w:rsidP="009E60F2" w:rsidRDefault="00740E33" w14:paraId="26C3AED4" w14:textId="776C6A17">
      <w:pPr>
        <w:spacing w:line="240" w:lineRule="auto"/>
        <w:ind w:left="720" w:firstLine="0"/>
        <w:jc w:val="left"/>
        <w:rPr>
          <w:rFonts w:ascii="Times New Roman" w:hAnsi="Times New Roman"/>
        </w:rPr>
      </w:pPr>
      <w:r>
        <w:rPr>
          <w:rFonts w:ascii="Times New Roman" w:hAnsi="Times New Roman"/>
        </w:rPr>
        <w:t>During study design, we have sought the input of nationally recognized experts on public housing and Section 8 housing support, including Professors John Goering (City University of New York) and Ingrid Gould-Ellen (New York University).</w:t>
      </w:r>
    </w:p>
    <w:p w:rsidRPr="00542556" w:rsidR="009A3605" w:rsidP="009A3605" w:rsidRDefault="009A3605" w14:paraId="152EF263" w14:textId="77777777">
      <w:pPr>
        <w:spacing w:line="240" w:lineRule="auto"/>
        <w:ind w:firstLine="0"/>
        <w:jc w:val="left"/>
        <w:rPr>
          <w:rFonts w:ascii="Times New Roman" w:hAnsi="Times New Roman"/>
        </w:rPr>
      </w:pPr>
    </w:p>
    <w:p w:rsidR="00A351AA" w:rsidP="00A351AA" w:rsidRDefault="00A351AA" w14:paraId="3AE6F23C" w14:textId="77777777">
      <w:pPr>
        <w:keepLines/>
        <w:numPr>
          <w:ilvl w:val="0"/>
          <w:numId w:val="42"/>
        </w:numPr>
        <w:tabs>
          <w:tab w:val="clear" w:pos="432"/>
          <w:tab w:val="left" w:pos="360"/>
        </w:tabs>
        <w:overflowPunct w:val="0"/>
        <w:autoSpaceDE w:val="0"/>
        <w:autoSpaceDN w:val="0"/>
        <w:adjustRightInd w:val="0"/>
        <w:spacing w:after="120" w:line="240" w:lineRule="auto"/>
        <w:jc w:val="left"/>
        <w:rPr>
          <w:b/>
        </w:rPr>
      </w:pPr>
      <w:r w:rsidRPr="008064C8">
        <w:rPr>
          <w:rFonts w:ascii="Times New Roman" w:hAnsi="Times New Roman"/>
          <w:b/>
        </w:rPr>
        <w:t>Explain any decision to provide any payment or gift to respondents, other than remuneration of contractors or grantees</w:t>
      </w:r>
      <w:r>
        <w:rPr>
          <w:b/>
        </w:rPr>
        <w:t>.</w:t>
      </w:r>
    </w:p>
    <w:p w:rsidRPr="00A467DB" w:rsidR="00A467DB" w:rsidP="009E60F2" w:rsidRDefault="00A467DB" w14:paraId="71F5EB05" w14:textId="34798B35">
      <w:pPr>
        <w:spacing w:line="240" w:lineRule="auto"/>
        <w:ind w:left="360" w:firstLine="0"/>
        <w:jc w:val="left"/>
        <w:rPr>
          <w:rFonts w:ascii="Times New Roman" w:hAnsi="Times New Roman"/>
        </w:rPr>
      </w:pPr>
      <w:r w:rsidRPr="00A467DB">
        <w:rPr>
          <w:rFonts w:ascii="Times New Roman" w:hAnsi="Times New Roman"/>
        </w:rPr>
        <w:t xml:space="preserve">As a token of appreciation, </w:t>
      </w:r>
      <w:r w:rsidR="008E2777">
        <w:rPr>
          <w:rFonts w:ascii="Times New Roman" w:hAnsi="Times New Roman"/>
        </w:rPr>
        <w:t xml:space="preserve">the research team is offering </w:t>
      </w:r>
      <w:r w:rsidRPr="00A467DB">
        <w:rPr>
          <w:rFonts w:ascii="Times New Roman" w:hAnsi="Times New Roman"/>
        </w:rPr>
        <w:t xml:space="preserve">a $30 incentive </w:t>
      </w:r>
      <w:r w:rsidR="008E2777">
        <w:rPr>
          <w:rFonts w:ascii="Times New Roman" w:hAnsi="Times New Roman"/>
        </w:rPr>
        <w:t xml:space="preserve">to study participants </w:t>
      </w:r>
      <w:r w:rsidRPr="00A467DB">
        <w:rPr>
          <w:rFonts w:ascii="Times New Roman" w:hAnsi="Times New Roman"/>
        </w:rPr>
        <w:t>who participate in a scheduled interview for the implementation research (</w:t>
      </w:r>
      <w:r w:rsidR="003076F2">
        <w:rPr>
          <w:rFonts w:ascii="Times New Roman" w:hAnsi="Times New Roman"/>
        </w:rPr>
        <w:t>up to 2</w:t>
      </w:r>
      <w:r w:rsidRPr="00A467DB">
        <w:rPr>
          <w:rFonts w:ascii="Times New Roman" w:hAnsi="Times New Roman"/>
        </w:rPr>
        <w:t xml:space="preserve">0 </w:t>
      </w:r>
      <w:r w:rsidR="008E2777">
        <w:rPr>
          <w:rFonts w:ascii="Times New Roman" w:hAnsi="Times New Roman"/>
        </w:rPr>
        <w:t xml:space="preserve">study </w:t>
      </w:r>
      <w:r w:rsidRPr="00A467DB">
        <w:rPr>
          <w:rFonts w:ascii="Times New Roman" w:hAnsi="Times New Roman"/>
        </w:rPr>
        <w:t>participants per site, for a total of 60). Small incentives were also offered to respondents who participated in earlier rounds of implementation research interviews (for example, Task Orders 1 and 2) or the follow-up survey, conducted by Decisions Information Systems.</w:t>
      </w:r>
    </w:p>
    <w:p w:rsidRPr="00DE5F46" w:rsidR="000E18D7" w:rsidP="000E18D7" w:rsidRDefault="000E18D7" w14:paraId="68B9DE6A" w14:textId="77777777">
      <w:pPr>
        <w:spacing w:line="240" w:lineRule="auto"/>
        <w:ind w:firstLine="0"/>
        <w:jc w:val="left"/>
        <w:rPr>
          <w:rFonts w:ascii="Times New Roman" w:hAnsi="Times New Roman"/>
        </w:rPr>
      </w:pPr>
    </w:p>
    <w:p w:rsidRPr="00D062F0" w:rsidR="00C26C65" w:rsidP="00D062F0" w:rsidRDefault="00C26C65" w14:paraId="618546A2" w14:textId="77777777">
      <w:pPr>
        <w:pStyle w:val="ListParagraph"/>
        <w:keepLines/>
        <w:numPr>
          <w:ilvl w:val="0"/>
          <w:numId w:val="38"/>
        </w:numPr>
        <w:tabs>
          <w:tab w:val="left" w:pos="360"/>
        </w:tabs>
        <w:spacing w:after="120"/>
        <w:rPr>
          <w:b/>
        </w:rPr>
      </w:pPr>
      <w:r w:rsidRPr="00D062F0">
        <w:rPr>
          <w:b/>
        </w:rPr>
        <w:t xml:space="preserve">Describe any assurance of confidentiality provided to respondents and the basis for assurance in statute, </w:t>
      </w:r>
      <w:proofErr w:type="gramStart"/>
      <w:r w:rsidRPr="00D062F0">
        <w:rPr>
          <w:b/>
        </w:rPr>
        <w:t>regulation</w:t>
      </w:r>
      <w:proofErr w:type="gramEnd"/>
      <w:r w:rsidRPr="00D062F0">
        <w:rPr>
          <w:b/>
        </w:rPr>
        <w:t xml:space="preserve"> or agency policy.</w:t>
      </w:r>
    </w:p>
    <w:p w:rsidRPr="001528F5" w:rsidR="00744065" w:rsidP="009E60F2" w:rsidRDefault="00744065" w14:paraId="039DDF15" w14:textId="3C4FA760">
      <w:pPr>
        <w:spacing w:after="120" w:line="240" w:lineRule="auto"/>
        <w:ind w:left="360" w:firstLine="0"/>
        <w:rPr>
          <w:rFonts w:ascii="Times New Roman" w:hAnsi="Times New Roman"/>
        </w:rPr>
      </w:pPr>
      <w:r w:rsidRPr="001528F5">
        <w:rPr>
          <w:rFonts w:ascii="Times New Roman" w:hAnsi="Times New Roman"/>
        </w:rPr>
        <w:t xml:space="preserve">For the full evaluation, strong protections have been implemented to maintain the privacy of tenants in all </w:t>
      </w:r>
      <w:r w:rsidRPr="001528F5" w:rsidR="003076F2">
        <w:rPr>
          <w:rFonts w:ascii="Times New Roman" w:hAnsi="Times New Roman"/>
        </w:rPr>
        <w:t xml:space="preserve">study </w:t>
      </w:r>
      <w:r w:rsidRPr="001528F5">
        <w:rPr>
          <w:rFonts w:ascii="Times New Roman" w:hAnsi="Times New Roman"/>
        </w:rPr>
        <w:t xml:space="preserve">sites, to the extent permitted by law.  </w:t>
      </w:r>
      <w:r w:rsidRPr="001528F5" w:rsidR="001528F5">
        <w:rPr>
          <w:rFonts w:ascii="Times New Roman" w:hAnsi="Times New Roman"/>
        </w:rPr>
        <w:t>At study enrollment</w:t>
      </w:r>
      <w:r w:rsidR="00700AC6">
        <w:rPr>
          <w:rFonts w:ascii="Times New Roman" w:hAnsi="Times New Roman"/>
        </w:rPr>
        <w:t xml:space="preserve"> in 2015-2016</w:t>
      </w:r>
      <w:r w:rsidRPr="001528F5" w:rsidR="001528F5">
        <w:rPr>
          <w:rFonts w:ascii="Times New Roman" w:hAnsi="Times New Roman"/>
        </w:rPr>
        <w:t>, participants were provided an information sheet</w:t>
      </w:r>
      <w:r w:rsidR="00700AC6">
        <w:rPr>
          <w:rFonts w:ascii="Times New Roman" w:hAnsi="Times New Roman"/>
        </w:rPr>
        <w:t xml:space="preserve"> (see appendix)</w:t>
      </w:r>
      <w:r w:rsidRPr="001528F5" w:rsidR="001528F5">
        <w:rPr>
          <w:rFonts w:ascii="Times New Roman" w:hAnsi="Times New Roman"/>
        </w:rPr>
        <w:t xml:space="preserve">, which indicated that: members of the research team would follow strict rules to protect </w:t>
      </w:r>
      <w:proofErr w:type="gramStart"/>
      <w:r w:rsidRPr="001528F5" w:rsidR="001528F5">
        <w:rPr>
          <w:rFonts w:ascii="Times New Roman" w:hAnsi="Times New Roman"/>
        </w:rPr>
        <w:t>all of</w:t>
      </w:r>
      <w:proofErr w:type="gramEnd"/>
      <w:r w:rsidRPr="001528F5" w:rsidR="001528F5">
        <w:rPr>
          <w:rFonts w:ascii="Times New Roman" w:hAnsi="Times New Roman"/>
        </w:rPr>
        <w:t xml:space="preserve"> the data; that no data would be disclosed to outside parties; and all personally identifiable data on sample members would be destroyed or returned to their respective agency upon the conclusion of the study.  The same Information Sheet also informed study participants that they could </w:t>
      </w:r>
      <w:r w:rsidRPr="001528F5">
        <w:rPr>
          <w:rFonts w:ascii="Times New Roman" w:hAnsi="Times New Roman"/>
        </w:rPr>
        <w:t xml:space="preserve">withdraw from having their personally identifiable data shared with MDRC or its research partners.  Tenants were notified about this opportunity as part of the normal certification processes, both at study enrollment and subsequent triennial recertification. This process was approved by MDRC’s IRB and by HUD (also approved by OMB). </w:t>
      </w:r>
      <w:r w:rsidRPr="001528F5">
        <w:rPr>
          <w:rFonts w:ascii="Times New Roman" w:hAnsi="Times New Roman" w:eastAsia="Calibri"/>
        </w:rPr>
        <w:t xml:space="preserve">Tenants may withdraw from data disclosure by contacting </w:t>
      </w:r>
      <w:r w:rsidRPr="001528F5">
        <w:rPr>
          <w:rFonts w:ascii="Times New Roman" w:hAnsi="Times New Roman"/>
        </w:rPr>
        <w:t>MDRC.</w:t>
      </w:r>
    </w:p>
    <w:p w:rsidR="00B17A60" w:rsidP="009E60F2" w:rsidRDefault="00744065" w14:paraId="2DE91F91" w14:textId="1D9510BF">
      <w:pPr>
        <w:spacing w:line="240" w:lineRule="auto"/>
        <w:ind w:left="360" w:firstLine="0"/>
        <w:rPr>
          <w:rFonts w:ascii="Arial" w:hAnsi="Arial" w:cs="Arial"/>
        </w:rPr>
      </w:pPr>
      <w:r w:rsidRPr="00744065">
        <w:rPr>
          <w:rFonts w:ascii="Times New Roman" w:hAnsi="Times New Roman" w:eastAsia="Calibri"/>
        </w:rPr>
        <w:t xml:space="preserve">As previously described, MDRC will collect data on each household from HUD 50058 forms prior to random assignment and for </w:t>
      </w:r>
      <w:r w:rsidR="00A96C26">
        <w:rPr>
          <w:rFonts w:ascii="Times New Roman" w:hAnsi="Times New Roman" w:eastAsia="Calibri"/>
        </w:rPr>
        <w:t xml:space="preserve">the duration of the study. </w:t>
      </w:r>
      <w:r w:rsidRPr="00744065">
        <w:rPr>
          <w:rFonts w:ascii="Times New Roman" w:hAnsi="Times New Roman" w:eastAsia="Calibri"/>
        </w:rPr>
        <w:t xml:space="preserve"> NDNH are being obtained through HUD to track participants’ employment and training. MDRC has agreements with state and local agencies to collect public assistance and homelessness </w:t>
      </w:r>
      <w:r w:rsidRPr="00744065">
        <w:rPr>
          <w:rFonts w:ascii="Times New Roman" w:hAnsi="Times New Roman"/>
        </w:rPr>
        <w:t xml:space="preserve">data. </w:t>
      </w:r>
      <w:r w:rsidRPr="00744065">
        <w:rPr>
          <w:rFonts w:ascii="Times New Roman" w:hAnsi="Times New Roman" w:eastAsia="Calibri"/>
        </w:rPr>
        <w:t xml:space="preserve">In all circumstances, MDRC will protect the confidentiality of the data it collects through its regular high-security safeguards and practices.  </w:t>
      </w:r>
      <w:r w:rsidRPr="00744065">
        <w:rPr>
          <w:rFonts w:ascii="Times New Roman" w:hAnsi="Times New Roman"/>
        </w:rPr>
        <w:t>All tenants will be informed that any personal information they provide or allow access to for the study will be used only for th</w:t>
      </w:r>
      <w:r w:rsidR="003076F2">
        <w:rPr>
          <w:rFonts w:ascii="Times New Roman" w:hAnsi="Times New Roman"/>
        </w:rPr>
        <w:t xml:space="preserve">is </w:t>
      </w:r>
      <w:r w:rsidRPr="00744065">
        <w:rPr>
          <w:rFonts w:ascii="Times New Roman" w:hAnsi="Times New Roman"/>
        </w:rPr>
        <w:t>purpose.  Individuals will not be identified in prepared reports. All research staff working on the project have been trained to protect private information and have signed a pledge stating that they will keep all information gathered private to the extent permissible by law. All papers that contain study participant names or other identifying information will be kept in locked areas and any computer documents containing identifying information will be protected with a password.</w:t>
      </w:r>
    </w:p>
    <w:p w:rsidR="000E18D7" w:rsidP="009E60F2" w:rsidRDefault="000E18D7" w14:paraId="7254DF06" w14:textId="739B269D">
      <w:pPr>
        <w:spacing w:line="240" w:lineRule="auto"/>
        <w:ind w:left="360" w:firstLine="0"/>
        <w:rPr>
          <w:lang w:val="x-none" w:eastAsia="x-none"/>
        </w:rPr>
      </w:pPr>
    </w:p>
    <w:p w:rsidR="00886D79" w:rsidP="009E60F2" w:rsidRDefault="00886D79" w14:paraId="22255337" w14:textId="3955F0DF">
      <w:pPr>
        <w:spacing w:line="240" w:lineRule="auto"/>
        <w:ind w:left="360" w:firstLine="0"/>
        <w:rPr>
          <w:rFonts w:ascii="Times New Roman" w:hAnsi="Times New Roman"/>
          <w:lang w:eastAsia="x-none"/>
        </w:rPr>
      </w:pPr>
      <w:r w:rsidRPr="00886D79">
        <w:rPr>
          <w:rFonts w:ascii="Times New Roman" w:hAnsi="Times New Roman"/>
          <w:lang w:eastAsia="x-none"/>
        </w:rPr>
        <w:t xml:space="preserve">The interview guides used for the evaluation also assure respondents that their information will not be disclosed. </w:t>
      </w:r>
    </w:p>
    <w:p w:rsidR="00E43B7B" w:rsidP="009E60F2" w:rsidRDefault="00E43B7B" w14:paraId="31067C6B" w14:textId="60DFF3CE">
      <w:pPr>
        <w:spacing w:line="240" w:lineRule="auto"/>
        <w:ind w:left="360" w:firstLine="0"/>
        <w:rPr>
          <w:rFonts w:ascii="Times New Roman" w:hAnsi="Times New Roman"/>
          <w:lang w:eastAsia="x-none"/>
        </w:rPr>
      </w:pPr>
    </w:p>
    <w:p w:rsidR="00E43B7B" w:rsidP="009E60F2" w:rsidRDefault="00E43B7B" w14:paraId="0A990500" w14:textId="2B617857">
      <w:pPr>
        <w:spacing w:line="240" w:lineRule="auto"/>
        <w:ind w:left="360" w:firstLine="0"/>
        <w:rPr>
          <w:rFonts w:ascii="Times New Roman" w:hAnsi="Times New Roman"/>
          <w:lang w:eastAsia="x-none"/>
        </w:rPr>
      </w:pPr>
    </w:p>
    <w:p w:rsidR="00E43B7B" w:rsidP="009E60F2" w:rsidRDefault="00E43B7B" w14:paraId="555262F1" w14:textId="54AAA060">
      <w:pPr>
        <w:spacing w:line="240" w:lineRule="auto"/>
        <w:ind w:left="360" w:firstLine="0"/>
        <w:rPr>
          <w:rFonts w:ascii="Times New Roman" w:hAnsi="Times New Roman"/>
          <w:lang w:eastAsia="x-none"/>
        </w:rPr>
      </w:pPr>
    </w:p>
    <w:p w:rsidR="00E43B7B" w:rsidP="009E60F2" w:rsidRDefault="00E43B7B" w14:paraId="30D76123" w14:textId="51B64285">
      <w:pPr>
        <w:spacing w:line="240" w:lineRule="auto"/>
        <w:ind w:left="360" w:firstLine="0"/>
        <w:rPr>
          <w:rFonts w:ascii="Times New Roman" w:hAnsi="Times New Roman"/>
          <w:lang w:eastAsia="x-none"/>
        </w:rPr>
      </w:pPr>
    </w:p>
    <w:p w:rsidR="00E43B7B" w:rsidP="009E60F2" w:rsidRDefault="00E43B7B" w14:paraId="5822DB1B" w14:textId="4C3C7F23">
      <w:pPr>
        <w:spacing w:line="240" w:lineRule="auto"/>
        <w:ind w:left="360" w:firstLine="0"/>
        <w:rPr>
          <w:rFonts w:ascii="Times New Roman" w:hAnsi="Times New Roman"/>
          <w:lang w:eastAsia="x-none"/>
        </w:rPr>
      </w:pPr>
    </w:p>
    <w:p w:rsidRPr="00886D79" w:rsidR="00E43B7B" w:rsidP="009E60F2" w:rsidRDefault="00E43B7B" w14:paraId="47E643DF" w14:textId="77777777">
      <w:pPr>
        <w:spacing w:line="240" w:lineRule="auto"/>
        <w:ind w:left="360" w:firstLine="0"/>
        <w:rPr>
          <w:rFonts w:ascii="Times New Roman" w:hAnsi="Times New Roman"/>
          <w:lang w:eastAsia="x-none"/>
        </w:rPr>
      </w:pPr>
    </w:p>
    <w:p w:rsidRPr="00886D79" w:rsidR="00886D79" w:rsidP="000E18D7" w:rsidRDefault="00886D79" w14:paraId="3F255AF8" w14:textId="77777777">
      <w:pPr>
        <w:spacing w:line="240" w:lineRule="auto"/>
        <w:ind w:firstLine="0"/>
        <w:rPr>
          <w:lang w:eastAsia="x-none"/>
        </w:rPr>
      </w:pPr>
    </w:p>
    <w:p w:rsidRPr="00D062F0" w:rsidR="007264AC" w:rsidP="00E43B7B" w:rsidRDefault="007264AC" w14:paraId="2B3C9EF5" w14:textId="4C5D3C31">
      <w:pPr>
        <w:pStyle w:val="ListParagraph"/>
        <w:numPr>
          <w:ilvl w:val="0"/>
          <w:numId w:val="42"/>
        </w:numPr>
        <w:spacing w:after="120"/>
        <w:ind w:hanging="450"/>
        <w:rPr>
          <w:lang w:val="x-none" w:eastAsia="x-none"/>
        </w:rPr>
      </w:pPr>
      <w:r w:rsidRPr="00116428">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52DC9" w:rsidR="006D5923" w:rsidP="00E43B7B" w:rsidRDefault="006D5923" w14:paraId="3D3C81B8" w14:textId="382547AD">
      <w:pPr>
        <w:tabs>
          <w:tab w:val="clear" w:pos="432"/>
        </w:tabs>
        <w:spacing w:line="240" w:lineRule="auto"/>
        <w:ind w:left="360" w:firstLine="0"/>
        <w:rPr>
          <w:rFonts w:ascii="Times New Roman" w:hAnsi="Times New Roman"/>
        </w:rPr>
      </w:pPr>
      <w:r>
        <w:rPr>
          <w:rFonts w:ascii="Times New Roman" w:hAnsi="Times New Roman"/>
        </w:rPr>
        <w:t xml:space="preserve">As with similar data collection efforts completed as part of the Rent Reform demonstration, the </w:t>
      </w:r>
      <w:r w:rsidRPr="00552DC9">
        <w:rPr>
          <w:rFonts w:ascii="Times New Roman" w:hAnsi="Times New Roman"/>
        </w:rPr>
        <w:t xml:space="preserve">qualitative data collection </w:t>
      </w:r>
      <w:r>
        <w:rPr>
          <w:rFonts w:ascii="Times New Roman" w:hAnsi="Times New Roman"/>
        </w:rPr>
        <w:t xml:space="preserve">will focus </w:t>
      </w:r>
      <w:r w:rsidRPr="00552DC9">
        <w:rPr>
          <w:rFonts w:ascii="Times New Roman" w:hAnsi="Times New Roman"/>
        </w:rPr>
        <w:t xml:space="preserve">on staff and participant experiences with the alternative and current rent policies. </w:t>
      </w:r>
      <w:r>
        <w:rPr>
          <w:rFonts w:ascii="Times New Roman" w:hAnsi="Times New Roman"/>
        </w:rPr>
        <w:t xml:space="preserve">Questions of a sensitive nature are not included in the interview protocols, but respondents </w:t>
      </w:r>
      <w:r w:rsidRPr="00552DC9">
        <w:rPr>
          <w:rFonts w:ascii="Times New Roman" w:hAnsi="Times New Roman"/>
          <w:lang w:val="x-none"/>
        </w:rPr>
        <w:t xml:space="preserve">will </w:t>
      </w:r>
      <w:r>
        <w:rPr>
          <w:rFonts w:ascii="Times New Roman" w:hAnsi="Times New Roman"/>
        </w:rPr>
        <w:t xml:space="preserve">also </w:t>
      </w:r>
      <w:r w:rsidRPr="00552DC9">
        <w:rPr>
          <w:rFonts w:ascii="Times New Roman" w:hAnsi="Times New Roman"/>
          <w:lang w:val="x-none"/>
        </w:rPr>
        <w:t xml:space="preserve">be informed prior to </w:t>
      </w:r>
      <w:r w:rsidRPr="00552DC9">
        <w:rPr>
          <w:rFonts w:ascii="Times New Roman" w:hAnsi="Times New Roman"/>
        </w:rPr>
        <w:t xml:space="preserve">their interview with MDRC staff </w:t>
      </w:r>
      <w:r w:rsidRPr="00552DC9">
        <w:rPr>
          <w:rFonts w:ascii="Times New Roman" w:hAnsi="Times New Roman"/>
          <w:lang w:val="x-none"/>
        </w:rPr>
        <w:t>that the</w:t>
      </w:r>
      <w:r w:rsidRPr="00552DC9">
        <w:rPr>
          <w:rFonts w:ascii="Times New Roman" w:hAnsi="Times New Roman"/>
        </w:rPr>
        <w:t xml:space="preserve">y </w:t>
      </w:r>
      <w:r w:rsidRPr="00552DC9">
        <w:rPr>
          <w:rFonts w:ascii="Times New Roman" w:hAnsi="Times New Roman"/>
          <w:lang w:val="x-none"/>
        </w:rPr>
        <w:t>may refuse to answer any question</w:t>
      </w:r>
      <w:r w:rsidRPr="00552DC9">
        <w:rPr>
          <w:rFonts w:ascii="Times New Roman" w:hAnsi="Times New Roman"/>
        </w:rPr>
        <w:t xml:space="preserve"> and </w:t>
      </w:r>
      <w:r w:rsidRPr="00552DC9">
        <w:rPr>
          <w:rFonts w:ascii="Times New Roman" w:hAnsi="Times New Roman"/>
          <w:lang w:val="x-none"/>
        </w:rPr>
        <w:t xml:space="preserve">that </w:t>
      </w:r>
      <w:r w:rsidRPr="00552DC9">
        <w:rPr>
          <w:rFonts w:ascii="Times New Roman" w:hAnsi="Times New Roman"/>
        </w:rPr>
        <w:t xml:space="preserve">their responses will be used </w:t>
      </w:r>
      <w:r w:rsidRPr="00552DC9">
        <w:rPr>
          <w:rFonts w:ascii="Times New Roman" w:hAnsi="Times New Roman"/>
          <w:lang w:val="x-none"/>
        </w:rPr>
        <w:t>in the aggregate</w:t>
      </w:r>
      <w:r w:rsidRPr="00552DC9">
        <w:rPr>
          <w:rFonts w:ascii="Times New Roman" w:hAnsi="Times New Roman"/>
        </w:rPr>
        <w:t xml:space="preserve"> (and that individuals will not be identified by name).</w:t>
      </w:r>
    </w:p>
    <w:p w:rsidR="00B6170D" w:rsidP="00542556" w:rsidRDefault="00B6170D" w14:paraId="5DDD3F6E" w14:textId="77777777">
      <w:pPr>
        <w:spacing w:line="240" w:lineRule="auto"/>
        <w:ind w:firstLine="0"/>
        <w:jc w:val="left"/>
        <w:rPr>
          <w:rFonts w:ascii="Times New Roman" w:hAnsi="Times New Roman"/>
        </w:rPr>
      </w:pPr>
    </w:p>
    <w:p w:rsidR="009E60F2" w:rsidP="002F48DA" w:rsidRDefault="00715D5E" w14:paraId="006C7448" w14:textId="77777777">
      <w:pPr>
        <w:pStyle w:val="ListParagraph"/>
        <w:numPr>
          <w:ilvl w:val="0"/>
          <w:numId w:val="40"/>
        </w:numPr>
        <w:ind w:left="360" w:hanging="504"/>
        <w:rPr>
          <w:b/>
        </w:rPr>
      </w:pPr>
      <w:r w:rsidRPr="00116428">
        <w:rPr>
          <w:b/>
        </w:rPr>
        <w:t xml:space="preserve">Provide estimates of the hour burden of the collection of information.  The statement should: </w:t>
      </w:r>
    </w:p>
    <w:p w:rsidRPr="009E60F2" w:rsidR="00715D5E" w:rsidP="002F48DA" w:rsidRDefault="00715D5E" w14:paraId="516F07D2" w14:textId="52BEE538">
      <w:pPr>
        <w:pStyle w:val="ListParagraph"/>
        <w:numPr>
          <w:ilvl w:val="0"/>
          <w:numId w:val="45"/>
        </w:numPr>
        <w:ind w:left="720"/>
        <w:rPr>
          <w:b/>
        </w:rPr>
      </w:pPr>
      <w:r w:rsidRPr="009E60F2">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proofErr w:type="gramStart"/>
      <w:r w:rsidRPr="009E60F2">
        <w:rPr>
          <w:b/>
        </w:rPr>
        <w:t>practices;</w:t>
      </w:r>
      <w:proofErr w:type="gramEnd"/>
      <w:r w:rsidRPr="009E60F2">
        <w:rPr>
          <w:b/>
        </w:rPr>
        <w:t xml:space="preserve"> </w:t>
      </w:r>
    </w:p>
    <w:p w:rsidRPr="00DF4E4E" w:rsidR="00715D5E" w:rsidP="002F48DA" w:rsidRDefault="00715D5E" w14:paraId="2B8BF721" w14:textId="2CAB9906">
      <w:pPr>
        <w:numPr>
          <w:ilvl w:val="0"/>
          <w:numId w:val="39"/>
        </w:numPr>
        <w:tabs>
          <w:tab w:val="clear" w:pos="432"/>
        </w:tabs>
        <w:overflowPunct w:val="0"/>
        <w:autoSpaceDE w:val="0"/>
        <w:autoSpaceDN w:val="0"/>
        <w:adjustRightInd w:val="0"/>
        <w:spacing w:line="240" w:lineRule="auto"/>
        <w:ind w:left="720"/>
        <w:jc w:val="left"/>
        <w:rPr>
          <w:rFonts w:ascii="Times New Roman" w:hAnsi="Times New Roman"/>
          <w:b/>
        </w:rPr>
      </w:pPr>
      <w:r w:rsidRPr="00DF4E4E">
        <w:rPr>
          <w:rFonts w:ascii="Times New Roman" w:hAnsi="Times New Roman"/>
          <w:b/>
        </w:rPr>
        <w:t>if this request covers more than one form, provide separate hour burden estimates for</w:t>
      </w:r>
      <w:r w:rsidR="009E60F2">
        <w:rPr>
          <w:rFonts w:ascii="Times New Roman" w:hAnsi="Times New Roman"/>
          <w:b/>
        </w:rPr>
        <w:t xml:space="preserve"> </w:t>
      </w:r>
      <w:r w:rsidRPr="00DF4E4E">
        <w:rPr>
          <w:rFonts w:ascii="Times New Roman" w:hAnsi="Times New Roman"/>
          <w:b/>
        </w:rPr>
        <w:t>each form and aggregate the hour burdens in Item 13 of OMB Form 83-</w:t>
      </w:r>
      <w:proofErr w:type="gramStart"/>
      <w:r w:rsidRPr="00DF4E4E">
        <w:rPr>
          <w:rFonts w:ascii="Times New Roman" w:hAnsi="Times New Roman"/>
          <w:b/>
        </w:rPr>
        <w:t>I;</w:t>
      </w:r>
      <w:proofErr w:type="gramEnd"/>
      <w:r w:rsidRPr="00DF4E4E">
        <w:rPr>
          <w:rFonts w:ascii="Times New Roman" w:hAnsi="Times New Roman"/>
          <w:b/>
        </w:rPr>
        <w:t xml:space="preserve"> and </w:t>
      </w:r>
    </w:p>
    <w:p w:rsidRPr="00DF4E4E" w:rsidR="00715D5E" w:rsidP="002F48DA" w:rsidRDefault="00715D5E" w14:paraId="33947FC9" w14:textId="4FF7EA70">
      <w:pPr>
        <w:keepLines/>
        <w:numPr>
          <w:ilvl w:val="0"/>
          <w:numId w:val="39"/>
        </w:numPr>
        <w:tabs>
          <w:tab w:val="clear" w:pos="432"/>
        </w:tabs>
        <w:overflowPunct w:val="0"/>
        <w:autoSpaceDE w:val="0"/>
        <w:autoSpaceDN w:val="0"/>
        <w:adjustRightInd w:val="0"/>
        <w:spacing w:after="120" w:line="240" w:lineRule="auto"/>
        <w:ind w:left="720"/>
        <w:jc w:val="left"/>
        <w:rPr>
          <w:rFonts w:ascii="Times New Roman" w:hAnsi="Times New Roman"/>
          <w:b/>
        </w:rPr>
      </w:pPr>
      <w:r w:rsidRPr="00DF4E4E">
        <w:rPr>
          <w:rFonts w:ascii="Times New Roman" w:hAnsi="Times New Roman"/>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DF4E4E" w:rsidR="001402DB">
        <w:rPr>
          <w:rFonts w:ascii="Times New Roman" w:hAnsi="Times New Roman"/>
          <w:b/>
        </w:rPr>
        <w:t>Instead,</w:t>
      </w:r>
      <w:r w:rsidRPr="00DF4E4E">
        <w:rPr>
          <w:rFonts w:ascii="Times New Roman" w:hAnsi="Times New Roman"/>
          <w:b/>
        </w:rPr>
        <w:t xml:space="preserve"> this cost should be included in Item 13.</w:t>
      </w:r>
    </w:p>
    <w:p w:rsidRPr="0084072C" w:rsidR="003076F2" w:rsidP="00E43B7B" w:rsidRDefault="005E5951" w14:paraId="410BBA68" w14:textId="0B4ACAB7">
      <w:pPr>
        <w:tabs>
          <w:tab w:val="clear" w:pos="432"/>
        </w:tabs>
        <w:spacing w:line="240" w:lineRule="auto"/>
        <w:ind w:left="360" w:firstLine="0"/>
        <w:jc w:val="left"/>
        <w:rPr>
          <w:rFonts w:ascii="Times New Roman" w:hAnsi="Times New Roman"/>
          <w:b/>
          <w:bCs/>
        </w:rPr>
      </w:pPr>
      <w:r w:rsidRPr="0084072C">
        <w:rPr>
          <w:rFonts w:ascii="Times New Roman" w:hAnsi="Times New Roman"/>
        </w:rPr>
        <w:t xml:space="preserve">The </w:t>
      </w:r>
      <w:r w:rsidRPr="0084072C" w:rsidR="00785A36">
        <w:rPr>
          <w:rFonts w:ascii="Times New Roman" w:hAnsi="Times New Roman"/>
        </w:rPr>
        <w:t xml:space="preserve">projected </w:t>
      </w:r>
      <w:r w:rsidRPr="0084072C">
        <w:rPr>
          <w:rFonts w:ascii="Times New Roman" w:hAnsi="Times New Roman"/>
        </w:rPr>
        <w:t xml:space="preserve">burden estimates for data collection for </w:t>
      </w:r>
      <w:r w:rsidRPr="0084072C" w:rsidR="003076F2">
        <w:rPr>
          <w:rFonts w:ascii="Times New Roman" w:hAnsi="Times New Roman"/>
        </w:rPr>
        <w:t xml:space="preserve">PHA staff </w:t>
      </w:r>
      <w:r w:rsidRPr="0084072C">
        <w:rPr>
          <w:rFonts w:ascii="Times New Roman" w:hAnsi="Times New Roman"/>
        </w:rPr>
        <w:t xml:space="preserve">and participants is outlined in </w:t>
      </w:r>
      <w:r w:rsidRPr="0084072C" w:rsidR="000A0514">
        <w:rPr>
          <w:rFonts w:ascii="Times New Roman" w:hAnsi="Times New Roman"/>
        </w:rPr>
        <w:t xml:space="preserve">Exhibit A-1 </w:t>
      </w:r>
      <w:r w:rsidRPr="0084072C" w:rsidR="00B70138">
        <w:rPr>
          <w:rFonts w:ascii="Times New Roman" w:hAnsi="Times New Roman"/>
        </w:rPr>
        <w:t xml:space="preserve">below. </w:t>
      </w:r>
      <w:r w:rsidRPr="0084072C" w:rsidR="00785A36">
        <w:rPr>
          <w:rFonts w:ascii="Times New Roman" w:hAnsi="Times New Roman"/>
        </w:rPr>
        <w:t xml:space="preserve">These estimates assume the maximum possible number of study participants. </w:t>
      </w:r>
      <w:r w:rsidRPr="0084072C">
        <w:rPr>
          <w:rFonts w:ascii="Times New Roman" w:hAnsi="Times New Roman"/>
        </w:rPr>
        <w:t xml:space="preserve">The estimates </w:t>
      </w:r>
      <w:r w:rsidRPr="0084072C" w:rsidR="003076F2">
        <w:rPr>
          <w:rFonts w:ascii="Times New Roman" w:hAnsi="Times New Roman"/>
        </w:rPr>
        <w:t>a</w:t>
      </w:r>
      <w:r w:rsidRPr="0084072C">
        <w:rPr>
          <w:rFonts w:ascii="Times New Roman" w:hAnsi="Times New Roman"/>
        </w:rPr>
        <w:t xml:space="preserve">re based on </w:t>
      </w:r>
      <w:r w:rsidRPr="0084072C" w:rsidR="00D902CA">
        <w:rPr>
          <w:rFonts w:ascii="Times New Roman" w:hAnsi="Times New Roman"/>
        </w:rPr>
        <w:t xml:space="preserve">MDRC’s </w:t>
      </w:r>
      <w:r w:rsidRPr="0084072C">
        <w:rPr>
          <w:rFonts w:ascii="Times New Roman" w:hAnsi="Times New Roman"/>
        </w:rPr>
        <w:t xml:space="preserve">experience with previous </w:t>
      </w:r>
      <w:r w:rsidRPr="0084072C" w:rsidR="003076F2">
        <w:rPr>
          <w:rFonts w:ascii="Times New Roman" w:hAnsi="Times New Roman"/>
        </w:rPr>
        <w:t xml:space="preserve">rounds of data collection for the Rent Reform demonstration and other </w:t>
      </w:r>
      <w:r w:rsidRPr="0084072C">
        <w:rPr>
          <w:rFonts w:ascii="Times New Roman" w:hAnsi="Times New Roman"/>
        </w:rPr>
        <w:t>random assignment studies involving similar populations and data collection</w:t>
      </w:r>
      <w:r w:rsidRPr="0084072C" w:rsidR="00785A36">
        <w:rPr>
          <w:rFonts w:ascii="Times New Roman" w:hAnsi="Times New Roman"/>
        </w:rPr>
        <w:t xml:space="preserve">. The total annual cost burden to respondents is approximately </w:t>
      </w:r>
      <w:r w:rsidRPr="001402DB" w:rsidR="001402DB">
        <w:rPr>
          <w:rFonts w:ascii="Times New Roman" w:hAnsi="Times New Roman"/>
        </w:rPr>
        <w:t>$2,311.70</w:t>
      </w:r>
      <w:r w:rsidRPr="0084072C" w:rsidR="00785A36">
        <w:rPr>
          <w:rFonts w:ascii="Times New Roman" w:hAnsi="Times New Roman"/>
        </w:rPr>
        <w:t>.</w:t>
      </w:r>
    </w:p>
    <w:p w:rsidR="00DC213B" w:rsidP="000A0514" w:rsidRDefault="00DC213B" w14:paraId="4FED9D6F" w14:textId="60B9FEF8">
      <w:pPr>
        <w:pStyle w:val="BodyText"/>
        <w:ind w:left="480"/>
        <w:jc w:val="center"/>
        <w:rPr>
          <w:b/>
          <w:bCs/>
          <w:sz w:val="24"/>
          <w:szCs w:val="24"/>
        </w:rPr>
      </w:pPr>
    </w:p>
    <w:p w:rsidR="00E43B7B" w:rsidP="000A0514" w:rsidRDefault="00E43B7B" w14:paraId="5A774C8E" w14:textId="2DC0C2F9">
      <w:pPr>
        <w:pStyle w:val="BodyText"/>
        <w:ind w:left="480"/>
        <w:jc w:val="center"/>
        <w:rPr>
          <w:b/>
          <w:bCs/>
          <w:sz w:val="24"/>
          <w:szCs w:val="24"/>
        </w:rPr>
      </w:pPr>
    </w:p>
    <w:p w:rsidR="00E43B7B" w:rsidP="000A0514" w:rsidRDefault="00E43B7B" w14:paraId="570486B3" w14:textId="63B05C5D">
      <w:pPr>
        <w:pStyle w:val="BodyText"/>
        <w:ind w:left="480"/>
        <w:jc w:val="center"/>
        <w:rPr>
          <w:b/>
          <w:bCs/>
          <w:sz w:val="24"/>
          <w:szCs w:val="24"/>
        </w:rPr>
      </w:pPr>
    </w:p>
    <w:p w:rsidR="00E43B7B" w:rsidP="000A0514" w:rsidRDefault="00E43B7B" w14:paraId="7FD445BB" w14:textId="0D8410FF">
      <w:pPr>
        <w:pStyle w:val="BodyText"/>
        <w:ind w:left="480"/>
        <w:jc w:val="center"/>
        <w:rPr>
          <w:b/>
          <w:bCs/>
          <w:sz w:val="24"/>
          <w:szCs w:val="24"/>
        </w:rPr>
      </w:pPr>
    </w:p>
    <w:p w:rsidR="00E43B7B" w:rsidP="000A0514" w:rsidRDefault="00E43B7B" w14:paraId="1E8CB612" w14:textId="17318332">
      <w:pPr>
        <w:pStyle w:val="BodyText"/>
        <w:ind w:left="480"/>
        <w:jc w:val="center"/>
        <w:rPr>
          <w:b/>
          <w:bCs/>
          <w:sz w:val="24"/>
          <w:szCs w:val="24"/>
        </w:rPr>
      </w:pPr>
    </w:p>
    <w:p w:rsidR="00E43B7B" w:rsidP="000A0514" w:rsidRDefault="00E43B7B" w14:paraId="6182C08C" w14:textId="77777777">
      <w:pPr>
        <w:pStyle w:val="BodyText"/>
        <w:ind w:left="480"/>
        <w:jc w:val="center"/>
        <w:rPr>
          <w:b/>
          <w:bCs/>
          <w:sz w:val="24"/>
          <w:szCs w:val="24"/>
        </w:rPr>
      </w:pPr>
    </w:p>
    <w:p w:rsidR="00DC213B" w:rsidP="000A0514" w:rsidRDefault="00DC213B" w14:paraId="295C4EE5" w14:textId="243EF514">
      <w:pPr>
        <w:pStyle w:val="BodyText"/>
        <w:ind w:left="480"/>
        <w:jc w:val="center"/>
        <w:rPr>
          <w:b/>
          <w:bCs/>
          <w:sz w:val="24"/>
          <w:szCs w:val="24"/>
        </w:rPr>
      </w:pPr>
    </w:p>
    <w:p w:rsidR="00F067DF" w:rsidP="000A0514" w:rsidRDefault="00F067DF" w14:paraId="1E4CCF51" w14:textId="77777777">
      <w:pPr>
        <w:pStyle w:val="BodyText"/>
        <w:ind w:left="480"/>
        <w:jc w:val="center"/>
        <w:rPr>
          <w:b/>
          <w:bCs/>
          <w:sz w:val="24"/>
          <w:szCs w:val="24"/>
        </w:rPr>
      </w:pPr>
    </w:p>
    <w:p w:rsidR="00F067DF" w:rsidP="00F067DF" w:rsidRDefault="000A0514" w14:paraId="41882F94" w14:textId="3937019A">
      <w:pPr>
        <w:pStyle w:val="BodyText"/>
        <w:ind w:left="480"/>
        <w:jc w:val="center"/>
        <w:rPr>
          <w:b/>
          <w:bCs/>
          <w:sz w:val="24"/>
          <w:szCs w:val="24"/>
        </w:rPr>
      </w:pPr>
      <w:r>
        <w:rPr>
          <w:b/>
          <w:bCs/>
          <w:sz w:val="24"/>
          <w:szCs w:val="24"/>
        </w:rPr>
        <w:t>Exhibit A-1: Estimated Hour and Cost Burden of Information Collection</w:t>
      </w:r>
    </w:p>
    <w:p w:rsidRPr="00F067DF" w:rsidR="00F067DF" w:rsidP="00F067DF" w:rsidRDefault="00F067DF" w14:paraId="6D9E2590" w14:textId="77777777">
      <w:pPr>
        <w:pStyle w:val="BodyText"/>
        <w:ind w:left="480"/>
        <w:rPr>
          <w:b/>
          <w:bCs/>
          <w:sz w:val="24"/>
          <w:szCs w:val="24"/>
        </w:rPr>
      </w:pPr>
    </w:p>
    <w:tbl>
      <w:tblPr>
        <w:tblpPr w:leftFromText="180" w:rightFromText="180" w:vertAnchor="page" w:horzAnchor="margin" w:tblpX="-545" w:tblpY="2351"/>
        <w:tblW w:w="545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003"/>
        <w:gridCol w:w="1306"/>
        <w:gridCol w:w="1275"/>
        <w:gridCol w:w="1235"/>
        <w:gridCol w:w="1143"/>
        <w:gridCol w:w="955"/>
        <w:gridCol w:w="1143"/>
        <w:gridCol w:w="1143"/>
      </w:tblGrid>
      <w:tr w:rsidRPr="00F067DF" w:rsidR="001525F1" w:rsidTr="00E43B7B" w14:paraId="63FD85F4" w14:textId="77777777">
        <w:trPr>
          <w:trHeight w:val="798"/>
          <w:tblHeader/>
        </w:trPr>
        <w:tc>
          <w:tcPr>
            <w:tcW w:w="982" w:type="pct"/>
            <w:shd w:val="clear" w:color="auto" w:fill="auto"/>
            <w:tcMar>
              <w:top w:w="0" w:type="dxa"/>
              <w:left w:w="108" w:type="dxa"/>
              <w:bottom w:w="0" w:type="dxa"/>
              <w:right w:w="108" w:type="dxa"/>
            </w:tcMar>
            <w:hideMark/>
          </w:tcPr>
          <w:p w:rsidRPr="00F067DF" w:rsidR="001525F1" w:rsidP="00786F2C" w:rsidRDefault="001525F1" w14:paraId="5C69EDD8" w14:textId="77777777">
            <w:pPr>
              <w:overflowPunct w:val="0"/>
              <w:autoSpaceDE w:val="0"/>
              <w:autoSpaceDN w:val="0"/>
              <w:spacing w:line="240" w:lineRule="auto"/>
              <w:ind w:left="-90" w:right="-108" w:firstLine="0"/>
              <w:jc w:val="center"/>
              <w:rPr>
                <w:rFonts w:ascii="Times New Roman" w:hAnsi="Times New Roman" w:eastAsia="Calibri"/>
                <w:b/>
                <w:color w:val="000000"/>
                <w:sz w:val="20"/>
                <w:szCs w:val="20"/>
              </w:rPr>
            </w:pPr>
            <w:bookmarkStart w:name="_Hlk76715864" w:id="1"/>
            <w:r w:rsidRPr="00F067DF">
              <w:rPr>
                <w:rFonts w:ascii="Times New Roman" w:hAnsi="Times New Roman"/>
                <w:b/>
                <w:color w:val="000000"/>
                <w:sz w:val="20"/>
                <w:szCs w:val="20"/>
              </w:rPr>
              <w:t>Information Collection</w:t>
            </w:r>
          </w:p>
        </w:tc>
        <w:tc>
          <w:tcPr>
            <w:tcW w:w="640" w:type="pct"/>
            <w:shd w:val="clear" w:color="auto" w:fill="auto"/>
            <w:tcMar>
              <w:top w:w="0" w:type="dxa"/>
              <w:left w:w="108" w:type="dxa"/>
              <w:bottom w:w="0" w:type="dxa"/>
              <w:right w:w="108" w:type="dxa"/>
            </w:tcMar>
            <w:hideMark/>
          </w:tcPr>
          <w:p w:rsidRPr="00F067DF" w:rsidR="001525F1" w:rsidP="00786F2C" w:rsidRDefault="001525F1" w14:paraId="66D65234" w14:textId="77777777">
            <w:pPr>
              <w:overflowPunct w:val="0"/>
              <w:autoSpaceDE w:val="0"/>
              <w:autoSpaceDN w:val="0"/>
              <w:spacing w:line="240" w:lineRule="auto"/>
              <w:ind w:firstLine="0"/>
              <w:jc w:val="center"/>
              <w:rPr>
                <w:rFonts w:ascii="Times New Roman" w:hAnsi="Times New Roman" w:eastAsia="Calibri"/>
                <w:b/>
                <w:color w:val="000000"/>
                <w:sz w:val="20"/>
                <w:szCs w:val="20"/>
              </w:rPr>
            </w:pPr>
            <w:r w:rsidRPr="00F067DF">
              <w:rPr>
                <w:rFonts w:ascii="Times New Roman" w:hAnsi="Times New Roman"/>
                <w:b/>
                <w:color w:val="000000"/>
                <w:sz w:val="20"/>
                <w:szCs w:val="20"/>
              </w:rPr>
              <w:t>Number of Respondents</w:t>
            </w:r>
          </w:p>
        </w:tc>
        <w:tc>
          <w:tcPr>
            <w:tcW w:w="625" w:type="pct"/>
            <w:shd w:val="clear" w:color="auto" w:fill="auto"/>
            <w:tcMar>
              <w:top w:w="0" w:type="dxa"/>
              <w:left w:w="108" w:type="dxa"/>
              <w:bottom w:w="0" w:type="dxa"/>
              <w:right w:w="108" w:type="dxa"/>
            </w:tcMar>
            <w:hideMark/>
          </w:tcPr>
          <w:p w:rsidRPr="00F067DF" w:rsidR="001525F1" w:rsidP="00786F2C" w:rsidRDefault="001525F1" w14:paraId="471C93D2" w14:textId="77777777">
            <w:pPr>
              <w:overflowPunct w:val="0"/>
              <w:autoSpaceDE w:val="0"/>
              <w:autoSpaceDN w:val="0"/>
              <w:spacing w:line="240" w:lineRule="auto"/>
              <w:ind w:firstLine="0"/>
              <w:jc w:val="center"/>
              <w:rPr>
                <w:rFonts w:ascii="Times New Roman" w:hAnsi="Times New Roman" w:eastAsia="Calibri"/>
                <w:b/>
                <w:color w:val="000000"/>
                <w:sz w:val="20"/>
                <w:szCs w:val="20"/>
              </w:rPr>
            </w:pPr>
            <w:r w:rsidRPr="00F067DF">
              <w:rPr>
                <w:rFonts w:ascii="Times New Roman" w:hAnsi="Times New Roman"/>
                <w:b/>
                <w:color w:val="000000"/>
                <w:sz w:val="20"/>
                <w:szCs w:val="20"/>
              </w:rPr>
              <w:t>Frequency of Response</w:t>
            </w:r>
          </w:p>
        </w:tc>
        <w:tc>
          <w:tcPr>
            <w:tcW w:w="605" w:type="pct"/>
            <w:shd w:val="clear" w:color="auto" w:fill="auto"/>
            <w:tcMar>
              <w:top w:w="0" w:type="dxa"/>
              <w:left w:w="108" w:type="dxa"/>
              <w:bottom w:w="0" w:type="dxa"/>
              <w:right w:w="108" w:type="dxa"/>
            </w:tcMar>
            <w:hideMark/>
          </w:tcPr>
          <w:p w:rsidRPr="00F067DF" w:rsidR="001525F1" w:rsidP="00786F2C" w:rsidRDefault="001525F1" w14:paraId="2E5FAD97" w14:textId="77777777">
            <w:pPr>
              <w:spacing w:line="240" w:lineRule="auto"/>
              <w:ind w:firstLine="0"/>
              <w:jc w:val="center"/>
              <w:rPr>
                <w:rFonts w:ascii="Times New Roman" w:hAnsi="Times New Roman" w:eastAsia="Calibri"/>
                <w:b/>
                <w:color w:val="000000"/>
                <w:sz w:val="20"/>
                <w:szCs w:val="20"/>
              </w:rPr>
            </w:pPr>
            <w:r w:rsidRPr="00F067DF">
              <w:rPr>
                <w:rFonts w:ascii="Times New Roman" w:hAnsi="Times New Roman"/>
                <w:b/>
                <w:color w:val="000000"/>
                <w:sz w:val="20"/>
                <w:szCs w:val="20"/>
              </w:rPr>
              <w:t>Responses</w:t>
            </w:r>
          </w:p>
          <w:p w:rsidRPr="00F067DF" w:rsidR="001525F1" w:rsidP="00786F2C" w:rsidRDefault="001525F1" w14:paraId="27934C94" w14:textId="77777777">
            <w:pPr>
              <w:overflowPunct w:val="0"/>
              <w:autoSpaceDE w:val="0"/>
              <w:autoSpaceDN w:val="0"/>
              <w:spacing w:line="240" w:lineRule="auto"/>
              <w:ind w:firstLine="0"/>
              <w:jc w:val="center"/>
              <w:rPr>
                <w:rFonts w:ascii="Times New Roman" w:hAnsi="Times New Roman" w:eastAsia="Calibri"/>
                <w:b/>
                <w:color w:val="000000"/>
                <w:sz w:val="20"/>
                <w:szCs w:val="20"/>
              </w:rPr>
            </w:pPr>
            <w:r w:rsidRPr="00F067DF">
              <w:rPr>
                <w:rFonts w:ascii="Times New Roman" w:hAnsi="Times New Roman"/>
                <w:b/>
                <w:color w:val="000000"/>
                <w:sz w:val="20"/>
                <w:szCs w:val="20"/>
              </w:rPr>
              <w:t>Per Annum</w:t>
            </w:r>
          </w:p>
        </w:tc>
        <w:tc>
          <w:tcPr>
            <w:tcW w:w="560" w:type="pct"/>
            <w:shd w:val="clear" w:color="auto" w:fill="auto"/>
            <w:tcMar>
              <w:top w:w="0" w:type="dxa"/>
              <w:left w:w="108" w:type="dxa"/>
              <w:bottom w:w="0" w:type="dxa"/>
              <w:right w:w="108" w:type="dxa"/>
            </w:tcMar>
            <w:hideMark/>
          </w:tcPr>
          <w:p w:rsidRPr="00F067DF" w:rsidR="001525F1" w:rsidP="00786F2C" w:rsidRDefault="001525F1" w14:paraId="58ED919F" w14:textId="77777777">
            <w:pPr>
              <w:overflowPunct w:val="0"/>
              <w:autoSpaceDE w:val="0"/>
              <w:autoSpaceDN w:val="0"/>
              <w:spacing w:line="240" w:lineRule="auto"/>
              <w:ind w:firstLine="0"/>
              <w:jc w:val="center"/>
              <w:rPr>
                <w:rFonts w:ascii="Times New Roman" w:hAnsi="Times New Roman" w:eastAsia="Calibri"/>
                <w:b/>
                <w:color w:val="000000"/>
                <w:sz w:val="20"/>
                <w:szCs w:val="20"/>
              </w:rPr>
            </w:pPr>
            <w:r w:rsidRPr="00F067DF">
              <w:rPr>
                <w:rFonts w:ascii="Times New Roman" w:hAnsi="Times New Roman"/>
                <w:b/>
                <w:color w:val="000000"/>
                <w:sz w:val="20"/>
                <w:szCs w:val="20"/>
              </w:rPr>
              <w:t>Burden Hour Per Response</w:t>
            </w:r>
          </w:p>
        </w:tc>
        <w:tc>
          <w:tcPr>
            <w:tcW w:w="468" w:type="pct"/>
            <w:shd w:val="clear" w:color="auto" w:fill="auto"/>
            <w:tcMar>
              <w:top w:w="0" w:type="dxa"/>
              <w:left w:w="108" w:type="dxa"/>
              <w:bottom w:w="0" w:type="dxa"/>
              <w:right w:w="108" w:type="dxa"/>
            </w:tcMar>
            <w:hideMark/>
          </w:tcPr>
          <w:p w:rsidRPr="00F067DF" w:rsidR="001525F1" w:rsidP="00786F2C" w:rsidRDefault="001525F1" w14:paraId="2CF86205" w14:textId="77777777">
            <w:pPr>
              <w:overflowPunct w:val="0"/>
              <w:autoSpaceDE w:val="0"/>
              <w:autoSpaceDN w:val="0"/>
              <w:spacing w:line="240" w:lineRule="auto"/>
              <w:ind w:firstLine="0"/>
              <w:jc w:val="center"/>
              <w:rPr>
                <w:rFonts w:ascii="Times New Roman" w:hAnsi="Times New Roman" w:eastAsia="Calibri"/>
                <w:b/>
                <w:color w:val="000000"/>
                <w:sz w:val="20"/>
                <w:szCs w:val="20"/>
              </w:rPr>
            </w:pPr>
            <w:r w:rsidRPr="00F067DF">
              <w:rPr>
                <w:rFonts w:ascii="Times New Roman" w:hAnsi="Times New Roman"/>
                <w:b/>
                <w:color w:val="000000"/>
                <w:sz w:val="20"/>
                <w:szCs w:val="20"/>
              </w:rPr>
              <w:t>Annual Burden Hours</w:t>
            </w:r>
          </w:p>
        </w:tc>
        <w:tc>
          <w:tcPr>
            <w:tcW w:w="560" w:type="pct"/>
            <w:shd w:val="clear" w:color="auto" w:fill="auto"/>
            <w:tcMar>
              <w:top w:w="0" w:type="dxa"/>
              <w:left w:w="108" w:type="dxa"/>
              <w:bottom w:w="0" w:type="dxa"/>
              <w:right w:w="108" w:type="dxa"/>
            </w:tcMar>
            <w:hideMark/>
          </w:tcPr>
          <w:p w:rsidRPr="00F067DF" w:rsidR="001525F1" w:rsidP="00786F2C" w:rsidRDefault="001525F1" w14:paraId="4FD52AD0" w14:textId="77777777">
            <w:pPr>
              <w:overflowPunct w:val="0"/>
              <w:autoSpaceDE w:val="0"/>
              <w:autoSpaceDN w:val="0"/>
              <w:spacing w:line="240" w:lineRule="auto"/>
              <w:ind w:firstLine="0"/>
              <w:jc w:val="center"/>
              <w:rPr>
                <w:rFonts w:ascii="Times New Roman" w:hAnsi="Times New Roman" w:eastAsia="Calibri"/>
                <w:b/>
                <w:color w:val="000000"/>
                <w:sz w:val="20"/>
                <w:szCs w:val="20"/>
              </w:rPr>
            </w:pPr>
            <w:r w:rsidRPr="00F067DF">
              <w:rPr>
                <w:rFonts w:ascii="Times New Roman" w:hAnsi="Times New Roman"/>
                <w:b/>
                <w:color w:val="000000"/>
                <w:sz w:val="20"/>
                <w:szCs w:val="20"/>
              </w:rPr>
              <w:t>Hourly Cost Per Response</w:t>
            </w:r>
          </w:p>
        </w:tc>
        <w:tc>
          <w:tcPr>
            <w:tcW w:w="560" w:type="pct"/>
            <w:shd w:val="clear" w:color="auto" w:fill="auto"/>
            <w:tcMar>
              <w:top w:w="0" w:type="dxa"/>
              <w:left w:w="108" w:type="dxa"/>
              <w:bottom w:w="0" w:type="dxa"/>
              <w:right w:w="108" w:type="dxa"/>
            </w:tcMar>
          </w:tcPr>
          <w:p w:rsidRPr="00F067DF" w:rsidR="001525F1" w:rsidP="00786F2C" w:rsidRDefault="001525F1" w14:paraId="3FD854F7" w14:textId="77777777">
            <w:pPr>
              <w:spacing w:line="240" w:lineRule="auto"/>
              <w:ind w:firstLine="0"/>
              <w:jc w:val="center"/>
              <w:rPr>
                <w:rFonts w:ascii="Times New Roman" w:hAnsi="Times New Roman" w:eastAsia="Calibri"/>
                <w:b/>
                <w:color w:val="000000"/>
                <w:sz w:val="20"/>
                <w:szCs w:val="20"/>
              </w:rPr>
            </w:pPr>
            <w:r w:rsidRPr="00F067DF">
              <w:rPr>
                <w:rFonts w:ascii="Times New Roman" w:hAnsi="Times New Roman"/>
                <w:b/>
                <w:color w:val="000000"/>
                <w:sz w:val="20"/>
                <w:szCs w:val="20"/>
              </w:rPr>
              <w:t>Annual Cost</w:t>
            </w:r>
          </w:p>
          <w:p w:rsidRPr="00F067DF" w:rsidR="001525F1" w:rsidP="00786F2C" w:rsidRDefault="001525F1" w14:paraId="694054AE" w14:textId="77777777">
            <w:pPr>
              <w:overflowPunct w:val="0"/>
              <w:autoSpaceDE w:val="0"/>
              <w:autoSpaceDN w:val="0"/>
              <w:spacing w:line="240" w:lineRule="auto"/>
              <w:jc w:val="center"/>
              <w:rPr>
                <w:rFonts w:ascii="Times New Roman" w:hAnsi="Times New Roman" w:eastAsia="Calibri"/>
                <w:b/>
                <w:color w:val="000000"/>
                <w:sz w:val="20"/>
                <w:szCs w:val="20"/>
              </w:rPr>
            </w:pPr>
          </w:p>
        </w:tc>
      </w:tr>
      <w:tr w:rsidRPr="00F067DF" w:rsidR="001525F1" w:rsidTr="00E43B7B" w14:paraId="1AD918AA" w14:textId="77777777">
        <w:trPr>
          <w:trHeight w:val="536"/>
        </w:trPr>
        <w:tc>
          <w:tcPr>
            <w:tcW w:w="982" w:type="pct"/>
            <w:tcMar>
              <w:top w:w="0" w:type="dxa"/>
              <w:left w:w="108" w:type="dxa"/>
              <w:bottom w:w="0" w:type="dxa"/>
              <w:right w:w="108" w:type="dxa"/>
            </w:tcMar>
          </w:tcPr>
          <w:p w:rsidRPr="00F067DF" w:rsidR="001525F1" w:rsidP="00F067DF" w:rsidRDefault="001525F1" w14:paraId="1008CD51" w14:textId="4784F502">
            <w:pPr>
              <w:overflowPunct w:val="0"/>
              <w:autoSpaceDE w:val="0"/>
              <w:autoSpaceDN w:val="0"/>
              <w:spacing w:line="240" w:lineRule="auto"/>
              <w:ind w:firstLine="0"/>
              <w:jc w:val="left"/>
              <w:rPr>
                <w:rFonts w:ascii="Times New Roman" w:hAnsi="Times New Roman"/>
                <w:bCs/>
                <w:color w:val="000000"/>
                <w:sz w:val="20"/>
                <w:szCs w:val="20"/>
              </w:rPr>
            </w:pPr>
            <w:r w:rsidRPr="00F067DF">
              <w:rPr>
                <w:rFonts w:ascii="Times New Roman" w:hAnsi="Times New Roman" w:eastAsia="Arial Unicode MS"/>
                <w:bCs/>
                <w:snapToGrid w:val="0"/>
                <w:sz w:val="20"/>
                <w:szCs w:val="20"/>
              </w:rPr>
              <w:t>Study Participant Interviews</w:t>
            </w:r>
          </w:p>
        </w:tc>
        <w:tc>
          <w:tcPr>
            <w:tcW w:w="640" w:type="pct"/>
            <w:tcMar>
              <w:top w:w="0" w:type="dxa"/>
              <w:left w:w="108" w:type="dxa"/>
              <w:bottom w:w="0" w:type="dxa"/>
              <w:right w:w="108" w:type="dxa"/>
            </w:tcMar>
          </w:tcPr>
          <w:p w:rsidRPr="00F067DF" w:rsidR="001525F1" w:rsidP="00786F2C" w:rsidRDefault="001525F1" w14:paraId="3CB95094" w14:textId="52B83607">
            <w:pPr>
              <w:overflowPunct w:val="0"/>
              <w:autoSpaceDE w:val="0"/>
              <w:autoSpaceDN w:val="0"/>
              <w:spacing w:line="240" w:lineRule="auto"/>
              <w:ind w:firstLine="0"/>
              <w:jc w:val="right"/>
              <w:rPr>
                <w:rFonts w:ascii="Times New Roman" w:hAnsi="Times New Roman"/>
                <w:bCs/>
                <w:color w:val="000000"/>
                <w:sz w:val="20"/>
                <w:szCs w:val="20"/>
              </w:rPr>
            </w:pPr>
            <w:r w:rsidRPr="00F067DF">
              <w:rPr>
                <w:rFonts w:ascii="Times New Roman" w:hAnsi="Times New Roman" w:eastAsia="Arial Unicode MS"/>
                <w:bCs/>
                <w:snapToGrid w:val="0"/>
                <w:sz w:val="20"/>
                <w:szCs w:val="20"/>
              </w:rPr>
              <w:t>60</w:t>
            </w:r>
          </w:p>
        </w:tc>
        <w:tc>
          <w:tcPr>
            <w:tcW w:w="625" w:type="pct"/>
            <w:tcMar>
              <w:top w:w="0" w:type="dxa"/>
              <w:left w:w="108" w:type="dxa"/>
              <w:bottom w:w="0" w:type="dxa"/>
              <w:right w:w="108" w:type="dxa"/>
            </w:tcMar>
          </w:tcPr>
          <w:p w:rsidRPr="00F067DF" w:rsidR="001525F1" w:rsidP="00786F2C" w:rsidRDefault="001525F1" w14:paraId="2C55016D" w14:textId="77777777">
            <w:pPr>
              <w:overflowPunct w:val="0"/>
              <w:autoSpaceDE w:val="0"/>
              <w:autoSpaceDN w:val="0"/>
              <w:spacing w:line="240" w:lineRule="auto"/>
              <w:ind w:firstLine="0"/>
              <w:jc w:val="right"/>
              <w:rPr>
                <w:rFonts w:ascii="Times New Roman" w:hAnsi="Times New Roman" w:eastAsia="Calibri"/>
                <w:bCs/>
                <w:color w:val="000000"/>
                <w:sz w:val="20"/>
                <w:szCs w:val="20"/>
              </w:rPr>
            </w:pPr>
            <w:r w:rsidRPr="00F067DF">
              <w:rPr>
                <w:rFonts w:ascii="Times New Roman" w:hAnsi="Times New Roman" w:eastAsia="Calibri"/>
                <w:bCs/>
                <w:color w:val="000000"/>
                <w:sz w:val="20"/>
                <w:szCs w:val="20"/>
              </w:rPr>
              <w:t>1</w:t>
            </w:r>
          </w:p>
        </w:tc>
        <w:tc>
          <w:tcPr>
            <w:tcW w:w="605" w:type="pct"/>
            <w:tcMar>
              <w:top w:w="0" w:type="dxa"/>
              <w:left w:w="108" w:type="dxa"/>
              <w:bottom w:w="0" w:type="dxa"/>
              <w:right w:w="108" w:type="dxa"/>
            </w:tcMar>
          </w:tcPr>
          <w:p w:rsidRPr="00F067DF" w:rsidR="001525F1" w:rsidP="00786F2C" w:rsidRDefault="001525F1" w14:paraId="54248D43" w14:textId="77777777">
            <w:pPr>
              <w:overflowPunct w:val="0"/>
              <w:autoSpaceDE w:val="0"/>
              <w:autoSpaceDN w:val="0"/>
              <w:spacing w:line="240" w:lineRule="auto"/>
              <w:ind w:firstLine="0"/>
              <w:jc w:val="right"/>
              <w:rPr>
                <w:rFonts w:ascii="Times New Roman" w:hAnsi="Times New Roman" w:eastAsia="Calibri"/>
                <w:bCs/>
                <w:color w:val="000000"/>
                <w:sz w:val="20"/>
                <w:szCs w:val="20"/>
              </w:rPr>
            </w:pPr>
            <w:r w:rsidRPr="00F067DF">
              <w:rPr>
                <w:rFonts w:ascii="Times New Roman" w:hAnsi="Times New Roman" w:eastAsia="Calibri"/>
                <w:bCs/>
                <w:color w:val="000000"/>
                <w:sz w:val="20"/>
                <w:szCs w:val="20"/>
              </w:rPr>
              <w:t>60</w:t>
            </w:r>
          </w:p>
        </w:tc>
        <w:tc>
          <w:tcPr>
            <w:tcW w:w="560" w:type="pct"/>
            <w:tcMar>
              <w:top w:w="0" w:type="dxa"/>
              <w:left w:w="108" w:type="dxa"/>
              <w:bottom w:w="0" w:type="dxa"/>
              <w:right w:w="108" w:type="dxa"/>
            </w:tcMar>
          </w:tcPr>
          <w:p w:rsidRPr="00F067DF" w:rsidR="001525F1" w:rsidP="00786F2C" w:rsidRDefault="001525F1" w14:paraId="194C14F0" w14:textId="4B87339F">
            <w:pPr>
              <w:overflowPunct w:val="0"/>
              <w:autoSpaceDE w:val="0"/>
              <w:autoSpaceDN w:val="0"/>
              <w:spacing w:line="240" w:lineRule="auto"/>
              <w:ind w:firstLine="0"/>
              <w:jc w:val="right"/>
              <w:rPr>
                <w:rFonts w:ascii="Times New Roman" w:hAnsi="Times New Roman" w:eastAsia="Calibri"/>
                <w:bCs/>
                <w:color w:val="000000"/>
                <w:sz w:val="20"/>
                <w:szCs w:val="20"/>
              </w:rPr>
            </w:pPr>
            <w:r w:rsidRPr="00F067DF">
              <w:rPr>
                <w:rFonts w:ascii="Times New Roman" w:hAnsi="Times New Roman" w:eastAsia="Arial Unicode MS"/>
                <w:bCs/>
                <w:snapToGrid w:val="0"/>
                <w:sz w:val="20"/>
                <w:szCs w:val="20"/>
              </w:rPr>
              <w:t>1.5</w:t>
            </w:r>
          </w:p>
        </w:tc>
        <w:tc>
          <w:tcPr>
            <w:tcW w:w="468" w:type="pct"/>
            <w:tcMar>
              <w:top w:w="0" w:type="dxa"/>
              <w:left w:w="108" w:type="dxa"/>
              <w:bottom w:w="0" w:type="dxa"/>
              <w:right w:w="108" w:type="dxa"/>
            </w:tcMar>
          </w:tcPr>
          <w:p w:rsidRPr="00F067DF" w:rsidR="001525F1" w:rsidP="00786F2C" w:rsidRDefault="001525F1" w14:paraId="16CC0D9D" w14:textId="3D847059">
            <w:pPr>
              <w:overflowPunct w:val="0"/>
              <w:autoSpaceDE w:val="0"/>
              <w:autoSpaceDN w:val="0"/>
              <w:spacing w:line="240" w:lineRule="auto"/>
              <w:ind w:firstLine="0"/>
              <w:jc w:val="right"/>
              <w:rPr>
                <w:rFonts w:ascii="Times New Roman" w:hAnsi="Times New Roman" w:eastAsia="Calibri"/>
                <w:bCs/>
                <w:color w:val="000000"/>
                <w:sz w:val="20"/>
                <w:szCs w:val="20"/>
              </w:rPr>
            </w:pPr>
            <w:r w:rsidRPr="00F067DF">
              <w:rPr>
                <w:rFonts w:ascii="Times New Roman" w:hAnsi="Times New Roman" w:eastAsia="Calibri"/>
                <w:bCs/>
                <w:color w:val="000000"/>
                <w:sz w:val="20"/>
                <w:szCs w:val="20"/>
              </w:rPr>
              <w:t>9</w:t>
            </w:r>
            <w:r w:rsidR="00F067DF">
              <w:rPr>
                <w:rFonts w:ascii="Times New Roman" w:hAnsi="Times New Roman" w:eastAsia="Calibri"/>
                <w:bCs/>
                <w:color w:val="000000"/>
                <w:sz w:val="20"/>
                <w:szCs w:val="20"/>
              </w:rPr>
              <w:t>0</w:t>
            </w:r>
          </w:p>
        </w:tc>
        <w:tc>
          <w:tcPr>
            <w:tcW w:w="560" w:type="pct"/>
            <w:tcMar>
              <w:top w:w="0" w:type="dxa"/>
              <w:left w:w="108" w:type="dxa"/>
              <w:bottom w:w="0" w:type="dxa"/>
              <w:right w:w="108" w:type="dxa"/>
            </w:tcMar>
          </w:tcPr>
          <w:p w:rsidRPr="00F067DF" w:rsidR="001525F1" w:rsidP="00786F2C" w:rsidRDefault="001525F1" w14:paraId="2D32EC05" w14:textId="77777777">
            <w:pPr>
              <w:overflowPunct w:val="0"/>
              <w:autoSpaceDE w:val="0"/>
              <w:autoSpaceDN w:val="0"/>
              <w:spacing w:line="240" w:lineRule="auto"/>
              <w:ind w:firstLine="0"/>
              <w:jc w:val="right"/>
              <w:rPr>
                <w:rFonts w:ascii="Times New Roman" w:hAnsi="Times New Roman" w:eastAsia="Calibri"/>
                <w:bCs/>
                <w:color w:val="000000"/>
                <w:sz w:val="20"/>
                <w:szCs w:val="20"/>
              </w:rPr>
            </w:pPr>
            <w:r w:rsidRPr="00F067DF">
              <w:rPr>
                <w:rFonts w:ascii="Times New Roman" w:hAnsi="Times New Roman" w:eastAsia="Calibri"/>
                <w:bCs/>
                <w:color w:val="000000"/>
                <w:sz w:val="20"/>
                <w:szCs w:val="20"/>
              </w:rPr>
              <w:t>$7.25</w:t>
            </w:r>
          </w:p>
        </w:tc>
        <w:tc>
          <w:tcPr>
            <w:tcW w:w="560" w:type="pct"/>
            <w:tcMar>
              <w:top w:w="0" w:type="dxa"/>
              <w:left w:w="108" w:type="dxa"/>
              <w:bottom w:w="0" w:type="dxa"/>
              <w:right w:w="108" w:type="dxa"/>
            </w:tcMar>
          </w:tcPr>
          <w:p w:rsidRPr="00F067DF" w:rsidR="001525F1" w:rsidP="00786F2C" w:rsidRDefault="00786F2C" w14:paraId="15954732" w14:textId="131FB265">
            <w:pPr>
              <w:overflowPunct w:val="0"/>
              <w:autoSpaceDE w:val="0"/>
              <w:autoSpaceDN w:val="0"/>
              <w:spacing w:line="240" w:lineRule="auto"/>
              <w:ind w:firstLine="0"/>
              <w:jc w:val="right"/>
              <w:rPr>
                <w:rFonts w:ascii="Times New Roman" w:hAnsi="Times New Roman" w:eastAsia="Calibri"/>
                <w:bCs/>
                <w:color w:val="000000"/>
                <w:sz w:val="20"/>
                <w:szCs w:val="20"/>
              </w:rPr>
            </w:pPr>
            <w:r>
              <w:rPr>
                <w:rFonts w:ascii="Times New Roman" w:hAnsi="Times New Roman" w:eastAsia="Calibri"/>
                <w:bCs/>
                <w:color w:val="000000"/>
                <w:sz w:val="20"/>
                <w:szCs w:val="20"/>
              </w:rPr>
              <w:t>$</w:t>
            </w:r>
            <w:r w:rsidRPr="00F067DF" w:rsidR="001525F1">
              <w:rPr>
                <w:rFonts w:ascii="Times New Roman" w:hAnsi="Times New Roman" w:eastAsia="Calibri"/>
                <w:bCs/>
                <w:color w:val="000000"/>
                <w:sz w:val="20"/>
                <w:szCs w:val="20"/>
              </w:rPr>
              <w:t>652.50</w:t>
            </w:r>
          </w:p>
        </w:tc>
      </w:tr>
      <w:tr w:rsidRPr="00F067DF" w:rsidR="001525F1" w:rsidTr="00E43B7B" w14:paraId="5D3BCA8E" w14:textId="77777777">
        <w:trPr>
          <w:trHeight w:val="347"/>
        </w:trPr>
        <w:tc>
          <w:tcPr>
            <w:tcW w:w="982" w:type="pct"/>
            <w:tcMar>
              <w:top w:w="0" w:type="dxa"/>
              <w:left w:w="108" w:type="dxa"/>
              <w:bottom w:w="0" w:type="dxa"/>
              <w:right w:w="108" w:type="dxa"/>
            </w:tcMar>
          </w:tcPr>
          <w:p w:rsidRPr="00F067DF" w:rsidR="001525F1" w:rsidP="00F067DF" w:rsidRDefault="001525F1" w14:paraId="159400E3" w14:textId="7039F37D">
            <w:pPr>
              <w:overflowPunct w:val="0"/>
              <w:autoSpaceDE w:val="0"/>
              <w:autoSpaceDN w:val="0"/>
              <w:spacing w:line="240" w:lineRule="auto"/>
              <w:ind w:firstLine="0"/>
              <w:jc w:val="left"/>
              <w:rPr>
                <w:rFonts w:ascii="Times New Roman" w:hAnsi="Times New Roman"/>
                <w:bCs/>
                <w:color w:val="000000"/>
                <w:sz w:val="20"/>
                <w:szCs w:val="20"/>
              </w:rPr>
            </w:pPr>
            <w:r w:rsidRPr="00F067DF">
              <w:rPr>
                <w:rFonts w:ascii="Times New Roman" w:hAnsi="Times New Roman" w:eastAsia="Arial Unicode MS"/>
                <w:bCs/>
                <w:snapToGrid w:val="0"/>
                <w:sz w:val="20"/>
                <w:szCs w:val="20"/>
              </w:rPr>
              <w:t xml:space="preserve">PHA </w:t>
            </w:r>
            <w:r w:rsidR="00161EA8">
              <w:rPr>
                <w:rFonts w:ascii="Times New Roman" w:hAnsi="Times New Roman" w:eastAsia="Arial Unicode MS"/>
                <w:bCs/>
                <w:snapToGrid w:val="0"/>
                <w:sz w:val="20"/>
                <w:szCs w:val="20"/>
              </w:rPr>
              <w:t xml:space="preserve">Supervisor </w:t>
            </w:r>
            <w:r w:rsidRPr="00F067DF">
              <w:rPr>
                <w:rFonts w:ascii="Times New Roman" w:hAnsi="Times New Roman" w:eastAsia="Arial Unicode MS"/>
                <w:bCs/>
                <w:snapToGrid w:val="0"/>
                <w:sz w:val="20"/>
                <w:szCs w:val="20"/>
              </w:rPr>
              <w:t>Interviews</w:t>
            </w:r>
          </w:p>
        </w:tc>
        <w:tc>
          <w:tcPr>
            <w:tcW w:w="640" w:type="pct"/>
            <w:tcMar>
              <w:top w:w="0" w:type="dxa"/>
              <w:left w:w="108" w:type="dxa"/>
              <w:bottom w:w="0" w:type="dxa"/>
              <w:right w:w="108" w:type="dxa"/>
            </w:tcMar>
          </w:tcPr>
          <w:p w:rsidRPr="00F067DF" w:rsidR="001525F1" w:rsidP="00786F2C" w:rsidRDefault="00161EA8" w14:paraId="69F2B0BF" w14:textId="40CF059A">
            <w:pPr>
              <w:overflowPunct w:val="0"/>
              <w:autoSpaceDE w:val="0"/>
              <w:autoSpaceDN w:val="0"/>
              <w:spacing w:line="240" w:lineRule="auto"/>
              <w:ind w:firstLine="0"/>
              <w:jc w:val="right"/>
              <w:rPr>
                <w:rFonts w:ascii="Times New Roman" w:hAnsi="Times New Roman"/>
                <w:bCs/>
                <w:color w:val="000000"/>
                <w:sz w:val="20"/>
                <w:szCs w:val="20"/>
              </w:rPr>
            </w:pPr>
            <w:r>
              <w:rPr>
                <w:rFonts w:ascii="Times New Roman" w:hAnsi="Times New Roman"/>
                <w:bCs/>
                <w:color w:val="000000"/>
                <w:sz w:val="20"/>
                <w:szCs w:val="20"/>
              </w:rPr>
              <w:t>9</w:t>
            </w:r>
          </w:p>
        </w:tc>
        <w:tc>
          <w:tcPr>
            <w:tcW w:w="625" w:type="pct"/>
            <w:tcMar>
              <w:top w:w="0" w:type="dxa"/>
              <w:left w:w="108" w:type="dxa"/>
              <w:bottom w:w="0" w:type="dxa"/>
              <w:right w:w="108" w:type="dxa"/>
            </w:tcMar>
          </w:tcPr>
          <w:p w:rsidRPr="00F067DF" w:rsidR="001525F1" w:rsidP="00786F2C" w:rsidRDefault="001525F1" w14:paraId="1E7376A4" w14:textId="77777777">
            <w:pPr>
              <w:overflowPunct w:val="0"/>
              <w:autoSpaceDE w:val="0"/>
              <w:autoSpaceDN w:val="0"/>
              <w:spacing w:line="240" w:lineRule="auto"/>
              <w:ind w:firstLine="0"/>
              <w:jc w:val="right"/>
              <w:rPr>
                <w:rFonts w:ascii="Times New Roman" w:hAnsi="Times New Roman" w:eastAsia="Calibri"/>
                <w:bCs/>
                <w:color w:val="000000"/>
                <w:sz w:val="20"/>
                <w:szCs w:val="20"/>
              </w:rPr>
            </w:pPr>
            <w:r w:rsidRPr="00F067DF">
              <w:rPr>
                <w:rFonts w:ascii="Times New Roman" w:hAnsi="Times New Roman" w:eastAsia="Calibri"/>
                <w:bCs/>
                <w:color w:val="000000"/>
                <w:sz w:val="20"/>
                <w:szCs w:val="20"/>
              </w:rPr>
              <w:t>1</w:t>
            </w:r>
          </w:p>
        </w:tc>
        <w:tc>
          <w:tcPr>
            <w:tcW w:w="605" w:type="pct"/>
            <w:tcMar>
              <w:top w:w="0" w:type="dxa"/>
              <w:left w:w="108" w:type="dxa"/>
              <w:bottom w:w="0" w:type="dxa"/>
              <w:right w:w="108" w:type="dxa"/>
            </w:tcMar>
          </w:tcPr>
          <w:p w:rsidRPr="00F067DF" w:rsidR="001525F1" w:rsidP="00786F2C" w:rsidRDefault="00161EA8" w14:paraId="4E9B3098" w14:textId="06CF42E1">
            <w:pPr>
              <w:overflowPunct w:val="0"/>
              <w:autoSpaceDE w:val="0"/>
              <w:autoSpaceDN w:val="0"/>
              <w:spacing w:line="240" w:lineRule="auto"/>
              <w:ind w:firstLine="0"/>
              <w:jc w:val="right"/>
              <w:rPr>
                <w:rFonts w:ascii="Times New Roman" w:hAnsi="Times New Roman" w:eastAsia="Calibri"/>
                <w:bCs/>
                <w:color w:val="000000"/>
                <w:sz w:val="20"/>
                <w:szCs w:val="20"/>
              </w:rPr>
            </w:pPr>
            <w:r>
              <w:rPr>
                <w:rFonts w:ascii="Times New Roman" w:hAnsi="Times New Roman" w:eastAsia="Calibri"/>
                <w:bCs/>
                <w:color w:val="000000"/>
                <w:sz w:val="20"/>
                <w:szCs w:val="20"/>
              </w:rPr>
              <w:t>9</w:t>
            </w:r>
          </w:p>
        </w:tc>
        <w:tc>
          <w:tcPr>
            <w:tcW w:w="560" w:type="pct"/>
            <w:tcMar>
              <w:top w:w="0" w:type="dxa"/>
              <w:left w:w="108" w:type="dxa"/>
              <w:bottom w:w="0" w:type="dxa"/>
              <w:right w:w="108" w:type="dxa"/>
            </w:tcMar>
          </w:tcPr>
          <w:p w:rsidRPr="00F067DF" w:rsidR="001525F1" w:rsidP="00786F2C" w:rsidRDefault="001525F1" w14:paraId="32A407D8" w14:textId="1AE6EDC1">
            <w:pPr>
              <w:overflowPunct w:val="0"/>
              <w:autoSpaceDE w:val="0"/>
              <w:autoSpaceDN w:val="0"/>
              <w:spacing w:line="240" w:lineRule="auto"/>
              <w:ind w:firstLine="0"/>
              <w:jc w:val="right"/>
              <w:rPr>
                <w:rFonts w:ascii="Times New Roman" w:hAnsi="Times New Roman" w:eastAsia="Calibri"/>
                <w:bCs/>
                <w:color w:val="000000"/>
                <w:sz w:val="20"/>
                <w:szCs w:val="20"/>
              </w:rPr>
            </w:pPr>
            <w:r w:rsidRPr="00F067DF">
              <w:rPr>
                <w:rFonts w:ascii="Times New Roman" w:hAnsi="Times New Roman" w:eastAsia="Arial Unicode MS"/>
                <w:bCs/>
                <w:snapToGrid w:val="0"/>
                <w:sz w:val="20"/>
                <w:szCs w:val="20"/>
              </w:rPr>
              <w:t>1.5</w:t>
            </w:r>
          </w:p>
        </w:tc>
        <w:tc>
          <w:tcPr>
            <w:tcW w:w="468" w:type="pct"/>
            <w:tcMar>
              <w:top w:w="0" w:type="dxa"/>
              <w:left w:w="108" w:type="dxa"/>
              <w:bottom w:w="0" w:type="dxa"/>
              <w:right w:w="108" w:type="dxa"/>
            </w:tcMar>
          </w:tcPr>
          <w:p w:rsidRPr="00F067DF" w:rsidR="001525F1" w:rsidP="00786F2C" w:rsidRDefault="003D2BE7" w14:paraId="59CDAE07" w14:textId="4C1A8A37">
            <w:pPr>
              <w:overflowPunct w:val="0"/>
              <w:autoSpaceDE w:val="0"/>
              <w:autoSpaceDN w:val="0"/>
              <w:spacing w:line="240" w:lineRule="auto"/>
              <w:ind w:firstLine="0"/>
              <w:jc w:val="right"/>
              <w:rPr>
                <w:rFonts w:ascii="Times New Roman" w:hAnsi="Times New Roman" w:eastAsia="Calibri"/>
                <w:bCs/>
                <w:color w:val="000000"/>
                <w:sz w:val="20"/>
                <w:szCs w:val="20"/>
              </w:rPr>
            </w:pPr>
            <w:r>
              <w:rPr>
                <w:rFonts w:ascii="Times New Roman" w:hAnsi="Times New Roman" w:eastAsia="Arial Unicode MS"/>
                <w:bCs/>
                <w:snapToGrid w:val="0"/>
                <w:sz w:val="20"/>
                <w:szCs w:val="20"/>
              </w:rPr>
              <w:t>14</w:t>
            </w:r>
          </w:p>
        </w:tc>
        <w:tc>
          <w:tcPr>
            <w:tcW w:w="560" w:type="pct"/>
            <w:tcMar>
              <w:top w:w="0" w:type="dxa"/>
              <w:left w:w="108" w:type="dxa"/>
              <w:bottom w:w="0" w:type="dxa"/>
              <w:right w:w="108" w:type="dxa"/>
            </w:tcMar>
          </w:tcPr>
          <w:p w:rsidRPr="00F067DF" w:rsidR="001525F1" w:rsidP="00786F2C" w:rsidRDefault="001525F1" w14:paraId="429A241A" w14:textId="22D849E3">
            <w:pPr>
              <w:overflowPunct w:val="0"/>
              <w:autoSpaceDE w:val="0"/>
              <w:autoSpaceDN w:val="0"/>
              <w:spacing w:line="240" w:lineRule="auto"/>
              <w:ind w:firstLine="0"/>
              <w:jc w:val="right"/>
              <w:rPr>
                <w:rFonts w:ascii="Times New Roman" w:hAnsi="Times New Roman" w:eastAsia="Calibri"/>
                <w:bCs/>
                <w:color w:val="000000"/>
                <w:sz w:val="20"/>
                <w:szCs w:val="20"/>
              </w:rPr>
            </w:pPr>
            <w:r w:rsidRPr="00F067DF">
              <w:rPr>
                <w:rFonts w:ascii="Times New Roman" w:hAnsi="Times New Roman" w:eastAsia="Calibri"/>
                <w:bCs/>
                <w:color w:val="000000"/>
                <w:sz w:val="20"/>
                <w:szCs w:val="20"/>
              </w:rPr>
              <w:t>$</w:t>
            </w:r>
            <w:r w:rsidR="00031199">
              <w:rPr>
                <w:rFonts w:ascii="Times New Roman" w:hAnsi="Times New Roman" w:eastAsia="Calibri"/>
                <w:bCs/>
                <w:color w:val="000000"/>
                <w:sz w:val="20"/>
                <w:szCs w:val="20"/>
              </w:rPr>
              <w:t>42.17</w:t>
            </w:r>
          </w:p>
        </w:tc>
        <w:tc>
          <w:tcPr>
            <w:tcW w:w="560" w:type="pct"/>
            <w:tcMar>
              <w:top w:w="0" w:type="dxa"/>
              <w:left w:w="108" w:type="dxa"/>
              <w:bottom w:w="0" w:type="dxa"/>
              <w:right w:w="108" w:type="dxa"/>
            </w:tcMar>
          </w:tcPr>
          <w:p w:rsidRPr="00F067DF" w:rsidR="001525F1" w:rsidP="00786F2C" w:rsidRDefault="001525F1" w14:paraId="2E67BFF4" w14:textId="61F3FC5A">
            <w:pPr>
              <w:overflowPunct w:val="0"/>
              <w:autoSpaceDE w:val="0"/>
              <w:autoSpaceDN w:val="0"/>
              <w:spacing w:line="240" w:lineRule="auto"/>
              <w:ind w:firstLine="0"/>
              <w:jc w:val="right"/>
              <w:rPr>
                <w:rFonts w:ascii="Times New Roman" w:hAnsi="Times New Roman" w:eastAsia="Calibri"/>
                <w:bCs/>
                <w:color w:val="000000"/>
                <w:sz w:val="20"/>
                <w:szCs w:val="20"/>
              </w:rPr>
            </w:pPr>
            <w:r w:rsidRPr="00F067DF">
              <w:rPr>
                <w:rFonts w:ascii="Times New Roman" w:hAnsi="Times New Roman" w:eastAsia="Calibri"/>
                <w:bCs/>
                <w:color w:val="000000"/>
                <w:sz w:val="20"/>
                <w:szCs w:val="20"/>
              </w:rPr>
              <w:t>$</w:t>
            </w:r>
            <w:r w:rsidR="00031199">
              <w:rPr>
                <w:rFonts w:ascii="Times New Roman" w:hAnsi="Times New Roman" w:eastAsia="Calibri"/>
                <w:bCs/>
                <w:color w:val="000000"/>
                <w:sz w:val="20"/>
                <w:szCs w:val="20"/>
              </w:rPr>
              <w:t>5</w:t>
            </w:r>
            <w:r w:rsidR="003D2BE7">
              <w:rPr>
                <w:rFonts w:ascii="Times New Roman" w:hAnsi="Times New Roman" w:eastAsia="Calibri"/>
                <w:bCs/>
                <w:color w:val="000000"/>
                <w:sz w:val="20"/>
                <w:szCs w:val="20"/>
              </w:rPr>
              <w:t>90</w:t>
            </w:r>
            <w:r w:rsidR="00031199">
              <w:rPr>
                <w:rFonts w:ascii="Times New Roman" w:hAnsi="Times New Roman" w:eastAsia="Calibri"/>
                <w:bCs/>
                <w:color w:val="000000"/>
                <w:sz w:val="20"/>
                <w:szCs w:val="20"/>
              </w:rPr>
              <w:t>.3</w:t>
            </w:r>
            <w:r w:rsidR="003D2BE7">
              <w:rPr>
                <w:rFonts w:ascii="Times New Roman" w:hAnsi="Times New Roman" w:eastAsia="Calibri"/>
                <w:bCs/>
                <w:color w:val="000000"/>
                <w:sz w:val="20"/>
                <w:szCs w:val="20"/>
              </w:rPr>
              <w:t>8</w:t>
            </w:r>
          </w:p>
        </w:tc>
      </w:tr>
      <w:tr w:rsidRPr="00F067DF" w:rsidR="00161EA8" w:rsidTr="00E43B7B" w14:paraId="755A6C52" w14:textId="77777777">
        <w:trPr>
          <w:trHeight w:val="347"/>
        </w:trPr>
        <w:tc>
          <w:tcPr>
            <w:tcW w:w="982" w:type="pct"/>
            <w:tcMar>
              <w:top w:w="0" w:type="dxa"/>
              <w:left w:w="108" w:type="dxa"/>
              <w:bottom w:w="0" w:type="dxa"/>
              <w:right w:w="108" w:type="dxa"/>
            </w:tcMar>
          </w:tcPr>
          <w:p w:rsidRPr="00F067DF" w:rsidR="00161EA8" w:rsidP="00F067DF" w:rsidRDefault="00161EA8" w14:paraId="5D389802" w14:textId="6DAC8AA9">
            <w:pPr>
              <w:overflowPunct w:val="0"/>
              <w:autoSpaceDE w:val="0"/>
              <w:autoSpaceDN w:val="0"/>
              <w:spacing w:line="240" w:lineRule="auto"/>
              <w:ind w:firstLine="0"/>
              <w:jc w:val="left"/>
              <w:rPr>
                <w:rFonts w:ascii="Times New Roman" w:hAnsi="Times New Roman" w:eastAsia="Arial Unicode MS"/>
                <w:bCs/>
                <w:snapToGrid w:val="0"/>
                <w:sz w:val="20"/>
                <w:szCs w:val="20"/>
              </w:rPr>
            </w:pPr>
            <w:r>
              <w:rPr>
                <w:rFonts w:ascii="Times New Roman" w:hAnsi="Times New Roman" w:eastAsia="Arial Unicode MS"/>
                <w:bCs/>
                <w:snapToGrid w:val="0"/>
                <w:sz w:val="20"/>
                <w:szCs w:val="20"/>
              </w:rPr>
              <w:t>PHA Specialist Staff Interviews</w:t>
            </w:r>
          </w:p>
        </w:tc>
        <w:tc>
          <w:tcPr>
            <w:tcW w:w="640" w:type="pct"/>
            <w:tcMar>
              <w:top w:w="0" w:type="dxa"/>
              <w:left w:w="108" w:type="dxa"/>
              <w:bottom w:w="0" w:type="dxa"/>
              <w:right w:w="108" w:type="dxa"/>
            </w:tcMar>
          </w:tcPr>
          <w:p w:rsidRPr="00F067DF" w:rsidR="00161EA8" w:rsidP="00786F2C" w:rsidRDefault="00161EA8" w14:paraId="5F2C5D71" w14:textId="0BE2B8D6">
            <w:pPr>
              <w:overflowPunct w:val="0"/>
              <w:autoSpaceDE w:val="0"/>
              <w:autoSpaceDN w:val="0"/>
              <w:spacing w:line="240" w:lineRule="auto"/>
              <w:ind w:firstLine="0"/>
              <w:jc w:val="right"/>
              <w:rPr>
                <w:rFonts w:ascii="Times New Roman" w:hAnsi="Times New Roman" w:eastAsia="Arial Unicode MS"/>
                <w:bCs/>
                <w:snapToGrid w:val="0"/>
                <w:sz w:val="20"/>
                <w:szCs w:val="20"/>
              </w:rPr>
            </w:pPr>
            <w:r>
              <w:rPr>
                <w:rFonts w:ascii="Times New Roman" w:hAnsi="Times New Roman" w:eastAsia="Arial Unicode MS"/>
                <w:bCs/>
                <w:snapToGrid w:val="0"/>
                <w:sz w:val="20"/>
                <w:szCs w:val="20"/>
              </w:rPr>
              <w:t>15</w:t>
            </w:r>
          </w:p>
        </w:tc>
        <w:tc>
          <w:tcPr>
            <w:tcW w:w="625" w:type="pct"/>
            <w:tcMar>
              <w:top w:w="0" w:type="dxa"/>
              <w:left w:w="108" w:type="dxa"/>
              <w:bottom w:w="0" w:type="dxa"/>
              <w:right w:w="108" w:type="dxa"/>
            </w:tcMar>
          </w:tcPr>
          <w:p w:rsidRPr="00F067DF" w:rsidR="00161EA8" w:rsidP="00786F2C" w:rsidRDefault="00161EA8" w14:paraId="4409944A" w14:textId="6116B557">
            <w:pPr>
              <w:overflowPunct w:val="0"/>
              <w:autoSpaceDE w:val="0"/>
              <w:autoSpaceDN w:val="0"/>
              <w:spacing w:line="240" w:lineRule="auto"/>
              <w:ind w:firstLine="0"/>
              <w:jc w:val="right"/>
              <w:rPr>
                <w:rFonts w:ascii="Times New Roman" w:hAnsi="Times New Roman" w:eastAsia="Calibri"/>
                <w:bCs/>
                <w:color w:val="000000"/>
                <w:sz w:val="20"/>
                <w:szCs w:val="20"/>
              </w:rPr>
            </w:pPr>
            <w:r>
              <w:rPr>
                <w:rFonts w:ascii="Times New Roman" w:hAnsi="Times New Roman" w:eastAsia="Calibri"/>
                <w:bCs/>
                <w:color w:val="000000"/>
                <w:sz w:val="20"/>
                <w:szCs w:val="20"/>
              </w:rPr>
              <w:t>1</w:t>
            </w:r>
          </w:p>
        </w:tc>
        <w:tc>
          <w:tcPr>
            <w:tcW w:w="605" w:type="pct"/>
            <w:tcMar>
              <w:top w:w="0" w:type="dxa"/>
              <w:left w:w="108" w:type="dxa"/>
              <w:bottom w:w="0" w:type="dxa"/>
              <w:right w:w="108" w:type="dxa"/>
            </w:tcMar>
          </w:tcPr>
          <w:p w:rsidRPr="00F067DF" w:rsidR="00161EA8" w:rsidP="00786F2C" w:rsidRDefault="00161EA8" w14:paraId="3E8AA55D" w14:textId="59D99F77">
            <w:pPr>
              <w:overflowPunct w:val="0"/>
              <w:autoSpaceDE w:val="0"/>
              <w:autoSpaceDN w:val="0"/>
              <w:spacing w:line="240" w:lineRule="auto"/>
              <w:ind w:firstLine="0"/>
              <w:jc w:val="right"/>
              <w:rPr>
                <w:rFonts w:ascii="Times New Roman" w:hAnsi="Times New Roman" w:eastAsia="Calibri"/>
                <w:bCs/>
                <w:color w:val="000000"/>
                <w:sz w:val="20"/>
                <w:szCs w:val="20"/>
              </w:rPr>
            </w:pPr>
            <w:r>
              <w:rPr>
                <w:rFonts w:ascii="Times New Roman" w:hAnsi="Times New Roman" w:eastAsia="Calibri"/>
                <w:bCs/>
                <w:color w:val="000000"/>
                <w:sz w:val="20"/>
                <w:szCs w:val="20"/>
              </w:rPr>
              <w:t>15</w:t>
            </w:r>
          </w:p>
        </w:tc>
        <w:tc>
          <w:tcPr>
            <w:tcW w:w="560" w:type="pct"/>
            <w:tcMar>
              <w:top w:w="0" w:type="dxa"/>
              <w:left w:w="108" w:type="dxa"/>
              <w:bottom w:w="0" w:type="dxa"/>
              <w:right w:w="108" w:type="dxa"/>
            </w:tcMar>
          </w:tcPr>
          <w:p w:rsidRPr="00F067DF" w:rsidR="00161EA8" w:rsidP="00786F2C" w:rsidRDefault="00161EA8" w14:paraId="67F6A963" w14:textId="5B7A3E4F">
            <w:pPr>
              <w:overflowPunct w:val="0"/>
              <w:autoSpaceDE w:val="0"/>
              <w:autoSpaceDN w:val="0"/>
              <w:spacing w:line="240" w:lineRule="auto"/>
              <w:ind w:firstLine="0"/>
              <w:jc w:val="right"/>
              <w:rPr>
                <w:rFonts w:ascii="Times New Roman" w:hAnsi="Times New Roman" w:eastAsia="Arial Unicode MS"/>
                <w:bCs/>
                <w:snapToGrid w:val="0"/>
                <w:sz w:val="20"/>
                <w:szCs w:val="20"/>
              </w:rPr>
            </w:pPr>
            <w:r>
              <w:rPr>
                <w:rFonts w:ascii="Times New Roman" w:hAnsi="Times New Roman" w:eastAsia="Arial Unicode MS"/>
                <w:bCs/>
                <w:snapToGrid w:val="0"/>
                <w:sz w:val="20"/>
                <w:szCs w:val="20"/>
              </w:rPr>
              <w:t>1.5</w:t>
            </w:r>
          </w:p>
        </w:tc>
        <w:tc>
          <w:tcPr>
            <w:tcW w:w="468" w:type="pct"/>
            <w:tcMar>
              <w:top w:w="0" w:type="dxa"/>
              <w:left w:w="108" w:type="dxa"/>
              <w:bottom w:w="0" w:type="dxa"/>
              <w:right w:w="108" w:type="dxa"/>
            </w:tcMar>
          </w:tcPr>
          <w:p w:rsidRPr="00F067DF" w:rsidR="00161EA8" w:rsidP="00786F2C" w:rsidRDefault="003D2BE7" w14:paraId="7CCD3B8A" w14:textId="22ECF7CB">
            <w:pPr>
              <w:overflowPunct w:val="0"/>
              <w:autoSpaceDE w:val="0"/>
              <w:autoSpaceDN w:val="0"/>
              <w:spacing w:line="240" w:lineRule="auto"/>
              <w:ind w:firstLine="0"/>
              <w:jc w:val="right"/>
              <w:rPr>
                <w:rFonts w:ascii="Times New Roman" w:hAnsi="Times New Roman" w:eastAsia="Arial Unicode MS"/>
                <w:bCs/>
                <w:snapToGrid w:val="0"/>
                <w:sz w:val="20"/>
                <w:szCs w:val="20"/>
              </w:rPr>
            </w:pPr>
            <w:r>
              <w:rPr>
                <w:rFonts w:ascii="Times New Roman" w:hAnsi="Times New Roman" w:eastAsia="Arial Unicode MS"/>
                <w:bCs/>
                <w:snapToGrid w:val="0"/>
                <w:sz w:val="20"/>
                <w:szCs w:val="20"/>
              </w:rPr>
              <w:t>23</w:t>
            </w:r>
          </w:p>
        </w:tc>
        <w:tc>
          <w:tcPr>
            <w:tcW w:w="560" w:type="pct"/>
            <w:tcMar>
              <w:top w:w="0" w:type="dxa"/>
              <w:left w:w="108" w:type="dxa"/>
              <w:bottom w:w="0" w:type="dxa"/>
              <w:right w:w="108" w:type="dxa"/>
            </w:tcMar>
          </w:tcPr>
          <w:p w:rsidRPr="00F067DF" w:rsidR="00161EA8" w:rsidP="00786F2C" w:rsidRDefault="00161EA8" w14:paraId="687211A5" w14:textId="1CBD2E69">
            <w:pPr>
              <w:overflowPunct w:val="0"/>
              <w:autoSpaceDE w:val="0"/>
              <w:autoSpaceDN w:val="0"/>
              <w:spacing w:line="240" w:lineRule="auto"/>
              <w:ind w:firstLine="0"/>
              <w:jc w:val="right"/>
              <w:rPr>
                <w:rFonts w:ascii="Times New Roman" w:hAnsi="Times New Roman" w:eastAsia="Calibri"/>
                <w:bCs/>
                <w:color w:val="000000"/>
                <w:sz w:val="20"/>
                <w:szCs w:val="20"/>
              </w:rPr>
            </w:pPr>
            <w:r>
              <w:rPr>
                <w:rFonts w:ascii="Times New Roman" w:hAnsi="Times New Roman" w:eastAsia="Calibri"/>
                <w:bCs/>
                <w:color w:val="000000"/>
                <w:sz w:val="20"/>
                <w:szCs w:val="20"/>
              </w:rPr>
              <w:t>$</w:t>
            </w:r>
            <w:r w:rsidR="00031199">
              <w:rPr>
                <w:rFonts w:ascii="Times New Roman" w:hAnsi="Times New Roman" w:eastAsia="Calibri"/>
                <w:bCs/>
                <w:color w:val="000000"/>
                <w:sz w:val="20"/>
                <w:szCs w:val="20"/>
              </w:rPr>
              <w:t>25.64</w:t>
            </w:r>
          </w:p>
        </w:tc>
        <w:tc>
          <w:tcPr>
            <w:tcW w:w="560" w:type="pct"/>
            <w:tcMar>
              <w:top w:w="0" w:type="dxa"/>
              <w:left w:w="108" w:type="dxa"/>
              <w:bottom w:w="0" w:type="dxa"/>
              <w:right w:w="108" w:type="dxa"/>
            </w:tcMar>
          </w:tcPr>
          <w:p w:rsidRPr="00F067DF" w:rsidR="00161EA8" w:rsidP="00786F2C" w:rsidRDefault="00031199" w14:paraId="7B1BD229" w14:textId="6659872D">
            <w:pPr>
              <w:overflowPunct w:val="0"/>
              <w:autoSpaceDE w:val="0"/>
              <w:autoSpaceDN w:val="0"/>
              <w:spacing w:line="240" w:lineRule="auto"/>
              <w:ind w:firstLine="0"/>
              <w:jc w:val="right"/>
              <w:rPr>
                <w:rFonts w:ascii="Times New Roman" w:hAnsi="Times New Roman" w:eastAsia="Calibri"/>
                <w:bCs/>
                <w:color w:val="000000"/>
                <w:sz w:val="20"/>
                <w:szCs w:val="20"/>
              </w:rPr>
            </w:pPr>
            <w:r>
              <w:rPr>
                <w:rFonts w:ascii="Times New Roman" w:hAnsi="Times New Roman" w:eastAsia="Calibri"/>
                <w:bCs/>
                <w:color w:val="000000"/>
                <w:sz w:val="20"/>
                <w:szCs w:val="20"/>
              </w:rPr>
              <w:t>$5</w:t>
            </w:r>
            <w:r w:rsidR="003D2BE7">
              <w:rPr>
                <w:rFonts w:ascii="Times New Roman" w:hAnsi="Times New Roman" w:eastAsia="Calibri"/>
                <w:bCs/>
                <w:color w:val="000000"/>
                <w:sz w:val="20"/>
                <w:szCs w:val="20"/>
              </w:rPr>
              <w:t>89</w:t>
            </w:r>
            <w:r>
              <w:rPr>
                <w:rFonts w:ascii="Times New Roman" w:hAnsi="Times New Roman" w:eastAsia="Calibri"/>
                <w:bCs/>
                <w:color w:val="000000"/>
                <w:sz w:val="20"/>
                <w:szCs w:val="20"/>
              </w:rPr>
              <w:t>.</w:t>
            </w:r>
            <w:r w:rsidR="003D2BE7">
              <w:rPr>
                <w:rFonts w:ascii="Times New Roman" w:hAnsi="Times New Roman" w:eastAsia="Calibri"/>
                <w:bCs/>
                <w:color w:val="000000"/>
                <w:sz w:val="20"/>
                <w:szCs w:val="20"/>
              </w:rPr>
              <w:t>72</w:t>
            </w:r>
          </w:p>
        </w:tc>
      </w:tr>
      <w:tr w:rsidRPr="00F067DF" w:rsidR="001525F1" w:rsidTr="00E43B7B" w14:paraId="4CDE8B72" w14:textId="77777777">
        <w:trPr>
          <w:trHeight w:val="707"/>
        </w:trPr>
        <w:tc>
          <w:tcPr>
            <w:tcW w:w="982" w:type="pct"/>
            <w:tcMar>
              <w:top w:w="0" w:type="dxa"/>
              <w:left w:w="108" w:type="dxa"/>
              <w:bottom w:w="0" w:type="dxa"/>
              <w:right w:w="108" w:type="dxa"/>
            </w:tcMar>
          </w:tcPr>
          <w:p w:rsidRPr="00F067DF" w:rsidR="001525F1" w:rsidP="00F067DF" w:rsidRDefault="001525F1" w14:paraId="59D69E66" w14:textId="77777777">
            <w:pPr>
              <w:overflowPunct w:val="0"/>
              <w:autoSpaceDE w:val="0"/>
              <w:autoSpaceDN w:val="0"/>
              <w:spacing w:line="240" w:lineRule="auto"/>
              <w:ind w:firstLine="0"/>
              <w:jc w:val="left"/>
              <w:rPr>
                <w:rFonts w:ascii="Times New Roman" w:hAnsi="Times New Roman" w:eastAsia="Arial Unicode MS"/>
                <w:bCs/>
                <w:snapToGrid w:val="0"/>
                <w:sz w:val="20"/>
                <w:szCs w:val="20"/>
              </w:rPr>
            </w:pPr>
            <w:r w:rsidRPr="00F067DF">
              <w:rPr>
                <w:rFonts w:ascii="Times New Roman" w:hAnsi="Times New Roman" w:eastAsia="Arial Unicode MS"/>
                <w:bCs/>
                <w:snapToGrid w:val="0"/>
                <w:sz w:val="20"/>
                <w:szCs w:val="20"/>
              </w:rPr>
              <w:t>Cost Study Data Collection Activities with PHA staff</w:t>
            </w:r>
          </w:p>
        </w:tc>
        <w:tc>
          <w:tcPr>
            <w:tcW w:w="640" w:type="pct"/>
            <w:tcMar>
              <w:top w:w="0" w:type="dxa"/>
              <w:left w:w="108" w:type="dxa"/>
              <w:bottom w:w="0" w:type="dxa"/>
              <w:right w:w="108" w:type="dxa"/>
            </w:tcMar>
          </w:tcPr>
          <w:p w:rsidRPr="00F067DF" w:rsidR="001525F1" w:rsidDel="00BC21D8" w:rsidP="00786F2C" w:rsidRDefault="001525F1" w14:paraId="19878FB7" w14:textId="5C23DB8C">
            <w:pPr>
              <w:overflowPunct w:val="0"/>
              <w:autoSpaceDE w:val="0"/>
              <w:autoSpaceDN w:val="0"/>
              <w:spacing w:line="240" w:lineRule="auto"/>
              <w:ind w:firstLine="0"/>
              <w:jc w:val="right"/>
              <w:rPr>
                <w:rFonts w:ascii="Times New Roman" w:hAnsi="Times New Roman" w:eastAsia="Arial Unicode MS"/>
                <w:bCs/>
                <w:snapToGrid w:val="0"/>
                <w:sz w:val="20"/>
                <w:szCs w:val="20"/>
              </w:rPr>
            </w:pPr>
            <w:r w:rsidRPr="00F067DF">
              <w:rPr>
                <w:rFonts w:ascii="Times New Roman" w:hAnsi="Times New Roman" w:eastAsia="Arial Unicode MS"/>
                <w:bCs/>
                <w:snapToGrid w:val="0"/>
                <w:sz w:val="20"/>
                <w:szCs w:val="20"/>
              </w:rPr>
              <w:t>9</w:t>
            </w:r>
          </w:p>
        </w:tc>
        <w:tc>
          <w:tcPr>
            <w:tcW w:w="625" w:type="pct"/>
            <w:tcMar>
              <w:top w:w="0" w:type="dxa"/>
              <w:left w:w="108" w:type="dxa"/>
              <w:bottom w:w="0" w:type="dxa"/>
              <w:right w:w="108" w:type="dxa"/>
            </w:tcMar>
          </w:tcPr>
          <w:p w:rsidRPr="00F067DF" w:rsidR="001525F1" w:rsidP="00786F2C" w:rsidRDefault="001525F1" w14:paraId="00A11F19" w14:textId="77777777">
            <w:pPr>
              <w:overflowPunct w:val="0"/>
              <w:autoSpaceDE w:val="0"/>
              <w:autoSpaceDN w:val="0"/>
              <w:spacing w:line="240" w:lineRule="auto"/>
              <w:ind w:firstLine="0"/>
              <w:jc w:val="right"/>
              <w:rPr>
                <w:rFonts w:ascii="Times New Roman" w:hAnsi="Times New Roman" w:eastAsia="Calibri"/>
                <w:bCs/>
                <w:color w:val="000000"/>
                <w:sz w:val="20"/>
                <w:szCs w:val="20"/>
              </w:rPr>
            </w:pPr>
            <w:r w:rsidRPr="00F067DF">
              <w:rPr>
                <w:rFonts w:ascii="Times New Roman" w:hAnsi="Times New Roman" w:eastAsia="Calibri"/>
                <w:bCs/>
                <w:color w:val="000000"/>
                <w:sz w:val="20"/>
                <w:szCs w:val="20"/>
              </w:rPr>
              <w:t>1</w:t>
            </w:r>
          </w:p>
        </w:tc>
        <w:tc>
          <w:tcPr>
            <w:tcW w:w="605" w:type="pct"/>
            <w:tcMar>
              <w:top w:w="0" w:type="dxa"/>
              <w:left w:w="108" w:type="dxa"/>
              <w:bottom w:w="0" w:type="dxa"/>
              <w:right w:w="108" w:type="dxa"/>
            </w:tcMar>
          </w:tcPr>
          <w:p w:rsidRPr="00F067DF" w:rsidR="001525F1" w:rsidP="00786F2C" w:rsidRDefault="001525F1" w14:paraId="4032BDBA" w14:textId="77777777">
            <w:pPr>
              <w:overflowPunct w:val="0"/>
              <w:autoSpaceDE w:val="0"/>
              <w:autoSpaceDN w:val="0"/>
              <w:spacing w:line="240" w:lineRule="auto"/>
              <w:ind w:firstLine="0"/>
              <w:jc w:val="right"/>
              <w:rPr>
                <w:rFonts w:ascii="Times New Roman" w:hAnsi="Times New Roman" w:eastAsia="Calibri"/>
                <w:bCs/>
                <w:color w:val="000000"/>
                <w:sz w:val="20"/>
                <w:szCs w:val="20"/>
              </w:rPr>
            </w:pPr>
            <w:r w:rsidRPr="00F067DF">
              <w:rPr>
                <w:rFonts w:ascii="Times New Roman" w:hAnsi="Times New Roman" w:eastAsia="Calibri"/>
                <w:bCs/>
                <w:color w:val="000000"/>
                <w:sz w:val="20"/>
                <w:szCs w:val="20"/>
              </w:rPr>
              <w:t>9</w:t>
            </w:r>
          </w:p>
        </w:tc>
        <w:tc>
          <w:tcPr>
            <w:tcW w:w="560" w:type="pct"/>
            <w:tcMar>
              <w:top w:w="0" w:type="dxa"/>
              <w:left w:w="108" w:type="dxa"/>
              <w:bottom w:w="0" w:type="dxa"/>
              <w:right w:w="108" w:type="dxa"/>
            </w:tcMar>
          </w:tcPr>
          <w:p w:rsidRPr="00F067DF" w:rsidR="001525F1" w:rsidP="00786F2C" w:rsidRDefault="001525F1" w14:paraId="75A55286" w14:textId="3A013A3C">
            <w:pPr>
              <w:overflowPunct w:val="0"/>
              <w:autoSpaceDE w:val="0"/>
              <w:autoSpaceDN w:val="0"/>
              <w:spacing w:line="240" w:lineRule="auto"/>
              <w:ind w:firstLine="0"/>
              <w:jc w:val="right"/>
              <w:rPr>
                <w:rFonts w:ascii="Times New Roman" w:hAnsi="Times New Roman" w:eastAsia="Arial Unicode MS"/>
                <w:bCs/>
                <w:snapToGrid w:val="0"/>
                <w:sz w:val="20"/>
                <w:szCs w:val="20"/>
              </w:rPr>
            </w:pPr>
            <w:r w:rsidRPr="00F067DF">
              <w:rPr>
                <w:rFonts w:ascii="Times New Roman" w:hAnsi="Times New Roman" w:eastAsia="Arial Unicode MS"/>
                <w:bCs/>
                <w:snapToGrid w:val="0"/>
                <w:sz w:val="20"/>
                <w:szCs w:val="20"/>
              </w:rPr>
              <w:t>2</w:t>
            </w:r>
          </w:p>
        </w:tc>
        <w:tc>
          <w:tcPr>
            <w:tcW w:w="468" w:type="pct"/>
            <w:tcMar>
              <w:top w:w="0" w:type="dxa"/>
              <w:left w:w="108" w:type="dxa"/>
              <w:bottom w:w="0" w:type="dxa"/>
              <w:right w:w="108" w:type="dxa"/>
            </w:tcMar>
          </w:tcPr>
          <w:p w:rsidRPr="00F067DF" w:rsidR="001525F1" w:rsidP="00786F2C" w:rsidRDefault="001525F1" w14:paraId="771571C8" w14:textId="559540F2">
            <w:pPr>
              <w:overflowPunct w:val="0"/>
              <w:autoSpaceDE w:val="0"/>
              <w:autoSpaceDN w:val="0"/>
              <w:spacing w:line="240" w:lineRule="auto"/>
              <w:ind w:firstLine="0"/>
              <w:jc w:val="right"/>
              <w:rPr>
                <w:rFonts w:ascii="Times New Roman" w:hAnsi="Times New Roman" w:eastAsia="Calibri"/>
                <w:bCs/>
                <w:color w:val="000000"/>
                <w:sz w:val="20"/>
                <w:szCs w:val="20"/>
              </w:rPr>
            </w:pPr>
            <w:r w:rsidRPr="00F067DF">
              <w:rPr>
                <w:rFonts w:ascii="Times New Roman" w:hAnsi="Times New Roman" w:eastAsia="Calibri"/>
                <w:bCs/>
                <w:color w:val="000000"/>
                <w:sz w:val="20"/>
                <w:szCs w:val="20"/>
              </w:rPr>
              <w:t>18</w:t>
            </w:r>
          </w:p>
        </w:tc>
        <w:tc>
          <w:tcPr>
            <w:tcW w:w="560" w:type="pct"/>
            <w:tcMar>
              <w:top w:w="0" w:type="dxa"/>
              <w:left w:w="108" w:type="dxa"/>
              <w:bottom w:w="0" w:type="dxa"/>
              <w:right w:w="108" w:type="dxa"/>
            </w:tcMar>
          </w:tcPr>
          <w:p w:rsidRPr="00F067DF" w:rsidR="001525F1" w:rsidP="00786F2C" w:rsidRDefault="001525F1" w14:paraId="0CBAEDCF" w14:textId="77777777">
            <w:pPr>
              <w:overflowPunct w:val="0"/>
              <w:autoSpaceDE w:val="0"/>
              <w:autoSpaceDN w:val="0"/>
              <w:spacing w:line="240" w:lineRule="auto"/>
              <w:ind w:firstLine="0"/>
              <w:jc w:val="right"/>
              <w:rPr>
                <w:rFonts w:ascii="Times New Roman" w:hAnsi="Times New Roman" w:eastAsia="Calibri"/>
                <w:bCs/>
                <w:color w:val="000000"/>
                <w:sz w:val="20"/>
                <w:szCs w:val="20"/>
              </w:rPr>
            </w:pPr>
            <w:r w:rsidRPr="00F067DF">
              <w:rPr>
                <w:rFonts w:ascii="Times New Roman" w:hAnsi="Times New Roman" w:eastAsia="Calibri"/>
                <w:bCs/>
                <w:color w:val="000000"/>
                <w:sz w:val="20"/>
                <w:szCs w:val="20"/>
              </w:rPr>
              <w:t>$28.50</w:t>
            </w:r>
          </w:p>
        </w:tc>
        <w:tc>
          <w:tcPr>
            <w:tcW w:w="560" w:type="pct"/>
            <w:tcMar>
              <w:top w:w="0" w:type="dxa"/>
              <w:left w:w="108" w:type="dxa"/>
              <w:bottom w:w="0" w:type="dxa"/>
              <w:right w:w="108" w:type="dxa"/>
            </w:tcMar>
          </w:tcPr>
          <w:p w:rsidRPr="00F067DF" w:rsidR="001525F1" w:rsidP="00786F2C" w:rsidRDefault="001525F1" w14:paraId="7A41E441" w14:textId="69E04B52">
            <w:pPr>
              <w:overflowPunct w:val="0"/>
              <w:autoSpaceDE w:val="0"/>
              <w:autoSpaceDN w:val="0"/>
              <w:spacing w:line="240" w:lineRule="auto"/>
              <w:ind w:firstLine="0"/>
              <w:jc w:val="right"/>
              <w:rPr>
                <w:rFonts w:ascii="Times New Roman" w:hAnsi="Times New Roman" w:eastAsia="Calibri"/>
                <w:bCs/>
                <w:color w:val="000000"/>
                <w:sz w:val="20"/>
                <w:szCs w:val="20"/>
              </w:rPr>
            </w:pPr>
            <w:r w:rsidRPr="00F067DF">
              <w:rPr>
                <w:rFonts w:ascii="Times New Roman" w:hAnsi="Times New Roman" w:eastAsia="Calibri"/>
                <w:bCs/>
                <w:color w:val="000000"/>
                <w:sz w:val="20"/>
                <w:szCs w:val="20"/>
              </w:rPr>
              <w:t xml:space="preserve"> $</w:t>
            </w:r>
            <w:r w:rsidR="00444A34">
              <w:rPr>
                <w:rFonts w:ascii="Times New Roman" w:hAnsi="Times New Roman" w:eastAsia="Calibri"/>
                <w:bCs/>
                <w:color w:val="000000"/>
                <w:sz w:val="20"/>
                <w:szCs w:val="20"/>
              </w:rPr>
              <w:t>513.00</w:t>
            </w:r>
          </w:p>
        </w:tc>
      </w:tr>
      <w:tr w:rsidRPr="00F067DF" w:rsidR="001525F1" w:rsidTr="00E43B7B" w14:paraId="5325D71D" w14:textId="77777777">
        <w:trPr>
          <w:trHeight w:val="186"/>
        </w:trPr>
        <w:tc>
          <w:tcPr>
            <w:tcW w:w="982" w:type="pct"/>
            <w:tcMar>
              <w:top w:w="0" w:type="dxa"/>
              <w:left w:w="108" w:type="dxa"/>
              <w:bottom w:w="0" w:type="dxa"/>
              <w:right w:w="108" w:type="dxa"/>
            </w:tcMar>
          </w:tcPr>
          <w:p w:rsidRPr="00F067DF" w:rsidR="001525F1" w:rsidP="00F067DF" w:rsidRDefault="001525F1" w14:paraId="10987BBE" w14:textId="77777777">
            <w:pPr>
              <w:overflowPunct w:val="0"/>
              <w:autoSpaceDE w:val="0"/>
              <w:autoSpaceDN w:val="0"/>
              <w:spacing w:line="240" w:lineRule="auto"/>
              <w:ind w:firstLine="0"/>
              <w:jc w:val="left"/>
              <w:rPr>
                <w:rFonts w:ascii="Times New Roman" w:hAnsi="Times New Roman"/>
                <w:b/>
                <w:bCs/>
                <w:color w:val="000000"/>
                <w:sz w:val="20"/>
                <w:szCs w:val="20"/>
              </w:rPr>
            </w:pPr>
            <w:r w:rsidRPr="00F067DF">
              <w:rPr>
                <w:rFonts w:ascii="Times New Roman" w:hAnsi="Times New Roman"/>
                <w:b/>
                <w:bCs/>
                <w:color w:val="000000"/>
                <w:sz w:val="20"/>
                <w:szCs w:val="20"/>
              </w:rPr>
              <w:t>TOTAL</w:t>
            </w:r>
          </w:p>
        </w:tc>
        <w:tc>
          <w:tcPr>
            <w:tcW w:w="640" w:type="pct"/>
            <w:tcMar>
              <w:top w:w="0" w:type="dxa"/>
              <w:left w:w="108" w:type="dxa"/>
              <w:bottom w:w="0" w:type="dxa"/>
              <w:right w:w="108" w:type="dxa"/>
            </w:tcMar>
          </w:tcPr>
          <w:p w:rsidRPr="00F067DF" w:rsidR="001525F1" w:rsidP="00786F2C" w:rsidRDefault="001525F1" w14:paraId="44CFEE02" w14:textId="77777777">
            <w:pPr>
              <w:overflowPunct w:val="0"/>
              <w:autoSpaceDE w:val="0"/>
              <w:autoSpaceDN w:val="0"/>
              <w:spacing w:line="240" w:lineRule="auto"/>
              <w:ind w:firstLine="0"/>
              <w:jc w:val="right"/>
              <w:rPr>
                <w:rFonts w:ascii="Times New Roman" w:hAnsi="Times New Roman"/>
                <w:b/>
                <w:color w:val="000000"/>
                <w:sz w:val="20"/>
                <w:szCs w:val="20"/>
              </w:rPr>
            </w:pPr>
            <w:r w:rsidRPr="00F067DF">
              <w:rPr>
                <w:rFonts w:ascii="Times New Roman" w:hAnsi="Times New Roman"/>
                <w:b/>
                <w:color w:val="000000"/>
                <w:sz w:val="20"/>
                <w:szCs w:val="20"/>
              </w:rPr>
              <w:t>93</w:t>
            </w:r>
          </w:p>
        </w:tc>
        <w:tc>
          <w:tcPr>
            <w:tcW w:w="625" w:type="pct"/>
            <w:shd w:val="clear" w:color="auto" w:fill="A6A6A6" w:themeFill="background1" w:themeFillShade="A6"/>
            <w:tcMar>
              <w:top w:w="0" w:type="dxa"/>
              <w:left w:w="108" w:type="dxa"/>
              <w:bottom w:w="0" w:type="dxa"/>
              <w:right w:w="108" w:type="dxa"/>
            </w:tcMar>
          </w:tcPr>
          <w:p w:rsidRPr="00F067DF" w:rsidR="001525F1" w:rsidP="00786F2C" w:rsidRDefault="001525F1" w14:paraId="77EA8F3A" w14:textId="77777777">
            <w:pPr>
              <w:overflowPunct w:val="0"/>
              <w:autoSpaceDE w:val="0"/>
              <w:autoSpaceDN w:val="0"/>
              <w:spacing w:line="240" w:lineRule="auto"/>
              <w:ind w:firstLine="0"/>
              <w:jc w:val="right"/>
              <w:rPr>
                <w:rFonts w:ascii="Times New Roman" w:hAnsi="Times New Roman" w:eastAsia="Calibri"/>
                <w:b/>
                <w:color w:val="000000"/>
                <w:sz w:val="20"/>
                <w:szCs w:val="20"/>
              </w:rPr>
            </w:pPr>
          </w:p>
        </w:tc>
        <w:tc>
          <w:tcPr>
            <w:tcW w:w="605" w:type="pct"/>
            <w:tcMar>
              <w:top w:w="0" w:type="dxa"/>
              <w:left w:w="108" w:type="dxa"/>
              <w:bottom w:w="0" w:type="dxa"/>
              <w:right w:w="108" w:type="dxa"/>
            </w:tcMar>
          </w:tcPr>
          <w:p w:rsidRPr="00F067DF" w:rsidR="001525F1" w:rsidP="00786F2C" w:rsidRDefault="001525F1" w14:paraId="7C858F5D" w14:textId="77777777">
            <w:pPr>
              <w:overflowPunct w:val="0"/>
              <w:autoSpaceDE w:val="0"/>
              <w:autoSpaceDN w:val="0"/>
              <w:spacing w:line="240" w:lineRule="auto"/>
              <w:ind w:firstLine="0"/>
              <w:jc w:val="right"/>
              <w:rPr>
                <w:rFonts w:ascii="Times New Roman" w:hAnsi="Times New Roman" w:eastAsia="Calibri"/>
                <w:b/>
                <w:bCs/>
                <w:color w:val="000000"/>
                <w:sz w:val="20"/>
                <w:szCs w:val="20"/>
              </w:rPr>
            </w:pPr>
          </w:p>
        </w:tc>
        <w:tc>
          <w:tcPr>
            <w:tcW w:w="560" w:type="pct"/>
            <w:shd w:val="clear" w:color="auto" w:fill="A6A6A6" w:themeFill="background1" w:themeFillShade="A6"/>
            <w:tcMar>
              <w:top w:w="0" w:type="dxa"/>
              <w:left w:w="108" w:type="dxa"/>
              <w:bottom w:w="0" w:type="dxa"/>
              <w:right w:w="108" w:type="dxa"/>
            </w:tcMar>
          </w:tcPr>
          <w:p w:rsidRPr="00F067DF" w:rsidR="001525F1" w:rsidP="00786F2C" w:rsidRDefault="001525F1" w14:paraId="2AD9E72F" w14:textId="77777777">
            <w:pPr>
              <w:overflowPunct w:val="0"/>
              <w:autoSpaceDE w:val="0"/>
              <w:autoSpaceDN w:val="0"/>
              <w:spacing w:line="240" w:lineRule="auto"/>
              <w:ind w:firstLine="0"/>
              <w:jc w:val="right"/>
              <w:rPr>
                <w:rFonts w:ascii="Times New Roman" w:hAnsi="Times New Roman" w:eastAsia="Calibri"/>
                <w:b/>
                <w:bCs/>
                <w:color w:val="000000"/>
                <w:sz w:val="20"/>
                <w:szCs w:val="20"/>
              </w:rPr>
            </w:pPr>
          </w:p>
        </w:tc>
        <w:tc>
          <w:tcPr>
            <w:tcW w:w="468" w:type="pct"/>
            <w:tcMar>
              <w:top w:w="0" w:type="dxa"/>
              <w:left w:w="108" w:type="dxa"/>
              <w:bottom w:w="0" w:type="dxa"/>
              <w:right w:w="108" w:type="dxa"/>
            </w:tcMar>
          </w:tcPr>
          <w:p w:rsidRPr="00F067DF" w:rsidR="001525F1" w:rsidP="00786F2C" w:rsidRDefault="001525F1" w14:paraId="0486CE6B" w14:textId="0B6E9B19">
            <w:pPr>
              <w:overflowPunct w:val="0"/>
              <w:autoSpaceDE w:val="0"/>
              <w:autoSpaceDN w:val="0"/>
              <w:spacing w:line="240" w:lineRule="auto"/>
              <w:ind w:firstLine="0"/>
              <w:jc w:val="right"/>
              <w:rPr>
                <w:rFonts w:ascii="Times New Roman" w:hAnsi="Times New Roman" w:eastAsia="Calibri"/>
                <w:b/>
                <w:bCs/>
                <w:color w:val="000000"/>
                <w:sz w:val="20"/>
                <w:szCs w:val="20"/>
              </w:rPr>
            </w:pPr>
            <w:r w:rsidRPr="00F067DF">
              <w:rPr>
                <w:rFonts w:ascii="Times New Roman" w:hAnsi="Times New Roman" w:eastAsia="Calibri"/>
                <w:b/>
                <w:color w:val="000000"/>
                <w:sz w:val="20"/>
                <w:szCs w:val="20"/>
              </w:rPr>
              <w:t>14</w:t>
            </w:r>
            <w:r w:rsidR="003D2BE7">
              <w:rPr>
                <w:rFonts w:ascii="Times New Roman" w:hAnsi="Times New Roman" w:eastAsia="Calibri"/>
                <w:b/>
                <w:color w:val="000000"/>
                <w:sz w:val="20"/>
                <w:szCs w:val="20"/>
              </w:rPr>
              <w:t>5</w:t>
            </w:r>
          </w:p>
        </w:tc>
        <w:tc>
          <w:tcPr>
            <w:tcW w:w="560" w:type="pct"/>
            <w:shd w:val="clear" w:color="auto" w:fill="A6A6A6" w:themeFill="background1" w:themeFillShade="A6"/>
            <w:tcMar>
              <w:top w:w="0" w:type="dxa"/>
              <w:left w:w="108" w:type="dxa"/>
              <w:bottom w:w="0" w:type="dxa"/>
              <w:right w:w="108" w:type="dxa"/>
            </w:tcMar>
          </w:tcPr>
          <w:p w:rsidRPr="00F067DF" w:rsidR="001525F1" w:rsidP="00786F2C" w:rsidRDefault="001525F1" w14:paraId="42A99844" w14:textId="77777777">
            <w:pPr>
              <w:overflowPunct w:val="0"/>
              <w:autoSpaceDE w:val="0"/>
              <w:autoSpaceDN w:val="0"/>
              <w:spacing w:line="240" w:lineRule="auto"/>
              <w:ind w:firstLine="0"/>
              <w:jc w:val="right"/>
              <w:rPr>
                <w:rFonts w:ascii="Times New Roman" w:hAnsi="Times New Roman" w:eastAsia="Calibri"/>
                <w:b/>
                <w:bCs/>
                <w:color w:val="000000"/>
                <w:sz w:val="20"/>
                <w:szCs w:val="20"/>
              </w:rPr>
            </w:pPr>
          </w:p>
        </w:tc>
        <w:tc>
          <w:tcPr>
            <w:tcW w:w="560" w:type="pct"/>
            <w:tcMar>
              <w:top w:w="0" w:type="dxa"/>
              <w:left w:w="108" w:type="dxa"/>
              <w:bottom w:w="0" w:type="dxa"/>
              <w:right w:w="108" w:type="dxa"/>
            </w:tcMar>
          </w:tcPr>
          <w:p w:rsidRPr="00F067DF" w:rsidR="001525F1" w:rsidP="00786F2C" w:rsidRDefault="001525F1" w14:paraId="7F4347C9" w14:textId="182B27B7">
            <w:pPr>
              <w:overflowPunct w:val="0"/>
              <w:autoSpaceDE w:val="0"/>
              <w:autoSpaceDN w:val="0"/>
              <w:spacing w:line="240" w:lineRule="auto"/>
              <w:ind w:firstLine="0"/>
              <w:jc w:val="right"/>
              <w:rPr>
                <w:rFonts w:ascii="Times New Roman" w:hAnsi="Times New Roman" w:eastAsia="Calibri"/>
                <w:b/>
                <w:bCs/>
                <w:color w:val="000000"/>
                <w:sz w:val="20"/>
                <w:szCs w:val="20"/>
              </w:rPr>
            </w:pPr>
            <w:bookmarkStart w:name="_Hlk77619544" w:id="2"/>
            <w:r w:rsidRPr="00F067DF">
              <w:rPr>
                <w:rFonts w:ascii="Times New Roman" w:hAnsi="Times New Roman" w:eastAsia="Calibri"/>
                <w:b/>
                <w:color w:val="000000"/>
                <w:sz w:val="20"/>
                <w:szCs w:val="20"/>
              </w:rPr>
              <w:t>$2</w:t>
            </w:r>
            <w:r w:rsidR="00F067DF">
              <w:rPr>
                <w:rFonts w:ascii="Times New Roman" w:hAnsi="Times New Roman" w:eastAsia="Calibri"/>
                <w:b/>
                <w:color w:val="000000"/>
                <w:sz w:val="20"/>
                <w:szCs w:val="20"/>
              </w:rPr>
              <w:t>,</w:t>
            </w:r>
            <w:r w:rsidR="00444A34">
              <w:rPr>
                <w:rFonts w:ascii="Times New Roman" w:hAnsi="Times New Roman" w:eastAsia="Calibri"/>
                <w:b/>
                <w:color w:val="000000"/>
                <w:sz w:val="20"/>
                <w:szCs w:val="20"/>
              </w:rPr>
              <w:t>3</w:t>
            </w:r>
            <w:r w:rsidR="003D2BE7">
              <w:rPr>
                <w:rFonts w:ascii="Times New Roman" w:hAnsi="Times New Roman" w:eastAsia="Calibri"/>
                <w:b/>
                <w:color w:val="000000"/>
                <w:sz w:val="20"/>
                <w:szCs w:val="20"/>
              </w:rPr>
              <w:t>45</w:t>
            </w:r>
            <w:r w:rsidR="00CB621F">
              <w:rPr>
                <w:rFonts w:ascii="Times New Roman" w:hAnsi="Times New Roman" w:eastAsia="Calibri"/>
                <w:b/>
                <w:color w:val="000000"/>
                <w:sz w:val="20"/>
                <w:szCs w:val="20"/>
              </w:rPr>
              <w:t>.</w:t>
            </w:r>
            <w:r w:rsidR="003D2BE7">
              <w:rPr>
                <w:rFonts w:ascii="Times New Roman" w:hAnsi="Times New Roman" w:eastAsia="Calibri"/>
                <w:b/>
                <w:color w:val="000000"/>
                <w:sz w:val="20"/>
                <w:szCs w:val="20"/>
              </w:rPr>
              <w:t>6</w:t>
            </w:r>
            <w:r w:rsidR="00F8082B">
              <w:rPr>
                <w:rFonts w:ascii="Times New Roman" w:hAnsi="Times New Roman" w:eastAsia="Calibri"/>
                <w:b/>
                <w:color w:val="000000"/>
                <w:sz w:val="20"/>
                <w:szCs w:val="20"/>
              </w:rPr>
              <w:t>0</w:t>
            </w:r>
            <w:bookmarkEnd w:id="2"/>
          </w:p>
        </w:tc>
      </w:tr>
      <w:bookmarkEnd w:id="1"/>
    </w:tbl>
    <w:p w:rsidR="000A0514" w:rsidP="000E18D7" w:rsidRDefault="000A0514" w14:paraId="05F603CB" w14:textId="0E2B5B6D">
      <w:pPr>
        <w:spacing w:line="240" w:lineRule="auto"/>
        <w:ind w:firstLine="0"/>
        <w:jc w:val="left"/>
        <w:rPr>
          <w:rFonts w:ascii="Times New Roman" w:hAnsi="Times New Roman"/>
          <w:color w:val="000000"/>
        </w:rPr>
      </w:pPr>
    </w:p>
    <w:p w:rsidR="0084072C" w:rsidP="000E18D7" w:rsidRDefault="0084072C" w14:paraId="305F0CE9" w14:textId="497F15D8">
      <w:pPr>
        <w:spacing w:line="240" w:lineRule="auto"/>
        <w:ind w:firstLine="0"/>
        <w:jc w:val="left"/>
        <w:rPr>
          <w:rFonts w:ascii="Times New Roman" w:hAnsi="Times New Roman"/>
          <w:color w:val="000000"/>
        </w:rPr>
      </w:pPr>
    </w:p>
    <w:p w:rsidRPr="00F8082B" w:rsidR="001525F1" w:rsidP="00E43B7B" w:rsidRDefault="001525F1" w14:paraId="2E328647" w14:textId="4F2DB30A">
      <w:pPr>
        <w:tabs>
          <w:tab w:val="clear" w:pos="432"/>
          <w:tab w:val="left" w:pos="0"/>
        </w:tabs>
        <w:spacing w:line="240" w:lineRule="auto"/>
        <w:ind w:left="360" w:firstLine="0"/>
        <w:rPr>
          <w:rFonts w:ascii="Times New Roman" w:hAnsi="Times New Roman" w:eastAsia="Calibri"/>
          <w:bCs/>
          <w:color w:val="000000"/>
        </w:rPr>
      </w:pPr>
      <w:r w:rsidRPr="00F8082B">
        <w:rPr>
          <w:rFonts w:ascii="Times New Roman" w:hAnsi="Times New Roman" w:eastAsia="Calibri"/>
          <w:bCs/>
          <w:color w:val="000000"/>
        </w:rPr>
        <w:t>The annual estimated cost burden to study participant</w:t>
      </w:r>
      <w:r w:rsidRPr="00F8082B" w:rsidR="00826379">
        <w:rPr>
          <w:rFonts w:ascii="Times New Roman" w:hAnsi="Times New Roman" w:eastAsia="Calibri"/>
          <w:bCs/>
          <w:color w:val="000000"/>
        </w:rPr>
        <w:t xml:space="preserve">s </w:t>
      </w:r>
      <w:r w:rsidRPr="00F8082B">
        <w:rPr>
          <w:rFonts w:ascii="Times New Roman" w:hAnsi="Times New Roman" w:eastAsia="Calibri"/>
          <w:bCs/>
          <w:color w:val="000000"/>
        </w:rPr>
        <w:t>is $652.50</w:t>
      </w:r>
      <w:r w:rsidRPr="00F8082B" w:rsidR="00B058AC">
        <w:rPr>
          <w:rFonts w:ascii="Times New Roman" w:hAnsi="Times New Roman" w:eastAsia="Calibri"/>
          <w:bCs/>
          <w:color w:val="000000"/>
        </w:rPr>
        <w:t>,</w:t>
      </w:r>
      <w:r w:rsidRPr="00F8082B">
        <w:rPr>
          <w:rFonts w:ascii="Times New Roman" w:hAnsi="Times New Roman" w:eastAsia="Calibri"/>
          <w:bCs/>
          <w:color w:val="000000"/>
        </w:rPr>
        <w:t xml:space="preserve"> based on </w:t>
      </w:r>
      <w:r w:rsidRPr="00F8082B" w:rsidR="00523ACB">
        <w:rPr>
          <w:rFonts w:ascii="Times New Roman" w:hAnsi="Times New Roman" w:eastAsia="Calibri"/>
          <w:bCs/>
          <w:color w:val="000000"/>
        </w:rPr>
        <w:t xml:space="preserve">the </w:t>
      </w:r>
      <w:r w:rsidRPr="00F8082B">
        <w:rPr>
          <w:rFonts w:ascii="Times New Roman" w:hAnsi="Times New Roman"/>
          <w:color w:val="000000"/>
        </w:rPr>
        <w:t xml:space="preserve">estimated hourly wage at the expected prevailing minimum wage, which is $7.25 per hour in Kentucky and Texas and the expectation that 50 percent of the participants </w:t>
      </w:r>
      <w:r w:rsidRPr="00F8082B" w:rsidR="00826379">
        <w:rPr>
          <w:rFonts w:ascii="Times New Roman" w:hAnsi="Times New Roman"/>
          <w:color w:val="000000"/>
        </w:rPr>
        <w:t xml:space="preserve">will </w:t>
      </w:r>
      <w:r w:rsidRPr="00F8082B">
        <w:rPr>
          <w:rFonts w:ascii="Times New Roman" w:hAnsi="Times New Roman"/>
          <w:color w:val="000000"/>
        </w:rPr>
        <w:t>be employed at the time of the field research</w:t>
      </w:r>
      <w:r w:rsidRPr="00F8082B">
        <w:rPr>
          <w:rFonts w:ascii="Times New Roman" w:hAnsi="Times New Roman" w:eastAsia="Calibri"/>
          <w:bCs/>
          <w:color w:val="000000"/>
        </w:rPr>
        <w:t xml:space="preserve">. </w:t>
      </w:r>
      <w:r w:rsidRPr="00F8082B" w:rsidR="00785A36">
        <w:rPr>
          <w:rFonts w:ascii="Times New Roman" w:hAnsi="Times New Roman"/>
        </w:rPr>
        <w:t>For 60 respondents taking 1.5 hours to complete the survey, the total cost would be $</w:t>
      </w:r>
      <w:r w:rsidRPr="00F8082B" w:rsidR="00052DD6">
        <w:rPr>
          <w:rFonts w:ascii="Times New Roman" w:hAnsi="Times New Roman"/>
        </w:rPr>
        <w:t xml:space="preserve">652.50. </w:t>
      </w:r>
    </w:p>
    <w:p w:rsidRPr="00F8082B" w:rsidR="001525F1" w:rsidP="00E43B7B" w:rsidRDefault="001525F1" w14:paraId="7AC9638C" w14:textId="77777777">
      <w:pPr>
        <w:tabs>
          <w:tab w:val="clear" w:pos="432"/>
          <w:tab w:val="left" w:pos="0"/>
        </w:tabs>
        <w:spacing w:line="240" w:lineRule="auto"/>
        <w:ind w:left="360" w:firstLine="0"/>
        <w:rPr>
          <w:rFonts w:ascii="Times New Roman" w:hAnsi="Times New Roman" w:eastAsia="Calibri"/>
          <w:bCs/>
          <w:color w:val="000000"/>
        </w:rPr>
      </w:pPr>
    </w:p>
    <w:p w:rsidRPr="00F8082B" w:rsidR="00075872" w:rsidP="00F8082B" w:rsidRDefault="001525F1" w14:paraId="23E31AAA" w14:textId="77766579">
      <w:pPr>
        <w:pStyle w:val="NoSpacing"/>
        <w:ind w:left="360"/>
        <w:rPr>
          <w:rFonts w:ascii="Times New Roman" w:hAnsi="Times New Roman" w:cs="Times New Roman"/>
          <w:color w:val="0000FF"/>
          <w:sz w:val="24"/>
          <w:szCs w:val="24"/>
          <w:u w:val="single"/>
        </w:rPr>
      </w:pPr>
      <w:r w:rsidRPr="00F8082B">
        <w:rPr>
          <w:rFonts w:ascii="Times New Roman" w:hAnsi="Times New Roman" w:cs="Times New Roman"/>
          <w:sz w:val="24"/>
          <w:szCs w:val="24"/>
        </w:rPr>
        <w:t>The annual estimated cost burden is $</w:t>
      </w:r>
      <w:r w:rsidRPr="00F8082B" w:rsidR="00031199">
        <w:rPr>
          <w:rFonts w:ascii="Times New Roman" w:hAnsi="Times New Roman" w:cs="Times New Roman"/>
          <w:sz w:val="24"/>
          <w:szCs w:val="24"/>
        </w:rPr>
        <w:t>5</w:t>
      </w:r>
      <w:r w:rsidR="003D2BE7">
        <w:rPr>
          <w:rFonts w:ascii="Times New Roman" w:hAnsi="Times New Roman" w:cs="Times New Roman"/>
          <w:sz w:val="24"/>
          <w:szCs w:val="24"/>
        </w:rPr>
        <w:t>90</w:t>
      </w:r>
      <w:r w:rsidRPr="00F8082B">
        <w:rPr>
          <w:rFonts w:ascii="Times New Roman" w:hAnsi="Times New Roman" w:cs="Times New Roman"/>
          <w:sz w:val="24"/>
          <w:szCs w:val="24"/>
        </w:rPr>
        <w:t>.</w:t>
      </w:r>
      <w:r w:rsidR="003D2BE7">
        <w:rPr>
          <w:rFonts w:ascii="Times New Roman" w:hAnsi="Times New Roman" w:cs="Times New Roman"/>
          <w:sz w:val="24"/>
          <w:szCs w:val="24"/>
        </w:rPr>
        <w:t>38</w:t>
      </w:r>
      <w:r w:rsidRPr="00F8082B">
        <w:rPr>
          <w:rFonts w:ascii="Times New Roman" w:hAnsi="Times New Roman" w:cs="Times New Roman"/>
          <w:sz w:val="24"/>
          <w:szCs w:val="24"/>
        </w:rPr>
        <w:t xml:space="preserve"> for the </w:t>
      </w:r>
      <w:r w:rsidRPr="00F8082B" w:rsidR="00031199">
        <w:rPr>
          <w:rFonts w:ascii="Times New Roman" w:hAnsi="Times New Roman" w:cs="Times New Roman"/>
          <w:sz w:val="24"/>
          <w:szCs w:val="24"/>
        </w:rPr>
        <w:t>9</w:t>
      </w:r>
      <w:r w:rsidRPr="00F8082B" w:rsidR="00052DD6">
        <w:rPr>
          <w:rFonts w:ascii="Times New Roman" w:hAnsi="Times New Roman" w:cs="Times New Roman"/>
          <w:sz w:val="24"/>
          <w:szCs w:val="24"/>
        </w:rPr>
        <w:t xml:space="preserve"> </w:t>
      </w:r>
      <w:r w:rsidRPr="00F8082B" w:rsidR="00826379">
        <w:rPr>
          <w:rFonts w:ascii="Times New Roman" w:hAnsi="Times New Roman" w:cs="Times New Roman"/>
          <w:sz w:val="24"/>
          <w:szCs w:val="24"/>
        </w:rPr>
        <w:t xml:space="preserve">PHA </w:t>
      </w:r>
      <w:r w:rsidRPr="00F8082B" w:rsidR="00031199">
        <w:rPr>
          <w:rFonts w:ascii="Times New Roman" w:hAnsi="Times New Roman" w:cs="Times New Roman"/>
          <w:sz w:val="24"/>
          <w:szCs w:val="24"/>
        </w:rPr>
        <w:t>Supervisor</w:t>
      </w:r>
      <w:r w:rsidRPr="00F8082B">
        <w:rPr>
          <w:rFonts w:ascii="Times New Roman" w:hAnsi="Times New Roman" w:cs="Times New Roman"/>
          <w:sz w:val="24"/>
          <w:szCs w:val="24"/>
        </w:rPr>
        <w:t xml:space="preserve"> interviews </w:t>
      </w:r>
      <w:r w:rsidRPr="00F8082B" w:rsidR="00052DD6">
        <w:rPr>
          <w:rFonts w:ascii="Times New Roman" w:hAnsi="Times New Roman" w:cs="Times New Roman"/>
          <w:sz w:val="24"/>
          <w:szCs w:val="24"/>
        </w:rPr>
        <w:t>(about 90 minutes each)</w:t>
      </w:r>
      <w:r w:rsidRPr="00F8082B" w:rsidR="00031199">
        <w:rPr>
          <w:rFonts w:ascii="Times New Roman" w:hAnsi="Times New Roman" w:cs="Times New Roman"/>
          <w:sz w:val="24"/>
          <w:szCs w:val="24"/>
        </w:rPr>
        <w:t>, using the median hourly wage for Social and Community Service Managers for Local Government of $42.17</w:t>
      </w:r>
      <w:r w:rsidRPr="00F8082B" w:rsidR="00075872">
        <w:rPr>
          <w:rFonts w:ascii="Times New Roman" w:hAnsi="Times New Roman" w:cs="Times New Roman"/>
          <w:sz w:val="24"/>
          <w:szCs w:val="24"/>
        </w:rPr>
        <w:t xml:space="preserve">. </w:t>
      </w:r>
      <w:r w:rsidRPr="00F8082B" w:rsidR="00161EA8">
        <w:rPr>
          <w:rFonts w:ascii="Times New Roman" w:hAnsi="Times New Roman" w:cs="Times New Roman"/>
          <w:sz w:val="24"/>
          <w:szCs w:val="24"/>
        </w:rPr>
        <w:t xml:space="preserve">The annual estimated cost burden is </w:t>
      </w:r>
      <w:r w:rsidRPr="00F8082B" w:rsidR="00031199">
        <w:rPr>
          <w:rFonts w:ascii="Times New Roman" w:hAnsi="Times New Roman" w:cs="Times New Roman"/>
          <w:sz w:val="24"/>
          <w:szCs w:val="24"/>
        </w:rPr>
        <w:t>$5</w:t>
      </w:r>
      <w:r w:rsidR="003D2BE7">
        <w:rPr>
          <w:rFonts w:ascii="Times New Roman" w:hAnsi="Times New Roman" w:cs="Times New Roman"/>
          <w:sz w:val="24"/>
          <w:szCs w:val="24"/>
        </w:rPr>
        <w:t>98</w:t>
      </w:r>
      <w:r w:rsidRPr="00F8082B" w:rsidR="00031199">
        <w:rPr>
          <w:rFonts w:ascii="Times New Roman" w:hAnsi="Times New Roman" w:cs="Times New Roman"/>
          <w:sz w:val="24"/>
          <w:szCs w:val="24"/>
        </w:rPr>
        <w:t>.</w:t>
      </w:r>
      <w:r w:rsidR="003D2BE7">
        <w:rPr>
          <w:rFonts w:ascii="Times New Roman" w:hAnsi="Times New Roman" w:cs="Times New Roman"/>
          <w:sz w:val="24"/>
          <w:szCs w:val="24"/>
        </w:rPr>
        <w:t>72</w:t>
      </w:r>
      <w:r w:rsidRPr="00F8082B" w:rsidR="00161EA8">
        <w:rPr>
          <w:rFonts w:ascii="Times New Roman" w:hAnsi="Times New Roman" w:cs="Times New Roman"/>
          <w:sz w:val="24"/>
          <w:szCs w:val="24"/>
        </w:rPr>
        <w:t xml:space="preserve"> for 15 PHA </w:t>
      </w:r>
      <w:r w:rsidRPr="00F8082B" w:rsidR="00031199">
        <w:rPr>
          <w:rFonts w:ascii="Times New Roman" w:hAnsi="Times New Roman" w:cs="Times New Roman"/>
          <w:sz w:val="24"/>
          <w:szCs w:val="24"/>
        </w:rPr>
        <w:t>S</w:t>
      </w:r>
      <w:r w:rsidRPr="00F8082B" w:rsidR="00161EA8">
        <w:rPr>
          <w:rFonts w:ascii="Times New Roman" w:hAnsi="Times New Roman" w:cs="Times New Roman"/>
          <w:sz w:val="24"/>
          <w:szCs w:val="24"/>
        </w:rPr>
        <w:t xml:space="preserve">pecialist staff interviews (about 90 minutes each), using the median hourly wage for Community Social Service Specialist for Local Government of $25.64. </w:t>
      </w:r>
      <w:r w:rsidRPr="00F8082B">
        <w:rPr>
          <w:rFonts w:ascii="Times New Roman" w:hAnsi="Times New Roman" w:cs="Times New Roman"/>
          <w:sz w:val="24"/>
          <w:szCs w:val="24"/>
        </w:rPr>
        <w:t xml:space="preserve">This cost burden </w:t>
      </w:r>
      <w:r w:rsidRPr="00F8082B" w:rsidR="00826379">
        <w:rPr>
          <w:rFonts w:ascii="Times New Roman" w:hAnsi="Times New Roman" w:cs="Times New Roman"/>
          <w:sz w:val="24"/>
          <w:szCs w:val="24"/>
        </w:rPr>
        <w:t>i</w:t>
      </w:r>
      <w:r w:rsidRPr="00F8082B">
        <w:rPr>
          <w:rFonts w:ascii="Times New Roman" w:hAnsi="Times New Roman" w:cs="Times New Roman"/>
          <w:sz w:val="24"/>
          <w:szCs w:val="24"/>
        </w:rPr>
        <w:t>s estimated using the median hourly wages of selected occupations</w:t>
      </w:r>
      <w:r w:rsidRPr="00F8082B" w:rsidR="00523ACB">
        <w:rPr>
          <w:rFonts w:ascii="Times New Roman" w:hAnsi="Times New Roman" w:cs="Times New Roman"/>
          <w:sz w:val="24"/>
          <w:szCs w:val="24"/>
        </w:rPr>
        <w:t xml:space="preserve"> (Community and Social Service Specialist and Manager), </w:t>
      </w:r>
      <w:r w:rsidRPr="00F8082B">
        <w:rPr>
          <w:rFonts w:ascii="Times New Roman" w:hAnsi="Times New Roman" w:cs="Times New Roman"/>
          <w:sz w:val="24"/>
          <w:szCs w:val="24"/>
        </w:rPr>
        <w:t xml:space="preserve">classified by Standard Occupational Classification (SOC) codes, from the Occupational Employment Statistics </w:t>
      </w:r>
      <w:r w:rsidRPr="00F8082B" w:rsidR="00826379">
        <w:rPr>
          <w:rFonts w:ascii="Times New Roman" w:hAnsi="Times New Roman" w:cs="Times New Roman"/>
          <w:sz w:val="24"/>
          <w:szCs w:val="24"/>
        </w:rPr>
        <w:t xml:space="preserve">of </w:t>
      </w:r>
      <w:r w:rsidRPr="00F8082B">
        <w:rPr>
          <w:rFonts w:ascii="Times New Roman" w:hAnsi="Times New Roman" w:cs="Times New Roman"/>
          <w:sz w:val="24"/>
          <w:szCs w:val="24"/>
        </w:rPr>
        <w:t>the U.S. Department of Labor’s Bureau of Labor Statistics</w:t>
      </w:r>
      <w:r w:rsidRPr="00F8082B" w:rsidR="00523ACB">
        <w:rPr>
          <w:rFonts w:ascii="Times New Roman" w:hAnsi="Times New Roman" w:cs="Times New Roman"/>
          <w:sz w:val="24"/>
          <w:szCs w:val="24"/>
        </w:rPr>
        <w:t xml:space="preserve">, accessed online </w:t>
      </w:r>
      <w:r w:rsidRPr="00F8082B" w:rsidR="00161EA8">
        <w:rPr>
          <w:rFonts w:ascii="Times New Roman" w:hAnsi="Times New Roman" w:cs="Times New Roman"/>
          <w:sz w:val="24"/>
          <w:szCs w:val="24"/>
        </w:rPr>
        <w:t>July 16, 2021</w:t>
      </w:r>
      <w:r w:rsidRPr="00F8082B" w:rsidR="00523ACB">
        <w:rPr>
          <w:rFonts w:ascii="Times New Roman" w:hAnsi="Times New Roman" w:cs="Times New Roman"/>
          <w:sz w:val="24"/>
          <w:szCs w:val="24"/>
        </w:rPr>
        <w:t xml:space="preserve"> at </w:t>
      </w:r>
      <w:hyperlink w:history="1" r:id="rId10">
        <w:r w:rsidRPr="00F8082B" w:rsidR="00523ACB">
          <w:rPr>
            <w:rFonts w:ascii="Times New Roman" w:hAnsi="Times New Roman" w:cs="Times New Roman"/>
            <w:color w:val="0000FF"/>
            <w:sz w:val="24"/>
            <w:szCs w:val="24"/>
            <w:u w:val="single"/>
          </w:rPr>
          <w:t>http://www.bls.gov/oes/current/oes_stru.htm</w:t>
        </w:r>
      </w:hyperlink>
      <w:r w:rsidRPr="00F8082B" w:rsidR="00523ACB">
        <w:rPr>
          <w:rFonts w:ascii="Times New Roman" w:hAnsi="Times New Roman" w:cs="Times New Roman"/>
          <w:color w:val="0000FF"/>
          <w:sz w:val="24"/>
          <w:szCs w:val="24"/>
          <w:u w:val="single"/>
        </w:rPr>
        <w:t xml:space="preserve">. </w:t>
      </w:r>
    </w:p>
    <w:p w:rsidRPr="00075872" w:rsidR="00075872" w:rsidP="00E43B7B" w:rsidRDefault="00075872" w14:paraId="6137860D" w14:textId="77777777">
      <w:pPr>
        <w:tabs>
          <w:tab w:val="clear" w:pos="432"/>
          <w:tab w:val="left" w:pos="0"/>
        </w:tabs>
        <w:spacing w:line="240" w:lineRule="auto"/>
        <w:ind w:left="360" w:firstLine="0"/>
        <w:rPr>
          <w:rFonts w:ascii="Times New Roman" w:hAnsi="Times New Roman"/>
          <w:color w:val="0000FF"/>
          <w:u w:val="single"/>
        </w:rPr>
      </w:pPr>
    </w:p>
    <w:p w:rsidRPr="00075872" w:rsidR="00052DD6" w:rsidP="00E43B7B" w:rsidRDefault="00075872" w14:paraId="1A5B3D6F" w14:textId="27EFBE6C">
      <w:pPr>
        <w:tabs>
          <w:tab w:val="clear" w:pos="432"/>
          <w:tab w:val="left" w:pos="0"/>
        </w:tabs>
        <w:spacing w:line="240" w:lineRule="auto"/>
        <w:ind w:left="360" w:firstLine="0"/>
        <w:rPr>
          <w:rFonts w:ascii="Times New Roman" w:hAnsi="Times New Roman"/>
          <w:color w:val="000000"/>
        </w:rPr>
      </w:pPr>
      <w:r w:rsidRPr="00075872">
        <w:rPr>
          <w:rFonts w:ascii="Times New Roman" w:hAnsi="Times New Roman" w:eastAsia="Calibri"/>
          <w:bCs/>
          <w:color w:val="000000"/>
        </w:rPr>
        <w:t xml:space="preserve">The annual estimated cost burden for the </w:t>
      </w:r>
      <w:r w:rsidR="00826379">
        <w:rPr>
          <w:rFonts w:ascii="Times New Roman" w:hAnsi="Times New Roman" w:eastAsia="Calibri"/>
          <w:bCs/>
          <w:color w:val="000000"/>
        </w:rPr>
        <w:t>Cost Study</w:t>
      </w:r>
      <w:r w:rsidRPr="00075872">
        <w:rPr>
          <w:rFonts w:ascii="Times New Roman" w:hAnsi="Times New Roman" w:eastAsia="Calibri"/>
          <w:bCs/>
          <w:color w:val="000000"/>
        </w:rPr>
        <w:t xml:space="preserve"> data collection with 9 staff is $</w:t>
      </w:r>
      <w:r w:rsidR="001402DB">
        <w:rPr>
          <w:rFonts w:ascii="Times New Roman" w:hAnsi="Times New Roman" w:eastAsia="Calibri"/>
          <w:bCs/>
          <w:color w:val="000000"/>
        </w:rPr>
        <w:t>513</w:t>
      </w:r>
      <w:r w:rsidR="00CB621F">
        <w:rPr>
          <w:rFonts w:ascii="Times New Roman" w:hAnsi="Times New Roman" w:eastAsia="Calibri"/>
          <w:bCs/>
          <w:color w:val="000000"/>
        </w:rPr>
        <w:t>.</w:t>
      </w:r>
      <w:r w:rsidR="001402DB">
        <w:rPr>
          <w:rFonts w:ascii="Times New Roman" w:hAnsi="Times New Roman" w:eastAsia="Calibri"/>
          <w:bCs/>
          <w:color w:val="000000"/>
        </w:rPr>
        <w:t>00</w:t>
      </w:r>
      <w:r w:rsidRPr="00075872">
        <w:rPr>
          <w:rFonts w:ascii="Times New Roman" w:hAnsi="Times New Roman" w:eastAsia="Calibri"/>
          <w:bCs/>
          <w:color w:val="000000"/>
        </w:rPr>
        <w:t xml:space="preserve">. </w:t>
      </w:r>
      <w:r w:rsidRPr="00075872">
        <w:rPr>
          <w:rFonts w:ascii="Times New Roman" w:hAnsi="Times New Roman"/>
          <w:color w:val="000000"/>
        </w:rPr>
        <w:t>Th</w:t>
      </w:r>
      <w:r w:rsidR="00826379">
        <w:rPr>
          <w:rFonts w:ascii="Times New Roman" w:hAnsi="Times New Roman"/>
          <w:color w:val="000000"/>
        </w:rPr>
        <w:t>is d</w:t>
      </w:r>
      <w:r w:rsidRPr="00075872">
        <w:rPr>
          <w:rFonts w:ascii="Times New Roman" w:hAnsi="Times New Roman"/>
          <w:color w:val="000000"/>
        </w:rPr>
        <w:t xml:space="preserve">ata collection assumes 2 managers and 1 specialist will be interviewed per site. The </w:t>
      </w:r>
      <w:r w:rsidRPr="00075872" w:rsidR="00523ACB">
        <w:rPr>
          <w:rFonts w:ascii="Times New Roman" w:hAnsi="Times New Roman"/>
        </w:rPr>
        <w:t xml:space="preserve">weighted average of the hourly wage for </w:t>
      </w:r>
      <w:r w:rsidRPr="00075872">
        <w:rPr>
          <w:rFonts w:ascii="Times New Roman" w:hAnsi="Times New Roman"/>
        </w:rPr>
        <w:t>this respondent is $</w:t>
      </w:r>
      <w:r w:rsidR="001402DB">
        <w:rPr>
          <w:rFonts w:ascii="Times New Roman" w:hAnsi="Times New Roman"/>
        </w:rPr>
        <w:t>28</w:t>
      </w:r>
      <w:r w:rsidR="00CB621F">
        <w:rPr>
          <w:rFonts w:ascii="Times New Roman" w:hAnsi="Times New Roman"/>
        </w:rPr>
        <w:t>.</w:t>
      </w:r>
      <w:r w:rsidR="001402DB">
        <w:rPr>
          <w:rFonts w:ascii="Times New Roman" w:hAnsi="Times New Roman"/>
        </w:rPr>
        <w:t>50</w:t>
      </w:r>
      <w:r w:rsidRPr="00075872">
        <w:rPr>
          <w:rFonts w:ascii="Times New Roman" w:hAnsi="Times New Roman"/>
        </w:rPr>
        <w:t xml:space="preserve">.  </w:t>
      </w:r>
    </w:p>
    <w:p w:rsidRPr="00075872" w:rsidR="00052DD6" w:rsidP="00E43B7B" w:rsidRDefault="00052DD6" w14:paraId="642DE154" w14:textId="77777777">
      <w:pPr>
        <w:tabs>
          <w:tab w:val="clear" w:pos="432"/>
          <w:tab w:val="left" w:pos="0"/>
        </w:tabs>
        <w:spacing w:line="240" w:lineRule="auto"/>
        <w:ind w:left="360" w:firstLine="0"/>
        <w:rPr>
          <w:rFonts w:ascii="Times New Roman" w:hAnsi="Times New Roman"/>
        </w:rPr>
      </w:pPr>
    </w:p>
    <w:p w:rsidRPr="00075872" w:rsidR="001525F1" w:rsidP="00E43B7B" w:rsidRDefault="001525F1" w14:paraId="4F56287F" w14:textId="395099ED">
      <w:pPr>
        <w:tabs>
          <w:tab w:val="clear" w:pos="432"/>
          <w:tab w:val="left" w:pos="0"/>
        </w:tabs>
        <w:spacing w:line="240" w:lineRule="auto"/>
        <w:ind w:left="360" w:firstLine="0"/>
        <w:rPr>
          <w:rFonts w:ascii="Times New Roman" w:hAnsi="Times New Roman"/>
        </w:rPr>
      </w:pPr>
      <w:r w:rsidRPr="00075872">
        <w:rPr>
          <w:rFonts w:ascii="Times New Roman" w:hAnsi="Times New Roman"/>
        </w:rPr>
        <w:t>Other costs, if any, incurred by the housing agency will be estimated in the cost study portion of the study (it is not known, but is in fact a study outcome of interest).</w:t>
      </w:r>
    </w:p>
    <w:p w:rsidR="000A0514" w:rsidP="000E18D7" w:rsidRDefault="000A0514" w14:paraId="68ED3A94" w14:textId="77777777">
      <w:pPr>
        <w:spacing w:line="240" w:lineRule="auto"/>
        <w:ind w:firstLine="0"/>
        <w:jc w:val="left"/>
        <w:rPr>
          <w:rFonts w:ascii="Times New Roman" w:hAnsi="Times New Roman"/>
          <w:color w:val="000000"/>
        </w:rPr>
      </w:pPr>
    </w:p>
    <w:p w:rsidRPr="00216C9E" w:rsidR="0049404E" w:rsidP="000E18D7" w:rsidRDefault="0049404E" w14:paraId="3C008F98" w14:textId="7C919926">
      <w:pPr>
        <w:spacing w:line="240" w:lineRule="auto"/>
        <w:ind w:firstLine="0"/>
        <w:jc w:val="left"/>
        <w:rPr>
          <w:rFonts w:ascii="Times New Roman" w:hAnsi="Times New Roman"/>
          <w:b/>
          <w:bCs/>
          <w:highlight w:val="yellow"/>
        </w:rPr>
      </w:pPr>
    </w:p>
    <w:p w:rsidRPr="002F48DA" w:rsidR="00CC7FDE" w:rsidP="002F48DA" w:rsidRDefault="00CC7FDE" w14:paraId="359A9464" w14:textId="1950D1A2">
      <w:pPr>
        <w:pStyle w:val="ListParagraph"/>
        <w:numPr>
          <w:ilvl w:val="0"/>
          <w:numId w:val="40"/>
        </w:numPr>
        <w:ind w:left="360" w:hanging="540"/>
        <w:rPr>
          <w:b/>
        </w:rPr>
      </w:pPr>
      <w:r w:rsidRPr="002F48DA">
        <w:rPr>
          <w:b/>
        </w:rPr>
        <w:t xml:space="preserve">Provide an estimate of the total annual cost burden to respondents or recordkeepers resulting from the collection of information (do not include the cost of any hour burden shown in Items 12 and 14). </w:t>
      </w:r>
    </w:p>
    <w:p w:rsidRPr="00DF4E4E" w:rsidR="00CC7FDE" w:rsidP="002F48DA" w:rsidRDefault="00CC7FDE" w14:paraId="34715981" w14:textId="77777777">
      <w:pPr>
        <w:numPr>
          <w:ilvl w:val="0"/>
          <w:numId w:val="43"/>
        </w:numPr>
        <w:tabs>
          <w:tab w:val="clear" w:pos="432"/>
        </w:tabs>
        <w:overflowPunct w:val="0"/>
        <w:autoSpaceDE w:val="0"/>
        <w:autoSpaceDN w:val="0"/>
        <w:adjustRightInd w:val="0"/>
        <w:spacing w:line="240" w:lineRule="auto"/>
        <w:jc w:val="left"/>
        <w:rPr>
          <w:rFonts w:ascii="Times New Roman" w:hAnsi="Times New Roman"/>
          <w:b/>
        </w:rPr>
      </w:pPr>
      <w:r w:rsidRPr="00DF4E4E">
        <w:rPr>
          <w:rFonts w:ascii="Times New Roman" w:hAnsi="Times New Roman"/>
          <w:b/>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DF4E4E">
        <w:rPr>
          <w:rFonts w:ascii="Times New Roman" w:hAnsi="Times New Roman"/>
          <w:b/>
        </w:rPr>
        <w:t>take into account</w:t>
      </w:r>
      <w:proofErr w:type="gramEnd"/>
      <w:r w:rsidRPr="00DF4E4E">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DF4E4E">
        <w:rPr>
          <w:rFonts w:ascii="Times New Roman" w:hAnsi="Times New Roman"/>
          <w:b/>
        </w:rPr>
        <w:t>time period</w:t>
      </w:r>
      <w:proofErr w:type="gramEnd"/>
      <w:r w:rsidRPr="00DF4E4E">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DF4E4E">
        <w:rPr>
          <w:rFonts w:ascii="Times New Roman" w:hAnsi="Times New Roman"/>
          <w:b/>
        </w:rPr>
        <w:t>facilities;</w:t>
      </w:r>
      <w:proofErr w:type="gramEnd"/>
      <w:r w:rsidRPr="00DF4E4E">
        <w:rPr>
          <w:rFonts w:ascii="Times New Roman" w:hAnsi="Times New Roman"/>
          <w:b/>
        </w:rPr>
        <w:t xml:space="preserve"> </w:t>
      </w:r>
    </w:p>
    <w:p w:rsidRPr="00DF4E4E" w:rsidR="00CC7FDE" w:rsidP="00CC7FDE" w:rsidRDefault="00CC7FDE" w14:paraId="7B83863F" w14:textId="77777777">
      <w:pPr>
        <w:numPr>
          <w:ilvl w:val="0"/>
          <w:numId w:val="43"/>
        </w:numPr>
        <w:tabs>
          <w:tab w:val="clear" w:pos="432"/>
          <w:tab w:val="left" w:pos="360"/>
        </w:tabs>
        <w:overflowPunct w:val="0"/>
        <w:autoSpaceDE w:val="0"/>
        <w:autoSpaceDN w:val="0"/>
        <w:adjustRightInd w:val="0"/>
        <w:spacing w:line="240" w:lineRule="auto"/>
        <w:jc w:val="left"/>
        <w:rPr>
          <w:rFonts w:ascii="Times New Roman" w:hAnsi="Times New Roman"/>
          <w:b/>
        </w:rPr>
      </w:pPr>
      <w:r w:rsidRPr="00DF4E4E">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CC7FDE" w:rsidP="00CC7FDE" w:rsidRDefault="00CC7FDE" w14:paraId="7FC21DA9" w14:textId="2F7BE4CC">
      <w:pPr>
        <w:keepLines/>
        <w:numPr>
          <w:ilvl w:val="0"/>
          <w:numId w:val="43"/>
        </w:numPr>
        <w:tabs>
          <w:tab w:val="clear" w:pos="432"/>
          <w:tab w:val="left" w:pos="360"/>
        </w:tabs>
        <w:overflowPunct w:val="0"/>
        <w:autoSpaceDE w:val="0"/>
        <w:autoSpaceDN w:val="0"/>
        <w:adjustRightInd w:val="0"/>
        <w:spacing w:after="120" w:line="240" w:lineRule="auto"/>
        <w:ind w:left="696"/>
        <w:jc w:val="left"/>
        <w:rPr>
          <w:rFonts w:ascii="Times New Roman" w:hAnsi="Times New Roman"/>
          <w:b/>
        </w:rPr>
      </w:pPr>
      <w:r w:rsidRPr="00DF4E4E">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F4E4E" w:rsidR="00B058AC" w:rsidP="00B058AC" w:rsidRDefault="00B058AC" w14:paraId="3F0531A3" w14:textId="77777777">
      <w:pPr>
        <w:keepLines/>
        <w:tabs>
          <w:tab w:val="clear" w:pos="432"/>
          <w:tab w:val="left" w:pos="360"/>
        </w:tabs>
        <w:overflowPunct w:val="0"/>
        <w:autoSpaceDE w:val="0"/>
        <w:autoSpaceDN w:val="0"/>
        <w:adjustRightInd w:val="0"/>
        <w:spacing w:after="120" w:line="240" w:lineRule="auto"/>
        <w:ind w:left="696" w:firstLine="0"/>
        <w:jc w:val="left"/>
        <w:rPr>
          <w:rFonts w:ascii="Times New Roman" w:hAnsi="Times New Roman"/>
          <w:b/>
        </w:rPr>
      </w:pPr>
    </w:p>
    <w:p w:rsidR="00CC7FDE" w:rsidP="002F48DA" w:rsidRDefault="00CC7FDE" w14:paraId="54F8E97C" w14:textId="4812D616">
      <w:pPr>
        <w:tabs>
          <w:tab w:val="clear" w:pos="432"/>
          <w:tab w:val="left" w:pos="0"/>
        </w:tabs>
        <w:spacing w:line="240" w:lineRule="auto"/>
        <w:ind w:left="336" w:firstLine="0"/>
        <w:rPr>
          <w:rFonts w:ascii="Times New Roman" w:hAnsi="Times New Roman"/>
        </w:rPr>
      </w:pPr>
      <w:r w:rsidRPr="000A0514">
        <w:rPr>
          <w:rFonts w:ascii="Times New Roman" w:hAnsi="Times New Roman"/>
        </w:rPr>
        <w:t xml:space="preserve">At the start of the demonstration, </w:t>
      </w:r>
      <w:r w:rsidRPr="000A0514" w:rsidR="00601491">
        <w:rPr>
          <w:rFonts w:ascii="Times New Roman" w:hAnsi="Times New Roman"/>
        </w:rPr>
        <w:t xml:space="preserve">the </w:t>
      </w:r>
      <w:r w:rsidRPr="000A0514" w:rsidR="00886D79">
        <w:rPr>
          <w:rFonts w:ascii="Times New Roman" w:hAnsi="Times New Roman"/>
        </w:rPr>
        <w:t xml:space="preserve">alternative </w:t>
      </w:r>
      <w:r w:rsidRPr="000A0514" w:rsidR="00601491">
        <w:rPr>
          <w:rFonts w:ascii="Times New Roman" w:hAnsi="Times New Roman"/>
        </w:rPr>
        <w:t xml:space="preserve">rent policy implementation </w:t>
      </w:r>
      <w:r w:rsidRPr="000A0514">
        <w:rPr>
          <w:rFonts w:ascii="Times New Roman" w:hAnsi="Times New Roman"/>
        </w:rPr>
        <w:t xml:space="preserve">required </w:t>
      </w:r>
      <w:r w:rsidRPr="000A0514" w:rsidR="00601491">
        <w:rPr>
          <w:rFonts w:ascii="Times New Roman" w:hAnsi="Times New Roman"/>
        </w:rPr>
        <w:t xml:space="preserve">the PHAs </w:t>
      </w:r>
      <w:r w:rsidRPr="000A0514">
        <w:rPr>
          <w:rFonts w:ascii="Times New Roman" w:hAnsi="Times New Roman"/>
        </w:rPr>
        <w:t xml:space="preserve">to modify their existing data systems to capture the newly implemented rent rules. </w:t>
      </w:r>
      <w:r w:rsidRPr="000A0514" w:rsidR="00886D79">
        <w:rPr>
          <w:rFonts w:ascii="Times New Roman" w:hAnsi="Times New Roman"/>
        </w:rPr>
        <w:t>HUD provided each housing agency $150,000 to offset the one-time software modification costs</w:t>
      </w:r>
      <w:r w:rsidRPr="000A0514" w:rsidR="00C93964">
        <w:rPr>
          <w:rFonts w:ascii="Times New Roman" w:hAnsi="Times New Roman"/>
        </w:rPr>
        <w:t>, which annualized over the 6-year demonstration are $25,000 per year</w:t>
      </w:r>
      <w:r w:rsidRPr="000A0514" w:rsidR="00886D79">
        <w:rPr>
          <w:rFonts w:ascii="Times New Roman" w:hAnsi="Times New Roman"/>
        </w:rPr>
        <w:t xml:space="preserve">. </w:t>
      </w:r>
    </w:p>
    <w:p w:rsidR="00D3731D" w:rsidP="002F48DA" w:rsidRDefault="00D3731D" w14:paraId="4BBCA4F6" w14:textId="1F114344">
      <w:pPr>
        <w:tabs>
          <w:tab w:val="clear" w:pos="432"/>
          <w:tab w:val="left" w:pos="0"/>
        </w:tabs>
        <w:spacing w:line="240" w:lineRule="auto"/>
        <w:ind w:left="336" w:firstLine="0"/>
        <w:rPr>
          <w:rFonts w:ascii="Times New Roman" w:hAnsi="Times New Roman"/>
        </w:rPr>
      </w:pPr>
    </w:p>
    <w:p w:rsidRPr="000A0514" w:rsidR="00D3731D" w:rsidP="002F48DA" w:rsidRDefault="00D3731D" w14:paraId="744E4FA2" w14:textId="6F1E5F65">
      <w:pPr>
        <w:spacing w:line="240" w:lineRule="auto"/>
        <w:ind w:left="336" w:firstLine="0"/>
        <w:rPr>
          <w:rFonts w:ascii="Times New Roman" w:hAnsi="Times New Roman"/>
        </w:rPr>
      </w:pPr>
      <w:r w:rsidRPr="00E57E60">
        <w:rPr>
          <w:rFonts w:ascii="Times New Roman" w:hAnsi="Times New Roman"/>
        </w:rPr>
        <w:t xml:space="preserve">This data collection effort involves no </w:t>
      </w:r>
      <w:r w:rsidR="00B058AC">
        <w:rPr>
          <w:rFonts w:ascii="Times New Roman" w:hAnsi="Times New Roman"/>
        </w:rPr>
        <w:t xml:space="preserve">additional </w:t>
      </w:r>
      <w:r w:rsidRPr="00E57E60">
        <w:rPr>
          <w:rFonts w:ascii="Times New Roman" w:hAnsi="Times New Roman"/>
        </w:rPr>
        <w:t xml:space="preserve">recordkeeping for respondents other than the time burden to respond to questions on the data collection instruments as described in item 12 above. There is no known additional cost burden to the respondents. </w:t>
      </w:r>
    </w:p>
    <w:p w:rsidR="00E80C9D" w:rsidP="00BF36F2" w:rsidRDefault="00E80C9D" w14:paraId="7255F86B" w14:textId="77777777">
      <w:pPr>
        <w:spacing w:line="240" w:lineRule="auto"/>
        <w:ind w:firstLine="0"/>
        <w:jc w:val="left"/>
        <w:rPr>
          <w:rFonts w:ascii="Times New Roman" w:hAnsi="Times New Roman"/>
        </w:rPr>
      </w:pPr>
    </w:p>
    <w:p w:rsidRPr="00DF4E4E" w:rsidR="00AE158D" w:rsidP="002F48DA" w:rsidRDefault="00AE158D" w14:paraId="112946DD" w14:textId="77777777">
      <w:pPr>
        <w:keepLines/>
        <w:tabs>
          <w:tab w:val="clear" w:pos="432"/>
        </w:tabs>
        <w:spacing w:after="120" w:line="240" w:lineRule="auto"/>
        <w:ind w:left="360" w:hanging="540"/>
        <w:rPr>
          <w:rFonts w:ascii="Times New Roman" w:hAnsi="Times New Roman"/>
          <w:b/>
          <w:bCs/>
        </w:rPr>
      </w:pPr>
      <w:r w:rsidRPr="00DF4E4E">
        <w:rPr>
          <w:rFonts w:ascii="Times New Roman" w:hAnsi="Times New Roman"/>
          <w:b/>
          <w:bCs/>
        </w:rPr>
        <w:t>14.</w:t>
      </w:r>
      <w:r w:rsidRPr="00DF4E4E">
        <w:rPr>
          <w:rFonts w:ascii="Times New Roman" w:hAnsi="Times New Roman"/>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3558A" w:rsidP="002F48DA" w:rsidRDefault="00D3731D" w14:paraId="33EF226F" w14:textId="1B3DC0EA">
      <w:pPr>
        <w:tabs>
          <w:tab w:val="clear" w:pos="432"/>
        </w:tabs>
        <w:spacing w:line="240" w:lineRule="auto"/>
        <w:ind w:left="360" w:firstLine="0"/>
        <w:jc w:val="left"/>
        <w:rPr>
          <w:rFonts w:ascii="Times New Roman" w:hAnsi="Times New Roman"/>
        </w:rPr>
      </w:pPr>
      <w:r w:rsidRPr="00295ED3">
        <w:rPr>
          <w:rFonts w:ascii="Times New Roman" w:hAnsi="Times New Roman"/>
        </w:rPr>
        <w:t xml:space="preserve">The estimated cost to the Federal government for </w:t>
      </w:r>
      <w:r w:rsidRPr="00973022" w:rsidR="0049404E">
        <w:rPr>
          <w:rFonts w:ascii="Times New Roman" w:hAnsi="Times New Roman"/>
        </w:rPr>
        <w:t xml:space="preserve">the </w:t>
      </w:r>
      <w:r w:rsidRPr="00973022" w:rsidR="00886D79">
        <w:rPr>
          <w:rFonts w:ascii="Times New Roman" w:hAnsi="Times New Roman"/>
        </w:rPr>
        <w:t>qualitative study, the subject of th</w:t>
      </w:r>
      <w:r w:rsidRPr="00973022" w:rsidR="0049404E">
        <w:rPr>
          <w:rFonts w:ascii="Times New Roman" w:hAnsi="Times New Roman"/>
        </w:rPr>
        <w:t xml:space="preserve">is </w:t>
      </w:r>
      <w:r w:rsidRPr="00973022" w:rsidR="00886D79">
        <w:rPr>
          <w:rFonts w:ascii="Times New Roman" w:hAnsi="Times New Roman"/>
        </w:rPr>
        <w:t>application</w:t>
      </w:r>
      <w:r w:rsidRPr="00973022" w:rsidR="0049404E">
        <w:rPr>
          <w:rFonts w:ascii="Times New Roman" w:hAnsi="Times New Roman"/>
        </w:rPr>
        <w:t>,</w:t>
      </w:r>
      <w:r w:rsidRPr="00973022" w:rsidR="00886D79">
        <w:rPr>
          <w:rFonts w:ascii="Times New Roman" w:hAnsi="Times New Roman"/>
        </w:rPr>
        <w:t xml:space="preserve"> is $202,211</w:t>
      </w:r>
      <w:r w:rsidRPr="00973022" w:rsidR="0049404E">
        <w:rPr>
          <w:rFonts w:ascii="Times New Roman" w:hAnsi="Times New Roman"/>
        </w:rPr>
        <w:t>. Th</w:t>
      </w:r>
      <w:r>
        <w:rPr>
          <w:rFonts w:ascii="Times New Roman" w:hAnsi="Times New Roman"/>
        </w:rPr>
        <w:t xml:space="preserve">is cost includes </w:t>
      </w:r>
      <w:r w:rsidRPr="00973022" w:rsidR="0049404E">
        <w:rPr>
          <w:rFonts w:ascii="Times New Roman" w:hAnsi="Times New Roman"/>
        </w:rPr>
        <w:t xml:space="preserve">labor hours </w:t>
      </w:r>
      <w:r w:rsidRPr="00973022" w:rsidR="00886D79">
        <w:rPr>
          <w:rFonts w:ascii="Times New Roman" w:hAnsi="Times New Roman"/>
        </w:rPr>
        <w:t>for site visits</w:t>
      </w:r>
      <w:r w:rsidRPr="00973022" w:rsidR="0049404E">
        <w:rPr>
          <w:rFonts w:ascii="Times New Roman" w:hAnsi="Times New Roman"/>
        </w:rPr>
        <w:t xml:space="preserve">, </w:t>
      </w:r>
      <w:r w:rsidRPr="00973022" w:rsidR="00886D79">
        <w:rPr>
          <w:rFonts w:ascii="Times New Roman" w:hAnsi="Times New Roman"/>
        </w:rPr>
        <w:t>qualitative data collection</w:t>
      </w:r>
      <w:r w:rsidRPr="00973022" w:rsidR="0049404E">
        <w:rPr>
          <w:rFonts w:ascii="Times New Roman" w:hAnsi="Times New Roman"/>
        </w:rPr>
        <w:t xml:space="preserve">, coding, and processing and analysis </w:t>
      </w:r>
      <w:r w:rsidR="002364E7">
        <w:rPr>
          <w:rFonts w:ascii="Times New Roman" w:hAnsi="Times New Roman"/>
        </w:rPr>
        <w:t xml:space="preserve">of data </w:t>
      </w:r>
      <w:r w:rsidRPr="00973022" w:rsidR="0049404E">
        <w:rPr>
          <w:rFonts w:ascii="Times New Roman" w:hAnsi="Times New Roman"/>
        </w:rPr>
        <w:t>for the final deliverable.</w:t>
      </w:r>
      <w:r w:rsidR="0049404E">
        <w:t xml:space="preserve"> </w:t>
      </w:r>
      <w:r w:rsidR="0049404E">
        <w:rPr>
          <w:rFonts w:ascii="Times New Roman" w:hAnsi="Times New Roman"/>
        </w:rPr>
        <w:t xml:space="preserve"> </w:t>
      </w:r>
      <w:r w:rsidR="00C93964">
        <w:rPr>
          <w:rFonts w:ascii="Times New Roman" w:hAnsi="Times New Roman"/>
        </w:rPr>
        <w:t xml:space="preserve">The </w:t>
      </w:r>
      <w:r>
        <w:rPr>
          <w:rFonts w:ascii="Times New Roman" w:hAnsi="Times New Roman"/>
        </w:rPr>
        <w:t xml:space="preserve">cost of the data collection is based on </w:t>
      </w:r>
      <w:r w:rsidR="00C93964">
        <w:rPr>
          <w:rFonts w:ascii="Times New Roman" w:hAnsi="Times New Roman"/>
        </w:rPr>
        <w:t>the contractor’s budget for the work, which is based on the cost of the previous qualitative study conducted at an earlier phase in the demonstration.</w:t>
      </w:r>
    </w:p>
    <w:p w:rsidR="00F8082B" w:rsidP="002F48DA" w:rsidRDefault="00F8082B" w14:paraId="2B1E94D2" w14:textId="4F3FFE86">
      <w:pPr>
        <w:tabs>
          <w:tab w:val="clear" w:pos="432"/>
        </w:tabs>
        <w:spacing w:line="240" w:lineRule="auto"/>
        <w:ind w:left="360" w:firstLine="0"/>
        <w:jc w:val="left"/>
        <w:rPr>
          <w:rFonts w:ascii="Times New Roman" w:hAnsi="Times New Roman"/>
        </w:rPr>
      </w:pPr>
    </w:p>
    <w:p w:rsidR="00F8082B" w:rsidP="002F48DA" w:rsidRDefault="00F8082B" w14:paraId="65144A65" w14:textId="77777777">
      <w:pPr>
        <w:tabs>
          <w:tab w:val="clear" w:pos="432"/>
        </w:tabs>
        <w:spacing w:line="240" w:lineRule="auto"/>
        <w:ind w:left="360" w:firstLine="0"/>
        <w:jc w:val="left"/>
        <w:rPr>
          <w:rFonts w:ascii="Times New Roman" w:hAnsi="Times New Roman"/>
        </w:rPr>
      </w:pPr>
    </w:p>
    <w:p w:rsidR="002F48DA" w:rsidP="002F48DA" w:rsidRDefault="002F48DA" w14:paraId="60A3C167" w14:textId="6D8D54C6">
      <w:pPr>
        <w:tabs>
          <w:tab w:val="clear" w:pos="432"/>
        </w:tabs>
        <w:spacing w:line="240" w:lineRule="auto"/>
        <w:ind w:left="360" w:firstLine="0"/>
        <w:jc w:val="left"/>
        <w:rPr>
          <w:rFonts w:ascii="Times New Roman" w:hAnsi="Times New Roman"/>
        </w:rPr>
      </w:pPr>
    </w:p>
    <w:p w:rsidR="00010E67" w:rsidP="002F48DA" w:rsidRDefault="00010E67" w14:paraId="5E925CBB" w14:textId="77777777">
      <w:pPr>
        <w:keepLines/>
        <w:tabs>
          <w:tab w:val="clear" w:pos="432"/>
        </w:tabs>
        <w:spacing w:after="120" w:line="240" w:lineRule="auto"/>
        <w:ind w:left="360" w:hanging="540"/>
        <w:rPr>
          <w:rFonts w:ascii="Times New Roman" w:hAnsi="Times New Roman"/>
          <w:b/>
        </w:rPr>
      </w:pPr>
      <w:r w:rsidRPr="00343058">
        <w:rPr>
          <w:rFonts w:ascii="Times New Roman" w:hAnsi="Times New Roman"/>
          <w:b/>
        </w:rPr>
        <w:t>15.</w:t>
      </w:r>
      <w:r w:rsidRPr="00343058">
        <w:rPr>
          <w:rFonts w:ascii="Times New Roman" w:hAnsi="Times New Roman"/>
          <w:b/>
        </w:rPr>
        <w:tab/>
        <w:t>Explain the reasons for any program changes or adjustments reported in Items 13 and 14 of the OMB Form 83-I.</w:t>
      </w:r>
    </w:p>
    <w:p w:rsidR="00B1183B" w:rsidP="002F48DA" w:rsidRDefault="00B1183B" w14:paraId="515E0B94" w14:textId="0D121EEB">
      <w:pPr>
        <w:autoSpaceDE w:val="0"/>
        <w:autoSpaceDN w:val="0"/>
        <w:adjustRightInd w:val="0"/>
        <w:spacing w:line="240" w:lineRule="auto"/>
        <w:ind w:left="360" w:firstLine="0"/>
        <w:jc w:val="left"/>
        <w:rPr>
          <w:rFonts w:ascii="Times New Roman" w:hAnsi="Times New Roman"/>
          <w:color w:val="000000"/>
        </w:rPr>
      </w:pPr>
      <w:r w:rsidRPr="00542556">
        <w:rPr>
          <w:rFonts w:ascii="Times New Roman" w:hAnsi="Times New Roman"/>
          <w:color w:val="000000"/>
        </w:rPr>
        <w:t xml:space="preserve">This submission </w:t>
      </w:r>
      <w:r w:rsidR="00DA248A">
        <w:rPr>
          <w:rFonts w:ascii="Times New Roman" w:hAnsi="Times New Roman"/>
          <w:color w:val="000000"/>
        </w:rPr>
        <w:t xml:space="preserve">reflects the data needs of the </w:t>
      </w:r>
      <w:r w:rsidR="00796010">
        <w:rPr>
          <w:rFonts w:ascii="Times New Roman" w:hAnsi="Times New Roman"/>
          <w:color w:val="000000"/>
        </w:rPr>
        <w:t>Rent Reform Demonstration</w:t>
      </w:r>
      <w:r w:rsidR="00601491">
        <w:rPr>
          <w:rFonts w:ascii="Times New Roman" w:hAnsi="Times New Roman"/>
          <w:color w:val="000000"/>
        </w:rPr>
        <w:t xml:space="preserve">’s </w:t>
      </w:r>
      <w:r w:rsidR="00A7747A">
        <w:rPr>
          <w:rFonts w:ascii="Times New Roman" w:hAnsi="Times New Roman"/>
          <w:color w:val="000000"/>
        </w:rPr>
        <w:t>6-Year Follow-Up study (c</w:t>
      </w:r>
      <w:r w:rsidRPr="00A7747A" w:rsidR="00A7747A">
        <w:rPr>
          <w:rFonts w:ascii="Times New Roman" w:hAnsi="Times New Roman"/>
          <w:color w:val="000000"/>
        </w:rPr>
        <w:t>ontract</w:t>
      </w:r>
      <w:r w:rsidR="00A7747A">
        <w:rPr>
          <w:rFonts w:ascii="Times New Roman" w:hAnsi="Times New Roman"/>
          <w:color w:val="000000"/>
        </w:rPr>
        <w:t xml:space="preserve"> no</w:t>
      </w:r>
      <w:r w:rsidRPr="00A7747A" w:rsidR="00A7747A">
        <w:rPr>
          <w:rFonts w:ascii="Times New Roman" w:hAnsi="Times New Roman"/>
          <w:color w:val="000000"/>
        </w:rPr>
        <w:t>: 86614619C0009</w:t>
      </w:r>
      <w:r w:rsidR="00A7747A">
        <w:rPr>
          <w:rFonts w:ascii="Times New Roman" w:hAnsi="Times New Roman"/>
          <w:color w:val="000000"/>
        </w:rPr>
        <w:t>)</w:t>
      </w:r>
      <w:r w:rsidR="00601491">
        <w:rPr>
          <w:rFonts w:ascii="Times New Roman" w:hAnsi="Times New Roman"/>
          <w:color w:val="000000"/>
        </w:rPr>
        <w:t>, particularly its qualitative data collection</w:t>
      </w:r>
      <w:r w:rsidR="00A7747A">
        <w:rPr>
          <w:rFonts w:ascii="Times New Roman" w:hAnsi="Times New Roman"/>
          <w:color w:val="000000"/>
        </w:rPr>
        <w:t>.</w:t>
      </w:r>
      <w:r w:rsidR="0049404E">
        <w:rPr>
          <w:rFonts w:ascii="Times New Roman" w:hAnsi="Times New Roman"/>
          <w:color w:val="000000"/>
        </w:rPr>
        <w:t xml:space="preserve"> </w:t>
      </w:r>
      <w:r w:rsidR="00D3731D">
        <w:rPr>
          <w:rFonts w:ascii="Times New Roman" w:hAnsi="Times New Roman"/>
          <w:color w:val="000000"/>
        </w:rPr>
        <w:t xml:space="preserve">This submission is a </w:t>
      </w:r>
      <w:r w:rsidR="00DD6A14">
        <w:rPr>
          <w:rFonts w:ascii="Times New Roman" w:hAnsi="Times New Roman"/>
          <w:color w:val="000000"/>
        </w:rPr>
        <w:t xml:space="preserve">revision of </w:t>
      </w:r>
      <w:r w:rsidR="001402DB">
        <w:rPr>
          <w:rFonts w:ascii="Times New Roman" w:hAnsi="Times New Roman"/>
          <w:color w:val="000000"/>
        </w:rPr>
        <w:t>a currently</w:t>
      </w:r>
      <w:r w:rsidR="00DD6A14">
        <w:rPr>
          <w:rFonts w:ascii="Times New Roman" w:hAnsi="Times New Roman"/>
          <w:color w:val="000000"/>
        </w:rPr>
        <w:t xml:space="preserve"> approved collection</w:t>
      </w:r>
      <w:r w:rsidR="00D3731D">
        <w:rPr>
          <w:rFonts w:ascii="Times New Roman" w:hAnsi="Times New Roman"/>
          <w:color w:val="000000"/>
        </w:rPr>
        <w:t xml:space="preserve">.  </w:t>
      </w:r>
    </w:p>
    <w:p w:rsidR="00D3731D" w:rsidP="00D3731D" w:rsidRDefault="00D3731D" w14:paraId="3226BD0E" w14:textId="77777777">
      <w:pPr>
        <w:autoSpaceDE w:val="0"/>
        <w:autoSpaceDN w:val="0"/>
        <w:adjustRightInd w:val="0"/>
        <w:spacing w:line="240" w:lineRule="auto"/>
        <w:ind w:firstLine="0"/>
        <w:jc w:val="left"/>
        <w:rPr>
          <w:rFonts w:ascii="Times New Roman" w:hAnsi="Times New Roman"/>
          <w:color w:val="000000"/>
        </w:rPr>
      </w:pPr>
    </w:p>
    <w:p w:rsidRPr="00343058" w:rsidR="004F7C13" w:rsidP="002F48DA" w:rsidRDefault="004F7C13" w14:paraId="2F232129" w14:textId="77777777">
      <w:pPr>
        <w:keepLines/>
        <w:tabs>
          <w:tab w:val="clear" w:pos="432"/>
        </w:tabs>
        <w:spacing w:after="120" w:line="240" w:lineRule="auto"/>
        <w:ind w:left="360" w:hanging="540"/>
        <w:rPr>
          <w:rFonts w:ascii="Times New Roman" w:hAnsi="Times New Roman"/>
          <w:b/>
        </w:rPr>
      </w:pPr>
      <w:r w:rsidRPr="00343058">
        <w:rPr>
          <w:rFonts w:ascii="Times New Roman" w:hAnsi="Times New Roman"/>
          <w:b/>
        </w:rPr>
        <w:t>16.</w:t>
      </w:r>
      <w:r w:rsidRPr="00343058">
        <w:rPr>
          <w:rFonts w:ascii="Times New Roman" w:hAnsi="Times New Roman"/>
          <w:b/>
        </w:rPr>
        <w:tab/>
        <w:t xml:space="preserve">For collection of information whose results will be published, outline plans for tabulation and publication.  </w:t>
      </w:r>
      <w:r w:rsidRPr="00DC213B">
        <w:rPr>
          <w:rFonts w:ascii="Times New Roman" w:hAnsi="Times New Roman"/>
          <w:b/>
        </w:rPr>
        <w:t>Address any complex analytical techniques that will be used.  Provide the time schedule for the entire project, including beginning and ending dates of the collection of information,</w:t>
      </w:r>
      <w:r w:rsidRPr="00343058">
        <w:rPr>
          <w:rFonts w:ascii="Times New Roman" w:hAnsi="Times New Roman"/>
          <w:b/>
        </w:rPr>
        <w:t xml:space="preserve"> completion of report, publication dates, and other actions.</w:t>
      </w:r>
    </w:p>
    <w:p w:rsidRPr="001525F1" w:rsidR="001B4FCF" w:rsidP="002F48DA" w:rsidRDefault="00601491" w14:paraId="3650F59C" w14:textId="07C309F1">
      <w:pPr>
        <w:tabs>
          <w:tab w:val="clear" w:pos="432"/>
        </w:tabs>
        <w:spacing w:after="120" w:line="240" w:lineRule="auto"/>
        <w:ind w:left="360" w:firstLine="0"/>
        <w:jc w:val="left"/>
        <w:rPr>
          <w:rFonts w:ascii="Times New Roman" w:hAnsi="Times New Roman"/>
        </w:rPr>
      </w:pPr>
      <w:r w:rsidRPr="001525F1">
        <w:rPr>
          <w:rFonts w:ascii="Times New Roman" w:hAnsi="Times New Roman"/>
        </w:rPr>
        <w:t>T</w:t>
      </w:r>
      <w:r w:rsidRPr="001525F1" w:rsidR="00377D62">
        <w:rPr>
          <w:rFonts w:ascii="Times New Roman" w:hAnsi="Times New Roman"/>
        </w:rPr>
        <w:t xml:space="preserve">he </w:t>
      </w:r>
      <w:r w:rsidRPr="001525F1" w:rsidR="00E47E64">
        <w:rPr>
          <w:rFonts w:ascii="Times New Roman" w:hAnsi="Times New Roman"/>
        </w:rPr>
        <w:t xml:space="preserve">6-Year Follow-Up </w:t>
      </w:r>
      <w:r w:rsidRPr="001525F1" w:rsidR="00377D62">
        <w:rPr>
          <w:rFonts w:ascii="Times New Roman" w:hAnsi="Times New Roman"/>
        </w:rPr>
        <w:t xml:space="preserve">evaluation </w:t>
      </w:r>
      <w:r w:rsidRPr="001525F1" w:rsidR="00562223">
        <w:rPr>
          <w:rFonts w:ascii="Times New Roman" w:hAnsi="Times New Roman"/>
        </w:rPr>
        <w:t xml:space="preserve">covers the period from </w:t>
      </w:r>
      <w:r w:rsidRPr="001525F1" w:rsidR="001B4FCF">
        <w:rPr>
          <w:rFonts w:ascii="Times New Roman" w:hAnsi="Times New Roman"/>
        </w:rPr>
        <w:t>9/30/19 – 3/31/24</w:t>
      </w:r>
      <w:r w:rsidRPr="001525F1" w:rsidR="00562223">
        <w:rPr>
          <w:rFonts w:ascii="Times New Roman" w:hAnsi="Times New Roman"/>
        </w:rPr>
        <w:t>. The qualitative data collection, the subject of th</w:t>
      </w:r>
      <w:r w:rsidRPr="001525F1" w:rsidR="00E22566">
        <w:rPr>
          <w:rFonts w:ascii="Times New Roman" w:hAnsi="Times New Roman"/>
        </w:rPr>
        <w:t>is</w:t>
      </w:r>
      <w:r w:rsidRPr="001525F1" w:rsidR="00562223">
        <w:rPr>
          <w:rFonts w:ascii="Times New Roman" w:hAnsi="Times New Roman"/>
        </w:rPr>
        <w:t xml:space="preserve"> submission, is </w:t>
      </w:r>
      <w:r w:rsidRPr="001525F1" w:rsidR="00371C5F">
        <w:rPr>
          <w:rFonts w:ascii="Times New Roman" w:hAnsi="Times New Roman"/>
        </w:rPr>
        <w:t xml:space="preserve">slated </w:t>
      </w:r>
      <w:r w:rsidRPr="001525F1" w:rsidR="0070617C">
        <w:rPr>
          <w:rFonts w:ascii="Times New Roman" w:hAnsi="Times New Roman"/>
        </w:rPr>
        <w:t xml:space="preserve">for </w:t>
      </w:r>
      <w:r w:rsidRPr="001525F1" w:rsidR="001B4FCF">
        <w:rPr>
          <w:rFonts w:ascii="Times New Roman" w:hAnsi="Times New Roman"/>
        </w:rPr>
        <w:t xml:space="preserve">the period from </w:t>
      </w:r>
      <w:r w:rsidRPr="001525F1" w:rsidR="0070617C">
        <w:rPr>
          <w:rFonts w:ascii="Times New Roman" w:hAnsi="Times New Roman"/>
        </w:rPr>
        <w:t xml:space="preserve">October </w:t>
      </w:r>
      <w:r w:rsidRPr="001525F1" w:rsidR="00371C5F">
        <w:rPr>
          <w:rFonts w:ascii="Times New Roman" w:hAnsi="Times New Roman"/>
        </w:rPr>
        <w:t>2021</w:t>
      </w:r>
      <w:r w:rsidRPr="001525F1" w:rsidR="0070617C">
        <w:rPr>
          <w:rFonts w:ascii="Times New Roman" w:hAnsi="Times New Roman"/>
        </w:rPr>
        <w:t xml:space="preserve"> to March 2022</w:t>
      </w:r>
      <w:r w:rsidRPr="001525F1" w:rsidR="00371C5F">
        <w:rPr>
          <w:rFonts w:ascii="Times New Roman" w:hAnsi="Times New Roman"/>
        </w:rPr>
        <w:t>.</w:t>
      </w:r>
      <w:r w:rsidRPr="001525F1" w:rsidR="0070617C">
        <w:rPr>
          <w:rFonts w:ascii="Times New Roman" w:hAnsi="Times New Roman"/>
        </w:rPr>
        <w:t xml:space="preserve"> Over a 4</w:t>
      </w:r>
      <w:r w:rsidR="00566A52">
        <w:rPr>
          <w:rFonts w:ascii="Times New Roman" w:hAnsi="Times New Roman"/>
        </w:rPr>
        <w:t>-</w:t>
      </w:r>
      <w:r w:rsidRPr="001525F1" w:rsidR="0070617C">
        <w:rPr>
          <w:rFonts w:ascii="Times New Roman" w:hAnsi="Times New Roman"/>
        </w:rPr>
        <w:t xml:space="preserve"> to 5</w:t>
      </w:r>
      <w:r w:rsidR="00566A52">
        <w:rPr>
          <w:rFonts w:ascii="Times New Roman" w:hAnsi="Times New Roman"/>
        </w:rPr>
        <w:t>-</w:t>
      </w:r>
      <w:r w:rsidRPr="001525F1" w:rsidR="0070617C">
        <w:rPr>
          <w:rFonts w:ascii="Times New Roman" w:hAnsi="Times New Roman"/>
        </w:rPr>
        <w:t>month period, the MDRC team will schedule and conduct staff and participant interviews.</w:t>
      </w:r>
    </w:p>
    <w:p w:rsidRPr="001525F1" w:rsidR="0077575D" w:rsidP="002F48DA" w:rsidRDefault="00E534C7" w14:paraId="79282340" w14:textId="6061064A">
      <w:pPr>
        <w:tabs>
          <w:tab w:val="clear" w:pos="432"/>
        </w:tabs>
        <w:spacing w:after="120" w:line="240" w:lineRule="auto"/>
        <w:ind w:left="360" w:firstLine="0"/>
        <w:jc w:val="left"/>
        <w:rPr>
          <w:rFonts w:ascii="Times New Roman" w:hAnsi="Times New Roman"/>
        </w:rPr>
      </w:pPr>
      <w:r w:rsidRPr="001525F1">
        <w:rPr>
          <w:rFonts w:ascii="Times New Roman" w:hAnsi="Times New Roman"/>
        </w:rPr>
        <w:t>Th</w:t>
      </w:r>
      <w:r w:rsidRPr="001525F1" w:rsidR="0077575D">
        <w:rPr>
          <w:rFonts w:ascii="Times New Roman" w:hAnsi="Times New Roman"/>
        </w:rPr>
        <w:t xml:space="preserve">e analyses proposed for the 6-Year Follow-Up evaluation </w:t>
      </w:r>
      <w:r w:rsidRPr="001525F1" w:rsidR="001B4FCF">
        <w:rPr>
          <w:rFonts w:ascii="Times New Roman" w:hAnsi="Times New Roman"/>
        </w:rPr>
        <w:t xml:space="preserve">will </w:t>
      </w:r>
      <w:r w:rsidRPr="001525F1" w:rsidR="0077575D">
        <w:rPr>
          <w:rFonts w:ascii="Times New Roman" w:hAnsi="Times New Roman"/>
        </w:rPr>
        <w:t xml:space="preserve">build on the analytic methods used in earlier phases of the Rent Reform Demonstration. Once the qualitative interviews are completed, the research team will code the responses and analyze key observations and takeaways from staff and participant interviews. The team will also examine the </w:t>
      </w:r>
      <w:r w:rsidRPr="001525F1" w:rsidR="00562223">
        <w:rPr>
          <w:rFonts w:ascii="Times New Roman" w:hAnsi="Times New Roman"/>
        </w:rPr>
        <w:t xml:space="preserve">same </w:t>
      </w:r>
      <w:r w:rsidRPr="001525F1" w:rsidR="0077575D">
        <w:rPr>
          <w:rFonts w:ascii="Times New Roman" w:hAnsi="Times New Roman"/>
        </w:rPr>
        <w:t>data to distill site-specific and cross-site themes. These findings</w:t>
      </w:r>
      <w:r w:rsidRPr="001525F1" w:rsidR="00225A20">
        <w:rPr>
          <w:rFonts w:ascii="Times New Roman" w:hAnsi="Times New Roman"/>
        </w:rPr>
        <w:t xml:space="preserve">, along with other quantitative data analyzed for this longer-term study, </w:t>
      </w:r>
      <w:r w:rsidRPr="001525F1" w:rsidR="0077575D">
        <w:rPr>
          <w:rFonts w:ascii="Times New Roman" w:hAnsi="Times New Roman"/>
        </w:rPr>
        <w:t>will feature in the final report for this project</w:t>
      </w:r>
      <w:r w:rsidRPr="001525F1" w:rsidR="00E22566">
        <w:rPr>
          <w:rFonts w:ascii="Times New Roman" w:hAnsi="Times New Roman"/>
        </w:rPr>
        <w:t xml:space="preserve">, </w:t>
      </w:r>
      <w:r w:rsidRPr="001525F1" w:rsidR="0070617C">
        <w:rPr>
          <w:rFonts w:ascii="Times New Roman" w:hAnsi="Times New Roman"/>
        </w:rPr>
        <w:t>due to HUD</w:t>
      </w:r>
      <w:r w:rsidRPr="001525F1" w:rsidR="0077575D">
        <w:rPr>
          <w:rFonts w:ascii="Times New Roman" w:hAnsi="Times New Roman"/>
        </w:rPr>
        <w:t xml:space="preserve"> 9/6/2023</w:t>
      </w:r>
      <w:r w:rsidRPr="001525F1" w:rsidR="00225A20">
        <w:rPr>
          <w:rFonts w:ascii="Times New Roman" w:hAnsi="Times New Roman"/>
        </w:rPr>
        <w:t>. MDRC will submit two drafts of the report before finalizing the report for HUD’s editing and publication process</w:t>
      </w:r>
      <w:r w:rsidR="00BD2F18">
        <w:rPr>
          <w:rFonts w:ascii="Times New Roman" w:hAnsi="Times New Roman"/>
        </w:rPr>
        <w:t xml:space="preserve"> (see Exhibit A-2)</w:t>
      </w:r>
      <w:r w:rsidRPr="001525F1" w:rsidR="00225A20">
        <w:rPr>
          <w:rFonts w:ascii="Times New Roman" w:hAnsi="Times New Roman"/>
        </w:rPr>
        <w:t xml:space="preserve">. </w:t>
      </w:r>
      <w:r w:rsidRPr="001525F1" w:rsidR="0077575D">
        <w:rPr>
          <w:rFonts w:ascii="Times New Roman" w:hAnsi="Times New Roman"/>
        </w:rPr>
        <w:t xml:space="preserve"> </w:t>
      </w:r>
      <w:r w:rsidRPr="001525F1" w:rsidR="00225A20">
        <w:rPr>
          <w:rFonts w:ascii="Times New Roman" w:hAnsi="Times New Roman"/>
        </w:rPr>
        <w:t xml:space="preserve">The report is expected to be published by the end of the contract, March </w:t>
      </w:r>
      <w:r w:rsidRPr="001525F1" w:rsidR="001B4FCF">
        <w:rPr>
          <w:rFonts w:ascii="Times New Roman" w:hAnsi="Times New Roman"/>
        </w:rPr>
        <w:t xml:space="preserve">31, </w:t>
      </w:r>
      <w:r w:rsidRPr="001525F1" w:rsidR="00225A20">
        <w:rPr>
          <w:rFonts w:ascii="Times New Roman" w:hAnsi="Times New Roman"/>
        </w:rPr>
        <w:t>2024.</w:t>
      </w:r>
    </w:p>
    <w:p w:rsidR="005629D8" w:rsidP="00BD2F18" w:rsidRDefault="00BD2F18" w14:paraId="553D1501" w14:textId="3471B09D">
      <w:pPr>
        <w:tabs>
          <w:tab w:val="clear" w:pos="432"/>
        </w:tabs>
        <w:spacing w:after="120" w:line="240" w:lineRule="auto"/>
        <w:ind w:firstLine="0"/>
        <w:jc w:val="center"/>
        <w:rPr>
          <w:rFonts w:ascii="Times New Roman" w:hAnsi="Times New Roman"/>
        </w:rPr>
      </w:pPr>
      <w:r>
        <w:rPr>
          <w:rFonts w:ascii="Times New Roman" w:hAnsi="Times New Roman"/>
          <w:b/>
          <w:color w:val="000000"/>
        </w:rPr>
        <w:t xml:space="preserve">Exhibit A-2 </w:t>
      </w:r>
      <w:r w:rsidRPr="005E7018">
        <w:rPr>
          <w:rFonts w:ascii="Times New Roman" w:hAnsi="Times New Roman"/>
          <w:b/>
          <w:color w:val="000000"/>
        </w:rPr>
        <w:t>Report Schedule for the Rent Reform Demonstration</w:t>
      </w:r>
      <w:r>
        <w:rPr>
          <w:rFonts w:ascii="Times New Roman" w:hAnsi="Times New Roman"/>
          <w:b/>
          <w:color w:val="000000"/>
        </w:rPr>
        <w:t>’s 6-Year Follow-Up Study</w:t>
      </w:r>
    </w:p>
    <w:tbl>
      <w:tblPr>
        <w:tblW w:w="9012"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0"/>
        <w:gridCol w:w="1902"/>
      </w:tblGrid>
      <w:tr w:rsidRPr="00A91525" w:rsidR="00523041" w:rsidTr="00E22566" w14:paraId="4BB459F8" w14:textId="77777777">
        <w:trPr>
          <w:trHeight w:val="288"/>
        </w:trPr>
        <w:tc>
          <w:tcPr>
            <w:tcW w:w="7110" w:type="dxa"/>
            <w:shd w:val="clear" w:color="auto" w:fill="auto"/>
          </w:tcPr>
          <w:p w:rsidRPr="00A91525" w:rsidR="00523041" w:rsidP="00E22566" w:rsidRDefault="00523041" w14:paraId="7BD962F9" w14:textId="1F745B46">
            <w:pPr>
              <w:spacing w:after="60" w:line="240" w:lineRule="auto"/>
              <w:rPr>
                <w:rFonts w:ascii="Times New Roman" w:hAnsi="Times New Roman"/>
                <w:color w:val="000000"/>
              </w:rPr>
            </w:pPr>
            <w:r>
              <w:rPr>
                <w:rFonts w:ascii="Times New Roman" w:hAnsi="Times New Roman"/>
                <w:color w:val="000000"/>
              </w:rPr>
              <w:t xml:space="preserve">Final Report </w:t>
            </w:r>
          </w:p>
        </w:tc>
        <w:tc>
          <w:tcPr>
            <w:tcW w:w="1902" w:type="dxa"/>
            <w:shd w:val="clear" w:color="auto" w:fill="auto"/>
            <w:noWrap/>
          </w:tcPr>
          <w:p w:rsidRPr="008D0888" w:rsidR="00523041" w:rsidP="00E22566" w:rsidRDefault="00523041" w14:paraId="5DB6DFCB" w14:textId="02E4D2B7">
            <w:pPr>
              <w:spacing w:line="240" w:lineRule="auto"/>
              <w:jc w:val="center"/>
              <w:rPr>
                <w:rFonts w:ascii="Times New Roman" w:hAnsi="Times New Roman"/>
                <w:color w:val="000000"/>
              </w:rPr>
            </w:pPr>
          </w:p>
        </w:tc>
      </w:tr>
      <w:tr w:rsidRPr="00A91525" w:rsidR="00E22566" w:rsidTr="00E22566" w14:paraId="654874C7" w14:textId="77777777">
        <w:trPr>
          <w:trHeight w:val="288"/>
        </w:trPr>
        <w:tc>
          <w:tcPr>
            <w:tcW w:w="7110" w:type="dxa"/>
            <w:shd w:val="clear" w:color="auto" w:fill="auto"/>
          </w:tcPr>
          <w:p w:rsidR="00E22566" w:rsidP="00E22566" w:rsidRDefault="00E22566" w14:paraId="7795B5B6" w14:textId="7C311121">
            <w:pPr>
              <w:spacing w:after="60" w:line="240" w:lineRule="auto"/>
              <w:rPr>
                <w:rFonts w:ascii="Times New Roman" w:hAnsi="Times New Roman"/>
                <w:color w:val="000000"/>
              </w:rPr>
            </w:pPr>
            <w:r>
              <w:rPr>
                <w:rFonts w:ascii="Times New Roman" w:hAnsi="Times New Roman"/>
                <w:color w:val="000000"/>
              </w:rPr>
              <w:t>1</w:t>
            </w:r>
            <w:r w:rsidRPr="00E22566">
              <w:rPr>
                <w:rFonts w:ascii="Times New Roman" w:hAnsi="Times New Roman"/>
                <w:color w:val="000000"/>
                <w:vertAlign w:val="superscript"/>
              </w:rPr>
              <w:t>st</w:t>
            </w:r>
            <w:r>
              <w:rPr>
                <w:rFonts w:ascii="Times New Roman" w:hAnsi="Times New Roman"/>
                <w:color w:val="000000"/>
              </w:rPr>
              <w:t xml:space="preserve"> Draft </w:t>
            </w:r>
          </w:p>
        </w:tc>
        <w:tc>
          <w:tcPr>
            <w:tcW w:w="1902" w:type="dxa"/>
            <w:shd w:val="clear" w:color="auto" w:fill="auto"/>
            <w:noWrap/>
          </w:tcPr>
          <w:p w:rsidR="00E22566" w:rsidP="00E22566" w:rsidRDefault="00E22566" w14:paraId="4568EC92" w14:textId="33951EB7">
            <w:pPr>
              <w:spacing w:line="240" w:lineRule="auto"/>
              <w:jc w:val="center"/>
              <w:rPr>
                <w:rFonts w:ascii="Times New Roman" w:hAnsi="Times New Roman"/>
                <w:color w:val="000000"/>
              </w:rPr>
            </w:pPr>
            <w:r>
              <w:rPr>
                <w:rFonts w:ascii="Times New Roman" w:hAnsi="Times New Roman"/>
                <w:color w:val="000000"/>
              </w:rPr>
              <w:t>5/3/2023</w:t>
            </w:r>
          </w:p>
        </w:tc>
      </w:tr>
      <w:tr w:rsidRPr="00A91525" w:rsidR="00E22566" w:rsidTr="00E22566" w14:paraId="70EDBA4C" w14:textId="77777777">
        <w:trPr>
          <w:trHeight w:val="288"/>
        </w:trPr>
        <w:tc>
          <w:tcPr>
            <w:tcW w:w="7110" w:type="dxa"/>
            <w:shd w:val="clear" w:color="auto" w:fill="auto"/>
          </w:tcPr>
          <w:p w:rsidR="00E22566" w:rsidP="00E22566" w:rsidRDefault="00E22566" w14:paraId="56E21245" w14:textId="6921FD60">
            <w:pPr>
              <w:spacing w:after="60" w:line="240" w:lineRule="auto"/>
              <w:rPr>
                <w:rFonts w:ascii="Times New Roman" w:hAnsi="Times New Roman"/>
                <w:color w:val="000000"/>
              </w:rPr>
            </w:pPr>
            <w:r>
              <w:rPr>
                <w:rFonts w:ascii="Times New Roman" w:hAnsi="Times New Roman"/>
                <w:color w:val="000000"/>
              </w:rPr>
              <w:t>2</w:t>
            </w:r>
            <w:r w:rsidRPr="00E22566">
              <w:rPr>
                <w:rFonts w:ascii="Times New Roman" w:hAnsi="Times New Roman"/>
                <w:color w:val="000000"/>
                <w:vertAlign w:val="superscript"/>
              </w:rPr>
              <w:t>nd</w:t>
            </w:r>
            <w:r>
              <w:rPr>
                <w:rFonts w:ascii="Times New Roman" w:hAnsi="Times New Roman"/>
                <w:color w:val="000000"/>
              </w:rPr>
              <w:t xml:space="preserve"> Draft </w:t>
            </w:r>
          </w:p>
        </w:tc>
        <w:tc>
          <w:tcPr>
            <w:tcW w:w="1902" w:type="dxa"/>
            <w:shd w:val="clear" w:color="auto" w:fill="auto"/>
            <w:noWrap/>
          </w:tcPr>
          <w:p w:rsidR="00E22566" w:rsidP="00E22566" w:rsidRDefault="00E22566" w14:paraId="39E3BD9B" w14:textId="1E7A2045">
            <w:pPr>
              <w:spacing w:line="240" w:lineRule="auto"/>
              <w:jc w:val="center"/>
              <w:rPr>
                <w:rFonts w:ascii="Times New Roman" w:hAnsi="Times New Roman"/>
                <w:color w:val="000000"/>
              </w:rPr>
            </w:pPr>
            <w:r>
              <w:rPr>
                <w:rFonts w:ascii="Times New Roman" w:hAnsi="Times New Roman"/>
                <w:color w:val="000000"/>
              </w:rPr>
              <w:t>6/28/2023</w:t>
            </w:r>
          </w:p>
        </w:tc>
      </w:tr>
      <w:tr w:rsidRPr="00A91525" w:rsidR="00E22566" w:rsidTr="00E22566" w14:paraId="2AF29909" w14:textId="77777777">
        <w:trPr>
          <w:trHeight w:val="288"/>
        </w:trPr>
        <w:tc>
          <w:tcPr>
            <w:tcW w:w="7110" w:type="dxa"/>
            <w:shd w:val="clear" w:color="auto" w:fill="auto"/>
          </w:tcPr>
          <w:p w:rsidR="00E22566" w:rsidP="00E22566" w:rsidRDefault="00E22566" w14:paraId="2D3E8CBA" w14:textId="3C8EEE44">
            <w:pPr>
              <w:spacing w:after="60" w:line="240" w:lineRule="auto"/>
              <w:rPr>
                <w:rFonts w:ascii="Times New Roman" w:hAnsi="Times New Roman"/>
                <w:color w:val="000000"/>
              </w:rPr>
            </w:pPr>
            <w:r>
              <w:rPr>
                <w:rFonts w:ascii="Times New Roman" w:hAnsi="Times New Roman"/>
                <w:color w:val="000000"/>
              </w:rPr>
              <w:t xml:space="preserve">Final </w:t>
            </w:r>
            <w:r w:rsidR="00F51B47">
              <w:rPr>
                <w:rFonts w:ascii="Times New Roman" w:hAnsi="Times New Roman"/>
                <w:color w:val="000000"/>
              </w:rPr>
              <w:t>due to HUD</w:t>
            </w:r>
          </w:p>
        </w:tc>
        <w:tc>
          <w:tcPr>
            <w:tcW w:w="1902" w:type="dxa"/>
            <w:shd w:val="clear" w:color="auto" w:fill="auto"/>
            <w:noWrap/>
          </w:tcPr>
          <w:p w:rsidR="00E22566" w:rsidP="00E22566" w:rsidRDefault="00E22566" w14:paraId="53A98F7D" w14:textId="066B7F5F">
            <w:pPr>
              <w:spacing w:line="240" w:lineRule="auto"/>
              <w:jc w:val="center"/>
              <w:rPr>
                <w:rFonts w:ascii="Times New Roman" w:hAnsi="Times New Roman"/>
                <w:color w:val="000000"/>
              </w:rPr>
            </w:pPr>
            <w:r>
              <w:rPr>
                <w:rFonts w:ascii="Times New Roman" w:hAnsi="Times New Roman"/>
                <w:color w:val="000000"/>
              </w:rPr>
              <w:t>9/6/2023</w:t>
            </w:r>
          </w:p>
        </w:tc>
      </w:tr>
    </w:tbl>
    <w:p w:rsidR="004466FD" w:rsidRDefault="004466FD" w14:paraId="235BA001" w14:textId="361EF464">
      <w:pPr>
        <w:tabs>
          <w:tab w:val="clear" w:pos="432"/>
        </w:tabs>
        <w:spacing w:line="240" w:lineRule="auto"/>
        <w:ind w:firstLine="0"/>
        <w:jc w:val="left"/>
        <w:rPr>
          <w:rFonts w:ascii="Times New Roman" w:hAnsi="Times New Roman"/>
        </w:rPr>
      </w:pPr>
    </w:p>
    <w:p w:rsidRPr="00343058" w:rsidR="009669A3" w:rsidP="002F48DA" w:rsidRDefault="009669A3" w14:paraId="2F5FDC51" w14:textId="77777777">
      <w:pPr>
        <w:keepLines/>
        <w:tabs>
          <w:tab w:val="clear" w:pos="432"/>
        </w:tabs>
        <w:spacing w:after="120" w:line="240" w:lineRule="auto"/>
        <w:ind w:left="360" w:hanging="540"/>
        <w:rPr>
          <w:rFonts w:ascii="Times New Roman" w:hAnsi="Times New Roman"/>
          <w:b/>
        </w:rPr>
      </w:pPr>
      <w:r w:rsidRPr="00343058">
        <w:rPr>
          <w:rFonts w:ascii="Times New Roman" w:hAnsi="Times New Roman"/>
          <w:b/>
        </w:rPr>
        <w:t>17.</w:t>
      </w:r>
      <w:r w:rsidRPr="00343058">
        <w:rPr>
          <w:rFonts w:ascii="Times New Roman" w:hAnsi="Times New Roman"/>
          <w:b/>
        </w:rPr>
        <w:tab/>
        <w:t>If seeking approval to not display the expiration date for OMB approval of the information collection, explain the reasons that display would be inappropriate.</w:t>
      </w:r>
    </w:p>
    <w:p w:rsidRPr="00542556" w:rsidR="00BF070E" w:rsidP="002F48DA" w:rsidRDefault="00670739" w14:paraId="42BD2FB2" w14:textId="505EA216">
      <w:pPr>
        <w:tabs>
          <w:tab w:val="clear" w:pos="432"/>
        </w:tabs>
        <w:spacing w:line="240" w:lineRule="auto"/>
        <w:ind w:left="360" w:firstLine="0"/>
        <w:jc w:val="left"/>
        <w:rPr>
          <w:rFonts w:ascii="Times New Roman" w:hAnsi="Times New Roman"/>
        </w:rPr>
      </w:pPr>
      <w:r w:rsidRPr="00542556">
        <w:rPr>
          <w:rFonts w:ascii="Times New Roman" w:hAnsi="Times New Roman"/>
        </w:rPr>
        <w:t xml:space="preserve">The expiration date for OMB approval will be displayed on </w:t>
      </w:r>
      <w:r w:rsidR="00B83C85">
        <w:rPr>
          <w:rFonts w:ascii="Times New Roman" w:hAnsi="Times New Roman"/>
        </w:rPr>
        <w:t>any</w:t>
      </w:r>
      <w:r w:rsidRPr="00542556" w:rsidR="00B83C85">
        <w:rPr>
          <w:rFonts w:ascii="Times New Roman" w:hAnsi="Times New Roman"/>
        </w:rPr>
        <w:t xml:space="preserve"> </w:t>
      </w:r>
      <w:r w:rsidRPr="00542556">
        <w:rPr>
          <w:rFonts w:ascii="Times New Roman" w:hAnsi="Times New Roman"/>
        </w:rPr>
        <w:t>forms completed as part of the data collection.</w:t>
      </w:r>
    </w:p>
    <w:p w:rsidR="00725157" w:rsidP="0014683A" w:rsidRDefault="00725157" w14:paraId="79941BEB" w14:textId="77777777">
      <w:pPr>
        <w:tabs>
          <w:tab w:val="clear" w:pos="432"/>
        </w:tabs>
        <w:spacing w:line="240" w:lineRule="auto"/>
        <w:ind w:firstLine="0"/>
        <w:jc w:val="left"/>
        <w:rPr>
          <w:rFonts w:ascii="Times New Roman" w:hAnsi="Times New Roman"/>
        </w:rPr>
      </w:pPr>
    </w:p>
    <w:p w:rsidR="00E2363B" w:rsidP="002F48DA" w:rsidRDefault="00612B83" w14:paraId="5EE483C9" w14:textId="77777777">
      <w:pPr>
        <w:keepLines/>
        <w:tabs>
          <w:tab w:val="clear" w:pos="432"/>
        </w:tabs>
        <w:spacing w:after="120" w:line="276" w:lineRule="auto"/>
        <w:ind w:left="360" w:hanging="540"/>
        <w:rPr>
          <w:rFonts w:ascii="Times New Roman" w:hAnsi="Times New Roman"/>
          <w:b/>
        </w:rPr>
      </w:pPr>
      <w:r w:rsidRPr="00343058">
        <w:rPr>
          <w:rFonts w:ascii="Times New Roman" w:hAnsi="Times New Roman"/>
          <w:b/>
        </w:rPr>
        <w:t>18.</w:t>
      </w:r>
      <w:r w:rsidRPr="00343058">
        <w:rPr>
          <w:rFonts w:ascii="Times New Roman" w:hAnsi="Times New Roman"/>
          <w:b/>
        </w:rPr>
        <w:tab/>
        <w:t>Explain each exception to the certification statement identified in item 19.</w:t>
      </w:r>
    </w:p>
    <w:p w:rsidRPr="00D51E44" w:rsidR="005B4F1A" w:rsidP="002F48DA" w:rsidRDefault="00670739" w14:paraId="7271BECD" w14:textId="77777777">
      <w:pPr>
        <w:keepLines/>
        <w:tabs>
          <w:tab w:val="clear" w:pos="432"/>
        </w:tabs>
        <w:spacing w:after="120" w:line="276" w:lineRule="auto"/>
        <w:ind w:left="720" w:hanging="360"/>
        <w:rPr>
          <w:rFonts w:ascii="Times New Roman" w:hAnsi="Times New Roman"/>
        </w:rPr>
      </w:pPr>
      <w:r w:rsidRPr="00725157">
        <w:rPr>
          <w:rFonts w:ascii="Times New Roman" w:hAnsi="Times New Roman"/>
        </w:rPr>
        <w:t>No exceptions are necessary for this information collection.</w:t>
      </w:r>
    </w:p>
    <w:sectPr w:rsidRPr="00D51E44" w:rsidR="005B4F1A" w:rsidSect="004466F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7A4F3" w14:textId="77777777" w:rsidR="00584798" w:rsidRDefault="00584798" w:rsidP="006A35E1">
      <w:pPr>
        <w:spacing w:line="240" w:lineRule="auto"/>
      </w:pPr>
      <w:r>
        <w:separator/>
      </w:r>
    </w:p>
  </w:endnote>
  <w:endnote w:type="continuationSeparator" w:id="0">
    <w:p w14:paraId="72B6BC27" w14:textId="77777777" w:rsidR="00584798" w:rsidRDefault="00584798" w:rsidP="006A35E1">
      <w:pPr>
        <w:spacing w:line="240" w:lineRule="auto"/>
      </w:pPr>
      <w:r>
        <w:continuationSeparator/>
      </w:r>
    </w:p>
  </w:endnote>
  <w:endnote w:type="continuationNotice" w:id="1">
    <w:p w14:paraId="796BF7B9" w14:textId="77777777" w:rsidR="00584798" w:rsidRDefault="005847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5312" w14:textId="77777777" w:rsidR="00EA7CF9" w:rsidRDefault="00EA7CF9">
    <w:pPr>
      <w:pStyle w:val="Footer"/>
      <w:jc w:val="right"/>
    </w:pPr>
    <w:r>
      <w:fldChar w:fldCharType="begin"/>
    </w:r>
    <w:r>
      <w:instrText xml:space="preserve"> PAGE   \* MERGEFORMAT </w:instrText>
    </w:r>
    <w:r>
      <w:fldChar w:fldCharType="separate"/>
    </w:r>
    <w:r w:rsidR="00854D3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1F473" w14:textId="77777777" w:rsidR="00584798" w:rsidRDefault="00584798" w:rsidP="006A35E1">
      <w:pPr>
        <w:spacing w:line="240" w:lineRule="auto"/>
      </w:pPr>
      <w:r>
        <w:separator/>
      </w:r>
    </w:p>
  </w:footnote>
  <w:footnote w:type="continuationSeparator" w:id="0">
    <w:p w14:paraId="5BB656D7" w14:textId="77777777" w:rsidR="00584798" w:rsidRDefault="00584798" w:rsidP="006A35E1">
      <w:pPr>
        <w:spacing w:line="240" w:lineRule="auto"/>
      </w:pPr>
      <w:r>
        <w:continuationSeparator/>
      </w:r>
    </w:p>
  </w:footnote>
  <w:footnote w:type="continuationNotice" w:id="1">
    <w:p w14:paraId="78D41982" w14:textId="77777777" w:rsidR="00584798" w:rsidRDefault="00584798">
      <w:pPr>
        <w:spacing w:line="240" w:lineRule="auto"/>
      </w:pPr>
    </w:p>
  </w:footnote>
  <w:footnote w:id="2">
    <w:p w14:paraId="2E910232" w14:textId="6E9094DB" w:rsidR="006C2D27" w:rsidRDefault="006C2D27" w:rsidP="009A3605">
      <w:pPr>
        <w:pStyle w:val="paragraph"/>
        <w:spacing w:before="0" w:beforeAutospacing="0" w:after="0" w:afterAutospacing="0"/>
        <w:jc w:val="both"/>
        <w:textAlignment w:val="baseline"/>
      </w:pPr>
      <w:r w:rsidRPr="00164DA0">
        <w:rPr>
          <w:rStyle w:val="FootnoteReference"/>
          <w:sz w:val="20"/>
          <w:szCs w:val="20"/>
        </w:rPr>
        <w:footnoteRef/>
      </w:r>
      <w:r w:rsidRPr="00164DA0">
        <w:rPr>
          <w:sz w:val="20"/>
          <w:szCs w:val="20"/>
        </w:rPr>
        <w:t xml:space="preserve"> A fourth PHA, the </w:t>
      </w:r>
      <w:r w:rsidRPr="00164DA0">
        <w:rPr>
          <w:rStyle w:val="normaltextrun"/>
          <w:sz w:val="20"/>
          <w:szCs w:val="20"/>
        </w:rPr>
        <w:t xml:space="preserve">District of Columbia Housing Authority (DCHA), </w:t>
      </w:r>
      <w:r>
        <w:rPr>
          <w:rStyle w:val="normaltextrun"/>
          <w:sz w:val="20"/>
          <w:szCs w:val="20"/>
        </w:rPr>
        <w:t>stopped operating the new rent policy in Q4/</w:t>
      </w:r>
      <w:r w:rsidRPr="00164DA0">
        <w:rPr>
          <w:rStyle w:val="normaltextrun"/>
          <w:sz w:val="20"/>
          <w:szCs w:val="20"/>
        </w:rPr>
        <w:t>2019.   </w:t>
      </w:r>
      <w:r w:rsidRPr="00164DA0">
        <w:rPr>
          <w:rStyle w:val="eop"/>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8B4A" w14:textId="53EA6724" w:rsidR="00EA7CF9" w:rsidRPr="005E1047" w:rsidRDefault="00EA7CF9" w:rsidP="008F3F13">
    <w:pPr>
      <w:widowControl w:val="0"/>
      <w:suppressAutoHyphens/>
      <w:spacing w:line="240" w:lineRule="auto"/>
      <w:ind w:firstLine="0"/>
      <w:jc w:val="left"/>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8B6201C"/>
    <w:lvl w:ilvl="0">
      <w:numFmt w:val="decimal"/>
      <w:lvlText w:val="*"/>
      <w:lvlJc w:val="left"/>
    </w:lvl>
  </w:abstractNum>
  <w:abstractNum w:abstractNumId="1" w15:restartNumberingAfterBreak="0">
    <w:nsid w:val="00CB13B5"/>
    <w:multiLevelType w:val="hybridMultilevel"/>
    <w:tmpl w:val="F5F2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56C67"/>
    <w:multiLevelType w:val="hybridMultilevel"/>
    <w:tmpl w:val="F21E2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509C5"/>
    <w:multiLevelType w:val="hybridMultilevel"/>
    <w:tmpl w:val="E5126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B73B44"/>
    <w:multiLevelType w:val="hybridMultilevel"/>
    <w:tmpl w:val="392E2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CA18DF"/>
    <w:multiLevelType w:val="hybridMultilevel"/>
    <w:tmpl w:val="BB40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127E6"/>
    <w:multiLevelType w:val="hybridMultilevel"/>
    <w:tmpl w:val="D4A4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0333A"/>
    <w:multiLevelType w:val="hybridMultilevel"/>
    <w:tmpl w:val="EF120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ED0CE0"/>
    <w:multiLevelType w:val="hybridMultilevel"/>
    <w:tmpl w:val="4A08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21147"/>
    <w:multiLevelType w:val="hybridMultilevel"/>
    <w:tmpl w:val="8AA2EC0C"/>
    <w:lvl w:ilvl="0" w:tplc="7776773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548001F"/>
    <w:multiLevelType w:val="hybridMultilevel"/>
    <w:tmpl w:val="11EAA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E4C1C"/>
    <w:multiLevelType w:val="hybridMultilevel"/>
    <w:tmpl w:val="2EC6B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F2397A"/>
    <w:multiLevelType w:val="hybridMultilevel"/>
    <w:tmpl w:val="3FCA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E3BC5"/>
    <w:multiLevelType w:val="hybridMultilevel"/>
    <w:tmpl w:val="9B824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706032"/>
    <w:multiLevelType w:val="hybridMultilevel"/>
    <w:tmpl w:val="48A2BFC0"/>
    <w:lvl w:ilvl="0" w:tplc="9E70B91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2B006B38"/>
    <w:multiLevelType w:val="hybridMultilevel"/>
    <w:tmpl w:val="4576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A3127"/>
    <w:multiLevelType w:val="hybridMultilevel"/>
    <w:tmpl w:val="A984C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B7583E"/>
    <w:multiLevelType w:val="hybridMultilevel"/>
    <w:tmpl w:val="E63C317E"/>
    <w:lvl w:ilvl="0" w:tplc="0409000F">
      <w:start w:val="1"/>
      <w:numFmt w:val="decimal"/>
      <w:lvlText w:val="%1."/>
      <w:lvlJc w:val="left"/>
      <w:pPr>
        <w:ind w:left="720" w:hanging="360"/>
      </w:pPr>
      <w:rPr>
        <w:rFonts w:hint="default"/>
      </w:rPr>
    </w:lvl>
    <w:lvl w:ilvl="1" w:tplc="023404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1A0E3D"/>
    <w:multiLevelType w:val="hybridMultilevel"/>
    <w:tmpl w:val="16FC43A2"/>
    <w:lvl w:ilvl="0" w:tplc="E4EA88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2B183E"/>
    <w:multiLevelType w:val="hybridMultilevel"/>
    <w:tmpl w:val="B38A3880"/>
    <w:lvl w:ilvl="0" w:tplc="51361A90">
      <w:start w:val="1"/>
      <w:numFmt w:val="bullet"/>
      <w:lvlText w:val=""/>
      <w:lvlJc w:val="left"/>
      <w:pPr>
        <w:ind w:left="360" w:hanging="360"/>
      </w:pPr>
      <w:rPr>
        <w:rFonts w:ascii="Symbol" w:hAnsi="Symbol" w:hint="default"/>
      </w:rPr>
    </w:lvl>
    <w:lvl w:ilvl="1" w:tplc="5AB89B34">
      <w:numFmt w:val="decimal"/>
      <w:lvlText w:val=""/>
      <w:lvlJc w:val="left"/>
    </w:lvl>
    <w:lvl w:ilvl="2" w:tplc="B992B3F0">
      <w:numFmt w:val="decimal"/>
      <w:lvlText w:val=""/>
      <w:lvlJc w:val="left"/>
    </w:lvl>
    <w:lvl w:ilvl="3" w:tplc="AB5C6088">
      <w:numFmt w:val="decimal"/>
      <w:lvlText w:val=""/>
      <w:lvlJc w:val="left"/>
    </w:lvl>
    <w:lvl w:ilvl="4" w:tplc="DFB4AC0A">
      <w:numFmt w:val="decimal"/>
      <w:lvlText w:val=""/>
      <w:lvlJc w:val="left"/>
    </w:lvl>
    <w:lvl w:ilvl="5" w:tplc="8A44B5CA">
      <w:numFmt w:val="decimal"/>
      <w:lvlText w:val=""/>
      <w:lvlJc w:val="left"/>
    </w:lvl>
    <w:lvl w:ilvl="6" w:tplc="928CAF9E">
      <w:numFmt w:val="decimal"/>
      <w:lvlText w:val=""/>
      <w:lvlJc w:val="left"/>
    </w:lvl>
    <w:lvl w:ilvl="7" w:tplc="F6EE8E16">
      <w:numFmt w:val="decimal"/>
      <w:lvlText w:val=""/>
      <w:lvlJc w:val="left"/>
    </w:lvl>
    <w:lvl w:ilvl="8" w:tplc="7324C4AC">
      <w:numFmt w:val="decimal"/>
      <w:lvlText w:val=""/>
      <w:lvlJc w:val="left"/>
    </w:lvl>
  </w:abstractNum>
  <w:abstractNum w:abstractNumId="20" w15:restartNumberingAfterBreak="0">
    <w:nsid w:val="32867CA5"/>
    <w:multiLevelType w:val="hybridMultilevel"/>
    <w:tmpl w:val="AB489EF2"/>
    <w:lvl w:ilvl="0" w:tplc="647C50D0">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35582F6C"/>
    <w:multiLevelType w:val="hybridMultilevel"/>
    <w:tmpl w:val="01D6E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B85ED5"/>
    <w:multiLevelType w:val="hybridMultilevel"/>
    <w:tmpl w:val="5058A2EE"/>
    <w:lvl w:ilvl="0" w:tplc="C3C63F7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47E72B85"/>
    <w:multiLevelType w:val="hybridMultilevel"/>
    <w:tmpl w:val="4C441EFC"/>
    <w:lvl w:ilvl="0" w:tplc="FFC23FFE">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C6048B"/>
    <w:multiLevelType w:val="hybridMultilevel"/>
    <w:tmpl w:val="9CFAA62C"/>
    <w:lvl w:ilvl="0" w:tplc="058AF57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tplc="4AE6EB3A">
      <w:numFmt w:val="decimal"/>
      <w:lvlText w:val=""/>
      <w:lvlJc w:val="left"/>
      <w:rPr>
        <w:rFonts w:cs="Times New Roman"/>
      </w:rPr>
    </w:lvl>
    <w:lvl w:ilvl="2" w:tplc="96A6ED7E">
      <w:numFmt w:val="decimal"/>
      <w:lvlText w:val=""/>
      <w:lvlJc w:val="left"/>
      <w:rPr>
        <w:rFonts w:cs="Times New Roman"/>
      </w:rPr>
    </w:lvl>
    <w:lvl w:ilvl="3" w:tplc="A468ABC6">
      <w:numFmt w:val="decimal"/>
      <w:lvlText w:val=""/>
      <w:lvlJc w:val="left"/>
      <w:rPr>
        <w:rFonts w:cs="Times New Roman"/>
      </w:rPr>
    </w:lvl>
    <w:lvl w:ilvl="4" w:tplc="4EB4AF74">
      <w:numFmt w:val="decimal"/>
      <w:lvlText w:val=""/>
      <w:lvlJc w:val="left"/>
      <w:rPr>
        <w:rFonts w:cs="Times New Roman"/>
      </w:rPr>
    </w:lvl>
    <w:lvl w:ilvl="5" w:tplc="9A5A1B22">
      <w:numFmt w:val="decimal"/>
      <w:lvlText w:val=""/>
      <w:lvlJc w:val="left"/>
      <w:rPr>
        <w:rFonts w:cs="Times New Roman"/>
      </w:rPr>
    </w:lvl>
    <w:lvl w:ilvl="6" w:tplc="2E5C087C">
      <w:numFmt w:val="decimal"/>
      <w:lvlText w:val=""/>
      <w:lvlJc w:val="left"/>
      <w:rPr>
        <w:rFonts w:cs="Times New Roman"/>
      </w:rPr>
    </w:lvl>
    <w:lvl w:ilvl="7" w:tplc="F1E0A96E">
      <w:numFmt w:val="decimal"/>
      <w:lvlText w:val=""/>
      <w:lvlJc w:val="left"/>
      <w:rPr>
        <w:rFonts w:cs="Times New Roman"/>
      </w:rPr>
    </w:lvl>
    <w:lvl w:ilvl="8" w:tplc="8EC24D9E">
      <w:numFmt w:val="decimal"/>
      <w:lvlText w:val=""/>
      <w:lvlJc w:val="left"/>
      <w:rPr>
        <w:rFonts w:cs="Times New Roman"/>
      </w:rPr>
    </w:lvl>
  </w:abstractNum>
  <w:abstractNum w:abstractNumId="26" w15:restartNumberingAfterBreak="0">
    <w:nsid w:val="4B206095"/>
    <w:multiLevelType w:val="hybridMultilevel"/>
    <w:tmpl w:val="1898D564"/>
    <w:lvl w:ilvl="0" w:tplc="1CBCBDBC">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lvl w:ilvl="1" w:tplc="7BD645B2">
      <w:numFmt w:val="decimal"/>
      <w:lvlText w:val=""/>
      <w:lvlJc w:val="left"/>
    </w:lvl>
    <w:lvl w:ilvl="2" w:tplc="28A80DD4">
      <w:numFmt w:val="decimal"/>
      <w:lvlText w:val=""/>
      <w:lvlJc w:val="left"/>
    </w:lvl>
    <w:lvl w:ilvl="3" w:tplc="FE742E70">
      <w:numFmt w:val="decimal"/>
      <w:lvlText w:val=""/>
      <w:lvlJc w:val="left"/>
    </w:lvl>
    <w:lvl w:ilvl="4" w:tplc="F5185BCA">
      <w:numFmt w:val="decimal"/>
      <w:lvlText w:val=""/>
      <w:lvlJc w:val="left"/>
    </w:lvl>
    <w:lvl w:ilvl="5" w:tplc="EDF45816">
      <w:numFmt w:val="decimal"/>
      <w:lvlText w:val=""/>
      <w:lvlJc w:val="left"/>
    </w:lvl>
    <w:lvl w:ilvl="6" w:tplc="A300C070">
      <w:numFmt w:val="decimal"/>
      <w:lvlText w:val=""/>
      <w:lvlJc w:val="left"/>
    </w:lvl>
    <w:lvl w:ilvl="7" w:tplc="05E0E118">
      <w:numFmt w:val="decimal"/>
      <w:lvlText w:val=""/>
      <w:lvlJc w:val="left"/>
    </w:lvl>
    <w:lvl w:ilvl="8" w:tplc="F70C52FE">
      <w:numFmt w:val="decimal"/>
      <w:lvlText w:val=""/>
      <w:lvlJc w:val="left"/>
    </w:lvl>
  </w:abstractNum>
  <w:abstractNum w:abstractNumId="27" w15:restartNumberingAfterBreak="0">
    <w:nsid w:val="55A200B2"/>
    <w:multiLevelType w:val="hybridMultilevel"/>
    <w:tmpl w:val="61BC022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B80601"/>
    <w:multiLevelType w:val="hybridMultilevel"/>
    <w:tmpl w:val="95103042"/>
    <w:lvl w:ilvl="0" w:tplc="04090001">
      <w:start w:val="1"/>
      <w:numFmt w:val="bullet"/>
      <w:lvlText w:val=""/>
      <w:lvlJc w:val="left"/>
      <w:pPr>
        <w:ind w:left="540" w:hanging="360"/>
      </w:pPr>
      <w:rPr>
        <w:rFonts w:ascii="Symbol" w:hAnsi="Symbol" w:hint="default"/>
      </w:rPr>
    </w:lvl>
    <w:lvl w:ilvl="1" w:tplc="AD7C1508">
      <w:start w:val="1"/>
      <w:numFmt w:val="lowerLetter"/>
      <w:lvlText w:val="(%2)"/>
      <w:lvlJc w:val="left"/>
      <w:pPr>
        <w:ind w:left="153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4F3858"/>
    <w:multiLevelType w:val="hybridMultilevel"/>
    <w:tmpl w:val="A9AA8900"/>
    <w:lvl w:ilvl="0" w:tplc="E988CD08">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9306F"/>
    <w:multiLevelType w:val="hybridMultilevel"/>
    <w:tmpl w:val="8E943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5A01B0"/>
    <w:multiLevelType w:val="hybridMultilevel"/>
    <w:tmpl w:val="7808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9BD4C8E"/>
    <w:multiLevelType w:val="hybridMultilevel"/>
    <w:tmpl w:val="4D309F8A"/>
    <w:lvl w:ilvl="0" w:tplc="0AF46DFC">
      <w:start w:val="1"/>
      <w:numFmt w:val="decimal"/>
      <w:lvlText w:val="%1)"/>
      <w:lvlJc w:val="left"/>
      <w:pPr>
        <w:ind w:left="792" w:hanging="360"/>
      </w:pPr>
      <w:rPr>
        <w:sz w:val="24"/>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6A6B6816"/>
    <w:multiLevelType w:val="hybridMultilevel"/>
    <w:tmpl w:val="C324E96E"/>
    <w:lvl w:ilvl="0" w:tplc="20CC8A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F7C3150"/>
    <w:multiLevelType w:val="hybridMultilevel"/>
    <w:tmpl w:val="334C5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2E5320"/>
    <w:multiLevelType w:val="hybridMultilevel"/>
    <w:tmpl w:val="8A7E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C1D97"/>
    <w:multiLevelType w:val="hybridMultilevel"/>
    <w:tmpl w:val="47E0E02E"/>
    <w:lvl w:ilvl="0" w:tplc="83D026D4">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84410D8"/>
    <w:multiLevelType w:val="hybridMultilevel"/>
    <w:tmpl w:val="04090001"/>
    <w:lvl w:ilvl="0" w:tplc="A77010BA">
      <w:start w:val="1"/>
      <w:numFmt w:val="bullet"/>
      <w:lvlText w:val=""/>
      <w:lvlJc w:val="left"/>
      <w:pPr>
        <w:ind w:left="360" w:hanging="360"/>
      </w:pPr>
      <w:rPr>
        <w:rFonts w:ascii="Symbol" w:hAnsi="Symbol" w:hint="default"/>
      </w:rPr>
    </w:lvl>
    <w:lvl w:ilvl="1" w:tplc="2D849CA8">
      <w:numFmt w:val="decimal"/>
      <w:lvlText w:val=""/>
      <w:lvlJc w:val="left"/>
    </w:lvl>
    <w:lvl w:ilvl="2" w:tplc="85966F5C">
      <w:numFmt w:val="decimal"/>
      <w:lvlText w:val=""/>
      <w:lvlJc w:val="left"/>
    </w:lvl>
    <w:lvl w:ilvl="3" w:tplc="A71A415E">
      <w:numFmt w:val="decimal"/>
      <w:lvlText w:val=""/>
      <w:lvlJc w:val="left"/>
    </w:lvl>
    <w:lvl w:ilvl="4" w:tplc="0DAA7F96">
      <w:numFmt w:val="decimal"/>
      <w:lvlText w:val=""/>
      <w:lvlJc w:val="left"/>
    </w:lvl>
    <w:lvl w:ilvl="5" w:tplc="328482BC">
      <w:numFmt w:val="decimal"/>
      <w:lvlText w:val=""/>
      <w:lvlJc w:val="left"/>
    </w:lvl>
    <w:lvl w:ilvl="6" w:tplc="0DEC8AB2">
      <w:numFmt w:val="decimal"/>
      <w:lvlText w:val=""/>
      <w:lvlJc w:val="left"/>
    </w:lvl>
    <w:lvl w:ilvl="7" w:tplc="67360C84">
      <w:numFmt w:val="decimal"/>
      <w:lvlText w:val=""/>
      <w:lvlJc w:val="left"/>
    </w:lvl>
    <w:lvl w:ilvl="8" w:tplc="909412A6">
      <w:numFmt w:val="decimal"/>
      <w:lvlText w:val=""/>
      <w:lvlJc w:val="left"/>
    </w:lvl>
  </w:abstractNum>
  <w:abstractNum w:abstractNumId="39" w15:restartNumberingAfterBreak="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037BFE"/>
    <w:multiLevelType w:val="hybridMultilevel"/>
    <w:tmpl w:val="3B74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21598F"/>
    <w:multiLevelType w:val="hybridMultilevel"/>
    <w:tmpl w:val="2F04003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25"/>
  </w:num>
  <w:num w:numId="2">
    <w:abstractNumId w:val="36"/>
  </w:num>
  <w:num w:numId="3">
    <w:abstractNumId w:val="15"/>
  </w:num>
  <w:num w:numId="4">
    <w:abstractNumId w:val="4"/>
  </w:num>
  <w:num w:numId="5">
    <w:abstractNumId w:val="29"/>
  </w:num>
  <w:num w:numId="6">
    <w:abstractNumId w:val="21"/>
  </w:num>
  <w:num w:numId="7">
    <w:abstractNumId w:val="11"/>
  </w:num>
  <w:num w:numId="8">
    <w:abstractNumId w:val="7"/>
  </w:num>
  <w:num w:numId="9">
    <w:abstractNumId w:val="10"/>
  </w:num>
  <w:num w:numId="10">
    <w:abstractNumId w:val="22"/>
  </w:num>
  <w:num w:numId="11">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12">
    <w:abstractNumId w:val="2"/>
  </w:num>
  <w:num w:numId="13">
    <w:abstractNumId w:val="32"/>
  </w:num>
  <w:num w:numId="14">
    <w:abstractNumId w:val="16"/>
  </w:num>
  <w:num w:numId="15">
    <w:abstractNumId w:val="35"/>
  </w:num>
  <w:num w:numId="16">
    <w:abstractNumId w:val="40"/>
  </w:num>
  <w:num w:numId="17">
    <w:abstractNumId w:val="17"/>
  </w:num>
  <w:num w:numId="18">
    <w:abstractNumId w:val="24"/>
  </w:num>
  <w:num w:numId="19">
    <w:abstractNumId w:val="13"/>
  </w:num>
  <w:num w:numId="20">
    <w:abstractNumId w:val="12"/>
  </w:num>
  <w:num w:numId="21">
    <w:abstractNumId w:val="14"/>
  </w:num>
  <w:num w:numId="22">
    <w:abstractNumId w:val="6"/>
  </w:num>
  <w:num w:numId="23">
    <w:abstractNumId w:val="31"/>
  </w:num>
  <w:num w:numId="24">
    <w:abstractNumId w:val="5"/>
  </w:num>
  <w:num w:numId="25">
    <w:abstractNumId w:val="1"/>
  </w:num>
  <w:num w:numId="26">
    <w:abstractNumId w:val="20"/>
  </w:num>
  <w:num w:numId="27">
    <w:abstractNumId w:val="3"/>
  </w:num>
  <w:num w:numId="28">
    <w:abstractNumId w:val="8"/>
  </w:num>
  <w:num w:numId="29">
    <w:abstractNumId w:val="28"/>
  </w:num>
  <w:num w:numId="30">
    <w:abstractNumId w:val="34"/>
  </w:num>
  <w:num w:numId="31">
    <w:abstractNumId w:val="33"/>
  </w:num>
  <w:num w:numId="32">
    <w:abstractNumId w:val="18"/>
  </w:num>
  <w:num w:numId="33">
    <w:abstractNumId w:val="39"/>
  </w:num>
  <w:num w:numId="34">
    <w:abstractNumId w:val="26"/>
    <w:lvlOverride w:ilvl="0">
      <w:startOverride w:val="7"/>
    </w:lvlOverride>
  </w:num>
  <w:num w:numId="35">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36">
    <w:abstractNumId w:val="30"/>
  </w:num>
  <w:num w:numId="37">
    <w:abstractNumId w:val="38"/>
  </w:num>
  <w:num w:numId="38">
    <w:abstractNumId w:val="37"/>
  </w:num>
  <w:num w:numId="39">
    <w:abstractNumId w:val="19"/>
  </w:num>
  <w:num w:numId="40">
    <w:abstractNumId w:val="27"/>
  </w:num>
  <w:num w:numId="41">
    <w:abstractNumId w:val="37"/>
  </w:num>
  <w:num w:numId="42">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9"/>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CA5D25"/>
    <w:rsid w:val="000017FD"/>
    <w:rsid w:val="00004159"/>
    <w:rsid w:val="0000419D"/>
    <w:rsid w:val="000042A8"/>
    <w:rsid w:val="00010E67"/>
    <w:rsid w:val="00010FEB"/>
    <w:rsid w:val="00012763"/>
    <w:rsid w:val="000132E5"/>
    <w:rsid w:val="00015B02"/>
    <w:rsid w:val="0001795B"/>
    <w:rsid w:val="0002241F"/>
    <w:rsid w:val="00031199"/>
    <w:rsid w:val="00031C0C"/>
    <w:rsid w:val="0003416A"/>
    <w:rsid w:val="00037926"/>
    <w:rsid w:val="000425F4"/>
    <w:rsid w:val="000434EA"/>
    <w:rsid w:val="00043B2F"/>
    <w:rsid w:val="00046682"/>
    <w:rsid w:val="00047F56"/>
    <w:rsid w:val="000505D6"/>
    <w:rsid w:val="00052A87"/>
    <w:rsid w:val="00052DD6"/>
    <w:rsid w:val="00053604"/>
    <w:rsid w:val="000554A3"/>
    <w:rsid w:val="00060EF6"/>
    <w:rsid w:val="00060F23"/>
    <w:rsid w:val="00061B1E"/>
    <w:rsid w:val="000636C1"/>
    <w:rsid w:val="0006554A"/>
    <w:rsid w:val="00066A80"/>
    <w:rsid w:val="000700CC"/>
    <w:rsid w:val="00074402"/>
    <w:rsid w:val="00074CE7"/>
    <w:rsid w:val="00074D7A"/>
    <w:rsid w:val="00075139"/>
    <w:rsid w:val="00075872"/>
    <w:rsid w:val="000769F4"/>
    <w:rsid w:val="000777D6"/>
    <w:rsid w:val="00082ABB"/>
    <w:rsid w:val="00083092"/>
    <w:rsid w:val="000850A0"/>
    <w:rsid w:val="00085E24"/>
    <w:rsid w:val="00086398"/>
    <w:rsid w:val="00091FB1"/>
    <w:rsid w:val="00092BF6"/>
    <w:rsid w:val="00093EA4"/>
    <w:rsid w:val="000965B8"/>
    <w:rsid w:val="00097A84"/>
    <w:rsid w:val="000A0514"/>
    <w:rsid w:val="000A059D"/>
    <w:rsid w:val="000A1AC0"/>
    <w:rsid w:val="000B1A23"/>
    <w:rsid w:val="000B3688"/>
    <w:rsid w:val="000C1F00"/>
    <w:rsid w:val="000C3B09"/>
    <w:rsid w:val="000C3BDA"/>
    <w:rsid w:val="000C3DF9"/>
    <w:rsid w:val="000C49A6"/>
    <w:rsid w:val="000D0370"/>
    <w:rsid w:val="000D09B7"/>
    <w:rsid w:val="000D7480"/>
    <w:rsid w:val="000E1899"/>
    <w:rsid w:val="000E18D7"/>
    <w:rsid w:val="000E4ABC"/>
    <w:rsid w:val="000E7094"/>
    <w:rsid w:val="000E7329"/>
    <w:rsid w:val="000F15AD"/>
    <w:rsid w:val="000F3DED"/>
    <w:rsid w:val="000F4135"/>
    <w:rsid w:val="000F4A28"/>
    <w:rsid w:val="000F4D7D"/>
    <w:rsid w:val="000F6CAD"/>
    <w:rsid w:val="000F7735"/>
    <w:rsid w:val="001033EB"/>
    <w:rsid w:val="001046FD"/>
    <w:rsid w:val="00105F25"/>
    <w:rsid w:val="00106274"/>
    <w:rsid w:val="0011025B"/>
    <w:rsid w:val="00115BE7"/>
    <w:rsid w:val="00115E00"/>
    <w:rsid w:val="00116428"/>
    <w:rsid w:val="001233A3"/>
    <w:rsid w:val="001251AB"/>
    <w:rsid w:val="00127808"/>
    <w:rsid w:val="00127F5E"/>
    <w:rsid w:val="00131FEC"/>
    <w:rsid w:val="00132E19"/>
    <w:rsid w:val="00134547"/>
    <w:rsid w:val="00134AE3"/>
    <w:rsid w:val="001369CD"/>
    <w:rsid w:val="00137068"/>
    <w:rsid w:val="001402DB"/>
    <w:rsid w:val="00145CF5"/>
    <w:rsid w:val="0014683A"/>
    <w:rsid w:val="00147702"/>
    <w:rsid w:val="0015146C"/>
    <w:rsid w:val="001516A8"/>
    <w:rsid w:val="0015209D"/>
    <w:rsid w:val="001525F1"/>
    <w:rsid w:val="001528F5"/>
    <w:rsid w:val="00153F9D"/>
    <w:rsid w:val="00154964"/>
    <w:rsid w:val="00155456"/>
    <w:rsid w:val="00156250"/>
    <w:rsid w:val="00156DB9"/>
    <w:rsid w:val="00161EA8"/>
    <w:rsid w:val="00162536"/>
    <w:rsid w:val="001645D3"/>
    <w:rsid w:val="001666E0"/>
    <w:rsid w:val="00174ADF"/>
    <w:rsid w:val="00175046"/>
    <w:rsid w:val="00182466"/>
    <w:rsid w:val="001835D3"/>
    <w:rsid w:val="00186E32"/>
    <w:rsid w:val="00187D0A"/>
    <w:rsid w:val="00190710"/>
    <w:rsid w:val="00190A9F"/>
    <w:rsid w:val="0019154D"/>
    <w:rsid w:val="00191E74"/>
    <w:rsid w:val="00193C0F"/>
    <w:rsid w:val="00193E88"/>
    <w:rsid w:val="001951E0"/>
    <w:rsid w:val="001974D1"/>
    <w:rsid w:val="001A46F1"/>
    <w:rsid w:val="001A63A8"/>
    <w:rsid w:val="001B4FCF"/>
    <w:rsid w:val="001B50CB"/>
    <w:rsid w:val="001B601E"/>
    <w:rsid w:val="001B7047"/>
    <w:rsid w:val="001B775A"/>
    <w:rsid w:val="001B7ECE"/>
    <w:rsid w:val="001C0A96"/>
    <w:rsid w:val="001C1769"/>
    <w:rsid w:val="001C570C"/>
    <w:rsid w:val="001C5F2A"/>
    <w:rsid w:val="001D0A79"/>
    <w:rsid w:val="001D475D"/>
    <w:rsid w:val="001D47CF"/>
    <w:rsid w:val="001D50ED"/>
    <w:rsid w:val="001D7721"/>
    <w:rsid w:val="001E11DC"/>
    <w:rsid w:val="001E12BA"/>
    <w:rsid w:val="001E27C3"/>
    <w:rsid w:val="001E4175"/>
    <w:rsid w:val="001E5897"/>
    <w:rsid w:val="001E7312"/>
    <w:rsid w:val="001E7C22"/>
    <w:rsid w:val="001F5446"/>
    <w:rsid w:val="001F601D"/>
    <w:rsid w:val="001F67E1"/>
    <w:rsid w:val="001F7EC6"/>
    <w:rsid w:val="00200458"/>
    <w:rsid w:val="00202185"/>
    <w:rsid w:val="00207C82"/>
    <w:rsid w:val="00210AD0"/>
    <w:rsid w:val="00215584"/>
    <w:rsid w:val="00215C68"/>
    <w:rsid w:val="00216C9E"/>
    <w:rsid w:val="00220B0A"/>
    <w:rsid w:val="00225A20"/>
    <w:rsid w:val="002303EE"/>
    <w:rsid w:val="002317C5"/>
    <w:rsid w:val="00231C17"/>
    <w:rsid w:val="00233987"/>
    <w:rsid w:val="00233A20"/>
    <w:rsid w:val="002364E7"/>
    <w:rsid w:val="00236DD3"/>
    <w:rsid w:val="002373F4"/>
    <w:rsid w:val="00255B1D"/>
    <w:rsid w:val="00256F16"/>
    <w:rsid w:val="002610B1"/>
    <w:rsid w:val="00262313"/>
    <w:rsid w:val="00262710"/>
    <w:rsid w:val="00264FA9"/>
    <w:rsid w:val="00267A31"/>
    <w:rsid w:val="00267B95"/>
    <w:rsid w:val="00270D40"/>
    <w:rsid w:val="00270E6C"/>
    <w:rsid w:val="002752E8"/>
    <w:rsid w:val="002774D0"/>
    <w:rsid w:val="0028520E"/>
    <w:rsid w:val="0028638C"/>
    <w:rsid w:val="00287A55"/>
    <w:rsid w:val="0029091F"/>
    <w:rsid w:val="00291D38"/>
    <w:rsid w:val="00293672"/>
    <w:rsid w:val="0029758F"/>
    <w:rsid w:val="002A4FBA"/>
    <w:rsid w:val="002B356E"/>
    <w:rsid w:val="002B5B44"/>
    <w:rsid w:val="002B6189"/>
    <w:rsid w:val="002B669A"/>
    <w:rsid w:val="002B7D26"/>
    <w:rsid w:val="002C09F3"/>
    <w:rsid w:val="002C0FA4"/>
    <w:rsid w:val="002C1616"/>
    <w:rsid w:val="002C2451"/>
    <w:rsid w:val="002C2C0D"/>
    <w:rsid w:val="002C2D17"/>
    <w:rsid w:val="002C4611"/>
    <w:rsid w:val="002C610D"/>
    <w:rsid w:val="002D2911"/>
    <w:rsid w:val="002D599E"/>
    <w:rsid w:val="002D6E42"/>
    <w:rsid w:val="002D7B0A"/>
    <w:rsid w:val="002E1198"/>
    <w:rsid w:val="002E38E3"/>
    <w:rsid w:val="002E4431"/>
    <w:rsid w:val="002E45CE"/>
    <w:rsid w:val="002E4CFE"/>
    <w:rsid w:val="002E5DDC"/>
    <w:rsid w:val="002E6C53"/>
    <w:rsid w:val="002E7597"/>
    <w:rsid w:val="002F342F"/>
    <w:rsid w:val="002F48DA"/>
    <w:rsid w:val="002F6C94"/>
    <w:rsid w:val="00302868"/>
    <w:rsid w:val="00305A73"/>
    <w:rsid w:val="00306B3D"/>
    <w:rsid w:val="00306DA2"/>
    <w:rsid w:val="003076F2"/>
    <w:rsid w:val="00310B99"/>
    <w:rsid w:val="003111AE"/>
    <w:rsid w:val="00312330"/>
    <w:rsid w:val="003148BC"/>
    <w:rsid w:val="00314B01"/>
    <w:rsid w:val="003175C3"/>
    <w:rsid w:val="00320A37"/>
    <w:rsid w:val="00321B44"/>
    <w:rsid w:val="00324BFE"/>
    <w:rsid w:val="00325A98"/>
    <w:rsid w:val="00326443"/>
    <w:rsid w:val="00330548"/>
    <w:rsid w:val="00330F7F"/>
    <w:rsid w:val="00331EC5"/>
    <w:rsid w:val="0033276E"/>
    <w:rsid w:val="00334FB7"/>
    <w:rsid w:val="00335984"/>
    <w:rsid w:val="0034149A"/>
    <w:rsid w:val="00341D75"/>
    <w:rsid w:val="003454D1"/>
    <w:rsid w:val="00350071"/>
    <w:rsid w:val="00352E75"/>
    <w:rsid w:val="00362C12"/>
    <w:rsid w:val="00363000"/>
    <w:rsid w:val="003633D7"/>
    <w:rsid w:val="003635B7"/>
    <w:rsid w:val="003641A9"/>
    <w:rsid w:val="00364A8A"/>
    <w:rsid w:val="00367BF2"/>
    <w:rsid w:val="003705F2"/>
    <w:rsid w:val="00371486"/>
    <w:rsid w:val="00371C5F"/>
    <w:rsid w:val="003722E0"/>
    <w:rsid w:val="003753B5"/>
    <w:rsid w:val="00375C2A"/>
    <w:rsid w:val="00376B03"/>
    <w:rsid w:val="003773C5"/>
    <w:rsid w:val="00377D62"/>
    <w:rsid w:val="0038074F"/>
    <w:rsid w:val="0038265B"/>
    <w:rsid w:val="00384F3A"/>
    <w:rsid w:val="0039217D"/>
    <w:rsid w:val="00392468"/>
    <w:rsid w:val="00394619"/>
    <w:rsid w:val="0039638A"/>
    <w:rsid w:val="003A0BEF"/>
    <w:rsid w:val="003A0E01"/>
    <w:rsid w:val="003A1C37"/>
    <w:rsid w:val="003A2B35"/>
    <w:rsid w:val="003A4E43"/>
    <w:rsid w:val="003A583F"/>
    <w:rsid w:val="003B037C"/>
    <w:rsid w:val="003B3DDF"/>
    <w:rsid w:val="003B4308"/>
    <w:rsid w:val="003B48D2"/>
    <w:rsid w:val="003B4A14"/>
    <w:rsid w:val="003C07B8"/>
    <w:rsid w:val="003C080C"/>
    <w:rsid w:val="003C2467"/>
    <w:rsid w:val="003C4C5B"/>
    <w:rsid w:val="003C4C6C"/>
    <w:rsid w:val="003C7857"/>
    <w:rsid w:val="003D2BE7"/>
    <w:rsid w:val="003D37FF"/>
    <w:rsid w:val="003D3DAE"/>
    <w:rsid w:val="003D40B8"/>
    <w:rsid w:val="003D5D07"/>
    <w:rsid w:val="003E0055"/>
    <w:rsid w:val="003E18B8"/>
    <w:rsid w:val="003E36A4"/>
    <w:rsid w:val="003E4BE1"/>
    <w:rsid w:val="003E51FF"/>
    <w:rsid w:val="003E5CF0"/>
    <w:rsid w:val="003E5FE7"/>
    <w:rsid w:val="003E76EE"/>
    <w:rsid w:val="003F1D61"/>
    <w:rsid w:val="003F2643"/>
    <w:rsid w:val="003F4030"/>
    <w:rsid w:val="003F40C1"/>
    <w:rsid w:val="003F4E23"/>
    <w:rsid w:val="003F5000"/>
    <w:rsid w:val="003F5B3A"/>
    <w:rsid w:val="003F678F"/>
    <w:rsid w:val="004001DE"/>
    <w:rsid w:val="00400C5C"/>
    <w:rsid w:val="0040252F"/>
    <w:rsid w:val="00402BF5"/>
    <w:rsid w:val="00403256"/>
    <w:rsid w:val="00404A4C"/>
    <w:rsid w:val="00404BE5"/>
    <w:rsid w:val="00407DC2"/>
    <w:rsid w:val="00410B82"/>
    <w:rsid w:val="00414E33"/>
    <w:rsid w:val="0041538D"/>
    <w:rsid w:val="004209C9"/>
    <w:rsid w:val="004220C5"/>
    <w:rsid w:val="0042315F"/>
    <w:rsid w:val="00423287"/>
    <w:rsid w:val="00423AA4"/>
    <w:rsid w:val="00425BB9"/>
    <w:rsid w:val="004264BC"/>
    <w:rsid w:val="004274FA"/>
    <w:rsid w:val="00427D72"/>
    <w:rsid w:val="004355CF"/>
    <w:rsid w:val="00437B91"/>
    <w:rsid w:val="00444A34"/>
    <w:rsid w:val="004466FD"/>
    <w:rsid w:val="0044673A"/>
    <w:rsid w:val="00447C89"/>
    <w:rsid w:val="00450F26"/>
    <w:rsid w:val="00451194"/>
    <w:rsid w:val="00452F68"/>
    <w:rsid w:val="004604E2"/>
    <w:rsid w:val="00461A2D"/>
    <w:rsid w:val="00466573"/>
    <w:rsid w:val="00466682"/>
    <w:rsid w:val="00472AFD"/>
    <w:rsid w:val="00474174"/>
    <w:rsid w:val="00477804"/>
    <w:rsid w:val="00480367"/>
    <w:rsid w:val="004823E9"/>
    <w:rsid w:val="00483E4F"/>
    <w:rsid w:val="00485F7E"/>
    <w:rsid w:val="00491B76"/>
    <w:rsid w:val="0049404E"/>
    <w:rsid w:val="00494553"/>
    <w:rsid w:val="00494765"/>
    <w:rsid w:val="00496259"/>
    <w:rsid w:val="00497462"/>
    <w:rsid w:val="004A56EC"/>
    <w:rsid w:val="004A6E9A"/>
    <w:rsid w:val="004A7300"/>
    <w:rsid w:val="004A7E1F"/>
    <w:rsid w:val="004B3D7E"/>
    <w:rsid w:val="004B740F"/>
    <w:rsid w:val="004B75AB"/>
    <w:rsid w:val="004C0C35"/>
    <w:rsid w:val="004C324A"/>
    <w:rsid w:val="004C489A"/>
    <w:rsid w:val="004C68FC"/>
    <w:rsid w:val="004C7621"/>
    <w:rsid w:val="004D1587"/>
    <w:rsid w:val="004D172C"/>
    <w:rsid w:val="004D3FEB"/>
    <w:rsid w:val="004D69ED"/>
    <w:rsid w:val="004E5E4F"/>
    <w:rsid w:val="004E6440"/>
    <w:rsid w:val="004E6D18"/>
    <w:rsid w:val="004E74BC"/>
    <w:rsid w:val="004E793C"/>
    <w:rsid w:val="004E7971"/>
    <w:rsid w:val="004E7D90"/>
    <w:rsid w:val="004F08F3"/>
    <w:rsid w:val="004F4CA5"/>
    <w:rsid w:val="004F7C13"/>
    <w:rsid w:val="005045F8"/>
    <w:rsid w:val="00504A75"/>
    <w:rsid w:val="00504B06"/>
    <w:rsid w:val="00505814"/>
    <w:rsid w:val="0050719F"/>
    <w:rsid w:val="00507774"/>
    <w:rsid w:val="005110F7"/>
    <w:rsid w:val="0051182F"/>
    <w:rsid w:val="00513505"/>
    <w:rsid w:val="00513ADD"/>
    <w:rsid w:val="0051480C"/>
    <w:rsid w:val="005149E2"/>
    <w:rsid w:val="005221C4"/>
    <w:rsid w:val="00523041"/>
    <w:rsid w:val="00523ACB"/>
    <w:rsid w:val="00524668"/>
    <w:rsid w:val="00526A74"/>
    <w:rsid w:val="005317DD"/>
    <w:rsid w:val="00534042"/>
    <w:rsid w:val="0053602D"/>
    <w:rsid w:val="00536223"/>
    <w:rsid w:val="005366C5"/>
    <w:rsid w:val="00537259"/>
    <w:rsid w:val="00541C85"/>
    <w:rsid w:val="00542556"/>
    <w:rsid w:val="00543E1F"/>
    <w:rsid w:val="00544CCF"/>
    <w:rsid w:val="00545569"/>
    <w:rsid w:val="00545757"/>
    <w:rsid w:val="00545952"/>
    <w:rsid w:val="00550109"/>
    <w:rsid w:val="005528DD"/>
    <w:rsid w:val="00557344"/>
    <w:rsid w:val="00562223"/>
    <w:rsid w:val="005629D8"/>
    <w:rsid w:val="005636E0"/>
    <w:rsid w:val="00564F52"/>
    <w:rsid w:val="00566A52"/>
    <w:rsid w:val="00567399"/>
    <w:rsid w:val="00567A6D"/>
    <w:rsid w:val="00567EB3"/>
    <w:rsid w:val="005763C0"/>
    <w:rsid w:val="00576830"/>
    <w:rsid w:val="00580338"/>
    <w:rsid w:val="00581422"/>
    <w:rsid w:val="00581E85"/>
    <w:rsid w:val="00583B3A"/>
    <w:rsid w:val="00584247"/>
    <w:rsid w:val="00584798"/>
    <w:rsid w:val="00591542"/>
    <w:rsid w:val="0059174D"/>
    <w:rsid w:val="00591F67"/>
    <w:rsid w:val="005923DC"/>
    <w:rsid w:val="00595266"/>
    <w:rsid w:val="005958D8"/>
    <w:rsid w:val="00595FCB"/>
    <w:rsid w:val="005A0DB8"/>
    <w:rsid w:val="005A1BA6"/>
    <w:rsid w:val="005A21B5"/>
    <w:rsid w:val="005A3450"/>
    <w:rsid w:val="005B0915"/>
    <w:rsid w:val="005B1FF4"/>
    <w:rsid w:val="005B2351"/>
    <w:rsid w:val="005B264E"/>
    <w:rsid w:val="005B32AB"/>
    <w:rsid w:val="005B3E9F"/>
    <w:rsid w:val="005B4F1A"/>
    <w:rsid w:val="005B5739"/>
    <w:rsid w:val="005B603F"/>
    <w:rsid w:val="005B6A73"/>
    <w:rsid w:val="005C2CDB"/>
    <w:rsid w:val="005C64BC"/>
    <w:rsid w:val="005D3593"/>
    <w:rsid w:val="005D41B6"/>
    <w:rsid w:val="005D632E"/>
    <w:rsid w:val="005D6692"/>
    <w:rsid w:val="005E1047"/>
    <w:rsid w:val="005E16CE"/>
    <w:rsid w:val="005E46C2"/>
    <w:rsid w:val="005E5951"/>
    <w:rsid w:val="005E7018"/>
    <w:rsid w:val="005E7EE5"/>
    <w:rsid w:val="005F011C"/>
    <w:rsid w:val="005F169A"/>
    <w:rsid w:val="005F1B55"/>
    <w:rsid w:val="005F37E4"/>
    <w:rsid w:val="005F42F3"/>
    <w:rsid w:val="005F55F1"/>
    <w:rsid w:val="005F663E"/>
    <w:rsid w:val="005F7E31"/>
    <w:rsid w:val="00600E06"/>
    <w:rsid w:val="00601491"/>
    <w:rsid w:val="00601A4B"/>
    <w:rsid w:val="00602152"/>
    <w:rsid w:val="0060345C"/>
    <w:rsid w:val="00603BCF"/>
    <w:rsid w:val="006056C9"/>
    <w:rsid w:val="006104B6"/>
    <w:rsid w:val="0061119B"/>
    <w:rsid w:val="00612B83"/>
    <w:rsid w:val="006143A5"/>
    <w:rsid w:val="00617C58"/>
    <w:rsid w:val="006200FC"/>
    <w:rsid w:val="00621F79"/>
    <w:rsid w:val="00622C61"/>
    <w:rsid w:val="00627004"/>
    <w:rsid w:val="00635BF5"/>
    <w:rsid w:val="00635E2C"/>
    <w:rsid w:val="0063795F"/>
    <w:rsid w:val="006412CA"/>
    <w:rsid w:val="0064281F"/>
    <w:rsid w:val="0064497E"/>
    <w:rsid w:val="00646738"/>
    <w:rsid w:val="0064763D"/>
    <w:rsid w:val="006513F1"/>
    <w:rsid w:val="00653555"/>
    <w:rsid w:val="00661508"/>
    <w:rsid w:val="00661F49"/>
    <w:rsid w:val="006624A7"/>
    <w:rsid w:val="00662789"/>
    <w:rsid w:val="00667169"/>
    <w:rsid w:val="00667DE0"/>
    <w:rsid w:val="00670739"/>
    <w:rsid w:val="00670E8A"/>
    <w:rsid w:val="00673F28"/>
    <w:rsid w:val="00675C49"/>
    <w:rsid w:val="0068233D"/>
    <w:rsid w:val="00683B7A"/>
    <w:rsid w:val="00685627"/>
    <w:rsid w:val="00687B20"/>
    <w:rsid w:val="0069087D"/>
    <w:rsid w:val="006937DC"/>
    <w:rsid w:val="006A055D"/>
    <w:rsid w:val="006A35E1"/>
    <w:rsid w:val="006A4681"/>
    <w:rsid w:val="006A56F3"/>
    <w:rsid w:val="006A5FA6"/>
    <w:rsid w:val="006B27EB"/>
    <w:rsid w:val="006B27F5"/>
    <w:rsid w:val="006B328B"/>
    <w:rsid w:val="006B506B"/>
    <w:rsid w:val="006B58A6"/>
    <w:rsid w:val="006B6D73"/>
    <w:rsid w:val="006B7352"/>
    <w:rsid w:val="006C05E3"/>
    <w:rsid w:val="006C09D2"/>
    <w:rsid w:val="006C0F21"/>
    <w:rsid w:val="006C15EB"/>
    <w:rsid w:val="006C2445"/>
    <w:rsid w:val="006C24C9"/>
    <w:rsid w:val="006C2D27"/>
    <w:rsid w:val="006C5A60"/>
    <w:rsid w:val="006D264A"/>
    <w:rsid w:val="006D2F04"/>
    <w:rsid w:val="006D5923"/>
    <w:rsid w:val="006D7B47"/>
    <w:rsid w:val="006E09BB"/>
    <w:rsid w:val="006E3C65"/>
    <w:rsid w:val="006E419F"/>
    <w:rsid w:val="006E5229"/>
    <w:rsid w:val="006E545D"/>
    <w:rsid w:val="006E56E9"/>
    <w:rsid w:val="006E5BB3"/>
    <w:rsid w:val="006E6CFD"/>
    <w:rsid w:val="006F470B"/>
    <w:rsid w:val="006F6420"/>
    <w:rsid w:val="006F6CDD"/>
    <w:rsid w:val="00700185"/>
    <w:rsid w:val="00700AC6"/>
    <w:rsid w:val="0070315A"/>
    <w:rsid w:val="00703F1F"/>
    <w:rsid w:val="0070617C"/>
    <w:rsid w:val="007061E5"/>
    <w:rsid w:val="00706449"/>
    <w:rsid w:val="00711BA6"/>
    <w:rsid w:val="00715D5E"/>
    <w:rsid w:val="007205FA"/>
    <w:rsid w:val="00723C59"/>
    <w:rsid w:val="00725157"/>
    <w:rsid w:val="007264AC"/>
    <w:rsid w:val="00735193"/>
    <w:rsid w:val="00740E33"/>
    <w:rsid w:val="007422FE"/>
    <w:rsid w:val="0074233B"/>
    <w:rsid w:val="007431C7"/>
    <w:rsid w:val="00743E02"/>
    <w:rsid w:val="00744065"/>
    <w:rsid w:val="00744756"/>
    <w:rsid w:val="00754658"/>
    <w:rsid w:val="00754830"/>
    <w:rsid w:val="0075569D"/>
    <w:rsid w:val="007579E8"/>
    <w:rsid w:val="007601EC"/>
    <w:rsid w:val="007644AE"/>
    <w:rsid w:val="00767A29"/>
    <w:rsid w:val="007719C2"/>
    <w:rsid w:val="00774638"/>
    <w:rsid w:val="0077575D"/>
    <w:rsid w:val="00776072"/>
    <w:rsid w:val="007766F1"/>
    <w:rsid w:val="007805AB"/>
    <w:rsid w:val="00782442"/>
    <w:rsid w:val="00784C9D"/>
    <w:rsid w:val="007850CA"/>
    <w:rsid w:val="00785459"/>
    <w:rsid w:val="00785A36"/>
    <w:rsid w:val="00786F2C"/>
    <w:rsid w:val="00787723"/>
    <w:rsid w:val="007922E5"/>
    <w:rsid w:val="0079288B"/>
    <w:rsid w:val="00794B45"/>
    <w:rsid w:val="007952BC"/>
    <w:rsid w:val="00796010"/>
    <w:rsid w:val="007A1060"/>
    <w:rsid w:val="007A627F"/>
    <w:rsid w:val="007A73F1"/>
    <w:rsid w:val="007A7C15"/>
    <w:rsid w:val="007B4D1A"/>
    <w:rsid w:val="007C3481"/>
    <w:rsid w:val="007C5BBA"/>
    <w:rsid w:val="007D03A1"/>
    <w:rsid w:val="007D323F"/>
    <w:rsid w:val="007D4F24"/>
    <w:rsid w:val="007D58BF"/>
    <w:rsid w:val="007E1838"/>
    <w:rsid w:val="007E282A"/>
    <w:rsid w:val="007E2962"/>
    <w:rsid w:val="007E2B29"/>
    <w:rsid w:val="007E42FA"/>
    <w:rsid w:val="007E6169"/>
    <w:rsid w:val="007E674D"/>
    <w:rsid w:val="007E7DCF"/>
    <w:rsid w:val="007F1240"/>
    <w:rsid w:val="007F1D4D"/>
    <w:rsid w:val="007F2106"/>
    <w:rsid w:val="007F71C1"/>
    <w:rsid w:val="007F7E9B"/>
    <w:rsid w:val="00800919"/>
    <w:rsid w:val="0080324E"/>
    <w:rsid w:val="00804588"/>
    <w:rsid w:val="008049AF"/>
    <w:rsid w:val="00805FDC"/>
    <w:rsid w:val="00806946"/>
    <w:rsid w:val="00807E65"/>
    <w:rsid w:val="00813051"/>
    <w:rsid w:val="00813A73"/>
    <w:rsid w:val="0081479F"/>
    <w:rsid w:val="008148E5"/>
    <w:rsid w:val="008166AC"/>
    <w:rsid w:val="00821AE1"/>
    <w:rsid w:val="00825A69"/>
    <w:rsid w:val="00826379"/>
    <w:rsid w:val="00830A88"/>
    <w:rsid w:val="00830DB3"/>
    <w:rsid w:val="0083108D"/>
    <w:rsid w:val="008327EB"/>
    <w:rsid w:val="0083284B"/>
    <w:rsid w:val="008328E8"/>
    <w:rsid w:val="00832DEF"/>
    <w:rsid w:val="00834371"/>
    <w:rsid w:val="00835AD0"/>
    <w:rsid w:val="0083710F"/>
    <w:rsid w:val="00837521"/>
    <w:rsid w:val="008375FB"/>
    <w:rsid w:val="0084072C"/>
    <w:rsid w:val="0084085C"/>
    <w:rsid w:val="00841C87"/>
    <w:rsid w:val="00842394"/>
    <w:rsid w:val="008462DD"/>
    <w:rsid w:val="00847FC6"/>
    <w:rsid w:val="00851674"/>
    <w:rsid w:val="008518F8"/>
    <w:rsid w:val="008524B6"/>
    <w:rsid w:val="00852AA1"/>
    <w:rsid w:val="00854506"/>
    <w:rsid w:val="00854A20"/>
    <w:rsid w:val="00854D3D"/>
    <w:rsid w:val="008553FF"/>
    <w:rsid w:val="00855954"/>
    <w:rsid w:val="0086435D"/>
    <w:rsid w:val="0086473B"/>
    <w:rsid w:val="008713CA"/>
    <w:rsid w:val="00872562"/>
    <w:rsid w:val="00873F31"/>
    <w:rsid w:val="00874F57"/>
    <w:rsid w:val="00875C75"/>
    <w:rsid w:val="00885691"/>
    <w:rsid w:val="00886D79"/>
    <w:rsid w:val="00894018"/>
    <w:rsid w:val="0089485A"/>
    <w:rsid w:val="0089571D"/>
    <w:rsid w:val="00896ED4"/>
    <w:rsid w:val="008A0ACE"/>
    <w:rsid w:val="008A3694"/>
    <w:rsid w:val="008B424C"/>
    <w:rsid w:val="008B6A1D"/>
    <w:rsid w:val="008C2007"/>
    <w:rsid w:val="008C2E29"/>
    <w:rsid w:val="008D076C"/>
    <w:rsid w:val="008D1C30"/>
    <w:rsid w:val="008D2465"/>
    <w:rsid w:val="008D378C"/>
    <w:rsid w:val="008D74DD"/>
    <w:rsid w:val="008E04A9"/>
    <w:rsid w:val="008E08C4"/>
    <w:rsid w:val="008E2777"/>
    <w:rsid w:val="008F08CF"/>
    <w:rsid w:val="008F0C03"/>
    <w:rsid w:val="008F1952"/>
    <w:rsid w:val="008F2555"/>
    <w:rsid w:val="008F3F13"/>
    <w:rsid w:val="008F63B0"/>
    <w:rsid w:val="008F6696"/>
    <w:rsid w:val="0090138B"/>
    <w:rsid w:val="00902C80"/>
    <w:rsid w:val="009064DC"/>
    <w:rsid w:val="00907506"/>
    <w:rsid w:val="00911792"/>
    <w:rsid w:val="00911F99"/>
    <w:rsid w:val="00913A2F"/>
    <w:rsid w:val="009147A2"/>
    <w:rsid w:val="00916076"/>
    <w:rsid w:val="0091798D"/>
    <w:rsid w:val="00917BE8"/>
    <w:rsid w:val="00920777"/>
    <w:rsid w:val="00923CCB"/>
    <w:rsid w:val="009243A0"/>
    <w:rsid w:val="0092593A"/>
    <w:rsid w:val="009261E8"/>
    <w:rsid w:val="00927C17"/>
    <w:rsid w:val="00931BD0"/>
    <w:rsid w:val="00933DA0"/>
    <w:rsid w:val="00934418"/>
    <w:rsid w:val="0093577F"/>
    <w:rsid w:val="00937553"/>
    <w:rsid w:val="0094164C"/>
    <w:rsid w:val="00945348"/>
    <w:rsid w:val="009479FA"/>
    <w:rsid w:val="0095241F"/>
    <w:rsid w:val="00952533"/>
    <w:rsid w:val="0095567C"/>
    <w:rsid w:val="0095604E"/>
    <w:rsid w:val="00957309"/>
    <w:rsid w:val="009578C3"/>
    <w:rsid w:val="00960265"/>
    <w:rsid w:val="009651C2"/>
    <w:rsid w:val="009657B2"/>
    <w:rsid w:val="009669A3"/>
    <w:rsid w:val="009709F2"/>
    <w:rsid w:val="00973022"/>
    <w:rsid w:val="009737E4"/>
    <w:rsid w:val="00974810"/>
    <w:rsid w:val="00975D33"/>
    <w:rsid w:val="00977B61"/>
    <w:rsid w:val="00981187"/>
    <w:rsid w:val="00981631"/>
    <w:rsid w:val="0098474D"/>
    <w:rsid w:val="00984F55"/>
    <w:rsid w:val="00990B8B"/>
    <w:rsid w:val="00993028"/>
    <w:rsid w:val="00993649"/>
    <w:rsid w:val="00993CD9"/>
    <w:rsid w:val="00997B0A"/>
    <w:rsid w:val="009A3258"/>
    <w:rsid w:val="009A3605"/>
    <w:rsid w:val="009A7FE2"/>
    <w:rsid w:val="009B2C1F"/>
    <w:rsid w:val="009B6041"/>
    <w:rsid w:val="009B68D9"/>
    <w:rsid w:val="009C33B9"/>
    <w:rsid w:val="009C5A63"/>
    <w:rsid w:val="009D0836"/>
    <w:rsid w:val="009D2BC7"/>
    <w:rsid w:val="009D5B74"/>
    <w:rsid w:val="009D67FD"/>
    <w:rsid w:val="009D7EA7"/>
    <w:rsid w:val="009E02A4"/>
    <w:rsid w:val="009E127D"/>
    <w:rsid w:val="009E14DA"/>
    <w:rsid w:val="009E22CB"/>
    <w:rsid w:val="009E3659"/>
    <w:rsid w:val="009E36EA"/>
    <w:rsid w:val="009E476C"/>
    <w:rsid w:val="009E60F2"/>
    <w:rsid w:val="009E7C41"/>
    <w:rsid w:val="009F1E23"/>
    <w:rsid w:val="009F5AD4"/>
    <w:rsid w:val="009F6781"/>
    <w:rsid w:val="009F738A"/>
    <w:rsid w:val="00A016BD"/>
    <w:rsid w:val="00A02164"/>
    <w:rsid w:val="00A0427A"/>
    <w:rsid w:val="00A04EE1"/>
    <w:rsid w:val="00A0710A"/>
    <w:rsid w:val="00A07B0B"/>
    <w:rsid w:val="00A12C68"/>
    <w:rsid w:val="00A12FE8"/>
    <w:rsid w:val="00A14C7B"/>
    <w:rsid w:val="00A1790C"/>
    <w:rsid w:val="00A17D82"/>
    <w:rsid w:val="00A215C0"/>
    <w:rsid w:val="00A23B0B"/>
    <w:rsid w:val="00A251A0"/>
    <w:rsid w:val="00A33878"/>
    <w:rsid w:val="00A351AA"/>
    <w:rsid w:val="00A36CA4"/>
    <w:rsid w:val="00A40B73"/>
    <w:rsid w:val="00A42367"/>
    <w:rsid w:val="00A42C1E"/>
    <w:rsid w:val="00A42EEF"/>
    <w:rsid w:val="00A44850"/>
    <w:rsid w:val="00A467DB"/>
    <w:rsid w:val="00A4700D"/>
    <w:rsid w:val="00A4724A"/>
    <w:rsid w:val="00A51F93"/>
    <w:rsid w:val="00A52E1D"/>
    <w:rsid w:val="00A544E8"/>
    <w:rsid w:val="00A644A6"/>
    <w:rsid w:val="00A6483E"/>
    <w:rsid w:val="00A658DA"/>
    <w:rsid w:val="00A65E74"/>
    <w:rsid w:val="00A669FB"/>
    <w:rsid w:val="00A6701F"/>
    <w:rsid w:val="00A73931"/>
    <w:rsid w:val="00A755F0"/>
    <w:rsid w:val="00A76907"/>
    <w:rsid w:val="00A7747A"/>
    <w:rsid w:val="00A77604"/>
    <w:rsid w:val="00A77CC7"/>
    <w:rsid w:val="00A8178D"/>
    <w:rsid w:val="00A82727"/>
    <w:rsid w:val="00A82AAC"/>
    <w:rsid w:val="00A84F09"/>
    <w:rsid w:val="00A85A50"/>
    <w:rsid w:val="00A86E8F"/>
    <w:rsid w:val="00A90552"/>
    <w:rsid w:val="00A90E8B"/>
    <w:rsid w:val="00A91702"/>
    <w:rsid w:val="00A91CB1"/>
    <w:rsid w:val="00A91D3E"/>
    <w:rsid w:val="00A967A1"/>
    <w:rsid w:val="00A96C26"/>
    <w:rsid w:val="00A96F40"/>
    <w:rsid w:val="00A976D2"/>
    <w:rsid w:val="00AA0CD0"/>
    <w:rsid w:val="00AA4FFA"/>
    <w:rsid w:val="00AA727A"/>
    <w:rsid w:val="00AA7568"/>
    <w:rsid w:val="00AA7644"/>
    <w:rsid w:val="00AA7657"/>
    <w:rsid w:val="00AA7CA0"/>
    <w:rsid w:val="00AB0E44"/>
    <w:rsid w:val="00AB2139"/>
    <w:rsid w:val="00AB33B7"/>
    <w:rsid w:val="00AB3533"/>
    <w:rsid w:val="00AB47A6"/>
    <w:rsid w:val="00AB6E0C"/>
    <w:rsid w:val="00AC1E50"/>
    <w:rsid w:val="00AC2298"/>
    <w:rsid w:val="00AC31B3"/>
    <w:rsid w:val="00AD0D61"/>
    <w:rsid w:val="00AD0D6E"/>
    <w:rsid w:val="00AD1687"/>
    <w:rsid w:val="00AD4CF6"/>
    <w:rsid w:val="00AD7C7B"/>
    <w:rsid w:val="00AE0039"/>
    <w:rsid w:val="00AE0582"/>
    <w:rsid w:val="00AE158D"/>
    <w:rsid w:val="00AE2573"/>
    <w:rsid w:val="00AE30EE"/>
    <w:rsid w:val="00AE32D2"/>
    <w:rsid w:val="00AE378A"/>
    <w:rsid w:val="00AE4B42"/>
    <w:rsid w:val="00AE5BDA"/>
    <w:rsid w:val="00AE5E43"/>
    <w:rsid w:val="00AE766D"/>
    <w:rsid w:val="00AE7787"/>
    <w:rsid w:val="00AF4BF6"/>
    <w:rsid w:val="00AF5BAB"/>
    <w:rsid w:val="00B03B5E"/>
    <w:rsid w:val="00B058AC"/>
    <w:rsid w:val="00B1183B"/>
    <w:rsid w:val="00B1193E"/>
    <w:rsid w:val="00B1338E"/>
    <w:rsid w:val="00B1381C"/>
    <w:rsid w:val="00B15213"/>
    <w:rsid w:val="00B16560"/>
    <w:rsid w:val="00B17A60"/>
    <w:rsid w:val="00B17BCF"/>
    <w:rsid w:val="00B20423"/>
    <w:rsid w:val="00B20E92"/>
    <w:rsid w:val="00B27C07"/>
    <w:rsid w:val="00B319FB"/>
    <w:rsid w:val="00B3267C"/>
    <w:rsid w:val="00B349AC"/>
    <w:rsid w:val="00B3700C"/>
    <w:rsid w:val="00B406F1"/>
    <w:rsid w:val="00B434E5"/>
    <w:rsid w:val="00B45B68"/>
    <w:rsid w:val="00B45F78"/>
    <w:rsid w:val="00B46C7C"/>
    <w:rsid w:val="00B50C3E"/>
    <w:rsid w:val="00B5141C"/>
    <w:rsid w:val="00B528F3"/>
    <w:rsid w:val="00B52DD1"/>
    <w:rsid w:val="00B538FD"/>
    <w:rsid w:val="00B54408"/>
    <w:rsid w:val="00B54CF2"/>
    <w:rsid w:val="00B55D7D"/>
    <w:rsid w:val="00B57494"/>
    <w:rsid w:val="00B60A8E"/>
    <w:rsid w:val="00B61166"/>
    <w:rsid w:val="00B6170D"/>
    <w:rsid w:val="00B622E3"/>
    <w:rsid w:val="00B628CD"/>
    <w:rsid w:val="00B6440B"/>
    <w:rsid w:val="00B67701"/>
    <w:rsid w:val="00B70138"/>
    <w:rsid w:val="00B726CC"/>
    <w:rsid w:val="00B73FEE"/>
    <w:rsid w:val="00B75BA5"/>
    <w:rsid w:val="00B77439"/>
    <w:rsid w:val="00B776D6"/>
    <w:rsid w:val="00B77781"/>
    <w:rsid w:val="00B8268F"/>
    <w:rsid w:val="00B827E4"/>
    <w:rsid w:val="00B82FDD"/>
    <w:rsid w:val="00B83C85"/>
    <w:rsid w:val="00B870EE"/>
    <w:rsid w:val="00B9041E"/>
    <w:rsid w:val="00B906A8"/>
    <w:rsid w:val="00B90C6E"/>
    <w:rsid w:val="00B94A8D"/>
    <w:rsid w:val="00B95862"/>
    <w:rsid w:val="00B96117"/>
    <w:rsid w:val="00B9657F"/>
    <w:rsid w:val="00B97B44"/>
    <w:rsid w:val="00BA7B06"/>
    <w:rsid w:val="00BB12E4"/>
    <w:rsid w:val="00BB24C3"/>
    <w:rsid w:val="00BB359F"/>
    <w:rsid w:val="00BB3EAE"/>
    <w:rsid w:val="00BB745F"/>
    <w:rsid w:val="00BC2C3C"/>
    <w:rsid w:val="00BC3395"/>
    <w:rsid w:val="00BC4332"/>
    <w:rsid w:val="00BC6A15"/>
    <w:rsid w:val="00BC6DD7"/>
    <w:rsid w:val="00BD0923"/>
    <w:rsid w:val="00BD275F"/>
    <w:rsid w:val="00BD2F18"/>
    <w:rsid w:val="00BD3E7E"/>
    <w:rsid w:val="00BE1C4C"/>
    <w:rsid w:val="00BE4F32"/>
    <w:rsid w:val="00BE582A"/>
    <w:rsid w:val="00BE70AF"/>
    <w:rsid w:val="00BF070E"/>
    <w:rsid w:val="00BF197C"/>
    <w:rsid w:val="00BF36F2"/>
    <w:rsid w:val="00BF4E9B"/>
    <w:rsid w:val="00BF59A9"/>
    <w:rsid w:val="00BF7776"/>
    <w:rsid w:val="00BF7F93"/>
    <w:rsid w:val="00C01D63"/>
    <w:rsid w:val="00C022E3"/>
    <w:rsid w:val="00C02EAC"/>
    <w:rsid w:val="00C05806"/>
    <w:rsid w:val="00C060DA"/>
    <w:rsid w:val="00C063C6"/>
    <w:rsid w:val="00C10561"/>
    <w:rsid w:val="00C108E6"/>
    <w:rsid w:val="00C16563"/>
    <w:rsid w:val="00C20762"/>
    <w:rsid w:val="00C21514"/>
    <w:rsid w:val="00C217A9"/>
    <w:rsid w:val="00C222E7"/>
    <w:rsid w:val="00C2255D"/>
    <w:rsid w:val="00C233BD"/>
    <w:rsid w:val="00C23CA1"/>
    <w:rsid w:val="00C25CC8"/>
    <w:rsid w:val="00C25ED0"/>
    <w:rsid w:val="00C26C65"/>
    <w:rsid w:val="00C26F8F"/>
    <w:rsid w:val="00C32F8E"/>
    <w:rsid w:val="00C33231"/>
    <w:rsid w:val="00C34233"/>
    <w:rsid w:val="00C3625E"/>
    <w:rsid w:val="00C44004"/>
    <w:rsid w:val="00C46A4A"/>
    <w:rsid w:val="00C46C02"/>
    <w:rsid w:val="00C47C6C"/>
    <w:rsid w:val="00C51EE6"/>
    <w:rsid w:val="00C54C71"/>
    <w:rsid w:val="00C54C96"/>
    <w:rsid w:val="00C60BED"/>
    <w:rsid w:val="00C60D1D"/>
    <w:rsid w:val="00C62F4C"/>
    <w:rsid w:val="00C66A2A"/>
    <w:rsid w:val="00C67C1F"/>
    <w:rsid w:val="00C73D7E"/>
    <w:rsid w:val="00C7523E"/>
    <w:rsid w:val="00C75FE7"/>
    <w:rsid w:val="00C806CA"/>
    <w:rsid w:val="00C80E2B"/>
    <w:rsid w:val="00C827DF"/>
    <w:rsid w:val="00C86198"/>
    <w:rsid w:val="00C87E36"/>
    <w:rsid w:val="00C91385"/>
    <w:rsid w:val="00C91562"/>
    <w:rsid w:val="00C91FA0"/>
    <w:rsid w:val="00C93964"/>
    <w:rsid w:val="00C942FB"/>
    <w:rsid w:val="00C94305"/>
    <w:rsid w:val="00C94598"/>
    <w:rsid w:val="00C94BB4"/>
    <w:rsid w:val="00C94ED9"/>
    <w:rsid w:val="00C96F58"/>
    <w:rsid w:val="00C97E1E"/>
    <w:rsid w:val="00CA00EF"/>
    <w:rsid w:val="00CA2C7F"/>
    <w:rsid w:val="00CA5D25"/>
    <w:rsid w:val="00CB621F"/>
    <w:rsid w:val="00CB68C9"/>
    <w:rsid w:val="00CB7235"/>
    <w:rsid w:val="00CC12B5"/>
    <w:rsid w:val="00CC18DF"/>
    <w:rsid w:val="00CC3EA7"/>
    <w:rsid w:val="00CC4202"/>
    <w:rsid w:val="00CC7FDE"/>
    <w:rsid w:val="00CD0DD6"/>
    <w:rsid w:val="00CD12D4"/>
    <w:rsid w:val="00CD1DEA"/>
    <w:rsid w:val="00CD56FC"/>
    <w:rsid w:val="00CE23D2"/>
    <w:rsid w:val="00CE57C3"/>
    <w:rsid w:val="00CE5EAE"/>
    <w:rsid w:val="00CE7238"/>
    <w:rsid w:val="00CF05A9"/>
    <w:rsid w:val="00CF1BD3"/>
    <w:rsid w:val="00CF27E3"/>
    <w:rsid w:val="00CF3DEB"/>
    <w:rsid w:val="00CF63D2"/>
    <w:rsid w:val="00D030E2"/>
    <w:rsid w:val="00D04493"/>
    <w:rsid w:val="00D05D12"/>
    <w:rsid w:val="00D062F0"/>
    <w:rsid w:val="00D11343"/>
    <w:rsid w:val="00D113F3"/>
    <w:rsid w:val="00D139CA"/>
    <w:rsid w:val="00D152A5"/>
    <w:rsid w:val="00D1537F"/>
    <w:rsid w:val="00D20821"/>
    <w:rsid w:val="00D2230A"/>
    <w:rsid w:val="00D24646"/>
    <w:rsid w:val="00D24C84"/>
    <w:rsid w:val="00D25295"/>
    <w:rsid w:val="00D268BD"/>
    <w:rsid w:val="00D26C00"/>
    <w:rsid w:val="00D32EC1"/>
    <w:rsid w:val="00D35B99"/>
    <w:rsid w:val="00D3731D"/>
    <w:rsid w:val="00D41D8D"/>
    <w:rsid w:val="00D46052"/>
    <w:rsid w:val="00D461C3"/>
    <w:rsid w:val="00D50A2E"/>
    <w:rsid w:val="00D51E44"/>
    <w:rsid w:val="00D5200C"/>
    <w:rsid w:val="00D53044"/>
    <w:rsid w:val="00D54C22"/>
    <w:rsid w:val="00D5515C"/>
    <w:rsid w:val="00D553A2"/>
    <w:rsid w:val="00D5576F"/>
    <w:rsid w:val="00D565E5"/>
    <w:rsid w:val="00D6195C"/>
    <w:rsid w:val="00D6400D"/>
    <w:rsid w:val="00D642AC"/>
    <w:rsid w:val="00D70D66"/>
    <w:rsid w:val="00D71336"/>
    <w:rsid w:val="00D71837"/>
    <w:rsid w:val="00D72A92"/>
    <w:rsid w:val="00D73958"/>
    <w:rsid w:val="00D73F59"/>
    <w:rsid w:val="00D77B14"/>
    <w:rsid w:val="00D84C8E"/>
    <w:rsid w:val="00D85DBB"/>
    <w:rsid w:val="00D87976"/>
    <w:rsid w:val="00D87E7A"/>
    <w:rsid w:val="00D87EF4"/>
    <w:rsid w:val="00D902CA"/>
    <w:rsid w:val="00D90DBD"/>
    <w:rsid w:val="00D9179C"/>
    <w:rsid w:val="00D9283C"/>
    <w:rsid w:val="00D9357C"/>
    <w:rsid w:val="00D93990"/>
    <w:rsid w:val="00D96386"/>
    <w:rsid w:val="00DA248A"/>
    <w:rsid w:val="00DA2CF6"/>
    <w:rsid w:val="00DA5247"/>
    <w:rsid w:val="00DA5BCF"/>
    <w:rsid w:val="00DB4F07"/>
    <w:rsid w:val="00DB5E86"/>
    <w:rsid w:val="00DC08C0"/>
    <w:rsid w:val="00DC0B57"/>
    <w:rsid w:val="00DC12B8"/>
    <w:rsid w:val="00DC213B"/>
    <w:rsid w:val="00DC69FA"/>
    <w:rsid w:val="00DC6B3A"/>
    <w:rsid w:val="00DC7716"/>
    <w:rsid w:val="00DC7C95"/>
    <w:rsid w:val="00DD4408"/>
    <w:rsid w:val="00DD53FC"/>
    <w:rsid w:val="00DD6A14"/>
    <w:rsid w:val="00DE2D01"/>
    <w:rsid w:val="00DE476A"/>
    <w:rsid w:val="00DE49B4"/>
    <w:rsid w:val="00DE5F46"/>
    <w:rsid w:val="00DE629C"/>
    <w:rsid w:val="00DE7057"/>
    <w:rsid w:val="00DF1275"/>
    <w:rsid w:val="00DF48CE"/>
    <w:rsid w:val="00DF5265"/>
    <w:rsid w:val="00DF7593"/>
    <w:rsid w:val="00DF7D52"/>
    <w:rsid w:val="00E07A41"/>
    <w:rsid w:val="00E11D8F"/>
    <w:rsid w:val="00E13A64"/>
    <w:rsid w:val="00E14245"/>
    <w:rsid w:val="00E14476"/>
    <w:rsid w:val="00E15A62"/>
    <w:rsid w:val="00E20412"/>
    <w:rsid w:val="00E22566"/>
    <w:rsid w:val="00E232A1"/>
    <w:rsid w:val="00E2363B"/>
    <w:rsid w:val="00E26634"/>
    <w:rsid w:val="00E279BD"/>
    <w:rsid w:val="00E30509"/>
    <w:rsid w:val="00E30F23"/>
    <w:rsid w:val="00E336FC"/>
    <w:rsid w:val="00E33F89"/>
    <w:rsid w:val="00E3558A"/>
    <w:rsid w:val="00E35AB0"/>
    <w:rsid w:val="00E41A65"/>
    <w:rsid w:val="00E43724"/>
    <w:rsid w:val="00E43B7B"/>
    <w:rsid w:val="00E44226"/>
    <w:rsid w:val="00E4704C"/>
    <w:rsid w:val="00E47E64"/>
    <w:rsid w:val="00E5057C"/>
    <w:rsid w:val="00E534C7"/>
    <w:rsid w:val="00E55DD0"/>
    <w:rsid w:val="00E578DB"/>
    <w:rsid w:val="00E60438"/>
    <w:rsid w:val="00E62C5F"/>
    <w:rsid w:val="00E65632"/>
    <w:rsid w:val="00E65AE0"/>
    <w:rsid w:val="00E70996"/>
    <w:rsid w:val="00E72E11"/>
    <w:rsid w:val="00E74499"/>
    <w:rsid w:val="00E74DCF"/>
    <w:rsid w:val="00E769E7"/>
    <w:rsid w:val="00E76B35"/>
    <w:rsid w:val="00E76CE8"/>
    <w:rsid w:val="00E80C9D"/>
    <w:rsid w:val="00E80F50"/>
    <w:rsid w:val="00E8544D"/>
    <w:rsid w:val="00E85D4D"/>
    <w:rsid w:val="00E878CF"/>
    <w:rsid w:val="00E87FD8"/>
    <w:rsid w:val="00E91083"/>
    <w:rsid w:val="00E91A64"/>
    <w:rsid w:val="00E9288F"/>
    <w:rsid w:val="00EA43B7"/>
    <w:rsid w:val="00EA4DDA"/>
    <w:rsid w:val="00EA5531"/>
    <w:rsid w:val="00EA7C7F"/>
    <w:rsid w:val="00EA7CF9"/>
    <w:rsid w:val="00EB146E"/>
    <w:rsid w:val="00EC435E"/>
    <w:rsid w:val="00EC4D54"/>
    <w:rsid w:val="00EC524D"/>
    <w:rsid w:val="00EC5277"/>
    <w:rsid w:val="00EC5446"/>
    <w:rsid w:val="00EC6F2E"/>
    <w:rsid w:val="00ED140C"/>
    <w:rsid w:val="00ED553C"/>
    <w:rsid w:val="00ED602F"/>
    <w:rsid w:val="00ED6E43"/>
    <w:rsid w:val="00ED73D1"/>
    <w:rsid w:val="00ED79EC"/>
    <w:rsid w:val="00EE4FE3"/>
    <w:rsid w:val="00EE7AB1"/>
    <w:rsid w:val="00EF27D9"/>
    <w:rsid w:val="00EF52A8"/>
    <w:rsid w:val="00EF5E58"/>
    <w:rsid w:val="00EF6330"/>
    <w:rsid w:val="00EF6E84"/>
    <w:rsid w:val="00EF74A8"/>
    <w:rsid w:val="00EF7A80"/>
    <w:rsid w:val="00F05865"/>
    <w:rsid w:val="00F067DF"/>
    <w:rsid w:val="00F06DD0"/>
    <w:rsid w:val="00F12219"/>
    <w:rsid w:val="00F1496D"/>
    <w:rsid w:val="00F14C8F"/>
    <w:rsid w:val="00F150B0"/>
    <w:rsid w:val="00F15F0D"/>
    <w:rsid w:val="00F1616D"/>
    <w:rsid w:val="00F22C43"/>
    <w:rsid w:val="00F25B33"/>
    <w:rsid w:val="00F26174"/>
    <w:rsid w:val="00F26A83"/>
    <w:rsid w:val="00F26A8F"/>
    <w:rsid w:val="00F3730E"/>
    <w:rsid w:val="00F37F70"/>
    <w:rsid w:val="00F404E4"/>
    <w:rsid w:val="00F4055A"/>
    <w:rsid w:val="00F42599"/>
    <w:rsid w:val="00F4437D"/>
    <w:rsid w:val="00F44AB4"/>
    <w:rsid w:val="00F45726"/>
    <w:rsid w:val="00F46DB4"/>
    <w:rsid w:val="00F515B8"/>
    <w:rsid w:val="00F51B47"/>
    <w:rsid w:val="00F52431"/>
    <w:rsid w:val="00F54C50"/>
    <w:rsid w:val="00F55BD1"/>
    <w:rsid w:val="00F5703E"/>
    <w:rsid w:val="00F608BB"/>
    <w:rsid w:val="00F608F4"/>
    <w:rsid w:val="00F6177F"/>
    <w:rsid w:val="00F620A0"/>
    <w:rsid w:val="00F645D6"/>
    <w:rsid w:val="00F64726"/>
    <w:rsid w:val="00F65C9B"/>
    <w:rsid w:val="00F66B43"/>
    <w:rsid w:val="00F66D8F"/>
    <w:rsid w:val="00F70224"/>
    <w:rsid w:val="00F703C2"/>
    <w:rsid w:val="00F70801"/>
    <w:rsid w:val="00F71537"/>
    <w:rsid w:val="00F72F01"/>
    <w:rsid w:val="00F74829"/>
    <w:rsid w:val="00F76667"/>
    <w:rsid w:val="00F77D28"/>
    <w:rsid w:val="00F8082B"/>
    <w:rsid w:val="00F811FD"/>
    <w:rsid w:val="00F81C92"/>
    <w:rsid w:val="00F82AEC"/>
    <w:rsid w:val="00F851B8"/>
    <w:rsid w:val="00F86136"/>
    <w:rsid w:val="00F8684A"/>
    <w:rsid w:val="00F877CE"/>
    <w:rsid w:val="00F91243"/>
    <w:rsid w:val="00F921E1"/>
    <w:rsid w:val="00F92B20"/>
    <w:rsid w:val="00F93D1D"/>
    <w:rsid w:val="00F9545E"/>
    <w:rsid w:val="00F95C1C"/>
    <w:rsid w:val="00F97855"/>
    <w:rsid w:val="00FA2B2A"/>
    <w:rsid w:val="00FA6493"/>
    <w:rsid w:val="00FB4636"/>
    <w:rsid w:val="00FB49F3"/>
    <w:rsid w:val="00FB5110"/>
    <w:rsid w:val="00FB6CD3"/>
    <w:rsid w:val="00FC053C"/>
    <w:rsid w:val="00FC4BE5"/>
    <w:rsid w:val="00FC7601"/>
    <w:rsid w:val="00FD06F1"/>
    <w:rsid w:val="00FD15C8"/>
    <w:rsid w:val="00FD2CEA"/>
    <w:rsid w:val="00FD7211"/>
    <w:rsid w:val="00FD748E"/>
    <w:rsid w:val="00FE4111"/>
    <w:rsid w:val="00FE5794"/>
    <w:rsid w:val="00FE7367"/>
    <w:rsid w:val="00FF2D14"/>
    <w:rsid w:val="00FF64E4"/>
    <w:rsid w:val="00FF68ED"/>
    <w:rsid w:val="00FF73DB"/>
    <w:rsid w:val="00FF7FAA"/>
    <w:rsid w:val="5EA8E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5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66"/>
    <w:pPr>
      <w:tabs>
        <w:tab w:val="left" w:pos="432"/>
      </w:tabs>
      <w:spacing w:line="480" w:lineRule="auto"/>
      <w:ind w:firstLine="432"/>
      <w:jc w:val="both"/>
    </w:pPr>
    <w:rPr>
      <w:rFonts w:ascii="Garamond" w:eastAsia="Times New Roman" w:hAnsi="Garamond"/>
      <w:sz w:val="24"/>
      <w:szCs w:val="24"/>
    </w:rPr>
  </w:style>
  <w:style w:type="paragraph" w:styleId="Heading1">
    <w:name w:val="heading 1"/>
    <w:basedOn w:val="Normal"/>
    <w:next w:val="Normal"/>
    <w:link w:val="Heading1Char"/>
    <w:uiPriority w:val="9"/>
    <w:qFormat/>
    <w:rsid w:val="00D51E44"/>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0E7094"/>
    <w:pPr>
      <w:keepNext/>
      <w:spacing w:after="240" w:line="240" w:lineRule="auto"/>
      <w:ind w:left="432" w:hanging="432"/>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7579E8"/>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Bullet">
    <w:name w:val="Numbered Bullet"/>
    <w:basedOn w:val="Normal"/>
    <w:rsid w:val="00F620A0"/>
    <w:pPr>
      <w:numPr>
        <w:numId w:val="1"/>
      </w:numPr>
      <w:tabs>
        <w:tab w:val="clear" w:pos="432"/>
        <w:tab w:val="clear" w:pos="810"/>
        <w:tab w:val="left" w:pos="360"/>
      </w:tabs>
      <w:spacing w:after="120" w:line="240" w:lineRule="auto"/>
      <w:ind w:right="360"/>
    </w:p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rsid w:val="006A35E1"/>
    <w:pPr>
      <w:tabs>
        <w:tab w:val="clear" w:pos="432"/>
      </w:tabs>
      <w:spacing w:line="240" w:lineRule="auto"/>
      <w:ind w:firstLine="0"/>
      <w:jc w:val="left"/>
    </w:pPr>
    <w:rPr>
      <w:rFonts w:ascii="Times New Roman" w:eastAsia="Calibri" w:hAnsi="Times New Roman"/>
      <w:sz w:val="20"/>
      <w:szCs w:val="20"/>
      <w:lang w:val="x-none" w:eastAsia="x-none"/>
    </w:rPr>
  </w:style>
  <w:style w:type="character" w:customStyle="1" w:styleId="FootnoteTextChar">
    <w:name w:val="Footnote Text Char"/>
    <w:uiPriority w:val="99"/>
    <w:rsid w:val="006A35E1"/>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6A35E1"/>
    <w:rPr>
      <w:rFonts w:ascii="Times New Roman" w:eastAsia="Calibri" w:hAnsi="Times New Roman" w:cs="Times New Roman"/>
      <w:sz w:val="20"/>
      <w:szCs w:val="20"/>
    </w:rPr>
  </w:style>
  <w:style w:type="character" w:styleId="FootnoteReference">
    <w:name w:val="footnote reference"/>
    <w:aliases w:val="*Footnote Reference"/>
    <w:uiPriority w:val="99"/>
    <w:rsid w:val="006A35E1"/>
    <w:rPr>
      <w:vertAlign w:val="superscript"/>
    </w:rPr>
  </w:style>
  <w:style w:type="character" w:styleId="Hyperlink">
    <w:name w:val="Hyperlink"/>
    <w:uiPriority w:val="99"/>
    <w:unhideWhenUsed/>
    <w:rsid w:val="006A35E1"/>
    <w:rPr>
      <w:color w:val="0000FF"/>
      <w:u w:val="single"/>
    </w:rPr>
  </w:style>
  <w:style w:type="paragraph" w:styleId="ListParagraph">
    <w:name w:val="List Paragraph"/>
    <w:basedOn w:val="Normal"/>
    <w:uiPriority w:val="34"/>
    <w:qFormat/>
    <w:rsid w:val="00A82AAC"/>
    <w:pPr>
      <w:tabs>
        <w:tab w:val="clear" w:pos="432"/>
      </w:tabs>
      <w:spacing w:line="240" w:lineRule="auto"/>
      <w:ind w:left="720" w:firstLine="0"/>
      <w:contextualSpacing/>
      <w:jc w:val="left"/>
    </w:pPr>
    <w:rPr>
      <w:rFonts w:ascii="Times New Roman" w:eastAsia="Calibri" w:hAnsi="Times New Roman"/>
    </w:rPr>
  </w:style>
  <w:style w:type="paragraph" w:styleId="NoSpacing">
    <w:name w:val="No Spacing"/>
    <w:uiPriority w:val="1"/>
    <w:qFormat/>
    <w:rsid w:val="00DC7C95"/>
    <w:rPr>
      <w:rFonts w:cs="Calibri"/>
      <w:sz w:val="22"/>
      <w:szCs w:val="22"/>
    </w:rPr>
  </w:style>
  <w:style w:type="paragraph" w:customStyle="1" w:styleId="Default">
    <w:name w:val="Default"/>
    <w:rsid w:val="00DC7C95"/>
    <w:pPr>
      <w:autoSpaceDE w:val="0"/>
      <w:autoSpaceDN w:val="0"/>
      <w:adjustRightInd w:val="0"/>
    </w:pPr>
    <w:rPr>
      <w:rFonts w:cs="Calibri"/>
      <w:color w:val="000000"/>
      <w:sz w:val="24"/>
      <w:szCs w:val="24"/>
    </w:rPr>
  </w:style>
  <w:style w:type="character" w:customStyle="1" w:styleId="A3">
    <w:name w:val="A3"/>
    <w:uiPriority w:val="99"/>
    <w:rsid w:val="00DC7C95"/>
    <w:rPr>
      <w:rFonts w:cs="TimesNewRomanPS"/>
      <w:color w:val="000000"/>
      <w:sz w:val="22"/>
      <w:szCs w:val="22"/>
    </w:rPr>
  </w:style>
  <w:style w:type="paragraph" w:customStyle="1" w:styleId="ParagraphLAST">
    <w:name w:val="Paragraph (LAST)"/>
    <w:basedOn w:val="Normal"/>
    <w:next w:val="Normal"/>
    <w:uiPriority w:val="99"/>
    <w:qFormat/>
    <w:rsid w:val="00DC7C95"/>
    <w:pPr>
      <w:spacing w:after="240"/>
    </w:pPr>
  </w:style>
  <w:style w:type="character" w:customStyle="1" w:styleId="Heading3Char">
    <w:name w:val="Heading 3 Char"/>
    <w:link w:val="Heading3"/>
    <w:uiPriority w:val="9"/>
    <w:rsid w:val="000E7094"/>
    <w:rPr>
      <w:rFonts w:ascii="Cambria" w:eastAsia="Times New Roman" w:hAnsi="Cambria" w:cs="Times New Roman"/>
      <w:b/>
      <w:bCs/>
      <w:sz w:val="26"/>
      <w:szCs w:val="26"/>
    </w:rPr>
  </w:style>
  <w:style w:type="character" w:styleId="CommentReference">
    <w:name w:val="annotation reference"/>
    <w:uiPriority w:val="99"/>
    <w:rsid w:val="000E7094"/>
    <w:rPr>
      <w:rFonts w:cs="Times New Roman"/>
      <w:sz w:val="16"/>
      <w:szCs w:val="16"/>
    </w:rPr>
  </w:style>
  <w:style w:type="paragraph" w:styleId="CommentText">
    <w:name w:val="annotation text"/>
    <w:basedOn w:val="Normal"/>
    <w:link w:val="CommentTextChar"/>
    <w:uiPriority w:val="99"/>
    <w:rsid w:val="000E7094"/>
    <w:pPr>
      <w:spacing w:line="240" w:lineRule="auto"/>
    </w:pPr>
    <w:rPr>
      <w:sz w:val="20"/>
      <w:szCs w:val="20"/>
      <w:lang w:val="x-none" w:eastAsia="x-none"/>
    </w:rPr>
  </w:style>
  <w:style w:type="character" w:customStyle="1" w:styleId="CommentTextChar">
    <w:name w:val="Comment Text Char"/>
    <w:link w:val="CommentText"/>
    <w:uiPriority w:val="99"/>
    <w:rsid w:val="000E7094"/>
    <w:rPr>
      <w:rFonts w:ascii="Garamond" w:eastAsia="Times New Roman" w:hAnsi="Garamond" w:cs="Times New Roman"/>
      <w:sz w:val="20"/>
      <w:szCs w:val="20"/>
    </w:rPr>
  </w:style>
  <w:style w:type="paragraph" w:styleId="BodyText">
    <w:name w:val="Body Text"/>
    <w:basedOn w:val="Normal"/>
    <w:link w:val="BodyTextChar"/>
    <w:rsid w:val="000E7094"/>
    <w:pPr>
      <w:tabs>
        <w:tab w:val="clear" w:pos="432"/>
      </w:tabs>
      <w:spacing w:line="240" w:lineRule="auto"/>
      <w:ind w:firstLine="0"/>
      <w:jc w:val="left"/>
    </w:pPr>
    <w:rPr>
      <w:rFonts w:ascii="Arial" w:hAnsi="Arial"/>
      <w:sz w:val="28"/>
      <w:szCs w:val="28"/>
      <w:lang w:val="x-none" w:eastAsia="x-none"/>
    </w:rPr>
  </w:style>
  <w:style w:type="character" w:customStyle="1" w:styleId="BodyTextChar">
    <w:name w:val="Body Text Char"/>
    <w:link w:val="BodyText"/>
    <w:rsid w:val="000E7094"/>
    <w:rPr>
      <w:rFonts w:ascii="Arial" w:eastAsia="Times New Roman" w:hAnsi="Arial" w:cs="Times New Roman"/>
      <w:sz w:val="28"/>
      <w:szCs w:val="28"/>
    </w:rPr>
  </w:style>
  <w:style w:type="character" w:customStyle="1" w:styleId="Heading4Char">
    <w:name w:val="Heading 4 Char"/>
    <w:link w:val="Heading4"/>
    <w:uiPriority w:val="9"/>
    <w:semiHidden/>
    <w:rsid w:val="007579E8"/>
    <w:rPr>
      <w:rFonts w:ascii="Cambria" w:eastAsia="Times New Roman" w:hAnsi="Cambria" w:cs="Times New Roman"/>
      <w:b/>
      <w:bCs/>
      <w:i/>
      <w:iCs/>
      <w:color w:val="4F81BD"/>
      <w:sz w:val="24"/>
      <w:szCs w:val="24"/>
    </w:rPr>
  </w:style>
  <w:style w:type="paragraph" w:customStyle="1" w:styleId="BulletRed">
    <w:name w:val="Bullet_Red"/>
    <w:basedOn w:val="Normal"/>
    <w:uiPriority w:val="99"/>
    <w:rsid w:val="00B17A60"/>
    <w:pPr>
      <w:numPr>
        <w:numId w:val="13"/>
      </w:numPr>
      <w:tabs>
        <w:tab w:val="clear" w:pos="432"/>
        <w:tab w:val="left" w:pos="360"/>
      </w:tabs>
      <w:spacing w:after="120" w:line="240" w:lineRule="auto"/>
      <w:ind w:right="360" w:hanging="288"/>
    </w:pPr>
  </w:style>
  <w:style w:type="paragraph" w:styleId="BalloonText">
    <w:name w:val="Balloon Text"/>
    <w:basedOn w:val="Normal"/>
    <w:link w:val="BalloonTextChar"/>
    <w:uiPriority w:val="99"/>
    <w:semiHidden/>
    <w:unhideWhenUsed/>
    <w:rsid w:val="00670739"/>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0739"/>
    <w:rPr>
      <w:rFonts w:ascii="Tahoma" w:eastAsia="Times New Roman" w:hAnsi="Tahoma" w:cs="Tahoma"/>
      <w:sz w:val="16"/>
      <w:szCs w:val="16"/>
    </w:rPr>
  </w:style>
  <w:style w:type="paragraph" w:styleId="Header">
    <w:name w:val="header"/>
    <w:basedOn w:val="Normal"/>
    <w:link w:val="HeaderChar"/>
    <w:uiPriority w:val="99"/>
    <w:unhideWhenUsed/>
    <w:rsid w:val="00542556"/>
    <w:pPr>
      <w:tabs>
        <w:tab w:val="clear" w:pos="432"/>
        <w:tab w:val="center" w:pos="4680"/>
        <w:tab w:val="right" w:pos="9360"/>
      </w:tabs>
      <w:spacing w:line="240" w:lineRule="auto"/>
    </w:pPr>
    <w:rPr>
      <w:lang w:val="x-none" w:eastAsia="x-none"/>
    </w:rPr>
  </w:style>
  <w:style w:type="character" w:customStyle="1" w:styleId="HeaderChar">
    <w:name w:val="Header Char"/>
    <w:link w:val="Header"/>
    <w:uiPriority w:val="99"/>
    <w:rsid w:val="00542556"/>
    <w:rPr>
      <w:rFonts w:ascii="Garamond" w:eastAsia="Times New Roman" w:hAnsi="Garamond" w:cs="Times New Roman"/>
      <w:sz w:val="24"/>
      <w:szCs w:val="24"/>
    </w:rPr>
  </w:style>
  <w:style w:type="paragraph" w:styleId="Footer">
    <w:name w:val="footer"/>
    <w:basedOn w:val="Normal"/>
    <w:link w:val="FooterChar"/>
    <w:uiPriority w:val="99"/>
    <w:unhideWhenUsed/>
    <w:rsid w:val="00542556"/>
    <w:pPr>
      <w:tabs>
        <w:tab w:val="clear" w:pos="432"/>
        <w:tab w:val="center" w:pos="4680"/>
        <w:tab w:val="right" w:pos="9360"/>
      </w:tabs>
      <w:spacing w:line="240" w:lineRule="auto"/>
    </w:pPr>
    <w:rPr>
      <w:lang w:val="x-none" w:eastAsia="x-none"/>
    </w:rPr>
  </w:style>
  <w:style w:type="character" w:customStyle="1" w:styleId="FooterChar">
    <w:name w:val="Footer Char"/>
    <w:link w:val="Footer"/>
    <w:uiPriority w:val="99"/>
    <w:rsid w:val="00542556"/>
    <w:rPr>
      <w:rFonts w:ascii="Garamond" w:eastAsia="Times New Roman" w:hAnsi="Garamond" w:cs="Times New Roman"/>
      <w:sz w:val="24"/>
      <w:szCs w:val="24"/>
    </w:rPr>
  </w:style>
  <w:style w:type="paragraph" w:styleId="BodyText3">
    <w:name w:val="Body Text 3"/>
    <w:basedOn w:val="Normal"/>
    <w:link w:val="BodyText3Char"/>
    <w:uiPriority w:val="99"/>
    <w:unhideWhenUsed/>
    <w:rsid w:val="00981631"/>
    <w:pPr>
      <w:spacing w:after="120"/>
    </w:pPr>
    <w:rPr>
      <w:sz w:val="16"/>
      <w:szCs w:val="16"/>
      <w:lang w:val="x-none" w:eastAsia="x-none"/>
    </w:rPr>
  </w:style>
  <w:style w:type="character" w:customStyle="1" w:styleId="BodyText3Char">
    <w:name w:val="Body Text 3 Char"/>
    <w:link w:val="BodyText3"/>
    <w:uiPriority w:val="99"/>
    <w:rsid w:val="00981631"/>
    <w:rPr>
      <w:rFonts w:ascii="Garamond" w:eastAsia="Times New Roman" w:hAnsi="Garamond" w:cs="Times New Roman"/>
      <w:sz w:val="16"/>
      <w:szCs w:val="16"/>
    </w:rPr>
  </w:style>
  <w:style w:type="paragraph" w:styleId="CommentSubject">
    <w:name w:val="annotation subject"/>
    <w:basedOn w:val="CommentText"/>
    <w:next w:val="CommentText"/>
    <w:link w:val="CommentSubjectChar"/>
    <w:uiPriority w:val="99"/>
    <w:semiHidden/>
    <w:unhideWhenUsed/>
    <w:rsid w:val="0074233B"/>
    <w:rPr>
      <w:b/>
      <w:bCs/>
    </w:rPr>
  </w:style>
  <w:style w:type="character" w:customStyle="1" w:styleId="CommentSubjectChar">
    <w:name w:val="Comment Subject Char"/>
    <w:link w:val="CommentSubject"/>
    <w:uiPriority w:val="99"/>
    <w:semiHidden/>
    <w:rsid w:val="0074233B"/>
    <w:rPr>
      <w:rFonts w:ascii="Garamond" w:eastAsia="Times New Roman" w:hAnsi="Garamond" w:cs="Times New Roman"/>
      <w:b/>
      <w:bCs/>
      <w:sz w:val="20"/>
      <w:szCs w:val="20"/>
    </w:rPr>
  </w:style>
  <w:style w:type="paragraph" w:styleId="PlainText">
    <w:name w:val="Plain Text"/>
    <w:basedOn w:val="Normal"/>
    <w:link w:val="PlainTextChar"/>
    <w:uiPriority w:val="99"/>
    <w:semiHidden/>
    <w:unhideWhenUsed/>
    <w:rsid w:val="0095241F"/>
    <w:pPr>
      <w:tabs>
        <w:tab w:val="clear" w:pos="432"/>
      </w:tabs>
      <w:spacing w:line="240" w:lineRule="auto"/>
      <w:ind w:firstLine="0"/>
      <w:jc w:val="left"/>
    </w:pPr>
    <w:rPr>
      <w:rFonts w:ascii="Calibri" w:eastAsia="Calibri" w:hAnsi="Calibri"/>
      <w:sz w:val="20"/>
      <w:szCs w:val="20"/>
      <w:lang w:val="x-none" w:eastAsia="x-none"/>
    </w:rPr>
  </w:style>
  <w:style w:type="character" w:customStyle="1" w:styleId="PlainTextChar">
    <w:name w:val="Plain Text Char"/>
    <w:link w:val="PlainText"/>
    <w:uiPriority w:val="99"/>
    <w:semiHidden/>
    <w:rsid w:val="0095241F"/>
    <w:rPr>
      <w:rFonts w:ascii="Calibri" w:hAnsi="Calibri" w:cs="Calibri"/>
    </w:rPr>
  </w:style>
  <w:style w:type="character" w:customStyle="1" w:styleId="Heading1Char">
    <w:name w:val="Heading 1 Char"/>
    <w:link w:val="Heading1"/>
    <w:uiPriority w:val="9"/>
    <w:rsid w:val="00D51E44"/>
    <w:rPr>
      <w:rFonts w:ascii="Cambria" w:eastAsia="Times New Roman" w:hAnsi="Cambria" w:cs="Times New Roman"/>
      <w:b/>
      <w:bCs/>
      <w:kern w:val="32"/>
      <w:sz w:val="32"/>
      <w:szCs w:val="32"/>
    </w:rPr>
  </w:style>
  <w:style w:type="paragraph" w:styleId="List">
    <w:name w:val="List"/>
    <w:basedOn w:val="Normal"/>
    <w:semiHidden/>
    <w:unhideWhenUsed/>
    <w:rsid w:val="00D51E44"/>
    <w:pPr>
      <w:tabs>
        <w:tab w:val="clear" w:pos="432"/>
      </w:tabs>
      <w:spacing w:line="240" w:lineRule="auto"/>
      <w:ind w:left="360" w:hanging="360"/>
      <w:jc w:val="left"/>
    </w:pPr>
    <w:rPr>
      <w:rFonts w:ascii="Times New Roman" w:hAnsi="Times New Roman"/>
    </w:rPr>
  </w:style>
  <w:style w:type="paragraph" w:styleId="Revision">
    <w:name w:val="Revision"/>
    <w:hidden/>
    <w:uiPriority w:val="99"/>
    <w:semiHidden/>
    <w:rsid w:val="009D7EA7"/>
    <w:rPr>
      <w:rFonts w:ascii="Garamond" w:eastAsia="Times New Roman" w:hAnsi="Garamond"/>
      <w:sz w:val="24"/>
      <w:szCs w:val="24"/>
    </w:rPr>
  </w:style>
  <w:style w:type="character" w:styleId="FollowedHyperlink">
    <w:name w:val="FollowedHyperlink"/>
    <w:uiPriority w:val="99"/>
    <w:semiHidden/>
    <w:unhideWhenUsed/>
    <w:rsid w:val="003454D1"/>
    <w:rPr>
      <w:color w:val="800080"/>
      <w:u w:val="single"/>
    </w:rPr>
  </w:style>
  <w:style w:type="character" w:styleId="UnresolvedMention">
    <w:name w:val="Unresolved Mention"/>
    <w:basedOn w:val="DefaultParagraphFont"/>
    <w:uiPriority w:val="99"/>
    <w:unhideWhenUsed/>
    <w:rsid w:val="00EF7A80"/>
    <w:rPr>
      <w:color w:val="605E5C"/>
      <w:shd w:val="clear" w:color="auto" w:fill="E1DFDD"/>
    </w:rPr>
  </w:style>
  <w:style w:type="character" w:styleId="Mention">
    <w:name w:val="Mention"/>
    <w:basedOn w:val="DefaultParagraphFont"/>
    <w:uiPriority w:val="99"/>
    <w:unhideWhenUsed/>
    <w:rsid w:val="00EF7A80"/>
    <w:rPr>
      <w:color w:val="2B579A"/>
      <w:shd w:val="clear" w:color="auto" w:fill="E1DFDD"/>
    </w:rPr>
  </w:style>
  <w:style w:type="paragraph" w:customStyle="1" w:styleId="paragraph">
    <w:name w:val="paragraph"/>
    <w:basedOn w:val="Normal"/>
    <w:rsid w:val="00D461C3"/>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normaltextrun">
    <w:name w:val="normaltextrun"/>
    <w:basedOn w:val="DefaultParagraphFont"/>
    <w:rsid w:val="00D461C3"/>
  </w:style>
  <w:style w:type="character" w:customStyle="1" w:styleId="eop">
    <w:name w:val="eop"/>
    <w:basedOn w:val="DefaultParagraphFont"/>
    <w:rsid w:val="00D4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2374">
      <w:bodyDiv w:val="1"/>
      <w:marLeft w:val="0"/>
      <w:marRight w:val="0"/>
      <w:marTop w:val="0"/>
      <w:marBottom w:val="0"/>
      <w:divBdr>
        <w:top w:val="none" w:sz="0" w:space="0" w:color="auto"/>
        <w:left w:val="none" w:sz="0" w:space="0" w:color="auto"/>
        <w:bottom w:val="none" w:sz="0" w:space="0" w:color="auto"/>
        <w:right w:val="none" w:sz="0" w:space="0" w:color="auto"/>
      </w:divBdr>
    </w:div>
    <w:div w:id="778062447">
      <w:bodyDiv w:val="1"/>
      <w:marLeft w:val="0"/>
      <w:marRight w:val="0"/>
      <w:marTop w:val="0"/>
      <w:marBottom w:val="0"/>
      <w:divBdr>
        <w:top w:val="none" w:sz="0" w:space="0" w:color="auto"/>
        <w:left w:val="none" w:sz="0" w:space="0" w:color="auto"/>
        <w:bottom w:val="none" w:sz="0" w:space="0" w:color="auto"/>
        <w:right w:val="none" w:sz="0" w:space="0" w:color="auto"/>
      </w:divBdr>
    </w:div>
    <w:div w:id="1002046959">
      <w:bodyDiv w:val="1"/>
      <w:marLeft w:val="0"/>
      <w:marRight w:val="0"/>
      <w:marTop w:val="0"/>
      <w:marBottom w:val="0"/>
      <w:divBdr>
        <w:top w:val="none" w:sz="0" w:space="0" w:color="auto"/>
        <w:left w:val="none" w:sz="0" w:space="0" w:color="auto"/>
        <w:bottom w:val="none" w:sz="0" w:space="0" w:color="auto"/>
        <w:right w:val="none" w:sz="0" w:space="0" w:color="auto"/>
      </w:divBdr>
    </w:div>
    <w:div w:id="1133132736">
      <w:bodyDiv w:val="1"/>
      <w:marLeft w:val="0"/>
      <w:marRight w:val="0"/>
      <w:marTop w:val="0"/>
      <w:marBottom w:val="0"/>
      <w:divBdr>
        <w:top w:val="none" w:sz="0" w:space="0" w:color="auto"/>
        <w:left w:val="none" w:sz="0" w:space="0" w:color="auto"/>
        <w:bottom w:val="none" w:sz="0" w:space="0" w:color="auto"/>
        <w:right w:val="none" w:sz="0" w:space="0" w:color="auto"/>
      </w:divBdr>
    </w:div>
    <w:div w:id="1148673455">
      <w:bodyDiv w:val="1"/>
      <w:marLeft w:val="0"/>
      <w:marRight w:val="0"/>
      <w:marTop w:val="0"/>
      <w:marBottom w:val="0"/>
      <w:divBdr>
        <w:top w:val="none" w:sz="0" w:space="0" w:color="auto"/>
        <w:left w:val="none" w:sz="0" w:space="0" w:color="auto"/>
        <w:bottom w:val="none" w:sz="0" w:space="0" w:color="auto"/>
        <w:right w:val="none" w:sz="0" w:space="0" w:color="auto"/>
      </w:divBdr>
      <w:divsChild>
        <w:div w:id="1735200460">
          <w:marLeft w:val="0"/>
          <w:marRight w:val="0"/>
          <w:marTop w:val="0"/>
          <w:marBottom w:val="0"/>
          <w:divBdr>
            <w:top w:val="none" w:sz="0" w:space="0" w:color="auto"/>
            <w:left w:val="none" w:sz="0" w:space="0" w:color="auto"/>
            <w:bottom w:val="none" w:sz="0" w:space="0" w:color="auto"/>
            <w:right w:val="none" w:sz="0" w:space="0" w:color="auto"/>
          </w:divBdr>
        </w:div>
      </w:divsChild>
    </w:div>
    <w:div w:id="1212694449">
      <w:bodyDiv w:val="1"/>
      <w:marLeft w:val="0"/>
      <w:marRight w:val="0"/>
      <w:marTop w:val="0"/>
      <w:marBottom w:val="0"/>
      <w:divBdr>
        <w:top w:val="none" w:sz="0" w:space="0" w:color="auto"/>
        <w:left w:val="none" w:sz="0" w:space="0" w:color="auto"/>
        <w:bottom w:val="none" w:sz="0" w:space="0" w:color="auto"/>
        <w:right w:val="none" w:sz="0" w:space="0" w:color="auto"/>
      </w:divBdr>
    </w:div>
    <w:div w:id="1299606968">
      <w:bodyDiv w:val="1"/>
      <w:marLeft w:val="0"/>
      <w:marRight w:val="0"/>
      <w:marTop w:val="0"/>
      <w:marBottom w:val="0"/>
      <w:divBdr>
        <w:top w:val="none" w:sz="0" w:space="0" w:color="auto"/>
        <w:left w:val="none" w:sz="0" w:space="0" w:color="auto"/>
        <w:bottom w:val="none" w:sz="0" w:space="0" w:color="auto"/>
        <w:right w:val="none" w:sz="0" w:space="0" w:color="auto"/>
      </w:divBdr>
    </w:div>
    <w:div w:id="1379237699">
      <w:bodyDiv w:val="1"/>
      <w:marLeft w:val="0"/>
      <w:marRight w:val="0"/>
      <w:marTop w:val="0"/>
      <w:marBottom w:val="0"/>
      <w:divBdr>
        <w:top w:val="none" w:sz="0" w:space="0" w:color="auto"/>
        <w:left w:val="none" w:sz="0" w:space="0" w:color="auto"/>
        <w:bottom w:val="none" w:sz="0" w:space="0" w:color="auto"/>
        <w:right w:val="none" w:sz="0" w:space="0" w:color="auto"/>
      </w:divBdr>
    </w:div>
    <w:div w:id="1469401232">
      <w:bodyDiv w:val="1"/>
      <w:marLeft w:val="0"/>
      <w:marRight w:val="0"/>
      <w:marTop w:val="0"/>
      <w:marBottom w:val="0"/>
      <w:divBdr>
        <w:top w:val="none" w:sz="0" w:space="0" w:color="auto"/>
        <w:left w:val="none" w:sz="0" w:space="0" w:color="auto"/>
        <w:bottom w:val="none" w:sz="0" w:space="0" w:color="auto"/>
        <w:right w:val="none" w:sz="0" w:space="0" w:color="auto"/>
      </w:divBdr>
    </w:div>
    <w:div w:id="1642614040">
      <w:bodyDiv w:val="1"/>
      <w:marLeft w:val="0"/>
      <w:marRight w:val="0"/>
      <w:marTop w:val="0"/>
      <w:marBottom w:val="0"/>
      <w:divBdr>
        <w:top w:val="none" w:sz="0" w:space="0" w:color="auto"/>
        <w:left w:val="none" w:sz="0" w:space="0" w:color="auto"/>
        <w:bottom w:val="none" w:sz="0" w:space="0" w:color="auto"/>
        <w:right w:val="none" w:sz="0" w:space="0" w:color="auto"/>
      </w:divBdr>
    </w:div>
    <w:div w:id="1823888159">
      <w:bodyDiv w:val="1"/>
      <w:marLeft w:val="0"/>
      <w:marRight w:val="0"/>
      <w:marTop w:val="0"/>
      <w:marBottom w:val="0"/>
      <w:divBdr>
        <w:top w:val="none" w:sz="0" w:space="0" w:color="auto"/>
        <w:left w:val="none" w:sz="0" w:space="0" w:color="auto"/>
        <w:bottom w:val="none" w:sz="0" w:space="0" w:color="auto"/>
        <w:right w:val="none" w:sz="0" w:space="0" w:color="auto"/>
      </w:divBdr>
    </w:div>
    <w:div w:id="1847329975">
      <w:bodyDiv w:val="1"/>
      <w:marLeft w:val="0"/>
      <w:marRight w:val="0"/>
      <w:marTop w:val="0"/>
      <w:marBottom w:val="0"/>
      <w:divBdr>
        <w:top w:val="none" w:sz="0" w:space="0" w:color="auto"/>
        <w:left w:val="none" w:sz="0" w:space="0" w:color="auto"/>
        <w:bottom w:val="none" w:sz="0" w:space="0" w:color="auto"/>
        <w:right w:val="none" w:sz="0" w:space="0" w:color="auto"/>
      </w:divBdr>
    </w:div>
    <w:div w:id="205338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oes/current/oes_stru.htm" TargetMode="External"/><Relationship Id="rId4" Type="http://schemas.openxmlformats.org/officeDocument/2006/relationships/styles" Target="styles.xml"/><Relationship Id="rId9" Type="http://schemas.openxmlformats.org/officeDocument/2006/relationships/hyperlink" Target="http://hud.gov/offices/cfo/reports/2011/cjs/Research_and_Technology_201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B7ACC-AB04-44AF-A492-06E127B8C60F}">
  <ds:schemaRefs>
    <ds:schemaRef ds:uri="http://schemas.microsoft.com/office/2006/metadata/longProperties"/>
  </ds:schemaRefs>
</ds:datastoreItem>
</file>

<file path=customXml/itemProps2.xml><?xml version="1.0" encoding="utf-8"?>
<ds:datastoreItem xmlns:ds="http://schemas.openxmlformats.org/officeDocument/2006/customXml" ds:itemID="{443E4AA6-3F45-4D0D-A04D-A433DB79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5205</Words>
  <Characters>29671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34807</CharactersWithSpaces>
  <SharedDoc>false</SharedDoc>
  <HLinks>
    <vt:vector size="36" baseType="variant">
      <vt:variant>
        <vt:i4>7340045</vt:i4>
      </vt:variant>
      <vt:variant>
        <vt:i4>6</vt:i4>
      </vt:variant>
      <vt:variant>
        <vt:i4>0</vt:i4>
      </vt:variant>
      <vt:variant>
        <vt:i4>5</vt:i4>
      </vt:variant>
      <vt:variant>
        <vt:lpwstr>http://www.bls.gov/oes/current/oes_stru.htm</vt:lpwstr>
      </vt:variant>
      <vt:variant>
        <vt:lpwstr/>
      </vt:variant>
      <vt:variant>
        <vt:i4>6422563</vt:i4>
      </vt:variant>
      <vt:variant>
        <vt:i4>3</vt:i4>
      </vt:variant>
      <vt:variant>
        <vt:i4>0</vt:i4>
      </vt:variant>
      <vt:variant>
        <vt:i4>5</vt:i4>
      </vt:variant>
      <vt:variant>
        <vt:lpwstr>https://www.federalregister.gov/documents/2020/12/18/2020-27891/60-day-notice-of-proposed-information-collection-the-rent-reform-demonstration</vt:lpwstr>
      </vt:variant>
      <vt:variant>
        <vt:lpwstr/>
      </vt:variant>
      <vt:variant>
        <vt:i4>7077902</vt:i4>
      </vt:variant>
      <vt:variant>
        <vt:i4>0</vt:i4>
      </vt:variant>
      <vt:variant>
        <vt:i4>0</vt:i4>
      </vt:variant>
      <vt:variant>
        <vt:i4>5</vt:i4>
      </vt:variant>
      <vt:variant>
        <vt:lpwstr>http://hud.gov/offices/cfo/reports/2011/cjs/Research_and_Technology_2011.pdf</vt:lpwstr>
      </vt:variant>
      <vt:variant>
        <vt:lpwstr/>
      </vt:variant>
      <vt:variant>
        <vt:i4>7340045</vt:i4>
      </vt:variant>
      <vt:variant>
        <vt:i4>0</vt:i4>
      </vt:variant>
      <vt:variant>
        <vt:i4>0</vt:i4>
      </vt:variant>
      <vt:variant>
        <vt:i4>5</vt:i4>
      </vt:variant>
      <vt:variant>
        <vt:lpwstr>http://www.bls.gov/oes/current/oes_stru.htm</vt:lpwstr>
      </vt:variant>
      <vt:variant>
        <vt:lpwstr/>
      </vt:variant>
      <vt:variant>
        <vt:i4>2490456</vt:i4>
      </vt:variant>
      <vt:variant>
        <vt:i4>3</vt:i4>
      </vt:variant>
      <vt:variant>
        <vt:i4>0</vt:i4>
      </vt:variant>
      <vt:variant>
        <vt:i4>5</vt:i4>
      </vt:variant>
      <vt:variant>
        <vt:lpwstr>mailto:Stephanie.Rubino@mdrc.org</vt:lpwstr>
      </vt:variant>
      <vt:variant>
        <vt:lpwstr/>
      </vt:variant>
      <vt:variant>
        <vt:i4>2490456</vt:i4>
      </vt:variant>
      <vt:variant>
        <vt:i4>0</vt:i4>
      </vt:variant>
      <vt:variant>
        <vt:i4>0</vt:i4>
      </vt:variant>
      <vt:variant>
        <vt:i4>5</vt:i4>
      </vt:variant>
      <vt:variant>
        <vt:lpwstr>mailto:Stephanie.Rubino@mdrc.org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2021-07-30T14:25:00Z</dcterms:created>
  <dcterms:modified xsi:type="dcterms:W3CDTF">2021-07-30T14:25:00Z</dcterms:modified>
  <cp:category/>
</cp:coreProperties>
</file>