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3450D" w:rsidR="00534B6B" w:rsidP="00534B6B" w:rsidRDefault="00534B6B" w14:paraId="58072F17" w14:textId="77777777">
      <w:pPr>
        <w:suppressAutoHyphens/>
        <w:jc w:val="center"/>
        <w:rPr>
          <w:rFonts w:ascii="Times New Roman" w:hAnsi="Times New Roman"/>
          <w:b/>
        </w:rPr>
      </w:pPr>
      <w:r w:rsidRPr="0043450D">
        <w:rPr>
          <w:rFonts w:ascii="Times New Roman" w:hAnsi="Times New Roman"/>
          <w:b/>
        </w:rPr>
        <w:t>SUPPORTING STATEMENT FOR NEW AND</w:t>
      </w:r>
    </w:p>
    <w:p w:rsidRPr="0043450D" w:rsidR="00534B6B" w:rsidP="00534B6B" w:rsidRDefault="00534B6B" w14:paraId="26A67048" w14:textId="77777777">
      <w:pPr>
        <w:suppressAutoHyphens/>
        <w:spacing w:after="240"/>
        <w:jc w:val="center"/>
        <w:rPr>
          <w:rFonts w:ascii="Times New Roman" w:hAnsi="Times New Roman"/>
          <w:b/>
        </w:rPr>
      </w:pPr>
      <w:r w:rsidRPr="0043450D">
        <w:rPr>
          <w:rFonts w:ascii="Times New Roman" w:hAnsi="Times New Roman"/>
          <w:b/>
        </w:rPr>
        <w:t>REVISED INFORMATION COLLECTIONS</w:t>
      </w:r>
    </w:p>
    <w:p w:rsidRPr="0043450D" w:rsidR="00534B6B" w:rsidP="00534B6B" w:rsidRDefault="00534B6B" w14:paraId="5A2E3559" w14:textId="77777777">
      <w:pPr>
        <w:tabs>
          <w:tab w:val="center" w:pos="4680"/>
        </w:tabs>
        <w:suppressAutoHyphens/>
        <w:spacing w:after="240"/>
        <w:jc w:val="center"/>
        <w:rPr>
          <w:rFonts w:ascii="Times New Roman" w:hAnsi="Times New Roman"/>
          <w:b/>
        </w:rPr>
      </w:pPr>
      <w:r w:rsidRPr="0043450D">
        <w:rPr>
          <w:rFonts w:ascii="Times New Roman" w:hAnsi="Times New Roman"/>
          <w:b/>
        </w:rPr>
        <w:t xml:space="preserve">OMB CONTROL NUMBER </w:t>
      </w:r>
      <w:r w:rsidRPr="00726591" w:rsidR="00726591">
        <w:rPr>
          <w:rFonts w:ascii="Times New Roman" w:hAnsi="Times New Roman"/>
          <w:b/>
        </w:rPr>
        <w:t>3038-0082</w:t>
      </w:r>
    </w:p>
    <w:p w:rsidRPr="003E1569" w:rsidR="00534B6B" w:rsidP="00534B6B" w:rsidRDefault="00534B6B" w14:paraId="39C18434" w14:textId="77777777">
      <w:pPr>
        <w:pStyle w:val="Heading1"/>
        <w:keepNext w:val="0"/>
        <w:spacing w:after="240"/>
        <w:rPr>
          <w:rFonts w:ascii="Times New Roman" w:hAnsi="Times New Roman"/>
          <w:szCs w:val="24"/>
        </w:rPr>
      </w:pPr>
      <w:r w:rsidRPr="003E1569">
        <w:rPr>
          <w:rFonts w:ascii="Times New Roman" w:hAnsi="Times New Roman"/>
          <w:szCs w:val="24"/>
        </w:rPr>
        <w:t>Justification</w:t>
      </w:r>
    </w:p>
    <w:p w:rsidRPr="003E1569" w:rsidR="00534B6B" w:rsidP="00534B6B" w:rsidRDefault="00534B6B" w14:paraId="4FF995CF" w14:textId="77777777">
      <w:pPr>
        <w:tabs>
          <w:tab w:val="left" w:pos="-720"/>
          <w:tab w:val="left" w:pos="0"/>
        </w:tabs>
        <w:spacing w:after="240"/>
        <w:rPr>
          <w:rFonts w:ascii="Times New Roman" w:hAnsi="Times New Roman"/>
        </w:rPr>
      </w:pPr>
      <w:r w:rsidRPr="003E1569">
        <w:rPr>
          <w:rFonts w:ascii="Times New Roman" w:hAnsi="Times New Roman"/>
          <w:b/>
        </w:rPr>
        <w:t>1.</w:t>
      </w:r>
      <w:r w:rsidRPr="003E1569">
        <w:rPr>
          <w:rFonts w:ascii="Times New Roman" w:hAnsi="Times New Roman"/>
          <w:b/>
        </w:rPr>
        <w:tab/>
        <w:t xml:space="preserve">Explain the circumstances that make the collection of information </w:t>
      </w:r>
      <w:r w:rsidRPr="003E1569" w:rsidR="006C7150">
        <w:rPr>
          <w:rFonts w:ascii="Times New Roman" w:hAnsi="Times New Roman"/>
          <w:b/>
        </w:rPr>
        <w:t>necessary.</w:t>
      </w:r>
      <w:r w:rsidRPr="003E1569">
        <w:rPr>
          <w:rFonts w:ascii="Times New Roman" w:hAnsi="Times New Roman"/>
          <w:b/>
        </w:rPr>
        <w:t xml:space="preserve">  Identify any legal or administrative requirements that necessitate the collection.  Attach a copy of the appropriate section of each statute and regulation mandating or authorizing the collection of information.</w:t>
      </w:r>
    </w:p>
    <w:p w:rsidR="00980A37" w:rsidP="007022E2" w:rsidRDefault="00980A37" w14:paraId="34F4F4A6" w14:textId="77777777">
      <w:pPr>
        <w:spacing w:after="240"/>
        <w:ind w:firstLine="720"/>
        <w:rPr>
          <w:rFonts w:ascii="Times New Roman" w:hAnsi="Times New Roman"/>
        </w:rPr>
      </w:pPr>
      <w:r>
        <w:rPr>
          <w:rFonts w:ascii="Times New Roman" w:hAnsi="Times New Roman"/>
        </w:rPr>
        <w:t xml:space="preserve">Section 23 of the Commodity Exchange Act, 7 U.S.C. 1 et seq, directs that the Commission establish a fund from which to pay awards of 10 to 30 </w:t>
      </w:r>
      <w:r w:rsidR="007711DC">
        <w:rPr>
          <w:rFonts w:ascii="Times New Roman" w:hAnsi="Times New Roman"/>
        </w:rPr>
        <w:t xml:space="preserve">percent </w:t>
      </w:r>
      <w:r>
        <w:rPr>
          <w:rFonts w:ascii="Times New Roman" w:hAnsi="Times New Roman"/>
        </w:rPr>
        <w:t xml:space="preserve">of sanctions collected from successful enforcement of covered judicial or administrative actions, or related actions, to individuals </w:t>
      </w:r>
      <w:r w:rsidR="007711DC">
        <w:rPr>
          <w:rFonts w:ascii="Times New Roman" w:hAnsi="Times New Roman"/>
        </w:rPr>
        <w:t>who</w:t>
      </w:r>
      <w:r>
        <w:rPr>
          <w:rFonts w:ascii="Times New Roman" w:hAnsi="Times New Roman"/>
        </w:rPr>
        <w:t xml:space="preserve"> provide information that leads to the successful enforcement of an action in which sanctions exceeding $1,000,000 are obtained; and to finance customer education regarding whistleblower initiatives. </w:t>
      </w:r>
      <w:r w:rsidR="00FF5690">
        <w:rPr>
          <w:rFonts w:ascii="Times New Roman" w:hAnsi="Times New Roman"/>
        </w:rPr>
        <w:t>Section 23(c) establishes procedures for the determination or denial of an award.  Rule</w:t>
      </w:r>
      <w:r w:rsidR="00E21BD0">
        <w:rPr>
          <w:rFonts w:ascii="Times New Roman" w:hAnsi="Times New Roman"/>
        </w:rPr>
        <w:t>s</w:t>
      </w:r>
      <w:r w:rsidR="00FF5690">
        <w:rPr>
          <w:rFonts w:ascii="Times New Roman" w:hAnsi="Times New Roman"/>
        </w:rPr>
        <w:t xml:space="preserve"> 165.3</w:t>
      </w:r>
      <w:r w:rsidR="00E21BD0">
        <w:rPr>
          <w:rFonts w:ascii="Times New Roman" w:hAnsi="Times New Roman"/>
        </w:rPr>
        <w:t xml:space="preserve"> </w:t>
      </w:r>
      <w:r w:rsidR="00FF5690">
        <w:rPr>
          <w:rFonts w:ascii="Times New Roman" w:hAnsi="Times New Roman"/>
        </w:rPr>
        <w:t xml:space="preserve">and 165.7 implement these statutory provisions.  Rule 165.3 </w:t>
      </w:r>
      <w:r w:rsidR="00E21BD0">
        <w:rPr>
          <w:rFonts w:ascii="Times New Roman" w:hAnsi="Times New Roman"/>
        </w:rPr>
        <w:t xml:space="preserve">establishes the procedures for submitting original information to the Commission.  Rule 165.7 establishes the procedures for award applications and Commission award determinations.  </w:t>
      </w:r>
    </w:p>
    <w:p w:rsidRPr="00542F3C" w:rsidR="00980A37" w:rsidP="00542F3C" w:rsidRDefault="00534B6B" w14:paraId="345A64F7" w14:textId="77777777">
      <w:pPr>
        <w:tabs>
          <w:tab w:val="left" w:pos="-720"/>
        </w:tabs>
        <w:spacing w:after="240"/>
        <w:rPr>
          <w:rFonts w:ascii="Times New Roman" w:hAnsi="Times New Roman"/>
          <w:b/>
        </w:rPr>
      </w:pPr>
      <w:r w:rsidRPr="003E1569">
        <w:rPr>
          <w:rFonts w:ascii="Times New Roman" w:hAnsi="Times New Roman"/>
          <w:b/>
        </w:rPr>
        <w:t>2.</w:t>
      </w:r>
      <w:r w:rsidRPr="003E1569">
        <w:rPr>
          <w:rFonts w:ascii="Times New Roman" w:hAnsi="Times New Roman"/>
          <w:b/>
        </w:rPr>
        <w:tab/>
        <w:t>Indicate how, by whom, and for what purpose the date would be used.  Except for a new collection, indicate the actual use the agency has made of the information received from the current collection.</w:t>
      </w:r>
    </w:p>
    <w:p w:rsidR="00980A37" w:rsidP="007022E2" w:rsidRDefault="00980A37" w14:paraId="0AE01759" w14:textId="77777777">
      <w:pPr>
        <w:spacing w:after="240"/>
        <w:ind w:firstLine="720"/>
        <w:rPr>
          <w:rFonts w:ascii="Times New Roman" w:hAnsi="Times New Roman"/>
        </w:rPr>
      </w:pPr>
      <w:r>
        <w:rPr>
          <w:rFonts w:ascii="Times New Roman" w:hAnsi="Times New Roman"/>
        </w:rPr>
        <w:t xml:space="preserve">The information received pursuant to rules </w:t>
      </w:r>
      <w:r w:rsidR="00E21BD0">
        <w:rPr>
          <w:rFonts w:ascii="Times New Roman" w:hAnsi="Times New Roman"/>
        </w:rPr>
        <w:t>165.3 enable</w:t>
      </w:r>
      <w:r w:rsidR="00266983">
        <w:rPr>
          <w:rFonts w:ascii="Times New Roman" w:hAnsi="Times New Roman"/>
        </w:rPr>
        <w:t>s</w:t>
      </w:r>
      <w:r w:rsidR="00E21BD0">
        <w:rPr>
          <w:rFonts w:ascii="Times New Roman" w:hAnsi="Times New Roman"/>
        </w:rPr>
        <w:t xml:space="preserve"> the Commission to receive original information in support of whistleblower tips that can elicit sufficient information to determine whether that alleged conduct </w:t>
      </w:r>
      <w:r w:rsidR="00542F3C">
        <w:rPr>
          <w:rFonts w:ascii="Times New Roman" w:hAnsi="Times New Roman"/>
        </w:rPr>
        <w:t xml:space="preserve">suggests a violation of the CEA.  Ultimately, the receipt of such tips can </w:t>
      </w:r>
      <w:r w:rsidR="00E21BD0">
        <w:rPr>
          <w:rFonts w:ascii="Times New Roman" w:hAnsi="Times New Roman"/>
        </w:rPr>
        <w:t xml:space="preserve">lead to the successful enforcement of </w:t>
      </w:r>
      <w:r w:rsidR="00726591">
        <w:rPr>
          <w:rFonts w:ascii="Times New Roman" w:hAnsi="Times New Roman"/>
        </w:rPr>
        <w:t xml:space="preserve">Commission administrative or </w:t>
      </w:r>
      <w:r w:rsidR="00D0598D">
        <w:rPr>
          <w:rFonts w:ascii="Times New Roman" w:hAnsi="Times New Roman"/>
        </w:rPr>
        <w:t xml:space="preserve">judicial </w:t>
      </w:r>
      <w:r w:rsidR="00726591">
        <w:rPr>
          <w:rFonts w:ascii="Times New Roman" w:hAnsi="Times New Roman"/>
        </w:rPr>
        <w:t xml:space="preserve">actions achieving total sanctions in excess of $1,000,000 </w:t>
      </w:r>
      <w:r w:rsidR="00E21BD0">
        <w:rPr>
          <w:rFonts w:ascii="Times New Roman" w:hAnsi="Times New Roman"/>
        </w:rPr>
        <w:t>or related actions</w:t>
      </w:r>
      <w:r w:rsidR="00542F3C">
        <w:rPr>
          <w:rFonts w:ascii="Times New Roman" w:hAnsi="Times New Roman"/>
        </w:rPr>
        <w:t xml:space="preserve">.  Rule </w:t>
      </w:r>
      <w:r w:rsidR="00E21BD0">
        <w:rPr>
          <w:rFonts w:ascii="Times New Roman" w:hAnsi="Times New Roman"/>
        </w:rPr>
        <w:t xml:space="preserve">165.7 </w:t>
      </w:r>
      <w:r w:rsidR="00542F3C">
        <w:rPr>
          <w:rFonts w:ascii="Times New Roman" w:hAnsi="Times New Roman"/>
        </w:rPr>
        <w:t>require</w:t>
      </w:r>
      <w:r w:rsidR="00266983">
        <w:rPr>
          <w:rFonts w:ascii="Times New Roman" w:hAnsi="Times New Roman"/>
        </w:rPr>
        <w:t>s</w:t>
      </w:r>
      <w:r w:rsidR="00542F3C">
        <w:rPr>
          <w:rFonts w:ascii="Times New Roman" w:hAnsi="Times New Roman"/>
        </w:rPr>
        <w:t xml:space="preserve"> the whistleblower to apply for an award, and likewise </w:t>
      </w:r>
      <w:r>
        <w:rPr>
          <w:rFonts w:ascii="Times New Roman" w:hAnsi="Times New Roman"/>
        </w:rPr>
        <w:t>enable</w:t>
      </w:r>
      <w:r w:rsidR="00266983">
        <w:rPr>
          <w:rFonts w:ascii="Times New Roman" w:hAnsi="Times New Roman"/>
        </w:rPr>
        <w:t>s</w:t>
      </w:r>
      <w:r>
        <w:rPr>
          <w:rFonts w:ascii="Times New Roman" w:hAnsi="Times New Roman"/>
        </w:rPr>
        <w:t xml:space="preserve"> the Commission to </w:t>
      </w:r>
      <w:proofErr w:type="gramStart"/>
      <w:r>
        <w:rPr>
          <w:rFonts w:ascii="Times New Roman" w:hAnsi="Times New Roman"/>
        </w:rPr>
        <w:t>make a determination</w:t>
      </w:r>
      <w:proofErr w:type="gramEnd"/>
      <w:r>
        <w:rPr>
          <w:rFonts w:ascii="Times New Roman" w:hAnsi="Times New Roman"/>
        </w:rPr>
        <w:t xml:space="preserve"> of the amount of an award or denial of an award </w:t>
      </w:r>
      <w:r w:rsidR="00542F3C">
        <w:rPr>
          <w:rFonts w:ascii="Times New Roman" w:hAnsi="Times New Roman"/>
        </w:rPr>
        <w:t xml:space="preserve">based </w:t>
      </w:r>
      <w:r>
        <w:rPr>
          <w:rFonts w:ascii="Times New Roman" w:hAnsi="Times New Roman"/>
        </w:rPr>
        <w:t>upon certain criteria.</w:t>
      </w:r>
    </w:p>
    <w:p w:rsidRPr="003E1569" w:rsidR="00534B6B" w:rsidP="00534B6B" w:rsidRDefault="00534B6B" w14:paraId="51EC6CF9" w14:textId="77777777">
      <w:pPr>
        <w:keepNext/>
        <w:tabs>
          <w:tab w:val="left" w:pos="-720"/>
          <w:tab w:val="left" w:pos="0"/>
        </w:tabs>
        <w:spacing w:after="240"/>
        <w:rPr>
          <w:rFonts w:ascii="Times New Roman" w:hAnsi="Times New Roman"/>
          <w:b/>
        </w:rPr>
      </w:pPr>
      <w:r>
        <w:rPr>
          <w:rFonts w:ascii="Times New Roman" w:hAnsi="Times New Roman"/>
          <w:b/>
        </w:rPr>
        <w:t>3</w:t>
      </w:r>
      <w:r w:rsidRPr="003E1569">
        <w:rPr>
          <w:rFonts w:ascii="Times New Roman" w:hAnsi="Times New Roman"/>
          <w:b/>
        </w:rPr>
        <w:t>.</w:t>
      </w:r>
      <w:r w:rsidRPr="003E1569">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3E1569" w:rsidR="00534B6B" w:rsidP="00534B6B" w:rsidRDefault="00534B6B" w14:paraId="761D7CC6" w14:textId="77777777">
      <w:pPr>
        <w:tabs>
          <w:tab w:val="left" w:pos="-720"/>
          <w:tab w:val="left" w:pos="0"/>
        </w:tabs>
        <w:spacing w:after="240"/>
        <w:rPr>
          <w:rFonts w:ascii="Times New Roman" w:hAnsi="Times New Roman"/>
        </w:rPr>
      </w:pPr>
      <w:r w:rsidRPr="003E1569">
        <w:rPr>
          <w:rFonts w:ascii="Times New Roman" w:hAnsi="Times New Roman"/>
        </w:rPr>
        <w:tab/>
        <w:t>Information may be submitted electronically.</w:t>
      </w:r>
    </w:p>
    <w:p w:rsidRPr="0019376E" w:rsidR="00534B6B" w:rsidP="00534B6B" w:rsidRDefault="00534B6B" w14:paraId="64489C7B" w14:textId="77777777">
      <w:pPr>
        <w:tabs>
          <w:tab w:val="left" w:pos="-720"/>
          <w:tab w:val="left" w:pos="0"/>
        </w:tabs>
        <w:spacing w:after="240"/>
        <w:rPr>
          <w:rFonts w:ascii="Times New Roman" w:hAnsi="Times New Roman"/>
          <w:b/>
        </w:rPr>
      </w:pPr>
      <w:r w:rsidRPr="0019376E">
        <w:rPr>
          <w:rFonts w:ascii="Times New Roman" w:hAnsi="Times New Roman"/>
          <w:b/>
        </w:rPr>
        <w:t>4.</w:t>
      </w:r>
      <w:r w:rsidRPr="0019376E">
        <w:rPr>
          <w:rFonts w:ascii="Times New Roman" w:hAnsi="Times New Roman"/>
          <w:b/>
        </w:rPr>
        <w:tab/>
        <w:t>Describe efforts to identify duplication.  Show specifically why any similar information already available cannot be used or modified for use for the purposes described in Item 2 above.</w:t>
      </w:r>
    </w:p>
    <w:p w:rsidRPr="003E1569" w:rsidR="00534B6B" w:rsidP="00534B6B" w:rsidRDefault="00534B6B" w14:paraId="50A811E5" w14:textId="77777777">
      <w:pPr>
        <w:tabs>
          <w:tab w:val="left" w:pos="-720"/>
        </w:tabs>
        <w:spacing w:after="240"/>
        <w:rPr>
          <w:rFonts w:ascii="Times New Roman" w:hAnsi="Times New Roman"/>
        </w:rPr>
      </w:pPr>
      <w:r w:rsidRPr="003E1569">
        <w:rPr>
          <w:rFonts w:ascii="Times New Roman" w:hAnsi="Times New Roman"/>
        </w:rPr>
        <w:tab/>
      </w:r>
      <w:r w:rsidR="00A0553E">
        <w:rPr>
          <w:rFonts w:ascii="Times New Roman" w:hAnsi="Times New Roman"/>
        </w:rPr>
        <w:t>Not applicable.  Under the statute, t</w:t>
      </w:r>
      <w:r w:rsidRPr="003E1569">
        <w:rPr>
          <w:rFonts w:ascii="Times New Roman" w:hAnsi="Times New Roman"/>
        </w:rPr>
        <w:t xml:space="preserve">he required information </w:t>
      </w:r>
      <w:r w:rsidR="00542F3C">
        <w:rPr>
          <w:rFonts w:ascii="Times New Roman" w:hAnsi="Times New Roman"/>
        </w:rPr>
        <w:t>sought is to be original information from an original source.</w:t>
      </w:r>
    </w:p>
    <w:p w:rsidRPr="0019376E" w:rsidR="00534B6B" w:rsidP="00534B6B" w:rsidRDefault="00534B6B" w14:paraId="5AC357A8" w14:textId="77777777">
      <w:pPr>
        <w:tabs>
          <w:tab w:val="left" w:pos="-720"/>
          <w:tab w:val="left" w:pos="0"/>
        </w:tabs>
        <w:spacing w:after="240"/>
        <w:rPr>
          <w:rFonts w:ascii="Times New Roman" w:hAnsi="Times New Roman"/>
          <w:b/>
        </w:rPr>
      </w:pPr>
      <w:r w:rsidRPr="0019376E">
        <w:rPr>
          <w:rFonts w:ascii="Times New Roman" w:hAnsi="Times New Roman"/>
          <w:b/>
        </w:rPr>
        <w:lastRenderedPageBreak/>
        <w:t>5.</w:t>
      </w:r>
      <w:r w:rsidRPr="0019376E">
        <w:rPr>
          <w:rFonts w:ascii="Times New Roman" w:hAnsi="Times New Roman"/>
          <w:b/>
        </w:rPr>
        <w:tab/>
        <w:t xml:space="preserve">If the collection of information involves small business or other small entities (Item 5 of OMB </w:t>
      </w:r>
      <w:proofErr w:type="gramStart"/>
      <w:r w:rsidRPr="0019376E">
        <w:rPr>
          <w:rFonts w:ascii="Times New Roman" w:hAnsi="Times New Roman"/>
          <w:b/>
        </w:rPr>
        <w:t>From</w:t>
      </w:r>
      <w:proofErr w:type="gramEnd"/>
      <w:r w:rsidRPr="0019376E">
        <w:rPr>
          <w:rFonts w:ascii="Times New Roman" w:hAnsi="Times New Roman"/>
          <w:b/>
        </w:rPr>
        <w:t xml:space="preserve"> 83-I), describe the methods used to minimize burden.</w:t>
      </w:r>
    </w:p>
    <w:p w:rsidRPr="003E1569" w:rsidR="00534B6B" w:rsidP="00534B6B" w:rsidRDefault="00534B6B" w14:paraId="13069D3A" w14:textId="77777777">
      <w:pPr>
        <w:tabs>
          <w:tab w:val="left" w:pos="-720"/>
        </w:tabs>
        <w:spacing w:after="240"/>
        <w:rPr>
          <w:rFonts w:ascii="Times New Roman" w:hAnsi="Times New Roman"/>
        </w:rPr>
      </w:pPr>
      <w:r w:rsidRPr="003E1569">
        <w:rPr>
          <w:rFonts w:ascii="Times New Roman" w:hAnsi="Times New Roman"/>
        </w:rPr>
        <w:tab/>
        <w:t xml:space="preserve">This collection of information will </w:t>
      </w:r>
      <w:r w:rsidR="00542F3C">
        <w:rPr>
          <w:rFonts w:ascii="Times New Roman" w:hAnsi="Times New Roman"/>
        </w:rPr>
        <w:t xml:space="preserve">be from individuals and not small businesses or entities.  </w:t>
      </w:r>
    </w:p>
    <w:p w:rsidRPr="0019376E" w:rsidR="00534B6B" w:rsidP="00534B6B" w:rsidRDefault="00534B6B" w14:paraId="7FCA81B3" w14:textId="77777777">
      <w:pPr>
        <w:tabs>
          <w:tab w:val="left" w:pos="-720"/>
          <w:tab w:val="left" w:pos="0"/>
        </w:tabs>
        <w:spacing w:after="240"/>
        <w:rPr>
          <w:rFonts w:ascii="Times New Roman" w:hAnsi="Times New Roman"/>
          <w:b/>
        </w:rPr>
      </w:pPr>
      <w:r w:rsidRPr="0019376E">
        <w:rPr>
          <w:rFonts w:ascii="Times New Roman" w:hAnsi="Times New Roman"/>
          <w:b/>
        </w:rPr>
        <w:t>6.</w:t>
      </w:r>
      <w:r w:rsidRPr="0019376E">
        <w:rPr>
          <w:rFonts w:ascii="Times New Roman" w:hAnsi="Times New Roman"/>
          <w:b/>
        </w:rPr>
        <w:tab/>
        <w:t>Describe the consequence to the Federal Program or policy activities if the collection were conducted less frequently as well as any technical or legal obstacles to reducing burden.</w:t>
      </w:r>
    </w:p>
    <w:p w:rsidRPr="003E1569" w:rsidR="00534B6B" w:rsidP="00534B6B" w:rsidRDefault="00534B6B" w14:paraId="16DEA2BF" w14:textId="77777777">
      <w:pPr>
        <w:tabs>
          <w:tab w:val="left" w:pos="-720"/>
        </w:tabs>
        <w:spacing w:after="240"/>
        <w:rPr>
          <w:rFonts w:ascii="Times New Roman" w:hAnsi="Times New Roman"/>
        </w:rPr>
      </w:pPr>
      <w:r w:rsidRPr="003E1569">
        <w:rPr>
          <w:rFonts w:ascii="Times New Roman" w:hAnsi="Times New Roman"/>
        </w:rPr>
        <w:tab/>
        <w:t xml:space="preserve">If the information required under this collection of information were not collected, </w:t>
      </w:r>
      <w:r w:rsidR="009532F8">
        <w:rPr>
          <w:rFonts w:ascii="Times New Roman" w:hAnsi="Times New Roman"/>
        </w:rPr>
        <w:t xml:space="preserve">application </w:t>
      </w:r>
      <w:r w:rsidRPr="003E1569">
        <w:rPr>
          <w:rFonts w:ascii="Times New Roman" w:hAnsi="Times New Roman"/>
        </w:rPr>
        <w:t>of Commission rules would be adversely affected.</w:t>
      </w:r>
    </w:p>
    <w:p w:rsidRPr="0019376E" w:rsidR="00534B6B" w:rsidP="00534B6B" w:rsidRDefault="00534B6B" w14:paraId="76163075" w14:textId="77777777">
      <w:pPr>
        <w:tabs>
          <w:tab w:val="left" w:pos="-720"/>
          <w:tab w:val="left" w:pos="0"/>
        </w:tabs>
        <w:spacing w:after="240"/>
        <w:rPr>
          <w:rFonts w:ascii="Times New Roman" w:hAnsi="Times New Roman"/>
          <w:b/>
        </w:rPr>
      </w:pPr>
      <w:r w:rsidRPr="0019376E">
        <w:rPr>
          <w:rFonts w:ascii="Times New Roman" w:hAnsi="Times New Roman"/>
          <w:b/>
        </w:rPr>
        <w:t>7.</w:t>
      </w:r>
      <w:r w:rsidRPr="0019376E">
        <w:rPr>
          <w:rFonts w:ascii="Times New Roman" w:hAnsi="Times New Roman"/>
          <w:b/>
        </w:rPr>
        <w:tab/>
        <w:t>Explain any special circumstances that require the collection to be conducted in a manner:</w:t>
      </w:r>
    </w:p>
    <w:p w:rsidRPr="0019376E" w:rsidR="00534B6B" w:rsidP="00534B6B" w:rsidRDefault="00534B6B" w14:paraId="4C4DE5C0" w14:textId="77777777">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19376E">
        <w:rPr>
          <w:rFonts w:ascii="Times New Roman" w:hAnsi="Times New Roman"/>
          <w:b/>
        </w:rPr>
        <w:t>requiring respondents to report information to the agency more often than quarterly;</w:t>
      </w:r>
    </w:p>
    <w:p w:rsidRPr="0019376E" w:rsidR="00534B6B" w:rsidP="00534B6B" w:rsidRDefault="00534B6B" w14:paraId="6373CA4B" w14:textId="77777777">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19376E">
        <w:rPr>
          <w:rFonts w:ascii="Times New Roman" w:hAnsi="Times New Roman"/>
          <w:b/>
        </w:rPr>
        <w:t>requiring respondents to prepare a written response to a collection of information in fewer than 30 days after receipt of it:</w:t>
      </w:r>
    </w:p>
    <w:p w:rsidRPr="0019376E" w:rsidR="00534B6B" w:rsidP="00534B6B" w:rsidRDefault="00534B6B" w14:paraId="6C248D63" w14:textId="77777777">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19376E">
        <w:rPr>
          <w:rFonts w:ascii="Times New Roman" w:hAnsi="Times New Roman"/>
          <w:b/>
        </w:rPr>
        <w:t>requiring respondents to submit more tha</w:t>
      </w:r>
      <w:r w:rsidR="00542F3C">
        <w:rPr>
          <w:rFonts w:ascii="Times New Roman" w:hAnsi="Times New Roman"/>
          <w:b/>
        </w:rPr>
        <w:t>n</w:t>
      </w:r>
      <w:r w:rsidRPr="0019376E">
        <w:rPr>
          <w:rFonts w:ascii="Times New Roman" w:hAnsi="Times New Roman"/>
          <w:b/>
        </w:rPr>
        <w:t xml:space="preserve"> an original and two copies of any document;</w:t>
      </w:r>
    </w:p>
    <w:p w:rsidRPr="0019376E" w:rsidR="00534B6B" w:rsidP="00534B6B" w:rsidRDefault="00534B6B" w14:paraId="51510F9E" w14:textId="77777777">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19376E">
        <w:rPr>
          <w:rFonts w:ascii="Times New Roman" w:hAnsi="Times New Roman"/>
          <w:b/>
        </w:rPr>
        <w:t>requiring respondents to retain records other than health, medical, government contract, grant-in-aid, or tax records, for more than three years;</w:t>
      </w:r>
    </w:p>
    <w:p w:rsidRPr="0019376E" w:rsidR="00534B6B" w:rsidP="00534B6B" w:rsidRDefault="00534B6B" w14:paraId="2DD0F598" w14:textId="77777777">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19376E">
        <w:rPr>
          <w:rFonts w:ascii="Times New Roman" w:hAnsi="Times New Roman"/>
          <w:b/>
        </w:rPr>
        <w:t xml:space="preserve">in connection with a statistical survey, that is not designed to produce valid and reliable results that can be generalized to the universe of study; </w:t>
      </w:r>
    </w:p>
    <w:p w:rsidRPr="0019376E" w:rsidR="00534B6B" w:rsidP="00534B6B" w:rsidRDefault="00534B6B" w14:paraId="446A8FDA" w14:textId="77777777">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19376E">
        <w:rPr>
          <w:rFonts w:ascii="Times New Roman" w:hAnsi="Times New Roman"/>
          <w:b/>
        </w:rPr>
        <w:t>requiring the use of a statistical data classification that has not been reviewed and approved by OMB;</w:t>
      </w:r>
    </w:p>
    <w:p w:rsidRPr="0019376E" w:rsidR="00534B6B" w:rsidP="00534B6B" w:rsidRDefault="00534B6B" w14:paraId="471D6A8C" w14:textId="77777777">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19376E">
        <w:rPr>
          <w:rFonts w:ascii="Times New Roman" w:hAnsi="Times New Roman"/>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Pr="0019376E" w:rsidR="00534B6B" w:rsidP="00534B6B" w:rsidRDefault="00534B6B" w14:paraId="4E8D5A38" w14:textId="77777777">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19376E">
        <w:rPr>
          <w:rFonts w:ascii="Times New Roman" w:hAnsi="Times New Roman"/>
          <w:b/>
        </w:rPr>
        <w:t>requiring respondents to submit proprietary trade secrets, or other confidential information unless the agency can demonstrate that it has instituted procedures to protect the information's confidentiality to the extent permitted by law.</w:t>
      </w:r>
    </w:p>
    <w:p w:rsidR="00534B6B" w:rsidP="00ED7EC1" w:rsidRDefault="00534B6B" w14:paraId="1FCAFCA0" w14:textId="77777777">
      <w:pPr>
        <w:tabs>
          <w:tab w:val="left" w:pos="-720"/>
        </w:tabs>
        <w:spacing w:after="240"/>
        <w:rPr>
          <w:rFonts w:ascii="Times New Roman" w:hAnsi="Times New Roman"/>
        </w:rPr>
      </w:pPr>
      <w:r>
        <w:rPr>
          <w:rFonts w:ascii="Times New Roman" w:hAnsi="Times New Roman"/>
        </w:rPr>
        <w:tab/>
      </w:r>
      <w:r w:rsidR="00D0598D">
        <w:rPr>
          <w:rFonts w:ascii="Times New Roman" w:hAnsi="Times New Roman"/>
        </w:rPr>
        <w:t>Not applicable.</w:t>
      </w:r>
    </w:p>
    <w:p w:rsidR="00ED7EC1" w:rsidP="00534B6B" w:rsidRDefault="00ED7EC1" w14:paraId="494A3747" w14:textId="77777777">
      <w:pPr>
        <w:tabs>
          <w:tab w:val="left" w:pos="-720"/>
          <w:tab w:val="left" w:pos="0"/>
          <w:tab w:val="left" w:pos="720"/>
        </w:tabs>
        <w:spacing w:after="240"/>
        <w:ind w:left="1440" w:right="1440"/>
        <w:rPr>
          <w:rFonts w:ascii="Times New Roman" w:hAnsi="Times New Roman"/>
        </w:rPr>
      </w:pPr>
    </w:p>
    <w:p w:rsidRPr="003E1569" w:rsidR="00ED7EC1" w:rsidP="00ED7EC1" w:rsidRDefault="00ED7EC1" w14:paraId="3F377EA0" w14:textId="77777777">
      <w:pPr>
        <w:tabs>
          <w:tab w:val="left" w:pos="-720"/>
          <w:tab w:val="left" w:pos="0"/>
          <w:tab w:val="left" w:pos="720"/>
        </w:tabs>
        <w:spacing w:after="240"/>
        <w:ind w:right="1440"/>
        <w:rPr>
          <w:rFonts w:ascii="Times New Roman" w:hAnsi="Times New Roman"/>
        </w:rPr>
      </w:pPr>
    </w:p>
    <w:p w:rsidRPr="0019376E" w:rsidR="00534B6B" w:rsidP="00534B6B" w:rsidRDefault="00534B6B" w14:paraId="4F01A62D" w14:textId="77777777">
      <w:pPr>
        <w:tabs>
          <w:tab w:val="left" w:pos="-720"/>
          <w:tab w:val="left" w:pos="0"/>
        </w:tabs>
        <w:spacing w:after="240"/>
        <w:rPr>
          <w:rFonts w:ascii="Times New Roman" w:hAnsi="Times New Roman"/>
          <w:b/>
        </w:rPr>
      </w:pPr>
      <w:r w:rsidRPr="0019376E">
        <w:rPr>
          <w:rFonts w:ascii="Times New Roman" w:hAnsi="Times New Roman"/>
          <w:b/>
        </w:rPr>
        <w:lastRenderedPageBreak/>
        <w:t>8.</w:t>
      </w:r>
      <w:r w:rsidRPr="0019376E">
        <w:rPr>
          <w:rFonts w:ascii="Times New Roman" w:hAnsi="Times New Roman"/>
          <w:b/>
        </w:rPr>
        <w:tab/>
        <w:t xml:space="preserve">If applicable, provide a copy and identify the date and page number of </w:t>
      </w:r>
      <w:proofErr w:type="gramStart"/>
      <w:r w:rsidRPr="0019376E">
        <w:rPr>
          <w:rFonts w:ascii="Times New Roman" w:hAnsi="Times New Roman"/>
          <w:b/>
        </w:rPr>
        <w:t>publication</w:t>
      </w:r>
      <w:proofErr w:type="gramEnd"/>
      <w:r w:rsidRPr="0019376E">
        <w:rPr>
          <w:rFonts w:ascii="Times New Roman" w:hAnsi="Times New Roman"/>
          <w:b/>
        </w:rPr>
        <w:t xml:space="preserve"> in the </w:t>
      </w:r>
      <w:r w:rsidRPr="0019376E">
        <w:rPr>
          <w:rFonts w:ascii="Times New Roman" w:hAnsi="Times New Roman"/>
          <w:b/>
          <w:i/>
        </w:rPr>
        <w:t>Federal Register</w:t>
      </w:r>
      <w:r w:rsidRPr="0019376E">
        <w:rPr>
          <w:rFonts w:ascii="Times New Roman" w:hAnsi="Times New Roman"/>
          <w:b/>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332CD" w:rsidP="009332CD" w:rsidRDefault="00534B6B" w14:paraId="0D50F553" w14:textId="02B3813E">
      <w:pPr>
        <w:pStyle w:val="TOC6"/>
        <w:tabs>
          <w:tab w:val="clear" w:pos="9360"/>
          <w:tab w:val="left" w:pos="-720"/>
          <w:tab w:val="left" w:pos="0"/>
        </w:tabs>
        <w:suppressAutoHyphens w:val="0"/>
        <w:spacing w:after="240"/>
        <w:ind w:left="0" w:firstLine="0"/>
        <w:rPr>
          <w:rFonts w:ascii="Times New Roman" w:hAnsi="Times New Roman"/>
        </w:rPr>
      </w:pPr>
      <w:r w:rsidRPr="003E1569">
        <w:rPr>
          <w:rFonts w:ascii="Times New Roman" w:hAnsi="Times New Roman"/>
          <w:szCs w:val="24"/>
        </w:rPr>
        <w:tab/>
      </w:r>
      <w:r w:rsidRPr="00D9451B" w:rsidR="00F93E8D">
        <w:rPr>
          <w:rFonts w:ascii="Times New Roman" w:hAnsi="Times New Roman"/>
          <w:szCs w:val="24"/>
        </w:rPr>
        <w:t>T</w:t>
      </w:r>
      <w:r w:rsidRPr="00D9451B">
        <w:rPr>
          <w:rFonts w:ascii="Times New Roman" w:hAnsi="Times New Roman"/>
          <w:szCs w:val="24"/>
        </w:rPr>
        <w:t>he</w:t>
      </w:r>
      <w:r w:rsidRPr="00D9451B" w:rsidR="00F93E8D">
        <w:rPr>
          <w:rFonts w:ascii="Times New Roman" w:hAnsi="Times New Roman"/>
          <w:szCs w:val="24"/>
        </w:rPr>
        <w:t xml:space="preserve"> 60-day</w:t>
      </w:r>
      <w:r w:rsidRPr="00D9451B">
        <w:rPr>
          <w:rFonts w:ascii="Times New Roman" w:hAnsi="Times New Roman"/>
          <w:szCs w:val="24"/>
        </w:rPr>
        <w:t xml:space="preserve"> </w:t>
      </w:r>
      <w:r w:rsidRPr="00D9451B">
        <w:rPr>
          <w:rFonts w:ascii="Times New Roman" w:hAnsi="Times New Roman"/>
          <w:b/>
          <w:i/>
          <w:szCs w:val="24"/>
        </w:rPr>
        <w:t>Federal Register</w:t>
      </w:r>
      <w:r w:rsidRPr="00D9451B">
        <w:rPr>
          <w:rFonts w:ascii="Times New Roman" w:hAnsi="Times New Roman"/>
          <w:szCs w:val="24"/>
        </w:rPr>
        <w:t xml:space="preserve"> notice soliciting comments on th</w:t>
      </w:r>
      <w:r w:rsidRPr="00D9451B" w:rsidR="00F93E8D">
        <w:rPr>
          <w:rFonts w:ascii="Times New Roman" w:hAnsi="Times New Roman"/>
          <w:szCs w:val="24"/>
        </w:rPr>
        <w:t>e renewal of th</w:t>
      </w:r>
      <w:r w:rsidRPr="00D9451B">
        <w:rPr>
          <w:rFonts w:ascii="Times New Roman" w:hAnsi="Times New Roman"/>
          <w:szCs w:val="24"/>
        </w:rPr>
        <w:t xml:space="preserve">is collection </w:t>
      </w:r>
      <w:r w:rsidRPr="00D9451B" w:rsidR="00F93E8D">
        <w:rPr>
          <w:rFonts w:ascii="Times New Roman" w:hAnsi="Times New Roman"/>
          <w:szCs w:val="24"/>
        </w:rPr>
        <w:t xml:space="preserve">was published at </w:t>
      </w:r>
      <w:r w:rsidRPr="00D9451B" w:rsidR="00E0278E">
        <w:rPr>
          <w:rFonts w:ascii="Times New Roman" w:hAnsi="Times New Roman"/>
          <w:szCs w:val="24"/>
        </w:rPr>
        <w:t>85</w:t>
      </w:r>
      <w:r w:rsidRPr="00D9451B" w:rsidR="00726591">
        <w:rPr>
          <w:rFonts w:ascii="Times New Roman" w:hAnsi="Times New Roman"/>
          <w:szCs w:val="24"/>
        </w:rPr>
        <w:t xml:space="preserve"> F</w:t>
      </w:r>
      <w:r w:rsidRPr="00D9451B" w:rsidR="00D6016C">
        <w:rPr>
          <w:rFonts w:ascii="Times New Roman" w:hAnsi="Times New Roman"/>
          <w:szCs w:val="24"/>
        </w:rPr>
        <w:t xml:space="preserve">ed. </w:t>
      </w:r>
      <w:r w:rsidRPr="00D9451B" w:rsidR="00726591">
        <w:rPr>
          <w:rFonts w:ascii="Times New Roman" w:hAnsi="Times New Roman"/>
          <w:szCs w:val="24"/>
        </w:rPr>
        <w:t>R</w:t>
      </w:r>
      <w:r w:rsidRPr="00D9451B" w:rsidR="00D6016C">
        <w:rPr>
          <w:rFonts w:ascii="Times New Roman" w:hAnsi="Times New Roman"/>
          <w:szCs w:val="24"/>
        </w:rPr>
        <w:t>eg.</w:t>
      </w:r>
      <w:r w:rsidRPr="00D9451B" w:rsidR="00726591">
        <w:rPr>
          <w:rFonts w:ascii="Times New Roman" w:hAnsi="Times New Roman"/>
          <w:szCs w:val="24"/>
        </w:rPr>
        <w:t xml:space="preserve"> </w:t>
      </w:r>
      <w:proofErr w:type="gramStart"/>
      <w:r w:rsidRPr="00D9451B" w:rsidR="00D9451B">
        <w:rPr>
          <w:rFonts w:ascii="Times New Roman" w:hAnsi="Times New Roman"/>
          <w:szCs w:val="24"/>
        </w:rPr>
        <w:t>74995</w:t>
      </w:r>
      <w:r w:rsidRPr="00D9451B" w:rsidR="00B36411">
        <w:rPr>
          <w:rFonts w:ascii="Times New Roman" w:hAnsi="Times New Roman"/>
          <w:szCs w:val="24"/>
        </w:rPr>
        <w:t xml:space="preserve"> </w:t>
      </w:r>
      <w:r w:rsidRPr="00D9451B" w:rsidR="00AA7ECA">
        <w:rPr>
          <w:rFonts w:ascii="Times New Roman" w:hAnsi="Times New Roman"/>
          <w:szCs w:val="24"/>
        </w:rPr>
        <w:t xml:space="preserve"> </w:t>
      </w:r>
      <w:r w:rsidRPr="00D9451B" w:rsidR="00726591">
        <w:rPr>
          <w:rFonts w:ascii="Times New Roman" w:hAnsi="Times New Roman"/>
          <w:szCs w:val="24"/>
        </w:rPr>
        <w:t>(</w:t>
      </w:r>
      <w:proofErr w:type="gramEnd"/>
      <w:r w:rsidRPr="00D9451B" w:rsidR="00D9451B">
        <w:rPr>
          <w:rFonts w:ascii="Times New Roman" w:hAnsi="Times New Roman"/>
          <w:szCs w:val="24"/>
        </w:rPr>
        <w:t>November 24,</w:t>
      </w:r>
      <w:r w:rsidRPr="00D9451B" w:rsidR="00AA7ECA">
        <w:rPr>
          <w:rFonts w:ascii="Times New Roman" w:hAnsi="Times New Roman"/>
          <w:szCs w:val="24"/>
        </w:rPr>
        <w:t xml:space="preserve"> 20</w:t>
      </w:r>
      <w:r w:rsidRPr="00D9451B" w:rsidR="00B36411">
        <w:rPr>
          <w:rFonts w:ascii="Times New Roman" w:hAnsi="Times New Roman"/>
          <w:szCs w:val="24"/>
        </w:rPr>
        <w:t>20</w:t>
      </w:r>
      <w:r w:rsidRPr="00D9451B" w:rsidR="00726591">
        <w:rPr>
          <w:rFonts w:ascii="Times New Roman" w:hAnsi="Times New Roman"/>
          <w:szCs w:val="24"/>
        </w:rPr>
        <w:t>).</w:t>
      </w:r>
      <w:bookmarkStart w:name="_Hlk61618955" w:id="0"/>
      <w:r w:rsidRPr="00580A99" w:rsidR="00DE7919">
        <w:rPr>
          <w:rFonts w:ascii="Times New Roman" w:hAnsi="Times New Roman"/>
        </w:rPr>
        <w:t xml:space="preserve"> </w:t>
      </w:r>
      <w:r w:rsidRPr="00580A99" w:rsidR="00580A99">
        <w:rPr>
          <w:rFonts w:ascii="Times New Roman" w:hAnsi="Times New Roman"/>
        </w:rPr>
        <w:t xml:space="preserve">The Commission received </w:t>
      </w:r>
      <w:r w:rsidR="004C1DB3">
        <w:rPr>
          <w:rFonts w:ascii="Times New Roman" w:hAnsi="Times New Roman"/>
        </w:rPr>
        <w:t>no relevant comments.</w:t>
      </w:r>
    </w:p>
    <w:bookmarkEnd w:id="0"/>
    <w:p w:rsidR="009332CD" w:rsidP="009332CD" w:rsidRDefault="009332CD" w14:paraId="75E036FC" w14:textId="77777777">
      <w:pPr>
        <w:rPr>
          <w:rFonts w:ascii="Times New Roman" w:hAnsi="Times New Roman"/>
        </w:rPr>
      </w:pPr>
    </w:p>
    <w:p w:rsidRPr="00674558" w:rsidR="00534B6B" w:rsidP="00534B6B" w:rsidRDefault="00534B6B" w14:paraId="35AA467A" w14:textId="77777777">
      <w:pPr>
        <w:tabs>
          <w:tab w:val="left" w:pos="-720"/>
          <w:tab w:val="left" w:pos="0"/>
        </w:tabs>
        <w:spacing w:after="240"/>
        <w:rPr>
          <w:rFonts w:ascii="Times New Roman" w:hAnsi="Times New Roman"/>
          <w:b/>
        </w:rPr>
      </w:pPr>
      <w:r w:rsidRPr="00674558">
        <w:rPr>
          <w:rFonts w:ascii="Times New Roman" w:hAnsi="Times New Roman"/>
          <w:b/>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3E1569" w:rsidR="00534B6B" w:rsidP="00534B6B" w:rsidRDefault="00534B6B" w14:paraId="605E8392" w14:textId="77777777">
      <w:pPr>
        <w:pStyle w:val="EndnoteText"/>
        <w:tabs>
          <w:tab w:val="left" w:pos="-720"/>
        </w:tabs>
        <w:spacing w:after="240"/>
        <w:rPr>
          <w:rFonts w:ascii="Times New Roman" w:hAnsi="Times New Roman"/>
          <w:szCs w:val="24"/>
        </w:rPr>
      </w:pPr>
      <w:r w:rsidRPr="003E1569">
        <w:rPr>
          <w:rFonts w:ascii="Times New Roman" w:hAnsi="Times New Roman"/>
          <w:szCs w:val="24"/>
        </w:rPr>
        <w:tab/>
        <w:t xml:space="preserve">The Commission </w:t>
      </w:r>
      <w:r w:rsidR="00B97FAD">
        <w:rPr>
          <w:rFonts w:ascii="Times New Roman" w:hAnsi="Times New Roman"/>
          <w:szCs w:val="24"/>
        </w:rPr>
        <w:t>sought</w:t>
      </w:r>
      <w:r w:rsidRPr="003E1569">
        <w:rPr>
          <w:rFonts w:ascii="Times New Roman" w:hAnsi="Times New Roman"/>
          <w:szCs w:val="24"/>
        </w:rPr>
        <w:t xml:space="preserve"> public comments on the collection of information.</w:t>
      </w:r>
    </w:p>
    <w:p w:rsidRPr="00674558" w:rsidR="00534B6B" w:rsidP="00534B6B" w:rsidRDefault="00534B6B" w14:paraId="24EA5C4C" w14:textId="77777777">
      <w:pPr>
        <w:tabs>
          <w:tab w:val="left" w:pos="-720"/>
          <w:tab w:val="left" w:pos="0"/>
        </w:tabs>
        <w:spacing w:after="240"/>
        <w:rPr>
          <w:rFonts w:ascii="Times New Roman" w:hAnsi="Times New Roman"/>
          <w:b/>
        </w:rPr>
      </w:pPr>
      <w:r w:rsidRPr="00674558">
        <w:rPr>
          <w:rFonts w:ascii="Times New Roman" w:hAnsi="Times New Roman"/>
          <w:b/>
        </w:rPr>
        <w:tab/>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3E1569" w:rsidR="00534B6B" w:rsidP="00534B6B" w:rsidRDefault="00534B6B" w14:paraId="4DE3846F" w14:textId="77777777">
      <w:pPr>
        <w:tabs>
          <w:tab w:val="left" w:pos="-720"/>
        </w:tabs>
        <w:spacing w:after="240"/>
        <w:rPr>
          <w:rFonts w:ascii="Times New Roman" w:hAnsi="Times New Roman"/>
        </w:rPr>
      </w:pPr>
      <w:r>
        <w:rPr>
          <w:rFonts w:ascii="Times New Roman" w:hAnsi="Times New Roman"/>
        </w:rPr>
        <w:tab/>
      </w:r>
      <w:r w:rsidR="00A341BD">
        <w:rPr>
          <w:rFonts w:ascii="Times New Roman" w:hAnsi="Times New Roman"/>
        </w:rPr>
        <w:t>This question does not apply</w:t>
      </w:r>
      <w:r>
        <w:rPr>
          <w:rFonts w:ascii="Times New Roman" w:hAnsi="Times New Roman"/>
        </w:rPr>
        <w:t>.</w:t>
      </w:r>
    </w:p>
    <w:p w:rsidRPr="00674558" w:rsidR="00534B6B" w:rsidP="00534B6B" w:rsidRDefault="00534B6B" w14:paraId="2C5C7256" w14:textId="77777777">
      <w:pPr>
        <w:tabs>
          <w:tab w:val="left" w:pos="-720"/>
          <w:tab w:val="left" w:pos="0"/>
        </w:tabs>
        <w:spacing w:after="240"/>
        <w:rPr>
          <w:rFonts w:ascii="Times New Roman" w:hAnsi="Times New Roman"/>
          <w:b/>
        </w:rPr>
      </w:pPr>
      <w:r w:rsidRPr="00674558">
        <w:rPr>
          <w:rFonts w:ascii="Times New Roman" w:hAnsi="Times New Roman"/>
          <w:b/>
        </w:rPr>
        <w:t>9.</w:t>
      </w:r>
      <w:r w:rsidRPr="00674558">
        <w:rPr>
          <w:rFonts w:ascii="Times New Roman" w:hAnsi="Times New Roman"/>
          <w:b/>
        </w:rPr>
        <w:tab/>
        <w:t>Explain any decision to provide any payment or gift to respondents, other than rem</w:t>
      </w:r>
      <w:r w:rsidR="00FD025A">
        <w:rPr>
          <w:rFonts w:ascii="Times New Roman" w:hAnsi="Times New Roman"/>
          <w:b/>
        </w:rPr>
        <w:t>un</w:t>
      </w:r>
      <w:r w:rsidRPr="00674558">
        <w:rPr>
          <w:rFonts w:ascii="Times New Roman" w:hAnsi="Times New Roman"/>
          <w:b/>
        </w:rPr>
        <w:t>eration of contractors or grantees.</w:t>
      </w:r>
    </w:p>
    <w:p w:rsidRPr="003E1569" w:rsidR="00534B6B" w:rsidP="00534B6B" w:rsidRDefault="00534B6B" w14:paraId="719B292D" w14:textId="77777777">
      <w:pPr>
        <w:tabs>
          <w:tab w:val="left" w:pos="-720"/>
        </w:tabs>
        <w:spacing w:after="240"/>
        <w:rPr>
          <w:rFonts w:ascii="Times New Roman" w:hAnsi="Times New Roman"/>
        </w:rPr>
      </w:pPr>
      <w:r w:rsidRPr="003E1569">
        <w:rPr>
          <w:rFonts w:ascii="Times New Roman" w:hAnsi="Times New Roman"/>
        </w:rPr>
        <w:tab/>
      </w:r>
      <w:r w:rsidR="00A341BD">
        <w:rPr>
          <w:rFonts w:ascii="Times New Roman" w:hAnsi="Times New Roman"/>
        </w:rPr>
        <w:t>This question does not apply</w:t>
      </w:r>
      <w:r w:rsidRPr="003E1569">
        <w:rPr>
          <w:rFonts w:ascii="Times New Roman" w:hAnsi="Times New Roman"/>
        </w:rPr>
        <w:t>.</w:t>
      </w:r>
    </w:p>
    <w:p w:rsidRPr="00674558" w:rsidR="00534B6B" w:rsidP="00534B6B" w:rsidRDefault="00534B6B" w14:paraId="68879EAD" w14:textId="77777777">
      <w:pPr>
        <w:tabs>
          <w:tab w:val="left" w:pos="-720"/>
        </w:tabs>
        <w:spacing w:after="240"/>
        <w:rPr>
          <w:rFonts w:ascii="Times New Roman" w:hAnsi="Times New Roman"/>
          <w:b/>
        </w:rPr>
      </w:pPr>
      <w:r w:rsidRPr="00674558">
        <w:rPr>
          <w:rFonts w:ascii="Times New Roman" w:hAnsi="Times New Roman"/>
          <w:b/>
        </w:rPr>
        <w:t>10.</w:t>
      </w:r>
      <w:r w:rsidRPr="00674558">
        <w:rPr>
          <w:rFonts w:ascii="Times New Roman" w:hAnsi="Times New Roman"/>
          <w:b/>
        </w:rPr>
        <w:tab/>
        <w:t>Describe any assurance of confidentiality provided to respondents and the basis for the assurance in statute, regulations, or agency policy.</w:t>
      </w:r>
    </w:p>
    <w:p w:rsidR="009532F8" w:rsidP="00534B6B" w:rsidRDefault="00534B6B" w14:paraId="35DF5274" w14:textId="77777777">
      <w:pPr>
        <w:tabs>
          <w:tab w:val="left" w:pos="-720"/>
        </w:tabs>
        <w:spacing w:after="240"/>
        <w:rPr>
          <w:rFonts w:ascii="Times New Roman" w:hAnsi="Times New Roman"/>
        </w:rPr>
      </w:pPr>
      <w:r w:rsidRPr="003E1569">
        <w:rPr>
          <w:rFonts w:ascii="Times New Roman" w:hAnsi="Times New Roman"/>
        </w:rPr>
        <w:tab/>
      </w:r>
      <w:r w:rsidR="009532F8">
        <w:rPr>
          <w:rFonts w:ascii="Times New Roman" w:hAnsi="Times New Roman"/>
        </w:rPr>
        <w:t>Section 23(h)(2)(A) of the CEA provides that the Commission, its officers and employees shall not disclose any information, including that provided by the whistleblower, that could reasonably be expected to reveal the identity of a whistleblower except under certain limited conditions.</w:t>
      </w:r>
    </w:p>
    <w:p w:rsidRPr="00674558" w:rsidR="00534B6B" w:rsidP="00534B6B" w:rsidRDefault="00534B6B" w14:paraId="536AEC6E" w14:textId="77777777">
      <w:pPr>
        <w:tabs>
          <w:tab w:val="left" w:pos="-720"/>
        </w:tabs>
        <w:spacing w:after="240"/>
        <w:rPr>
          <w:rFonts w:ascii="Times New Roman" w:hAnsi="Times New Roman"/>
          <w:b/>
        </w:rPr>
      </w:pPr>
      <w:r w:rsidRPr="00674558">
        <w:rPr>
          <w:rFonts w:ascii="Times New Roman" w:hAnsi="Times New Roman"/>
          <w:b/>
        </w:rPr>
        <w:t>11.</w:t>
      </w:r>
      <w:r w:rsidRPr="00674558">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3E1569" w:rsidR="00534B6B" w:rsidP="00534B6B" w:rsidRDefault="00534B6B" w14:paraId="47FD0BF5" w14:textId="77777777">
      <w:pPr>
        <w:tabs>
          <w:tab w:val="left" w:pos="-720"/>
        </w:tabs>
        <w:spacing w:after="240"/>
        <w:rPr>
          <w:rFonts w:ascii="Times New Roman" w:hAnsi="Times New Roman"/>
        </w:rPr>
      </w:pPr>
      <w:r w:rsidRPr="003E1569">
        <w:rPr>
          <w:rFonts w:ascii="Times New Roman" w:hAnsi="Times New Roman"/>
        </w:rPr>
        <w:lastRenderedPageBreak/>
        <w:tab/>
        <w:t>None of the regulations require the giving of sensitive information, as that term is used in Question 11.</w:t>
      </w:r>
    </w:p>
    <w:p w:rsidRPr="00674558" w:rsidR="00534B6B" w:rsidP="00534B6B" w:rsidRDefault="00534B6B" w14:paraId="51C0813B" w14:textId="77777777">
      <w:pPr>
        <w:tabs>
          <w:tab w:val="left" w:pos="-720"/>
          <w:tab w:val="left" w:pos="0"/>
        </w:tabs>
        <w:spacing w:after="240"/>
        <w:rPr>
          <w:rFonts w:ascii="Times New Roman" w:hAnsi="Times New Roman"/>
          <w:b/>
        </w:rPr>
      </w:pPr>
      <w:r w:rsidRPr="00674558">
        <w:rPr>
          <w:rFonts w:ascii="Times New Roman" w:hAnsi="Times New Roman"/>
          <w:b/>
        </w:rPr>
        <w:t>12.</w:t>
      </w:r>
      <w:r w:rsidRPr="00674558">
        <w:rPr>
          <w:rFonts w:ascii="Times New Roman" w:hAnsi="Times New Roman"/>
          <w:b/>
        </w:rPr>
        <w:tab/>
        <w:t>Provide estimates of the hour burden of the collection of information.  The Statement should:</w:t>
      </w:r>
    </w:p>
    <w:p w:rsidRPr="00674558" w:rsidR="00534B6B" w:rsidP="00534B6B" w:rsidRDefault="00534B6B" w14:paraId="612A9C5C" w14:textId="77777777">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674558">
        <w:rPr>
          <w:rFonts w:ascii="Times New Roman" w:hAnsi="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674558" w:rsidR="00534B6B" w:rsidP="00534B6B" w:rsidRDefault="00534B6B" w14:paraId="3ABD4CCA" w14:textId="77777777">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674558">
        <w:rPr>
          <w:rFonts w:ascii="Times New Roman" w:hAnsi="Times New Roman"/>
          <w:b/>
        </w:rPr>
        <w:t>If the request for approval covers more than one form, provide separate hour burden estimates for each form and aggregate the hour burdens in Item 13 of OMB Form 83-I.</w:t>
      </w:r>
    </w:p>
    <w:p w:rsidRPr="00674558" w:rsidR="00534B6B" w:rsidP="00534B6B" w:rsidRDefault="00534B6B" w14:paraId="0B37B348" w14:textId="77777777">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674558">
        <w:rPr>
          <w:rFonts w:ascii="Times New Roman" w:hAnsi="Times New Roman"/>
          <w:b/>
        </w:rPr>
        <w:t>Provide estimates of annualized cost to respondents for the hours burdens for collections of information, identifying and using appropriate wage rate categories.  The cost of contracting our or paying outside parties for information collection activities should not be included here.  Instead, this cost should be included in Item 13.</w:t>
      </w:r>
    </w:p>
    <w:p w:rsidR="00BE3902" w:rsidP="00BE3902" w:rsidRDefault="00534B6B" w14:paraId="72E59916" w14:textId="77777777">
      <w:pPr>
        <w:tabs>
          <w:tab w:val="left" w:pos="-720"/>
        </w:tabs>
        <w:spacing w:after="240"/>
        <w:rPr>
          <w:rFonts w:ascii="Times New Roman" w:hAnsi="Times New Roman"/>
        </w:rPr>
      </w:pPr>
      <w:r w:rsidRPr="003E1569">
        <w:rPr>
          <w:rFonts w:ascii="Times New Roman" w:hAnsi="Times New Roman"/>
        </w:rPr>
        <w:tab/>
      </w:r>
      <w:r w:rsidR="00A341BD">
        <w:rPr>
          <w:rFonts w:ascii="Times New Roman" w:hAnsi="Times New Roman"/>
        </w:rPr>
        <w:t xml:space="preserve">See </w:t>
      </w:r>
      <w:r w:rsidR="00847191">
        <w:rPr>
          <w:rFonts w:ascii="Times New Roman" w:hAnsi="Times New Roman"/>
        </w:rPr>
        <w:t>Table</w:t>
      </w:r>
      <w:r w:rsidR="001621CA">
        <w:rPr>
          <w:rFonts w:ascii="Times New Roman" w:hAnsi="Times New Roman"/>
        </w:rPr>
        <w:t>s</w:t>
      </w:r>
      <w:r w:rsidR="00A341BD">
        <w:rPr>
          <w:rFonts w:ascii="Times New Roman" w:hAnsi="Times New Roman"/>
        </w:rPr>
        <w:t xml:space="preserve"> A</w:t>
      </w:r>
      <w:r w:rsidR="00847191">
        <w:rPr>
          <w:rFonts w:ascii="Times New Roman" w:hAnsi="Times New Roman"/>
        </w:rPr>
        <w:t xml:space="preserve"> </w:t>
      </w:r>
      <w:r w:rsidR="001621CA">
        <w:rPr>
          <w:rFonts w:ascii="Times New Roman" w:hAnsi="Times New Roman"/>
        </w:rPr>
        <w:t xml:space="preserve">&amp; B </w:t>
      </w:r>
      <w:r w:rsidR="00847191">
        <w:rPr>
          <w:rFonts w:ascii="Times New Roman" w:hAnsi="Times New Roman"/>
        </w:rPr>
        <w:t>below.</w:t>
      </w:r>
      <w:r w:rsidR="00A341BD">
        <w:rPr>
          <w:rFonts w:ascii="Times New Roman" w:hAnsi="Times New Roman"/>
        </w:rPr>
        <w:t xml:space="preserve">  </w:t>
      </w:r>
      <w:r w:rsidRPr="003E1569">
        <w:rPr>
          <w:rFonts w:ascii="Times New Roman" w:hAnsi="Times New Roman"/>
        </w:rPr>
        <w:t xml:space="preserve">The Commission estimates that respondents will file </w:t>
      </w:r>
      <w:r w:rsidR="00FD025A">
        <w:rPr>
          <w:rFonts w:ascii="Times New Roman" w:hAnsi="Times New Roman"/>
        </w:rPr>
        <w:t>7</w:t>
      </w:r>
      <w:r w:rsidR="00322ED5">
        <w:rPr>
          <w:rFonts w:ascii="Times New Roman" w:hAnsi="Times New Roman"/>
        </w:rPr>
        <w:t>5</w:t>
      </w:r>
      <w:r w:rsidR="00CE4F9C">
        <w:rPr>
          <w:rFonts w:ascii="Times New Roman" w:hAnsi="Times New Roman"/>
        </w:rPr>
        <w:t>0</w:t>
      </w:r>
      <w:r w:rsidR="0017746A">
        <w:rPr>
          <w:rFonts w:ascii="Times New Roman" w:hAnsi="Times New Roman"/>
        </w:rPr>
        <w:t xml:space="preserve"> submissions of original information </w:t>
      </w:r>
      <w:r w:rsidR="00CE4F9C">
        <w:rPr>
          <w:rFonts w:ascii="Times New Roman" w:hAnsi="Times New Roman"/>
        </w:rPr>
        <w:t xml:space="preserve">(Form TCR) </w:t>
      </w:r>
      <w:r w:rsidR="0017746A">
        <w:rPr>
          <w:rFonts w:ascii="Times New Roman" w:hAnsi="Times New Roman"/>
        </w:rPr>
        <w:t xml:space="preserve">and </w:t>
      </w:r>
      <w:r w:rsidR="00322ED5">
        <w:rPr>
          <w:rFonts w:ascii="Times New Roman" w:hAnsi="Times New Roman"/>
        </w:rPr>
        <w:t>1</w:t>
      </w:r>
      <w:r w:rsidR="00FD025A">
        <w:rPr>
          <w:rFonts w:ascii="Times New Roman" w:hAnsi="Times New Roman"/>
        </w:rPr>
        <w:t>5</w:t>
      </w:r>
      <w:r w:rsidR="00322ED5">
        <w:rPr>
          <w:rFonts w:ascii="Times New Roman" w:hAnsi="Times New Roman"/>
        </w:rPr>
        <w:t>0</w:t>
      </w:r>
      <w:r w:rsidR="00CE4F9C">
        <w:rPr>
          <w:rFonts w:ascii="Times New Roman" w:hAnsi="Times New Roman"/>
        </w:rPr>
        <w:t xml:space="preserve"> </w:t>
      </w:r>
      <w:r w:rsidR="0017746A">
        <w:rPr>
          <w:rFonts w:ascii="Times New Roman" w:hAnsi="Times New Roman"/>
        </w:rPr>
        <w:t>requests for determinations of whistleblower awards</w:t>
      </w:r>
      <w:r w:rsidR="00CE4F9C">
        <w:rPr>
          <w:rFonts w:ascii="Times New Roman" w:hAnsi="Times New Roman"/>
        </w:rPr>
        <w:t xml:space="preserve"> (Form WB-APP)</w:t>
      </w:r>
      <w:r w:rsidR="009D0029">
        <w:rPr>
          <w:rFonts w:ascii="Times New Roman" w:hAnsi="Times New Roman"/>
        </w:rPr>
        <w:t>, for a total of 900 submissions</w:t>
      </w:r>
      <w:r w:rsidR="0017746A">
        <w:rPr>
          <w:rFonts w:ascii="Times New Roman" w:hAnsi="Times New Roman"/>
        </w:rPr>
        <w:t xml:space="preserve">.  </w:t>
      </w:r>
      <w:r w:rsidRPr="00CE4F9C" w:rsidR="00CE4F9C">
        <w:rPr>
          <w:rFonts w:ascii="Times New Roman" w:hAnsi="Times New Roman"/>
        </w:rPr>
        <w:t>The Commission estimated that this collecti</w:t>
      </w:r>
      <w:r w:rsidR="00322ED5">
        <w:rPr>
          <w:rFonts w:ascii="Times New Roman" w:hAnsi="Times New Roman"/>
        </w:rPr>
        <w:t>on would involve approximately 0</w:t>
      </w:r>
      <w:r w:rsidRPr="00CE4F9C" w:rsidR="00CE4F9C">
        <w:rPr>
          <w:rFonts w:ascii="Times New Roman" w:hAnsi="Times New Roman"/>
        </w:rPr>
        <w:t>.5 burden hours per Form TCR</w:t>
      </w:r>
      <w:r w:rsidR="00322ED5">
        <w:rPr>
          <w:rFonts w:ascii="Times New Roman" w:hAnsi="Times New Roman"/>
        </w:rPr>
        <w:t xml:space="preserve"> or Fo</w:t>
      </w:r>
      <w:r w:rsidRPr="00CE4F9C" w:rsidR="00CE4F9C">
        <w:rPr>
          <w:rFonts w:ascii="Times New Roman" w:hAnsi="Times New Roman"/>
        </w:rPr>
        <w:t>rm WB</w:t>
      </w:r>
      <w:r w:rsidR="00322ED5">
        <w:rPr>
          <w:rFonts w:ascii="Times New Roman" w:hAnsi="Times New Roman"/>
        </w:rPr>
        <w:t xml:space="preserve">-APP, for an annual aggregate </w:t>
      </w:r>
      <w:r w:rsidR="00FD025A">
        <w:rPr>
          <w:rFonts w:ascii="Times New Roman" w:hAnsi="Times New Roman"/>
        </w:rPr>
        <w:t>45</w:t>
      </w:r>
      <w:r w:rsidRPr="00CE4F9C" w:rsidR="00CE4F9C">
        <w:rPr>
          <w:rFonts w:ascii="Times New Roman" w:hAnsi="Times New Roman"/>
        </w:rPr>
        <w:t>0 burden hours per fiscal year.</w:t>
      </w:r>
      <w:r w:rsidR="007E3062">
        <w:rPr>
          <w:rFonts w:ascii="Times New Roman" w:hAnsi="Times New Roman"/>
        </w:rPr>
        <w:t xml:space="preserve">  </w:t>
      </w:r>
    </w:p>
    <w:p w:rsidRPr="00674558" w:rsidR="00534B6B" w:rsidP="00534B6B" w:rsidRDefault="00534B6B" w14:paraId="36EA364C" w14:textId="77777777">
      <w:pPr>
        <w:keepNext/>
        <w:tabs>
          <w:tab w:val="left" w:pos="-720"/>
          <w:tab w:val="left" w:pos="0"/>
        </w:tabs>
        <w:spacing w:after="240"/>
        <w:rPr>
          <w:rFonts w:ascii="Times New Roman" w:hAnsi="Times New Roman"/>
          <w:b/>
        </w:rPr>
      </w:pPr>
      <w:r w:rsidRPr="00674558">
        <w:rPr>
          <w:rFonts w:ascii="Times New Roman" w:hAnsi="Times New Roman"/>
          <w:b/>
        </w:rPr>
        <w:t>13.</w:t>
      </w:r>
      <w:r w:rsidRPr="00674558">
        <w:rPr>
          <w:rFonts w:ascii="Times New Roman" w:hAnsi="Times New Roman"/>
          <w:b/>
        </w:rPr>
        <w:tab/>
        <w:t>Provide an estimate of the total annual cost burden to respondents or recordkeepers resulting form the collection of information.  (Do not include the cost of any hour burden shown in Items 12 and 14).</w:t>
      </w:r>
    </w:p>
    <w:p w:rsidRPr="00674558" w:rsidR="00534B6B" w:rsidP="00534B6B" w:rsidRDefault="00534B6B" w14:paraId="5231CA10" w14:textId="77777777">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674558">
        <w:rPr>
          <w:rFonts w:ascii="Times New Roman" w:hAnsi="Times New Roman"/>
          <w:b/>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674558">
        <w:rPr>
          <w:rFonts w:ascii="Times New Roman" w:hAnsi="Times New Roman"/>
          <w:b/>
        </w:rPr>
        <w:t>take into account</w:t>
      </w:r>
      <w:proofErr w:type="gramEnd"/>
      <w:r w:rsidRPr="00674558">
        <w:rPr>
          <w:rFonts w:ascii="Times New Roman" w:hAnsi="Times New Roman"/>
          <w:b/>
        </w:rPr>
        <w:t xml:space="preserve">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674558" w:rsidR="00534B6B" w:rsidP="00534B6B" w:rsidRDefault="00534B6B" w14:paraId="5B21BA74" w14:textId="77777777">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674558">
        <w:rPr>
          <w:rFonts w:ascii="Times New Roman" w:hAnsi="Times New Roman"/>
          <w:b/>
        </w:rPr>
        <w:lastRenderedPageBreak/>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Pr="00674558" w:rsidR="00534B6B" w:rsidP="00534B6B" w:rsidRDefault="00534B6B" w14:paraId="37FACA89" w14:textId="77777777">
      <w:pPr>
        <w:numPr>
          <w:ilvl w:val="0"/>
          <w:numId w:val="1"/>
        </w:numPr>
        <w:tabs>
          <w:tab w:val="clear" w:pos="936"/>
          <w:tab w:val="left" w:pos="-720"/>
          <w:tab w:val="left" w:pos="0"/>
          <w:tab w:val="left" w:pos="720"/>
          <w:tab w:val="num" w:pos="1080"/>
        </w:tabs>
        <w:spacing w:after="240"/>
        <w:ind w:left="1080" w:hanging="360"/>
        <w:rPr>
          <w:rFonts w:ascii="Times New Roman" w:hAnsi="Times New Roman"/>
          <w:b/>
        </w:rPr>
      </w:pPr>
      <w:r w:rsidRPr="00674558">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3E1569" w:rsidR="00E03C8D" w:rsidP="00E03C8D" w:rsidRDefault="00E03C8D" w14:paraId="2B38ADCE" w14:textId="66F662F2">
      <w:pPr>
        <w:tabs>
          <w:tab w:val="left" w:pos="-720"/>
        </w:tabs>
        <w:spacing w:after="240"/>
        <w:ind w:firstLine="720"/>
        <w:rPr>
          <w:rFonts w:ascii="Times New Roman" w:hAnsi="Times New Roman"/>
        </w:rPr>
      </w:pPr>
      <w:r w:rsidRPr="003E1569">
        <w:rPr>
          <w:rFonts w:ascii="Times New Roman" w:hAnsi="Times New Roman"/>
        </w:rPr>
        <w:t xml:space="preserve">The </w:t>
      </w:r>
      <w:r>
        <w:rPr>
          <w:rFonts w:ascii="Times New Roman" w:hAnsi="Times New Roman"/>
        </w:rPr>
        <w:t xml:space="preserve">Commission estimates the </w:t>
      </w:r>
      <w:r w:rsidRPr="003E1569">
        <w:rPr>
          <w:rFonts w:ascii="Times New Roman" w:hAnsi="Times New Roman"/>
        </w:rPr>
        <w:t>cost of the hourly burden to be</w:t>
      </w:r>
      <w:r>
        <w:rPr>
          <w:rFonts w:ascii="Times New Roman" w:hAnsi="Times New Roman"/>
        </w:rPr>
        <w:t xml:space="preserve"> between $25.72 and $45.27 per hour for respondents to complete the required forms themselves.  The Commission also estimates that respondents</w:t>
      </w:r>
      <w:r w:rsidRPr="00BE3902">
        <w:rPr>
          <w:rFonts w:ascii="Times New Roman" w:hAnsi="Times New Roman"/>
        </w:rPr>
        <w:t xml:space="preserve"> will pay hourly fees to counsel for the submission of </w:t>
      </w:r>
      <w:r>
        <w:rPr>
          <w:rFonts w:ascii="Times New Roman" w:hAnsi="Times New Roman"/>
        </w:rPr>
        <w:t xml:space="preserve">approximately 7% of the </w:t>
      </w:r>
      <w:r w:rsidRPr="00CE4F9C">
        <w:rPr>
          <w:rFonts w:ascii="Times New Roman" w:hAnsi="Times New Roman"/>
        </w:rPr>
        <w:t>Form</w:t>
      </w:r>
      <w:r>
        <w:rPr>
          <w:rFonts w:ascii="Times New Roman" w:hAnsi="Times New Roman"/>
        </w:rPr>
        <w:t>s</w:t>
      </w:r>
      <w:r w:rsidRPr="00CE4F9C">
        <w:rPr>
          <w:rFonts w:ascii="Times New Roman" w:hAnsi="Times New Roman"/>
        </w:rPr>
        <w:t xml:space="preserve"> TCR</w:t>
      </w:r>
      <w:r>
        <w:rPr>
          <w:rFonts w:ascii="Times New Roman" w:hAnsi="Times New Roman"/>
        </w:rPr>
        <w:t xml:space="preserve"> and 20% of the Fo</w:t>
      </w:r>
      <w:r w:rsidRPr="00CE4F9C">
        <w:rPr>
          <w:rFonts w:ascii="Times New Roman" w:hAnsi="Times New Roman"/>
        </w:rPr>
        <w:t>rm</w:t>
      </w:r>
      <w:r>
        <w:rPr>
          <w:rFonts w:ascii="Times New Roman" w:hAnsi="Times New Roman"/>
        </w:rPr>
        <w:t>s</w:t>
      </w:r>
      <w:r w:rsidRPr="00CE4F9C">
        <w:rPr>
          <w:rFonts w:ascii="Times New Roman" w:hAnsi="Times New Roman"/>
        </w:rPr>
        <w:t xml:space="preserve"> WB</w:t>
      </w:r>
      <w:r>
        <w:rPr>
          <w:rFonts w:ascii="Times New Roman" w:hAnsi="Times New Roman"/>
        </w:rPr>
        <w:t>-APP</w:t>
      </w:r>
      <w:r w:rsidRPr="00BE3902">
        <w:rPr>
          <w:rFonts w:ascii="Times New Roman" w:hAnsi="Times New Roman"/>
        </w:rPr>
        <w:t xml:space="preserve"> annually</w:t>
      </w:r>
      <w:r>
        <w:rPr>
          <w:rFonts w:ascii="Times New Roman" w:hAnsi="Times New Roman"/>
        </w:rPr>
        <w:t>.</w:t>
      </w:r>
      <w:r w:rsidR="0094685C">
        <w:rPr>
          <w:rStyle w:val="FootnoteReference"/>
          <w:rFonts w:ascii="Times New Roman" w:hAnsi="Times New Roman"/>
        </w:rPr>
        <w:footnoteReference w:id="1"/>
      </w:r>
      <w:r>
        <w:rPr>
          <w:rFonts w:ascii="Times New Roman" w:hAnsi="Times New Roman"/>
        </w:rPr>
        <w:t xml:space="preserve"> The Commission further estimates that c</w:t>
      </w:r>
      <w:r w:rsidRPr="00BE3902">
        <w:rPr>
          <w:rFonts w:ascii="Times New Roman" w:hAnsi="Times New Roman"/>
        </w:rPr>
        <w:t xml:space="preserve">ounsel retained by </w:t>
      </w:r>
      <w:r>
        <w:rPr>
          <w:rFonts w:ascii="Times New Roman" w:hAnsi="Times New Roman"/>
        </w:rPr>
        <w:t>respondents</w:t>
      </w:r>
      <w:r w:rsidRPr="00BE3902">
        <w:rPr>
          <w:rFonts w:ascii="Times New Roman" w:hAnsi="Times New Roman"/>
        </w:rPr>
        <w:t xml:space="preserve"> pursuant to an hourly fee arrangement will </w:t>
      </w:r>
      <w:r>
        <w:rPr>
          <w:rFonts w:ascii="Times New Roman" w:hAnsi="Times New Roman"/>
        </w:rPr>
        <w:t>charge on average $500 per hour.</w:t>
      </w:r>
      <w:r w:rsidR="0094685C">
        <w:rPr>
          <w:rStyle w:val="FootnoteReference"/>
          <w:rFonts w:ascii="Times New Roman" w:hAnsi="Times New Roman"/>
        </w:rPr>
        <w:footnoteReference w:id="2"/>
      </w:r>
      <w:r>
        <w:rPr>
          <w:rFonts w:ascii="Times New Roman" w:hAnsi="Times New Roman"/>
        </w:rPr>
        <w:t xml:space="preserve"> </w:t>
      </w:r>
      <w:r w:rsidRPr="002B03AE">
        <w:rPr>
          <w:rFonts w:ascii="Times New Roman" w:hAnsi="Times New Roman"/>
          <w:i/>
        </w:rPr>
        <w:t>See also</w:t>
      </w:r>
      <w:r>
        <w:rPr>
          <w:rFonts w:ascii="Times New Roman" w:hAnsi="Times New Roman"/>
        </w:rPr>
        <w:t xml:space="preserve"> Table B below</w:t>
      </w:r>
      <w:r w:rsidRPr="003E1569">
        <w:rPr>
          <w:rFonts w:ascii="Times New Roman" w:hAnsi="Times New Roman"/>
        </w:rPr>
        <w:t>.</w:t>
      </w:r>
    </w:p>
    <w:p w:rsidRPr="00674558" w:rsidR="00534B6B" w:rsidP="00534B6B" w:rsidRDefault="00534B6B" w14:paraId="5129F02D" w14:textId="77777777">
      <w:pPr>
        <w:tabs>
          <w:tab w:val="left" w:pos="-720"/>
        </w:tabs>
        <w:spacing w:after="240"/>
        <w:rPr>
          <w:rFonts w:ascii="Times New Roman" w:hAnsi="Times New Roman"/>
          <w:b/>
        </w:rPr>
      </w:pPr>
      <w:r w:rsidRPr="00674558">
        <w:rPr>
          <w:rFonts w:ascii="Times New Roman" w:hAnsi="Times New Roman"/>
          <w:b/>
        </w:rPr>
        <w:t>14.</w:t>
      </w:r>
      <w:r w:rsidRPr="00674558">
        <w:rPr>
          <w:rFonts w:ascii="Times New Roman" w:hAnsi="Times New Roman"/>
          <w:b/>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Pr="003E1569" w:rsidR="00534B6B" w:rsidP="00534B6B" w:rsidRDefault="00534B6B" w14:paraId="50EFC2A4" w14:textId="77777777">
      <w:pPr>
        <w:tabs>
          <w:tab w:val="left" w:pos="-720"/>
        </w:tabs>
        <w:spacing w:after="240"/>
        <w:rPr>
          <w:rFonts w:ascii="Times New Roman" w:hAnsi="Times New Roman"/>
        </w:rPr>
      </w:pPr>
      <w:r w:rsidRPr="003E1569">
        <w:rPr>
          <w:rFonts w:ascii="Times New Roman" w:hAnsi="Times New Roman"/>
        </w:rPr>
        <w:tab/>
      </w:r>
      <w:r w:rsidRPr="003E1569" w:rsidR="00A341BD">
        <w:rPr>
          <w:rFonts w:ascii="Times New Roman" w:hAnsi="Times New Roman"/>
        </w:rPr>
        <w:t>This question does not apply</w:t>
      </w:r>
      <w:r w:rsidR="00A341BD">
        <w:rPr>
          <w:rFonts w:ascii="Times New Roman" w:hAnsi="Times New Roman"/>
        </w:rPr>
        <w:t xml:space="preserve"> because there are no new costs to </w:t>
      </w:r>
      <w:r w:rsidRPr="00A341BD" w:rsidR="00A341BD">
        <w:rPr>
          <w:rFonts w:ascii="Times New Roman" w:hAnsi="Times New Roman"/>
        </w:rPr>
        <w:t>the Federal Government</w:t>
      </w:r>
      <w:r w:rsidR="00A341BD">
        <w:rPr>
          <w:rFonts w:ascii="Times New Roman" w:hAnsi="Times New Roman"/>
        </w:rPr>
        <w:t xml:space="preserve"> associated with this renewed information collection</w:t>
      </w:r>
      <w:r w:rsidRPr="003E1569">
        <w:rPr>
          <w:rFonts w:ascii="Times New Roman" w:hAnsi="Times New Roman"/>
        </w:rPr>
        <w:t>.</w:t>
      </w:r>
    </w:p>
    <w:p w:rsidRPr="00674558" w:rsidR="00534B6B" w:rsidP="00534B6B" w:rsidRDefault="00534B6B" w14:paraId="190AF4AF" w14:textId="77777777">
      <w:pPr>
        <w:tabs>
          <w:tab w:val="left" w:pos="-720"/>
          <w:tab w:val="left" w:pos="0"/>
        </w:tabs>
        <w:spacing w:after="240"/>
        <w:rPr>
          <w:rFonts w:ascii="Times New Roman" w:hAnsi="Times New Roman"/>
          <w:b/>
        </w:rPr>
      </w:pPr>
      <w:r w:rsidRPr="00674558">
        <w:rPr>
          <w:rFonts w:ascii="Times New Roman" w:hAnsi="Times New Roman"/>
          <w:b/>
        </w:rPr>
        <w:lastRenderedPageBreak/>
        <w:t>15.</w:t>
      </w:r>
      <w:r w:rsidRPr="00674558">
        <w:rPr>
          <w:rFonts w:ascii="Times New Roman" w:hAnsi="Times New Roman"/>
          <w:b/>
        </w:rPr>
        <w:tab/>
        <w:t>Explain the reasons for any program changes or adjustments reported in Items 13 or 14 of the OMB Form 83-I.</w:t>
      </w:r>
    </w:p>
    <w:p w:rsidRPr="00C172CB" w:rsidR="00C172CB" w:rsidP="00C172CB" w:rsidRDefault="006A739A" w14:paraId="2DEC20F8" w14:textId="4B4587BA">
      <w:pPr>
        <w:tabs>
          <w:tab w:val="left" w:pos="-720"/>
        </w:tabs>
        <w:spacing w:after="240"/>
        <w:rPr>
          <w:rFonts w:ascii="Times New Roman" w:hAnsi="Times New Roman"/>
        </w:rPr>
      </w:pPr>
      <w:r>
        <w:rPr>
          <w:rFonts w:ascii="Times New Roman" w:hAnsi="Times New Roman"/>
        </w:rPr>
        <w:tab/>
      </w:r>
      <w:bookmarkStart w:name="_GoBack" w:id="1"/>
      <w:r w:rsidRPr="00C172CB" w:rsidR="00C172CB">
        <w:rPr>
          <w:rFonts w:ascii="Times New Roman" w:hAnsi="Times New Roman"/>
        </w:rPr>
        <w:t xml:space="preserve">The number of responses </w:t>
      </w:r>
      <w:proofErr w:type="gramStart"/>
      <w:r w:rsidRPr="00C172CB" w:rsidR="00C172CB">
        <w:rPr>
          <w:rFonts w:ascii="Times New Roman" w:hAnsi="Times New Roman"/>
        </w:rPr>
        <w:t>are</w:t>
      </w:r>
      <w:proofErr w:type="gramEnd"/>
      <w:r w:rsidRPr="00C172CB" w:rsidR="00C172CB">
        <w:rPr>
          <w:rFonts w:ascii="Times New Roman" w:hAnsi="Times New Roman"/>
        </w:rPr>
        <w:t xml:space="preserve"> expected to increase</w:t>
      </w:r>
      <w:r w:rsidR="00C172CB">
        <w:rPr>
          <w:rFonts w:ascii="Times New Roman" w:hAnsi="Times New Roman"/>
        </w:rPr>
        <w:t xml:space="preserve"> from 600 previously to 900</w:t>
      </w:r>
      <w:r w:rsidRPr="00C172CB" w:rsidR="00C172CB">
        <w:rPr>
          <w:rFonts w:ascii="Times New Roman" w:hAnsi="Times New Roman"/>
        </w:rPr>
        <w:t>, but the expected time to complete each form remains unchanged</w:t>
      </w:r>
      <w:r w:rsidR="001B49D9">
        <w:rPr>
          <w:rFonts w:ascii="Times New Roman" w:hAnsi="Times New Roman"/>
        </w:rPr>
        <w:t xml:space="preserve">, at 0.5 </w:t>
      </w:r>
      <w:proofErr w:type="spellStart"/>
      <w:r w:rsidR="001B49D9">
        <w:rPr>
          <w:rFonts w:ascii="Times New Roman" w:hAnsi="Times New Roman"/>
        </w:rPr>
        <w:t>hr</w:t>
      </w:r>
      <w:proofErr w:type="spellEnd"/>
      <w:r w:rsidR="001B49D9">
        <w:rPr>
          <w:rFonts w:ascii="Times New Roman" w:hAnsi="Times New Roman"/>
        </w:rPr>
        <w:t xml:space="preserve"> per form</w:t>
      </w:r>
      <w:r w:rsidRPr="00C172CB" w:rsidR="00C172CB">
        <w:rPr>
          <w:rFonts w:ascii="Times New Roman" w:hAnsi="Times New Roman"/>
        </w:rPr>
        <w:t>.  This result</w:t>
      </w:r>
      <w:r w:rsidR="00C172CB">
        <w:rPr>
          <w:rFonts w:ascii="Times New Roman" w:hAnsi="Times New Roman"/>
        </w:rPr>
        <w:t>s</w:t>
      </w:r>
      <w:r w:rsidRPr="00C172CB" w:rsidR="00C172CB">
        <w:rPr>
          <w:rFonts w:ascii="Times New Roman" w:hAnsi="Times New Roman"/>
        </w:rPr>
        <w:t xml:space="preserve"> </w:t>
      </w:r>
      <w:r w:rsidR="00C172CB">
        <w:rPr>
          <w:rFonts w:ascii="Times New Roman" w:hAnsi="Times New Roman"/>
        </w:rPr>
        <w:t>in 450 hours as the total annual burden hours during the renewal period</w:t>
      </w:r>
      <w:r w:rsidRPr="00C172CB" w:rsidR="00C172CB">
        <w:rPr>
          <w:rFonts w:ascii="Times New Roman" w:hAnsi="Times New Roman"/>
        </w:rPr>
        <w:t xml:space="preserve">.  </w:t>
      </w:r>
    </w:p>
    <w:bookmarkEnd w:id="1"/>
    <w:p w:rsidRPr="00674558" w:rsidR="00534B6B" w:rsidP="00534B6B" w:rsidRDefault="00534B6B" w14:paraId="0AC27589" w14:textId="77777777">
      <w:pPr>
        <w:tabs>
          <w:tab w:val="left" w:pos="-720"/>
          <w:tab w:val="left" w:pos="0"/>
        </w:tabs>
        <w:spacing w:after="240"/>
        <w:rPr>
          <w:rFonts w:ascii="Times New Roman" w:hAnsi="Times New Roman"/>
          <w:b/>
        </w:rPr>
      </w:pPr>
      <w:r w:rsidRPr="00674558">
        <w:rPr>
          <w:rFonts w:ascii="Times New Roman" w:hAnsi="Times New Roman"/>
          <w:b/>
        </w:rPr>
        <w:t>16.</w:t>
      </w:r>
      <w:r w:rsidRPr="00674558">
        <w:rPr>
          <w:rFonts w:ascii="Times New Roman" w:hAnsi="Times New Roman"/>
          <w:b/>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Pr="003E1569" w:rsidR="00534B6B" w:rsidP="00534B6B" w:rsidRDefault="00534B6B" w14:paraId="6123CC94" w14:textId="77777777">
      <w:pPr>
        <w:tabs>
          <w:tab w:val="left" w:pos="-720"/>
        </w:tabs>
        <w:spacing w:after="240"/>
        <w:rPr>
          <w:rFonts w:ascii="Times New Roman" w:hAnsi="Times New Roman"/>
        </w:rPr>
      </w:pPr>
      <w:r w:rsidRPr="003E1569">
        <w:rPr>
          <w:rFonts w:ascii="Times New Roman" w:hAnsi="Times New Roman"/>
        </w:rPr>
        <w:tab/>
        <w:t>This question does not apply.</w:t>
      </w:r>
    </w:p>
    <w:p w:rsidRPr="00674558" w:rsidR="00534B6B" w:rsidP="00534B6B" w:rsidRDefault="00534B6B" w14:paraId="356C325E" w14:textId="77777777">
      <w:pPr>
        <w:tabs>
          <w:tab w:val="left" w:pos="-720"/>
          <w:tab w:val="left" w:pos="0"/>
        </w:tabs>
        <w:spacing w:after="240"/>
        <w:rPr>
          <w:rFonts w:ascii="Times New Roman" w:hAnsi="Times New Roman"/>
          <w:b/>
        </w:rPr>
      </w:pPr>
      <w:r w:rsidRPr="00674558">
        <w:rPr>
          <w:rFonts w:ascii="Times New Roman" w:hAnsi="Times New Roman"/>
          <w:b/>
        </w:rPr>
        <w:t>17.</w:t>
      </w:r>
      <w:r w:rsidRPr="00674558">
        <w:rPr>
          <w:rFonts w:ascii="Times New Roman" w:hAnsi="Times New Roman"/>
          <w:b/>
        </w:rPr>
        <w:tab/>
        <w:t>If seeking approval to not display the expiration date for OMB approval of the information collection, explain the reasons that display would be inappropriate.</w:t>
      </w:r>
    </w:p>
    <w:p w:rsidRPr="003E1569" w:rsidR="00534B6B" w:rsidP="00534B6B" w:rsidRDefault="00534B6B" w14:paraId="12D50982" w14:textId="77777777">
      <w:pPr>
        <w:tabs>
          <w:tab w:val="left" w:pos="-720"/>
        </w:tabs>
        <w:spacing w:after="240"/>
        <w:rPr>
          <w:rFonts w:ascii="Times New Roman" w:hAnsi="Times New Roman"/>
        </w:rPr>
      </w:pPr>
      <w:r w:rsidRPr="003E1569">
        <w:rPr>
          <w:rFonts w:ascii="Times New Roman" w:hAnsi="Times New Roman"/>
        </w:rPr>
        <w:tab/>
        <w:t>This question does not apply.</w:t>
      </w:r>
    </w:p>
    <w:p w:rsidRPr="00674558" w:rsidR="00534B6B" w:rsidP="00534B6B" w:rsidRDefault="00534B6B" w14:paraId="11DA6D09" w14:textId="77777777">
      <w:pPr>
        <w:keepNext/>
        <w:tabs>
          <w:tab w:val="left" w:pos="-720"/>
          <w:tab w:val="left" w:pos="0"/>
        </w:tabs>
        <w:spacing w:after="240"/>
        <w:rPr>
          <w:rFonts w:ascii="Times New Roman" w:hAnsi="Times New Roman"/>
          <w:b/>
        </w:rPr>
      </w:pPr>
      <w:r w:rsidRPr="00674558">
        <w:rPr>
          <w:rFonts w:ascii="Times New Roman" w:hAnsi="Times New Roman"/>
          <w:b/>
        </w:rPr>
        <w:t>18.</w:t>
      </w:r>
      <w:r w:rsidRPr="00674558">
        <w:rPr>
          <w:rFonts w:ascii="Times New Roman" w:hAnsi="Times New Roman"/>
          <w:b/>
        </w:rPr>
        <w:tab/>
        <w:t>Explain each exception to the certification statement identified in Item 19, "Certification for Paperwork Reduction Act Submissions," of OMB Form 83-I.</w:t>
      </w:r>
    </w:p>
    <w:p w:rsidR="00534B6B" w:rsidP="00534B6B" w:rsidRDefault="00534B6B" w14:paraId="0395BD94" w14:textId="77777777">
      <w:pPr>
        <w:tabs>
          <w:tab w:val="left" w:pos="-720"/>
        </w:tabs>
        <w:spacing w:after="240"/>
        <w:rPr>
          <w:rFonts w:ascii="Times New Roman" w:hAnsi="Times New Roman"/>
        </w:rPr>
      </w:pPr>
      <w:r w:rsidRPr="003E1569">
        <w:rPr>
          <w:rFonts w:ascii="Times New Roman" w:hAnsi="Times New Roman"/>
        </w:rPr>
        <w:tab/>
        <w:t>This question does not apply.</w:t>
      </w:r>
    </w:p>
    <w:p w:rsidR="00AF4A73" w:rsidRDefault="00AF4A73" w14:paraId="229678EF" w14:textId="77777777">
      <w:pPr>
        <w:rPr>
          <w:rFonts w:ascii="Times New Roman" w:hAnsi="Times New Roman"/>
        </w:rPr>
      </w:pPr>
    </w:p>
    <w:p w:rsidRPr="00204C5C" w:rsidR="00204C5C" w:rsidRDefault="00204C5C" w14:paraId="01AA3C13" w14:textId="77777777">
      <w:pPr>
        <w:rPr>
          <w:rFonts w:ascii="Times New Roman" w:hAnsi="Times New Roman"/>
        </w:rPr>
      </w:pPr>
    </w:p>
    <w:p w:rsidR="00847191" w:rsidRDefault="00847191" w14:paraId="7ACF50CF" w14:textId="77777777">
      <w:pPr>
        <w:rPr>
          <w:rFonts w:ascii="Times New Roman" w:hAnsi="Times New Roman"/>
          <w:u w:val="single"/>
        </w:rPr>
      </w:pPr>
      <w:r w:rsidRPr="00847191">
        <w:rPr>
          <w:rFonts w:ascii="Times New Roman" w:hAnsi="Times New Roman"/>
          <w:u w:val="single"/>
        </w:rPr>
        <w:t>Table A</w:t>
      </w:r>
    </w:p>
    <w:p w:rsidR="00847191" w:rsidRDefault="00847191" w14:paraId="7E5BFFF8" w14:textId="77777777">
      <w:pPr>
        <w:rPr>
          <w:rFonts w:ascii="Times New Roman" w:hAnsi="Times New Roman"/>
          <w:u w:val="singl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82"/>
        <w:gridCol w:w="4668"/>
      </w:tblGrid>
      <w:tr w:rsidRPr="00D357DC" w:rsidR="00204C5C" w:rsidTr="00D357DC" w14:paraId="4BFA818B" w14:textId="77777777">
        <w:tc>
          <w:tcPr>
            <w:tcW w:w="4788" w:type="dxa"/>
            <w:vMerge w:val="restart"/>
            <w:shd w:val="clear" w:color="auto" w:fill="auto"/>
          </w:tcPr>
          <w:p w:rsidRPr="00D357DC" w:rsidR="00204C5C" w:rsidP="00D357DC" w:rsidRDefault="00204C5C" w14:paraId="2A77D2B1" w14:textId="77777777">
            <w:pPr>
              <w:spacing w:after="120"/>
              <w:rPr>
                <w:rFonts w:ascii="Times New Roman" w:hAnsi="Times New Roman"/>
              </w:rPr>
            </w:pPr>
            <w:r w:rsidRPr="00D357DC">
              <w:rPr>
                <w:rFonts w:ascii="Times New Roman" w:hAnsi="Times New Roman"/>
              </w:rPr>
              <w:t>Number of Respondents</w:t>
            </w:r>
          </w:p>
        </w:tc>
        <w:tc>
          <w:tcPr>
            <w:tcW w:w="4788" w:type="dxa"/>
            <w:shd w:val="clear" w:color="auto" w:fill="auto"/>
          </w:tcPr>
          <w:p w:rsidRPr="00D357DC" w:rsidR="00204C5C" w:rsidP="00D357DC" w:rsidRDefault="00204C5C" w14:paraId="51DAA50B" w14:textId="77777777">
            <w:pPr>
              <w:spacing w:after="120"/>
              <w:rPr>
                <w:rFonts w:ascii="Times New Roman" w:hAnsi="Times New Roman"/>
              </w:rPr>
            </w:pPr>
            <w:r w:rsidRPr="00D357DC">
              <w:rPr>
                <w:rFonts w:ascii="Times New Roman" w:hAnsi="Times New Roman"/>
              </w:rPr>
              <w:t>750 (Form TCR)</w:t>
            </w:r>
          </w:p>
        </w:tc>
      </w:tr>
      <w:tr w:rsidRPr="00D357DC" w:rsidR="00204C5C" w:rsidTr="00D357DC" w14:paraId="62147CFF" w14:textId="77777777">
        <w:tc>
          <w:tcPr>
            <w:tcW w:w="4788" w:type="dxa"/>
            <w:vMerge/>
            <w:shd w:val="clear" w:color="auto" w:fill="auto"/>
          </w:tcPr>
          <w:p w:rsidRPr="00D357DC" w:rsidR="00204C5C" w:rsidP="00D357DC" w:rsidRDefault="00204C5C" w14:paraId="64489693" w14:textId="77777777">
            <w:pPr>
              <w:spacing w:after="120"/>
              <w:rPr>
                <w:rFonts w:ascii="Times New Roman" w:hAnsi="Times New Roman"/>
              </w:rPr>
            </w:pPr>
          </w:p>
        </w:tc>
        <w:tc>
          <w:tcPr>
            <w:tcW w:w="4788" w:type="dxa"/>
            <w:shd w:val="clear" w:color="auto" w:fill="auto"/>
          </w:tcPr>
          <w:p w:rsidRPr="00D357DC" w:rsidR="00204C5C" w:rsidP="00D357DC" w:rsidRDefault="00204C5C" w14:paraId="4FC56084" w14:textId="77777777">
            <w:pPr>
              <w:spacing w:after="120"/>
              <w:rPr>
                <w:rFonts w:ascii="Times New Roman" w:hAnsi="Times New Roman"/>
              </w:rPr>
            </w:pPr>
            <w:r w:rsidRPr="00D357DC">
              <w:rPr>
                <w:rFonts w:ascii="Times New Roman" w:hAnsi="Times New Roman"/>
              </w:rPr>
              <w:t>150 (Form WB-APP)</w:t>
            </w:r>
          </w:p>
        </w:tc>
      </w:tr>
      <w:tr w:rsidRPr="00D357DC" w:rsidR="00204C5C" w:rsidTr="00D357DC" w14:paraId="71374F96" w14:textId="77777777">
        <w:tc>
          <w:tcPr>
            <w:tcW w:w="4788" w:type="dxa"/>
            <w:vMerge w:val="restart"/>
            <w:shd w:val="clear" w:color="auto" w:fill="auto"/>
          </w:tcPr>
          <w:p w:rsidRPr="00D357DC" w:rsidR="00204C5C" w:rsidP="00D357DC" w:rsidRDefault="00204C5C" w14:paraId="470C22B2" w14:textId="77777777">
            <w:pPr>
              <w:spacing w:after="120"/>
              <w:rPr>
                <w:rFonts w:ascii="Times New Roman" w:hAnsi="Times New Roman"/>
              </w:rPr>
            </w:pPr>
            <w:r w:rsidRPr="00D357DC">
              <w:rPr>
                <w:rFonts w:ascii="Times New Roman" w:hAnsi="Times New Roman"/>
              </w:rPr>
              <w:t>Estimated Average Hours Per Response</w:t>
            </w:r>
          </w:p>
        </w:tc>
        <w:tc>
          <w:tcPr>
            <w:tcW w:w="4788" w:type="dxa"/>
            <w:shd w:val="clear" w:color="auto" w:fill="auto"/>
          </w:tcPr>
          <w:p w:rsidRPr="00D357DC" w:rsidR="00204C5C" w:rsidP="00D357DC" w:rsidRDefault="00204C5C" w14:paraId="379BDB42" w14:textId="77777777">
            <w:pPr>
              <w:spacing w:after="120"/>
              <w:rPr>
                <w:rFonts w:ascii="Times New Roman" w:hAnsi="Times New Roman"/>
              </w:rPr>
            </w:pPr>
            <w:r w:rsidRPr="00D357DC">
              <w:rPr>
                <w:rFonts w:ascii="Times New Roman" w:hAnsi="Times New Roman"/>
              </w:rPr>
              <w:t>0.5 (Form TCR)</w:t>
            </w:r>
          </w:p>
        </w:tc>
      </w:tr>
      <w:tr w:rsidRPr="00D357DC" w:rsidR="00204C5C" w:rsidTr="00D357DC" w14:paraId="56927B21" w14:textId="77777777">
        <w:tc>
          <w:tcPr>
            <w:tcW w:w="4788" w:type="dxa"/>
            <w:vMerge/>
            <w:shd w:val="clear" w:color="auto" w:fill="auto"/>
          </w:tcPr>
          <w:p w:rsidRPr="00D357DC" w:rsidR="00204C5C" w:rsidP="00D357DC" w:rsidRDefault="00204C5C" w14:paraId="71F51ACF" w14:textId="77777777">
            <w:pPr>
              <w:spacing w:after="120"/>
              <w:rPr>
                <w:rFonts w:ascii="Times New Roman" w:hAnsi="Times New Roman"/>
              </w:rPr>
            </w:pPr>
          </w:p>
        </w:tc>
        <w:tc>
          <w:tcPr>
            <w:tcW w:w="4788" w:type="dxa"/>
            <w:shd w:val="clear" w:color="auto" w:fill="auto"/>
          </w:tcPr>
          <w:p w:rsidRPr="00D357DC" w:rsidR="00204C5C" w:rsidP="00D357DC" w:rsidRDefault="00204C5C" w14:paraId="63127800" w14:textId="77777777">
            <w:pPr>
              <w:spacing w:after="120"/>
              <w:rPr>
                <w:rFonts w:ascii="Times New Roman" w:hAnsi="Times New Roman"/>
              </w:rPr>
            </w:pPr>
            <w:r w:rsidRPr="00D357DC">
              <w:rPr>
                <w:rFonts w:ascii="Times New Roman" w:hAnsi="Times New Roman"/>
              </w:rPr>
              <w:t>0.5 (Form WB-APP)</w:t>
            </w:r>
          </w:p>
        </w:tc>
      </w:tr>
      <w:tr w:rsidRPr="00D357DC" w:rsidR="001621CA" w:rsidTr="00D357DC" w14:paraId="712545F1" w14:textId="77777777">
        <w:tc>
          <w:tcPr>
            <w:tcW w:w="4788" w:type="dxa"/>
            <w:shd w:val="clear" w:color="auto" w:fill="auto"/>
          </w:tcPr>
          <w:p w:rsidRPr="00D357DC" w:rsidR="001621CA" w:rsidP="00D357DC" w:rsidRDefault="00204C5C" w14:paraId="4C8A86BE" w14:textId="77777777">
            <w:pPr>
              <w:spacing w:after="120"/>
              <w:rPr>
                <w:rFonts w:ascii="Times New Roman" w:hAnsi="Times New Roman"/>
              </w:rPr>
            </w:pPr>
            <w:r w:rsidRPr="00D357DC">
              <w:rPr>
                <w:rFonts w:ascii="Times New Roman" w:hAnsi="Times New Roman"/>
              </w:rPr>
              <w:t>% of Responses Collected Electronically</w:t>
            </w:r>
          </w:p>
        </w:tc>
        <w:tc>
          <w:tcPr>
            <w:tcW w:w="4788" w:type="dxa"/>
            <w:shd w:val="clear" w:color="auto" w:fill="auto"/>
          </w:tcPr>
          <w:p w:rsidRPr="00D357DC" w:rsidR="001621CA" w:rsidP="00D357DC" w:rsidRDefault="00204C5C" w14:paraId="795FF41F" w14:textId="77777777">
            <w:pPr>
              <w:spacing w:after="120"/>
              <w:rPr>
                <w:rFonts w:ascii="Times New Roman" w:hAnsi="Times New Roman"/>
              </w:rPr>
            </w:pPr>
            <w:r w:rsidRPr="00D357DC">
              <w:rPr>
                <w:rFonts w:ascii="Times New Roman" w:hAnsi="Times New Roman"/>
              </w:rPr>
              <w:t>95%</w:t>
            </w:r>
          </w:p>
        </w:tc>
      </w:tr>
      <w:tr w:rsidRPr="00D357DC" w:rsidR="001621CA" w:rsidTr="00D357DC" w14:paraId="3361C944" w14:textId="77777777">
        <w:tc>
          <w:tcPr>
            <w:tcW w:w="4788" w:type="dxa"/>
            <w:shd w:val="clear" w:color="auto" w:fill="auto"/>
          </w:tcPr>
          <w:p w:rsidRPr="00D357DC" w:rsidR="001621CA" w:rsidP="00D357DC" w:rsidRDefault="00204C5C" w14:paraId="3DF911FB" w14:textId="77777777">
            <w:pPr>
              <w:spacing w:after="120"/>
              <w:rPr>
                <w:rFonts w:ascii="Times New Roman" w:hAnsi="Times New Roman"/>
              </w:rPr>
            </w:pPr>
            <w:r w:rsidRPr="00D357DC">
              <w:rPr>
                <w:rFonts w:ascii="Times New Roman" w:hAnsi="Times New Roman"/>
              </w:rPr>
              <w:t>Frequency of Reporting</w:t>
            </w:r>
          </w:p>
        </w:tc>
        <w:tc>
          <w:tcPr>
            <w:tcW w:w="4788" w:type="dxa"/>
            <w:shd w:val="clear" w:color="auto" w:fill="auto"/>
          </w:tcPr>
          <w:p w:rsidRPr="00D357DC" w:rsidR="001621CA" w:rsidP="00D357DC" w:rsidRDefault="00204C5C" w14:paraId="1733A586" w14:textId="77777777">
            <w:pPr>
              <w:spacing w:after="120"/>
              <w:rPr>
                <w:rFonts w:ascii="Times New Roman" w:hAnsi="Times New Roman"/>
              </w:rPr>
            </w:pPr>
            <w:r w:rsidRPr="00D357DC">
              <w:rPr>
                <w:rFonts w:ascii="Times New Roman" w:hAnsi="Times New Roman"/>
              </w:rPr>
              <w:t>Annual Report to Congress</w:t>
            </w:r>
          </w:p>
        </w:tc>
      </w:tr>
    </w:tbl>
    <w:p w:rsidR="001621CA" w:rsidRDefault="001621CA" w14:paraId="49730966" w14:textId="77777777">
      <w:pPr>
        <w:rPr>
          <w:rFonts w:ascii="Times New Roman" w:hAnsi="Times New Roman"/>
          <w:u w:val="single"/>
        </w:rPr>
      </w:pPr>
    </w:p>
    <w:p w:rsidRPr="00847191" w:rsidR="00204C5C" w:rsidRDefault="00204C5C" w14:paraId="5D3C63C5" w14:textId="77777777">
      <w:pPr>
        <w:rPr>
          <w:rFonts w:ascii="Times New Roman" w:hAnsi="Times New Roman"/>
          <w:u w:val="single"/>
        </w:rPr>
      </w:pPr>
    </w:p>
    <w:p w:rsidRPr="00204C5C" w:rsidR="00847191" w:rsidP="00204C5C" w:rsidRDefault="00204C5C" w14:paraId="70CC74F9" w14:textId="77777777">
      <w:pPr>
        <w:pStyle w:val="Title"/>
        <w:tabs>
          <w:tab w:val="center" w:pos="7200"/>
        </w:tabs>
        <w:spacing w:after="240"/>
        <w:jc w:val="left"/>
        <w:rPr>
          <w:b w:val="0"/>
          <w:sz w:val="24"/>
          <w:szCs w:val="24"/>
          <w:u w:val="single"/>
        </w:rPr>
      </w:pPr>
      <w:r w:rsidRPr="00204C5C">
        <w:rPr>
          <w:b w:val="0"/>
          <w:sz w:val="24"/>
          <w:szCs w:val="24"/>
          <w:u w:val="single"/>
        </w:rPr>
        <w:t>Table B</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394"/>
        <w:gridCol w:w="2394"/>
        <w:gridCol w:w="2394"/>
        <w:gridCol w:w="2394"/>
      </w:tblGrid>
      <w:tr w:rsidR="00847191" w:rsidTr="00847191" w14:paraId="54861667" w14:textId="77777777">
        <w:tc>
          <w:tcPr>
            <w:tcW w:w="2394" w:type="dxa"/>
            <w:tcBorders>
              <w:top w:val="single" w:color="auto" w:sz="4" w:space="0"/>
              <w:left w:val="single" w:color="auto" w:sz="4" w:space="0"/>
              <w:bottom w:val="single" w:color="auto" w:sz="4" w:space="0"/>
              <w:right w:val="single" w:color="auto" w:sz="4" w:space="0"/>
            </w:tcBorders>
            <w:hideMark/>
          </w:tcPr>
          <w:p w:rsidR="00847191" w:rsidRDefault="00847191" w14:paraId="6EB070B0" w14:textId="77777777">
            <w:pPr>
              <w:spacing w:before="60" w:after="60"/>
              <w:jc w:val="center"/>
              <w:rPr>
                <w:rFonts w:ascii="Times New Roman" w:hAnsi="Times New Roman"/>
                <w:b/>
              </w:rPr>
            </w:pPr>
            <w:r>
              <w:rPr>
                <w:rFonts w:ascii="Times New Roman" w:hAnsi="Times New Roman"/>
                <w:b/>
              </w:rPr>
              <w:t>Responses</w:t>
            </w:r>
          </w:p>
        </w:tc>
        <w:tc>
          <w:tcPr>
            <w:tcW w:w="2394" w:type="dxa"/>
            <w:tcBorders>
              <w:top w:val="single" w:color="auto" w:sz="4" w:space="0"/>
              <w:left w:val="single" w:color="auto" w:sz="4" w:space="0"/>
              <w:bottom w:val="single" w:color="auto" w:sz="4" w:space="0"/>
              <w:right w:val="single" w:color="auto" w:sz="4" w:space="0"/>
            </w:tcBorders>
            <w:hideMark/>
          </w:tcPr>
          <w:p w:rsidR="00847191" w:rsidRDefault="00847191" w14:paraId="01DFF013" w14:textId="77777777">
            <w:pPr>
              <w:spacing w:before="60" w:after="60"/>
              <w:jc w:val="center"/>
              <w:rPr>
                <w:rFonts w:ascii="Times New Roman" w:hAnsi="Times New Roman"/>
                <w:b/>
              </w:rPr>
            </w:pPr>
            <w:r>
              <w:rPr>
                <w:rFonts w:ascii="Times New Roman" w:hAnsi="Times New Roman"/>
                <w:b/>
              </w:rPr>
              <w:t>Burden Hours</w:t>
            </w:r>
          </w:p>
        </w:tc>
        <w:tc>
          <w:tcPr>
            <w:tcW w:w="2394" w:type="dxa"/>
            <w:tcBorders>
              <w:top w:val="single" w:color="auto" w:sz="4" w:space="0"/>
              <w:left w:val="single" w:color="auto" w:sz="4" w:space="0"/>
              <w:bottom w:val="single" w:color="auto" w:sz="4" w:space="0"/>
              <w:right w:val="single" w:color="auto" w:sz="4" w:space="0"/>
            </w:tcBorders>
            <w:hideMark/>
          </w:tcPr>
          <w:p w:rsidR="00847191" w:rsidRDefault="00847191" w14:paraId="0709BE2E" w14:textId="01E649A1">
            <w:pPr>
              <w:spacing w:before="60" w:after="60"/>
              <w:jc w:val="center"/>
              <w:rPr>
                <w:rFonts w:ascii="Times New Roman" w:hAnsi="Times New Roman"/>
                <w:b/>
              </w:rPr>
            </w:pPr>
            <w:r>
              <w:rPr>
                <w:rFonts w:ascii="Times New Roman" w:hAnsi="Times New Roman"/>
                <w:b/>
              </w:rPr>
              <w:t>Burden Cost</w:t>
            </w:r>
            <w:r w:rsidR="0094284E">
              <w:rPr>
                <w:rFonts w:ascii="Times New Roman" w:hAnsi="Times New Roman"/>
                <w:b/>
              </w:rPr>
              <w:t>/</w:t>
            </w:r>
            <w:proofErr w:type="spellStart"/>
            <w:r w:rsidR="0094284E">
              <w:rPr>
                <w:rFonts w:ascii="Times New Roman" w:hAnsi="Times New Roman"/>
                <w:b/>
              </w:rPr>
              <w:t>hr</w:t>
            </w:r>
            <w:proofErr w:type="spellEnd"/>
          </w:p>
        </w:tc>
        <w:tc>
          <w:tcPr>
            <w:tcW w:w="2394" w:type="dxa"/>
            <w:tcBorders>
              <w:top w:val="single" w:color="auto" w:sz="4" w:space="0"/>
              <w:left w:val="single" w:color="auto" w:sz="4" w:space="0"/>
              <w:bottom w:val="single" w:color="auto" w:sz="4" w:space="0"/>
              <w:right w:val="single" w:color="auto" w:sz="4" w:space="0"/>
            </w:tcBorders>
            <w:hideMark/>
          </w:tcPr>
          <w:p w:rsidR="00847191" w:rsidRDefault="00847191" w14:paraId="1BD1A3D0" w14:textId="77777777">
            <w:pPr>
              <w:spacing w:before="60" w:after="60"/>
              <w:jc w:val="center"/>
              <w:rPr>
                <w:rFonts w:ascii="Times New Roman" w:hAnsi="Times New Roman"/>
                <w:b/>
              </w:rPr>
            </w:pPr>
            <w:r>
              <w:rPr>
                <w:rFonts w:ascii="Times New Roman" w:hAnsi="Times New Roman"/>
                <w:b/>
              </w:rPr>
              <w:t>Total Burden Cost</w:t>
            </w:r>
          </w:p>
        </w:tc>
      </w:tr>
      <w:tr w:rsidR="00847191" w:rsidTr="00847191" w14:paraId="7A9D0D1E" w14:textId="77777777">
        <w:tc>
          <w:tcPr>
            <w:tcW w:w="2394" w:type="dxa"/>
            <w:tcBorders>
              <w:top w:val="single" w:color="auto" w:sz="4" w:space="0"/>
              <w:left w:val="single" w:color="auto" w:sz="4" w:space="0"/>
              <w:bottom w:val="single" w:color="auto" w:sz="4" w:space="0"/>
              <w:right w:val="single" w:color="auto" w:sz="4" w:space="0"/>
            </w:tcBorders>
            <w:hideMark/>
          </w:tcPr>
          <w:p w:rsidR="00847191" w:rsidRDefault="00847191" w14:paraId="371652AF" w14:textId="77777777">
            <w:pPr>
              <w:spacing w:before="60" w:after="60"/>
              <w:jc w:val="center"/>
              <w:rPr>
                <w:rFonts w:ascii="Times New Roman" w:hAnsi="Times New Roman"/>
              </w:rPr>
            </w:pPr>
            <w:bookmarkStart w:name="_Hlk181507325" w:id="2"/>
            <w:r>
              <w:rPr>
                <w:rFonts w:ascii="Times New Roman" w:hAnsi="Times New Roman"/>
              </w:rPr>
              <w:t>700 (Form TCR; Respondent</w:t>
            </w:r>
            <w:r w:rsidR="00E03C8D">
              <w:rPr>
                <w:rFonts w:ascii="Times New Roman" w:hAnsi="Times New Roman"/>
              </w:rPr>
              <w:t>s</w:t>
            </w:r>
            <w:r>
              <w:rPr>
                <w:rFonts w:ascii="Times New Roman" w:hAnsi="Times New Roman"/>
              </w:rPr>
              <w:t xml:space="preserve"> Completed)</w:t>
            </w:r>
          </w:p>
        </w:tc>
        <w:tc>
          <w:tcPr>
            <w:tcW w:w="2394" w:type="dxa"/>
            <w:tcBorders>
              <w:top w:val="single" w:color="auto" w:sz="4" w:space="0"/>
              <w:left w:val="single" w:color="auto" w:sz="4" w:space="0"/>
              <w:bottom w:val="single" w:color="auto" w:sz="4" w:space="0"/>
              <w:right w:val="single" w:color="auto" w:sz="4" w:space="0"/>
            </w:tcBorders>
            <w:hideMark/>
          </w:tcPr>
          <w:p w:rsidR="00847191" w:rsidRDefault="0094284E" w14:paraId="6E6EDCE3" w14:textId="7AA3512B">
            <w:pPr>
              <w:spacing w:before="60" w:after="60"/>
              <w:jc w:val="center"/>
              <w:rPr>
                <w:rFonts w:ascii="Times New Roman" w:hAnsi="Times New Roman"/>
              </w:rPr>
            </w:pPr>
            <w:r>
              <w:rPr>
                <w:rFonts w:ascii="Times New Roman" w:hAnsi="Times New Roman"/>
              </w:rPr>
              <w:t>350 (0.5 x 700)</w:t>
            </w:r>
          </w:p>
        </w:tc>
        <w:tc>
          <w:tcPr>
            <w:tcW w:w="2394" w:type="dxa"/>
            <w:tcBorders>
              <w:top w:val="single" w:color="auto" w:sz="4" w:space="0"/>
              <w:left w:val="single" w:color="auto" w:sz="4" w:space="0"/>
              <w:bottom w:val="single" w:color="auto" w:sz="4" w:space="0"/>
              <w:right w:val="single" w:color="auto" w:sz="4" w:space="0"/>
            </w:tcBorders>
            <w:hideMark/>
          </w:tcPr>
          <w:p w:rsidRPr="00D357DC" w:rsidR="00847191" w:rsidRDefault="00847191" w14:paraId="2E1CDE16" w14:textId="77777777">
            <w:pPr>
              <w:pStyle w:val="Heading2"/>
              <w:spacing w:before="60"/>
              <w:rPr>
                <w:rFonts w:ascii="Times New Roman" w:hAnsi="Times New Roman"/>
                <w:b w:val="0"/>
                <w:sz w:val="24"/>
              </w:rPr>
            </w:pPr>
            <w:r w:rsidRPr="00D357DC">
              <w:rPr>
                <w:rFonts w:ascii="Times New Roman" w:hAnsi="Times New Roman"/>
                <w:b w:val="0"/>
                <w:bCs w:val="0"/>
                <w:iCs w:val="0"/>
                <w:sz w:val="24"/>
              </w:rPr>
              <w:t>$25.72 - $45.27</w:t>
            </w:r>
          </w:p>
        </w:tc>
        <w:tc>
          <w:tcPr>
            <w:tcW w:w="2394" w:type="dxa"/>
            <w:tcBorders>
              <w:top w:val="single" w:color="auto" w:sz="4" w:space="0"/>
              <w:left w:val="single" w:color="auto" w:sz="4" w:space="0"/>
              <w:bottom w:val="single" w:color="auto" w:sz="4" w:space="0"/>
              <w:right w:val="single" w:color="auto" w:sz="4" w:space="0"/>
            </w:tcBorders>
            <w:hideMark/>
          </w:tcPr>
          <w:p w:rsidRPr="00D357DC" w:rsidR="00847191" w:rsidRDefault="00847191" w14:paraId="2480C1F1" w14:textId="77777777">
            <w:pPr>
              <w:pStyle w:val="Heading2"/>
              <w:spacing w:before="60"/>
              <w:rPr>
                <w:rFonts w:ascii="Times New Roman" w:hAnsi="Times New Roman"/>
                <w:b w:val="0"/>
                <w:bCs w:val="0"/>
                <w:iCs w:val="0"/>
                <w:sz w:val="24"/>
              </w:rPr>
            </w:pPr>
            <w:r w:rsidRPr="00D357DC">
              <w:rPr>
                <w:rFonts w:ascii="Times New Roman" w:hAnsi="Times New Roman"/>
                <w:b w:val="0"/>
                <w:bCs w:val="0"/>
                <w:iCs w:val="0"/>
                <w:sz w:val="24"/>
              </w:rPr>
              <w:t>$9,002 - $15,845</w:t>
            </w:r>
          </w:p>
        </w:tc>
      </w:tr>
      <w:tr w:rsidR="00847191" w:rsidTr="00847191" w14:paraId="7E8F859E" w14:textId="77777777">
        <w:tc>
          <w:tcPr>
            <w:tcW w:w="2394" w:type="dxa"/>
            <w:tcBorders>
              <w:top w:val="single" w:color="auto" w:sz="4" w:space="0"/>
              <w:left w:val="single" w:color="auto" w:sz="4" w:space="0"/>
              <w:bottom w:val="single" w:color="auto" w:sz="4" w:space="0"/>
              <w:right w:val="single" w:color="auto" w:sz="4" w:space="0"/>
            </w:tcBorders>
            <w:hideMark/>
          </w:tcPr>
          <w:p w:rsidR="00847191" w:rsidRDefault="00847191" w14:paraId="760D3E8B" w14:textId="6BCA62C9">
            <w:pPr>
              <w:spacing w:before="60" w:after="60"/>
              <w:jc w:val="center"/>
              <w:rPr>
                <w:rFonts w:ascii="Times New Roman" w:hAnsi="Times New Roman"/>
              </w:rPr>
            </w:pPr>
            <w:r>
              <w:rPr>
                <w:rFonts w:ascii="Times New Roman" w:hAnsi="Times New Roman"/>
              </w:rPr>
              <w:t>50 (Form TCR; Counsel</w:t>
            </w:r>
            <w:r w:rsidR="00E03C8D">
              <w:rPr>
                <w:rFonts w:ascii="Times New Roman" w:hAnsi="Times New Roman"/>
              </w:rPr>
              <w:t xml:space="preserve">(s) for </w:t>
            </w:r>
            <w:r w:rsidR="00E03C8D">
              <w:rPr>
                <w:rFonts w:ascii="Times New Roman" w:hAnsi="Times New Roman"/>
              </w:rPr>
              <w:lastRenderedPageBreak/>
              <w:t>Respondents</w:t>
            </w:r>
            <w:r>
              <w:rPr>
                <w:rFonts w:ascii="Times New Roman" w:hAnsi="Times New Roman"/>
              </w:rPr>
              <w:t xml:space="preserve"> Completed)</w:t>
            </w:r>
          </w:p>
        </w:tc>
        <w:tc>
          <w:tcPr>
            <w:tcW w:w="2394" w:type="dxa"/>
            <w:tcBorders>
              <w:top w:val="single" w:color="auto" w:sz="4" w:space="0"/>
              <w:left w:val="single" w:color="auto" w:sz="4" w:space="0"/>
              <w:bottom w:val="single" w:color="auto" w:sz="4" w:space="0"/>
              <w:right w:val="single" w:color="auto" w:sz="4" w:space="0"/>
            </w:tcBorders>
            <w:hideMark/>
          </w:tcPr>
          <w:p w:rsidR="00847191" w:rsidRDefault="0094284E" w14:paraId="75254411" w14:textId="666DDADA">
            <w:pPr>
              <w:spacing w:before="60" w:after="60"/>
              <w:jc w:val="center"/>
              <w:rPr>
                <w:rFonts w:ascii="Times New Roman" w:hAnsi="Times New Roman"/>
              </w:rPr>
            </w:pPr>
            <w:r>
              <w:rPr>
                <w:rFonts w:ascii="Times New Roman" w:hAnsi="Times New Roman"/>
              </w:rPr>
              <w:lastRenderedPageBreak/>
              <w:t>25 (0.5 x 50)</w:t>
            </w:r>
          </w:p>
        </w:tc>
        <w:tc>
          <w:tcPr>
            <w:tcW w:w="2394" w:type="dxa"/>
            <w:tcBorders>
              <w:top w:val="single" w:color="auto" w:sz="4" w:space="0"/>
              <w:left w:val="single" w:color="auto" w:sz="4" w:space="0"/>
              <w:bottom w:val="single" w:color="auto" w:sz="4" w:space="0"/>
              <w:right w:val="single" w:color="auto" w:sz="4" w:space="0"/>
            </w:tcBorders>
            <w:hideMark/>
          </w:tcPr>
          <w:p w:rsidRPr="00D357DC" w:rsidR="00847191" w:rsidRDefault="00847191" w14:paraId="31B13DD5" w14:textId="77777777">
            <w:pPr>
              <w:pStyle w:val="Heading2"/>
              <w:spacing w:before="60"/>
              <w:rPr>
                <w:rFonts w:ascii="Times New Roman" w:hAnsi="Times New Roman"/>
                <w:b w:val="0"/>
                <w:sz w:val="24"/>
              </w:rPr>
            </w:pPr>
            <w:r w:rsidRPr="00D357DC">
              <w:rPr>
                <w:rFonts w:ascii="Times New Roman" w:hAnsi="Times New Roman"/>
                <w:b w:val="0"/>
                <w:bCs w:val="0"/>
                <w:iCs w:val="0"/>
                <w:sz w:val="24"/>
              </w:rPr>
              <w:t>$500</w:t>
            </w:r>
          </w:p>
        </w:tc>
        <w:tc>
          <w:tcPr>
            <w:tcW w:w="2394" w:type="dxa"/>
            <w:tcBorders>
              <w:top w:val="single" w:color="auto" w:sz="4" w:space="0"/>
              <w:left w:val="single" w:color="auto" w:sz="4" w:space="0"/>
              <w:bottom w:val="single" w:color="auto" w:sz="4" w:space="0"/>
              <w:right w:val="single" w:color="auto" w:sz="4" w:space="0"/>
            </w:tcBorders>
            <w:hideMark/>
          </w:tcPr>
          <w:p w:rsidRPr="00D357DC" w:rsidR="00847191" w:rsidRDefault="00847191" w14:paraId="779DDF61" w14:textId="77777777">
            <w:pPr>
              <w:pStyle w:val="Heading2"/>
              <w:spacing w:before="60"/>
              <w:rPr>
                <w:rFonts w:ascii="Times New Roman" w:hAnsi="Times New Roman"/>
                <w:b w:val="0"/>
                <w:bCs w:val="0"/>
                <w:iCs w:val="0"/>
                <w:sz w:val="24"/>
              </w:rPr>
            </w:pPr>
            <w:r w:rsidRPr="00D357DC">
              <w:rPr>
                <w:rFonts w:ascii="Times New Roman" w:hAnsi="Times New Roman"/>
                <w:b w:val="0"/>
                <w:bCs w:val="0"/>
                <w:iCs w:val="0"/>
                <w:sz w:val="24"/>
              </w:rPr>
              <w:t>$12,500</w:t>
            </w:r>
          </w:p>
        </w:tc>
      </w:tr>
      <w:tr w:rsidR="00847191" w:rsidTr="00847191" w14:paraId="602A3D13" w14:textId="77777777">
        <w:tc>
          <w:tcPr>
            <w:tcW w:w="2394" w:type="dxa"/>
            <w:tcBorders>
              <w:top w:val="single" w:color="auto" w:sz="4" w:space="0"/>
              <w:left w:val="single" w:color="auto" w:sz="4" w:space="0"/>
              <w:bottom w:val="single" w:color="auto" w:sz="4" w:space="0"/>
              <w:right w:val="single" w:color="auto" w:sz="4" w:space="0"/>
            </w:tcBorders>
            <w:hideMark/>
          </w:tcPr>
          <w:p w:rsidR="00847191" w:rsidRDefault="00847191" w14:paraId="6306087D" w14:textId="4BA97311">
            <w:pPr>
              <w:spacing w:before="60" w:after="60"/>
              <w:jc w:val="center"/>
              <w:rPr>
                <w:rFonts w:ascii="Times New Roman" w:hAnsi="Times New Roman"/>
              </w:rPr>
            </w:pPr>
            <w:r>
              <w:rPr>
                <w:rFonts w:ascii="Times New Roman" w:hAnsi="Times New Roman"/>
              </w:rPr>
              <w:t>1</w:t>
            </w:r>
            <w:r w:rsidR="00666B36">
              <w:rPr>
                <w:rFonts w:ascii="Times New Roman" w:hAnsi="Times New Roman"/>
              </w:rPr>
              <w:t>2</w:t>
            </w:r>
            <w:r>
              <w:rPr>
                <w:rFonts w:ascii="Times New Roman" w:hAnsi="Times New Roman"/>
              </w:rPr>
              <w:t xml:space="preserve">0 (Form WB-APP; </w:t>
            </w:r>
            <w:r w:rsidR="00E03C8D">
              <w:rPr>
                <w:rFonts w:ascii="Times New Roman" w:hAnsi="Times New Roman"/>
              </w:rPr>
              <w:t>R</w:t>
            </w:r>
            <w:r>
              <w:rPr>
                <w:rFonts w:ascii="Times New Roman" w:hAnsi="Times New Roman"/>
              </w:rPr>
              <w:t>espondent</w:t>
            </w:r>
            <w:r w:rsidR="00E03C8D">
              <w:rPr>
                <w:rFonts w:ascii="Times New Roman" w:hAnsi="Times New Roman"/>
              </w:rPr>
              <w:t>s</w:t>
            </w:r>
            <w:r>
              <w:rPr>
                <w:rFonts w:ascii="Times New Roman" w:hAnsi="Times New Roman"/>
              </w:rPr>
              <w:t xml:space="preserve"> Completed)</w:t>
            </w:r>
          </w:p>
        </w:tc>
        <w:tc>
          <w:tcPr>
            <w:tcW w:w="2394" w:type="dxa"/>
            <w:tcBorders>
              <w:top w:val="single" w:color="auto" w:sz="4" w:space="0"/>
              <w:left w:val="single" w:color="auto" w:sz="4" w:space="0"/>
              <w:bottom w:val="single" w:color="auto" w:sz="4" w:space="0"/>
              <w:right w:val="single" w:color="auto" w:sz="4" w:space="0"/>
            </w:tcBorders>
            <w:hideMark/>
          </w:tcPr>
          <w:p w:rsidR="00847191" w:rsidRDefault="0094284E" w14:paraId="79809A9E" w14:textId="363B394D">
            <w:pPr>
              <w:spacing w:before="60" w:after="60"/>
              <w:jc w:val="center"/>
              <w:rPr>
                <w:rFonts w:ascii="Times New Roman" w:hAnsi="Times New Roman"/>
              </w:rPr>
            </w:pPr>
            <w:r>
              <w:rPr>
                <w:rFonts w:ascii="Times New Roman" w:hAnsi="Times New Roman"/>
              </w:rPr>
              <w:t xml:space="preserve"> 60 (0.5 x 120)</w:t>
            </w:r>
          </w:p>
        </w:tc>
        <w:tc>
          <w:tcPr>
            <w:tcW w:w="2394" w:type="dxa"/>
            <w:tcBorders>
              <w:top w:val="single" w:color="auto" w:sz="4" w:space="0"/>
              <w:left w:val="single" w:color="auto" w:sz="4" w:space="0"/>
              <w:bottom w:val="single" w:color="auto" w:sz="4" w:space="0"/>
              <w:right w:val="single" w:color="auto" w:sz="4" w:space="0"/>
            </w:tcBorders>
            <w:hideMark/>
          </w:tcPr>
          <w:p w:rsidRPr="00D357DC" w:rsidR="00847191" w:rsidRDefault="00847191" w14:paraId="55B89F3A" w14:textId="48A93EB0">
            <w:pPr>
              <w:pStyle w:val="Heading2"/>
              <w:spacing w:before="60"/>
              <w:rPr>
                <w:rFonts w:ascii="Times New Roman" w:hAnsi="Times New Roman"/>
                <w:b w:val="0"/>
                <w:sz w:val="24"/>
              </w:rPr>
            </w:pPr>
            <w:r w:rsidRPr="00D357DC">
              <w:rPr>
                <w:rFonts w:ascii="Times New Roman" w:hAnsi="Times New Roman"/>
                <w:b w:val="0"/>
                <w:bCs w:val="0"/>
                <w:iCs w:val="0"/>
                <w:sz w:val="24"/>
              </w:rPr>
              <w:t>$25.72 - $45.27</w:t>
            </w:r>
          </w:p>
        </w:tc>
        <w:tc>
          <w:tcPr>
            <w:tcW w:w="2394" w:type="dxa"/>
            <w:tcBorders>
              <w:top w:val="single" w:color="auto" w:sz="4" w:space="0"/>
              <w:left w:val="single" w:color="auto" w:sz="4" w:space="0"/>
              <w:bottom w:val="single" w:color="auto" w:sz="4" w:space="0"/>
              <w:right w:val="single" w:color="auto" w:sz="4" w:space="0"/>
            </w:tcBorders>
            <w:hideMark/>
          </w:tcPr>
          <w:p w:rsidRPr="00D357DC" w:rsidR="00847191" w:rsidRDefault="00847191" w14:paraId="26C1496A" w14:textId="6D813B4A">
            <w:pPr>
              <w:pStyle w:val="Heading2"/>
              <w:spacing w:before="60"/>
              <w:rPr>
                <w:rFonts w:ascii="Times New Roman" w:hAnsi="Times New Roman"/>
                <w:b w:val="0"/>
                <w:bCs w:val="0"/>
                <w:iCs w:val="0"/>
                <w:sz w:val="24"/>
              </w:rPr>
            </w:pPr>
            <w:r w:rsidRPr="00D357DC">
              <w:rPr>
                <w:rFonts w:ascii="Times New Roman" w:hAnsi="Times New Roman"/>
                <w:b w:val="0"/>
                <w:bCs w:val="0"/>
                <w:iCs w:val="0"/>
                <w:sz w:val="24"/>
              </w:rPr>
              <w:t>$1,543 - $2,716</w:t>
            </w:r>
          </w:p>
        </w:tc>
      </w:tr>
      <w:tr w:rsidR="00847191" w:rsidTr="00847191" w14:paraId="5133CA9A" w14:textId="77777777">
        <w:tc>
          <w:tcPr>
            <w:tcW w:w="2394" w:type="dxa"/>
            <w:tcBorders>
              <w:top w:val="single" w:color="auto" w:sz="4" w:space="0"/>
              <w:left w:val="single" w:color="auto" w:sz="4" w:space="0"/>
              <w:bottom w:val="single" w:color="auto" w:sz="4" w:space="0"/>
              <w:right w:val="single" w:color="auto" w:sz="4" w:space="0"/>
            </w:tcBorders>
            <w:hideMark/>
          </w:tcPr>
          <w:p w:rsidR="00847191" w:rsidRDefault="00847191" w14:paraId="4F75EC60" w14:textId="41CDAD3B">
            <w:pPr>
              <w:spacing w:before="60" w:after="60"/>
              <w:jc w:val="center"/>
              <w:rPr>
                <w:rFonts w:ascii="Times New Roman" w:hAnsi="Times New Roman"/>
              </w:rPr>
            </w:pPr>
            <w:r>
              <w:rPr>
                <w:rFonts w:ascii="Times New Roman" w:hAnsi="Times New Roman"/>
              </w:rPr>
              <w:t>30 (Form WB-APP; Counsel</w:t>
            </w:r>
            <w:r w:rsidR="006B34A5">
              <w:rPr>
                <w:rFonts w:ascii="Times New Roman" w:hAnsi="Times New Roman"/>
              </w:rPr>
              <w:t>(s) for Respondents</w:t>
            </w:r>
            <w:r>
              <w:rPr>
                <w:rFonts w:ascii="Times New Roman" w:hAnsi="Times New Roman"/>
              </w:rPr>
              <w:t xml:space="preserve"> Completed)</w:t>
            </w:r>
          </w:p>
        </w:tc>
        <w:tc>
          <w:tcPr>
            <w:tcW w:w="2394" w:type="dxa"/>
            <w:tcBorders>
              <w:top w:val="single" w:color="auto" w:sz="4" w:space="0"/>
              <w:left w:val="single" w:color="auto" w:sz="4" w:space="0"/>
              <w:bottom w:val="single" w:color="auto" w:sz="4" w:space="0"/>
              <w:right w:val="single" w:color="auto" w:sz="4" w:space="0"/>
            </w:tcBorders>
            <w:hideMark/>
          </w:tcPr>
          <w:p w:rsidR="00847191" w:rsidRDefault="0094284E" w14:paraId="79F9FCFB" w14:textId="0F9469BF">
            <w:pPr>
              <w:spacing w:before="60" w:after="60"/>
              <w:jc w:val="center"/>
              <w:rPr>
                <w:rFonts w:ascii="Times New Roman" w:hAnsi="Times New Roman"/>
              </w:rPr>
            </w:pPr>
            <w:r>
              <w:rPr>
                <w:rFonts w:ascii="Times New Roman" w:hAnsi="Times New Roman"/>
              </w:rPr>
              <w:t xml:space="preserve"> 15 (0.5 </w:t>
            </w:r>
            <w:r w:rsidR="0094685C">
              <w:rPr>
                <w:rFonts w:ascii="Times New Roman" w:hAnsi="Times New Roman"/>
              </w:rPr>
              <w:t xml:space="preserve">x </w:t>
            </w:r>
            <w:r>
              <w:rPr>
                <w:rFonts w:ascii="Times New Roman" w:hAnsi="Times New Roman"/>
              </w:rPr>
              <w:t>30)</w:t>
            </w:r>
          </w:p>
        </w:tc>
        <w:tc>
          <w:tcPr>
            <w:tcW w:w="2394" w:type="dxa"/>
            <w:tcBorders>
              <w:top w:val="single" w:color="auto" w:sz="4" w:space="0"/>
              <w:left w:val="single" w:color="auto" w:sz="4" w:space="0"/>
              <w:bottom w:val="single" w:color="auto" w:sz="4" w:space="0"/>
              <w:right w:val="single" w:color="auto" w:sz="4" w:space="0"/>
            </w:tcBorders>
            <w:hideMark/>
          </w:tcPr>
          <w:p w:rsidRPr="00D357DC" w:rsidR="00847191" w:rsidRDefault="00847191" w14:paraId="066B2EC9" w14:textId="77777777">
            <w:pPr>
              <w:pStyle w:val="Heading2"/>
              <w:spacing w:before="60"/>
              <w:rPr>
                <w:rFonts w:ascii="Times New Roman" w:hAnsi="Times New Roman"/>
                <w:b w:val="0"/>
                <w:sz w:val="24"/>
              </w:rPr>
            </w:pPr>
            <w:r w:rsidRPr="00D357DC">
              <w:rPr>
                <w:rFonts w:ascii="Times New Roman" w:hAnsi="Times New Roman"/>
                <w:b w:val="0"/>
                <w:bCs w:val="0"/>
                <w:iCs w:val="0"/>
                <w:sz w:val="24"/>
              </w:rPr>
              <w:t>$500</w:t>
            </w:r>
          </w:p>
        </w:tc>
        <w:tc>
          <w:tcPr>
            <w:tcW w:w="2394" w:type="dxa"/>
            <w:tcBorders>
              <w:top w:val="single" w:color="auto" w:sz="4" w:space="0"/>
              <w:left w:val="single" w:color="auto" w:sz="4" w:space="0"/>
              <w:bottom w:val="single" w:color="auto" w:sz="4" w:space="0"/>
              <w:right w:val="single" w:color="auto" w:sz="4" w:space="0"/>
            </w:tcBorders>
            <w:hideMark/>
          </w:tcPr>
          <w:p w:rsidRPr="00D357DC" w:rsidR="00847191" w:rsidRDefault="00847191" w14:paraId="58EE8366" w14:textId="77777777">
            <w:pPr>
              <w:pStyle w:val="Heading2"/>
              <w:spacing w:before="60"/>
              <w:rPr>
                <w:rFonts w:ascii="Times New Roman" w:hAnsi="Times New Roman"/>
                <w:b w:val="0"/>
                <w:bCs w:val="0"/>
                <w:iCs w:val="0"/>
                <w:sz w:val="24"/>
              </w:rPr>
            </w:pPr>
            <w:r w:rsidRPr="00D357DC">
              <w:rPr>
                <w:rFonts w:ascii="Times New Roman" w:hAnsi="Times New Roman"/>
                <w:b w:val="0"/>
                <w:bCs w:val="0"/>
                <w:iCs w:val="0"/>
                <w:sz w:val="24"/>
              </w:rPr>
              <w:t>$7,500</w:t>
            </w:r>
          </w:p>
        </w:tc>
        <w:bookmarkEnd w:id="2"/>
      </w:tr>
      <w:tr w:rsidR="00847191" w:rsidTr="00847191" w14:paraId="167D9927" w14:textId="77777777">
        <w:tc>
          <w:tcPr>
            <w:tcW w:w="2394" w:type="dxa"/>
            <w:tcBorders>
              <w:top w:val="single" w:color="auto" w:sz="4" w:space="0"/>
              <w:left w:val="single" w:color="auto" w:sz="4" w:space="0"/>
              <w:bottom w:val="single" w:color="auto" w:sz="4" w:space="0"/>
              <w:right w:val="single" w:color="auto" w:sz="4" w:space="0"/>
            </w:tcBorders>
            <w:hideMark/>
          </w:tcPr>
          <w:p w:rsidR="00847191" w:rsidRDefault="00847191" w14:paraId="4AF05B06" w14:textId="77777777">
            <w:pPr>
              <w:spacing w:before="60" w:after="60"/>
              <w:jc w:val="center"/>
              <w:rPr>
                <w:rFonts w:ascii="Times New Roman" w:hAnsi="Times New Roman"/>
                <w:b/>
              </w:rPr>
            </w:pPr>
            <w:r>
              <w:rPr>
                <w:rFonts w:ascii="Times New Roman" w:hAnsi="Times New Roman"/>
                <w:b/>
              </w:rPr>
              <w:t>Total</w:t>
            </w:r>
          </w:p>
        </w:tc>
        <w:tc>
          <w:tcPr>
            <w:tcW w:w="2394" w:type="dxa"/>
            <w:tcBorders>
              <w:top w:val="single" w:color="auto" w:sz="4" w:space="0"/>
              <w:left w:val="single" w:color="auto" w:sz="4" w:space="0"/>
              <w:bottom w:val="single" w:color="auto" w:sz="4" w:space="0"/>
              <w:right w:val="single" w:color="auto" w:sz="4" w:space="0"/>
            </w:tcBorders>
          </w:tcPr>
          <w:p w:rsidR="00847191" w:rsidRDefault="0094284E" w14:paraId="01E0D04C" w14:textId="3DB735C6">
            <w:pPr>
              <w:spacing w:before="60" w:after="60"/>
              <w:jc w:val="center"/>
              <w:rPr>
                <w:rFonts w:ascii="Times New Roman" w:hAnsi="Times New Roman"/>
              </w:rPr>
            </w:pPr>
            <w:r>
              <w:rPr>
                <w:rFonts w:ascii="Times New Roman" w:hAnsi="Times New Roman"/>
              </w:rPr>
              <w:t>450</w:t>
            </w:r>
          </w:p>
        </w:tc>
        <w:tc>
          <w:tcPr>
            <w:tcW w:w="2394" w:type="dxa"/>
            <w:tcBorders>
              <w:top w:val="single" w:color="auto" w:sz="4" w:space="0"/>
              <w:left w:val="single" w:color="auto" w:sz="4" w:space="0"/>
              <w:bottom w:val="single" w:color="auto" w:sz="4" w:space="0"/>
              <w:right w:val="single" w:color="auto" w:sz="4" w:space="0"/>
            </w:tcBorders>
          </w:tcPr>
          <w:p w:rsidR="00847191" w:rsidRDefault="00847191" w14:paraId="28A3A24B" w14:textId="77777777">
            <w:pPr>
              <w:spacing w:before="60" w:after="60"/>
              <w:rPr>
                <w:rFonts w:ascii="Times New Roman" w:hAnsi="Times New Roman"/>
              </w:rPr>
            </w:pPr>
          </w:p>
        </w:tc>
        <w:tc>
          <w:tcPr>
            <w:tcW w:w="2394" w:type="dxa"/>
            <w:tcBorders>
              <w:top w:val="single" w:color="auto" w:sz="4" w:space="0"/>
              <w:left w:val="single" w:color="auto" w:sz="4" w:space="0"/>
              <w:bottom w:val="single" w:color="auto" w:sz="4" w:space="0"/>
              <w:right w:val="single" w:color="auto" w:sz="4" w:space="0"/>
            </w:tcBorders>
            <w:hideMark/>
          </w:tcPr>
          <w:p w:rsidR="00847191" w:rsidRDefault="00847191" w14:paraId="2895D0F2" w14:textId="77777777">
            <w:pPr>
              <w:spacing w:before="60" w:after="60"/>
              <w:jc w:val="center"/>
              <w:rPr>
                <w:rFonts w:ascii="Times New Roman" w:hAnsi="Times New Roman"/>
              </w:rPr>
            </w:pPr>
            <w:r>
              <w:rPr>
                <w:rFonts w:ascii="Times New Roman" w:hAnsi="Times New Roman"/>
              </w:rPr>
              <w:t>$30,545 - $38,561</w:t>
            </w:r>
          </w:p>
        </w:tc>
      </w:tr>
    </w:tbl>
    <w:p w:rsidR="00847191" w:rsidP="00847191" w:rsidRDefault="00847191" w14:paraId="6B691A59" w14:textId="77777777"/>
    <w:p w:rsidR="00847191" w:rsidRDefault="00847191" w14:paraId="3A24B67A" w14:textId="77777777"/>
    <w:sectPr w:rsidR="00847191" w:rsidSect="00AD72CD">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9891A" w14:textId="77777777" w:rsidR="000D0698" w:rsidRDefault="000D0698" w:rsidP="000D0698">
      <w:r>
        <w:separator/>
      </w:r>
    </w:p>
  </w:endnote>
  <w:endnote w:type="continuationSeparator" w:id="0">
    <w:p w14:paraId="0C56C590" w14:textId="77777777" w:rsidR="000D0698" w:rsidRDefault="000D0698" w:rsidP="000D0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A979E3" w14:textId="77777777" w:rsidR="000D0698" w:rsidRDefault="000D0698" w:rsidP="000D0698">
      <w:r>
        <w:separator/>
      </w:r>
    </w:p>
  </w:footnote>
  <w:footnote w:type="continuationSeparator" w:id="0">
    <w:p w14:paraId="6D4465AE" w14:textId="77777777" w:rsidR="000D0698" w:rsidRDefault="000D0698" w:rsidP="000D0698">
      <w:r>
        <w:continuationSeparator/>
      </w:r>
    </w:p>
  </w:footnote>
  <w:footnote w:id="1">
    <w:p w14:paraId="49FF0E4F" w14:textId="50C76929" w:rsidR="0094685C" w:rsidRDefault="0094685C" w:rsidP="0094685C">
      <w:pPr>
        <w:rPr>
          <w:rFonts w:ascii="Calibri" w:hAnsi="Calibri"/>
          <w:sz w:val="22"/>
          <w:szCs w:val="22"/>
        </w:rPr>
      </w:pPr>
      <w:r w:rsidRPr="0094685C">
        <w:rPr>
          <w:rStyle w:val="FootnoteReference"/>
          <w:rFonts w:ascii="Times New Roman" w:hAnsi="Times New Roman"/>
        </w:rPr>
        <w:footnoteRef/>
      </w:r>
      <w:r w:rsidRPr="0094685C">
        <w:rPr>
          <w:rFonts w:ascii="Times New Roman" w:hAnsi="Times New Roman"/>
        </w:rPr>
        <w:t>Because any individual may file a Form TCR or Form WB-APP, taking time away from their regular employment to do so, these estimates assume a low end mean hourly wage of $25.72.  </w:t>
      </w:r>
      <w:r w:rsidRPr="0094685C">
        <w:rPr>
          <w:rFonts w:ascii="Times New Roman" w:hAnsi="Times New Roman"/>
          <w:i/>
          <w:iCs/>
        </w:rPr>
        <w:t>See</w:t>
      </w:r>
      <w:r w:rsidRPr="0094685C">
        <w:rPr>
          <w:rFonts w:ascii="Times New Roman" w:hAnsi="Times New Roman"/>
        </w:rPr>
        <w:t> Bureau of Labor Statistics, U.S. Department of Labor, May 2019 National Occupational Employment and Wage Estimates United States, "All Occupations," available at</w:t>
      </w:r>
      <w:hyperlink r:id="rId1" w:anchor="_blank" w:history="1">
        <w:r w:rsidRPr="0094685C">
          <w:rPr>
            <w:rStyle w:val="Hyperlink"/>
            <w:rFonts w:ascii="Times New Roman" w:hAnsi="Times New Roman"/>
          </w:rPr>
          <w:t>https://www.bls.gov/oes/current/oes_nat.htm#00-0000</w:t>
        </w:r>
      </w:hyperlink>
      <w:r w:rsidRPr="0094685C">
        <w:rPr>
          <w:rFonts w:ascii="Times New Roman" w:hAnsi="Times New Roman"/>
        </w:rPr>
        <w:t>.  But because many respondents are in the financial industry, these estimates assume a high end of $45.27.  </w:t>
      </w:r>
      <w:r w:rsidRPr="0094685C">
        <w:rPr>
          <w:rFonts w:ascii="Times New Roman" w:hAnsi="Times New Roman"/>
          <w:i/>
          <w:iCs/>
        </w:rPr>
        <w:t>See</w:t>
      </w:r>
      <w:r>
        <w:rPr>
          <w:rFonts w:ascii="Times New Roman" w:hAnsi="Times New Roman"/>
          <w:i/>
          <w:iCs/>
        </w:rPr>
        <w:t xml:space="preserve"> </w:t>
      </w:r>
      <w:r w:rsidRPr="0094685C">
        <w:rPr>
          <w:rFonts w:ascii="Times New Roman" w:hAnsi="Times New Roman"/>
        </w:rPr>
        <w:t>Bureau of Labor Statistics, U.S. Department of Labor, May 2019 National Occupational Employment and Wage Estimates United States, "Financial and Investment Analysts, Financial Risk Specialists, and Financial Specialists, All Other," available at https</w:t>
      </w:r>
      <w:hyperlink r:id="rId2" w:anchor="_blank" w:history="1">
        <w:r w:rsidRPr="0094685C">
          <w:rPr>
            <w:rStyle w:val="Hyperlink"/>
            <w:rFonts w:ascii="Times New Roman" w:hAnsi="Times New Roman"/>
          </w:rPr>
          <w:t>://www.bls.gov/oes/current/oes132098.htm</w:t>
        </w:r>
      </w:hyperlink>
      <w:r w:rsidRPr="0094685C">
        <w:rPr>
          <w:rFonts w:ascii="Times New Roman" w:hAnsi="Times New Roman"/>
        </w:rPr>
        <w:t>).</w:t>
      </w:r>
    </w:p>
    <w:p w14:paraId="092EDC83" w14:textId="371E3E44" w:rsidR="0094685C" w:rsidRDefault="0094685C">
      <w:pPr>
        <w:pStyle w:val="FootnoteText"/>
      </w:pPr>
    </w:p>
  </w:footnote>
  <w:footnote w:id="2">
    <w:p w14:paraId="153EBFB3" w14:textId="7A457F8E" w:rsidR="0094685C" w:rsidRPr="0094685C" w:rsidRDefault="0094685C">
      <w:pPr>
        <w:pStyle w:val="FootnoteText"/>
        <w:rPr>
          <w:rFonts w:ascii="Times New Roman" w:hAnsi="Times New Roman"/>
          <w:sz w:val="24"/>
          <w:szCs w:val="24"/>
        </w:rPr>
      </w:pPr>
      <w:r w:rsidRPr="0094685C">
        <w:rPr>
          <w:rStyle w:val="FootnoteReference"/>
          <w:rFonts w:ascii="Times New Roman" w:hAnsi="Times New Roman"/>
          <w:sz w:val="24"/>
          <w:szCs w:val="24"/>
        </w:rPr>
        <w:footnoteRef/>
      </w:r>
      <w:r w:rsidRPr="0094685C">
        <w:rPr>
          <w:rFonts w:ascii="Times New Roman" w:hAnsi="Times New Roman"/>
          <w:sz w:val="24"/>
          <w:szCs w:val="24"/>
        </w:rPr>
        <w:t xml:space="preserve"> Based on the specialized knowledge, experience, and current competitive salary of a private counsel in a mid-to-large US firm in a major urban center, we estimate the blended salary rate in 2021 and during the next three years is $</w:t>
      </w:r>
      <w:r>
        <w:rPr>
          <w:rFonts w:ascii="Times New Roman" w:hAnsi="Times New Roman"/>
          <w:sz w:val="24"/>
          <w:szCs w:val="24"/>
        </w:rPr>
        <w:t>500 per hour</w:t>
      </w:r>
      <w:r w:rsidRPr="0094685C">
        <w:rPr>
          <w:rFonts w:ascii="Times New Roman" w:hAnsi="Times New Roman"/>
          <w:sz w:val="24"/>
          <w:szCs w:val="24"/>
        </w:rPr>
        <w:t>. This rate has been deemed reasonable by our WBO staff.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056C38"/>
    <w:multiLevelType w:val="hybridMultilevel"/>
    <w:tmpl w:val="C088B66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B6B"/>
    <w:rsid w:val="000175EB"/>
    <w:rsid w:val="000232F0"/>
    <w:rsid w:val="0002390B"/>
    <w:rsid w:val="000277A5"/>
    <w:rsid w:val="00030EBB"/>
    <w:rsid w:val="000317BA"/>
    <w:rsid w:val="000341C4"/>
    <w:rsid w:val="00057324"/>
    <w:rsid w:val="000600B6"/>
    <w:rsid w:val="000605D8"/>
    <w:rsid w:val="00063FBB"/>
    <w:rsid w:val="00065329"/>
    <w:rsid w:val="00081341"/>
    <w:rsid w:val="000835F6"/>
    <w:rsid w:val="0008745D"/>
    <w:rsid w:val="000939F0"/>
    <w:rsid w:val="000A4158"/>
    <w:rsid w:val="000B26DF"/>
    <w:rsid w:val="000B37A1"/>
    <w:rsid w:val="000C30AD"/>
    <w:rsid w:val="000D0698"/>
    <w:rsid w:val="000E216C"/>
    <w:rsid w:val="000F413A"/>
    <w:rsid w:val="000F43CF"/>
    <w:rsid w:val="000F7C4A"/>
    <w:rsid w:val="00124A68"/>
    <w:rsid w:val="00132FB8"/>
    <w:rsid w:val="0015194E"/>
    <w:rsid w:val="001621CA"/>
    <w:rsid w:val="0016662F"/>
    <w:rsid w:val="0016738E"/>
    <w:rsid w:val="00171C64"/>
    <w:rsid w:val="001737C1"/>
    <w:rsid w:val="00173E2B"/>
    <w:rsid w:val="0017723B"/>
    <w:rsid w:val="0017746A"/>
    <w:rsid w:val="00182FBB"/>
    <w:rsid w:val="00184A5F"/>
    <w:rsid w:val="00190146"/>
    <w:rsid w:val="00193363"/>
    <w:rsid w:val="00196D55"/>
    <w:rsid w:val="001A1542"/>
    <w:rsid w:val="001A21D2"/>
    <w:rsid w:val="001A315C"/>
    <w:rsid w:val="001A503D"/>
    <w:rsid w:val="001B1D9B"/>
    <w:rsid w:val="001B49D9"/>
    <w:rsid w:val="001C06D6"/>
    <w:rsid w:val="001D0FB2"/>
    <w:rsid w:val="001D1FAF"/>
    <w:rsid w:val="001E0D04"/>
    <w:rsid w:val="001F4DED"/>
    <w:rsid w:val="002037F6"/>
    <w:rsid w:val="00204C5C"/>
    <w:rsid w:val="00206095"/>
    <w:rsid w:val="002331B0"/>
    <w:rsid w:val="00241951"/>
    <w:rsid w:val="002469B1"/>
    <w:rsid w:val="00247D20"/>
    <w:rsid w:val="00256058"/>
    <w:rsid w:val="0026473C"/>
    <w:rsid w:val="00266723"/>
    <w:rsid w:val="00266983"/>
    <w:rsid w:val="00267C43"/>
    <w:rsid w:val="00296AC1"/>
    <w:rsid w:val="002A3DCA"/>
    <w:rsid w:val="002A59E2"/>
    <w:rsid w:val="002B03AE"/>
    <w:rsid w:val="002C013D"/>
    <w:rsid w:val="002C7AC2"/>
    <w:rsid w:val="002D3E29"/>
    <w:rsid w:val="002D50DC"/>
    <w:rsid w:val="002D69B6"/>
    <w:rsid w:val="002E1502"/>
    <w:rsid w:val="002F1336"/>
    <w:rsid w:val="002F2092"/>
    <w:rsid w:val="002F498B"/>
    <w:rsid w:val="002F7400"/>
    <w:rsid w:val="0030293E"/>
    <w:rsid w:val="00315A5F"/>
    <w:rsid w:val="00315A79"/>
    <w:rsid w:val="003168A3"/>
    <w:rsid w:val="00322ED5"/>
    <w:rsid w:val="00330677"/>
    <w:rsid w:val="00346CCF"/>
    <w:rsid w:val="00355CD8"/>
    <w:rsid w:val="00372F94"/>
    <w:rsid w:val="003742D1"/>
    <w:rsid w:val="00380D74"/>
    <w:rsid w:val="00383EE8"/>
    <w:rsid w:val="00387DE0"/>
    <w:rsid w:val="00390223"/>
    <w:rsid w:val="003A04C2"/>
    <w:rsid w:val="003A65CB"/>
    <w:rsid w:val="003B60A5"/>
    <w:rsid w:val="003D4314"/>
    <w:rsid w:val="003D49DE"/>
    <w:rsid w:val="003D597E"/>
    <w:rsid w:val="003E256B"/>
    <w:rsid w:val="003F0037"/>
    <w:rsid w:val="003F308D"/>
    <w:rsid w:val="003F4662"/>
    <w:rsid w:val="003F7037"/>
    <w:rsid w:val="004024C0"/>
    <w:rsid w:val="004056E1"/>
    <w:rsid w:val="00415146"/>
    <w:rsid w:val="00420535"/>
    <w:rsid w:val="00427241"/>
    <w:rsid w:val="004435EB"/>
    <w:rsid w:val="0044398D"/>
    <w:rsid w:val="00457CD5"/>
    <w:rsid w:val="00461BE7"/>
    <w:rsid w:val="0047449F"/>
    <w:rsid w:val="00484030"/>
    <w:rsid w:val="00484368"/>
    <w:rsid w:val="0049540F"/>
    <w:rsid w:val="004A282C"/>
    <w:rsid w:val="004B7C1F"/>
    <w:rsid w:val="004C1DB3"/>
    <w:rsid w:val="004D0169"/>
    <w:rsid w:val="004D2594"/>
    <w:rsid w:val="004D36F7"/>
    <w:rsid w:val="004E77DC"/>
    <w:rsid w:val="004F1376"/>
    <w:rsid w:val="004F5BCC"/>
    <w:rsid w:val="00503C27"/>
    <w:rsid w:val="00510B42"/>
    <w:rsid w:val="00517B58"/>
    <w:rsid w:val="00524271"/>
    <w:rsid w:val="00525E95"/>
    <w:rsid w:val="0052625D"/>
    <w:rsid w:val="00526447"/>
    <w:rsid w:val="00534983"/>
    <w:rsid w:val="00534B6B"/>
    <w:rsid w:val="00542723"/>
    <w:rsid w:val="00542F3C"/>
    <w:rsid w:val="005652AC"/>
    <w:rsid w:val="00565921"/>
    <w:rsid w:val="00574C2F"/>
    <w:rsid w:val="00576890"/>
    <w:rsid w:val="00580A99"/>
    <w:rsid w:val="00583E5B"/>
    <w:rsid w:val="00586F7E"/>
    <w:rsid w:val="00591252"/>
    <w:rsid w:val="00592165"/>
    <w:rsid w:val="0059221E"/>
    <w:rsid w:val="00596D53"/>
    <w:rsid w:val="005A43F2"/>
    <w:rsid w:val="005A4D99"/>
    <w:rsid w:val="005A56CC"/>
    <w:rsid w:val="005B0BE6"/>
    <w:rsid w:val="005B27BA"/>
    <w:rsid w:val="005C0DD3"/>
    <w:rsid w:val="005C479A"/>
    <w:rsid w:val="005D0314"/>
    <w:rsid w:val="005E536C"/>
    <w:rsid w:val="005E5B11"/>
    <w:rsid w:val="005F4138"/>
    <w:rsid w:val="005F449F"/>
    <w:rsid w:val="005F6628"/>
    <w:rsid w:val="0060418F"/>
    <w:rsid w:val="006046B6"/>
    <w:rsid w:val="006101E5"/>
    <w:rsid w:val="006143E5"/>
    <w:rsid w:val="006213DF"/>
    <w:rsid w:val="0062259E"/>
    <w:rsid w:val="00625474"/>
    <w:rsid w:val="00634796"/>
    <w:rsid w:val="006371A5"/>
    <w:rsid w:val="006500E8"/>
    <w:rsid w:val="00664257"/>
    <w:rsid w:val="00666B36"/>
    <w:rsid w:val="00675296"/>
    <w:rsid w:val="00677F55"/>
    <w:rsid w:val="00692A25"/>
    <w:rsid w:val="006A05A1"/>
    <w:rsid w:val="006A3336"/>
    <w:rsid w:val="006A6EA1"/>
    <w:rsid w:val="006A6FCF"/>
    <w:rsid w:val="006A739A"/>
    <w:rsid w:val="006B34A5"/>
    <w:rsid w:val="006C1D44"/>
    <w:rsid w:val="006C7150"/>
    <w:rsid w:val="006D0492"/>
    <w:rsid w:val="006D38A6"/>
    <w:rsid w:val="006D4EA5"/>
    <w:rsid w:val="006D759D"/>
    <w:rsid w:val="006E3F07"/>
    <w:rsid w:val="006F4F75"/>
    <w:rsid w:val="006F6771"/>
    <w:rsid w:val="006F7274"/>
    <w:rsid w:val="007003B8"/>
    <w:rsid w:val="00701D5C"/>
    <w:rsid w:val="007022E2"/>
    <w:rsid w:val="00726591"/>
    <w:rsid w:val="0074513D"/>
    <w:rsid w:val="007536D5"/>
    <w:rsid w:val="00753B6E"/>
    <w:rsid w:val="007602AC"/>
    <w:rsid w:val="007616A9"/>
    <w:rsid w:val="0076658A"/>
    <w:rsid w:val="007711DC"/>
    <w:rsid w:val="00773F48"/>
    <w:rsid w:val="00775781"/>
    <w:rsid w:val="00793467"/>
    <w:rsid w:val="00794BD7"/>
    <w:rsid w:val="00796330"/>
    <w:rsid w:val="007A49AE"/>
    <w:rsid w:val="007B2CE3"/>
    <w:rsid w:val="007D270C"/>
    <w:rsid w:val="007E2A9C"/>
    <w:rsid w:val="007E3062"/>
    <w:rsid w:val="007F2D28"/>
    <w:rsid w:val="007F5475"/>
    <w:rsid w:val="00803774"/>
    <w:rsid w:val="00807DB0"/>
    <w:rsid w:val="00810F14"/>
    <w:rsid w:val="008159FE"/>
    <w:rsid w:val="008207B9"/>
    <w:rsid w:val="00834DD7"/>
    <w:rsid w:val="008448B3"/>
    <w:rsid w:val="00847191"/>
    <w:rsid w:val="00847761"/>
    <w:rsid w:val="008519D2"/>
    <w:rsid w:val="0085370C"/>
    <w:rsid w:val="00860CE6"/>
    <w:rsid w:val="00863A6C"/>
    <w:rsid w:val="00864576"/>
    <w:rsid w:val="008827E0"/>
    <w:rsid w:val="0088767B"/>
    <w:rsid w:val="008923BB"/>
    <w:rsid w:val="008A1115"/>
    <w:rsid w:val="008B4817"/>
    <w:rsid w:val="008C1109"/>
    <w:rsid w:val="008C3257"/>
    <w:rsid w:val="008C3CA7"/>
    <w:rsid w:val="008D0546"/>
    <w:rsid w:val="008D761A"/>
    <w:rsid w:val="008E3461"/>
    <w:rsid w:val="008E7AF8"/>
    <w:rsid w:val="008F1930"/>
    <w:rsid w:val="008F7E0C"/>
    <w:rsid w:val="009025A4"/>
    <w:rsid w:val="0090417E"/>
    <w:rsid w:val="00911EE7"/>
    <w:rsid w:val="0092012D"/>
    <w:rsid w:val="009220A1"/>
    <w:rsid w:val="00923233"/>
    <w:rsid w:val="0092581A"/>
    <w:rsid w:val="00925FF4"/>
    <w:rsid w:val="00932277"/>
    <w:rsid w:val="009332CD"/>
    <w:rsid w:val="009367E2"/>
    <w:rsid w:val="0094284E"/>
    <w:rsid w:val="00943BB2"/>
    <w:rsid w:val="00944106"/>
    <w:rsid w:val="00945C50"/>
    <w:rsid w:val="0094685C"/>
    <w:rsid w:val="009532F8"/>
    <w:rsid w:val="0095732F"/>
    <w:rsid w:val="00980A37"/>
    <w:rsid w:val="00986A1C"/>
    <w:rsid w:val="00995D04"/>
    <w:rsid w:val="009A24BB"/>
    <w:rsid w:val="009B5165"/>
    <w:rsid w:val="009C0842"/>
    <w:rsid w:val="009C4C64"/>
    <w:rsid w:val="009D0029"/>
    <w:rsid w:val="009D187B"/>
    <w:rsid w:val="009D3A33"/>
    <w:rsid w:val="009E20E0"/>
    <w:rsid w:val="009F5BE2"/>
    <w:rsid w:val="00A0346E"/>
    <w:rsid w:val="00A0553E"/>
    <w:rsid w:val="00A05E23"/>
    <w:rsid w:val="00A06CDC"/>
    <w:rsid w:val="00A11B9C"/>
    <w:rsid w:val="00A20639"/>
    <w:rsid w:val="00A31CC4"/>
    <w:rsid w:val="00A341BD"/>
    <w:rsid w:val="00A50199"/>
    <w:rsid w:val="00A61170"/>
    <w:rsid w:val="00A61F7A"/>
    <w:rsid w:val="00A80D36"/>
    <w:rsid w:val="00A8414C"/>
    <w:rsid w:val="00A8752C"/>
    <w:rsid w:val="00A87E91"/>
    <w:rsid w:val="00A938FE"/>
    <w:rsid w:val="00A95253"/>
    <w:rsid w:val="00AA0461"/>
    <w:rsid w:val="00AA7ECA"/>
    <w:rsid w:val="00AB0BBC"/>
    <w:rsid w:val="00AC00CC"/>
    <w:rsid w:val="00AD1B32"/>
    <w:rsid w:val="00AD716A"/>
    <w:rsid w:val="00AD72CD"/>
    <w:rsid w:val="00AE08F7"/>
    <w:rsid w:val="00AE4C42"/>
    <w:rsid w:val="00AF4A73"/>
    <w:rsid w:val="00B05FA4"/>
    <w:rsid w:val="00B22DD7"/>
    <w:rsid w:val="00B22FB7"/>
    <w:rsid w:val="00B24F98"/>
    <w:rsid w:val="00B31D59"/>
    <w:rsid w:val="00B36411"/>
    <w:rsid w:val="00B36E33"/>
    <w:rsid w:val="00B4606C"/>
    <w:rsid w:val="00B50EEE"/>
    <w:rsid w:val="00B66F38"/>
    <w:rsid w:val="00B800F8"/>
    <w:rsid w:val="00B90175"/>
    <w:rsid w:val="00B97FAD"/>
    <w:rsid w:val="00BA7889"/>
    <w:rsid w:val="00BB4C1A"/>
    <w:rsid w:val="00BB76A8"/>
    <w:rsid w:val="00BC4975"/>
    <w:rsid w:val="00BC5447"/>
    <w:rsid w:val="00BD4837"/>
    <w:rsid w:val="00BE1714"/>
    <w:rsid w:val="00BE3902"/>
    <w:rsid w:val="00BF20CC"/>
    <w:rsid w:val="00BF54BE"/>
    <w:rsid w:val="00C172CB"/>
    <w:rsid w:val="00C2325B"/>
    <w:rsid w:val="00C33FC9"/>
    <w:rsid w:val="00C37E53"/>
    <w:rsid w:val="00C424BC"/>
    <w:rsid w:val="00C4280C"/>
    <w:rsid w:val="00C4606F"/>
    <w:rsid w:val="00C50F6D"/>
    <w:rsid w:val="00C50FAC"/>
    <w:rsid w:val="00C60B24"/>
    <w:rsid w:val="00C6498B"/>
    <w:rsid w:val="00C649BE"/>
    <w:rsid w:val="00C83F82"/>
    <w:rsid w:val="00C902A1"/>
    <w:rsid w:val="00CB24FF"/>
    <w:rsid w:val="00CB7148"/>
    <w:rsid w:val="00CD542F"/>
    <w:rsid w:val="00CE4F9C"/>
    <w:rsid w:val="00CF7673"/>
    <w:rsid w:val="00D03F7B"/>
    <w:rsid w:val="00D04857"/>
    <w:rsid w:val="00D0598D"/>
    <w:rsid w:val="00D05B93"/>
    <w:rsid w:val="00D14348"/>
    <w:rsid w:val="00D20989"/>
    <w:rsid w:val="00D21740"/>
    <w:rsid w:val="00D24617"/>
    <w:rsid w:val="00D357DC"/>
    <w:rsid w:val="00D40FE0"/>
    <w:rsid w:val="00D41450"/>
    <w:rsid w:val="00D4197D"/>
    <w:rsid w:val="00D443F5"/>
    <w:rsid w:val="00D52101"/>
    <w:rsid w:val="00D55CAE"/>
    <w:rsid w:val="00D56D12"/>
    <w:rsid w:val="00D6016C"/>
    <w:rsid w:val="00D67916"/>
    <w:rsid w:val="00D77105"/>
    <w:rsid w:val="00D8025D"/>
    <w:rsid w:val="00D9298D"/>
    <w:rsid w:val="00D93BA9"/>
    <w:rsid w:val="00D9451B"/>
    <w:rsid w:val="00DB03AA"/>
    <w:rsid w:val="00DB2157"/>
    <w:rsid w:val="00DC2B99"/>
    <w:rsid w:val="00DC522E"/>
    <w:rsid w:val="00DD13B3"/>
    <w:rsid w:val="00DE297F"/>
    <w:rsid w:val="00DE7919"/>
    <w:rsid w:val="00DF42AE"/>
    <w:rsid w:val="00E013D8"/>
    <w:rsid w:val="00E0278E"/>
    <w:rsid w:val="00E03C8D"/>
    <w:rsid w:val="00E05D75"/>
    <w:rsid w:val="00E11EED"/>
    <w:rsid w:val="00E1421F"/>
    <w:rsid w:val="00E17DE8"/>
    <w:rsid w:val="00E21BD0"/>
    <w:rsid w:val="00E22E82"/>
    <w:rsid w:val="00E2335E"/>
    <w:rsid w:val="00E236E5"/>
    <w:rsid w:val="00E240FB"/>
    <w:rsid w:val="00E268D0"/>
    <w:rsid w:val="00E26FF6"/>
    <w:rsid w:val="00E313D8"/>
    <w:rsid w:val="00E36FCD"/>
    <w:rsid w:val="00E42631"/>
    <w:rsid w:val="00E54A26"/>
    <w:rsid w:val="00E55422"/>
    <w:rsid w:val="00E605B7"/>
    <w:rsid w:val="00E639DE"/>
    <w:rsid w:val="00E70CA4"/>
    <w:rsid w:val="00E90F3F"/>
    <w:rsid w:val="00E93DA6"/>
    <w:rsid w:val="00E944C1"/>
    <w:rsid w:val="00EA260E"/>
    <w:rsid w:val="00EB4997"/>
    <w:rsid w:val="00EB7F98"/>
    <w:rsid w:val="00EC0E5E"/>
    <w:rsid w:val="00EC0E78"/>
    <w:rsid w:val="00EC2551"/>
    <w:rsid w:val="00EC7005"/>
    <w:rsid w:val="00ED0361"/>
    <w:rsid w:val="00ED609B"/>
    <w:rsid w:val="00ED7EC1"/>
    <w:rsid w:val="00EE2608"/>
    <w:rsid w:val="00EE44CA"/>
    <w:rsid w:val="00EE4E0D"/>
    <w:rsid w:val="00EE677F"/>
    <w:rsid w:val="00EE7872"/>
    <w:rsid w:val="00EE7D31"/>
    <w:rsid w:val="00F12BA6"/>
    <w:rsid w:val="00F24E01"/>
    <w:rsid w:val="00F264B6"/>
    <w:rsid w:val="00F36F82"/>
    <w:rsid w:val="00F45CC6"/>
    <w:rsid w:val="00F50479"/>
    <w:rsid w:val="00F52D41"/>
    <w:rsid w:val="00F570E2"/>
    <w:rsid w:val="00F62252"/>
    <w:rsid w:val="00F706E4"/>
    <w:rsid w:val="00F80680"/>
    <w:rsid w:val="00F85FEA"/>
    <w:rsid w:val="00F86BB6"/>
    <w:rsid w:val="00F86F2A"/>
    <w:rsid w:val="00F91BB4"/>
    <w:rsid w:val="00F93E8D"/>
    <w:rsid w:val="00F940C0"/>
    <w:rsid w:val="00F978BB"/>
    <w:rsid w:val="00FA241F"/>
    <w:rsid w:val="00FB404A"/>
    <w:rsid w:val="00FC5158"/>
    <w:rsid w:val="00FC59D7"/>
    <w:rsid w:val="00FC64FD"/>
    <w:rsid w:val="00FD025A"/>
    <w:rsid w:val="00FD0FBE"/>
    <w:rsid w:val="00FE23C9"/>
    <w:rsid w:val="00FE3ADE"/>
    <w:rsid w:val="00FF01C2"/>
    <w:rsid w:val="00FF4046"/>
    <w:rsid w:val="00FF5690"/>
    <w:rsid w:val="00FF6071"/>
    <w:rsid w:val="00FF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0CC6494"/>
  <w15:chartTrackingRefBased/>
  <w15:docId w15:val="{295B054B-C99B-4755-A973-E78484A4A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34B6B"/>
    <w:rPr>
      <w:rFonts w:ascii="Arial" w:hAnsi="Arial"/>
      <w:sz w:val="24"/>
      <w:szCs w:val="24"/>
    </w:rPr>
  </w:style>
  <w:style w:type="paragraph" w:styleId="Heading1">
    <w:name w:val="heading 1"/>
    <w:basedOn w:val="Normal"/>
    <w:next w:val="Normal"/>
    <w:qFormat/>
    <w:rsid w:val="00534B6B"/>
    <w:pPr>
      <w:keepNext/>
      <w:outlineLvl w:val="0"/>
    </w:pPr>
    <w:rPr>
      <w:b/>
      <w:szCs w:val="20"/>
    </w:rPr>
  </w:style>
  <w:style w:type="paragraph" w:styleId="Heading2">
    <w:name w:val="heading 2"/>
    <w:basedOn w:val="Normal"/>
    <w:next w:val="Normal"/>
    <w:link w:val="Heading2Char"/>
    <w:semiHidden/>
    <w:unhideWhenUsed/>
    <w:qFormat/>
    <w:rsid w:val="00847191"/>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34B6B"/>
    <w:pPr>
      <w:overflowPunct w:val="0"/>
      <w:autoSpaceDE w:val="0"/>
      <w:autoSpaceDN w:val="0"/>
      <w:adjustRightInd w:val="0"/>
      <w:textAlignment w:val="baseline"/>
    </w:pPr>
    <w:rPr>
      <w:rFonts w:ascii="Courier" w:hAnsi="Courier"/>
      <w:szCs w:val="20"/>
    </w:rPr>
  </w:style>
  <w:style w:type="paragraph" w:styleId="TOC6">
    <w:name w:val="toc 6"/>
    <w:basedOn w:val="Normal"/>
    <w:next w:val="Normal"/>
    <w:semiHidden/>
    <w:rsid w:val="00534B6B"/>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paragraph" w:styleId="ListParagraph">
    <w:name w:val="List Paragraph"/>
    <w:basedOn w:val="Normal"/>
    <w:uiPriority w:val="34"/>
    <w:qFormat/>
    <w:rsid w:val="00B97FAD"/>
    <w:pPr>
      <w:ind w:left="720"/>
      <w:contextualSpacing/>
    </w:pPr>
    <w:rPr>
      <w:rFonts w:ascii="Times New Roman" w:eastAsia="Calibri" w:hAnsi="Times New Roman"/>
    </w:rPr>
  </w:style>
  <w:style w:type="paragraph" w:styleId="BalloonText">
    <w:name w:val="Balloon Text"/>
    <w:basedOn w:val="Normal"/>
    <w:link w:val="BalloonTextChar"/>
    <w:rsid w:val="002C7AC2"/>
    <w:rPr>
      <w:rFonts w:ascii="Tahoma" w:hAnsi="Tahoma" w:cs="Tahoma"/>
      <w:sz w:val="16"/>
      <w:szCs w:val="16"/>
    </w:rPr>
  </w:style>
  <w:style w:type="character" w:customStyle="1" w:styleId="BalloonTextChar">
    <w:name w:val="Balloon Text Char"/>
    <w:link w:val="BalloonText"/>
    <w:rsid w:val="002C7AC2"/>
    <w:rPr>
      <w:rFonts w:ascii="Tahoma" w:hAnsi="Tahoma" w:cs="Tahoma"/>
      <w:sz w:val="16"/>
      <w:szCs w:val="16"/>
    </w:rPr>
  </w:style>
  <w:style w:type="character" w:customStyle="1" w:styleId="Heading2Char">
    <w:name w:val="Heading 2 Char"/>
    <w:link w:val="Heading2"/>
    <w:semiHidden/>
    <w:rsid w:val="00847191"/>
    <w:rPr>
      <w:rFonts w:ascii="Calibri Light" w:eastAsia="Times New Roman" w:hAnsi="Calibri Light" w:cs="Times New Roman"/>
      <w:b/>
      <w:bCs/>
      <w:i/>
      <w:iCs/>
      <w:sz w:val="28"/>
      <w:szCs w:val="28"/>
    </w:rPr>
  </w:style>
  <w:style w:type="paragraph" w:styleId="Title">
    <w:name w:val="Title"/>
    <w:basedOn w:val="Normal"/>
    <w:link w:val="TitleChar"/>
    <w:qFormat/>
    <w:rsid w:val="00847191"/>
    <w:pPr>
      <w:jc w:val="center"/>
    </w:pPr>
    <w:rPr>
      <w:rFonts w:ascii="Times New Roman" w:hAnsi="Times New Roman"/>
      <w:b/>
      <w:sz w:val="40"/>
      <w:szCs w:val="20"/>
    </w:rPr>
  </w:style>
  <w:style w:type="character" w:customStyle="1" w:styleId="TitleChar">
    <w:name w:val="Title Char"/>
    <w:link w:val="Title"/>
    <w:rsid w:val="00847191"/>
    <w:rPr>
      <w:b/>
      <w:sz w:val="40"/>
    </w:rPr>
  </w:style>
  <w:style w:type="table" w:styleId="TableGrid">
    <w:name w:val="Table Grid"/>
    <w:basedOn w:val="TableNormal"/>
    <w:rsid w:val="00162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1A503D"/>
    <w:rPr>
      <w:sz w:val="16"/>
      <w:szCs w:val="16"/>
    </w:rPr>
  </w:style>
  <w:style w:type="paragraph" w:styleId="CommentText">
    <w:name w:val="annotation text"/>
    <w:basedOn w:val="Normal"/>
    <w:link w:val="CommentTextChar"/>
    <w:rsid w:val="001A503D"/>
    <w:rPr>
      <w:sz w:val="20"/>
      <w:szCs w:val="20"/>
    </w:rPr>
  </w:style>
  <w:style w:type="character" w:customStyle="1" w:styleId="CommentTextChar">
    <w:name w:val="Comment Text Char"/>
    <w:basedOn w:val="DefaultParagraphFont"/>
    <w:link w:val="CommentText"/>
    <w:rsid w:val="001A503D"/>
    <w:rPr>
      <w:rFonts w:ascii="Arial" w:hAnsi="Arial"/>
    </w:rPr>
  </w:style>
  <w:style w:type="paragraph" w:styleId="CommentSubject">
    <w:name w:val="annotation subject"/>
    <w:basedOn w:val="CommentText"/>
    <w:next w:val="CommentText"/>
    <w:link w:val="CommentSubjectChar"/>
    <w:rsid w:val="001A503D"/>
    <w:rPr>
      <w:b/>
      <w:bCs/>
    </w:rPr>
  </w:style>
  <w:style w:type="character" w:customStyle="1" w:styleId="CommentSubjectChar">
    <w:name w:val="Comment Subject Char"/>
    <w:basedOn w:val="CommentTextChar"/>
    <w:link w:val="CommentSubject"/>
    <w:rsid w:val="001A503D"/>
    <w:rPr>
      <w:rFonts w:ascii="Arial" w:hAnsi="Arial"/>
      <w:b/>
      <w:bCs/>
    </w:rPr>
  </w:style>
  <w:style w:type="paragraph" w:styleId="Header">
    <w:name w:val="header"/>
    <w:basedOn w:val="Normal"/>
    <w:link w:val="HeaderChar"/>
    <w:rsid w:val="000D0698"/>
    <w:pPr>
      <w:tabs>
        <w:tab w:val="center" w:pos="4680"/>
        <w:tab w:val="right" w:pos="9360"/>
      </w:tabs>
    </w:pPr>
  </w:style>
  <w:style w:type="character" w:customStyle="1" w:styleId="HeaderChar">
    <w:name w:val="Header Char"/>
    <w:basedOn w:val="DefaultParagraphFont"/>
    <w:link w:val="Header"/>
    <w:rsid w:val="000D0698"/>
    <w:rPr>
      <w:rFonts w:ascii="Arial" w:hAnsi="Arial"/>
      <w:sz w:val="24"/>
      <w:szCs w:val="24"/>
    </w:rPr>
  </w:style>
  <w:style w:type="paragraph" w:styleId="Footer">
    <w:name w:val="footer"/>
    <w:basedOn w:val="Normal"/>
    <w:link w:val="FooterChar"/>
    <w:rsid w:val="000D0698"/>
    <w:pPr>
      <w:tabs>
        <w:tab w:val="center" w:pos="4680"/>
        <w:tab w:val="right" w:pos="9360"/>
      </w:tabs>
    </w:pPr>
  </w:style>
  <w:style w:type="character" w:customStyle="1" w:styleId="FooterChar">
    <w:name w:val="Footer Char"/>
    <w:basedOn w:val="DefaultParagraphFont"/>
    <w:link w:val="Footer"/>
    <w:rsid w:val="000D0698"/>
    <w:rPr>
      <w:rFonts w:ascii="Arial" w:hAnsi="Arial"/>
      <w:sz w:val="24"/>
      <w:szCs w:val="24"/>
    </w:rPr>
  </w:style>
  <w:style w:type="paragraph" w:styleId="FootnoteText">
    <w:name w:val="footnote text"/>
    <w:basedOn w:val="Normal"/>
    <w:link w:val="FootnoteTextChar"/>
    <w:rsid w:val="0094685C"/>
    <w:rPr>
      <w:sz w:val="20"/>
      <w:szCs w:val="20"/>
    </w:rPr>
  </w:style>
  <w:style w:type="character" w:customStyle="1" w:styleId="FootnoteTextChar">
    <w:name w:val="Footnote Text Char"/>
    <w:basedOn w:val="DefaultParagraphFont"/>
    <w:link w:val="FootnoteText"/>
    <w:rsid w:val="0094685C"/>
    <w:rPr>
      <w:rFonts w:ascii="Arial" w:hAnsi="Arial"/>
    </w:rPr>
  </w:style>
  <w:style w:type="character" w:styleId="FootnoteReference">
    <w:name w:val="footnote reference"/>
    <w:basedOn w:val="DefaultParagraphFont"/>
    <w:rsid w:val="0094685C"/>
    <w:rPr>
      <w:vertAlign w:val="superscript"/>
    </w:rPr>
  </w:style>
  <w:style w:type="character" w:styleId="Hyperlink">
    <w:name w:val="Hyperlink"/>
    <w:basedOn w:val="DefaultParagraphFont"/>
    <w:uiPriority w:val="99"/>
    <w:unhideWhenUsed/>
    <w:rsid w:val="009468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61159">
      <w:bodyDiv w:val="1"/>
      <w:marLeft w:val="0"/>
      <w:marRight w:val="0"/>
      <w:marTop w:val="0"/>
      <w:marBottom w:val="0"/>
      <w:divBdr>
        <w:top w:val="none" w:sz="0" w:space="0" w:color="auto"/>
        <w:left w:val="none" w:sz="0" w:space="0" w:color="auto"/>
        <w:bottom w:val="none" w:sz="0" w:space="0" w:color="auto"/>
        <w:right w:val="none" w:sz="0" w:space="0" w:color="auto"/>
      </w:divBdr>
    </w:div>
    <w:div w:id="433944991">
      <w:bodyDiv w:val="1"/>
      <w:marLeft w:val="0"/>
      <w:marRight w:val="0"/>
      <w:marTop w:val="0"/>
      <w:marBottom w:val="0"/>
      <w:divBdr>
        <w:top w:val="none" w:sz="0" w:space="0" w:color="auto"/>
        <w:left w:val="none" w:sz="0" w:space="0" w:color="auto"/>
        <w:bottom w:val="none" w:sz="0" w:space="0" w:color="auto"/>
        <w:right w:val="none" w:sz="0" w:space="0" w:color="auto"/>
      </w:divBdr>
    </w:div>
    <w:div w:id="1115558703">
      <w:bodyDiv w:val="1"/>
      <w:marLeft w:val="0"/>
      <w:marRight w:val="0"/>
      <w:marTop w:val="0"/>
      <w:marBottom w:val="0"/>
      <w:divBdr>
        <w:top w:val="none" w:sz="0" w:space="0" w:color="auto"/>
        <w:left w:val="none" w:sz="0" w:space="0" w:color="auto"/>
        <w:bottom w:val="none" w:sz="0" w:space="0" w:color="auto"/>
        <w:right w:val="none" w:sz="0" w:space="0" w:color="auto"/>
      </w:divBdr>
    </w:div>
    <w:div w:id="1284728824">
      <w:bodyDiv w:val="1"/>
      <w:marLeft w:val="0"/>
      <w:marRight w:val="0"/>
      <w:marTop w:val="0"/>
      <w:marBottom w:val="0"/>
      <w:divBdr>
        <w:top w:val="none" w:sz="0" w:space="0" w:color="auto"/>
        <w:left w:val="none" w:sz="0" w:space="0" w:color="auto"/>
        <w:bottom w:val="none" w:sz="0" w:space="0" w:color="auto"/>
        <w:right w:val="none" w:sz="0" w:space="0" w:color="auto"/>
      </w:divBdr>
    </w:div>
    <w:div w:id="1556232399">
      <w:bodyDiv w:val="1"/>
      <w:marLeft w:val="0"/>
      <w:marRight w:val="0"/>
      <w:marTop w:val="0"/>
      <w:marBottom w:val="0"/>
      <w:divBdr>
        <w:top w:val="none" w:sz="0" w:space="0" w:color="auto"/>
        <w:left w:val="none" w:sz="0" w:space="0" w:color="auto"/>
        <w:bottom w:val="none" w:sz="0" w:space="0" w:color="auto"/>
        <w:right w:val="none" w:sz="0" w:space="0" w:color="auto"/>
      </w:divBdr>
    </w:div>
    <w:div w:id="1891721260">
      <w:bodyDiv w:val="1"/>
      <w:marLeft w:val="0"/>
      <w:marRight w:val="0"/>
      <w:marTop w:val="0"/>
      <w:marBottom w:val="0"/>
      <w:divBdr>
        <w:top w:val="none" w:sz="0" w:space="0" w:color="auto"/>
        <w:left w:val="none" w:sz="0" w:space="0" w:color="auto"/>
        <w:bottom w:val="none" w:sz="0" w:space="0" w:color="auto"/>
        <w:right w:val="none" w:sz="0" w:space="0" w:color="auto"/>
      </w:divBdr>
    </w:div>
    <w:div w:id="210923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current/oes132098.htm" TargetMode="External"/><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58AA2-C90D-4CCB-B931-4EBF3EED3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AB61EFC-8B56-42E6-A0BD-7B4C811D2934}">
  <ds:schemaRefs>
    <ds:schemaRef ds:uri="http://schemas.microsoft.com/sharepoint/v3/contenttype/forms"/>
  </ds:schemaRefs>
</ds:datastoreItem>
</file>

<file path=customXml/itemProps3.xml><?xml version="1.0" encoding="utf-8"?>
<ds:datastoreItem xmlns:ds="http://schemas.openxmlformats.org/officeDocument/2006/customXml" ds:itemID="{E81F0DEF-5945-4729-A5A2-07C05E3063B2}">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F48E4D9D-BAA7-4A39-ADF3-64B966F08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2094</Words>
  <Characters>11762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Supporting Statement for New and Revised Information Collections</vt:lpstr>
    </vt:vector>
  </TitlesOfParts>
  <Company>CFTC</Company>
  <LinksUpToDate>false</LinksUpToDate>
  <CharactersWithSpaces>13829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and Revised Information Collections</dc:title>
  <dc:subject>Supporting Statement required by OMB justifying any proposed collection of information subject to the PRA.</dc:subject>
  <dc:creator>Office of General Counsel (OGC)</dc:creator>
  <cp:keywords>Paperwork Reduction Act, PRA, supporting statement, information collection</cp:keywords>
  <cp:lastModifiedBy>Dinh, Thuy B.</cp:lastModifiedBy>
  <cp:revision>2</cp:revision>
  <cp:lastPrinted>2014-08-21T15:04:00Z</cp:lastPrinted>
  <dcterms:created xsi:type="dcterms:W3CDTF">2021-01-28T23:50:00Z</dcterms:created>
  <dcterms:modified xsi:type="dcterms:W3CDTF">2021-01-28T23:50:00Z</dcterms:modified>
</cp:coreProperties>
</file>