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A4340" w:rsidR="00534B6B" w:rsidP="00A606B5" w:rsidRDefault="00534B6B" w14:paraId="2BDF81E1" w14:textId="77777777">
      <w:pPr>
        <w:suppressAutoHyphens/>
        <w:spacing w:after="240"/>
        <w:jc w:val="center"/>
        <w:rPr>
          <w:rFonts w:ascii="Times New Roman" w:hAnsi="Times New Roman"/>
          <w:b/>
        </w:rPr>
      </w:pPr>
      <w:bookmarkStart w:name="_GoBack" w:id="0"/>
      <w:bookmarkEnd w:id="0"/>
      <w:r w:rsidRPr="005A4340">
        <w:rPr>
          <w:rFonts w:ascii="Times New Roman" w:hAnsi="Times New Roman"/>
          <w:b/>
        </w:rPr>
        <w:t>SUPPORTING STATEMENT FOR NEW AND</w:t>
      </w:r>
      <w:r w:rsidRPr="005A4340" w:rsidR="00DE6F81">
        <w:rPr>
          <w:rFonts w:ascii="Times New Roman" w:hAnsi="Times New Roman"/>
          <w:b/>
        </w:rPr>
        <w:t xml:space="preserve"> </w:t>
      </w:r>
      <w:r w:rsidRPr="005A4340">
        <w:rPr>
          <w:rFonts w:ascii="Times New Roman" w:hAnsi="Times New Roman"/>
          <w:b/>
        </w:rPr>
        <w:t>REVISED INFORMATION COLLECTIONS</w:t>
      </w:r>
    </w:p>
    <w:p w:rsidRPr="005A4340" w:rsidR="00DE6F81" w:rsidP="00A606B5" w:rsidRDefault="00DE6F81" w14:paraId="3886680F" w14:textId="77777777">
      <w:pPr>
        <w:tabs>
          <w:tab w:val="center" w:pos="4680"/>
        </w:tabs>
        <w:suppressAutoHyphens/>
        <w:spacing w:after="240"/>
        <w:jc w:val="center"/>
        <w:rPr>
          <w:rFonts w:ascii="Times New Roman" w:hAnsi="Times New Roman"/>
          <w:b/>
        </w:rPr>
      </w:pPr>
    </w:p>
    <w:p w:rsidR="009623BF" w:rsidP="00A606B5" w:rsidRDefault="00534B6B" w14:paraId="1752E0B1" w14:textId="77777777">
      <w:pPr>
        <w:tabs>
          <w:tab w:val="center" w:pos="4680"/>
        </w:tabs>
        <w:suppressAutoHyphens/>
        <w:spacing w:after="240"/>
        <w:jc w:val="center"/>
        <w:rPr>
          <w:rFonts w:ascii="Times New Roman" w:hAnsi="Times New Roman"/>
          <w:b/>
        </w:rPr>
      </w:pPr>
      <w:r w:rsidRPr="005A4340">
        <w:rPr>
          <w:rFonts w:ascii="Times New Roman" w:hAnsi="Times New Roman"/>
          <w:b/>
        </w:rPr>
        <w:t xml:space="preserve">OMB CONTROL NUMBER </w:t>
      </w:r>
      <w:r w:rsidRPr="005A4340" w:rsidR="00DE6F81">
        <w:rPr>
          <w:rFonts w:ascii="Times New Roman" w:hAnsi="Times New Roman"/>
          <w:b/>
        </w:rPr>
        <w:t>3038-0096</w:t>
      </w:r>
    </w:p>
    <w:p w:rsidRPr="005A4340" w:rsidR="00534B6B" w:rsidP="00A606B5" w:rsidRDefault="009623BF" w14:paraId="6182A696" w14:textId="77777777">
      <w:pPr>
        <w:tabs>
          <w:tab w:val="center" w:pos="4680"/>
        </w:tabs>
        <w:suppressAutoHyphens/>
        <w:spacing w:after="240"/>
        <w:jc w:val="center"/>
        <w:rPr>
          <w:rFonts w:ascii="Times New Roman" w:hAnsi="Times New Roman"/>
          <w:b/>
        </w:rPr>
      </w:pPr>
      <w:r>
        <w:rPr>
          <w:rFonts w:ascii="Times New Roman" w:hAnsi="Times New Roman"/>
          <w:b/>
        </w:rPr>
        <w:t>New Information Collection for Exempt DCOs</w:t>
      </w:r>
    </w:p>
    <w:p w:rsidRPr="005A4340" w:rsidR="00534B6B" w:rsidP="00A606B5" w:rsidRDefault="00534B6B" w14:paraId="6C3DC2D9" w14:textId="77777777">
      <w:pPr>
        <w:pStyle w:val="Heading1"/>
        <w:keepNext w:val="0"/>
        <w:spacing w:after="240"/>
        <w:rPr>
          <w:rFonts w:ascii="Times New Roman" w:hAnsi="Times New Roman"/>
          <w:b w:val="0"/>
          <w:szCs w:val="24"/>
          <w:u w:val="single"/>
        </w:rPr>
      </w:pPr>
      <w:r w:rsidRPr="005A4340">
        <w:rPr>
          <w:rFonts w:ascii="Times New Roman" w:hAnsi="Times New Roman"/>
          <w:b w:val="0"/>
          <w:szCs w:val="24"/>
          <w:u w:val="single"/>
        </w:rPr>
        <w:t>Justification</w:t>
      </w:r>
    </w:p>
    <w:p w:rsidRPr="005A4340" w:rsidR="00534B6B" w:rsidP="00A606B5" w:rsidRDefault="00534B6B" w14:paraId="1868F06D" w14:textId="77777777">
      <w:pPr>
        <w:tabs>
          <w:tab w:val="left" w:pos="-720"/>
          <w:tab w:val="left" w:pos="720"/>
        </w:tabs>
        <w:spacing w:after="240"/>
        <w:ind w:left="720" w:hanging="720"/>
        <w:rPr>
          <w:rFonts w:ascii="Times New Roman" w:hAnsi="Times New Roman"/>
        </w:rPr>
      </w:pPr>
      <w:r w:rsidRPr="005A4340">
        <w:rPr>
          <w:rFonts w:ascii="Times New Roman" w:hAnsi="Times New Roman"/>
        </w:rPr>
        <w:t>1.</w:t>
      </w:r>
      <w:r w:rsidRPr="005A4340">
        <w:rPr>
          <w:rFonts w:ascii="Times New Roman" w:hAnsi="Times New Roman"/>
        </w:rPr>
        <w:tab/>
      </w:r>
      <w:r w:rsidRPr="005A4340">
        <w:rPr>
          <w:rFonts w:ascii="Times New Roman" w:hAnsi="Times New Roman"/>
          <w:u w:val="single"/>
        </w:rPr>
        <w:t xml:space="preserve">Explain the circumstances that make the collection of information </w:t>
      </w:r>
      <w:r w:rsidRPr="005A4340" w:rsidR="006C7150">
        <w:rPr>
          <w:rFonts w:ascii="Times New Roman" w:hAnsi="Times New Roman"/>
          <w:u w:val="single"/>
        </w:rPr>
        <w:t>necessary.</w:t>
      </w:r>
      <w:r w:rsidRPr="005A4340">
        <w:rPr>
          <w:rFonts w:ascii="Times New Roman" w:hAnsi="Times New Roman"/>
          <w:u w:val="single"/>
        </w:rPr>
        <w:t xml:space="preserve">  Identify any legal or administrative requirements that necessitate the collection.  Attach a copy of the appropriate section of each statute and regulation mandating or authorizing the collection of information.</w:t>
      </w:r>
    </w:p>
    <w:p w:rsidRPr="00046624" w:rsidR="00DE6F81" w:rsidP="00046624" w:rsidRDefault="00DE6F81" w14:paraId="0CDC472A" w14:textId="77777777">
      <w:pPr>
        <w:rPr>
          <w:rFonts w:ascii="Times New Roman" w:hAnsi="Times New Roman" w:eastAsia="Calibri"/>
        </w:rPr>
      </w:pPr>
      <w:r w:rsidRPr="005A4340">
        <w:rPr>
          <w:rFonts w:ascii="Times New Roman" w:hAnsi="Times New Roman"/>
        </w:rPr>
        <w:tab/>
      </w:r>
      <w:r w:rsidRPr="00046624" w:rsidR="00046624">
        <w:rPr>
          <w:rFonts w:ascii="Times New Roman" w:hAnsi="Times New Roman"/>
        </w:rPr>
        <w:t>On July 21, 2010, the Dodd-Frank Wall Street Reform and Consumer Protection Act (“Dodd Frank Act”) went into effect.</w:t>
      </w:r>
      <w:r w:rsidRPr="00046624" w:rsidR="00046624">
        <w:rPr>
          <w:rFonts w:ascii="Times New Roman" w:hAnsi="Times New Roman"/>
          <w:color w:val="000000"/>
          <w:vertAlign w:val="superscript"/>
        </w:rPr>
        <w:footnoteReference w:id="1"/>
      </w:r>
      <w:r w:rsidRPr="00046624" w:rsidR="00046624">
        <w:rPr>
          <w:rFonts w:ascii="Times New Roman" w:hAnsi="Times New Roman" w:eastAsia="Calibri"/>
        </w:rPr>
        <w:t xml:space="preserve"> </w:t>
      </w:r>
      <w:r w:rsidR="00046624">
        <w:rPr>
          <w:rFonts w:ascii="Times New Roman" w:hAnsi="Times New Roman" w:eastAsia="Calibri"/>
        </w:rPr>
        <w:t xml:space="preserve"> </w:t>
      </w:r>
      <w:r w:rsidRPr="00046624" w:rsidR="00046624">
        <w:rPr>
          <w:rFonts w:ascii="Times New Roman" w:hAnsi="Times New Roman"/>
        </w:rPr>
        <w:t>Title VII of the Dodd-Frank Act amend</w:t>
      </w:r>
      <w:r w:rsidR="00F70983">
        <w:rPr>
          <w:rFonts w:ascii="Times New Roman" w:hAnsi="Times New Roman"/>
        </w:rPr>
        <w:t>ed</w:t>
      </w:r>
      <w:r w:rsidRPr="00046624" w:rsidR="00046624">
        <w:rPr>
          <w:rFonts w:ascii="Times New Roman" w:hAnsi="Times New Roman"/>
        </w:rPr>
        <w:t xml:space="preserve"> the Commodity Exchange Act (“CEA”)</w:t>
      </w:r>
      <w:r w:rsidRPr="00046624" w:rsidR="00046624">
        <w:rPr>
          <w:rFonts w:ascii="Times New Roman" w:hAnsi="Times New Roman"/>
          <w:color w:val="000000"/>
          <w:vertAlign w:val="superscript"/>
        </w:rPr>
        <w:t xml:space="preserve"> </w:t>
      </w:r>
      <w:r w:rsidRPr="00046624" w:rsidR="00046624">
        <w:rPr>
          <w:rFonts w:ascii="Times New Roman" w:hAnsi="Times New Roman"/>
          <w:color w:val="000000"/>
          <w:vertAlign w:val="superscript"/>
        </w:rPr>
        <w:footnoteReference w:id="2"/>
      </w:r>
      <w:r w:rsidRPr="00046624" w:rsidR="00046624">
        <w:rPr>
          <w:rFonts w:ascii="Times New Roman" w:hAnsi="Times New Roman" w:eastAsia="Calibri"/>
        </w:rPr>
        <w:t xml:space="preserve"> </w:t>
      </w:r>
      <w:r w:rsidRPr="00046624" w:rsidR="00046624">
        <w:rPr>
          <w:rFonts w:ascii="Times New Roman" w:hAnsi="Times New Roman"/>
        </w:rPr>
        <w:t>to establish a comprehensive regulatory framework for swaps and security-based swaps. Section 728 of the Dodd-Frank Act specifically requires the Commodity Futures Trading Commission (“Commission”) to establish standards for swap data recordkeeping and reporting, including the data elements to be collected and maintained by swap data repositories (“SDRs”) for each swap. Section 729 of the Dodd-Frank Act required that at least one counterparty to each swap have an obligation to report data concerning each swap. On December 20, 2011, the Commission adopted Part 45 of the Commission’s regulations to establish the swap data recordkeeping and reporting requirements mandated by the Dodd-Frank Act.</w:t>
      </w:r>
      <w:r w:rsidRPr="00046624" w:rsidR="00046624">
        <w:rPr>
          <w:rFonts w:ascii="Times New Roman" w:hAnsi="Times New Roman"/>
          <w:color w:val="000000"/>
          <w:vertAlign w:val="superscript"/>
        </w:rPr>
        <w:footnoteReference w:id="3"/>
      </w:r>
    </w:p>
    <w:p w:rsidRPr="005A4340" w:rsidR="00046624" w:rsidP="00046624" w:rsidRDefault="00046624" w14:paraId="79A2C742" w14:textId="77777777">
      <w:pPr>
        <w:rPr>
          <w:rFonts w:ascii="Times New Roman" w:hAnsi="Times New Roman"/>
        </w:rPr>
      </w:pPr>
    </w:p>
    <w:p w:rsidR="00DE41D6" w:rsidP="00400E46" w:rsidRDefault="00DE6F81" w14:paraId="74C3273C" w14:textId="47A3BE6B">
      <w:pPr>
        <w:tabs>
          <w:tab w:val="left" w:pos="-720"/>
          <w:tab w:val="left" w:pos="0"/>
        </w:tabs>
        <w:spacing w:after="240"/>
        <w:ind w:right="90"/>
        <w:rPr>
          <w:rFonts w:ascii="Times New Roman" w:hAnsi="Times New Roman"/>
        </w:rPr>
      </w:pPr>
      <w:r w:rsidRPr="005A4340">
        <w:rPr>
          <w:rFonts w:ascii="Times New Roman" w:hAnsi="Times New Roman"/>
        </w:rPr>
        <w:tab/>
      </w:r>
      <w:r w:rsidRPr="005A4340" w:rsidR="00B61C16">
        <w:rPr>
          <w:rFonts w:ascii="Times New Roman" w:hAnsi="Times New Roman"/>
        </w:rPr>
        <w:t xml:space="preserve">This supporting statement </w:t>
      </w:r>
      <w:r w:rsidR="00361A70">
        <w:rPr>
          <w:rFonts w:ascii="Times New Roman" w:hAnsi="Times New Roman"/>
        </w:rPr>
        <w:t xml:space="preserve">relates </w:t>
      </w:r>
      <w:r w:rsidR="00F70983">
        <w:rPr>
          <w:rFonts w:ascii="Times New Roman" w:hAnsi="Times New Roman"/>
        </w:rPr>
        <w:t xml:space="preserve">to a </w:t>
      </w:r>
      <w:r w:rsidR="00930155">
        <w:rPr>
          <w:rFonts w:ascii="Times New Roman" w:hAnsi="Times New Roman"/>
        </w:rPr>
        <w:t>new</w:t>
      </w:r>
      <w:r w:rsidR="00F70983">
        <w:rPr>
          <w:rFonts w:ascii="Times New Roman" w:hAnsi="Times New Roman"/>
        </w:rPr>
        <w:t xml:space="preserve"> information collection under OMB Control No. 3038-0096 for </w:t>
      </w:r>
      <w:r w:rsidR="005A208D">
        <w:rPr>
          <w:rFonts w:ascii="Times New Roman" w:hAnsi="Times New Roman"/>
        </w:rPr>
        <w:t xml:space="preserve">the Commission’s changes to Part 39 of its regulations to establish a </w:t>
      </w:r>
      <w:r w:rsidR="00400E46">
        <w:rPr>
          <w:rFonts w:ascii="Times New Roman" w:hAnsi="Times New Roman"/>
        </w:rPr>
        <w:t>regulatory framework for exempt derivatives clearing organizations (“DCOs”), pursuant to Section 5b(h) of the CEA.</w:t>
      </w:r>
      <w:r w:rsidR="00400E46">
        <w:rPr>
          <w:rStyle w:val="FootnoteReference"/>
          <w:rFonts w:ascii="Times New Roman" w:hAnsi="Times New Roman"/>
        </w:rPr>
        <w:footnoteReference w:id="4"/>
      </w:r>
      <w:r w:rsidR="00400E46">
        <w:rPr>
          <w:rFonts w:ascii="Times New Roman" w:hAnsi="Times New Roman"/>
        </w:rPr>
        <w:t xml:space="preserve">  </w:t>
      </w:r>
      <w:r w:rsidR="00DB7FB0">
        <w:rPr>
          <w:rFonts w:ascii="Times New Roman" w:hAnsi="Times New Roman"/>
        </w:rPr>
        <w:t xml:space="preserve">Specifically, </w:t>
      </w:r>
      <w:r w:rsidRPr="00DB7FB0" w:rsidR="00DB7FB0">
        <w:rPr>
          <w:rFonts w:ascii="Times New Roman" w:hAnsi="Times New Roman"/>
        </w:rPr>
        <w:t>Regulation 39.6(d) require</w:t>
      </w:r>
      <w:r w:rsidR="004D21CA">
        <w:rPr>
          <w:rFonts w:ascii="Times New Roman" w:hAnsi="Times New Roman"/>
        </w:rPr>
        <w:t>s</w:t>
      </w:r>
      <w:r w:rsidRPr="00DB7FB0" w:rsidR="00DB7FB0">
        <w:rPr>
          <w:rFonts w:ascii="Times New Roman" w:hAnsi="Times New Roman"/>
        </w:rPr>
        <w:t xml:space="preserve"> </w:t>
      </w:r>
      <w:r w:rsidR="00DB7FB0">
        <w:rPr>
          <w:rFonts w:ascii="Times New Roman" w:hAnsi="Times New Roman"/>
        </w:rPr>
        <w:t xml:space="preserve">that if a </w:t>
      </w:r>
      <w:r w:rsidRPr="00DB7FB0" w:rsidR="00DB7FB0">
        <w:rPr>
          <w:rFonts w:ascii="Times New Roman" w:hAnsi="Times New Roman"/>
        </w:rPr>
        <w:t xml:space="preserve">swap </w:t>
      </w:r>
      <w:r w:rsidR="00DB7FB0">
        <w:rPr>
          <w:rFonts w:ascii="Times New Roman" w:hAnsi="Times New Roman"/>
        </w:rPr>
        <w:t>cleared through an exempt DCO h</w:t>
      </w:r>
      <w:r w:rsidRPr="00DB7FB0" w:rsidR="00DB7FB0">
        <w:rPr>
          <w:rFonts w:ascii="Times New Roman" w:hAnsi="Times New Roman"/>
        </w:rPr>
        <w:t>as been reported to a registered swap data repository (</w:t>
      </w:r>
      <w:r w:rsidR="00470B08">
        <w:rPr>
          <w:rFonts w:ascii="Times New Roman" w:hAnsi="Times New Roman"/>
        </w:rPr>
        <w:t>“</w:t>
      </w:r>
      <w:r w:rsidRPr="00DB7FB0" w:rsidR="00DB7FB0">
        <w:rPr>
          <w:rFonts w:ascii="Times New Roman" w:hAnsi="Times New Roman"/>
        </w:rPr>
        <w:t>SDR</w:t>
      </w:r>
      <w:r w:rsidR="00470B08">
        <w:rPr>
          <w:rFonts w:ascii="Times New Roman" w:hAnsi="Times New Roman"/>
        </w:rPr>
        <w:t>”</w:t>
      </w:r>
      <w:r w:rsidRPr="00DB7FB0" w:rsidR="00DB7FB0">
        <w:rPr>
          <w:rFonts w:ascii="Times New Roman" w:hAnsi="Times New Roman"/>
        </w:rPr>
        <w:t xml:space="preserve">) pursuant to </w:t>
      </w:r>
      <w:r w:rsidR="00DB7FB0">
        <w:rPr>
          <w:rFonts w:ascii="Times New Roman" w:hAnsi="Times New Roman"/>
        </w:rPr>
        <w:t>P</w:t>
      </w:r>
      <w:r w:rsidRPr="00DB7FB0" w:rsidR="00DB7FB0">
        <w:rPr>
          <w:rFonts w:ascii="Times New Roman" w:hAnsi="Times New Roman"/>
        </w:rPr>
        <w:t>art 45 of the Commission’s regulations, the exempt DCO must report to an SDR data regarding the two swaps resulting from the novation of the original swap.  In addition, an exempt DCO w</w:t>
      </w:r>
      <w:r w:rsidR="00470B08">
        <w:rPr>
          <w:rFonts w:ascii="Times New Roman" w:hAnsi="Times New Roman"/>
        </w:rPr>
        <w:t>ill</w:t>
      </w:r>
      <w:r w:rsidRPr="00DB7FB0" w:rsidR="00DB7FB0">
        <w:rPr>
          <w:rFonts w:ascii="Times New Roman" w:hAnsi="Times New Roman"/>
        </w:rPr>
        <w:t xml:space="preserve"> be required to report the termination of the original swap accepted for clearing by the exempt DCO to the SDR to which the original swap was reported.  </w:t>
      </w:r>
      <w:r w:rsidR="005A208D">
        <w:rPr>
          <w:rFonts w:ascii="Times New Roman" w:hAnsi="Times New Roman"/>
        </w:rPr>
        <w:t xml:space="preserve">Although </w:t>
      </w:r>
      <w:r w:rsidRPr="00C14782" w:rsidR="005E3436">
        <w:rPr>
          <w:rFonts w:ascii="Times New Roman" w:hAnsi="Times New Roman"/>
        </w:rPr>
        <w:t xml:space="preserve">Part 45 </w:t>
      </w:r>
      <w:r w:rsidRPr="00C14782" w:rsidR="00B61C16">
        <w:rPr>
          <w:rFonts w:ascii="Times New Roman" w:hAnsi="Times New Roman"/>
        </w:rPr>
        <w:t>impose</w:t>
      </w:r>
      <w:r w:rsidRPr="002524D8" w:rsidR="005E3436">
        <w:rPr>
          <w:rFonts w:ascii="Times New Roman" w:hAnsi="Times New Roman"/>
        </w:rPr>
        <w:t>s</w:t>
      </w:r>
      <w:r w:rsidRPr="002524D8" w:rsidR="00B61C16">
        <w:rPr>
          <w:rFonts w:ascii="Times New Roman" w:hAnsi="Times New Roman"/>
        </w:rPr>
        <w:t xml:space="preserve"> recordkeeping and reporting </w:t>
      </w:r>
      <w:r w:rsidRPr="002524D8" w:rsidR="00750CAF">
        <w:rPr>
          <w:rFonts w:ascii="Times New Roman" w:hAnsi="Times New Roman"/>
        </w:rPr>
        <w:t>requirements</w:t>
      </w:r>
      <w:r w:rsidRPr="002524D8" w:rsidR="00B61C16">
        <w:rPr>
          <w:rFonts w:ascii="Times New Roman" w:hAnsi="Times New Roman"/>
        </w:rPr>
        <w:t xml:space="preserve"> on </w:t>
      </w:r>
      <w:r w:rsidR="000E68D7">
        <w:rPr>
          <w:rFonts w:ascii="Times New Roman" w:hAnsi="Times New Roman"/>
        </w:rPr>
        <w:t xml:space="preserve">a number of registered entities and market participants, </w:t>
      </w:r>
      <w:r w:rsidR="00D90559">
        <w:rPr>
          <w:rFonts w:ascii="Times New Roman" w:hAnsi="Times New Roman"/>
        </w:rPr>
        <w:t xml:space="preserve">including registered DCOs, </w:t>
      </w:r>
      <w:r w:rsidR="005A208D">
        <w:rPr>
          <w:rFonts w:ascii="Times New Roman" w:hAnsi="Times New Roman"/>
        </w:rPr>
        <w:t xml:space="preserve">the changes </w:t>
      </w:r>
      <w:r w:rsidR="00470B08">
        <w:rPr>
          <w:rFonts w:ascii="Times New Roman" w:hAnsi="Times New Roman"/>
        </w:rPr>
        <w:t xml:space="preserve">discussed herein </w:t>
      </w:r>
      <w:r w:rsidR="005A208D">
        <w:rPr>
          <w:rFonts w:ascii="Times New Roman" w:hAnsi="Times New Roman"/>
        </w:rPr>
        <w:t xml:space="preserve">would affect only the </w:t>
      </w:r>
      <w:r w:rsidR="00086102">
        <w:rPr>
          <w:rFonts w:ascii="Times New Roman" w:hAnsi="Times New Roman"/>
        </w:rPr>
        <w:t xml:space="preserve">reporting </w:t>
      </w:r>
      <w:r w:rsidR="005A208D">
        <w:rPr>
          <w:rFonts w:ascii="Times New Roman" w:hAnsi="Times New Roman"/>
        </w:rPr>
        <w:t xml:space="preserve">burden for </w:t>
      </w:r>
      <w:r w:rsidR="00AA4C2C">
        <w:rPr>
          <w:rFonts w:ascii="Times New Roman" w:hAnsi="Times New Roman"/>
        </w:rPr>
        <w:t xml:space="preserve">exempt </w:t>
      </w:r>
      <w:r w:rsidR="005A208D">
        <w:rPr>
          <w:rFonts w:ascii="Times New Roman" w:hAnsi="Times New Roman"/>
        </w:rPr>
        <w:t xml:space="preserve">DCOs. </w:t>
      </w:r>
      <w:r w:rsidR="00400E46">
        <w:rPr>
          <w:rFonts w:ascii="Times New Roman" w:hAnsi="Times New Roman"/>
        </w:rPr>
        <w:t xml:space="preserve"> </w:t>
      </w:r>
      <w:r w:rsidRPr="001153B4" w:rsidR="001153B4">
        <w:rPr>
          <w:rFonts w:ascii="Times New Roman" w:hAnsi="Times New Roman"/>
        </w:rPr>
        <w:t xml:space="preserve">The burden for exempt DCOs reporting in accordance with </w:t>
      </w:r>
      <w:r w:rsidR="00F70983">
        <w:rPr>
          <w:rFonts w:ascii="Times New Roman" w:hAnsi="Times New Roman"/>
        </w:rPr>
        <w:t xml:space="preserve">§ 39.6(d) </w:t>
      </w:r>
      <w:r w:rsidR="00DF3C68">
        <w:rPr>
          <w:rFonts w:ascii="Times New Roman" w:hAnsi="Times New Roman"/>
        </w:rPr>
        <w:t>is</w:t>
      </w:r>
      <w:r w:rsidR="001153B4">
        <w:rPr>
          <w:rFonts w:ascii="Times New Roman" w:hAnsi="Times New Roman"/>
        </w:rPr>
        <w:t xml:space="preserve"> lower than </w:t>
      </w:r>
      <w:r w:rsidRPr="001153B4" w:rsidR="001153B4">
        <w:rPr>
          <w:rFonts w:ascii="Times New Roman" w:hAnsi="Times New Roman"/>
        </w:rPr>
        <w:t xml:space="preserve">the burden for registered DCOs because exempt DCOs will not be </w:t>
      </w:r>
      <w:r w:rsidRPr="001153B4" w:rsidR="001153B4">
        <w:rPr>
          <w:rFonts w:ascii="Times New Roman" w:hAnsi="Times New Roman"/>
        </w:rPr>
        <w:lastRenderedPageBreak/>
        <w:t>required to report all swaps, only those that result from the novation of original swaps that have been reported to an SDR.</w:t>
      </w:r>
    </w:p>
    <w:p w:rsidRPr="00A3257B" w:rsidR="00980A37" w:rsidP="00A3257B" w:rsidRDefault="00534B6B" w14:paraId="7DC5172A" w14:textId="77777777">
      <w:pPr>
        <w:tabs>
          <w:tab w:val="left" w:pos="-720"/>
        </w:tabs>
        <w:spacing w:after="240"/>
        <w:ind w:left="720" w:hanging="720"/>
        <w:rPr>
          <w:rFonts w:ascii="Times New Roman" w:hAnsi="Times New Roman"/>
        </w:rPr>
      </w:pPr>
      <w:r w:rsidRPr="00A3257B">
        <w:rPr>
          <w:rFonts w:ascii="Times New Roman" w:hAnsi="Times New Roman"/>
        </w:rPr>
        <w:t>2.</w:t>
      </w:r>
      <w:r w:rsidRPr="00A3257B">
        <w:rPr>
          <w:rFonts w:ascii="Times New Roman" w:hAnsi="Times New Roman"/>
        </w:rPr>
        <w:tab/>
      </w:r>
      <w:r w:rsidRPr="00A3257B">
        <w:rPr>
          <w:rFonts w:ascii="Times New Roman" w:hAnsi="Times New Roman"/>
          <w:u w:val="single"/>
        </w:rPr>
        <w:t>Indicate how, by whom, and for what purpose the dat</w:t>
      </w:r>
      <w:r w:rsidRPr="00A3257B" w:rsidR="004F4CE7">
        <w:rPr>
          <w:rFonts w:ascii="Times New Roman" w:hAnsi="Times New Roman"/>
          <w:u w:val="single"/>
        </w:rPr>
        <w:t>a</w:t>
      </w:r>
      <w:r w:rsidRPr="00A3257B">
        <w:rPr>
          <w:rFonts w:ascii="Times New Roman" w:hAnsi="Times New Roman"/>
          <w:u w:val="single"/>
        </w:rPr>
        <w:t xml:space="preserve"> would be used.  Except for a new collection, indicate the actual use the agency has made of the information received from the current collection.</w:t>
      </w:r>
    </w:p>
    <w:p w:rsidRPr="008444FB" w:rsidR="00707725" w:rsidP="00A3257B" w:rsidRDefault="00707725" w14:paraId="0D169588" w14:textId="371838E9">
      <w:pPr>
        <w:tabs>
          <w:tab w:val="left" w:pos="-720"/>
        </w:tabs>
        <w:spacing w:after="240"/>
        <w:ind w:right="180"/>
        <w:rPr>
          <w:rFonts w:ascii="Times New Roman" w:hAnsi="Times New Roman"/>
        </w:rPr>
      </w:pPr>
      <w:r w:rsidRPr="00A3257B">
        <w:rPr>
          <w:rFonts w:ascii="Times New Roman" w:hAnsi="Times New Roman"/>
          <w:b/>
        </w:rPr>
        <w:tab/>
      </w:r>
      <w:r w:rsidRPr="00774C17" w:rsidR="00415842">
        <w:rPr>
          <w:rFonts w:ascii="Times New Roman" w:hAnsi="Times New Roman"/>
        </w:rPr>
        <w:t>T</w:t>
      </w:r>
      <w:r w:rsidRPr="00A762BC" w:rsidR="00EF0DAE">
        <w:rPr>
          <w:rFonts w:ascii="Times New Roman" w:hAnsi="Times New Roman"/>
        </w:rPr>
        <w:t xml:space="preserve">he Commission </w:t>
      </w:r>
      <w:r w:rsidRPr="00CC34A6" w:rsidR="00415842">
        <w:rPr>
          <w:rFonts w:ascii="Times New Roman" w:hAnsi="Times New Roman"/>
        </w:rPr>
        <w:t xml:space="preserve">uses the data required to be reported by Part 45 </w:t>
      </w:r>
      <w:r w:rsidRPr="00CC34A6">
        <w:rPr>
          <w:rFonts w:ascii="Times New Roman" w:hAnsi="Times New Roman"/>
        </w:rPr>
        <w:t xml:space="preserve">to </w:t>
      </w:r>
      <w:r w:rsidRPr="00CC34A6" w:rsidR="00415842">
        <w:rPr>
          <w:rFonts w:ascii="Times New Roman" w:hAnsi="Times New Roman"/>
        </w:rPr>
        <w:t>fulfill its regulatory mandat</w:t>
      </w:r>
      <w:r w:rsidRPr="00CC3860" w:rsidR="00415842">
        <w:rPr>
          <w:rFonts w:ascii="Times New Roman" w:hAnsi="Times New Roman"/>
        </w:rPr>
        <w:t>es, including systemic risk mitigation, market monitoring, and market abuse prevention.</w:t>
      </w:r>
      <w:r w:rsidR="00864CB2">
        <w:rPr>
          <w:rFonts w:ascii="Times New Roman" w:hAnsi="Times New Roman"/>
        </w:rPr>
        <w:t xml:space="preserve">  Data reported by exempt DCOs would be used to monitor the swap positions of U.S. persons</w:t>
      </w:r>
      <w:r w:rsidR="002C209E">
        <w:rPr>
          <w:rFonts w:ascii="Times New Roman" w:hAnsi="Times New Roman"/>
        </w:rPr>
        <w:t xml:space="preserve"> cleared by exempt DCOs</w:t>
      </w:r>
      <w:r w:rsidR="00864CB2">
        <w:rPr>
          <w:rFonts w:ascii="Times New Roman" w:hAnsi="Times New Roman"/>
        </w:rPr>
        <w:t xml:space="preserve">. </w:t>
      </w:r>
    </w:p>
    <w:p w:rsidRPr="00A3257B" w:rsidR="00534B6B" w:rsidP="00A3257B" w:rsidRDefault="00534B6B" w14:paraId="36732BD8" w14:textId="77777777">
      <w:pPr>
        <w:keepNext/>
        <w:tabs>
          <w:tab w:val="left" w:pos="-720"/>
          <w:tab w:val="left" w:pos="720"/>
        </w:tabs>
        <w:spacing w:after="240"/>
        <w:ind w:left="720" w:hanging="720"/>
        <w:rPr>
          <w:rFonts w:ascii="Times New Roman" w:hAnsi="Times New Roman"/>
        </w:rPr>
      </w:pPr>
      <w:r w:rsidRPr="00182B88">
        <w:rPr>
          <w:rFonts w:ascii="Times New Roman" w:hAnsi="Times New Roman"/>
        </w:rPr>
        <w:t>3.</w:t>
      </w:r>
      <w:r w:rsidRPr="00182B88">
        <w:rPr>
          <w:rFonts w:ascii="Times New Roman" w:hAnsi="Times New Roman"/>
        </w:rPr>
        <w:tab/>
      </w:r>
      <w:r w:rsidRPr="00182B88">
        <w:rPr>
          <w:rFonts w:ascii="Times New Roman" w:hAnsi="Times New Roman"/>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A3257B" w:rsidR="00707725" w:rsidP="00A3257B" w:rsidRDefault="00707725" w14:paraId="7B65C21A" w14:textId="77777777">
      <w:pPr>
        <w:keepNext/>
        <w:tabs>
          <w:tab w:val="left" w:pos="-720"/>
          <w:tab w:val="left" w:pos="0"/>
        </w:tabs>
        <w:spacing w:after="240"/>
        <w:rPr>
          <w:rFonts w:ascii="Times New Roman" w:hAnsi="Times New Roman"/>
        </w:rPr>
      </w:pPr>
      <w:r w:rsidRPr="00A3257B">
        <w:rPr>
          <w:rFonts w:ascii="Times New Roman" w:hAnsi="Times New Roman"/>
        </w:rPr>
        <w:tab/>
      </w:r>
      <w:r w:rsidRPr="00A3257B" w:rsidR="00EF0DAE">
        <w:rPr>
          <w:rFonts w:ascii="Times New Roman" w:hAnsi="Times New Roman"/>
        </w:rPr>
        <w:t xml:space="preserve">The swap data </w:t>
      </w:r>
      <w:r w:rsidRPr="00A3257B" w:rsidR="002C1875">
        <w:rPr>
          <w:rFonts w:ascii="Times New Roman" w:hAnsi="Times New Roman"/>
        </w:rPr>
        <w:t>is</w:t>
      </w:r>
      <w:r w:rsidRPr="00A3257B">
        <w:rPr>
          <w:rFonts w:ascii="Times New Roman" w:hAnsi="Times New Roman"/>
        </w:rPr>
        <w:t xml:space="preserve"> </w:t>
      </w:r>
      <w:r w:rsidRPr="00A3257B" w:rsidR="00EF0DAE">
        <w:rPr>
          <w:rFonts w:ascii="Times New Roman" w:hAnsi="Times New Roman"/>
        </w:rPr>
        <w:t xml:space="preserve">required to be </w:t>
      </w:r>
      <w:r w:rsidRPr="00A3257B">
        <w:rPr>
          <w:rFonts w:ascii="Times New Roman" w:hAnsi="Times New Roman"/>
        </w:rPr>
        <w:t>reported electronically</w:t>
      </w:r>
      <w:r w:rsidRPr="00A3257B" w:rsidR="00EF0DAE">
        <w:rPr>
          <w:rFonts w:ascii="Times New Roman" w:hAnsi="Times New Roman"/>
        </w:rPr>
        <w:t>.</w:t>
      </w:r>
    </w:p>
    <w:p w:rsidRPr="00A3257B" w:rsidR="00534B6B" w:rsidP="00A3257B" w:rsidRDefault="00534B6B" w14:paraId="09D447F9" w14:textId="77777777">
      <w:pPr>
        <w:tabs>
          <w:tab w:val="left" w:pos="-720"/>
          <w:tab w:val="left" w:pos="720"/>
        </w:tabs>
        <w:spacing w:after="240"/>
        <w:ind w:left="720" w:hanging="720"/>
        <w:rPr>
          <w:rFonts w:ascii="Times New Roman" w:hAnsi="Times New Roman"/>
        </w:rPr>
      </w:pPr>
      <w:r w:rsidRPr="00A3257B">
        <w:rPr>
          <w:rFonts w:ascii="Times New Roman" w:hAnsi="Times New Roman"/>
        </w:rPr>
        <w:t>4.</w:t>
      </w:r>
      <w:r w:rsidRPr="00A3257B">
        <w:rPr>
          <w:rFonts w:ascii="Times New Roman" w:hAnsi="Times New Roman"/>
        </w:rPr>
        <w:tab/>
      </w:r>
      <w:r w:rsidRPr="00A3257B">
        <w:rPr>
          <w:rFonts w:ascii="Times New Roman" w:hAnsi="Times New Roman"/>
          <w:u w:val="single"/>
        </w:rPr>
        <w:t>Describe efforts to identify duplication.  Show specifically why any similar information already available cannot be used or modified for use for the purposes described in Item 2 above.</w:t>
      </w:r>
    </w:p>
    <w:p w:rsidRPr="00CC3860" w:rsidR="00BC3FC4" w:rsidP="00A3257B" w:rsidRDefault="00707725" w14:paraId="2FD9DDEB" w14:textId="77777777">
      <w:pPr>
        <w:tabs>
          <w:tab w:val="left" w:pos="-720"/>
          <w:tab w:val="left" w:pos="0"/>
        </w:tabs>
        <w:spacing w:after="240"/>
        <w:ind w:right="90"/>
        <w:rPr>
          <w:rFonts w:ascii="Times New Roman" w:hAnsi="Times New Roman"/>
        </w:rPr>
      </w:pPr>
      <w:r w:rsidRPr="00A3257B">
        <w:rPr>
          <w:rFonts w:ascii="Times New Roman" w:hAnsi="Times New Roman"/>
        </w:rPr>
        <w:tab/>
      </w:r>
      <w:r w:rsidRPr="00A3257B" w:rsidR="00BC3FC4">
        <w:rPr>
          <w:rFonts w:ascii="Times New Roman" w:hAnsi="Times New Roman"/>
        </w:rPr>
        <w:t xml:space="preserve">The </w:t>
      </w:r>
      <w:r w:rsidR="00F70983">
        <w:rPr>
          <w:rFonts w:ascii="Times New Roman" w:hAnsi="Times New Roman"/>
        </w:rPr>
        <w:t>swap data</w:t>
      </w:r>
      <w:r w:rsidRPr="00A3257B" w:rsidR="00E80301">
        <w:rPr>
          <w:rFonts w:ascii="Times New Roman" w:hAnsi="Times New Roman"/>
        </w:rPr>
        <w:t xml:space="preserve"> reported by </w:t>
      </w:r>
      <w:r w:rsidR="00864CB2">
        <w:rPr>
          <w:rFonts w:ascii="Times New Roman" w:hAnsi="Times New Roman"/>
        </w:rPr>
        <w:t>exempt DCOs</w:t>
      </w:r>
      <w:r w:rsidRPr="00A3257B" w:rsidR="00E80301">
        <w:rPr>
          <w:rFonts w:ascii="Times New Roman" w:hAnsi="Times New Roman"/>
        </w:rPr>
        <w:t xml:space="preserve"> pursuant to </w:t>
      </w:r>
      <w:r w:rsidR="00864CB2">
        <w:rPr>
          <w:rFonts w:ascii="Times New Roman" w:hAnsi="Times New Roman"/>
        </w:rPr>
        <w:t xml:space="preserve">Regulation 39.6(d) </w:t>
      </w:r>
      <w:r w:rsidRPr="00A3257B" w:rsidR="00E80301">
        <w:rPr>
          <w:rFonts w:ascii="Times New Roman" w:hAnsi="Times New Roman"/>
        </w:rPr>
        <w:t xml:space="preserve">is not otherwise available to the Commission from any other source.  There is no similar information collection </w:t>
      </w:r>
      <w:r w:rsidRPr="00A3257B" w:rsidR="00BC3FC4">
        <w:rPr>
          <w:rFonts w:ascii="Times New Roman" w:hAnsi="Times New Roman"/>
        </w:rPr>
        <w:t xml:space="preserve">by </w:t>
      </w:r>
      <w:r w:rsidRPr="00A3257B" w:rsidR="00E80301">
        <w:rPr>
          <w:rFonts w:ascii="Times New Roman" w:hAnsi="Times New Roman"/>
        </w:rPr>
        <w:t>the Commission or other agencies.</w:t>
      </w:r>
      <w:r w:rsidRPr="001B76B9" w:rsidR="00E80301">
        <w:rPr>
          <w:rFonts w:ascii="Times New Roman" w:hAnsi="Times New Roman"/>
        </w:rPr>
        <w:t xml:space="preserve">  The information collection is not otherwise </w:t>
      </w:r>
      <w:r w:rsidRPr="00870897" w:rsidR="00BC3FC4">
        <w:rPr>
          <w:rFonts w:ascii="Times New Roman" w:hAnsi="Times New Roman"/>
        </w:rPr>
        <w:t xml:space="preserve">available </w:t>
      </w:r>
      <w:r w:rsidRPr="00C14782" w:rsidR="00B451FB">
        <w:rPr>
          <w:rFonts w:ascii="Times New Roman" w:hAnsi="Times New Roman"/>
        </w:rPr>
        <w:t>from</w:t>
      </w:r>
      <w:r w:rsidRPr="002524D8" w:rsidR="00BC3FC4">
        <w:rPr>
          <w:rFonts w:ascii="Times New Roman" w:hAnsi="Times New Roman"/>
        </w:rPr>
        <w:t xml:space="preserve"> any other source.</w:t>
      </w:r>
      <w:r w:rsidRPr="002524D8" w:rsidR="00397C48">
        <w:rPr>
          <w:rFonts w:ascii="Times New Roman" w:hAnsi="Times New Roman"/>
        </w:rPr>
        <w:t xml:space="preserve">  To the maximum extent possible, the information collecti</w:t>
      </w:r>
      <w:r w:rsidRPr="00774C17" w:rsidR="00397C48">
        <w:rPr>
          <w:rFonts w:ascii="Times New Roman" w:hAnsi="Times New Roman"/>
        </w:rPr>
        <w:t>on was designed to avoid duplication.  In all cases where it was possible to l</w:t>
      </w:r>
      <w:r w:rsidRPr="00A762BC" w:rsidR="00E80301">
        <w:rPr>
          <w:rFonts w:ascii="Times New Roman" w:hAnsi="Times New Roman"/>
        </w:rPr>
        <w:t xml:space="preserve">everage information collections </w:t>
      </w:r>
      <w:r w:rsidRPr="00CC34A6" w:rsidR="00397C48">
        <w:rPr>
          <w:rFonts w:ascii="Times New Roman" w:hAnsi="Times New Roman"/>
        </w:rPr>
        <w:t>contained in other rulemakings, the Commission elected not to impose collections that would increase</w:t>
      </w:r>
      <w:r w:rsidRPr="00CC34A6" w:rsidR="00E80301">
        <w:rPr>
          <w:rFonts w:ascii="Times New Roman" w:hAnsi="Times New Roman"/>
        </w:rPr>
        <w:t xml:space="preserve"> burden.</w:t>
      </w:r>
    </w:p>
    <w:p w:rsidRPr="000C652A" w:rsidR="00534B6B" w:rsidP="00A3257B" w:rsidRDefault="00534B6B" w14:paraId="54235EA1" w14:textId="77777777">
      <w:pPr>
        <w:tabs>
          <w:tab w:val="left" w:pos="-720"/>
          <w:tab w:val="left" w:pos="720"/>
        </w:tabs>
        <w:spacing w:after="240"/>
        <w:ind w:left="720" w:hanging="720"/>
        <w:rPr>
          <w:rFonts w:ascii="Times New Roman" w:hAnsi="Times New Roman"/>
          <w:u w:val="single"/>
        </w:rPr>
      </w:pPr>
      <w:r w:rsidRPr="00182B88">
        <w:rPr>
          <w:rFonts w:ascii="Times New Roman" w:hAnsi="Times New Roman"/>
        </w:rPr>
        <w:t>5.</w:t>
      </w:r>
      <w:r w:rsidRPr="00182B88">
        <w:rPr>
          <w:rFonts w:ascii="Times New Roman" w:hAnsi="Times New Roman"/>
        </w:rPr>
        <w:tab/>
      </w:r>
      <w:r w:rsidRPr="00182B88">
        <w:rPr>
          <w:rFonts w:ascii="Times New Roman" w:hAnsi="Times New Roman"/>
          <w:u w:val="single"/>
        </w:rPr>
        <w:t>If the collection of information involves small business or other small entiti</w:t>
      </w:r>
      <w:r w:rsidRPr="000C652A">
        <w:rPr>
          <w:rFonts w:ascii="Times New Roman" w:hAnsi="Times New Roman"/>
          <w:u w:val="single"/>
        </w:rPr>
        <w:t>es, describe the methods used to minimize burden.</w:t>
      </w:r>
    </w:p>
    <w:p w:rsidRPr="00A3257B" w:rsidR="00E77DD4" w:rsidP="005A0BB9" w:rsidRDefault="00E77DD4" w14:paraId="6BF233A8" w14:textId="77777777">
      <w:pPr>
        <w:tabs>
          <w:tab w:val="left" w:pos="-720"/>
          <w:tab w:val="left" w:pos="0"/>
        </w:tabs>
        <w:spacing w:after="240"/>
        <w:ind w:right="90"/>
        <w:rPr>
          <w:rFonts w:ascii="Times New Roman" w:hAnsi="Times New Roman"/>
        </w:rPr>
      </w:pPr>
      <w:r w:rsidRPr="00A762BC">
        <w:rPr>
          <w:rFonts w:ascii="Times New Roman" w:hAnsi="Times New Roman"/>
        </w:rPr>
        <w:tab/>
        <w:t>The Commission has previously established certain definitions of “small entities” to be used in evaluating the impact of Commission reg</w:t>
      </w:r>
      <w:r w:rsidRPr="00CC34A6">
        <w:rPr>
          <w:rFonts w:ascii="Times New Roman" w:hAnsi="Times New Roman"/>
        </w:rPr>
        <w:t xml:space="preserve">ulations on such entities in accordance </w:t>
      </w:r>
      <w:r w:rsidRPr="00CC3860" w:rsidR="005C3203">
        <w:rPr>
          <w:rFonts w:ascii="Times New Roman" w:hAnsi="Times New Roman"/>
        </w:rPr>
        <w:t>with the Regulatory Flexibility Act</w:t>
      </w:r>
      <w:r w:rsidRPr="00182B88" w:rsidR="00415842">
        <w:rPr>
          <w:rFonts w:ascii="Times New Roman" w:hAnsi="Times New Roman"/>
        </w:rPr>
        <w:t xml:space="preserve"> (“RFA”)</w:t>
      </w:r>
      <w:r w:rsidRPr="00182B88" w:rsidR="005C3203">
        <w:rPr>
          <w:rFonts w:ascii="Times New Roman" w:hAnsi="Times New Roman"/>
        </w:rPr>
        <w:t xml:space="preserve">.  In its previous determinations, the Commission has concluded that </w:t>
      </w:r>
      <w:r w:rsidRPr="00182B88" w:rsidR="00415842">
        <w:rPr>
          <w:rFonts w:ascii="Times New Roman" w:hAnsi="Times New Roman"/>
        </w:rPr>
        <w:t>DCOs</w:t>
      </w:r>
      <w:r w:rsidRPr="00182B88" w:rsidR="002C1875">
        <w:rPr>
          <w:rFonts w:ascii="Times New Roman" w:hAnsi="Times New Roman"/>
        </w:rPr>
        <w:t xml:space="preserve"> </w:t>
      </w:r>
      <w:r w:rsidRPr="00A3257B" w:rsidR="005C3203">
        <w:rPr>
          <w:rFonts w:ascii="Times New Roman" w:hAnsi="Times New Roman"/>
        </w:rPr>
        <w:t xml:space="preserve">are not small entities for the </w:t>
      </w:r>
      <w:r w:rsidRPr="00A3257B" w:rsidR="00750CAF">
        <w:rPr>
          <w:rFonts w:ascii="Times New Roman" w:hAnsi="Times New Roman"/>
        </w:rPr>
        <w:t>purposes</w:t>
      </w:r>
      <w:r w:rsidRPr="00A3257B" w:rsidR="005C3203">
        <w:rPr>
          <w:rFonts w:ascii="Times New Roman" w:hAnsi="Times New Roman"/>
        </w:rPr>
        <w:t xml:space="preserve"> of the RFA.  </w:t>
      </w:r>
      <w:r w:rsidR="005A0BB9">
        <w:rPr>
          <w:rFonts w:ascii="Times New Roman" w:hAnsi="Times New Roman"/>
        </w:rPr>
        <w:t xml:space="preserve">The changes to the collection would apply only to exempt DCOs, and therefore would not affect any small entities.  </w:t>
      </w:r>
    </w:p>
    <w:p w:rsidRPr="00A3257B" w:rsidR="00534B6B" w:rsidP="00A3257B" w:rsidRDefault="00534B6B" w14:paraId="45B4A6D2" w14:textId="77777777">
      <w:pPr>
        <w:tabs>
          <w:tab w:val="left" w:pos="-720"/>
          <w:tab w:val="left" w:pos="720"/>
        </w:tabs>
        <w:spacing w:after="240"/>
        <w:ind w:left="720" w:hanging="720"/>
        <w:rPr>
          <w:rFonts w:ascii="Times New Roman" w:hAnsi="Times New Roman"/>
        </w:rPr>
      </w:pPr>
      <w:r w:rsidRPr="00A3257B">
        <w:rPr>
          <w:rFonts w:ascii="Times New Roman" w:hAnsi="Times New Roman"/>
        </w:rPr>
        <w:t>6.</w:t>
      </w:r>
      <w:r w:rsidRPr="00A3257B">
        <w:rPr>
          <w:rFonts w:ascii="Times New Roman" w:hAnsi="Times New Roman"/>
        </w:rPr>
        <w:tab/>
      </w:r>
      <w:r w:rsidRPr="00A3257B">
        <w:rPr>
          <w:rFonts w:ascii="Times New Roman" w:hAnsi="Times New Roman"/>
          <w:u w:val="single"/>
        </w:rPr>
        <w:t>Describe the consequence to the Federal Program or policy activities if the collection were conducted less frequently as well as any technical or legal obstacles to reducing burden.</w:t>
      </w:r>
    </w:p>
    <w:p w:rsidRPr="002524D8" w:rsidR="00936EFC" w:rsidP="00A3257B" w:rsidRDefault="00936EFC" w14:paraId="3E70AA9E" w14:textId="77777777">
      <w:pPr>
        <w:tabs>
          <w:tab w:val="left" w:pos="-720"/>
          <w:tab w:val="left" w:pos="0"/>
        </w:tabs>
        <w:spacing w:after="240"/>
        <w:ind w:right="90"/>
        <w:rPr>
          <w:rFonts w:ascii="Times New Roman" w:hAnsi="Times New Roman"/>
        </w:rPr>
      </w:pPr>
      <w:r w:rsidRPr="00A3257B">
        <w:rPr>
          <w:rFonts w:ascii="Times New Roman" w:hAnsi="Times New Roman"/>
        </w:rPr>
        <w:tab/>
      </w:r>
      <w:r w:rsidRPr="00CC3860" w:rsidR="00A81B05">
        <w:rPr>
          <w:rFonts w:ascii="Times New Roman" w:hAnsi="Times New Roman"/>
        </w:rPr>
        <w:t>T</w:t>
      </w:r>
      <w:r w:rsidRPr="008444FB" w:rsidR="00A81B05">
        <w:rPr>
          <w:rFonts w:ascii="Times New Roman" w:hAnsi="Times New Roman"/>
        </w:rPr>
        <w:t>he failure of a reporting entity to report a swap</w:t>
      </w:r>
      <w:r w:rsidR="00D7769C">
        <w:rPr>
          <w:rFonts w:ascii="Times New Roman" w:hAnsi="Times New Roman"/>
        </w:rPr>
        <w:t>, including lifecycle events of that swap,</w:t>
      </w:r>
      <w:r w:rsidRPr="00C14782" w:rsidR="00A81B05">
        <w:rPr>
          <w:rFonts w:ascii="Times New Roman" w:hAnsi="Times New Roman"/>
        </w:rPr>
        <w:t xml:space="preserve"> for regulatory oversight purposes would hinder </w:t>
      </w:r>
      <w:r w:rsidRPr="002524D8" w:rsidR="00A81B05">
        <w:rPr>
          <w:rFonts w:ascii="Times New Roman" w:hAnsi="Times New Roman"/>
        </w:rPr>
        <w:t>the</w:t>
      </w:r>
      <w:r w:rsidRPr="00774C17" w:rsidR="00A81B05">
        <w:rPr>
          <w:rFonts w:ascii="Times New Roman" w:hAnsi="Times New Roman"/>
        </w:rPr>
        <w:t xml:space="preserve"> Commission’s ability to oversee the swaps market, </w:t>
      </w:r>
      <w:r w:rsidRPr="00774C17" w:rsidR="00DE589D">
        <w:rPr>
          <w:rFonts w:ascii="Times New Roman" w:hAnsi="Times New Roman"/>
        </w:rPr>
        <w:t>including the identification of the concentration of risks in the market</w:t>
      </w:r>
      <w:r w:rsidRPr="00495032" w:rsidR="00DE589D">
        <w:rPr>
          <w:rFonts w:ascii="Times New Roman" w:hAnsi="Times New Roman"/>
        </w:rPr>
        <w:t xml:space="preserve">.  </w:t>
      </w:r>
    </w:p>
    <w:p w:rsidRPr="00774C17" w:rsidR="00534B6B" w:rsidP="00A3257B" w:rsidRDefault="00534B6B" w14:paraId="034E518F" w14:textId="77777777">
      <w:pPr>
        <w:tabs>
          <w:tab w:val="left" w:pos="-720"/>
          <w:tab w:val="left" w:pos="720"/>
        </w:tabs>
        <w:spacing w:after="240"/>
        <w:ind w:left="720" w:hanging="720"/>
        <w:rPr>
          <w:rFonts w:ascii="Times New Roman" w:hAnsi="Times New Roman"/>
        </w:rPr>
      </w:pPr>
      <w:r w:rsidRPr="002524D8">
        <w:rPr>
          <w:rFonts w:ascii="Times New Roman" w:hAnsi="Times New Roman"/>
        </w:rPr>
        <w:lastRenderedPageBreak/>
        <w:t>7.</w:t>
      </w:r>
      <w:r w:rsidRPr="002524D8">
        <w:rPr>
          <w:rFonts w:ascii="Times New Roman" w:hAnsi="Times New Roman"/>
        </w:rPr>
        <w:tab/>
      </w:r>
      <w:r w:rsidRPr="00774C17">
        <w:rPr>
          <w:rFonts w:ascii="Times New Roman" w:hAnsi="Times New Roman"/>
          <w:u w:val="single"/>
        </w:rPr>
        <w:t>Explain any special circumstances that require the collection to be conducted in a manner:</w:t>
      </w:r>
    </w:p>
    <w:p w:rsidRPr="00495032" w:rsidR="00534B6B" w:rsidP="00A3257B" w:rsidRDefault="00534B6B" w14:paraId="6E9B8C79" w14:textId="77777777">
      <w:pPr>
        <w:numPr>
          <w:ilvl w:val="0"/>
          <w:numId w:val="1"/>
        </w:numPr>
        <w:tabs>
          <w:tab w:val="clear" w:pos="936"/>
          <w:tab w:val="left" w:pos="-720"/>
          <w:tab w:val="left" w:pos="0"/>
          <w:tab w:val="left" w:pos="720"/>
          <w:tab w:val="num" w:pos="1080"/>
        </w:tabs>
        <w:spacing w:after="240"/>
        <w:ind w:left="1080" w:hanging="360"/>
        <w:rPr>
          <w:rFonts w:ascii="Times New Roman" w:hAnsi="Times New Roman"/>
          <w:u w:val="single"/>
        </w:rPr>
      </w:pPr>
      <w:r w:rsidRPr="00495032">
        <w:rPr>
          <w:rFonts w:ascii="Times New Roman" w:hAnsi="Times New Roman"/>
          <w:u w:val="single"/>
        </w:rPr>
        <w:t>requiring respondents to report information to the agency more often than quarterly;</w:t>
      </w:r>
    </w:p>
    <w:p w:rsidRPr="00A3257B" w:rsidR="000D56D9" w:rsidP="00A3257B" w:rsidRDefault="00E7743A" w14:paraId="606900A2" w14:textId="77777777">
      <w:pPr>
        <w:tabs>
          <w:tab w:val="left" w:pos="-720"/>
          <w:tab w:val="left" w:pos="0"/>
          <w:tab w:val="left" w:pos="720"/>
        </w:tabs>
        <w:spacing w:after="240"/>
        <w:rPr>
          <w:rFonts w:ascii="Times New Roman" w:hAnsi="Times New Roman"/>
        </w:rPr>
      </w:pPr>
      <w:r w:rsidRPr="00A762BC">
        <w:rPr>
          <w:rFonts w:ascii="Times New Roman" w:hAnsi="Times New Roman"/>
        </w:rPr>
        <w:tab/>
      </w:r>
      <w:r w:rsidR="00F70983">
        <w:rPr>
          <w:rFonts w:ascii="Times New Roman" w:hAnsi="Times New Roman"/>
        </w:rPr>
        <w:t>This question does not apply to swap data reported by exempt DCOs</w:t>
      </w:r>
      <w:r w:rsidRPr="00182B88" w:rsidR="00A14DB5">
        <w:rPr>
          <w:rFonts w:ascii="Times New Roman" w:hAnsi="Times New Roman"/>
        </w:rPr>
        <w:t>.</w:t>
      </w:r>
    </w:p>
    <w:p w:rsidRPr="00A3257B" w:rsidR="00534B6B" w:rsidP="00A3257B" w:rsidRDefault="00534B6B" w14:paraId="374A2F61" w14:textId="77777777">
      <w:pPr>
        <w:numPr>
          <w:ilvl w:val="0"/>
          <w:numId w:val="1"/>
        </w:numPr>
        <w:tabs>
          <w:tab w:val="clear" w:pos="936"/>
          <w:tab w:val="left" w:pos="-720"/>
          <w:tab w:val="left" w:pos="0"/>
          <w:tab w:val="left" w:pos="720"/>
          <w:tab w:val="num" w:pos="1080"/>
        </w:tabs>
        <w:spacing w:after="240"/>
        <w:ind w:left="1080" w:hanging="360"/>
        <w:rPr>
          <w:rFonts w:ascii="Times New Roman" w:hAnsi="Times New Roman"/>
          <w:u w:val="single"/>
        </w:rPr>
      </w:pPr>
      <w:r w:rsidRPr="00A3257B">
        <w:rPr>
          <w:rFonts w:ascii="Times New Roman" w:hAnsi="Times New Roman"/>
          <w:u w:val="single"/>
        </w:rPr>
        <w:t>requiring respondents to prepare a written response to a collection of information in fewer than 30 days after receipt of it</w:t>
      </w:r>
      <w:r w:rsidRPr="00A3257B" w:rsidR="007055D9">
        <w:rPr>
          <w:rFonts w:ascii="Times New Roman" w:hAnsi="Times New Roman"/>
          <w:u w:val="single"/>
        </w:rPr>
        <w:t>;</w:t>
      </w:r>
    </w:p>
    <w:p w:rsidRPr="00A3257B" w:rsidR="00E7743A" w:rsidP="00A3257B" w:rsidRDefault="00E7743A" w14:paraId="34085EA0" w14:textId="77777777">
      <w:pPr>
        <w:tabs>
          <w:tab w:val="left" w:pos="-720"/>
          <w:tab w:val="left" w:pos="0"/>
          <w:tab w:val="left" w:pos="720"/>
        </w:tabs>
        <w:spacing w:after="240"/>
        <w:rPr>
          <w:rFonts w:ascii="Times New Roman" w:hAnsi="Times New Roman"/>
        </w:rPr>
      </w:pPr>
      <w:r w:rsidRPr="00A3257B">
        <w:rPr>
          <w:rFonts w:ascii="Times New Roman" w:hAnsi="Times New Roman"/>
        </w:rPr>
        <w:tab/>
        <w:t xml:space="preserve">This question does not apply.  </w:t>
      </w:r>
    </w:p>
    <w:p w:rsidRPr="00A3257B" w:rsidR="00534B6B" w:rsidP="00A3257B" w:rsidRDefault="00534B6B" w14:paraId="4022F76B" w14:textId="77777777">
      <w:pPr>
        <w:numPr>
          <w:ilvl w:val="0"/>
          <w:numId w:val="1"/>
        </w:numPr>
        <w:tabs>
          <w:tab w:val="clear" w:pos="936"/>
          <w:tab w:val="left" w:pos="-720"/>
          <w:tab w:val="left" w:pos="0"/>
          <w:tab w:val="left" w:pos="720"/>
          <w:tab w:val="num" w:pos="1080"/>
        </w:tabs>
        <w:spacing w:after="240"/>
        <w:ind w:left="1080" w:hanging="360"/>
        <w:rPr>
          <w:rFonts w:ascii="Times New Roman" w:hAnsi="Times New Roman"/>
        </w:rPr>
      </w:pPr>
      <w:r w:rsidRPr="00A3257B">
        <w:rPr>
          <w:rFonts w:ascii="Times New Roman" w:hAnsi="Times New Roman"/>
          <w:u w:val="single"/>
        </w:rPr>
        <w:t>requiring respondents to submit more tha</w:t>
      </w:r>
      <w:r w:rsidRPr="00A3257B" w:rsidR="00542F3C">
        <w:rPr>
          <w:rFonts w:ascii="Times New Roman" w:hAnsi="Times New Roman"/>
          <w:u w:val="single"/>
        </w:rPr>
        <w:t>n</w:t>
      </w:r>
      <w:r w:rsidRPr="00A3257B">
        <w:rPr>
          <w:rFonts w:ascii="Times New Roman" w:hAnsi="Times New Roman"/>
          <w:u w:val="single"/>
        </w:rPr>
        <w:t xml:space="preserve"> an original and two copies of any document</w:t>
      </w:r>
      <w:r w:rsidRPr="00A3257B">
        <w:rPr>
          <w:rFonts w:ascii="Times New Roman" w:hAnsi="Times New Roman"/>
        </w:rPr>
        <w:t>;</w:t>
      </w:r>
    </w:p>
    <w:p w:rsidRPr="00A3257B" w:rsidR="00E7743A" w:rsidP="00A3257B" w:rsidRDefault="00E7743A" w14:paraId="187A8ECD" w14:textId="77777777">
      <w:pPr>
        <w:tabs>
          <w:tab w:val="left" w:pos="-720"/>
          <w:tab w:val="left" w:pos="0"/>
          <w:tab w:val="left" w:pos="720"/>
        </w:tabs>
        <w:spacing w:after="240"/>
        <w:rPr>
          <w:rFonts w:ascii="Times New Roman" w:hAnsi="Times New Roman"/>
        </w:rPr>
      </w:pPr>
      <w:r w:rsidRPr="00A3257B">
        <w:rPr>
          <w:rFonts w:ascii="Times New Roman" w:hAnsi="Times New Roman"/>
        </w:rPr>
        <w:tab/>
        <w:t xml:space="preserve">This question does not apply.  </w:t>
      </w:r>
    </w:p>
    <w:p w:rsidRPr="00A3257B" w:rsidR="00534B6B" w:rsidP="00A3257B" w:rsidRDefault="00534B6B" w14:paraId="30C51A87" w14:textId="77777777">
      <w:pPr>
        <w:numPr>
          <w:ilvl w:val="0"/>
          <w:numId w:val="1"/>
        </w:numPr>
        <w:tabs>
          <w:tab w:val="clear" w:pos="936"/>
          <w:tab w:val="left" w:pos="-720"/>
          <w:tab w:val="left" w:pos="0"/>
          <w:tab w:val="left" w:pos="720"/>
          <w:tab w:val="num" w:pos="1080"/>
        </w:tabs>
        <w:spacing w:after="240"/>
        <w:ind w:left="1080" w:hanging="360"/>
        <w:rPr>
          <w:rFonts w:ascii="Times New Roman" w:hAnsi="Times New Roman"/>
        </w:rPr>
      </w:pPr>
      <w:r w:rsidRPr="00A3257B">
        <w:rPr>
          <w:rFonts w:ascii="Times New Roman" w:hAnsi="Times New Roman"/>
          <w:u w:val="single"/>
        </w:rPr>
        <w:t>requiring respondents to retain records other than health, medical, government contract, grant-in-aid, or tax records, for more than three years</w:t>
      </w:r>
      <w:r w:rsidRPr="00A3257B">
        <w:rPr>
          <w:rFonts w:ascii="Times New Roman" w:hAnsi="Times New Roman"/>
        </w:rPr>
        <w:t>;</w:t>
      </w:r>
    </w:p>
    <w:p w:rsidRPr="00A3257B" w:rsidR="00E7743A" w:rsidP="00A3257B" w:rsidRDefault="000D56D9" w14:paraId="14976E89" w14:textId="77777777">
      <w:pPr>
        <w:tabs>
          <w:tab w:val="left" w:pos="-720"/>
          <w:tab w:val="left" w:pos="0"/>
          <w:tab w:val="left" w:pos="720"/>
        </w:tabs>
        <w:spacing w:after="240"/>
        <w:rPr>
          <w:rFonts w:ascii="Times New Roman" w:hAnsi="Times New Roman"/>
        </w:rPr>
      </w:pPr>
      <w:r w:rsidRPr="00A3257B">
        <w:rPr>
          <w:rFonts w:ascii="Times New Roman" w:hAnsi="Times New Roman"/>
        </w:rPr>
        <w:tab/>
      </w:r>
      <w:r w:rsidR="0021367B">
        <w:rPr>
          <w:rFonts w:ascii="Times New Roman" w:hAnsi="Times New Roman"/>
        </w:rPr>
        <w:t xml:space="preserve">Although not applicable to the rules for exempt DCOs, </w:t>
      </w:r>
      <w:r w:rsidRPr="00A3257B" w:rsidR="00B90A17">
        <w:rPr>
          <w:rFonts w:ascii="Times New Roman" w:hAnsi="Times New Roman"/>
        </w:rPr>
        <w:t>Section</w:t>
      </w:r>
      <w:r w:rsidRPr="00A3257B" w:rsidR="00E7743A">
        <w:rPr>
          <w:rFonts w:ascii="Times New Roman" w:hAnsi="Times New Roman"/>
        </w:rPr>
        <w:t xml:space="preserve"> 45.2(c) requires that</w:t>
      </w:r>
      <w:r w:rsidRPr="00A3257B" w:rsidR="0063027B">
        <w:rPr>
          <w:rFonts w:ascii="Times New Roman" w:hAnsi="Times New Roman"/>
        </w:rPr>
        <w:t xml:space="preserve"> records related </w:t>
      </w:r>
      <w:r w:rsidRPr="00A3257B" w:rsidR="00E7743A">
        <w:rPr>
          <w:rFonts w:ascii="Times New Roman" w:hAnsi="Times New Roman"/>
        </w:rPr>
        <w:t xml:space="preserve">to each swap </w:t>
      </w:r>
      <w:r w:rsidRPr="00A3257B" w:rsidR="0063027B">
        <w:rPr>
          <w:rFonts w:ascii="Times New Roman" w:hAnsi="Times New Roman"/>
        </w:rPr>
        <w:t>be kept throughout the life of the swap and for a period of at least five years following the</w:t>
      </w:r>
      <w:r w:rsidRPr="00A3257B" w:rsidR="00E7743A">
        <w:rPr>
          <w:rFonts w:ascii="Times New Roman" w:hAnsi="Times New Roman"/>
        </w:rPr>
        <w:t xml:space="preserve"> final termination of the swap.</w:t>
      </w:r>
      <w:r w:rsidRPr="00A3257B" w:rsidR="0063027B">
        <w:rPr>
          <w:rFonts w:ascii="Times New Roman" w:hAnsi="Times New Roman"/>
        </w:rPr>
        <w:t xml:space="preserve">  </w:t>
      </w:r>
      <w:r w:rsidRPr="00A3257B" w:rsidR="00E7743A">
        <w:rPr>
          <w:rFonts w:ascii="Times New Roman" w:hAnsi="Times New Roman"/>
        </w:rPr>
        <w:t xml:space="preserve">This retention period is required because swap transactions can continue to exist over substantial periods of time, during which their key economic terms can change.  Accordingly, swaps must be monitored by the Commission and other financial </w:t>
      </w:r>
      <w:r w:rsidRPr="00A3257B" w:rsidR="00750CAF">
        <w:rPr>
          <w:rFonts w:ascii="Times New Roman" w:hAnsi="Times New Roman"/>
        </w:rPr>
        <w:t>regulators</w:t>
      </w:r>
      <w:r w:rsidRPr="00A3257B" w:rsidR="00E7743A">
        <w:rPr>
          <w:rFonts w:ascii="Times New Roman" w:hAnsi="Times New Roman"/>
        </w:rPr>
        <w:t xml:space="preserve"> throughout their existence, pursuant to the Dodd-Frank Act.</w:t>
      </w:r>
    </w:p>
    <w:p w:rsidRPr="00A3257B" w:rsidR="00534B6B" w:rsidP="00A3257B" w:rsidRDefault="00534B6B" w14:paraId="107827CF" w14:textId="77777777">
      <w:pPr>
        <w:numPr>
          <w:ilvl w:val="0"/>
          <w:numId w:val="1"/>
        </w:numPr>
        <w:tabs>
          <w:tab w:val="clear" w:pos="936"/>
          <w:tab w:val="left" w:pos="-720"/>
          <w:tab w:val="left" w:pos="0"/>
          <w:tab w:val="left" w:pos="720"/>
          <w:tab w:val="num" w:pos="1080"/>
        </w:tabs>
        <w:spacing w:after="240"/>
        <w:ind w:left="1080" w:hanging="360"/>
        <w:rPr>
          <w:rFonts w:ascii="Times New Roman" w:hAnsi="Times New Roman"/>
        </w:rPr>
      </w:pPr>
      <w:r w:rsidRPr="00A3257B">
        <w:rPr>
          <w:rFonts w:ascii="Times New Roman" w:hAnsi="Times New Roman"/>
          <w:u w:val="single"/>
        </w:rPr>
        <w:t>in connection with a statistical survey, that is not designed to produce valid and reliable results that can be generalized to the universe of study</w:t>
      </w:r>
      <w:r w:rsidRPr="00A3257B">
        <w:rPr>
          <w:rFonts w:ascii="Times New Roman" w:hAnsi="Times New Roman"/>
        </w:rPr>
        <w:t xml:space="preserve">; </w:t>
      </w:r>
    </w:p>
    <w:p w:rsidRPr="00A3257B" w:rsidR="00E7743A" w:rsidP="00A3257B" w:rsidRDefault="00E7743A" w14:paraId="6C9BDFDA" w14:textId="77777777">
      <w:pPr>
        <w:tabs>
          <w:tab w:val="left" w:pos="-720"/>
          <w:tab w:val="left" w:pos="0"/>
          <w:tab w:val="left" w:pos="720"/>
        </w:tabs>
        <w:spacing w:after="240"/>
        <w:rPr>
          <w:rFonts w:ascii="Times New Roman" w:hAnsi="Times New Roman"/>
        </w:rPr>
      </w:pPr>
      <w:r w:rsidRPr="00A3257B">
        <w:rPr>
          <w:rFonts w:ascii="Times New Roman" w:hAnsi="Times New Roman"/>
        </w:rPr>
        <w:tab/>
        <w:t>Th</w:t>
      </w:r>
      <w:r w:rsidR="000F3166">
        <w:rPr>
          <w:rFonts w:ascii="Times New Roman" w:hAnsi="Times New Roman"/>
        </w:rPr>
        <w:t xml:space="preserve">e requirements do </w:t>
      </w:r>
      <w:r w:rsidRPr="00A3257B">
        <w:rPr>
          <w:rFonts w:ascii="Times New Roman" w:hAnsi="Times New Roman"/>
        </w:rPr>
        <w:t>not involve any statistical surveys.</w:t>
      </w:r>
    </w:p>
    <w:p w:rsidRPr="00A3257B" w:rsidR="00534B6B" w:rsidP="00A3257B" w:rsidRDefault="00534B6B" w14:paraId="32E79C1E" w14:textId="77777777">
      <w:pPr>
        <w:numPr>
          <w:ilvl w:val="0"/>
          <w:numId w:val="1"/>
        </w:numPr>
        <w:tabs>
          <w:tab w:val="clear" w:pos="936"/>
          <w:tab w:val="left" w:pos="-720"/>
          <w:tab w:val="left" w:pos="0"/>
          <w:tab w:val="left" w:pos="720"/>
          <w:tab w:val="num" w:pos="1080"/>
        </w:tabs>
        <w:spacing w:after="240"/>
        <w:ind w:left="1080" w:hanging="360"/>
        <w:rPr>
          <w:rFonts w:ascii="Times New Roman" w:hAnsi="Times New Roman"/>
        </w:rPr>
      </w:pPr>
      <w:r w:rsidRPr="00A3257B">
        <w:rPr>
          <w:rFonts w:ascii="Times New Roman" w:hAnsi="Times New Roman"/>
          <w:u w:val="single"/>
        </w:rPr>
        <w:t>requiring the use of a statistical data classification that has not been reviewed and approved by OMB</w:t>
      </w:r>
      <w:r w:rsidRPr="00A3257B">
        <w:rPr>
          <w:rFonts w:ascii="Times New Roman" w:hAnsi="Times New Roman"/>
        </w:rPr>
        <w:t>;</w:t>
      </w:r>
    </w:p>
    <w:p w:rsidRPr="00A3257B" w:rsidR="00E7743A" w:rsidP="00A3257B" w:rsidRDefault="00E7743A" w14:paraId="7A5CF05B" w14:textId="77777777">
      <w:pPr>
        <w:tabs>
          <w:tab w:val="left" w:pos="-720"/>
          <w:tab w:val="left" w:pos="0"/>
          <w:tab w:val="left" w:pos="720"/>
        </w:tabs>
        <w:spacing w:after="240"/>
        <w:rPr>
          <w:rFonts w:ascii="Times New Roman" w:hAnsi="Times New Roman"/>
        </w:rPr>
      </w:pPr>
      <w:r w:rsidRPr="00A3257B">
        <w:rPr>
          <w:rFonts w:ascii="Times New Roman" w:hAnsi="Times New Roman"/>
        </w:rPr>
        <w:tab/>
      </w:r>
      <w:r w:rsidRPr="000F3166" w:rsidR="000F3166">
        <w:rPr>
          <w:rFonts w:ascii="Times New Roman" w:hAnsi="Times New Roman"/>
        </w:rPr>
        <w:t>The requirements do not involve the use of statistical data classification.</w:t>
      </w:r>
    </w:p>
    <w:p w:rsidRPr="00A3257B" w:rsidR="00534B6B" w:rsidP="00A3257B" w:rsidRDefault="00534B6B" w14:paraId="5A7DBB82" w14:textId="77777777">
      <w:pPr>
        <w:numPr>
          <w:ilvl w:val="0"/>
          <w:numId w:val="1"/>
        </w:numPr>
        <w:tabs>
          <w:tab w:val="clear" w:pos="936"/>
          <w:tab w:val="left" w:pos="-720"/>
          <w:tab w:val="left" w:pos="0"/>
          <w:tab w:val="left" w:pos="720"/>
          <w:tab w:val="num" w:pos="1080"/>
        </w:tabs>
        <w:spacing w:after="240"/>
        <w:ind w:left="1080" w:hanging="360"/>
        <w:rPr>
          <w:rFonts w:ascii="Times New Roman" w:hAnsi="Times New Roman"/>
          <w:u w:val="single"/>
        </w:rPr>
      </w:pPr>
      <w:r w:rsidRPr="00A3257B">
        <w:rPr>
          <w:rFonts w:ascii="Times New Roman" w:hAnsi="Times New Roman"/>
          <w:u w:val="single"/>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Pr="00A3257B" w:rsidR="00E7743A" w:rsidP="001A5256" w:rsidRDefault="00E7743A" w14:paraId="248F4C29" w14:textId="77777777">
      <w:pPr>
        <w:tabs>
          <w:tab w:val="left" w:pos="-720"/>
        </w:tabs>
        <w:spacing w:after="240"/>
        <w:rPr>
          <w:rFonts w:ascii="Times New Roman" w:hAnsi="Times New Roman"/>
        </w:rPr>
      </w:pPr>
      <w:r w:rsidRPr="00A3257B">
        <w:rPr>
          <w:rFonts w:ascii="Times New Roman" w:hAnsi="Times New Roman"/>
        </w:rPr>
        <w:tab/>
      </w:r>
      <w:r w:rsidRPr="001A5256" w:rsidR="001A5256">
        <w:rPr>
          <w:rFonts w:ascii="Times New Roman" w:hAnsi="Times New Roman"/>
        </w:rPr>
        <w:t>The requirements do not involve an unsupportable pledge of confidentiality regarding the collection of data.</w:t>
      </w:r>
    </w:p>
    <w:p w:rsidRPr="00A3257B" w:rsidR="00534B6B" w:rsidP="00A3257B" w:rsidRDefault="00534B6B" w14:paraId="286983E2" w14:textId="77777777">
      <w:pPr>
        <w:numPr>
          <w:ilvl w:val="0"/>
          <w:numId w:val="1"/>
        </w:numPr>
        <w:tabs>
          <w:tab w:val="clear" w:pos="936"/>
          <w:tab w:val="left" w:pos="-720"/>
          <w:tab w:val="left" w:pos="0"/>
          <w:tab w:val="left" w:pos="720"/>
          <w:tab w:val="num" w:pos="1080"/>
        </w:tabs>
        <w:spacing w:after="240"/>
        <w:ind w:left="1080" w:hanging="360"/>
        <w:rPr>
          <w:rFonts w:ascii="Times New Roman" w:hAnsi="Times New Roman"/>
          <w:u w:val="single"/>
        </w:rPr>
      </w:pPr>
      <w:r w:rsidRPr="00A3257B">
        <w:rPr>
          <w:rFonts w:ascii="Times New Roman" w:hAnsi="Times New Roman"/>
          <w:u w:val="single"/>
        </w:rPr>
        <w:t>requiring respondents to submit proprietary trade secrets, or other confidential information unless the agency can demonstrate that it has instituted procedures to protect the information's confidentiality to the extent permitted by law.</w:t>
      </w:r>
    </w:p>
    <w:p w:rsidRPr="00D81501" w:rsidR="00ED7EC1" w:rsidP="00A3257B" w:rsidRDefault="00E7743A" w14:paraId="72F53769" w14:textId="77777777">
      <w:pPr>
        <w:tabs>
          <w:tab w:val="left" w:pos="-720"/>
        </w:tabs>
        <w:spacing w:after="240"/>
        <w:rPr>
          <w:rFonts w:ascii="Times New Roman" w:hAnsi="Times New Roman"/>
        </w:rPr>
      </w:pPr>
      <w:r w:rsidRPr="00A3257B">
        <w:rPr>
          <w:rFonts w:ascii="Times New Roman" w:hAnsi="Times New Roman"/>
        </w:rPr>
        <w:lastRenderedPageBreak/>
        <w:tab/>
        <w:t xml:space="preserve">The Commission’s regulations </w:t>
      </w:r>
      <w:r w:rsidRPr="00A3257B" w:rsidR="0020392E">
        <w:rPr>
          <w:rFonts w:ascii="Times New Roman" w:hAnsi="Times New Roman"/>
        </w:rPr>
        <w:t xml:space="preserve">require SDRs to maintain safeguards against the misappropriation or misuse of swap data.  The Commission is prohibited (save for limited exceptions) from disclosing swap data pursuant to Section 8 of the </w:t>
      </w:r>
      <w:r w:rsidRPr="00A3257B" w:rsidR="00DB3672">
        <w:rPr>
          <w:rFonts w:ascii="Times New Roman" w:hAnsi="Times New Roman"/>
        </w:rPr>
        <w:t>CEA</w:t>
      </w:r>
      <w:r w:rsidRPr="00A3257B" w:rsidR="0020392E">
        <w:rPr>
          <w:rFonts w:ascii="Times New Roman" w:hAnsi="Times New Roman"/>
        </w:rPr>
        <w:t>.</w:t>
      </w:r>
      <w:r w:rsidRPr="00D81501" w:rsidR="00D81501">
        <w:t xml:space="preserve"> </w:t>
      </w:r>
      <w:r w:rsidR="00D81501">
        <w:t xml:space="preserve"> </w:t>
      </w:r>
      <w:r w:rsidRPr="00D81501" w:rsidR="00D81501">
        <w:rPr>
          <w:rFonts w:ascii="Times New Roman" w:hAnsi="Times New Roman"/>
        </w:rPr>
        <w:t>The Commission has procedures to protect the confidentiality of an applicant’s or registrant’s data.  These are set forth in the Commission’s regulations at parts 145 and 147 of title 17 of the Code of Federal Regulations.</w:t>
      </w:r>
    </w:p>
    <w:p w:rsidRPr="00CC34A6" w:rsidR="00534B6B" w:rsidP="00A3257B" w:rsidRDefault="00534B6B" w14:paraId="445BADD5" w14:textId="77777777">
      <w:pPr>
        <w:tabs>
          <w:tab w:val="left" w:pos="-720"/>
          <w:tab w:val="left" w:pos="720"/>
        </w:tabs>
        <w:spacing w:after="240"/>
        <w:ind w:left="720" w:hanging="720"/>
        <w:rPr>
          <w:rFonts w:ascii="Times New Roman" w:hAnsi="Times New Roman"/>
        </w:rPr>
      </w:pPr>
      <w:r w:rsidRPr="00CC3860">
        <w:rPr>
          <w:rFonts w:ascii="Times New Roman" w:hAnsi="Times New Roman"/>
        </w:rPr>
        <w:t>8.</w:t>
      </w:r>
      <w:r w:rsidRPr="00CC3860">
        <w:rPr>
          <w:rFonts w:ascii="Times New Roman" w:hAnsi="Times New Roman"/>
        </w:rPr>
        <w:tab/>
      </w:r>
      <w:r w:rsidRPr="008444FB">
        <w:rPr>
          <w:rFonts w:ascii="Times New Roman" w:hAnsi="Times New Roman"/>
          <w:u w:val="single"/>
        </w:rPr>
        <w:t xml:space="preserve">If applicable, provide a copy and identify the date and page number of </w:t>
      </w:r>
      <w:proofErr w:type="gramStart"/>
      <w:r w:rsidRPr="008444FB">
        <w:rPr>
          <w:rFonts w:ascii="Times New Roman" w:hAnsi="Times New Roman"/>
          <w:u w:val="single"/>
        </w:rPr>
        <w:t>publication</w:t>
      </w:r>
      <w:proofErr w:type="gramEnd"/>
      <w:r w:rsidRPr="008444FB">
        <w:rPr>
          <w:rFonts w:ascii="Times New Roman" w:hAnsi="Times New Roman"/>
          <w:u w:val="single"/>
        </w:rPr>
        <w:t xml:space="preserve"> in the </w:t>
      </w:r>
      <w:r w:rsidRPr="00182B88">
        <w:rPr>
          <w:rFonts w:ascii="Times New Roman" w:hAnsi="Times New Roman"/>
          <w:i/>
          <w:u w:val="single"/>
        </w:rPr>
        <w:t>Federal Register</w:t>
      </w:r>
      <w:r w:rsidRPr="00182B88">
        <w:rPr>
          <w:rFonts w:ascii="Times New Roman" w:hAnsi="Times New Roman"/>
          <w:u w:val="single"/>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CC34A6" w:rsidR="00CC34A6">
        <w:t xml:space="preserve"> </w:t>
      </w:r>
      <w:r w:rsidRPr="00CC34A6" w:rsidR="00CC34A6">
        <w:rPr>
          <w:rFonts w:ascii="Times New Roman" w:hAnsi="Times New Roman"/>
          <w:u w:val="single"/>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A606B5" w:rsidR="005333B6" w:rsidP="00724B9B" w:rsidRDefault="00724B9B" w14:paraId="0C28936F" w14:textId="77777777">
      <w:pPr>
        <w:tabs>
          <w:tab w:val="left" w:pos="-720"/>
          <w:tab w:val="left" w:pos="0"/>
        </w:tabs>
        <w:spacing w:after="240"/>
        <w:ind w:right="270"/>
        <w:rPr>
          <w:rFonts w:ascii="Times New Roman" w:hAnsi="Times New Roman"/>
        </w:rPr>
      </w:pPr>
      <w:r>
        <w:rPr>
          <w:rFonts w:ascii="Times New Roman" w:hAnsi="Times New Roman"/>
        </w:rPr>
        <w:tab/>
      </w:r>
      <w:r w:rsidRPr="00EA40B6" w:rsidR="00EA40B6">
        <w:rPr>
          <w:rFonts w:ascii="Times New Roman" w:hAnsi="Times New Roman"/>
        </w:rPr>
        <w:t>The Commission publish</w:t>
      </w:r>
      <w:r w:rsidR="00470B08">
        <w:rPr>
          <w:rFonts w:ascii="Times New Roman" w:hAnsi="Times New Roman"/>
        </w:rPr>
        <w:t>ed</w:t>
      </w:r>
      <w:r w:rsidRPr="00EA40B6" w:rsidR="00EA40B6">
        <w:rPr>
          <w:rFonts w:ascii="Times New Roman" w:hAnsi="Times New Roman"/>
        </w:rPr>
        <w:t xml:space="preserve"> notice</w:t>
      </w:r>
      <w:r w:rsidR="001A5256">
        <w:rPr>
          <w:rFonts w:ascii="Times New Roman" w:hAnsi="Times New Roman"/>
        </w:rPr>
        <w:t>s</w:t>
      </w:r>
      <w:r w:rsidRPr="00EA40B6" w:rsidR="00EA40B6">
        <w:rPr>
          <w:rFonts w:ascii="Times New Roman" w:hAnsi="Times New Roman"/>
        </w:rPr>
        <w:t xml:space="preserve"> of proposed rulemaking (NPRM) in the </w:t>
      </w:r>
      <w:r w:rsidRPr="00EA40B6" w:rsidR="00EA40B6">
        <w:rPr>
          <w:rFonts w:ascii="Times New Roman" w:hAnsi="Times New Roman"/>
          <w:i/>
        </w:rPr>
        <w:t>Federal Register</w:t>
      </w:r>
      <w:r w:rsidR="002C209E">
        <w:rPr>
          <w:rFonts w:ascii="Times New Roman" w:hAnsi="Times New Roman"/>
        </w:rPr>
        <w:t>.  The NPRM</w:t>
      </w:r>
      <w:r w:rsidR="001A5256">
        <w:rPr>
          <w:rFonts w:ascii="Times New Roman" w:hAnsi="Times New Roman"/>
        </w:rPr>
        <w:t>s</w:t>
      </w:r>
      <w:r w:rsidR="002C209E">
        <w:rPr>
          <w:rFonts w:ascii="Times New Roman" w:hAnsi="Times New Roman"/>
        </w:rPr>
        <w:t xml:space="preserve"> included </w:t>
      </w:r>
      <w:r w:rsidRPr="00EA40B6" w:rsidR="00EA40B6">
        <w:rPr>
          <w:rFonts w:ascii="Times New Roman" w:hAnsi="Times New Roman"/>
        </w:rPr>
        <w:t>a request for comment on all aspects of the proposed regulations, as well as requests for comment on several specific provisions and issues (including all aspects of the proposed inform</w:t>
      </w:r>
      <w:r w:rsidR="002C209E">
        <w:rPr>
          <w:rFonts w:ascii="Times New Roman" w:hAnsi="Times New Roman"/>
        </w:rPr>
        <w:t>ation</w:t>
      </w:r>
      <w:r w:rsidRPr="00EA40B6" w:rsidR="00EA40B6">
        <w:rPr>
          <w:rFonts w:ascii="Times New Roman" w:hAnsi="Times New Roman"/>
        </w:rPr>
        <w:t xml:space="preserve"> collection requirements).  The NPRM</w:t>
      </w:r>
      <w:r w:rsidR="001A5256">
        <w:rPr>
          <w:rFonts w:ascii="Times New Roman" w:hAnsi="Times New Roman"/>
        </w:rPr>
        <w:t>s</w:t>
      </w:r>
      <w:r w:rsidRPr="00EA40B6" w:rsidR="00EA40B6">
        <w:rPr>
          <w:rFonts w:ascii="Times New Roman" w:hAnsi="Times New Roman"/>
        </w:rPr>
        <w:t xml:space="preserve"> </w:t>
      </w:r>
      <w:r w:rsidR="002C209E">
        <w:rPr>
          <w:rFonts w:ascii="Times New Roman" w:hAnsi="Times New Roman"/>
        </w:rPr>
        <w:t>also notified</w:t>
      </w:r>
      <w:r w:rsidRPr="00EA40B6" w:rsidR="00EA40B6">
        <w:rPr>
          <w:rFonts w:ascii="Times New Roman" w:hAnsi="Times New Roman"/>
        </w:rPr>
        <w:t xml:space="preserve"> the public and other federal a</w:t>
      </w:r>
      <w:r w:rsidR="002C209E">
        <w:rPr>
          <w:rFonts w:ascii="Times New Roman" w:hAnsi="Times New Roman"/>
        </w:rPr>
        <w:t>gencies that the Commission would</w:t>
      </w:r>
      <w:r w:rsidRPr="00EA40B6" w:rsidR="00EA40B6">
        <w:rPr>
          <w:rFonts w:ascii="Times New Roman" w:hAnsi="Times New Roman"/>
        </w:rPr>
        <w:t xml:space="preserve"> submit an information collection request.</w:t>
      </w:r>
      <w:r w:rsidRPr="00724B9B">
        <w:rPr>
          <w:rFonts w:ascii="Times New Roman" w:hAnsi="Times New Roman"/>
          <w:vertAlign w:val="superscript"/>
        </w:rPr>
        <w:footnoteReference w:id="5"/>
      </w:r>
      <w:r w:rsidR="002C209E">
        <w:rPr>
          <w:rFonts w:ascii="Times New Roman" w:hAnsi="Times New Roman"/>
        </w:rPr>
        <w:t xml:space="preserve">  The Commission did not receive any comments on the burden related to swap data reporting requirements for exempt DCOs.</w:t>
      </w:r>
    </w:p>
    <w:p w:rsidRPr="00182B88" w:rsidR="00534B6B" w:rsidP="00A606B5" w:rsidRDefault="00534B6B" w14:paraId="0BACAEA4" w14:textId="77777777">
      <w:pPr>
        <w:tabs>
          <w:tab w:val="left" w:pos="-720"/>
          <w:tab w:val="left" w:pos="720"/>
        </w:tabs>
        <w:spacing w:after="240"/>
        <w:ind w:left="720"/>
        <w:rPr>
          <w:rFonts w:ascii="Times New Roman" w:hAnsi="Times New Roman"/>
          <w:u w:val="single"/>
        </w:rPr>
      </w:pPr>
      <w:r w:rsidRPr="00CC34A6">
        <w:rPr>
          <w:rFonts w:ascii="Times New Roman" w:hAnsi="Times New Roman"/>
          <w:u w:val="single"/>
        </w:rPr>
        <w:t>Consultation with representatives of those from whom information is to be obtained or those w</w:t>
      </w:r>
      <w:r w:rsidRPr="00CC3860">
        <w:rPr>
          <w:rFonts w:ascii="Times New Roman" w:hAnsi="Times New Roman"/>
          <w:u w:val="single"/>
        </w:rPr>
        <w:t>ho must compile records should occur at least once every 3 years - even if the collection of information activity is the same as in prior periods.  There may be circumstances that may preclude consultation in a specific situation.  These circumstances shou</w:t>
      </w:r>
      <w:r w:rsidRPr="00182B88">
        <w:rPr>
          <w:rFonts w:ascii="Times New Roman" w:hAnsi="Times New Roman"/>
          <w:u w:val="single"/>
        </w:rPr>
        <w:t>ld be explained.</w:t>
      </w:r>
    </w:p>
    <w:p w:rsidRPr="00182B88" w:rsidR="00C90123" w:rsidP="00A606B5" w:rsidRDefault="00C90123" w14:paraId="7AB48E95" w14:textId="77777777">
      <w:pPr>
        <w:tabs>
          <w:tab w:val="left" w:pos="-720"/>
          <w:tab w:val="left" w:pos="720"/>
        </w:tabs>
        <w:spacing w:after="240"/>
        <w:rPr>
          <w:rFonts w:ascii="Times New Roman" w:hAnsi="Times New Roman"/>
        </w:rPr>
      </w:pPr>
      <w:r w:rsidRPr="00182B88">
        <w:rPr>
          <w:rFonts w:ascii="Times New Roman" w:hAnsi="Times New Roman"/>
        </w:rPr>
        <w:tab/>
      </w:r>
      <w:r w:rsidRPr="00EA40B6" w:rsidR="00EA40B6">
        <w:rPr>
          <w:rFonts w:ascii="Times New Roman" w:hAnsi="Times New Roman"/>
        </w:rPr>
        <w:t>No suc</w:t>
      </w:r>
      <w:r w:rsidR="009968E8">
        <w:rPr>
          <w:rFonts w:ascii="Times New Roman" w:hAnsi="Times New Roman"/>
        </w:rPr>
        <w:t>h circumstances are anticipated</w:t>
      </w:r>
      <w:r w:rsidRPr="00182B88" w:rsidR="006878FB">
        <w:rPr>
          <w:rFonts w:ascii="Times New Roman" w:hAnsi="Times New Roman"/>
        </w:rPr>
        <w:t>.</w:t>
      </w:r>
    </w:p>
    <w:p w:rsidRPr="00A3257B" w:rsidR="00534B6B" w:rsidP="00A606B5" w:rsidRDefault="00534B6B" w14:paraId="7BCEF57E" w14:textId="77777777">
      <w:pPr>
        <w:tabs>
          <w:tab w:val="left" w:pos="-720"/>
          <w:tab w:val="left" w:pos="720"/>
        </w:tabs>
        <w:spacing w:after="240"/>
        <w:ind w:left="720" w:hanging="720"/>
        <w:rPr>
          <w:rFonts w:ascii="Times New Roman" w:hAnsi="Times New Roman"/>
        </w:rPr>
      </w:pPr>
      <w:r w:rsidRPr="00182B88">
        <w:rPr>
          <w:rFonts w:ascii="Times New Roman" w:hAnsi="Times New Roman"/>
        </w:rPr>
        <w:t>9.</w:t>
      </w:r>
      <w:r w:rsidRPr="00A3257B">
        <w:rPr>
          <w:rFonts w:ascii="Times New Roman" w:hAnsi="Times New Roman"/>
          <w:b/>
        </w:rPr>
        <w:tab/>
      </w:r>
      <w:r w:rsidRPr="00A3257B">
        <w:rPr>
          <w:rFonts w:ascii="Times New Roman" w:hAnsi="Times New Roman"/>
          <w:u w:val="single"/>
        </w:rPr>
        <w:t xml:space="preserve">Explain any decision to provide any payment or gift to respondents, other than </w:t>
      </w:r>
      <w:r w:rsidRPr="00A3257B" w:rsidR="003B0B0C">
        <w:rPr>
          <w:rFonts w:ascii="Times New Roman" w:hAnsi="Times New Roman"/>
          <w:u w:val="single"/>
        </w:rPr>
        <w:t>remuneration</w:t>
      </w:r>
      <w:r w:rsidRPr="00A3257B" w:rsidR="00C90123">
        <w:rPr>
          <w:rFonts w:ascii="Times New Roman" w:hAnsi="Times New Roman"/>
          <w:u w:val="single"/>
        </w:rPr>
        <w:t xml:space="preserve"> of contractors or grantees</w:t>
      </w:r>
      <w:r w:rsidRPr="00A3257B" w:rsidR="00C90123">
        <w:rPr>
          <w:rFonts w:ascii="Times New Roman" w:hAnsi="Times New Roman"/>
        </w:rPr>
        <w:t xml:space="preserve">. </w:t>
      </w:r>
    </w:p>
    <w:p w:rsidRPr="00B3056C" w:rsidR="00C90123" w:rsidP="00A606B5" w:rsidRDefault="00C90123" w14:paraId="4DACDD48" w14:textId="77777777">
      <w:pPr>
        <w:tabs>
          <w:tab w:val="left" w:pos="-720"/>
          <w:tab w:val="left" w:pos="0"/>
          <w:tab w:val="left" w:pos="720"/>
        </w:tabs>
        <w:spacing w:after="240"/>
        <w:rPr>
          <w:rFonts w:ascii="Times New Roman" w:hAnsi="Times New Roman"/>
          <w:b/>
        </w:rPr>
      </w:pPr>
      <w:r w:rsidRPr="00A3257B">
        <w:rPr>
          <w:rFonts w:ascii="Times New Roman" w:hAnsi="Times New Roman"/>
        </w:rPr>
        <w:tab/>
        <w:t>This question does not apply.</w:t>
      </w:r>
      <w:r w:rsidRPr="00A3257B" w:rsidR="00DB3672">
        <w:rPr>
          <w:rFonts w:ascii="Times New Roman" w:hAnsi="Times New Roman"/>
        </w:rPr>
        <w:t xml:space="preserve">  This information collection does not involve the provision of any payment or gift to respondents. </w:t>
      </w:r>
    </w:p>
    <w:p w:rsidRPr="00FD491D" w:rsidR="00534B6B" w:rsidP="00A606B5" w:rsidRDefault="00534B6B" w14:paraId="7BB1EC64" w14:textId="77777777">
      <w:pPr>
        <w:tabs>
          <w:tab w:val="left" w:pos="-720"/>
        </w:tabs>
        <w:spacing w:after="240"/>
        <w:ind w:left="720" w:hanging="720"/>
        <w:rPr>
          <w:rFonts w:ascii="Times New Roman" w:hAnsi="Times New Roman"/>
        </w:rPr>
      </w:pPr>
      <w:r w:rsidRPr="00AD4461">
        <w:rPr>
          <w:rFonts w:ascii="Times New Roman" w:hAnsi="Times New Roman"/>
        </w:rPr>
        <w:t>10.</w:t>
      </w:r>
      <w:r w:rsidRPr="00AD4461">
        <w:rPr>
          <w:rFonts w:ascii="Times New Roman" w:hAnsi="Times New Roman"/>
          <w:b/>
        </w:rPr>
        <w:tab/>
      </w:r>
      <w:r w:rsidRPr="00AD4461">
        <w:rPr>
          <w:rFonts w:ascii="Times New Roman" w:hAnsi="Times New Roman"/>
          <w:u w:val="single"/>
        </w:rPr>
        <w:t>Describe any assurance of confidentiality provided to respondents and the basis for the assurance in statute, regulations, or agency policy</w:t>
      </w:r>
      <w:r w:rsidRPr="00FD491D" w:rsidR="00C90123">
        <w:rPr>
          <w:rFonts w:ascii="Times New Roman" w:hAnsi="Times New Roman"/>
        </w:rPr>
        <w:t>.</w:t>
      </w:r>
    </w:p>
    <w:p w:rsidRPr="002524D8" w:rsidR="00C90123" w:rsidP="00A606B5" w:rsidRDefault="00C90123" w14:paraId="73C6C557" w14:textId="3FAAA353">
      <w:pPr>
        <w:tabs>
          <w:tab w:val="left" w:pos="-720"/>
        </w:tabs>
        <w:spacing w:after="240"/>
        <w:rPr>
          <w:rFonts w:ascii="Times New Roman" w:hAnsi="Times New Roman"/>
          <w:b/>
        </w:rPr>
      </w:pPr>
      <w:r w:rsidRPr="005333B6">
        <w:rPr>
          <w:rFonts w:ascii="Times New Roman" w:hAnsi="Times New Roman"/>
        </w:rPr>
        <w:tab/>
      </w:r>
      <w:r w:rsidRPr="00D81501" w:rsidR="00D81501">
        <w:rPr>
          <w:rFonts w:ascii="Times New Roman" w:hAnsi="Times New Roman"/>
        </w:rPr>
        <w:t>The Commission does not provide respondents with an assurance of confidentiality</w:t>
      </w:r>
      <w:r w:rsidR="00096799">
        <w:rPr>
          <w:rFonts w:ascii="Times New Roman" w:hAnsi="Times New Roman"/>
        </w:rPr>
        <w:t xml:space="preserve"> beyond that provided by applicable law</w:t>
      </w:r>
      <w:r w:rsidRPr="00D81501" w:rsidR="00D81501">
        <w:rPr>
          <w:rFonts w:ascii="Times New Roman" w:hAnsi="Times New Roman"/>
        </w:rPr>
        <w:t xml:space="preserve">.  The Commission fully complies with section 8(a)(1) of the Commodity Exchange Act, which strictly prohibits the Commission, unless specifically </w:t>
      </w:r>
      <w:r w:rsidRPr="00D81501" w:rsidR="00D81501">
        <w:rPr>
          <w:rFonts w:ascii="Times New Roman" w:hAnsi="Times New Roman"/>
        </w:rPr>
        <w:lastRenderedPageBreak/>
        <w:t>authorized by the Commodity Exchange Act, from making public “data and information that would separately disclose the business transactions or market positions of any person and trade secrets or names of customers.”  The Commission has procedures to protect the confidentiality of an applicant’s or registrant’s data.  These are set forth in the Commission’s regulations at parts 145 and 147 of title 17 of the Code of Federal Regulations.</w:t>
      </w:r>
    </w:p>
    <w:p w:rsidRPr="00B127C9" w:rsidR="00534B6B" w:rsidP="00A606B5" w:rsidRDefault="00534B6B" w14:paraId="2B8D951D" w14:textId="77777777">
      <w:pPr>
        <w:tabs>
          <w:tab w:val="left" w:pos="-720"/>
          <w:tab w:val="left" w:pos="720"/>
        </w:tabs>
        <w:spacing w:after="240"/>
        <w:ind w:left="720" w:hanging="720"/>
        <w:rPr>
          <w:rFonts w:ascii="Times New Roman" w:hAnsi="Times New Roman"/>
          <w:u w:val="single"/>
        </w:rPr>
      </w:pPr>
      <w:r w:rsidRPr="002524D8">
        <w:rPr>
          <w:rFonts w:ascii="Times New Roman" w:hAnsi="Times New Roman"/>
        </w:rPr>
        <w:t>11.</w:t>
      </w:r>
      <w:r w:rsidRPr="002524D8">
        <w:rPr>
          <w:rFonts w:ascii="Times New Roman" w:hAnsi="Times New Roman"/>
        </w:rPr>
        <w:tab/>
      </w:r>
      <w:r w:rsidRPr="00774C17">
        <w:rPr>
          <w:rFonts w:ascii="Times New Roman" w:hAnsi="Times New Roman"/>
          <w:u w:val="single"/>
        </w:rPr>
        <w:t xml:space="preserve">Provide additional justification for any questions of a sensitive nature, such as sexual behavior and attitudes, religious beliefs, and other </w:t>
      </w:r>
      <w:r w:rsidRPr="00495032">
        <w:rPr>
          <w:rFonts w:ascii="Times New Roman" w:hAnsi="Times New Roman"/>
          <w:u w:val="single"/>
        </w:rPr>
        <w:t>matters that are commonly considered private.  This justification should include the reasons why the agency considers the questions necessary, the specific uses to be made of the information, the explanation to be given to persons from whom the information</w:t>
      </w:r>
      <w:r w:rsidRPr="00B127C9">
        <w:rPr>
          <w:rFonts w:ascii="Times New Roman" w:hAnsi="Times New Roman"/>
          <w:u w:val="single"/>
        </w:rPr>
        <w:t xml:space="preserve"> is requested, and any steps to be taken to obtain their consent.</w:t>
      </w:r>
    </w:p>
    <w:p w:rsidRPr="00CC34A6" w:rsidR="00D642E9" w:rsidP="001A5256" w:rsidRDefault="00D642E9" w14:paraId="719E52C6" w14:textId="77777777">
      <w:pPr>
        <w:tabs>
          <w:tab w:val="left" w:pos="-720"/>
        </w:tabs>
        <w:spacing w:after="240"/>
        <w:rPr>
          <w:rFonts w:ascii="Times New Roman" w:hAnsi="Times New Roman"/>
        </w:rPr>
      </w:pPr>
      <w:r w:rsidRPr="00B127C9">
        <w:rPr>
          <w:rFonts w:ascii="Times New Roman" w:hAnsi="Times New Roman"/>
        </w:rPr>
        <w:tab/>
      </w:r>
      <w:r w:rsidRPr="001A5256" w:rsidR="001A5256">
        <w:rPr>
          <w:rFonts w:ascii="Times New Roman" w:hAnsi="Times New Roman"/>
        </w:rPr>
        <w:t>This question does not apply.  None of the required information is sensitive, as that term is used in Question 11.</w:t>
      </w:r>
      <w:r w:rsidR="001A5256">
        <w:t xml:space="preserve">  </w:t>
      </w:r>
    </w:p>
    <w:p w:rsidRPr="00D81501" w:rsidR="00534B6B" w:rsidP="00A606B5" w:rsidRDefault="00534B6B" w14:paraId="61DA5C94" w14:textId="77777777">
      <w:pPr>
        <w:tabs>
          <w:tab w:val="left" w:pos="-720"/>
          <w:tab w:val="left" w:pos="720"/>
        </w:tabs>
        <w:spacing w:after="240"/>
        <w:ind w:left="720" w:hanging="720"/>
        <w:rPr>
          <w:rFonts w:ascii="Times New Roman" w:hAnsi="Times New Roman"/>
          <w:b/>
        </w:rPr>
      </w:pPr>
      <w:r w:rsidRPr="00CC34A6">
        <w:rPr>
          <w:rFonts w:ascii="Times New Roman" w:hAnsi="Times New Roman"/>
        </w:rPr>
        <w:t>12.</w:t>
      </w:r>
      <w:r w:rsidRPr="00CC34A6">
        <w:rPr>
          <w:rFonts w:ascii="Times New Roman" w:hAnsi="Times New Roman"/>
          <w:b/>
        </w:rPr>
        <w:tab/>
      </w:r>
      <w:r w:rsidRPr="00D81501">
        <w:rPr>
          <w:rFonts w:ascii="Times New Roman" w:hAnsi="Times New Roman"/>
          <w:u w:val="single"/>
        </w:rPr>
        <w:t>Provide estimates of the hour burden of the collection of information.  The Statement should</w:t>
      </w:r>
      <w:r w:rsidRPr="00D81501">
        <w:rPr>
          <w:rFonts w:ascii="Times New Roman" w:hAnsi="Times New Roman"/>
        </w:rPr>
        <w:t>:</w:t>
      </w:r>
    </w:p>
    <w:p w:rsidRPr="00182B88" w:rsidR="00534B6B" w:rsidP="00A606B5" w:rsidRDefault="00534B6B" w14:paraId="111E9447" w14:textId="77777777">
      <w:pPr>
        <w:numPr>
          <w:ilvl w:val="0"/>
          <w:numId w:val="1"/>
        </w:numPr>
        <w:tabs>
          <w:tab w:val="clear" w:pos="936"/>
          <w:tab w:val="left" w:pos="-720"/>
          <w:tab w:val="left" w:pos="0"/>
          <w:tab w:val="left" w:pos="720"/>
          <w:tab w:val="num" w:pos="1080"/>
          <w:tab w:val="left" w:pos="8820"/>
          <w:tab w:val="left" w:pos="9000"/>
        </w:tabs>
        <w:spacing w:after="240"/>
        <w:ind w:left="1080" w:right="450" w:hanging="360"/>
        <w:rPr>
          <w:rFonts w:ascii="Times New Roman" w:hAnsi="Times New Roman"/>
        </w:rPr>
      </w:pPr>
      <w:r w:rsidRPr="00CC3860">
        <w:rPr>
          <w:rFonts w:ascii="Times New Roman" w:hAnsi="Times New Roman"/>
        </w:rPr>
        <w:t>Indicate the number of respondents, frequency of response, annual hour burden and an explanation of how the burden was estimated.  Unless directed to do so, agencies should not conduct special surveys to</w:t>
      </w:r>
      <w:r w:rsidRPr="00182B88">
        <w:rPr>
          <w:rFonts w:ascii="Times New Roman" w:hAnsi="Times New Roman"/>
        </w:rPr>
        <w:t xml:space="preserve">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182B88" w:rsidR="00534B6B" w:rsidP="00A606B5" w:rsidRDefault="00534B6B" w14:paraId="5D2B1A98" w14:textId="77777777">
      <w:pPr>
        <w:numPr>
          <w:ilvl w:val="0"/>
          <w:numId w:val="1"/>
        </w:numPr>
        <w:tabs>
          <w:tab w:val="clear" w:pos="936"/>
          <w:tab w:val="left" w:pos="-720"/>
          <w:tab w:val="left" w:pos="0"/>
          <w:tab w:val="left" w:pos="720"/>
          <w:tab w:val="num" w:pos="1080"/>
          <w:tab w:val="left" w:pos="8820"/>
          <w:tab w:val="left" w:pos="9000"/>
        </w:tabs>
        <w:spacing w:after="240"/>
        <w:ind w:left="1080" w:right="450" w:hanging="360"/>
        <w:rPr>
          <w:rFonts w:ascii="Times New Roman" w:hAnsi="Times New Roman"/>
        </w:rPr>
      </w:pPr>
      <w:r w:rsidRPr="00182B88">
        <w:rPr>
          <w:rFonts w:ascii="Times New Roman" w:hAnsi="Times New Roman"/>
        </w:rPr>
        <w:t>If the request for approval covers more than one form, provide separate hour burden estimates for each form and aggregate the hour burdens in Item 13 of OMB Form 83-I.</w:t>
      </w:r>
    </w:p>
    <w:p w:rsidRPr="00182B88" w:rsidR="00534B6B" w:rsidP="00A606B5" w:rsidRDefault="00534B6B" w14:paraId="59A818E7" w14:textId="77777777">
      <w:pPr>
        <w:numPr>
          <w:ilvl w:val="0"/>
          <w:numId w:val="1"/>
        </w:numPr>
        <w:tabs>
          <w:tab w:val="clear" w:pos="936"/>
          <w:tab w:val="left" w:pos="-720"/>
          <w:tab w:val="left" w:pos="0"/>
          <w:tab w:val="left" w:pos="720"/>
          <w:tab w:val="num" w:pos="1080"/>
          <w:tab w:val="left" w:pos="8820"/>
          <w:tab w:val="left" w:pos="9000"/>
        </w:tabs>
        <w:spacing w:after="240"/>
        <w:ind w:left="1080" w:right="450" w:hanging="360"/>
        <w:rPr>
          <w:rFonts w:ascii="Times New Roman" w:hAnsi="Times New Roman"/>
        </w:rPr>
      </w:pPr>
      <w:r w:rsidRPr="00182B88">
        <w:rPr>
          <w:rFonts w:ascii="Times New Roman" w:hAnsi="Times New Roman"/>
        </w:rPr>
        <w:t>Provide estimates of annualized cost to respondents for the hours burdens for collections of information, identifying and using appropriate wage rate categories.  The cost of contracting ou</w:t>
      </w:r>
      <w:r w:rsidR="001B6E24">
        <w:rPr>
          <w:rFonts w:ascii="Times New Roman" w:hAnsi="Times New Roman"/>
        </w:rPr>
        <w:t>t</w:t>
      </w:r>
      <w:r w:rsidRPr="00182B88">
        <w:rPr>
          <w:rFonts w:ascii="Times New Roman" w:hAnsi="Times New Roman"/>
        </w:rPr>
        <w:t xml:space="preserve"> or paying outside parties for information collection activities should not be included here.  Instead, this cost should be included in Item 13.</w:t>
      </w:r>
    </w:p>
    <w:p w:rsidR="001B76B9" w:rsidP="00A606B5" w:rsidRDefault="001B76B9" w14:paraId="20D02E09" w14:textId="77777777">
      <w:pPr>
        <w:tabs>
          <w:tab w:val="left" w:pos="-720"/>
          <w:tab w:val="left" w:pos="0"/>
          <w:tab w:val="left" w:pos="720"/>
          <w:tab w:val="left" w:pos="9270"/>
        </w:tabs>
        <w:spacing w:after="240"/>
        <w:ind w:right="180"/>
        <w:rPr>
          <w:rFonts w:ascii="Times New Roman" w:hAnsi="Times New Roman"/>
        </w:rPr>
      </w:pPr>
      <w:r>
        <w:rPr>
          <w:rFonts w:ascii="Times New Roman" w:hAnsi="Times New Roman"/>
        </w:rPr>
        <w:tab/>
      </w:r>
      <w:r w:rsidRPr="001B76B9">
        <w:rPr>
          <w:rFonts w:ascii="Times New Roman" w:hAnsi="Times New Roman"/>
        </w:rPr>
        <w:t xml:space="preserve">The Commission is </w:t>
      </w:r>
      <w:r w:rsidR="0021367B">
        <w:rPr>
          <w:rFonts w:ascii="Times New Roman" w:hAnsi="Times New Roman"/>
        </w:rPr>
        <w:t>request</w:t>
      </w:r>
      <w:r w:rsidR="00F769EE">
        <w:rPr>
          <w:rFonts w:ascii="Times New Roman" w:hAnsi="Times New Roman"/>
        </w:rPr>
        <w:t>ing</w:t>
      </w:r>
      <w:r w:rsidR="0021367B">
        <w:rPr>
          <w:rFonts w:ascii="Times New Roman" w:hAnsi="Times New Roman"/>
        </w:rPr>
        <w:t xml:space="preserve"> a new information</w:t>
      </w:r>
      <w:r w:rsidRPr="001B76B9">
        <w:rPr>
          <w:rFonts w:ascii="Times New Roman" w:hAnsi="Times New Roman"/>
        </w:rPr>
        <w:t xml:space="preserve"> collection</w:t>
      </w:r>
      <w:r w:rsidR="0021367B">
        <w:rPr>
          <w:rFonts w:ascii="Times New Roman" w:hAnsi="Times New Roman"/>
        </w:rPr>
        <w:t xml:space="preserve"> under OMB Control No.</w:t>
      </w:r>
      <w:r w:rsidRPr="001B76B9">
        <w:rPr>
          <w:rFonts w:ascii="Times New Roman" w:hAnsi="Times New Roman"/>
        </w:rPr>
        <w:t xml:space="preserve"> 3038-0096 to account</w:t>
      </w:r>
      <w:r>
        <w:rPr>
          <w:rFonts w:ascii="Times New Roman" w:hAnsi="Times New Roman"/>
        </w:rPr>
        <w:t xml:space="preserve"> for </w:t>
      </w:r>
      <w:r w:rsidR="00F769EE">
        <w:rPr>
          <w:rFonts w:ascii="Times New Roman" w:hAnsi="Times New Roman"/>
        </w:rPr>
        <w:t xml:space="preserve">the </w:t>
      </w:r>
      <w:r w:rsidR="001A5256">
        <w:rPr>
          <w:rFonts w:ascii="Times New Roman" w:hAnsi="Times New Roman"/>
        </w:rPr>
        <w:t xml:space="preserve">swap data reported by </w:t>
      </w:r>
      <w:r w:rsidR="004A165E">
        <w:rPr>
          <w:rFonts w:ascii="Times New Roman" w:hAnsi="Times New Roman"/>
        </w:rPr>
        <w:t>exemp</w:t>
      </w:r>
      <w:r w:rsidR="001A5256">
        <w:rPr>
          <w:rFonts w:ascii="Times New Roman" w:hAnsi="Times New Roman"/>
        </w:rPr>
        <w:t xml:space="preserve">t </w:t>
      </w:r>
      <w:r w:rsidR="004A165E">
        <w:rPr>
          <w:rFonts w:ascii="Times New Roman" w:hAnsi="Times New Roman"/>
        </w:rPr>
        <w:t>DCO</w:t>
      </w:r>
      <w:r w:rsidR="001A5256">
        <w:rPr>
          <w:rFonts w:ascii="Times New Roman" w:hAnsi="Times New Roman"/>
        </w:rPr>
        <w:t>s</w:t>
      </w:r>
      <w:r w:rsidR="004A165E">
        <w:rPr>
          <w:rFonts w:ascii="Times New Roman" w:hAnsi="Times New Roman"/>
        </w:rPr>
        <w:t xml:space="preserve">. </w:t>
      </w:r>
      <w:r>
        <w:rPr>
          <w:rFonts w:ascii="Times New Roman" w:hAnsi="Times New Roman"/>
        </w:rPr>
        <w:t xml:space="preserve">All other burdens and costs covered by existing collection 3038-0096 </w:t>
      </w:r>
      <w:r w:rsidR="00874E6C">
        <w:rPr>
          <w:rFonts w:ascii="Times New Roman" w:hAnsi="Times New Roman"/>
        </w:rPr>
        <w:t xml:space="preserve">have not been affected by the </w:t>
      </w:r>
      <w:r w:rsidR="001153B4">
        <w:rPr>
          <w:rFonts w:ascii="Times New Roman" w:hAnsi="Times New Roman"/>
        </w:rPr>
        <w:t>final</w:t>
      </w:r>
      <w:r w:rsidR="00874E6C">
        <w:rPr>
          <w:rFonts w:ascii="Times New Roman" w:hAnsi="Times New Roman"/>
        </w:rPr>
        <w:t xml:space="preserve"> rule</w:t>
      </w:r>
      <w:r>
        <w:rPr>
          <w:rFonts w:ascii="Times New Roman" w:hAnsi="Times New Roman"/>
        </w:rPr>
        <w:t>.</w:t>
      </w:r>
    </w:p>
    <w:p w:rsidRPr="00A606B5" w:rsidR="00D4114B" w:rsidP="004A165E" w:rsidRDefault="001B76B9" w14:paraId="6D82DA1F" w14:textId="77777777">
      <w:pPr>
        <w:tabs>
          <w:tab w:val="left" w:pos="-720"/>
          <w:tab w:val="left" w:pos="0"/>
          <w:tab w:val="left" w:pos="720"/>
          <w:tab w:val="left" w:pos="9270"/>
        </w:tabs>
        <w:spacing w:after="240"/>
        <w:ind w:right="180"/>
        <w:rPr>
          <w:rFonts w:ascii="Times New Roman" w:hAnsi="Times New Roman"/>
        </w:rPr>
      </w:pPr>
      <w:r>
        <w:rPr>
          <w:rFonts w:ascii="Times New Roman" w:hAnsi="Times New Roman"/>
        </w:rPr>
        <w:tab/>
      </w:r>
      <w:r w:rsidR="00822BD3">
        <w:rPr>
          <w:rFonts w:ascii="Times New Roman" w:hAnsi="Times New Roman"/>
        </w:rPr>
        <w:t xml:space="preserve"> </w:t>
      </w:r>
      <w:r w:rsidRPr="00495032" w:rsidR="00D4114B">
        <w:rPr>
          <w:rFonts w:ascii="Times New Roman" w:hAnsi="Times New Roman"/>
        </w:rPr>
        <w:t>The revised burden hours and annual costs for this PRA collection</w:t>
      </w:r>
      <w:r w:rsidRPr="00B127C9" w:rsidR="00D4114B">
        <w:rPr>
          <w:rFonts w:ascii="Times New Roman" w:hAnsi="Times New Roman"/>
        </w:rPr>
        <w:t xml:space="preserve"> </w:t>
      </w:r>
      <w:r w:rsidR="00EC2034">
        <w:rPr>
          <w:rFonts w:ascii="Times New Roman" w:hAnsi="Times New Roman"/>
        </w:rPr>
        <w:t xml:space="preserve">that are anticipated based on the </w:t>
      </w:r>
      <w:r w:rsidR="001153B4">
        <w:rPr>
          <w:rFonts w:ascii="Times New Roman" w:hAnsi="Times New Roman"/>
        </w:rPr>
        <w:t xml:space="preserve">final </w:t>
      </w:r>
      <w:r w:rsidR="00EC2034">
        <w:rPr>
          <w:rFonts w:ascii="Times New Roman" w:hAnsi="Times New Roman"/>
        </w:rPr>
        <w:t xml:space="preserve">rule </w:t>
      </w:r>
      <w:r w:rsidRPr="00B127C9" w:rsidR="00D4114B">
        <w:rPr>
          <w:rFonts w:ascii="Times New Roman" w:hAnsi="Times New Roman"/>
        </w:rPr>
        <w:t xml:space="preserve">are included in Attachment </w:t>
      </w:r>
      <w:r w:rsidR="009E60DC">
        <w:rPr>
          <w:rFonts w:ascii="Times New Roman" w:hAnsi="Times New Roman"/>
        </w:rPr>
        <w:t>A</w:t>
      </w:r>
      <w:r w:rsidRPr="00B127C9" w:rsidR="009E60DC">
        <w:rPr>
          <w:rFonts w:ascii="Times New Roman" w:hAnsi="Times New Roman"/>
        </w:rPr>
        <w:t xml:space="preserve"> </w:t>
      </w:r>
      <w:r w:rsidRPr="00B127C9" w:rsidR="00D4114B">
        <w:rPr>
          <w:rFonts w:ascii="Times New Roman" w:hAnsi="Times New Roman"/>
        </w:rPr>
        <w:t xml:space="preserve">to this Supporting Statement.  The </w:t>
      </w:r>
      <w:r w:rsidR="001153B4">
        <w:rPr>
          <w:rFonts w:ascii="Times New Roman" w:hAnsi="Times New Roman"/>
        </w:rPr>
        <w:t xml:space="preserve">estimated </w:t>
      </w:r>
      <w:r w:rsidR="00D90559">
        <w:rPr>
          <w:rFonts w:ascii="Times New Roman" w:hAnsi="Times New Roman"/>
        </w:rPr>
        <w:t>annual burden</w:t>
      </w:r>
      <w:r w:rsidRPr="00B127C9" w:rsidR="00997594">
        <w:rPr>
          <w:rFonts w:ascii="Times New Roman" w:hAnsi="Times New Roman"/>
        </w:rPr>
        <w:t xml:space="preserve"> for this collection</w:t>
      </w:r>
      <w:r w:rsidR="00D90559">
        <w:rPr>
          <w:rFonts w:ascii="Times New Roman" w:hAnsi="Times New Roman"/>
        </w:rPr>
        <w:t xml:space="preserve"> </w:t>
      </w:r>
      <w:r w:rsidR="00EC2034">
        <w:rPr>
          <w:rFonts w:ascii="Times New Roman" w:hAnsi="Times New Roman"/>
        </w:rPr>
        <w:t xml:space="preserve">due to </w:t>
      </w:r>
      <w:r w:rsidR="00D90559">
        <w:rPr>
          <w:rFonts w:ascii="Times New Roman" w:hAnsi="Times New Roman"/>
        </w:rPr>
        <w:t>the changes w</w:t>
      </w:r>
      <w:r w:rsidR="001153B4">
        <w:rPr>
          <w:rFonts w:ascii="Times New Roman" w:hAnsi="Times New Roman"/>
        </w:rPr>
        <w:t>ill</w:t>
      </w:r>
      <w:r w:rsidR="00D90559">
        <w:rPr>
          <w:rFonts w:ascii="Times New Roman" w:hAnsi="Times New Roman"/>
        </w:rPr>
        <w:t xml:space="preserve"> </w:t>
      </w:r>
      <w:r w:rsidR="00EC2034">
        <w:rPr>
          <w:rFonts w:ascii="Times New Roman" w:hAnsi="Times New Roman"/>
        </w:rPr>
        <w:t xml:space="preserve">increase by </w:t>
      </w:r>
      <w:r w:rsidR="001153B4">
        <w:rPr>
          <w:rFonts w:ascii="Times New Roman" w:hAnsi="Times New Roman"/>
        </w:rPr>
        <w:t>5649</w:t>
      </w:r>
      <w:r w:rsidR="00EC2034">
        <w:rPr>
          <w:rFonts w:ascii="Times New Roman" w:hAnsi="Times New Roman"/>
          <w:color w:val="000000"/>
        </w:rPr>
        <w:t xml:space="preserve"> </w:t>
      </w:r>
      <w:r w:rsidRPr="00B127C9" w:rsidR="00997594">
        <w:rPr>
          <w:rFonts w:ascii="Times New Roman" w:hAnsi="Times New Roman"/>
        </w:rPr>
        <w:t xml:space="preserve">hours.  </w:t>
      </w:r>
      <w:r w:rsidRPr="00A762BC" w:rsidR="00997594">
        <w:rPr>
          <w:rFonts w:ascii="Times New Roman" w:hAnsi="Times New Roman"/>
        </w:rPr>
        <w:t xml:space="preserve">  </w:t>
      </w:r>
    </w:p>
    <w:p w:rsidRPr="00CC3860" w:rsidR="00534B6B" w:rsidP="00A606B5" w:rsidRDefault="00534B6B" w14:paraId="4FF6C2B5" w14:textId="77777777">
      <w:pPr>
        <w:keepNext/>
        <w:tabs>
          <w:tab w:val="left" w:pos="-720"/>
          <w:tab w:val="left" w:pos="720"/>
        </w:tabs>
        <w:spacing w:after="240"/>
        <w:ind w:left="720" w:hanging="720"/>
        <w:rPr>
          <w:rFonts w:ascii="Times New Roman" w:hAnsi="Times New Roman"/>
        </w:rPr>
      </w:pPr>
      <w:r w:rsidRPr="00CC3860">
        <w:rPr>
          <w:rFonts w:ascii="Times New Roman" w:hAnsi="Times New Roman"/>
        </w:rPr>
        <w:lastRenderedPageBreak/>
        <w:t>13.</w:t>
      </w:r>
      <w:r w:rsidRPr="00CC3860">
        <w:rPr>
          <w:rFonts w:ascii="Times New Roman" w:hAnsi="Times New Roman"/>
        </w:rPr>
        <w:tab/>
      </w:r>
      <w:r w:rsidRPr="00CC3860">
        <w:rPr>
          <w:rFonts w:ascii="Times New Roman" w:hAnsi="Times New Roman"/>
          <w:u w:val="single"/>
        </w:rPr>
        <w:t xml:space="preserve">Provide an estimate of the total annual cost burden to respondents or recordkeepers resulting </w:t>
      </w:r>
      <w:r w:rsidRPr="00CC3860" w:rsidR="003B0B0C">
        <w:rPr>
          <w:rFonts w:ascii="Times New Roman" w:hAnsi="Times New Roman"/>
          <w:u w:val="single"/>
        </w:rPr>
        <w:t>from</w:t>
      </w:r>
      <w:r w:rsidRPr="00CC3860">
        <w:rPr>
          <w:rFonts w:ascii="Times New Roman" w:hAnsi="Times New Roman"/>
          <w:u w:val="single"/>
        </w:rPr>
        <w:t xml:space="preserve"> the collection of information.  (Do not include the cost of any hour burden shown in Items 12 and 14).</w:t>
      </w:r>
    </w:p>
    <w:p w:rsidRPr="00182B88" w:rsidR="00534B6B" w:rsidP="00A606B5" w:rsidRDefault="00534B6B" w14:paraId="489885E0" w14:textId="77777777">
      <w:pPr>
        <w:numPr>
          <w:ilvl w:val="0"/>
          <w:numId w:val="1"/>
        </w:numPr>
        <w:tabs>
          <w:tab w:val="clear" w:pos="936"/>
          <w:tab w:val="left" w:pos="-720"/>
          <w:tab w:val="left" w:pos="0"/>
          <w:tab w:val="left" w:pos="720"/>
          <w:tab w:val="num" w:pos="1080"/>
        </w:tabs>
        <w:spacing w:after="240"/>
        <w:ind w:left="1080" w:right="270" w:hanging="360"/>
        <w:rPr>
          <w:rFonts w:ascii="Times New Roman" w:hAnsi="Times New Roman"/>
        </w:rPr>
      </w:pPr>
      <w:r w:rsidRPr="00CC3860">
        <w:rPr>
          <w:rFonts w:ascii="Times New Roman" w:hAnsi="Times New Roman"/>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CC3860">
        <w:rPr>
          <w:rFonts w:ascii="Times New Roman" w:hAnsi="Times New Roman"/>
        </w:rPr>
        <w:t xml:space="preserve">take </w:t>
      </w:r>
      <w:r w:rsidRPr="00182B88">
        <w:rPr>
          <w:rFonts w:ascii="Times New Roman" w:hAnsi="Times New Roman"/>
        </w:rPr>
        <w:t>into account</w:t>
      </w:r>
      <w:proofErr w:type="gramEnd"/>
      <w:r w:rsidRPr="00182B88">
        <w:rPr>
          <w:rFonts w:ascii="Times New Roman" w:hAnsi="Times New Roman"/>
        </w:rPr>
        <w:t xml:space="preserve"> costs associated with generating, maintaining, and disclosing or providing the information.  Include descriptions of methods used to estimate major costs factors including system and technology </w:t>
      </w:r>
      <w:proofErr w:type="gramStart"/>
      <w:r w:rsidRPr="00182B88">
        <w:rPr>
          <w:rFonts w:ascii="Times New Roman" w:hAnsi="Times New Roman"/>
        </w:rPr>
        <w:t xml:space="preserve">acquisition, </w:t>
      </w:r>
      <w:r w:rsidRPr="00182B88" w:rsidR="000872A0">
        <w:rPr>
          <w:rFonts w:ascii="Times New Roman" w:hAnsi="Times New Roman"/>
        </w:rPr>
        <w:t xml:space="preserve">  </w:t>
      </w:r>
      <w:proofErr w:type="gramEnd"/>
      <w:r w:rsidRPr="00182B88">
        <w:rPr>
          <w:rFonts w:ascii="Times New Roman" w:hAnsi="Times New Roman"/>
        </w:rPr>
        <w:t>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A3257B" w:rsidR="00534B6B" w:rsidP="00A606B5" w:rsidRDefault="00534B6B" w14:paraId="1E54C056" w14:textId="77777777">
      <w:pPr>
        <w:numPr>
          <w:ilvl w:val="0"/>
          <w:numId w:val="1"/>
        </w:numPr>
        <w:tabs>
          <w:tab w:val="clear" w:pos="936"/>
          <w:tab w:val="left" w:pos="-720"/>
          <w:tab w:val="left" w:pos="0"/>
          <w:tab w:val="left" w:pos="720"/>
          <w:tab w:val="num" w:pos="1080"/>
        </w:tabs>
        <w:spacing w:after="240"/>
        <w:ind w:left="1080" w:right="270" w:hanging="360"/>
        <w:rPr>
          <w:rFonts w:ascii="Times New Roman" w:hAnsi="Times New Roman"/>
        </w:rPr>
      </w:pPr>
      <w:r w:rsidRPr="00A3257B">
        <w:rPr>
          <w:rFonts w:ascii="Times New Roman" w:hAnsi="Times New Roman"/>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Pr="00A3257B" w:rsidR="00534B6B" w:rsidP="00A606B5" w:rsidRDefault="00534B6B" w14:paraId="3463748A" w14:textId="77777777">
      <w:pPr>
        <w:numPr>
          <w:ilvl w:val="0"/>
          <w:numId w:val="1"/>
        </w:numPr>
        <w:tabs>
          <w:tab w:val="clear" w:pos="936"/>
          <w:tab w:val="left" w:pos="-720"/>
          <w:tab w:val="left" w:pos="0"/>
          <w:tab w:val="left" w:pos="720"/>
          <w:tab w:val="num" w:pos="1080"/>
        </w:tabs>
        <w:spacing w:after="240"/>
        <w:ind w:left="1080" w:right="270" w:hanging="360"/>
        <w:rPr>
          <w:rFonts w:ascii="Times New Roman" w:hAnsi="Times New Roman"/>
        </w:rPr>
      </w:pPr>
      <w:r w:rsidRPr="00A3257B">
        <w:rPr>
          <w:rFonts w:ascii="Times New Roman" w:hAnsi="Times New Roman"/>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A3257B" w:rsidR="002A6B1D">
        <w:rPr>
          <w:rFonts w:ascii="Times New Roman" w:hAnsi="Times New Roman"/>
        </w:rPr>
        <w:t>government</w:t>
      </w:r>
      <w:r w:rsidRPr="00A3257B">
        <w:rPr>
          <w:rFonts w:ascii="Times New Roman" w:hAnsi="Times New Roman"/>
        </w:rPr>
        <w:t xml:space="preserve"> or (4) as part of customary and usual business or private practices.</w:t>
      </w:r>
    </w:p>
    <w:p w:rsidR="00D118F2" w:rsidP="001B6E24" w:rsidRDefault="00D118F2" w14:paraId="667AAF0B" w14:textId="77777777">
      <w:pPr>
        <w:tabs>
          <w:tab w:val="left" w:pos="-720"/>
          <w:tab w:val="left" w:pos="0"/>
        </w:tabs>
        <w:spacing w:after="240"/>
        <w:ind w:right="180"/>
        <w:rPr>
          <w:rFonts w:ascii="Times New Roman" w:hAnsi="Times New Roman"/>
        </w:rPr>
      </w:pPr>
      <w:r>
        <w:rPr>
          <w:rFonts w:ascii="Times New Roman" w:hAnsi="Times New Roman"/>
        </w:rPr>
        <w:tab/>
        <w:t xml:space="preserve">The Commission has calculated the additional burden hours and costs associated with this collection.  These additional costs include costs for </w:t>
      </w:r>
      <w:r w:rsidR="00D90559">
        <w:rPr>
          <w:rFonts w:ascii="Times New Roman" w:hAnsi="Times New Roman"/>
        </w:rPr>
        <w:t xml:space="preserve">exempt </w:t>
      </w:r>
      <w:r>
        <w:rPr>
          <w:rFonts w:ascii="Times New Roman" w:hAnsi="Times New Roman"/>
        </w:rPr>
        <w:t>DCOs associated with establ</w:t>
      </w:r>
      <w:r w:rsidR="00860BBB">
        <w:rPr>
          <w:rFonts w:ascii="Times New Roman" w:hAnsi="Times New Roman"/>
        </w:rPr>
        <w:t xml:space="preserve">ishing SDR connections; and </w:t>
      </w:r>
      <w:r>
        <w:rPr>
          <w:rFonts w:ascii="Times New Roman" w:hAnsi="Times New Roman"/>
        </w:rPr>
        <w:t xml:space="preserve">annual maintenance costs for </w:t>
      </w:r>
      <w:r w:rsidR="00D90559">
        <w:rPr>
          <w:rFonts w:ascii="Times New Roman" w:hAnsi="Times New Roman"/>
        </w:rPr>
        <w:t xml:space="preserve">exempt </w:t>
      </w:r>
      <w:r>
        <w:rPr>
          <w:rFonts w:ascii="Times New Roman" w:hAnsi="Times New Roman"/>
        </w:rPr>
        <w:t>DCOs to maintain connections to SDRs.</w:t>
      </w:r>
      <w:r w:rsidR="001C1F14">
        <w:rPr>
          <w:rFonts w:ascii="Times New Roman" w:hAnsi="Times New Roman"/>
        </w:rPr>
        <w:t xml:space="preserve">  </w:t>
      </w:r>
      <w:r w:rsidRPr="00086102" w:rsidR="001C1F14">
        <w:rPr>
          <w:rFonts w:ascii="Times New Roman" w:hAnsi="Times New Roman"/>
        </w:rPr>
        <w:t>In practice, due to the limited extent to which exempt DCOs are clearing for U.S. persons, we expect that each exempt DCO will need to connect, and maintain such connection, to one SDR rather than all SDRs as assumed in the burden estimate for registered DCOs.</w:t>
      </w:r>
      <w:r w:rsidR="00D90559">
        <w:rPr>
          <w:rFonts w:ascii="Times New Roman" w:hAnsi="Times New Roman"/>
        </w:rPr>
        <w:t xml:space="preserve">  </w:t>
      </w:r>
      <w:r w:rsidR="001C1F14">
        <w:rPr>
          <w:rFonts w:ascii="Times New Roman" w:hAnsi="Times New Roman"/>
        </w:rPr>
        <w:t xml:space="preserve"> </w:t>
      </w:r>
    </w:p>
    <w:p w:rsidR="00D118F2" w:rsidP="001B6E24" w:rsidRDefault="00D118F2" w14:paraId="0B9A1BD4" w14:textId="77777777">
      <w:pPr>
        <w:tabs>
          <w:tab w:val="left" w:pos="-720"/>
          <w:tab w:val="left" w:pos="0"/>
        </w:tabs>
        <w:spacing w:after="240"/>
        <w:ind w:right="180"/>
        <w:rPr>
          <w:rFonts w:ascii="Times New Roman" w:hAnsi="Times New Roman"/>
        </w:rPr>
      </w:pPr>
      <w:r>
        <w:rPr>
          <w:rFonts w:ascii="Times New Roman" w:hAnsi="Times New Roman"/>
        </w:rPr>
        <w:tab/>
      </w:r>
      <w:r w:rsidRPr="0043597B" w:rsidR="0043597B">
        <w:rPr>
          <w:rFonts w:ascii="Times New Roman" w:hAnsi="Times New Roman"/>
        </w:rPr>
        <w:t>In calculating this cost estimate, the Commission estimates the appropriate wage rate based on salary information for the securities industry compiled by the Department of Labor’s Bureau of Labor Statistics (“BLS”). Commission staff arrived at an hourly rate of $7</w:t>
      </w:r>
      <w:r w:rsidR="006F0C7D">
        <w:rPr>
          <w:rFonts w:ascii="Times New Roman" w:hAnsi="Times New Roman"/>
        </w:rPr>
        <w:t>1</w:t>
      </w:r>
      <w:r w:rsidRPr="0043597B" w:rsidR="0043597B">
        <w:rPr>
          <w:rFonts w:ascii="Times New Roman" w:hAnsi="Times New Roman"/>
        </w:rPr>
        <w:t>.</w:t>
      </w:r>
      <w:r w:rsidR="006F0C7D">
        <w:rPr>
          <w:rFonts w:ascii="Times New Roman" w:hAnsi="Times New Roman"/>
        </w:rPr>
        <w:t>0</w:t>
      </w:r>
      <w:r w:rsidRPr="0043597B" w:rsidR="0043597B">
        <w:rPr>
          <w:rFonts w:ascii="Times New Roman" w:hAnsi="Times New Roman"/>
        </w:rPr>
        <w:t>2 using figures from a weighted average of salaries and bonuses across different professions contained in the most recent BLS Occupational Employment and Wages Report (May 201</w:t>
      </w:r>
      <w:r w:rsidR="006F0C7D">
        <w:rPr>
          <w:rFonts w:ascii="Times New Roman" w:hAnsi="Times New Roman"/>
        </w:rPr>
        <w:t>9</w:t>
      </w:r>
      <w:r w:rsidRPr="0043597B" w:rsidR="0043597B">
        <w:rPr>
          <w:rFonts w:ascii="Times New Roman" w:hAnsi="Times New Roman"/>
        </w:rPr>
        <w:t xml:space="preserve">) multiplied by 1.3 to account for overhead and other benefits. The Commission estimated appropriate wage rate is a weighted national average of mean hourly wages for the following occupations (and their relative weight): “computer programmer – industry: securities, commodity contracts, and other financial investment and related activities” (50% weight); “compliance officer – industry: </w:t>
      </w:r>
      <w:r w:rsidRPr="0043597B" w:rsidR="0043597B">
        <w:rPr>
          <w:rFonts w:ascii="Times New Roman" w:hAnsi="Times New Roman"/>
        </w:rPr>
        <w:lastRenderedPageBreak/>
        <w:t>securities, commodity contracts, and other financial investment and related activities” (25%); and “lawyer – legal services” (25%). Commission staff chose this methodology to account for the variance in skill sets that may be used to accomplish the collection of information.</w:t>
      </w:r>
    </w:p>
    <w:p w:rsidRPr="00A606B5" w:rsidR="00737FE3" w:rsidP="00A606B5" w:rsidRDefault="00D118F2" w14:paraId="322A5DE5" w14:textId="77777777">
      <w:pPr>
        <w:tabs>
          <w:tab w:val="left" w:pos="-720"/>
          <w:tab w:val="left" w:pos="0"/>
          <w:tab w:val="left" w:pos="720"/>
        </w:tabs>
        <w:spacing w:after="240"/>
        <w:ind w:right="-90"/>
        <w:rPr>
          <w:rFonts w:ascii="Times New Roman" w:hAnsi="Times New Roman"/>
          <w:i/>
          <w:u w:val="single"/>
        </w:rPr>
      </w:pPr>
      <w:r>
        <w:rPr>
          <w:rFonts w:ascii="Times New Roman" w:hAnsi="Times New Roman"/>
          <w:i/>
          <w:u w:val="single"/>
        </w:rPr>
        <w:t xml:space="preserve">Establishing </w:t>
      </w:r>
      <w:r w:rsidR="00EC2034">
        <w:rPr>
          <w:rFonts w:ascii="Times New Roman" w:hAnsi="Times New Roman"/>
          <w:i/>
          <w:u w:val="single"/>
        </w:rPr>
        <w:t xml:space="preserve">Exempt </w:t>
      </w:r>
      <w:r>
        <w:rPr>
          <w:rFonts w:ascii="Times New Roman" w:hAnsi="Times New Roman"/>
          <w:i/>
          <w:u w:val="single"/>
        </w:rPr>
        <w:t xml:space="preserve">DCO to SDR Connections (Annualized </w:t>
      </w:r>
      <w:r w:rsidR="00737FE3">
        <w:rPr>
          <w:rFonts w:ascii="Times New Roman" w:hAnsi="Times New Roman"/>
          <w:i/>
          <w:u w:val="single"/>
        </w:rPr>
        <w:t>Start-Up Costs</w:t>
      </w:r>
      <w:r>
        <w:rPr>
          <w:rFonts w:ascii="Times New Roman" w:hAnsi="Times New Roman"/>
          <w:i/>
          <w:u w:val="single"/>
        </w:rPr>
        <w:t>)</w:t>
      </w:r>
    </w:p>
    <w:p w:rsidR="00BB483A" w:rsidP="009275A1" w:rsidRDefault="00737FE3" w14:paraId="1E60F7C7" w14:textId="77777777">
      <w:pPr>
        <w:tabs>
          <w:tab w:val="left" w:pos="-720"/>
          <w:tab w:val="left" w:pos="0"/>
          <w:tab w:val="left" w:pos="720"/>
        </w:tabs>
        <w:spacing w:after="240"/>
        <w:ind w:right="-90"/>
        <w:rPr>
          <w:rFonts w:ascii="Times New Roman" w:hAnsi="Times New Roman"/>
        </w:rPr>
      </w:pPr>
      <w:r>
        <w:rPr>
          <w:rFonts w:ascii="Times New Roman" w:hAnsi="Times New Roman"/>
        </w:rPr>
        <w:tab/>
      </w:r>
      <w:r w:rsidR="00086102">
        <w:rPr>
          <w:rFonts w:ascii="Times New Roman" w:hAnsi="Times New Roman"/>
        </w:rPr>
        <w:t xml:space="preserve">The rules require that </w:t>
      </w:r>
      <w:r w:rsidRPr="00086102" w:rsidR="00086102">
        <w:rPr>
          <w:rFonts w:ascii="Times New Roman" w:hAnsi="Times New Roman"/>
        </w:rPr>
        <w:t>if a clearing member clears through the exempt DCO a swap that has been reported to a</w:t>
      </w:r>
      <w:r w:rsidR="00086102">
        <w:rPr>
          <w:rFonts w:ascii="Times New Roman" w:hAnsi="Times New Roman"/>
        </w:rPr>
        <w:t>n</w:t>
      </w:r>
      <w:r w:rsidRPr="00086102" w:rsidR="00086102">
        <w:rPr>
          <w:rFonts w:ascii="Times New Roman" w:hAnsi="Times New Roman"/>
        </w:rPr>
        <w:t xml:space="preserve"> SDR pursuant to Part 45, then the exempt DCO must report</w:t>
      </w:r>
      <w:r w:rsidR="00086102">
        <w:rPr>
          <w:rFonts w:ascii="Times New Roman" w:hAnsi="Times New Roman"/>
        </w:rPr>
        <w:t xml:space="preserve"> </w:t>
      </w:r>
      <w:r w:rsidRPr="00086102" w:rsidR="00086102">
        <w:rPr>
          <w:rFonts w:ascii="Times New Roman" w:hAnsi="Times New Roman"/>
        </w:rPr>
        <w:t xml:space="preserve">to an SDR data regarding the two swaps resulting from the novation of the original swap submitted for clearing. </w:t>
      </w:r>
      <w:r w:rsidR="00086102">
        <w:rPr>
          <w:rFonts w:ascii="Times New Roman" w:hAnsi="Times New Roman"/>
        </w:rPr>
        <w:t xml:space="preserve"> </w:t>
      </w:r>
      <w:r w:rsidRPr="00086102" w:rsidR="00BB483A">
        <w:rPr>
          <w:rFonts w:ascii="Times New Roman" w:hAnsi="Times New Roman"/>
        </w:rPr>
        <w:t>Based on the estimated cost per hour of $7</w:t>
      </w:r>
      <w:r w:rsidR="004A18D0">
        <w:rPr>
          <w:rFonts w:ascii="Times New Roman" w:hAnsi="Times New Roman"/>
        </w:rPr>
        <w:t>1</w:t>
      </w:r>
      <w:r w:rsidRPr="00086102" w:rsidR="00BB483A">
        <w:rPr>
          <w:rFonts w:ascii="Times New Roman" w:hAnsi="Times New Roman"/>
        </w:rPr>
        <w:t>.</w:t>
      </w:r>
      <w:r w:rsidR="004A18D0">
        <w:rPr>
          <w:rFonts w:ascii="Times New Roman" w:hAnsi="Times New Roman"/>
        </w:rPr>
        <w:t>02</w:t>
      </w:r>
      <w:r w:rsidRPr="00086102" w:rsidR="00BB483A">
        <w:rPr>
          <w:rFonts w:ascii="Times New Roman" w:hAnsi="Times New Roman"/>
        </w:rPr>
        <w:t xml:space="preserve"> described above, the one-time hours burden will result in a</w:t>
      </w:r>
      <w:r w:rsidRPr="00086102" w:rsidR="00D94339">
        <w:rPr>
          <w:rFonts w:ascii="Times New Roman" w:hAnsi="Times New Roman"/>
        </w:rPr>
        <w:t xml:space="preserve"> start-up</w:t>
      </w:r>
      <w:r w:rsidRPr="00086102" w:rsidR="00BB483A">
        <w:rPr>
          <w:rFonts w:ascii="Times New Roman" w:hAnsi="Times New Roman"/>
        </w:rPr>
        <w:t xml:space="preserve"> cost of $</w:t>
      </w:r>
      <w:r w:rsidR="004A18D0">
        <w:rPr>
          <w:rFonts w:ascii="Times New Roman" w:hAnsi="Times New Roman"/>
        </w:rPr>
        <w:t>79,89</w:t>
      </w:r>
      <w:r w:rsidR="00086102">
        <w:rPr>
          <w:rFonts w:ascii="Times New Roman" w:hAnsi="Times New Roman"/>
        </w:rPr>
        <w:t>8</w:t>
      </w:r>
      <w:r w:rsidRPr="00086102" w:rsidR="00BB483A">
        <w:rPr>
          <w:rFonts w:ascii="Times New Roman" w:hAnsi="Times New Roman"/>
        </w:rPr>
        <w:t xml:space="preserve"> per </w:t>
      </w:r>
      <w:r w:rsidR="00086102">
        <w:rPr>
          <w:rFonts w:ascii="Times New Roman" w:hAnsi="Times New Roman"/>
        </w:rPr>
        <w:t xml:space="preserve">exempt </w:t>
      </w:r>
      <w:r w:rsidRPr="00086102" w:rsidR="00BB483A">
        <w:rPr>
          <w:rFonts w:ascii="Times New Roman" w:hAnsi="Times New Roman"/>
        </w:rPr>
        <w:t>DCO.</w:t>
      </w:r>
      <w:r w:rsidR="00E957A9">
        <w:rPr>
          <w:rStyle w:val="FootnoteReference"/>
          <w:rFonts w:ascii="Times New Roman" w:hAnsi="Times New Roman"/>
        </w:rPr>
        <w:footnoteReference w:id="6"/>
      </w:r>
      <w:r w:rsidRPr="00086102" w:rsidR="00D94339">
        <w:rPr>
          <w:rFonts w:ascii="Times New Roman" w:hAnsi="Times New Roman"/>
        </w:rPr>
        <w:t xml:space="preserve">  </w:t>
      </w:r>
    </w:p>
    <w:p w:rsidR="00737FE3" w:rsidP="00A606B5" w:rsidRDefault="00D118F2" w14:paraId="090E621E" w14:textId="77777777">
      <w:pPr>
        <w:tabs>
          <w:tab w:val="left" w:pos="-720"/>
          <w:tab w:val="left" w:pos="0"/>
          <w:tab w:val="left" w:pos="720"/>
        </w:tabs>
        <w:spacing w:after="240"/>
        <w:ind w:right="-90"/>
        <w:rPr>
          <w:rFonts w:ascii="Times New Roman" w:hAnsi="Times New Roman"/>
          <w:i/>
          <w:u w:val="single"/>
        </w:rPr>
      </w:pPr>
      <w:r>
        <w:rPr>
          <w:rFonts w:ascii="Times New Roman" w:hAnsi="Times New Roman"/>
          <w:i/>
          <w:u w:val="single"/>
        </w:rPr>
        <w:t xml:space="preserve">Maintenance of </w:t>
      </w:r>
      <w:r w:rsidR="00EC2034">
        <w:rPr>
          <w:rFonts w:ascii="Times New Roman" w:hAnsi="Times New Roman"/>
          <w:i/>
          <w:u w:val="single"/>
        </w:rPr>
        <w:t xml:space="preserve">Exempt </w:t>
      </w:r>
      <w:r>
        <w:rPr>
          <w:rFonts w:ascii="Times New Roman" w:hAnsi="Times New Roman"/>
          <w:i/>
          <w:u w:val="single"/>
        </w:rPr>
        <w:t>DCO to SDR Connections (</w:t>
      </w:r>
      <w:r w:rsidR="00737FE3">
        <w:rPr>
          <w:rFonts w:ascii="Times New Roman" w:hAnsi="Times New Roman"/>
          <w:i/>
          <w:u w:val="single"/>
        </w:rPr>
        <w:t>Operation and Maintenance Costs</w:t>
      </w:r>
      <w:r>
        <w:rPr>
          <w:rFonts w:ascii="Times New Roman" w:hAnsi="Times New Roman"/>
          <w:i/>
          <w:u w:val="single"/>
        </w:rPr>
        <w:t>)</w:t>
      </w:r>
    </w:p>
    <w:p w:rsidR="00737FE3" w:rsidP="00A606B5" w:rsidRDefault="00737FE3" w14:paraId="07D6BDB1" w14:textId="77777777">
      <w:pPr>
        <w:tabs>
          <w:tab w:val="left" w:pos="-720"/>
          <w:tab w:val="left" w:pos="0"/>
          <w:tab w:val="left" w:pos="720"/>
        </w:tabs>
        <w:spacing w:after="240"/>
        <w:ind w:right="-90"/>
        <w:rPr>
          <w:rFonts w:ascii="Times New Roman" w:hAnsi="Times New Roman"/>
        </w:rPr>
      </w:pPr>
      <w:r>
        <w:rPr>
          <w:rFonts w:ascii="Times New Roman" w:hAnsi="Times New Roman"/>
        </w:rPr>
        <w:tab/>
        <w:t xml:space="preserve">The Commission </w:t>
      </w:r>
      <w:r w:rsidR="00EC2034">
        <w:rPr>
          <w:rFonts w:ascii="Times New Roman" w:hAnsi="Times New Roman"/>
        </w:rPr>
        <w:t xml:space="preserve">previously </w:t>
      </w:r>
      <w:r>
        <w:rPr>
          <w:rFonts w:ascii="Times New Roman" w:hAnsi="Times New Roman"/>
        </w:rPr>
        <w:t>estimate</w:t>
      </w:r>
      <w:r w:rsidR="00086102">
        <w:rPr>
          <w:rFonts w:ascii="Times New Roman" w:hAnsi="Times New Roman"/>
        </w:rPr>
        <w:t>d</w:t>
      </w:r>
      <w:r>
        <w:rPr>
          <w:rFonts w:ascii="Times New Roman" w:hAnsi="Times New Roman"/>
        </w:rPr>
        <w:t xml:space="preserve"> that </w:t>
      </w:r>
      <w:r w:rsidR="00EC2034">
        <w:rPr>
          <w:rFonts w:ascii="Times New Roman" w:hAnsi="Times New Roman"/>
        </w:rPr>
        <w:t xml:space="preserve">registered </w:t>
      </w:r>
      <w:r>
        <w:rPr>
          <w:rFonts w:ascii="Times New Roman" w:hAnsi="Times New Roman"/>
        </w:rPr>
        <w:t>DCOs w</w:t>
      </w:r>
      <w:r w:rsidR="00086102">
        <w:rPr>
          <w:rFonts w:ascii="Times New Roman" w:hAnsi="Times New Roman"/>
        </w:rPr>
        <w:t>ould</w:t>
      </w:r>
      <w:r>
        <w:rPr>
          <w:rFonts w:ascii="Times New Roman" w:hAnsi="Times New Roman"/>
        </w:rPr>
        <w:t xml:space="preserve"> each incur costs of $375,000 per year to maintain SDR connections.</w:t>
      </w:r>
      <w:r w:rsidR="00894C35">
        <w:rPr>
          <w:rFonts w:ascii="Times New Roman" w:hAnsi="Times New Roman"/>
        </w:rPr>
        <w:t xml:space="preserve">  </w:t>
      </w:r>
      <w:r w:rsidR="00086102">
        <w:rPr>
          <w:rFonts w:ascii="Times New Roman" w:hAnsi="Times New Roman"/>
        </w:rPr>
        <w:t xml:space="preserve">As noted in the response to Question </w:t>
      </w:r>
      <w:r w:rsidR="00F72D1E">
        <w:rPr>
          <w:rFonts w:ascii="Times New Roman" w:hAnsi="Times New Roman"/>
        </w:rPr>
        <w:t xml:space="preserve">13, </w:t>
      </w:r>
      <w:r w:rsidRPr="00086102" w:rsidR="00F72D1E">
        <w:rPr>
          <w:rFonts w:ascii="Times New Roman" w:hAnsi="Times New Roman"/>
        </w:rPr>
        <w:t xml:space="preserve">due to the limited extent to which exempt DCOs are clearing for U.S. persons, </w:t>
      </w:r>
      <w:r w:rsidR="00F72D1E">
        <w:rPr>
          <w:rFonts w:ascii="Times New Roman" w:hAnsi="Times New Roman"/>
        </w:rPr>
        <w:t xml:space="preserve">the Commission </w:t>
      </w:r>
      <w:r w:rsidRPr="00086102" w:rsidR="00F72D1E">
        <w:rPr>
          <w:rFonts w:ascii="Times New Roman" w:hAnsi="Times New Roman"/>
        </w:rPr>
        <w:t>expect</w:t>
      </w:r>
      <w:r w:rsidR="00F72D1E">
        <w:rPr>
          <w:rFonts w:ascii="Times New Roman" w:hAnsi="Times New Roman"/>
        </w:rPr>
        <w:t>s</w:t>
      </w:r>
      <w:r w:rsidRPr="00086102" w:rsidR="00F72D1E">
        <w:rPr>
          <w:rFonts w:ascii="Times New Roman" w:hAnsi="Times New Roman"/>
        </w:rPr>
        <w:t xml:space="preserve"> that each exempt DCO will need to connect, and maintain such connection, to one SDR rather than all SDRs as assumed in the </w:t>
      </w:r>
      <w:r w:rsidR="00EC2034">
        <w:rPr>
          <w:rFonts w:ascii="Times New Roman" w:hAnsi="Times New Roman"/>
        </w:rPr>
        <w:t xml:space="preserve">prior </w:t>
      </w:r>
      <w:r w:rsidRPr="00086102" w:rsidR="00F72D1E">
        <w:rPr>
          <w:rFonts w:ascii="Times New Roman" w:hAnsi="Times New Roman"/>
        </w:rPr>
        <w:t>burden estimate for registered DCOs.</w:t>
      </w:r>
      <w:r w:rsidR="00F72D1E">
        <w:rPr>
          <w:rFonts w:ascii="Times New Roman" w:hAnsi="Times New Roman"/>
        </w:rPr>
        <w:t xml:space="preserve"> </w:t>
      </w:r>
      <w:r w:rsidR="00894C35">
        <w:rPr>
          <w:rFonts w:ascii="Times New Roman" w:hAnsi="Times New Roman"/>
        </w:rPr>
        <w:t xml:space="preserve">With </w:t>
      </w:r>
      <w:r w:rsidR="00F72D1E">
        <w:rPr>
          <w:rFonts w:ascii="Times New Roman" w:hAnsi="Times New Roman"/>
        </w:rPr>
        <w:t xml:space="preserve">7 exempt </w:t>
      </w:r>
      <w:r w:rsidR="00894C35">
        <w:rPr>
          <w:rFonts w:ascii="Times New Roman" w:hAnsi="Times New Roman"/>
        </w:rPr>
        <w:t xml:space="preserve">DCOs, the aggregate annual cost for this component of the collection would be </w:t>
      </w:r>
      <w:r w:rsidRPr="000746B1" w:rsidR="00894C35">
        <w:rPr>
          <w:rFonts w:ascii="Times New Roman" w:hAnsi="Times New Roman"/>
        </w:rPr>
        <w:t>$</w:t>
      </w:r>
      <w:r w:rsidRPr="000746B1" w:rsidR="00F72D1E">
        <w:rPr>
          <w:rFonts w:ascii="Times New Roman" w:hAnsi="Times New Roman"/>
        </w:rPr>
        <w:t>6</w:t>
      </w:r>
      <w:r w:rsidRPr="000746B1" w:rsidR="00894C35">
        <w:rPr>
          <w:rFonts w:ascii="Times New Roman" w:hAnsi="Times New Roman"/>
        </w:rPr>
        <w:t>5</w:t>
      </w:r>
      <w:r w:rsidRPr="000746B1" w:rsidR="00F72D1E">
        <w:rPr>
          <w:rFonts w:ascii="Times New Roman" w:hAnsi="Times New Roman"/>
        </w:rPr>
        <w:t>6,25</w:t>
      </w:r>
      <w:r w:rsidRPr="000746B1" w:rsidR="00894C35">
        <w:rPr>
          <w:rFonts w:ascii="Times New Roman" w:hAnsi="Times New Roman"/>
        </w:rPr>
        <w:t>0</w:t>
      </w:r>
      <w:r w:rsidR="00894C35">
        <w:rPr>
          <w:rFonts w:ascii="Times New Roman" w:hAnsi="Times New Roman"/>
        </w:rPr>
        <w:t>.</w:t>
      </w:r>
      <w:r w:rsidR="004250E0">
        <w:rPr>
          <w:rStyle w:val="FootnoteReference"/>
          <w:rFonts w:ascii="Times New Roman" w:hAnsi="Times New Roman"/>
        </w:rPr>
        <w:footnoteReference w:id="7"/>
      </w:r>
    </w:p>
    <w:p w:rsidRPr="00774C17" w:rsidR="00534B6B" w:rsidP="00A606B5" w:rsidRDefault="00534B6B" w14:paraId="5437E9E5" w14:textId="77777777">
      <w:pPr>
        <w:tabs>
          <w:tab w:val="left" w:pos="-720"/>
        </w:tabs>
        <w:spacing w:after="240"/>
        <w:ind w:left="720" w:hanging="720"/>
        <w:rPr>
          <w:rFonts w:ascii="Times New Roman" w:hAnsi="Times New Roman"/>
        </w:rPr>
      </w:pPr>
      <w:r w:rsidRPr="001B76B9">
        <w:rPr>
          <w:rFonts w:ascii="Times New Roman" w:hAnsi="Times New Roman"/>
        </w:rPr>
        <w:t>14.</w:t>
      </w:r>
      <w:r w:rsidRPr="001B76B9">
        <w:rPr>
          <w:rFonts w:ascii="Times New Roman" w:hAnsi="Times New Roman"/>
        </w:rPr>
        <w:tab/>
      </w:r>
      <w:r w:rsidRPr="00870897">
        <w:rPr>
          <w:rFonts w:ascii="Times New Roman" w:hAnsi="Times New Roman"/>
          <w:u w:val="single"/>
        </w:rPr>
        <w:t xml:space="preserve">Provide estimates of the annualized costs to the Federal Government.  Also provide a description of the method used to estimate cost, which should include </w:t>
      </w:r>
      <w:proofErr w:type="gramStart"/>
      <w:r w:rsidRPr="00870897">
        <w:rPr>
          <w:rFonts w:ascii="Times New Roman" w:hAnsi="Times New Roman"/>
          <w:u w:val="single"/>
        </w:rPr>
        <w:t>qu</w:t>
      </w:r>
      <w:r w:rsidRPr="00C14782">
        <w:rPr>
          <w:rFonts w:ascii="Times New Roman" w:hAnsi="Times New Roman"/>
          <w:u w:val="single"/>
        </w:rPr>
        <w:t xml:space="preserve">antification </w:t>
      </w:r>
      <w:r w:rsidRPr="00C14782" w:rsidR="00E957A9">
        <w:rPr>
          <w:rFonts w:ascii="Times New Roman" w:hAnsi="Times New Roman"/>
          <w:u w:val="single"/>
        </w:rPr>
        <w:t xml:space="preserve"> </w:t>
      </w:r>
      <w:r w:rsidRPr="00C14782">
        <w:rPr>
          <w:rFonts w:ascii="Times New Roman" w:hAnsi="Times New Roman"/>
          <w:u w:val="single"/>
        </w:rPr>
        <w:t>of</w:t>
      </w:r>
      <w:proofErr w:type="gramEnd"/>
      <w:r w:rsidRPr="00C14782">
        <w:rPr>
          <w:rFonts w:ascii="Times New Roman" w:hAnsi="Times New Roman"/>
          <w:u w:val="single"/>
        </w:rPr>
        <w:t xml:space="preserve"> hours, operational expenses (such as equipment, overhead, printing and support staff), and any other expense that would not have been incurred without this collection of information.  Agencie</w:t>
      </w:r>
      <w:r w:rsidRPr="002524D8">
        <w:rPr>
          <w:rFonts w:ascii="Times New Roman" w:hAnsi="Times New Roman"/>
          <w:u w:val="single"/>
        </w:rPr>
        <w:t>s may also aggregate cost estimates from Items 12,</w:t>
      </w:r>
      <w:r w:rsidRPr="002524D8" w:rsidR="000C5D75">
        <w:rPr>
          <w:rFonts w:ascii="Times New Roman" w:hAnsi="Times New Roman"/>
          <w:u w:val="single"/>
        </w:rPr>
        <w:t xml:space="preserve"> 13, and 14 in a single table.</w:t>
      </w:r>
      <w:r w:rsidRPr="00774C17" w:rsidR="000C5D75">
        <w:rPr>
          <w:rFonts w:ascii="Times New Roman" w:hAnsi="Times New Roman"/>
        </w:rPr>
        <w:t xml:space="preserve"> </w:t>
      </w:r>
    </w:p>
    <w:p w:rsidR="000C5D75" w:rsidP="000B4AE1" w:rsidRDefault="000C5D75" w14:paraId="0014D1AF" w14:textId="77777777">
      <w:pPr>
        <w:tabs>
          <w:tab w:val="left" w:pos="-720"/>
        </w:tabs>
        <w:spacing w:after="240"/>
        <w:ind w:right="180"/>
        <w:rPr>
          <w:rFonts w:ascii="Times New Roman" w:hAnsi="Times New Roman"/>
        </w:rPr>
      </w:pPr>
      <w:r w:rsidRPr="00495032">
        <w:rPr>
          <w:rFonts w:ascii="Times New Roman" w:hAnsi="Times New Roman"/>
        </w:rPr>
        <w:tab/>
      </w:r>
      <w:r w:rsidRPr="000B4AE1" w:rsidR="000B4AE1">
        <w:rPr>
          <w:rFonts w:ascii="Times New Roman" w:hAnsi="Times New Roman"/>
        </w:rPr>
        <w:t>It is not anticipated that the final regulations will impose any additional costs to the Federal Government.</w:t>
      </w:r>
    </w:p>
    <w:p w:rsidRPr="00B127C9" w:rsidR="006C358F" w:rsidP="00A606B5" w:rsidRDefault="00534B6B" w14:paraId="39BCD1BC" w14:textId="77777777">
      <w:pPr>
        <w:tabs>
          <w:tab w:val="left" w:pos="-720"/>
          <w:tab w:val="left" w:pos="720"/>
        </w:tabs>
        <w:spacing w:after="240"/>
        <w:ind w:left="720" w:hanging="720"/>
        <w:rPr>
          <w:rFonts w:ascii="Times New Roman" w:hAnsi="Times New Roman"/>
        </w:rPr>
      </w:pPr>
      <w:r w:rsidRPr="00774C17">
        <w:rPr>
          <w:rFonts w:ascii="Times New Roman" w:hAnsi="Times New Roman"/>
        </w:rPr>
        <w:t>15.</w:t>
      </w:r>
      <w:r w:rsidRPr="00774C17">
        <w:rPr>
          <w:rFonts w:ascii="Times New Roman" w:hAnsi="Times New Roman"/>
        </w:rPr>
        <w:tab/>
      </w:r>
      <w:r w:rsidRPr="00774C17">
        <w:rPr>
          <w:rFonts w:ascii="Times New Roman" w:hAnsi="Times New Roman"/>
          <w:u w:val="single"/>
        </w:rPr>
        <w:t>Explain the reasons for any</w:t>
      </w:r>
      <w:r w:rsidRPr="00495032">
        <w:rPr>
          <w:rFonts w:ascii="Times New Roman" w:hAnsi="Times New Roman"/>
          <w:u w:val="single"/>
        </w:rPr>
        <w:t xml:space="preserve"> program changes or adjustments reported in Items 13 or 14 of the OMB Form 83-I</w:t>
      </w:r>
      <w:r w:rsidRPr="00B127C9">
        <w:rPr>
          <w:rFonts w:ascii="Times New Roman" w:hAnsi="Times New Roman"/>
        </w:rPr>
        <w:t>.</w:t>
      </w:r>
    </w:p>
    <w:p w:rsidRPr="00182B88" w:rsidR="00D27F77" w:rsidP="00B934B8" w:rsidRDefault="00D27F77" w14:paraId="1BC6E4C1" w14:textId="77777777">
      <w:pPr>
        <w:tabs>
          <w:tab w:val="left" w:pos="-720"/>
          <w:tab w:val="left" w:pos="0"/>
        </w:tabs>
        <w:spacing w:after="240"/>
        <w:rPr>
          <w:rFonts w:ascii="Times New Roman" w:hAnsi="Times New Roman"/>
        </w:rPr>
      </w:pPr>
      <w:r w:rsidRPr="00B127C9">
        <w:rPr>
          <w:rFonts w:ascii="Times New Roman" w:hAnsi="Times New Roman"/>
        </w:rPr>
        <w:tab/>
      </w:r>
      <w:r w:rsidRPr="00CC34A6" w:rsidR="009E23DC">
        <w:rPr>
          <w:rFonts w:ascii="Times New Roman" w:hAnsi="Times New Roman"/>
        </w:rPr>
        <w:t>Th</w:t>
      </w:r>
      <w:r w:rsidR="00B934B8">
        <w:rPr>
          <w:rFonts w:ascii="Times New Roman" w:hAnsi="Times New Roman"/>
        </w:rPr>
        <w:t>is</w:t>
      </w:r>
      <w:r w:rsidRPr="00CC34A6" w:rsidR="009E23DC">
        <w:rPr>
          <w:rFonts w:ascii="Times New Roman" w:hAnsi="Times New Roman"/>
        </w:rPr>
        <w:t xml:space="preserve"> submission include</w:t>
      </w:r>
      <w:r w:rsidRPr="00D81501" w:rsidR="009E23DC">
        <w:rPr>
          <w:rFonts w:ascii="Times New Roman" w:hAnsi="Times New Roman"/>
        </w:rPr>
        <w:t xml:space="preserve">s adjustments to burden hours to account for </w:t>
      </w:r>
      <w:r w:rsidR="00EA737A">
        <w:rPr>
          <w:rFonts w:ascii="Times New Roman" w:hAnsi="Times New Roman"/>
        </w:rPr>
        <w:t xml:space="preserve">the Commission’s </w:t>
      </w:r>
      <w:r w:rsidR="00B934B8">
        <w:rPr>
          <w:rFonts w:ascii="Times New Roman" w:hAnsi="Times New Roman"/>
        </w:rPr>
        <w:t xml:space="preserve">requirements for exempt DCOs, including reporting of proprietary swap positions of U.S. persons </w:t>
      </w:r>
      <w:r w:rsidRPr="005A0BB9" w:rsidR="00B934B8">
        <w:rPr>
          <w:rFonts w:ascii="Times New Roman" w:hAnsi="Times New Roman"/>
        </w:rPr>
        <w:t>that are clearing members or affiliates of clearing member</w:t>
      </w:r>
      <w:r w:rsidR="00B934B8">
        <w:rPr>
          <w:rFonts w:ascii="Times New Roman" w:hAnsi="Times New Roman"/>
        </w:rPr>
        <w:t>s of that clearing</w:t>
      </w:r>
      <w:r w:rsidR="00EA737A">
        <w:rPr>
          <w:rFonts w:ascii="Times New Roman" w:hAnsi="Times New Roman"/>
        </w:rPr>
        <w:t xml:space="preserve"> organization</w:t>
      </w:r>
      <w:r w:rsidRPr="00CC3860" w:rsidR="009E23DC">
        <w:rPr>
          <w:rFonts w:ascii="Times New Roman" w:hAnsi="Times New Roman"/>
        </w:rPr>
        <w:t>.</w:t>
      </w:r>
      <w:r w:rsidR="00EA737A">
        <w:rPr>
          <w:rFonts w:ascii="Times New Roman" w:hAnsi="Times New Roman"/>
        </w:rPr>
        <w:t xml:space="preserve">  The additional burden relates solely to exempt DCO</w:t>
      </w:r>
      <w:r w:rsidR="009623BF">
        <w:rPr>
          <w:rFonts w:ascii="Times New Roman" w:hAnsi="Times New Roman"/>
        </w:rPr>
        <w:t>s</w:t>
      </w:r>
      <w:r w:rsidR="00EA737A">
        <w:rPr>
          <w:rFonts w:ascii="Times New Roman" w:hAnsi="Times New Roman"/>
        </w:rPr>
        <w:t xml:space="preserve">.  </w:t>
      </w:r>
      <w:r w:rsidRPr="00CC3860">
        <w:rPr>
          <w:rFonts w:ascii="Times New Roman" w:hAnsi="Times New Roman"/>
        </w:rPr>
        <w:t xml:space="preserve">  </w:t>
      </w:r>
      <w:r w:rsidRPr="00A762BC">
        <w:rPr>
          <w:rFonts w:ascii="Times New Roman" w:hAnsi="Times New Roman"/>
        </w:rPr>
        <w:tab/>
      </w:r>
    </w:p>
    <w:p w:rsidRPr="00A762BC" w:rsidR="000C5D75" w:rsidP="00A3257B" w:rsidRDefault="00534B6B" w14:paraId="38427DDB" w14:textId="77777777">
      <w:pPr>
        <w:tabs>
          <w:tab w:val="left" w:pos="-720"/>
          <w:tab w:val="left" w:pos="720"/>
        </w:tabs>
        <w:spacing w:after="240"/>
        <w:rPr>
          <w:rFonts w:ascii="Times New Roman" w:hAnsi="Times New Roman"/>
        </w:rPr>
      </w:pPr>
      <w:r w:rsidRPr="00B127C9">
        <w:rPr>
          <w:rFonts w:ascii="Times New Roman" w:hAnsi="Times New Roman"/>
        </w:rPr>
        <w:t>16.</w:t>
      </w:r>
      <w:r w:rsidRPr="00B127C9">
        <w:rPr>
          <w:rFonts w:ascii="Times New Roman" w:hAnsi="Times New Roman"/>
        </w:rPr>
        <w:tab/>
      </w:r>
      <w:r w:rsidRPr="00B127C9">
        <w:rPr>
          <w:rFonts w:ascii="Times New Roman" w:hAnsi="Times New Roman"/>
          <w:u w:val="single"/>
        </w:rPr>
        <w:t xml:space="preserve">For collection of information whose results are planned to be published for statistical use, outline plans for tabulation, statistical analysis, and publication.  Provide the time schedule for the </w:t>
      </w:r>
      <w:r w:rsidRPr="00B127C9">
        <w:rPr>
          <w:rFonts w:ascii="Times New Roman" w:hAnsi="Times New Roman"/>
          <w:u w:val="single"/>
        </w:rPr>
        <w:lastRenderedPageBreak/>
        <w:t>entire project, including beginning and ending dates of the collection of information, completion of report, publication dates, and other actions</w:t>
      </w:r>
      <w:r w:rsidRPr="00B127C9">
        <w:rPr>
          <w:rFonts w:ascii="Times New Roman" w:hAnsi="Times New Roman"/>
        </w:rPr>
        <w:t>.</w:t>
      </w:r>
    </w:p>
    <w:p w:rsidRPr="00CC3860" w:rsidR="000C5D75" w:rsidP="00A3257B" w:rsidRDefault="000C5D75" w14:paraId="69E307CF" w14:textId="77777777">
      <w:pPr>
        <w:tabs>
          <w:tab w:val="left" w:pos="-720"/>
          <w:tab w:val="left" w:pos="0"/>
        </w:tabs>
        <w:spacing w:after="240"/>
        <w:ind w:right="90"/>
        <w:rPr>
          <w:rFonts w:ascii="Times New Roman" w:hAnsi="Times New Roman"/>
        </w:rPr>
      </w:pPr>
      <w:r w:rsidRPr="00A762BC">
        <w:rPr>
          <w:rFonts w:ascii="Times New Roman" w:hAnsi="Times New Roman"/>
        </w:rPr>
        <w:tab/>
      </w:r>
      <w:r w:rsidR="008444FB">
        <w:rPr>
          <w:rFonts w:ascii="Times New Roman" w:hAnsi="Times New Roman"/>
        </w:rPr>
        <w:t>This question does not apply.</w:t>
      </w:r>
    </w:p>
    <w:p w:rsidRPr="00CC3860" w:rsidR="00534B6B" w:rsidP="00A3257B" w:rsidRDefault="00534B6B" w14:paraId="45AF7474" w14:textId="77777777">
      <w:pPr>
        <w:tabs>
          <w:tab w:val="left" w:pos="-720"/>
          <w:tab w:val="left" w:pos="0"/>
        </w:tabs>
        <w:spacing w:after="240"/>
        <w:rPr>
          <w:rFonts w:ascii="Times New Roman" w:hAnsi="Times New Roman"/>
        </w:rPr>
      </w:pPr>
      <w:r w:rsidRPr="00CC3860">
        <w:rPr>
          <w:rFonts w:ascii="Times New Roman" w:hAnsi="Times New Roman"/>
        </w:rPr>
        <w:t>17.</w:t>
      </w:r>
      <w:r w:rsidRPr="00CC3860">
        <w:rPr>
          <w:rFonts w:ascii="Times New Roman" w:hAnsi="Times New Roman"/>
        </w:rPr>
        <w:tab/>
      </w:r>
      <w:r w:rsidRPr="00CC3860">
        <w:rPr>
          <w:rFonts w:ascii="Times New Roman" w:hAnsi="Times New Roman"/>
          <w:u w:val="single"/>
        </w:rPr>
        <w:t>If seeking approval to not display the expiration date for OMB approval of the information collection, explain the reasons that display would be inappropriate</w:t>
      </w:r>
      <w:r w:rsidRPr="00CC3860">
        <w:rPr>
          <w:rFonts w:ascii="Times New Roman" w:hAnsi="Times New Roman"/>
        </w:rPr>
        <w:t>.</w:t>
      </w:r>
    </w:p>
    <w:p w:rsidRPr="00CC3860" w:rsidR="000C5D75" w:rsidP="00A3257B" w:rsidRDefault="000C5D75" w14:paraId="77136153" w14:textId="77777777">
      <w:pPr>
        <w:tabs>
          <w:tab w:val="left" w:pos="-720"/>
          <w:tab w:val="left" w:pos="720"/>
        </w:tabs>
        <w:spacing w:after="240"/>
        <w:ind w:left="720" w:hanging="720"/>
        <w:rPr>
          <w:rFonts w:ascii="Times New Roman" w:hAnsi="Times New Roman"/>
        </w:rPr>
      </w:pPr>
      <w:r w:rsidRPr="00CC3860">
        <w:rPr>
          <w:rFonts w:ascii="Times New Roman" w:hAnsi="Times New Roman"/>
        </w:rPr>
        <w:tab/>
        <w:t>This question does not apply.</w:t>
      </w:r>
    </w:p>
    <w:p w:rsidRPr="00182B88" w:rsidR="00534B6B" w:rsidP="00A3257B" w:rsidRDefault="00534B6B" w14:paraId="3D89AF87" w14:textId="77777777">
      <w:pPr>
        <w:keepNext/>
        <w:tabs>
          <w:tab w:val="left" w:pos="-720"/>
          <w:tab w:val="left" w:pos="0"/>
        </w:tabs>
        <w:spacing w:after="240"/>
        <w:rPr>
          <w:rFonts w:ascii="Times New Roman" w:hAnsi="Times New Roman"/>
        </w:rPr>
      </w:pPr>
      <w:r w:rsidRPr="008444FB">
        <w:rPr>
          <w:rFonts w:ascii="Times New Roman" w:hAnsi="Times New Roman"/>
        </w:rPr>
        <w:t>18.</w:t>
      </w:r>
      <w:r w:rsidRPr="008444FB">
        <w:rPr>
          <w:rFonts w:ascii="Times New Roman" w:hAnsi="Times New Roman"/>
        </w:rPr>
        <w:tab/>
      </w:r>
      <w:r w:rsidRPr="008444FB">
        <w:rPr>
          <w:rFonts w:ascii="Times New Roman" w:hAnsi="Times New Roman"/>
          <w:u w:val="single"/>
        </w:rPr>
        <w:t>Explain each exception to the certification statement identified in Item 19, "Certification for Paperwork Reduction Act Submissions," of OMB Form 83-I</w:t>
      </w:r>
      <w:r w:rsidRPr="00182B88">
        <w:rPr>
          <w:rFonts w:ascii="Times New Roman" w:hAnsi="Times New Roman"/>
        </w:rPr>
        <w:t>.</w:t>
      </w:r>
    </w:p>
    <w:p w:rsidRPr="00182B88" w:rsidR="000C5D75" w:rsidP="00A3257B" w:rsidRDefault="000C5D75" w14:paraId="661FA9FA" w14:textId="77777777">
      <w:pPr>
        <w:tabs>
          <w:tab w:val="left" w:pos="-720"/>
          <w:tab w:val="left" w:pos="720"/>
        </w:tabs>
        <w:spacing w:after="240"/>
        <w:ind w:left="720" w:hanging="720"/>
        <w:rPr>
          <w:rFonts w:ascii="Times New Roman" w:hAnsi="Times New Roman"/>
        </w:rPr>
      </w:pPr>
      <w:r w:rsidRPr="00182B88">
        <w:rPr>
          <w:rFonts w:ascii="Times New Roman" w:hAnsi="Times New Roman"/>
        </w:rPr>
        <w:tab/>
        <w:t>This question does not apply.</w:t>
      </w:r>
    </w:p>
    <w:p w:rsidR="006D7EAE" w:rsidP="00A3257B" w:rsidRDefault="006D7EAE" w14:paraId="67C8D726" w14:textId="77777777">
      <w:pPr>
        <w:spacing w:after="240"/>
        <w:rPr>
          <w:rFonts w:ascii="Times New Roman" w:hAnsi="Times New Roman"/>
        </w:rPr>
        <w:sectPr w:rsidR="006D7EAE" w:rsidSect="007055D9">
          <w:footerReference w:type="default" r:id="rId12"/>
          <w:pgSz w:w="12240" w:h="15840" w:code="1"/>
          <w:pgMar w:top="1440" w:right="1350" w:bottom="1440" w:left="1440" w:header="720" w:footer="720" w:gutter="0"/>
          <w:cols w:space="720"/>
          <w:docGrid w:linePitch="360"/>
        </w:sectPr>
      </w:pPr>
    </w:p>
    <w:p w:rsidR="006D7EAE" w:rsidP="006D7EAE" w:rsidRDefault="006D7EAE" w14:paraId="1EF2CC43" w14:textId="77777777">
      <w:pPr>
        <w:spacing w:before="7"/>
        <w:jc w:val="center"/>
      </w:pPr>
      <w:r w:rsidRPr="006D7EAE">
        <w:lastRenderedPageBreak/>
        <w:t>Attachment A</w:t>
      </w:r>
    </w:p>
    <w:p w:rsidRPr="006D7EAE" w:rsidR="00C9739C" w:rsidP="006D7EAE" w:rsidRDefault="00C9739C" w14:paraId="6392D8B1" w14:textId="77777777">
      <w:pPr>
        <w:spacing w:before="7"/>
        <w:jc w:val="center"/>
      </w:pPr>
    </w:p>
    <w:p w:rsidR="006D7EAE" w:rsidP="006D7EAE" w:rsidRDefault="006D7EAE" w14:paraId="138FDA8A" w14:textId="77777777">
      <w:pPr>
        <w:spacing w:before="7"/>
        <w:jc w:val="center"/>
      </w:pPr>
      <w:r w:rsidRPr="006D7EAE">
        <w:t>New Reporting Category of Exempt DCOs Only</w:t>
      </w:r>
    </w:p>
    <w:p w:rsidR="00C9739C" w:rsidP="006D7EAE" w:rsidRDefault="00C9739C" w14:paraId="10BFAA9D" w14:textId="77777777">
      <w:pPr>
        <w:spacing w:before="7"/>
        <w:jc w:val="center"/>
      </w:pPr>
    </w:p>
    <w:p w:rsidRPr="006D7EAE" w:rsidR="00C9739C" w:rsidP="006D7EAE" w:rsidRDefault="00C9739C" w14:paraId="240111A5" w14:textId="77777777">
      <w:pPr>
        <w:spacing w:before="7"/>
        <w:jc w:val="center"/>
      </w:pPr>
    </w:p>
    <w:p w:rsidRPr="00B50CF0" w:rsidR="006D7EAE" w:rsidP="006D7EAE" w:rsidRDefault="006D7EAE" w14:paraId="580E9ACA" w14:textId="77777777">
      <w:pPr>
        <w:spacing w:line="200" w:lineRule="exact"/>
      </w:pPr>
    </w:p>
    <w:p w:rsidR="006D7EAE" w:rsidP="006D7EAE" w:rsidRDefault="006D7EAE" w14:paraId="43552BE5" w14:textId="77777777">
      <w:pPr>
        <w:rPr>
          <w:rFonts w:ascii="Times New Roman" w:hAnsi="Times New Roman"/>
          <w:u w:val="single" w:color="000000"/>
        </w:rPr>
      </w:pPr>
    </w:p>
    <w:tbl>
      <w:tblPr>
        <w:tblW w:w="5921" w:type="pct"/>
        <w:tblInd w:w="-9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242"/>
        <w:gridCol w:w="1241"/>
        <w:gridCol w:w="1156"/>
        <w:gridCol w:w="1154"/>
        <w:gridCol w:w="1154"/>
        <w:gridCol w:w="977"/>
        <w:gridCol w:w="1154"/>
        <w:gridCol w:w="1066"/>
        <w:gridCol w:w="881"/>
        <w:gridCol w:w="1154"/>
      </w:tblGrid>
      <w:tr w:rsidRPr="006F4AFF" w:rsidR="006F4AFF" w:rsidDel="009C6DB4" w:rsidTr="0026653A" w14:paraId="7BF13906" w14:textId="77777777">
        <w:trPr>
          <w:trHeight w:val="1427"/>
        </w:trPr>
        <w:tc>
          <w:tcPr>
            <w:tcW w:w="556" w:type="pct"/>
          </w:tcPr>
          <w:p w:rsidRPr="006F4AFF" w:rsidR="006F4AFF" w:rsidP="006F4AFF" w:rsidRDefault="006F4AFF" w14:paraId="3581DB57" w14:textId="77777777">
            <w:pPr>
              <w:spacing w:after="240"/>
              <w:rPr>
                <w:rFonts w:ascii="Times New Roman" w:hAnsi="Times New Roman"/>
                <w:b/>
              </w:rPr>
            </w:pPr>
            <w:r w:rsidRPr="006F4AFF">
              <w:rPr>
                <w:rFonts w:ascii="Times New Roman" w:hAnsi="Times New Roman"/>
                <w:b/>
              </w:rPr>
              <w:t>1.</w:t>
            </w:r>
          </w:p>
          <w:p w:rsidRPr="006F4AFF" w:rsidR="006F4AFF" w:rsidP="006F4AFF" w:rsidRDefault="006F4AFF" w14:paraId="51C868B4" w14:textId="77777777">
            <w:pPr>
              <w:spacing w:after="240"/>
              <w:rPr>
                <w:rFonts w:ascii="Times New Roman" w:hAnsi="Times New Roman"/>
                <w:b/>
              </w:rPr>
            </w:pPr>
            <w:r w:rsidRPr="006F4AFF">
              <w:rPr>
                <w:rFonts w:ascii="Times New Roman" w:hAnsi="Times New Roman"/>
                <w:b/>
              </w:rPr>
              <w:t>Regula</w:t>
            </w:r>
            <w:r w:rsidR="002E315C">
              <w:rPr>
                <w:rFonts w:ascii="Times New Roman" w:hAnsi="Times New Roman"/>
                <w:b/>
              </w:rPr>
              <w:t>-</w:t>
            </w:r>
            <w:proofErr w:type="spellStart"/>
            <w:r w:rsidRPr="006F4AFF">
              <w:rPr>
                <w:rFonts w:ascii="Times New Roman" w:hAnsi="Times New Roman"/>
                <w:b/>
              </w:rPr>
              <w:t>tion</w:t>
            </w:r>
            <w:proofErr w:type="spellEnd"/>
            <w:r w:rsidRPr="006F4AFF">
              <w:rPr>
                <w:rFonts w:ascii="Times New Roman" w:hAnsi="Times New Roman"/>
                <w:b/>
              </w:rPr>
              <w:t>(s)</w:t>
            </w:r>
          </w:p>
        </w:tc>
        <w:tc>
          <w:tcPr>
            <w:tcW w:w="555" w:type="pct"/>
          </w:tcPr>
          <w:p w:rsidRPr="006F4AFF" w:rsidR="006F4AFF" w:rsidP="006F4AFF" w:rsidRDefault="006F4AFF" w14:paraId="1065A1E7" w14:textId="77777777">
            <w:pPr>
              <w:spacing w:after="240"/>
              <w:rPr>
                <w:rFonts w:ascii="Times New Roman" w:hAnsi="Times New Roman"/>
                <w:b/>
              </w:rPr>
            </w:pPr>
            <w:r w:rsidRPr="006F4AFF">
              <w:rPr>
                <w:rFonts w:ascii="Times New Roman" w:hAnsi="Times New Roman"/>
                <w:b/>
              </w:rPr>
              <w:t>2.</w:t>
            </w:r>
          </w:p>
          <w:p w:rsidRPr="006F4AFF" w:rsidR="006F4AFF" w:rsidP="006F4AFF" w:rsidRDefault="006F4AFF" w14:paraId="2600CC99" w14:textId="77777777">
            <w:pPr>
              <w:spacing w:after="240"/>
              <w:rPr>
                <w:rFonts w:ascii="Times New Roman" w:hAnsi="Times New Roman"/>
                <w:b/>
              </w:rPr>
            </w:pPr>
            <w:r w:rsidRPr="006F4AFF">
              <w:rPr>
                <w:rFonts w:ascii="Times New Roman" w:hAnsi="Times New Roman"/>
                <w:b/>
              </w:rPr>
              <w:t xml:space="preserve">Estimated Number of </w:t>
            </w:r>
            <w:proofErr w:type="spellStart"/>
            <w:r w:rsidRPr="006F4AFF">
              <w:rPr>
                <w:rFonts w:ascii="Times New Roman" w:hAnsi="Times New Roman"/>
                <w:b/>
              </w:rPr>
              <w:t>Respon</w:t>
            </w:r>
            <w:proofErr w:type="spellEnd"/>
            <w:r w:rsidR="002E315C">
              <w:rPr>
                <w:rFonts w:ascii="Times New Roman" w:hAnsi="Times New Roman"/>
                <w:b/>
              </w:rPr>
              <w:t>-</w:t>
            </w:r>
            <w:r w:rsidRPr="006F4AFF">
              <w:rPr>
                <w:rFonts w:ascii="Times New Roman" w:hAnsi="Times New Roman"/>
                <w:b/>
              </w:rPr>
              <w:t xml:space="preserve">dents </w:t>
            </w:r>
          </w:p>
          <w:p w:rsidRPr="006F4AFF" w:rsidR="006F4AFF" w:rsidP="006F4AFF" w:rsidRDefault="006F4AFF" w14:paraId="07B5CD79" w14:textId="77777777">
            <w:pPr>
              <w:spacing w:after="240"/>
              <w:rPr>
                <w:rFonts w:ascii="Times New Roman" w:hAnsi="Times New Roman"/>
                <w:b/>
              </w:rPr>
            </w:pPr>
          </w:p>
        </w:tc>
        <w:tc>
          <w:tcPr>
            <w:tcW w:w="517" w:type="pct"/>
          </w:tcPr>
          <w:p w:rsidRPr="006F4AFF" w:rsidR="006F4AFF" w:rsidP="006F4AFF" w:rsidRDefault="006F4AFF" w14:paraId="64983DCC" w14:textId="77777777">
            <w:pPr>
              <w:spacing w:after="240"/>
              <w:rPr>
                <w:rFonts w:ascii="Times New Roman" w:hAnsi="Times New Roman"/>
                <w:b/>
              </w:rPr>
            </w:pPr>
            <w:r w:rsidRPr="006F4AFF">
              <w:rPr>
                <w:rFonts w:ascii="Times New Roman" w:hAnsi="Times New Roman"/>
                <w:b/>
              </w:rPr>
              <w:t>3.</w:t>
            </w:r>
          </w:p>
          <w:p w:rsidRPr="006F4AFF" w:rsidR="006F4AFF" w:rsidP="002E315C" w:rsidRDefault="006F4AFF" w14:paraId="3F87A6B5" w14:textId="77777777">
            <w:pPr>
              <w:spacing w:after="240"/>
              <w:rPr>
                <w:rFonts w:ascii="Times New Roman" w:hAnsi="Times New Roman"/>
                <w:b/>
              </w:rPr>
            </w:pPr>
            <w:r w:rsidRPr="006F4AFF">
              <w:rPr>
                <w:rFonts w:ascii="Times New Roman" w:hAnsi="Times New Roman"/>
                <w:b/>
              </w:rPr>
              <w:t>Estimated Number of Reports</w:t>
            </w:r>
            <w:r w:rsidR="002E315C">
              <w:rPr>
                <w:rFonts w:ascii="Times New Roman" w:hAnsi="Times New Roman"/>
                <w:b/>
              </w:rPr>
              <w:t xml:space="preserve"> </w:t>
            </w:r>
            <w:r w:rsidRPr="006F4AFF">
              <w:rPr>
                <w:rFonts w:ascii="Times New Roman" w:hAnsi="Times New Roman"/>
                <w:b/>
              </w:rPr>
              <w:t xml:space="preserve">by Each </w:t>
            </w:r>
            <w:proofErr w:type="spellStart"/>
            <w:r w:rsidRPr="006F4AFF">
              <w:rPr>
                <w:rFonts w:ascii="Times New Roman" w:hAnsi="Times New Roman"/>
                <w:b/>
              </w:rPr>
              <w:t>Respon</w:t>
            </w:r>
            <w:proofErr w:type="spellEnd"/>
            <w:r w:rsidR="002E315C">
              <w:rPr>
                <w:rFonts w:ascii="Times New Roman" w:hAnsi="Times New Roman"/>
                <w:b/>
              </w:rPr>
              <w:t>-</w:t>
            </w:r>
            <w:r w:rsidRPr="006F4AFF">
              <w:rPr>
                <w:rFonts w:ascii="Times New Roman" w:hAnsi="Times New Roman"/>
                <w:b/>
              </w:rPr>
              <w:t>dent</w:t>
            </w:r>
            <w:r w:rsidR="005D2503">
              <w:rPr>
                <w:rStyle w:val="FootnoteReference"/>
                <w:rFonts w:ascii="Times New Roman" w:hAnsi="Times New Roman"/>
              </w:rPr>
              <w:footnoteReference w:id="8"/>
            </w:r>
          </w:p>
        </w:tc>
        <w:tc>
          <w:tcPr>
            <w:tcW w:w="516" w:type="pct"/>
          </w:tcPr>
          <w:p w:rsidRPr="006F4AFF" w:rsidR="006F4AFF" w:rsidP="006F4AFF" w:rsidRDefault="006F4AFF" w14:paraId="5213414C" w14:textId="77777777">
            <w:pPr>
              <w:spacing w:after="240"/>
              <w:rPr>
                <w:rFonts w:ascii="Times New Roman" w:hAnsi="Times New Roman"/>
                <w:b/>
              </w:rPr>
            </w:pPr>
            <w:r w:rsidRPr="006F4AFF">
              <w:rPr>
                <w:rFonts w:ascii="Times New Roman" w:hAnsi="Times New Roman"/>
                <w:b/>
              </w:rPr>
              <w:t>4.</w:t>
            </w:r>
          </w:p>
          <w:p w:rsidRPr="006F4AFF" w:rsidR="006F4AFF" w:rsidP="005D2503" w:rsidRDefault="006F4AFF" w14:paraId="47BCEEC1" w14:textId="77777777">
            <w:pPr>
              <w:spacing w:after="240"/>
              <w:rPr>
                <w:rFonts w:ascii="Times New Roman" w:hAnsi="Times New Roman"/>
                <w:b/>
              </w:rPr>
            </w:pPr>
            <w:proofErr w:type="spellStart"/>
            <w:r w:rsidRPr="006F4AFF">
              <w:rPr>
                <w:rFonts w:ascii="Times New Roman" w:hAnsi="Times New Roman"/>
                <w:b/>
              </w:rPr>
              <w:t>Estima</w:t>
            </w:r>
            <w:proofErr w:type="spellEnd"/>
            <w:r w:rsidR="002E315C">
              <w:rPr>
                <w:rFonts w:ascii="Times New Roman" w:hAnsi="Times New Roman"/>
                <w:b/>
              </w:rPr>
              <w:t>-</w:t>
            </w:r>
            <w:r w:rsidRPr="006F4AFF">
              <w:rPr>
                <w:rFonts w:ascii="Times New Roman" w:hAnsi="Times New Roman"/>
                <w:b/>
              </w:rPr>
              <w:t>ted Average Number of Burden Hours per Response</w:t>
            </w:r>
          </w:p>
        </w:tc>
        <w:tc>
          <w:tcPr>
            <w:tcW w:w="516" w:type="pct"/>
          </w:tcPr>
          <w:p w:rsidRPr="006F4AFF" w:rsidR="006F4AFF" w:rsidP="006F4AFF" w:rsidRDefault="006F4AFF" w14:paraId="36203C67" w14:textId="77777777">
            <w:pPr>
              <w:spacing w:after="240"/>
              <w:rPr>
                <w:rFonts w:ascii="Times New Roman" w:hAnsi="Times New Roman"/>
                <w:b/>
              </w:rPr>
            </w:pPr>
            <w:r w:rsidRPr="006F4AFF">
              <w:rPr>
                <w:rFonts w:ascii="Times New Roman" w:hAnsi="Times New Roman"/>
                <w:b/>
              </w:rPr>
              <w:t>5.</w:t>
            </w:r>
          </w:p>
          <w:p w:rsidRPr="006F4AFF" w:rsidR="006F4AFF" w:rsidP="006F4AFF" w:rsidRDefault="006F4AFF" w14:paraId="0DBA108A" w14:textId="77777777">
            <w:pPr>
              <w:spacing w:after="240"/>
              <w:rPr>
                <w:rFonts w:ascii="Times New Roman" w:hAnsi="Times New Roman"/>
                <w:b/>
              </w:rPr>
            </w:pPr>
            <w:proofErr w:type="gramStart"/>
            <w:r w:rsidRPr="006F4AFF">
              <w:rPr>
                <w:rFonts w:ascii="Times New Roman" w:hAnsi="Times New Roman"/>
                <w:b/>
              </w:rPr>
              <w:t>Annual  Number</w:t>
            </w:r>
            <w:proofErr w:type="gramEnd"/>
            <w:r w:rsidRPr="006F4AFF">
              <w:rPr>
                <w:rFonts w:ascii="Times New Roman" w:hAnsi="Times New Roman"/>
                <w:b/>
              </w:rPr>
              <w:t xml:space="preserve"> of Burden Hours per </w:t>
            </w:r>
            <w:proofErr w:type="spellStart"/>
            <w:r w:rsidRPr="006F4AFF">
              <w:rPr>
                <w:rFonts w:ascii="Times New Roman" w:hAnsi="Times New Roman"/>
                <w:b/>
              </w:rPr>
              <w:t>Respon</w:t>
            </w:r>
            <w:proofErr w:type="spellEnd"/>
            <w:r w:rsidR="002E315C">
              <w:rPr>
                <w:rFonts w:ascii="Times New Roman" w:hAnsi="Times New Roman"/>
                <w:b/>
              </w:rPr>
              <w:t>-</w:t>
            </w:r>
            <w:r w:rsidRPr="006F4AFF">
              <w:rPr>
                <w:rFonts w:ascii="Times New Roman" w:hAnsi="Times New Roman"/>
                <w:b/>
              </w:rPr>
              <w:t>dent</w:t>
            </w:r>
          </w:p>
          <w:p w:rsidRPr="006F4AFF" w:rsidR="006F4AFF" w:rsidP="006F4AFF" w:rsidRDefault="006F4AFF" w14:paraId="36193ECC" w14:textId="77777777">
            <w:pPr>
              <w:spacing w:after="240"/>
              <w:rPr>
                <w:rFonts w:ascii="Times New Roman" w:hAnsi="Times New Roman"/>
                <w:b/>
              </w:rPr>
            </w:pPr>
            <w:r w:rsidRPr="006F4AFF">
              <w:rPr>
                <w:rFonts w:ascii="Times New Roman" w:hAnsi="Times New Roman"/>
                <w:b/>
              </w:rPr>
              <w:t>(3 x 4)</w:t>
            </w:r>
          </w:p>
        </w:tc>
        <w:tc>
          <w:tcPr>
            <w:tcW w:w="437" w:type="pct"/>
          </w:tcPr>
          <w:p w:rsidRPr="006F4AFF" w:rsidR="006F4AFF" w:rsidP="006F4AFF" w:rsidRDefault="006F4AFF" w14:paraId="018AE896" w14:textId="77777777">
            <w:pPr>
              <w:spacing w:after="240"/>
              <w:rPr>
                <w:rFonts w:ascii="Times New Roman" w:hAnsi="Times New Roman"/>
                <w:b/>
              </w:rPr>
            </w:pPr>
            <w:r w:rsidRPr="006F4AFF">
              <w:rPr>
                <w:rFonts w:ascii="Times New Roman" w:hAnsi="Times New Roman"/>
                <w:b/>
              </w:rPr>
              <w:t xml:space="preserve">6. </w:t>
            </w:r>
          </w:p>
          <w:p w:rsidRPr="006F4AFF" w:rsidR="006F4AFF" w:rsidP="006F4AFF" w:rsidRDefault="006F4AFF" w14:paraId="4909791D" w14:textId="77777777">
            <w:pPr>
              <w:spacing w:after="240"/>
              <w:rPr>
                <w:rFonts w:ascii="Times New Roman" w:hAnsi="Times New Roman"/>
                <w:b/>
              </w:rPr>
            </w:pPr>
            <w:proofErr w:type="spellStart"/>
            <w:r w:rsidRPr="006F4AFF">
              <w:rPr>
                <w:rFonts w:ascii="Times New Roman" w:hAnsi="Times New Roman"/>
                <w:b/>
              </w:rPr>
              <w:t>Estima</w:t>
            </w:r>
            <w:proofErr w:type="spellEnd"/>
            <w:r w:rsidR="002E315C">
              <w:rPr>
                <w:rFonts w:ascii="Times New Roman" w:hAnsi="Times New Roman"/>
                <w:b/>
              </w:rPr>
              <w:t>-</w:t>
            </w:r>
            <w:r w:rsidRPr="006F4AFF">
              <w:rPr>
                <w:rFonts w:ascii="Times New Roman" w:hAnsi="Times New Roman"/>
                <w:b/>
              </w:rPr>
              <w:t>ted Aver</w:t>
            </w:r>
            <w:r w:rsidR="002E315C">
              <w:rPr>
                <w:rFonts w:ascii="Times New Roman" w:hAnsi="Times New Roman"/>
                <w:b/>
              </w:rPr>
              <w:t>-</w:t>
            </w:r>
            <w:r w:rsidRPr="006F4AFF">
              <w:rPr>
                <w:rFonts w:ascii="Times New Roman" w:hAnsi="Times New Roman"/>
                <w:b/>
              </w:rPr>
              <w:t>age Burden Hour Cost</w:t>
            </w:r>
            <w:r w:rsidRPr="006F4AFF">
              <w:rPr>
                <w:rFonts w:ascii="Times New Roman" w:hAnsi="Times New Roman"/>
                <w:b/>
                <w:vertAlign w:val="superscript"/>
              </w:rPr>
              <w:footnoteReference w:id="9"/>
            </w:r>
          </w:p>
          <w:p w:rsidRPr="006F4AFF" w:rsidR="006F4AFF" w:rsidP="006F4AFF" w:rsidRDefault="006F4AFF" w14:paraId="0B783757" w14:textId="77777777">
            <w:pPr>
              <w:spacing w:after="240"/>
              <w:rPr>
                <w:rFonts w:ascii="Times New Roman" w:hAnsi="Times New Roman"/>
                <w:b/>
              </w:rPr>
            </w:pPr>
          </w:p>
        </w:tc>
        <w:tc>
          <w:tcPr>
            <w:tcW w:w="516" w:type="pct"/>
          </w:tcPr>
          <w:p w:rsidRPr="006F4AFF" w:rsidR="006F4AFF" w:rsidP="006F4AFF" w:rsidRDefault="006F4AFF" w14:paraId="1DEFAF78" w14:textId="77777777">
            <w:pPr>
              <w:spacing w:after="240"/>
              <w:rPr>
                <w:rFonts w:ascii="Times New Roman" w:hAnsi="Times New Roman"/>
                <w:b/>
              </w:rPr>
            </w:pPr>
            <w:r w:rsidRPr="006F4AFF">
              <w:rPr>
                <w:rFonts w:ascii="Times New Roman" w:hAnsi="Times New Roman"/>
                <w:b/>
              </w:rPr>
              <w:t>7.</w:t>
            </w:r>
          </w:p>
          <w:p w:rsidRPr="006F4AFF" w:rsidR="006F4AFF" w:rsidP="006F4AFF" w:rsidRDefault="006F4AFF" w14:paraId="0F2B3E2D" w14:textId="77777777">
            <w:pPr>
              <w:spacing w:after="240"/>
              <w:rPr>
                <w:rFonts w:ascii="Times New Roman" w:hAnsi="Times New Roman"/>
                <w:b/>
              </w:rPr>
            </w:pPr>
            <w:r w:rsidRPr="006F4AFF">
              <w:rPr>
                <w:rFonts w:ascii="Times New Roman" w:hAnsi="Times New Roman"/>
                <w:b/>
              </w:rPr>
              <w:t xml:space="preserve">Total Average Hour Burden Cost Per </w:t>
            </w:r>
            <w:proofErr w:type="spellStart"/>
            <w:r w:rsidRPr="006F4AFF">
              <w:rPr>
                <w:rFonts w:ascii="Times New Roman" w:hAnsi="Times New Roman"/>
                <w:b/>
              </w:rPr>
              <w:t>Respon</w:t>
            </w:r>
            <w:proofErr w:type="spellEnd"/>
            <w:r w:rsidR="002E315C">
              <w:rPr>
                <w:rFonts w:ascii="Times New Roman" w:hAnsi="Times New Roman"/>
                <w:b/>
              </w:rPr>
              <w:t>-</w:t>
            </w:r>
            <w:r w:rsidRPr="006F4AFF">
              <w:rPr>
                <w:rFonts w:ascii="Times New Roman" w:hAnsi="Times New Roman"/>
                <w:b/>
              </w:rPr>
              <w:t>dent</w:t>
            </w:r>
          </w:p>
          <w:p w:rsidRPr="006F4AFF" w:rsidR="006F4AFF" w:rsidP="006F4AFF" w:rsidRDefault="006F4AFF" w14:paraId="08FD04F1" w14:textId="77777777">
            <w:pPr>
              <w:spacing w:after="240"/>
              <w:rPr>
                <w:rFonts w:ascii="Times New Roman" w:hAnsi="Times New Roman"/>
                <w:b/>
              </w:rPr>
            </w:pPr>
            <w:r w:rsidRPr="006F4AFF">
              <w:rPr>
                <w:rFonts w:ascii="Times New Roman" w:hAnsi="Times New Roman"/>
                <w:b/>
              </w:rPr>
              <w:t>(5 x 6)</w:t>
            </w:r>
          </w:p>
        </w:tc>
        <w:tc>
          <w:tcPr>
            <w:tcW w:w="477" w:type="pct"/>
          </w:tcPr>
          <w:p w:rsidRPr="006F4AFF" w:rsidR="006F4AFF" w:rsidP="006F4AFF" w:rsidRDefault="006F4AFF" w14:paraId="6DB334B1" w14:textId="77777777">
            <w:pPr>
              <w:spacing w:after="240"/>
              <w:rPr>
                <w:rFonts w:ascii="Times New Roman" w:hAnsi="Times New Roman"/>
                <w:b/>
              </w:rPr>
            </w:pPr>
            <w:r w:rsidRPr="006F4AFF">
              <w:rPr>
                <w:rFonts w:ascii="Times New Roman" w:hAnsi="Times New Roman"/>
                <w:b/>
              </w:rPr>
              <w:t>8.</w:t>
            </w:r>
          </w:p>
          <w:p w:rsidRPr="006F4AFF" w:rsidR="006F4AFF" w:rsidP="006F4AFF" w:rsidRDefault="006F4AFF" w14:paraId="0EF94B69" w14:textId="77777777">
            <w:pPr>
              <w:spacing w:after="240"/>
              <w:rPr>
                <w:rFonts w:ascii="Times New Roman" w:hAnsi="Times New Roman"/>
                <w:b/>
              </w:rPr>
            </w:pPr>
            <w:r w:rsidRPr="006F4AFF">
              <w:rPr>
                <w:rFonts w:ascii="Times New Roman" w:hAnsi="Times New Roman"/>
                <w:b/>
              </w:rPr>
              <w:t>Total Annual</w:t>
            </w:r>
            <w:r w:rsidR="002E315C">
              <w:rPr>
                <w:rFonts w:ascii="Times New Roman" w:hAnsi="Times New Roman"/>
                <w:b/>
              </w:rPr>
              <w:t xml:space="preserve"> </w:t>
            </w:r>
            <w:proofErr w:type="spellStart"/>
            <w:r w:rsidRPr="006F4AFF">
              <w:rPr>
                <w:rFonts w:ascii="Times New Roman" w:hAnsi="Times New Roman"/>
                <w:b/>
              </w:rPr>
              <w:t>Respon</w:t>
            </w:r>
            <w:r w:rsidR="002E315C">
              <w:rPr>
                <w:rFonts w:ascii="Times New Roman" w:hAnsi="Times New Roman"/>
                <w:b/>
              </w:rPr>
              <w:t>-</w:t>
            </w:r>
            <w:r w:rsidRPr="006F4AFF">
              <w:rPr>
                <w:rFonts w:ascii="Times New Roman" w:hAnsi="Times New Roman"/>
                <w:b/>
              </w:rPr>
              <w:t>ses</w:t>
            </w:r>
            <w:proofErr w:type="spellEnd"/>
          </w:p>
          <w:p w:rsidRPr="006F4AFF" w:rsidR="006F4AFF" w:rsidP="006F4AFF" w:rsidRDefault="006F4AFF" w14:paraId="0CCEBE35" w14:textId="77777777">
            <w:pPr>
              <w:spacing w:after="240"/>
              <w:rPr>
                <w:rFonts w:ascii="Times New Roman" w:hAnsi="Times New Roman"/>
                <w:b/>
              </w:rPr>
            </w:pPr>
            <w:r w:rsidRPr="006F4AFF">
              <w:rPr>
                <w:rFonts w:ascii="Times New Roman" w:hAnsi="Times New Roman"/>
                <w:b/>
              </w:rPr>
              <w:t>(2 x 3)</w:t>
            </w:r>
          </w:p>
        </w:tc>
        <w:tc>
          <w:tcPr>
            <w:tcW w:w="394" w:type="pct"/>
          </w:tcPr>
          <w:p w:rsidRPr="006F4AFF" w:rsidR="006F4AFF" w:rsidP="006F4AFF" w:rsidRDefault="006F4AFF" w14:paraId="7263C088" w14:textId="77777777">
            <w:pPr>
              <w:spacing w:after="240"/>
              <w:rPr>
                <w:rFonts w:ascii="Times New Roman" w:hAnsi="Times New Roman"/>
                <w:b/>
              </w:rPr>
            </w:pPr>
            <w:r w:rsidRPr="006F4AFF">
              <w:rPr>
                <w:rFonts w:ascii="Times New Roman" w:hAnsi="Times New Roman"/>
                <w:b/>
              </w:rPr>
              <w:t>9.</w:t>
            </w:r>
          </w:p>
          <w:p w:rsidRPr="006F4AFF" w:rsidR="006F4AFF" w:rsidP="006F4AFF" w:rsidRDefault="006F4AFF" w14:paraId="77DE13F8" w14:textId="77777777">
            <w:pPr>
              <w:spacing w:after="240"/>
              <w:rPr>
                <w:rFonts w:ascii="Times New Roman" w:hAnsi="Times New Roman"/>
                <w:b/>
              </w:rPr>
            </w:pPr>
            <w:r w:rsidRPr="006F4AFF">
              <w:rPr>
                <w:rFonts w:ascii="Times New Roman" w:hAnsi="Times New Roman"/>
                <w:b/>
              </w:rPr>
              <w:t xml:space="preserve">Total </w:t>
            </w:r>
            <w:proofErr w:type="spellStart"/>
            <w:r w:rsidRPr="006F4AFF">
              <w:rPr>
                <w:rFonts w:ascii="Times New Roman" w:hAnsi="Times New Roman"/>
                <w:b/>
              </w:rPr>
              <w:t>Annu</w:t>
            </w:r>
            <w:proofErr w:type="spellEnd"/>
            <w:r w:rsidR="002E315C">
              <w:rPr>
                <w:rFonts w:ascii="Times New Roman" w:hAnsi="Times New Roman"/>
                <w:b/>
              </w:rPr>
              <w:t>-</w:t>
            </w:r>
            <w:proofErr w:type="gramStart"/>
            <w:r w:rsidRPr="006F4AFF">
              <w:rPr>
                <w:rFonts w:ascii="Times New Roman" w:hAnsi="Times New Roman"/>
                <w:b/>
              </w:rPr>
              <w:t>al  Num</w:t>
            </w:r>
            <w:proofErr w:type="gramEnd"/>
            <w:r w:rsidR="002E315C">
              <w:rPr>
                <w:rFonts w:ascii="Times New Roman" w:hAnsi="Times New Roman"/>
                <w:b/>
              </w:rPr>
              <w:t>-</w:t>
            </w:r>
            <w:proofErr w:type="spellStart"/>
            <w:r w:rsidRPr="006F4AFF">
              <w:rPr>
                <w:rFonts w:ascii="Times New Roman" w:hAnsi="Times New Roman"/>
                <w:b/>
              </w:rPr>
              <w:t>ber</w:t>
            </w:r>
            <w:proofErr w:type="spellEnd"/>
            <w:r w:rsidRPr="006F4AFF">
              <w:rPr>
                <w:rFonts w:ascii="Times New Roman" w:hAnsi="Times New Roman"/>
                <w:b/>
              </w:rPr>
              <w:t xml:space="preserve"> of Bur</w:t>
            </w:r>
            <w:r w:rsidR="002E315C">
              <w:rPr>
                <w:rFonts w:ascii="Times New Roman" w:hAnsi="Times New Roman"/>
                <w:b/>
              </w:rPr>
              <w:t>-</w:t>
            </w:r>
            <w:r w:rsidRPr="006F4AFF">
              <w:rPr>
                <w:rFonts w:ascii="Times New Roman" w:hAnsi="Times New Roman"/>
                <w:b/>
              </w:rPr>
              <w:t>den Hours</w:t>
            </w:r>
          </w:p>
          <w:p w:rsidRPr="006F4AFF" w:rsidR="006F4AFF" w:rsidP="006F4AFF" w:rsidRDefault="006F4AFF" w14:paraId="1DB106F5" w14:textId="77777777">
            <w:pPr>
              <w:spacing w:after="240"/>
              <w:rPr>
                <w:rFonts w:ascii="Times New Roman" w:hAnsi="Times New Roman"/>
                <w:b/>
              </w:rPr>
            </w:pPr>
            <w:r w:rsidRPr="006F4AFF">
              <w:rPr>
                <w:rFonts w:ascii="Times New Roman" w:hAnsi="Times New Roman"/>
                <w:b/>
              </w:rPr>
              <w:t>(2 x 5)</w:t>
            </w:r>
          </w:p>
        </w:tc>
        <w:tc>
          <w:tcPr>
            <w:tcW w:w="516" w:type="pct"/>
          </w:tcPr>
          <w:p w:rsidRPr="006F4AFF" w:rsidR="006F4AFF" w:rsidP="006F4AFF" w:rsidRDefault="006F4AFF" w14:paraId="2B64B434" w14:textId="77777777">
            <w:pPr>
              <w:spacing w:after="240"/>
              <w:rPr>
                <w:rFonts w:ascii="Times New Roman" w:hAnsi="Times New Roman"/>
                <w:b/>
              </w:rPr>
            </w:pPr>
            <w:r w:rsidRPr="006F4AFF">
              <w:rPr>
                <w:rFonts w:ascii="Times New Roman" w:hAnsi="Times New Roman"/>
                <w:b/>
              </w:rPr>
              <w:t>10.</w:t>
            </w:r>
          </w:p>
          <w:p w:rsidRPr="006F4AFF" w:rsidR="006F4AFF" w:rsidP="006F4AFF" w:rsidRDefault="006F4AFF" w14:paraId="51620881" w14:textId="77777777">
            <w:pPr>
              <w:spacing w:after="240"/>
              <w:rPr>
                <w:rFonts w:ascii="Times New Roman" w:hAnsi="Times New Roman"/>
                <w:b/>
              </w:rPr>
            </w:pPr>
            <w:r w:rsidRPr="006F4AFF">
              <w:rPr>
                <w:rFonts w:ascii="Times New Roman" w:hAnsi="Times New Roman"/>
                <w:b/>
              </w:rPr>
              <w:t xml:space="preserve">Total Annual Burden Hour Cost of All </w:t>
            </w:r>
            <w:proofErr w:type="spellStart"/>
            <w:r w:rsidRPr="006F4AFF">
              <w:rPr>
                <w:rFonts w:ascii="Times New Roman" w:hAnsi="Times New Roman"/>
                <w:b/>
              </w:rPr>
              <w:t>Respon</w:t>
            </w:r>
            <w:r w:rsidR="002E315C">
              <w:rPr>
                <w:rFonts w:ascii="Times New Roman" w:hAnsi="Times New Roman"/>
                <w:b/>
              </w:rPr>
              <w:t>-</w:t>
            </w:r>
            <w:r w:rsidRPr="006F4AFF">
              <w:rPr>
                <w:rFonts w:ascii="Times New Roman" w:hAnsi="Times New Roman"/>
                <w:b/>
              </w:rPr>
              <w:t>ses</w:t>
            </w:r>
            <w:proofErr w:type="spellEnd"/>
          </w:p>
          <w:p w:rsidRPr="006F4AFF" w:rsidR="006F4AFF" w:rsidDel="009C6DB4" w:rsidP="006F4AFF" w:rsidRDefault="006F4AFF" w14:paraId="38ED1FFF" w14:textId="77777777">
            <w:pPr>
              <w:spacing w:after="240"/>
              <w:rPr>
                <w:rFonts w:ascii="Times New Roman" w:hAnsi="Times New Roman"/>
                <w:b/>
              </w:rPr>
            </w:pPr>
            <w:r w:rsidRPr="006F4AFF">
              <w:rPr>
                <w:rFonts w:ascii="Times New Roman" w:hAnsi="Times New Roman"/>
                <w:b/>
              </w:rPr>
              <w:t>(2 x 7)</w:t>
            </w:r>
          </w:p>
        </w:tc>
      </w:tr>
      <w:tr w:rsidRPr="006F4AFF" w:rsidR="00947B57" w:rsidDel="009C6DB4" w:rsidTr="0097137E" w14:paraId="5DED5042" w14:textId="77777777">
        <w:trPr>
          <w:trHeight w:val="1427"/>
        </w:trPr>
        <w:tc>
          <w:tcPr>
            <w:tcW w:w="556" w:type="pct"/>
          </w:tcPr>
          <w:p w:rsidRPr="00807402" w:rsidR="00947B57" w:rsidP="006F4AFF" w:rsidRDefault="00807402" w14:paraId="70258EA4" w14:textId="77777777">
            <w:pPr>
              <w:spacing w:after="240"/>
              <w:rPr>
                <w:rFonts w:ascii="Times New Roman" w:hAnsi="Times New Roman"/>
              </w:rPr>
            </w:pPr>
            <w:r w:rsidRPr="00807402">
              <w:rPr>
                <w:rFonts w:ascii="Times New Roman" w:hAnsi="Times New Roman"/>
              </w:rPr>
              <w:t xml:space="preserve">Regulation </w:t>
            </w:r>
            <w:r w:rsidRPr="00807402" w:rsidR="00947B57">
              <w:rPr>
                <w:rFonts w:ascii="Times New Roman" w:hAnsi="Times New Roman"/>
              </w:rPr>
              <w:t>39.6(d)</w:t>
            </w:r>
            <w:r w:rsidRPr="00807402">
              <w:rPr>
                <w:rFonts w:ascii="Times New Roman" w:hAnsi="Times New Roman"/>
              </w:rPr>
              <w:t xml:space="preserve"> – Swap Data Reporting Requirements</w:t>
            </w:r>
            <w:r>
              <w:rPr>
                <w:rStyle w:val="FootnoteReference"/>
                <w:rFonts w:ascii="Times New Roman" w:hAnsi="Times New Roman"/>
              </w:rPr>
              <w:footnoteReference w:id="10"/>
            </w:r>
          </w:p>
        </w:tc>
        <w:tc>
          <w:tcPr>
            <w:tcW w:w="555" w:type="pct"/>
          </w:tcPr>
          <w:p w:rsidRPr="00807402" w:rsidR="00947B57" w:rsidP="00807402" w:rsidRDefault="00807402" w14:paraId="6BDE2655" w14:textId="77777777">
            <w:pPr>
              <w:spacing w:after="240"/>
              <w:rPr>
                <w:rFonts w:ascii="Times New Roman" w:hAnsi="Times New Roman"/>
              </w:rPr>
            </w:pPr>
            <w:r>
              <w:rPr>
                <w:rFonts w:ascii="Times New Roman" w:hAnsi="Times New Roman"/>
              </w:rPr>
              <w:t>7</w:t>
            </w:r>
          </w:p>
        </w:tc>
        <w:tc>
          <w:tcPr>
            <w:tcW w:w="517" w:type="pct"/>
          </w:tcPr>
          <w:p w:rsidRPr="00807402" w:rsidR="00947B57" w:rsidP="005D2503" w:rsidRDefault="00EC3F97" w14:paraId="4471755A" w14:textId="77777777">
            <w:pPr>
              <w:spacing w:after="240"/>
              <w:rPr>
                <w:rFonts w:ascii="Times New Roman" w:hAnsi="Times New Roman"/>
              </w:rPr>
            </w:pPr>
            <w:r>
              <w:rPr>
                <w:rFonts w:ascii="Times New Roman" w:hAnsi="Times New Roman"/>
              </w:rPr>
              <w:t>8074</w:t>
            </w:r>
          </w:p>
        </w:tc>
        <w:tc>
          <w:tcPr>
            <w:tcW w:w="516" w:type="pct"/>
          </w:tcPr>
          <w:p w:rsidRPr="00807402" w:rsidR="00947B57" w:rsidP="006F4AFF" w:rsidRDefault="00692362" w14:paraId="4FAFDBE1" w14:textId="059A01A1">
            <w:pPr>
              <w:spacing w:after="240"/>
              <w:rPr>
                <w:rFonts w:ascii="Times New Roman" w:hAnsi="Times New Roman"/>
              </w:rPr>
            </w:pPr>
            <w:r>
              <w:rPr>
                <w:rFonts w:ascii="Times New Roman" w:hAnsi="Times New Roman"/>
              </w:rPr>
              <w:t>0</w:t>
            </w:r>
            <w:r w:rsidR="0078323E">
              <w:rPr>
                <w:rFonts w:ascii="Times New Roman" w:hAnsi="Times New Roman"/>
              </w:rPr>
              <w:t>.</w:t>
            </w:r>
            <w:r w:rsidR="00FE759D">
              <w:rPr>
                <w:rFonts w:ascii="Times New Roman" w:hAnsi="Times New Roman"/>
              </w:rPr>
              <w:t>1</w:t>
            </w:r>
          </w:p>
        </w:tc>
        <w:tc>
          <w:tcPr>
            <w:tcW w:w="516" w:type="pct"/>
          </w:tcPr>
          <w:p w:rsidRPr="00807402" w:rsidR="00947B57" w:rsidP="006F4AFF" w:rsidRDefault="00EC3F97" w14:paraId="28932CF1" w14:textId="77777777">
            <w:pPr>
              <w:spacing w:after="240"/>
              <w:rPr>
                <w:rFonts w:ascii="Times New Roman" w:hAnsi="Times New Roman"/>
              </w:rPr>
            </w:pPr>
            <w:r>
              <w:rPr>
                <w:rFonts w:ascii="Times New Roman" w:hAnsi="Times New Roman"/>
              </w:rPr>
              <w:t>807</w:t>
            </w:r>
          </w:p>
        </w:tc>
        <w:tc>
          <w:tcPr>
            <w:tcW w:w="437" w:type="pct"/>
          </w:tcPr>
          <w:p w:rsidRPr="00807402" w:rsidR="00947B57" w:rsidP="00F710F5" w:rsidRDefault="0078323E" w14:paraId="312FEA1A" w14:textId="77777777">
            <w:pPr>
              <w:spacing w:after="240"/>
              <w:rPr>
                <w:rFonts w:ascii="Times New Roman" w:hAnsi="Times New Roman"/>
              </w:rPr>
            </w:pPr>
            <w:r>
              <w:rPr>
                <w:rFonts w:ascii="Times New Roman" w:hAnsi="Times New Roman"/>
              </w:rPr>
              <w:t>$</w:t>
            </w:r>
            <w:r w:rsidRPr="0043597B" w:rsidR="0043597B">
              <w:rPr>
                <w:rFonts w:ascii="Times New Roman" w:hAnsi="Times New Roman"/>
              </w:rPr>
              <w:t>7</w:t>
            </w:r>
            <w:r w:rsidR="00F710F5">
              <w:rPr>
                <w:rFonts w:ascii="Times New Roman" w:hAnsi="Times New Roman"/>
              </w:rPr>
              <w:t>1</w:t>
            </w:r>
          </w:p>
        </w:tc>
        <w:tc>
          <w:tcPr>
            <w:tcW w:w="516" w:type="pct"/>
          </w:tcPr>
          <w:p w:rsidRPr="00807402" w:rsidR="00947B57" w:rsidP="00F710F5" w:rsidRDefault="0078323E" w14:paraId="1634A50A" w14:textId="77777777">
            <w:pPr>
              <w:spacing w:after="240"/>
              <w:rPr>
                <w:rFonts w:ascii="Times New Roman" w:hAnsi="Times New Roman"/>
              </w:rPr>
            </w:pPr>
            <w:r>
              <w:rPr>
                <w:rFonts w:ascii="Times New Roman" w:hAnsi="Times New Roman"/>
              </w:rPr>
              <w:t>$</w:t>
            </w:r>
            <w:r w:rsidR="00EC3F97">
              <w:rPr>
                <w:rFonts w:ascii="Times New Roman" w:hAnsi="Times New Roman"/>
              </w:rPr>
              <w:t>57</w:t>
            </w:r>
            <w:r w:rsidR="00FE759D">
              <w:rPr>
                <w:rFonts w:ascii="Times New Roman" w:hAnsi="Times New Roman"/>
              </w:rPr>
              <w:t>,</w:t>
            </w:r>
            <w:r w:rsidR="00EC3F97">
              <w:rPr>
                <w:rFonts w:ascii="Times New Roman" w:hAnsi="Times New Roman"/>
              </w:rPr>
              <w:t>297</w:t>
            </w:r>
          </w:p>
        </w:tc>
        <w:tc>
          <w:tcPr>
            <w:tcW w:w="477" w:type="pct"/>
          </w:tcPr>
          <w:p w:rsidRPr="00807402" w:rsidR="00947B57" w:rsidP="006F4AFF" w:rsidRDefault="00EC3F97" w14:paraId="7CAC2FF2" w14:textId="77777777">
            <w:pPr>
              <w:spacing w:after="240"/>
              <w:rPr>
                <w:rFonts w:ascii="Times New Roman" w:hAnsi="Times New Roman"/>
              </w:rPr>
            </w:pPr>
            <w:r>
              <w:rPr>
                <w:rFonts w:ascii="Times New Roman" w:hAnsi="Times New Roman"/>
              </w:rPr>
              <w:t>56,518</w:t>
            </w:r>
          </w:p>
        </w:tc>
        <w:tc>
          <w:tcPr>
            <w:tcW w:w="394" w:type="pct"/>
          </w:tcPr>
          <w:p w:rsidRPr="00807402" w:rsidR="00947B57" w:rsidP="006F4AFF" w:rsidRDefault="00EC3F97" w14:paraId="74B84368" w14:textId="77777777">
            <w:pPr>
              <w:spacing w:after="240"/>
              <w:rPr>
                <w:rFonts w:ascii="Times New Roman" w:hAnsi="Times New Roman"/>
              </w:rPr>
            </w:pPr>
            <w:r>
              <w:rPr>
                <w:rFonts w:ascii="Times New Roman" w:hAnsi="Times New Roman"/>
              </w:rPr>
              <w:t>5649</w:t>
            </w:r>
          </w:p>
        </w:tc>
        <w:tc>
          <w:tcPr>
            <w:tcW w:w="516" w:type="pct"/>
          </w:tcPr>
          <w:p w:rsidRPr="00807402" w:rsidR="00947B57" w:rsidP="00F710F5" w:rsidRDefault="0078323E" w14:paraId="5BFEED95" w14:textId="77777777">
            <w:pPr>
              <w:spacing w:after="240"/>
              <w:rPr>
                <w:rFonts w:ascii="Times New Roman" w:hAnsi="Times New Roman"/>
              </w:rPr>
            </w:pPr>
            <w:r>
              <w:rPr>
                <w:rFonts w:ascii="Times New Roman" w:hAnsi="Times New Roman"/>
              </w:rPr>
              <w:t>$</w:t>
            </w:r>
            <w:r w:rsidR="00EC3F97">
              <w:rPr>
                <w:rFonts w:ascii="Times New Roman" w:hAnsi="Times New Roman"/>
              </w:rPr>
              <w:t>401</w:t>
            </w:r>
            <w:r w:rsidR="0043597B">
              <w:rPr>
                <w:rFonts w:ascii="Times New Roman" w:hAnsi="Times New Roman"/>
              </w:rPr>
              <w:t>,</w:t>
            </w:r>
            <w:r w:rsidR="00EC3F97">
              <w:rPr>
                <w:rFonts w:ascii="Times New Roman" w:hAnsi="Times New Roman"/>
              </w:rPr>
              <w:t>07</w:t>
            </w:r>
            <w:r w:rsidR="0043597B">
              <w:rPr>
                <w:rFonts w:ascii="Times New Roman" w:hAnsi="Times New Roman"/>
              </w:rPr>
              <w:t>9</w:t>
            </w:r>
          </w:p>
        </w:tc>
      </w:tr>
    </w:tbl>
    <w:p w:rsidRPr="00A3257B" w:rsidR="00C45EAF" w:rsidP="00CC152B" w:rsidRDefault="00C45EAF" w14:paraId="742CD9BA" w14:textId="77777777">
      <w:pPr>
        <w:spacing w:after="240"/>
        <w:rPr>
          <w:rFonts w:ascii="Times New Roman" w:hAnsi="Times New Roman"/>
        </w:rPr>
      </w:pPr>
    </w:p>
    <w:sectPr w:rsidRPr="00A3257B" w:rsidR="00C45EAF" w:rsidSect="007055D9">
      <w:pgSz w:w="12240" w:h="15840" w:code="1"/>
      <w:pgMar w:top="1440" w:right="135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85F947" w14:textId="77777777" w:rsidR="00EB567D" w:rsidRDefault="00EB567D" w:rsidP="007C5A0E">
      <w:r>
        <w:separator/>
      </w:r>
    </w:p>
  </w:endnote>
  <w:endnote w:type="continuationSeparator" w:id="0">
    <w:p w14:paraId="3A2FEECF" w14:textId="77777777" w:rsidR="00EB567D" w:rsidRDefault="00EB567D" w:rsidP="007C5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FA560" w14:textId="77777777" w:rsidR="00115BD3" w:rsidRPr="00A3257B" w:rsidRDefault="00115BD3">
    <w:pPr>
      <w:pStyle w:val="Footer"/>
      <w:jc w:val="center"/>
      <w:rPr>
        <w:rFonts w:ascii="Times New Roman" w:hAnsi="Times New Roman"/>
        <w:sz w:val="20"/>
        <w:szCs w:val="20"/>
      </w:rPr>
    </w:pPr>
    <w:r w:rsidRPr="00A3257B">
      <w:rPr>
        <w:rFonts w:ascii="Times New Roman" w:hAnsi="Times New Roman"/>
        <w:sz w:val="20"/>
        <w:szCs w:val="20"/>
      </w:rPr>
      <w:fldChar w:fldCharType="begin"/>
    </w:r>
    <w:r w:rsidRPr="00A3257B">
      <w:rPr>
        <w:rFonts w:ascii="Times New Roman" w:hAnsi="Times New Roman"/>
        <w:sz w:val="20"/>
        <w:szCs w:val="20"/>
      </w:rPr>
      <w:instrText xml:space="preserve"> PAGE   \* MERGEFORMAT </w:instrText>
    </w:r>
    <w:r w:rsidRPr="00A3257B">
      <w:rPr>
        <w:rFonts w:ascii="Times New Roman" w:hAnsi="Times New Roman"/>
        <w:sz w:val="20"/>
        <w:szCs w:val="20"/>
      </w:rPr>
      <w:fldChar w:fldCharType="separate"/>
    </w:r>
    <w:r w:rsidR="004A18D0">
      <w:rPr>
        <w:rFonts w:ascii="Times New Roman" w:hAnsi="Times New Roman"/>
        <w:noProof/>
        <w:sz w:val="20"/>
        <w:szCs w:val="20"/>
      </w:rPr>
      <w:t>9</w:t>
    </w:r>
    <w:r w:rsidRPr="00A3257B">
      <w:rPr>
        <w:rFonts w:ascii="Times New Roman" w:hAnsi="Times New Roman"/>
        <w:noProof/>
        <w:sz w:val="20"/>
        <w:szCs w:val="20"/>
      </w:rPr>
      <w:fldChar w:fldCharType="end"/>
    </w:r>
  </w:p>
  <w:p w14:paraId="7BC810CA" w14:textId="77777777" w:rsidR="00115BD3" w:rsidRDefault="00115B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640F9A" w14:textId="77777777" w:rsidR="00EB567D" w:rsidRDefault="00EB567D" w:rsidP="007C5A0E">
      <w:r>
        <w:separator/>
      </w:r>
    </w:p>
  </w:footnote>
  <w:footnote w:type="continuationSeparator" w:id="0">
    <w:p w14:paraId="4B965865" w14:textId="77777777" w:rsidR="00EB567D" w:rsidRDefault="00EB567D" w:rsidP="007C5A0E">
      <w:r>
        <w:continuationSeparator/>
      </w:r>
    </w:p>
  </w:footnote>
  <w:footnote w:id="1">
    <w:p w14:paraId="6D9129E7" w14:textId="77777777" w:rsidR="00046624" w:rsidRDefault="00046624" w:rsidP="00046624">
      <w:pPr>
        <w:pStyle w:val="PlainText"/>
        <w:spacing w:before="120" w:after="120"/>
        <w:rPr>
          <w:rFonts w:ascii="Times New Roman" w:hAnsi="Times New Roman"/>
          <w:sz w:val="20"/>
          <w:szCs w:val="20"/>
        </w:rPr>
      </w:pPr>
      <w:r>
        <w:rPr>
          <w:rStyle w:val="FootnoteReference"/>
          <w:rFonts w:ascii="Times New Roman" w:hAnsi="Times New Roman"/>
          <w:sz w:val="20"/>
          <w:szCs w:val="20"/>
        </w:rPr>
        <w:footnoteRef/>
      </w:r>
      <w:r>
        <w:rPr>
          <w:rFonts w:ascii="Times New Roman" w:hAnsi="Times New Roman"/>
          <w:sz w:val="20"/>
          <w:szCs w:val="20"/>
        </w:rPr>
        <w:t xml:space="preserve"> </w:t>
      </w:r>
      <w:r>
        <w:rPr>
          <w:rFonts w:ascii="Times New Roman" w:hAnsi="Times New Roman"/>
          <w:i/>
          <w:sz w:val="20"/>
          <w:szCs w:val="20"/>
        </w:rPr>
        <w:t>See</w:t>
      </w:r>
      <w:r>
        <w:rPr>
          <w:rFonts w:ascii="Times New Roman" w:hAnsi="Times New Roman"/>
          <w:sz w:val="20"/>
          <w:szCs w:val="20"/>
        </w:rPr>
        <w:t xml:space="preserve"> Dodd-Frank Wall Street Reform and Consumer Protection Act, Pub. L. No. 111-203, 124 Stat. 1376 (2010).</w:t>
      </w:r>
    </w:p>
  </w:footnote>
  <w:footnote w:id="2">
    <w:p w14:paraId="750185AA" w14:textId="77777777" w:rsidR="00046624" w:rsidRDefault="00046624" w:rsidP="00046624">
      <w:pPr>
        <w:pStyle w:val="FootnoteText"/>
        <w:spacing w:before="120" w:after="120"/>
        <w:rPr>
          <w:i/>
        </w:rPr>
      </w:pPr>
      <w:r>
        <w:rPr>
          <w:rStyle w:val="FootnoteReference"/>
        </w:rPr>
        <w:footnoteRef/>
      </w:r>
      <w:r>
        <w:t xml:space="preserve"> </w:t>
      </w:r>
      <w:r w:rsidRPr="00046624">
        <w:rPr>
          <w:rFonts w:ascii="Times New Roman" w:eastAsia="Calibri" w:hAnsi="Times New Roman"/>
        </w:rPr>
        <w:t>7 U.S.C. 1</w:t>
      </w:r>
      <w:r>
        <w:t xml:space="preserve"> </w:t>
      </w:r>
      <w:r w:rsidRPr="00046624">
        <w:rPr>
          <w:rFonts w:ascii="Times New Roman" w:hAnsi="Times New Roman"/>
          <w:i/>
        </w:rPr>
        <w:t>et seq.</w:t>
      </w:r>
    </w:p>
  </w:footnote>
  <w:footnote w:id="3">
    <w:p w14:paraId="5671C99C" w14:textId="77777777" w:rsidR="00046624" w:rsidRDefault="00046624" w:rsidP="00046624">
      <w:pPr>
        <w:pStyle w:val="FootnoteText"/>
      </w:pPr>
      <w:r>
        <w:rPr>
          <w:rStyle w:val="FootnoteReference"/>
        </w:rPr>
        <w:footnoteRef/>
      </w:r>
      <w:r>
        <w:t xml:space="preserve"> </w:t>
      </w:r>
      <w:r w:rsidRPr="00046624">
        <w:rPr>
          <w:rFonts w:ascii="Times New Roman" w:eastAsia="Calibri" w:hAnsi="Times New Roman"/>
        </w:rPr>
        <w:t>See 17 CFR 45;</w:t>
      </w:r>
      <w:r>
        <w:t xml:space="preserve"> </w:t>
      </w:r>
      <w:r w:rsidRPr="00046624">
        <w:rPr>
          <w:rFonts w:ascii="Times New Roman" w:hAnsi="Times New Roman"/>
          <w:i/>
        </w:rPr>
        <w:t>see also</w:t>
      </w:r>
      <w:r>
        <w:rPr>
          <w:i/>
        </w:rPr>
        <w:t xml:space="preserve"> </w:t>
      </w:r>
      <w:r w:rsidRPr="00046624">
        <w:rPr>
          <w:rFonts w:ascii="Times New Roman" w:eastAsia="Calibri" w:hAnsi="Times New Roman"/>
        </w:rPr>
        <w:t>77 FR 2136 (January 13, 2012).</w:t>
      </w:r>
    </w:p>
  </w:footnote>
  <w:footnote w:id="4">
    <w:p w14:paraId="66505371" w14:textId="77777777" w:rsidR="00F70983" w:rsidRDefault="00F70983" w:rsidP="00400E46">
      <w:pPr>
        <w:pStyle w:val="FootnoteText"/>
      </w:pPr>
    </w:p>
    <w:p w14:paraId="329DF3DD" w14:textId="77777777" w:rsidR="00400E46" w:rsidRDefault="00400E46" w:rsidP="00400E46">
      <w:pPr>
        <w:pStyle w:val="FootnoteText"/>
      </w:pPr>
      <w:r w:rsidRPr="009D6159">
        <w:rPr>
          <w:rStyle w:val="FootnoteReference"/>
          <w:rFonts w:ascii="Times New Roman" w:hAnsi="Times New Roman"/>
          <w:sz w:val="22"/>
          <w:szCs w:val="22"/>
        </w:rPr>
        <w:footnoteRef/>
      </w:r>
      <w:r>
        <w:t xml:space="preserve"> </w:t>
      </w:r>
      <w:r w:rsidRPr="00046624">
        <w:rPr>
          <w:rFonts w:ascii="Times New Roman" w:eastAsia="Calibri" w:hAnsi="Times New Roman"/>
        </w:rPr>
        <w:t>7 U.S.C. 7a-1(h).</w:t>
      </w:r>
    </w:p>
  </w:footnote>
  <w:footnote w:id="5">
    <w:p w14:paraId="70A128A5" w14:textId="77777777" w:rsidR="00724B9B" w:rsidRDefault="00724B9B" w:rsidP="00724B9B">
      <w:pPr>
        <w:pStyle w:val="FootnoteText"/>
      </w:pPr>
      <w:r>
        <w:rPr>
          <w:rStyle w:val="FootnoteReference"/>
        </w:rPr>
        <w:footnoteRef/>
      </w:r>
      <w:r>
        <w:t xml:space="preserve"> </w:t>
      </w:r>
      <w:r w:rsidRPr="0021367B">
        <w:rPr>
          <w:rFonts w:ascii="Times New Roman" w:hAnsi="Times New Roman"/>
          <w:i/>
        </w:rPr>
        <w:t>See</w:t>
      </w:r>
      <w:r w:rsidRPr="0021367B">
        <w:rPr>
          <w:rFonts w:ascii="Times New Roman" w:hAnsi="Times New Roman"/>
        </w:rPr>
        <w:t xml:space="preserve"> </w:t>
      </w:r>
      <w:r w:rsidR="002C209E" w:rsidRPr="002C209E">
        <w:rPr>
          <w:rFonts w:ascii="Times New Roman" w:hAnsi="Times New Roman"/>
        </w:rPr>
        <w:t xml:space="preserve">Exemption </w:t>
      </w:r>
      <w:proofErr w:type="gramStart"/>
      <w:r w:rsidR="002C209E" w:rsidRPr="002C209E">
        <w:rPr>
          <w:rFonts w:ascii="Times New Roman" w:hAnsi="Times New Roman"/>
        </w:rPr>
        <w:t>From</w:t>
      </w:r>
      <w:proofErr w:type="gramEnd"/>
      <w:r w:rsidR="002C209E" w:rsidRPr="002C209E">
        <w:rPr>
          <w:rFonts w:ascii="Times New Roman" w:hAnsi="Times New Roman"/>
        </w:rPr>
        <w:t xml:space="preserve"> Derivatives Clearing Organization Registration, 83 FR 39923 (Aug. 13, 2018) and </w:t>
      </w:r>
      <w:r w:rsidR="002C209E">
        <w:rPr>
          <w:rFonts w:ascii="Times New Roman" w:hAnsi="Times New Roman"/>
        </w:rPr>
        <w:t xml:space="preserve">supplemental proposal, </w:t>
      </w:r>
      <w:r w:rsidR="002C209E" w:rsidRPr="002C209E">
        <w:rPr>
          <w:rFonts w:ascii="Times New Roman" w:hAnsi="Times New Roman"/>
        </w:rPr>
        <w:t>84 FR 35456 (Jul. 23, 2019)</w:t>
      </w:r>
      <w:r w:rsidRPr="002C209E">
        <w:rPr>
          <w:rFonts w:ascii="Times New Roman" w:hAnsi="Times New Roman"/>
        </w:rPr>
        <w:t>.</w:t>
      </w:r>
    </w:p>
  </w:footnote>
  <w:footnote w:id="6">
    <w:p w14:paraId="71A12718" w14:textId="22532B57" w:rsidR="009623BF" w:rsidRDefault="00E957A9">
      <w:pPr>
        <w:pStyle w:val="FootnoteText"/>
        <w:rPr>
          <w:rFonts w:ascii="Times New Roman" w:hAnsi="Times New Roman"/>
        </w:rPr>
      </w:pPr>
      <w:r w:rsidRPr="003B0B0C">
        <w:rPr>
          <w:rStyle w:val="FootnoteReference"/>
          <w:rFonts w:ascii="Times New Roman" w:hAnsi="Times New Roman"/>
        </w:rPr>
        <w:footnoteRef/>
      </w:r>
      <w:r w:rsidRPr="003B0B0C">
        <w:rPr>
          <w:rFonts w:ascii="Times New Roman" w:hAnsi="Times New Roman"/>
        </w:rPr>
        <w:t xml:space="preserve"> The burden </w:t>
      </w:r>
      <w:proofErr w:type="gramStart"/>
      <w:r w:rsidRPr="003B0B0C">
        <w:rPr>
          <w:rFonts w:ascii="Times New Roman" w:hAnsi="Times New Roman"/>
        </w:rPr>
        <w:t>estimate</w:t>
      </w:r>
      <w:proofErr w:type="gramEnd"/>
      <w:r w:rsidRPr="003B0B0C">
        <w:rPr>
          <w:rFonts w:ascii="Times New Roman" w:hAnsi="Times New Roman"/>
        </w:rPr>
        <w:t xml:space="preserve"> for regis</w:t>
      </w:r>
      <w:r w:rsidR="002E315C">
        <w:rPr>
          <w:rFonts w:ascii="Times New Roman" w:hAnsi="Times New Roman"/>
        </w:rPr>
        <w:t>tered DCOs under OMB Control No.</w:t>
      </w:r>
      <w:r w:rsidRPr="003B0B0C">
        <w:rPr>
          <w:rFonts w:ascii="Times New Roman" w:hAnsi="Times New Roman"/>
        </w:rPr>
        <w:t xml:space="preserve"> 3038-0096 estimated </w:t>
      </w:r>
      <w:r w:rsidR="004250E0" w:rsidRPr="003B0B0C">
        <w:rPr>
          <w:rFonts w:ascii="Times New Roman" w:hAnsi="Times New Roman"/>
        </w:rPr>
        <w:t>$341,91</w:t>
      </w:r>
      <w:r w:rsidRPr="003B0B0C">
        <w:rPr>
          <w:rFonts w:ascii="Times New Roman" w:hAnsi="Times New Roman"/>
        </w:rPr>
        <w:t xml:space="preserve">0 for </w:t>
      </w:r>
      <w:r w:rsidR="004250E0" w:rsidRPr="003B0B0C">
        <w:rPr>
          <w:rFonts w:ascii="Times New Roman" w:hAnsi="Times New Roman"/>
        </w:rPr>
        <w:t xml:space="preserve">each DCO to </w:t>
      </w:r>
      <w:r w:rsidRPr="003B0B0C">
        <w:rPr>
          <w:rFonts w:ascii="Times New Roman" w:hAnsi="Times New Roman"/>
        </w:rPr>
        <w:t>establish</w:t>
      </w:r>
      <w:r w:rsidR="004250E0" w:rsidRPr="003B0B0C">
        <w:rPr>
          <w:rFonts w:ascii="Times New Roman" w:hAnsi="Times New Roman"/>
        </w:rPr>
        <w:t xml:space="preserve"> connections to </w:t>
      </w:r>
      <w:r w:rsidRPr="003B0B0C">
        <w:rPr>
          <w:rFonts w:ascii="Times New Roman" w:hAnsi="Times New Roman"/>
        </w:rPr>
        <w:t xml:space="preserve">SDRs.  </w:t>
      </w:r>
      <w:r w:rsidR="004A18D0">
        <w:rPr>
          <w:rFonts w:ascii="Times New Roman" w:hAnsi="Times New Roman"/>
        </w:rPr>
        <w:t xml:space="preserve">Using the updated hourly rate of </w:t>
      </w:r>
      <w:r w:rsidR="00395ACA">
        <w:rPr>
          <w:rFonts w:ascii="Times New Roman" w:hAnsi="Times New Roman"/>
        </w:rPr>
        <w:t>$</w:t>
      </w:r>
      <w:r w:rsidR="004A18D0">
        <w:rPr>
          <w:rFonts w:ascii="Times New Roman" w:hAnsi="Times New Roman"/>
        </w:rPr>
        <w:t xml:space="preserve">71.02, this figure currently is estimated at $319,590.  </w:t>
      </w:r>
      <w:r w:rsidR="004250E0" w:rsidRPr="003B0B0C">
        <w:rPr>
          <w:rFonts w:ascii="Times New Roman" w:hAnsi="Times New Roman"/>
        </w:rPr>
        <w:t>Assuming connection to only one of the four SDRs, the estimate for exempt DCOs is: ¼ x $31</w:t>
      </w:r>
      <w:r w:rsidR="004A18D0">
        <w:rPr>
          <w:rFonts w:ascii="Times New Roman" w:hAnsi="Times New Roman"/>
        </w:rPr>
        <w:t>9</w:t>
      </w:r>
      <w:r w:rsidR="004250E0" w:rsidRPr="003B0B0C">
        <w:rPr>
          <w:rFonts w:ascii="Times New Roman" w:hAnsi="Times New Roman"/>
        </w:rPr>
        <w:t>,</w:t>
      </w:r>
      <w:r w:rsidR="004A18D0">
        <w:rPr>
          <w:rFonts w:ascii="Times New Roman" w:hAnsi="Times New Roman"/>
        </w:rPr>
        <w:t>5</w:t>
      </w:r>
      <w:r w:rsidR="004250E0" w:rsidRPr="003B0B0C">
        <w:rPr>
          <w:rFonts w:ascii="Times New Roman" w:hAnsi="Times New Roman"/>
        </w:rPr>
        <w:t>90 = $</w:t>
      </w:r>
      <w:r w:rsidR="004A18D0">
        <w:rPr>
          <w:rFonts w:ascii="Times New Roman" w:hAnsi="Times New Roman"/>
        </w:rPr>
        <w:t>79</w:t>
      </w:r>
      <w:r w:rsidR="004250E0" w:rsidRPr="003B0B0C">
        <w:rPr>
          <w:rFonts w:ascii="Times New Roman" w:hAnsi="Times New Roman"/>
        </w:rPr>
        <w:t>,</w:t>
      </w:r>
      <w:r w:rsidR="004A18D0">
        <w:rPr>
          <w:rFonts w:ascii="Times New Roman" w:hAnsi="Times New Roman"/>
        </w:rPr>
        <w:t>89</w:t>
      </w:r>
      <w:r w:rsidR="004250E0" w:rsidRPr="003B0B0C">
        <w:rPr>
          <w:rFonts w:ascii="Times New Roman" w:hAnsi="Times New Roman"/>
        </w:rPr>
        <w:t>8.</w:t>
      </w:r>
      <w:r w:rsidR="0060522D">
        <w:rPr>
          <w:rFonts w:ascii="Times New Roman" w:hAnsi="Times New Roman"/>
        </w:rPr>
        <w:t xml:space="preserve">  </w:t>
      </w:r>
      <w:r w:rsidR="0060522D" w:rsidRPr="0060522D">
        <w:rPr>
          <w:rFonts w:ascii="Times New Roman" w:hAnsi="Times New Roman"/>
        </w:rPr>
        <w:t xml:space="preserve">The aggregate burden </w:t>
      </w:r>
      <w:proofErr w:type="gramStart"/>
      <w:r w:rsidR="0060522D" w:rsidRPr="0060522D">
        <w:rPr>
          <w:rFonts w:ascii="Times New Roman" w:hAnsi="Times New Roman"/>
        </w:rPr>
        <w:t>estimate</w:t>
      </w:r>
      <w:proofErr w:type="gramEnd"/>
      <w:r w:rsidR="0060522D" w:rsidRPr="0060522D">
        <w:rPr>
          <w:rFonts w:ascii="Times New Roman" w:hAnsi="Times New Roman"/>
        </w:rPr>
        <w:t xml:space="preserve"> for all 7 exempt DCOs is $559,286 ($79,898 x 7).</w:t>
      </w:r>
    </w:p>
    <w:p w14:paraId="4E65A5F3" w14:textId="77777777" w:rsidR="00E957A9" w:rsidRPr="003B0B0C" w:rsidRDefault="004250E0">
      <w:pPr>
        <w:pStyle w:val="FootnoteText"/>
        <w:rPr>
          <w:rFonts w:ascii="Times New Roman" w:hAnsi="Times New Roman"/>
        </w:rPr>
      </w:pPr>
      <w:r w:rsidRPr="003B0B0C">
        <w:rPr>
          <w:rFonts w:ascii="Times New Roman" w:hAnsi="Times New Roman"/>
        </w:rPr>
        <w:t xml:space="preserve">  </w:t>
      </w:r>
    </w:p>
  </w:footnote>
  <w:footnote w:id="7">
    <w:p w14:paraId="2C9C3A37" w14:textId="77777777" w:rsidR="004250E0" w:rsidRPr="003B0B0C" w:rsidRDefault="004250E0">
      <w:pPr>
        <w:pStyle w:val="FootnoteText"/>
        <w:rPr>
          <w:rFonts w:ascii="Times New Roman" w:hAnsi="Times New Roman"/>
        </w:rPr>
      </w:pPr>
      <w:r w:rsidRPr="003B0B0C">
        <w:rPr>
          <w:rStyle w:val="FootnoteReference"/>
          <w:rFonts w:ascii="Times New Roman" w:hAnsi="Times New Roman"/>
        </w:rPr>
        <w:footnoteRef/>
      </w:r>
      <w:r w:rsidRPr="003B0B0C">
        <w:rPr>
          <w:rFonts w:ascii="Times New Roman" w:hAnsi="Times New Roman"/>
        </w:rPr>
        <w:t xml:space="preserve"> Based on the same assumption as noted above with respect to connection to only one of four SDRs, the estimate for exempt DCOs is: (¼ x $ 375,000) x 7 exempt DCOs = $656,250.</w:t>
      </w:r>
    </w:p>
  </w:footnote>
  <w:footnote w:id="8">
    <w:p w14:paraId="007208C8" w14:textId="2E12C6DB" w:rsidR="002E315C" w:rsidRDefault="005D2503" w:rsidP="005D2503">
      <w:pPr>
        <w:pStyle w:val="FootnoteText"/>
      </w:pPr>
      <w:r>
        <w:rPr>
          <w:rStyle w:val="FootnoteReference"/>
        </w:rPr>
        <w:footnoteRef/>
      </w:r>
      <w:r>
        <w:t xml:space="preserve"> </w:t>
      </w:r>
      <w:r w:rsidR="00CC152B" w:rsidRPr="00CC152B">
        <w:t xml:space="preserve">While updating the number of reports based on recent data, the Commission discovered that the estimated number in the </w:t>
      </w:r>
      <w:r w:rsidR="00CC152B">
        <w:t>proposal</w:t>
      </w:r>
      <w:r w:rsidR="00CC152B" w:rsidRPr="00CC152B">
        <w:t xml:space="preserve"> – 1987 – inadvertently reflected a quarterly, rather than annual, number of reports. The estimate of 8074 reports per respondent represents the median number of swaps reported to SDRs by existing exempt DCOs during calendar year 2019.</w:t>
      </w:r>
    </w:p>
    <w:p w14:paraId="31C787FF" w14:textId="77777777" w:rsidR="005D2503" w:rsidRDefault="005D2503" w:rsidP="005D2503">
      <w:pPr>
        <w:pStyle w:val="FootnoteText"/>
      </w:pPr>
      <w:r>
        <w:t xml:space="preserve"> </w:t>
      </w:r>
    </w:p>
  </w:footnote>
  <w:footnote w:id="9">
    <w:p w14:paraId="4EB902FA" w14:textId="77777777" w:rsidR="006F4AFF" w:rsidRPr="0043597B" w:rsidRDefault="006F4AFF" w:rsidP="006F4AFF">
      <w:pPr>
        <w:pStyle w:val="FootnoteText"/>
      </w:pPr>
      <w:r>
        <w:rPr>
          <w:rStyle w:val="FootnoteReference"/>
        </w:rPr>
        <w:footnoteRef/>
      </w:r>
      <w:r w:rsidR="0043597B">
        <w:rPr>
          <w:sz w:val="16"/>
          <w:szCs w:val="16"/>
        </w:rPr>
        <w:t xml:space="preserve"> </w:t>
      </w:r>
      <w:r w:rsidR="0043597B" w:rsidRPr="0043597B">
        <w:t>The Commission estimates the appropriate wage rate based on salary information for the securities industry compiled by the Department of Labor’s Bureau of Labor Statistics (“BLS”). Commission staff arrived at an hourly rate of $7</w:t>
      </w:r>
      <w:r w:rsidR="00F710F5">
        <w:t>1</w:t>
      </w:r>
      <w:r w:rsidR="0043597B" w:rsidRPr="0043597B">
        <w:t>.</w:t>
      </w:r>
      <w:r w:rsidR="00F710F5">
        <w:t>0</w:t>
      </w:r>
      <w:r w:rsidR="0043597B" w:rsidRPr="0043597B">
        <w:t>2 using figures from a weighted average of salaries and bonuses across different professions contained in the most recent BLS Occupational Employment and Wages Report (May 201</w:t>
      </w:r>
      <w:r w:rsidR="00F710F5">
        <w:t>9</w:t>
      </w:r>
      <w:r w:rsidR="0043597B" w:rsidRPr="0043597B">
        <w:t>) multiplied by 1.3 to account for overhead and other benefits. The Commission</w:t>
      </w:r>
      <w:r w:rsidR="00F710F5">
        <w:t>-</w:t>
      </w:r>
      <w:r w:rsidR="0043597B" w:rsidRPr="0043597B">
        <w:t>estimated appropriate wage rate is a weighted national average of mean hourly wages for the following occupations (and their relative weight): “computer programmer – industry: securities, commodity contracts, and other financial investment and related activities” (50% weight); “compliance officer – industry: securities, commodity contracts, and other financial investment and related activities” (25%); and “lawyer – legal services” (25%).</w:t>
      </w:r>
    </w:p>
    <w:p w14:paraId="2AB3FEC9" w14:textId="77777777" w:rsidR="002E315C" w:rsidRPr="00AE73CD" w:rsidRDefault="002E315C" w:rsidP="006F4AFF">
      <w:pPr>
        <w:pStyle w:val="FootnoteText"/>
        <w:rPr>
          <w:sz w:val="16"/>
          <w:szCs w:val="16"/>
        </w:rPr>
      </w:pPr>
    </w:p>
  </w:footnote>
  <w:footnote w:id="10">
    <w:p w14:paraId="56422B9A" w14:textId="77777777" w:rsidR="00807402" w:rsidRDefault="00807402" w:rsidP="00807402">
      <w:pPr>
        <w:pStyle w:val="FootnoteText"/>
      </w:pPr>
      <w:r>
        <w:rPr>
          <w:rStyle w:val="FootnoteReference"/>
        </w:rPr>
        <w:footnoteRef/>
      </w:r>
      <w:r>
        <w:t xml:space="preserve"> </w:t>
      </w:r>
      <w:r w:rsidRPr="00807402">
        <w:t>The Commission estimates that there would be a total of 7 exemp</w:t>
      </w:r>
      <w:r>
        <w:t>t</w:t>
      </w:r>
      <w:r w:rsidRPr="00807402">
        <w:t xml:space="preserve"> </w:t>
      </w:r>
      <w:r>
        <w:t>DCOs subject to Part 45</w:t>
      </w:r>
      <w:r w:rsidRPr="00807402">
        <w:t xml:space="preserve"> reporting requirements. This total includes</w:t>
      </w:r>
      <w:r w:rsidR="0078323E">
        <w:t xml:space="preserve"> </w:t>
      </w:r>
      <w:r w:rsidRPr="00807402">
        <w:t>4 existing exempt DCOs and 3 applicants.</w:t>
      </w:r>
    </w:p>
    <w:p w14:paraId="438F90D5" w14:textId="77777777" w:rsidR="00CC152B" w:rsidRDefault="00CC152B" w:rsidP="0080740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8073D"/>
    <w:multiLevelType w:val="hybridMultilevel"/>
    <w:tmpl w:val="D1B80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813724"/>
    <w:multiLevelType w:val="hybridMultilevel"/>
    <w:tmpl w:val="1E0C1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9531EA"/>
    <w:multiLevelType w:val="hybridMultilevel"/>
    <w:tmpl w:val="47923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056C38"/>
    <w:multiLevelType w:val="hybridMultilevel"/>
    <w:tmpl w:val="C088B66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96F6813"/>
    <w:multiLevelType w:val="hybridMultilevel"/>
    <w:tmpl w:val="CE984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1E2A17"/>
    <w:multiLevelType w:val="hybridMultilevel"/>
    <w:tmpl w:val="BC188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6"/>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B6B"/>
    <w:rsid w:val="00005B3C"/>
    <w:rsid w:val="00013F82"/>
    <w:rsid w:val="000175EB"/>
    <w:rsid w:val="000232F0"/>
    <w:rsid w:val="0002390B"/>
    <w:rsid w:val="00024B2D"/>
    <w:rsid w:val="00026076"/>
    <w:rsid w:val="000277A5"/>
    <w:rsid w:val="00027B19"/>
    <w:rsid w:val="00030EBB"/>
    <w:rsid w:val="00032686"/>
    <w:rsid w:val="000341C4"/>
    <w:rsid w:val="000347B2"/>
    <w:rsid w:val="00041CFF"/>
    <w:rsid w:val="000447B4"/>
    <w:rsid w:val="000458DC"/>
    <w:rsid w:val="00046624"/>
    <w:rsid w:val="00051CA6"/>
    <w:rsid w:val="0005294C"/>
    <w:rsid w:val="00057324"/>
    <w:rsid w:val="000600B6"/>
    <w:rsid w:val="00060432"/>
    <w:rsid w:val="000605D8"/>
    <w:rsid w:val="00060FD9"/>
    <w:rsid w:val="00063FBB"/>
    <w:rsid w:val="00065329"/>
    <w:rsid w:val="00065FF1"/>
    <w:rsid w:val="00072EA3"/>
    <w:rsid w:val="000746B1"/>
    <w:rsid w:val="00076B4F"/>
    <w:rsid w:val="00081341"/>
    <w:rsid w:val="000835F6"/>
    <w:rsid w:val="00083F5C"/>
    <w:rsid w:val="00086102"/>
    <w:rsid w:val="0008653F"/>
    <w:rsid w:val="00086CAF"/>
    <w:rsid w:val="000872A0"/>
    <w:rsid w:val="0008745D"/>
    <w:rsid w:val="000939F0"/>
    <w:rsid w:val="00096799"/>
    <w:rsid w:val="000A0CD5"/>
    <w:rsid w:val="000A4158"/>
    <w:rsid w:val="000B26DF"/>
    <w:rsid w:val="000B37A1"/>
    <w:rsid w:val="000B4AE1"/>
    <w:rsid w:val="000C30AD"/>
    <w:rsid w:val="000C5D75"/>
    <w:rsid w:val="000C652A"/>
    <w:rsid w:val="000D56D9"/>
    <w:rsid w:val="000D6FF8"/>
    <w:rsid w:val="000E216C"/>
    <w:rsid w:val="000E3B41"/>
    <w:rsid w:val="000E3E56"/>
    <w:rsid w:val="000E443A"/>
    <w:rsid w:val="000E4DF7"/>
    <w:rsid w:val="000E6224"/>
    <w:rsid w:val="000E68D7"/>
    <w:rsid w:val="000F19FB"/>
    <w:rsid w:val="000F2993"/>
    <w:rsid w:val="000F3166"/>
    <w:rsid w:val="000F3456"/>
    <w:rsid w:val="000F3B52"/>
    <w:rsid w:val="000F413A"/>
    <w:rsid w:val="000F43CF"/>
    <w:rsid w:val="000F7C4A"/>
    <w:rsid w:val="001052E1"/>
    <w:rsid w:val="00110813"/>
    <w:rsid w:val="0011368B"/>
    <w:rsid w:val="001153B4"/>
    <w:rsid w:val="00115BD3"/>
    <w:rsid w:val="00115DD1"/>
    <w:rsid w:val="00117840"/>
    <w:rsid w:val="001248BE"/>
    <w:rsid w:val="00124A68"/>
    <w:rsid w:val="00132B80"/>
    <w:rsid w:val="00132FB8"/>
    <w:rsid w:val="001358EF"/>
    <w:rsid w:val="0014616A"/>
    <w:rsid w:val="0015194E"/>
    <w:rsid w:val="00151BCF"/>
    <w:rsid w:val="001537FF"/>
    <w:rsid w:val="001553EE"/>
    <w:rsid w:val="0016240B"/>
    <w:rsid w:val="0016270E"/>
    <w:rsid w:val="00162D77"/>
    <w:rsid w:val="0016662F"/>
    <w:rsid w:val="0016738E"/>
    <w:rsid w:val="00171C64"/>
    <w:rsid w:val="001737C1"/>
    <w:rsid w:val="00173E2B"/>
    <w:rsid w:val="0017723B"/>
    <w:rsid w:val="0017746A"/>
    <w:rsid w:val="00177DFC"/>
    <w:rsid w:val="00182B88"/>
    <w:rsid w:val="00182FBB"/>
    <w:rsid w:val="00184A5F"/>
    <w:rsid w:val="001866C6"/>
    <w:rsid w:val="00187B91"/>
    <w:rsid w:val="00190146"/>
    <w:rsid w:val="00190B45"/>
    <w:rsid w:val="00193363"/>
    <w:rsid w:val="00194212"/>
    <w:rsid w:val="00196D55"/>
    <w:rsid w:val="00196F17"/>
    <w:rsid w:val="001A1542"/>
    <w:rsid w:val="001A21D2"/>
    <w:rsid w:val="001A315C"/>
    <w:rsid w:val="001A5256"/>
    <w:rsid w:val="001A6008"/>
    <w:rsid w:val="001B067B"/>
    <w:rsid w:val="001B1D9B"/>
    <w:rsid w:val="001B22AC"/>
    <w:rsid w:val="001B6E24"/>
    <w:rsid w:val="001B76B9"/>
    <w:rsid w:val="001C06D6"/>
    <w:rsid w:val="001C1F14"/>
    <w:rsid w:val="001C325B"/>
    <w:rsid w:val="001C7295"/>
    <w:rsid w:val="001D0FB2"/>
    <w:rsid w:val="001D1FAF"/>
    <w:rsid w:val="001D4B03"/>
    <w:rsid w:val="001D4ED8"/>
    <w:rsid w:val="001E0D04"/>
    <w:rsid w:val="001F4DED"/>
    <w:rsid w:val="001F7A29"/>
    <w:rsid w:val="00203487"/>
    <w:rsid w:val="002037F6"/>
    <w:rsid w:val="0020392E"/>
    <w:rsid w:val="00206095"/>
    <w:rsid w:val="0021367B"/>
    <w:rsid w:val="0023000A"/>
    <w:rsid w:val="00230B7B"/>
    <w:rsid w:val="002331B0"/>
    <w:rsid w:val="00241951"/>
    <w:rsid w:val="002469B1"/>
    <w:rsid w:val="00247D20"/>
    <w:rsid w:val="002524D8"/>
    <w:rsid w:val="00256058"/>
    <w:rsid w:val="0026473C"/>
    <w:rsid w:val="00264EF6"/>
    <w:rsid w:val="0026653A"/>
    <w:rsid w:val="00266723"/>
    <w:rsid w:val="00267C43"/>
    <w:rsid w:val="00272670"/>
    <w:rsid w:val="00272A51"/>
    <w:rsid w:val="00287214"/>
    <w:rsid w:val="00291226"/>
    <w:rsid w:val="00292586"/>
    <w:rsid w:val="002928D9"/>
    <w:rsid w:val="00296AC1"/>
    <w:rsid w:val="002A3DCA"/>
    <w:rsid w:val="002A6A6A"/>
    <w:rsid w:val="002A6B1D"/>
    <w:rsid w:val="002C013D"/>
    <w:rsid w:val="002C1663"/>
    <w:rsid w:val="002C1875"/>
    <w:rsid w:val="002C209E"/>
    <w:rsid w:val="002C5C7A"/>
    <w:rsid w:val="002C7AC2"/>
    <w:rsid w:val="002D3E29"/>
    <w:rsid w:val="002D50DC"/>
    <w:rsid w:val="002D69B6"/>
    <w:rsid w:val="002E1502"/>
    <w:rsid w:val="002E25F2"/>
    <w:rsid w:val="002E315C"/>
    <w:rsid w:val="002F1336"/>
    <w:rsid w:val="002F2092"/>
    <w:rsid w:val="002F3E89"/>
    <w:rsid w:val="002F498B"/>
    <w:rsid w:val="002F7400"/>
    <w:rsid w:val="002F7F13"/>
    <w:rsid w:val="0030293E"/>
    <w:rsid w:val="00306C34"/>
    <w:rsid w:val="00307DE8"/>
    <w:rsid w:val="00315A5F"/>
    <w:rsid w:val="00315A79"/>
    <w:rsid w:val="003161B7"/>
    <w:rsid w:val="003168A3"/>
    <w:rsid w:val="00320212"/>
    <w:rsid w:val="003238A5"/>
    <w:rsid w:val="00335414"/>
    <w:rsid w:val="00346CCF"/>
    <w:rsid w:val="00355CD8"/>
    <w:rsid w:val="003563EC"/>
    <w:rsid w:val="00361A70"/>
    <w:rsid w:val="00363BAB"/>
    <w:rsid w:val="00365554"/>
    <w:rsid w:val="003678C2"/>
    <w:rsid w:val="00372F94"/>
    <w:rsid w:val="003742D1"/>
    <w:rsid w:val="00377623"/>
    <w:rsid w:val="00377DF2"/>
    <w:rsid w:val="00380D74"/>
    <w:rsid w:val="00383EE8"/>
    <w:rsid w:val="00383FFD"/>
    <w:rsid w:val="0038496E"/>
    <w:rsid w:val="00387DE0"/>
    <w:rsid w:val="00390223"/>
    <w:rsid w:val="0039135F"/>
    <w:rsid w:val="00395ACA"/>
    <w:rsid w:val="00397C48"/>
    <w:rsid w:val="003A04C2"/>
    <w:rsid w:val="003A65CB"/>
    <w:rsid w:val="003A7553"/>
    <w:rsid w:val="003B0B0C"/>
    <w:rsid w:val="003B60A5"/>
    <w:rsid w:val="003B6CB3"/>
    <w:rsid w:val="003C01A3"/>
    <w:rsid w:val="003C4D40"/>
    <w:rsid w:val="003C679D"/>
    <w:rsid w:val="003C763C"/>
    <w:rsid w:val="003D104A"/>
    <w:rsid w:val="003D4245"/>
    <w:rsid w:val="003D4314"/>
    <w:rsid w:val="003D49DE"/>
    <w:rsid w:val="003D597E"/>
    <w:rsid w:val="003E256B"/>
    <w:rsid w:val="003F0037"/>
    <w:rsid w:val="003F308D"/>
    <w:rsid w:val="003F4662"/>
    <w:rsid w:val="003F7037"/>
    <w:rsid w:val="00400E46"/>
    <w:rsid w:val="004024C0"/>
    <w:rsid w:val="004056E1"/>
    <w:rsid w:val="00415146"/>
    <w:rsid w:val="00415842"/>
    <w:rsid w:val="00420535"/>
    <w:rsid w:val="004250E0"/>
    <w:rsid w:val="00426EB1"/>
    <w:rsid w:val="004271D0"/>
    <w:rsid w:val="00427241"/>
    <w:rsid w:val="0043597B"/>
    <w:rsid w:val="004435EB"/>
    <w:rsid w:val="0044398D"/>
    <w:rsid w:val="004559DB"/>
    <w:rsid w:val="00457CD5"/>
    <w:rsid w:val="00460496"/>
    <w:rsid w:val="00460863"/>
    <w:rsid w:val="00461BE7"/>
    <w:rsid w:val="00465DAD"/>
    <w:rsid w:val="0047054B"/>
    <w:rsid w:val="00470B08"/>
    <w:rsid w:val="00480FEF"/>
    <w:rsid w:val="00484030"/>
    <w:rsid w:val="00484368"/>
    <w:rsid w:val="00487791"/>
    <w:rsid w:val="004921FD"/>
    <w:rsid w:val="00494E73"/>
    <w:rsid w:val="00495032"/>
    <w:rsid w:val="0049540F"/>
    <w:rsid w:val="00495450"/>
    <w:rsid w:val="004A165E"/>
    <w:rsid w:val="004A18D0"/>
    <w:rsid w:val="004A282C"/>
    <w:rsid w:val="004A41CF"/>
    <w:rsid w:val="004A57AD"/>
    <w:rsid w:val="004A6C15"/>
    <w:rsid w:val="004B7C1F"/>
    <w:rsid w:val="004C1FC0"/>
    <w:rsid w:val="004C2BCF"/>
    <w:rsid w:val="004D21CA"/>
    <w:rsid w:val="004D2594"/>
    <w:rsid w:val="004D36F7"/>
    <w:rsid w:val="004E17CF"/>
    <w:rsid w:val="004E2F3A"/>
    <w:rsid w:val="004E3383"/>
    <w:rsid w:val="004E77DC"/>
    <w:rsid w:val="004E78C1"/>
    <w:rsid w:val="004F1376"/>
    <w:rsid w:val="004F4CE7"/>
    <w:rsid w:val="004F5BCC"/>
    <w:rsid w:val="00503C27"/>
    <w:rsid w:val="00504717"/>
    <w:rsid w:val="00510B42"/>
    <w:rsid w:val="00510EBD"/>
    <w:rsid w:val="00516B0B"/>
    <w:rsid w:val="00517B58"/>
    <w:rsid w:val="005216A2"/>
    <w:rsid w:val="00522DF4"/>
    <w:rsid w:val="00524271"/>
    <w:rsid w:val="00525E95"/>
    <w:rsid w:val="0052625D"/>
    <w:rsid w:val="00526447"/>
    <w:rsid w:val="005306D5"/>
    <w:rsid w:val="005333B6"/>
    <w:rsid w:val="00533CE5"/>
    <w:rsid w:val="00534983"/>
    <w:rsid w:val="00534B6B"/>
    <w:rsid w:val="00542723"/>
    <w:rsid w:val="00542F3C"/>
    <w:rsid w:val="00551E59"/>
    <w:rsid w:val="005520D5"/>
    <w:rsid w:val="0055274E"/>
    <w:rsid w:val="005537D3"/>
    <w:rsid w:val="005549F4"/>
    <w:rsid w:val="00555B9F"/>
    <w:rsid w:val="005637CA"/>
    <w:rsid w:val="005652AC"/>
    <w:rsid w:val="00565921"/>
    <w:rsid w:val="0057447D"/>
    <w:rsid w:val="00574C2F"/>
    <w:rsid w:val="00575FDC"/>
    <w:rsid w:val="00576890"/>
    <w:rsid w:val="005778EF"/>
    <w:rsid w:val="00583E5B"/>
    <w:rsid w:val="005858A0"/>
    <w:rsid w:val="00586F7E"/>
    <w:rsid w:val="00591252"/>
    <w:rsid w:val="00592165"/>
    <w:rsid w:val="0059221E"/>
    <w:rsid w:val="00593317"/>
    <w:rsid w:val="005959CF"/>
    <w:rsid w:val="00595C31"/>
    <w:rsid w:val="00596C24"/>
    <w:rsid w:val="00596D53"/>
    <w:rsid w:val="00597F35"/>
    <w:rsid w:val="005A0BB9"/>
    <w:rsid w:val="005A208D"/>
    <w:rsid w:val="005A33D8"/>
    <w:rsid w:val="005A4340"/>
    <w:rsid w:val="005A434A"/>
    <w:rsid w:val="005A43F2"/>
    <w:rsid w:val="005A4D99"/>
    <w:rsid w:val="005A56CC"/>
    <w:rsid w:val="005B0BE6"/>
    <w:rsid w:val="005B27BA"/>
    <w:rsid w:val="005B7FE4"/>
    <w:rsid w:val="005C0469"/>
    <w:rsid w:val="005C0DD3"/>
    <w:rsid w:val="005C3203"/>
    <w:rsid w:val="005C38CE"/>
    <w:rsid w:val="005C479A"/>
    <w:rsid w:val="005C69EB"/>
    <w:rsid w:val="005D0314"/>
    <w:rsid w:val="005D2503"/>
    <w:rsid w:val="005E3436"/>
    <w:rsid w:val="005E536C"/>
    <w:rsid w:val="005F3878"/>
    <w:rsid w:val="005F4138"/>
    <w:rsid w:val="005F449F"/>
    <w:rsid w:val="005F6628"/>
    <w:rsid w:val="005F6C40"/>
    <w:rsid w:val="0060418F"/>
    <w:rsid w:val="006046B6"/>
    <w:rsid w:val="0060522D"/>
    <w:rsid w:val="006101E5"/>
    <w:rsid w:val="006165B2"/>
    <w:rsid w:val="0062259E"/>
    <w:rsid w:val="00623CDB"/>
    <w:rsid w:val="00625474"/>
    <w:rsid w:val="0063027B"/>
    <w:rsid w:val="00634796"/>
    <w:rsid w:val="006371A5"/>
    <w:rsid w:val="006500E8"/>
    <w:rsid w:val="0065237A"/>
    <w:rsid w:val="006529C2"/>
    <w:rsid w:val="00652B0B"/>
    <w:rsid w:val="00661AE4"/>
    <w:rsid w:val="00663C9F"/>
    <w:rsid w:val="00664257"/>
    <w:rsid w:val="00675296"/>
    <w:rsid w:val="00677F55"/>
    <w:rsid w:val="00682CB6"/>
    <w:rsid w:val="0068353B"/>
    <w:rsid w:val="00684FF1"/>
    <w:rsid w:val="006878FB"/>
    <w:rsid w:val="00691196"/>
    <w:rsid w:val="00692362"/>
    <w:rsid w:val="00692A25"/>
    <w:rsid w:val="00693455"/>
    <w:rsid w:val="00694D21"/>
    <w:rsid w:val="006A05A1"/>
    <w:rsid w:val="006A2373"/>
    <w:rsid w:val="006A3336"/>
    <w:rsid w:val="006A6FCF"/>
    <w:rsid w:val="006C0279"/>
    <w:rsid w:val="006C1D44"/>
    <w:rsid w:val="006C30AC"/>
    <w:rsid w:val="006C358F"/>
    <w:rsid w:val="006C4E25"/>
    <w:rsid w:val="006C5BD6"/>
    <w:rsid w:val="006C7150"/>
    <w:rsid w:val="006D0492"/>
    <w:rsid w:val="006D1A5E"/>
    <w:rsid w:val="006D38A6"/>
    <w:rsid w:val="006D4EA5"/>
    <w:rsid w:val="006D538D"/>
    <w:rsid w:val="006D6335"/>
    <w:rsid w:val="006D759D"/>
    <w:rsid w:val="006D7EAE"/>
    <w:rsid w:val="006E286F"/>
    <w:rsid w:val="006E3F07"/>
    <w:rsid w:val="006E608F"/>
    <w:rsid w:val="006F0C7D"/>
    <w:rsid w:val="006F1FA8"/>
    <w:rsid w:val="006F2251"/>
    <w:rsid w:val="006F4AFF"/>
    <w:rsid w:val="006F4C90"/>
    <w:rsid w:val="006F4F3A"/>
    <w:rsid w:val="006F4F75"/>
    <w:rsid w:val="006F5ADF"/>
    <w:rsid w:val="006F6771"/>
    <w:rsid w:val="006F68CC"/>
    <w:rsid w:val="006F7274"/>
    <w:rsid w:val="007003B8"/>
    <w:rsid w:val="00701D5C"/>
    <w:rsid w:val="0070376D"/>
    <w:rsid w:val="007055D9"/>
    <w:rsid w:val="00707725"/>
    <w:rsid w:val="00712080"/>
    <w:rsid w:val="00712CAB"/>
    <w:rsid w:val="00712E97"/>
    <w:rsid w:val="00724B9B"/>
    <w:rsid w:val="00726591"/>
    <w:rsid w:val="00737FE3"/>
    <w:rsid w:val="0074513D"/>
    <w:rsid w:val="0075005A"/>
    <w:rsid w:val="00750CAF"/>
    <w:rsid w:val="007536D5"/>
    <w:rsid w:val="00753B6E"/>
    <w:rsid w:val="007550E6"/>
    <w:rsid w:val="00755C17"/>
    <w:rsid w:val="007602AC"/>
    <w:rsid w:val="007616A9"/>
    <w:rsid w:val="0076658A"/>
    <w:rsid w:val="0076683C"/>
    <w:rsid w:val="007711DC"/>
    <w:rsid w:val="00773F48"/>
    <w:rsid w:val="00774C17"/>
    <w:rsid w:val="00775781"/>
    <w:rsid w:val="007819F8"/>
    <w:rsid w:val="0078323E"/>
    <w:rsid w:val="0078395F"/>
    <w:rsid w:val="00791C5F"/>
    <w:rsid w:val="0079254F"/>
    <w:rsid w:val="00793467"/>
    <w:rsid w:val="00794BD7"/>
    <w:rsid w:val="00795ED4"/>
    <w:rsid w:val="00796330"/>
    <w:rsid w:val="00796A0A"/>
    <w:rsid w:val="007A49AE"/>
    <w:rsid w:val="007B29E1"/>
    <w:rsid w:val="007B2CE3"/>
    <w:rsid w:val="007C1F67"/>
    <w:rsid w:val="007C5A0E"/>
    <w:rsid w:val="007C730D"/>
    <w:rsid w:val="007D085B"/>
    <w:rsid w:val="007D112B"/>
    <w:rsid w:val="007D270C"/>
    <w:rsid w:val="007E3062"/>
    <w:rsid w:val="007E49C9"/>
    <w:rsid w:val="007F2D28"/>
    <w:rsid w:val="007F3787"/>
    <w:rsid w:val="007F5475"/>
    <w:rsid w:val="0080260C"/>
    <w:rsid w:val="00803774"/>
    <w:rsid w:val="008060D8"/>
    <w:rsid w:val="00806D3E"/>
    <w:rsid w:val="00807402"/>
    <w:rsid w:val="00807DB0"/>
    <w:rsid w:val="00810640"/>
    <w:rsid w:val="008108B8"/>
    <w:rsid w:val="00810A23"/>
    <w:rsid w:val="00810F14"/>
    <w:rsid w:val="008110A0"/>
    <w:rsid w:val="008159FE"/>
    <w:rsid w:val="00816FE2"/>
    <w:rsid w:val="008207B9"/>
    <w:rsid w:val="0082095B"/>
    <w:rsid w:val="00822BD3"/>
    <w:rsid w:val="00831B53"/>
    <w:rsid w:val="00834DD7"/>
    <w:rsid w:val="008363D5"/>
    <w:rsid w:val="00836A69"/>
    <w:rsid w:val="0084146F"/>
    <w:rsid w:val="008444FB"/>
    <w:rsid w:val="00847761"/>
    <w:rsid w:val="008519D2"/>
    <w:rsid w:val="008530CD"/>
    <w:rsid w:val="0085370C"/>
    <w:rsid w:val="00860BBB"/>
    <w:rsid w:val="00860CE6"/>
    <w:rsid w:val="00863A6C"/>
    <w:rsid w:val="00864576"/>
    <w:rsid w:val="00864CB2"/>
    <w:rsid w:val="00870897"/>
    <w:rsid w:val="00874E6C"/>
    <w:rsid w:val="00875CD2"/>
    <w:rsid w:val="008827E0"/>
    <w:rsid w:val="0088767B"/>
    <w:rsid w:val="0089008F"/>
    <w:rsid w:val="008926A3"/>
    <w:rsid w:val="00892EF2"/>
    <w:rsid w:val="00894C35"/>
    <w:rsid w:val="0089650B"/>
    <w:rsid w:val="008A1115"/>
    <w:rsid w:val="008B4817"/>
    <w:rsid w:val="008B571B"/>
    <w:rsid w:val="008C02D9"/>
    <w:rsid w:val="008C1109"/>
    <w:rsid w:val="008C1A91"/>
    <w:rsid w:val="008C3257"/>
    <w:rsid w:val="008C3CA7"/>
    <w:rsid w:val="008C6BF1"/>
    <w:rsid w:val="008D0546"/>
    <w:rsid w:val="008D0F50"/>
    <w:rsid w:val="008D2F62"/>
    <w:rsid w:val="008D50E3"/>
    <w:rsid w:val="008D761A"/>
    <w:rsid w:val="008E3461"/>
    <w:rsid w:val="008E4BA7"/>
    <w:rsid w:val="008E7AF8"/>
    <w:rsid w:val="008F1930"/>
    <w:rsid w:val="008F41EC"/>
    <w:rsid w:val="008F7E0C"/>
    <w:rsid w:val="009012FC"/>
    <w:rsid w:val="009025A4"/>
    <w:rsid w:val="00903E99"/>
    <w:rsid w:val="0090417E"/>
    <w:rsid w:val="0090536B"/>
    <w:rsid w:val="00906261"/>
    <w:rsid w:val="00910280"/>
    <w:rsid w:val="00911EE7"/>
    <w:rsid w:val="00914D8B"/>
    <w:rsid w:val="00917BA0"/>
    <w:rsid w:val="0092012D"/>
    <w:rsid w:val="009220A1"/>
    <w:rsid w:val="0092581A"/>
    <w:rsid w:val="00925FF4"/>
    <w:rsid w:val="009262AF"/>
    <w:rsid w:val="009275A1"/>
    <w:rsid w:val="00927EB3"/>
    <w:rsid w:val="00930155"/>
    <w:rsid w:val="0093057C"/>
    <w:rsid w:val="00932277"/>
    <w:rsid w:val="009367E2"/>
    <w:rsid w:val="00936EFC"/>
    <w:rsid w:val="00943BB2"/>
    <w:rsid w:val="00944106"/>
    <w:rsid w:val="00945C50"/>
    <w:rsid w:val="00947B57"/>
    <w:rsid w:val="009532F8"/>
    <w:rsid w:val="00953E66"/>
    <w:rsid w:val="00955D97"/>
    <w:rsid w:val="0095732F"/>
    <w:rsid w:val="009623BF"/>
    <w:rsid w:val="009676AC"/>
    <w:rsid w:val="009702FA"/>
    <w:rsid w:val="0097137E"/>
    <w:rsid w:val="00971F4C"/>
    <w:rsid w:val="00972D8D"/>
    <w:rsid w:val="00975A99"/>
    <w:rsid w:val="00980A37"/>
    <w:rsid w:val="009816DC"/>
    <w:rsid w:val="00986A1C"/>
    <w:rsid w:val="009958AF"/>
    <w:rsid w:val="00995D04"/>
    <w:rsid w:val="009968E8"/>
    <w:rsid w:val="00997594"/>
    <w:rsid w:val="009A24BB"/>
    <w:rsid w:val="009A543F"/>
    <w:rsid w:val="009B5165"/>
    <w:rsid w:val="009C0842"/>
    <w:rsid w:val="009C4C64"/>
    <w:rsid w:val="009D187B"/>
    <w:rsid w:val="009D20D8"/>
    <w:rsid w:val="009D3A33"/>
    <w:rsid w:val="009D6159"/>
    <w:rsid w:val="009E0468"/>
    <w:rsid w:val="009E0E1D"/>
    <w:rsid w:val="009E20E0"/>
    <w:rsid w:val="009E23DC"/>
    <w:rsid w:val="009E60DC"/>
    <w:rsid w:val="009E662D"/>
    <w:rsid w:val="009F5BE2"/>
    <w:rsid w:val="00A0346E"/>
    <w:rsid w:val="00A05016"/>
    <w:rsid w:val="00A0553E"/>
    <w:rsid w:val="00A05E23"/>
    <w:rsid w:val="00A06CDC"/>
    <w:rsid w:val="00A11B9C"/>
    <w:rsid w:val="00A14DB5"/>
    <w:rsid w:val="00A20639"/>
    <w:rsid w:val="00A20811"/>
    <w:rsid w:val="00A22767"/>
    <w:rsid w:val="00A31CC4"/>
    <w:rsid w:val="00A3257B"/>
    <w:rsid w:val="00A37B73"/>
    <w:rsid w:val="00A41888"/>
    <w:rsid w:val="00A50199"/>
    <w:rsid w:val="00A52E16"/>
    <w:rsid w:val="00A555B0"/>
    <w:rsid w:val="00A6005A"/>
    <w:rsid w:val="00A606B5"/>
    <w:rsid w:val="00A61170"/>
    <w:rsid w:val="00A61EC5"/>
    <w:rsid w:val="00A61F7A"/>
    <w:rsid w:val="00A66D2D"/>
    <w:rsid w:val="00A714C4"/>
    <w:rsid w:val="00A762BC"/>
    <w:rsid w:val="00A80D36"/>
    <w:rsid w:val="00A81B05"/>
    <w:rsid w:val="00A83BD6"/>
    <w:rsid w:val="00A8414C"/>
    <w:rsid w:val="00A8752C"/>
    <w:rsid w:val="00A87E91"/>
    <w:rsid w:val="00A9206B"/>
    <w:rsid w:val="00A938FE"/>
    <w:rsid w:val="00A95253"/>
    <w:rsid w:val="00AA0461"/>
    <w:rsid w:val="00AA4C2C"/>
    <w:rsid w:val="00AB0BBC"/>
    <w:rsid w:val="00AC00CC"/>
    <w:rsid w:val="00AC0C0A"/>
    <w:rsid w:val="00AC139F"/>
    <w:rsid w:val="00AC4448"/>
    <w:rsid w:val="00AD1B32"/>
    <w:rsid w:val="00AD4461"/>
    <w:rsid w:val="00AD716A"/>
    <w:rsid w:val="00AD72CD"/>
    <w:rsid w:val="00AE4C42"/>
    <w:rsid w:val="00AF0DD3"/>
    <w:rsid w:val="00AF4A73"/>
    <w:rsid w:val="00AF7440"/>
    <w:rsid w:val="00B03E23"/>
    <w:rsid w:val="00B05FA4"/>
    <w:rsid w:val="00B0615D"/>
    <w:rsid w:val="00B117D5"/>
    <w:rsid w:val="00B127C9"/>
    <w:rsid w:val="00B162BD"/>
    <w:rsid w:val="00B20E24"/>
    <w:rsid w:val="00B22DD7"/>
    <w:rsid w:val="00B22FB7"/>
    <w:rsid w:val="00B24F98"/>
    <w:rsid w:val="00B3056C"/>
    <w:rsid w:val="00B31D59"/>
    <w:rsid w:val="00B355AA"/>
    <w:rsid w:val="00B36E33"/>
    <w:rsid w:val="00B41373"/>
    <w:rsid w:val="00B43DEE"/>
    <w:rsid w:val="00B451FB"/>
    <w:rsid w:val="00B457D7"/>
    <w:rsid w:val="00B4606C"/>
    <w:rsid w:val="00B5047C"/>
    <w:rsid w:val="00B50EEE"/>
    <w:rsid w:val="00B61C16"/>
    <w:rsid w:val="00B61ED1"/>
    <w:rsid w:val="00B66F38"/>
    <w:rsid w:val="00B67C11"/>
    <w:rsid w:val="00B73343"/>
    <w:rsid w:val="00B800F8"/>
    <w:rsid w:val="00B805B7"/>
    <w:rsid w:val="00B84CC8"/>
    <w:rsid w:val="00B84E18"/>
    <w:rsid w:val="00B90175"/>
    <w:rsid w:val="00B90A17"/>
    <w:rsid w:val="00B91F23"/>
    <w:rsid w:val="00B934B8"/>
    <w:rsid w:val="00B93890"/>
    <w:rsid w:val="00B97FAD"/>
    <w:rsid w:val="00BA00EE"/>
    <w:rsid w:val="00BA2CC1"/>
    <w:rsid w:val="00BA7889"/>
    <w:rsid w:val="00BB483A"/>
    <w:rsid w:val="00BB4C1A"/>
    <w:rsid w:val="00BB76A8"/>
    <w:rsid w:val="00BC3FC4"/>
    <w:rsid w:val="00BC4975"/>
    <w:rsid w:val="00BC5447"/>
    <w:rsid w:val="00BD4837"/>
    <w:rsid w:val="00BE1714"/>
    <w:rsid w:val="00BE3902"/>
    <w:rsid w:val="00BE57C6"/>
    <w:rsid w:val="00BE79A9"/>
    <w:rsid w:val="00BF20CC"/>
    <w:rsid w:val="00BF2CEE"/>
    <w:rsid w:val="00BF3369"/>
    <w:rsid w:val="00BF54BE"/>
    <w:rsid w:val="00C062AB"/>
    <w:rsid w:val="00C063D2"/>
    <w:rsid w:val="00C11E95"/>
    <w:rsid w:val="00C14782"/>
    <w:rsid w:val="00C1782C"/>
    <w:rsid w:val="00C2325B"/>
    <w:rsid w:val="00C249C0"/>
    <w:rsid w:val="00C33FC9"/>
    <w:rsid w:val="00C37E53"/>
    <w:rsid w:val="00C424BC"/>
    <w:rsid w:val="00C4280C"/>
    <w:rsid w:val="00C45EAF"/>
    <w:rsid w:val="00C4606F"/>
    <w:rsid w:val="00C475F1"/>
    <w:rsid w:val="00C50777"/>
    <w:rsid w:val="00C50F6D"/>
    <w:rsid w:val="00C50FAC"/>
    <w:rsid w:val="00C558C9"/>
    <w:rsid w:val="00C60B24"/>
    <w:rsid w:val="00C6498B"/>
    <w:rsid w:val="00C649BE"/>
    <w:rsid w:val="00C70D3A"/>
    <w:rsid w:val="00C83F82"/>
    <w:rsid w:val="00C90123"/>
    <w:rsid w:val="00C902A1"/>
    <w:rsid w:val="00C93CB9"/>
    <w:rsid w:val="00C9739C"/>
    <w:rsid w:val="00C976D4"/>
    <w:rsid w:val="00CA0719"/>
    <w:rsid w:val="00CA18CD"/>
    <w:rsid w:val="00CA193B"/>
    <w:rsid w:val="00CA3FF3"/>
    <w:rsid w:val="00CA752B"/>
    <w:rsid w:val="00CB028F"/>
    <w:rsid w:val="00CB0F05"/>
    <w:rsid w:val="00CB24FF"/>
    <w:rsid w:val="00CB7148"/>
    <w:rsid w:val="00CB71BE"/>
    <w:rsid w:val="00CB7FAC"/>
    <w:rsid w:val="00CC152B"/>
    <w:rsid w:val="00CC34A6"/>
    <w:rsid w:val="00CC3860"/>
    <w:rsid w:val="00CD1969"/>
    <w:rsid w:val="00CD542F"/>
    <w:rsid w:val="00CE0754"/>
    <w:rsid w:val="00CE4EEB"/>
    <w:rsid w:val="00CE4F9C"/>
    <w:rsid w:val="00CF5031"/>
    <w:rsid w:val="00CF5EA8"/>
    <w:rsid w:val="00CF6B5B"/>
    <w:rsid w:val="00CF7673"/>
    <w:rsid w:val="00D00E3C"/>
    <w:rsid w:val="00D03F7B"/>
    <w:rsid w:val="00D04857"/>
    <w:rsid w:val="00D05B93"/>
    <w:rsid w:val="00D118F2"/>
    <w:rsid w:val="00D12278"/>
    <w:rsid w:val="00D12FAF"/>
    <w:rsid w:val="00D13F01"/>
    <w:rsid w:val="00D14348"/>
    <w:rsid w:val="00D154D5"/>
    <w:rsid w:val="00D20989"/>
    <w:rsid w:val="00D21740"/>
    <w:rsid w:val="00D24617"/>
    <w:rsid w:val="00D27F77"/>
    <w:rsid w:val="00D3389F"/>
    <w:rsid w:val="00D350E5"/>
    <w:rsid w:val="00D35FAE"/>
    <w:rsid w:val="00D40FE0"/>
    <w:rsid w:val="00D4114B"/>
    <w:rsid w:val="00D41450"/>
    <w:rsid w:val="00D4197D"/>
    <w:rsid w:val="00D443F5"/>
    <w:rsid w:val="00D52101"/>
    <w:rsid w:val="00D52EC4"/>
    <w:rsid w:val="00D55966"/>
    <w:rsid w:val="00D55CAE"/>
    <w:rsid w:val="00D55F73"/>
    <w:rsid w:val="00D56D12"/>
    <w:rsid w:val="00D6016C"/>
    <w:rsid w:val="00D642E9"/>
    <w:rsid w:val="00D66D96"/>
    <w:rsid w:val="00D67916"/>
    <w:rsid w:val="00D71FB7"/>
    <w:rsid w:val="00D77105"/>
    <w:rsid w:val="00D7769C"/>
    <w:rsid w:val="00D8025D"/>
    <w:rsid w:val="00D81501"/>
    <w:rsid w:val="00D842FD"/>
    <w:rsid w:val="00D84D48"/>
    <w:rsid w:val="00D90559"/>
    <w:rsid w:val="00D9298D"/>
    <w:rsid w:val="00D93BA9"/>
    <w:rsid w:val="00D94339"/>
    <w:rsid w:val="00D96F11"/>
    <w:rsid w:val="00D97F53"/>
    <w:rsid w:val="00D97F8F"/>
    <w:rsid w:val="00DA12DC"/>
    <w:rsid w:val="00DA16DB"/>
    <w:rsid w:val="00DA3EE6"/>
    <w:rsid w:val="00DB03AA"/>
    <w:rsid w:val="00DB2157"/>
    <w:rsid w:val="00DB3672"/>
    <w:rsid w:val="00DB5270"/>
    <w:rsid w:val="00DB7FB0"/>
    <w:rsid w:val="00DC2B99"/>
    <w:rsid w:val="00DC522E"/>
    <w:rsid w:val="00DD5DE4"/>
    <w:rsid w:val="00DD6FC6"/>
    <w:rsid w:val="00DE297F"/>
    <w:rsid w:val="00DE4153"/>
    <w:rsid w:val="00DE41D6"/>
    <w:rsid w:val="00DE5488"/>
    <w:rsid w:val="00DE589D"/>
    <w:rsid w:val="00DE6F81"/>
    <w:rsid w:val="00DF3C68"/>
    <w:rsid w:val="00DF42AE"/>
    <w:rsid w:val="00DF7465"/>
    <w:rsid w:val="00E013D8"/>
    <w:rsid w:val="00E05D75"/>
    <w:rsid w:val="00E11EED"/>
    <w:rsid w:val="00E1421F"/>
    <w:rsid w:val="00E17DE8"/>
    <w:rsid w:val="00E21BD0"/>
    <w:rsid w:val="00E221A2"/>
    <w:rsid w:val="00E22E82"/>
    <w:rsid w:val="00E2335E"/>
    <w:rsid w:val="00E236E5"/>
    <w:rsid w:val="00E240FB"/>
    <w:rsid w:val="00E243F6"/>
    <w:rsid w:val="00E26853"/>
    <w:rsid w:val="00E268D0"/>
    <w:rsid w:val="00E313D8"/>
    <w:rsid w:val="00E34C0B"/>
    <w:rsid w:val="00E355A4"/>
    <w:rsid w:val="00E3630A"/>
    <w:rsid w:val="00E36FCD"/>
    <w:rsid w:val="00E3792E"/>
    <w:rsid w:val="00E42631"/>
    <w:rsid w:val="00E54A26"/>
    <w:rsid w:val="00E55422"/>
    <w:rsid w:val="00E556D3"/>
    <w:rsid w:val="00E605B7"/>
    <w:rsid w:val="00E639DE"/>
    <w:rsid w:val="00E67228"/>
    <w:rsid w:val="00E70CA4"/>
    <w:rsid w:val="00E70D5E"/>
    <w:rsid w:val="00E71E4A"/>
    <w:rsid w:val="00E72217"/>
    <w:rsid w:val="00E74EF8"/>
    <w:rsid w:val="00E75BFB"/>
    <w:rsid w:val="00E77194"/>
    <w:rsid w:val="00E7743A"/>
    <w:rsid w:val="00E77DD4"/>
    <w:rsid w:val="00E80301"/>
    <w:rsid w:val="00E90F3F"/>
    <w:rsid w:val="00E921F1"/>
    <w:rsid w:val="00E93DA6"/>
    <w:rsid w:val="00E944C1"/>
    <w:rsid w:val="00E94F19"/>
    <w:rsid w:val="00E957A9"/>
    <w:rsid w:val="00EA260E"/>
    <w:rsid w:val="00EA40B6"/>
    <w:rsid w:val="00EA43BD"/>
    <w:rsid w:val="00EA7366"/>
    <w:rsid w:val="00EA737A"/>
    <w:rsid w:val="00EB432D"/>
    <w:rsid w:val="00EB4997"/>
    <w:rsid w:val="00EB567D"/>
    <w:rsid w:val="00EB7F98"/>
    <w:rsid w:val="00EC0E5E"/>
    <w:rsid w:val="00EC0E78"/>
    <w:rsid w:val="00EC2034"/>
    <w:rsid w:val="00EC2551"/>
    <w:rsid w:val="00EC273A"/>
    <w:rsid w:val="00EC3F97"/>
    <w:rsid w:val="00EC7005"/>
    <w:rsid w:val="00ED0361"/>
    <w:rsid w:val="00ED609B"/>
    <w:rsid w:val="00ED7EC1"/>
    <w:rsid w:val="00EE2608"/>
    <w:rsid w:val="00EE44CA"/>
    <w:rsid w:val="00EE4E0D"/>
    <w:rsid w:val="00EE677F"/>
    <w:rsid w:val="00EE7872"/>
    <w:rsid w:val="00EE7D31"/>
    <w:rsid w:val="00EF0DAE"/>
    <w:rsid w:val="00EF1A17"/>
    <w:rsid w:val="00EF7DEF"/>
    <w:rsid w:val="00F12BA6"/>
    <w:rsid w:val="00F12F38"/>
    <w:rsid w:val="00F21926"/>
    <w:rsid w:val="00F23E40"/>
    <w:rsid w:val="00F24E01"/>
    <w:rsid w:val="00F264B6"/>
    <w:rsid w:val="00F328DC"/>
    <w:rsid w:val="00F36F82"/>
    <w:rsid w:val="00F40345"/>
    <w:rsid w:val="00F43CD9"/>
    <w:rsid w:val="00F44CD2"/>
    <w:rsid w:val="00F45570"/>
    <w:rsid w:val="00F45CC6"/>
    <w:rsid w:val="00F50479"/>
    <w:rsid w:val="00F529A1"/>
    <w:rsid w:val="00F52D41"/>
    <w:rsid w:val="00F53884"/>
    <w:rsid w:val="00F54D82"/>
    <w:rsid w:val="00F570E2"/>
    <w:rsid w:val="00F605F0"/>
    <w:rsid w:val="00F62252"/>
    <w:rsid w:val="00F634BF"/>
    <w:rsid w:val="00F706E4"/>
    <w:rsid w:val="00F70983"/>
    <w:rsid w:val="00F710F5"/>
    <w:rsid w:val="00F72D1E"/>
    <w:rsid w:val="00F7403E"/>
    <w:rsid w:val="00F769EE"/>
    <w:rsid w:val="00F80680"/>
    <w:rsid w:val="00F8235D"/>
    <w:rsid w:val="00F82F24"/>
    <w:rsid w:val="00F85FEA"/>
    <w:rsid w:val="00F86BB6"/>
    <w:rsid w:val="00F86F2A"/>
    <w:rsid w:val="00F87E05"/>
    <w:rsid w:val="00F91BB4"/>
    <w:rsid w:val="00F93E8D"/>
    <w:rsid w:val="00F940C0"/>
    <w:rsid w:val="00F96770"/>
    <w:rsid w:val="00F978BB"/>
    <w:rsid w:val="00FA241F"/>
    <w:rsid w:val="00FB0B6A"/>
    <w:rsid w:val="00FB16FB"/>
    <w:rsid w:val="00FB205F"/>
    <w:rsid w:val="00FB404A"/>
    <w:rsid w:val="00FC5158"/>
    <w:rsid w:val="00FC59D7"/>
    <w:rsid w:val="00FC64FD"/>
    <w:rsid w:val="00FD0FBE"/>
    <w:rsid w:val="00FD3C0B"/>
    <w:rsid w:val="00FD491D"/>
    <w:rsid w:val="00FD534B"/>
    <w:rsid w:val="00FD70F7"/>
    <w:rsid w:val="00FD75E2"/>
    <w:rsid w:val="00FE6579"/>
    <w:rsid w:val="00FE759D"/>
    <w:rsid w:val="00FF01C2"/>
    <w:rsid w:val="00FF4046"/>
    <w:rsid w:val="00FF5690"/>
    <w:rsid w:val="00FF5CC7"/>
    <w:rsid w:val="00FF6071"/>
    <w:rsid w:val="00FF757D"/>
    <w:rsid w:val="00FF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AA4660"/>
  <w15:chartTrackingRefBased/>
  <w15:docId w15:val="{D0598B97-269F-4991-9827-9040A4FB2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34B6B"/>
    <w:rPr>
      <w:rFonts w:ascii="Arial" w:hAnsi="Arial"/>
      <w:sz w:val="24"/>
      <w:szCs w:val="24"/>
    </w:rPr>
  </w:style>
  <w:style w:type="paragraph" w:styleId="Heading1">
    <w:name w:val="heading 1"/>
    <w:basedOn w:val="Normal"/>
    <w:next w:val="Normal"/>
    <w:qFormat/>
    <w:rsid w:val="00534B6B"/>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34B6B"/>
    <w:pPr>
      <w:overflowPunct w:val="0"/>
      <w:autoSpaceDE w:val="0"/>
      <w:autoSpaceDN w:val="0"/>
      <w:adjustRightInd w:val="0"/>
      <w:textAlignment w:val="baseline"/>
    </w:pPr>
    <w:rPr>
      <w:rFonts w:ascii="Courier" w:hAnsi="Courier"/>
      <w:szCs w:val="20"/>
    </w:rPr>
  </w:style>
  <w:style w:type="paragraph" w:styleId="TOC6">
    <w:name w:val="toc 6"/>
    <w:basedOn w:val="Normal"/>
    <w:next w:val="Normal"/>
    <w:semiHidden/>
    <w:rsid w:val="00534B6B"/>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paragraph" w:styleId="ListParagraph">
    <w:name w:val="List Paragraph"/>
    <w:basedOn w:val="Normal"/>
    <w:uiPriority w:val="34"/>
    <w:qFormat/>
    <w:rsid w:val="00B97FAD"/>
    <w:pPr>
      <w:ind w:left="720"/>
      <w:contextualSpacing/>
    </w:pPr>
    <w:rPr>
      <w:rFonts w:ascii="Times New Roman" w:eastAsia="Calibri" w:hAnsi="Times New Roman"/>
    </w:rPr>
  </w:style>
  <w:style w:type="paragraph" w:styleId="BalloonText">
    <w:name w:val="Balloon Text"/>
    <w:basedOn w:val="Normal"/>
    <w:link w:val="BalloonTextChar"/>
    <w:rsid w:val="002C7AC2"/>
    <w:rPr>
      <w:rFonts w:ascii="Tahoma" w:hAnsi="Tahoma" w:cs="Tahoma"/>
      <w:sz w:val="16"/>
      <w:szCs w:val="16"/>
    </w:rPr>
  </w:style>
  <w:style w:type="character" w:customStyle="1" w:styleId="BalloonTextChar">
    <w:name w:val="Balloon Text Char"/>
    <w:link w:val="BalloonText"/>
    <w:rsid w:val="002C7AC2"/>
    <w:rPr>
      <w:rFonts w:ascii="Tahoma" w:hAnsi="Tahoma" w:cs="Tahoma"/>
      <w:sz w:val="16"/>
      <w:szCs w:val="16"/>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ootnote Text Char1,ft,fn"/>
    <w:basedOn w:val="Normal"/>
    <w:link w:val="FootnoteTextChar"/>
    <w:uiPriority w:val="99"/>
    <w:rsid w:val="007C5A0E"/>
    <w:rPr>
      <w:sz w:val="20"/>
      <w:szCs w:val="20"/>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link w:val="FootnoteText"/>
    <w:uiPriority w:val="99"/>
    <w:rsid w:val="007C5A0E"/>
    <w:rPr>
      <w:rFonts w:ascii="Arial" w:hAnsi="Arial"/>
    </w:rPr>
  </w:style>
  <w:style w:type="character" w:styleId="FootnoteReference">
    <w:name w:val="footnote reference"/>
    <w:aliases w:val="fr,Style 19,Style 16,Style 35,Style 39,Style 14,12"/>
    <w:uiPriority w:val="99"/>
    <w:qFormat/>
    <w:rsid w:val="007C5A0E"/>
    <w:rPr>
      <w:vertAlign w:val="superscript"/>
    </w:rPr>
  </w:style>
  <w:style w:type="paragraph" w:styleId="Header">
    <w:name w:val="header"/>
    <w:basedOn w:val="Normal"/>
    <w:link w:val="HeaderChar"/>
    <w:rsid w:val="000C5D75"/>
    <w:pPr>
      <w:tabs>
        <w:tab w:val="center" w:pos="4680"/>
        <w:tab w:val="right" w:pos="9360"/>
      </w:tabs>
    </w:pPr>
  </w:style>
  <w:style w:type="character" w:customStyle="1" w:styleId="HeaderChar">
    <w:name w:val="Header Char"/>
    <w:link w:val="Header"/>
    <w:rsid w:val="000C5D75"/>
    <w:rPr>
      <w:rFonts w:ascii="Arial" w:hAnsi="Arial"/>
      <w:sz w:val="24"/>
      <w:szCs w:val="24"/>
    </w:rPr>
  </w:style>
  <w:style w:type="paragraph" w:styleId="Footer">
    <w:name w:val="footer"/>
    <w:basedOn w:val="Normal"/>
    <w:link w:val="FooterChar"/>
    <w:uiPriority w:val="99"/>
    <w:rsid w:val="000C5D75"/>
    <w:pPr>
      <w:tabs>
        <w:tab w:val="center" w:pos="4680"/>
        <w:tab w:val="right" w:pos="9360"/>
      </w:tabs>
    </w:pPr>
  </w:style>
  <w:style w:type="character" w:customStyle="1" w:styleId="FooterChar">
    <w:name w:val="Footer Char"/>
    <w:link w:val="Footer"/>
    <w:uiPriority w:val="99"/>
    <w:rsid w:val="000C5D75"/>
    <w:rPr>
      <w:rFonts w:ascii="Arial" w:hAnsi="Arial"/>
      <w:sz w:val="24"/>
      <w:szCs w:val="24"/>
    </w:rPr>
  </w:style>
  <w:style w:type="character" w:styleId="Hyperlink">
    <w:name w:val="Hyperlink"/>
    <w:rsid w:val="005520D5"/>
    <w:rPr>
      <w:color w:val="0000FF"/>
      <w:u w:val="single"/>
    </w:rPr>
  </w:style>
  <w:style w:type="character" w:styleId="CommentReference">
    <w:name w:val="annotation reference"/>
    <w:rsid w:val="00F44CD2"/>
    <w:rPr>
      <w:sz w:val="16"/>
      <w:szCs w:val="16"/>
    </w:rPr>
  </w:style>
  <w:style w:type="paragraph" w:styleId="CommentText">
    <w:name w:val="annotation text"/>
    <w:basedOn w:val="Normal"/>
    <w:link w:val="CommentTextChar"/>
    <w:rsid w:val="00F44CD2"/>
    <w:rPr>
      <w:sz w:val="20"/>
      <w:szCs w:val="20"/>
    </w:rPr>
  </w:style>
  <w:style w:type="character" w:customStyle="1" w:styleId="CommentTextChar">
    <w:name w:val="Comment Text Char"/>
    <w:link w:val="CommentText"/>
    <w:rsid w:val="00F44CD2"/>
    <w:rPr>
      <w:rFonts w:ascii="Arial" w:hAnsi="Arial"/>
    </w:rPr>
  </w:style>
  <w:style w:type="paragraph" w:styleId="CommentSubject">
    <w:name w:val="annotation subject"/>
    <w:basedOn w:val="CommentText"/>
    <w:next w:val="CommentText"/>
    <w:link w:val="CommentSubjectChar"/>
    <w:rsid w:val="00F44CD2"/>
    <w:rPr>
      <w:b/>
      <w:bCs/>
    </w:rPr>
  </w:style>
  <w:style w:type="character" w:customStyle="1" w:styleId="CommentSubjectChar">
    <w:name w:val="Comment Subject Char"/>
    <w:link w:val="CommentSubject"/>
    <w:rsid w:val="00F44CD2"/>
    <w:rPr>
      <w:rFonts w:ascii="Arial" w:hAnsi="Arial"/>
      <w:b/>
      <w:bCs/>
    </w:rPr>
  </w:style>
  <w:style w:type="paragraph" w:styleId="PlainText">
    <w:name w:val="Plain Text"/>
    <w:basedOn w:val="Normal"/>
    <w:link w:val="PlainTextChar"/>
    <w:uiPriority w:val="99"/>
    <w:unhideWhenUsed/>
    <w:rsid w:val="00046624"/>
    <w:rPr>
      <w:rFonts w:ascii="Consolas" w:eastAsia="Calibri" w:hAnsi="Consolas"/>
      <w:sz w:val="21"/>
      <w:szCs w:val="21"/>
    </w:rPr>
  </w:style>
  <w:style w:type="character" w:customStyle="1" w:styleId="PlainTextChar">
    <w:name w:val="Plain Text Char"/>
    <w:link w:val="PlainText"/>
    <w:uiPriority w:val="99"/>
    <w:rsid w:val="00046624"/>
    <w:rPr>
      <w:rFonts w:ascii="Consolas" w:eastAsia="Calibri" w:hAnsi="Consolas"/>
      <w:sz w:val="21"/>
      <w:szCs w:val="21"/>
    </w:rPr>
  </w:style>
  <w:style w:type="paragraph" w:styleId="NormalWeb">
    <w:name w:val="Normal (Web)"/>
    <w:basedOn w:val="Normal"/>
    <w:uiPriority w:val="99"/>
    <w:unhideWhenUsed/>
    <w:rsid w:val="00CC152B"/>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708943">
      <w:bodyDiv w:val="1"/>
      <w:marLeft w:val="0"/>
      <w:marRight w:val="0"/>
      <w:marTop w:val="0"/>
      <w:marBottom w:val="0"/>
      <w:divBdr>
        <w:top w:val="none" w:sz="0" w:space="0" w:color="auto"/>
        <w:left w:val="none" w:sz="0" w:space="0" w:color="auto"/>
        <w:bottom w:val="none" w:sz="0" w:space="0" w:color="auto"/>
        <w:right w:val="none" w:sz="0" w:space="0" w:color="auto"/>
      </w:divBdr>
    </w:div>
    <w:div w:id="699673130">
      <w:bodyDiv w:val="1"/>
      <w:marLeft w:val="0"/>
      <w:marRight w:val="0"/>
      <w:marTop w:val="0"/>
      <w:marBottom w:val="0"/>
      <w:divBdr>
        <w:top w:val="none" w:sz="0" w:space="0" w:color="auto"/>
        <w:left w:val="none" w:sz="0" w:space="0" w:color="auto"/>
        <w:bottom w:val="none" w:sz="0" w:space="0" w:color="auto"/>
        <w:right w:val="none" w:sz="0" w:space="0" w:color="auto"/>
      </w:divBdr>
    </w:div>
    <w:div w:id="1007751997">
      <w:bodyDiv w:val="1"/>
      <w:marLeft w:val="0"/>
      <w:marRight w:val="0"/>
      <w:marTop w:val="0"/>
      <w:marBottom w:val="0"/>
      <w:divBdr>
        <w:top w:val="none" w:sz="0" w:space="0" w:color="auto"/>
        <w:left w:val="none" w:sz="0" w:space="0" w:color="auto"/>
        <w:bottom w:val="none" w:sz="0" w:space="0" w:color="auto"/>
        <w:right w:val="none" w:sz="0" w:space="0" w:color="auto"/>
      </w:divBdr>
    </w:div>
    <w:div w:id="1075080828">
      <w:bodyDiv w:val="1"/>
      <w:marLeft w:val="0"/>
      <w:marRight w:val="0"/>
      <w:marTop w:val="0"/>
      <w:marBottom w:val="0"/>
      <w:divBdr>
        <w:top w:val="none" w:sz="0" w:space="0" w:color="auto"/>
        <w:left w:val="none" w:sz="0" w:space="0" w:color="auto"/>
        <w:bottom w:val="none" w:sz="0" w:space="0" w:color="auto"/>
        <w:right w:val="none" w:sz="0" w:space="0" w:color="auto"/>
      </w:divBdr>
    </w:div>
    <w:div w:id="1144352303">
      <w:bodyDiv w:val="1"/>
      <w:marLeft w:val="0"/>
      <w:marRight w:val="0"/>
      <w:marTop w:val="0"/>
      <w:marBottom w:val="0"/>
      <w:divBdr>
        <w:top w:val="none" w:sz="0" w:space="0" w:color="auto"/>
        <w:left w:val="none" w:sz="0" w:space="0" w:color="auto"/>
        <w:bottom w:val="none" w:sz="0" w:space="0" w:color="auto"/>
        <w:right w:val="none" w:sz="0" w:space="0" w:color="auto"/>
      </w:divBdr>
    </w:div>
    <w:div w:id="1871794417">
      <w:bodyDiv w:val="1"/>
      <w:marLeft w:val="0"/>
      <w:marRight w:val="0"/>
      <w:marTop w:val="0"/>
      <w:marBottom w:val="0"/>
      <w:divBdr>
        <w:top w:val="none" w:sz="0" w:space="0" w:color="auto"/>
        <w:left w:val="none" w:sz="0" w:space="0" w:color="auto"/>
        <w:bottom w:val="none" w:sz="0" w:space="0" w:color="auto"/>
        <w:right w:val="none" w:sz="0" w:space="0" w:color="auto"/>
      </w:divBdr>
    </w:div>
    <w:div w:id="2061899349">
      <w:bodyDiv w:val="1"/>
      <w:marLeft w:val="0"/>
      <w:marRight w:val="0"/>
      <w:marTop w:val="0"/>
      <w:marBottom w:val="0"/>
      <w:divBdr>
        <w:top w:val="none" w:sz="0" w:space="0" w:color="auto"/>
        <w:left w:val="none" w:sz="0" w:space="0" w:color="auto"/>
        <w:bottom w:val="none" w:sz="0" w:space="0" w:color="auto"/>
        <w:right w:val="none" w:sz="0" w:space="0" w:color="auto"/>
      </w:divBdr>
    </w:div>
    <w:div w:id="210923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fidential1 xmlns="a022ed7a-fce8-465b-bc62-1c8368cd056f">Non-confidential</Confidential1>
    <Type_x0020_of_x0020_Document xmlns="e740feb5-aee2-4b7f-b707-3779e6de7904">PRA</Type_x0020_of_x0020_Documen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396B082A093642AAE5137BE8245962" ma:contentTypeVersion="3" ma:contentTypeDescription="Create a new document." ma:contentTypeScope="" ma:versionID="05b1cfc713d923102066ef1a5af8fdd0">
  <xsd:schema xmlns:xsd="http://www.w3.org/2001/XMLSchema" xmlns:xs="http://www.w3.org/2001/XMLSchema" xmlns:p="http://schemas.microsoft.com/office/2006/metadata/properties" xmlns:ns2="a022ed7a-fce8-465b-bc62-1c8368cd056f" xmlns:ns3="e740feb5-aee2-4b7f-b707-3779e6de7904" targetNamespace="http://schemas.microsoft.com/office/2006/metadata/properties" ma:root="true" ma:fieldsID="d83ba39d62ddaaeaa1ae749368146440" ns2:_="" ns3:_="">
    <xsd:import namespace="a022ed7a-fce8-465b-bc62-1c8368cd056f"/>
    <xsd:import namespace="e740feb5-aee2-4b7f-b707-3779e6de7904"/>
    <xsd:element name="properties">
      <xsd:complexType>
        <xsd:sequence>
          <xsd:element name="documentManagement">
            <xsd:complexType>
              <xsd:all>
                <xsd:element ref="ns2:Confidential1" minOccurs="0"/>
                <xsd:element ref="ns3:Type_x0020_of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22ed7a-fce8-465b-bc62-1c8368cd056f" elementFormDefault="qualified">
    <xsd:import namespace="http://schemas.microsoft.com/office/2006/documentManagement/types"/>
    <xsd:import namespace="http://schemas.microsoft.com/office/infopath/2007/PartnerControls"/>
    <xsd:element name="Confidential1" ma:index="8" nillable="true" ma:displayName="Confidential" ma:default="Confidential" ma:format="Dropdown" ma:internalName="Confidential1">
      <xsd:simpleType>
        <xsd:restriction base="dms:Choice">
          <xsd:enumeration value="Confidential"/>
          <xsd:enumeration value="Non-confidential"/>
        </xsd:restriction>
      </xsd:simpleType>
    </xsd:element>
  </xsd:schema>
  <xsd:schema xmlns:xsd="http://www.w3.org/2001/XMLSchema" xmlns:xs="http://www.w3.org/2001/XMLSchema" xmlns:dms="http://schemas.microsoft.com/office/2006/documentManagement/types" xmlns:pc="http://schemas.microsoft.com/office/infopath/2007/PartnerControls" targetNamespace="e740feb5-aee2-4b7f-b707-3779e6de7904" elementFormDefault="qualified">
    <xsd:import namespace="http://schemas.microsoft.com/office/2006/documentManagement/types"/>
    <xsd:import namespace="http://schemas.microsoft.com/office/infopath/2007/PartnerControls"/>
    <xsd:element name="Type_x0020_of_x0020_Document" ma:index="9" nillable="true" ma:displayName="Document Type" ma:format="Dropdown" ma:internalName="Type_x0020_of_x0020_Document">
      <xsd:simpleType>
        <xsd:restriction base="dms:Choice">
          <xsd:enumeration value="NPRM"/>
          <xsd:enumeration value="CBA"/>
          <xsd:enumeration value="PRA"/>
          <xsd:enumeration value="Final Rule"/>
          <xsd:enumeration value="Mem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087BE-C536-41D7-A879-AF189D888F1C}">
  <ds:schemaRefs>
    <ds:schemaRef ds:uri="http://schemas.microsoft.com/office/2006/metadata/longProperties"/>
  </ds:schemaRefs>
</ds:datastoreItem>
</file>

<file path=customXml/itemProps2.xml><?xml version="1.0" encoding="utf-8"?>
<ds:datastoreItem xmlns:ds="http://schemas.openxmlformats.org/officeDocument/2006/customXml" ds:itemID="{0AB61EFC-8B56-42E6-A0BD-7B4C811D2934}">
  <ds:schemaRefs>
    <ds:schemaRef ds:uri="http://schemas.microsoft.com/sharepoint/v3/contenttype/forms"/>
  </ds:schemaRefs>
</ds:datastoreItem>
</file>

<file path=customXml/itemProps3.xml><?xml version="1.0" encoding="utf-8"?>
<ds:datastoreItem xmlns:ds="http://schemas.openxmlformats.org/officeDocument/2006/customXml" ds:itemID="{A3077E31-BB5B-45FD-889F-B1CEB2D61A0C}">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a022ed7a-fce8-465b-bc62-1c8368cd056f"/>
    <ds:schemaRef ds:uri="http://purl.org/dc/terms/"/>
    <ds:schemaRef ds:uri="e740feb5-aee2-4b7f-b707-3779e6de7904"/>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A2C11A9A-6CD4-49B3-A20C-BF8B14B20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22ed7a-fce8-465b-bc62-1c8368cd056f"/>
    <ds:schemaRef ds:uri="e740feb5-aee2-4b7f-b707-3779e6de7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353822D-B164-4D99-BD08-1F3449DD9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3117</Words>
  <Characters>17364</Characters>
  <Application>Microsoft Office Word</Application>
  <DocSecurity>4</DocSecurity>
  <Lines>144</Lines>
  <Paragraphs>40</Paragraphs>
  <ScaleCrop>false</ScaleCrop>
  <HeadingPairs>
    <vt:vector size="2" baseType="variant">
      <vt:variant>
        <vt:lpstr>Title</vt:lpstr>
      </vt:variant>
      <vt:variant>
        <vt:i4>1</vt:i4>
      </vt:variant>
    </vt:vector>
  </HeadingPairs>
  <TitlesOfParts>
    <vt:vector size="1" baseType="lpstr">
      <vt:lpstr>Supporting Statement for New and Revised Information Collections</vt:lpstr>
    </vt:vector>
  </TitlesOfParts>
  <Company>CFTC</Company>
  <LinksUpToDate>false</LinksUpToDate>
  <CharactersWithSpaces>20441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New and Revised Information Collections</dc:title>
  <dc:subject>Supporting Statement required by OMB justifying any proposed collection of information subject to the PRA.</dc:subject>
  <dc:creator>Office of General Counsel (OGC)</dc:creator>
  <cp:keywords>Paperwork Reduction Act, PRA, supporting statement, information collection</cp:keywords>
  <dc:description>Response to OGC 11/15/20 comments; sent to OGC 11/16/20</dc:description>
  <cp:lastModifiedBy>Scott, Gail B.</cp:lastModifiedBy>
  <cp:revision>2</cp:revision>
  <cp:lastPrinted>2016-10-11T13:02:00Z</cp:lastPrinted>
  <dcterms:created xsi:type="dcterms:W3CDTF">2021-01-28T22:22:00Z</dcterms:created>
  <dcterms:modified xsi:type="dcterms:W3CDTF">2021-01-28T22:22:00Z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0x010100D0396B082A093642AAE5137BE8245962</vt:lpwstr>
  </property>
  <property fmtid="{D5CDD505-2E9C-101B-9397-08002B2CF9AE}" pid="3" name="Comments">
    <vt:lpwstr/>
  </property>
</Properties>
</file>