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0CD4" w:rsidP="00090CD4" w:rsidRDefault="00090CD4" w14:paraId="0039FD87" w14:textId="0D337F2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Appraisal Subcommittee of the </w:t>
      </w:r>
      <w:r w:rsidR="00AB4286">
        <w:rPr>
          <w:b/>
          <w:bCs/>
          <w:u w:val="single"/>
        </w:rPr>
        <w:t>Federal Financial Institutions Examination Council</w:t>
      </w:r>
    </w:p>
    <w:p w:rsidR="005B33EC" w:rsidP="00090CD4" w:rsidRDefault="00525696" w14:paraId="1C6410FA" w14:textId="02047646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Supporting Statement A</w:t>
      </w:r>
    </w:p>
    <w:p w:rsidR="00525696" w:rsidP="00090CD4" w:rsidRDefault="00525696" w14:paraId="48190763" w14:textId="4B6B75C0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ICR – Standardized Instructions and Format to be </w:t>
      </w:r>
      <w:r w:rsidR="00BE3C6F">
        <w:rPr>
          <w:b/>
          <w:bCs/>
          <w:u w:val="single"/>
        </w:rPr>
        <w:t>U</w:t>
      </w:r>
      <w:r>
        <w:rPr>
          <w:b/>
          <w:bCs/>
          <w:u w:val="single"/>
        </w:rPr>
        <w:t>sed</w:t>
      </w:r>
    </w:p>
    <w:p w:rsidR="00525696" w:rsidP="00090CD4" w:rsidRDefault="00090CD4" w14:paraId="2788D7A9" w14:textId="6B60F784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For Interim and Final Progress Report</w:t>
      </w:r>
    </w:p>
    <w:p w:rsidR="005B33EC" w:rsidP="005B33EC" w:rsidRDefault="005B33EC" w14:paraId="0A0A9A7B" w14:textId="77777777">
      <w:pPr>
        <w:jc w:val="left"/>
        <w:rPr>
          <w:b/>
          <w:bCs/>
          <w:u w:val="single"/>
        </w:rPr>
      </w:pPr>
    </w:p>
    <w:p w:rsidRPr="00AD292F" w:rsidR="004517C3" w:rsidP="005B33EC" w:rsidRDefault="00C47718" w14:paraId="65FD2C9B" w14:textId="45EC01B7">
      <w:pPr>
        <w:jc w:val="left"/>
        <w:rPr>
          <w:b/>
          <w:bCs/>
          <w:u w:val="single"/>
        </w:rPr>
      </w:pPr>
      <w:r w:rsidRPr="00AD292F">
        <w:rPr>
          <w:b/>
          <w:bCs/>
          <w:u w:val="single"/>
        </w:rPr>
        <w:t>A.</w:t>
      </w:r>
      <w:r w:rsidRPr="00AD292F">
        <w:rPr>
          <w:b/>
          <w:bCs/>
          <w:u w:val="single"/>
        </w:rPr>
        <w:tab/>
        <w:t>J</w:t>
      </w:r>
      <w:r w:rsidRPr="00AD292F" w:rsidR="00717E61">
        <w:rPr>
          <w:b/>
          <w:bCs/>
          <w:u w:val="single"/>
        </w:rPr>
        <w:t>USTIFICATION</w:t>
      </w:r>
    </w:p>
    <w:p w:rsidRPr="00717E61" w:rsidR="004517C3" w:rsidP="00642384" w:rsidRDefault="00C47718" w14:paraId="3CA52C05" w14:textId="0352398C">
      <w:pPr>
        <w:tabs>
          <w:tab w:val="clear" w:pos="360"/>
          <w:tab w:val="left" w:pos="540"/>
        </w:tabs>
        <w:jc w:val="left"/>
      </w:pPr>
      <w:r w:rsidRPr="00AC5E4B">
        <w:rPr>
          <w:b/>
          <w:bCs/>
        </w:rPr>
        <w:t>1.</w:t>
      </w:r>
      <w:r w:rsidRPr="00AC5E4B">
        <w:rPr>
          <w:b/>
          <w:bCs/>
        </w:rPr>
        <w:tab/>
      </w:r>
      <w:r w:rsidRPr="00AC5E4B" w:rsidR="00AC5E4B">
        <w:rPr>
          <w:b/>
          <w:bCs/>
          <w:u w:val="single"/>
        </w:rPr>
        <w:t>C</w:t>
      </w:r>
      <w:r w:rsidRPr="00AC5E4B">
        <w:rPr>
          <w:b/>
          <w:bCs/>
          <w:u w:val="single"/>
        </w:rPr>
        <w:t>ircumstances that make the collection of information necessary</w:t>
      </w:r>
    </w:p>
    <w:p w:rsidR="004517C3" w:rsidP="00642384" w:rsidRDefault="007B69DE" w14:paraId="2796A35E" w14:textId="54465712">
      <w:p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540"/>
        </w:tabs>
        <w:ind w:left="540"/>
        <w:jc w:val="left"/>
        <w:rPr>
          <w:b/>
          <w:color w:val="000000"/>
        </w:rPr>
      </w:pPr>
      <w:r w:rsidRPr="003C48A0">
        <w:rPr>
          <w:color w:val="000000"/>
        </w:rPr>
        <w:t xml:space="preserve">The </w:t>
      </w:r>
      <w:r w:rsidR="00313797">
        <w:rPr>
          <w:color w:val="000000"/>
        </w:rPr>
        <w:t>Appraisal Subcommittee (ASC)</w:t>
      </w:r>
      <w:r w:rsidR="000978E0">
        <w:rPr>
          <w:color w:val="000000"/>
        </w:rPr>
        <w:t xml:space="preserve"> </w:t>
      </w:r>
      <w:r w:rsidR="00A0633E">
        <w:rPr>
          <w:color w:val="000000"/>
        </w:rPr>
        <w:t>is authorized under Title XI of the Financial Institutions Reform, Recovery and Enforcement Ac</w:t>
      </w:r>
      <w:r w:rsidR="007126F6">
        <w:rPr>
          <w:color w:val="000000"/>
        </w:rPr>
        <w:t xml:space="preserve">t </w:t>
      </w:r>
      <w:r w:rsidR="00376102">
        <w:rPr>
          <w:color w:val="000000"/>
        </w:rPr>
        <w:t xml:space="preserve">(Title XI) </w:t>
      </w:r>
      <w:r w:rsidR="007126F6">
        <w:rPr>
          <w:color w:val="000000"/>
        </w:rPr>
        <w:t>to award grants to S</w:t>
      </w:r>
      <w:r w:rsidR="00234CC2">
        <w:rPr>
          <w:color w:val="000000"/>
        </w:rPr>
        <w:t>tates, the Appraisal Foundation</w:t>
      </w:r>
      <w:r w:rsidR="007A5DBA">
        <w:rPr>
          <w:color w:val="000000"/>
        </w:rPr>
        <w:t xml:space="preserve"> and non-profit and for-profit organizations.  </w:t>
      </w:r>
      <w:r w:rsidR="001A79D7">
        <w:rPr>
          <w:color w:val="000000"/>
        </w:rPr>
        <w:t xml:space="preserve">These grants </w:t>
      </w:r>
      <w:r w:rsidR="004F2E74">
        <w:rPr>
          <w:color w:val="000000"/>
        </w:rPr>
        <w:t xml:space="preserve">provide State appraiser regulatory agencies </w:t>
      </w:r>
      <w:r w:rsidR="00D6321D">
        <w:rPr>
          <w:color w:val="000000"/>
        </w:rPr>
        <w:t xml:space="preserve">support for training, oversight and management of the appraisal community in their States.  </w:t>
      </w:r>
      <w:r w:rsidR="00B54AE2">
        <w:rPr>
          <w:color w:val="000000"/>
        </w:rPr>
        <w:t xml:space="preserve">The ASC </w:t>
      </w:r>
      <w:r w:rsidR="00E63501">
        <w:rPr>
          <w:color w:val="000000"/>
        </w:rPr>
        <w:t xml:space="preserve">must collect progress report information to meet its responsibilities under 2 CFR 200.300 to “ensure that Federal funding is expended, and associated </w:t>
      </w:r>
      <w:r w:rsidR="00942EF1">
        <w:rPr>
          <w:color w:val="000000"/>
        </w:rPr>
        <w:t>programs are implemented, in full accordance with U.S. statutory and public policy requirements…</w:t>
      </w:r>
      <w:r w:rsidR="00047557">
        <w:rPr>
          <w:color w:val="000000"/>
        </w:rPr>
        <w:t>.</w:t>
      </w:r>
      <w:r w:rsidR="00942EF1">
        <w:rPr>
          <w:color w:val="000000"/>
        </w:rPr>
        <w:t>”</w:t>
      </w:r>
      <w:r w:rsidRPr="00474BA9" w:rsidR="003C48A0">
        <w:rPr>
          <w:color w:val="000000"/>
        </w:rPr>
        <w:t xml:space="preserve">  </w:t>
      </w:r>
    </w:p>
    <w:p w:rsidR="004517C3" w:rsidP="004E01FD" w:rsidRDefault="00C47718" w14:paraId="59062809" w14:textId="6C55A4A3">
      <w:pPr>
        <w:tabs>
          <w:tab w:val="clear" w:pos="360"/>
          <w:tab w:val="left" w:pos="540"/>
        </w:tabs>
        <w:jc w:val="left"/>
      </w:pPr>
      <w:bookmarkStart w:name="_heading=h.30j0zll" w:colFirst="0" w:colLast="0" w:id="0"/>
      <w:bookmarkStart w:name="_heading=h.jiru64iaxdo6" w:colFirst="0" w:colLast="0" w:id="1"/>
      <w:bookmarkEnd w:id="0"/>
      <w:bookmarkEnd w:id="1"/>
      <w:r w:rsidRPr="00E60D0C">
        <w:rPr>
          <w:b/>
          <w:bCs/>
        </w:rPr>
        <w:t xml:space="preserve">2. </w:t>
      </w:r>
      <w:r w:rsidR="00E60D0C">
        <w:rPr>
          <w:b/>
          <w:bCs/>
        </w:rPr>
        <w:tab/>
      </w:r>
      <w:r w:rsidRPr="00E84E32" w:rsidR="00E60D0C">
        <w:rPr>
          <w:b/>
          <w:bCs/>
          <w:u w:val="single"/>
        </w:rPr>
        <w:t>Use and sharing of collected information</w:t>
      </w:r>
    </w:p>
    <w:p w:rsidRPr="0081555C" w:rsidR="004517C3" w:rsidP="004E01FD" w:rsidRDefault="00FC74A4" w14:paraId="5C3AC7C5" w14:textId="425759C7">
      <w:pPr>
        <w:tabs>
          <w:tab w:val="clear" w:pos="360"/>
          <w:tab w:val="left" w:pos="540"/>
        </w:tabs>
        <w:ind w:left="540"/>
        <w:jc w:val="left"/>
        <w:rPr>
          <w:b/>
        </w:rPr>
      </w:pPr>
      <w:r w:rsidRPr="0081555C">
        <w:t>Data from these progress report forms will be used for grant monitoring, feedback to grantees</w:t>
      </w:r>
      <w:r w:rsidR="003041ED">
        <w:t xml:space="preserve">, technical </w:t>
      </w:r>
      <w:proofErr w:type="gramStart"/>
      <w:r w:rsidR="003041ED">
        <w:t>assistance</w:t>
      </w:r>
      <w:proofErr w:type="gramEnd"/>
      <w:r w:rsidR="003041ED">
        <w:t xml:space="preserve"> </w:t>
      </w:r>
      <w:r w:rsidR="00854F4F">
        <w:t xml:space="preserve">and </w:t>
      </w:r>
      <w:r w:rsidRPr="0081555C">
        <w:t xml:space="preserve">long-term planning. </w:t>
      </w:r>
    </w:p>
    <w:p w:rsidR="00FC74A4" w:rsidP="004E01FD" w:rsidRDefault="00933828" w14:paraId="560EBCFD" w14:textId="373AA687">
      <w:pPr>
        <w:tabs>
          <w:tab w:val="clear" w:pos="360"/>
          <w:tab w:val="left" w:pos="540"/>
        </w:tabs>
        <w:ind w:left="540"/>
        <w:jc w:val="left"/>
        <w:rPr>
          <w:b/>
        </w:rPr>
      </w:pPr>
      <w:r>
        <w:t>The ASC</w:t>
      </w:r>
      <w:r w:rsidRPr="0081555C" w:rsidR="00FC74A4">
        <w:t xml:space="preserve"> has developed </w:t>
      </w:r>
      <w:r w:rsidR="0074573A">
        <w:t>the progress report</w:t>
      </w:r>
      <w:r w:rsidRPr="0081555C" w:rsidR="00FC74A4">
        <w:t xml:space="preserve"> to collect </w:t>
      </w:r>
      <w:r w:rsidR="00277EC8">
        <w:t xml:space="preserve">qualitative </w:t>
      </w:r>
      <w:r w:rsidRPr="0081555C" w:rsidR="00FC74A4">
        <w:t>data on program activities such as staffing</w:t>
      </w:r>
      <w:r w:rsidR="00903BCA">
        <w:t>, training, communication</w:t>
      </w:r>
      <w:r w:rsidR="00E63366">
        <w:t xml:space="preserve"> and </w:t>
      </w:r>
      <w:r w:rsidR="00903BCA">
        <w:t>other activities conducted under the grant</w:t>
      </w:r>
      <w:r w:rsidRPr="0081555C" w:rsidR="00FC74A4">
        <w:t>. These reports also collect qualitative data on the status of grantee progress, problems encountered</w:t>
      </w:r>
      <w:r w:rsidR="00B92AE1">
        <w:t>, best practices and the grantees’ assessments on how they used funds effectively</w:t>
      </w:r>
      <w:r w:rsidR="00C328E7">
        <w:t>.</w:t>
      </w:r>
    </w:p>
    <w:p w:rsidRPr="00D13250" w:rsidR="004517C3" w:rsidP="004E01FD" w:rsidRDefault="00C47718" w14:paraId="0E750962" w14:textId="65BA98B5">
      <w:pPr>
        <w:keepNext/>
        <w:widowControl/>
        <w:tabs>
          <w:tab w:val="clear" w:pos="360"/>
          <w:tab w:val="left" w:pos="540"/>
        </w:tabs>
        <w:jc w:val="left"/>
        <w:rPr>
          <w:color w:val="000000"/>
        </w:rPr>
      </w:pPr>
      <w:r w:rsidRPr="00AA6B04">
        <w:rPr>
          <w:b/>
          <w:bCs/>
        </w:rPr>
        <w:t>3.</w:t>
      </w:r>
      <w:r w:rsidR="00AA6B04">
        <w:rPr>
          <w:b/>
          <w:bCs/>
        </w:rPr>
        <w:tab/>
      </w:r>
      <w:r w:rsidR="00AA6B04">
        <w:rPr>
          <w:b/>
          <w:bCs/>
          <w:u w:val="single"/>
        </w:rPr>
        <w:t>Use of information technology in information collection</w:t>
      </w:r>
    </w:p>
    <w:p w:rsidR="004517C3" w:rsidP="004E01FD" w:rsidRDefault="00E53E5E" w14:paraId="3AF5B56A" w14:textId="58DE7097">
      <w:p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540"/>
        </w:tabs>
        <w:ind w:left="540"/>
        <w:jc w:val="left"/>
        <w:rPr>
          <w:b/>
          <w:color w:val="000000"/>
        </w:rPr>
      </w:pPr>
      <w:r>
        <w:rPr>
          <w:color w:val="000000"/>
        </w:rPr>
        <w:t xml:space="preserve">The </w:t>
      </w:r>
      <w:r w:rsidR="00443EE2">
        <w:rPr>
          <w:color w:val="000000"/>
        </w:rPr>
        <w:t xml:space="preserve">Report will be collected in conjunction with the Federal Financial Report (SF 425) through the on-line Payment Management System operated by the U.S. Department of Health and Human </w:t>
      </w:r>
      <w:r w:rsidR="002C08B1">
        <w:rPr>
          <w:color w:val="000000"/>
        </w:rPr>
        <w:t xml:space="preserve">Services.  </w:t>
      </w:r>
      <w:r w:rsidR="00B137C3">
        <w:rPr>
          <w:color w:val="000000"/>
        </w:rPr>
        <w:t xml:space="preserve">  </w:t>
      </w:r>
    </w:p>
    <w:p w:rsidRPr="00BE68B3" w:rsidR="004517C3" w:rsidP="004E01FD" w:rsidRDefault="00C47718" w14:paraId="7F3D81EA" w14:textId="1BA4CAA7">
      <w:pPr>
        <w:tabs>
          <w:tab w:val="clear" w:pos="360"/>
          <w:tab w:val="left" w:pos="540"/>
        </w:tabs>
        <w:jc w:val="left"/>
      </w:pPr>
      <w:r w:rsidRPr="00B137C3">
        <w:rPr>
          <w:b/>
          <w:bCs/>
        </w:rPr>
        <w:t>4.</w:t>
      </w:r>
      <w:r w:rsidR="00B137C3">
        <w:rPr>
          <w:b/>
          <w:bCs/>
        </w:rPr>
        <w:tab/>
      </w:r>
      <w:r w:rsidR="00BE68B3">
        <w:rPr>
          <w:b/>
          <w:bCs/>
          <w:u w:val="single"/>
        </w:rPr>
        <w:t>Efforts to identify duplication</w:t>
      </w:r>
    </w:p>
    <w:p w:rsidR="004517C3" w:rsidP="004E01FD" w:rsidRDefault="00153284" w14:paraId="75ADE91D" w14:textId="06C1500E">
      <w:p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540"/>
        </w:tabs>
        <w:ind w:left="540"/>
        <w:jc w:val="left"/>
        <w:rPr>
          <w:b/>
        </w:rPr>
      </w:pPr>
      <w:r>
        <w:t xml:space="preserve">The ASC grantees are not required to provide this report to any other entity or in any other </w:t>
      </w:r>
      <w:r w:rsidR="00071896">
        <w:t xml:space="preserve">report or process of the ASC.  </w:t>
      </w:r>
      <w:r w:rsidR="001538AE">
        <w:t xml:space="preserve">  </w:t>
      </w:r>
    </w:p>
    <w:p w:rsidRPr="00717E61" w:rsidR="004517C3" w:rsidP="004E01FD" w:rsidRDefault="00C47718" w14:paraId="2BD4E829" w14:textId="3C07DAA3">
      <w:p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540"/>
        </w:tabs>
        <w:jc w:val="left"/>
        <w:rPr>
          <w:color w:val="000000"/>
        </w:rPr>
      </w:pPr>
      <w:r w:rsidRPr="006D5F44">
        <w:rPr>
          <w:b/>
          <w:bCs/>
          <w:color w:val="000000"/>
        </w:rPr>
        <w:t>5.</w:t>
      </w:r>
      <w:r w:rsidRPr="00717E61">
        <w:rPr>
          <w:color w:val="000000"/>
        </w:rPr>
        <w:t xml:space="preserve"> </w:t>
      </w:r>
      <w:r w:rsidR="0001128E">
        <w:rPr>
          <w:color w:val="000000"/>
        </w:rPr>
        <w:tab/>
      </w:r>
      <w:r w:rsidR="0001128E">
        <w:rPr>
          <w:b/>
          <w:bCs/>
          <w:color w:val="000000"/>
          <w:u w:val="single"/>
        </w:rPr>
        <w:t>Impacts on small businesses</w:t>
      </w:r>
      <w:r w:rsidRPr="00717E61">
        <w:rPr>
          <w:color w:val="000000"/>
        </w:rPr>
        <w:t xml:space="preserve"> </w:t>
      </w:r>
    </w:p>
    <w:p w:rsidR="004517C3" w:rsidP="004E01FD" w:rsidRDefault="00C47718" w14:paraId="21DB32A8" w14:textId="0E6BCE8B">
      <w:p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540"/>
        </w:tabs>
        <w:ind w:left="540"/>
        <w:jc w:val="left"/>
        <w:rPr>
          <w:b/>
          <w:color w:val="000000"/>
        </w:rPr>
      </w:pPr>
      <w:r>
        <w:rPr>
          <w:color w:val="000000"/>
        </w:rPr>
        <w:t xml:space="preserve">This information collection does not impact small businesses or other small entities. </w:t>
      </w:r>
      <w:r w:rsidR="000D6EAF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D44A75">
        <w:rPr>
          <w:color w:val="000000"/>
        </w:rPr>
        <w:t>ASC</w:t>
      </w:r>
      <w:r>
        <w:rPr>
          <w:color w:val="000000"/>
        </w:rPr>
        <w:t xml:space="preserve"> has made efforts to limit the information requested and burden on all participants. </w:t>
      </w:r>
      <w:r w:rsidR="00C66125">
        <w:rPr>
          <w:color w:val="000000"/>
        </w:rPr>
        <w:t xml:space="preserve"> </w:t>
      </w:r>
      <w:r>
        <w:rPr>
          <w:color w:val="000000"/>
        </w:rPr>
        <w:t xml:space="preserve">The information sought is limited </w:t>
      </w:r>
      <w:r w:rsidR="00353ED7">
        <w:rPr>
          <w:color w:val="000000"/>
        </w:rPr>
        <w:t>to information</w:t>
      </w:r>
      <w:r>
        <w:rPr>
          <w:color w:val="000000"/>
        </w:rPr>
        <w:t xml:space="preserve"> necessary to </w:t>
      </w:r>
      <w:r w:rsidR="00F4006B">
        <w:rPr>
          <w:color w:val="000000"/>
        </w:rPr>
        <w:t xml:space="preserve">monitor ASC </w:t>
      </w:r>
      <w:r w:rsidR="00A652BA">
        <w:rPr>
          <w:color w:val="000000"/>
        </w:rPr>
        <w:t>grant</w:t>
      </w:r>
      <w:r w:rsidR="00887FBE">
        <w:rPr>
          <w:color w:val="000000"/>
        </w:rPr>
        <w:t>ee</w:t>
      </w:r>
      <w:r w:rsidR="00A652BA">
        <w:rPr>
          <w:color w:val="000000"/>
        </w:rPr>
        <w:t xml:space="preserve"> </w:t>
      </w:r>
      <w:r w:rsidR="00547171">
        <w:rPr>
          <w:color w:val="000000"/>
        </w:rPr>
        <w:t>federal</w:t>
      </w:r>
      <w:r w:rsidR="00AA6B22">
        <w:rPr>
          <w:color w:val="000000"/>
        </w:rPr>
        <w:t>ly</w:t>
      </w:r>
      <w:r w:rsidR="00547171">
        <w:rPr>
          <w:color w:val="000000"/>
        </w:rPr>
        <w:t xml:space="preserve"> grant-funded activities</w:t>
      </w:r>
      <w:r w:rsidR="008E7D71">
        <w:rPr>
          <w:color w:val="000000"/>
        </w:rPr>
        <w:t xml:space="preserve">.  </w:t>
      </w:r>
    </w:p>
    <w:p w:rsidRPr="008153C0" w:rsidR="004517C3" w:rsidP="004E01FD" w:rsidRDefault="00C47718" w14:paraId="71330EA0" w14:textId="09AF0A9E">
      <w:pPr>
        <w:keepNext/>
        <w:widowControl/>
        <w:tabs>
          <w:tab w:val="clear" w:pos="360"/>
          <w:tab w:val="left" w:pos="540"/>
        </w:tabs>
        <w:jc w:val="left"/>
      </w:pPr>
      <w:r w:rsidRPr="000A425B">
        <w:rPr>
          <w:b/>
          <w:bCs/>
        </w:rPr>
        <w:lastRenderedPageBreak/>
        <w:t>6.</w:t>
      </w:r>
      <w:r w:rsidR="00C12A23">
        <w:rPr>
          <w:b/>
          <w:bCs/>
        </w:rPr>
        <w:tab/>
      </w:r>
      <w:r w:rsidR="00C12A23">
        <w:rPr>
          <w:b/>
          <w:bCs/>
          <w:u w:val="single"/>
        </w:rPr>
        <w:t>Consequences to the Federal program if the collection were conducted less frequently</w:t>
      </w:r>
    </w:p>
    <w:p w:rsidR="004517C3" w:rsidP="004E01FD" w:rsidRDefault="00C47718" w14:paraId="4EC507C9" w14:textId="315A4B6C">
      <w:p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540"/>
        </w:tabs>
        <w:ind w:left="540"/>
        <w:jc w:val="left"/>
        <w:rPr>
          <w:b/>
          <w:color w:val="000000"/>
        </w:rPr>
      </w:pPr>
      <w:bookmarkStart w:name="_heading=h.ungobr4y424a" w:colFirst="0" w:colLast="0" w:id="2"/>
      <w:bookmarkEnd w:id="2"/>
      <w:r w:rsidRPr="003363E6">
        <w:t xml:space="preserve">If the </w:t>
      </w:r>
      <w:r w:rsidR="00B1707B">
        <w:t>AS</w:t>
      </w:r>
      <w:r w:rsidRPr="003363E6">
        <w:t xml:space="preserve">C does not collect this </w:t>
      </w:r>
      <w:r w:rsidRPr="003363E6" w:rsidR="003746B5">
        <w:t>information,</w:t>
      </w:r>
      <w:r w:rsidRPr="003363E6">
        <w:t xml:space="preserve"> it will be unable to </w:t>
      </w:r>
      <w:r w:rsidR="008E7D71">
        <w:t xml:space="preserve">perform oversight </w:t>
      </w:r>
      <w:r w:rsidR="00B1707B">
        <w:t>of its grants program</w:t>
      </w:r>
      <w:r w:rsidR="003746B5">
        <w:t xml:space="preserve"> in a suitable manner</w:t>
      </w:r>
      <w:r w:rsidR="008E7D71">
        <w:t xml:space="preserve">.  </w:t>
      </w:r>
    </w:p>
    <w:p w:rsidRPr="00717E61" w:rsidR="004517C3" w:rsidP="004E01FD" w:rsidRDefault="00C47718" w14:paraId="77C88701" w14:textId="05AB2CA9">
      <w:pPr>
        <w:keepNext/>
        <w:widowControl/>
        <w:tabs>
          <w:tab w:val="clear" w:pos="360"/>
          <w:tab w:val="left" w:pos="540"/>
        </w:tabs>
        <w:jc w:val="left"/>
      </w:pPr>
      <w:r w:rsidRPr="003746B5">
        <w:rPr>
          <w:b/>
          <w:bCs/>
        </w:rPr>
        <w:t>7.</w:t>
      </w:r>
      <w:r w:rsidR="009D0E13">
        <w:rPr>
          <w:b/>
          <w:bCs/>
        </w:rPr>
        <w:tab/>
      </w:r>
      <w:r w:rsidRPr="00770DF6" w:rsidR="00A74F28">
        <w:rPr>
          <w:b/>
          <w:bCs/>
          <w:u w:val="single"/>
        </w:rPr>
        <w:t>S</w:t>
      </w:r>
      <w:r w:rsidRPr="00770DF6">
        <w:rPr>
          <w:b/>
          <w:bCs/>
          <w:u w:val="single"/>
        </w:rPr>
        <w:t xml:space="preserve">pecial circumstances </w:t>
      </w:r>
      <w:r w:rsidRPr="00770DF6" w:rsidR="00770DF6">
        <w:rPr>
          <w:b/>
          <w:bCs/>
          <w:u w:val="single"/>
        </w:rPr>
        <w:t>necessitating</w:t>
      </w:r>
      <w:r w:rsidRPr="00770DF6">
        <w:rPr>
          <w:b/>
          <w:bCs/>
          <w:u w:val="single"/>
        </w:rPr>
        <w:t xml:space="preserve"> collection inconsistent </w:t>
      </w:r>
      <w:r w:rsidRPr="00770DF6" w:rsidR="00770DF6">
        <w:rPr>
          <w:b/>
          <w:bCs/>
          <w:u w:val="single"/>
        </w:rPr>
        <w:t>w</w:t>
      </w:r>
      <w:r w:rsidRPr="00770DF6">
        <w:rPr>
          <w:b/>
          <w:bCs/>
          <w:u w:val="single"/>
        </w:rPr>
        <w:t>ith OMB guidelines</w:t>
      </w:r>
    </w:p>
    <w:p w:rsidRPr="00353ED7" w:rsidR="004517C3" w:rsidP="004E01FD" w:rsidRDefault="00C47718" w14:paraId="62F01B29" w14:textId="5EF624FC">
      <w:p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540"/>
        </w:tabs>
        <w:ind w:left="540"/>
        <w:jc w:val="left"/>
        <w:rPr>
          <w:b/>
        </w:rPr>
      </w:pPr>
      <w:r w:rsidRPr="00353ED7">
        <w:t>There are no special circumstances applicable to this information collection.</w:t>
      </w:r>
      <w:r w:rsidRPr="00353ED7" w:rsidR="00353ED7">
        <w:t xml:space="preserve">  </w:t>
      </w:r>
      <w:r w:rsidR="000D0F37">
        <w:t xml:space="preserve">  </w:t>
      </w:r>
    </w:p>
    <w:p w:rsidRPr="0031778C" w:rsidR="00796818" w:rsidP="004E01FD" w:rsidRDefault="00C47718" w14:paraId="304EE004" w14:textId="08DCD684">
      <w:pPr>
        <w:tabs>
          <w:tab w:val="clear" w:pos="360"/>
          <w:tab w:val="left" w:pos="540"/>
        </w:tabs>
        <w:ind w:right="-30"/>
        <w:jc w:val="left"/>
      </w:pPr>
      <w:r w:rsidRPr="0031778C">
        <w:rPr>
          <w:b/>
          <w:bCs/>
        </w:rPr>
        <w:t>8.</w:t>
      </w:r>
      <w:r w:rsidR="0031778C">
        <w:rPr>
          <w:b/>
          <w:bCs/>
        </w:rPr>
        <w:tab/>
      </w:r>
      <w:r w:rsidR="0031778C">
        <w:rPr>
          <w:b/>
          <w:bCs/>
          <w:u w:val="single"/>
        </w:rPr>
        <w:t>Efforts to consult with persons outside the agency</w:t>
      </w:r>
    </w:p>
    <w:p w:rsidRPr="00870FBA" w:rsidR="006B3AE4" w:rsidP="004E01FD" w:rsidRDefault="00A94719" w14:paraId="66A7D13C" w14:textId="11DD0450">
      <w:pPr>
        <w:tabs>
          <w:tab w:val="clear" w:pos="360"/>
          <w:tab w:val="left" w:pos="540"/>
        </w:tabs>
        <w:ind w:left="540" w:right="-30"/>
        <w:jc w:val="left"/>
      </w:pPr>
      <w:r>
        <w:t xml:space="preserve">As required by 5 CFR 1320.8(d), a Notice soliciting public comments was published in the </w:t>
      </w:r>
      <w:r w:rsidR="00E166B4">
        <w:rPr>
          <w:i/>
          <w:iCs/>
        </w:rPr>
        <w:t>Federal Register</w:t>
      </w:r>
      <w:r w:rsidR="00E166B4">
        <w:t xml:space="preserve"> on November 20, 2020</w:t>
      </w:r>
      <w:r w:rsidR="005618BC">
        <w:t xml:space="preserve">, at 85 FR </w:t>
      </w:r>
      <w:r w:rsidR="00C75726">
        <w:t>74342</w:t>
      </w:r>
      <w:r w:rsidRPr="000E07D7" w:rsidR="000E07D7">
        <w:t>.</w:t>
      </w:r>
      <w:r w:rsidRPr="00870FBA" w:rsidR="00870FBA">
        <w:t xml:space="preserve"> </w:t>
      </w:r>
      <w:r w:rsidR="00BB6DBC">
        <w:t xml:space="preserve"> </w:t>
      </w:r>
      <w:r w:rsidR="000C5973">
        <w:t>No c</w:t>
      </w:r>
      <w:r w:rsidR="00BB6DBC">
        <w:t xml:space="preserve">omments were received.  </w:t>
      </w:r>
    </w:p>
    <w:p w:rsidRPr="00BB6DBC" w:rsidR="004517C3" w:rsidP="004E01FD" w:rsidRDefault="00C47718" w14:paraId="37F8CECE" w14:textId="5B8C9D64">
      <w:pPr>
        <w:keepNext/>
        <w:widowControl/>
        <w:tabs>
          <w:tab w:val="clear" w:pos="360"/>
          <w:tab w:val="left" w:pos="540"/>
        </w:tabs>
        <w:jc w:val="left"/>
      </w:pPr>
      <w:r w:rsidRPr="00BB6DBC">
        <w:rPr>
          <w:b/>
          <w:bCs/>
        </w:rPr>
        <w:t>9.</w:t>
      </w:r>
      <w:r w:rsidR="00BB6DBC">
        <w:rPr>
          <w:b/>
          <w:bCs/>
        </w:rPr>
        <w:tab/>
      </w:r>
      <w:r w:rsidR="00BB6DBC">
        <w:rPr>
          <w:b/>
          <w:bCs/>
          <w:u w:val="single"/>
        </w:rPr>
        <w:t>Payments or gifts to respondents</w:t>
      </w:r>
    </w:p>
    <w:p w:rsidR="004517C3" w:rsidP="00CB6135" w:rsidRDefault="000F5C8C" w14:paraId="5F2291BF" w14:textId="1D49CEF1">
      <w:p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540"/>
        </w:tabs>
        <w:ind w:left="540"/>
        <w:jc w:val="left"/>
        <w:rPr>
          <w:b/>
          <w:color w:val="000000"/>
        </w:rPr>
      </w:pPr>
      <w:r>
        <w:rPr>
          <w:color w:val="000000"/>
        </w:rPr>
        <w:t xml:space="preserve">No payments or gifts of any kind are provided to respondents.  </w:t>
      </w:r>
    </w:p>
    <w:p w:rsidRPr="00E37EA3" w:rsidR="004517C3" w:rsidP="00CB6135" w:rsidRDefault="00C47718" w14:paraId="4C3E2F37" w14:textId="36B64E19">
      <w:pPr>
        <w:keepNext/>
        <w:widowControl/>
        <w:tabs>
          <w:tab w:val="clear" w:pos="360"/>
          <w:tab w:val="left" w:pos="540"/>
        </w:tabs>
        <w:jc w:val="left"/>
      </w:pPr>
      <w:r w:rsidRPr="000F5C8C">
        <w:rPr>
          <w:b/>
          <w:bCs/>
        </w:rPr>
        <w:t>10.</w:t>
      </w:r>
      <w:r w:rsidRPr="00717E61">
        <w:t xml:space="preserve"> </w:t>
      </w:r>
      <w:r w:rsidR="00CB6135">
        <w:tab/>
      </w:r>
      <w:r w:rsidR="00BA41E6">
        <w:rPr>
          <w:b/>
          <w:bCs/>
          <w:u w:val="single"/>
        </w:rPr>
        <w:t>Any assurance of confidentiality</w:t>
      </w:r>
    </w:p>
    <w:p w:rsidR="004517C3" w:rsidP="00BA41E6" w:rsidRDefault="00C47718" w14:paraId="08A6413A" w14:textId="3FCDE6FE">
      <w:pPr>
        <w:tabs>
          <w:tab w:val="clear" w:pos="360"/>
          <w:tab w:val="left" w:pos="540"/>
        </w:tabs>
        <w:ind w:left="540"/>
        <w:jc w:val="left"/>
        <w:rPr>
          <w:b/>
          <w:color w:val="38761D"/>
        </w:rPr>
      </w:pPr>
      <w:r w:rsidRPr="00A8132B">
        <w:rPr>
          <w:rFonts w:ascii="Georgia" w:hAnsi="Georgia" w:eastAsia="Georgia" w:cs="Georgia"/>
          <w:color w:val="222222"/>
          <w:sz w:val="22"/>
          <w:szCs w:val="22"/>
        </w:rPr>
        <w:t xml:space="preserve">The </w:t>
      </w:r>
      <w:r w:rsidR="00660859">
        <w:rPr>
          <w:rFonts w:ascii="Georgia" w:hAnsi="Georgia" w:eastAsia="Georgia" w:cs="Georgia"/>
          <w:color w:val="222222"/>
          <w:sz w:val="22"/>
          <w:szCs w:val="22"/>
        </w:rPr>
        <w:t>AS</w:t>
      </w:r>
      <w:r w:rsidRPr="00A8132B">
        <w:rPr>
          <w:rFonts w:ascii="Georgia" w:hAnsi="Georgia" w:eastAsia="Georgia" w:cs="Georgia"/>
          <w:color w:val="222222"/>
          <w:sz w:val="22"/>
          <w:szCs w:val="22"/>
        </w:rPr>
        <w:t xml:space="preserve">C </w:t>
      </w:r>
      <w:r w:rsidRPr="00A8132B" w:rsidR="00A8132B">
        <w:rPr>
          <w:rFonts w:ascii="Georgia" w:hAnsi="Georgia" w:eastAsia="Georgia" w:cs="Georgia"/>
          <w:color w:val="222222"/>
          <w:sz w:val="22"/>
          <w:szCs w:val="22"/>
        </w:rPr>
        <w:t xml:space="preserve">is intending to collect financial reporting on a </w:t>
      </w:r>
      <w:r w:rsidRPr="00A8132B" w:rsidR="00995911">
        <w:rPr>
          <w:rFonts w:ascii="Georgia" w:hAnsi="Georgia" w:eastAsia="Georgia" w:cs="Georgia"/>
          <w:color w:val="222222"/>
          <w:sz w:val="22"/>
          <w:szCs w:val="22"/>
        </w:rPr>
        <w:t>semiannual</w:t>
      </w:r>
      <w:r w:rsidRPr="00A8132B" w:rsidR="00A8132B">
        <w:rPr>
          <w:rFonts w:ascii="Georgia" w:hAnsi="Georgia" w:eastAsia="Georgia" w:cs="Georgia"/>
          <w:color w:val="222222"/>
          <w:sz w:val="22"/>
          <w:szCs w:val="22"/>
        </w:rPr>
        <w:t xml:space="preserve"> basis</w:t>
      </w:r>
      <w:r w:rsidRPr="00A8132B" w:rsidR="00A8132B">
        <w:t>.</w:t>
      </w:r>
      <w:r w:rsidR="00E43A06">
        <w:t xml:space="preserve">  </w:t>
      </w:r>
      <w:r w:rsidR="000F6610">
        <w:t xml:space="preserve">Providing the information will be mandatory.  Public Law 93-573 (Privacy Act of 1974) requires that respondents be informed of the purpose and uses to be made of the information collected.  The information will be </w:t>
      </w:r>
      <w:r w:rsidR="001232DC">
        <w:t xml:space="preserve">used to oversee grant progress.  </w:t>
      </w:r>
      <w:r w:rsidRPr="00A8132B" w:rsidR="00A8132B">
        <w:t xml:space="preserve">  </w:t>
      </w:r>
    </w:p>
    <w:p w:rsidRPr="0093573F" w:rsidR="004517C3" w:rsidP="00BA0A23" w:rsidRDefault="00C47718" w14:paraId="6D21054A" w14:textId="3291787F">
      <w:pPr>
        <w:tabs>
          <w:tab w:val="clear" w:pos="360"/>
          <w:tab w:val="left" w:pos="540"/>
        </w:tabs>
        <w:jc w:val="left"/>
      </w:pPr>
      <w:r w:rsidRPr="00BA0A23">
        <w:rPr>
          <w:b/>
          <w:bCs/>
        </w:rPr>
        <w:t>11.</w:t>
      </w:r>
      <w:r w:rsidRPr="00717E61">
        <w:t xml:space="preserve"> </w:t>
      </w:r>
      <w:r w:rsidR="00BA0A23">
        <w:tab/>
      </w:r>
      <w:r w:rsidR="0093573F">
        <w:rPr>
          <w:b/>
          <w:bCs/>
          <w:u w:val="single"/>
        </w:rPr>
        <w:t>Justification for questions of a sensitive nature</w:t>
      </w:r>
    </w:p>
    <w:p w:rsidR="004517C3" w:rsidP="0093573F" w:rsidRDefault="00C47718" w14:paraId="26D4E311" w14:textId="7B721FFE">
      <w:p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540"/>
        </w:tabs>
        <w:ind w:left="540"/>
        <w:jc w:val="left"/>
        <w:rPr>
          <w:b/>
          <w:color w:val="000000"/>
        </w:rPr>
      </w:pPr>
      <w:r>
        <w:rPr>
          <w:color w:val="000000"/>
        </w:rPr>
        <w:t>There are no questions of a sensitive nature.</w:t>
      </w:r>
      <w:r w:rsidR="00215935">
        <w:rPr>
          <w:color w:val="000000"/>
        </w:rPr>
        <w:t xml:space="preserve">  No personally identifiable information is collected. </w:t>
      </w:r>
    </w:p>
    <w:p w:rsidRPr="00717E61" w:rsidR="004517C3" w:rsidP="00215935" w:rsidRDefault="00C47718" w14:paraId="5017CE54" w14:textId="3C5EED1F">
      <w:pPr>
        <w:tabs>
          <w:tab w:val="clear" w:pos="360"/>
          <w:tab w:val="left" w:pos="540"/>
        </w:tabs>
        <w:jc w:val="left"/>
      </w:pPr>
      <w:r w:rsidRPr="00215935">
        <w:rPr>
          <w:b/>
          <w:bCs/>
        </w:rPr>
        <w:t>12.</w:t>
      </w:r>
      <w:r w:rsidR="00215935">
        <w:tab/>
      </w:r>
      <w:r w:rsidR="00A6536E">
        <w:rPr>
          <w:b/>
          <w:bCs/>
          <w:u w:val="single"/>
        </w:rPr>
        <w:t>Estimates of hour burden to respondents</w:t>
      </w:r>
      <w:r w:rsidRPr="00A6536E">
        <w:rPr>
          <w:b/>
          <w:bCs/>
          <w:u w:val="single"/>
        </w:rPr>
        <w:t xml:space="preserve"> </w:t>
      </w:r>
    </w:p>
    <w:p w:rsidR="004517C3" w:rsidP="00EC23CC" w:rsidRDefault="00C47718" w14:paraId="3C534D79" w14:textId="4C6188D4">
      <w:p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540"/>
        </w:tabs>
        <w:ind w:left="540"/>
        <w:jc w:val="left"/>
        <w:rPr>
          <w:b/>
        </w:rPr>
      </w:pPr>
      <w:r>
        <w:t>The estimated re</w:t>
      </w:r>
      <w:r w:rsidR="00D10B0B">
        <w:t>sponse burden is based on the</w:t>
      </w:r>
      <w:r>
        <w:t xml:space="preserve"> </w:t>
      </w:r>
      <w:r w:rsidR="00395983">
        <w:t>similarly structured</w:t>
      </w:r>
      <w:r>
        <w:t xml:space="preserve"> </w:t>
      </w:r>
      <w:r w:rsidR="00D10B0B">
        <w:t xml:space="preserve">progress reports administered by other federal agencies.  </w:t>
      </w:r>
      <w:r>
        <w:t xml:space="preserve">Using the </w:t>
      </w:r>
      <w:r w:rsidR="00D10B0B">
        <w:t>fillable form</w:t>
      </w:r>
      <w:r>
        <w:t xml:space="preserve">, we estimate that the </w:t>
      </w:r>
      <w:r w:rsidR="00A8132B">
        <w:t xml:space="preserve">average </w:t>
      </w:r>
      <w:r>
        <w:t xml:space="preserve">burden for the </w:t>
      </w:r>
      <w:r w:rsidR="00D10B0B">
        <w:t xml:space="preserve">complete report </w:t>
      </w:r>
      <w:r w:rsidR="00A8132B">
        <w:t xml:space="preserve">is </w:t>
      </w:r>
      <w:r w:rsidR="00D10B0B">
        <w:t>1 hour</w:t>
      </w:r>
      <w:r>
        <w:t xml:space="preserve">. </w:t>
      </w:r>
    </w:p>
    <w:p w:rsidR="008F2274" w:rsidRDefault="008F2274" w14:paraId="2A782D67" w14:textId="77777777">
      <w:r>
        <w:br w:type="page"/>
      </w:r>
    </w:p>
    <w:p w:rsidR="004517C3" w:rsidP="00CD05E8" w:rsidRDefault="00C47718" w14:paraId="62CFF671" w14:textId="401774D5">
      <w:p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540"/>
        </w:tabs>
        <w:ind w:left="540"/>
        <w:jc w:val="left"/>
      </w:pPr>
      <w:r>
        <w:lastRenderedPageBreak/>
        <w:t xml:space="preserve">The table below summarizes the burden estimate for </w:t>
      </w:r>
      <w:r w:rsidR="00E717F8">
        <w:t>this ICR</w:t>
      </w:r>
      <w:r>
        <w:t xml:space="preserve">. </w:t>
      </w:r>
    </w:p>
    <w:tbl>
      <w:tblPr>
        <w:tblW w:w="8489" w:type="dxa"/>
        <w:shd w:val="clear" w:color="auto" w:fill="F1F1F1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963"/>
        <w:gridCol w:w="1964"/>
        <w:gridCol w:w="1336"/>
        <w:gridCol w:w="1345"/>
        <w:gridCol w:w="1024"/>
        <w:gridCol w:w="857"/>
      </w:tblGrid>
      <w:tr w:rsidRPr="00946778" w:rsidR="008F2274" w:rsidTr="00F31598" w14:paraId="2E928175" w14:textId="77777777">
        <w:trPr>
          <w:tblHeader/>
        </w:trPr>
        <w:tc>
          <w:tcPr>
            <w:tcW w:w="1156" w:type="pct"/>
            <w:tcBorders>
              <w:top w:val="single" w:color="333333" w:sz="6" w:space="0"/>
              <w:left w:val="nil"/>
              <w:bottom w:val="single" w:color="333333" w:sz="6" w:space="0"/>
              <w:right w:val="single" w:color="333333" w:sz="6" w:space="0"/>
            </w:tcBorders>
          </w:tcPr>
          <w:p w:rsidR="008F2274" w:rsidP="00F31598" w:rsidRDefault="008F2274" w14:paraId="7DC40D80" w14:textId="77777777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</w:p>
          <w:p w:rsidRPr="00946778" w:rsidR="008F2274" w:rsidP="00F31598" w:rsidRDefault="008F2274" w14:paraId="6546D1BF" w14:textId="77777777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  <w:r>
              <w:rPr>
                <w:rFonts w:ascii="Cambria" w:hAnsi="Cambria" w:cs="Arial"/>
                <w:color w:val="01203B"/>
                <w:sz w:val="20"/>
              </w:rPr>
              <w:t xml:space="preserve">Grant </w:t>
            </w:r>
          </w:p>
        </w:tc>
        <w:tc>
          <w:tcPr>
            <w:tcW w:w="1157" w:type="pct"/>
            <w:tcBorders>
              <w:top w:val="single" w:color="333333" w:sz="6" w:space="0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Pr="00946778" w:rsidR="008F2274" w:rsidP="00F31598" w:rsidRDefault="008F2274" w14:paraId="68E97C1A" w14:textId="77777777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  <w:r w:rsidRPr="00946778">
              <w:rPr>
                <w:rFonts w:ascii="Cambria" w:hAnsi="Cambria" w:cs="Arial"/>
                <w:color w:val="01203B"/>
                <w:sz w:val="20"/>
              </w:rPr>
              <w:t>Instrument</w:t>
            </w:r>
          </w:p>
        </w:tc>
        <w:tc>
          <w:tcPr>
            <w:tcW w:w="787" w:type="pct"/>
            <w:tcBorders>
              <w:top w:val="single" w:color="333333" w:sz="6" w:space="0"/>
              <w:left w:val="nil"/>
              <w:bottom w:val="single" w:color="333333" w:sz="6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Pr="00946778" w:rsidR="008F2274" w:rsidP="00F31598" w:rsidRDefault="008F2274" w14:paraId="604AEAFA" w14:textId="77777777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  <w:r w:rsidRPr="00946778">
              <w:rPr>
                <w:rFonts w:ascii="Cambria" w:hAnsi="Cambria" w:cs="Arial"/>
                <w:color w:val="01203B"/>
                <w:sz w:val="20"/>
              </w:rPr>
              <w:t>Total number of respondents</w:t>
            </w:r>
          </w:p>
        </w:tc>
        <w:tc>
          <w:tcPr>
            <w:tcW w:w="792" w:type="pct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Pr="00946778" w:rsidR="008F2274" w:rsidP="00F31598" w:rsidRDefault="008F2274" w14:paraId="35256A7D" w14:textId="77777777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  <w:r w:rsidRPr="00946778">
              <w:rPr>
                <w:rFonts w:ascii="Cambria" w:hAnsi="Cambria" w:cs="Arial"/>
                <w:color w:val="01203B"/>
                <w:sz w:val="20"/>
              </w:rPr>
              <w:t xml:space="preserve">Total number of responses per year </w:t>
            </w:r>
          </w:p>
        </w:tc>
        <w:tc>
          <w:tcPr>
            <w:tcW w:w="603" w:type="pct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Pr="00946778" w:rsidR="008F2274" w:rsidP="00F31598" w:rsidRDefault="008F2274" w14:paraId="777305F0" w14:textId="77777777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  <w:r w:rsidRPr="00946778">
              <w:rPr>
                <w:rFonts w:ascii="Cambria" w:hAnsi="Cambria" w:cs="Arial"/>
                <w:color w:val="01203B"/>
                <w:sz w:val="20"/>
              </w:rPr>
              <w:t>Average burden hours per response</w:t>
            </w:r>
          </w:p>
        </w:tc>
        <w:tc>
          <w:tcPr>
            <w:tcW w:w="505" w:type="pct"/>
            <w:tcBorders>
              <w:top w:val="single" w:color="333333" w:sz="6" w:space="0"/>
              <w:left w:val="nil"/>
              <w:bottom w:val="single" w:color="333333" w:sz="6" w:space="0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Pr="00946778" w:rsidR="008F2274" w:rsidP="00F31598" w:rsidRDefault="008F2274" w14:paraId="12B7C1CD" w14:textId="77777777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  <w:r w:rsidRPr="00946778">
              <w:rPr>
                <w:rFonts w:ascii="Cambria" w:hAnsi="Cambria" w:cs="Arial"/>
                <w:color w:val="01203B"/>
                <w:sz w:val="20"/>
              </w:rPr>
              <w:t>Annual burden hours</w:t>
            </w:r>
          </w:p>
        </w:tc>
      </w:tr>
      <w:tr w:rsidRPr="00946778" w:rsidR="008F2274" w:rsidTr="00F31598" w14:paraId="7698DA07" w14:textId="77777777">
        <w:tc>
          <w:tcPr>
            <w:tcW w:w="1156" w:type="pct"/>
            <w:tcBorders>
              <w:top w:val="single" w:color="333333" w:sz="6" w:space="0"/>
              <w:left w:val="nil"/>
              <w:bottom w:val="single" w:color="auto" w:sz="4" w:space="0"/>
              <w:right w:val="single" w:color="auto" w:sz="4" w:space="0"/>
            </w:tcBorders>
          </w:tcPr>
          <w:p w:rsidR="008F2274" w:rsidP="00F31598" w:rsidRDefault="008F2274" w14:paraId="457D30E2" w14:textId="77777777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  <w:r>
              <w:rPr>
                <w:rFonts w:ascii="Cambria" w:hAnsi="Cambria" w:cs="Arial"/>
                <w:color w:val="01203B"/>
                <w:sz w:val="20"/>
              </w:rPr>
              <w:t>State Support Grants</w:t>
            </w:r>
          </w:p>
        </w:tc>
        <w:tc>
          <w:tcPr>
            <w:tcW w:w="1157" w:type="pct"/>
            <w:tcBorders>
              <w:top w:val="single" w:color="333333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Pr="00946778" w:rsidR="008F2274" w:rsidP="00F31598" w:rsidRDefault="008F2274" w14:paraId="6EC91D99" w14:textId="77777777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  <w:r>
              <w:rPr>
                <w:rFonts w:ascii="Cambria" w:hAnsi="Cambria" w:cs="Arial"/>
                <w:color w:val="01203B"/>
                <w:sz w:val="20"/>
              </w:rPr>
              <w:t>Progress Report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Pr="00946778" w:rsidR="008F2274" w:rsidP="00F31598" w:rsidRDefault="00DD2A8C" w14:paraId="34816C12" w14:textId="3AFFD42B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  <w:r>
              <w:rPr>
                <w:rFonts w:ascii="Cambria" w:hAnsi="Cambria" w:cs="Arial"/>
                <w:color w:val="01203B"/>
                <w:sz w:val="20"/>
              </w:rPr>
              <w:t>54</w:t>
            </w:r>
          </w:p>
        </w:tc>
        <w:tc>
          <w:tcPr>
            <w:tcW w:w="792" w:type="pct"/>
            <w:tcBorders>
              <w:top w:val="single" w:color="333333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Pr="00946778" w:rsidR="008F2274" w:rsidP="00F31598" w:rsidRDefault="008F2274" w14:paraId="641BC12F" w14:textId="77777777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  <w:r>
              <w:rPr>
                <w:rFonts w:ascii="Cambria" w:hAnsi="Cambria" w:cs="Arial"/>
                <w:color w:val="01203B"/>
                <w:sz w:val="20"/>
              </w:rPr>
              <w:t>2</w:t>
            </w:r>
          </w:p>
        </w:tc>
        <w:tc>
          <w:tcPr>
            <w:tcW w:w="603" w:type="pct"/>
            <w:tcBorders>
              <w:top w:val="single" w:color="333333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Pr="00946778" w:rsidR="008F2274" w:rsidP="00F31598" w:rsidRDefault="008F2274" w14:paraId="17CF0F54" w14:textId="77777777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  <w:r w:rsidRPr="00946778">
              <w:rPr>
                <w:rFonts w:ascii="Cambria" w:hAnsi="Cambria" w:cs="Arial"/>
                <w:color w:val="01203B"/>
                <w:sz w:val="20"/>
              </w:rPr>
              <w:t>1</w:t>
            </w:r>
          </w:p>
        </w:tc>
        <w:tc>
          <w:tcPr>
            <w:tcW w:w="505" w:type="pct"/>
            <w:tcBorders>
              <w:top w:val="single" w:color="333333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Pr="00946778" w:rsidR="008F2274" w:rsidP="00F31598" w:rsidRDefault="00F05778" w14:paraId="7D8BC887" w14:textId="037B4234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  <w:r>
              <w:rPr>
                <w:rFonts w:ascii="Cambria" w:hAnsi="Cambria" w:cs="Arial"/>
                <w:color w:val="01203B"/>
                <w:sz w:val="20"/>
              </w:rPr>
              <w:t>108</w:t>
            </w:r>
          </w:p>
        </w:tc>
      </w:tr>
      <w:tr w:rsidRPr="00946778" w:rsidR="008F2274" w:rsidTr="00F31598" w14:paraId="30F96FF1" w14:textId="77777777">
        <w:tc>
          <w:tcPr>
            <w:tcW w:w="1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46778" w:rsidR="008F2274" w:rsidP="00F31598" w:rsidRDefault="008F2274" w14:paraId="60F12977" w14:textId="77777777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  <w:r>
              <w:rPr>
                <w:rFonts w:ascii="Cambria" w:hAnsi="Cambria" w:cs="Arial"/>
                <w:color w:val="01203B"/>
                <w:sz w:val="20"/>
              </w:rPr>
              <w:t>Technical Assistance Grants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Pr="00946778" w:rsidR="008F2274" w:rsidP="00F31598" w:rsidRDefault="008F2274" w14:paraId="1ED09BDD" w14:textId="77777777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  <w:r>
              <w:rPr>
                <w:rFonts w:ascii="Cambria" w:hAnsi="Cambria" w:cs="Arial"/>
                <w:color w:val="01203B"/>
                <w:sz w:val="20"/>
              </w:rPr>
              <w:t>Progress Report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Pr="00946778" w:rsidR="008F2274" w:rsidP="00F31598" w:rsidRDefault="008F2274" w14:paraId="43F83AC3" w14:textId="77777777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  <w:r>
              <w:rPr>
                <w:rFonts w:ascii="Cambria" w:hAnsi="Cambria" w:cs="Arial"/>
                <w:color w:val="01203B"/>
                <w:sz w:val="20"/>
              </w:rPr>
              <w:t>1</w:t>
            </w: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8F2274" w:rsidP="00F31598" w:rsidRDefault="008F2274" w14:paraId="24F31DA3" w14:textId="77777777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  <w:r>
              <w:rPr>
                <w:rFonts w:ascii="Cambria" w:hAnsi="Cambria" w:cs="Arial"/>
                <w:color w:val="01203B"/>
                <w:sz w:val="20"/>
              </w:rPr>
              <w:t>2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Pr="00946778" w:rsidR="008F2274" w:rsidP="00F31598" w:rsidRDefault="008F2274" w14:paraId="1DC4C50B" w14:textId="77777777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  <w:r>
              <w:rPr>
                <w:rFonts w:ascii="Cambria" w:hAnsi="Cambria" w:cs="Arial"/>
                <w:color w:val="01203B"/>
                <w:sz w:val="20"/>
              </w:rPr>
              <w:t>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Pr="00946778" w:rsidR="008F2274" w:rsidP="00F31598" w:rsidRDefault="008F2274" w14:paraId="20C7EDC5" w14:textId="77777777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  <w:r>
              <w:rPr>
                <w:rFonts w:ascii="Cambria" w:hAnsi="Cambria" w:cs="Arial"/>
                <w:color w:val="01203B"/>
                <w:sz w:val="20"/>
              </w:rPr>
              <w:t>2</w:t>
            </w:r>
          </w:p>
        </w:tc>
      </w:tr>
      <w:tr w:rsidRPr="00946778" w:rsidR="008F2274" w:rsidTr="00F31598" w14:paraId="14A3D1A1" w14:textId="77777777">
        <w:tc>
          <w:tcPr>
            <w:tcW w:w="1156" w:type="pct"/>
            <w:tcBorders>
              <w:top w:val="single" w:color="auto" w:sz="4" w:space="0"/>
              <w:left w:val="nil"/>
              <w:bottom w:val="single" w:color="333333" w:sz="6" w:space="0"/>
              <w:right w:val="single" w:color="auto" w:sz="4" w:space="0"/>
            </w:tcBorders>
          </w:tcPr>
          <w:p w:rsidR="008F2274" w:rsidP="00F31598" w:rsidRDefault="008F2274" w14:paraId="6C482E11" w14:textId="77777777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  <w:r>
              <w:rPr>
                <w:rFonts w:ascii="Cambria" w:hAnsi="Cambria" w:cs="Arial"/>
                <w:color w:val="01203B"/>
                <w:sz w:val="20"/>
              </w:rPr>
              <w:t>TOTAL</w:t>
            </w:r>
          </w:p>
        </w:tc>
        <w:tc>
          <w:tcPr>
            <w:tcW w:w="1157" w:type="pct"/>
            <w:tcBorders>
              <w:top w:val="single" w:color="auto" w:sz="4" w:space="0"/>
              <w:left w:val="nil"/>
              <w:bottom w:val="single" w:color="333333" w:sz="6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8F2274" w:rsidP="00F31598" w:rsidRDefault="008F2274" w14:paraId="281C20E3" w14:textId="77777777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Pr="00946778" w:rsidR="008F2274" w:rsidP="00F31598" w:rsidRDefault="008F2274" w14:paraId="5A266EB8" w14:textId="77777777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</w:p>
        </w:tc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8F2274" w:rsidP="00F31598" w:rsidRDefault="008F2274" w14:paraId="0F7262E9" w14:textId="77777777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333333" w:sz="6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Pr="00946778" w:rsidR="008F2274" w:rsidP="00F31598" w:rsidRDefault="008F2274" w14:paraId="324944DC" w14:textId="77777777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333333" w:sz="6" w:space="0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8F2274" w:rsidP="00F31598" w:rsidRDefault="00F05778" w14:paraId="3FE378F3" w14:textId="2AA76A6E">
            <w:pPr>
              <w:shd w:val="clear" w:color="auto" w:fill="FFFFFF"/>
              <w:spacing w:after="150"/>
              <w:jc w:val="left"/>
              <w:rPr>
                <w:rFonts w:ascii="Cambria" w:hAnsi="Cambria" w:cs="Arial"/>
                <w:color w:val="01203B"/>
                <w:sz w:val="20"/>
              </w:rPr>
            </w:pPr>
            <w:r>
              <w:rPr>
                <w:rFonts w:ascii="Cambria" w:hAnsi="Cambria" w:cs="Arial"/>
                <w:color w:val="01203B"/>
                <w:sz w:val="20"/>
              </w:rPr>
              <w:t>110</w:t>
            </w:r>
          </w:p>
        </w:tc>
      </w:tr>
    </w:tbl>
    <w:p w:rsidR="0071444D" w:rsidP="005B33EC" w:rsidRDefault="0071444D" w14:paraId="3A091D65" w14:textId="77777777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</w:rPr>
      </w:pPr>
    </w:p>
    <w:p w:rsidR="004517C3" w:rsidP="00661E0F" w:rsidRDefault="00C47718" w14:paraId="7B5A9450" w14:textId="5DFBA21D">
      <w:pPr>
        <w:tabs>
          <w:tab w:val="clear" w:pos="360"/>
          <w:tab w:val="left" w:pos="540"/>
        </w:tabs>
        <w:spacing w:before="240"/>
        <w:ind w:left="540"/>
        <w:jc w:val="left"/>
      </w:pPr>
      <w:r w:rsidRPr="00946778">
        <w:t xml:space="preserve">The estimated annual cost of this burden </w:t>
      </w:r>
      <w:r w:rsidR="00F3222E">
        <w:t xml:space="preserve">to grantees </w:t>
      </w:r>
      <w:r w:rsidRPr="00946778">
        <w:t>is: $</w:t>
      </w:r>
      <w:r w:rsidR="003A0191">
        <w:t>5,823</w:t>
      </w:r>
      <w:r w:rsidR="003D3E53">
        <w:t>.</w:t>
      </w:r>
      <w:r w:rsidR="00F3222E">
        <w:t xml:space="preserve">  </w:t>
      </w:r>
    </w:p>
    <w:p w:rsidR="00F3222E" w:rsidP="00661E0F" w:rsidRDefault="001F573D" w14:paraId="07988147" w14:textId="775F5965">
      <w:pPr>
        <w:tabs>
          <w:tab w:val="clear" w:pos="360"/>
          <w:tab w:val="left" w:pos="540"/>
        </w:tabs>
        <w:spacing w:before="240"/>
        <w:ind w:left="540"/>
        <w:jc w:val="left"/>
      </w:pPr>
      <w:r>
        <w:t>The cost is based</w:t>
      </w:r>
      <w:r w:rsidR="001A0A17">
        <w:t xml:space="preserve"> on an hourly rate of $</w:t>
      </w:r>
      <w:r w:rsidR="00C8576F">
        <w:t xml:space="preserve">52.94 which is the sum of </w:t>
      </w:r>
      <w:r w:rsidR="00846378">
        <w:t>$</w:t>
      </w:r>
      <w:r w:rsidR="001A0A17">
        <w:t>32.74</w:t>
      </w:r>
      <w:r w:rsidR="002F3D21">
        <w:t xml:space="preserve"> </w:t>
      </w:r>
      <w:r w:rsidR="00846378">
        <w:t xml:space="preserve">for the hourly wage </w:t>
      </w:r>
      <w:r w:rsidR="002F3D21">
        <w:t>and $20.20</w:t>
      </w:r>
      <w:r w:rsidR="00F142A4">
        <w:t xml:space="preserve"> for benefits.  </w:t>
      </w:r>
      <w:r w:rsidR="00C27E28">
        <w:t>The hourly rate of $32.74 is 61.8</w:t>
      </w:r>
      <w:r w:rsidR="00185F65">
        <w:t xml:space="preserve"> percent </w:t>
      </w:r>
      <w:r w:rsidR="00C27E28">
        <w:t xml:space="preserve">of total compensation </w:t>
      </w:r>
      <w:r w:rsidR="00846378">
        <w:t xml:space="preserve">and total benefits is 38.2 percent </w:t>
      </w:r>
      <w:r w:rsidR="00C27E28">
        <w:t xml:space="preserve">according to </w:t>
      </w:r>
      <w:r w:rsidR="00B60582">
        <w:t>U.S. Bureau of Labor Statistics</w:t>
      </w:r>
      <w:r w:rsidR="0002725E">
        <w:t>, “Employer Costs for Employee Compensation</w:t>
      </w:r>
      <w:r w:rsidR="00795C04">
        <w:t xml:space="preserve">, December 2020, Table </w:t>
      </w:r>
      <w:r w:rsidR="004C071A">
        <w:t>3</w:t>
      </w:r>
      <w:r w:rsidR="00374E25">
        <w:t>, State and local government workers</w:t>
      </w:r>
      <w:r w:rsidR="00394BEB">
        <w:t xml:space="preserve"> in the Management, professional and related occupation group</w:t>
      </w:r>
      <w:r w:rsidR="00006BC3">
        <w:t xml:space="preserve">:  </w:t>
      </w:r>
      <w:hyperlink w:history="1" r:id="rId8">
        <w:r w:rsidRPr="00A65682" w:rsidR="00CA5D7F">
          <w:rPr>
            <w:rStyle w:val="Hyperlink"/>
          </w:rPr>
          <w:t>https://www.bls.gov/news.release/ecec.t03.htm</w:t>
        </w:r>
      </w:hyperlink>
      <w:r w:rsidR="00CA5D7F">
        <w:t xml:space="preserve">. </w:t>
      </w:r>
    </w:p>
    <w:p w:rsidR="00ED6353" w:rsidP="00661E0F" w:rsidRDefault="00ED6353" w14:paraId="755A2660" w14:textId="69B1E26F">
      <w:pPr>
        <w:tabs>
          <w:tab w:val="clear" w:pos="360"/>
          <w:tab w:val="left" w:pos="540"/>
        </w:tabs>
        <w:spacing w:before="240"/>
        <w:ind w:left="540"/>
        <w:jc w:val="left"/>
        <w:rPr>
          <w:b/>
        </w:rPr>
      </w:pPr>
      <w:r>
        <w:t xml:space="preserve">The cost is estimated by multiplying $52.94 x 110 for a total of </w:t>
      </w:r>
      <w:r w:rsidR="003A0191">
        <w:t xml:space="preserve">$5,823.40. </w:t>
      </w:r>
    </w:p>
    <w:p w:rsidRPr="008A3F8B" w:rsidR="004517C3" w:rsidP="00C249FB" w:rsidRDefault="00C47718" w14:paraId="5CF8CE13" w14:textId="7610E7E0">
      <w:pPr>
        <w:tabs>
          <w:tab w:val="clear" w:pos="360"/>
          <w:tab w:val="left" w:pos="540"/>
        </w:tabs>
        <w:jc w:val="left"/>
      </w:pPr>
      <w:r w:rsidRPr="00BE6EBC">
        <w:rPr>
          <w:b/>
          <w:bCs/>
        </w:rPr>
        <w:t>13.</w:t>
      </w:r>
      <w:r w:rsidRPr="00717E61">
        <w:t xml:space="preserve"> </w:t>
      </w:r>
      <w:r w:rsidR="00C249FB">
        <w:tab/>
      </w:r>
      <w:r w:rsidR="007F42AE">
        <w:rPr>
          <w:b/>
          <w:bCs/>
          <w:u w:val="single"/>
        </w:rPr>
        <w:t xml:space="preserve">Estimates of </w:t>
      </w:r>
      <w:r w:rsidR="00174D27">
        <w:rPr>
          <w:b/>
          <w:bCs/>
          <w:u w:val="single"/>
        </w:rPr>
        <w:t>other t</w:t>
      </w:r>
      <w:r w:rsidR="007F42AE">
        <w:rPr>
          <w:b/>
          <w:bCs/>
          <w:u w:val="single"/>
        </w:rPr>
        <w:t xml:space="preserve">otal </w:t>
      </w:r>
      <w:r w:rsidR="00174D27">
        <w:rPr>
          <w:b/>
          <w:bCs/>
          <w:u w:val="single"/>
        </w:rPr>
        <w:t>a</w:t>
      </w:r>
      <w:r w:rsidR="007F42AE">
        <w:rPr>
          <w:b/>
          <w:bCs/>
          <w:u w:val="single"/>
        </w:rPr>
        <w:t xml:space="preserve">nnual </w:t>
      </w:r>
      <w:r w:rsidR="00174D27">
        <w:rPr>
          <w:b/>
          <w:bCs/>
          <w:u w:val="single"/>
        </w:rPr>
        <w:t>c</w:t>
      </w:r>
      <w:r w:rsidR="007F42AE">
        <w:rPr>
          <w:b/>
          <w:bCs/>
          <w:u w:val="single"/>
        </w:rPr>
        <w:t xml:space="preserve">ost </w:t>
      </w:r>
      <w:r w:rsidR="00174D27">
        <w:rPr>
          <w:b/>
          <w:bCs/>
          <w:u w:val="single"/>
        </w:rPr>
        <w:t>b</w:t>
      </w:r>
      <w:r w:rsidR="007F42AE">
        <w:rPr>
          <w:b/>
          <w:bCs/>
          <w:u w:val="single"/>
        </w:rPr>
        <w:t xml:space="preserve">urden to </w:t>
      </w:r>
      <w:r w:rsidR="0043215F">
        <w:rPr>
          <w:b/>
          <w:bCs/>
          <w:u w:val="single"/>
        </w:rPr>
        <w:t>r</w:t>
      </w:r>
      <w:r w:rsidR="007F42AE">
        <w:rPr>
          <w:b/>
          <w:bCs/>
          <w:u w:val="single"/>
        </w:rPr>
        <w:t xml:space="preserve">espondents or </w:t>
      </w:r>
      <w:r w:rsidR="0043215F">
        <w:rPr>
          <w:b/>
          <w:bCs/>
          <w:u w:val="single"/>
        </w:rPr>
        <w:t>r</w:t>
      </w:r>
      <w:r w:rsidR="007F42AE">
        <w:rPr>
          <w:b/>
          <w:bCs/>
          <w:u w:val="single"/>
        </w:rPr>
        <w:t xml:space="preserve">ecord </w:t>
      </w:r>
      <w:r w:rsidR="0043215F">
        <w:rPr>
          <w:b/>
          <w:bCs/>
          <w:u w:val="single"/>
        </w:rPr>
        <w:t>k</w:t>
      </w:r>
      <w:r w:rsidR="007F42AE">
        <w:rPr>
          <w:b/>
          <w:bCs/>
          <w:u w:val="single"/>
        </w:rPr>
        <w:t>eepers</w:t>
      </w:r>
    </w:p>
    <w:p w:rsidR="004517C3" w:rsidP="008A3F8B" w:rsidRDefault="00C47718" w14:paraId="5006A96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540"/>
        </w:tabs>
        <w:ind w:left="540"/>
        <w:jc w:val="left"/>
        <w:rPr>
          <w:b/>
          <w:color w:val="000000"/>
        </w:rPr>
      </w:pPr>
      <w:r>
        <w:rPr>
          <w:color w:val="000000"/>
        </w:rPr>
        <w:t>There are no capital or start-up costs associated with this information collection.</w:t>
      </w:r>
    </w:p>
    <w:p w:rsidRPr="00717E61" w:rsidR="004517C3" w:rsidP="00697DD8" w:rsidRDefault="00C47718" w14:paraId="2A9DFA50" w14:textId="6C242975">
      <w:pPr>
        <w:keepNext/>
        <w:widowControl/>
        <w:tabs>
          <w:tab w:val="clear" w:pos="360"/>
          <w:tab w:val="left" w:pos="540"/>
        </w:tabs>
        <w:jc w:val="left"/>
      </w:pPr>
      <w:r w:rsidRPr="00697DD8">
        <w:rPr>
          <w:b/>
          <w:bCs/>
        </w:rPr>
        <w:t>14.</w:t>
      </w:r>
      <w:r w:rsidRPr="00717E61">
        <w:t xml:space="preserve"> </w:t>
      </w:r>
      <w:r w:rsidR="00697DD8">
        <w:tab/>
      </w:r>
      <w:r w:rsidR="00047557">
        <w:rPr>
          <w:b/>
          <w:bCs/>
          <w:u w:val="single"/>
        </w:rPr>
        <w:t>E</w:t>
      </w:r>
      <w:r w:rsidRPr="00697DD8">
        <w:rPr>
          <w:b/>
          <w:bCs/>
          <w:u w:val="single"/>
        </w:rPr>
        <w:t xml:space="preserve">stimates of annualized cost to the Federal </w:t>
      </w:r>
      <w:r w:rsidR="00023FB0">
        <w:rPr>
          <w:b/>
          <w:bCs/>
          <w:u w:val="single"/>
        </w:rPr>
        <w:t>G</w:t>
      </w:r>
      <w:r w:rsidRPr="00697DD8">
        <w:rPr>
          <w:b/>
          <w:bCs/>
          <w:u w:val="single"/>
        </w:rPr>
        <w:t>overnment</w:t>
      </w:r>
    </w:p>
    <w:p w:rsidRPr="00573061" w:rsidR="004517C3" w:rsidP="00A4606C" w:rsidRDefault="00C47718" w14:paraId="09988863" w14:textId="69B4DEE9">
      <w:p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540"/>
        </w:tabs>
        <w:ind w:left="540"/>
        <w:jc w:val="left"/>
        <w:rPr>
          <w:b/>
        </w:rPr>
      </w:pPr>
      <w:r w:rsidRPr="00573061">
        <w:t>The estimated annual cos</w:t>
      </w:r>
      <w:r w:rsidRPr="00573061" w:rsidR="00DE546D">
        <w:t>t to the Federal Government is $</w:t>
      </w:r>
      <w:r w:rsidR="00AD3439">
        <w:t>18,60</w:t>
      </w:r>
      <w:r w:rsidR="00C56F03">
        <w:t>9</w:t>
      </w:r>
      <w:r w:rsidRPr="00573061">
        <w:t xml:space="preserve">. </w:t>
      </w:r>
    </w:p>
    <w:p w:rsidR="00B85776" w:rsidP="00FB2186" w:rsidRDefault="00573061" w14:paraId="15E99F03" w14:textId="00EDA1C8">
      <w:pPr>
        <w:tabs>
          <w:tab w:val="clear" w:pos="360"/>
          <w:tab w:val="left" w:pos="540"/>
        </w:tabs>
        <w:spacing w:before="240"/>
        <w:ind w:left="540"/>
        <w:jc w:val="left"/>
      </w:pPr>
      <w:r>
        <w:t xml:space="preserve">The cost covers the time for ASC personnel </w:t>
      </w:r>
      <w:r w:rsidR="00801DD9">
        <w:t>to review each report for data quality and compliance, provide technical assistance to complete the report, clarification on submissions as needed, and rev</w:t>
      </w:r>
      <w:r w:rsidR="007C3802">
        <w:t xml:space="preserve">ision review as applicable.  </w:t>
      </w:r>
      <w:r w:rsidR="000109B7">
        <w:t xml:space="preserve">This is based on </w:t>
      </w:r>
      <w:r w:rsidR="00096210">
        <w:t>one</w:t>
      </w:r>
      <w:r w:rsidR="000109B7">
        <w:t xml:space="preserve"> GS-</w:t>
      </w:r>
      <w:r w:rsidR="00723EAB">
        <w:t xml:space="preserve">13 level </w:t>
      </w:r>
      <w:r w:rsidR="00096210">
        <w:t xml:space="preserve">and one GS-15 </w:t>
      </w:r>
      <w:r w:rsidR="00723EAB">
        <w:t>salaried employee.  The average wage rate</w:t>
      </w:r>
      <w:r w:rsidR="00D079D5">
        <w:t xml:space="preserve"> for a mid-level salaried GS-13 employee </w:t>
      </w:r>
      <w:r w:rsidR="00D12A61">
        <w:t>in an unspecified pay locality area</w:t>
      </w:r>
      <w:r w:rsidR="001801E1">
        <w:t xml:space="preserve"> as of January 1, 2021</w:t>
      </w:r>
      <w:r w:rsidR="00047557">
        <w:t>,</w:t>
      </w:r>
      <w:r w:rsidR="001801E1">
        <w:t xml:space="preserve"> is </w:t>
      </w:r>
      <w:r w:rsidR="001A6613">
        <w:t>$104,429 (</w:t>
      </w:r>
      <w:r w:rsidR="002B4B0E">
        <w:t xml:space="preserve">GS-13, step 5).  This represents 68.6 </w:t>
      </w:r>
      <w:r w:rsidR="000D1AB8">
        <w:t>percent</w:t>
      </w:r>
      <w:r w:rsidR="002B4B0E">
        <w:t xml:space="preserve"> of total </w:t>
      </w:r>
      <w:r w:rsidR="00BA425A">
        <w:t>compensation</w:t>
      </w:r>
      <w:r w:rsidR="003D5A6C">
        <w:t xml:space="preserve"> according to U.S. Bureau of Labor Statistics, “Employer Costs for Employee Compensation, December 2020, Table 1, percentage of wages and salaries for all civilian, management, professional and related employees:  </w:t>
      </w:r>
      <w:hyperlink w:history="1" r:id="rId9">
        <w:r w:rsidRPr="00A65682" w:rsidR="003D5A6C">
          <w:rPr>
            <w:rStyle w:val="Hyperlink"/>
          </w:rPr>
          <w:t>https://www.bls.gov/ncs</w:t>
        </w:r>
      </w:hyperlink>
      <w:r w:rsidR="003D5A6C">
        <w:t xml:space="preserve">.  Adding an additional 31.4 </w:t>
      </w:r>
      <w:r w:rsidR="000D1AB8">
        <w:t xml:space="preserve">percent </w:t>
      </w:r>
      <w:r w:rsidR="003D5A6C">
        <w:t xml:space="preserve">for </w:t>
      </w:r>
      <w:r w:rsidR="00AC237B">
        <w:t xml:space="preserve">total </w:t>
      </w:r>
      <w:r w:rsidR="003D5A6C">
        <w:t>benefits</w:t>
      </w:r>
      <w:r w:rsidR="00CC58A8">
        <w:t xml:space="preserve"> brings average annual compensation for a mid-level salaried GS-13 employee to </w:t>
      </w:r>
      <w:r w:rsidR="00CE0608">
        <w:lastRenderedPageBreak/>
        <w:t>$137,220</w:t>
      </w:r>
      <w:r w:rsidR="00BF4B54">
        <w:t xml:space="preserve"> or $65.98 per hour</w:t>
      </w:r>
      <w:r w:rsidR="00CE0608">
        <w:t xml:space="preserve">.  </w:t>
      </w:r>
      <w:r w:rsidR="008530CF">
        <w:t>For the GS-15</w:t>
      </w:r>
      <w:r w:rsidR="00785E65">
        <w:t xml:space="preserve"> employee, the average wage rate is </w:t>
      </w:r>
      <w:r w:rsidR="000F6CF2">
        <w:t>$163,345 (GS-15/5</w:t>
      </w:r>
      <w:r w:rsidR="00596357">
        <w:t>)</w:t>
      </w:r>
      <w:r w:rsidR="003B7851">
        <w:t xml:space="preserve"> in the Washington, DC metropolitan areas (as of January 1, 2021)</w:t>
      </w:r>
      <w:r w:rsidR="00371BCB">
        <w:t xml:space="preserve">.  This represents 68.6 percent of total compensation </w:t>
      </w:r>
      <w:r w:rsidR="00C3508F">
        <w:t>and 31.4</w:t>
      </w:r>
      <w:r w:rsidR="00C82CCE">
        <w:t xml:space="preserve"> percent for </w:t>
      </w:r>
      <w:r w:rsidR="00F32145">
        <w:t xml:space="preserve">total </w:t>
      </w:r>
      <w:r w:rsidR="00C82CCE">
        <w:t>benefits</w:t>
      </w:r>
      <w:r w:rsidR="00405868">
        <w:t xml:space="preserve"> for a total of $214,635</w:t>
      </w:r>
      <w:r w:rsidR="00B13EC0">
        <w:t xml:space="preserve"> or $</w:t>
      </w:r>
      <w:r w:rsidR="00704FCC">
        <w:t>103.19 per hour</w:t>
      </w:r>
      <w:r w:rsidR="00405868">
        <w:t>.</w:t>
      </w:r>
      <w:r w:rsidR="00C82CCE">
        <w:t xml:space="preserve">  </w:t>
      </w:r>
    </w:p>
    <w:p w:rsidR="004517C3" w:rsidP="00FB2186" w:rsidRDefault="0012226C" w14:paraId="3BB4EFB8" w14:textId="050D4203">
      <w:pPr>
        <w:tabs>
          <w:tab w:val="clear" w:pos="360"/>
          <w:tab w:val="left" w:pos="540"/>
        </w:tabs>
        <w:spacing w:before="240"/>
        <w:ind w:left="540"/>
        <w:jc w:val="left"/>
        <w:rPr>
          <w:b/>
        </w:rPr>
      </w:pPr>
      <w:r>
        <w:t xml:space="preserve">Assuming that </w:t>
      </w:r>
      <w:r w:rsidR="00C84B5C">
        <w:t xml:space="preserve">each employee will spend </w:t>
      </w:r>
      <w:r w:rsidR="00081552">
        <w:t>one hour each</w:t>
      </w:r>
      <w:r w:rsidR="00534B71">
        <w:t xml:space="preserve"> reviewing </w:t>
      </w:r>
      <w:r w:rsidR="00241127">
        <w:t xml:space="preserve">110 reports annually, </w:t>
      </w:r>
      <w:r w:rsidR="008714B1">
        <w:t>the GS-13 employee would cost</w:t>
      </w:r>
      <w:r w:rsidR="00C828ED">
        <w:t xml:space="preserve"> $7,257.80 (65.98</w:t>
      </w:r>
      <w:r w:rsidR="00124FEE">
        <w:t xml:space="preserve"> </w:t>
      </w:r>
      <w:r w:rsidR="00C828ED">
        <w:t>x</w:t>
      </w:r>
      <w:r w:rsidR="00124FEE">
        <w:t xml:space="preserve"> </w:t>
      </w:r>
      <w:r w:rsidR="00C828ED">
        <w:t xml:space="preserve">110) and the GS-15 employee would cost </w:t>
      </w:r>
      <w:r w:rsidR="00124FEE">
        <w:t>$11,350.90 (</w:t>
      </w:r>
      <w:r w:rsidR="00F52376">
        <w:t>103.19 x 110).  The total cost would be</w:t>
      </w:r>
      <w:r w:rsidR="00180DB6">
        <w:t xml:space="preserve"> $18,608.70</w:t>
      </w:r>
      <w:r w:rsidR="00F044D9">
        <w:t xml:space="preserve">.  </w:t>
      </w:r>
      <w:r w:rsidRPr="00727758" w:rsidR="00C47718">
        <w:t xml:space="preserve"> </w:t>
      </w:r>
    </w:p>
    <w:p w:rsidRPr="00E165CF" w:rsidR="004517C3" w:rsidP="00A535E1" w:rsidRDefault="00C47718" w14:paraId="275D30B3" w14:textId="726C36F3">
      <w:pPr>
        <w:tabs>
          <w:tab w:val="clear" w:pos="360"/>
          <w:tab w:val="left" w:pos="540"/>
        </w:tabs>
        <w:jc w:val="left"/>
      </w:pPr>
      <w:r w:rsidRPr="00023FB0">
        <w:rPr>
          <w:b/>
          <w:bCs/>
        </w:rPr>
        <w:t>15.</w:t>
      </w:r>
      <w:r w:rsidR="00A535E1">
        <w:rPr>
          <w:b/>
          <w:bCs/>
        </w:rPr>
        <w:tab/>
      </w:r>
      <w:r w:rsidR="00E165CF">
        <w:rPr>
          <w:b/>
          <w:bCs/>
          <w:u w:val="single"/>
        </w:rPr>
        <w:t>Program changes or adjustments</w:t>
      </w:r>
    </w:p>
    <w:p w:rsidR="004517C3" w:rsidP="00A535E1" w:rsidRDefault="00C47718" w14:paraId="3D22081D" w14:textId="17232D62">
      <w:p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540"/>
        </w:tabs>
        <w:ind w:left="540"/>
        <w:jc w:val="left"/>
        <w:rPr>
          <w:b/>
          <w:u w:val="single"/>
        </w:rPr>
      </w:pPr>
      <w:r>
        <w:rPr>
          <w:color w:val="000000"/>
        </w:rPr>
        <w:t>Th</w:t>
      </w:r>
      <w:r w:rsidR="0095446C">
        <w:t xml:space="preserve">is is a new </w:t>
      </w:r>
      <w:r>
        <w:t xml:space="preserve">information collection and there are no changes or adjustments to report.  </w:t>
      </w:r>
    </w:p>
    <w:p w:rsidRPr="00266F6D" w:rsidR="004517C3" w:rsidP="00004AE6" w:rsidRDefault="00C47718" w14:paraId="5D9E0624" w14:textId="3DF12557">
      <w:pPr>
        <w:tabs>
          <w:tab w:val="clear" w:pos="360"/>
          <w:tab w:val="left" w:pos="540"/>
        </w:tabs>
        <w:jc w:val="left"/>
      </w:pPr>
      <w:r w:rsidRPr="00004AE6">
        <w:rPr>
          <w:b/>
          <w:bCs/>
        </w:rPr>
        <w:t>16.</w:t>
      </w:r>
      <w:r w:rsidRPr="00717E61">
        <w:t xml:space="preserve"> </w:t>
      </w:r>
      <w:r w:rsidR="00004AE6">
        <w:tab/>
      </w:r>
      <w:r w:rsidR="00266F6D">
        <w:rPr>
          <w:b/>
          <w:bCs/>
          <w:u w:val="single"/>
        </w:rPr>
        <w:t>Plans for tabulation and publication</w:t>
      </w:r>
    </w:p>
    <w:p w:rsidRPr="00DB665D" w:rsidR="004517C3" w:rsidP="00266F6D" w:rsidRDefault="00DB665D" w14:paraId="125E8978" w14:textId="2F1CB919">
      <w:p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540"/>
        </w:tabs>
        <w:ind w:left="540"/>
        <w:jc w:val="left"/>
        <w:rPr>
          <w:bCs/>
        </w:rPr>
      </w:pPr>
      <w:r>
        <w:rPr>
          <w:bCs/>
        </w:rPr>
        <w:t xml:space="preserve">The ASC does not plan to publish the </w:t>
      </w:r>
      <w:r w:rsidR="00AF3215">
        <w:rPr>
          <w:bCs/>
        </w:rPr>
        <w:t>reports but</w:t>
      </w:r>
      <w:r>
        <w:rPr>
          <w:bCs/>
        </w:rPr>
        <w:t xml:space="preserve"> will use results as needed to inform the work of State appraiser regulatory agencies and share best practices. </w:t>
      </w:r>
    </w:p>
    <w:p w:rsidRPr="00717E61" w:rsidR="004517C3" w:rsidP="006718A4" w:rsidRDefault="00C47718" w14:paraId="4FCC73C5" w14:textId="061600E4">
      <w:pPr>
        <w:tabs>
          <w:tab w:val="clear" w:pos="360"/>
          <w:tab w:val="left" w:pos="540"/>
        </w:tabs>
        <w:jc w:val="left"/>
      </w:pPr>
      <w:r w:rsidRPr="006718A4">
        <w:rPr>
          <w:b/>
          <w:bCs/>
        </w:rPr>
        <w:t>17.</w:t>
      </w:r>
      <w:r w:rsidRPr="00717E61">
        <w:t xml:space="preserve"> </w:t>
      </w:r>
      <w:r w:rsidR="006718A4">
        <w:tab/>
      </w:r>
      <w:r w:rsidR="006F188F">
        <w:rPr>
          <w:b/>
          <w:bCs/>
          <w:u w:val="single"/>
        </w:rPr>
        <w:t>Display of expiration date</w:t>
      </w:r>
    </w:p>
    <w:p w:rsidR="004517C3" w:rsidP="006F188F" w:rsidRDefault="004675CF" w14:paraId="718228BA" w14:textId="21928349">
      <w:p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540"/>
        </w:tabs>
        <w:ind w:left="540"/>
        <w:jc w:val="left"/>
        <w:rPr>
          <w:b/>
          <w:color w:val="000000"/>
        </w:rPr>
      </w:pPr>
      <w:r>
        <w:rPr>
          <w:color w:val="000000"/>
        </w:rPr>
        <w:t>No such approval is being sought.</w:t>
      </w:r>
    </w:p>
    <w:p w:rsidRPr="00D543F1" w:rsidR="004517C3" w:rsidP="004675CF" w:rsidRDefault="00C47718" w14:paraId="29615172" w14:textId="240FFEC8">
      <w:pPr>
        <w:tabs>
          <w:tab w:val="clear" w:pos="360"/>
          <w:tab w:val="left" w:pos="540"/>
        </w:tabs>
        <w:jc w:val="left"/>
      </w:pPr>
      <w:r w:rsidRPr="004675CF">
        <w:rPr>
          <w:b/>
          <w:bCs/>
        </w:rPr>
        <w:t>18.</w:t>
      </w:r>
      <w:r w:rsidRPr="00717E61">
        <w:t xml:space="preserve"> </w:t>
      </w:r>
      <w:r w:rsidR="004675CF">
        <w:tab/>
      </w:r>
      <w:r w:rsidR="00D543F1">
        <w:rPr>
          <w:b/>
          <w:bCs/>
          <w:u w:val="single"/>
        </w:rPr>
        <w:t xml:space="preserve">Collection of </w:t>
      </w:r>
      <w:r w:rsidR="00EF1D7B">
        <w:rPr>
          <w:b/>
          <w:bCs/>
          <w:u w:val="single"/>
        </w:rPr>
        <w:t>i</w:t>
      </w:r>
      <w:r w:rsidR="00D543F1">
        <w:rPr>
          <w:b/>
          <w:bCs/>
          <w:u w:val="single"/>
        </w:rPr>
        <w:t xml:space="preserve">nformation </w:t>
      </w:r>
      <w:r w:rsidR="00EF1D7B">
        <w:rPr>
          <w:b/>
          <w:bCs/>
          <w:u w:val="single"/>
        </w:rPr>
        <w:t>e</w:t>
      </w:r>
      <w:r w:rsidR="00D543F1">
        <w:rPr>
          <w:b/>
          <w:bCs/>
          <w:u w:val="single"/>
        </w:rPr>
        <w:t xml:space="preserve">mploying </w:t>
      </w:r>
      <w:r w:rsidR="00EF1D7B">
        <w:rPr>
          <w:b/>
          <w:bCs/>
          <w:u w:val="single"/>
        </w:rPr>
        <w:t>s</w:t>
      </w:r>
      <w:r w:rsidR="00D543F1">
        <w:rPr>
          <w:b/>
          <w:bCs/>
          <w:u w:val="single"/>
        </w:rPr>
        <w:t xml:space="preserve">tatistical </w:t>
      </w:r>
      <w:r w:rsidR="00EF1D7B">
        <w:rPr>
          <w:b/>
          <w:bCs/>
          <w:u w:val="single"/>
        </w:rPr>
        <w:t>m</w:t>
      </w:r>
      <w:r w:rsidR="00D543F1">
        <w:rPr>
          <w:b/>
          <w:bCs/>
          <w:u w:val="single"/>
        </w:rPr>
        <w:t>ethods</w:t>
      </w:r>
    </w:p>
    <w:p w:rsidR="00307140" w:rsidP="006877BF" w:rsidRDefault="006877BF" w14:paraId="4671E084" w14:textId="6A4647A8">
      <w:p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540"/>
        </w:tabs>
        <w:ind w:left="540"/>
        <w:jc w:val="left"/>
        <w:rPr>
          <w:b/>
          <w:color w:val="000000"/>
        </w:rPr>
      </w:pPr>
      <w:r>
        <w:rPr>
          <w:color w:val="000000"/>
        </w:rPr>
        <w:t xml:space="preserve">This collection does not employ statistical methods.  </w:t>
      </w:r>
    </w:p>
    <w:sectPr w:rsidR="00307140" w:rsidSect="005B33EC">
      <w:head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E07FF" w14:textId="77777777" w:rsidR="00424F5E" w:rsidRDefault="00424F5E">
      <w:pPr>
        <w:spacing w:after="0"/>
      </w:pPr>
      <w:r>
        <w:separator/>
      </w:r>
    </w:p>
  </w:endnote>
  <w:endnote w:type="continuationSeparator" w:id="0">
    <w:p w14:paraId="06388809" w14:textId="77777777" w:rsidR="00424F5E" w:rsidRDefault="00424F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B891D" w14:textId="17DF01A0" w:rsidR="004517C3" w:rsidRDefault="00C47718">
    <w:r>
      <w:fldChar w:fldCharType="begin"/>
    </w:r>
    <w:r>
      <w:instrText>PAGE</w:instrText>
    </w:r>
    <w:r>
      <w:fldChar w:fldCharType="separate"/>
    </w:r>
    <w:r w:rsidR="003431E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21ADD" w14:textId="77777777" w:rsidR="00424F5E" w:rsidRDefault="00424F5E">
      <w:pPr>
        <w:spacing w:after="0"/>
      </w:pPr>
      <w:r>
        <w:separator/>
      </w:r>
    </w:p>
  </w:footnote>
  <w:footnote w:type="continuationSeparator" w:id="0">
    <w:p w14:paraId="1D73CD65" w14:textId="77777777" w:rsidR="00424F5E" w:rsidRDefault="00424F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3F5CD" w14:textId="77777777" w:rsidR="00B458F6" w:rsidRDefault="00424F5E">
    <w:pPr>
      <w:pStyle w:val="Header"/>
    </w:pPr>
    <w:r>
      <w:rPr>
        <w:noProof/>
      </w:rPr>
      <w:pict w14:anchorId="3E4488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2860854" o:spid="_x0000_s2051" type="#_x0000_t136" alt="" style="position:absolute;left:0;text-align:left;margin-left:0;margin-top:0;width:118pt;height:40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24903f"/>
          <v:textpath style="font-family:&quot;Times New Roman&quot;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2428A" w14:textId="77777777" w:rsidR="00B458F6" w:rsidRDefault="00424F5E">
    <w:pPr>
      <w:pStyle w:val="Header"/>
    </w:pPr>
    <w:r>
      <w:rPr>
        <w:noProof/>
      </w:rPr>
      <w:pict w14:anchorId="5439C2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2860853" o:spid="_x0000_s2049" type="#_x0000_t136" alt="" style="position:absolute;left:0;text-align:left;margin-left:0;margin-top:0;width:118pt;height:40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24903f"/>
          <v:textpath style="font-family:&quot;Times New Roman&quot;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7"/>
      <w:numFmt w:val="decimal"/>
      <w:lvlText w:val="%1."/>
      <w:lvlJc w:val="left"/>
      <w:pPr>
        <w:ind w:left="520" w:hanging="42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1352" w:hanging="420"/>
      </w:pPr>
    </w:lvl>
    <w:lvl w:ilvl="2">
      <w:numFmt w:val="bullet"/>
      <w:lvlText w:val="•"/>
      <w:lvlJc w:val="left"/>
      <w:pPr>
        <w:ind w:left="2184" w:hanging="420"/>
      </w:pPr>
    </w:lvl>
    <w:lvl w:ilvl="3">
      <w:numFmt w:val="bullet"/>
      <w:lvlText w:val="•"/>
      <w:lvlJc w:val="left"/>
      <w:pPr>
        <w:ind w:left="3016" w:hanging="420"/>
      </w:pPr>
    </w:lvl>
    <w:lvl w:ilvl="4">
      <w:numFmt w:val="bullet"/>
      <w:lvlText w:val="•"/>
      <w:lvlJc w:val="left"/>
      <w:pPr>
        <w:ind w:left="3848" w:hanging="420"/>
      </w:pPr>
    </w:lvl>
    <w:lvl w:ilvl="5">
      <w:numFmt w:val="bullet"/>
      <w:lvlText w:val="•"/>
      <w:lvlJc w:val="left"/>
      <w:pPr>
        <w:ind w:left="4680" w:hanging="420"/>
      </w:pPr>
    </w:lvl>
    <w:lvl w:ilvl="6">
      <w:numFmt w:val="bullet"/>
      <w:lvlText w:val="•"/>
      <w:lvlJc w:val="left"/>
      <w:pPr>
        <w:ind w:left="5512" w:hanging="420"/>
      </w:pPr>
    </w:lvl>
    <w:lvl w:ilvl="7">
      <w:numFmt w:val="bullet"/>
      <w:lvlText w:val="•"/>
      <w:lvlJc w:val="left"/>
      <w:pPr>
        <w:ind w:left="6344" w:hanging="420"/>
      </w:pPr>
    </w:lvl>
    <w:lvl w:ilvl="8">
      <w:numFmt w:val="bullet"/>
      <w:lvlText w:val="•"/>
      <w:lvlJc w:val="left"/>
      <w:pPr>
        <w:ind w:left="7176" w:hanging="420"/>
      </w:pPr>
    </w:lvl>
  </w:abstractNum>
  <w:abstractNum w:abstractNumId="1" w15:restartNumberingAfterBreak="0">
    <w:nsid w:val="00000403"/>
    <w:multiLevelType w:val="multilevel"/>
    <w:tmpl w:val="00000886"/>
    <w:lvl w:ilvl="0">
      <w:start w:val="20"/>
      <w:numFmt w:val="decimal"/>
      <w:lvlText w:val="%1."/>
      <w:lvlJc w:val="left"/>
      <w:pPr>
        <w:ind w:left="520" w:hanging="420"/>
      </w:pPr>
      <w:rPr>
        <w:rFonts w:ascii="Times New Roman" w:hAnsi="Times New Roman" w:cs="Times New Roman"/>
        <w:b w:val="0"/>
        <w:bCs w:val="0"/>
        <w:spacing w:val="-3"/>
        <w:w w:val="99"/>
        <w:sz w:val="24"/>
        <w:szCs w:val="24"/>
      </w:rPr>
    </w:lvl>
    <w:lvl w:ilvl="1">
      <w:numFmt w:val="bullet"/>
      <w:lvlText w:val="•"/>
      <w:lvlJc w:val="left"/>
      <w:pPr>
        <w:ind w:left="1352" w:hanging="420"/>
      </w:pPr>
    </w:lvl>
    <w:lvl w:ilvl="2">
      <w:numFmt w:val="bullet"/>
      <w:lvlText w:val="•"/>
      <w:lvlJc w:val="left"/>
      <w:pPr>
        <w:ind w:left="2184" w:hanging="420"/>
      </w:pPr>
    </w:lvl>
    <w:lvl w:ilvl="3">
      <w:numFmt w:val="bullet"/>
      <w:lvlText w:val="•"/>
      <w:lvlJc w:val="left"/>
      <w:pPr>
        <w:ind w:left="3016" w:hanging="420"/>
      </w:pPr>
    </w:lvl>
    <w:lvl w:ilvl="4">
      <w:numFmt w:val="bullet"/>
      <w:lvlText w:val="•"/>
      <w:lvlJc w:val="left"/>
      <w:pPr>
        <w:ind w:left="3848" w:hanging="420"/>
      </w:pPr>
    </w:lvl>
    <w:lvl w:ilvl="5">
      <w:numFmt w:val="bullet"/>
      <w:lvlText w:val="•"/>
      <w:lvlJc w:val="left"/>
      <w:pPr>
        <w:ind w:left="4680" w:hanging="420"/>
      </w:pPr>
    </w:lvl>
    <w:lvl w:ilvl="6">
      <w:numFmt w:val="bullet"/>
      <w:lvlText w:val="•"/>
      <w:lvlJc w:val="left"/>
      <w:pPr>
        <w:ind w:left="5512" w:hanging="420"/>
      </w:pPr>
    </w:lvl>
    <w:lvl w:ilvl="7">
      <w:numFmt w:val="bullet"/>
      <w:lvlText w:val="•"/>
      <w:lvlJc w:val="left"/>
      <w:pPr>
        <w:ind w:left="6344" w:hanging="420"/>
      </w:pPr>
    </w:lvl>
    <w:lvl w:ilvl="8">
      <w:numFmt w:val="bullet"/>
      <w:lvlText w:val="•"/>
      <w:lvlJc w:val="left"/>
      <w:pPr>
        <w:ind w:left="7176" w:hanging="420"/>
      </w:pPr>
    </w:lvl>
  </w:abstractNum>
  <w:abstractNum w:abstractNumId="2" w15:restartNumberingAfterBreak="0">
    <w:nsid w:val="366B5E33"/>
    <w:multiLevelType w:val="multilevel"/>
    <w:tmpl w:val="20CC9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C64313"/>
    <w:multiLevelType w:val="multilevel"/>
    <w:tmpl w:val="00000885"/>
    <w:lvl w:ilvl="0">
      <w:start w:val="17"/>
      <w:numFmt w:val="decimal"/>
      <w:lvlText w:val="%1."/>
      <w:lvlJc w:val="left"/>
      <w:pPr>
        <w:ind w:left="520" w:hanging="42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1352" w:hanging="420"/>
      </w:pPr>
    </w:lvl>
    <w:lvl w:ilvl="2">
      <w:numFmt w:val="bullet"/>
      <w:lvlText w:val="•"/>
      <w:lvlJc w:val="left"/>
      <w:pPr>
        <w:ind w:left="2184" w:hanging="420"/>
      </w:pPr>
    </w:lvl>
    <w:lvl w:ilvl="3">
      <w:numFmt w:val="bullet"/>
      <w:lvlText w:val="•"/>
      <w:lvlJc w:val="left"/>
      <w:pPr>
        <w:ind w:left="3016" w:hanging="420"/>
      </w:pPr>
    </w:lvl>
    <w:lvl w:ilvl="4">
      <w:numFmt w:val="bullet"/>
      <w:lvlText w:val="•"/>
      <w:lvlJc w:val="left"/>
      <w:pPr>
        <w:ind w:left="3848" w:hanging="420"/>
      </w:pPr>
    </w:lvl>
    <w:lvl w:ilvl="5">
      <w:numFmt w:val="bullet"/>
      <w:lvlText w:val="•"/>
      <w:lvlJc w:val="left"/>
      <w:pPr>
        <w:ind w:left="4680" w:hanging="420"/>
      </w:pPr>
    </w:lvl>
    <w:lvl w:ilvl="6">
      <w:numFmt w:val="bullet"/>
      <w:lvlText w:val="•"/>
      <w:lvlJc w:val="left"/>
      <w:pPr>
        <w:ind w:left="5512" w:hanging="420"/>
      </w:pPr>
    </w:lvl>
    <w:lvl w:ilvl="7">
      <w:numFmt w:val="bullet"/>
      <w:lvlText w:val="•"/>
      <w:lvlJc w:val="left"/>
      <w:pPr>
        <w:ind w:left="6344" w:hanging="420"/>
      </w:pPr>
    </w:lvl>
    <w:lvl w:ilvl="8">
      <w:numFmt w:val="bullet"/>
      <w:lvlText w:val="•"/>
      <w:lvlJc w:val="left"/>
      <w:pPr>
        <w:ind w:left="7176" w:hanging="420"/>
      </w:pPr>
    </w:lvl>
  </w:abstractNum>
  <w:abstractNum w:abstractNumId="4" w15:restartNumberingAfterBreak="0">
    <w:nsid w:val="62D71ACB"/>
    <w:multiLevelType w:val="multilevel"/>
    <w:tmpl w:val="0F5CC0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7C3"/>
    <w:rsid w:val="00004AE6"/>
    <w:rsid w:val="00006BC3"/>
    <w:rsid w:val="00007E5D"/>
    <w:rsid w:val="000109B7"/>
    <w:rsid w:val="0001128E"/>
    <w:rsid w:val="0001580F"/>
    <w:rsid w:val="00023FB0"/>
    <w:rsid w:val="0002725E"/>
    <w:rsid w:val="00035F97"/>
    <w:rsid w:val="00047557"/>
    <w:rsid w:val="00071896"/>
    <w:rsid w:val="00081552"/>
    <w:rsid w:val="000865FB"/>
    <w:rsid w:val="00090CD4"/>
    <w:rsid w:val="00096210"/>
    <w:rsid w:val="000978E0"/>
    <w:rsid w:val="000A425B"/>
    <w:rsid w:val="000C4FB4"/>
    <w:rsid w:val="000C5973"/>
    <w:rsid w:val="000D0F37"/>
    <w:rsid w:val="000D1AB8"/>
    <w:rsid w:val="000D6044"/>
    <w:rsid w:val="000D6EAF"/>
    <w:rsid w:val="000E07D7"/>
    <w:rsid w:val="000F5C8C"/>
    <w:rsid w:val="000F6610"/>
    <w:rsid w:val="000F6CF2"/>
    <w:rsid w:val="00107C61"/>
    <w:rsid w:val="0012226C"/>
    <w:rsid w:val="001232DC"/>
    <w:rsid w:val="00124FEE"/>
    <w:rsid w:val="0014537F"/>
    <w:rsid w:val="00153284"/>
    <w:rsid w:val="00153341"/>
    <w:rsid w:val="001538AE"/>
    <w:rsid w:val="00174D27"/>
    <w:rsid w:val="001801E1"/>
    <w:rsid w:val="00180DB6"/>
    <w:rsid w:val="00185F65"/>
    <w:rsid w:val="001A0A17"/>
    <w:rsid w:val="001A6613"/>
    <w:rsid w:val="001A79D7"/>
    <w:rsid w:val="001B541E"/>
    <w:rsid w:val="001C3554"/>
    <w:rsid w:val="001F27EF"/>
    <w:rsid w:val="001F573D"/>
    <w:rsid w:val="00215935"/>
    <w:rsid w:val="00232AE5"/>
    <w:rsid w:val="00234CC2"/>
    <w:rsid w:val="00235A12"/>
    <w:rsid w:val="00241127"/>
    <w:rsid w:val="0025421A"/>
    <w:rsid w:val="00254A64"/>
    <w:rsid w:val="00266F6D"/>
    <w:rsid w:val="00277EC8"/>
    <w:rsid w:val="002A2D0D"/>
    <w:rsid w:val="002A679B"/>
    <w:rsid w:val="002B4B0E"/>
    <w:rsid w:val="002C08B1"/>
    <w:rsid w:val="002E5885"/>
    <w:rsid w:val="002F3D21"/>
    <w:rsid w:val="002F56EB"/>
    <w:rsid w:val="003010E2"/>
    <w:rsid w:val="003041ED"/>
    <w:rsid w:val="00307140"/>
    <w:rsid w:val="00312FE9"/>
    <w:rsid w:val="00313797"/>
    <w:rsid w:val="00315D3F"/>
    <w:rsid w:val="0031778C"/>
    <w:rsid w:val="00331E30"/>
    <w:rsid w:val="00333568"/>
    <w:rsid w:val="003363E6"/>
    <w:rsid w:val="00340F64"/>
    <w:rsid w:val="0034216F"/>
    <w:rsid w:val="003431E6"/>
    <w:rsid w:val="00347E08"/>
    <w:rsid w:val="00353ED7"/>
    <w:rsid w:val="00371BCB"/>
    <w:rsid w:val="003732BC"/>
    <w:rsid w:val="003739F1"/>
    <w:rsid w:val="003746B5"/>
    <w:rsid w:val="00374E25"/>
    <w:rsid w:val="00376102"/>
    <w:rsid w:val="003867A1"/>
    <w:rsid w:val="00391C98"/>
    <w:rsid w:val="00394BEB"/>
    <w:rsid w:val="00395983"/>
    <w:rsid w:val="0039712A"/>
    <w:rsid w:val="003A0191"/>
    <w:rsid w:val="003A45B4"/>
    <w:rsid w:val="003B1DA5"/>
    <w:rsid w:val="003B28E3"/>
    <w:rsid w:val="003B7851"/>
    <w:rsid w:val="003C0DE1"/>
    <w:rsid w:val="003C48A0"/>
    <w:rsid w:val="003D3E53"/>
    <w:rsid w:val="003D5A6C"/>
    <w:rsid w:val="003E21A3"/>
    <w:rsid w:val="003F15F2"/>
    <w:rsid w:val="003F18DF"/>
    <w:rsid w:val="003F1FCB"/>
    <w:rsid w:val="003F224B"/>
    <w:rsid w:val="004014B9"/>
    <w:rsid w:val="004014FC"/>
    <w:rsid w:val="00405868"/>
    <w:rsid w:val="00406893"/>
    <w:rsid w:val="00406D45"/>
    <w:rsid w:val="00424F5E"/>
    <w:rsid w:val="0043215F"/>
    <w:rsid w:val="004322D8"/>
    <w:rsid w:val="004366D9"/>
    <w:rsid w:val="00443EE2"/>
    <w:rsid w:val="00450FE3"/>
    <w:rsid w:val="004517C3"/>
    <w:rsid w:val="004563DC"/>
    <w:rsid w:val="00462FD0"/>
    <w:rsid w:val="004675CF"/>
    <w:rsid w:val="00474BA9"/>
    <w:rsid w:val="00492ED0"/>
    <w:rsid w:val="004A2593"/>
    <w:rsid w:val="004A5F4D"/>
    <w:rsid w:val="004C01F2"/>
    <w:rsid w:val="004C071A"/>
    <w:rsid w:val="004C4214"/>
    <w:rsid w:val="004E01FD"/>
    <w:rsid w:val="004E1C41"/>
    <w:rsid w:val="004F2E74"/>
    <w:rsid w:val="00525696"/>
    <w:rsid w:val="00534B71"/>
    <w:rsid w:val="00547171"/>
    <w:rsid w:val="005618BC"/>
    <w:rsid w:val="00564E9C"/>
    <w:rsid w:val="0057161E"/>
    <w:rsid w:val="00573061"/>
    <w:rsid w:val="00596357"/>
    <w:rsid w:val="005A3753"/>
    <w:rsid w:val="005A5735"/>
    <w:rsid w:val="005B33EC"/>
    <w:rsid w:val="0061408B"/>
    <w:rsid w:val="00622707"/>
    <w:rsid w:val="00624659"/>
    <w:rsid w:val="00627486"/>
    <w:rsid w:val="00634405"/>
    <w:rsid w:val="00642384"/>
    <w:rsid w:val="00655771"/>
    <w:rsid w:val="00660859"/>
    <w:rsid w:val="00661E0F"/>
    <w:rsid w:val="006718A4"/>
    <w:rsid w:val="00674F75"/>
    <w:rsid w:val="0068144D"/>
    <w:rsid w:val="00681776"/>
    <w:rsid w:val="0068529C"/>
    <w:rsid w:val="00685EA1"/>
    <w:rsid w:val="006877BF"/>
    <w:rsid w:val="00696450"/>
    <w:rsid w:val="00697DD8"/>
    <w:rsid w:val="006A325F"/>
    <w:rsid w:val="006B3AE4"/>
    <w:rsid w:val="006C2C44"/>
    <w:rsid w:val="006D1DE5"/>
    <w:rsid w:val="006D5F44"/>
    <w:rsid w:val="006E24B6"/>
    <w:rsid w:val="006E3F4F"/>
    <w:rsid w:val="006F188F"/>
    <w:rsid w:val="00704FCC"/>
    <w:rsid w:val="00705C00"/>
    <w:rsid w:val="007126F6"/>
    <w:rsid w:val="0071444D"/>
    <w:rsid w:val="00717E61"/>
    <w:rsid w:val="00723EAB"/>
    <w:rsid w:val="00724F1E"/>
    <w:rsid w:val="00725CA7"/>
    <w:rsid w:val="00727758"/>
    <w:rsid w:val="0074573A"/>
    <w:rsid w:val="00770DF6"/>
    <w:rsid w:val="0077101D"/>
    <w:rsid w:val="00774BE9"/>
    <w:rsid w:val="00774E89"/>
    <w:rsid w:val="00785E65"/>
    <w:rsid w:val="00787137"/>
    <w:rsid w:val="00795C04"/>
    <w:rsid w:val="00796818"/>
    <w:rsid w:val="007A5DBA"/>
    <w:rsid w:val="007A797C"/>
    <w:rsid w:val="007B69DE"/>
    <w:rsid w:val="007C3802"/>
    <w:rsid w:val="007D67DE"/>
    <w:rsid w:val="007E3A17"/>
    <w:rsid w:val="007F42AE"/>
    <w:rsid w:val="00801DD9"/>
    <w:rsid w:val="0080358D"/>
    <w:rsid w:val="008153C0"/>
    <w:rsid w:val="0081555C"/>
    <w:rsid w:val="00816F00"/>
    <w:rsid w:val="0083797A"/>
    <w:rsid w:val="00841C53"/>
    <w:rsid w:val="00846378"/>
    <w:rsid w:val="00852ABC"/>
    <w:rsid w:val="008530CF"/>
    <w:rsid w:val="00854F4F"/>
    <w:rsid w:val="00870FBA"/>
    <w:rsid w:val="008714B1"/>
    <w:rsid w:val="00873E94"/>
    <w:rsid w:val="008816F5"/>
    <w:rsid w:val="00887FBE"/>
    <w:rsid w:val="008A3F8B"/>
    <w:rsid w:val="008C34BB"/>
    <w:rsid w:val="008D24A2"/>
    <w:rsid w:val="008E7D71"/>
    <w:rsid w:val="008F2274"/>
    <w:rsid w:val="00903BCA"/>
    <w:rsid w:val="00915270"/>
    <w:rsid w:val="00933828"/>
    <w:rsid w:val="0093573F"/>
    <w:rsid w:val="00936227"/>
    <w:rsid w:val="009372D3"/>
    <w:rsid w:val="00942EF1"/>
    <w:rsid w:val="00946778"/>
    <w:rsid w:val="009473D5"/>
    <w:rsid w:val="0095446C"/>
    <w:rsid w:val="0098336D"/>
    <w:rsid w:val="00995911"/>
    <w:rsid w:val="00996244"/>
    <w:rsid w:val="009B5B50"/>
    <w:rsid w:val="009C249A"/>
    <w:rsid w:val="009D0E13"/>
    <w:rsid w:val="009D1271"/>
    <w:rsid w:val="009D1516"/>
    <w:rsid w:val="009D4F10"/>
    <w:rsid w:val="009F681C"/>
    <w:rsid w:val="00A03B26"/>
    <w:rsid w:val="00A0633E"/>
    <w:rsid w:val="00A16D4F"/>
    <w:rsid w:val="00A4252C"/>
    <w:rsid w:val="00A45A77"/>
    <w:rsid w:val="00A4606C"/>
    <w:rsid w:val="00A535E1"/>
    <w:rsid w:val="00A652BA"/>
    <w:rsid w:val="00A6536E"/>
    <w:rsid w:val="00A73E96"/>
    <w:rsid w:val="00A74F28"/>
    <w:rsid w:val="00A8132B"/>
    <w:rsid w:val="00A83190"/>
    <w:rsid w:val="00A8325D"/>
    <w:rsid w:val="00A8574B"/>
    <w:rsid w:val="00A94719"/>
    <w:rsid w:val="00A97761"/>
    <w:rsid w:val="00AA6B04"/>
    <w:rsid w:val="00AA6B22"/>
    <w:rsid w:val="00AB405F"/>
    <w:rsid w:val="00AB4286"/>
    <w:rsid w:val="00AC237B"/>
    <w:rsid w:val="00AC5E4B"/>
    <w:rsid w:val="00AD292F"/>
    <w:rsid w:val="00AD3439"/>
    <w:rsid w:val="00AE4C4D"/>
    <w:rsid w:val="00AF3215"/>
    <w:rsid w:val="00B010DC"/>
    <w:rsid w:val="00B01CA9"/>
    <w:rsid w:val="00B137C3"/>
    <w:rsid w:val="00B13EC0"/>
    <w:rsid w:val="00B1523F"/>
    <w:rsid w:val="00B1707B"/>
    <w:rsid w:val="00B220ED"/>
    <w:rsid w:val="00B23121"/>
    <w:rsid w:val="00B458F6"/>
    <w:rsid w:val="00B54AE2"/>
    <w:rsid w:val="00B60582"/>
    <w:rsid w:val="00B650AC"/>
    <w:rsid w:val="00B70B4B"/>
    <w:rsid w:val="00B85776"/>
    <w:rsid w:val="00B92AE1"/>
    <w:rsid w:val="00BA0A23"/>
    <w:rsid w:val="00BA41E6"/>
    <w:rsid w:val="00BA425A"/>
    <w:rsid w:val="00BB19F6"/>
    <w:rsid w:val="00BB5850"/>
    <w:rsid w:val="00BB6DBC"/>
    <w:rsid w:val="00BD1A0A"/>
    <w:rsid w:val="00BD1BB6"/>
    <w:rsid w:val="00BD2607"/>
    <w:rsid w:val="00BD699E"/>
    <w:rsid w:val="00BE3C6F"/>
    <w:rsid w:val="00BE68B3"/>
    <w:rsid w:val="00BE6EBC"/>
    <w:rsid w:val="00BE74AD"/>
    <w:rsid w:val="00BF4B54"/>
    <w:rsid w:val="00C10EA7"/>
    <w:rsid w:val="00C12A23"/>
    <w:rsid w:val="00C1716F"/>
    <w:rsid w:val="00C249FB"/>
    <w:rsid w:val="00C27E28"/>
    <w:rsid w:val="00C303F4"/>
    <w:rsid w:val="00C328E7"/>
    <w:rsid w:val="00C3508F"/>
    <w:rsid w:val="00C37317"/>
    <w:rsid w:val="00C376FD"/>
    <w:rsid w:val="00C37DF3"/>
    <w:rsid w:val="00C47718"/>
    <w:rsid w:val="00C56F03"/>
    <w:rsid w:val="00C65DC2"/>
    <w:rsid w:val="00C66125"/>
    <w:rsid w:val="00C75726"/>
    <w:rsid w:val="00C828ED"/>
    <w:rsid w:val="00C82CCE"/>
    <w:rsid w:val="00C84B5C"/>
    <w:rsid w:val="00C8576F"/>
    <w:rsid w:val="00CA5D7F"/>
    <w:rsid w:val="00CA6456"/>
    <w:rsid w:val="00CB3B45"/>
    <w:rsid w:val="00CB6135"/>
    <w:rsid w:val="00CC08F1"/>
    <w:rsid w:val="00CC58A8"/>
    <w:rsid w:val="00CD05E8"/>
    <w:rsid w:val="00CE0608"/>
    <w:rsid w:val="00CE3E88"/>
    <w:rsid w:val="00CF3226"/>
    <w:rsid w:val="00D079D5"/>
    <w:rsid w:val="00D10B0B"/>
    <w:rsid w:val="00D12A61"/>
    <w:rsid w:val="00D13250"/>
    <w:rsid w:val="00D22A4E"/>
    <w:rsid w:val="00D44A75"/>
    <w:rsid w:val="00D504F3"/>
    <w:rsid w:val="00D5095C"/>
    <w:rsid w:val="00D543F1"/>
    <w:rsid w:val="00D544A1"/>
    <w:rsid w:val="00D6321D"/>
    <w:rsid w:val="00D73349"/>
    <w:rsid w:val="00D912BB"/>
    <w:rsid w:val="00DB665D"/>
    <w:rsid w:val="00DD2A8C"/>
    <w:rsid w:val="00DE546D"/>
    <w:rsid w:val="00DF665D"/>
    <w:rsid w:val="00E122C7"/>
    <w:rsid w:val="00E165CF"/>
    <w:rsid w:val="00E166B4"/>
    <w:rsid w:val="00E16840"/>
    <w:rsid w:val="00E22C0F"/>
    <w:rsid w:val="00E37EA3"/>
    <w:rsid w:val="00E43A06"/>
    <w:rsid w:val="00E52871"/>
    <w:rsid w:val="00E53E5E"/>
    <w:rsid w:val="00E60D0C"/>
    <w:rsid w:val="00E63366"/>
    <w:rsid w:val="00E63501"/>
    <w:rsid w:val="00E717F8"/>
    <w:rsid w:val="00E84E32"/>
    <w:rsid w:val="00E87C36"/>
    <w:rsid w:val="00EA2E6C"/>
    <w:rsid w:val="00EC23CC"/>
    <w:rsid w:val="00ED6353"/>
    <w:rsid w:val="00EF1D7B"/>
    <w:rsid w:val="00F04325"/>
    <w:rsid w:val="00F044D9"/>
    <w:rsid w:val="00F05778"/>
    <w:rsid w:val="00F12517"/>
    <w:rsid w:val="00F126A3"/>
    <w:rsid w:val="00F142A4"/>
    <w:rsid w:val="00F21904"/>
    <w:rsid w:val="00F32145"/>
    <w:rsid w:val="00F3222E"/>
    <w:rsid w:val="00F344D5"/>
    <w:rsid w:val="00F4006B"/>
    <w:rsid w:val="00F52376"/>
    <w:rsid w:val="00F7128A"/>
    <w:rsid w:val="00F74130"/>
    <w:rsid w:val="00F96B9A"/>
    <w:rsid w:val="00FA2692"/>
    <w:rsid w:val="00FB2186"/>
    <w:rsid w:val="00FB3952"/>
    <w:rsid w:val="00FC74A4"/>
    <w:rsid w:val="00FD5F13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2A45A0"/>
  <w15:docId w15:val="{954330A1-7B97-4645-9E22-4BB08264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tabs>
          <w:tab w:val="left" w:pos="360"/>
        </w:tabs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2B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BodyTextIndent">
    <w:name w:val="Body Text Indent"/>
    <w:basedOn w:val="Normal"/>
    <w:link w:val="BodyTextIndentChar"/>
    <w:uiPriority w:val="99"/>
    <w:unhideWhenUsed/>
    <w:rsid w:val="00555D32"/>
    <w:pPr>
      <w:tabs>
        <w:tab w:val="clear" w:pos="360"/>
      </w:tabs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55D32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4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4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44E8"/>
    <w:pPr>
      <w:tabs>
        <w:tab w:val="clear" w:pos="36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44E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244E8"/>
    <w:pPr>
      <w:tabs>
        <w:tab w:val="clear" w:pos="36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44E8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7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6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60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60C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60C"/>
    <w:rPr>
      <w:rFonts w:ascii="Times New Roman" w:hAnsi="Times New Roman"/>
      <w:b w:val="0"/>
      <w:bCs/>
      <w:sz w:val="20"/>
      <w:szCs w:val="20"/>
    </w:rPr>
  </w:style>
  <w:style w:type="paragraph" w:styleId="Revision">
    <w:name w:val="Revision"/>
    <w:hidden/>
    <w:uiPriority w:val="99"/>
    <w:semiHidden/>
    <w:rsid w:val="00AE3E4C"/>
    <w:pPr>
      <w:widowControl/>
      <w:spacing w:after="0"/>
    </w:pPr>
  </w:style>
  <w:style w:type="paragraph" w:customStyle="1" w:styleId="Default">
    <w:name w:val="Default"/>
    <w:rsid w:val="007C2BA5"/>
    <w:pPr>
      <w:autoSpaceDE w:val="0"/>
      <w:autoSpaceDN w:val="0"/>
      <w:adjustRightInd w:val="0"/>
      <w:spacing w:after="0"/>
    </w:pPr>
    <w:rPr>
      <w:rFonts w:ascii="Times" w:eastAsiaTheme="minorEastAsia" w:hAnsi="Times" w:cs="Times"/>
      <w:color w:val="000000"/>
    </w:rPr>
  </w:style>
  <w:style w:type="paragraph" w:customStyle="1" w:styleId="CM1">
    <w:name w:val="CM1"/>
    <w:basedOn w:val="Default"/>
    <w:next w:val="Default"/>
    <w:uiPriority w:val="99"/>
    <w:rsid w:val="007C2BA5"/>
    <w:pPr>
      <w:spacing w:line="276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EC47AA"/>
    <w:rPr>
      <w:color w:val="auto"/>
    </w:rPr>
  </w:style>
  <w:style w:type="table" w:styleId="TableGrid">
    <w:name w:val="Table Grid"/>
    <w:basedOn w:val="TableNormal"/>
    <w:uiPriority w:val="59"/>
    <w:rsid w:val="005F3A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2B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6F9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4014FC"/>
    <w:pPr>
      <w:widowControl/>
      <w:tabs>
        <w:tab w:val="clear" w:pos="360"/>
      </w:tabs>
      <w:spacing w:before="100" w:beforeAutospacing="1" w:after="100" w:afterAutospacing="1"/>
      <w:jc w:val="left"/>
    </w:pPr>
    <w:rPr>
      <w:rFonts w:eastAsiaTheme="minorEastAsia"/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74A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A4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071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7140"/>
  </w:style>
  <w:style w:type="paragraph" w:styleId="ListParagraph">
    <w:name w:val="List Paragraph"/>
    <w:basedOn w:val="Normal"/>
    <w:uiPriority w:val="1"/>
    <w:qFormat/>
    <w:rsid w:val="00307140"/>
    <w:pPr>
      <w:widowControl/>
      <w:tabs>
        <w:tab w:val="clear" w:pos="360"/>
      </w:tabs>
      <w:autoSpaceDE w:val="0"/>
      <w:autoSpaceDN w:val="0"/>
      <w:adjustRightInd w:val="0"/>
      <w:spacing w:before="50" w:after="0"/>
      <w:ind w:left="520" w:hanging="420"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3D5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0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news.release/ecec.t0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ls.gov/n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a8zFP2wXaR1n/WW+2GxZK++Qvg==">AMUW2mWqSPfFKirDDFsuD4XwGJSFyKw2edEYeWr83gL/YyrQT5wmv481k3XkewjuEEpHwtFG/mZ5BO4m7cTjLeFd31+1/XYMlpEuhxPH8TYGEM+uFWtiYBTU+LQLdPzKFLEREFdy2urSrvyphk2u//J4jlYqLhZoV+i5hUbxOhgnxrHekAvU8fiV/F5Jx/mOmc24x7S/FSc9/gc3HcS1ecl/KYjyDznExKhbYghb/VYYptOZwcpfjxu9I1KqnCqk6OE0CkfnaiTQtYOUdk1Gl/O0v2XLYBx/gWw5Y+iI0RYXzXy9xAsHm8If+xaI6R7zi746ZLb98XcCUB+I6qmtdbYmNbHX8WO3Lf0AA+RlLywnTYy3jzdMc7OgCOGUQEiF0GBymzDqGnlhEjpOvu4BDZqIvP5BjhEY/P4DA6Znu7XnVKDASG2ltvXEu0CrxY+2C+j+pMGmjlOv0Dfe3dS6H8gChqFAepEfxGz83LO4Xppms3tAjJH6PP17bIK2XgffIF2cH04PZqh/98VAi4vzydrsR2gYXooSDmKFRLSyoFsL/5VLD21Z5lXPuYYMcjJtrhc3azGzpJdodf6tI+/cNCswd/En0C1gr8017h3JKSmWrwnWpmwC/MGZLNlqi1sJfaM+wZOL36jWEwWyrv0oU2CyDXkGA/CJsyuJxzS6sUZtkX7noqrL9t2WvB07L2sjkzjsagthhTb/+Puxi6ktSqfL7JtKKvXM0jgFy7ijryIAN3zLeOQLvaHeTYZ1iWfeomzgkZDGTvO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ShellyAnderson</dc:creator>
  <cp:lastModifiedBy>Lori L. Schuster</cp:lastModifiedBy>
  <cp:revision>3</cp:revision>
  <dcterms:created xsi:type="dcterms:W3CDTF">2021-02-11T13:07:00Z</dcterms:created>
  <dcterms:modified xsi:type="dcterms:W3CDTF">2021-02-11T13:07:00Z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2011-12-14T00:00:00Z</vt:filetime>
  </property>
  <property fmtid="{D5CDD505-2E9C-101B-9397-08002B2CF9AE}" pid="3" name="LastSaved">
    <vt:filetime>2013-04-25T00:00:00Z</vt:filetime>
  </property>
</Properties>
</file>