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1DD0" w:rsidR="00447C1E" w:rsidP="00447C1E" w:rsidRDefault="00447C1E" w14:paraId="7B2A08DC"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9C1A7F" w:rsidP="001673BF" w:rsidRDefault="00AD4629" w14:paraId="523954C5" w14:textId="77777777">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Pr="00BD1DD0" w:rsidR="009F7E1A">
        <w:rPr>
          <w:rFonts w:ascii="Times New Roman" w:hAnsi="Times New Roman"/>
          <w:b/>
          <w:szCs w:val="24"/>
          <w:lang w:val="es-US"/>
        </w:rPr>
        <w:t xml:space="preserve">Control </w:t>
      </w:r>
      <w:r w:rsidRPr="00BD1DD0" w:rsidR="009F7E1A">
        <w:rPr>
          <w:rFonts w:ascii="Times New Roman" w:hAnsi="Times New Roman"/>
          <w:b/>
          <w:szCs w:val="24"/>
        </w:rPr>
        <w:t>Number</w:t>
      </w:r>
      <w:r w:rsidRPr="00BD1DD0">
        <w:rPr>
          <w:rFonts w:ascii="Times New Roman" w:hAnsi="Times New Roman"/>
          <w:b/>
          <w:szCs w:val="24"/>
          <w:lang w:val="es-US"/>
        </w:rPr>
        <w:t xml:space="preserve"> 0584-</w:t>
      </w:r>
      <w:r w:rsidR="001673BF">
        <w:rPr>
          <w:rFonts w:ascii="Times New Roman" w:hAnsi="Times New Roman"/>
          <w:b/>
          <w:szCs w:val="24"/>
          <w:lang w:val="es-US"/>
        </w:rPr>
        <w:t>NEW</w:t>
      </w:r>
      <w:r w:rsidRPr="00BD1DD0" w:rsidR="00B335C9">
        <w:rPr>
          <w:rFonts w:ascii="Times New Roman" w:hAnsi="Times New Roman"/>
          <w:b/>
          <w:szCs w:val="24"/>
          <w:lang w:val="es-US"/>
        </w:rPr>
        <w:t xml:space="preserve">:  </w:t>
      </w:r>
    </w:p>
    <w:p w:rsidRPr="009C1A7F" w:rsidR="00B335C9" w:rsidP="001673BF" w:rsidRDefault="00060175" w14:paraId="7B2A08DF" w14:textId="174B5340">
      <w:pPr>
        <w:tabs>
          <w:tab w:val="right" w:pos="9360"/>
        </w:tabs>
        <w:spacing w:line="480" w:lineRule="auto"/>
        <w:jc w:val="center"/>
        <w:rPr>
          <w:rFonts w:ascii="Times New Roman" w:hAnsi="Times New Roman"/>
          <w:b/>
          <w:szCs w:val="24"/>
          <w:lang w:val="es-US"/>
        </w:rPr>
      </w:pPr>
      <w:r>
        <w:rPr>
          <w:rFonts w:ascii="Times New Roman" w:hAnsi="Times New Roman"/>
          <w:b/>
          <w:szCs w:val="24"/>
          <w:lang w:val="es-US"/>
        </w:rPr>
        <w:t>Child Nutrition Emergency Operating Costs Reimbursement Programs</w:t>
      </w:r>
    </w:p>
    <w:p w:rsidR="00B335C9" w:rsidP="006759ED" w:rsidRDefault="00B335C9" w14:paraId="7B2A08E2" w14:textId="766A756F">
      <w:pPr>
        <w:tabs>
          <w:tab w:val="right" w:pos="9360"/>
        </w:tabs>
        <w:spacing w:line="480" w:lineRule="auto"/>
        <w:rPr>
          <w:rFonts w:ascii="Times New Roman" w:hAnsi="Times New Roman"/>
          <w:szCs w:val="24"/>
          <w:lang w:val="es-US"/>
        </w:rPr>
      </w:pPr>
    </w:p>
    <w:p w:rsidR="00E62424" w:rsidP="006759ED" w:rsidRDefault="00E62424" w14:paraId="6D28294B" w14:textId="38C519C2">
      <w:pPr>
        <w:tabs>
          <w:tab w:val="right" w:pos="9360"/>
        </w:tabs>
        <w:spacing w:line="480" w:lineRule="auto"/>
        <w:rPr>
          <w:rFonts w:ascii="Times New Roman" w:hAnsi="Times New Roman"/>
          <w:szCs w:val="24"/>
          <w:lang w:val="es-US"/>
        </w:rPr>
      </w:pPr>
    </w:p>
    <w:p w:rsidR="00E62424" w:rsidP="006759ED" w:rsidRDefault="00E62424" w14:paraId="7C79F686" w14:textId="6DF364B8">
      <w:pPr>
        <w:tabs>
          <w:tab w:val="right" w:pos="9360"/>
        </w:tabs>
        <w:spacing w:line="480" w:lineRule="auto"/>
        <w:rPr>
          <w:rFonts w:ascii="Times New Roman" w:hAnsi="Times New Roman"/>
          <w:szCs w:val="24"/>
          <w:lang w:val="es-US"/>
        </w:rPr>
      </w:pPr>
    </w:p>
    <w:p w:rsidR="00E62424" w:rsidP="006759ED" w:rsidRDefault="00E62424" w14:paraId="2D6BD25E" w14:textId="1C722CCD">
      <w:pPr>
        <w:tabs>
          <w:tab w:val="right" w:pos="9360"/>
        </w:tabs>
        <w:spacing w:line="480" w:lineRule="auto"/>
        <w:rPr>
          <w:rFonts w:ascii="Times New Roman" w:hAnsi="Times New Roman"/>
          <w:szCs w:val="24"/>
          <w:lang w:val="es-US"/>
        </w:rPr>
      </w:pPr>
    </w:p>
    <w:p w:rsidR="00E62424" w:rsidP="006759ED" w:rsidRDefault="00E62424" w14:paraId="632D8757" w14:textId="64AE10C2">
      <w:pPr>
        <w:tabs>
          <w:tab w:val="right" w:pos="9360"/>
        </w:tabs>
        <w:spacing w:line="480" w:lineRule="auto"/>
        <w:rPr>
          <w:rFonts w:ascii="Times New Roman" w:hAnsi="Times New Roman"/>
          <w:szCs w:val="24"/>
          <w:lang w:val="es-US"/>
        </w:rPr>
      </w:pPr>
    </w:p>
    <w:p w:rsidR="00E62424" w:rsidP="006759ED" w:rsidRDefault="00E62424" w14:paraId="04C5E1DC" w14:textId="3676604E">
      <w:pPr>
        <w:tabs>
          <w:tab w:val="right" w:pos="9360"/>
        </w:tabs>
        <w:spacing w:line="480" w:lineRule="auto"/>
        <w:rPr>
          <w:rFonts w:ascii="Times New Roman" w:hAnsi="Times New Roman"/>
          <w:szCs w:val="24"/>
          <w:lang w:val="es-US"/>
        </w:rPr>
      </w:pPr>
    </w:p>
    <w:p w:rsidR="00E62424" w:rsidP="006759ED" w:rsidRDefault="00E62424" w14:paraId="765970B1" w14:textId="1BB54E77">
      <w:pPr>
        <w:tabs>
          <w:tab w:val="right" w:pos="9360"/>
        </w:tabs>
        <w:spacing w:line="480" w:lineRule="auto"/>
        <w:rPr>
          <w:rFonts w:ascii="Times New Roman" w:hAnsi="Times New Roman"/>
          <w:szCs w:val="24"/>
          <w:lang w:val="es-US"/>
        </w:rPr>
      </w:pPr>
    </w:p>
    <w:p w:rsidR="00E62424" w:rsidP="006759ED" w:rsidRDefault="00E62424" w14:paraId="158FDF9C" w14:textId="5ABCBF91">
      <w:pPr>
        <w:tabs>
          <w:tab w:val="right" w:pos="9360"/>
        </w:tabs>
        <w:spacing w:line="480" w:lineRule="auto"/>
        <w:rPr>
          <w:rFonts w:ascii="Times New Roman" w:hAnsi="Times New Roman"/>
          <w:szCs w:val="24"/>
          <w:lang w:val="es-US"/>
        </w:rPr>
      </w:pPr>
    </w:p>
    <w:p w:rsidR="00E62424" w:rsidP="006759ED" w:rsidRDefault="00E62424" w14:paraId="160E0BE6" w14:textId="33EB3173">
      <w:pPr>
        <w:tabs>
          <w:tab w:val="right" w:pos="9360"/>
        </w:tabs>
        <w:spacing w:line="480" w:lineRule="auto"/>
        <w:rPr>
          <w:rFonts w:ascii="Times New Roman" w:hAnsi="Times New Roman"/>
          <w:szCs w:val="24"/>
          <w:lang w:val="es-US"/>
        </w:rPr>
      </w:pPr>
    </w:p>
    <w:p w:rsidR="00E62424" w:rsidP="006759ED" w:rsidRDefault="00E62424" w14:paraId="60D4D9C6" w14:textId="60B36854">
      <w:pPr>
        <w:tabs>
          <w:tab w:val="right" w:pos="9360"/>
        </w:tabs>
        <w:spacing w:line="480" w:lineRule="auto"/>
        <w:rPr>
          <w:rFonts w:ascii="Times New Roman" w:hAnsi="Times New Roman"/>
          <w:szCs w:val="24"/>
          <w:lang w:val="es-US"/>
        </w:rPr>
      </w:pPr>
    </w:p>
    <w:p w:rsidRPr="002568E6" w:rsidR="00E62424" w:rsidP="006759ED" w:rsidRDefault="00E62424" w14:paraId="5DB651D4" w14:textId="77777777">
      <w:pPr>
        <w:tabs>
          <w:tab w:val="right" w:pos="9360"/>
        </w:tabs>
        <w:spacing w:line="480" w:lineRule="auto"/>
        <w:rPr>
          <w:rFonts w:ascii="Times New Roman" w:hAnsi="Times New Roman"/>
          <w:szCs w:val="24"/>
          <w:lang w:val="es-US"/>
        </w:rPr>
      </w:pPr>
    </w:p>
    <w:p w:rsidRPr="002568E6" w:rsidR="00447C1E" w:rsidP="00447C1E" w:rsidRDefault="009F3487" w14:paraId="7B2A08E3" w14:textId="461BC023">
      <w:pPr>
        <w:spacing w:line="480" w:lineRule="auto"/>
        <w:jc w:val="center"/>
        <w:rPr>
          <w:rFonts w:ascii="Times New Roman" w:hAnsi="Times New Roman"/>
          <w:szCs w:val="24"/>
          <w:lang w:val="es-US"/>
        </w:rPr>
      </w:pPr>
      <w:r>
        <w:rPr>
          <w:rFonts w:ascii="Times New Roman" w:hAnsi="Times New Roman"/>
          <w:szCs w:val="24"/>
          <w:lang w:val="es-US"/>
        </w:rPr>
        <w:t>Kevin Maskornick</w:t>
      </w:r>
    </w:p>
    <w:p w:rsidR="00447C1E" w:rsidP="00447C1E" w:rsidRDefault="009F3487" w14:paraId="7B2A08EA" w14:textId="37934F3F">
      <w:pPr>
        <w:spacing w:line="480" w:lineRule="auto"/>
        <w:jc w:val="center"/>
        <w:rPr>
          <w:rFonts w:ascii="Times New Roman" w:hAnsi="Times New Roman"/>
          <w:szCs w:val="24"/>
        </w:rPr>
      </w:pPr>
      <w:r>
        <w:rPr>
          <w:rFonts w:ascii="Times New Roman" w:hAnsi="Times New Roman"/>
          <w:szCs w:val="24"/>
        </w:rPr>
        <w:t>Branch Chief</w:t>
      </w:r>
    </w:p>
    <w:p w:rsidR="00146025" w:rsidP="00146025" w:rsidRDefault="009F3487" w14:paraId="5ADC9C49" w14:textId="00862492">
      <w:pPr>
        <w:spacing w:line="480" w:lineRule="auto"/>
        <w:jc w:val="center"/>
        <w:rPr>
          <w:rFonts w:ascii="Times New Roman" w:hAnsi="Times New Roman"/>
          <w:szCs w:val="24"/>
        </w:rPr>
      </w:pPr>
      <w:r>
        <w:rPr>
          <w:rFonts w:ascii="Times New Roman" w:hAnsi="Times New Roman"/>
          <w:szCs w:val="24"/>
        </w:rPr>
        <w:t xml:space="preserve">Child Nutrition </w:t>
      </w:r>
      <w:r w:rsidR="00146025">
        <w:rPr>
          <w:rFonts w:ascii="Times New Roman" w:hAnsi="Times New Roman"/>
          <w:szCs w:val="24"/>
        </w:rPr>
        <w:t>Program</w:t>
      </w:r>
    </w:p>
    <w:p w:rsidR="00146025" w:rsidP="00146025" w:rsidRDefault="00146025" w14:paraId="130A8914" w14:textId="713A1445">
      <w:pPr>
        <w:spacing w:line="480" w:lineRule="auto"/>
        <w:jc w:val="center"/>
        <w:rPr>
          <w:rFonts w:ascii="Times New Roman" w:hAnsi="Times New Roman"/>
          <w:szCs w:val="24"/>
        </w:rPr>
      </w:pPr>
      <w:r>
        <w:rPr>
          <w:rFonts w:ascii="Times New Roman" w:hAnsi="Times New Roman"/>
          <w:szCs w:val="24"/>
        </w:rPr>
        <w:t>Food and Nutrition Service</w:t>
      </w:r>
    </w:p>
    <w:p w:rsidR="00146025" w:rsidP="00146025" w:rsidRDefault="00146025" w14:paraId="6B6A5C00" w14:textId="54D88F9E">
      <w:pPr>
        <w:spacing w:line="480" w:lineRule="auto"/>
        <w:jc w:val="center"/>
        <w:rPr>
          <w:rFonts w:ascii="Times New Roman" w:hAnsi="Times New Roman"/>
          <w:szCs w:val="24"/>
        </w:rPr>
      </w:pPr>
      <w:r>
        <w:rPr>
          <w:rFonts w:ascii="Times New Roman" w:hAnsi="Times New Roman"/>
          <w:szCs w:val="24"/>
        </w:rPr>
        <w:t>1320 Braddock Place</w:t>
      </w:r>
    </w:p>
    <w:p w:rsidRPr="002568E6" w:rsidR="00146025" w:rsidP="00146025" w:rsidRDefault="00146025" w14:paraId="0EE5FA0C" w14:textId="3C7EC1A4">
      <w:pPr>
        <w:spacing w:line="480" w:lineRule="auto"/>
        <w:jc w:val="center"/>
        <w:rPr>
          <w:rFonts w:ascii="Times New Roman" w:hAnsi="Times New Roman"/>
          <w:szCs w:val="24"/>
        </w:rPr>
      </w:pPr>
      <w:r>
        <w:rPr>
          <w:rFonts w:ascii="Times New Roman" w:hAnsi="Times New Roman"/>
          <w:szCs w:val="24"/>
        </w:rPr>
        <w:t>Alexandria, VA  22314</w:t>
      </w:r>
    </w:p>
    <w:p w:rsidR="00905A5F" w:rsidRDefault="00905A5F" w14:paraId="7B2A08EB"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rsidRDefault="00905A5F" w14:paraId="7B2A08EC"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BD1DD0" w:rsidRDefault="00905A5F" w14:paraId="7B2A08ED" w14:textId="3A144D5F">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401832401">
        <w:r w:rsidRPr="00F2228F" w:rsidR="00BD1DD0">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9A7601">
          <w:rPr>
            <w:webHidden/>
          </w:rPr>
          <w:t>3</w:t>
        </w:r>
        <w:r w:rsidR="00BD1DD0">
          <w:rPr>
            <w:webHidden/>
          </w:rPr>
          <w:fldChar w:fldCharType="end"/>
        </w:r>
      </w:hyperlink>
    </w:p>
    <w:p w:rsidR="00BD1DD0" w:rsidRDefault="00F24E9E" w14:paraId="7B2A08EE" w14:textId="0A45F41E">
      <w:pPr>
        <w:pStyle w:val="TOC1"/>
        <w:rPr>
          <w:rFonts w:asciiTheme="minorHAnsi" w:hAnsiTheme="minorHAnsi" w:eastAsiaTheme="minorEastAsia" w:cstheme="minorBidi"/>
          <w:b w:val="0"/>
          <w:bCs w:val="0"/>
          <w:caps w:val="0"/>
          <w:sz w:val="22"/>
          <w:szCs w:val="22"/>
        </w:rPr>
      </w:pPr>
      <w:hyperlink w:history="1" w:anchor="_Toc401832402">
        <w:r w:rsidRPr="00F2228F" w:rsidR="00BD1DD0">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9A7601">
          <w:rPr>
            <w:webHidden/>
          </w:rPr>
          <w:t>4</w:t>
        </w:r>
        <w:r w:rsidR="00BD1DD0">
          <w:rPr>
            <w:webHidden/>
          </w:rPr>
          <w:fldChar w:fldCharType="end"/>
        </w:r>
      </w:hyperlink>
    </w:p>
    <w:p w:rsidR="00BD1DD0" w:rsidRDefault="00F24E9E" w14:paraId="7B2A08EF" w14:textId="27A40B62">
      <w:pPr>
        <w:pStyle w:val="TOC1"/>
        <w:rPr>
          <w:rFonts w:asciiTheme="minorHAnsi" w:hAnsiTheme="minorHAnsi" w:eastAsiaTheme="minorEastAsia" w:cstheme="minorBidi"/>
          <w:b w:val="0"/>
          <w:bCs w:val="0"/>
          <w:caps w:val="0"/>
          <w:sz w:val="22"/>
          <w:szCs w:val="22"/>
        </w:rPr>
      </w:pPr>
      <w:hyperlink w:history="1" w:anchor="_Toc401832403">
        <w:r w:rsidRPr="00F2228F" w:rsidR="00BD1DD0">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9A7601">
          <w:rPr>
            <w:webHidden/>
          </w:rPr>
          <w:t>7</w:t>
        </w:r>
        <w:r w:rsidR="00BD1DD0">
          <w:rPr>
            <w:webHidden/>
          </w:rPr>
          <w:fldChar w:fldCharType="end"/>
        </w:r>
      </w:hyperlink>
    </w:p>
    <w:p w:rsidR="00BD1DD0" w:rsidRDefault="00F24E9E" w14:paraId="7B2A08F0" w14:textId="3F2B219F">
      <w:pPr>
        <w:pStyle w:val="TOC1"/>
        <w:rPr>
          <w:rFonts w:asciiTheme="minorHAnsi" w:hAnsiTheme="minorHAnsi" w:eastAsiaTheme="minorEastAsia" w:cstheme="minorBidi"/>
          <w:b w:val="0"/>
          <w:bCs w:val="0"/>
          <w:caps w:val="0"/>
          <w:sz w:val="22"/>
          <w:szCs w:val="22"/>
        </w:rPr>
      </w:pPr>
      <w:hyperlink w:history="1" w:anchor="_Toc401832404">
        <w:r w:rsidRPr="00F2228F" w:rsidR="00BD1DD0">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9A7601">
          <w:rPr>
            <w:webHidden/>
          </w:rPr>
          <w:t>7</w:t>
        </w:r>
        <w:r w:rsidR="00BD1DD0">
          <w:rPr>
            <w:webHidden/>
          </w:rPr>
          <w:fldChar w:fldCharType="end"/>
        </w:r>
      </w:hyperlink>
    </w:p>
    <w:p w:rsidR="00BD1DD0" w:rsidRDefault="00F24E9E" w14:paraId="7B2A08F1" w14:textId="625131F0">
      <w:pPr>
        <w:pStyle w:val="TOC1"/>
        <w:rPr>
          <w:rFonts w:asciiTheme="minorHAnsi" w:hAnsiTheme="minorHAnsi" w:eastAsiaTheme="minorEastAsia" w:cstheme="minorBidi"/>
          <w:b w:val="0"/>
          <w:bCs w:val="0"/>
          <w:caps w:val="0"/>
          <w:sz w:val="22"/>
          <w:szCs w:val="22"/>
        </w:rPr>
      </w:pPr>
      <w:hyperlink w:history="1" w:anchor="_Toc401832405">
        <w:r w:rsidRPr="00F2228F" w:rsidR="00BD1DD0">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9A7601">
          <w:rPr>
            <w:webHidden/>
          </w:rPr>
          <w:t>8</w:t>
        </w:r>
        <w:r w:rsidR="00BD1DD0">
          <w:rPr>
            <w:webHidden/>
          </w:rPr>
          <w:fldChar w:fldCharType="end"/>
        </w:r>
      </w:hyperlink>
    </w:p>
    <w:p w:rsidR="00BD1DD0" w:rsidRDefault="00F24E9E" w14:paraId="7B2A08F2" w14:textId="565F07DF">
      <w:pPr>
        <w:pStyle w:val="TOC1"/>
        <w:rPr>
          <w:rFonts w:asciiTheme="minorHAnsi" w:hAnsiTheme="minorHAnsi" w:eastAsiaTheme="minorEastAsia" w:cstheme="minorBidi"/>
          <w:b w:val="0"/>
          <w:bCs w:val="0"/>
          <w:caps w:val="0"/>
          <w:sz w:val="22"/>
          <w:szCs w:val="22"/>
        </w:rPr>
      </w:pPr>
      <w:hyperlink w:history="1" w:anchor="_Toc401832406">
        <w:r w:rsidRPr="00F2228F" w:rsidR="00BD1DD0">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9A7601">
          <w:rPr>
            <w:webHidden/>
          </w:rPr>
          <w:t>8</w:t>
        </w:r>
        <w:r w:rsidR="00BD1DD0">
          <w:rPr>
            <w:webHidden/>
          </w:rPr>
          <w:fldChar w:fldCharType="end"/>
        </w:r>
      </w:hyperlink>
    </w:p>
    <w:p w:rsidR="00BD1DD0" w:rsidRDefault="00F24E9E" w14:paraId="7B2A08F3" w14:textId="3E9D2C62">
      <w:pPr>
        <w:pStyle w:val="TOC1"/>
        <w:rPr>
          <w:rFonts w:asciiTheme="minorHAnsi" w:hAnsiTheme="minorHAnsi" w:eastAsiaTheme="minorEastAsia" w:cstheme="minorBidi"/>
          <w:b w:val="0"/>
          <w:bCs w:val="0"/>
          <w:caps w:val="0"/>
          <w:sz w:val="22"/>
          <w:szCs w:val="22"/>
        </w:rPr>
      </w:pPr>
      <w:hyperlink w:history="1" w:anchor="_Toc401832407">
        <w:r w:rsidRPr="00F2228F" w:rsidR="00BD1DD0">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9A7601">
          <w:rPr>
            <w:webHidden/>
          </w:rPr>
          <w:t>8</w:t>
        </w:r>
        <w:r w:rsidR="00BD1DD0">
          <w:rPr>
            <w:webHidden/>
          </w:rPr>
          <w:fldChar w:fldCharType="end"/>
        </w:r>
      </w:hyperlink>
    </w:p>
    <w:p w:rsidR="00BD1DD0" w:rsidRDefault="00F24E9E" w14:paraId="7B2A08F4" w14:textId="224B0B44">
      <w:pPr>
        <w:pStyle w:val="TOC1"/>
        <w:rPr>
          <w:rFonts w:asciiTheme="minorHAnsi" w:hAnsiTheme="minorHAnsi" w:eastAsiaTheme="minorEastAsia" w:cstheme="minorBidi"/>
          <w:b w:val="0"/>
          <w:bCs w:val="0"/>
          <w:caps w:val="0"/>
          <w:sz w:val="22"/>
          <w:szCs w:val="22"/>
        </w:rPr>
      </w:pPr>
      <w:hyperlink w:history="1" w:anchor="_Toc401832408">
        <w:r w:rsidRPr="00F2228F" w:rsidR="00BD1DD0">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9A7601">
          <w:rPr>
            <w:webHidden/>
          </w:rPr>
          <w:t>9</w:t>
        </w:r>
        <w:r w:rsidR="00BD1DD0">
          <w:rPr>
            <w:webHidden/>
          </w:rPr>
          <w:fldChar w:fldCharType="end"/>
        </w:r>
      </w:hyperlink>
    </w:p>
    <w:p w:rsidR="00BD1DD0" w:rsidRDefault="00F24E9E" w14:paraId="7B2A08F5" w14:textId="1DC1CF51">
      <w:pPr>
        <w:pStyle w:val="TOC1"/>
        <w:rPr>
          <w:rFonts w:asciiTheme="minorHAnsi" w:hAnsiTheme="minorHAnsi" w:eastAsiaTheme="minorEastAsia" w:cstheme="minorBidi"/>
          <w:b w:val="0"/>
          <w:bCs w:val="0"/>
          <w:caps w:val="0"/>
          <w:sz w:val="22"/>
          <w:szCs w:val="22"/>
        </w:rPr>
      </w:pPr>
      <w:hyperlink w:history="1" w:anchor="_Toc401832409">
        <w:r w:rsidRPr="00F2228F" w:rsidR="00BD1DD0">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9A7601">
          <w:rPr>
            <w:webHidden/>
          </w:rPr>
          <w:t>10</w:t>
        </w:r>
        <w:r w:rsidR="00BD1DD0">
          <w:rPr>
            <w:webHidden/>
          </w:rPr>
          <w:fldChar w:fldCharType="end"/>
        </w:r>
      </w:hyperlink>
    </w:p>
    <w:p w:rsidR="00BD1DD0" w:rsidRDefault="00F24E9E" w14:paraId="7B2A08F6" w14:textId="111ED3C4">
      <w:pPr>
        <w:pStyle w:val="TOC1"/>
        <w:rPr>
          <w:rFonts w:asciiTheme="minorHAnsi" w:hAnsiTheme="minorHAnsi" w:eastAsiaTheme="minorEastAsia" w:cstheme="minorBidi"/>
          <w:b w:val="0"/>
          <w:bCs w:val="0"/>
          <w:caps w:val="0"/>
          <w:sz w:val="22"/>
          <w:szCs w:val="22"/>
        </w:rPr>
      </w:pPr>
      <w:hyperlink w:history="1" w:anchor="_Toc401832410">
        <w:r w:rsidRPr="00F2228F" w:rsidR="00BD1DD0">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9A7601">
          <w:rPr>
            <w:webHidden/>
          </w:rPr>
          <w:t>10</w:t>
        </w:r>
        <w:r w:rsidR="00BD1DD0">
          <w:rPr>
            <w:webHidden/>
          </w:rPr>
          <w:fldChar w:fldCharType="end"/>
        </w:r>
      </w:hyperlink>
    </w:p>
    <w:p w:rsidR="00BD1DD0" w:rsidRDefault="00F24E9E" w14:paraId="7B2A08F7" w14:textId="6CAC7B06">
      <w:pPr>
        <w:pStyle w:val="TOC1"/>
        <w:rPr>
          <w:rFonts w:asciiTheme="minorHAnsi" w:hAnsiTheme="minorHAnsi" w:eastAsiaTheme="minorEastAsia" w:cstheme="minorBidi"/>
          <w:b w:val="0"/>
          <w:bCs w:val="0"/>
          <w:caps w:val="0"/>
          <w:sz w:val="22"/>
          <w:szCs w:val="22"/>
        </w:rPr>
      </w:pPr>
      <w:hyperlink w:history="1" w:anchor="_Toc401832411">
        <w:r w:rsidRPr="00F2228F" w:rsidR="00BD1DD0">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9A7601">
          <w:rPr>
            <w:webHidden/>
          </w:rPr>
          <w:t>11</w:t>
        </w:r>
        <w:r w:rsidR="00BD1DD0">
          <w:rPr>
            <w:webHidden/>
          </w:rPr>
          <w:fldChar w:fldCharType="end"/>
        </w:r>
      </w:hyperlink>
    </w:p>
    <w:p w:rsidR="00BD1DD0" w:rsidRDefault="00F24E9E" w14:paraId="7B2A08F8" w14:textId="43BC7427">
      <w:pPr>
        <w:pStyle w:val="TOC1"/>
        <w:rPr>
          <w:rFonts w:asciiTheme="minorHAnsi" w:hAnsiTheme="minorHAnsi" w:eastAsiaTheme="minorEastAsia" w:cstheme="minorBidi"/>
          <w:b w:val="0"/>
          <w:bCs w:val="0"/>
          <w:caps w:val="0"/>
          <w:sz w:val="22"/>
          <w:szCs w:val="22"/>
        </w:rPr>
      </w:pPr>
      <w:hyperlink w:history="1" w:anchor="_Toc401832412">
        <w:r w:rsidRPr="00F2228F" w:rsidR="00BD1DD0">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9A7601">
          <w:rPr>
            <w:webHidden/>
          </w:rPr>
          <w:t>11</w:t>
        </w:r>
        <w:r w:rsidR="00BD1DD0">
          <w:rPr>
            <w:webHidden/>
          </w:rPr>
          <w:fldChar w:fldCharType="end"/>
        </w:r>
      </w:hyperlink>
    </w:p>
    <w:p w:rsidR="00BD1DD0" w:rsidRDefault="00F24E9E" w14:paraId="7B2A08F9" w14:textId="5D7CEB7B">
      <w:pPr>
        <w:pStyle w:val="TOC1"/>
        <w:rPr>
          <w:rFonts w:asciiTheme="minorHAnsi" w:hAnsiTheme="minorHAnsi" w:eastAsiaTheme="minorEastAsia" w:cstheme="minorBidi"/>
          <w:b w:val="0"/>
          <w:bCs w:val="0"/>
          <w:caps w:val="0"/>
          <w:sz w:val="22"/>
          <w:szCs w:val="22"/>
        </w:rPr>
      </w:pPr>
      <w:hyperlink w:history="1" w:anchor="_Toc401832413">
        <w:r w:rsidRPr="00F2228F" w:rsidR="00BD1DD0">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9A7601">
          <w:rPr>
            <w:webHidden/>
          </w:rPr>
          <w:t>13</w:t>
        </w:r>
        <w:r w:rsidR="00BD1DD0">
          <w:rPr>
            <w:webHidden/>
          </w:rPr>
          <w:fldChar w:fldCharType="end"/>
        </w:r>
      </w:hyperlink>
    </w:p>
    <w:p w:rsidR="00BD1DD0" w:rsidRDefault="00F24E9E" w14:paraId="7B2A08FA" w14:textId="0B4A6F36">
      <w:pPr>
        <w:pStyle w:val="TOC1"/>
        <w:rPr>
          <w:rFonts w:asciiTheme="minorHAnsi" w:hAnsiTheme="minorHAnsi" w:eastAsiaTheme="minorEastAsia" w:cstheme="minorBidi"/>
          <w:b w:val="0"/>
          <w:bCs w:val="0"/>
          <w:caps w:val="0"/>
          <w:sz w:val="22"/>
          <w:szCs w:val="22"/>
        </w:rPr>
      </w:pPr>
      <w:hyperlink w:history="1" w:anchor="_Toc401832414">
        <w:r w:rsidRPr="00F2228F" w:rsidR="00BD1DD0">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9A7601">
          <w:rPr>
            <w:webHidden/>
          </w:rPr>
          <w:t>14</w:t>
        </w:r>
        <w:r w:rsidR="00BD1DD0">
          <w:rPr>
            <w:webHidden/>
          </w:rPr>
          <w:fldChar w:fldCharType="end"/>
        </w:r>
      </w:hyperlink>
    </w:p>
    <w:p w:rsidR="00BD1DD0" w:rsidRDefault="00F24E9E" w14:paraId="7B2A08FB" w14:textId="4BC98D3A">
      <w:pPr>
        <w:pStyle w:val="TOC1"/>
        <w:rPr>
          <w:rFonts w:asciiTheme="minorHAnsi" w:hAnsiTheme="minorHAnsi" w:eastAsiaTheme="minorEastAsia" w:cstheme="minorBidi"/>
          <w:b w:val="0"/>
          <w:bCs w:val="0"/>
          <w:caps w:val="0"/>
          <w:sz w:val="22"/>
          <w:szCs w:val="22"/>
        </w:rPr>
      </w:pPr>
      <w:hyperlink w:history="1" w:anchor="_Toc401832415">
        <w:r w:rsidRPr="00F2228F" w:rsidR="00BD1DD0">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9A7601">
          <w:rPr>
            <w:webHidden/>
          </w:rPr>
          <w:t>14</w:t>
        </w:r>
        <w:r w:rsidR="00BD1DD0">
          <w:rPr>
            <w:webHidden/>
          </w:rPr>
          <w:fldChar w:fldCharType="end"/>
        </w:r>
      </w:hyperlink>
    </w:p>
    <w:p w:rsidR="00BD1DD0" w:rsidRDefault="00F24E9E" w14:paraId="7B2A08FC" w14:textId="7000FC43">
      <w:pPr>
        <w:pStyle w:val="TOC1"/>
        <w:rPr>
          <w:rFonts w:asciiTheme="minorHAnsi" w:hAnsiTheme="minorHAnsi" w:eastAsiaTheme="minorEastAsia" w:cstheme="minorBidi"/>
          <w:b w:val="0"/>
          <w:bCs w:val="0"/>
          <w:caps w:val="0"/>
          <w:sz w:val="22"/>
          <w:szCs w:val="22"/>
        </w:rPr>
      </w:pPr>
      <w:hyperlink w:history="1" w:anchor="_Toc401832416">
        <w:r w:rsidRPr="00F2228F" w:rsidR="00BD1DD0">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9A7601">
          <w:rPr>
            <w:webHidden/>
          </w:rPr>
          <w:t>15</w:t>
        </w:r>
        <w:r w:rsidR="00BD1DD0">
          <w:rPr>
            <w:webHidden/>
          </w:rPr>
          <w:fldChar w:fldCharType="end"/>
        </w:r>
      </w:hyperlink>
    </w:p>
    <w:p w:rsidR="00BD1DD0" w:rsidRDefault="00F24E9E" w14:paraId="7B2A08FD" w14:textId="105EE42E">
      <w:pPr>
        <w:pStyle w:val="TOC1"/>
        <w:rPr>
          <w:rFonts w:asciiTheme="minorHAnsi" w:hAnsiTheme="minorHAnsi" w:eastAsiaTheme="minorEastAsia" w:cstheme="minorBidi"/>
          <w:b w:val="0"/>
          <w:bCs w:val="0"/>
          <w:caps w:val="0"/>
          <w:sz w:val="22"/>
          <w:szCs w:val="22"/>
        </w:rPr>
      </w:pPr>
      <w:hyperlink w:history="1" w:anchor="_Toc401832417">
        <w:r w:rsidRPr="00F2228F" w:rsidR="00BD1DD0">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9A7601">
          <w:rPr>
            <w:webHidden/>
          </w:rPr>
          <w:t>15</w:t>
        </w:r>
        <w:r w:rsidR="00BD1DD0">
          <w:rPr>
            <w:webHidden/>
          </w:rPr>
          <w:fldChar w:fldCharType="end"/>
        </w:r>
      </w:hyperlink>
    </w:p>
    <w:p w:rsidR="00BD1DD0" w:rsidRDefault="00F24E9E" w14:paraId="7B2A08FE" w14:textId="0E72C376">
      <w:pPr>
        <w:pStyle w:val="TOC1"/>
        <w:rPr>
          <w:rFonts w:asciiTheme="minorHAnsi" w:hAnsiTheme="minorHAnsi" w:eastAsiaTheme="minorEastAsia" w:cstheme="minorBidi"/>
          <w:b w:val="0"/>
          <w:bCs w:val="0"/>
          <w:caps w:val="0"/>
          <w:sz w:val="22"/>
          <w:szCs w:val="22"/>
        </w:rPr>
      </w:pPr>
      <w:hyperlink w:history="1" w:anchor="_Toc401832418">
        <w:r w:rsidRPr="00F2228F" w:rsidR="00BD1DD0">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9A7601">
          <w:rPr>
            <w:webHidden/>
          </w:rPr>
          <w:t>15</w:t>
        </w:r>
        <w:r w:rsidR="00BD1DD0">
          <w:rPr>
            <w:webHidden/>
          </w:rPr>
          <w:fldChar w:fldCharType="end"/>
        </w:r>
      </w:hyperlink>
    </w:p>
    <w:p w:rsidR="00905A5F" w:rsidP="009F7E1A" w:rsidRDefault="00905A5F" w14:paraId="7B2A08FF"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rsidRDefault="00905A5F" w14:paraId="7B2A0900" w14:textId="77777777">
      <w:pPr>
        <w:tabs>
          <w:tab w:val="center" w:pos="4680"/>
        </w:tabs>
        <w:rPr>
          <w:rFonts w:ascii="Times New Roman" w:hAnsi="Times New Roman"/>
          <w:b/>
          <w:szCs w:val="24"/>
          <w:u w:val="single"/>
        </w:rPr>
      </w:pPr>
    </w:p>
    <w:p w:rsidR="00905A5F" w:rsidP="009F7E1A" w:rsidRDefault="00905A5F" w14:paraId="7B2A0901" w14:textId="77777777">
      <w:pPr>
        <w:tabs>
          <w:tab w:val="center" w:pos="4680"/>
        </w:tabs>
        <w:rPr>
          <w:rFonts w:ascii="Times New Roman" w:hAnsi="Times New Roman"/>
          <w:b/>
          <w:szCs w:val="24"/>
          <w:u w:val="single"/>
        </w:rPr>
      </w:pPr>
    </w:p>
    <w:p w:rsidR="002568E6" w:rsidP="009F7E1A" w:rsidRDefault="00905A5F" w14:paraId="7B2A0902" w14:textId="77777777">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rsidR="002568E6" w:rsidP="009F7E1A" w:rsidRDefault="004F7E06" w14:paraId="7B2A0903" w14:textId="353096B7">
      <w:pPr>
        <w:tabs>
          <w:tab w:val="center" w:pos="4680"/>
        </w:tabs>
        <w:rPr>
          <w:rFonts w:ascii="Times New Roman" w:hAnsi="Times New Roman"/>
          <w:szCs w:val="24"/>
        </w:rPr>
      </w:pPr>
      <w:r>
        <w:rPr>
          <w:rFonts w:ascii="Times New Roman" w:hAnsi="Times New Roman"/>
          <w:szCs w:val="24"/>
        </w:rPr>
        <w:t>Appendix</w:t>
      </w:r>
      <w:r w:rsidR="00571540">
        <w:rPr>
          <w:rFonts w:ascii="Times New Roman" w:hAnsi="Times New Roman"/>
          <w:szCs w:val="24"/>
        </w:rPr>
        <w:t xml:space="preserve"> </w:t>
      </w:r>
      <w:r w:rsidR="003651AE">
        <w:rPr>
          <w:rFonts w:ascii="Times New Roman" w:hAnsi="Times New Roman"/>
          <w:szCs w:val="24"/>
        </w:rPr>
        <w:t xml:space="preserve">A: </w:t>
      </w:r>
      <w:r w:rsidR="001673BF">
        <w:rPr>
          <w:rFonts w:ascii="Times New Roman" w:hAnsi="Times New Roman"/>
          <w:szCs w:val="24"/>
        </w:rPr>
        <w:t>Burden Table</w:t>
      </w:r>
    </w:p>
    <w:p w:rsidR="00D447DA" w:rsidP="009F7E1A" w:rsidRDefault="004F7E06" w14:paraId="0890E5B8" w14:textId="098FFD7F">
      <w:pPr>
        <w:tabs>
          <w:tab w:val="center" w:pos="4680"/>
        </w:tabs>
        <w:rPr>
          <w:rFonts w:ascii="Times New Roman" w:hAnsi="Times New Roman"/>
          <w:szCs w:val="24"/>
        </w:rPr>
      </w:pPr>
      <w:r>
        <w:rPr>
          <w:rFonts w:ascii="Times New Roman" w:hAnsi="Times New Roman"/>
          <w:szCs w:val="24"/>
        </w:rPr>
        <w:t>Appendix</w:t>
      </w:r>
      <w:r w:rsidR="009A7601">
        <w:rPr>
          <w:rFonts w:ascii="Times New Roman" w:hAnsi="Times New Roman"/>
          <w:szCs w:val="24"/>
        </w:rPr>
        <w:t xml:space="preserve"> B</w:t>
      </w:r>
      <w:r w:rsidR="00D447DA">
        <w:rPr>
          <w:rFonts w:ascii="Times New Roman" w:hAnsi="Times New Roman"/>
          <w:szCs w:val="24"/>
        </w:rPr>
        <w:t xml:space="preserve">: </w:t>
      </w:r>
      <w:r w:rsidRPr="00967564" w:rsidR="00967564">
        <w:rPr>
          <w:rFonts w:ascii="Times New Roman" w:hAnsi="Times New Roman"/>
        </w:rPr>
        <w:t>Consolidated Appropriations Act, 2021</w:t>
      </w:r>
      <w:r w:rsidR="00D56126">
        <w:rPr>
          <w:rFonts w:ascii="Times New Roman" w:hAnsi="Times New Roman"/>
          <w:szCs w:val="24"/>
        </w:rPr>
        <w:t xml:space="preserve"> </w:t>
      </w:r>
    </w:p>
    <w:p w:rsidR="009A7601" w:rsidP="009A7601" w:rsidRDefault="009A7601" w14:paraId="10A30816" w14:textId="3DCB3224">
      <w:pPr>
        <w:tabs>
          <w:tab w:val="center" w:pos="4680"/>
        </w:tabs>
        <w:rPr>
          <w:rFonts w:ascii="Times New Roman" w:hAnsi="Times New Roman"/>
          <w:szCs w:val="24"/>
        </w:rPr>
      </w:pPr>
      <w:r>
        <w:rPr>
          <w:rFonts w:ascii="Times New Roman" w:hAnsi="Times New Roman"/>
          <w:szCs w:val="24"/>
        </w:rPr>
        <w:t>A</w:t>
      </w:r>
      <w:r w:rsidR="004F7E06">
        <w:rPr>
          <w:rFonts w:ascii="Times New Roman" w:hAnsi="Times New Roman"/>
          <w:szCs w:val="24"/>
        </w:rPr>
        <w:t>ppendix</w:t>
      </w:r>
      <w:r w:rsidR="00967564">
        <w:rPr>
          <w:rFonts w:ascii="Times New Roman" w:hAnsi="Times New Roman"/>
          <w:szCs w:val="24"/>
        </w:rPr>
        <w:t xml:space="preserve"> C: FNS Emergency Operating Costs Reimbursement Program Guidance </w:t>
      </w:r>
    </w:p>
    <w:p w:rsidR="009A7601" w:rsidP="009A7601" w:rsidRDefault="00D56126" w14:paraId="17436959" w14:textId="374F55BD">
      <w:pPr>
        <w:tabs>
          <w:tab w:val="center" w:pos="4680"/>
        </w:tabs>
        <w:rPr>
          <w:rFonts w:ascii="Times New Roman" w:hAnsi="Times New Roman"/>
          <w:szCs w:val="24"/>
        </w:rPr>
      </w:pPr>
      <w:r>
        <w:rPr>
          <w:rFonts w:ascii="Times New Roman" w:hAnsi="Times New Roman"/>
          <w:szCs w:val="24"/>
        </w:rPr>
        <w:t>A</w:t>
      </w:r>
      <w:r w:rsidR="004F7E06">
        <w:rPr>
          <w:rFonts w:ascii="Times New Roman" w:hAnsi="Times New Roman"/>
          <w:szCs w:val="24"/>
        </w:rPr>
        <w:t>ppendix</w:t>
      </w:r>
      <w:r>
        <w:rPr>
          <w:rFonts w:ascii="Times New Roman" w:hAnsi="Times New Roman"/>
          <w:szCs w:val="24"/>
        </w:rPr>
        <w:t xml:space="preserve"> D: Emergency </w:t>
      </w:r>
      <w:r w:rsidR="00967564">
        <w:rPr>
          <w:rFonts w:ascii="Times New Roman" w:hAnsi="Times New Roman"/>
          <w:szCs w:val="24"/>
        </w:rPr>
        <w:t>Operating Costs Reimbursement Program Opt-In Application</w:t>
      </w:r>
    </w:p>
    <w:p w:rsidR="009A7601" w:rsidP="009A7601" w:rsidRDefault="00967564" w14:paraId="45AC6503" w14:textId="1EE7AC62">
      <w:pPr>
        <w:tabs>
          <w:tab w:val="center" w:pos="4680"/>
        </w:tabs>
        <w:rPr>
          <w:rFonts w:ascii="Times New Roman" w:hAnsi="Times New Roman"/>
          <w:szCs w:val="24"/>
        </w:rPr>
      </w:pPr>
      <w:r>
        <w:rPr>
          <w:rFonts w:ascii="Times New Roman" w:hAnsi="Times New Roman"/>
          <w:szCs w:val="24"/>
        </w:rPr>
        <w:t>A</w:t>
      </w:r>
      <w:r w:rsidR="004F7E06">
        <w:rPr>
          <w:rFonts w:ascii="Times New Roman" w:hAnsi="Times New Roman"/>
          <w:szCs w:val="24"/>
        </w:rPr>
        <w:t>ppendix</w:t>
      </w:r>
      <w:r>
        <w:rPr>
          <w:rFonts w:ascii="Times New Roman" w:hAnsi="Times New Roman"/>
          <w:szCs w:val="24"/>
        </w:rPr>
        <w:t xml:space="preserve"> E: Emergency Operating Costs Reimbursment Program Implementation Plan</w:t>
      </w:r>
      <w:r w:rsidR="00EC34AF">
        <w:rPr>
          <w:rFonts w:ascii="Times New Roman" w:hAnsi="Times New Roman"/>
          <w:szCs w:val="24"/>
        </w:rPr>
        <w:t xml:space="preserve"> – School Programs</w:t>
      </w:r>
    </w:p>
    <w:p w:rsidR="00EC34AF" w:rsidP="009A7601" w:rsidRDefault="00967564" w14:paraId="4541D442" w14:textId="7B8E885F">
      <w:pPr>
        <w:tabs>
          <w:tab w:val="center" w:pos="4680"/>
        </w:tabs>
        <w:rPr>
          <w:rFonts w:ascii="Times New Roman" w:hAnsi="Times New Roman"/>
          <w:szCs w:val="24"/>
        </w:rPr>
      </w:pPr>
      <w:r>
        <w:rPr>
          <w:rFonts w:ascii="Times New Roman" w:hAnsi="Times New Roman"/>
          <w:szCs w:val="24"/>
        </w:rPr>
        <w:t>A</w:t>
      </w:r>
      <w:r w:rsidR="004F7E06">
        <w:rPr>
          <w:rFonts w:ascii="Times New Roman" w:hAnsi="Times New Roman"/>
          <w:szCs w:val="24"/>
        </w:rPr>
        <w:t>ppendix</w:t>
      </w:r>
      <w:r>
        <w:rPr>
          <w:rFonts w:ascii="Times New Roman" w:hAnsi="Times New Roman"/>
          <w:szCs w:val="24"/>
        </w:rPr>
        <w:t xml:space="preserve"> F: </w:t>
      </w:r>
      <w:r w:rsidR="00EC34AF">
        <w:rPr>
          <w:rFonts w:ascii="Times New Roman" w:hAnsi="Times New Roman"/>
          <w:szCs w:val="24"/>
        </w:rPr>
        <w:t>Emergency Operating Costs Reimbursment Program Implementation Plan - CACFP</w:t>
      </w:r>
    </w:p>
    <w:p w:rsidR="00F63AC4" w:rsidP="009A7601" w:rsidRDefault="00EC34AF" w14:paraId="3B4D5956" w14:textId="2612AC5C">
      <w:pPr>
        <w:tabs>
          <w:tab w:val="center" w:pos="4680"/>
        </w:tabs>
        <w:rPr>
          <w:rFonts w:ascii="Times New Roman" w:hAnsi="Times New Roman"/>
          <w:szCs w:val="24"/>
        </w:rPr>
      </w:pPr>
      <w:r>
        <w:rPr>
          <w:rFonts w:ascii="Times New Roman" w:hAnsi="Times New Roman"/>
          <w:szCs w:val="24"/>
        </w:rPr>
        <w:t>A</w:t>
      </w:r>
      <w:r w:rsidR="004F7E06">
        <w:rPr>
          <w:rFonts w:ascii="Times New Roman" w:hAnsi="Times New Roman"/>
          <w:szCs w:val="24"/>
        </w:rPr>
        <w:t>ppendix</w:t>
      </w:r>
      <w:r>
        <w:rPr>
          <w:rFonts w:ascii="Times New Roman" w:hAnsi="Times New Roman"/>
          <w:szCs w:val="24"/>
        </w:rPr>
        <w:t xml:space="preserve"> G: </w:t>
      </w:r>
      <w:r w:rsidRPr="00F63AC4" w:rsidR="00F63AC4">
        <w:rPr>
          <w:rFonts w:ascii="Times New Roman" w:hAnsi="Times New Roman"/>
          <w:szCs w:val="24"/>
        </w:rPr>
        <w:t>Emergency ICR J</w:t>
      </w:r>
      <w:r w:rsidR="00D56126">
        <w:rPr>
          <w:rFonts w:ascii="Times New Roman" w:hAnsi="Times New Roman"/>
          <w:szCs w:val="24"/>
        </w:rPr>
        <w:t xml:space="preserve">ustification Memo (Emergency </w:t>
      </w:r>
      <w:r w:rsidRPr="00F63AC4" w:rsidR="00F63AC4">
        <w:rPr>
          <w:rFonts w:ascii="Times New Roman" w:hAnsi="Times New Roman"/>
          <w:szCs w:val="24"/>
        </w:rPr>
        <w:t>)</w:t>
      </w:r>
    </w:p>
    <w:p w:rsidRPr="006759ED" w:rsidR="009F7E1A" w:rsidP="006759ED" w:rsidRDefault="002568E6" w14:paraId="7B2A0906" w14:textId="21EEC998">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Pr="002568E6" w:rsidR="004F2F54" w:rsidRDefault="004F2F54" w14:paraId="7B2A0907" w14:textId="77777777">
      <w:pPr>
        <w:tabs>
          <w:tab w:val="left" w:pos="-720"/>
        </w:tabs>
        <w:suppressAutoHyphens/>
        <w:rPr>
          <w:rFonts w:ascii="Times New Roman" w:hAnsi="Times New Roman"/>
          <w:szCs w:val="24"/>
        </w:rPr>
      </w:pPr>
    </w:p>
    <w:p w:rsidRPr="002568E6" w:rsidR="005A3F80" w:rsidP="0062567E" w:rsidRDefault="005A3F80" w14:paraId="7B2A0908" w14:textId="77777777">
      <w:pPr>
        <w:pStyle w:val="Heading1"/>
        <w:rPr>
          <w:szCs w:val="24"/>
        </w:rPr>
      </w:pPr>
      <w:bookmarkStart w:name="_Toc401831357" w:id="0"/>
      <w:bookmarkStart w:name="_Toc401832401" w:id="1"/>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Pr="002568E6" w:rsidR="003333DF" w:rsidP="003333DF" w:rsidRDefault="003333DF" w14:paraId="7B2A0909" w14:textId="77777777">
      <w:pPr>
        <w:tabs>
          <w:tab w:val="left" w:pos="-720"/>
        </w:tabs>
        <w:suppressAutoHyphens/>
        <w:rPr>
          <w:rFonts w:ascii="Times New Roman" w:hAnsi="Times New Roman"/>
          <w:b/>
          <w:szCs w:val="24"/>
        </w:rPr>
      </w:pPr>
    </w:p>
    <w:p w:rsidRPr="002568E6" w:rsidR="003333DF" w:rsidP="003333DF" w:rsidRDefault="003333DF" w14:paraId="7B2A090A"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2568E6" w:rsidR="00A308DB" w:rsidP="009F7E1A" w:rsidRDefault="00A308DB" w14:paraId="7B2A090B" w14:textId="77777777">
      <w:pPr>
        <w:tabs>
          <w:tab w:val="left" w:pos="-720"/>
        </w:tabs>
        <w:suppressAutoHyphens/>
        <w:rPr>
          <w:rFonts w:ascii="Times New Roman" w:hAnsi="Times New Roman"/>
          <w:szCs w:val="24"/>
        </w:rPr>
      </w:pPr>
    </w:p>
    <w:p w:rsidRPr="00291A9C" w:rsidR="00CA4133" w:rsidP="00291A9C" w:rsidRDefault="001378D8" w14:paraId="03168E89" w14:textId="370DD7AC">
      <w:pPr>
        <w:pStyle w:val="BodyText"/>
        <w:spacing w:line="480" w:lineRule="auto"/>
        <w:ind w:right="173"/>
        <w:rPr>
          <w:b w:val="0"/>
          <w:szCs w:val="24"/>
        </w:rPr>
      </w:pPr>
      <w:r w:rsidRPr="00291A9C">
        <w:rPr>
          <w:b w:val="0"/>
        </w:rPr>
        <w:t>Pursuant to Section 722 of P.L. 116-260, the Consolidated Appropriations Act, 2021, Title VII, Chapter 3 (the Act), the Food and Nutrition Service (FNS) is offering additional funds to State agencies administering the National School Lunch Program (NSLP), School Breakfast Program (SBP), and the Child and Adult Care Food Program (CACFP) to provide local operators of those programs with additional reimbursements for emergency operating costs they incurred during the COVID-19 pandemic.  To participate in these reimbursement programs, State agencies must opt-in by submitting an application and implementation plan to FNS.</w:t>
      </w:r>
      <w:r w:rsidRPr="00291A9C" w:rsidR="00291A9C">
        <w:rPr>
          <w:b w:val="0"/>
        </w:rPr>
        <w:t xml:space="preserve">  </w:t>
      </w:r>
      <w:r w:rsidRPr="00291A9C" w:rsidR="00291A9C">
        <w:rPr>
          <w:b w:val="0"/>
          <w:szCs w:val="24"/>
        </w:rPr>
        <w:t xml:space="preserve">The Act requires State agencies to opt into the reimbursement programs within 30 days of FNS’s publication of guidance, or February 25, 2021.  </w:t>
      </w:r>
    </w:p>
    <w:p w:rsidR="001378D8" w:rsidP="00C63D53" w:rsidRDefault="001378D8" w14:paraId="5EA4F4D9" w14:textId="77777777">
      <w:pPr>
        <w:spacing w:line="480" w:lineRule="auto"/>
        <w:rPr>
          <w:rFonts w:ascii="Times New Roman" w:hAnsi="Times New Roman"/>
        </w:rPr>
      </w:pPr>
    </w:p>
    <w:p w:rsidR="003F33D5" w:rsidP="00C63D53" w:rsidRDefault="003F33D5" w14:paraId="2F0FBFF9" w14:textId="7573C2F2">
      <w:pPr>
        <w:spacing w:line="480" w:lineRule="auto"/>
        <w:rPr>
          <w:rFonts w:ascii="Times New Roman" w:hAnsi="Times New Roman"/>
        </w:rPr>
      </w:pPr>
      <w:r>
        <w:rPr>
          <w:rFonts w:ascii="Times New Roman" w:hAnsi="Times New Roman"/>
        </w:rPr>
        <w:t xml:space="preserve">This submission seeks emergency OMB approval </w:t>
      </w:r>
      <w:r w:rsidR="000B3EF0">
        <w:rPr>
          <w:rFonts w:ascii="Times New Roman" w:hAnsi="Times New Roman"/>
        </w:rPr>
        <w:t>of activities associa</w:t>
      </w:r>
      <w:r w:rsidR="00CA4133">
        <w:rPr>
          <w:rFonts w:ascii="Times New Roman" w:hAnsi="Times New Roman"/>
        </w:rPr>
        <w:t xml:space="preserve">ted with administering </w:t>
      </w:r>
      <w:r w:rsidR="001378D8">
        <w:rPr>
          <w:rFonts w:ascii="Times New Roman" w:hAnsi="Times New Roman"/>
        </w:rPr>
        <w:t>the</w:t>
      </w:r>
      <w:r w:rsidRPr="005577E4" w:rsidR="005577E4">
        <w:rPr>
          <w:szCs w:val="24"/>
        </w:rPr>
        <w:t xml:space="preserve"> </w:t>
      </w:r>
      <w:r w:rsidRPr="005577E4" w:rsidR="005577E4">
        <w:rPr>
          <w:rFonts w:ascii="Times New Roman" w:hAnsi="Times New Roman"/>
          <w:szCs w:val="24"/>
        </w:rPr>
        <w:t>Child Nutrition Emergency Operational Costs Reimbursement Programs</w:t>
      </w:r>
      <w:r w:rsidR="001378D8">
        <w:rPr>
          <w:rFonts w:ascii="Times New Roman" w:hAnsi="Times New Roman"/>
        </w:rPr>
        <w:t xml:space="preserve">.  </w:t>
      </w:r>
      <w:r w:rsidR="000F6949">
        <w:rPr>
          <w:rFonts w:ascii="Times New Roman" w:hAnsi="Times New Roman"/>
        </w:rPr>
        <w:t>The</w:t>
      </w:r>
      <w:r w:rsidR="000B3EF0">
        <w:rPr>
          <w:rFonts w:ascii="Times New Roman" w:hAnsi="Times New Roman"/>
        </w:rPr>
        <w:t xml:space="preserve"> Food and Nutrition Service </w:t>
      </w:r>
      <w:r w:rsidR="009172D7">
        <w:rPr>
          <w:rFonts w:ascii="Times New Roman" w:hAnsi="Times New Roman"/>
        </w:rPr>
        <w:t xml:space="preserve">(FNS) </w:t>
      </w:r>
      <w:r w:rsidR="000B3EF0">
        <w:rPr>
          <w:rFonts w:ascii="Times New Roman" w:hAnsi="Times New Roman"/>
        </w:rPr>
        <w:t>cannot reasonably</w:t>
      </w:r>
      <w:r w:rsidR="004652FD">
        <w:rPr>
          <w:rFonts w:ascii="Times New Roman" w:hAnsi="Times New Roman"/>
        </w:rPr>
        <w:t xml:space="preserve"> comply with the n</w:t>
      </w:r>
      <w:r w:rsidRPr="003F33D5">
        <w:rPr>
          <w:rFonts w:ascii="Times New Roman" w:hAnsi="Times New Roman"/>
        </w:rPr>
        <w:t>ormal clearance p</w:t>
      </w:r>
      <w:r w:rsidR="0035606E">
        <w:rPr>
          <w:rFonts w:ascii="Times New Roman" w:hAnsi="Times New Roman"/>
        </w:rPr>
        <w:t xml:space="preserve">rocedures under the PRA because complying would delay the agency’s ability to provide </w:t>
      </w:r>
      <w:r w:rsidR="000B3EF0">
        <w:rPr>
          <w:rFonts w:ascii="Times New Roman" w:hAnsi="Times New Roman"/>
        </w:rPr>
        <w:t xml:space="preserve">emergency </w:t>
      </w:r>
      <w:r w:rsidR="001378D8">
        <w:rPr>
          <w:rFonts w:ascii="Times New Roman" w:hAnsi="Times New Roman"/>
        </w:rPr>
        <w:t xml:space="preserve">funds to local child nutrition operators and would put FNS out of compliance with statutory deadlines.  </w:t>
      </w:r>
      <w:r w:rsidR="000B3EF0">
        <w:rPr>
          <w:rFonts w:ascii="Times New Roman" w:hAnsi="Times New Roman"/>
        </w:rPr>
        <w:t>As such, we request expedited approval of this information collection.</w:t>
      </w:r>
    </w:p>
    <w:p w:rsidRPr="002568E6" w:rsidR="002E37A1" w:rsidP="009F7E1A" w:rsidRDefault="002E37A1" w14:paraId="1B955E61" w14:textId="61A7595A">
      <w:pPr>
        <w:tabs>
          <w:tab w:val="left" w:pos="-720"/>
        </w:tabs>
        <w:suppressAutoHyphens/>
        <w:spacing w:line="480" w:lineRule="auto"/>
        <w:rPr>
          <w:rFonts w:ascii="Times New Roman" w:hAnsi="Times New Roman"/>
          <w:b/>
          <w:szCs w:val="24"/>
        </w:rPr>
      </w:pPr>
    </w:p>
    <w:p w:rsidRPr="002568E6" w:rsidR="00A308DB" w:rsidP="0062567E" w:rsidRDefault="005A3F80" w14:paraId="7B2A090E" w14:textId="77777777">
      <w:pPr>
        <w:pStyle w:val="Heading1"/>
        <w:rPr>
          <w:szCs w:val="24"/>
        </w:rPr>
      </w:pPr>
      <w:bookmarkStart w:name="_Toc401831358" w:id="2"/>
      <w:bookmarkStart w:name="_Toc401832402" w:id="3"/>
      <w:r w:rsidRPr="002568E6">
        <w:rPr>
          <w:szCs w:val="24"/>
        </w:rPr>
        <w:t xml:space="preserve">A2. </w:t>
      </w:r>
      <w:r w:rsidRPr="002568E6" w:rsidR="00447C1E">
        <w:rPr>
          <w:szCs w:val="24"/>
        </w:rPr>
        <w:t>Purpose and Use of the Information.</w:t>
      </w:r>
      <w:bookmarkEnd w:id="2"/>
      <w:bookmarkEnd w:id="3"/>
    </w:p>
    <w:p w:rsidRPr="002568E6" w:rsidR="0062567E" w:rsidRDefault="0062567E" w14:paraId="7B2A090F" w14:textId="77777777">
      <w:pPr>
        <w:tabs>
          <w:tab w:val="left" w:pos="-720"/>
        </w:tabs>
        <w:suppressAutoHyphens/>
        <w:rPr>
          <w:rFonts w:ascii="Times New Roman" w:hAnsi="Times New Roman"/>
          <w:b/>
          <w:szCs w:val="24"/>
        </w:rPr>
      </w:pPr>
    </w:p>
    <w:p w:rsidRPr="002568E6" w:rsidR="003333DF" w:rsidRDefault="003333DF" w14:paraId="7B2A0910"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9F7E1A" w:rsidP="009F7E1A" w:rsidRDefault="009F7E1A" w14:paraId="7B2A0911" w14:textId="0C3A7DEB">
      <w:pPr>
        <w:tabs>
          <w:tab w:val="left" w:pos="-720"/>
        </w:tabs>
        <w:suppressAutoHyphens/>
        <w:rPr>
          <w:rFonts w:ascii="Times New Roman" w:hAnsi="Times New Roman"/>
          <w:szCs w:val="24"/>
        </w:rPr>
      </w:pPr>
    </w:p>
    <w:p w:rsidRPr="002568E6" w:rsidR="00D0598F" w:rsidP="001E668C" w:rsidRDefault="00D0598F" w14:paraId="3AFD63A8" w14:textId="24A0AF0D">
      <w:pPr>
        <w:tabs>
          <w:tab w:val="left" w:pos="-720"/>
        </w:tabs>
        <w:suppressAutoHyphens/>
        <w:spacing w:line="480" w:lineRule="auto"/>
        <w:rPr>
          <w:rFonts w:ascii="Times New Roman" w:hAnsi="Times New Roman"/>
          <w:szCs w:val="24"/>
        </w:rPr>
      </w:pPr>
      <w:r>
        <w:rPr>
          <w:rFonts w:ascii="Times New Roman" w:hAnsi="Times New Roman"/>
          <w:szCs w:val="24"/>
        </w:rPr>
        <w:t>This is a request for a new OMB control number.  The information collection is nec</w:t>
      </w:r>
      <w:r w:rsidR="006E16EE">
        <w:rPr>
          <w:rFonts w:ascii="Times New Roman" w:hAnsi="Times New Roman"/>
          <w:szCs w:val="24"/>
        </w:rPr>
        <w:t>essary to ensure that FNS complies with statutory deadlines and that Child Nutrition local operators financcially</w:t>
      </w:r>
      <w:r>
        <w:rPr>
          <w:rFonts w:ascii="Times New Roman" w:hAnsi="Times New Roman"/>
          <w:szCs w:val="24"/>
        </w:rPr>
        <w:t xml:space="preserve"> impacted by COVID-19 re</w:t>
      </w:r>
      <w:r w:rsidR="006E16EE">
        <w:rPr>
          <w:rFonts w:ascii="Times New Roman" w:hAnsi="Times New Roman"/>
          <w:szCs w:val="24"/>
        </w:rPr>
        <w:t>ceive emergency funding</w:t>
      </w:r>
      <w:r w:rsidR="001E668C">
        <w:rPr>
          <w:rFonts w:ascii="Times New Roman" w:hAnsi="Times New Roman"/>
          <w:szCs w:val="24"/>
        </w:rPr>
        <w:t>.</w:t>
      </w:r>
    </w:p>
    <w:p w:rsidR="00D0598F" w:rsidP="009172D7" w:rsidRDefault="00D0598F" w14:paraId="7ED0227D" w14:textId="77777777">
      <w:pPr>
        <w:pStyle w:val="Heading2"/>
        <w:spacing w:line="480" w:lineRule="auto"/>
        <w:jc w:val="left"/>
        <w:rPr>
          <w:b w:val="0"/>
          <w:i/>
          <w:szCs w:val="24"/>
        </w:rPr>
      </w:pPr>
    </w:p>
    <w:p w:rsidRPr="006E16EE" w:rsidR="006E16EE" w:rsidP="006E16EE" w:rsidRDefault="006E16EE" w14:paraId="15FB5C34" w14:textId="77777777">
      <w:pPr>
        <w:rPr>
          <w:rFonts w:ascii="Times New Roman" w:hAnsi="Times New Roman"/>
          <w:i/>
          <w:szCs w:val="24"/>
        </w:rPr>
      </w:pPr>
      <w:r w:rsidRPr="006E16EE">
        <w:rPr>
          <w:rFonts w:ascii="Times New Roman" w:hAnsi="Times New Roman"/>
          <w:i/>
          <w:szCs w:val="24"/>
        </w:rPr>
        <w:t>Child Nutrition Emergency Operational Costs Reimbursement Programs</w:t>
      </w:r>
    </w:p>
    <w:p w:rsidRPr="009172D7" w:rsidR="000B3EF0" w:rsidP="009172D7" w:rsidRDefault="000B3EF0" w14:paraId="465BFE57" w14:textId="39BB2DFA">
      <w:pPr>
        <w:pStyle w:val="Heading2"/>
        <w:spacing w:line="480" w:lineRule="auto"/>
        <w:jc w:val="left"/>
        <w:rPr>
          <w:b w:val="0"/>
          <w:i/>
          <w:szCs w:val="24"/>
        </w:rPr>
      </w:pPr>
    </w:p>
    <w:p w:rsidR="006E16EE" w:rsidP="006E16EE" w:rsidRDefault="006E16EE" w14:paraId="56A15582" w14:textId="7E0B6E91">
      <w:pPr>
        <w:pStyle w:val="BodyText"/>
        <w:tabs>
          <w:tab w:val="left" w:pos="821"/>
        </w:tabs>
        <w:kinsoku w:val="0"/>
        <w:spacing w:line="480" w:lineRule="auto"/>
        <w:ind w:right="504"/>
        <w:rPr>
          <w:b w:val="0"/>
        </w:rPr>
      </w:pPr>
      <w:r w:rsidRPr="006E16EE">
        <w:rPr>
          <w:b w:val="0"/>
        </w:rPr>
        <w:t xml:space="preserve">Pursuant to Section 722 of P.L. 116-260, the Consolidated Appropriations Act, 2021, Title VII, Chapter 3 (the Act), the Food and Nutrition Service (FNS) is offering additional funds to State agencies administering the National School Lunch Program (NSLP), School Breakfast Program (SBP), and the Child and Adult Care Food Program (CACFP) to provide local operators of those programs with additional reimbursements for emergency operating costs they incurred during the COVID-19 pandemic. These additional funds will be provided by way of two temporary reimbursement programs, the </w:t>
      </w:r>
      <w:r w:rsidRPr="006E16EE">
        <w:rPr>
          <w:b w:val="0"/>
          <w:i/>
          <w:iCs/>
        </w:rPr>
        <w:t>School Programs Emergency Operational Costs Reimbursement Program</w:t>
      </w:r>
      <w:r w:rsidRPr="006E16EE">
        <w:rPr>
          <w:b w:val="0"/>
        </w:rPr>
        <w:t xml:space="preserve"> and </w:t>
      </w:r>
      <w:r w:rsidRPr="006E16EE">
        <w:rPr>
          <w:b w:val="0"/>
          <w:i/>
          <w:iCs/>
        </w:rPr>
        <w:t>Child and Adult Care Food Program Emergency Operational Costs Reimbursement Program</w:t>
      </w:r>
      <w:r w:rsidRPr="006E16EE">
        <w:rPr>
          <w:b w:val="0"/>
        </w:rPr>
        <w:t>.</w:t>
      </w:r>
    </w:p>
    <w:p w:rsidRPr="006E16EE" w:rsidR="006E16EE" w:rsidP="006E16EE" w:rsidRDefault="006E16EE" w14:paraId="179DB886" w14:textId="77777777">
      <w:pPr>
        <w:pStyle w:val="BodyText"/>
        <w:tabs>
          <w:tab w:val="left" w:pos="821"/>
        </w:tabs>
        <w:kinsoku w:val="0"/>
        <w:spacing w:line="480" w:lineRule="auto"/>
        <w:ind w:right="504"/>
        <w:rPr>
          <w:b w:val="0"/>
        </w:rPr>
      </w:pPr>
    </w:p>
    <w:p w:rsidRPr="006E16EE" w:rsidR="006E16EE" w:rsidP="006E16EE" w:rsidRDefault="006E16EE" w14:paraId="1B5D7BFB" w14:textId="77777777">
      <w:pPr>
        <w:pStyle w:val="BodyText"/>
        <w:tabs>
          <w:tab w:val="left" w:pos="821"/>
        </w:tabs>
        <w:kinsoku w:val="0"/>
        <w:spacing w:line="480" w:lineRule="auto"/>
        <w:ind w:right="504"/>
        <w:rPr>
          <w:b w:val="0"/>
        </w:rPr>
      </w:pPr>
      <w:r w:rsidRPr="006E16EE">
        <w:rPr>
          <w:b w:val="0"/>
        </w:rPr>
        <w:t xml:space="preserve">These reimbursement options provide additional funding for local Child Nutrition Program operators whose revenues declined or were temporarily interrupted during the early months of the pandemic due to COVID-19 related restrictions and closures. Throughout this exceptionally challenging time, program operators experienced widespread and significant gaps in funding, and in many cases were forced to expend their savings, draw funds from other sources, and cut or even suspend operations. The relief provided by these reimbursements is intended to help address such shortfalls and ensure that program </w:t>
      </w:r>
      <w:r w:rsidRPr="006E16EE">
        <w:rPr>
          <w:b w:val="0"/>
        </w:rPr>
        <w:lastRenderedPageBreak/>
        <w:t>operators are in the best position to rebuild while continuing to serve their communities.</w:t>
      </w:r>
    </w:p>
    <w:p w:rsidRPr="006E16EE" w:rsidR="006E16EE" w:rsidP="006E16EE" w:rsidRDefault="006E16EE" w14:paraId="6C6A04C1" w14:textId="77777777">
      <w:pPr>
        <w:pStyle w:val="BodyText"/>
        <w:tabs>
          <w:tab w:val="left" w:pos="821"/>
        </w:tabs>
        <w:kinsoku w:val="0"/>
        <w:spacing w:line="480" w:lineRule="auto"/>
        <w:ind w:right="504"/>
        <w:rPr>
          <w:b w:val="0"/>
        </w:rPr>
      </w:pPr>
    </w:p>
    <w:p w:rsidRPr="006E16EE" w:rsidR="006E16EE" w:rsidP="006E16EE" w:rsidRDefault="006E16EE" w14:paraId="3A453F46" w14:textId="79B44AAF">
      <w:pPr>
        <w:pStyle w:val="BodyText"/>
        <w:tabs>
          <w:tab w:val="left" w:pos="821"/>
        </w:tabs>
        <w:kinsoku w:val="0"/>
        <w:spacing w:line="480" w:lineRule="auto"/>
        <w:ind w:right="504"/>
        <w:rPr>
          <w:b w:val="0"/>
        </w:rPr>
      </w:pPr>
      <w:r w:rsidRPr="006E16EE">
        <w:rPr>
          <w:b w:val="0"/>
        </w:rPr>
        <w:t>State agencies choosing to participate in these reimbursement programs shall provide local level operators administering the school meal programs and/or CACFP reimbursements for emergency operating costs incurred during the months of March – June 2020. The amount of funding provided to each program operator will be determined using a statutory formula established under the Act and described in</w:t>
      </w:r>
      <w:r>
        <w:rPr>
          <w:b w:val="0"/>
        </w:rPr>
        <w:t xml:space="preserve"> FNS guidance</w:t>
      </w:r>
      <w:r w:rsidR="00585F7F">
        <w:rPr>
          <w:b w:val="0"/>
        </w:rPr>
        <w:t xml:space="preserve"> (A</w:t>
      </w:r>
      <w:r w:rsidR="004F7E06">
        <w:rPr>
          <w:b w:val="0"/>
        </w:rPr>
        <w:t>ppendix</w:t>
      </w:r>
      <w:r w:rsidR="00585F7F">
        <w:rPr>
          <w:b w:val="0"/>
        </w:rPr>
        <w:t xml:space="preserve"> </w:t>
      </w:r>
      <w:r w:rsidR="00EC34AF">
        <w:rPr>
          <w:b w:val="0"/>
        </w:rPr>
        <w:t>C</w:t>
      </w:r>
      <w:r w:rsidR="00585F7F">
        <w:rPr>
          <w:b w:val="0"/>
        </w:rPr>
        <w:t>)</w:t>
      </w:r>
      <w:r w:rsidRPr="006E16EE">
        <w:rPr>
          <w:b w:val="0"/>
        </w:rPr>
        <w:t>. States that choose to participate must implement the program statewide, with equal access for all eligible program operators.</w:t>
      </w:r>
    </w:p>
    <w:p w:rsidRPr="006E16EE" w:rsidR="006E16EE" w:rsidP="006E16EE" w:rsidRDefault="006E16EE" w14:paraId="0D992E49" w14:textId="77777777">
      <w:pPr>
        <w:pStyle w:val="BodyText"/>
        <w:tabs>
          <w:tab w:val="left" w:pos="821"/>
        </w:tabs>
        <w:kinsoku w:val="0"/>
        <w:spacing w:line="480" w:lineRule="auto"/>
        <w:ind w:right="504"/>
        <w:rPr>
          <w:b w:val="0"/>
        </w:rPr>
      </w:pPr>
    </w:p>
    <w:p w:rsidRPr="006E16EE" w:rsidR="006E16EE" w:rsidP="006E16EE" w:rsidRDefault="006E16EE" w14:paraId="48914F6E" w14:textId="77777777">
      <w:pPr>
        <w:pStyle w:val="BodyText"/>
        <w:tabs>
          <w:tab w:val="left" w:pos="821"/>
        </w:tabs>
        <w:kinsoku w:val="0"/>
        <w:spacing w:line="480" w:lineRule="auto"/>
        <w:ind w:right="504"/>
        <w:rPr>
          <w:b w:val="0"/>
        </w:rPr>
      </w:pPr>
      <w:r w:rsidRPr="006E16EE">
        <w:rPr>
          <w:b w:val="0"/>
        </w:rPr>
        <w:t xml:space="preserve">Upon receipt of reimbursement funds, State agencies will disburse formula-calculated payments to eligible program operators based on an implementation plan submitted by the State agency, which is subject to approval by FNS. Funding allocations will remain available to State agencies until </w:t>
      </w:r>
      <w:r w:rsidRPr="006E16EE">
        <w:rPr>
          <w:b w:val="0"/>
          <w:bCs/>
        </w:rPr>
        <w:t>September 30, 2021</w:t>
      </w:r>
      <w:r w:rsidRPr="006E16EE">
        <w:rPr>
          <w:b w:val="0"/>
        </w:rPr>
        <w:t xml:space="preserve">; after this date, no additional obligations may be incurred by the State. </w:t>
      </w:r>
      <w:bookmarkStart w:name="_Hlk62198333" w:id="4"/>
      <w:r w:rsidRPr="006E16EE">
        <w:rPr>
          <w:b w:val="0"/>
        </w:rPr>
        <w:t>However, State agencies may continue to distribute reimbursement funds that they received from FNS prior to this deadline to their program operators. Liquidation of State level obligations must occur by January 31, 2022 consistent with Government-wide grant rules.</w:t>
      </w:r>
      <w:bookmarkEnd w:id="4"/>
      <w:r w:rsidRPr="006E16EE">
        <w:rPr>
          <w:b w:val="0"/>
        </w:rPr>
        <w:t xml:space="preserve"> No later than </w:t>
      </w:r>
      <w:r w:rsidRPr="006E16EE">
        <w:rPr>
          <w:b w:val="0"/>
          <w:bCs/>
        </w:rPr>
        <w:t xml:space="preserve">March 31, 2022, </w:t>
      </w:r>
      <w:r w:rsidRPr="006E16EE">
        <w:rPr>
          <w:b w:val="0"/>
        </w:rPr>
        <w:t>any remaining unexpended funds must be recovered by the State agency and returned to FNS. FNS does not anticipate recoveries from program operators, as funds provided to such entities will be considered expended upon receipt.</w:t>
      </w:r>
    </w:p>
    <w:p w:rsidR="006E16EE" w:rsidP="009172D7" w:rsidRDefault="006E16EE" w14:paraId="3DA87F8D" w14:textId="77777777">
      <w:pPr>
        <w:pStyle w:val="Heading2"/>
        <w:spacing w:line="480" w:lineRule="auto"/>
        <w:jc w:val="left"/>
        <w:rPr>
          <w:b w:val="0"/>
          <w:szCs w:val="24"/>
        </w:rPr>
      </w:pPr>
    </w:p>
    <w:p w:rsidRPr="003E0247" w:rsidR="003E0247" w:rsidP="003E0247" w:rsidRDefault="006E16EE" w14:paraId="1E8690BD" w14:textId="6820D5B8">
      <w:pPr>
        <w:pStyle w:val="BodyText"/>
        <w:tabs>
          <w:tab w:val="left" w:pos="821"/>
        </w:tabs>
        <w:kinsoku w:val="0"/>
        <w:spacing w:line="480" w:lineRule="auto"/>
        <w:ind w:right="504"/>
        <w:rPr>
          <w:b w:val="0"/>
        </w:rPr>
      </w:pPr>
      <w:r w:rsidRPr="006E16EE">
        <w:rPr>
          <w:b w:val="0"/>
        </w:rPr>
        <w:t xml:space="preserve">To receive funding under either of these reimbursement programs, State agencies must </w:t>
      </w:r>
      <w:r w:rsidRPr="006E16EE">
        <w:rPr>
          <w:b w:val="0"/>
        </w:rPr>
        <w:lastRenderedPageBreak/>
        <w:t xml:space="preserve">submit an application </w:t>
      </w:r>
      <w:r w:rsidR="00585F7F">
        <w:rPr>
          <w:b w:val="0"/>
        </w:rPr>
        <w:t>(A</w:t>
      </w:r>
      <w:r w:rsidR="004F7E06">
        <w:rPr>
          <w:b w:val="0"/>
        </w:rPr>
        <w:t>ppendix</w:t>
      </w:r>
      <w:r w:rsidR="00585F7F">
        <w:rPr>
          <w:b w:val="0"/>
        </w:rPr>
        <w:t xml:space="preserve"> </w:t>
      </w:r>
      <w:r w:rsidR="00EC34AF">
        <w:rPr>
          <w:b w:val="0"/>
        </w:rPr>
        <w:t>D</w:t>
      </w:r>
      <w:r w:rsidR="00585F7F">
        <w:rPr>
          <w:b w:val="0"/>
        </w:rPr>
        <w:t xml:space="preserve">) </w:t>
      </w:r>
      <w:r w:rsidRPr="006E16EE">
        <w:rPr>
          <w:b w:val="0"/>
        </w:rPr>
        <w:t>to FNS no later than February 25, 2021, which, at a minimum, establishes their intent to participate in one or both programs, and contains a narrative plan for how they will calculate and disburse funding to program operators.</w:t>
      </w:r>
      <w:r w:rsidR="003E0247">
        <w:rPr>
          <w:b w:val="0"/>
        </w:rPr>
        <w:t xml:space="preserve">  </w:t>
      </w:r>
      <w:r w:rsidRPr="003E0247" w:rsidR="003E0247">
        <w:rPr>
          <w:b w:val="0"/>
        </w:rPr>
        <w:t>Subsequently, the State will be required to complete an implementation plan</w:t>
      </w:r>
      <w:r w:rsidR="00EC34AF">
        <w:rPr>
          <w:b w:val="0"/>
        </w:rPr>
        <w:t xml:space="preserve"> for one or both programs</w:t>
      </w:r>
      <w:r w:rsidRPr="003E0247" w:rsidR="003E0247">
        <w:rPr>
          <w:b w:val="0"/>
        </w:rPr>
        <w:t xml:space="preserve"> </w:t>
      </w:r>
      <w:r w:rsidR="00585F7F">
        <w:rPr>
          <w:b w:val="0"/>
        </w:rPr>
        <w:t>(A</w:t>
      </w:r>
      <w:r w:rsidR="004F7E06">
        <w:rPr>
          <w:b w:val="0"/>
        </w:rPr>
        <w:t>ppendices</w:t>
      </w:r>
      <w:r w:rsidR="00585F7F">
        <w:rPr>
          <w:b w:val="0"/>
        </w:rPr>
        <w:t xml:space="preserve"> </w:t>
      </w:r>
      <w:r w:rsidR="00EC34AF">
        <w:rPr>
          <w:b w:val="0"/>
        </w:rPr>
        <w:t>E and F</w:t>
      </w:r>
      <w:r w:rsidR="004D4583">
        <w:rPr>
          <w:b w:val="0"/>
        </w:rPr>
        <w:t xml:space="preserve">) </w:t>
      </w:r>
      <w:r w:rsidRPr="003E0247" w:rsidR="003E0247">
        <w:rPr>
          <w:b w:val="0"/>
        </w:rPr>
        <w:t xml:space="preserve">by providing FNS with supplemental information no later than </w:t>
      </w:r>
      <w:r w:rsidR="00BB5FDD">
        <w:rPr>
          <w:b w:val="0"/>
        </w:rPr>
        <w:t>April 26,</w:t>
      </w:r>
      <w:r w:rsidRPr="003E0247" w:rsidR="003E0247">
        <w:rPr>
          <w:b w:val="0"/>
        </w:rPr>
        <w:t xml:space="preserve"> 2021, which includes:</w:t>
      </w:r>
    </w:p>
    <w:p w:rsidRPr="003E0247" w:rsidR="003E0247" w:rsidP="003E0247" w:rsidRDefault="003E0247" w14:paraId="2B6B6BF1" w14:textId="77777777">
      <w:pPr>
        <w:pStyle w:val="BodyText"/>
        <w:tabs>
          <w:tab w:val="left" w:pos="821"/>
        </w:tabs>
        <w:kinsoku w:val="0"/>
        <w:spacing w:line="480" w:lineRule="auto"/>
        <w:ind w:right="504"/>
        <w:rPr>
          <w:b w:val="0"/>
        </w:rPr>
      </w:pPr>
    </w:p>
    <w:p w:rsidRPr="003E0247" w:rsidR="003E0247" w:rsidP="003E0247" w:rsidRDefault="003E0247" w14:paraId="5318C8C1" w14:textId="12A6312C">
      <w:pPr>
        <w:pStyle w:val="BodyText"/>
        <w:numPr>
          <w:ilvl w:val="0"/>
          <w:numId w:val="25"/>
        </w:numPr>
        <w:tabs>
          <w:tab w:val="clear" w:pos="-720"/>
          <w:tab w:val="left" w:pos="821"/>
        </w:tabs>
        <w:suppressAutoHyphens w:val="0"/>
        <w:kinsoku w:val="0"/>
        <w:spacing w:line="480" w:lineRule="auto"/>
        <w:ind w:right="504"/>
        <w:textAlignment w:val="auto"/>
        <w:rPr>
          <w:b w:val="0"/>
        </w:rPr>
      </w:pPr>
      <w:r w:rsidRPr="003E0247">
        <w:rPr>
          <w:b w:val="0"/>
        </w:rPr>
        <w:t>An estimate of the number of program operators eligible for payments, organized by recipient type</w:t>
      </w:r>
      <w:r w:rsidR="00585F7F">
        <w:rPr>
          <w:b w:val="0"/>
        </w:rPr>
        <w:t xml:space="preserve"> (i.e., school food authority</w:t>
      </w:r>
      <w:r w:rsidRPr="003E0247">
        <w:rPr>
          <w:b w:val="0"/>
        </w:rPr>
        <w:t>, day care home sponsoring organizations, etc.);</w:t>
      </w:r>
    </w:p>
    <w:p w:rsidRPr="003E0247" w:rsidR="003E0247" w:rsidP="003E0247" w:rsidRDefault="003E0247" w14:paraId="78DA6389" w14:textId="77777777">
      <w:pPr>
        <w:pStyle w:val="BodyText"/>
        <w:numPr>
          <w:ilvl w:val="0"/>
          <w:numId w:val="25"/>
        </w:numPr>
        <w:tabs>
          <w:tab w:val="clear" w:pos="-720"/>
          <w:tab w:val="left" w:pos="821"/>
        </w:tabs>
        <w:suppressAutoHyphens w:val="0"/>
        <w:kinsoku w:val="0"/>
        <w:spacing w:line="480" w:lineRule="auto"/>
        <w:ind w:right="504"/>
        <w:textAlignment w:val="auto"/>
        <w:rPr>
          <w:b w:val="0"/>
        </w:rPr>
      </w:pPr>
      <w:r w:rsidRPr="003E0247">
        <w:rPr>
          <w:b w:val="0"/>
        </w:rPr>
        <w:t>An estimate of total funding amount needed by the State agency in order to effect such payments, organized by reimbursement month;</w:t>
      </w:r>
    </w:p>
    <w:p w:rsidRPr="003E0247" w:rsidR="003E0247" w:rsidP="003E0247" w:rsidRDefault="003E0247" w14:paraId="6D296D49" w14:textId="77777777">
      <w:pPr>
        <w:pStyle w:val="BodyText"/>
        <w:numPr>
          <w:ilvl w:val="0"/>
          <w:numId w:val="25"/>
        </w:numPr>
        <w:tabs>
          <w:tab w:val="clear" w:pos="-720"/>
          <w:tab w:val="left" w:pos="821"/>
        </w:tabs>
        <w:suppressAutoHyphens w:val="0"/>
        <w:kinsoku w:val="0"/>
        <w:spacing w:line="480" w:lineRule="auto"/>
        <w:ind w:right="504"/>
        <w:textAlignment w:val="auto"/>
        <w:rPr>
          <w:b w:val="0"/>
        </w:rPr>
      </w:pPr>
      <w:r w:rsidRPr="003E0247">
        <w:rPr>
          <w:b w:val="0"/>
        </w:rPr>
        <w:t>Any substantive updates to the process by which payments are calculated and disbursed to program operators, if applicable;</w:t>
      </w:r>
    </w:p>
    <w:p w:rsidRPr="003E0247" w:rsidR="003E0247" w:rsidP="003E0247" w:rsidRDefault="003E0247" w14:paraId="695286B9" w14:textId="77777777">
      <w:pPr>
        <w:pStyle w:val="BodyText"/>
        <w:numPr>
          <w:ilvl w:val="0"/>
          <w:numId w:val="25"/>
        </w:numPr>
        <w:tabs>
          <w:tab w:val="clear" w:pos="-720"/>
          <w:tab w:val="left" w:pos="821"/>
        </w:tabs>
        <w:suppressAutoHyphens w:val="0"/>
        <w:kinsoku w:val="0"/>
        <w:spacing w:line="480" w:lineRule="auto"/>
        <w:ind w:right="504"/>
        <w:textAlignment w:val="auto"/>
        <w:rPr>
          <w:b w:val="0"/>
        </w:rPr>
      </w:pPr>
      <w:r w:rsidRPr="003E0247">
        <w:rPr>
          <w:b w:val="0"/>
        </w:rPr>
        <w:t>A projected timeline for disbursement of payments to program operators;</w:t>
      </w:r>
    </w:p>
    <w:p w:rsidRPr="003E0247" w:rsidR="003E0247" w:rsidP="003E0247" w:rsidRDefault="003E0247" w14:paraId="1E075521" w14:textId="77777777">
      <w:pPr>
        <w:pStyle w:val="BodyText"/>
        <w:numPr>
          <w:ilvl w:val="0"/>
          <w:numId w:val="25"/>
        </w:numPr>
        <w:tabs>
          <w:tab w:val="clear" w:pos="-720"/>
          <w:tab w:val="left" w:pos="821"/>
        </w:tabs>
        <w:suppressAutoHyphens w:val="0"/>
        <w:kinsoku w:val="0"/>
        <w:spacing w:line="480" w:lineRule="auto"/>
        <w:ind w:right="504"/>
        <w:textAlignment w:val="auto"/>
        <w:rPr>
          <w:b w:val="0"/>
        </w:rPr>
      </w:pPr>
      <w:r w:rsidRPr="003E0247">
        <w:rPr>
          <w:b w:val="0"/>
        </w:rPr>
        <w:t xml:space="preserve">A narrative description of how the State agency will accomplish the following: </w:t>
      </w:r>
    </w:p>
    <w:p w:rsidRPr="003E0247" w:rsidR="003E0247" w:rsidP="003E0247" w:rsidRDefault="003E0247" w14:paraId="1A599860" w14:textId="77777777">
      <w:pPr>
        <w:pStyle w:val="BodyText"/>
        <w:numPr>
          <w:ilvl w:val="0"/>
          <w:numId w:val="26"/>
        </w:numPr>
        <w:tabs>
          <w:tab w:val="clear" w:pos="-720"/>
          <w:tab w:val="left" w:pos="821"/>
        </w:tabs>
        <w:suppressAutoHyphens w:val="0"/>
        <w:kinsoku w:val="0"/>
        <w:spacing w:line="480" w:lineRule="auto"/>
        <w:ind w:right="504"/>
        <w:textAlignment w:val="auto"/>
        <w:rPr>
          <w:b w:val="0"/>
        </w:rPr>
      </w:pPr>
      <w:r w:rsidRPr="003E0247">
        <w:rPr>
          <w:b w:val="0"/>
        </w:rPr>
        <w:t xml:space="preserve">Ensure the accuracy of payment calculations; </w:t>
      </w:r>
    </w:p>
    <w:p w:rsidRPr="003E0247" w:rsidR="003E0247" w:rsidP="003E0247" w:rsidRDefault="003E0247" w14:paraId="7A3755FD" w14:textId="77777777">
      <w:pPr>
        <w:pStyle w:val="BodyText"/>
        <w:numPr>
          <w:ilvl w:val="0"/>
          <w:numId w:val="26"/>
        </w:numPr>
        <w:tabs>
          <w:tab w:val="clear" w:pos="-720"/>
          <w:tab w:val="left" w:pos="821"/>
        </w:tabs>
        <w:suppressAutoHyphens w:val="0"/>
        <w:kinsoku w:val="0"/>
        <w:spacing w:line="480" w:lineRule="auto"/>
        <w:ind w:right="504"/>
        <w:textAlignment w:val="auto"/>
        <w:rPr>
          <w:b w:val="0"/>
        </w:rPr>
      </w:pPr>
      <w:r w:rsidRPr="003E0247">
        <w:rPr>
          <w:b w:val="0"/>
        </w:rPr>
        <w:t xml:space="preserve">Notify program operators of payments; and </w:t>
      </w:r>
    </w:p>
    <w:p w:rsidR="00EC34AF" w:rsidP="00EC34AF" w:rsidRDefault="003E0247" w14:paraId="485CFA0C" w14:textId="71434310">
      <w:pPr>
        <w:pStyle w:val="BodyText"/>
        <w:numPr>
          <w:ilvl w:val="0"/>
          <w:numId w:val="26"/>
        </w:numPr>
        <w:tabs>
          <w:tab w:val="clear" w:pos="-720"/>
          <w:tab w:val="left" w:pos="821"/>
        </w:tabs>
        <w:suppressAutoHyphens w:val="0"/>
        <w:kinsoku w:val="0"/>
        <w:spacing w:line="480" w:lineRule="auto"/>
        <w:ind w:right="504"/>
        <w:textAlignment w:val="auto"/>
        <w:rPr>
          <w:b w:val="0"/>
        </w:rPr>
      </w:pPr>
      <w:r w:rsidRPr="003E0247">
        <w:rPr>
          <w:b w:val="0"/>
        </w:rPr>
        <w:t>Collect and document summary information on the use of these funds by the State and each program operator.</w:t>
      </w:r>
    </w:p>
    <w:p w:rsidRPr="00EC34AF" w:rsidR="00EC34AF" w:rsidP="00EC34AF" w:rsidRDefault="00EC34AF" w14:paraId="3C70BB4B" w14:textId="7564AB0C">
      <w:pPr>
        <w:pStyle w:val="BodyText"/>
        <w:numPr>
          <w:ilvl w:val="0"/>
          <w:numId w:val="25"/>
        </w:numPr>
        <w:tabs>
          <w:tab w:val="clear" w:pos="-720"/>
          <w:tab w:val="left" w:pos="821"/>
        </w:tabs>
        <w:suppressAutoHyphens w:val="0"/>
        <w:kinsoku w:val="0"/>
        <w:spacing w:line="480" w:lineRule="auto"/>
        <w:ind w:right="504"/>
        <w:textAlignment w:val="auto"/>
        <w:rPr>
          <w:b w:val="0"/>
        </w:rPr>
      </w:pPr>
      <w:r>
        <w:rPr>
          <w:b w:val="0"/>
        </w:rPr>
        <w:t>Assurance statements for standard program monitoring and recordkeeping requirements</w:t>
      </w:r>
    </w:p>
    <w:p w:rsidR="00EC34AF" w:rsidP="00831B90" w:rsidRDefault="00EC34AF" w14:paraId="62DA3043" w14:textId="77777777">
      <w:pPr>
        <w:spacing w:line="480" w:lineRule="auto"/>
        <w:rPr>
          <w:rFonts w:ascii="Times New Roman" w:hAnsi="Times New Roman"/>
          <w:szCs w:val="24"/>
        </w:rPr>
      </w:pPr>
    </w:p>
    <w:p w:rsidR="008C0747" w:rsidP="00831B90" w:rsidRDefault="00EF03AC" w14:paraId="0C00E2D8" w14:textId="186CB2DA">
      <w:pPr>
        <w:spacing w:line="480" w:lineRule="auto"/>
        <w:rPr>
          <w:rFonts w:ascii="Times New Roman" w:hAnsi="Times New Roman"/>
        </w:rPr>
      </w:pPr>
      <w:r>
        <w:rPr>
          <w:rFonts w:ascii="Times New Roman" w:hAnsi="Times New Roman"/>
        </w:rPr>
        <w:lastRenderedPageBreak/>
        <w:t>Once FNS has approved a State</w:t>
      </w:r>
      <w:r w:rsidR="00EC34AF">
        <w:rPr>
          <w:rFonts w:ascii="Times New Roman" w:hAnsi="Times New Roman"/>
        </w:rPr>
        <w:t>’</w:t>
      </w:r>
      <w:r>
        <w:rPr>
          <w:rFonts w:ascii="Times New Roman" w:hAnsi="Times New Roman"/>
        </w:rPr>
        <w:t>s implementation plan</w:t>
      </w:r>
      <w:r w:rsidR="00EC34AF">
        <w:rPr>
          <w:rFonts w:ascii="Times New Roman" w:hAnsi="Times New Roman"/>
        </w:rPr>
        <w:t>(s)</w:t>
      </w:r>
      <w:r>
        <w:rPr>
          <w:rFonts w:ascii="Times New Roman" w:hAnsi="Times New Roman"/>
        </w:rPr>
        <w:t xml:space="preserve">, FNS will disburse funds to the State agencies to allocate to the appropriate local operators.  </w:t>
      </w:r>
    </w:p>
    <w:p w:rsidRPr="002E37A1" w:rsidR="007D68BA" w:rsidP="002E37A1" w:rsidRDefault="007D68BA" w14:paraId="18C514D4" w14:textId="77777777"/>
    <w:p w:rsidRPr="002568E6" w:rsidR="00A308DB" w:rsidP="0062567E" w:rsidRDefault="005A3F80" w14:paraId="7B2A0914" w14:textId="77777777">
      <w:pPr>
        <w:pStyle w:val="Heading1"/>
        <w:rPr>
          <w:szCs w:val="24"/>
        </w:rPr>
      </w:pPr>
      <w:bookmarkStart w:name="_Toc401831359" w:id="5"/>
      <w:bookmarkStart w:name="_Toc401832403" w:id="6"/>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5"/>
      <w:bookmarkEnd w:id="6"/>
      <w:r w:rsidRPr="002568E6">
        <w:rPr>
          <w:szCs w:val="24"/>
        </w:rPr>
        <w:t xml:space="preserve">  </w:t>
      </w:r>
    </w:p>
    <w:p w:rsidRPr="002568E6" w:rsidR="003333DF" w:rsidRDefault="003333DF" w14:paraId="7B2A0915" w14:textId="77777777">
      <w:pPr>
        <w:tabs>
          <w:tab w:val="left" w:pos="0"/>
        </w:tabs>
        <w:suppressAutoHyphens/>
        <w:rPr>
          <w:rFonts w:ascii="Times New Roman" w:hAnsi="Times New Roman"/>
          <w:szCs w:val="24"/>
        </w:rPr>
      </w:pPr>
    </w:p>
    <w:p w:rsidRPr="002568E6" w:rsidR="003333DF" w:rsidP="0062567E" w:rsidRDefault="003333DF" w14:paraId="7B2A0916"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Pr="002568E6" w:rsidR="00A308DB" w:rsidRDefault="00A308DB" w14:paraId="7B2A0917" w14:textId="77777777">
      <w:pPr>
        <w:tabs>
          <w:tab w:val="left" w:pos="0"/>
        </w:tabs>
        <w:suppressAutoHyphens/>
        <w:rPr>
          <w:rFonts w:ascii="Times New Roman" w:hAnsi="Times New Roman"/>
          <w:szCs w:val="24"/>
        </w:rPr>
      </w:pPr>
    </w:p>
    <w:p w:rsidRPr="001E668C" w:rsidR="001E668C" w:rsidP="001E668C" w:rsidRDefault="001E668C" w14:paraId="058504D7" w14:textId="30B16DC0">
      <w:pPr>
        <w:tabs>
          <w:tab w:val="left" w:pos="0"/>
        </w:tabs>
        <w:suppressAutoHyphens/>
        <w:spacing w:line="480" w:lineRule="auto"/>
        <w:rPr>
          <w:rFonts w:ascii="Times New Roman" w:hAnsi="Times New Roman"/>
          <w:szCs w:val="24"/>
        </w:rPr>
      </w:pPr>
      <w:r w:rsidRPr="001E668C">
        <w:rPr>
          <w:rFonts w:ascii="Times New Roman" w:hAnsi="Times New Roman"/>
          <w:szCs w:val="24"/>
        </w:rPr>
        <w:t>In compliance with E-Government Act of 2002 (E-Gov), State agencies have the authority to use the technology that best suits the needs of their individual or unique systems of operation to comply with the re</w:t>
      </w:r>
      <w:r w:rsidR="00EF03AC">
        <w:rPr>
          <w:rFonts w:ascii="Times New Roman" w:hAnsi="Times New Roman"/>
          <w:szCs w:val="24"/>
        </w:rPr>
        <w:t xml:space="preserve">porting </w:t>
      </w:r>
      <w:r w:rsidRPr="001E668C">
        <w:rPr>
          <w:rFonts w:ascii="Times New Roman" w:hAnsi="Times New Roman"/>
          <w:szCs w:val="24"/>
        </w:rPr>
        <w:t>requirements contained in this submission.  FNS has made every effort to provide for electronic submission as an alternative to paper submission in compliance with the E-Gov</w:t>
      </w:r>
      <w:r w:rsidR="004F7E06">
        <w:rPr>
          <w:rFonts w:ascii="Times New Roman" w:hAnsi="Times New Roman"/>
          <w:szCs w:val="24"/>
        </w:rPr>
        <w:t xml:space="preserve"> and these responses will be collected 100 percent electronically.  </w:t>
      </w:r>
    </w:p>
    <w:p w:rsidRPr="002568E6" w:rsidR="005A3F80" w:rsidP="001E668C" w:rsidRDefault="001E668C" w14:paraId="7B2A0919" w14:textId="4D0E1B69">
      <w:pPr>
        <w:tabs>
          <w:tab w:val="left" w:pos="0"/>
        </w:tabs>
        <w:suppressAutoHyphens/>
        <w:spacing w:line="480" w:lineRule="auto"/>
        <w:rPr>
          <w:rFonts w:ascii="Times New Roman" w:hAnsi="Times New Roman"/>
          <w:szCs w:val="24"/>
        </w:rPr>
      </w:pPr>
      <w:r w:rsidRPr="001E668C">
        <w:rPr>
          <w:rFonts w:ascii="Times New Roman" w:hAnsi="Times New Roman"/>
          <w:szCs w:val="24"/>
        </w:rPr>
        <w:tab/>
      </w:r>
      <w:r w:rsidR="00532C45">
        <w:rPr>
          <w:rFonts w:ascii="Times New Roman" w:hAnsi="Times New Roman"/>
          <w:szCs w:val="24"/>
        </w:rPr>
        <w:t xml:space="preserve"> </w:t>
      </w:r>
    </w:p>
    <w:p w:rsidRPr="002568E6" w:rsidR="00A308DB" w:rsidP="0062567E" w:rsidRDefault="005A3F80" w14:paraId="7B2A091A" w14:textId="77777777">
      <w:pPr>
        <w:pStyle w:val="Heading1"/>
        <w:rPr>
          <w:szCs w:val="24"/>
        </w:rPr>
      </w:pPr>
      <w:bookmarkStart w:name="_Toc401831360" w:id="7"/>
      <w:bookmarkStart w:name="_Toc401832404" w:id="8"/>
      <w:r w:rsidRPr="002568E6">
        <w:rPr>
          <w:szCs w:val="24"/>
        </w:rPr>
        <w:t xml:space="preserve">A4.  </w:t>
      </w:r>
      <w:r w:rsidR="002568E6">
        <w:rPr>
          <w:szCs w:val="24"/>
        </w:rPr>
        <w:t>E</w:t>
      </w:r>
      <w:r w:rsidRPr="002568E6">
        <w:rPr>
          <w:szCs w:val="24"/>
        </w:rPr>
        <w:t>fforts to identify duplication.</w:t>
      </w:r>
      <w:bookmarkEnd w:id="7"/>
      <w:bookmarkEnd w:id="8"/>
      <w:r w:rsidRPr="002568E6">
        <w:rPr>
          <w:szCs w:val="24"/>
        </w:rPr>
        <w:t xml:space="preserve"> </w:t>
      </w:r>
    </w:p>
    <w:p w:rsidRPr="002568E6" w:rsidR="003333DF" w:rsidRDefault="003333DF" w14:paraId="7B2A091B" w14:textId="77777777">
      <w:pPr>
        <w:tabs>
          <w:tab w:val="left" w:pos="0"/>
        </w:tabs>
        <w:suppressAutoHyphens/>
        <w:rPr>
          <w:rFonts w:ascii="Times New Roman" w:hAnsi="Times New Roman"/>
          <w:szCs w:val="24"/>
        </w:rPr>
      </w:pPr>
    </w:p>
    <w:p w:rsidR="003333DF" w:rsidRDefault="003333DF" w14:paraId="7B2A091C" w14:textId="002B17B8">
      <w:pPr>
        <w:tabs>
          <w:tab w:val="left" w:pos="0"/>
        </w:tabs>
        <w:suppressAutoHyphens/>
        <w:rPr>
          <w:rFonts w:ascii="Times New Roman" w:hAnsi="Times New Roman"/>
          <w:b/>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1E668C" w:rsidRDefault="001E668C" w14:paraId="1039A72B" w14:textId="5DD146D9">
      <w:pPr>
        <w:tabs>
          <w:tab w:val="left" w:pos="0"/>
        </w:tabs>
        <w:suppressAutoHyphens/>
        <w:rPr>
          <w:rFonts w:ascii="Times New Roman" w:hAnsi="Times New Roman"/>
          <w:szCs w:val="24"/>
        </w:rPr>
      </w:pPr>
    </w:p>
    <w:p w:rsidRPr="002568E6" w:rsidR="00AA7789" w:rsidP="00AA7789" w:rsidRDefault="00AA7789" w14:paraId="18D78209" w14:textId="4A2CAB65">
      <w:pPr>
        <w:tabs>
          <w:tab w:val="left" w:pos="0"/>
        </w:tabs>
        <w:suppressAutoHyphens/>
        <w:spacing w:line="480" w:lineRule="auto"/>
        <w:rPr>
          <w:rFonts w:ascii="Times New Roman" w:hAnsi="Times New Roman"/>
          <w:szCs w:val="24"/>
        </w:rPr>
      </w:pPr>
      <w:r>
        <w:rPr>
          <w:rFonts w:ascii="Times New Roman" w:hAnsi="Times New Roman"/>
          <w:szCs w:val="24"/>
        </w:rPr>
        <w:t xml:space="preserve">The </w:t>
      </w:r>
      <w:r w:rsidRPr="005577E4" w:rsidR="00EF03AC">
        <w:rPr>
          <w:rFonts w:ascii="Times New Roman" w:hAnsi="Times New Roman"/>
          <w:szCs w:val="24"/>
        </w:rPr>
        <w:t>Child Nutrition Emergency Operational Costs Reimbursement Programs</w:t>
      </w:r>
      <w:r w:rsidR="00EF03AC">
        <w:rPr>
          <w:rFonts w:ascii="Times New Roman" w:hAnsi="Times New Roman"/>
          <w:szCs w:val="24"/>
        </w:rPr>
        <w:t xml:space="preserve"> are new programs authorized through </w:t>
      </w:r>
      <w:r w:rsidRPr="00EF03AC" w:rsidR="00EF03AC">
        <w:rPr>
          <w:rFonts w:ascii="Times New Roman" w:hAnsi="Times New Roman"/>
        </w:rPr>
        <w:t>Section 722 of P.L. 116-260, the Consolidated Appropriations Act, 2021, Title VII, Chapter 3</w:t>
      </w:r>
      <w:r>
        <w:rPr>
          <w:rFonts w:ascii="Times New Roman" w:hAnsi="Times New Roman"/>
        </w:rPr>
        <w:t xml:space="preserve">.  </w:t>
      </w:r>
      <w:r w:rsidR="00EF03AC">
        <w:rPr>
          <w:rFonts w:ascii="Times New Roman" w:hAnsi="Times New Roman"/>
          <w:szCs w:val="24"/>
        </w:rPr>
        <w:t>The information requested f</w:t>
      </w:r>
      <w:r>
        <w:rPr>
          <w:rFonts w:ascii="Times New Roman" w:hAnsi="Times New Roman"/>
          <w:szCs w:val="24"/>
        </w:rPr>
        <w:t xml:space="preserve">rom State agencies </w:t>
      </w:r>
      <w:r w:rsidR="00283F28">
        <w:rPr>
          <w:rFonts w:ascii="Times New Roman" w:hAnsi="Times New Roman"/>
          <w:szCs w:val="24"/>
        </w:rPr>
        <w:t>as required by the Act</w:t>
      </w:r>
      <w:r>
        <w:rPr>
          <w:rFonts w:ascii="Times New Roman" w:hAnsi="Times New Roman"/>
          <w:szCs w:val="24"/>
        </w:rPr>
        <w:t xml:space="preserve"> is for the sole purpose of implementation and distribution of these one time programs and funds.  Because the statutory formula to calculate funds distribution is un</w:t>
      </w:r>
      <w:r w:rsidR="00283F28">
        <w:rPr>
          <w:rFonts w:ascii="Times New Roman" w:hAnsi="Times New Roman"/>
          <w:szCs w:val="24"/>
        </w:rPr>
        <w:t>i</w:t>
      </w:r>
      <w:r>
        <w:rPr>
          <w:rFonts w:ascii="Times New Roman" w:hAnsi="Times New Roman"/>
          <w:szCs w:val="24"/>
        </w:rPr>
        <w:t xml:space="preserve">que to these new programs, State agencies are not able to use already existing information but may use data they currently have to make the calculations for </w:t>
      </w:r>
      <w:r w:rsidR="00283F28">
        <w:rPr>
          <w:rFonts w:ascii="Times New Roman" w:hAnsi="Times New Roman"/>
          <w:szCs w:val="24"/>
        </w:rPr>
        <w:t>emergency funding amounts</w:t>
      </w:r>
      <w:r>
        <w:rPr>
          <w:rFonts w:ascii="Times New Roman" w:hAnsi="Times New Roman"/>
          <w:szCs w:val="24"/>
        </w:rPr>
        <w:t xml:space="preserve">.  </w:t>
      </w:r>
    </w:p>
    <w:p w:rsidR="00EF03AC" w:rsidP="0062567E" w:rsidRDefault="00EF03AC" w14:paraId="29B5E8A3" w14:textId="60ED28FD">
      <w:pPr>
        <w:pStyle w:val="Heading1"/>
        <w:rPr>
          <w:szCs w:val="24"/>
        </w:rPr>
      </w:pPr>
      <w:bookmarkStart w:name="_Toc401831361" w:id="9"/>
      <w:bookmarkStart w:name="_Toc401832405" w:id="10"/>
    </w:p>
    <w:p w:rsidRPr="00EF03AC" w:rsidR="00EF03AC" w:rsidP="00EF03AC" w:rsidRDefault="00EF03AC" w14:paraId="79BDC11F" w14:textId="77777777"/>
    <w:p w:rsidRPr="002568E6" w:rsidR="00A308DB" w:rsidP="0062567E" w:rsidRDefault="005A3F80" w14:paraId="7B2A0920" w14:textId="35BCDEA3">
      <w:pPr>
        <w:pStyle w:val="Heading1"/>
        <w:rPr>
          <w:szCs w:val="24"/>
        </w:rPr>
      </w:pPr>
      <w:r w:rsidRPr="002568E6">
        <w:rPr>
          <w:szCs w:val="24"/>
        </w:rPr>
        <w:t>A5.  Impacts on small businesses or other small entities.</w:t>
      </w:r>
      <w:bookmarkEnd w:id="9"/>
      <w:bookmarkEnd w:id="10"/>
      <w:r w:rsidRPr="002568E6">
        <w:rPr>
          <w:szCs w:val="24"/>
        </w:rPr>
        <w:t xml:space="preserve">  </w:t>
      </w:r>
    </w:p>
    <w:p w:rsidRPr="002568E6" w:rsidR="003333DF" w:rsidRDefault="003333DF" w14:paraId="7B2A0921" w14:textId="77777777">
      <w:pPr>
        <w:tabs>
          <w:tab w:val="left" w:pos="0"/>
        </w:tabs>
        <w:suppressAutoHyphens/>
        <w:rPr>
          <w:rFonts w:ascii="Times New Roman" w:hAnsi="Times New Roman"/>
          <w:szCs w:val="24"/>
        </w:rPr>
      </w:pPr>
    </w:p>
    <w:p w:rsidRPr="002568E6" w:rsidR="003333DF" w:rsidRDefault="003333DF" w14:paraId="7B2A0922"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Pr="002568E6" w:rsidR="00A308DB" w:rsidRDefault="00A308DB" w14:paraId="7B2A0923" w14:textId="77777777">
      <w:pPr>
        <w:tabs>
          <w:tab w:val="left" w:pos="0"/>
        </w:tabs>
        <w:suppressAutoHyphens/>
        <w:rPr>
          <w:rFonts w:ascii="Times New Roman" w:hAnsi="Times New Roman"/>
          <w:szCs w:val="24"/>
        </w:rPr>
      </w:pPr>
    </w:p>
    <w:p w:rsidRPr="002568E6" w:rsidR="00E11A38" w:rsidP="009F7E1A" w:rsidRDefault="001E668C" w14:paraId="7B2A0925" w14:textId="6AB5AE17">
      <w:pPr>
        <w:tabs>
          <w:tab w:val="left" w:pos="-720"/>
        </w:tabs>
        <w:suppressAutoHyphens/>
        <w:spacing w:line="480" w:lineRule="auto"/>
        <w:rPr>
          <w:rFonts w:ascii="Times New Roman" w:hAnsi="Times New Roman"/>
          <w:spacing w:val="-3"/>
          <w:szCs w:val="24"/>
        </w:rPr>
      </w:pPr>
      <w:r w:rsidRPr="001E668C">
        <w:rPr>
          <w:rFonts w:ascii="Times New Roman" w:hAnsi="Times New Roman"/>
          <w:szCs w:val="24"/>
        </w:rPr>
        <w:t>This collection does not have a direct impact on small businesses or other small entities.</w:t>
      </w:r>
      <w:r w:rsidR="00283F28">
        <w:rPr>
          <w:rFonts w:ascii="Times New Roman" w:hAnsi="Times New Roman"/>
          <w:szCs w:val="24"/>
        </w:rPr>
        <w:t xml:space="preserve">  State agencies administer Child Nutrition Programs</w:t>
      </w:r>
      <w:r w:rsidRPr="001E668C">
        <w:rPr>
          <w:rFonts w:ascii="Times New Roman" w:hAnsi="Times New Roman"/>
          <w:szCs w:val="24"/>
        </w:rPr>
        <w:t xml:space="preserve"> at the State level and collect the necessary data to ensure correc</w:t>
      </w:r>
      <w:r w:rsidR="00283F28">
        <w:rPr>
          <w:rFonts w:ascii="Times New Roman" w:hAnsi="Times New Roman"/>
          <w:szCs w:val="24"/>
        </w:rPr>
        <w:t>t administration of the programs at the local level.  Of the</w:t>
      </w:r>
      <w:r w:rsidR="00EC34AF">
        <w:rPr>
          <w:rFonts w:ascii="Times New Roman" w:hAnsi="Times New Roman"/>
          <w:szCs w:val="24"/>
        </w:rPr>
        <w:t xml:space="preserve"> 69</w:t>
      </w:r>
      <w:r w:rsidR="00283F28">
        <w:rPr>
          <w:rFonts w:ascii="Times New Roman" w:hAnsi="Times New Roman"/>
          <w:szCs w:val="24"/>
        </w:rPr>
        <w:t xml:space="preserve"> Child Nutrition</w:t>
      </w:r>
      <w:r w:rsidRPr="001E668C">
        <w:rPr>
          <w:rFonts w:ascii="Times New Roman" w:hAnsi="Times New Roman"/>
          <w:szCs w:val="24"/>
        </w:rPr>
        <w:t xml:space="preserve"> State agency respondents, none are small entities.  </w:t>
      </w:r>
      <w:r w:rsidRPr="001E668C">
        <w:rPr>
          <w:rFonts w:ascii="Times New Roman" w:hAnsi="Times New Roman"/>
          <w:szCs w:val="24"/>
        </w:rPr>
        <w:tab/>
      </w:r>
    </w:p>
    <w:p w:rsidRPr="002568E6" w:rsidR="00A308DB" w:rsidP="0062567E" w:rsidRDefault="005A3F80" w14:paraId="7B2A0926" w14:textId="77777777">
      <w:pPr>
        <w:pStyle w:val="Heading1"/>
        <w:rPr>
          <w:szCs w:val="24"/>
        </w:rPr>
      </w:pPr>
      <w:bookmarkStart w:name="_Toc401831362" w:id="11"/>
      <w:bookmarkStart w:name="_Toc401832406" w:id="12"/>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1"/>
      <w:bookmarkEnd w:id="12"/>
      <w:r w:rsidRPr="002568E6">
        <w:rPr>
          <w:szCs w:val="24"/>
        </w:rPr>
        <w:t xml:space="preserve">  </w:t>
      </w:r>
    </w:p>
    <w:p w:rsidRPr="002568E6" w:rsidR="003333DF" w:rsidP="005C04BB" w:rsidRDefault="003333DF" w14:paraId="7B2A0927" w14:textId="77777777">
      <w:pPr>
        <w:tabs>
          <w:tab w:val="left" w:pos="0"/>
        </w:tabs>
        <w:suppressAutoHyphens/>
        <w:rPr>
          <w:rFonts w:ascii="Times New Roman" w:hAnsi="Times New Roman"/>
          <w:szCs w:val="24"/>
        </w:rPr>
      </w:pPr>
    </w:p>
    <w:p w:rsidRPr="002568E6" w:rsidR="003333DF" w:rsidP="0062567E" w:rsidRDefault="003333DF" w14:paraId="7B2A0928"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Pr="002568E6" w:rsidR="00E11A38" w:rsidP="00E11A38" w:rsidRDefault="00E11A38" w14:paraId="7B2A0929" w14:textId="77777777">
      <w:pPr>
        <w:tabs>
          <w:tab w:val="left" w:pos="-720"/>
        </w:tabs>
        <w:suppressAutoHyphens/>
        <w:rPr>
          <w:rFonts w:ascii="Times New Roman" w:hAnsi="Times New Roman"/>
          <w:szCs w:val="24"/>
        </w:rPr>
      </w:pPr>
    </w:p>
    <w:p w:rsidRPr="002568E6" w:rsidR="00E11A38" w:rsidP="00E11A38" w:rsidRDefault="00283F28" w14:paraId="7B2A092B" w14:textId="3A20394C">
      <w:pPr>
        <w:tabs>
          <w:tab w:val="left" w:pos="-720"/>
        </w:tabs>
        <w:suppressAutoHyphens/>
        <w:spacing w:line="480" w:lineRule="auto"/>
        <w:rPr>
          <w:rFonts w:ascii="Times New Roman" w:hAnsi="Times New Roman"/>
          <w:szCs w:val="24"/>
        </w:rPr>
      </w:pPr>
      <w:r>
        <w:rPr>
          <w:rFonts w:ascii="Times New Roman" w:hAnsi="Times New Roman"/>
          <w:szCs w:val="24"/>
        </w:rPr>
        <w:t xml:space="preserve">FNS would be unable </w:t>
      </w:r>
      <w:r w:rsidR="00D56126">
        <w:rPr>
          <w:rFonts w:ascii="Times New Roman" w:hAnsi="Times New Roman"/>
          <w:szCs w:val="24"/>
        </w:rPr>
        <w:t xml:space="preserve">to comply with statutory requirements set forth in </w:t>
      </w:r>
      <w:r w:rsidRPr="00D56126" w:rsidR="00D56126">
        <w:rPr>
          <w:rFonts w:ascii="Times New Roman" w:hAnsi="Times New Roman"/>
        </w:rPr>
        <w:t>Section 722 of P.L. 116-260, the Consolidated Appropriations Act, 2021, Title VII, Chapter 3</w:t>
      </w:r>
      <w:r w:rsidR="00D56126">
        <w:rPr>
          <w:rFonts w:ascii="Times New Roman" w:hAnsi="Times New Roman"/>
        </w:rPr>
        <w:t xml:space="preserve"> if this collection is not conducted.  Additionally, local Child Nutrition operators would not receive the emergency funds provided to them in the Act.  </w:t>
      </w:r>
    </w:p>
    <w:p w:rsidRPr="002568E6" w:rsidR="00A308DB" w:rsidP="0062567E" w:rsidRDefault="00213436" w14:paraId="7B2A092C" w14:textId="77777777">
      <w:pPr>
        <w:pStyle w:val="Heading1"/>
        <w:rPr>
          <w:szCs w:val="24"/>
        </w:rPr>
      </w:pPr>
      <w:bookmarkStart w:name="_Toc401831363" w:id="13"/>
      <w:bookmarkStart w:name="_Toc401832407" w:id="14"/>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3"/>
      <w:bookmarkEnd w:id="14"/>
      <w:r w:rsidRPr="002568E6">
        <w:rPr>
          <w:szCs w:val="24"/>
        </w:rPr>
        <w:t xml:space="preserve">  </w:t>
      </w:r>
    </w:p>
    <w:p w:rsidRPr="002568E6" w:rsidR="00A308DB" w:rsidP="00213436" w:rsidRDefault="00A308DB" w14:paraId="7B2A092D" w14:textId="77777777">
      <w:pPr>
        <w:tabs>
          <w:tab w:val="left" w:pos="0"/>
        </w:tabs>
        <w:suppressAutoHyphens/>
        <w:rPr>
          <w:rFonts w:ascii="Times New Roman" w:hAnsi="Times New Roman"/>
          <w:szCs w:val="24"/>
        </w:rPr>
      </w:pPr>
    </w:p>
    <w:p w:rsidRPr="002568E6" w:rsidR="003333DF" w:rsidP="0062567E" w:rsidRDefault="003333DF" w14:paraId="7B2A092E"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Pr="002568E6" w:rsidR="003333DF" w:rsidP="0062567E" w:rsidRDefault="003333DF" w14:paraId="7B2A092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Pr="002568E6" w:rsidR="003333DF" w:rsidP="0062567E" w:rsidRDefault="003333DF" w14:paraId="7B2A093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Pr="002568E6" w:rsidR="003333DF" w:rsidP="0062567E" w:rsidRDefault="003333DF" w14:paraId="7B2A093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Pr="002568E6" w:rsidR="003333DF" w:rsidP="0062567E" w:rsidRDefault="003333DF" w14:paraId="7B2A093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Pr="002568E6" w:rsidR="003333DF" w:rsidP="0062567E" w:rsidRDefault="008F3F14" w14:paraId="7B2A093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sidR="003333DF">
        <w:rPr>
          <w:rFonts w:ascii="Times New Roman" w:hAnsi="Times New Roman"/>
          <w:b/>
          <w:szCs w:val="24"/>
        </w:rPr>
        <w:t>s</w:t>
      </w:r>
      <w:r w:rsidRPr="002568E6">
        <w:rPr>
          <w:rFonts w:ascii="Times New Roman" w:hAnsi="Times New Roman"/>
          <w:b/>
          <w:szCs w:val="24"/>
        </w:rPr>
        <w:t>igned to produce valid and reli</w:t>
      </w:r>
      <w:r w:rsidRPr="002568E6" w:rsidR="003333DF">
        <w:rPr>
          <w:rFonts w:ascii="Times New Roman" w:hAnsi="Times New Roman"/>
          <w:b/>
          <w:szCs w:val="24"/>
        </w:rPr>
        <w:t>a</w:t>
      </w:r>
      <w:r w:rsidRPr="002568E6">
        <w:rPr>
          <w:rFonts w:ascii="Times New Roman" w:hAnsi="Times New Roman"/>
          <w:b/>
          <w:szCs w:val="24"/>
        </w:rPr>
        <w:t>ble results that can be generalized to the uni</w:t>
      </w:r>
      <w:r w:rsidRPr="002568E6" w:rsidR="003333DF">
        <w:rPr>
          <w:rFonts w:ascii="Times New Roman" w:hAnsi="Times New Roman"/>
          <w:b/>
          <w:szCs w:val="24"/>
        </w:rPr>
        <w:t xml:space="preserve">verse of study; </w:t>
      </w:r>
    </w:p>
    <w:p w:rsidRPr="002568E6" w:rsidR="003333DF" w:rsidP="0062567E" w:rsidRDefault="008F3F14" w14:paraId="7B2A093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sidR="003333DF">
        <w:rPr>
          <w:rFonts w:ascii="Times New Roman" w:hAnsi="Times New Roman"/>
          <w:b/>
          <w:szCs w:val="24"/>
        </w:rPr>
        <w:t>fication that has not been</w:t>
      </w:r>
      <w:r w:rsidRPr="002568E6">
        <w:rPr>
          <w:rFonts w:ascii="Times New Roman" w:hAnsi="Times New Roman"/>
          <w:b/>
          <w:szCs w:val="24"/>
        </w:rPr>
        <w:t xml:space="preserve"> reviewed and approved by OMB;</w:t>
      </w:r>
    </w:p>
    <w:p w:rsidRPr="002568E6" w:rsidR="003333DF" w:rsidP="0062567E" w:rsidRDefault="003333DF" w14:paraId="7B2A0935"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 xml:space="preserve">closure and data security policies </w:t>
      </w:r>
      <w:r w:rsidRPr="002568E6">
        <w:rPr>
          <w:rFonts w:ascii="Times New Roman" w:hAnsi="Times New Roman"/>
          <w:b/>
          <w:szCs w:val="24"/>
        </w:rPr>
        <w:lastRenderedPageBreak/>
        <w:t>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Pr="002568E6" w:rsidR="003333DF" w:rsidP="0062567E" w:rsidRDefault="003333DF" w14:paraId="7B2A0936"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Pr="002568E6" w:rsidR="003333DF" w:rsidP="00213436" w:rsidRDefault="003333DF" w14:paraId="7B2A0937" w14:textId="77777777">
      <w:pPr>
        <w:tabs>
          <w:tab w:val="left" w:pos="0"/>
        </w:tabs>
        <w:suppressAutoHyphens/>
        <w:rPr>
          <w:rFonts w:ascii="Times New Roman" w:hAnsi="Times New Roman"/>
          <w:szCs w:val="24"/>
        </w:rPr>
      </w:pPr>
    </w:p>
    <w:p w:rsidRPr="002568E6" w:rsidR="00E11A38" w:rsidP="00E11A38" w:rsidRDefault="00E11A38" w14:paraId="7B2A0938" w14:textId="77777777">
      <w:pPr>
        <w:tabs>
          <w:tab w:val="left" w:pos="-720"/>
        </w:tabs>
        <w:suppressAutoHyphens/>
        <w:rPr>
          <w:rFonts w:ascii="Times New Roman" w:hAnsi="Times New Roman"/>
          <w:szCs w:val="24"/>
        </w:rPr>
      </w:pPr>
    </w:p>
    <w:p w:rsidRPr="002568E6" w:rsidR="00E11A38" w:rsidP="00E11A38" w:rsidRDefault="00D27001" w14:paraId="7B2A0939" w14:textId="4DF6A882">
      <w:pPr>
        <w:tabs>
          <w:tab w:val="left" w:pos="-720"/>
        </w:tabs>
        <w:suppressAutoHyphens/>
        <w:spacing w:line="480" w:lineRule="auto"/>
        <w:rPr>
          <w:rFonts w:ascii="Times New Roman" w:hAnsi="Times New Roman"/>
          <w:szCs w:val="24"/>
        </w:rPr>
      </w:pPr>
      <w:r>
        <w:rPr>
          <w:rFonts w:ascii="Times New Roman" w:hAnsi="Times New Roman"/>
          <w:szCs w:val="24"/>
        </w:rPr>
        <w:t xml:space="preserve">There are no </w:t>
      </w:r>
      <w:r w:rsidR="00FC366C">
        <w:rPr>
          <w:rFonts w:ascii="Times New Roman" w:hAnsi="Times New Roman"/>
          <w:szCs w:val="24"/>
        </w:rPr>
        <w:t xml:space="preserve">other </w:t>
      </w:r>
      <w:r>
        <w:rPr>
          <w:rFonts w:ascii="Times New Roman" w:hAnsi="Times New Roman"/>
          <w:szCs w:val="24"/>
        </w:rPr>
        <w:t>special circumstances. The collection of information is conducted in a manner consistent with the guidelines in 5 CFR 1320.5.</w:t>
      </w:r>
    </w:p>
    <w:p w:rsidRPr="002568E6" w:rsidR="00BE0B08" w:rsidP="00BE0B08" w:rsidRDefault="00BE0B08" w14:paraId="7B2A093A" w14:textId="77777777">
      <w:pPr>
        <w:tabs>
          <w:tab w:val="left" w:pos="0"/>
        </w:tabs>
        <w:suppressAutoHyphens/>
        <w:rPr>
          <w:rFonts w:ascii="Times New Roman" w:hAnsi="Times New Roman"/>
          <w:szCs w:val="24"/>
        </w:rPr>
      </w:pPr>
    </w:p>
    <w:p w:rsidRPr="002568E6" w:rsidR="00BE0B08" w:rsidP="0062567E" w:rsidRDefault="00BE0B08" w14:paraId="7B2A093B" w14:textId="77777777">
      <w:pPr>
        <w:pStyle w:val="Heading1"/>
        <w:rPr>
          <w:szCs w:val="24"/>
        </w:rPr>
      </w:pPr>
      <w:bookmarkStart w:name="_Toc401831364" w:id="15"/>
      <w:bookmarkStart w:name="_Toc401832408" w:id="16"/>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5"/>
      <w:bookmarkEnd w:id="16"/>
      <w:r w:rsidRPr="002568E6">
        <w:rPr>
          <w:szCs w:val="24"/>
        </w:rPr>
        <w:t xml:space="preserve">  </w:t>
      </w:r>
    </w:p>
    <w:p w:rsidRPr="002568E6" w:rsidR="003333DF" w:rsidP="005917B8" w:rsidRDefault="003333DF" w14:paraId="7B2A093C" w14:textId="77777777">
      <w:pPr>
        <w:tabs>
          <w:tab w:val="left" w:pos="450"/>
        </w:tabs>
        <w:suppressAutoHyphens/>
        <w:ind w:left="450" w:hanging="450"/>
        <w:rPr>
          <w:rFonts w:ascii="Times New Roman" w:hAnsi="Times New Roman"/>
          <w:szCs w:val="24"/>
        </w:rPr>
      </w:pPr>
    </w:p>
    <w:p w:rsidRPr="002568E6" w:rsidR="003333DF" w:rsidP="0062567E" w:rsidRDefault="003333DF" w14:paraId="7B2A093D"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Pr="002568E6" w:rsidR="003333DF" w:rsidP="0062567E" w:rsidRDefault="003333DF" w14:paraId="7B2A093E" w14:textId="77777777">
      <w:pPr>
        <w:rPr>
          <w:rFonts w:ascii="Times New Roman" w:hAnsi="Times New Roman"/>
          <w:b/>
          <w:szCs w:val="24"/>
        </w:rPr>
      </w:pPr>
    </w:p>
    <w:p w:rsidRPr="002568E6" w:rsidR="003333DF" w:rsidP="0062567E" w:rsidRDefault="003333DF" w14:paraId="7B2A093F"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2568E6" w:rsidR="003333DF" w:rsidP="0062567E" w:rsidRDefault="003333DF" w14:paraId="7B2A0940" w14:textId="77777777">
      <w:pPr>
        <w:rPr>
          <w:rFonts w:ascii="Times New Roman" w:hAnsi="Times New Roman"/>
          <w:b/>
          <w:szCs w:val="24"/>
        </w:rPr>
      </w:pPr>
    </w:p>
    <w:p w:rsidRPr="002568E6" w:rsidR="003333DF" w:rsidP="0062567E" w:rsidRDefault="003333DF" w14:paraId="7B2A0941"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2568E6" w:rsidR="00ED28F2" w:rsidP="00ED28F2" w:rsidRDefault="00ED28F2" w14:paraId="7B2A0942" w14:textId="77777777">
      <w:pPr>
        <w:tabs>
          <w:tab w:val="left" w:pos="-720"/>
        </w:tabs>
        <w:suppressAutoHyphens/>
        <w:rPr>
          <w:rFonts w:ascii="Times New Roman" w:hAnsi="Times New Roman"/>
          <w:szCs w:val="24"/>
        </w:rPr>
      </w:pPr>
      <w:bookmarkStart w:name="OLE_LINK1" w:id="17"/>
      <w:bookmarkStart w:name="OLE_LINK2" w:id="18"/>
    </w:p>
    <w:p w:rsidRPr="002568E6" w:rsidR="00ED28F2" w:rsidP="00ED28F2" w:rsidRDefault="005C460D" w14:paraId="7B2A0943" w14:textId="658DD273">
      <w:pPr>
        <w:tabs>
          <w:tab w:val="left" w:pos="-720"/>
        </w:tabs>
        <w:suppressAutoHyphens/>
        <w:spacing w:line="480" w:lineRule="auto"/>
        <w:rPr>
          <w:rFonts w:ascii="Times New Roman" w:hAnsi="Times New Roman"/>
          <w:szCs w:val="24"/>
        </w:rPr>
      </w:pPr>
      <w:r>
        <w:rPr>
          <w:rFonts w:ascii="Times New Roman" w:hAnsi="Times New Roman"/>
          <w:szCs w:val="24"/>
        </w:rPr>
        <w:t xml:space="preserve">Because this is an emergency clearance request and all State partners are operating at maximum capacity on COVID-19 related matters, FNS has not consulted on this information collection or associated burden estimates.  </w:t>
      </w:r>
      <w:r w:rsidR="00585B91">
        <w:rPr>
          <w:rFonts w:ascii="Times New Roman" w:hAnsi="Times New Roman"/>
          <w:szCs w:val="24"/>
        </w:rPr>
        <w:t xml:space="preserve"> Should an ongoing information collection be needed following the expiration of this emergency IC, FNS commits to consulting on those </w:t>
      </w:r>
      <w:r w:rsidR="00CA4133">
        <w:rPr>
          <w:rFonts w:ascii="Times New Roman" w:hAnsi="Times New Roman"/>
          <w:szCs w:val="24"/>
        </w:rPr>
        <w:t>prior to submitting the full information collection.</w:t>
      </w:r>
    </w:p>
    <w:p w:rsidRPr="002568E6" w:rsidR="00ED28F2" w:rsidP="00ED28F2" w:rsidRDefault="00ED28F2" w14:paraId="7B2A0944" w14:textId="77777777">
      <w:pPr>
        <w:tabs>
          <w:tab w:val="left" w:pos="-720"/>
        </w:tabs>
        <w:suppressAutoHyphens/>
        <w:spacing w:line="480" w:lineRule="auto"/>
        <w:rPr>
          <w:rFonts w:ascii="Times New Roman" w:hAnsi="Times New Roman"/>
          <w:szCs w:val="24"/>
        </w:rPr>
      </w:pPr>
    </w:p>
    <w:p w:rsidRPr="002568E6" w:rsidR="00BE0B08" w:rsidP="0062567E" w:rsidRDefault="00BE0B08" w14:paraId="7B2A0945" w14:textId="77777777">
      <w:pPr>
        <w:pStyle w:val="Heading1"/>
        <w:rPr>
          <w:szCs w:val="24"/>
        </w:rPr>
      </w:pPr>
      <w:bookmarkStart w:name="_Toc401831365" w:id="19"/>
      <w:bookmarkStart w:name="_Toc401832409" w:id="20"/>
      <w:bookmarkEnd w:id="17"/>
      <w:bookmarkEnd w:id="18"/>
      <w:r w:rsidRPr="002568E6">
        <w:rPr>
          <w:szCs w:val="24"/>
        </w:rPr>
        <w:t>A9.  Explain any decisions to provide any payment or gift to respondents.</w:t>
      </w:r>
      <w:bookmarkEnd w:id="19"/>
      <w:bookmarkEnd w:id="20"/>
      <w:r w:rsidRPr="002568E6">
        <w:rPr>
          <w:szCs w:val="24"/>
        </w:rPr>
        <w:t xml:space="preserve">  </w:t>
      </w:r>
    </w:p>
    <w:p w:rsidRPr="002568E6" w:rsidR="003333DF" w:rsidP="00BE0B08" w:rsidRDefault="003333DF" w14:paraId="7B2A0946" w14:textId="77777777">
      <w:pPr>
        <w:tabs>
          <w:tab w:val="left" w:pos="0"/>
        </w:tabs>
        <w:suppressAutoHyphens/>
        <w:rPr>
          <w:rFonts w:ascii="Times New Roman" w:hAnsi="Times New Roman"/>
          <w:szCs w:val="24"/>
        </w:rPr>
      </w:pPr>
    </w:p>
    <w:p w:rsidRPr="002568E6" w:rsidR="003333DF" w:rsidP="00BE0B08" w:rsidRDefault="003333DF" w14:paraId="7B2A0947" w14:textId="77777777">
      <w:pPr>
        <w:tabs>
          <w:tab w:val="left" w:pos="0"/>
        </w:tabs>
        <w:suppressAutoHyphens/>
        <w:rPr>
          <w:rFonts w:ascii="Times New Roman" w:hAnsi="Times New Roman"/>
          <w:b/>
          <w:szCs w:val="24"/>
        </w:rPr>
      </w:pPr>
      <w:r w:rsidRPr="002568E6">
        <w:rPr>
          <w:rFonts w:ascii="Times New Roman" w:hAnsi="Times New Roman"/>
          <w:b/>
          <w:szCs w:val="24"/>
        </w:rPr>
        <w:t xml:space="preserve">Explain any decision to provide any payment or gift to respondents, other than </w:t>
      </w:r>
      <w:r w:rsidRPr="002568E6">
        <w:rPr>
          <w:rFonts w:ascii="Times New Roman" w:hAnsi="Times New Roman"/>
          <w:b/>
          <w:szCs w:val="24"/>
        </w:rPr>
        <w:lastRenderedPageBreak/>
        <w:t>remuneration of contractors or grantees.</w:t>
      </w:r>
    </w:p>
    <w:p w:rsidRPr="002568E6" w:rsidR="00ED28F2" w:rsidP="00ED28F2" w:rsidRDefault="00ED28F2" w14:paraId="7B2A0948" w14:textId="77777777">
      <w:pPr>
        <w:tabs>
          <w:tab w:val="left" w:pos="-720"/>
        </w:tabs>
        <w:suppressAutoHyphens/>
        <w:rPr>
          <w:rFonts w:ascii="Times New Roman" w:hAnsi="Times New Roman"/>
          <w:szCs w:val="24"/>
        </w:rPr>
      </w:pPr>
    </w:p>
    <w:p w:rsidRPr="00FC366C" w:rsidR="00FC366C" w:rsidP="00FC366C" w:rsidRDefault="00FC366C" w14:paraId="2D4F5B53" w14:textId="77777777">
      <w:pPr>
        <w:tabs>
          <w:tab w:val="left" w:pos="360"/>
        </w:tabs>
        <w:spacing w:line="360" w:lineRule="auto"/>
        <w:rPr>
          <w:rFonts w:ascii="Times New Roman" w:hAnsi="Times New Roman"/>
        </w:rPr>
      </w:pPr>
      <w:r w:rsidRPr="00FC366C">
        <w:rPr>
          <w:rFonts w:ascii="Times New Roman" w:hAnsi="Times New Roman"/>
        </w:rPr>
        <w:t xml:space="preserve">No payments or gifts are provided to respondents under this collection. </w:t>
      </w:r>
    </w:p>
    <w:p w:rsidRPr="002568E6" w:rsidR="00ED28F2" w:rsidP="00ED28F2" w:rsidRDefault="00ED28F2" w14:paraId="7B2A094A" w14:textId="77777777">
      <w:pPr>
        <w:tabs>
          <w:tab w:val="left" w:pos="-720"/>
        </w:tabs>
        <w:suppressAutoHyphens/>
        <w:spacing w:line="480" w:lineRule="auto"/>
        <w:rPr>
          <w:rFonts w:ascii="Times New Roman" w:hAnsi="Times New Roman"/>
          <w:szCs w:val="24"/>
        </w:rPr>
      </w:pPr>
    </w:p>
    <w:p w:rsidRPr="002568E6" w:rsidR="00BE0B08" w:rsidP="0062567E" w:rsidRDefault="00BE0B08" w14:paraId="7B2A094B" w14:textId="77777777">
      <w:pPr>
        <w:pStyle w:val="Heading1"/>
        <w:rPr>
          <w:szCs w:val="24"/>
        </w:rPr>
      </w:pPr>
      <w:bookmarkStart w:name="_Toc401831366" w:id="21"/>
      <w:bookmarkStart w:name="_Toc401832410" w:id="22"/>
      <w:r w:rsidRPr="002568E6">
        <w:rPr>
          <w:szCs w:val="24"/>
        </w:rPr>
        <w:t>A10.  Assurances of confidentiality provided to respondents.</w:t>
      </w:r>
      <w:bookmarkEnd w:id="21"/>
      <w:bookmarkEnd w:id="22"/>
      <w:r w:rsidRPr="002568E6">
        <w:rPr>
          <w:szCs w:val="24"/>
        </w:rPr>
        <w:t xml:space="preserve">  </w:t>
      </w:r>
    </w:p>
    <w:p w:rsidRPr="002568E6" w:rsidR="003333DF" w:rsidP="00BE0B08" w:rsidRDefault="003333DF" w14:paraId="7B2A094C" w14:textId="77777777">
      <w:pPr>
        <w:rPr>
          <w:rFonts w:ascii="Times New Roman" w:hAnsi="Times New Roman"/>
          <w:szCs w:val="24"/>
        </w:rPr>
      </w:pPr>
    </w:p>
    <w:p w:rsidRPr="002568E6" w:rsidR="003333DF" w:rsidP="0062567E" w:rsidRDefault="003333DF" w14:paraId="7B2A094D"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Pr="002568E6" w:rsidR="003333DF" w:rsidP="00BE0B08" w:rsidRDefault="003333DF" w14:paraId="7B2A094E" w14:textId="77777777">
      <w:pPr>
        <w:rPr>
          <w:rFonts w:ascii="Times New Roman" w:hAnsi="Times New Roman"/>
          <w:szCs w:val="24"/>
        </w:rPr>
      </w:pPr>
    </w:p>
    <w:p w:rsidRPr="002568E6" w:rsidR="004D3903" w:rsidP="00ED28F2" w:rsidRDefault="00DA5ADE" w14:paraId="60B982B7" w14:textId="414691E1">
      <w:pPr>
        <w:tabs>
          <w:tab w:val="left" w:pos="-720"/>
        </w:tabs>
        <w:suppressAutoHyphens/>
        <w:spacing w:line="480" w:lineRule="auto"/>
        <w:rPr>
          <w:rFonts w:ascii="Times New Roman" w:hAnsi="Times New Roman"/>
          <w:szCs w:val="24"/>
        </w:rPr>
      </w:pPr>
      <w:r>
        <w:rPr>
          <w:rFonts w:ascii="Times New Roman" w:hAnsi="Times New Roman"/>
          <w:szCs w:val="24"/>
        </w:rPr>
        <w:t xml:space="preserve">The Department complies with the Privacy Act of 1974 and has no confidentiality or privacy concerns with this information collection.  </w:t>
      </w:r>
      <w:r w:rsidR="00D56126">
        <w:rPr>
          <w:rFonts w:ascii="Times New Roman" w:hAnsi="Times New Roman"/>
          <w:szCs w:val="24"/>
        </w:rPr>
        <w:t xml:space="preserve">FNS </w:t>
      </w:r>
      <w:r>
        <w:rPr>
          <w:rFonts w:ascii="Times New Roman" w:hAnsi="Times New Roman"/>
          <w:szCs w:val="24"/>
        </w:rPr>
        <w:t xml:space="preserve">is collecting information on how the State agency will distribute emergency funding to local Child Nutrition operators and </w:t>
      </w:r>
      <w:r w:rsidR="00D56126">
        <w:rPr>
          <w:rFonts w:ascii="Times New Roman" w:hAnsi="Times New Roman"/>
          <w:szCs w:val="24"/>
        </w:rPr>
        <w:t>is not collecting confidential information in this information collection</w:t>
      </w:r>
      <w:r>
        <w:rPr>
          <w:rFonts w:ascii="Times New Roman" w:hAnsi="Times New Roman"/>
          <w:szCs w:val="24"/>
        </w:rPr>
        <w:t xml:space="preserve">. </w:t>
      </w:r>
    </w:p>
    <w:p w:rsidRPr="002568E6" w:rsidR="00A308DB" w:rsidP="0062567E" w:rsidRDefault="00BE0B08" w14:paraId="7B2A0951" w14:textId="77777777">
      <w:pPr>
        <w:pStyle w:val="Heading1"/>
        <w:rPr>
          <w:szCs w:val="24"/>
        </w:rPr>
      </w:pPr>
      <w:bookmarkStart w:name="_Toc401831367" w:id="23"/>
      <w:bookmarkStart w:name="_Toc401832411" w:id="24"/>
      <w:r w:rsidRPr="002568E6">
        <w:rPr>
          <w:szCs w:val="24"/>
        </w:rPr>
        <w:t>A11.  Justification for any questions of a sensitive nature.</w:t>
      </w:r>
      <w:bookmarkEnd w:id="23"/>
      <w:bookmarkEnd w:id="24"/>
      <w:r w:rsidRPr="002568E6">
        <w:rPr>
          <w:szCs w:val="24"/>
        </w:rPr>
        <w:t xml:space="preserve">  </w:t>
      </w:r>
      <w:r w:rsidRPr="002568E6" w:rsidR="005A3F80">
        <w:rPr>
          <w:szCs w:val="24"/>
        </w:rPr>
        <w:t xml:space="preserve">  </w:t>
      </w:r>
    </w:p>
    <w:p w:rsidRPr="002568E6" w:rsidR="003333DF" w:rsidP="00BE0B08" w:rsidRDefault="003333DF" w14:paraId="7B2A0952" w14:textId="77777777">
      <w:pPr>
        <w:tabs>
          <w:tab w:val="left" w:pos="0"/>
        </w:tabs>
        <w:suppressAutoHyphens/>
        <w:rPr>
          <w:rFonts w:ascii="Times New Roman" w:hAnsi="Times New Roman"/>
          <w:szCs w:val="24"/>
        </w:rPr>
      </w:pPr>
    </w:p>
    <w:p w:rsidRPr="002568E6" w:rsidR="003333DF" w:rsidP="00BE0B08" w:rsidRDefault="003333DF" w14:paraId="7B2A0953"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568E6" w:rsidR="00ED28F2" w:rsidP="00ED28F2" w:rsidRDefault="00ED28F2" w14:paraId="7B2A0954" w14:textId="77777777">
      <w:pPr>
        <w:tabs>
          <w:tab w:val="left" w:pos="-720"/>
        </w:tabs>
        <w:suppressAutoHyphens/>
        <w:rPr>
          <w:rFonts w:ascii="Times New Roman" w:hAnsi="Times New Roman"/>
          <w:szCs w:val="24"/>
        </w:rPr>
      </w:pPr>
    </w:p>
    <w:p w:rsidRPr="002568E6" w:rsidR="00ED28F2" w:rsidP="004D3903" w:rsidRDefault="004D3903" w14:paraId="7B2A0956" w14:textId="5F3467A4">
      <w:pPr>
        <w:tabs>
          <w:tab w:val="left" w:pos="-720"/>
        </w:tabs>
        <w:suppressAutoHyphens/>
        <w:spacing w:line="480" w:lineRule="auto"/>
        <w:rPr>
          <w:rFonts w:ascii="Times New Roman" w:hAnsi="Times New Roman"/>
          <w:szCs w:val="24"/>
        </w:rPr>
      </w:pPr>
      <w:r w:rsidRPr="004D3903">
        <w:rPr>
          <w:rFonts w:ascii="Times New Roman" w:hAnsi="Times New Roman"/>
          <w:szCs w:val="24"/>
        </w:rPr>
        <w:t>No private or sensitive questions will be asked.</w:t>
      </w:r>
    </w:p>
    <w:p w:rsidRPr="002568E6" w:rsidR="000438E8" w:rsidP="0062567E" w:rsidRDefault="000438E8" w14:paraId="7B2A0957" w14:textId="77777777">
      <w:pPr>
        <w:pStyle w:val="Heading1"/>
        <w:rPr>
          <w:szCs w:val="24"/>
        </w:rPr>
      </w:pPr>
      <w:bookmarkStart w:name="_Toc401831368" w:id="25"/>
      <w:bookmarkStart w:name="_Toc401832412" w:id="26"/>
      <w:r w:rsidRPr="002568E6">
        <w:rPr>
          <w:szCs w:val="24"/>
        </w:rPr>
        <w:t>A12.  Estimates of the hour burden of the collection of information.</w:t>
      </w:r>
      <w:bookmarkEnd w:id="25"/>
      <w:bookmarkEnd w:id="26"/>
      <w:r w:rsidRPr="002568E6">
        <w:rPr>
          <w:szCs w:val="24"/>
        </w:rPr>
        <w:t xml:space="preserve">  </w:t>
      </w:r>
    </w:p>
    <w:p w:rsidRPr="002568E6" w:rsidR="003333DF" w:rsidP="000438E8" w:rsidRDefault="003333DF" w14:paraId="7B2A0958" w14:textId="77777777">
      <w:pPr>
        <w:tabs>
          <w:tab w:val="left" w:pos="0"/>
        </w:tabs>
        <w:suppressAutoHyphens/>
        <w:rPr>
          <w:rFonts w:ascii="Times New Roman" w:hAnsi="Times New Roman"/>
          <w:b/>
          <w:szCs w:val="24"/>
        </w:rPr>
      </w:pPr>
    </w:p>
    <w:p w:rsidRPr="002568E6" w:rsidR="003333DF" w:rsidP="000438E8" w:rsidRDefault="003333DF" w14:paraId="7B2A0959"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2568E6" w:rsidR="003333DF" w:rsidP="000438E8" w:rsidRDefault="003333DF" w14:paraId="7B2A095A" w14:textId="77777777">
      <w:pPr>
        <w:tabs>
          <w:tab w:val="left" w:pos="0"/>
        </w:tabs>
        <w:suppressAutoHyphens/>
        <w:rPr>
          <w:rFonts w:ascii="Times New Roman" w:hAnsi="Times New Roman"/>
          <w:b/>
          <w:szCs w:val="24"/>
        </w:rPr>
      </w:pPr>
    </w:p>
    <w:p w:rsidRPr="002568E6" w:rsidR="003333DF" w:rsidP="003333DF" w:rsidRDefault="003333DF" w14:paraId="7B2A095B"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2568E6" w:rsidR="00ED28F2" w:rsidP="00ED28F2" w:rsidRDefault="00ED28F2" w14:paraId="7B2A095C" w14:textId="77777777">
      <w:pPr>
        <w:tabs>
          <w:tab w:val="left" w:pos="-720"/>
        </w:tabs>
        <w:suppressAutoHyphens/>
        <w:rPr>
          <w:rFonts w:ascii="Times New Roman" w:hAnsi="Times New Roman"/>
          <w:szCs w:val="24"/>
        </w:rPr>
      </w:pPr>
    </w:p>
    <w:p w:rsidR="0012078A" w:rsidP="00ED28F2" w:rsidRDefault="00EC34AF" w14:paraId="5570C4F1" w14:textId="63D6B5B6">
      <w:pPr>
        <w:tabs>
          <w:tab w:val="left" w:pos="-720"/>
        </w:tabs>
        <w:suppressAutoHyphens/>
        <w:spacing w:line="480" w:lineRule="auto"/>
        <w:rPr>
          <w:rFonts w:ascii="Times New Roman" w:hAnsi="Times New Roman"/>
          <w:szCs w:val="24"/>
        </w:rPr>
      </w:pPr>
      <w:r>
        <w:rPr>
          <w:rFonts w:ascii="Times New Roman" w:hAnsi="Times New Roman"/>
          <w:szCs w:val="24"/>
        </w:rPr>
        <w:t>FNS expect 69</w:t>
      </w:r>
      <w:r w:rsidR="0012078A">
        <w:rPr>
          <w:rFonts w:ascii="Times New Roman" w:hAnsi="Times New Roman"/>
          <w:szCs w:val="24"/>
        </w:rPr>
        <w:t xml:space="preserve"> State</w:t>
      </w:r>
      <w:r w:rsidR="00E70FAF">
        <w:rPr>
          <w:rFonts w:ascii="Times New Roman" w:hAnsi="Times New Roman"/>
          <w:szCs w:val="24"/>
        </w:rPr>
        <w:t xml:space="preserve"> agencies will choose to participate in the Child Nutrition Emergency Operational Costs Reimbursement Programs.  </w:t>
      </w:r>
      <w:r w:rsidR="00457267">
        <w:rPr>
          <w:rFonts w:ascii="Times New Roman" w:hAnsi="Times New Roman"/>
          <w:szCs w:val="24"/>
        </w:rPr>
        <w:t xml:space="preserve">To do so, State agencies will need to create and submit  </w:t>
      </w:r>
      <w:r w:rsidR="00DA5ADE">
        <w:rPr>
          <w:rFonts w:ascii="Times New Roman" w:hAnsi="Times New Roman"/>
          <w:szCs w:val="24"/>
        </w:rPr>
        <w:t xml:space="preserve">1) an </w:t>
      </w:r>
      <w:r w:rsidR="00457267">
        <w:rPr>
          <w:rFonts w:ascii="Times New Roman" w:hAnsi="Times New Roman"/>
          <w:szCs w:val="24"/>
        </w:rPr>
        <w:t xml:space="preserve">opt-in application </w:t>
      </w:r>
      <w:r w:rsidR="00DA5ADE">
        <w:rPr>
          <w:rFonts w:ascii="Times New Roman" w:hAnsi="Times New Roman"/>
          <w:szCs w:val="24"/>
        </w:rPr>
        <w:t xml:space="preserve">2) a CACFP </w:t>
      </w:r>
      <w:r w:rsidR="00457267">
        <w:rPr>
          <w:rFonts w:ascii="Times New Roman" w:hAnsi="Times New Roman"/>
          <w:szCs w:val="24"/>
        </w:rPr>
        <w:t>implementation plan</w:t>
      </w:r>
      <w:r w:rsidR="00DA5ADE">
        <w:rPr>
          <w:rFonts w:ascii="Times New Roman" w:hAnsi="Times New Roman"/>
          <w:szCs w:val="24"/>
        </w:rPr>
        <w:t xml:space="preserve"> and/or 3) a School </w:t>
      </w:r>
      <w:r w:rsidR="00251732">
        <w:rPr>
          <w:rFonts w:ascii="Times New Roman" w:hAnsi="Times New Roman"/>
          <w:szCs w:val="24"/>
        </w:rPr>
        <w:t>Program</w:t>
      </w:r>
      <w:r w:rsidR="00DA5ADE">
        <w:rPr>
          <w:rFonts w:ascii="Times New Roman" w:hAnsi="Times New Roman"/>
          <w:szCs w:val="24"/>
        </w:rPr>
        <w:t xml:space="preserve">s </w:t>
      </w:r>
      <w:r w:rsidR="00DA5ADE">
        <w:rPr>
          <w:rFonts w:ascii="Times New Roman" w:hAnsi="Times New Roman"/>
          <w:szCs w:val="24"/>
        </w:rPr>
        <w:lastRenderedPageBreak/>
        <w:t xml:space="preserve">implementation plan </w:t>
      </w:r>
      <w:r w:rsidR="00457267">
        <w:rPr>
          <w:rFonts w:ascii="Times New Roman" w:hAnsi="Times New Roman"/>
          <w:szCs w:val="24"/>
        </w:rPr>
        <w:t xml:space="preserve">which includes the process they will use to calculate and distribute emergency funds to local Child Nutrition operators.  </w:t>
      </w:r>
      <w:r w:rsidR="0012078A">
        <w:rPr>
          <w:rFonts w:ascii="Times New Roman" w:hAnsi="Times New Roman"/>
          <w:szCs w:val="24"/>
        </w:rPr>
        <w:t>The table below demonstrates the estimated frequency and burden associated with activities asso</w:t>
      </w:r>
      <w:r w:rsidR="00E70FAF">
        <w:rPr>
          <w:rFonts w:ascii="Times New Roman" w:hAnsi="Times New Roman"/>
          <w:szCs w:val="24"/>
        </w:rPr>
        <w:t xml:space="preserve">ciated with </w:t>
      </w:r>
      <w:r w:rsidR="00D731BC">
        <w:rPr>
          <w:rFonts w:ascii="Times New Roman" w:hAnsi="Times New Roman"/>
          <w:szCs w:val="24"/>
        </w:rPr>
        <w:t>submitting information</w:t>
      </w:r>
      <w:r w:rsidR="0052671A">
        <w:rPr>
          <w:rFonts w:ascii="Times New Roman" w:hAnsi="Times New Roman"/>
          <w:szCs w:val="24"/>
        </w:rPr>
        <w:t xml:space="preserve"> associated with the Child Nutrition Emergency Operating Costs Reimbursement Program</w:t>
      </w:r>
      <w:r w:rsidR="0012078A">
        <w:rPr>
          <w:rFonts w:ascii="Times New Roman" w:hAnsi="Times New Roman"/>
          <w:szCs w:val="24"/>
        </w:rPr>
        <w:t xml:space="preserve"> to FNS.</w:t>
      </w:r>
    </w:p>
    <w:p w:rsidR="00A723AD" w:rsidP="00ED28F2" w:rsidRDefault="00A723AD" w14:paraId="146D570D" w14:textId="18C0BE64">
      <w:pPr>
        <w:tabs>
          <w:tab w:val="left" w:pos="-720"/>
        </w:tabs>
        <w:suppressAutoHyphens/>
        <w:spacing w:line="480" w:lineRule="auto"/>
        <w:rPr>
          <w:rFonts w:ascii="Times New Roman" w:hAnsi="Times New Roman"/>
          <w:szCs w:val="24"/>
        </w:rPr>
      </w:pPr>
    </w:p>
    <w:p w:rsidR="0052671A" w:rsidP="00ED28F2" w:rsidRDefault="0052671A" w14:paraId="3554C46A" w14:textId="77777777">
      <w:pPr>
        <w:tabs>
          <w:tab w:val="left" w:pos="-720"/>
        </w:tabs>
        <w:suppressAutoHyphens/>
        <w:spacing w:line="480" w:lineRule="auto"/>
        <w:rPr>
          <w:rFonts w:ascii="Times New Roman" w:hAnsi="Times New Roman"/>
          <w:szCs w:val="24"/>
        </w:rPr>
      </w:pPr>
    </w:p>
    <w:p w:rsidR="00ED28F2" w:rsidP="00ED28F2" w:rsidRDefault="006239CA" w14:paraId="7B2A095D" w14:textId="08786514">
      <w:pPr>
        <w:tabs>
          <w:tab w:val="left" w:pos="-720"/>
        </w:tabs>
        <w:suppressAutoHyphens/>
        <w:spacing w:line="480" w:lineRule="auto"/>
        <w:rPr>
          <w:rFonts w:ascii="Times New Roman" w:hAnsi="Times New Roman"/>
          <w:szCs w:val="24"/>
        </w:rPr>
      </w:pPr>
      <w:r>
        <w:rPr>
          <w:rFonts w:ascii="Times New Roman" w:hAnsi="Times New Roman"/>
          <w:szCs w:val="24"/>
        </w:rPr>
        <w:t xml:space="preserve">The total requested burden hours for this collection is </w:t>
      </w:r>
      <w:r w:rsidR="00251732">
        <w:rPr>
          <w:rFonts w:ascii="Times New Roman" w:hAnsi="Times New Roman"/>
          <w:szCs w:val="24"/>
        </w:rPr>
        <w:t>1,234</w:t>
      </w:r>
      <w:r>
        <w:rPr>
          <w:rFonts w:ascii="Times New Roman" w:hAnsi="Times New Roman"/>
          <w:szCs w:val="24"/>
        </w:rPr>
        <w:t xml:space="preserve">  See table below for calculations.</w:t>
      </w:r>
    </w:p>
    <w:tbl>
      <w:tblPr>
        <w:tblW w:w="0" w:type="auto"/>
        <w:tblInd w:w="-550" w:type="dxa"/>
        <w:tblLook w:val="04A0" w:firstRow="1" w:lastRow="0" w:firstColumn="1" w:lastColumn="0" w:noHBand="0" w:noVBand="1"/>
      </w:tblPr>
      <w:tblGrid>
        <w:gridCol w:w="1331"/>
        <w:gridCol w:w="1973"/>
        <w:gridCol w:w="650"/>
        <w:gridCol w:w="1393"/>
        <w:gridCol w:w="1229"/>
        <w:gridCol w:w="1212"/>
        <w:gridCol w:w="1097"/>
        <w:gridCol w:w="1005"/>
      </w:tblGrid>
      <w:tr w:rsidR="00EC34AF" w:rsidTr="00AF3766" w14:paraId="09E64D52" w14:textId="77777777">
        <w:trPr>
          <w:trHeight w:val="1392"/>
        </w:trPr>
        <w:tc>
          <w:tcPr>
            <w:tcW w:w="0" w:type="auto"/>
            <w:tcBorders>
              <w:top w:val="single" w:color="auto" w:sz="4" w:space="0"/>
              <w:left w:val="single" w:color="auto" w:sz="8" w:space="0"/>
              <w:bottom w:val="nil"/>
              <w:right w:val="single" w:color="auto" w:sz="4" w:space="0"/>
            </w:tcBorders>
            <w:shd w:val="clear" w:color="auto" w:fill="auto"/>
            <w:vAlign w:val="center"/>
            <w:hideMark/>
          </w:tcPr>
          <w:p w:rsidR="00A419BA" w:rsidP="00AF3766" w:rsidRDefault="00A419BA" w14:paraId="68AEE419" w14:textId="77777777">
            <w:pPr>
              <w:widowControl/>
              <w:overflowPunct/>
              <w:autoSpaceDE/>
              <w:autoSpaceDN/>
              <w:adjustRightInd/>
              <w:jc w:val="center"/>
              <w:textAlignment w:val="auto"/>
              <w:rPr>
                <w:rFonts w:ascii="Calibri" w:hAnsi="Calibri" w:cs="Calibri"/>
                <w:b/>
                <w:bCs/>
                <w:color w:val="000000"/>
                <w:sz w:val="20"/>
              </w:rPr>
            </w:pPr>
            <w:r>
              <w:rPr>
                <w:rFonts w:ascii="Calibri" w:hAnsi="Calibri" w:cs="Calibri"/>
                <w:b/>
                <w:bCs/>
                <w:color w:val="000000"/>
                <w:sz w:val="20"/>
              </w:rPr>
              <w:t>Respondent Category</w:t>
            </w:r>
          </w:p>
        </w:tc>
        <w:tc>
          <w:tcPr>
            <w:tcW w:w="0" w:type="auto"/>
            <w:tcBorders>
              <w:top w:val="single" w:color="auto" w:sz="4" w:space="0"/>
              <w:left w:val="nil"/>
              <w:bottom w:val="nil"/>
              <w:right w:val="single" w:color="auto" w:sz="4" w:space="0"/>
            </w:tcBorders>
            <w:shd w:val="clear" w:color="auto" w:fill="auto"/>
            <w:vAlign w:val="center"/>
            <w:hideMark/>
          </w:tcPr>
          <w:p w:rsidR="00A419BA" w:rsidP="00AF3766" w:rsidRDefault="00A419BA" w14:paraId="18718B92" w14:textId="77777777">
            <w:pPr>
              <w:jc w:val="center"/>
              <w:rPr>
                <w:rFonts w:ascii="Calibri" w:hAnsi="Calibri" w:cs="Calibri"/>
                <w:b/>
                <w:bCs/>
                <w:color w:val="000000"/>
                <w:sz w:val="20"/>
              </w:rPr>
            </w:pPr>
            <w:r>
              <w:rPr>
                <w:rFonts w:ascii="Calibri" w:hAnsi="Calibri" w:cs="Calibri"/>
                <w:b/>
                <w:bCs/>
                <w:color w:val="000000"/>
                <w:sz w:val="20"/>
              </w:rPr>
              <w:t>Instruments</w:t>
            </w:r>
          </w:p>
        </w:tc>
        <w:tc>
          <w:tcPr>
            <w:tcW w:w="0" w:type="auto"/>
            <w:tcBorders>
              <w:top w:val="single" w:color="auto" w:sz="4" w:space="0"/>
              <w:left w:val="nil"/>
              <w:bottom w:val="nil"/>
              <w:right w:val="nil"/>
            </w:tcBorders>
            <w:shd w:val="clear" w:color="auto" w:fill="auto"/>
            <w:vAlign w:val="center"/>
            <w:hideMark/>
          </w:tcPr>
          <w:p w:rsidR="00A419BA" w:rsidP="00AF3766" w:rsidRDefault="00A419BA" w14:paraId="57041683" w14:textId="77777777">
            <w:pPr>
              <w:jc w:val="center"/>
              <w:rPr>
                <w:rFonts w:ascii="Calibri" w:hAnsi="Calibri" w:cs="Calibri"/>
                <w:b/>
                <w:bCs/>
                <w:color w:val="000000"/>
                <w:sz w:val="20"/>
              </w:rPr>
            </w:pPr>
            <w:r>
              <w:rPr>
                <w:rFonts w:ascii="Calibri" w:hAnsi="Calibri" w:cs="Calibri"/>
                <w:b/>
                <w:bCs/>
                <w:color w:val="000000"/>
                <w:sz w:val="20"/>
              </w:rPr>
              <w:t>Form</w:t>
            </w:r>
          </w:p>
        </w:tc>
        <w:tc>
          <w:tcPr>
            <w:tcW w:w="0" w:type="auto"/>
            <w:tcBorders>
              <w:top w:val="single" w:color="auto" w:sz="8" w:space="0"/>
              <w:left w:val="single" w:color="auto" w:sz="8" w:space="0"/>
              <w:bottom w:val="nil"/>
              <w:right w:val="single" w:color="auto" w:sz="4" w:space="0"/>
            </w:tcBorders>
            <w:shd w:val="clear" w:color="auto" w:fill="auto"/>
            <w:vAlign w:val="center"/>
            <w:hideMark/>
          </w:tcPr>
          <w:p w:rsidR="00A419BA" w:rsidP="00AF3766" w:rsidRDefault="00A419BA" w14:paraId="52E07B73" w14:textId="77777777">
            <w:pPr>
              <w:jc w:val="center"/>
              <w:rPr>
                <w:rFonts w:ascii="Calibri" w:hAnsi="Calibri" w:cs="Calibri"/>
                <w:b/>
                <w:bCs/>
                <w:color w:val="000000"/>
                <w:sz w:val="20"/>
              </w:rPr>
            </w:pPr>
            <w:r>
              <w:rPr>
                <w:rFonts w:ascii="Calibri" w:hAnsi="Calibri" w:cs="Calibri"/>
                <w:b/>
                <w:bCs/>
                <w:color w:val="000000"/>
                <w:sz w:val="20"/>
              </w:rPr>
              <w:t>Number of respondents</w:t>
            </w:r>
          </w:p>
        </w:tc>
        <w:tc>
          <w:tcPr>
            <w:tcW w:w="0" w:type="auto"/>
            <w:tcBorders>
              <w:top w:val="single" w:color="auto" w:sz="8" w:space="0"/>
              <w:left w:val="nil"/>
              <w:bottom w:val="nil"/>
              <w:right w:val="single" w:color="auto" w:sz="4" w:space="0"/>
            </w:tcBorders>
            <w:shd w:val="clear" w:color="auto" w:fill="auto"/>
            <w:vAlign w:val="center"/>
            <w:hideMark/>
          </w:tcPr>
          <w:p w:rsidR="00A419BA" w:rsidP="00AF3766" w:rsidRDefault="00A419BA" w14:paraId="08ECDF25" w14:textId="77777777">
            <w:pPr>
              <w:jc w:val="center"/>
              <w:rPr>
                <w:rFonts w:ascii="Calibri" w:hAnsi="Calibri" w:cs="Calibri"/>
                <w:b/>
                <w:bCs/>
                <w:color w:val="000000"/>
                <w:sz w:val="20"/>
              </w:rPr>
            </w:pPr>
            <w:r>
              <w:rPr>
                <w:rFonts w:ascii="Calibri" w:hAnsi="Calibri" w:cs="Calibri"/>
                <w:b/>
                <w:bCs/>
                <w:color w:val="000000"/>
                <w:sz w:val="20"/>
              </w:rPr>
              <w:t>Frequency of response</w:t>
            </w:r>
          </w:p>
        </w:tc>
        <w:tc>
          <w:tcPr>
            <w:tcW w:w="0" w:type="auto"/>
            <w:tcBorders>
              <w:top w:val="single" w:color="auto" w:sz="8" w:space="0"/>
              <w:left w:val="nil"/>
              <w:bottom w:val="nil"/>
              <w:right w:val="single" w:color="auto" w:sz="4" w:space="0"/>
            </w:tcBorders>
            <w:shd w:val="clear" w:color="auto" w:fill="auto"/>
            <w:vAlign w:val="center"/>
            <w:hideMark/>
          </w:tcPr>
          <w:p w:rsidR="00A419BA" w:rsidP="00AF3766" w:rsidRDefault="00A419BA" w14:paraId="0239454B" w14:textId="77777777">
            <w:pPr>
              <w:jc w:val="center"/>
              <w:rPr>
                <w:rFonts w:ascii="Calibri" w:hAnsi="Calibri" w:cs="Calibri"/>
                <w:b/>
                <w:bCs/>
                <w:color w:val="000000"/>
                <w:sz w:val="20"/>
              </w:rPr>
            </w:pPr>
            <w:r>
              <w:rPr>
                <w:rFonts w:ascii="Calibri" w:hAnsi="Calibri" w:cs="Calibri"/>
                <w:b/>
                <w:bCs/>
                <w:color w:val="000000"/>
                <w:sz w:val="20"/>
              </w:rPr>
              <w:t>Total Annual responses</w:t>
            </w:r>
          </w:p>
        </w:tc>
        <w:tc>
          <w:tcPr>
            <w:tcW w:w="0" w:type="auto"/>
            <w:tcBorders>
              <w:top w:val="single" w:color="auto" w:sz="8" w:space="0"/>
              <w:left w:val="nil"/>
              <w:bottom w:val="nil"/>
              <w:right w:val="single" w:color="auto" w:sz="4" w:space="0"/>
            </w:tcBorders>
            <w:shd w:val="clear" w:color="auto" w:fill="auto"/>
            <w:vAlign w:val="center"/>
            <w:hideMark/>
          </w:tcPr>
          <w:p w:rsidR="00A419BA" w:rsidP="00AF3766" w:rsidRDefault="00A419BA" w14:paraId="6A240039" w14:textId="77777777">
            <w:pPr>
              <w:jc w:val="center"/>
              <w:rPr>
                <w:rFonts w:ascii="Calibri" w:hAnsi="Calibri" w:cs="Calibri"/>
                <w:b/>
                <w:bCs/>
                <w:color w:val="000000"/>
                <w:sz w:val="20"/>
              </w:rPr>
            </w:pPr>
            <w:r>
              <w:rPr>
                <w:rFonts w:ascii="Calibri" w:hAnsi="Calibri" w:cs="Calibri"/>
                <w:b/>
                <w:bCs/>
                <w:color w:val="000000"/>
                <w:sz w:val="20"/>
              </w:rPr>
              <w:t>Hours per response</w:t>
            </w:r>
          </w:p>
        </w:tc>
        <w:tc>
          <w:tcPr>
            <w:tcW w:w="0" w:type="auto"/>
            <w:tcBorders>
              <w:top w:val="single" w:color="auto" w:sz="8" w:space="0"/>
              <w:left w:val="nil"/>
              <w:bottom w:val="nil"/>
              <w:right w:val="single" w:color="auto" w:sz="8" w:space="0"/>
            </w:tcBorders>
            <w:shd w:val="clear" w:color="auto" w:fill="auto"/>
            <w:vAlign w:val="center"/>
            <w:hideMark/>
          </w:tcPr>
          <w:p w:rsidR="00A419BA" w:rsidP="00AF3766" w:rsidRDefault="00A419BA" w14:paraId="02296A79" w14:textId="77777777">
            <w:pPr>
              <w:jc w:val="center"/>
              <w:rPr>
                <w:rFonts w:ascii="Calibri" w:hAnsi="Calibri" w:cs="Calibri"/>
                <w:b/>
                <w:bCs/>
                <w:color w:val="000000"/>
                <w:sz w:val="20"/>
              </w:rPr>
            </w:pPr>
            <w:r>
              <w:rPr>
                <w:rFonts w:ascii="Calibri" w:hAnsi="Calibri" w:cs="Calibri"/>
                <w:b/>
                <w:bCs/>
                <w:color w:val="000000"/>
                <w:sz w:val="20"/>
              </w:rPr>
              <w:t>Annual burden (hours)</w:t>
            </w:r>
          </w:p>
        </w:tc>
      </w:tr>
      <w:tr w:rsidR="00EC34AF" w:rsidTr="00AF3766" w14:paraId="06DFBB6B" w14:textId="77777777">
        <w:trPr>
          <w:trHeight w:val="600"/>
        </w:trPr>
        <w:tc>
          <w:tcPr>
            <w:tcW w:w="0" w:type="auto"/>
            <w:vMerge w:val="restart"/>
            <w:tcBorders>
              <w:top w:val="single" w:color="auto" w:sz="8" w:space="0"/>
              <w:left w:val="single" w:color="auto" w:sz="8" w:space="0"/>
              <w:right w:val="single" w:color="auto" w:sz="4" w:space="0"/>
            </w:tcBorders>
            <w:shd w:val="clear" w:color="auto" w:fill="auto"/>
            <w:vAlign w:val="center"/>
          </w:tcPr>
          <w:p w:rsidR="00A419BA" w:rsidP="00AF3766" w:rsidRDefault="00A419BA" w14:paraId="63310075" w14:textId="77777777">
            <w:pPr>
              <w:jc w:val="center"/>
              <w:rPr>
                <w:rFonts w:ascii="Calibri" w:hAnsi="Calibri" w:cs="Calibri"/>
                <w:color w:val="000000"/>
                <w:sz w:val="20"/>
              </w:rPr>
            </w:pPr>
            <w:r>
              <w:rPr>
                <w:rFonts w:ascii="Calibri" w:hAnsi="Calibri" w:cs="Calibri"/>
                <w:color w:val="000000"/>
                <w:sz w:val="20"/>
              </w:rPr>
              <w:t xml:space="preserve">State Agencies </w:t>
            </w:r>
          </w:p>
        </w:tc>
        <w:tc>
          <w:tcPr>
            <w:tcW w:w="0" w:type="auto"/>
            <w:tcBorders>
              <w:top w:val="single" w:color="auto" w:sz="8" w:space="0"/>
              <w:left w:val="nil"/>
              <w:bottom w:val="single" w:color="auto" w:sz="8" w:space="0"/>
              <w:right w:val="single" w:color="auto" w:sz="4" w:space="0"/>
            </w:tcBorders>
            <w:shd w:val="clear" w:color="auto" w:fill="auto"/>
            <w:vAlign w:val="center"/>
          </w:tcPr>
          <w:p w:rsidR="00A419BA" w:rsidP="00AF3766" w:rsidRDefault="00A419BA" w14:paraId="69EB65C7" w14:textId="77777777">
            <w:pPr>
              <w:jc w:val="center"/>
              <w:rPr>
                <w:rFonts w:ascii="Calibri" w:hAnsi="Calibri" w:cs="Calibri"/>
                <w:color w:val="000000"/>
                <w:sz w:val="20"/>
              </w:rPr>
            </w:pPr>
            <w:r w:rsidRPr="00C112A7">
              <w:rPr>
                <w:rFonts w:ascii="Calibri" w:hAnsi="Calibri" w:cs="Calibri"/>
                <w:color w:val="000000"/>
                <w:sz w:val="20"/>
              </w:rPr>
              <w:t>State Agency Opt-In</w:t>
            </w:r>
            <w:r>
              <w:rPr>
                <w:rFonts w:ascii="Calibri" w:hAnsi="Calibri" w:cs="Calibri"/>
                <w:color w:val="000000"/>
                <w:sz w:val="20"/>
              </w:rPr>
              <w:t xml:space="preserve"> Application</w:t>
            </w:r>
          </w:p>
        </w:tc>
        <w:tc>
          <w:tcPr>
            <w:tcW w:w="0" w:type="auto"/>
            <w:tcBorders>
              <w:top w:val="single" w:color="auto" w:sz="8" w:space="0"/>
              <w:left w:val="nil"/>
              <w:bottom w:val="single" w:color="auto" w:sz="8" w:space="0"/>
              <w:right w:val="nil"/>
            </w:tcBorders>
            <w:shd w:val="clear" w:color="auto" w:fill="auto"/>
            <w:vAlign w:val="center"/>
          </w:tcPr>
          <w:p w:rsidR="00A419BA" w:rsidP="00AF3766" w:rsidRDefault="00A419BA" w14:paraId="06AC79AF" w14:textId="77777777">
            <w:pPr>
              <w:jc w:val="center"/>
              <w:rPr>
                <w:rFonts w:ascii="Calibri" w:hAnsi="Calibri" w:cs="Calibri"/>
                <w:color w:val="000000"/>
                <w:sz w:val="20"/>
              </w:rPr>
            </w:pPr>
          </w:p>
        </w:tc>
        <w:tc>
          <w:tcPr>
            <w:tcW w:w="0" w:type="auto"/>
            <w:tcBorders>
              <w:top w:val="single" w:color="auto" w:sz="8" w:space="0"/>
              <w:left w:val="single" w:color="auto" w:sz="8" w:space="0"/>
              <w:bottom w:val="single" w:color="auto" w:sz="8" w:space="0"/>
              <w:right w:val="single" w:color="auto" w:sz="4" w:space="0"/>
            </w:tcBorders>
            <w:shd w:val="clear" w:color="auto" w:fill="auto"/>
            <w:vAlign w:val="center"/>
          </w:tcPr>
          <w:p w:rsidR="00A419BA" w:rsidP="00AF3766" w:rsidRDefault="00A419BA" w14:paraId="21C4E1C1" w14:textId="379E2073">
            <w:pPr>
              <w:jc w:val="center"/>
              <w:rPr>
                <w:rFonts w:ascii="Calibri" w:hAnsi="Calibri" w:cs="Calibri"/>
                <w:color w:val="000000"/>
                <w:sz w:val="20"/>
              </w:rPr>
            </w:pPr>
            <w:r>
              <w:rPr>
                <w:rFonts w:ascii="Calibri" w:hAnsi="Calibri" w:cs="Calibri"/>
                <w:color w:val="000000"/>
                <w:sz w:val="20"/>
              </w:rPr>
              <w:t>6</w:t>
            </w:r>
            <w:r w:rsidR="00EC34AF">
              <w:rPr>
                <w:rFonts w:ascii="Calibri" w:hAnsi="Calibri" w:cs="Calibri"/>
                <w:color w:val="000000"/>
                <w:sz w:val="20"/>
              </w:rPr>
              <w:t>9</w:t>
            </w:r>
          </w:p>
        </w:tc>
        <w:tc>
          <w:tcPr>
            <w:tcW w:w="0" w:type="auto"/>
            <w:tcBorders>
              <w:top w:val="single" w:color="auto" w:sz="8" w:space="0"/>
              <w:left w:val="nil"/>
              <w:bottom w:val="single" w:color="auto" w:sz="8" w:space="0"/>
              <w:right w:val="single" w:color="auto" w:sz="4" w:space="0"/>
            </w:tcBorders>
            <w:shd w:val="clear" w:color="auto" w:fill="auto"/>
            <w:vAlign w:val="center"/>
          </w:tcPr>
          <w:p w:rsidR="00A419BA" w:rsidP="00AF3766" w:rsidRDefault="00A419BA" w14:paraId="19155EEA" w14:textId="77777777">
            <w:pPr>
              <w:jc w:val="center"/>
              <w:rPr>
                <w:rFonts w:ascii="Calibri" w:hAnsi="Calibri" w:cs="Calibri"/>
                <w:color w:val="000000"/>
                <w:sz w:val="20"/>
              </w:rPr>
            </w:pPr>
            <w:r>
              <w:rPr>
                <w:rFonts w:ascii="Calibri" w:hAnsi="Calibri" w:cs="Calibri"/>
                <w:color w:val="000000"/>
                <w:sz w:val="20"/>
              </w:rPr>
              <w:t>1</w:t>
            </w:r>
          </w:p>
        </w:tc>
        <w:tc>
          <w:tcPr>
            <w:tcW w:w="0" w:type="auto"/>
            <w:tcBorders>
              <w:top w:val="single" w:color="auto" w:sz="8" w:space="0"/>
              <w:left w:val="nil"/>
              <w:bottom w:val="single" w:color="auto" w:sz="8" w:space="0"/>
              <w:right w:val="single" w:color="auto" w:sz="4" w:space="0"/>
            </w:tcBorders>
            <w:shd w:val="clear" w:color="auto" w:fill="auto"/>
            <w:vAlign w:val="center"/>
          </w:tcPr>
          <w:p w:rsidR="00A419BA" w:rsidP="00AF3766" w:rsidRDefault="00EC34AF" w14:paraId="63E6FA84" w14:textId="6B1F6099">
            <w:pPr>
              <w:jc w:val="center"/>
              <w:rPr>
                <w:rFonts w:ascii="Calibri" w:hAnsi="Calibri" w:cs="Calibri"/>
                <w:color w:val="000000"/>
                <w:sz w:val="20"/>
              </w:rPr>
            </w:pPr>
            <w:r>
              <w:rPr>
                <w:rFonts w:ascii="Calibri" w:hAnsi="Calibri" w:cs="Calibri"/>
                <w:color w:val="000000"/>
                <w:sz w:val="20"/>
              </w:rPr>
              <w:t>69</w:t>
            </w:r>
          </w:p>
        </w:tc>
        <w:tc>
          <w:tcPr>
            <w:tcW w:w="0" w:type="auto"/>
            <w:tcBorders>
              <w:top w:val="single" w:color="auto" w:sz="8" w:space="0"/>
              <w:left w:val="nil"/>
              <w:bottom w:val="single" w:color="auto" w:sz="8" w:space="0"/>
              <w:right w:val="single" w:color="auto" w:sz="4" w:space="0"/>
            </w:tcBorders>
            <w:shd w:val="clear" w:color="auto" w:fill="auto"/>
            <w:vAlign w:val="center"/>
          </w:tcPr>
          <w:p w:rsidR="00A419BA" w:rsidP="00AF3766" w:rsidRDefault="00A419BA" w14:paraId="2F258D0B" w14:textId="77777777">
            <w:pPr>
              <w:jc w:val="center"/>
              <w:rPr>
                <w:rFonts w:ascii="Calibri" w:hAnsi="Calibri" w:cs="Calibri"/>
                <w:color w:val="000000"/>
                <w:sz w:val="20"/>
              </w:rPr>
            </w:pPr>
            <w:r>
              <w:rPr>
                <w:rFonts w:ascii="Calibri" w:hAnsi="Calibri" w:cs="Calibri"/>
                <w:color w:val="000000"/>
                <w:sz w:val="20"/>
              </w:rPr>
              <w:t>1.5</w:t>
            </w:r>
          </w:p>
        </w:tc>
        <w:tc>
          <w:tcPr>
            <w:tcW w:w="0" w:type="auto"/>
            <w:tcBorders>
              <w:top w:val="single" w:color="auto" w:sz="8" w:space="0"/>
              <w:left w:val="nil"/>
              <w:bottom w:val="single" w:color="auto" w:sz="8" w:space="0"/>
              <w:right w:val="single" w:color="auto" w:sz="8" w:space="0"/>
            </w:tcBorders>
            <w:shd w:val="clear" w:color="auto" w:fill="auto"/>
            <w:vAlign w:val="center"/>
          </w:tcPr>
          <w:p w:rsidR="00A419BA" w:rsidP="00AF3766" w:rsidRDefault="00417D5F" w14:paraId="4EA0B8D6" w14:textId="35592A6A">
            <w:pPr>
              <w:jc w:val="center"/>
              <w:rPr>
                <w:rFonts w:ascii="Calibri" w:hAnsi="Calibri" w:cs="Calibri"/>
                <w:color w:val="000000"/>
                <w:sz w:val="20"/>
              </w:rPr>
            </w:pPr>
            <w:r>
              <w:rPr>
                <w:rFonts w:ascii="Calibri" w:hAnsi="Calibri" w:cs="Calibri"/>
                <w:color w:val="000000"/>
                <w:sz w:val="20"/>
              </w:rPr>
              <w:t>103</w:t>
            </w:r>
            <w:r w:rsidR="00A419BA">
              <w:rPr>
                <w:rFonts w:ascii="Calibri" w:hAnsi="Calibri" w:cs="Calibri"/>
                <w:color w:val="000000"/>
                <w:sz w:val="20"/>
              </w:rPr>
              <w:t>.5</w:t>
            </w:r>
          </w:p>
        </w:tc>
      </w:tr>
      <w:tr w:rsidR="00EC34AF" w:rsidTr="00AF3766" w14:paraId="39DCBB0E" w14:textId="77777777">
        <w:trPr>
          <w:trHeight w:val="600"/>
        </w:trPr>
        <w:tc>
          <w:tcPr>
            <w:tcW w:w="0" w:type="auto"/>
            <w:vMerge/>
            <w:tcBorders>
              <w:left w:val="single" w:color="auto" w:sz="8" w:space="0"/>
              <w:bottom w:val="single" w:color="auto" w:sz="8" w:space="0"/>
              <w:right w:val="single" w:color="auto" w:sz="4" w:space="0"/>
            </w:tcBorders>
            <w:shd w:val="clear" w:color="auto" w:fill="auto"/>
            <w:vAlign w:val="center"/>
          </w:tcPr>
          <w:p w:rsidR="00EC34AF" w:rsidP="00AF3766" w:rsidRDefault="00EC34AF" w14:paraId="184BC0DA" w14:textId="77777777">
            <w:pPr>
              <w:jc w:val="center"/>
              <w:rPr>
                <w:rFonts w:ascii="Calibri" w:hAnsi="Calibri" w:cs="Calibri"/>
                <w:color w:val="000000"/>
                <w:sz w:val="20"/>
              </w:rPr>
            </w:pPr>
          </w:p>
        </w:tc>
        <w:tc>
          <w:tcPr>
            <w:tcW w:w="0" w:type="auto"/>
            <w:tcBorders>
              <w:top w:val="single" w:color="auto" w:sz="8" w:space="0"/>
              <w:left w:val="nil"/>
              <w:bottom w:val="single" w:color="auto" w:sz="8" w:space="0"/>
              <w:right w:val="single" w:color="auto" w:sz="4" w:space="0"/>
            </w:tcBorders>
            <w:shd w:val="clear" w:color="auto" w:fill="auto"/>
            <w:vAlign w:val="center"/>
          </w:tcPr>
          <w:p w:rsidR="00EC34AF" w:rsidP="00AF3766" w:rsidRDefault="00EC34AF" w14:paraId="2D3223FE" w14:textId="7EA379F7">
            <w:pPr>
              <w:jc w:val="center"/>
              <w:rPr>
                <w:rFonts w:ascii="Calibri" w:hAnsi="Calibri" w:cs="Calibri"/>
                <w:color w:val="000000"/>
                <w:sz w:val="20"/>
              </w:rPr>
            </w:pPr>
            <w:r>
              <w:rPr>
                <w:rFonts w:ascii="Calibri" w:hAnsi="Calibri" w:cs="Calibri"/>
                <w:color w:val="000000"/>
                <w:sz w:val="20"/>
              </w:rPr>
              <w:t>State Agency Implementation Plan – CACFP</w:t>
            </w:r>
          </w:p>
        </w:tc>
        <w:tc>
          <w:tcPr>
            <w:tcW w:w="0" w:type="auto"/>
            <w:tcBorders>
              <w:top w:val="single" w:color="auto" w:sz="8" w:space="0"/>
              <w:left w:val="nil"/>
              <w:bottom w:val="single" w:color="auto" w:sz="8" w:space="0"/>
              <w:right w:val="nil"/>
            </w:tcBorders>
            <w:shd w:val="clear" w:color="auto" w:fill="auto"/>
            <w:vAlign w:val="center"/>
          </w:tcPr>
          <w:p w:rsidR="00EC34AF" w:rsidP="00AF3766" w:rsidRDefault="00EC34AF" w14:paraId="779B94F9" w14:textId="77777777">
            <w:pPr>
              <w:jc w:val="center"/>
              <w:rPr>
                <w:rFonts w:ascii="Calibri" w:hAnsi="Calibri" w:cs="Calibri"/>
                <w:color w:val="000000"/>
                <w:sz w:val="20"/>
              </w:rPr>
            </w:pPr>
          </w:p>
        </w:tc>
        <w:tc>
          <w:tcPr>
            <w:tcW w:w="0" w:type="auto"/>
            <w:tcBorders>
              <w:top w:val="single" w:color="auto" w:sz="8" w:space="0"/>
              <w:left w:val="single" w:color="auto" w:sz="8" w:space="0"/>
              <w:bottom w:val="single" w:color="auto" w:sz="8" w:space="0"/>
              <w:right w:val="single" w:color="auto" w:sz="4" w:space="0"/>
            </w:tcBorders>
            <w:shd w:val="clear" w:color="auto" w:fill="auto"/>
            <w:vAlign w:val="center"/>
          </w:tcPr>
          <w:p w:rsidR="00EC34AF" w:rsidP="00AF3766" w:rsidRDefault="00FA5360" w14:paraId="26AEFC29" w14:textId="6CC884FC">
            <w:pPr>
              <w:jc w:val="center"/>
              <w:rPr>
                <w:rFonts w:ascii="Calibri" w:hAnsi="Calibri" w:cs="Calibri"/>
                <w:color w:val="000000"/>
                <w:sz w:val="20"/>
              </w:rPr>
            </w:pPr>
            <w:r>
              <w:rPr>
                <w:rFonts w:ascii="Calibri" w:hAnsi="Calibri" w:cs="Calibri"/>
                <w:color w:val="000000"/>
                <w:sz w:val="20"/>
              </w:rPr>
              <w:t>69</w:t>
            </w:r>
          </w:p>
        </w:tc>
        <w:tc>
          <w:tcPr>
            <w:tcW w:w="0" w:type="auto"/>
            <w:tcBorders>
              <w:top w:val="single" w:color="auto" w:sz="8" w:space="0"/>
              <w:left w:val="nil"/>
              <w:bottom w:val="single" w:color="auto" w:sz="8" w:space="0"/>
              <w:right w:val="single" w:color="auto" w:sz="4" w:space="0"/>
            </w:tcBorders>
            <w:shd w:val="clear" w:color="auto" w:fill="auto"/>
            <w:vAlign w:val="center"/>
          </w:tcPr>
          <w:p w:rsidR="00EC34AF" w:rsidP="00AF3766" w:rsidRDefault="00EC34AF" w14:paraId="220C735C" w14:textId="575FF85B">
            <w:pPr>
              <w:jc w:val="center"/>
              <w:rPr>
                <w:rFonts w:ascii="Calibri" w:hAnsi="Calibri" w:cs="Calibri"/>
                <w:color w:val="000000"/>
                <w:sz w:val="20"/>
              </w:rPr>
            </w:pPr>
            <w:r>
              <w:rPr>
                <w:rFonts w:ascii="Calibri" w:hAnsi="Calibri" w:cs="Calibri"/>
                <w:color w:val="000000"/>
                <w:sz w:val="20"/>
              </w:rPr>
              <w:t>1</w:t>
            </w:r>
          </w:p>
        </w:tc>
        <w:tc>
          <w:tcPr>
            <w:tcW w:w="0" w:type="auto"/>
            <w:tcBorders>
              <w:top w:val="single" w:color="auto" w:sz="8" w:space="0"/>
              <w:left w:val="nil"/>
              <w:bottom w:val="single" w:color="auto" w:sz="8" w:space="0"/>
              <w:right w:val="single" w:color="auto" w:sz="4" w:space="0"/>
            </w:tcBorders>
            <w:shd w:val="clear" w:color="auto" w:fill="auto"/>
            <w:vAlign w:val="center"/>
          </w:tcPr>
          <w:p w:rsidR="00EC34AF" w:rsidP="00AF3766" w:rsidRDefault="00EC34AF" w14:paraId="52B24851" w14:textId="694BC409">
            <w:pPr>
              <w:jc w:val="center"/>
              <w:rPr>
                <w:rFonts w:ascii="Calibri" w:hAnsi="Calibri" w:cs="Calibri"/>
                <w:color w:val="000000"/>
                <w:sz w:val="20"/>
              </w:rPr>
            </w:pPr>
            <w:r>
              <w:rPr>
                <w:rFonts w:ascii="Calibri" w:hAnsi="Calibri" w:cs="Calibri"/>
                <w:color w:val="000000"/>
                <w:sz w:val="20"/>
              </w:rPr>
              <w:t>57</w:t>
            </w:r>
          </w:p>
        </w:tc>
        <w:tc>
          <w:tcPr>
            <w:tcW w:w="0" w:type="auto"/>
            <w:tcBorders>
              <w:top w:val="single" w:color="auto" w:sz="8" w:space="0"/>
              <w:left w:val="nil"/>
              <w:bottom w:val="single" w:color="auto" w:sz="8" w:space="0"/>
              <w:right w:val="single" w:color="auto" w:sz="4" w:space="0"/>
            </w:tcBorders>
            <w:shd w:val="clear" w:color="auto" w:fill="auto"/>
            <w:vAlign w:val="center"/>
          </w:tcPr>
          <w:p w:rsidR="00EC34AF" w:rsidP="00AF3766" w:rsidRDefault="00EC34AF" w14:paraId="1C8D3899" w14:textId="4420391D">
            <w:pPr>
              <w:jc w:val="center"/>
              <w:rPr>
                <w:rFonts w:ascii="Calibri" w:hAnsi="Calibri" w:cs="Calibri"/>
                <w:color w:val="000000"/>
                <w:sz w:val="20"/>
              </w:rPr>
            </w:pPr>
            <w:r>
              <w:rPr>
                <w:rFonts w:ascii="Calibri" w:hAnsi="Calibri" w:cs="Calibri"/>
                <w:color w:val="000000"/>
                <w:sz w:val="20"/>
              </w:rPr>
              <w:t>10</w:t>
            </w:r>
          </w:p>
        </w:tc>
        <w:tc>
          <w:tcPr>
            <w:tcW w:w="0" w:type="auto"/>
            <w:tcBorders>
              <w:top w:val="single" w:color="auto" w:sz="8" w:space="0"/>
              <w:left w:val="nil"/>
              <w:bottom w:val="single" w:color="auto" w:sz="8" w:space="0"/>
              <w:right w:val="single" w:color="auto" w:sz="8" w:space="0"/>
            </w:tcBorders>
            <w:shd w:val="clear" w:color="auto" w:fill="auto"/>
            <w:vAlign w:val="center"/>
          </w:tcPr>
          <w:p w:rsidR="00EC34AF" w:rsidP="00AF3766" w:rsidRDefault="00417D5F" w14:paraId="70C11202" w14:textId="3A90D289">
            <w:pPr>
              <w:jc w:val="center"/>
              <w:rPr>
                <w:rFonts w:ascii="Calibri" w:hAnsi="Calibri" w:cs="Calibri"/>
                <w:color w:val="000000"/>
                <w:sz w:val="20"/>
              </w:rPr>
            </w:pPr>
            <w:r>
              <w:rPr>
                <w:rFonts w:ascii="Calibri" w:hAnsi="Calibri" w:cs="Calibri"/>
                <w:color w:val="000000"/>
                <w:sz w:val="20"/>
              </w:rPr>
              <w:t>570</w:t>
            </w:r>
          </w:p>
        </w:tc>
      </w:tr>
      <w:tr w:rsidR="00EC34AF" w:rsidTr="00AF3766" w14:paraId="65123C9C" w14:textId="77777777">
        <w:trPr>
          <w:trHeight w:val="600"/>
        </w:trPr>
        <w:tc>
          <w:tcPr>
            <w:tcW w:w="0" w:type="auto"/>
            <w:vMerge/>
            <w:tcBorders>
              <w:left w:val="single" w:color="auto" w:sz="8" w:space="0"/>
              <w:bottom w:val="single" w:color="auto" w:sz="8" w:space="0"/>
              <w:right w:val="single" w:color="auto" w:sz="4" w:space="0"/>
            </w:tcBorders>
            <w:shd w:val="clear" w:color="auto" w:fill="auto"/>
            <w:vAlign w:val="center"/>
          </w:tcPr>
          <w:p w:rsidR="00A419BA" w:rsidP="00AF3766" w:rsidRDefault="00A419BA" w14:paraId="5025AAE6" w14:textId="77777777">
            <w:pPr>
              <w:jc w:val="center"/>
              <w:rPr>
                <w:rFonts w:ascii="Calibri" w:hAnsi="Calibri" w:cs="Calibri"/>
                <w:color w:val="000000"/>
                <w:sz w:val="20"/>
              </w:rPr>
            </w:pPr>
          </w:p>
        </w:tc>
        <w:tc>
          <w:tcPr>
            <w:tcW w:w="0" w:type="auto"/>
            <w:tcBorders>
              <w:top w:val="single" w:color="auto" w:sz="8" w:space="0"/>
              <w:left w:val="nil"/>
              <w:bottom w:val="single" w:color="auto" w:sz="8" w:space="0"/>
              <w:right w:val="single" w:color="auto" w:sz="4" w:space="0"/>
            </w:tcBorders>
            <w:shd w:val="clear" w:color="auto" w:fill="auto"/>
            <w:vAlign w:val="center"/>
          </w:tcPr>
          <w:p w:rsidR="00A419BA" w:rsidP="00AF3766" w:rsidRDefault="00A419BA" w14:paraId="501A07C7" w14:textId="1A113B86">
            <w:pPr>
              <w:jc w:val="center"/>
              <w:rPr>
                <w:rFonts w:ascii="Calibri" w:hAnsi="Calibri" w:cs="Calibri"/>
                <w:color w:val="000000"/>
                <w:sz w:val="20"/>
              </w:rPr>
            </w:pPr>
            <w:r>
              <w:rPr>
                <w:rFonts w:ascii="Calibri" w:hAnsi="Calibri" w:cs="Calibri"/>
                <w:color w:val="000000"/>
                <w:sz w:val="20"/>
              </w:rPr>
              <w:t>State Agency Implementation Plan</w:t>
            </w:r>
            <w:r w:rsidR="00EC34AF">
              <w:rPr>
                <w:rFonts w:ascii="Calibri" w:hAnsi="Calibri" w:cs="Calibri"/>
                <w:color w:val="000000"/>
                <w:sz w:val="20"/>
              </w:rPr>
              <w:t xml:space="preserve"> – School Programs</w:t>
            </w:r>
          </w:p>
        </w:tc>
        <w:tc>
          <w:tcPr>
            <w:tcW w:w="0" w:type="auto"/>
            <w:tcBorders>
              <w:top w:val="single" w:color="auto" w:sz="8" w:space="0"/>
              <w:left w:val="nil"/>
              <w:bottom w:val="single" w:color="auto" w:sz="8" w:space="0"/>
              <w:right w:val="nil"/>
            </w:tcBorders>
            <w:shd w:val="clear" w:color="auto" w:fill="auto"/>
            <w:vAlign w:val="center"/>
          </w:tcPr>
          <w:p w:rsidR="00A419BA" w:rsidP="00AF3766" w:rsidRDefault="00A419BA" w14:paraId="11A94F69" w14:textId="77777777">
            <w:pPr>
              <w:jc w:val="center"/>
              <w:rPr>
                <w:rFonts w:ascii="Calibri" w:hAnsi="Calibri" w:cs="Calibri"/>
                <w:color w:val="000000"/>
                <w:sz w:val="20"/>
              </w:rPr>
            </w:pPr>
          </w:p>
        </w:tc>
        <w:tc>
          <w:tcPr>
            <w:tcW w:w="0" w:type="auto"/>
            <w:tcBorders>
              <w:top w:val="single" w:color="auto" w:sz="8" w:space="0"/>
              <w:left w:val="single" w:color="auto" w:sz="8" w:space="0"/>
              <w:bottom w:val="single" w:color="auto" w:sz="8" w:space="0"/>
              <w:right w:val="single" w:color="auto" w:sz="4" w:space="0"/>
            </w:tcBorders>
            <w:shd w:val="clear" w:color="auto" w:fill="auto"/>
            <w:vAlign w:val="center"/>
          </w:tcPr>
          <w:p w:rsidR="00A419BA" w:rsidP="00AF3766" w:rsidRDefault="00FA5360" w14:paraId="27583B20" w14:textId="5F3EFF79">
            <w:pPr>
              <w:jc w:val="center"/>
              <w:rPr>
                <w:rFonts w:ascii="Calibri" w:hAnsi="Calibri" w:cs="Calibri"/>
                <w:color w:val="000000"/>
                <w:sz w:val="20"/>
              </w:rPr>
            </w:pPr>
            <w:r>
              <w:rPr>
                <w:rFonts w:ascii="Calibri" w:hAnsi="Calibri" w:cs="Calibri"/>
                <w:color w:val="000000"/>
                <w:sz w:val="20"/>
              </w:rPr>
              <w:t>69</w:t>
            </w:r>
          </w:p>
        </w:tc>
        <w:tc>
          <w:tcPr>
            <w:tcW w:w="0" w:type="auto"/>
            <w:tcBorders>
              <w:top w:val="single" w:color="auto" w:sz="8" w:space="0"/>
              <w:left w:val="nil"/>
              <w:bottom w:val="single" w:color="auto" w:sz="8" w:space="0"/>
              <w:right w:val="single" w:color="auto" w:sz="4" w:space="0"/>
            </w:tcBorders>
            <w:shd w:val="clear" w:color="auto" w:fill="auto"/>
            <w:vAlign w:val="center"/>
          </w:tcPr>
          <w:p w:rsidR="00A419BA" w:rsidP="00AF3766" w:rsidRDefault="00A419BA" w14:paraId="7EE0F524" w14:textId="77777777">
            <w:pPr>
              <w:jc w:val="center"/>
              <w:rPr>
                <w:rFonts w:ascii="Calibri" w:hAnsi="Calibri" w:cs="Calibri"/>
                <w:color w:val="000000"/>
                <w:sz w:val="20"/>
              </w:rPr>
            </w:pPr>
            <w:r>
              <w:rPr>
                <w:rFonts w:ascii="Calibri" w:hAnsi="Calibri" w:cs="Calibri"/>
                <w:color w:val="000000"/>
                <w:sz w:val="20"/>
              </w:rPr>
              <w:t>1</w:t>
            </w:r>
          </w:p>
        </w:tc>
        <w:tc>
          <w:tcPr>
            <w:tcW w:w="0" w:type="auto"/>
            <w:tcBorders>
              <w:top w:val="single" w:color="auto" w:sz="8" w:space="0"/>
              <w:left w:val="nil"/>
              <w:bottom w:val="single" w:color="auto" w:sz="8" w:space="0"/>
              <w:right w:val="single" w:color="auto" w:sz="4" w:space="0"/>
            </w:tcBorders>
            <w:shd w:val="clear" w:color="auto" w:fill="auto"/>
            <w:vAlign w:val="center"/>
          </w:tcPr>
          <w:p w:rsidR="00A419BA" w:rsidP="00AF3766" w:rsidRDefault="00EC34AF" w14:paraId="172960F7" w14:textId="5F90CADC">
            <w:pPr>
              <w:jc w:val="center"/>
              <w:rPr>
                <w:rFonts w:ascii="Calibri" w:hAnsi="Calibri" w:cs="Calibri"/>
                <w:color w:val="000000"/>
                <w:sz w:val="20"/>
              </w:rPr>
            </w:pPr>
            <w:r>
              <w:rPr>
                <w:rFonts w:ascii="Calibri" w:hAnsi="Calibri" w:cs="Calibri"/>
                <w:color w:val="000000"/>
                <w:sz w:val="20"/>
              </w:rPr>
              <w:t>56</w:t>
            </w:r>
          </w:p>
        </w:tc>
        <w:tc>
          <w:tcPr>
            <w:tcW w:w="0" w:type="auto"/>
            <w:tcBorders>
              <w:top w:val="single" w:color="auto" w:sz="8" w:space="0"/>
              <w:left w:val="nil"/>
              <w:bottom w:val="single" w:color="auto" w:sz="8" w:space="0"/>
              <w:right w:val="single" w:color="auto" w:sz="4" w:space="0"/>
            </w:tcBorders>
            <w:shd w:val="clear" w:color="auto" w:fill="auto"/>
            <w:vAlign w:val="center"/>
          </w:tcPr>
          <w:p w:rsidR="00A419BA" w:rsidP="00AF3766" w:rsidRDefault="00A419BA" w14:paraId="29799303" w14:textId="77777777">
            <w:pPr>
              <w:jc w:val="center"/>
              <w:rPr>
                <w:rFonts w:ascii="Calibri" w:hAnsi="Calibri" w:cs="Calibri"/>
                <w:color w:val="000000"/>
                <w:sz w:val="20"/>
              </w:rPr>
            </w:pPr>
            <w:r>
              <w:rPr>
                <w:rFonts w:ascii="Calibri" w:hAnsi="Calibri" w:cs="Calibri"/>
                <w:color w:val="000000"/>
                <w:sz w:val="20"/>
              </w:rPr>
              <w:t>10</w:t>
            </w:r>
          </w:p>
        </w:tc>
        <w:tc>
          <w:tcPr>
            <w:tcW w:w="0" w:type="auto"/>
            <w:tcBorders>
              <w:top w:val="single" w:color="auto" w:sz="8" w:space="0"/>
              <w:left w:val="nil"/>
              <w:bottom w:val="single" w:color="auto" w:sz="8" w:space="0"/>
              <w:right w:val="single" w:color="auto" w:sz="8" w:space="0"/>
            </w:tcBorders>
            <w:shd w:val="clear" w:color="auto" w:fill="auto"/>
            <w:vAlign w:val="center"/>
          </w:tcPr>
          <w:p w:rsidR="00A419BA" w:rsidP="00417D5F" w:rsidRDefault="00417D5F" w14:paraId="3809A52B" w14:textId="3A6025FD">
            <w:pPr>
              <w:jc w:val="center"/>
              <w:rPr>
                <w:rFonts w:ascii="Calibri" w:hAnsi="Calibri" w:cs="Calibri"/>
                <w:color w:val="000000"/>
                <w:sz w:val="20"/>
              </w:rPr>
            </w:pPr>
            <w:r>
              <w:rPr>
                <w:rFonts w:ascii="Calibri" w:hAnsi="Calibri" w:cs="Calibri"/>
                <w:color w:val="000000"/>
                <w:sz w:val="20"/>
              </w:rPr>
              <w:t>560</w:t>
            </w:r>
          </w:p>
        </w:tc>
      </w:tr>
      <w:tr w:rsidR="00EC34AF" w:rsidTr="00AF3766" w14:paraId="4F2FB45B" w14:textId="77777777">
        <w:trPr>
          <w:trHeight w:val="300"/>
        </w:trPr>
        <w:tc>
          <w:tcPr>
            <w:tcW w:w="0" w:type="auto"/>
            <w:tcBorders>
              <w:top w:val="nil"/>
              <w:left w:val="single" w:color="auto" w:sz="8" w:space="0"/>
              <w:bottom w:val="single" w:color="auto" w:sz="8" w:space="0"/>
              <w:right w:val="single" w:color="auto" w:sz="4" w:space="0"/>
            </w:tcBorders>
            <w:shd w:val="clear" w:color="auto" w:fill="auto"/>
            <w:vAlign w:val="center"/>
            <w:hideMark/>
          </w:tcPr>
          <w:p w:rsidRPr="00C112A7" w:rsidR="00A419BA" w:rsidP="00AF3766" w:rsidRDefault="00A419BA" w14:paraId="07AC0C49" w14:textId="77777777">
            <w:pPr>
              <w:jc w:val="center"/>
              <w:rPr>
                <w:rFonts w:ascii="Calibri" w:hAnsi="Calibri" w:cs="Calibri"/>
                <w:b/>
                <w:color w:val="000000"/>
                <w:sz w:val="20"/>
              </w:rPr>
            </w:pPr>
            <w:r w:rsidRPr="00C112A7">
              <w:rPr>
                <w:rFonts w:ascii="Calibri" w:hAnsi="Calibri" w:cs="Calibri"/>
                <w:b/>
                <w:color w:val="000000"/>
                <w:sz w:val="20"/>
              </w:rPr>
              <w:t>Grand Total</w:t>
            </w:r>
          </w:p>
        </w:tc>
        <w:tc>
          <w:tcPr>
            <w:tcW w:w="0" w:type="auto"/>
            <w:tcBorders>
              <w:top w:val="nil"/>
              <w:left w:val="nil"/>
              <w:bottom w:val="single" w:color="auto" w:sz="8" w:space="0"/>
              <w:right w:val="single" w:color="auto" w:sz="4" w:space="0"/>
            </w:tcBorders>
            <w:shd w:val="clear" w:color="000000" w:fill="D9D9D9"/>
            <w:vAlign w:val="center"/>
            <w:hideMark/>
          </w:tcPr>
          <w:p w:rsidR="00A419BA" w:rsidP="00AF3766" w:rsidRDefault="00A419BA" w14:paraId="6E5FF74D" w14:textId="77777777">
            <w:pPr>
              <w:jc w:val="center"/>
              <w:rPr>
                <w:rFonts w:ascii="Calibri" w:hAnsi="Calibri" w:cs="Calibri"/>
                <w:color w:val="000000"/>
                <w:sz w:val="20"/>
              </w:rPr>
            </w:pPr>
            <w:r>
              <w:rPr>
                <w:rFonts w:ascii="Calibri" w:hAnsi="Calibri" w:cs="Calibri"/>
                <w:color w:val="000000"/>
                <w:sz w:val="20"/>
              </w:rPr>
              <w:t> </w:t>
            </w:r>
          </w:p>
        </w:tc>
        <w:tc>
          <w:tcPr>
            <w:tcW w:w="0" w:type="auto"/>
            <w:tcBorders>
              <w:top w:val="nil"/>
              <w:left w:val="nil"/>
              <w:bottom w:val="single" w:color="auto" w:sz="8" w:space="0"/>
              <w:right w:val="nil"/>
            </w:tcBorders>
            <w:shd w:val="clear" w:color="000000" w:fill="D9D9D9"/>
            <w:vAlign w:val="center"/>
            <w:hideMark/>
          </w:tcPr>
          <w:p w:rsidR="00A419BA" w:rsidP="00AF3766" w:rsidRDefault="00A419BA" w14:paraId="729F3A4F" w14:textId="77777777">
            <w:pPr>
              <w:jc w:val="center"/>
              <w:rPr>
                <w:rFonts w:ascii="Calibri" w:hAnsi="Calibri" w:cs="Calibri"/>
                <w:color w:val="000000"/>
                <w:sz w:val="20"/>
              </w:rPr>
            </w:pPr>
            <w:r>
              <w:rPr>
                <w:rFonts w:ascii="Calibri" w:hAnsi="Calibri" w:cs="Calibri"/>
                <w:color w:val="000000"/>
                <w:sz w:val="20"/>
              </w:rPr>
              <w:t> </w:t>
            </w:r>
          </w:p>
        </w:tc>
        <w:tc>
          <w:tcPr>
            <w:tcW w:w="0" w:type="auto"/>
            <w:tcBorders>
              <w:top w:val="nil"/>
              <w:left w:val="single" w:color="auto" w:sz="8" w:space="0"/>
              <w:bottom w:val="single" w:color="auto" w:sz="8" w:space="0"/>
              <w:right w:val="single" w:color="auto" w:sz="4" w:space="0"/>
            </w:tcBorders>
            <w:shd w:val="clear" w:color="auto" w:fill="auto"/>
            <w:vAlign w:val="center"/>
            <w:hideMark/>
          </w:tcPr>
          <w:p w:rsidR="00A419BA" w:rsidP="00AF3766" w:rsidRDefault="00FA5360" w14:paraId="618CD3EB" w14:textId="1687FA14">
            <w:pPr>
              <w:jc w:val="center"/>
              <w:rPr>
                <w:rFonts w:ascii="Calibri" w:hAnsi="Calibri" w:cs="Calibri"/>
                <w:color w:val="000000"/>
                <w:sz w:val="20"/>
              </w:rPr>
            </w:pPr>
            <w:r>
              <w:rPr>
                <w:rFonts w:ascii="Calibri" w:hAnsi="Calibri" w:cs="Calibri"/>
                <w:color w:val="000000"/>
                <w:sz w:val="20"/>
              </w:rPr>
              <w:t>69</w:t>
            </w:r>
          </w:p>
        </w:tc>
        <w:tc>
          <w:tcPr>
            <w:tcW w:w="0" w:type="auto"/>
            <w:tcBorders>
              <w:top w:val="nil"/>
              <w:left w:val="nil"/>
              <w:bottom w:val="single" w:color="auto" w:sz="8" w:space="0"/>
              <w:right w:val="single" w:color="auto" w:sz="4" w:space="0"/>
            </w:tcBorders>
            <w:shd w:val="clear" w:color="auto" w:fill="auto"/>
            <w:vAlign w:val="center"/>
            <w:hideMark/>
          </w:tcPr>
          <w:p w:rsidR="00A419BA" w:rsidP="00AF3766" w:rsidRDefault="00EC34AF" w14:paraId="72AADBE0" w14:textId="4967EBDA">
            <w:pPr>
              <w:jc w:val="center"/>
              <w:rPr>
                <w:rFonts w:ascii="Calibri" w:hAnsi="Calibri" w:cs="Calibri"/>
                <w:color w:val="000000"/>
                <w:sz w:val="20"/>
              </w:rPr>
            </w:pPr>
            <w:r>
              <w:rPr>
                <w:rFonts w:ascii="Calibri" w:hAnsi="Calibri" w:cs="Calibri"/>
                <w:color w:val="000000"/>
                <w:sz w:val="20"/>
              </w:rPr>
              <w:t>1</w:t>
            </w:r>
          </w:p>
        </w:tc>
        <w:tc>
          <w:tcPr>
            <w:tcW w:w="0" w:type="auto"/>
            <w:tcBorders>
              <w:top w:val="single" w:color="auto" w:sz="8" w:space="0"/>
              <w:left w:val="nil"/>
              <w:bottom w:val="single" w:color="auto" w:sz="8" w:space="0"/>
              <w:right w:val="single" w:color="auto" w:sz="4" w:space="0"/>
            </w:tcBorders>
            <w:shd w:val="clear" w:color="auto" w:fill="auto"/>
            <w:vAlign w:val="center"/>
            <w:hideMark/>
          </w:tcPr>
          <w:p w:rsidR="00A419BA" w:rsidP="00AF3766" w:rsidRDefault="00EC34AF" w14:paraId="1FC203BB" w14:textId="2E59873E">
            <w:pPr>
              <w:jc w:val="center"/>
              <w:rPr>
                <w:rFonts w:ascii="Calibri" w:hAnsi="Calibri" w:cs="Calibri"/>
                <w:color w:val="000000"/>
                <w:sz w:val="20"/>
              </w:rPr>
            </w:pPr>
            <w:r>
              <w:rPr>
                <w:rFonts w:ascii="Calibri" w:hAnsi="Calibri" w:cs="Calibri"/>
                <w:color w:val="000000"/>
                <w:sz w:val="20"/>
              </w:rPr>
              <w:t>182</w:t>
            </w:r>
          </w:p>
        </w:tc>
        <w:tc>
          <w:tcPr>
            <w:tcW w:w="0" w:type="auto"/>
            <w:tcBorders>
              <w:top w:val="nil"/>
              <w:left w:val="nil"/>
              <w:bottom w:val="single" w:color="auto" w:sz="8" w:space="0"/>
              <w:right w:val="single" w:color="auto" w:sz="4" w:space="0"/>
            </w:tcBorders>
            <w:shd w:val="clear" w:color="auto" w:fill="auto"/>
            <w:vAlign w:val="center"/>
            <w:hideMark/>
          </w:tcPr>
          <w:p w:rsidR="00A419BA" w:rsidP="00AF3766" w:rsidRDefault="00417D5F" w14:paraId="7115F160" w14:textId="11B77A21">
            <w:pPr>
              <w:jc w:val="center"/>
              <w:rPr>
                <w:rFonts w:ascii="Calibri" w:hAnsi="Calibri" w:cs="Calibri"/>
                <w:color w:val="000000"/>
                <w:sz w:val="20"/>
              </w:rPr>
            </w:pPr>
            <w:r>
              <w:rPr>
                <w:rFonts w:ascii="Calibri" w:hAnsi="Calibri" w:cs="Calibri"/>
                <w:color w:val="000000"/>
                <w:sz w:val="20"/>
              </w:rPr>
              <w:t>7.167</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00A419BA" w:rsidP="00AF3766" w:rsidRDefault="00417D5F" w14:paraId="71D9E4E9" w14:textId="5EA6E08F">
            <w:pPr>
              <w:jc w:val="center"/>
              <w:rPr>
                <w:rFonts w:ascii="Calibri" w:hAnsi="Calibri" w:cs="Calibri"/>
                <w:color w:val="000000"/>
                <w:sz w:val="20"/>
              </w:rPr>
            </w:pPr>
            <w:r>
              <w:rPr>
                <w:rFonts w:ascii="Calibri" w:hAnsi="Calibri" w:cs="Calibri"/>
                <w:color w:val="000000"/>
                <w:sz w:val="20"/>
              </w:rPr>
              <w:t>1,234</w:t>
            </w:r>
          </w:p>
        </w:tc>
      </w:tr>
    </w:tbl>
    <w:p w:rsidRPr="002568E6" w:rsidR="00ED28F2" w:rsidP="00ED28F2" w:rsidRDefault="00ED28F2" w14:paraId="7B2A095E" w14:textId="787610DB">
      <w:pPr>
        <w:tabs>
          <w:tab w:val="left" w:pos="-720"/>
        </w:tabs>
        <w:suppressAutoHyphens/>
        <w:spacing w:line="480" w:lineRule="auto"/>
        <w:rPr>
          <w:rFonts w:ascii="Times New Roman" w:hAnsi="Times New Roman"/>
          <w:szCs w:val="24"/>
        </w:rPr>
      </w:pPr>
      <w:bookmarkStart w:name="_GoBack" w:id="27"/>
      <w:bookmarkEnd w:id="27"/>
    </w:p>
    <w:p w:rsidRPr="002568E6" w:rsidR="0062567E" w:rsidP="000438E8" w:rsidRDefault="00FD71D3" w14:paraId="7B2A095F"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EF0FAC" w:rsidP="00EF0FAC" w:rsidRDefault="00EF0FAC" w14:paraId="57276C2D" w14:textId="77777777">
      <w:pPr>
        <w:widowControl/>
        <w:tabs>
          <w:tab w:val="left" w:pos="-720"/>
          <w:tab w:val="left" w:pos="720"/>
        </w:tabs>
        <w:suppressAutoHyphens/>
        <w:overflowPunct/>
        <w:autoSpaceDE/>
        <w:autoSpaceDN/>
        <w:adjustRightInd/>
        <w:spacing w:line="360" w:lineRule="auto"/>
        <w:textAlignment w:val="auto"/>
        <w:rPr>
          <w:rFonts w:ascii="Times New Roman" w:hAnsi="Times New Roman"/>
          <w:b/>
          <w:szCs w:val="24"/>
        </w:rPr>
      </w:pPr>
    </w:p>
    <w:p w:rsidRPr="00EF0FAC" w:rsidR="00EF0FAC" w:rsidP="00A244A9" w:rsidRDefault="0052671A" w14:paraId="205BADC4" w14:textId="5443DE24">
      <w:pPr>
        <w:widowControl/>
        <w:tabs>
          <w:tab w:val="left" w:pos="-720"/>
          <w:tab w:val="left" w:pos="720"/>
        </w:tabs>
        <w:suppressAutoHyphens/>
        <w:overflowPunct/>
        <w:autoSpaceDE/>
        <w:autoSpaceDN/>
        <w:adjustRightInd/>
        <w:spacing w:line="480" w:lineRule="auto"/>
        <w:textAlignment w:val="auto"/>
        <w:rPr>
          <w:rFonts w:ascii="Times New Roman" w:hAnsi="Times New Roman"/>
          <w:spacing w:val="-3"/>
        </w:rPr>
      </w:pPr>
      <w:r>
        <w:rPr>
          <w:rFonts w:ascii="Times New Roman" w:hAnsi="Times New Roman"/>
          <w:spacing w:val="-3"/>
        </w:rPr>
        <w:t>Child Nutriton</w:t>
      </w:r>
      <w:r w:rsidRPr="00EF0FAC" w:rsidR="00EF0FAC">
        <w:rPr>
          <w:rFonts w:ascii="Times New Roman" w:hAnsi="Times New Roman"/>
          <w:spacing w:val="-3"/>
        </w:rPr>
        <w:t xml:space="preserve"> information collection requirements described herein are imposed primarily on State agency</w:t>
      </w:r>
      <w:r>
        <w:rPr>
          <w:rFonts w:ascii="Times New Roman" w:hAnsi="Times New Roman"/>
          <w:spacing w:val="-3"/>
        </w:rPr>
        <w:t xml:space="preserve"> staff</w:t>
      </w:r>
      <w:r w:rsidRPr="00EF0FAC" w:rsidR="00EF0FAC">
        <w:rPr>
          <w:rFonts w:ascii="Times New Roman" w:hAnsi="Times New Roman"/>
          <w:spacing w:val="-3"/>
        </w:rPr>
        <w:t>.  Standard wage rate categories used in determining annualized burden costs were based on the most recent Bureau of Labor Statistics (BLS) Occupational Employment and Wages Statisti</w:t>
      </w:r>
      <w:r w:rsidR="00EF0FAC">
        <w:rPr>
          <w:rFonts w:ascii="Times New Roman" w:hAnsi="Times New Roman"/>
          <w:spacing w:val="-3"/>
        </w:rPr>
        <w:t>cs data from May 201</w:t>
      </w:r>
      <w:r w:rsidR="00653993">
        <w:rPr>
          <w:rFonts w:ascii="Times New Roman" w:hAnsi="Times New Roman"/>
          <w:spacing w:val="-3"/>
        </w:rPr>
        <w:t>9</w:t>
      </w:r>
      <w:r w:rsidRPr="00EF0FAC" w:rsidR="00EF0FAC">
        <w:rPr>
          <w:rFonts w:ascii="Times New Roman" w:hAnsi="Times New Roman"/>
          <w:spacing w:val="-3"/>
        </w:rPr>
        <w:t>, using the corresponding occupation code</w:t>
      </w:r>
      <w:r w:rsidR="00262485">
        <w:rPr>
          <w:rFonts w:ascii="Times New Roman" w:hAnsi="Times New Roman"/>
          <w:spacing w:val="-3"/>
        </w:rPr>
        <w:t xml:space="preserve"> 11-9151, Social and </w:t>
      </w:r>
      <w:r w:rsidR="00262485">
        <w:rPr>
          <w:rFonts w:ascii="Times New Roman" w:hAnsi="Times New Roman"/>
          <w:spacing w:val="-3"/>
        </w:rPr>
        <w:lastRenderedPageBreak/>
        <w:t>Community Services Managers</w:t>
      </w:r>
      <w:r w:rsidR="00262485">
        <w:rPr>
          <w:rStyle w:val="FootnoteReference"/>
          <w:rFonts w:ascii="Times New Roman" w:hAnsi="Times New Roman"/>
          <w:spacing w:val="-3"/>
        </w:rPr>
        <w:footnoteReference w:id="1"/>
      </w:r>
      <w:r w:rsidR="00262485">
        <w:rPr>
          <w:rFonts w:ascii="Times New Roman" w:hAnsi="Times New Roman"/>
          <w:spacing w:val="-3"/>
        </w:rPr>
        <w:t xml:space="preserve">. </w:t>
      </w:r>
      <w:r w:rsidRPr="00EF0FAC" w:rsidR="00EF0FAC">
        <w:rPr>
          <w:rFonts w:ascii="Times New Roman" w:hAnsi="Times New Roman"/>
          <w:spacing w:val="-3"/>
        </w:rPr>
        <w:t xml:space="preserve"> According to the most recent BLS data, workers in this occupation earn a me</w:t>
      </w:r>
      <w:r w:rsidR="00653993">
        <w:rPr>
          <w:rFonts w:ascii="Times New Roman" w:hAnsi="Times New Roman"/>
          <w:spacing w:val="-3"/>
        </w:rPr>
        <w:t>an</w:t>
      </w:r>
      <w:r w:rsidRPr="00EF0FAC" w:rsidR="00EF0FAC">
        <w:rPr>
          <w:rFonts w:ascii="Times New Roman" w:hAnsi="Times New Roman"/>
          <w:spacing w:val="-3"/>
        </w:rPr>
        <w:t xml:space="preserve">wage rate of </w:t>
      </w:r>
      <w:r w:rsidR="00262485">
        <w:rPr>
          <w:rFonts w:ascii="Times New Roman" w:hAnsi="Times New Roman"/>
          <w:spacing w:val="-3"/>
        </w:rPr>
        <w:t xml:space="preserve"> $</w:t>
      </w:r>
      <w:r>
        <w:rPr>
          <w:rFonts w:ascii="Times New Roman" w:hAnsi="Times New Roman"/>
          <w:spacing w:val="-3"/>
        </w:rPr>
        <w:t>35.92</w:t>
      </w:r>
      <w:r w:rsidR="00262485">
        <w:rPr>
          <w:rFonts w:ascii="Times New Roman" w:hAnsi="Times New Roman"/>
          <w:spacing w:val="-3"/>
        </w:rPr>
        <w:t xml:space="preserve"> per hour</w:t>
      </w:r>
      <w:r w:rsidRPr="00EF0FAC" w:rsidR="00EF0FAC">
        <w:rPr>
          <w:rFonts w:ascii="Times New Roman" w:hAnsi="Times New Roman"/>
          <w:spacing w:val="-3"/>
        </w:rPr>
        <w:t>.</w:t>
      </w:r>
      <w:r w:rsidRPr="00EF0FAC" w:rsidR="00EF0FAC">
        <w:rPr>
          <w:rFonts w:ascii="Times New Roman" w:hAnsi="Times New Roman"/>
          <w:bCs/>
          <w:spacing w:val="-3"/>
        </w:rPr>
        <w:t xml:space="preserve">  </w:t>
      </w:r>
      <w:r w:rsidR="00980F44">
        <w:rPr>
          <w:rFonts w:ascii="Times New Roman" w:hAnsi="Times New Roman"/>
          <w:bCs/>
          <w:spacing w:val="-3"/>
        </w:rPr>
        <w:t>When this wage is fully loaded (wage + wage*.33) S</w:t>
      </w:r>
      <w:r w:rsidRPr="00EF0FAC" w:rsidR="00980F44">
        <w:rPr>
          <w:rFonts w:ascii="Times New Roman" w:hAnsi="Times New Roman"/>
          <w:bCs/>
          <w:spacing w:val="-3"/>
        </w:rPr>
        <w:t xml:space="preserve">tates would incur an annualized administrative cost of </w:t>
      </w:r>
      <w:r w:rsidR="00980F44">
        <w:rPr>
          <w:rFonts w:ascii="Times New Roman" w:hAnsi="Times New Roman"/>
          <w:bCs/>
          <w:spacing w:val="-3"/>
        </w:rPr>
        <w:t xml:space="preserve">$47.77 </w:t>
      </w:r>
      <w:r w:rsidRPr="00EF0FAC" w:rsidR="00980F44">
        <w:rPr>
          <w:rFonts w:ascii="Times New Roman" w:hAnsi="Times New Roman"/>
          <w:bCs/>
          <w:spacing w:val="-3"/>
        </w:rPr>
        <w:t xml:space="preserve">per hour burden in the information collection. </w:t>
      </w:r>
      <w:r w:rsidR="00980F44">
        <w:rPr>
          <w:rFonts w:ascii="Times New Roman" w:hAnsi="Times New Roman"/>
          <w:bCs/>
          <w:spacing w:val="-3"/>
        </w:rPr>
        <w:t>$47.77 * 1,234 burden hours equals $58,924.30 cost to respondent.</w:t>
      </w:r>
    </w:p>
    <w:p w:rsidRPr="00EF0FAC" w:rsidR="00EF0FAC" w:rsidP="00A244A9" w:rsidRDefault="00EF0FAC" w14:paraId="7825FE2F" w14:textId="77777777">
      <w:pPr>
        <w:widowControl/>
        <w:tabs>
          <w:tab w:val="left" w:pos="-720"/>
          <w:tab w:val="left" w:pos="720"/>
        </w:tabs>
        <w:suppressAutoHyphens/>
        <w:overflowPunct/>
        <w:autoSpaceDE/>
        <w:autoSpaceDN/>
        <w:adjustRightInd/>
        <w:spacing w:after="240" w:line="480" w:lineRule="auto"/>
        <w:ind w:left="360"/>
        <w:textAlignment w:val="auto"/>
        <w:rPr>
          <w:rFonts w:ascii="Times New Roman" w:hAnsi="Times New Roman"/>
          <w:spacing w:val="-3"/>
        </w:rPr>
      </w:pPr>
      <w:r w:rsidRPr="00EF0FAC">
        <w:rPr>
          <w:rFonts w:ascii="Times New Roman" w:hAnsi="Times New Roman"/>
          <w:spacing w:val="-3"/>
        </w:rPr>
        <w:tab/>
        <w:t xml:space="preserve">A summary of annualized costs for the collection is shown in the table below.  </w:t>
      </w:r>
      <w:r w:rsidRPr="00457267">
        <w:rPr>
          <w:rFonts w:ascii="Times New Roman" w:hAnsi="Times New Roman"/>
          <w:spacing w:val="-3"/>
        </w:rPr>
        <w:t>A detailed calculation is included in the Burden Table (Appendix A).</w:t>
      </w:r>
    </w:p>
    <w:tbl>
      <w:tblPr>
        <w:tblStyle w:val="TableGrid"/>
        <w:tblW w:w="0" w:type="auto"/>
        <w:tblInd w:w="720" w:type="dxa"/>
        <w:tblLook w:val="04A0" w:firstRow="1" w:lastRow="0" w:firstColumn="1" w:lastColumn="0" w:noHBand="0" w:noVBand="1"/>
      </w:tblPr>
      <w:tblGrid>
        <w:gridCol w:w="3168"/>
        <w:gridCol w:w="4140"/>
      </w:tblGrid>
      <w:tr w:rsidRPr="00EF0FAC" w:rsidR="00EF0FAC" w:rsidTr="00EF0FAC" w14:paraId="661907F3" w14:textId="77777777">
        <w:tc>
          <w:tcPr>
            <w:tcW w:w="3168" w:type="dxa"/>
            <w:tcBorders>
              <w:top w:val="single" w:color="000000" w:sz="4" w:space="0"/>
              <w:left w:val="single" w:color="000000" w:sz="4" w:space="0"/>
              <w:bottom w:val="single" w:color="000000" w:sz="4" w:space="0"/>
              <w:right w:val="single" w:color="000000" w:sz="4" w:space="0"/>
            </w:tcBorders>
            <w:hideMark/>
          </w:tcPr>
          <w:p w:rsidRPr="00EF0FAC" w:rsidR="00EF0FAC" w:rsidP="00EF0FAC" w:rsidRDefault="00EF0FAC" w14:paraId="649543F0" w14:textId="77777777">
            <w:pPr>
              <w:widowControl/>
              <w:tabs>
                <w:tab w:val="left" w:pos="-720"/>
              </w:tabs>
              <w:suppressAutoHyphens/>
              <w:overflowPunct/>
              <w:autoSpaceDE/>
              <w:autoSpaceDN/>
              <w:adjustRightInd/>
              <w:jc w:val="center"/>
              <w:textAlignment w:val="auto"/>
              <w:rPr>
                <w:rFonts w:ascii="Times New Roman" w:hAnsi="Times New Roman"/>
                <w:b/>
                <w:spacing w:val="-3"/>
              </w:rPr>
            </w:pPr>
            <w:r w:rsidRPr="00EF0FAC">
              <w:rPr>
                <w:rFonts w:ascii="Times New Roman" w:hAnsi="Times New Roman"/>
                <w:b/>
                <w:spacing w:val="-3"/>
              </w:rPr>
              <w:t>Respondent</w:t>
            </w:r>
          </w:p>
        </w:tc>
        <w:tc>
          <w:tcPr>
            <w:tcW w:w="4140" w:type="dxa"/>
            <w:tcBorders>
              <w:top w:val="single" w:color="000000" w:sz="4" w:space="0"/>
              <w:left w:val="single" w:color="000000" w:sz="4" w:space="0"/>
              <w:bottom w:val="single" w:color="000000" w:sz="4" w:space="0"/>
              <w:right w:val="single" w:color="000000" w:sz="4" w:space="0"/>
            </w:tcBorders>
            <w:hideMark/>
          </w:tcPr>
          <w:p w:rsidRPr="00EF0FAC" w:rsidR="00EF0FAC" w:rsidP="00EF0FAC" w:rsidRDefault="00EF0FAC" w14:paraId="4D5C398F" w14:textId="1C78C456">
            <w:pPr>
              <w:widowControl/>
              <w:tabs>
                <w:tab w:val="left" w:pos="-720"/>
              </w:tabs>
              <w:suppressAutoHyphens/>
              <w:overflowPunct/>
              <w:autoSpaceDE/>
              <w:autoSpaceDN/>
              <w:adjustRightInd/>
              <w:jc w:val="center"/>
              <w:textAlignment w:val="auto"/>
              <w:rPr>
                <w:rFonts w:ascii="Times New Roman" w:hAnsi="Times New Roman"/>
                <w:b/>
                <w:spacing w:val="-3"/>
              </w:rPr>
            </w:pPr>
            <w:r w:rsidRPr="00EF0FAC">
              <w:rPr>
                <w:rFonts w:ascii="Times New Roman" w:hAnsi="Times New Roman"/>
                <w:b/>
                <w:spacing w:val="-3"/>
              </w:rPr>
              <w:t>Cost</w:t>
            </w:r>
          </w:p>
        </w:tc>
      </w:tr>
      <w:tr w:rsidRPr="00EF0FAC" w:rsidR="00EF0FAC" w:rsidTr="00EF0FAC" w14:paraId="1810A9C3" w14:textId="77777777">
        <w:tc>
          <w:tcPr>
            <w:tcW w:w="3168" w:type="dxa"/>
            <w:tcBorders>
              <w:top w:val="single" w:color="000000" w:sz="4" w:space="0"/>
              <w:left w:val="single" w:color="000000" w:sz="4" w:space="0"/>
              <w:bottom w:val="single" w:color="000000" w:sz="4" w:space="0"/>
              <w:right w:val="single" w:color="000000" w:sz="4" w:space="0"/>
            </w:tcBorders>
            <w:hideMark/>
          </w:tcPr>
          <w:p w:rsidRPr="00EF0FAC" w:rsidR="00EF0FAC" w:rsidP="00EF0FAC" w:rsidRDefault="00EF0FAC" w14:paraId="6952EFC8" w14:textId="63548A62">
            <w:pPr>
              <w:widowControl/>
              <w:tabs>
                <w:tab w:val="left" w:pos="-720"/>
              </w:tabs>
              <w:suppressAutoHyphens/>
              <w:overflowPunct/>
              <w:autoSpaceDE/>
              <w:autoSpaceDN/>
              <w:adjustRightInd/>
              <w:jc w:val="center"/>
              <w:textAlignment w:val="auto"/>
              <w:rPr>
                <w:rFonts w:ascii="Times New Roman" w:hAnsi="Times New Roman"/>
                <w:spacing w:val="-3"/>
              </w:rPr>
            </w:pPr>
            <w:r w:rsidRPr="00EF0FAC">
              <w:rPr>
                <w:rFonts w:ascii="Times New Roman" w:hAnsi="Times New Roman"/>
                <w:spacing w:val="-3"/>
              </w:rPr>
              <w:t xml:space="preserve">State Agencies </w:t>
            </w:r>
          </w:p>
        </w:tc>
        <w:tc>
          <w:tcPr>
            <w:tcW w:w="4140" w:type="dxa"/>
            <w:tcBorders>
              <w:top w:val="single" w:color="000000" w:sz="4" w:space="0"/>
              <w:left w:val="single" w:color="000000" w:sz="4" w:space="0"/>
              <w:bottom w:val="single" w:color="000000" w:sz="4" w:space="0"/>
              <w:right w:val="single" w:color="000000" w:sz="4" w:space="0"/>
            </w:tcBorders>
            <w:hideMark/>
          </w:tcPr>
          <w:p w:rsidRPr="00532C45" w:rsidR="00106A09" w:rsidP="00106A09" w:rsidRDefault="00106A09" w14:paraId="38A3DC6D" w14:textId="45CBE4FF">
            <w:pPr>
              <w:widowControl/>
              <w:overflowPunct/>
              <w:autoSpaceDE/>
              <w:autoSpaceDN/>
              <w:adjustRightInd/>
              <w:jc w:val="center"/>
              <w:textAlignment w:val="auto"/>
              <w:rPr>
                <w:rFonts w:ascii="Times New Roman" w:hAnsi="Times New Roman"/>
                <w:color w:val="000000"/>
                <w:szCs w:val="24"/>
              </w:rPr>
            </w:pPr>
            <w:r w:rsidRPr="00532C45">
              <w:rPr>
                <w:rFonts w:ascii="Times New Roman" w:hAnsi="Times New Roman"/>
                <w:color w:val="000000"/>
                <w:szCs w:val="24"/>
              </w:rPr>
              <w:t>$</w:t>
            </w:r>
            <w:r w:rsidR="00980F44">
              <w:rPr>
                <w:rFonts w:ascii="Times New Roman" w:hAnsi="Times New Roman"/>
                <w:color w:val="000000"/>
                <w:szCs w:val="24"/>
              </w:rPr>
              <w:t>58</w:t>
            </w:r>
            <w:r w:rsidR="00F4203F">
              <w:rPr>
                <w:rFonts w:ascii="Times New Roman" w:hAnsi="Times New Roman"/>
                <w:color w:val="000000"/>
                <w:szCs w:val="24"/>
              </w:rPr>
              <w:t>,</w:t>
            </w:r>
            <w:r w:rsidR="00980F44">
              <w:rPr>
                <w:rFonts w:ascii="Times New Roman" w:hAnsi="Times New Roman"/>
                <w:color w:val="000000"/>
                <w:szCs w:val="24"/>
              </w:rPr>
              <w:t xml:space="preserve">924.30 </w:t>
            </w:r>
          </w:p>
          <w:p w:rsidRPr="00532C45" w:rsidR="00EF0FAC" w:rsidP="00011898" w:rsidRDefault="00EF0FAC" w14:paraId="2DC5CB30" w14:textId="7D088982">
            <w:pPr>
              <w:widowControl/>
              <w:tabs>
                <w:tab w:val="left" w:pos="-720"/>
              </w:tabs>
              <w:suppressAutoHyphens/>
              <w:overflowPunct/>
              <w:autoSpaceDE/>
              <w:autoSpaceDN/>
              <w:adjustRightInd/>
              <w:jc w:val="center"/>
              <w:textAlignment w:val="auto"/>
              <w:rPr>
                <w:rFonts w:ascii="Times New Roman" w:hAnsi="Times New Roman"/>
                <w:spacing w:val="-3"/>
                <w:szCs w:val="24"/>
              </w:rPr>
            </w:pPr>
          </w:p>
        </w:tc>
      </w:tr>
      <w:tr w:rsidRPr="00EF0FAC" w:rsidR="00EF0FAC" w:rsidTr="00EF0FAC" w14:paraId="081289EE" w14:textId="77777777">
        <w:tc>
          <w:tcPr>
            <w:tcW w:w="3168" w:type="dxa"/>
            <w:tcBorders>
              <w:top w:val="single" w:color="000000" w:sz="4" w:space="0"/>
              <w:left w:val="single" w:color="000000" w:sz="4" w:space="0"/>
              <w:bottom w:val="single" w:color="000000" w:sz="4" w:space="0"/>
              <w:right w:val="single" w:color="000000" w:sz="4" w:space="0"/>
            </w:tcBorders>
            <w:hideMark/>
          </w:tcPr>
          <w:p w:rsidRPr="00EF0FAC" w:rsidR="00EF0FAC" w:rsidP="00EF0FAC" w:rsidRDefault="00EF0FAC" w14:paraId="5F1EE5AB" w14:textId="77777777">
            <w:pPr>
              <w:widowControl/>
              <w:tabs>
                <w:tab w:val="left" w:pos="-720"/>
              </w:tabs>
              <w:suppressAutoHyphens/>
              <w:overflowPunct/>
              <w:autoSpaceDE/>
              <w:autoSpaceDN/>
              <w:adjustRightInd/>
              <w:jc w:val="center"/>
              <w:textAlignment w:val="auto"/>
              <w:rPr>
                <w:rFonts w:ascii="Times New Roman" w:hAnsi="Times New Roman"/>
                <w:b/>
                <w:spacing w:val="-3"/>
              </w:rPr>
            </w:pPr>
            <w:r w:rsidRPr="00EF0FAC">
              <w:rPr>
                <w:rFonts w:ascii="Times New Roman" w:hAnsi="Times New Roman"/>
                <w:b/>
                <w:spacing w:val="-3"/>
              </w:rPr>
              <w:t>Total</w:t>
            </w:r>
          </w:p>
        </w:tc>
        <w:tc>
          <w:tcPr>
            <w:tcW w:w="4140" w:type="dxa"/>
            <w:tcBorders>
              <w:top w:val="single" w:color="000000" w:sz="4" w:space="0"/>
              <w:left w:val="single" w:color="000000" w:sz="4" w:space="0"/>
              <w:bottom w:val="single" w:color="000000" w:sz="4" w:space="0"/>
              <w:right w:val="single" w:color="000000" w:sz="4" w:space="0"/>
            </w:tcBorders>
            <w:hideMark/>
          </w:tcPr>
          <w:p w:rsidRPr="00532C45" w:rsidR="00EF0FAC" w:rsidP="00525E4B" w:rsidRDefault="00980F44" w14:paraId="3F5DAF15" w14:textId="2702BD3E">
            <w:pPr>
              <w:widowControl/>
              <w:overflowPunct/>
              <w:autoSpaceDE/>
              <w:autoSpaceDN/>
              <w:adjustRightInd/>
              <w:jc w:val="center"/>
              <w:textAlignment w:val="auto"/>
              <w:rPr>
                <w:rFonts w:ascii="Times New Roman" w:hAnsi="Times New Roman"/>
                <w:b/>
                <w:bCs/>
                <w:color w:val="000000"/>
                <w:szCs w:val="24"/>
              </w:rPr>
            </w:pPr>
            <w:r>
              <w:rPr>
                <w:rFonts w:ascii="Times New Roman" w:hAnsi="Times New Roman"/>
                <w:b/>
                <w:bCs/>
                <w:color w:val="000000"/>
                <w:szCs w:val="24"/>
              </w:rPr>
              <w:t xml:space="preserve">$58,924.30 </w:t>
            </w:r>
          </w:p>
        </w:tc>
      </w:tr>
    </w:tbl>
    <w:p w:rsidRPr="002568E6" w:rsidR="000438E8" w:rsidP="0062567E" w:rsidRDefault="00FD71D3" w14:paraId="7B2A0963" w14:textId="77777777">
      <w:pPr>
        <w:pStyle w:val="Heading1"/>
        <w:rPr>
          <w:szCs w:val="24"/>
        </w:rPr>
      </w:pPr>
      <w:bookmarkStart w:name="_Toc401831369" w:id="28"/>
      <w:bookmarkStart w:name="_Toc401832413" w:id="29"/>
      <w:r w:rsidRPr="002568E6">
        <w:rPr>
          <w:szCs w:val="24"/>
        </w:rPr>
        <w:t xml:space="preserve">A13.  Estimates of other total annual cost </w:t>
      </w:r>
      <w:r w:rsidRPr="002568E6" w:rsidR="00ED28F2">
        <w:rPr>
          <w:szCs w:val="24"/>
        </w:rPr>
        <w:t>burden</w:t>
      </w:r>
      <w:r w:rsidRPr="002568E6">
        <w:rPr>
          <w:szCs w:val="24"/>
        </w:rPr>
        <w:t>.</w:t>
      </w:r>
      <w:bookmarkEnd w:id="28"/>
      <w:bookmarkEnd w:id="29"/>
    </w:p>
    <w:p w:rsidRPr="002568E6" w:rsidR="0062567E" w:rsidP="000438E8" w:rsidRDefault="0062567E" w14:paraId="7B2A0964" w14:textId="77777777">
      <w:pPr>
        <w:tabs>
          <w:tab w:val="left" w:pos="0"/>
        </w:tabs>
        <w:suppressAutoHyphens/>
        <w:rPr>
          <w:rFonts w:ascii="Times New Roman" w:hAnsi="Times New Roman"/>
          <w:b/>
          <w:szCs w:val="24"/>
        </w:rPr>
      </w:pPr>
    </w:p>
    <w:p w:rsidRPr="002568E6" w:rsidR="0062567E" w:rsidP="000438E8" w:rsidRDefault="0062567E" w14:paraId="7B2A0965"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2568E6" w:rsidR="00ED28F2" w:rsidP="00ED28F2" w:rsidRDefault="00ED28F2" w14:paraId="7B2A0966" w14:textId="77777777">
      <w:pPr>
        <w:tabs>
          <w:tab w:val="left" w:pos="-720"/>
        </w:tabs>
        <w:suppressAutoHyphens/>
        <w:rPr>
          <w:rFonts w:ascii="Times New Roman" w:hAnsi="Times New Roman"/>
          <w:szCs w:val="24"/>
        </w:rPr>
      </w:pPr>
    </w:p>
    <w:p w:rsidRPr="002568E6" w:rsidR="00ED28F2" w:rsidP="00ED28F2" w:rsidRDefault="00AA0B7C" w14:paraId="7B2A0967" w14:textId="56D86442">
      <w:pPr>
        <w:tabs>
          <w:tab w:val="left" w:pos="-720"/>
        </w:tabs>
        <w:suppressAutoHyphens/>
        <w:spacing w:line="480" w:lineRule="auto"/>
        <w:rPr>
          <w:rFonts w:ascii="Times New Roman" w:hAnsi="Times New Roman"/>
          <w:szCs w:val="24"/>
        </w:rPr>
      </w:pPr>
      <w:r>
        <w:rPr>
          <w:rFonts w:ascii="Times New Roman" w:hAnsi="Times New Roman"/>
          <w:szCs w:val="24"/>
        </w:rPr>
        <w:t>FNS does not expect any additional annual cost burden to respondents or recordkeepers.</w:t>
      </w:r>
    </w:p>
    <w:p w:rsidRPr="002568E6" w:rsidR="00ED28F2" w:rsidP="00ED28F2" w:rsidRDefault="00ED28F2" w14:paraId="7B2A0968" w14:textId="77777777">
      <w:pPr>
        <w:tabs>
          <w:tab w:val="left" w:pos="-720"/>
        </w:tabs>
        <w:suppressAutoHyphens/>
        <w:spacing w:line="480" w:lineRule="auto"/>
        <w:rPr>
          <w:rFonts w:ascii="Times New Roman" w:hAnsi="Times New Roman"/>
          <w:szCs w:val="24"/>
        </w:rPr>
      </w:pPr>
    </w:p>
    <w:p w:rsidRPr="002568E6" w:rsidR="00A308DB" w:rsidP="0062567E" w:rsidRDefault="000438E8" w14:paraId="7B2A0969" w14:textId="77777777">
      <w:pPr>
        <w:pStyle w:val="Heading1"/>
        <w:rPr>
          <w:szCs w:val="24"/>
        </w:rPr>
      </w:pPr>
      <w:bookmarkStart w:name="_Toc401831370" w:id="30"/>
      <w:bookmarkStart w:name="_Toc401832414" w:id="31"/>
      <w:r w:rsidRPr="002568E6">
        <w:rPr>
          <w:szCs w:val="24"/>
        </w:rPr>
        <w:t>A14.  Provide estimates of annualized cost to the Federal government.</w:t>
      </w:r>
      <w:bookmarkEnd w:id="30"/>
      <w:bookmarkEnd w:id="31"/>
      <w:r w:rsidRPr="002568E6" w:rsidR="0088245A">
        <w:rPr>
          <w:szCs w:val="24"/>
        </w:rPr>
        <w:t xml:space="preserve">  </w:t>
      </w:r>
    </w:p>
    <w:p w:rsidRPr="002568E6" w:rsidR="0062567E" w:rsidP="000438E8" w:rsidRDefault="0062567E" w14:paraId="7B2A096A" w14:textId="77777777">
      <w:pPr>
        <w:tabs>
          <w:tab w:val="left" w:pos="0"/>
        </w:tabs>
        <w:suppressAutoHyphens/>
        <w:rPr>
          <w:rFonts w:ascii="Times New Roman" w:hAnsi="Times New Roman"/>
          <w:szCs w:val="24"/>
        </w:rPr>
      </w:pPr>
    </w:p>
    <w:p w:rsidRPr="002568E6" w:rsidR="0062567E" w:rsidP="0062567E" w:rsidRDefault="0062567E" w14:paraId="7B2A096B"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Pr="002568E6" w:rsidR="0062567E" w:rsidP="000438E8" w:rsidRDefault="0062567E" w14:paraId="7B2A096C" w14:textId="77777777">
      <w:pPr>
        <w:tabs>
          <w:tab w:val="left" w:pos="0"/>
        </w:tabs>
        <w:suppressAutoHyphens/>
        <w:rPr>
          <w:rFonts w:ascii="Times New Roman" w:hAnsi="Times New Roman"/>
          <w:szCs w:val="24"/>
        </w:rPr>
      </w:pPr>
    </w:p>
    <w:p w:rsidR="00980F44" w:rsidP="00151D7B" w:rsidRDefault="00060175" w14:paraId="0E2B2E93" w14:textId="77777777">
      <w:pPr>
        <w:widowControl/>
        <w:tabs>
          <w:tab w:val="left" w:pos="360"/>
          <w:tab w:val="left" w:pos="1080"/>
        </w:tabs>
        <w:suppressAutoHyphens/>
        <w:overflowPunct/>
        <w:autoSpaceDE/>
        <w:autoSpaceDN/>
        <w:adjustRightInd/>
        <w:spacing w:after="240" w:line="360" w:lineRule="auto"/>
        <w:textAlignment w:val="auto"/>
        <w:rPr>
          <w:rFonts w:ascii="Times New Roman" w:hAnsi="Times New Roman"/>
          <w:spacing w:val="-3"/>
        </w:rPr>
      </w:pPr>
      <w:r>
        <w:rPr>
          <w:rFonts w:ascii="Times New Roman" w:hAnsi="Times New Roman"/>
          <w:spacing w:val="-3"/>
        </w:rPr>
        <w:t>T</w:t>
      </w:r>
      <w:r w:rsidRPr="00151D7B" w:rsidR="00151D7B">
        <w:rPr>
          <w:rFonts w:ascii="Times New Roman" w:hAnsi="Times New Roman"/>
          <w:spacing w:val="-3"/>
        </w:rPr>
        <w:t xml:space="preserve">he Federal cost </w:t>
      </w:r>
      <w:r w:rsidR="00F65932">
        <w:rPr>
          <w:rFonts w:ascii="Times New Roman" w:hAnsi="Times New Roman"/>
          <w:spacing w:val="-3"/>
        </w:rPr>
        <w:t xml:space="preserve">assumes it will take Regional or National Office staff </w:t>
      </w:r>
      <w:r>
        <w:rPr>
          <w:rFonts w:ascii="Times New Roman" w:hAnsi="Times New Roman"/>
          <w:spacing w:val="-3"/>
        </w:rPr>
        <w:t>(GS-13</w:t>
      </w:r>
      <w:r w:rsidR="00F1484D">
        <w:rPr>
          <w:rFonts w:ascii="Times New Roman" w:hAnsi="Times New Roman"/>
          <w:spacing w:val="-3"/>
        </w:rPr>
        <w:t xml:space="preserve"> Step</w:t>
      </w:r>
      <w:r>
        <w:rPr>
          <w:rFonts w:ascii="Times New Roman" w:hAnsi="Times New Roman"/>
          <w:spacing w:val="-3"/>
        </w:rPr>
        <w:t xml:space="preserve"> 1</w:t>
      </w:r>
      <w:r w:rsidR="00F1484D">
        <w:rPr>
          <w:rFonts w:ascii="Times New Roman" w:hAnsi="Times New Roman"/>
          <w:spacing w:val="-3"/>
        </w:rPr>
        <w:t xml:space="preserve">) </w:t>
      </w:r>
      <w:r>
        <w:rPr>
          <w:rFonts w:ascii="Times New Roman" w:hAnsi="Times New Roman"/>
          <w:spacing w:val="-3"/>
        </w:rPr>
        <w:t>approximately 5</w:t>
      </w:r>
      <w:r w:rsidR="00F65932">
        <w:rPr>
          <w:rFonts w:ascii="Times New Roman" w:hAnsi="Times New Roman"/>
          <w:spacing w:val="-3"/>
        </w:rPr>
        <w:t xml:space="preserve"> hour</w:t>
      </w:r>
      <w:r>
        <w:rPr>
          <w:rFonts w:ascii="Times New Roman" w:hAnsi="Times New Roman"/>
          <w:spacing w:val="-3"/>
        </w:rPr>
        <w:t>s</w:t>
      </w:r>
      <w:r w:rsidR="00F65932">
        <w:rPr>
          <w:rFonts w:ascii="Times New Roman" w:hAnsi="Times New Roman"/>
          <w:spacing w:val="-3"/>
        </w:rPr>
        <w:t xml:space="preserve"> to review and approve each</w:t>
      </w:r>
      <w:r>
        <w:rPr>
          <w:rFonts w:ascii="Times New Roman" w:hAnsi="Times New Roman"/>
          <w:spacing w:val="-3"/>
        </w:rPr>
        <w:t xml:space="preserve"> State agency opt-in application and implenetation plan</w:t>
      </w:r>
      <w:r w:rsidR="00F65932">
        <w:rPr>
          <w:rFonts w:ascii="Times New Roman" w:hAnsi="Times New Roman"/>
          <w:spacing w:val="-3"/>
        </w:rPr>
        <w:t xml:space="preserve"> </w:t>
      </w:r>
      <w:r w:rsidRPr="00151D7B" w:rsidR="00151D7B">
        <w:rPr>
          <w:rFonts w:ascii="Times New Roman" w:hAnsi="Times New Roman"/>
          <w:spacing w:val="-3"/>
        </w:rPr>
        <w:t xml:space="preserve">. </w:t>
      </w:r>
    </w:p>
    <w:p w:rsidR="00980F44" w:rsidP="00151D7B" w:rsidRDefault="00980F44" w14:paraId="62E0C511" w14:textId="77777777">
      <w:pPr>
        <w:widowControl/>
        <w:tabs>
          <w:tab w:val="left" w:pos="360"/>
          <w:tab w:val="left" w:pos="1080"/>
        </w:tabs>
        <w:suppressAutoHyphens/>
        <w:overflowPunct/>
        <w:autoSpaceDE/>
        <w:autoSpaceDN/>
        <w:adjustRightInd/>
        <w:spacing w:after="240" w:line="360" w:lineRule="auto"/>
        <w:textAlignment w:val="auto"/>
        <w:rPr>
          <w:rFonts w:ascii="Times New Roman" w:hAnsi="Times New Roman"/>
          <w:spacing w:val="-3"/>
        </w:rPr>
      </w:pPr>
    </w:p>
    <w:p w:rsidR="00151D7B" w:rsidP="00151D7B" w:rsidRDefault="00151D7B" w14:paraId="0873D09D" w14:textId="3ADDC708">
      <w:pPr>
        <w:widowControl/>
        <w:tabs>
          <w:tab w:val="left" w:pos="360"/>
          <w:tab w:val="left" w:pos="1080"/>
        </w:tabs>
        <w:suppressAutoHyphens/>
        <w:overflowPunct/>
        <w:autoSpaceDE/>
        <w:autoSpaceDN/>
        <w:adjustRightInd/>
        <w:spacing w:after="240" w:line="360" w:lineRule="auto"/>
        <w:textAlignment w:val="auto"/>
        <w:rPr>
          <w:rFonts w:ascii="Times New Roman" w:hAnsi="Times New Roman"/>
          <w:spacing w:val="-3"/>
        </w:rPr>
      </w:pPr>
      <w:r w:rsidRPr="00151D7B">
        <w:rPr>
          <w:rFonts w:ascii="Times New Roman" w:hAnsi="Times New Roman"/>
          <w:spacing w:val="-3"/>
        </w:rPr>
        <w:lastRenderedPageBreak/>
        <w:t xml:space="preserve">This includes Federal worker time at FNS for the following: </w:t>
      </w:r>
    </w:p>
    <w:tbl>
      <w:tblPr>
        <w:tblStyle w:val="Table3Deffects3"/>
        <w:tblW w:w="5000" w:type="pct"/>
        <w:tblInd w:w="0" w:type="dxa"/>
        <w:tblLook w:val="06A0" w:firstRow="1" w:lastRow="0" w:firstColumn="1" w:lastColumn="0" w:noHBand="1" w:noVBand="1"/>
      </w:tblPr>
      <w:tblGrid>
        <w:gridCol w:w="2320"/>
        <w:gridCol w:w="2320"/>
        <w:gridCol w:w="2320"/>
        <w:gridCol w:w="2395"/>
      </w:tblGrid>
      <w:tr w:rsidRPr="00151D7B" w:rsidR="00980F44" w:rsidTr="00E346DF" w14:paraId="5CA9ACD6" w14:textId="77777777">
        <w:trPr>
          <w:cnfStyle w:val="100000000000" w:firstRow="1" w:lastRow="0" w:firstColumn="0" w:lastColumn="0" w:oddVBand="0" w:evenVBand="0" w:oddHBand="0"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240" w:type="pct"/>
            <w:tcBorders>
              <w:top w:val="nil"/>
              <w:left w:val="nil"/>
              <w:bottom w:val="single" w:color="auto" w:sz="4" w:space="0"/>
            </w:tcBorders>
            <w:vAlign w:val="center"/>
          </w:tcPr>
          <w:p w:rsidRPr="00151D7B" w:rsidR="00980F44" w:rsidP="00E346DF" w:rsidRDefault="00980F44" w14:paraId="27A9A578" w14:textId="77777777">
            <w:pPr>
              <w:widowControl/>
              <w:tabs>
                <w:tab w:val="left" w:pos="1080"/>
              </w:tabs>
              <w:overflowPunct/>
              <w:autoSpaceDE/>
              <w:autoSpaceDN/>
              <w:adjustRightInd/>
              <w:spacing w:line="240" w:lineRule="auto"/>
              <w:contextualSpacing/>
              <w:jc w:val="center"/>
              <w:textAlignment w:val="auto"/>
              <w:rPr>
                <w:rFonts w:ascii="Times New Roman" w:hAnsi="Times New Roman"/>
                <w:spacing w:val="-3"/>
              </w:rPr>
            </w:pPr>
          </w:p>
        </w:tc>
        <w:tc>
          <w:tcPr>
            <w:tcW w:w="1240" w:type="pct"/>
            <w:tcBorders>
              <w:top w:val="single" w:color="auto" w:sz="4" w:space="0"/>
              <w:left w:val="nil"/>
              <w:bottom w:val="single" w:color="auto" w:sz="4" w:space="0"/>
              <w:right w:val="nil"/>
            </w:tcBorders>
            <w:vAlign w:val="center"/>
            <w:hideMark/>
          </w:tcPr>
          <w:p w:rsidRPr="00151D7B" w:rsidR="00980F44" w:rsidP="00E346DF" w:rsidRDefault="00980F44" w14:paraId="323DB80C" w14:textId="77777777">
            <w:pPr>
              <w:widowControl/>
              <w:tabs>
                <w:tab w:val="left" w:pos="1080"/>
              </w:tabs>
              <w:overflowPunct/>
              <w:autoSpaceDE/>
              <w:autoSpaceDN/>
              <w:adjustRightInd/>
              <w:spacing w:line="240" w:lineRule="auto"/>
              <w:contextualSpacing/>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spacing w:val="-3"/>
              </w:rPr>
            </w:pPr>
            <w:r w:rsidRPr="00151D7B">
              <w:rPr>
                <w:rFonts w:ascii="Times New Roman" w:hAnsi="Times New Roman"/>
                <w:spacing w:val="-3"/>
              </w:rPr>
              <w:t>Hours</w:t>
            </w:r>
          </w:p>
        </w:tc>
        <w:tc>
          <w:tcPr>
            <w:tcW w:w="1240" w:type="pct"/>
            <w:tcBorders>
              <w:top w:val="single" w:color="auto" w:sz="4" w:space="0"/>
              <w:left w:val="nil"/>
              <w:bottom w:val="single" w:color="auto" w:sz="4" w:space="0"/>
              <w:right w:val="nil"/>
            </w:tcBorders>
            <w:vAlign w:val="center"/>
            <w:hideMark/>
          </w:tcPr>
          <w:p w:rsidRPr="00151D7B" w:rsidR="00980F44" w:rsidP="00E346DF" w:rsidRDefault="00980F44" w14:paraId="04CA7AD5" w14:textId="77777777">
            <w:pPr>
              <w:widowControl/>
              <w:tabs>
                <w:tab w:val="left" w:pos="1080"/>
              </w:tabs>
              <w:overflowPunct/>
              <w:autoSpaceDE/>
              <w:autoSpaceDN/>
              <w:adjustRightInd/>
              <w:spacing w:line="240" w:lineRule="auto"/>
              <w:contextualSpacing/>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spacing w:val="-3"/>
              </w:rPr>
            </w:pPr>
            <w:r w:rsidRPr="00151D7B">
              <w:rPr>
                <w:rFonts w:ascii="Times New Roman" w:hAnsi="Times New Roman"/>
                <w:spacing w:val="-3"/>
              </w:rPr>
              <w:t>Hourly Wage Rage*</w:t>
            </w:r>
          </w:p>
        </w:tc>
        <w:tc>
          <w:tcPr>
            <w:tcW w:w="1280" w:type="pct"/>
            <w:tcBorders>
              <w:top w:val="single" w:color="auto" w:sz="4" w:space="0"/>
              <w:left w:val="nil"/>
              <w:bottom w:val="single" w:color="auto" w:sz="4" w:space="0"/>
              <w:right w:val="single" w:color="auto" w:sz="4" w:space="0"/>
            </w:tcBorders>
            <w:vAlign w:val="center"/>
            <w:hideMark/>
          </w:tcPr>
          <w:p w:rsidRPr="00151D7B" w:rsidR="00980F44" w:rsidP="00E346DF" w:rsidRDefault="00980F44" w14:paraId="66D6E204" w14:textId="77777777">
            <w:pPr>
              <w:widowControl/>
              <w:tabs>
                <w:tab w:val="left" w:pos="1080"/>
              </w:tabs>
              <w:overflowPunct/>
              <w:autoSpaceDE/>
              <w:autoSpaceDN/>
              <w:adjustRightInd/>
              <w:spacing w:line="240" w:lineRule="auto"/>
              <w:contextualSpacing/>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spacing w:val="-3"/>
              </w:rPr>
            </w:pPr>
            <w:r>
              <w:rPr>
                <w:rFonts w:ascii="Times New Roman" w:hAnsi="Times New Roman"/>
                <w:spacing w:val="-3"/>
              </w:rPr>
              <w:t>Total</w:t>
            </w:r>
          </w:p>
        </w:tc>
      </w:tr>
      <w:tr w:rsidRPr="00151D7B" w:rsidR="00980F44" w:rsidTr="00E346DF" w14:paraId="2AC9C07D" w14:textId="77777777">
        <w:trPr>
          <w:trHeight w:val="800"/>
        </w:trPr>
        <w:tc>
          <w:tcPr>
            <w:cnfStyle w:val="001000000000" w:firstRow="0" w:lastRow="0" w:firstColumn="1" w:lastColumn="0" w:oddVBand="0" w:evenVBand="0" w:oddHBand="0" w:evenHBand="0" w:firstRowFirstColumn="0" w:firstRowLastColumn="0" w:lastRowFirstColumn="0" w:lastRowLastColumn="0"/>
            <w:tcW w:w="1240" w:type="pct"/>
            <w:tcBorders>
              <w:top w:val="single" w:color="auto" w:sz="4" w:space="0"/>
              <w:left w:val="single" w:color="auto" w:sz="4" w:space="0"/>
              <w:bottom w:val="single" w:color="auto" w:sz="4" w:space="0"/>
            </w:tcBorders>
            <w:vAlign w:val="center"/>
            <w:hideMark/>
          </w:tcPr>
          <w:p w:rsidRPr="00014023" w:rsidR="00980F44" w:rsidP="00E346DF" w:rsidRDefault="00980F44" w14:paraId="74587178" w14:textId="77777777">
            <w:pPr>
              <w:widowControl/>
              <w:tabs>
                <w:tab w:val="left" w:pos="1080"/>
              </w:tabs>
              <w:overflowPunct/>
              <w:autoSpaceDE/>
              <w:autoSpaceDN/>
              <w:adjustRightInd/>
              <w:spacing w:line="240" w:lineRule="auto"/>
              <w:contextualSpacing/>
              <w:textAlignment w:val="auto"/>
              <w:rPr>
                <w:rFonts w:ascii="Times New Roman" w:hAnsi="Times New Roman"/>
                <w:b/>
                <w:spacing w:val="-3"/>
              </w:rPr>
            </w:pPr>
            <w:r>
              <w:rPr>
                <w:rFonts w:ascii="Times New Roman" w:hAnsi="Times New Roman"/>
                <w:b/>
                <w:spacing w:val="-3"/>
                <w:sz w:val="22"/>
              </w:rPr>
              <w:t>GS-13/1</w:t>
            </w:r>
            <w:r w:rsidRPr="00014023">
              <w:rPr>
                <w:rFonts w:ascii="Times New Roman" w:hAnsi="Times New Roman"/>
                <w:b/>
                <w:spacing w:val="-3"/>
                <w:sz w:val="22"/>
              </w:rPr>
              <w:t xml:space="preserve"> Program Analyst</w:t>
            </w:r>
          </w:p>
        </w:tc>
        <w:tc>
          <w:tcPr>
            <w:tcW w:w="1240" w:type="pct"/>
            <w:tcBorders>
              <w:top w:val="single" w:color="auto" w:sz="4" w:space="0"/>
              <w:left w:val="nil"/>
              <w:bottom w:val="single" w:color="auto" w:sz="4" w:space="0"/>
              <w:right w:val="nil"/>
            </w:tcBorders>
            <w:vAlign w:val="center"/>
            <w:hideMark/>
          </w:tcPr>
          <w:p w:rsidRPr="00151D7B" w:rsidR="00980F44" w:rsidP="00E346DF" w:rsidRDefault="00980F44" w14:paraId="0005FFBC" w14:textId="2337045F">
            <w:pPr>
              <w:widowControl/>
              <w:tabs>
                <w:tab w:val="left" w:pos="1080"/>
              </w:tabs>
              <w:overflowPunct/>
              <w:autoSpaceDE/>
              <w:autoSpaceDN/>
              <w:adjustRightInd/>
              <w:spacing w:line="240" w:lineRule="auto"/>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pacing w:val="-3"/>
              </w:rPr>
            </w:pPr>
            <w:r>
              <w:rPr>
                <w:rFonts w:ascii="Times New Roman" w:hAnsi="Times New Roman"/>
                <w:spacing w:val="-3"/>
              </w:rPr>
              <w:t>1,</w:t>
            </w:r>
            <w:r w:rsidR="00BB5FDD">
              <w:rPr>
                <w:rFonts w:ascii="Times New Roman" w:hAnsi="Times New Roman"/>
                <w:spacing w:val="-3"/>
              </w:rPr>
              <w:t>475</w:t>
            </w:r>
          </w:p>
        </w:tc>
        <w:tc>
          <w:tcPr>
            <w:tcW w:w="1240" w:type="pct"/>
            <w:tcBorders>
              <w:top w:val="single" w:color="auto" w:sz="4" w:space="0"/>
              <w:left w:val="nil"/>
              <w:bottom w:val="single" w:color="auto" w:sz="4" w:space="0"/>
              <w:right w:val="nil"/>
            </w:tcBorders>
            <w:vAlign w:val="center"/>
            <w:hideMark/>
          </w:tcPr>
          <w:p w:rsidRPr="00151D7B" w:rsidR="00980F44" w:rsidP="00E346DF" w:rsidRDefault="00980F44" w14:paraId="01307B95" w14:textId="77777777">
            <w:pPr>
              <w:widowControl/>
              <w:tabs>
                <w:tab w:val="left" w:pos="1080"/>
              </w:tabs>
              <w:overflowPunct/>
              <w:autoSpaceDE/>
              <w:autoSpaceDN/>
              <w:adjustRightInd/>
              <w:spacing w:line="240" w:lineRule="auto"/>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pacing w:val="-3"/>
              </w:rPr>
            </w:pPr>
            <w:r w:rsidRPr="00151D7B">
              <w:rPr>
                <w:rFonts w:ascii="Times New Roman" w:hAnsi="Times New Roman"/>
                <w:spacing w:val="-3"/>
              </w:rPr>
              <w:t>$</w:t>
            </w:r>
            <w:r>
              <w:rPr>
                <w:rFonts w:ascii="Times New Roman" w:hAnsi="Times New Roman"/>
                <w:spacing w:val="-3"/>
              </w:rPr>
              <w:t>49.19</w:t>
            </w:r>
          </w:p>
        </w:tc>
        <w:tc>
          <w:tcPr>
            <w:tcW w:w="1280" w:type="pct"/>
            <w:tcBorders>
              <w:top w:val="single" w:color="auto" w:sz="4" w:space="0"/>
              <w:left w:val="nil"/>
              <w:bottom w:val="single" w:color="auto" w:sz="4" w:space="0"/>
              <w:right w:val="single" w:color="auto" w:sz="4" w:space="0"/>
            </w:tcBorders>
            <w:vAlign w:val="center"/>
            <w:hideMark/>
          </w:tcPr>
          <w:p w:rsidRPr="00151D7B" w:rsidR="00980F44" w:rsidP="00E346DF" w:rsidRDefault="00980F44" w14:paraId="3C01C405" w14:textId="77777777">
            <w:pPr>
              <w:widowControl/>
              <w:tabs>
                <w:tab w:val="left" w:pos="1080"/>
              </w:tabs>
              <w:overflowPunct/>
              <w:autoSpaceDE/>
              <w:autoSpaceDN/>
              <w:adjustRightInd/>
              <w:spacing w:line="240" w:lineRule="auto"/>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pacing w:val="-3"/>
              </w:rPr>
            </w:pPr>
            <w:r w:rsidRPr="00151D7B">
              <w:rPr>
                <w:rFonts w:ascii="Times New Roman" w:hAnsi="Times New Roman"/>
                <w:spacing w:val="-3"/>
              </w:rPr>
              <w:t>$</w:t>
            </w:r>
            <w:r>
              <w:rPr>
                <w:rFonts w:ascii="Times New Roman" w:hAnsi="Times New Roman"/>
                <w:spacing w:val="-3"/>
              </w:rPr>
              <w:t>72,555.25</w:t>
            </w:r>
          </w:p>
        </w:tc>
      </w:tr>
      <w:tr w:rsidRPr="00151D7B" w:rsidR="00980F44" w:rsidTr="00E346DF" w14:paraId="0EF68C81" w14:textId="77777777">
        <w:trPr>
          <w:trHeight w:val="432"/>
        </w:trPr>
        <w:tc>
          <w:tcPr>
            <w:cnfStyle w:val="001000000000" w:firstRow="0" w:lastRow="0" w:firstColumn="1" w:lastColumn="0" w:oddVBand="0" w:evenVBand="0" w:oddHBand="0" w:evenHBand="0" w:firstRowFirstColumn="0" w:firstRowLastColumn="0" w:lastRowFirstColumn="0" w:lastRowLastColumn="0"/>
            <w:tcW w:w="3720" w:type="pct"/>
            <w:gridSpan w:val="3"/>
            <w:tcBorders>
              <w:top w:val="single" w:color="auto" w:sz="4" w:space="0"/>
              <w:left w:val="single" w:color="auto" w:sz="4" w:space="0"/>
              <w:bottom w:val="single" w:color="auto" w:sz="4" w:space="0"/>
              <w:right w:val="single" w:color="auto" w:sz="4" w:space="0"/>
            </w:tcBorders>
            <w:vAlign w:val="center"/>
            <w:hideMark/>
          </w:tcPr>
          <w:p w:rsidRPr="00151D7B" w:rsidR="00980F44" w:rsidP="00E346DF" w:rsidRDefault="00980F44" w14:paraId="18EA3AF4" w14:textId="77777777">
            <w:pPr>
              <w:widowControl/>
              <w:tabs>
                <w:tab w:val="left" w:pos="1080"/>
              </w:tabs>
              <w:overflowPunct/>
              <w:autoSpaceDE/>
              <w:autoSpaceDN/>
              <w:adjustRightInd/>
              <w:contextualSpacing/>
              <w:textAlignment w:val="auto"/>
              <w:rPr>
                <w:rFonts w:ascii="Times New Roman" w:hAnsi="Times New Roman"/>
                <w:spacing w:val="-3"/>
              </w:rPr>
            </w:pPr>
            <w:r>
              <w:rPr>
                <w:rFonts w:ascii="Times New Roman" w:hAnsi="Times New Roman"/>
                <w:b/>
                <w:bCs/>
                <w:spacing w:val="-3"/>
              </w:rPr>
              <w:t>+ 33% for Staff Fringe Benefits</w:t>
            </w:r>
          </w:p>
        </w:tc>
        <w:tc>
          <w:tcPr>
            <w:tcW w:w="1280" w:type="pct"/>
            <w:tcBorders>
              <w:top w:val="single" w:color="auto" w:sz="4" w:space="0"/>
              <w:left w:val="single" w:color="auto" w:sz="4" w:space="0"/>
              <w:bottom w:val="single" w:color="auto" w:sz="4" w:space="0"/>
              <w:right w:val="single" w:color="auto" w:sz="4" w:space="0"/>
            </w:tcBorders>
            <w:vAlign w:val="center"/>
            <w:hideMark/>
          </w:tcPr>
          <w:p w:rsidRPr="00151D7B" w:rsidR="00980F44" w:rsidP="00E346DF" w:rsidRDefault="00980F44" w14:paraId="6CE45750" w14:textId="77777777">
            <w:pPr>
              <w:widowControl/>
              <w:tabs>
                <w:tab w:val="left" w:pos="1080"/>
              </w:tabs>
              <w:overflowPunct/>
              <w:autoSpaceDE/>
              <w:autoSpaceDN/>
              <w:adjustRightInd/>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pacing w:val="-3"/>
              </w:rPr>
            </w:pPr>
            <w:r>
              <w:rPr>
                <w:rFonts w:ascii="Times New Roman" w:hAnsi="Times New Roman"/>
                <w:spacing w:val="-3"/>
              </w:rPr>
              <w:t>$23,943.23</w:t>
            </w:r>
          </w:p>
        </w:tc>
      </w:tr>
      <w:tr w:rsidRPr="00151D7B" w:rsidR="00980F44" w:rsidTr="00E346DF" w14:paraId="4EBEF8E0" w14:textId="77777777">
        <w:trPr>
          <w:trHeight w:val="432"/>
        </w:trPr>
        <w:tc>
          <w:tcPr>
            <w:cnfStyle w:val="001000000000" w:firstRow="0" w:lastRow="0" w:firstColumn="1" w:lastColumn="0" w:oddVBand="0" w:evenVBand="0" w:oddHBand="0" w:evenHBand="0" w:firstRowFirstColumn="0" w:firstRowLastColumn="0" w:lastRowFirstColumn="0" w:lastRowLastColumn="0"/>
            <w:tcW w:w="3720" w:type="pct"/>
            <w:gridSpan w:val="3"/>
            <w:tcBorders>
              <w:top w:val="single" w:color="auto" w:sz="4" w:space="0"/>
              <w:left w:val="single" w:color="auto" w:sz="4" w:space="0"/>
              <w:bottom w:val="single" w:color="auto" w:sz="4" w:space="0"/>
              <w:right w:val="single" w:color="auto" w:sz="4" w:space="0"/>
            </w:tcBorders>
            <w:vAlign w:val="center"/>
            <w:hideMark/>
          </w:tcPr>
          <w:p w:rsidRPr="00151D7B" w:rsidR="00980F44" w:rsidP="00E346DF" w:rsidRDefault="00980F44" w14:paraId="2378EED5" w14:textId="77777777">
            <w:pPr>
              <w:widowControl/>
              <w:tabs>
                <w:tab w:val="left" w:pos="1080"/>
              </w:tabs>
              <w:overflowPunct/>
              <w:autoSpaceDE/>
              <w:autoSpaceDN/>
              <w:adjustRightInd/>
              <w:contextualSpacing/>
              <w:textAlignment w:val="auto"/>
              <w:rPr>
                <w:rFonts w:ascii="Times New Roman" w:hAnsi="Times New Roman"/>
                <w:spacing w:val="-3"/>
              </w:rPr>
            </w:pPr>
            <w:r w:rsidRPr="00151D7B">
              <w:rPr>
                <w:rFonts w:ascii="Times New Roman" w:hAnsi="Times New Roman"/>
                <w:b/>
                <w:bCs/>
                <w:spacing w:val="-3"/>
              </w:rPr>
              <w:t>Total Federal Cost</w:t>
            </w:r>
          </w:p>
        </w:tc>
        <w:tc>
          <w:tcPr>
            <w:tcW w:w="1280" w:type="pct"/>
            <w:tcBorders>
              <w:top w:val="single" w:color="auto" w:sz="4" w:space="0"/>
              <w:left w:val="single" w:color="auto" w:sz="4" w:space="0"/>
              <w:bottom w:val="single" w:color="auto" w:sz="4" w:space="0"/>
              <w:right w:val="single" w:color="auto" w:sz="4" w:space="0"/>
            </w:tcBorders>
            <w:vAlign w:val="center"/>
            <w:hideMark/>
          </w:tcPr>
          <w:p w:rsidRPr="00151D7B" w:rsidR="00980F44" w:rsidP="00E346DF" w:rsidRDefault="00980F44" w14:paraId="716F1D2B" w14:textId="77777777">
            <w:pPr>
              <w:widowControl/>
              <w:tabs>
                <w:tab w:val="left" w:pos="1080"/>
              </w:tabs>
              <w:overflowPunct/>
              <w:autoSpaceDE/>
              <w:autoSpaceDN/>
              <w:adjustRightInd/>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
                <w:bCs/>
                <w:spacing w:val="-3"/>
              </w:rPr>
            </w:pPr>
            <w:r>
              <w:rPr>
                <w:rFonts w:ascii="Times New Roman" w:hAnsi="Times New Roman"/>
                <w:b/>
                <w:bCs/>
                <w:spacing w:val="-3"/>
              </w:rPr>
              <w:t>$96,498.48</w:t>
            </w:r>
          </w:p>
        </w:tc>
      </w:tr>
    </w:tbl>
    <w:p w:rsidR="00980F44" w:rsidP="00151D7B" w:rsidRDefault="00980F44" w14:paraId="298B8992" w14:textId="2AA2CA48">
      <w:pPr>
        <w:widowControl/>
        <w:tabs>
          <w:tab w:val="left" w:pos="360"/>
          <w:tab w:val="left" w:pos="1080"/>
        </w:tabs>
        <w:suppressAutoHyphens/>
        <w:overflowPunct/>
        <w:autoSpaceDE/>
        <w:autoSpaceDN/>
        <w:adjustRightInd/>
        <w:spacing w:after="240" w:line="360" w:lineRule="auto"/>
        <w:textAlignment w:val="auto"/>
        <w:rPr>
          <w:rFonts w:ascii="Times New Roman" w:hAnsi="Times New Roman"/>
          <w:spacing w:val="-3"/>
        </w:rPr>
      </w:pPr>
    </w:p>
    <w:p w:rsidRPr="00151D7B" w:rsidR="00980F44" w:rsidP="00151D7B" w:rsidRDefault="00980F44" w14:paraId="4365A916" w14:textId="77777777">
      <w:pPr>
        <w:widowControl/>
        <w:tabs>
          <w:tab w:val="left" w:pos="360"/>
          <w:tab w:val="left" w:pos="1080"/>
        </w:tabs>
        <w:suppressAutoHyphens/>
        <w:overflowPunct/>
        <w:autoSpaceDE/>
        <w:autoSpaceDN/>
        <w:adjustRightInd/>
        <w:spacing w:after="240" w:line="360" w:lineRule="auto"/>
        <w:textAlignment w:val="auto"/>
        <w:rPr>
          <w:rFonts w:ascii="Times New Roman" w:hAnsi="Times New Roman"/>
          <w:spacing w:val="-3"/>
        </w:rPr>
      </w:pPr>
    </w:p>
    <w:p w:rsidRPr="00151D7B" w:rsidR="00151D7B" w:rsidP="00151D7B" w:rsidRDefault="00151D7B" w14:paraId="50479F5D" w14:textId="66A209CB">
      <w:pPr>
        <w:tabs>
          <w:tab w:val="left" w:pos="-720"/>
        </w:tabs>
        <w:suppressAutoHyphens/>
        <w:overflowPunct/>
        <w:autoSpaceDE/>
        <w:autoSpaceDN/>
        <w:adjustRightInd/>
        <w:spacing w:before="240" w:line="360" w:lineRule="auto"/>
        <w:textAlignment w:val="auto"/>
        <w:rPr>
          <w:rFonts w:ascii="Times New Roman" w:hAnsi="Times New Roman"/>
          <w:spacing w:val="-3"/>
          <w:sz w:val="20"/>
        </w:rPr>
      </w:pPr>
      <w:r w:rsidRPr="00151D7B">
        <w:rPr>
          <w:rFonts w:ascii="Times New Roman" w:hAnsi="Times New Roman"/>
          <w:spacing w:val="-3"/>
          <w:sz w:val="20"/>
        </w:rPr>
        <w:t>*Wage rages determined in accordance with the Office of Personnel Management salaries and wages information (</w:t>
      </w:r>
      <w:hyperlink w:history="1" r:id="rId11">
        <w:r w:rsidRPr="004818F6" w:rsidR="00F1484D">
          <w:rPr>
            <w:rStyle w:val="Hyperlink"/>
            <w:rFonts w:ascii="Times New Roman" w:hAnsi="Times New Roman"/>
            <w:spacing w:val="-3"/>
            <w:sz w:val="20"/>
          </w:rPr>
          <w:t>https://www.opm.gov/policy-data-oversight/pay-leave/salaries-wages/salary-tables/20Tables/html/DCB_h.aspx</w:t>
        </w:r>
      </w:hyperlink>
      <w:r w:rsidRPr="00151D7B">
        <w:rPr>
          <w:rFonts w:ascii="Times New Roman" w:hAnsi="Times New Roman"/>
          <w:spacing w:val="-3"/>
          <w:sz w:val="20"/>
        </w:rPr>
        <w:t>)</w:t>
      </w:r>
    </w:p>
    <w:p w:rsidRPr="002568E6" w:rsidR="00ED28F2" w:rsidP="00ED28F2" w:rsidRDefault="00ED28F2" w14:paraId="7B2A096E" w14:textId="77777777">
      <w:pPr>
        <w:tabs>
          <w:tab w:val="left" w:pos="-720"/>
        </w:tabs>
        <w:suppressAutoHyphens/>
        <w:spacing w:line="480" w:lineRule="auto"/>
        <w:rPr>
          <w:rFonts w:ascii="Times New Roman" w:hAnsi="Times New Roman"/>
          <w:szCs w:val="24"/>
        </w:rPr>
      </w:pPr>
    </w:p>
    <w:p w:rsidRPr="002568E6" w:rsidR="000438E8" w:rsidP="0062567E" w:rsidRDefault="000438E8" w14:paraId="7B2A096F" w14:textId="77777777">
      <w:pPr>
        <w:pStyle w:val="Heading1"/>
        <w:rPr>
          <w:szCs w:val="24"/>
        </w:rPr>
      </w:pPr>
      <w:bookmarkStart w:name="_Toc401831371" w:id="32"/>
      <w:bookmarkStart w:name="_Toc401832415" w:id="33"/>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2"/>
      <w:bookmarkEnd w:id="33"/>
    </w:p>
    <w:p w:rsidRPr="002568E6" w:rsidR="0062567E" w:rsidP="0062567E" w:rsidRDefault="0062567E" w14:paraId="7B2A0970" w14:textId="77777777">
      <w:pPr>
        <w:tabs>
          <w:tab w:val="left" w:pos="0"/>
        </w:tabs>
        <w:suppressAutoHyphens/>
        <w:jc w:val="center"/>
        <w:rPr>
          <w:rFonts w:ascii="Times New Roman" w:hAnsi="Times New Roman"/>
          <w:b/>
          <w:szCs w:val="24"/>
        </w:rPr>
      </w:pPr>
    </w:p>
    <w:p w:rsidRPr="002568E6" w:rsidR="0062567E" w:rsidP="0062567E" w:rsidRDefault="0062567E" w14:paraId="7B2A0971"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Pr="0064088B" w:rsidR="00ED28F2" w:rsidP="00EE1B18" w:rsidRDefault="00EE1B18" w14:paraId="7B2A0973" w14:textId="5BF75C80">
      <w:pPr>
        <w:tabs>
          <w:tab w:val="left" w:pos="-720"/>
        </w:tabs>
        <w:suppressAutoHyphens/>
        <w:spacing w:line="480" w:lineRule="auto"/>
        <w:rPr>
          <w:rFonts w:ascii="Times New Roman" w:hAnsi="Times New Roman"/>
          <w:szCs w:val="24"/>
        </w:rPr>
      </w:pPr>
      <w:r w:rsidRPr="00EE1B18">
        <w:rPr>
          <w:rFonts w:ascii="Times New Roman" w:hAnsi="Times New Roman"/>
          <w:szCs w:val="24"/>
        </w:rPr>
        <w:t>This submission is a new information collection reques</w:t>
      </w:r>
      <w:r w:rsidR="00A419BA">
        <w:rPr>
          <w:rFonts w:ascii="Times New Roman" w:hAnsi="Times New Roman"/>
          <w:szCs w:val="24"/>
        </w:rPr>
        <w:t xml:space="preserve">t as a result of </w:t>
      </w:r>
      <w:r w:rsidR="008C4728">
        <w:rPr>
          <w:rFonts w:ascii="Times New Roman" w:hAnsi="Times New Roman"/>
          <w:szCs w:val="24"/>
        </w:rPr>
        <w:t xml:space="preserve">a program change </w:t>
      </w:r>
      <w:r w:rsidR="00BB5FDD">
        <w:rPr>
          <w:rFonts w:ascii="Times New Roman" w:hAnsi="Times New Roman"/>
          <w:szCs w:val="24"/>
        </w:rPr>
        <w:t xml:space="preserve">required by </w:t>
      </w:r>
      <w:r w:rsidR="00A419BA">
        <w:rPr>
          <w:rFonts w:ascii="Times New Roman" w:hAnsi="Times New Roman"/>
          <w:szCs w:val="24"/>
        </w:rPr>
        <w:t>statut</w:t>
      </w:r>
      <w:r w:rsidR="00BB5FDD">
        <w:rPr>
          <w:rFonts w:ascii="Times New Roman" w:hAnsi="Times New Roman"/>
          <w:szCs w:val="24"/>
        </w:rPr>
        <w:t xml:space="preserve">e. </w:t>
      </w:r>
      <w:r w:rsidR="00980F44">
        <w:rPr>
          <w:rFonts w:ascii="Times New Roman" w:hAnsi="Times New Roman"/>
          <w:szCs w:val="24"/>
        </w:rPr>
        <w:t xml:space="preserve">  These one-time funds and the application process associated with them are new to Child Nutrition Programs </w:t>
      </w:r>
      <w:r w:rsidRPr="00EE1B18">
        <w:rPr>
          <w:rFonts w:ascii="Times New Roman" w:hAnsi="Times New Roman"/>
          <w:szCs w:val="24"/>
        </w:rPr>
        <w:t xml:space="preserve">and will </w:t>
      </w:r>
      <w:r w:rsidR="00A419BA">
        <w:rPr>
          <w:rFonts w:ascii="Times New Roman" w:hAnsi="Times New Roman"/>
          <w:szCs w:val="24"/>
        </w:rPr>
        <w:t xml:space="preserve">add </w:t>
      </w:r>
      <w:r w:rsidR="00060175">
        <w:rPr>
          <w:rFonts w:ascii="Times New Roman" w:hAnsi="Times New Roman"/>
          <w:szCs w:val="24"/>
        </w:rPr>
        <w:t>1,</w:t>
      </w:r>
      <w:r w:rsidR="00980F44">
        <w:rPr>
          <w:rFonts w:ascii="Times New Roman" w:hAnsi="Times New Roman"/>
          <w:szCs w:val="24"/>
        </w:rPr>
        <w:t>234</w:t>
      </w:r>
      <w:r w:rsidRPr="00EE1B18">
        <w:rPr>
          <w:rFonts w:ascii="Times New Roman" w:hAnsi="Times New Roman"/>
          <w:szCs w:val="24"/>
        </w:rPr>
        <w:t xml:space="preserve"> hours of burden to OMB’s inventory.</w:t>
      </w:r>
    </w:p>
    <w:p w:rsidRPr="002568E6" w:rsidR="006B4BFE" w:rsidP="000438E8" w:rsidRDefault="006B4BFE" w14:paraId="7B2A0974" w14:textId="77777777">
      <w:pPr>
        <w:tabs>
          <w:tab w:val="left" w:pos="0"/>
        </w:tabs>
        <w:suppressAutoHyphens/>
        <w:rPr>
          <w:rFonts w:ascii="Times New Roman" w:hAnsi="Times New Roman"/>
          <w:szCs w:val="24"/>
        </w:rPr>
      </w:pPr>
    </w:p>
    <w:p w:rsidRPr="002568E6" w:rsidR="00A308DB" w:rsidP="0062567E" w:rsidRDefault="000438E8" w14:paraId="7B2A0975" w14:textId="77777777">
      <w:pPr>
        <w:pStyle w:val="Heading1"/>
        <w:rPr>
          <w:szCs w:val="24"/>
        </w:rPr>
      </w:pPr>
      <w:bookmarkStart w:name="_Toc401831372" w:id="34"/>
      <w:bookmarkStart w:name="_Toc401832416" w:id="35"/>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4"/>
      <w:bookmarkEnd w:id="35"/>
      <w:r w:rsidRPr="002568E6">
        <w:rPr>
          <w:szCs w:val="24"/>
        </w:rPr>
        <w:t xml:space="preserve"> </w:t>
      </w:r>
    </w:p>
    <w:p w:rsidRPr="002568E6" w:rsidR="00A308DB" w:rsidP="000438E8" w:rsidRDefault="00A308DB" w14:paraId="7B2A0976" w14:textId="77777777">
      <w:pPr>
        <w:tabs>
          <w:tab w:val="left" w:pos="0"/>
        </w:tabs>
        <w:suppressAutoHyphens/>
        <w:rPr>
          <w:rFonts w:ascii="Times New Roman" w:hAnsi="Times New Roman"/>
          <w:b/>
          <w:szCs w:val="24"/>
        </w:rPr>
      </w:pPr>
    </w:p>
    <w:p w:rsidRPr="002568E6" w:rsidR="0062567E" w:rsidP="0062567E" w:rsidRDefault="0062567E" w14:paraId="7B2A0977"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Pr="002568E6" w:rsidR="00ED28F2" w:rsidP="00ED28F2" w:rsidRDefault="00ED28F2" w14:paraId="7B2A0978" w14:textId="77777777">
      <w:pPr>
        <w:tabs>
          <w:tab w:val="left" w:pos="-720"/>
        </w:tabs>
        <w:suppressAutoHyphens/>
        <w:rPr>
          <w:rFonts w:ascii="Times New Roman" w:hAnsi="Times New Roman"/>
          <w:szCs w:val="24"/>
        </w:rPr>
      </w:pPr>
    </w:p>
    <w:p w:rsidR="000438E8" w:rsidP="00814E9A" w:rsidRDefault="00EE1B18" w14:paraId="7B2A097A" w14:textId="6E7FE9DF">
      <w:pPr>
        <w:tabs>
          <w:tab w:val="left" w:pos="0"/>
        </w:tabs>
        <w:suppressAutoHyphens/>
        <w:spacing w:line="480" w:lineRule="auto"/>
        <w:rPr>
          <w:rFonts w:ascii="Times New Roman" w:hAnsi="Times New Roman"/>
          <w:szCs w:val="24"/>
        </w:rPr>
      </w:pPr>
      <w:r w:rsidRPr="00EE1B18">
        <w:rPr>
          <w:rFonts w:ascii="Times New Roman" w:hAnsi="Times New Roman"/>
          <w:szCs w:val="24"/>
        </w:rPr>
        <w:t>This collection does not employ statistical methods and there are no plans to publish the results of this collection for statistical analyses.</w:t>
      </w:r>
      <w:r w:rsidRPr="00F1484D" w:rsidR="00F1484D">
        <w:rPr>
          <w:rFonts w:ascii="Times New Roman" w:hAnsi="Times New Roman"/>
          <w:szCs w:val="24"/>
        </w:rPr>
        <w:t>.</w:t>
      </w:r>
    </w:p>
    <w:p w:rsidRPr="002568E6" w:rsidR="00F1484D" w:rsidP="000438E8" w:rsidRDefault="00F1484D" w14:paraId="4CC9367D" w14:textId="77777777">
      <w:pPr>
        <w:tabs>
          <w:tab w:val="left" w:pos="0"/>
        </w:tabs>
        <w:suppressAutoHyphens/>
        <w:rPr>
          <w:rFonts w:ascii="Times New Roman" w:hAnsi="Times New Roman"/>
          <w:szCs w:val="24"/>
        </w:rPr>
      </w:pPr>
    </w:p>
    <w:p w:rsidRPr="002568E6" w:rsidR="00A308DB" w:rsidP="0062567E" w:rsidRDefault="000438E8" w14:paraId="7B2A097B" w14:textId="77777777">
      <w:pPr>
        <w:pStyle w:val="Heading1"/>
        <w:rPr>
          <w:szCs w:val="24"/>
        </w:rPr>
      </w:pPr>
      <w:bookmarkStart w:name="_Toc401831373" w:id="36"/>
      <w:bookmarkStart w:name="_Toc401832417" w:id="37"/>
      <w:r w:rsidRPr="002568E6">
        <w:rPr>
          <w:szCs w:val="24"/>
        </w:rPr>
        <w:t xml:space="preserve">A17.  </w:t>
      </w:r>
      <w:r w:rsidRPr="002568E6" w:rsidR="001C6CBE">
        <w:rPr>
          <w:szCs w:val="24"/>
        </w:rPr>
        <w:t>Displaying the OMB Approval Expiration Date.</w:t>
      </w:r>
      <w:bookmarkEnd w:id="36"/>
      <w:bookmarkEnd w:id="37"/>
    </w:p>
    <w:p w:rsidRPr="002568E6" w:rsidR="0062567E" w:rsidP="0062567E" w:rsidRDefault="0062567E" w14:paraId="7B2A097C" w14:textId="77777777">
      <w:pPr>
        <w:pStyle w:val="ListParagraph"/>
        <w:widowControl/>
        <w:spacing w:line="240" w:lineRule="auto"/>
        <w:ind w:left="0"/>
        <w:rPr>
          <w:b/>
          <w:szCs w:val="24"/>
        </w:rPr>
      </w:pPr>
    </w:p>
    <w:p w:rsidRPr="002568E6" w:rsidR="0062567E" w:rsidP="0062567E" w:rsidRDefault="0062567E" w14:paraId="7B2A097D" w14:textId="77777777">
      <w:pPr>
        <w:pStyle w:val="ListParagraph"/>
        <w:widowControl/>
        <w:spacing w:line="240" w:lineRule="auto"/>
        <w:ind w:left="0"/>
        <w:rPr>
          <w:b/>
          <w:szCs w:val="24"/>
        </w:rPr>
      </w:pPr>
      <w:r w:rsidRPr="002568E6">
        <w:rPr>
          <w:b/>
          <w:szCs w:val="24"/>
        </w:rPr>
        <w:lastRenderedPageBreak/>
        <w:t>If seeking approval to not display the expiration date for OMB approval of the information collection, explain the reasons that display would be inappropriate.</w:t>
      </w:r>
    </w:p>
    <w:p w:rsidRPr="002568E6" w:rsidR="00ED28F2" w:rsidP="00ED28F2" w:rsidRDefault="00ED28F2" w14:paraId="7B2A097E" w14:textId="77777777">
      <w:pPr>
        <w:tabs>
          <w:tab w:val="left" w:pos="-720"/>
        </w:tabs>
        <w:suppressAutoHyphens/>
        <w:rPr>
          <w:rFonts w:ascii="Times New Roman" w:hAnsi="Times New Roman"/>
          <w:szCs w:val="24"/>
        </w:rPr>
      </w:pPr>
    </w:p>
    <w:p w:rsidRPr="002568E6" w:rsidR="00ED28F2" w:rsidP="00ED28F2" w:rsidRDefault="00EE1B18" w14:paraId="7B2A097F" w14:textId="408DAF47">
      <w:pPr>
        <w:tabs>
          <w:tab w:val="left" w:pos="-720"/>
        </w:tabs>
        <w:suppressAutoHyphens/>
        <w:spacing w:line="480" w:lineRule="auto"/>
        <w:rPr>
          <w:rFonts w:ascii="Times New Roman" w:hAnsi="Times New Roman"/>
          <w:szCs w:val="24"/>
        </w:rPr>
      </w:pPr>
      <w:r w:rsidRPr="00EE1B18">
        <w:rPr>
          <w:rFonts w:ascii="Times New Roman" w:hAnsi="Times New Roman"/>
          <w:szCs w:val="24"/>
        </w:rPr>
        <w:t>The agency plans to display the expiration date for OMB approval of the information collection on all instruments.</w:t>
      </w:r>
    </w:p>
    <w:p w:rsidRPr="002568E6" w:rsidR="000438E8" w:rsidP="000438E8" w:rsidRDefault="000438E8" w14:paraId="7B2A0980" w14:textId="77777777">
      <w:pPr>
        <w:tabs>
          <w:tab w:val="left" w:pos="0"/>
        </w:tabs>
        <w:suppressAutoHyphens/>
        <w:rPr>
          <w:rFonts w:ascii="Times New Roman" w:hAnsi="Times New Roman"/>
          <w:szCs w:val="24"/>
        </w:rPr>
      </w:pPr>
    </w:p>
    <w:p w:rsidRPr="002568E6" w:rsidR="00A308DB" w:rsidP="0062567E" w:rsidRDefault="000438E8" w14:paraId="7B2A0981" w14:textId="77777777">
      <w:pPr>
        <w:pStyle w:val="Heading1"/>
        <w:rPr>
          <w:szCs w:val="24"/>
        </w:rPr>
      </w:pPr>
      <w:bookmarkStart w:name="_Toc401831374" w:id="38"/>
      <w:bookmarkStart w:name="_Toc401832418" w:id="39"/>
      <w:r w:rsidRPr="002568E6">
        <w:rPr>
          <w:szCs w:val="24"/>
        </w:rPr>
        <w:t>A18.  Exception</w:t>
      </w:r>
      <w:r w:rsidR="002568E6">
        <w:rPr>
          <w:szCs w:val="24"/>
        </w:rPr>
        <w:t>s</w:t>
      </w:r>
      <w:r w:rsidRPr="002568E6">
        <w:rPr>
          <w:szCs w:val="24"/>
        </w:rPr>
        <w:t xml:space="preserve"> to the certification statement identified in Item 19.</w:t>
      </w:r>
      <w:bookmarkEnd w:id="38"/>
      <w:bookmarkEnd w:id="39"/>
      <w:r w:rsidRPr="002568E6" w:rsidR="006F346E">
        <w:rPr>
          <w:szCs w:val="24"/>
        </w:rPr>
        <w:t xml:space="preserve">  </w:t>
      </w:r>
    </w:p>
    <w:p w:rsidRPr="002568E6" w:rsidR="0062567E" w:rsidP="000438E8" w:rsidRDefault="0062567E" w14:paraId="7B2A0982" w14:textId="77777777">
      <w:pPr>
        <w:tabs>
          <w:tab w:val="left" w:pos="0"/>
        </w:tabs>
        <w:suppressAutoHyphens/>
        <w:rPr>
          <w:rFonts w:ascii="Times New Roman" w:hAnsi="Times New Roman"/>
          <w:b/>
          <w:szCs w:val="24"/>
        </w:rPr>
      </w:pPr>
    </w:p>
    <w:p w:rsidRPr="002568E6" w:rsidR="0062567E" w:rsidP="000438E8" w:rsidRDefault="0062567E" w14:paraId="7B2A0983"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Pr="002568E6" w:rsidR="00ED28F2" w:rsidP="00ED28F2" w:rsidRDefault="00ED28F2" w14:paraId="7B2A0984" w14:textId="77777777">
      <w:pPr>
        <w:tabs>
          <w:tab w:val="left" w:pos="-720"/>
        </w:tabs>
        <w:suppressAutoHyphens/>
        <w:rPr>
          <w:rFonts w:ascii="Times New Roman" w:hAnsi="Times New Roman"/>
          <w:szCs w:val="24"/>
        </w:rPr>
      </w:pPr>
    </w:p>
    <w:p w:rsidRPr="002568E6" w:rsidR="00ED28F2" w:rsidP="00ED28F2" w:rsidRDefault="00D51023" w14:paraId="7B2A0985" w14:textId="3809BCB0">
      <w:pPr>
        <w:tabs>
          <w:tab w:val="left" w:pos="-720"/>
        </w:tabs>
        <w:suppressAutoHyphens/>
        <w:spacing w:line="480" w:lineRule="auto"/>
        <w:rPr>
          <w:rFonts w:ascii="Times New Roman" w:hAnsi="Times New Roman"/>
          <w:szCs w:val="24"/>
        </w:rPr>
      </w:pPr>
      <w:r>
        <w:rPr>
          <w:rFonts w:ascii="Times New Roman" w:hAnsi="Times New Roman"/>
          <w:szCs w:val="24"/>
        </w:rPr>
        <w:t>FNS does not have any exceptions to the certification statement.</w:t>
      </w:r>
    </w:p>
    <w:p w:rsidRPr="002568E6" w:rsidR="006F346E" w:rsidP="00ED28F2" w:rsidRDefault="006F346E" w14:paraId="7B2A0986" w14:textId="77777777">
      <w:pPr>
        <w:tabs>
          <w:tab w:val="left" w:pos="0"/>
        </w:tabs>
        <w:suppressAutoHyphens/>
        <w:rPr>
          <w:rFonts w:ascii="Times New Roman" w:hAnsi="Times New Roman"/>
          <w:szCs w:val="24"/>
        </w:rPr>
      </w:pPr>
    </w:p>
    <w:sectPr w:rsidRPr="002568E6" w:rsidR="006F346E" w:rsidSect="002568E6">
      <w:footerReference w:type="default" r:id="rId1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1B156" w14:textId="77777777" w:rsidR="00A218F0" w:rsidRDefault="00A218F0">
      <w:pPr>
        <w:spacing w:line="20" w:lineRule="exact"/>
      </w:pPr>
    </w:p>
  </w:endnote>
  <w:endnote w:type="continuationSeparator" w:id="0">
    <w:p w14:paraId="54E41488" w14:textId="77777777" w:rsidR="00A218F0" w:rsidRDefault="00A218F0">
      <w:r>
        <w:t xml:space="preserve"> </w:t>
      </w:r>
    </w:p>
  </w:endnote>
  <w:endnote w:type="continuationNotice" w:id="1">
    <w:p w14:paraId="5BD65924" w14:textId="77777777" w:rsidR="00A218F0" w:rsidRDefault="00A218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7B2A0995" w14:textId="28C8F3D6" w:rsidR="008932EB" w:rsidRPr="002568E6" w:rsidRDefault="008932EB">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F24E9E">
          <w:rPr>
            <w:rFonts w:ascii="Times New Roman" w:hAnsi="Times New Roman"/>
            <w:noProof/>
          </w:rPr>
          <w:t>8</w:t>
        </w:r>
        <w:r w:rsidRPr="002568E6">
          <w:rPr>
            <w:rFonts w:ascii="Times New Roman" w:hAnsi="Times New Roman"/>
            <w:noProof/>
          </w:rPr>
          <w:fldChar w:fldCharType="end"/>
        </w:r>
      </w:p>
    </w:sdtContent>
  </w:sdt>
  <w:p w14:paraId="7B2A0996" w14:textId="77777777" w:rsidR="008932EB" w:rsidRDefault="008932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0A1F1" w14:textId="77777777" w:rsidR="00A218F0" w:rsidRDefault="00A218F0">
      <w:r>
        <w:separator/>
      </w:r>
    </w:p>
  </w:footnote>
  <w:footnote w:type="continuationSeparator" w:id="0">
    <w:p w14:paraId="4CAA94D4" w14:textId="77777777" w:rsidR="00A218F0" w:rsidRDefault="00A218F0">
      <w:r>
        <w:continuationSeparator/>
      </w:r>
    </w:p>
  </w:footnote>
  <w:footnote w:id="1">
    <w:p w14:paraId="18128D8B" w14:textId="47A1B986" w:rsidR="008932EB" w:rsidRPr="00262485" w:rsidRDefault="008932EB">
      <w:pPr>
        <w:pStyle w:val="FootnoteText"/>
        <w:rPr>
          <w:rFonts w:ascii="Times New Roman" w:hAnsi="Times New Roman"/>
        </w:rPr>
      </w:pPr>
      <w:r w:rsidRPr="00262485">
        <w:rPr>
          <w:rStyle w:val="FootnoteReference"/>
          <w:rFonts w:ascii="Times New Roman" w:hAnsi="Times New Roman"/>
        </w:rPr>
        <w:footnoteRef/>
      </w:r>
      <w:r w:rsidRPr="00262485">
        <w:rPr>
          <w:rFonts w:ascii="Times New Roman" w:hAnsi="Times New Roman"/>
        </w:rPr>
        <w:t xml:space="preserve"> </w:t>
      </w:r>
      <w:hyperlink r:id="rId1" w:history="1">
        <w:r w:rsidRPr="00262485">
          <w:rPr>
            <w:rStyle w:val="Hyperlink"/>
            <w:rFonts w:ascii="Times New Roman" w:hAnsi="Times New Roman"/>
          </w:rPr>
          <w:t>https://www.bls.gov/oes/current/oes119151.htm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7B06CE"/>
    <w:multiLevelType w:val="hybridMultilevel"/>
    <w:tmpl w:val="7CD4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F744C"/>
    <w:multiLevelType w:val="hybridMultilevel"/>
    <w:tmpl w:val="A214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D654A"/>
    <w:multiLevelType w:val="hybridMultilevel"/>
    <w:tmpl w:val="242E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512FE"/>
    <w:multiLevelType w:val="hybridMultilevel"/>
    <w:tmpl w:val="3F7A9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EC6B9F"/>
    <w:multiLevelType w:val="hybridMultilevel"/>
    <w:tmpl w:val="EFA2A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063ACE"/>
    <w:multiLevelType w:val="hybridMultilevel"/>
    <w:tmpl w:val="76F4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3"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4" w15:restartNumberingAfterBreak="0">
    <w:nsid w:val="7C0E75C1"/>
    <w:multiLevelType w:val="hybridMultilevel"/>
    <w:tmpl w:val="7D8AB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3"/>
  </w:num>
  <w:num w:numId="3">
    <w:abstractNumId w:val="22"/>
  </w:num>
  <w:num w:numId="4">
    <w:abstractNumId w:val="11"/>
  </w:num>
  <w:num w:numId="5">
    <w:abstractNumId w:val="25"/>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num>
  <w:num w:numId="18">
    <w:abstractNumId w:val="14"/>
  </w:num>
  <w:num w:numId="19">
    <w:abstractNumId w:val="10"/>
  </w:num>
  <w:num w:numId="20">
    <w:abstractNumId w:val="20"/>
  </w:num>
  <w:num w:numId="21">
    <w:abstractNumId w:val="17"/>
  </w:num>
  <w:num w:numId="22">
    <w:abstractNumId w:val="16"/>
  </w:num>
  <w:num w:numId="23">
    <w:abstractNumId w:val="24"/>
  </w:num>
  <w:num w:numId="24">
    <w:abstractNumId w:val="15"/>
  </w:num>
  <w:num w:numId="25">
    <w:abstractNumId w:val="1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29E"/>
    <w:rsid w:val="00001CB2"/>
    <w:rsid w:val="00001DDD"/>
    <w:rsid w:val="00003E15"/>
    <w:rsid w:val="00003EA5"/>
    <w:rsid w:val="00006F99"/>
    <w:rsid w:val="000076A1"/>
    <w:rsid w:val="00007847"/>
    <w:rsid w:val="0000790A"/>
    <w:rsid w:val="00010DE3"/>
    <w:rsid w:val="00010DEC"/>
    <w:rsid w:val="00011898"/>
    <w:rsid w:val="00014023"/>
    <w:rsid w:val="000145E1"/>
    <w:rsid w:val="00014B4D"/>
    <w:rsid w:val="00015FCF"/>
    <w:rsid w:val="000223C1"/>
    <w:rsid w:val="00022592"/>
    <w:rsid w:val="000234FF"/>
    <w:rsid w:val="00023521"/>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47E46"/>
    <w:rsid w:val="000507EA"/>
    <w:rsid w:val="00052C5C"/>
    <w:rsid w:val="00053AB5"/>
    <w:rsid w:val="00054647"/>
    <w:rsid w:val="00054E5E"/>
    <w:rsid w:val="00056479"/>
    <w:rsid w:val="0006004A"/>
    <w:rsid w:val="00060175"/>
    <w:rsid w:val="0006089A"/>
    <w:rsid w:val="00061FC3"/>
    <w:rsid w:val="000621C5"/>
    <w:rsid w:val="00063761"/>
    <w:rsid w:val="00063800"/>
    <w:rsid w:val="0006449A"/>
    <w:rsid w:val="00064754"/>
    <w:rsid w:val="0006609B"/>
    <w:rsid w:val="00070A9C"/>
    <w:rsid w:val="00071ACF"/>
    <w:rsid w:val="00072177"/>
    <w:rsid w:val="00072C97"/>
    <w:rsid w:val="000744ED"/>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3EF0"/>
    <w:rsid w:val="000B50C9"/>
    <w:rsid w:val="000B7836"/>
    <w:rsid w:val="000C089B"/>
    <w:rsid w:val="000C10F7"/>
    <w:rsid w:val="000C55A2"/>
    <w:rsid w:val="000C5B0F"/>
    <w:rsid w:val="000C7369"/>
    <w:rsid w:val="000D0C93"/>
    <w:rsid w:val="000D17F6"/>
    <w:rsid w:val="000D279A"/>
    <w:rsid w:val="000D2CDB"/>
    <w:rsid w:val="000D42C0"/>
    <w:rsid w:val="000D5750"/>
    <w:rsid w:val="000D6419"/>
    <w:rsid w:val="000D724C"/>
    <w:rsid w:val="000E1CA0"/>
    <w:rsid w:val="000E2E6E"/>
    <w:rsid w:val="000E3CC6"/>
    <w:rsid w:val="000E4107"/>
    <w:rsid w:val="000E60A0"/>
    <w:rsid w:val="000E61B9"/>
    <w:rsid w:val="000E6CC9"/>
    <w:rsid w:val="000E7822"/>
    <w:rsid w:val="000E7D6D"/>
    <w:rsid w:val="000F1885"/>
    <w:rsid w:val="000F1BD4"/>
    <w:rsid w:val="000F24C8"/>
    <w:rsid w:val="000F2BAE"/>
    <w:rsid w:val="000F4EE7"/>
    <w:rsid w:val="000F52ED"/>
    <w:rsid w:val="000F6949"/>
    <w:rsid w:val="001052BD"/>
    <w:rsid w:val="0010698D"/>
    <w:rsid w:val="00106A09"/>
    <w:rsid w:val="00110773"/>
    <w:rsid w:val="00114D11"/>
    <w:rsid w:val="00115E73"/>
    <w:rsid w:val="001170E4"/>
    <w:rsid w:val="0011713C"/>
    <w:rsid w:val="00117A58"/>
    <w:rsid w:val="0012078A"/>
    <w:rsid w:val="00120E7F"/>
    <w:rsid w:val="00121633"/>
    <w:rsid w:val="00122007"/>
    <w:rsid w:val="0012249E"/>
    <w:rsid w:val="0012531F"/>
    <w:rsid w:val="00127364"/>
    <w:rsid w:val="00130FB4"/>
    <w:rsid w:val="00132669"/>
    <w:rsid w:val="00132EF8"/>
    <w:rsid w:val="00132F0C"/>
    <w:rsid w:val="0013306C"/>
    <w:rsid w:val="001334EF"/>
    <w:rsid w:val="0013469F"/>
    <w:rsid w:val="001363FB"/>
    <w:rsid w:val="001378D8"/>
    <w:rsid w:val="00137C85"/>
    <w:rsid w:val="00143411"/>
    <w:rsid w:val="0014383A"/>
    <w:rsid w:val="00143852"/>
    <w:rsid w:val="00145FCB"/>
    <w:rsid w:val="00146025"/>
    <w:rsid w:val="0015139F"/>
    <w:rsid w:val="00151D7B"/>
    <w:rsid w:val="00151DF5"/>
    <w:rsid w:val="00154D85"/>
    <w:rsid w:val="00156839"/>
    <w:rsid w:val="00157282"/>
    <w:rsid w:val="00160DAC"/>
    <w:rsid w:val="001613F6"/>
    <w:rsid w:val="00166501"/>
    <w:rsid w:val="001672A7"/>
    <w:rsid w:val="001673BF"/>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3D4D"/>
    <w:rsid w:val="001964E8"/>
    <w:rsid w:val="001A01C9"/>
    <w:rsid w:val="001A63AF"/>
    <w:rsid w:val="001B1E25"/>
    <w:rsid w:val="001B3D92"/>
    <w:rsid w:val="001B7724"/>
    <w:rsid w:val="001C15C7"/>
    <w:rsid w:val="001C256E"/>
    <w:rsid w:val="001C3A4C"/>
    <w:rsid w:val="001C4C39"/>
    <w:rsid w:val="001C5266"/>
    <w:rsid w:val="001C5B13"/>
    <w:rsid w:val="001C6CBE"/>
    <w:rsid w:val="001C70AF"/>
    <w:rsid w:val="001C7DC9"/>
    <w:rsid w:val="001D1F6E"/>
    <w:rsid w:val="001D2F45"/>
    <w:rsid w:val="001D343E"/>
    <w:rsid w:val="001D4FB0"/>
    <w:rsid w:val="001D7677"/>
    <w:rsid w:val="001E0748"/>
    <w:rsid w:val="001E22E9"/>
    <w:rsid w:val="001E5E66"/>
    <w:rsid w:val="001E668C"/>
    <w:rsid w:val="001F054A"/>
    <w:rsid w:val="001F4BF5"/>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1732"/>
    <w:rsid w:val="00252CF2"/>
    <w:rsid w:val="00253ECC"/>
    <w:rsid w:val="00255137"/>
    <w:rsid w:val="0025683E"/>
    <w:rsid w:val="002568E6"/>
    <w:rsid w:val="00260182"/>
    <w:rsid w:val="00260885"/>
    <w:rsid w:val="00262381"/>
    <w:rsid w:val="00262485"/>
    <w:rsid w:val="00262817"/>
    <w:rsid w:val="0026333C"/>
    <w:rsid w:val="002640ED"/>
    <w:rsid w:val="002649A9"/>
    <w:rsid w:val="00265623"/>
    <w:rsid w:val="002677D0"/>
    <w:rsid w:val="00267E64"/>
    <w:rsid w:val="00270D71"/>
    <w:rsid w:val="00272A66"/>
    <w:rsid w:val="00272DD6"/>
    <w:rsid w:val="002737E9"/>
    <w:rsid w:val="00275494"/>
    <w:rsid w:val="0027695F"/>
    <w:rsid w:val="00283364"/>
    <w:rsid w:val="00283F28"/>
    <w:rsid w:val="002900F6"/>
    <w:rsid w:val="00291A9C"/>
    <w:rsid w:val="002954B1"/>
    <w:rsid w:val="002A1B3D"/>
    <w:rsid w:val="002A7390"/>
    <w:rsid w:val="002B0654"/>
    <w:rsid w:val="002B46E1"/>
    <w:rsid w:val="002B4F85"/>
    <w:rsid w:val="002B6598"/>
    <w:rsid w:val="002C05AC"/>
    <w:rsid w:val="002C106E"/>
    <w:rsid w:val="002C2401"/>
    <w:rsid w:val="002C4936"/>
    <w:rsid w:val="002C4A84"/>
    <w:rsid w:val="002C6748"/>
    <w:rsid w:val="002C7B26"/>
    <w:rsid w:val="002D0DED"/>
    <w:rsid w:val="002D1E33"/>
    <w:rsid w:val="002D47CD"/>
    <w:rsid w:val="002E1315"/>
    <w:rsid w:val="002E1A35"/>
    <w:rsid w:val="002E37A1"/>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54D3"/>
    <w:rsid w:val="003164E9"/>
    <w:rsid w:val="00322942"/>
    <w:rsid w:val="00324C06"/>
    <w:rsid w:val="00325195"/>
    <w:rsid w:val="0032533B"/>
    <w:rsid w:val="00326F10"/>
    <w:rsid w:val="00333190"/>
    <w:rsid w:val="003333DF"/>
    <w:rsid w:val="00334635"/>
    <w:rsid w:val="00335E50"/>
    <w:rsid w:val="0033630C"/>
    <w:rsid w:val="0033721D"/>
    <w:rsid w:val="00341BC3"/>
    <w:rsid w:val="00341DA8"/>
    <w:rsid w:val="00341DEE"/>
    <w:rsid w:val="00342170"/>
    <w:rsid w:val="00343967"/>
    <w:rsid w:val="0034535B"/>
    <w:rsid w:val="0034537B"/>
    <w:rsid w:val="00350550"/>
    <w:rsid w:val="003521A9"/>
    <w:rsid w:val="003549E3"/>
    <w:rsid w:val="0035606E"/>
    <w:rsid w:val="00356D92"/>
    <w:rsid w:val="00360B8B"/>
    <w:rsid w:val="003637E7"/>
    <w:rsid w:val="0036497A"/>
    <w:rsid w:val="003651AE"/>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B4D28"/>
    <w:rsid w:val="003C2346"/>
    <w:rsid w:val="003C3FCC"/>
    <w:rsid w:val="003C41FC"/>
    <w:rsid w:val="003C5275"/>
    <w:rsid w:val="003C533C"/>
    <w:rsid w:val="003C5E7D"/>
    <w:rsid w:val="003C646A"/>
    <w:rsid w:val="003C6BDD"/>
    <w:rsid w:val="003D2FA4"/>
    <w:rsid w:val="003D3135"/>
    <w:rsid w:val="003D6927"/>
    <w:rsid w:val="003E0247"/>
    <w:rsid w:val="003E0D93"/>
    <w:rsid w:val="003E2F2D"/>
    <w:rsid w:val="003E64F6"/>
    <w:rsid w:val="003F33D5"/>
    <w:rsid w:val="003F7EFD"/>
    <w:rsid w:val="004000FA"/>
    <w:rsid w:val="00400754"/>
    <w:rsid w:val="004033DD"/>
    <w:rsid w:val="004037F9"/>
    <w:rsid w:val="0040495B"/>
    <w:rsid w:val="004060BE"/>
    <w:rsid w:val="004061F0"/>
    <w:rsid w:val="00407AEA"/>
    <w:rsid w:val="004113AB"/>
    <w:rsid w:val="004127EA"/>
    <w:rsid w:val="00415AE6"/>
    <w:rsid w:val="00417C54"/>
    <w:rsid w:val="00417D5F"/>
    <w:rsid w:val="00422327"/>
    <w:rsid w:val="00426F2B"/>
    <w:rsid w:val="0043148A"/>
    <w:rsid w:val="00431975"/>
    <w:rsid w:val="00432716"/>
    <w:rsid w:val="0043383F"/>
    <w:rsid w:val="00435AB5"/>
    <w:rsid w:val="00437234"/>
    <w:rsid w:val="00437471"/>
    <w:rsid w:val="00440392"/>
    <w:rsid w:val="00442B73"/>
    <w:rsid w:val="00443A6D"/>
    <w:rsid w:val="00444229"/>
    <w:rsid w:val="004459C6"/>
    <w:rsid w:val="00446314"/>
    <w:rsid w:val="004470D5"/>
    <w:rsid w:val="00447C1E"/>
    <w:rsid w:val="00451DEC"/>
    <w:rsid w:val="00452E03"/>
    <w:rsid w:val="00455134"/>
    <w:rsid w:val="00457267"/>
    <w:rsid w:val="004600D7"/>
    <w:rsid w:val="00462B00"/>
    <w:rsid w:val="00462C4E"/>
    <w:rsid w:val="0046423B"/>
    <w:rsid w:val="00464A34"/>
    <w:rsid w:val="004652FD"/>
    <w:rsid w:val="004708FD"/>
    <w:rsid w:val="00471312"/>
    <w:rsid w:val="004714B1"/>
    <w:rsid w:val="00472A8F"/>
    <w:rsid w:val="00472E23"/>
    <w:rsid w:val="0047436D"/>
    <w:rsid w:val="00474A8E"/>
    <w:rsid w:val="004752E2"/>
    <w:rsid w:val="0047544E"/>
    <w:rsid w:val="0047561A"/>
    <w:rsid w:val="00476676"/>
    <w:rsid w:val="00477E91"/>
    <w:rsid w:val="0048076C"/>
    <w:rsid w:val="00483781"/>
    <w:rsid w:val="00483CCC"/>
    <w:rsid w:val="00483F2C"/>
    <w:rsid w:val="00494A82"/>
    <w:rsid w:val="004A2D34"/>
    <w:rsid w:val="004A2F08"/>
    <w:rsid w:val="004A48CA"/>
    <w:rsid w:val="004A543C"/>
    <w:rsid w:val="004A6286"/>
    <w:rsid w:val="004A6581"/>
    <w:rsid w:val="004A70B8"/>
    <w:rsid w:val="004B46EC"/>
    <w:rsid w:val="004B5BE1"/>
    <w:rsid w:val="004C2E49"/>
    <w:rsid w:val="004C50AE"/>
    <w:rsid w:val="004C615B"/>
    <w:rsid w:val="004C69A7"/>
    <w:rsid w:val="004C719C"/>
    <w:rsid w:val="004D04AD"/>
    <w:rsid w:val="004D1FDB"/>
    <w:rsid w:val="004D3638"/>
    <w:rsid w:val="004D3903"/>
    <w:rsid w:val="004D43D3"/>
    <w:rsid w:val="004D4583"/>
    <w:rsid w:val="004D5E86"/>
    <w:rsid w:val="004E11D8"/>
    <w:rsid w:val="004E160F"/>
    <w:rsid w:val="004E4959"/>
    <w:rsid w:val="004E5D8C"/>
    <w:rsid w:val="004E5F80"/>
    <w:rsid w:val="004E6BFA"/>
    <w:rsid w:val="004E72D3"/>
    <w:rsid w:val="004E7651"/>
    <w:rsid w:val="004E7FD0"/>
    <w:rsid w:val="004F22CB"/>
    <w:rsid w:val="004F2540"/>
    <w:rsid w:val="004F2F54"/>
    <w:rsid w:val="004F40C6"/>
    <w:rsid w:val="004F4886"/>
    <w:rsid w:val="004F6EDF"/>
    <w:rsid w:val="004F72C7"/>
    <w:rsid w:val="004F77ED"/>
    <w:rsid w:val="004F7E06"/>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5E4B"/>
    <w:rsid w:val="005266CA"/>
    <w:rsid w:val="0052671A"/>
    <w:rsid w:val="00532C45"/>
    <w:rsid w:val="005358BC"/>
    <w:rsid w:val="005362EB"/>
    <w:rsid w:val="005364A3"/>
    <w:rsid w:val="0053713F"/>
    <w:rsid w:val="00537800"/>
    <w:rsid w:val="00540608"/>
    <w:rsid w:val="00542038"/>
    <w:rsid w:val="00542051"/>
    <w:rsid w:val="00542C4F"/>
    <w:rsid w:val="005445BE"/>
    <w:rsid w:val="00545890"/>
    <w:rsid w:val="00550A3B"/>
    <w:rsid w:val="00550E21"/>
    <w:rsid w:val="0055158F"/>
    <w:rsid w:val="005524A2"/>
    <w:rsid w:val="005547E1"/>
    <w:rsid w:val="005577E4"/>
    <w:rsid w:val="005601C3"/>
    <w:rsid w:val="00560A01"/>
    <w:rsid w:val="00563EAF"/>
    <w:rsid w:val="0056518C"/>
    <w:rsid w:val="00565D5B"/>
    <w:rsid w:val="00565FA4"/>
    <w:rsid w:val="005674F7"/>
    <w:rsid w:val="00567DE7"/>
    <w:rsid w:val="00571540"/>
    <w:rsid w:val="005721E3"/>
    <w:rsid w:val="00580507"/>
    <w:rsid w:val="00581E48"/>
    <w:rsid w:val="005827E8"/>
    <w:rsid w:val="005838D8"/>
    <w:rsid w:val="00585B91"/>
    <w:rsid w:val="00585F7F"/>
    <w:rsid w:val="00586F6C"/>
    <w:rsid w:val="005912FB"/>
    <w:rsid w:val="005917B8"/>
    <w:rsid w:val="00591AD7"/>
    <w:rsid w:val="0059282D"/>
    <w:rsid w:val="005940EB"/>
    <w:rsid w:val="0059525A"/>
    <w:rsid w:val="0059545A"/>
    <w:rsid w:val="005955C7"/>
    <w:rsid w:val="00596675"/>
    <w:rsid w:val="005967BB"/>
    <w:rsid w:val="005A0C2E"/>
    <w:rsid w:val="005A3F80"/>
    <w:rsid w:val="005A4F79"/>
    <w:rsid w:val="005A598F"/>
    <w:rsid w:val="005B172E"/>
    <w:rsid w:val="005B1F39"/>
    <w:rsid w:val="005B20B9"/>
    <w:rsid w:val="005B2A87"/>
    <w:rsid w:val="005C04BB"/>
    <w:rsid w:val="005C286E"/>
    <w:rsid w:val="005C33B4"/>
    <w:rsid w:val="005C423C"/>
    <w:rsid w:val="005C460D"/>
    <w:rsid w:val="005C50FC"/>
    <w:rsid w:val="005C54B0"/>
    <w:rsid w:val="005C6321"/>
    <w:rsid w:val="005D021A"/>
    <w:rsid w:val="005D4603"/>
    <w:rsid w:val="005D532E"/>
    <w:rsid w:val="005D6EA7"/>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0F05"/>
    <w:rsid w:val="00616358"/>
    <w:rsid w:val="00617B1B"/>
    <w:rsid w:val="0062182F"/>
    <w:rsid w:val="0062241E"/>
    <w:rsid w:val="006226A2"/>
    <w:rsid w:val="006228E2"/>
    <w:rsid w:val="006239CA"/>
    <w:rsid w:val="0062567E"/>
    <w:rsid w:val="00626691"/>
    <w:rsid w:val="00630C90"/>
    <w:rsid w:val="0063244C"/>
    <w:rsid w:val="00634425"/>
    <w:rsid w:val="00634E66"/>
    <w:rsid w:val="0063688D"/>
    <w:rsid w:val="00640767"/>
    <w:rsid w:val="0064088B"/>
    <w:rsid w:val="00640F7D"/>
    <w:rsid w:val="0064229A"/>
    <w:rsid w:val="006469D1"/>
    <w:rsid w:val="00646DDA"/>
    <w:rsid w:val="0065006B"/>
    <w:rsid w:val="00650AF4"/>
    <w:rsid w:val="00650EBF"/>
    <w:rsid w:val="00653993"/>
    <w:rsid w:val="00655D39"/>
    <w:rsid w:val="0065657E"/>
    <w:rsid w:val="0066069C"/>
    <w:rsid w:val="00661AF9"/>
    <w:rsid w:val="00661B51"/>
    <w:rsid w:val="00664AD0"/>
    <w:rsid w:val="00664C7C"/>
    <w:rsid w:val="0066583A"/>
    <w:rsid w:val="00665B4D"/>
    <w:rsid w:val="0066688F"/>
    <w:rsid w:val="00666F6E"/>
    <w:rsid w:val="00670841"/>
    <w:rsid w:val="00673E6A"/>
    <w:rsid w:val="006759ED"/>
    <w:rsid w:val="00675EDB"/>
    <w:rsid w:val="00676E4D"/>
    <w:rsid w:val="00677034"/>
    <w:rsid w:val="0068067E"/>
    <w:rsid w:val="00682090"/>
    <w:rsid w:val="0068319C"/>
    <w:rsid w:val="00686481"/>
    <w:rsid w:val="00686BB3"/>
    <w:rsid w:val="00687C66"/>
    <w:rsid w:val="006929FB"/>
    <w:rsid w:val="00694161"/>
    <w:rsid w:val="00694A12"/>
    <w:rsid w:val="00695911"/>
    <w:rsid w:val="006962A7"/>
    <w:rsid w:val="00696634"/>
    <w:rsid w:val="006A131B"/>
    <w:rsid w:val="006A3E01"/>
    <w:rsid w:val="006A708D"/>
    <w:rsid w:val="006A7A14"/>
    <w:rsid w:val="006A7F48"/>
    <w:rsid w:val="006B005F"/>
    <w:rsid w:val="006B0C2C"/>
    <w:rsid w:val="006B3BF8"/>
    <w:rsid w:val="006B4BFE"/>
    <w:rsid w:val="006B6B39"/>
    <w:rsid w:val="006C0F33"/>
    <w:rsid w:val="006C2B18"/>
    <w:rsid w:val="006C4942"/>
    <w:rsid w:val="006C4BE5"/>
    <w:rsid w:val="006C5470"/>
    <w:rsid w:val="006C571B"/>
    <w:rsid w:val="006C60D2"/>
    <w:rsid w:val="006C6F61"/>
    <w:rsid w:val="006C7186"/>
    <w:rsid w:val="006C7719"/>
    <w:rsid w:val="006D0EAD"/>
    <w:rsid w:val="006D0FF5"/>
    <w:rsid w:val="006D2901"/>
    <w:rsid w:val="006D4339"/>
    <w:rsid w:val="006D5D1F"/>
    <w:rsid w:val="006D6B2A"/>
    <w:rsid w:val="006D7835"/>
    <w:rsid w:val="006D7F88"/>
    <w:rsid w:val="006E16EE"/>
    <w:rsid w:val="006E4AC6"/>
    <w:rsid w:val="006E4B7F"/>
    <w:rsid w:val="006E5418"/>
    <w:rsid w:val="006E59D7"/>
    <w:rsid w:val="006E5E54"/>
    <w:rsid w:val="006F05C3"/>
    <w:rsid w:val="006F142B"/>
    <w:rsid w:val="006F15B1"/>
    <w:rsid w:val="006F174B"/>
    <w:rsid w:val="006F3032"/>
    <w:rsid w:val="006F346E"/>
    <w:rsid w:val="006F5B38"/>
    <w:rsid w:val="006F6A9F"/>
    <w:rsid w:val="00700579"/>
    <w:rsid w:val="00700F3B"/>
    <w:rsid w:val="00701E5A"/>
    <w:rsid w:val="00702822"/>
    <w:rsid w:val="0070367B"/>
    <w:rsid w:val="00704A9A"/>
    <w:rsid w:val="00707ED6"/>
    <w:rsid w:val="00710CF7"/>
    <w:rsid w:val="0071282D"/>
    <w:rsid w:val="007135AF"/>
    <w:rsid w:val="0071759C"/>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3E8F"/>
    <w:rsid w:val="00745F3B"/>
    <w:rsid w:val="0074676D"/>
    <w:rsid w:val="00746993"/>
    <w:rsid w:val="00747267"/>
    <w:rsid w:val="007505B0"/>
    <w:rsid w:val="00751946"/>
    <w:rsid w:val="007532C9"/>
    <w:rsid w:val="00754981"/>
    <w:rsid w:val="00756119"/>
    <w:rsid w:val="007570C9"/>
    <w:rsid w:val="00760434"/>
    <w:rsid w:val="00761877"/>
    <w:rsid w:val="00763D19"/>
    <w:rsid w:val="00764AB6"/>
    <w:rsid w:val="007704A9"/>
    <w:rsid w:val="00772867"/>
    <w:rsid w:val="00772B26"/>
    <w:rsid w:val="0077330C"/>
    <w:rsid w:val="00776D16"/>
    <w:rsid w:val="00782AAA"/>
    <w:rsid w:val="00782D70"/>
    <w:rsid w:val="00783919"/>
    <w:rsid w:val="00783DA7"/>
    <w:rsid w:val="00784603"/>
    <w:rsid w:val="007849FA"/>
    <w:rsid w:val="0078653A"/>
    <w:rsid w:val="00792C32"/>
    <w:rsid w:val="00794AFB"/>
    <w:rsid w:val="00797164"/>
    <w:rsid w:val="007A238A"/>
    <w:rsid w:val="007A293E"/>
    <w:rsid w:val="007A2BBA"/>
    <w:rsid w:val="007A3EC6"/>
    <w:rsid w:val="007A5E7D"/>
    <w:rsid w:val="007A7123"/>
    <w:rsid w:val="007B0003"/>
    <w:rsid w:val="007B008F"/>
    <w:rsid w:val="007B13FA"/>
    <w:rsid w:val="007B17C2"/>
    <w:rsid w:val="007B3030"/>
    <w:rsid w:val="007B32AD"/>
    <w:rsid w:val="007B4A75"/>
    <w:rsid w:val="007B54AE"/>
    <w:rsid w:val="007C0BE8"/>
    <w:rsid w:val="007C0D2F"/>
    <w:rsid w:val="007C0EBF"/>
    <w:rsid w:val="007C2127"/>
    <w:rsid w:val="007C31C5"/>
    <w:rsid w:val="007C44DA"/>
    <w:rsid w:val="007D1FBD"/>
    <w:rsid w:val="007D46EC"/>
    <w:rsid w:val="007D4D5F"/>
    <w:rsid w:val="007D68BA"/>
    <w:rsid w:val="007D76FB"/>
    <w:rsid w:val="007E0B9B"/>
    <w:rsid w:val="007E3170"/>
    <w:rsid w:val="007E4256"/>
    <w:rsid w:val="007E5364"/>
    <w:rsid w:val="007E6793"/>
    <w:rsid w:val="007F2B2C"/>
    <w:rsid w:val="00800EE9"/>
    <w:rsid w:val="00801786"/>
    <w:rsid w:val="00803F61"/>
    <w:rsid w:val="008050EE"/>
    <w:rsid w:val="008071C5"/>
    <w:rsid w:val="00810BB3"/>
    <w:rsid w:val="00813EE2"/>
    <w:rsid w:val="008140F5"/>
    <w:rsid w:val="00814E9A"/>
    <w:rsid w:val="00816EB4"/>
    <w:rsid w:val="0082083D"/>
    <w:rsid w:val="00821AC8"/>
    <w:rsid w:val="008221AA"/>
    <w:rsid w:val="00823AB3"/>
    <w:rsid w:val="0082448C"/>
    <w:rsid w:val="00826253"/>
    <w:rsid w:val="0082671D"/>
    <w:rsid w:val="00826DD8"/>
    <w:rsid w:val="008270DC"/>
    <w:rsid w:val="0083118E"/>
    <w:rsid w:val="00831B90"/>
    <w:rsid w:val="00831EA7"/>
    <w:rsid w:val="00833324"/>
    <w:rsid w:val="00835A63"/>
    <w:rsid w:val="008377B5"/>
    <w:rsid w:val="00841477"/>
    <w:rsid w:val="00842E02"/>
    <w:rsid w:val="008502C2"/>
    <w:rsid w:val="008507EF"/>
    <w:rsid w:val="00850904"/>
    <w:rsid w:val="008525DD"/>
    <w:rsid w:val="00853829"/>
    <w:rsid w:val="00853BF9"/>
    <w:rsid w:val="00855487"/>
    <w:rsid w:val="00855EE1"/>
    <w:rsid w:val="00856AB0"/>
    <w:rsid w:val="00861FED"/>
    <w:rsid w:val="00862A3F"/>
    <w:rsid w:val="008648BF"/>
    <w:rsid w:val="00864D2A"/>
    <w:rsid w:val="00867C20"/>
    <w:rsid w:val="00870BB1"/>
    <w:rsid w:val="0087187D"/>
    <w:rsid w:val="00871E93"/>
    <w:rsid w:val="00872422"/>
    <w:rsid w:val="00872B95"/>
    <w:rsid w:val="008733D8"/>
    <w:rsid w:val="008745A8"/>
    <w:rsid w:val="0088209A"/>
    <w:rsid w:val="0088245A"/>
    <w:rsid w:val="008832DB"/>
    <w:rsid w:val="00884B5C"/>
    <w:rsid w:val="0088500E"/>
    <w:rsid w:val="00886AC1"/>
    <w:rsid w:val="008876AB"/>
    <w:rsid w:val="008915FB"/>
    <w:rsid w:val="008932EB"/>
    <w:rsid w:val="0089577E"/>
    <w:rsid w:val="00895CB0"/>
    <w:rsid w:val="00897DE4"/>
    <w:rsid w:val="008A1A85"/>
    <w:rsid w:val="008A1F39"/>
    <w:rsid w:val="008A2948"/>
    <w:rsid w:val="008A4269"/>
    <w:rsid w:val="008A7380"/>
    <w:rsid w:val="008B0F94"/>
    <w:rsid w:val="008B25E6"/>
    <w:rsid w:val="008B3FDA"/>
    <w:rsid w:val="008B4683"/>
    <w:rsid w:val="008B472E"/>
    <w:rsid w:val="008B57A8"/>
    <w:rsid w:val="008C00B4"/>
    <w:rsid w:val="008C0747"/>
    <w:rsid w:val="008C1668"/>
    <w:rsid w:val="008C2EB3"/>
    <w:rsid w:val="008C3FAF"/>
    <w:rsid w:val="008C4728"/>
    <w:rsid w:val="008C62AD"/>
    <w:rsid w:val="008C6BEB"/>
    <w:rsid w:val="008D1717"/>
    <w:rsid w:val="008D174D"/>
    <w:rsid w:val="008D2B7F"/>
    <w:rsid w:val="008D2E1A"/>
    <w:rsid w:val="008D2FF6"/>
    <w:rsid w:val="008D4C32"/>
    <w:rsid w:val="008D554A"/>
    <w:rsid w:val="008D5DC5"/>
    <w:rsid w:val="008E2B05"/>
    <w:rsid w:val="008E569D"/>
    <w:rsid w:val="008F0099"/>
    <w:rsid w:val="008F0605"/>
    <w:rsid w:val="008F0A60"/>
    <w:rsid w:val="008F1939"/>
    <w:rsid w:val="008F2DEC"/>
    <w:rsid w:val="008F3F14"/>
    <w:rsid w:val="00902E57"/>
    <w:rsid w:val="0090313F"/>
    <w:rsid w:val="00903920"/>
    <w:rsid w:val="00904305"/>
    <w:rsid w:val="009049C5"/>
    <w:rsid w:val="009049D1"/>
    <w:rsid w:val="00904B63"/>
    <w:rsid w:val="00905A5F"/>
    <w:rsid w:val="009062BF"/>
    <w:rsid w:val="0090666C"/>
    <w:rsid w:val="00906F7A"/>
    <w:rsid w:val="00910330"/>
    <w:rsid w:val="00910824"/>
    <w:rsid w:val="00910CCC"/>
    <w:rsid w:val="009141DF"/>
    <w:rsid w:val="00917120"/>
    <w:rsid w:val="009171A0"/>
    <w:rsid w:val="009172D7"/>
    <w:rsid w:val="00920B77"/>
    <w:rsid w:val="00921A94"/>
    <w:rsid w:val="0092248C"/>
    <w:rsid w:val="00922DEC"/>
    <w:rsid w:val="00922FC1"/>
    <w:rsid w:val="009232EE"/>
    <w:rsid w:val="00923F25"/>
    <w:rsid w:val="00924481"/>
    <w:rsid w:val="0092466F"/>
    <w:rsid w:val="00925D56"/>
    <w:rsid w:val="0092640D"/>
    <w:rsid w:val="0092668F"/>
    <w:rsid w:val="00930FCC"/>
    <w:rsid w:val="009361A2"/>
    <w:rsid w:val="009379DE"/>
    <w:rsid w:val="0094179F"/>
    <w:rsid w:val="00944853"/>
    <w:rsid w:val="009500BC"/>
    <w:rsid w:val="00950A52"/>
    <w:rsid w:val="009515BB"/>
    <w:rsid w:val="0095290A"/>
    <w:rsid w:val="009536A2"/>
    <w:rsid w:val="00956D8E"/>
    <w:rsid w:val="009575CF"/>
    <w:rsid w:val="00961994"/>
    <w:rsid w:val="00962F5F"/>
    <w:rsid w:val="00964E59"/>
    <w:rsid w:val="009666C0"/>
    <w:rsid w:val="00966860"/>
    <w:rsid w:val="00967564"/>
    <w:rsid w:val="00967F46"/>
    <w:rsid w:val="00971C3A"/>
    <w:rsid w:val="00972641"/>
    <w:rsid w:val="009727E2"/>
    <w:rsid w:val="00973A02"/>
    <w:rsid w:val="00974A06"/>
    <w:rsid w:val="00974B18"/>
    <w:rsid w:val="009751DC"/>
    <w:rsid w:val="00980270"/>
    <w:rsid w:val="00980D53"/>
    <w:rsid w:val="00980F44"/>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601"/>
    <w:rsid w:val="009A7BE0"/>
    <w:rsid w:val="009B2E15"/>
    <w:rsid w:val="009B4B0D"/>
    <w:rsid w:val="009B6105"/>
    <w:rsid w:val="009C1A67"/>
    <w:rsid w:val="009C1A7F"/>
    <w:rsid w:val="009C32A5"/>
    <w:rsid w:val="009C419C"/>
    <w:rsid w:val="009C5170"/>
    <w:rsid w:val="009C5B28"/>
    <w:rsid w:val="009C7411"/>
    <w:rsid w:val="009C7B2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3487"/>
    <w:rsid w:val="009F4910"/>
    <w:rsid w:val="009F54AE"/>
    <w:rsid w:val="009F67CC"/>
    <w:rsid w:val="009F7643"/>
    <w:rsid w:val="009F7E1A"/>
    <w:rsid w:val="00A021C3"/>
    <w:rsid w:val="00A1154D"/>
    <w:rsid w:val="00A126D7"/>
    <w:rsid w:val="00A12F4D"/>
    <w:rsid w:val="00A13385"/>
    <w:rsid w:val="00A13F72"/>
    <w:rsid w:val="00A15D98"/>
    <w:rsid w:val="00A160BF"/>
    <w:rsid w:val="00A171D3"/>
    <w:rsid w:val="00A17719"/>
    <w:rsid w:val="00A20EFB"/>
    <w:rsid w:val="00A2115F"/>
    <w:rsid w:val="00A218F0"/>
    <w:rsid w:val="00A244A9"/>
    <w:rsid w:val="00A24C1D"/>
    <w:rsid w:val="00A27B3A"/>
    <w:rsid w:val="00A308DB"/>
    <w:rsid w:val="00A3110D"/>
    <w:rsid w:val="00A31871"/>
    <w:rsid w:val="00A31B2A"/>
    <w:rsid w:val="00A32543"/>
    <w:rsid w:val="00A3317C"/>
    <w:rsid w:val="00A35C55"/>
    <w:rsid w:val="00A37B27"/>
    <w:rsid w:val="00A37C87"/>
    <w:rsid w:val="00A419BA"/>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679E6"/>
    <w:rsid w:val="00A70E02"/>
    <w:rsid w:val="00A723AD"/>
    <w:rsid w:val="00A7252E"/>
    <w:rsid w:val="00A73197"/>
    <w:rsid w:val="00A73507"/>
    <w:rsid w:val="00A73EF4"/>
    <w:rsid w:val="00A7459E"/>
    <w:rsid w:val="00A75998"/>
    <w:rsid w:val="00A75A61"/>
    <w:rsid w:val="00A7688B"/>
    <w:rsid w:val="00A81B52"/>
    <w:rsid w:val="00A82AA1"/>
    <w:rsid w:val="00A82BB4"/>
    <w:rsid w:val="00A83FB0"/>
    <w:rsid w:val="00A865E6"/>
    <w:rsid w:val="00A905F5"/>
    <w:rsid w:val="00A925C9"/>
    <w:rsid w:val="00A92D91"/>
    <w:rsid w:val="00A95DB5"/>
    <w:rsid w:val="00A969EB"/>
    <w:rsid w:val="00A96B59"/>
    <w:rsid w:val="00AA0B7C"/>
    <w:rsid w:val="00AA55D2"/>
    <w:rsid w:val="00AA6BEE"/>
    <w:rsid w:val="00AA7789"/>
    <w:rsid w:val="00AB0DCA"/>
    <w:rsid w:val="00AB0DD5"/>
    <w:rsid w:val="00AB5F42"/>
    <w:rsid w:val="00AB67B2"/>
    <w:rsid w:val="00AB6B56"/>
    <w:rsid w:val="00AC0DA1"/>
    <w:rsid w:val="00AC1CF7"/>
    <w:rsid w:val="00AC2B52"/>
    <w:rsid w:val="00AC4F27"/>
    <w:rsid w:val="00AC61A8"/>
    <w:rsid w:val="00AD1B31"/>
    <w:rsid w:val="00AD2642"/>
    <w:rsid w:val="00AD2800"/>
    <w:rsid w:val="00AD4629"/>
    <w:rsid w:val="00AD6ECF"/>
    <w:rsid w:val="00AE0DA1"/>
    <w:rsid w:val="00AE4F48"/>
    <w:rsid w:val="00AE5974"/>
    <w:rsid w:val="00AE6A0B"/>
    <w:rsid w:val="00AE7A2F"/>
    <w:rsid w:val="00AF07D8"/>
    <w:rsid w:val="00AF143D"/>
    <w:rsid w:val="00AF32EA"/>
    <w:rsid w:val="00AF55EF"/>
    <w:rsid w:val="00AF7AC8"/>
    <w:rsid w:val="00B01286"/>
    <w:rsid w:val="00B01769"/>
    <w:rsid w:val="00B01B6B"/>
    <w:rsid w:val="00B06CD9"/>
    <w:rsid w:val="00B12FBB"/>
    <w:rsid w:val="00B20E43"/>
    <w:rsid w:val="00B2117C"/>
    <w:rsid w:val="00B22E0E"/>
    <w:rsid w:val="00B24022"/>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2B36"/>
    <w:rsid w:val="00B6562C"/>
    <w:rsid w:val="00B677F2"/>
    <w:rsid w:val="00B72525"/>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5FDD"/>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4BC2"/>
    <w:rsid w:val="00BF780B"/>
    <w:rsid w:val="00C00128"/>
    <w:rsid w:val="00C011D1"/>
    <w:rsid w:val="00C02236"/>
    <w:rsid w:val="00C02C23"/>
    <w:rsid w:val="00C02C6A"/>
    <w:rsid w:val="00C05443"/>
    <w:rsid w:val="00C05589"/>
    <w:rsid w:val="00C075A4"/>
    <w:rsid w:val="00C103B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5661E"/>
    <w:rsid w:val="00C6025D"/>
    <w:rsid w:val="00C619D0"/>
    <w:rsid w:val="00C61B37"/>
    <w:rsid w:val="00C63D53"/>
    <w:rsid w:val="00C7097C"/>
    <w:rsid w:val="00C70AD9"/>
    <w:rsid w:val="00C72374"/>
    <w:rsid w:val="00C7389B"/>
    <w:rsid w:val="00C77545"/>
    <w:rsid w:val="00C77CDA"/>
    <w:rsid w:val="00C81187"/>
    <w:rsid w:val="00C82339"/>
    <w:rsid w:val="00C84D5A"/>
    <w:rsid w:val="00C851FC"/>
    <w:rsid w:val="00C860DE"/>
    <w:rsid w:val="00C867FB"/>
    <w:rsid w:val="00C90227"/>
    <w:rsid w:val="00C915DE"/>
    <w:rsid w:val="00C929DD"/>
    <w:rsid w:val="00C93698"/>
    <w:rsid w:val="00CA03CD"/>
    <w:rsid w:val="00CA0412"/>
    <w:rsid w:val="00CA1F00"/>
    <w:rsid w:val="00CA2EE6"/>
    <w:rsid w:val="00CA33C7"/>
    <w:rsid w:val="00CA4133"/>
    <w:rsid w:val="00CA5F04"/>
    <w:rsid w:val="00CA61A0"/>
    <w:rsid w:val="00CB022F"/>
    <w:rsid w:val="00CB462E"/>
    <w:rsid w:val="00CB4BAA"/>
    <w:rsid w:val="00CB5C7C"/>
    <w:rsid w:val="00CC03DA"/>
    <w:rsid w:val="00CC3B51"/>
    <w:rsid w:val="00CC400E"/>
    <w:rsid w:val="00CC5EE3"/>
    <w:rsid w:val="00CC78E0"/>
    <w:rsid w:val="00CC7D21"/>
    <w:rsid w:val="00CD11B6"/>
    <w:rsid w:val="00CD33F6"/>
    <w:rsid w:val="00CD4EBD"/>
    <w:rsid w:val="00CD4EFE"/>
    <w:rsid w:val="00CE2F33"/>
    <w:rsid w:val="00CE5DF7"/>
    <w:rsid w:val="00CF0312"/>
    <w:rsid w:val="00CF0BBA"/>
    <w:rsid w:val="00CF198E"/>
    <w:rsid w:val="00CF2F46"/>
    <w:rsid w:val="00CF2FF5"/>
    <w:rsid w:val="00CF3028"/>
    <w:rsid w:val="00CF7201"/>
    <w:rsid w:val="00CF7CB1"/>
    <w:rsid w:val="00D0059B"/>
    <w:rsid w:val="00D01018"/>
    <w:rsid w:val="00D04910"/>
    <w:rsid w:val="00D04B01"/>
    <w:rsid w:val="00D05859"/>
    <w:rsid w:val="00D0598F"/>
    <w:rsid w:val="00D076D5"/>
    <w:rsid w:val="00D0789B"/>
    <w:rsid w:val="00D100BF"/>
    <w:rsid w:val="00D12812"/>
    <w:rsid w:val="00D13013"/>
    <w:rsid w:val="00D15723"/>
    <w:rsid w:val="00D1795D"/>
    <w:rsid w:val="00D17F46"/>
    <w:rsid w:val="00D2213B"/>
    <w:rsid w:val="00D227C2"/>
    <w:rsid w:val="00D245FB"/>
    <w:rsid w:val="00D254A5"/>
    <w:rsid w:val="00D27001"/>
    <w:rsid w:val="00D33375"/>
    <w:rsid w:val="00D352D9"/>
    <w:rsid w:val="00D373E1"/>
    <w:rsid w:val="00D3753F"/>
    <w:rsid w:val="00D37A4B"/>
    <w:rsid w:val="00D41FA8"/>
    <w:rsid w:val="00D42417"/>
    <w:rsid w:val="00D4297F"/>
    <w:rsid w:val="00D447DA"/>
    <w:rsid w:val="00D46D94"/>
    <w:rsid w:val="00D4719E"/>
    <w:rsid w:val="00D51023"/>
    <w:rsid w:val="00D5257C"/>
    <w:rsid w:val="00D528DB"/>
    <w:rsid w:val="00D55B8A"/>
    <w:rsid w:val="00D56126"/>
    <w:rsid w:val="00D571DE"/>
    <w:rsid w:val="00D57DE9"/>
    <w:rsid w:val="00D60210"/>
    <w:rsid w:val="00D603FC"/>
    <w:rsid w:val="00D6062A"/>
    <w:rsid w:val="00D61B62"/>
    <w:rsid w:val="00D64255"/>
    <w:rsid w:val="00D65FFD"/>
    <w:rsid w:val="00D66261"/>
    <w:rsid w:val="00D6658D"/>
    <w:rsid w:val="00D66655"/>
    <w:rsid w:val="00D67F02"/>
    <w:rsid w:val="00D7035E"/>
    <w:rsid w:val="00D704CC"/>
    <w:rsid w:val="00D713CE"/>
    <w:rsid w:val="00D71DFC"/>
    <w:rsid w:val="00D726F8"/>
    <w:rsid w:val="00D731BC"/>
    <w:rsid w:val="00D7624B"/>
    <w:rsid w:val="00D76CF7"/>
    <w:rsid w:val="00D77B69"/>
    <w:rsid w:val="00D77F76"/>
    <w:rsid w:val="00D803BD"/>
    <w:rsid w:val="00D81188"/>
    <w:rsid w:val="00D815E8"/>
    <w:rsid w:val="00D82746"/>
    <w:rsid w:val="00D83489"/>
    <w:rsid w:val="00D84706"/>
    <w:rsid w:val="00D84C83"/>
    <w:rsid w:val="00D91BC2"/>
    <w:rsid w:val="00D91CEF"/>
    <w:rsid w:val="00D93106"/>
    <w:rsid w:val="00D933AC"/>
    <w:rsid w:val="00D93DB0"/>
    <w:rsid w:val="00D94CD1"/>
    <w:rsid w:val="00D96C21"/>
    <w:rsid w:val="00D97DBF"/>
    <w:rsid w:val="00DA0E06"/>
    <w:rsid w:val="00DA40F0"/>
    <w:rsid w:val="00DA5801"/>
    <w:rsid w:val="00DA5ADE"/>
    <w:rsid w:val="00DA5D07"/>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0ABB"/>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2424"/>
    <w:rsid w:val="00E63ADA"/>
    <w:rsid w:val="00E63BDA"/>
    <w:rsid w:val="00E674D5"/>
    <w:rsid w:val="00E70ABD"/>
    <w:rsid w:val="00E70FAF"/>
    <w:rsid w:val="00E724A8"/>
    <w:rsid w:val="00E724EC"/>
    <w:rsid w:val="00E730BC"/>
    <w:rsid w:val="00E740FF"/>
    <w:rsid w:val="00E757B4"/>
    <w:rsid w:val="00E768F9"/>
    <w:rsid w:val="00E779B7"/>
    <w:rsid w:val="00E77A50"/>
    <w:rsid w:val="00E8084A"/>
    <w:rsid w:val="00E810A3"/>
    <w:rsid w:val="00E812B2"/>
    <w:rsid w:val="00E848DA"/>
    <w:rsid w:val="00E84E10"/>
    <w:rsid w:val="00E905D4"/>
    <w:rsid w:val="00E91260"/>
    <w:rsid w:val="00E91FD4"/>
    <w:rsid w:val="00E92A96"/>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4AF"/>
    <w:rsid w:val="00EC35EA"/>
    <w:rsid w:val="00EC3C4C"/>
    <w:rsid w:val="00EC4DC3"/>
    <w:rsid w:val="00EC6954"/>
    <w:rsid w:val="00EC7E3B"/>
    <w:rsid w:val="00ED28F2"/>
    <w:rsid w:val="00ED3465"/>
    <w:rsid w:val="00ED3E7D"/>
    <w:rsid w:val="00ED5039"/>
    <w:rsid w:val="00EE0069"/>
    <w:rsid w:val="00EE1B18"/>
    <w:rsid w:val="00EE4866"/>
    <w:rsid w:val="00EE50D2"/>
    <w:rsid w:val="00EE574A"/>
    <w:rsid w:val="00EE59C2"/>
    <w:rsid w:val="00EE76C5"/>
    <w:rsid w:val="00EE7F43"/>
    <w:rsid w:val="00EF03AC"/>
    <w:rsid w:val="00EF0FAC"/>
    <w:rsid w:val="00EF249A"/>
    <w:rsid w:val="00EF347D"/>
    <w:rsid w:val="00EF3E6A"/>
    <w:rsid w:val="00EF3EF0"/>
    <w:rsid w:val="00EF415A"/>
    <w:rsid w:val="00EF46A2"/>
    <w:rsid w:val="00EF7189"/>
    <w:rsid w:val="00F00259"/>
    <w:rsid w:val="00F026D5"/>
    <w:rsid w:val="00F028D8"/>
    <w:rsid w:val="00F02BFD"/>
    <w:rsid w:val="00F05414"/>
    <w:rsid w:val="00F05D6B"/>
    <w:rsid w:val="00F07336"/>
    <w:rsid w:val="00F10753"/>
    <w:rsid w:val="00F10FA6"/>
    <w:rsid w:val="00F11369"/>
    <w:rsid w:val="00F1484D"/>
    <w:rsid w:val="00F1599B"/>
    <w:rsid w:val="00F15ACC"/>
    <w:rsid w:val="00F178A6"/>
    <w:rsid w:val="00F20AEF"/>
    <w:rsid w:val="00F22341"/>
    <w:rsid w:val="00F22A97"/>
    <w:rsid w:val="00F23533"/>
    <w:rsid w:val="00F23E7C"/>
    <w:rsid w:val="00F24E9E"/>
    <w:rsid w:val="00F26E4E"/>
    <w:rsid w:val="00F27614"/>
    <w:rsid w:val="00F305A7"/>
    <w:rsid w:val="00F31DC7"/>
    <w:rsid w:val="00F326B3"/>
    <w:rsid w:val="00F36057"/>
    <w:rsid w:val="00F36940"/>
    <w:rsid w:val="00F4115C"/>
    <w:rsid w:val="00F411CB"/>
    <w:rsid w:val="00F4203F"/>
    <w:rsid w:val="00F443C6"/>
    <w:rsid w:val="00F45742"/>
    <w:rsid w:val="00F45E7D"/>
    <w:rsid w:val="00F507F6"/>
    <w:rsid w:val="00F51A73"/>
    <w:rsid w:val="00F54087"/>
    <w:rsid w:val="00F55F14"/>
    <w:rsid w:val="00F563C3"/>
    <w:rsid w:val="00F56824"/>
    <w:rsid w:val="00F570E0"/>
    <w:rsid w:val="00F62E54"/>
    <w:rsid w:val="00F63AC4"/>
    <w:rsid w:val="00F63FAF"/>
    <w:rsid w:val="00F64EFC"/>
    <w:rsid w:val="00F65818"/>
    <w:rsid w:val="00F65932"/>
    <w:rsid w:val="00F679DC"/>
    <w:rsid w:val="00F7052B"/>
    <w:rsid w:val="00F7632B"/>
    <w:rsid w:val="00F80F6C"/>
    <w:rsid w:val="00F8269D"/>
    <w:rsid w:val="00F82BCE"/>
    <w:rsid w:val="00F84248"/>
    <w:rsid w:val="00F854FE"/>
    <w:rsid w:val="00F868A2"/>
    <w:rsid w:val="00F8793E"/>
    <w:rsid w:val="00F91587"/>
    <w:rsid w:val="00F940E4"/>
    <w:rsid w:val="00F943AD"/>
    <w:rsid w:val="00F95373"/>
    <w:rsid w:val="00F960C4"/>
    <w:rsid w:val="00F96207"/>
    <w:rsid w:val="00F97372"/>
    <w:rsid w:val="00FA03F2"/>
    <w:rsid w:val="00FA2369"/>
    <w:rsid w:val="00FA37DD"/>
    <w:rsid w:val="00FA5256"/>
    <w:rsid w:val="00FA5360"/>
    <w:rsid w:val="00FB09EC"/>
    <w:rsid w:val="00FB41E1"/>
    <w:rsid w:val="00FB6150"/>
    <w:rsid w:val="00FB7807"/>
    <w:rsid w:val="00FB7AB0"/>
    <w:rsid w:val="00FC06C4"/>
    <w:rsid w:val="00FC26B5"/>
    <w:rsid w:val="00FC366C"/>
    <w:rsid w:val="00FC54F6"/>
    <w:rsid w:val="00FC5505"/>
    <w:rsid w:val="00FC5EF5"/>
    <w:rsid w:val="00FD00CE"/>
    <w:rsid w:val="00FD14C0"/>
    <w:rsid w:val="00FD18CC"/>
    <w:rsid w:val="00FD1B1E"/>
    <w:rsid w:val="00FD48F4"/>
    <w:rsid w:val="00FD65F1"/>
    <w:rsid w:val="00FD71D3"/>
    <w:rsid w:val="00FE09E0"/>
    <w:rsid w:val="00FE1B20"/>
    <w:rsid w:val="00FE21EF"/>
    <w:rsid w:val="00FE37C1"/>
    <w:rsid w:val="00FE3C8E"/>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B2A08DC"/>
  <w15:docId w15:val="{A8F5DA44-DB97-4027-8AD3-E9067AF2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BF4BC2"/>
    <w:pPr>
      <w:autoSpaceDE w:val="0"/>
      <w:autoSpaceDN w:val="0"/>
      <w:adjustRightInd w:val="0"/>
    </w:pPr>
    <w:rPr>
      <w:rFonts w:eastAsiaTheme="minorHAnsi"/>
      <w:color w:val="000000"/>
      <w:sz w:val="24"/>
      <w:szCs w:val="24"/>
    </w:rPr>
  </w:style>
  <w:style w:type="paragraph" w:styleId="BodyText2">
    <w:name w:val="Body Text 2"/>
    <w:basedOn w:val="Normal"/>
    <w:link w:val="BodyText2Char"/>
    <w:semiHidden/>
    <w:unhideWhenUsed/>
    <w:rsid w:val="003F33D5"/>
    <w:pPr>
      <w:spacing w:after="120" w:line="480" w:lineRule="auto"/>
    </w:pPr>
  </w:style>
  <w:style w:type="character" w:customStyle="1" w:styleId="BodyText2Char">
    <w:name w:val="Body Text 2 Char"/>
    <w:basedOn w:val="DefaultParagraphFont"/>
    <w:link w:val="BodyText2"/>
    <w:semiHidden/>
    <w:rsid w:val="003F33D5"/>
    <w:rPr>
      <w:rFonts w:ascii="Courier" w:hAnsi="Courier"/>
      <w:sz w:val="24"/>
    </w:rPr>
  </w:style>
  <w:style w:type="table" w:styleId="Table3Deffects3">
    <w:name w:val="Table 3D effects 3"/>
    <w:basedOn w:val="TableNormal"/>
    <w:semiHidden/>
    <w:unhideWhenUsed/>
    <w:rsid w:val="00151D7B"/>
    <w:pPr>
      <w:widowControl w:val="0"/>
      <w:tabs>
        <w:tab w:val="left" w:pos="-720"/>
      </w:tabs>
      <w:suppressAutoHyphens/>
      <w:spacing w:line="480" w:lineRule="auto"/>
      <w:ind w:left="720"/>
    </w:p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mmentTextChar">
    <w:name w:val="Comment Text Char"/>
    <w:link w:val="CommentText"/>
    <w:uiPriority w:val="99"/>
    <w:semiHidden/>
    <w:rsid w:val="001378D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22760443">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84643112">
      <w:bodyDiv w:val="1"/>
      <w:marLeft w:val="0"/>
      <w:marRight w:val="0"/>
      <w:marTop w:val="0"/>
      <w:marBottom w:val="0"/>
      <w:divBdr>
        <w:top w:val="none" w:sz="0" w:space="0" w:color="auto"/>
        <w:left w:val="none" w:sz="0" w:space="0" w:color="auto"/>
        <w:bottom w:val="none" w:sz="0" w:space="0" w:color="auto"/>
        <w:right w:val="none" w:sz="0" w:space="0" w:color="auto"/>
      </w:divBdr>
    </w:div>
    <w:div w:id="438065356">
      <w:bodyDiv w:val="1"/>
      <w:marLeft w:val="0"/>
      <w:marRight w:val="0"/>
      <w:marTop w:val="0"/>
      <w:marBottom w:val="0"/>
      <w:divBdr>
        <w:top w:val="none" w:sz="0" w:space="0" w:color="auto"/>
        <w:left w:val="none" w:sz="0" w:space="0" w:color="auto"/>
        <w:bottom w:val="none" w:sz="0" w:space="0" w:color="auto"/>
        <w:right w:val="none" w:sz="0" w:space="0" w:color="auto"/>
      </w:divBdr>
    </w:div>
    <w:div w:id="444539031">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76344315">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81345655">
      <w:bodyDiv w:val="1"/>
      <w:marLeft w:val="0"/>
      <w:marRight w:val="0"/>
      <w:marTop w:val="0"/>
      <w:marBottom w:val="0"/>
      <w:divBdr>
        <w:top w:val="none" w:sz="0" w:space="0" w:color="auto"/>
        <w:left w:val="none" w:sz="0" w:space="0" w:color="auto"/>
        <w:bottom w:val="none" w:sz="0" w:space="0" w:color="auto"/>
        <w:right w:val="none" w:sz="0" w:space="0" w:color="auto"/>
      </w:divBdr>
    </w:div>
    <w:div w:id="1000307192">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90099879">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29819809">
      <w:bodyDiv w:val="1"/>
      <w:marLeft w:val="0"/>
      <w:marRight w:val="0"/>
      <w:marTop w:val="0"/>
      <w:marBottom w:val="0"/>
      <w:divBdr>
        <w:top w:val="none" w:sz="0" w:space="0" w:color="auto"/>
        <w:left w:val="none" w:sz="0" w:space="0" w:color="auto"/>
        <w:bottom w:val="none" w:sz="0" w:space="0" w:color="auto"/>
        <w:right w:val="none" w:sz="0" w:space="0" w:color="auto"/>
      </w:divBdr>
    </w:div>
    <w:div w:id="1332415945">
      <w:bodyDiv w:val="1"/>
      <w:marLeft w:val="0"/>
      <w:marRight w:val="0"/>
      <w:marTop w:val="0"/>
      <w:marBottom w:val="0"/>
      <w:divBdr>
        <w:top w:val="none" w:sz="0" w:space="0" w:color="auto"/>
        <w:left w:val="none" w:sz="0" w:space="0" w:color="auto"/>
        <w:bottom w:val="none" w:sz="0" w:space="0" w:color="auto"/>
        <w:right w:val="none" w:sz="0" w:space="0" w:color="auto"/>
      </w:divBdr>
    </w:div>
    <w:div w:id="141840656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26995604">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483934544">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36660853">
      <w:bodyDiv w:val="1"/>
      <w:marLeft w:val="0"/>
      <w:marRight w:val="0"/>
      <w:marTop w:val="0"/>
      <w:marBottom w:val="0"/>
      <w:divBdr>
        <w:top w:val="none" w:sz="0" w:space="0" w:color="auto"/>
        <w:left w:val="none" w:sz="0" w:space="0" w:color="auto"/>
        <w:bottom w:val="none" w:sz="0" w:space="0" w:color="auto"/>
        <w:right w:val="none" w:sz="0" w:space="0" w:color="auto"/>
      </w:divBdr>
    </w:div>
    <w:div w:id="1740979383">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90922158">
      <w:bodyDiv w:val="1"/>
      <w:marLeft w:val="0"/>
      <w:marRight w:val="0"/>
      <w:marTop w:val="0"/>
      <w:marBottom w:val="0"/>
      <w:divBdr>
        <w:top w:val="none" w:sz="0" w:space="0" w:color="auto"/>
        <w:left w:val="none" w:sz="0" w:space="0" w:color="auto"/>
        <w:bottom w:val="none" w:sz="0" w:space="0" w:color="auto"/>
        <w:right w:val="none" w:sz="0" w:space="0" w:color="auto"/>
      </w:divBdr>
    </w:div>
    <w:div w:id="1915167557">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43998450">
      <w:bodyDiv w:val="1"/>
      <w:marLeft w:val="0"/>
      <w:marRight w:val="0"/>
      <w:marTop w:val="0"/>
      <w:marBottom w:val="0"/>
      <w:divBdr>
        <w:top w:val="none" w:sz="0" w:space="0" w:color="auto"/>
        <w:left w:val="none" w:sz="0" w:space="0" w:color="auto"/>
        <w:bottom w:val="none" w:sz="0" w:space="0" w:color="auto"/>
        <w:right w:val="none" w:sz="0" w:space="0" w:color="auto"/>
      </w:divBdr>
    </w:div>
    <w:div w:id="1993101375">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18984705">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20Tables/html/DCB_h.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0B17F-6556-4F77-957A-7DD439449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7420-095D-468C-BC80-9E7A41869B5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f4d41b3-ce81-4c80-8fa2-d44de1136e35"/>
    <ds:schemaRef ds:uri="http://www.w3.org/XML/1998/namespace"/>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46585C9C-5ADA-46C2-8945-B50F70CB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3430</Words>
  <Characters>19553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22938</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3</cp:revision>
  <cp:lastPrinted>2013-08-08T14:23:00Z</cp:lastPrinted>
  <dcterms:created xsi:type="dcterms:W3CDTF">2021-02-24T18:30:00Z</dcterms:created>
  <dcterms:modified xsi:type="dcterms:W3CDTF">2021-02-24T21:14:00Z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