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16A4D" w:rsidR="006C61C1" w:rsidP="00316A4D" w:rsidRDefault="006C61C1">
      <w:pPr>
        <w:spacing w:line="480" w:lineRule="auto"/>
        <w:jc w:val="center"/>
        <w:rPr>
          <w:rFonts w:ascii="Times New Roman" w:hAnsi="Times New Roman" w:cs="Times New Roman"/>
          <w:sz w:val="24"/>
          <w:szCs w:val="24"/>
        </w:rPr>
      </w:pPr>
      <w:r w:rsidRPr="00316A4D">
        <w:rPr>
          <w:rFonts w:ascii="Times New Roman" w:hAnsi="Times New Roman" w:cs="Times New Roman"/>
          <w:sz w:val="24"/>
          <w:szCs w:val="24"/>
        </w:rPr>
        <w:t>Appendix C</w:t>
      </w:r>
    </w:p>
    <w:p w:rsidRPr="00316A4D" w:rsidR="006C61C1" w:rsidP="00316A4D" w:rsidRDefault="00316A4D">
      <w:pPr>
        <w:spacing w:line="480" w:lineRule="auto"/>
        <w:jc w:val="center"/>
        <w:rPr>
          <w:rFonts w:ascii="Times New Roman" w:hAnsi="Times New Roman" w:cs="Times New Roman"/>
          <w:sz w:val="24"/>
          <w:szCs w:val="24"/>
        </w:rPr>
      </w:pPr>
      <w:r>
        <w:rPr>
          <w:rFonts w:ascii="Times New Roman" w:hAnsi="Times New Roman" w:cs="Times New Roman"/>
          <w:sz w:val="24"/>
          <w:szCs w:val="24"/>
        </w:rPr>
        <w:t>Burden Narrative</w:t>
      </w:r>
    </w:p>
    <w:p w:rsidRPr="00316A4D" w:rsidR="006C61C1" w:rsidP="00316A4D" w:rsidRDefault="006C61C1">
      <w:pPr>
        <w:spacing w:line="480" w:lineRule="auto"/>
        <w:rPr>
          <w:rFonts w:ascii="Times New Roman" w:hAnsi="Times New Roman" w:cs="Times New Roman"/>
          <w:sz w:val="24"/>
          <w:szCs w:val="24"/>
        </w:rPr>
      </w:pPr>
    </w:p>
    <w:p w:rsidRPr="00316A4D" w:rsidR="006C61C1" w:rsidP="00316A4D" w:rsidRDefault="00316A4D">
      <w:pPr>
        <w:spacing w:line="480" w:lineRule="auto"/>
        <w:rPr>
          <w:rFonts w:ascii="Times New Roman" w:hAnsi="Times New Roman" w:cs="Times New Roman"/>
          <w:sz w:val="24"/>
          <w:szCs w:val="24"/>
        </w:rPr>
      </w:pPr>
      <w:r>
        <w:rPr>
          <w:rFonts w:ascii="Times New Roman" w:hAnsi="Times New Roman" w:cs="Times New Roman"/>
          <w:sz w:val="24"/>
          <w:szCs w:val="24"/>
        </w:rPr>
        <w:t>Reporting Burden: State Agencies (53)</w:t>
      </w:r>
    </w:p>
    <w:p w:rsidRPr="00316A4D" w:rsidR="006C61C1" w:rsidP="00316A4D" w:rsidRDefault="006C61C1">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273.18(a</w:t>
      </w:r>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2) –</w:t>
      </w:r>
      <w:r w:rsidR="00316A4D">
        <w:rPr>
          <w:rFonts w:ascii="Times New Roman" w:hAnsi="Times New Roman" w:cs="Times New Roman"/>
          <w:b/>
          <w:sz w:val="24"/>
          <w:szCs w:val="24"/>
        </w:rPr>
        <w:t xml:space="preserve"> Demand Letter for </w:t>
      </w:r>
      <w:proofErr w:type="spellStart"/>
      <w:r w:rsidR="00316A4D">
        <w:rPr>
          <w:rFonts w:ascii="Times New Roman" w:hAnsi="Times New Roman" w:cs="Times New Roman"/>
          <w:b/>
          <w:sz w:val="24"/>
          <w:szCs w:val="24"/>
        </w:rPr>
        <w:t>Overissuance</w:t>
      </w:r>
      <w:proofErr w:type="spellEnd"/>
    </w:p>
    <w:p w:rsidRPr="00316A4D" w:rsidR="006C61C1" w:rsidP="00316A4D" w:rsidRDefault="00FF6AF3">
      <w:pPr>
        <w:spacing w:line="480" w:lineRule="auto"/>
        <w:rPr>
          <w:rFonts w:ascii="Times New Roman" w:hAnsi="Times New Roman" w:cs="Times New Roman"/>
          <w:sz w:val="24"/>
          <w:szCs w:val="24"/>
        </w:rPr>
      </w:pPr>
      <w:r w:rsidRPr="00316A4D">
        <w:rPr>
          <w:rFonts w:ascii="Times New Roman" w:hAnsi="Times New Roman" w:cs="Times New Roman"/>
          <w:sz w:val="24"/>
          <w:szCs w:val="24"/>
          <w:shd w:val="clear" w:color="auto" w:fill="FFFFFF"/>
        </w:rPr>
        <w:t>This claim is a Federal debt subject to this and other regulations governing Federal debts. The </w:t>
      </w:r>
      <w:hyperlink w:history="1" r:id="rId7">
        <w:r w:rsidRPr="00316A4D">
          <w:rPr>
            <w:rStyle w:val="Hyperlink"/>
            <w:rFonts w:ascii="Times New Roman" w:hAnsi="Times New Roman" w:cs="Times New Roman"/>
            <w:color w:val="auto"/>
            <w:sz w:val="24"/>
            <w:szCs w:val="24"/>
            <w:shd w:val="clear" w:color="auto" w:fill="FFFFFF"/>
          </w:rPr>
          <w:t>State</w:t>
        </w:r>
      </w:hyperlink>
      <w:r w:rsidRPr="00316A4D">
        <w:rPr>
          <w:rFonts w:ascii="Times New Roman" w:hAnsi="Times New Roman" w:cs="Times New Roman"/>
          <w:sz w:val="24"/>
          <w:szCs w:val="24"/>
          <w:shd w:val="clear" w:color="auto" w:fill="FFFFFF"/>
        </w:rPr>
        <w:t xml:space="preserve"> agency must establish and collect any claim by following these </w:t>
      </w:r>
      <w:proofErr w:type="spellStart"/>
      <w:r w:rsidRPr="00316A4D">
        <w:rPr>
          <w:rFonts w:ascii="Times New Roman" w:hAnsi="Times New Roman" w:cs="Times New Roman"/>
          <w:sz w:val="24"/>
          <w:szCs w:val="24"/>
          <w:shd w:val="clear" w:color="auto" w:fill="FFFFFF"/>
        </w:rPr>
        <w:t>regulations.</w:t>
      </w:r>
      <w:r w:rsidRPr="00316A4D" w:rsidR="006C61C1">
        <w:rPr>
          <w:rFonts w:ascii="Times New Roman" w:hAnsi="Times New Roman" w:cs="Times New Roman"/>
          <w:sz w:val="24"/>
          <w:szCs w:val="24"/>
        </w:rPr>
        <w:t>Fifty</w:t>
      </w:r>
      <w:proofErr w:type="spellEnd"/>
      <w:r w:rsidRPr="00316A4D" w:rsidR="006C61C1">
        <w:rPr>
          <w:rFonts w:ascii="Times New Roman" w:hAnsi="Times New Roman" w:cs="Times New Roman"/>
          <w:sz w:val="24"/>
          <w:szCs w:val="24"/>
        </w:rPr>
        <w:t xml:space="preserve">-three (53) State agencies issue approximately 10,561.98 demand letters for </w:t>
      </w:r>
      <w:proofErr w:type="spellStart"/>
      <w:r w:rsidRPr="00316A4D" w:rsidR="006C61C1">
        <w:rPr>
          <w:rFonts w:ascii="Times New Roman" w:hAnsi="Times New Roman" w:cs="Times New Roman"/>
          <w:sz w:val="24"/>
          <w:szCs w:val="24"/>
        </w:rPr>
        <w:t>overissuance</w:t>
      </w:r>
      <w:proofErr w:type="spellEnd"/>
      <w:r w:rsidRPr="00316A4D" w:rsidR="006C61C1">
        <w:rPr>
          <w:rFonts w:ascii="Times New Roman" w:hAnsi="Times New Roman" w:cs="Times New Roman"/>
          <w:sz w:val="24"/>
          <w:szCs w:val="24"/>
        </w:rPr>
        <w:t xml:space="preserve"> for a total of 559,786 responses. At .1336 hours (8 minutes) per response, the annual burden for this activity is 74,787.276 hours.</w:t>
      </w:r>
    </w:p>
    <w:p w:rsidRPr="00316A4D" w:rsidR="00FF6AF3" w:rsidP="00316A4D" w:rsidRDefault="00FF6AF3">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273.16(e</w:t>
      </w:r>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3) – Notice for Hearing or Prosecution</w:t>
      </w:r>
    </w:p>
    <w:p w:rsidRPr="00316A4D" w:rsidR="00FF6AF3" w:rsidP="00316A4D" w:rsidRDefault="00FF6AF3">
      <w:pPr>
        <w:spacing w:line="480" w:lineRule="auto"/>
        <w:rPr>
          <w:rFonts w:ascii="Times New Roman" w:hAnsi="Times New Roman" w:cs="Times New Roman"/>
          <w:sz w:val="24"/>
          <w:szCs w:val="24"/>
        </w:rPr>
      </w:pPr>
      <w:r w:rsidRPr="00316A4D">
        <w:rPr>
          <w:rFonts w:ascii="Times New Roman" w:hAnsi="Times New Roman" w:cs="Times New Roman"/>
          <w:sz w:val="24"/>
          <w:szCs w:val="24"/>
          <w:shd w:val="clear" w:color="auto" w:fill="FFFFFF"/>
        </w:rPr>
        <w:t>The </w:t>
      </w:r>
      <w:hyperlink w:history="1" r:id="rId8">
        <w:r w:rsidRPr="00316A4D">
          <w:rPr>
            <w:rStyle w:val="Hyperlink"/>
            <w:rFonts w:ascii="Times New Roman" w:hAnsi="Times New Roman" w:cs="Times New Roman"/>
            <w:color w:val="auto"/>
            <w:sz w:val="24"/>
            <w:szCs w:val="24"/>
            <w:shd w:val="clear" w:color="auto" w:fill="FFFFFF"/>
          </w:rPr>
          <w:t>State</w:t>
        </w:r>
      </w:hyperlink>
      <w:r w:rsidRPr="00316A4D">
        <w:rPr>
          <w:rFonts w:ascii="Times New Roman" w:hAnsi="Times New Roman" w:cs="Times New Roman"/>
          <w:sz w:val="24"/>
          <w:szCs w:val="24"/>
          <w:shd w:val="clear" w:color="auto" w:fill="FFFFFF"/>
        </w:rPr>
        <w:t> agency shall conduct administrative disqualification hearings for individuals accused of intentional Program violation in accordance with the requirements outlined in this section.</w:t>
      </w:r>
      <w:r w:rsidRPr="00316A4D">
        <w:rPr>
          <w:rFonts w:ascii="Times New Roman" w:hAnsi="Times New Roman" w:cs="Times New Roman"/>
          <w:sz w:val="24"/>
          <w:szCs w:val="24"/>
        </w:rPr>
        <w:t xml:space="preserve"> Notices for Hearing or Prosecution: Fifty-three (53) State agencies issue approximately 807.34 notices for hearing or prosecution for a total of 42,789 responses. At .1336 hours (8 minutes) per response, the annual burden for this activity is 5,716.61 hours.</w:t>
      </w:r>
    </w:p>
    <w:p w:rsidRPr="00316A4D" w:rsidR="00FF6AF3" w:rsidP="00316A4D" w:rsidRDefault="00FF6AF3">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273.16(e</w:t>
      </w:r>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9) – Action Taken on Hearing or Court Decision for IPV Finding</w:t>
      </w:r>
    </w:p>
    <w:p w:rsidRPr="00316A4D" w:rsidR="00FF6AF3" w:rsidP="00316A4D" w:rsidRDefault="00FF6AF3">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ab/>
      </w:r>
      <w:r w:rsidRPr="00316A4D">
        <w:rPr>
          <w:rFonts w:ascii="Times New Roman" w:hAnsi="Times New Roman" w:cs="Times New Roman"/>
          <w:b/>
          <w:sz w:val="24"/>
          <w:szCs w:val="24"/>
        </w:rPr>
        <w:tab/>
        <w:t>Action Taken on Hearing or Court Decision for No IPV Finding</w:t>
      </w:r>
    </w:p>
    <w:p w:rsidRPr="00316A4D" w:rsidR="00FF6AF3" w:rsidP="00316A4D" w:rsidRDefault="00FF6AF3">
      <w:pPr>
        <w:pStyle w:val="psection-3"/>
        <w:shd w:val="clear" w:color="auto" w:fill="FFFFFF"/>
        <w:spacing w:before="0" w:beforeAutospacing="0" w:after="150" w:afterAutospacing="0" w:line="480" w:lineRule="auto"/>
      </w:pPr>
      <w:r w:rsidRPr="00316A4D">
        <w:t>If the hearing official finds that the household member did not commit intentional Program violation, the </w:t>
      </w:r>
      <w:hyperlink w:history="1" r:id="rId9">
        <w:r w:rsidRPr="00316A4D">
          <w:rPr>
            <w:rStyle w:val="Hyperlink"/>
            <w:color w:val="auto"/>
          </w:rPr>
          <w:t>State</w:t>
        </w:r>
      </w:hyperlink>
      <w:r w:rsidRPr="00316A4D">
        <w:t> agency shall provide a written notice which informs the household member of the decision.</w:t>
      </w:r>
    </w:p>
    <w:p w:rsidRPr="00316A4D" w:rsidR="00FF6AF3" w:rsidP="00316A4D" w:rsidRDefault="00FF6AF3">
      <w:pPr>
        <w:pStyle w:val="psection-3"/>
        <w:shd w:val="clear" w:color="auto" w:fill="FFFFFF"/>
        <w:spacing w:before="0" w:beforeAutospacing="0" w:after="150" w:afterAutospacing="0" w:line="480" w:lineRule="auto"/>
      </w:pPr>
      <w:r w:rsidRPr="00316A4D">
        <w:lastRenderedPageBreak/>
        <w:t>If the hearing official finds that the household member committed intentional Program violation, the </w:t>
      </w:r>
      <w:hyperlink w:history="1" r:id="rId10">
        <w:r w:rsidRPr="00316A4D">
          <w:rPr>
            <w:rStyle w:val="Hyperlink"/>
            <w:color w:val="auto"/>
          </w:rPr>
          <w:t>State</w:t>
        </w:r>
      </w:hyperlink>
      <w:r w:rsidRPr="00316A4D">
        <w:t> agency shall provide written notice to the household member prior to disqualification. The notice shall inform the household member of the decision and the reason for the decision. In addition, the notice shall inform the household member of the date the disqualification will take effect. If the individual is no longer participating, the notice shall inform the individual that the period of disqualification will be deferred until such time as the individual again applies for and is determined eligible for Program benefits. The </w:t>
      </w:r>
      <w:hyperlink w:history="1" r:id="rId11">
        <w:r w:rsidRPr="00316A4D">
          <w:rPr>
            <w:rStyle w:val="Hyperlink"/>
            <w:color w:val="auto"/>
          </w:rPr>
          <w:t>State</w:t>
        </w:r>
      </w:hyperlink>
      <w:r w:rsidRPr="00316A4D">
        <w:t> agency shall also provide written notice to the remaining household members, if any, of either the allotment they will receive during the period of disqualification or that they must reapply because the certification period has expired. The procedures for handling the income and resources of the disqualified member are described in </w:t>
      </w:r>
      <w:hyperlink w:history="1" w:anchor="c" r:id="rId12">
        <w:r w:rsidRPr="00316A4D">
          <w:rPr>
            <w:rStyle w:val="Hyperlink"/>
            <w:color w:val="auto"/>
          </w:rPr>
          <w:t>§ 273.11(c)</w:t>
        </w:r>
      </w:hyperlink>
      <w:r w:rsidRPr="00316A4D">
        <w:t>. A written demand letter for restitution, as described in </w:t>
      </w:r>
      <w:hyperlink w:history="1" w:anchor="d_3" r:id="rId13">
        <w:r w:rsidRPr="00316A4D">
          <w:rPr>
            <w:rStyle w:val="Hyperlink"/>
            <w:color w:val="auto"/>
          </w:rPr>
          <w:t>§ 273.18(d</w:t>
        </w:r>
        <w:proofErr w:type="gramStart"/>
        <w:r w:rsidRPr="00316A4D">
          <w:rPr>
            <w:rStyle w:val="Hyperlink"/>
            <w:color w:val="auto"/>
          </w:rPr>
          <w:t>)(</w:t>
        </w:r>
        <w:proofErr w:type="gramEnd"/>
        <w:r w:rsidRPr="00316A4D">
          <w:rPr>
            <w:rStyle w:val="Hyperlink"/>
            <w:color w:val="auto"/>
          </w:rPr>
          <w:t>3)</w:t>
        </w:r>
      </w:hyperlink>
      <w:r w:rsidRPr="00316A4D">
        <w:t>, shall also be provided.</w:t>
      </w:r>
    </w:p>
    <w:p w:rsidRPr="00316A4D" w:rsidR="00FF6AF3" w:rsidP="00316A4D" w:rsidRDefault="00FF6AF3">
      <w:pPr>
        <w:pStyle w:val="psection-3"/>
        <w:shd w:val="clear" w:color="auto" w:fill="FFFFFF"/>
        <w:spacing w:before="0" w:beforeAutospacing="0" w:after="150" w:afterAutospacing="0" w:line="480" w:lineRule="auto"/>
      </w:pPr>
      <w:r w:rsidRPr="00316A4D">
        <w:t>Each </w:t>
      </w:r>
      <w:hyperlink w:history="1" r:id="rId14">
        <w:r w:rsidRPr="00316A4D">
          <w:rPr>
            <w:rStyle w:val="Hyperlink"/>
            <w:color w:val="auto"/>
          </w:rPr>
          <w:t>State</w:t>
        </w:r>
      </w:hyperlink>
      <w:r w:rsidRPr="00316A4D">
        <w:t> agency shall develop a form for notifying individuals that they have been found by an administrative disqualification hearing to have committed intentional Program violation. The form shall contain the information required by this section.</w:t>
      </w:r>
    </w:p>
    <w:p w:rsidRPr="00316A4D" w:rsidR="00FF6AF3" w:rsidP="00316A4D" w:rsidRDefault="00FF6AF3">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In </w:t>
      </w:r>
      <w:r w:rsidRPr="00316A4D" w:rsidR="00050653">
        <w:rPr>
          <w:rFonts w:ascii="Times New Roman" w:hAnsi="Times New Roman" w:cs="Times New Roman"/>
          <w:sz w:val="24"/>
          <w:szCs w:val="24"/>
        </w:rPr>
        <w:t xml:space="preserve">the case of </w:t>
      </w:r>
      <w:r w:rsidRPr="00316A4D">
        <w:rPr>
          <w:rFonts w:ascii="Times New Roman" w:hAnsi="Times New Roman" w:cs="Times New Roman"/>
          <w:sz w:val="24"/>
          <w:szCs w:val="24"/>
        </w:rPr>
        <w:t>IPV Finding</w:t>
      </w:r>
      <w:r w:rsidRPr="00316A4D" w:rsidR="00050653">
        <w:rPr>
          <w:rFonts w:ascii="Times New Roman" w:hAnsi="Times New Roman" w:cs="Times New Roman"/>
          <w:sz w:val="24"/>
          <w:szCs w:val="24"/>
        </w:rPr>
        <w:t>s</w:t>
      </w:r>
      <w:r w:rsidRPr="00316A4D">
        <w:rPr>
          <w:rFonts w:ascii="Times New Roman" w:hAnsi="Times New Roman" w:cs="Times New Roman"/>
          <w:sz w:val="24"/>
          <w:szCs w:val="24"/>
        </w:rPr>
        <w:t>, Fifty-three (53) State agencies will take action on hearings or court decisions in approximately 815.40 instances for a total of 39,097 responses. At .167 hours (10 minutes) per response, the annual burden for this activity is 6,529.199 hours.</w:t>
      </w:r>
    </w:p>
    <w:p w:rsidRPr="00316A4D" w:rsidR="00FF6AF3" w:rsidP="00316A4D" w:rsidRDefault="00050653">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In the case of </w:t>
      </w:r>
      <w:r w:rsidRPr="00316A4D" w:rsidR="00FF6AF3">
        <w:rPr>
          <w:rFonts w:ascii="Times New Roman" w:hAnsi="Times New Roman" w:cs="Times New Roman"/>
          <w:sz w:val="24"/>
          <w:szCs w:val="24"/>
        </w:rPr>
        <w:t xml:space="preserve">No IPV Findings: Fifty-three (53) State agencies will take action on hearings or court decision for no IPV findings in approximately 69.66 instances for </w:t>
      </w:r>
      <w:r w:rsidRPr="00316A4D" w:rsidR="00FF6AF3">
        <w:rPr>
          <w:rFonts w:ascii="Times New Roman" w:hAnsi="Times New Roman" w:cs="Times New Roman"/>
          <w:sz w:val="24"/>
          <w:szCs w:val="24"/>
        </w:rPr>
        <w:lastRenderedPageBreak/>
        <w:t>a total of 3,692 responses. At .0835 hours (5 minutes) per response, the annual burden for this activity is 308.282 hours.</w:t>
      </w:r>
    </w:p>
    <w:p w:rsidRPr="00316A4D" w:rsidR="00050653" w:rsidP="00316A4D" w:rsidRDefault="00050653">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273.16(</w:t>
      </w:r>
      <w:proofErr w:type="spellStart"/>
      <w:r w:rsidRPr="00316A4D">
        <w:rPr>
          <w:rFonts w:ascii="Times New Roman" w:hAnsi="Times New Roman" w:cs="Times New Roman"/>
          <w:b/>
          <w:sz w:val="24"/>
          <w:szCs w:val="24"/>
        </w:rPr>
        <w:t>i</w:t>
      </w:r>
      <w:proofErr w:type="spellEnd"/>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2)(</w:t>
      </w:r>
      <w:proofErr w:type="spellStart"/>
      <w:r w:rsidRPr="00316A4D">
        <w:rPr>
          <w:rFonts w:ascii="Times New Roman" w:hAnsi="Times New Roman" w:cs="Times New Roman"/>
          <w:b/>
          <w:sz w:val="24"/>
          <w:szCs w:val="24"/>
        </w:rPr>
        <w:t>i</w:t>
      </w:r>
      <w:proofErr w:type="spellEnd"/>
      <w:r w:rsidRPr="00316A4D">
        <w:rPr>
          <w:rFonts w:ascii="Times New Roman" w:hAnsi="Times New Roman" w:cs="Times New Roman"/>
          <w:b/>
          <w:sz w:val="24"/>
          <w:szCs w:val="24"/>
        </w:rPr>
        <w:t xml:space="preserve">) – Electronic Disqualified Recipient System Breakout for </w:t>
      </w:r>
      <w:proofErr w:type="spellStart"/>
      <w:r w:rsidRPr="00316A4D">
        <w:rPr>
          <w:rFonts w:ascii="Times New Roman" w:hAnsi="Times New Roman" w:cs="Times New Roman"/>
          <w:b/>
          <w:sz w:val="24"/>
          <w:szCs w:val="24"/>
        </w:rPr>
        <w:t>eDRS</w:t>
      </w:r>
      <w:proofErr w:type="spellEnd"/>
      <w:r w:rsidRPr="00316A4D">
        <w:rPr>
          <w:rFonts w:ascii="Times New Roman" w:hAnsi="Times New Roman" w:cs="Times New Roman"/>
          <w:b/>
          <w:sz w:val="24"/>
          <w:szCs w:val="24"/>
        </w:rPr>
        <w:t xml:space="preserve"> reporting</w:t>
      </w:r>
    </w:p>
    <w:p w:rsidRPr="00316A4D" w:rsidR="00050653" w:rsidP="00316A4D" w:rsidRDefault="00FE1FD3">
      <w:pPr>
        <w:pStyle w:val="psection-2"/>
        <w:shd w:val="clear" w:color="auto" w:fill="FFFFFF"/>
        <w:spacing w:before="0" w:beforeAutospacing="0" w:after="150" w:afterAutospacing="0" w:line="480" w:lineRule="auto"/>
      </w:pPr>
      <w:hyperlink w:history="1" r:id="rId15">
        <w:r w:rsidRPr="00316A4D" w:rsidR="00050653">
          <w:rPr>
            <w:rStyle w:val="Hyperlink"/>
            <w:color w:val="auto"/>
          </w:rPr>
          <w:t>State</w:t>
        </w:r>
      </w:hyperlink>
      <w:r w:rsidRPr="00316A4D" w:rsidR="00050653">
        <w:t xml:space="preserve"> agencies shall report information concerning each individual disqualified for an intentional Program violation to FNS. FNS will maintain this information and establish the format for its use. </w:t>
      </w:r>
      <w:hyperlink w:history="1" r:id="rId16">
        <w:r w:rsidRPr="00316A4D" w:rsidR="00050653">
          <w:rPr>
            <w:rStyle w:val="Hyperlink"/>
            <w:color w:val="auto"/>
          </w:rPr>
          <w:t>State</w:t>
        </w:r>
      </w:hyperlink>
      <w:r w:rsidRPr="00316A4D" w:rsidR="00050653">
        <w:t> agencies shall report information to the disqualified recipient database in accordance with procedures specified by FNS.</w:t>
      </w:r>
    </w:p>
    <w:p w:rsidRPr="00316A4D" w:rsidR="00FF6AF3" w:rsidP="00316A4D" w:rsidRDefault="00FF6AF3">
      <w:pPr>
        <w:spacing w:line="480" w:lineRule="auto"/>
        <w:rPr>
          <w:rFonts w:ascii="Times New Roman" w:hAnsi="Times New Roman" w:cs="Times New Roman"/>
          <w:sz w:val="24"/>
          <w:szCs w:val="24"/>
        </w:rPr>
      </w:pPr>
      <w:proofErr w:type="spellStart"/>
      <w:proofErr w:type="gramStart"/>
      <w:r w:rsidRPr="00316A4D">
        <w:rPr>
          <w:rFonts w:ascii="Times New Roman" w:hAnsi="Times New Roman" w:cs="Times New Roman"/>
          <w:sz w:val="24"/>
          <w:szCs w:val="24"/>
        </w:rPr>
        <w:t>eDRS</w:t>
      </w:r>
      <w:proofErr w:type="spellEnd"/>
      <w:proofErr w:type="gramEnd"/>
      <w:r w:rsidRPr="00316A4D">
        <w:rPr>
          <w:rFonts w:ascii="Times New Roman" w:hAnsi="Times New Roman" w:cs="Times New Roman"/>
          <w:sz w:val="24"/>
          <w:szCs w:val="24"/>
        </w:rPr>
        <w:t xml:space="preserve"> system breakout reporting: Fifty-three (53) State agencies will report on </w:t>
      </w:r>
      <w:proofErr w:type="spellStart"/>
      <w:r w:rsidRPr="00316A4D">
        <w:rPr>
          <w:rFonts w:ascii="Times New Roman" w:hAnsi="Times New Roman" w:cs="Times New Roman"/>
          <w:sz w:val="24"/>
          <w:szCs w:val="24"/>
        </w:rPr>
        <w:t>eDRS</w:t>
      </w:r>
      <w:proofErr w:type="spellEnd"/>
      <w:r w:rsidRPr="00316A4D">
        <w:rPr>
          <w:rFonts w:ascii="Times New Roman" w:hAnsi="Times New Roman" w:cs="Times New Roman"/>
          <w:sz w:val="24"/>
          <w:szCs w:val="24"/>
        </w:rPr>
        <w:t xml:space="preserve"> in approximately 737.68 instances for a total of 39,097 responses. At .0835 hours (5 minutes) per response, the annual burden for this activity is 3,264.60 hours.</w:t>
      </w:r>
    </w:p>
    <w:p w:rsidRPr="00316A4D" w:rsidR="00050653" w:rsidP="00316A4D" w:rsidRDefault="00050653">
      <w:pPr>
        <w:spacing w:line="480" w:lineRule="auto"/>
        <w:rPr>
          <w:rFonts w:ascii="Times New Roman" w:hAnsi="Times New Roman" w:cs="Times New Roman"/>
          <w:sz w:val="24"/>
          <w:szCs w:val="24"/>
        </w:rPr>
      </w:pPr>
    </w:p>
    <w:p w:rsidRPr="00316A4D" w:rsidR="001624AD" w:rsidP="00316A4D" w:rsidRDefault="00050653">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272.1</w:t>
      </w:r>
      <w:r w:rsidRPr="00316A4D" w:rsidR="001624AD">
        <w:rPr>
          <w:rFonts w:ascii="Times New Roman" w:hAnsi="Times New Roman" w:cs="Times New Roman"/>
          <w:b/>
          <w:sz w:val="24"/>
          <w:szCs w:val="24"/>
        </w:rPr>
        <w:t>(f</w:t>
      </w:r>
      <w:proofErr w:type="gramStart"/>
      <w:r w:rsidRPr="00316A4D" w:rsidR="001624AD">
        <w:rPr>
          <w:rFonts w:ascii="Times New Roman" w:hAnsi="Times New Roman" w:cs="Times New Roman"/>
          <w:b/>
          <w:sz w:val="24"/>
          <w:szCs w:val="24"/>
        </w:rPr>
        <w:t>)(</w:t>
      </w:r>
      <w:proofErr w:type="gramEnd"/>
      <w:r w:rsidRPr="00316A4D" w:rsidR="001624AD">
        <w:rPr>
          <w:rFonts w:ascii="Times New Roman" w:hAnsi="Times New Roman" w:cs="Times New Roman"/>
          <w:b/>
          <w:sz w:val="24"/>
          <w:szCs w:val="24"/>
        </w:rPr>
        <w:t xml:space="preserve">3) – </w:t>
      </w:r>
      <w:r w:rsidRPr="00316A4D" w:rsidR="00FF6AF3">
        <w:rPr>
          <w:rFonts w:ascii="Times New Roman" w:hAnsi="Times New Roman" w:cs="Times New Roman"/>
          <w:b/>
          <w:sz w:val="24"/>
          <w:szCs w:val="24"/>
        </w:rPr>
        <w:t xml:space="preserve">Editing and Resubmissions to </w:t>
      </w:r>
      <w:proofErr w:type="spellStart"/>
      <w:r w:rsidRPr="00316A4D" w:rsidR="00FF6AF3">
        <w:rPr>
          <w:rFonts w:ascii="Times New Roman" w:hAnsi="Times New Roman" w:cs="Times New Roman"/>
          <w:b/>
          <w:sz w:val="24"/>
          <w:szCs w:val="24"/>
        </w:rPr>
        <w:t>eDRS</w:t>
      </w:r>
      <w:proofErr w:type="spellEnd"/>
      <w:r w:rsidRPr="00316A4D" w:rsidR="00FF6AF3">
        <w:rPr>
          <w:rFonts w:ascii="Times New Roman" w:hAnsi="Times New Roman" w:cs="Times New Roman"/>
          <w:b/>
          <w:sz w:val="24"/>
          <w:szCs w:val="24"/>
        </w:rPr>
        <w:t xml:space="preserve">: </w:t>
      </w:r>
    </w:p>
    <w:p w:rsidRPr="00316A4D" w:rsidR="001624AD" w:rsidP="00316A4D" w:rsidRDefault="001624AD">
      <w:pPr>
        <w:spacing w:line="480" w:lineRule="auto"/>
        <w:rPr>
          <w:rFonts w:ascii="Times New Roman" w:hAnsi="Times New Roman" w:cs="Times New Roman"/>
          <w:sz w:val="24"/>
          <w:szCs w:val="24"/>
        </w:rPr>
      </w:pPr>
    </w:p>
    <w:p w:rsidRPr="00316A4D" w:rsidR="001624AD" w:rsidP="00316A4D" w:rsidRDefault="001624AD">
      <w:pPr>
        <w:spacing w:line="480" w:lineRule="auto"/>
        <w:rPr>
          <w:rFonts w:ascii="Times New Roman" w:hAnsi="Times New Roman" w:cs="Times New Roman"/>
          <w:sz w:val="24"/>
          <w:szCs w:val="24"/>
          <w:shd w:val="clear" w:color="auto" w:fill="FFFFFF"/>
        </w:rPr>
      </w:pPr>
      <w:r w:rsidRPr="00316A4D">
        <w:rPr>
          <w:rFonts w:ascii="Times New Roman" w:hAnsi="Times New Roman" w:cs="Times New Roman"/>
          <w:sz w:val="24"/>
          <w:szCs w:val="24"/>
          <w:shd w:val="clear" w:color="auto" w:fill="FFFFFF"/>
        </w:rPr>
        <w:t>Each State agency shall retain </w:t>
      </w:r>
      <w:hyperlink w:history="1" r:id="rId17">
        <w:r w:rsidRPr="00316A4D">
          <w:rPr>
            <w:rStyle w:val="Hyperlink"/>
            <w:rFonts w:ascii="Times New Roman" w:hAnsi="Times New Roman" w:cs="Times New Roman"/>
            <w:color w:val="auto"/>
            <w:sz w:val="24"/>
            <w:szCs w:val="24"/>
            <w:shd w:val="clear" w:color="auto" w:fill="FFFFFF"/>
          </w:rPr>
          <w:t>all</w:t>
        </w:r>
      </w:hyperlink>
      <w:r w:rsidRPr="00316A4D">
        <w:rPr>
          <w:rFonts w:ascii="Times New Roman" w:hAnsi="Times New Roman" w:cs="Times New Roman"/>
          <w:sz w:val="24"/>
          <w:szCs w:val="24"/>
          <w:shd w:val="clear" w:color="auto" w:fill="FFFFFF"/>
        </w:rPr>
        <w:t> Program records in an orderly fashion for audit and review purposes for no less than 3 years from the month of origin of each record.</w:t>
      </w:r>
    </w:p>
    <w:p w:rsidRPr="00316A4D" w:rsidR="001624AD" w:rsidP="00316A4D" w:rsidRDefault="001624AD">
      <w:pPr>
        <w:spacing w:line="480" w:lineRule="auto"/>
        <w:rPr>
          <w:rFonts w:ascii="Times New Roman" w:hAnsi="Times New Roman" w:cs="Times New Roman"/>
          <w:sz w:val="24"/>
          <w:szCs w:val="24"/>
          <w:shd w:val="clear" w:color="auto" w:fill="FFFFFF"/>
        </w:rPr>
      </w:pPr>
    </w:p>
    <w:p w:rsidRPr="00316A4D" w:rsidR="001624AD" w:rsidP="00316A4D" w:rsidRDefault="001624AD">
      <w:pPr>
        <w:spacing w:line="480" w:lineRule="auto"/>
        <w:rPr>
          <w:rFonts w:ascii="Times New Roman" w:hAnsi="Times New Roman" w:cs="Times New Roman"/>
          <w:sz w:val="24"/>
          <w:szCs w:val="24"/>
        </w:rPr>
      </w:pPr>
      <w:r w:rsidRPr="00316A4D">
        <w:rPr>
          <w:rFonts w:ascii="Times New Roman" w:hAnsi="Times New Roman" w:cs="Times New Roman"/>
          <w:sz w:val="24"/>
          <w:szCs w:val="24"/>
          <w:shd w:val="clear" w:color="auto" w:fill="FFFFFF"/>
        </w:rPr>
        <w:t xml:space="preserve">Disqualification records submitted to the disqualified recipient database must be purged by the State agency that submitted them when the supporting documents are </w:t>
      </w:r>
      <w:r w:rsidRPr="00316A4D">
        <w:rPr>
          <w:rFonts w:ascii="Times New Roman" w:hAnsi="Times New Roman" w:cs="Times New Roman"/>
          <w:sz w:val="24"/>
          <w:szCs w:val="24"/>
          <w:shd w:val="clear" w:color="auto" w:fill="FFFFFF"/>
        </w:rPr>
        <w:lastRenderedPageBreak/>
        <w:t>no longer accurate, relevant, or complete. The State agency shall follow a prescribed records management program to meet this requirement. Information about this program shall be available for FNS review.</w:t>
      </w:r>
    </w:p>
    <w:p w:rsidRPr="00316A4D" w:rsidR="001624AD" w:rsidP="00316A4D" w:rsidRDefault="001624AD">
      <w:pPr>
        <w:spacing w:line="480" w:lineRule="auto"/>
        <w:rPr>
          <w:rFonts w:ascii="Times New Roman" w:hAnsi="Times New Roman" w:cs="Times New Roman"/>
          <w:sz w:val="24"/>
          <w:szCs w:val="24"/>
        </w:rPr>
      </w:pPr>
    </w:p>
    <w:p w:rsidRPr="00316A4D" w:rsidR="001624AD" w:rsidP="00316A4D" w:rsidRDefault="00FF6AF3">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Fifty-three (53) State agencies will edit and resubmit information to </w:t>
      </w:r>
      <w:proofErr w:type="spellStart"/>
      <w:r w:rsidRPr="00316A4D">
        <w:rPr>
          <w:rFonts w:ascii="Times New Roman" w:hAnsi="Times New Roman" w:cs="Times New Roman"/>
          <w:sz w:val="24"/>
          <w:szCs w:val="24"/>
        </w:rPr>
        <w:t>eDRS</w:t>
      </w:r>
      <w:proofErr w:type="spellEnd"/>
      <w:r w:rsidRPr="00316A4D">
        <w:rPr>
          <w:rFonts w:ascii="Times New Roman" w:hAnsi="Times New Roman" w:cs="Times New Roman"/>
          <w:sz w:val="24"/>
          <w:szCs w:val="24"/>
        </w:rPr>
        <w:t xml:space="preserve"> in approximately 88.52 instances for a total of 4,691.64 responses. At .167 hours (10 minutes) per response, the annual burden for</w:t>
      </w:r>
      <w:r w:rsidRPr="00316A4D" w:rsidR="001624AD">
        <w:rPr>
          <w:rFonts w:ascii="Times New Roman" w:hAnsi="Times New Roman" w:cs="Times New Roman"/>
          <w:sz w:val="24"/>
          <w:szCs w:val="24"/>
        </w:rPr>
        <w:t xml:space="preserve"> this activity is 783.504 hours.</w:t>
      </w:r>
    </w:p>
    <w:p w:rsidRPr="00316A4D" w:rsidR="001624AD" w:rsidP="00316A4D" w:rsidRDefault="001624AD">
      <w:pPr>
        <w:spacing w:line="480" w:lineRule="auto"/>
        <w:rPr>
          <w:rFonts w:ascii="Times New Roman" w:hAnsi="Times New Roman" w:cs="Times New Roman"/>
          <w:sz w:val="24"/>
          <w:szCs w:val="24"/>
        </w:rPr>
      </w:pPr>
    </w:p>
    <w:p w:rsidRPr="00316A4D" w:rsidR="001624AD" w:rsidP="00316A4D" w:rsidRDefault="001624AD">
      <w:pPr>
        <w:spacing w:line="480" w:lineRule="auto"/>
        <w:rPr>
          <w:rFonts w:ascii="Times New Roman" w:hAnsi="Times New Roman" w:cs="Times New Roman"/>
          <w:sz w:val="24"/>
          <w:szCs w:val="24"/>
        </w:rPr>
      </w:pPr>
      <w:r w:rsidRPr="00316A4D">
        <w:rPr>
          <w:rFonts w:ascii="Times New Roman" w:hAnsi="Times New Roman" w:cs="Times New Roman"/>
          <w:b/>
          <w:sz w:val="24"/>
          <w:szCs w:val="24"/>
        </w:rPr>
        <w:t>273.16(</w:t>
      </w:r>
      <w:proofErr w:type="spellStart"/>
      <w:r w:rsidRPr="00316A4D">
        <w:rPr>
          <w:rFonts w:ascii="Times New Roman" w:hAnsi="Times New Roman" w:cs="Times New Roman"/>
          <w:b/>
          <w:sz w:val="24"/>
          <w:szCs w:val="24"/>
        </w:rPr>
        <w:t>i</w:t>
      </w:r>
      <w:proofErr w:type="spellEnd"/>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 xml:space="preserve">4) – </w:t>
      </w:r>
      <w:r w:rsidRPr="00316A4D" w:rsidR="00FF6AF3">
        <w:rPr>
          <w:rFonts w:ascii="Times New Roman" w:hAnsi="Times New Roman" w:cs="Times New Roman"/>
          <w:b/>
          <w:sz w:val="24"/>
          <w:szCs w:val="24"/>
        </w:rPr>
        <w:t xml:space="preserve">Penalty Checks using </w:t>
      </w:r>
      <w:proofErr w:type="spellStart"/>
      <w:r w:rsidRPr="00316A4D" w:rsidR="00FF6AF3">
        <w:rPr>
          <w:rFonts w:ascii="Times New Roman" w:hAnsi="Times New Roman" w:cs="Times New Roman"/>
          <w:b/>
          <w:sz w:val="24"/>
          <w:szCs w:val="24"/>
        </w:rPr>
        <w:t>eDRS</w:t>
      </w:r>
      <w:proofErr w:type="spellEnd"/>
      <w:r w:rsidRPr="00316A4D" w:rsidR="00FF6AF3">
        <w:rPr>
          <w:rFonts w:ascii="Times New Roman" w:hAnsi="Times New Roman" w:cs="Times New Roman"/>
          <w:b/>
          <w:sz w:val="24"/>
          <w:szCs w:val="24"/>
        </w:rPr>
        <w:t xml:space="preserve"> mainframe</w:t>
      </w:r>
    </w:p>
    <w:p w:rsidRPr="00316A4D" w:rsidR="001624AD" w:rsidP="00316A4D" w:rsidRDefault="001624AD">
      <w:pPr>
        <w:spacing w:line="480" w:lineRule="auto"/>
        <w:rPr>
          <w:rFonts w:ascii="Times New Roman" w:hAnsi="Times New Roman" w:cs="Times New Roman"/>
          <w:sz w:val="24"/>
          <w:szCs w:val="24"/>
        </w:rPr>
      </w:pPr>
      <w:r w:rsidRPr="00316A4D">
        <w:rPr>
          <w:rFonts w:ascii="Times New Roman" w:hAnsi="Times New Roman" w:cs="Times New Roman"/>
          <w:sz w:val="24"/>
          <w:szCs w:val="24"/>
          <w:shd w:val="clear" w:color="auto" w:fill="FFFFFF"/>
        </w:rPr>
        <w:t xml:space="preserve">State agencies shall implement the disqualification penalties for intentional Program violation, and the improved recovery of overpayments provisions </w:t>
      </w:r>
    </w:p>
    <w:p w:rsidRPr="00316A4D" w:rsidR="001624AD" w:rsidP="00316A4D" w:rsidRDefault="001624AD">
      <w:pPr>
        <w:spacing w:line="480" w:lineRule="auto"/>
        <w:rPr>
          <w:rFonts w:ascii="Times New Roman" w:hAnsi="Times New Roman" w:cs="Times New Roman"/>
          <w:sz w:val="24"/>
          <w:szCs w:val="24"/>
        </w:rPr>
      </w:pPr>
    </w:p>
    <w:p w:rsidRPr="00316A4D" w:rsidR="00FF6AF3" w:rsidP="00316A4D" w:rsidRDefault="00FF6AF3">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Fifty-three (53) State agencies will use the </w:t>
      </w:r>
      <w:proofErr w:type="spellStart"/>
      <w:r w:rsidRPr="00316A4D">
        <w:rPr>
          <w:rFonts w:ascii="Times New Roman" w:hAnsi="Times New Roman" w:cs="Times New Roman"/>
          <w:sz w:val="24"/>
          <w:szCs w:val="24"/>
        </w:rPr>
        <w:t>eDRS</w:t>
      </w:r>
      <w:proofErr w:type="spellEnd"/>
      <w:r w:rsidRPr="00316A4D">
        <w:rPr>
          <w:rFonts w:ascii="Times New Roman" w:hAnsi="Times New Roman" w:cs="Times New Roman"/>
          <w:sz w:val="24"/>
          <w:szCs w:val="24"/>
        </w:rPr>
        <w:t xml:space="preserve"> mainframe for penalty checks in approximately 737.68 instances for a total of 39,097 responses. At .0501 hours (3 minutes) per response, the annual burden for this activity is 1,958.76 hours.</w:t>
      </w:r>
    </w:p>
    <w:p w:rsidRPr="00316A4D" w:rsidR="00CB5C0C" w:rsidP="00316A4D" w:rsidRDefault="00CB5C0C">
      <w:pPr>
        <w:spacing w:line="480" w:lineRule="auto"/>
        <w:rPr>
          <w:rFonts w:ascii="Times New Roman" w:hAnsi="Times New Roman" w:cs="Times New Roman"/>
          <w:sz w:val="24"/>
          <w:szCs w:val="24"/>
        </w:rPr>
      </w:pPr>
    </w:p>
    <w:p w:rsidRPr="00316A4D" w:rsidR="00CB5C0C" w:rsidP="00316A4D" w:rsidRDefault="00CB5C0C">
      <w:pPr>
        <w:spacing w:line="480" w:lineRule="auto"/>
        <w:jc w:val="center"/>
        <w:rPr>
          <w:rFonts w:ascii="Times New Roman" w:hAnsi="Times New Roman" w:cs="Times New Roman"/>
          <w:sz w:val="24"/>
          <w:szCs w:val="24"/>
        </w:rPr>
      </w:pPr>
      <w:r w:rsidRPr="00316A4D">
        <w:rPr>
          <w:rFonts w:ascii="Times New Roman" w:hAnsi="Times New Roman" w:cs="Times New Roman"/>
          <w:sz w:val="24"/>
          <w:szCs w:val="24"/>
        </w:rPr>
        <w:t>State Agency Recordkeeping Burden</w:t>
      </w:r>
    </w:p>
    <w:p w:rsidRPr="00316A4D" w:rsidR="00CB5C0C" w:rsidP="00316A4D" w:rsidRDefault="00CB5C0C">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 xml:space="preserve">272.1(f) – Recordkeeping Breakout for Initiating Collection Action/IPVs </w:t>
      </w:r>
    </w:p>
    <w:p w:rsidRPr="00316A4D" w:rsidR="00CB5C0C" w:rsidP="00316A4D" w:rsidRDefault="00CB5C0C">
      <w:pPr>
        <w:spacing w:line="480" w:lineRule="auto"/>
        <w:rPr>
          <w:rFonts w:ascii="Times New Roman" w:hAnsi="Times New Roman" w:cs="Times New Roman"/>
          <w:b/>
          <w:sz w:val="24"/>
          <w:szCs w:val="24"/>
        </w:rPr>
      </w:pPr>
      <w:r w:rsidRPr="00316A4D">
        <w:rPr>
          <w:rFonts w:ascii="Times New Roman" w:hAnsi="Times New Roman" w:cs="Times New Roman"/>
          <w:sz w:val="24"/>
          <w:szCs w:val="24"/>
          <w:shd w:val="clear" w:color="auto" w:fill="FFFFFF"/>
        </w:rPr>
        <w:t>Each State agency shall retain </w:t>
      </w:r>
      <w:hyperlink w:history="1" r:id="rId18">
        <w:r w:rsidRPr="00316A4D">
          <w:rPr>
            <w:rStyle w:val="Hyperlink"/>
            <w:rFonts w:ascii="Times New Roman" w:hAnsi="Times New Roman" w:cs="Times New Roman"/>
            <w:color w:val="auto"/>
            <w:sz w:val="24"/>
            <w:szCs w:val="24"/>
            <w:shd w:val="clear" w:color="auto" w:fill="FFFFFF"/>
          </w:rPr>
          <w:t>all</w:t>
        </w:r>
      </w:hyperlink>
      <w:r w:rsidRPr="00316A4D">
        <w:rPr>
          <w:rFonts w:ascii="Times New Roman" w:hAnsi="Times New Roman" w:cs="Times New Roman"/>
          <w:sz w:val="24"/>
          <w:szCs w:val="24"/>
          <w:shd w:val="clear" w:color="auto" w:fill="FFFFFF"/>
        </w:rPr>
        <w:t> Program records in an orderly fashion for audit and review purposes for no less than 3 years from the month of origin of each record. </w:t>
      </w:r>
    </w:p>
    <w:p w:rsidRPr="00316A4D" w:rsidR="00CB5C0C" w:rsidP="00316A4D" w:rsidRDefault="00CB5C0C">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Recordkeeping for Initiating Collection Actions: Fifty-three (53) State agencies will keep records for collection actions in approximately 10,561.98 instances for a total </w:t>
      </w:r>
      <w:r w:rsidRPr="00316A4D">
        <w:rPr>
          <w:rFonts w:ascii="Times New Roman" w:hAnsi="Times New Roman" w:cs="Times New Roman"/>
          <w:sz w:val="24"/>
          <w:szCs w:val="24"/>
        </w:rPr>
        <w:lastRenderedPageBreak/>
        <w:t>of 559,785 annual records. At .0334 (2 minutes) hours per response, the estimated annual burden for this activity is 18,696.819 hours.</w:t>
      </w:r>
    </w:p>
    <w:p w:rsidRPr="00316A4D" w:rsidR="00CB5C0C" w:rsidP="00316A4D" w:rsidRDefault="00CB5C0C">
      <w:pPr>
        <w:spacing w:line="480" w:lineRule="auto"/>
        <w:rPr>
          <w:rFonts w:ascii="Times New Roman" w:hAnsi="Times New Roman" w:cs="Times New Roman"/>
          <w:sz w:val="24"/>
          <w:szCs w:val="24"/>
        </w:rPr>
      </w:pPr>
      <w:r w:rsidRPr="00316A4D">
        <w:rPr>
          <w:rFonts w:ascii="Times New Roman" w:hAnsi="Times New Roman" w:cs="Times New Roman"/>
          <w:sz w:val="24"/>
          <w:szCs w:val="24"/>
        </w:rPr>
        <w:t>Recordkeeping for IPVs: Fifty-three (53) State agencies will keep records for IPVs in approximately 1,545.02 instances for a total of 81,886 annual records. At .0334 (2 minutes) hours per response, the estimated annual burden for this activity is 2,734.992 hours</w:t>
      </w:r>
    </w:p>
    <w:p w:rsidRPr="00316A4D" w:rsidR="006C61C1" w:rsidP="00316A4D" w:rsidRDefault="006C61C1">
      <w:pPr>
        <w:spacing w:line="480" w:lineRule="auto"/>
        <w:rPr>
          <w:rFonts w:ascii="Times New Roman" w:hAnsi="Times New Roman" w:cs="Times New Roman"/>
          <w:sz w:val="24"/>
          <w:szCs w:val="24"/>
        </w:rPr>
      </w:pPr>
    </w:p>
    <w:p w:rsidRPr="00316A4D" w:rsidR="008B5D92" w:rsidP="00316A4D" w:rsidRDefault="008B5D92">
      <w:pPr>
        <w:spacing w:line="480" w:lineRule="auto"/>
        <w:jc w:val="center"/>
        <w:rPr>
          <w:rFonts w:ascii="Times New Roman" w:hAnsi="Times New Roman" w:cs="Times New Roman"/>
          <w:sz w:val="24"/>
          <w:szCs w:val="24"/>
        </w:rPr>
      </w:pPr>
      <w:r w:rsidRPr="00316A4D">
        <w:rPr>
          <w:rFonts w:ascii="Times New Roman" w:hAnsi="Times New Roman" w:cs="Times New Roman"/>
          <w:sz w:val="24"/>
          <w:szCs w:val="24"/>
        </w:rPr>
        <w:t>Individual/Household Burden</w:t>
      </w:r>
      <w:r w:rsidRPr="00316A4D" w:rsidR="001241E0">
        <w:rPr>
          <w:rFonts w:ascii="Times New Roman" w:hAnsi="Times New Roman" w:cs="Times New Roman"/>
          <w:sz w:val="24"/>
          <w:szCs w:val="24"/>
        </w:rPr>
        <w:t xml:space="preserve"> (559,785 Respondents)</w:t>
      </w:r>
    </w:p>
    <w:p w:rsidRPr="00316A4D" w:rsidR="001241E0" w:rsidP="00316A4D" w:rsidRDefault="001241E0">
      <w:pPr>
        <w:spacing w:line="480" w:lineRule="auto"/>
        <w:rPr>
          <w:rFonts w:ascii="Times New Roman" w:hAnsi="Times New Roman" w:cs="Times New Roman"/>
          <w:sz w:val="24"/>
          <w:szCs w:val="24"/>
        </w:rPr>
      </w:pPr>
    </w:p>
    <w:p w:rsidRPr="00316A4D" w:rsidR="001241E0" w:rsidP="00316A4D" w:rsidRDefault="001241E0">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273.18(a)(2) –</w:t>
      </w:r>
      <w:r w:rsidR="00316A4D">
        <w:rPr>
          <w:rFonts w:ascii="Times New Roman" w:hAnsi="Times New Roman" w:cs="Times New Roman"/>
          <w:b/>
          <w:sz w:val="24"/>
          <w:szCs w:val="24"/>
        </w:rPr>
        <w:t xml:space="preserve"> Demand Letter for </w:t>
      </w:r>
      <w:proofErr w:type="spellStart"/>
      <w:r w:rsidR="00316A4D">
        <w:rPr>
          <w:rFonts w:ascii="Times New Roman" w:hAnsi="Times New Roman" w:cs="Times New Roman"/>
          <w:b/>
          <w:sz w:val="24"/>
          <w:szCs w:val="24"/>
        </w:rPr>
        <w:t>Overissuance</w:t>
      </w:r>
      <w:proofErr w:type="spellEnd"/>
    </w:p>
    <w:p w:rsidRPr="00316A4D" w:rsidR="001241E0" w:rsidP="00316A4D" w:rsidRDefault="001241E0">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Responding to a Demand Letter for </w:t>
      </w:r>
      <w:proofErr w:type="spellStart"/>
      <w:r w:rsidRPr="00316A4D">
        <w:rPr>
          <w:rFonts w:ascii="Times New Roman" w:hAnsi="Times New Roman" w:cs="Times New Roman"/>
          <w:sz w:val="24"/>
          <w:szCs w:val="24"/>
        </w:rPr>
        <w:t>Overissuance</w:t>
      </w:r>
      <w:proofErr w:type="spellEnd"/>
      <w:r w:rsidRPr="00316A4D">
        <w:rPr>
          <w:rFonts w:ascii="Times New Roman" w:hAnsi="Times New Roman" w:cs="Times New Roman"/>
          <w:sz w:val="24"/>
          <w:szCs w:val="24"/>
        </w:rPr>
        <w:t xml:space="preserve">: An estimated 559,785 households will respond to a demand letter for </w:t>
      </w:r>
      <w:proofErr w:type="spellStart"/>
      <w:r w:rsidRPr="00316A4D">
        <w:rPr>
          <w:rFonts w:ascii="Times New Roman" w:hAnsi="Times New Roman" w:cs="Times New Roman"/>
          <w:sz w:val="24"/>
          <w:szCs w:val="24"/>
        </w:rPr>
        <w:t>overissuance</w:t>
      </w:r>
      <w:proofErr w:type="spellEnd"/>
      <w:r w:rsidRPr="00316A4D">
        <w:rPr>
          <w:rFonts w:ascii="Times New Roman" w:hAnsi="Times New Roman" w:cs="Times New Roman"/>
          <w:sz w:val="24"/>
          <w:szCs w:val="24"/>
        </w:rPr>
        <w:t xml:space="preserve"> one time for a total of 559,785 responses. At .0334 (2 minutes) hours per response, the estimated annual household burden for this activity is 18,696.819 hours.</w:t>
      </w:r>
    </w:p>
    <w:p w:rsidRPr="00316A4D" w:rsidR="001241E0" w:rsidP="00316A4D" w:rsidRDefault="001241E0">
      <w:pPr>
        <w:spacing w:line="480" w:lineRule="auto"/>
        <w:rPr>
          <w:rFonts w:ascii="Times New Roman" w:hAnsi="Times New Roman" w:cs="Times New Roman"/>
          <w:sz w:val="24"/>
          <w:szCs w:val="24"/>
        </w:rPr>
      </w:pPr>
    </w:p>
    <w:p w:rsidRPr="00316A4D" w:rsidR="001241E0" w:rsidP="00316A4D" w:rsidRDefault="001241E0">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273.16(e</w:t>
      </w:r>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3) – Notice for Hearing or Prosecution</w:t>
      </w:r>
    </w:p>
    <w:p w:rsidRPr="00316A4D" w:rsidR="001241E0" w:rsidP="00316A4D" w:rsidRDefault="001241E0">
      <w:pPr>
        <w:spacing w:line="480" w:lineRule="auto"/>
        <w:rPr>
          <w:rFonts w:ascii="Times New Roman" w:hAnsi="Times New Roman" w:cs="Times New Roman"/>
          <w:sz w:val="24"/>
          <w:szCs w:val="24"/>
        </w:rPr>
      </w:pPr>
    </w:p>
    <w:p w:rsidRPr="00316A4D" w:rsidR="001241E0" w:rsidP="00316A4D" w:rsidRDefault="001241E0">
      <w:pPr>
        <w:spacing w:line="480" w:lineRule="auto"/>
        <w:rPr>
          <w:rFonts w:ascii="Times New Roman" w:hAnsi="Times New Roman" w:cs="Times New Roman"/>
          <w:sz w:val="24"/>
          <w:szCs w:val="24"/>
        </w:rPr>
      </w:pPr>
      <w:r w:rsidRPr="00316A4D">
        <w:rPr>
          <w:rFonts w:ascii="Times New Roman" w:hAnsi="Times New Roman" w:cs="Times New Roman"/>
          <w:sz w:val="24"/>
          <w:szCs w:val="24"/>
        </w:rPr>
        <w:t>Responding to a Notice for Hearing or Prosecution: An estimated 42,789 households will response to a Notice for a Hearing or Prosecution one time for a total of 42,789 responses. At .0167 (1 minute) hours per response, the estimated annual household burden for this activity is 714.576 hours.</w:t>
      </w:r>
    </w:p>
    <w:p w:rsidRPr="00316A4D" w:rsidR="001241E0" w:rsidP="00316A4D" w:rsidRDefault="001241E0">
      <w:pPr>
        <w:spacing w:line="480" w:lineRule="auto"/>
        <w:rPr>
          <w:rFonts w:ascii="Times New Roman" w:hAnsi="Times New Roman" w:cs="Times New Roman"/>
          <w:sz w:val="24"/>
          <w:szCs w:val="24"/>
        </w:rPr>
      </w:pPr>
    </w:p>
    <w:p w:rsidRPr="00316A4D" w:rsidR="001241E0" w:rsidP="00316A4D" w:rsidRDefault="00316A4D">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lastRenderedPageBreak/>
        <w:t>273.16(</w:t>
      </w:r>
      <w:proofErr w:type="spellStart"/>
      <w:r w:rsidRPr="00316A4D">
        <w:rPr>
          <w:rFonts w:ascii="Times New Roman" w:hAnsi="Times New Roman" w:cs="Times New Roman"/>
          <w:b/>
          <w:sz w:val="24"/>
          <w:szCs w:val="24"/>
        </w:rPr>
        <w:t>i</w:t>
      </w:r>
      <w:proofErr w:type="spellEnd"/>
      <w:proofErr w:type="gramStart"/>
      <w:r w:rsidRPr="00316A4D" w:rsidR="001241E0">
        <w:rPr>
          <w:rFonts w:ascii="Times New Roman" w:hAnsi="Times New Roman" w:cs="Times New Roman"/>
          <w:b/>
          <w:sz w:val="24"/>
          <w:szCs w:val="24"/>
        </w:rPr>
        <w:t>)</w:t>
      </w:r>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2</w:t>
      </w:r>
      <w:r w:rsidRPr="00316A4D" w:rsidR="001241E0">
        <w:rPr>
          <w:rFonts w:ascii="Times New Roman" w:hAnsi="Times New Roman" w:cs="Times New Roman"/>
          <w:b/>
          <w:sz w:val="24"/>
          <w:szCs w:val="24"/>
        </w:rPr>
        <w:t>) – Responding to an Administrative Disqualification Hearing Waiver</w:t>
      </w:r>
    </w:p>
    <w:p w:rsidRPr="00316A4D" w:rsidR="001241E0" w:rsidP="00316A4D" w:rsidRDefault="001241E0">
      <w:pPr>
        <w:spacing w:line="480" w:lineRule="auto"/>
        <w:rPr>
          <w:rFonts w:ascii="Times New Roman" w:hAnsi="Times New Roman" w:cs="Times New Roman"/>
          <w:b/>
          <w:sz w:val="24"/>
          <w:szCs w:val="24"/>
        </w:rPr>
      </w:pPr>
      <w:r w:rsidRPr="00316A4D">
        <w:rPr>
          <w:rFonts w:ascii="Times New Roman" w:hAnsi="Times New Roman" w:cs="Times New Roman"/>
          <w:b/>
          <w:sz w:val="24"/>
          <w:szCs w:val="24"/>
        </w:rPr>
        <w:tab/>
      </w:r>
      <w:r w:rsidRPr="00316A4D">
        <w:rPr>
          <w:rFonts w:ascii="Times New Roman" w:hAnsi="Times New Roman" w:cs="Times New Roman"/>
          <w:b/>
          <w:sz w:val="24"/>
          <w:szCs w:val="24"/>
        </w:rPr>
        <w:tab/>
        <w:t>Responding to a Disqualification Consent Agreement</w:t>
      </w:r>
    </w:p>
    <w:p w:rsidRPr="00316A4D" w:rsidR="001241E0" w:rsidP="00316A4D" w:rsidRDefault="001241E0">
      <w:pPr>
        <w:spacing w:line="480" w:lineRule="auto"/>
        <w:rPr>
          <w:rFonts w:ascii="Times New Roman" w:hAnsi="Times New Roman" w:cs="Times New Roman"/>
          <w:sz w:val="24"/>
          <w:szCs w:val="24"/>
        </w:rPr>
      </w:pPr>
    </w:p>
    <w:p w:rsidRPr="00316A4D" w:rsidR="001241E0" w:rsidP="00316A4D" w:rsidRDefault="001241E0">
      <w:pPr>
        <w:spacing w:line="480" w:lineRule="auto"/>
        <w:rPr>
          <w:rFonts w:ascii="Times New Roman" w:hAnsi="Times New Roman" w:cs="Times New Roman"/>
          <w:sz w:val="24"/>
          <w:szCs w:val="24"/>
        </w:rPr>
      </w:pPr>
      <w:r w:rsidRPr="00316A4D">
        <w:rPr>
          <w:rFonts w:ascii="Times New Roman" w:hAnsi="Times New Roman" w:cs="Times New Roman"/>
          <w:sz w:val="24"/>
          <w:szCs w:val="24"/>
        </w:rPr>
        <w:t>Responding to an Administrative Disqualification Hearing Waiver: An estimated 15,664 households will respond to an administrative disqualification hearing waiver one time for a total of 15,664 responses. At .0334 (2 minutes) hours per response, the estimated annual household burden for this activity is 523.178 hours.</w:t>
      </w:r>
    </w:p>
    <w:p w:rsidRPr="00316A4D" w:rsidR="001241E0" w:rsidP="00316A4D" w:rsidRDefault="001241E0">
      <w:pPr>
        <w:spacing w:line="480" w:lineRule="auto"/>
        <w:rPr>
          <w:rFonts w:ascii="Times New Roman" w:hAnsi="Times New Roman" w:cs="Times New Roman"/>
          <w:sz w:val="24"/>
          <w:szCs w:val="24"/>
        </w:rPr>
      </w:pPr>
      <w:r w:rsidRPr="00316A4D">
        <w:rPr>
          <w:rFonts w:ascii="Times New Roman" w:hAnsi="Times New Roman" w:cs="Times New Roman"/>
          <w:sz w:val="24"/>
          <w:szCs w:val="24"/>
        </w:rPr>
        <w:t>Responding to Disqualification Consent Agreement: an estimated 2,898 households will respond to a disqualification consent agreement one time for a total of 2,898 responses. At .0334 (2 minutes) hours per response, the estimated annual household burden for this activity is 96.763 hours.</w:t>
      </w:r>
    </w:p>
    <w:p w:rsidRPr="00316A4D" w:rsidR="001241E0" w:rsidP="00316A4D" w:rsidRDefault="001241E0">
      <w:pPr>
        <w:spacing w:line="480" w:lineRule="auto"/>
        <w:rPr>
          <w:rFonts w:ascii="Times New Roman" w:hAnsi="Times New Roman" w:cs="Times New Roman"/>
          <w:sz w:val="24"/>
          <w:szCs w:val="24"/>
        </w:rPr>
      </w:pPr>
    </w:p>
    <w:p w:rsidRPr="00316A4D" w:rsidR="00316A4D" w:rsidP="00316A4D" w:rsidRDefault="00316A4D">
      <w:pPr>
        <w:spacing w:line="480" w:lineRule="auto"/>
        <w:rPr>
          <w:rFonts w:ascii="Times New Roman" w:hAnsi="Times New Roman" w:cs="Times New Roman"/>
          <w:sz w:val="24"/>
          <w:szCs w:val="24"/>
        </w:rPr>
      </w:pPr>
      <w:r w:rsidRPr="00316A4D">
        <w:rPr>
          <w:rFonts w:ascii="Times New Roman" w:hAnsi="Times New Roman" w:cs="Times New Roman"/>
          <w:b/>
          <w:sz w:val="24"/>
          <w:szCs w:val="24"/>
        </w:rPr>
        <w:t>273.16(e</w:t>
      </w:r>
      <w:proofErr w:type="gramStart"/>
      <w:r w:rsidRPr="00316A4D">
        <w:rPr>
          <w:rFonts w:ascii="Times New Roman" w:hAnsi="Times New Roman" w:cs="Times New Roman"/>
          <w:b/>
          <w:sz w:val="24"/>
          <w:szCs w:val="24"/>
        </w:rPr>
        <w:t>)(</w:t>
      </w:r>
      <w:proofErr w:type="gramEnd"/>
      <w:r w:rsidRPr="00316A4D">
        <w:rPr>
          <w:rFonts w:ascii="Times New Roman" w:hAnsi="Times New Roman" w:cs="Times New Roman"/>
          <w:b/>
          <w:sz w:val="24"/>
          <w:szCs w:val="24"/>
        </w:rPr>
        <w:t>9</w:t>
      </w:r>
      <w:r w:rsidRPr="00316A4D" w:rsidR="001241E0">
        <w:rPr>
          <w:rFonts w:ascii="Times New Roman" w:hAnsi="Times New Roman" w:cs="Times New Roman"/>
          <w:b/>
          <w:sz w:val="24"/>
          <w:szCs w:val="24"/>
        </w:rPr>
        <w:t xml:space="preserve">) – </w:t>
      </w:r>
      <w:r w:rsidRPr="00316A4D">
        <w:rPr>
          <w:rFonts w:ascii="Times New Roman" w:hAnsi="Times New Roman" w:cs="Times New Roman"/>
          <w:b/>
          <w:sz w:val="24"/>
          <w:szCs w:val="24"/>
        </w:rPr>
        <w:t>Action Taken on Hearing or Court Decision for IPV Finding</w:t>
      </w:r>
      <w:r w:rsidRPr="00316A4D">
        <w:rPr>
          <w:rFonts w:ascii="Times New Roman" w:hAnsi="Times New Roman" w:cs="Times New Roman"/>
          <w:sz w:val="24"/>
          <w:szCs w:val="24"/>
        </w:rPr>
        <w:t xml:space="preserve"> </w:t>
      </w:r>
    </w:p>
    <w:p w:rsidRPr="00316A4D" w:rsidR="00316A4D" w:rsidP="00316A4D" w:rsidRDefault="00316A4D">
      <w:pPr>
        <w:spacing w:line="480" w:lineRule="auto"/>
        <w:rPr>
          <w:rFonts w:ascii="Times New Roman" w:hAnsi="Times New Roman" w:cs="Times New Roman"/>
          <w:sz w:val="24"/>
          <w:szCs w:val="24"/>
        </w:rPr>
      </w:pPr>
      <w:r w:rsidRPr="00316A4D">
        <w:rPr>
          <w:rFonts w:ascii="Times New Roman" w:hAnsi="Times New Roman" w:cs="Times New Roman"/>
          <w:sz w:val="24"/>
          <w:szCs w:val="24"/>
        </w:rPr>
        <w:tab/>
      </w:r>
      <w:r w:rsidRPr="00316A4D">
        <w:rPr>
          <w:rFonts w:ascii="Times New Roman" w:hAnsi="Times New Roman" w:cs="Times New Roman"/>
          <w:sz w:val="24"/>
          <w:szCs w:val="24"/>
        </w:rPr>
        <w:tab/>
      </w:r>
      <w:r w:rsidRPr="00316A4D">
        <w:rPr>
          <w:rFonts w:ascii="Times New Roman" w:hAnsi="Times New Roman" w:cs="Times New Roman"/>
          <w:b/>
          <w:sz w:val="24"/>
          <w:szCs w:val="24"/>
        </w:rPr>
        <w:t>Action Taken on Hearing or Court Decision for No IPV Finding</w:t>
      </w:r>
    </w:p>
    <w:p w:rsidRPr="00316A4D" w:rsidR="001241E0" w:rsidP="00316A4D" w:rsidRDefault="001241E0">
      <w:pPr>
        <w:spacing w:line="480" w:lineRule="auto"/>
        <w:rPr>
          <w:rFonts w:ascii="Times New Roman" w:hAnsi="Times New Roman" w:cs="Times New Roman"/>
          <w:sz w:val="24"/>
          <w:szCs w:val="24"/>
        </w:rPr>
      </w:pPr>
      <w:r w:rsidRPr="00316A4D">
        <w:rPr>
          <w:rFonts w:ascii="Times New Roman" w:hAnsi="Times New Roman" w:cs="Times New Roman"/>
          <w:sz w:val="24"/>
          <w:szCs w:val="24"/>
        </w:rPr>
        <w:t>Household Action on Hearing or Court Decision for IPV Finding: An estimated 39,097 households will act on a hearing or court decision for an IPV finding one time for a total of 39,097 responses. At .0167 (1 minute) hours per response, the estimated annual household burden for this activity is 652.92 hours.</w:t>
      </w:r>
    </w:p>
    <w:p w:rsidRPr="00316A4D" w:rsidR="001241E0" w:rsidP="00316A4D" w:rsidRDefault="001241E0">
      <w:pPr>
        <w:spacing w:line="480" w:lineRule="auto"/>
        <w:rPr>
          <w:rFonts w:ascii="Times New Roman" w:hAnsi="Times New Roman" w:cs="Times New Roman"/>
          <w:sz w:val="24"/>
          <w:szCs w:val="24"/>
        </w:rPr>
      </w:pPr>
    </w:p>
    <w:p w:rsidR="001241E0" w:rsidP="00316A4D" w:rsidRDefault="001241E0">
      <w:pPr>
        <w:spacing w:line="480" w:lineRule="auto"/>
        <w:rPr>
          <w:rFonts w:ascii="Times New Roman" w:hAnsi="Times New Roman" w:cs="Times New Roman"/>
          <w:sz w:val="24"/>
          <w:szCs w:val="24"/>
        </w:rPr>
      </w:pPr>
      <w:r w:rsidRPr="00316A4D">
        <w:rPr>
          <w:rFonts w:ascii="Times New Roman" w:hAnsi="Times New Roman" w:cs="Times New Roman"/>
          <w:sz w:val="24"/>
          <w:szCs w:val="24"/>
        </w:rPr>
        <w:t xml:space="preserve">Household Action on Hearing or Court Decision for No IPV Finding: An estimated 3,692 households will act on a hearing or court decision for no IPV finding one </w:t>
      </w:r>
      <w:r w:rsidRPr="00316A4D">
        <w:rPr>
          <w:rFonts w:ascii="Times New Roman" w:hAnsi="Times New Roman" w:cs="Times New Roman"/>
          <w:sz w:val="24"/>
          <w:szCs w:val="24"/>
        </w:rPr>
        <w:lastRenderedPageBreak/>
        <w:t>time for a total of 3,692 responses. At .0167 (1 minute) hours per response, the estimated annual household burden for this activity is 61.656 hours.</w:t>
      </w:r>
    </w:p>
    <w:p w:rsidR="00210872" w:rsidP="00316A4D" w:rsidRDefault="00210872">
      <w:pPr>
        <w:spacing w:line="480" w:lineRule="auto"/>
        <w:rPr>
          <w:rFonts w:ascii="Times New Roman" w:hAnsi="Times New Roman" w:cs="Times New Roman"/>
          <w:sz w:val="24"/>
          <w:szCs w:val="24"/>
        </w:rPr>
      </w:pPr>
    </w:p>
    <w:p w:rsidR="00210872" w:rsidP="00210872" w:rsidRDefault="0021087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Third-Party Disclosure</w:t>
      </w:r>
      <w:bookmarkStart w:name="_GoBack" w:id="0"/>
      <w:bookmarkEnd w:id="0"/>
      <w:r>
        <w:rPr>
          <w:rFonts w:ascii="Times New Roman" w:hAnsi="Times New Roman" w:cs="Times New Roman"/>
          <w:b/>
          <w:sz w:val="24"/>
          <w:szCs w:val="24"/>
        </w:rPr>
        <w:t xml:space="preserve"> Reporting</w:t>
      </w:r>
    </w:p>
    <w:p w:rsidRPr="00210872" w:rsidR="00210872" w:rsidP="00210872" w:rsidRDefault="00210872">
      <w:pPr>
        <w:spacing w:line="480" w:lineRule="auto"/>
        <w:rPr>
          <w:rFonts w:ascii="Times New Roman" w:hAnsi="Times New Roman" w:cs="Times New Roman"/>
          <w:sz w:val="24"/>
          <w:szCs w:val="24"/>
        </w:rPr>
      </w:pPr>
      <w:r w:rsidRPr="00210872">
        <w:rPr>
          <w:rFonts w:ascii="Times New Roman" w:hAnsi="Times New Roman" w:cs="Times New Roman"/>
          <w:sz w:val="24"/>
          <w:szCs w:val="24"/>
        </w:rPr>
        <w:t xml:space="preserve">There is no </w:t>
      </w:r>
      <w:proofErr w:type="gramStart"/>
      <w:r w:rsidRPr="00210872">
        <w:rPr>
          <w:rFonts w:ascii="Times New Roman" w:hAnsi="Times New Roman" w:cs="Times New Roman"/>
          <w:sz w:val="24"/>
          <w:szCs w:val="24"/>
        </w:rPr>
        <w:t>third-party</w:t>
      </w:r>
      <w:proofErr w:type="gramEnd"/>
      <w:r w:rsidRPr="00210872">
        <w:rPr>
          <w:rFonts w:ascii="Times New Roman" w:hAnsi="Times New Roman" w:cs="Times New Roman"/>
          <w:sz w:val="24"/>
          <w:szCs w:val="24"/>
        </w:rPr>
        <w:t xml:space="preserve"> disclosure reporting associated with this information collection request.</w:t>
      </w:r>
    </w:p>
    <w:p w:rsidRPr="00210872" w:rsidR="00210872" w:rsidP="00316A4D" w:rsidRDefault="00210872">
      <w:pPr>
        <w:spacing w:line="480" w:lineRule="auto"/>
        <w:rPr>
          <w:rFonts w:ascii="Times New Roman" w:hAnsi="Times New Roman" w:cs="Times New Roman"/>
          <w:b/>
          <w:sz w:val="24"/>
          <w:szCs w:val="24"/>
        </w:rPr>
      </w:pPr>
    </w:p>
    <w:sectPr w:rsidRPr="00210872" w:rsidR="00210872">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5CD" w:rsidRDefault="00F505CD" w:rsidP="00F505CD">
      <w:r>
        <w:separator/>
      </w:r>
    </w:p>
  </w:endnote>
  <w:endnote w:type="continuationSeparator" w:id="0">
    <w:p w:rsidR="00F505CD" w:rsidRDefault="00F505CD" w:rsidP="00F5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5CD" w:rsidRDefault="00F505CD" w:rsidP="00F505CD">
      <w:r>
        <w:separator/>
      </w:r>
    </w:p>
  </w:footnote>
  <w:footnote w:type="continuationSeparator" w:id="0">
    <w:p w:rsidR="00F505CD" w:rsidRDefault="00F505CD" w:rsidP="00F50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5CD" w:rsidRDefault="00F505CD" w:rsidP="00F505CD">
    <w:pPr>
      <w:pStyle w:val="Header"/>
      <w:jc w:val="right"/>
      <w:rPr>
        <w:rFonts w:ascii="Times New Roman" w:hAnsi="Times New Roman" w:cs="Times New Roman"/>
        <w:sz w:val="24"/>
        <w:szCs w:val="24"/>
      </w:rPr>
    </w:pPr>
    <w:r>
      <w:rPr>
        <w:rFonts w:ascii="Times New Roman" w:hAnsi="Times New Roman" w:cs="Times New Roman"/>
        <w:sz w:val="24"/>
        <w:szCs w:val="24"/>
      </w:rPr>
      <w:t>OMB# 0584-0492</w:t>
    </w:r>
  </w:p>
  <w:p w:rsidR="00F505CD" w:rsidRPr="009102BF" w:rsidRDefault="00F505CD" w:rsidP="00F505CD">
    <w:pPr>
      <w:pStyle w:val="Header"/>
      <w:jc w:val="right"/>
      <w:rPr>
        <w:rFonts w:ascii="Times New Roman" w:hAnsi="Times New Roman" w:cs="Times New Roman"/>
        <w:sz w:val="24"/>
        <w:szCs w:val="24"/>
      </w:rPr>
    </w:pPr>
    <w:proofErr w:type="spellStart"/>
    <w:r>
      <w:rPr>
        <w:rFonts w:ascii="Times New Roman" w:hAnsi="Times New Roman" w:cs="Times New Roman"/>
        <w:sz w:val="24"/>
        <w:szCs w:val="24"/>
      </w:rPr>
      <w:t>Exp</w:t>
    </w:r>
    <w:proofErr w:type="spellEnd"/>
    <w:r>
      <w:rPr>
        <w:rFonts w:ascii="Times New Roman" w:hAnsi="Times New Roman" w:cs="Times New Roman"/>
        <w:sz w:val="24"/>
        <w:szCs w:val="24"/>
      </w:rPr>
      <w:t xml:space="preserve"> 03/31/2021</w:t>
    </w:r>
  </w:p>
  <w:p w:rsidR="00F505CD" w:rsidRDefault="00F505CD" w:rsidP="00F505C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1299"/>
    <w:multiLevelType w:val="hybridMultilevel"/>
    <w:tmpl w:val="C750EBF2"/>
    <w:lvl w:ilvl="0" w:tplc="153E37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13501"/>
    <w:multiLevelType w:val="hybridMultilevel"/>
    <w:tmpl w:val="3A08B882"/>
    <w:lvl w:ilvl="0" w:tplc="8EA842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F5457"/>
    <w:multiLevelType w:val="hybridMultilevel"/>
    <w:tmpl w:val="DFD469E4"/>
    <w:lvl w:ilvl="0" w:tplc="31805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1C1"/>
    <w:rsid w:val="00050653"/>
    <w:rsid w:val="001241E0"/>
    <w:rsid w:val="001624AD"/>
    <w:rsid w:val="00210872"/>
    <w:rsid w:val="00304A67"/>
    <w:rsid w:val="00316A4D"/>
    <w:rsid w:val="006215AA"/>
    <w:rsid w:val="006C61C1"/>
    <w:rsid w:val="008B5D92"/>
    <w:rsid w:val="00C40901"/>
    <w:rsid w:val="00CB5C0C"/>
    <w:rsid w:val="00F505CD"/>
    <w:rsid w:val="00F72E8D"/>
    <w:rsid w:val="00FE1FD3"/>
    <w:rsid w:val="00FF6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AE82"/>
  <w15:chartTrackingRefBased/>
  <w15:docId w15:val="{855121BD-66AB-4E92-81B8-7DEA71FC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61C1"/>
    <w:rPr>
      <w:color w:val="0000FF"/>
      <w:u w:val="single"/>
    </w:rPr>
  </w:style>
  <w:style w:type="paragraph" w:styleId="ListParagraph">
    <w:name w:val="List Paragraph"/>
    <w:basedOn w:val="Normal"/>
    <w:uiPriority w:val="34"/>
    <w:qFormat/>
    <w:rsid w:val="006C61C1"/>
    <w:pPr>
      <w:widowControl w:val="0"/>
      <w:tabs>
        <w:tab w:val="left" w:pos="-720"/>
      </w:tabs>
      <w:suppressAutoHyphens/>
      <w:spacing w:line="480" w:lineRule="auto"/>
      <w:ind w:left="720"/>
      <w:contextualSpacing/>
    </w:pPr>
    <w:rPr>
      <w:rFonts w:ascii="Times New Roman" w:eastAsia="Times New Roman" w:hAnsi="Times New Roman" w:cs="Times New Roman"/>
      <w:spacing w:val="-3"/>
      <w:sz w:val="24"/>
      <w:szCs w:val="20"/>
    </w:rPr>
  </w:style>
  <w:style w:type="paragraph" w:customStyle="1" w:styleId="psection-3">
    <w:name w:val="psection-3"/>
    <w:basedOn w:val="Normal"/>
    <w:rsid w:val="00FF6AF3"/>
    <w:pPr>
      <w:spacing w:before="100" w:beforeAutospacing="1" w:after="100" w:afterAutospacing="1"/>
    </w:pPr>
    <w:rPr>
      <w:rFonts w:ascii="Times New Roman" w:eastAsia="Times New Roman" w:hAnsi="Times New Roman" w:cs="Times New Roman"/>
      <w:sz w:val="24"/>
      <w:szCs w:val="24"/>
    </w:rPr>
  </w:style>
  <w:style w:type="character" w:customStyle="1" w:styleId="enumxml">
    <w:name w:val="enumxml"/>
    <w:basedOn w:val="DefaultParagraphFont"/>
    <w:rsid w:val="00FF6AF3"/>
  </w:style>
  <w:style w:type="paragraph" w:customStyle="1" w:styleId="psection-2">
    <w:name w:val="psection-2"/>
    <w:basedOn w:val="Normal"/>
    <w:rsid w:val="00050653"/>
    <w:pPr>
      <w:spacing w:before="100" w:beforeAutospacing="1" w:after="100" w:afterAutospacing="1"/>
    </w:pPr>
    <w:rPr>
      <w:rFonts w:ascii="Times New Roman" w:eastAsia="Times New Roman" w:hAnsi="Times New Roman" w:cs="Times New Roman"/>
      <w:sz w:val="24"/>
      <w:szCs w:val="24"/>
    </w:rPr>
  </w:style>
  <w:style w:type="character" w:customStyle="1" w:styleId="et03">
    <w:name w:val="et03"/>
    <w:basedOn w:val="DefaultParagraphFont"/>
    <w:rsid w:val="001624AD"/>
  </w:style>
  <w:style w:type="paragraph" w:styleId="Header">
    <w:name w:val="header"/>
    <w:basedOn w:val="Normal"/>
    <w:link w:val="HeaderChar"/>
    <w:uiPriority w:val="99"/>
    <w:unhideWhenUsed/>
    <w:rsid w:val="00F505CD"/>
    <w:pPr>
      <w:tabs>
        <w:tab w:val="center" w:pos="4680"/>
        <w:tab w:val="right" w:pos="9360"/>
      </w:tabs>
    </w:pPr>
  </w:style>
  <w:style w:type="character" w:customStyle="1" w:styleId="HeaderChar">
    <w:name w:val="Header Char"/>
    <w:basedOn w:val="DefaultParagraphFont"/>
    <w:link w:val="Header"/>
    <w:uiPriority w:val="99"/>
    <w:rsid w:val="00F505CD"/>
  </w:style>
  <w:style w:type="paragraph" w:styleId="Footer">
    <w:name w:val="footer"/>
    <w:basedOn w:val="Normal"/>
    <w:link w:val="FooterChar"/>
    <w:uiPriority w:val="99"/>
    <w:unhideWhenUsed/>
    <w:rsid w:val="00F505CD"/>
    <w:pPr>
      <w:tabs>
        <w:tab w:val="center" w:pos="4680"/>
        <w:tab w:val="right" w:pos="9360"/>
      </w:tabs>
    </w:pPr>
  </w:style>
  <w:style w:type="character" w:customStyle="1" w:styleId="FooterChar">
    <w:name w:val="Footer Char"/>
    <w:basedOn w:val="DefaultParagraphFont"/>
    <w:link w:val="Footer"/>
    <w:uiPriority w:val="99"/>
    <w:rsid w:val="00F505CD"/>
  </w:style>
  <w:style w:type="paragraph" w:styleId="BalloonText">
    <w:name w:val="Balloon Text"/>
    <w:basedOn w:val="Normal"/>
    <w:link w:val="BalloonTextChar"/>
    <w:uiPriority w:val="99"/>
    <w:semiHidden/>
    <w:unhideWhenUsed/>
    <w:rsid w:val="002108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981807">
      <w:bodyDiv w:val="1"/>
      <w:marLeft w:val="0"/>
      <w:marRight w:val="0"/>
      <w:marTop w:val="0"/>
      <w:marBottom w:val="0"/>
      <w:divBdr>
        <w:top w:val="none" w:sz="0" w:space="0" w:color="auto"/>
        <w:left w:val="none" w:sz="0" w:space="0" w:color="auto"/>
        <w:bottom w:val="none" w:sz="0" w:space="0" w:color="auto"/>
        <w:right w:val="none" w:sz="0" w:space="0" w:color="auto"/>
      </w:divBdr>
    </w:div>
    <w:div w:id="41694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 Id="rId13" Type="http://schemas.openxmlformats.org/officeDocument/2006/relationships/hyperlink" Target="https://www.law.cornell.edu/cfr/text/7/273.18" TargetMode="External"/><Relationship Id="rId18" Type="http://schemas.openxmlformats.org/officeDocument/2006/relationships/hyperlink" Target="https://www.law.cornell.edu/definitions/index.php?width=840&amp;height=800&amp;iframe=true&amp;def_id=561f9e04def2a716aa7bf8e2d01cc197&amp;term_occur=999&amp;term_src=Title:7:Subtitle:B:Chapter:II:Subchapter:C:Part:272:272.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law.cornell.edu/definitions/index.php?width=840&amp;height=800&amp;iframe=true&amp;def_id=6e4e7a812702f639257c52748a1e27ce&amp;term_occur=999&amp;term_src=Title:7:Subtitle:B:Chapter:II:Subchapter:C:Part:273:Subpart:F:273.18" TargetMode="External"/><Relationship Id="rId12" Type="http://schemas.openxmlformats.org/officeDocument/2006/relationships/hyperlink" Target="https://www.law.cornell.edu/cfr/text/7/273.11" TargetMode="External"/><Relationship Id="rId17" Type="http://schemas.openxmlformats.org/officeDocument/2006/relationships/hyperlink" Target="https://www.law.cornell.edu/definitions/index.php?width=840&amp;height=800&amp;iframe=true&amp;def_id=561f9e04def2a716aa7bf8e2d01cc197&amp;term_occur=999&amp;term_src=Title:7:Subtitle:B:Chapter:II:Subchapter:C:Part:272:272.1" TargetMode="External"/><Relationship Id="rId2" Type="http://schemas.openxmlformats.org/officeDocument/2006/relationships/styles" Target="styles.xml"/><Relationship Id="rId16"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 Id="rId5" Type="http://schemas.openxmlformats.org/officeDocument/2006/relationships/footnotes" Target="footnotes.xml"/><Relationship Id="rId15"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 Id="rId10"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 Id="rId14" Type="http://schemas.openxmlformats.org/officeDocument/2006/relationships/hyperlink" Target="https://www.law.cornell.edu/definitions/index.php?width=840&amp;height=800&amp;iframe=true&amp;def_id=6e4e7a812702f639257c52748a1e27ce&amp;term_occur=999&amp;term_src=Title:7:Subtitle:B:Chapter:II:Subchapter:C:Part:273:Subpart:F:273.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1617</Words>
  <Characters>9222</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Sieradzki, Evan - FNS</dc:creator>
  <cp:keywords/>
  <dc:description/>
  <cp:lastModifiedBy>Sieradzki, Evan - FNS</cp:lastModifiedBy>
  <cp:revision>2</cp:revision>
  <dcterms:created xsi:type="dcterms:W3CDTF">2021-03-15T13:23:00Z</dcterms:created>
  <dcterms:modified xsi:type="dcterms:W3CDTF">2021-03-15T13:23:00Z</dcterms:modified>
</cp:coreProperties>
</file>