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55E8E" w:rsidR="00164F35" w:rsidP="00164F35" w:rsidRDefault="00164F35" w14:paraId="71EA5D26" w14:textId="77777777">
      <w:pPr>
        <w:pStyle w:val="NormalWeb"/>
        <w:spacing w:before="0" w:beforeAutospacing="0" w:after="0" w:afterAutospacing="0"/>
        <w:jc w:val="center"/>
        <w:rPr>
          <w:b/>
          <w:bCs/>
          <w:color w:val="auto"/>
        </w:rPr>
      </w:pPr>
      <w:r w:rsidRPr="00555E8E">
        <w:rPr>
          <w:b/>
          <w:bCs/>
          <w:iCs/>
          <w:color w:val="auto"/>
        </w:rPr>
        <w:t>Department of Commerce</w:t>
      </w:r>
    </w:p>
    <w:p w:rsidRPr="00555E8E" w:rsidR="00164F35" w:rsidP="00164F35" w:rsidRDefault="00164F35" w14:paraId="47045D7C" w14:textId="77777777">
      <w:pPr>
        <w:pStyle w:val="NormalWeb"/>
        <w:spacing w:before="0" w:beforeAutospacing="0" w:after="0" w:afterAutospacing="0"/>
        <w:jc w:val="center"/>
        <w:rPr>
          <w:b/>
          <w:bCs/>
          <w:color w:val="auto"/>
        </w:rPr>
      </w:pPr>
      <w:r w:rsidRPr="00555E8E">
        <w:rPr>
          <w:b/>
          <w:bCs/>
          <w:color w:val="auto"/>
        </w:rPr>
        <w:t>U.S. Census Bureau</w:t>
      </w:r>
    </w:p>
    <w:p w:rsidRPr="00555E8E" w:rsidR="00164F35" w:rsidP="00164F35" w:rsidRDefault="00164F35" w14:paraId="0D83406E" w14:textId="77777777">
      <w:pPr>
        <w:pStyle w:val="NormalWeb"/>
        <w:spacing w:before="0" w:beforeAutospacing="0" w:after="0" w:afterAutospacing="0"/>
        <w:jc w:val="center"/>
        <w:rPr>
          <w:b/>
          <w:bCs/>
          <w:color w:val="auto"/>
        </w:rPr>
      </w:pPr>
      <w:r w:rsidRPr="00555E8E">
        <w:rPr>
          <w:b/>
          <w:bCs/>
          <w:color w:val="auto"/>
        </w:rPr>
        <w:t>OMB Information Collection Request</w:t>
      </w:r>
    </w:p>
    <w:p w:rsidRPr="003656A9" w:rsidR="00145DB5" w:rsidP="00164F35" w:rsidRDefault="00145DB5" w14:paraId="67337033" w14:textId="77777777">
      <w:pPr>
        <w:pStyle w:val="NormalWeb"/>
        <w:spacing w:before="0" w:beforeAutospacing="0" w:after="0" w:afterAutospacing="0"/>
        <w:jc w:val="center"/>
        <w:rPr>
          <w:b/>
          <w:bCs/>
          <w:color w:val="auto"/>
        </w:rPr>
      </w:pPr>
      <w:r w:rsidRPr="003656A9">
        <w:rPr>
          <w:b/>
          <w:color w:val="auto"/>
        </w:rPr>
        <w:t>Management and Organizational Practices Survey-Hospitals</w:t>
      </w:r>
      <w:r w:rsidRPr="003656A9" w:rsidDel="00145DB5">
        <w:rPr>
          <w:b/>
          <w:bCs/>
          <w:color w:val="auto"/>
        </w:rPr>
        <w:t xml:space="preserve"> </w:t>
      </w:r>
    </w:p>
    <w:p w:rsidRPr="00555E8E" w:rsidR="00164F35" w:rsidP="00164F35" w:rsidRDefault="00164F35" w14:paraId="0ED62CA5" w14:textId="1D372281">
      <w:pPr>
        <w:pStyle w:val="NormalWeb"/>
        <w:spacing w:before="0" w:beforeAutospacing="0" w:after="0" w:afterAutospacing="0"/>
        <w:jc w:val="center"/>
        <w:rPr>
          <w:b/>
          <w:bCs/>
          <w:color w:val="auto"/>
        </w:rPr>
      </w:pPr>
      <w:r w:rsidRPr="00555E8E">
        <w:rPr>
          <w:b/>
          <w:bCs/>
          <w:color w:val="auto"/>
        </w:rPr>
        <w:t>OMB Control Number 0607-&lt;XXXX&gt;</w:t>
      </w:r>
    </w:p>
    <w:p w:rsidRPr="00555E8E" w:rsidR="00164F35" w:rsidP="00164F35" w:rsidRDefault="00164F35" w14:paraId="497B6239" w14:textId="77777777">
      <w:pPr>
        <w:pStyle w:val="NormalWeb"/>
        <w:spacing w:before="0" w:beforeAutospacing="0" w:after="0" w:afterAutospacing="0"/>
        <w:jc w:val="center"/>
        <w:rPr>
          <w:color w:val="auto"/>
        </w:rPr>
      </w:pPr>
    </w:p>
    <w:p w:rsidR="00164F35" w:rsidP="00164F35" w:rsidRDefault="00164F35" w14:paraId="1D740BF6" w14:textId="44788A50">
      <w:pPr>
        <w:pStyle w:val="Heading4"/>
        <w:rPr>
          <w:rStyle w:val="Strong"/>
          <w:rFonts w:cs="Times New Roman"/>
        </w:rPr>
      </w:pPr>
      <w:r w:rsidRPr="00555E8E">
        <w:rPr>
          <w:rStyle w:val="Strong"/>
          <w:rFonts w:cs="Times New Roman"/>
        </w:rPr>
        <w:t xml:space="preserve">Part B </w:t>
      </w:r>
      <w:r w:rsidRPr="00555E8E">
        <w:rPr>
          <w:rFonts w:cs="Times New Roman"/>
        </w:rPr>
        <w:t>–</w:t>
      </w:r>
      <w:r w:rsidRPr="00555E8E">
        <w:rPr>
          <w:rStyle w:val="Strong"/>
          <w:rFonts w:cs="Times New Roman"/>
        </w:rPr>
        <w:t xml:space="preserve"> Collections of Information Employing Statistical Methods</w:t>
      </w:r>
    </w:p>
    <w:p w:rsidRPr="006255D7" w:rsidR="006255D7" w:rsidP="00DA114E" w:rsidRDefault="006255D7" w14:paraId="5F5EF467" w14:textId="77777777"/>
    <w:p w:rsidR="00164F35" w:rsidP="00164F35" w:rsidRDefault="00164F35" w14:paraId="07FB9B63" w14:textId="58D30F59">
      <w:pPr>
        <w:pStyle w:val="NormalWeb"/>
        <w:rPr>
          <w:color w:val="auto"/>
          <w:u w:val="single"/>
        </w:rPr>
      </w:pPr>
      <w:r w:rsidRPr="00555E8E">
        <w:rPr>
          <w:color w:val="auto"/>
          <w:u w:val="single"/>
        </w:rPr>
        <w:t>Question 1. Universe and Respondent Selection</w:t>
      </w:r>
    </w:p>
    <w:p w:rsidRPr="00555E8E" w:rsidR="006255D7" w:rsidP="00164F35" w:rsidRDefault="006255D7" w14:paraId="3400B3CE" w14:textId="77777777">
      <w:pPr>
        <w:pStyle w:val="NormalWeb"/>
        <w:rPr>
          <w:color w:val="auto"/>
          <w:u w:val="single"/>
        </w:rPr>
      </w:pPr>
    </w:p>
    <w:p w:rsidR="00E95B3E" w:rsidP="00164F35" w:rsidRDefault="00BE0E36" w14:paraId="6196B7E0" w14:textId="52502DB1">
      <w:pPr>
        <w:pStyle w:val="NormalWeb"/>
        <w:rPr>
          <w:color w:val="auto"/>
        </w:rPr>
      </w:pPr>
      <w:r w:rsidRPr="00555E8E">
        <w:rPr>
          <w:color w:val="auto"/>
        </w:rPr>
        <w:t>The Management and Organizational Practices Survey-Hospitals</w:t>
      </w:r>
      <w:r w:rsidRPr="00555E8E" w:rsidR="00614D59">
        <w:rPr>
          <w:color w:val="auto"/>
        </w:rPr>
        <w:t xml:space="preserve"> (MOPS-HP) is a sample survey of approximately </w:t>
      </w:r>
      <w:r w:rsidRPr="004156F0" w:rsidR="003B0F2C">
        <w:rPr>
          <w:color w:val="auto"/>
          <w:highlight w:val="yellow"/>
        </w:rPr>
        <w:t>3,200</w:t>
      </w:r>
      <w:r w:rsidRPr="00555E8E" w:rsidR="00614D59">
        <w:rPr>
          <w:color w:val="auto"/>
        </w:rPr>
        <w:t xml:space="preserve"> establishments classified as a general medical or surgical hospital. The sample represents a universe of approximately </w:t>
      </w:r>
      <w:r w:rsidR="0028642F">
        <w:rPr>
          <w:color w:val="auto"/>
        </w:rPr>
        <w:t>5</w:t>
      </w:r>
      <w:r w:rsidR="001239E2">
        <w:rPr>
          <w:color w:val="auto"/>
        </w:rPr>
        <w:t>,</w:t>
      </w:r>
      <w:r w:rsidR="006C0AF0">
        <w:rPr>
          <w:color w:val="auto"/>
        </w:rPr>
        <w:t>0</w:t>
      </w:r>
      <w:r w:rsidR="0028642F">
        <w:rPr>
          <w:color w:val="auto"/>
        </w:rPr>
        <w:t>00</w:t>
      </w:r>
      <w:r w:rsidRPr="00555E8E" w:rsidR="00614D59">
        <w:rPr>
          <w:color w:val="auto"/>
        </w:rPr>
        <w:t xml:space="preserve"> establishments, based on the Census Bureau’s Business R</w:t>
      </w:r>
      <w:r w:rsidRPr="00555E8E" w:rsidR="00B75AC7">
        <w:rPr>
          <w:color w:val="auto"/>
        </w:rPr>
        <w:t xml:space="preserve">egister </w:t>
      </w:r>
      <w:r w:rsidRPr="00555E8E" w:rsidR="00BC06F3">
        <w:rPr>
          <w:color w:val="auto"/>
        </w:rPr>
        <w:t xml:space="preserve">and 2017 Economic Census </w:t>
      </w:r>
      <w:r w:rsidRPr="00555E8E" w:rsidR="00B75AC7">
        <w:rPr>
          <w:color w:val="auto"/>
        </w:rPr>
        <w:t>data</w:t>
      </w:r>
      <w:r w:rsidRPr="00555E8E" w:rsidR="00614D59">
        <w:rPr>
          <w:color w:val="auto"/>
        </w:rPr>
        <w:t xml:space="preserve">. Establishments were selected if they were classified as a general medical or surgical hospital and associated with a firm included </w:t>
      </w:r>
      <w:r w:rsidR="006255D7">
        <w:rPr>
          <w:color w:val="auto"/>
        </w:rPr>
        <w:t xml:space="preserve">in </w:t>
      </w:r>
      <w:r w:rsidRPr="00555E8E" w:rsidR="00614D59">
        <w:rPr>
          <w:color w:val="auto"/>
        </w:rPr>
        <w:t>the Service Annual Survey’s (SAS) sample.</w:t>
      </w:r>
    </w:p>
    <w:p w:rsidR="00446BA7" w:rsidP="00164F35" w:rsidRDefault="00094B1A" w14:paraId="35AF50F6" w14:textId="42B453F9">
      <w:pPr>
        <w:pStyle w:val="NormalWeb"/>
        <w:rPr>
          <w:color w:val="auto"/>
        </w:rPr>
      </w:pPr>
      <w:r>
        <w:rPr>
          <w:color w:val="auto"/>
        </w:rPr>
        <w:t xml:space="preserve">The SAS unit response rate has been in the 65-70% range in recent years. We estimate the final unit response rate for the MOPS-HP will be approximately </w:t>
      </w:r>
      <w:r w:rsidR="00446BA7">
        <w:rPr>
          <w:color w:val="auto"/>
        </w:rPr>
        <w:t>70</w:t>
      </w:r>
      <w:r>
        <w:rPr>
          <w:color w:val="auto"/>
        </w:rPr>
        <w:t>%.</w:t>
      </w:r>
    </w:p>
    <w:p w:rsidRPr="00555E8E" w:rsidR="006255D7" w:rsidP="00164F35" w:rsidRDefault="002A5210" w14:paraId="565D59F8" w14:textId="40779567">
      <w:pPr>
        <w:pStyle w:val="NormalWeb"/>
        <w:rPr>
          <w:color w:val="auto"/>
        </w:rPr>
      </w:pPr>
      <w:r>
        <w:rPr>
          <w:bdr w:val="none" w:color="auto" w:sz="0" w:space="0" w:frame="1"/>
          <w:shd w:val="clear" w:color="auto" w:fill="FFFFFF"/>
        </w:rPr>
        <w:t>The MOPS-HP target population and sample is in essence the same target population and sample as the SAS for 6221. For 6221, where revenue is the key item in SAS, the total quantity response rate (TQRR), which is what is used to dictate the need for a nonresponse bias study in that survey's case, is consistently 80% or higher.</w:t>
      </w:r>
      <w:r w:rsidRPr="002A5210">
        <w:rPr>
          <w:color w:val="auto"/>
          <w:bdr w:val="none" w:color="auto" w:sz="0" w:space="0" w:frame="1"/>
          <w:shd w:val="clear" w:color="auto" w:fill="FFFFFF"/>
        </w:rPr>
        <w:t xml:space="preserve"> This is above the threshold of requiring a nonresponse bias study. Although </w:t>
      </w:r>
      <w:r>
        <w:rPr>
          <w:bdr w:val="none" w:color="auto" w:sz="0" w:space="0" w:frame="1"/>
          <w:shd w:val="clear" w:color="auto" w:fill="FFFFFF"/>
        </w:rPr>
        <w:t>the SAS is primarily measuring total revenue and the MOPS-HP is primarily measuring management practices, which is not a dollar volume measurement, the target population for 6221 is represented in both the SAS and MOPS-HP by the same representative proportion of sample, with weights applied in both instances based on dollar volume measures of size.  For this reason, there is no evidence to believe that the respondents will differ significantly from the non-respondents with any more consistency than they do for the SAS</w:t>
      </w:r>
      <w:r w:rsidRPr="002A5210">
        <w:rPr>
          <w:color w:val="C82613"/>
          <w:bdr w:val="none" w:color="auto" w:sz="0" w:space="0" w:frame="1"/>
          <w:shd w:val="clear" w:color="auto" w:fill="FFFFFF"/>
        </w:rPr>
        <w:t>.</w:t>
      </w:r>
      <w:r>
        <w:rPr>
          <w:color w:val="C82613"/>
          <w:bdr w:val="none" w:color="auto" w:sz="0" w:space="0" w:frame="1"/>
          <w:shd w:val="clear" w:color="auto" w:fill="FFFFFF"/>
        </w:rPr>
        <w:t> </w:t>
      </w:r>
      <w:r>
        <w:rPr>
          <w:bdr w:val="none" w:color="auto" w:sz="0" w:space="0" w:frame="1"/>
          <w:shd w:val="clear" w:color="auto" w:fill="FFFFFF"/>
        </w:rPr>
        <w:t>However, if the MOPS-HP response rate does not meet these standards, a nonresponse bias study will be conducted at that time.</w:t>
      </w:r>
    </w:p>
    <w:p w:rsidR="002A5210" w:rsidP="00164F35" w:rsidRDefault="002A5210" w14:paraId="3674B991" w14:textId="77777777">
      <w:pPr>
        <w:pStyle w:val="NormalWeb"/>
        <w:rPr>
          <w:color w:val="auto"/>
          <w:u w:val="single"/>
        </w:rPr>
      </w:pPr>
    </w:p>
    <w:p w:rsidR="00164F35" w:rsidP="00164F35" w:rsidRDefault="00164F35" w14:paraId="31680A0C" w14:textId="681CDDC5">
      <w:pPr>
        <w:pStyle w:val="NormalWeb"/>
        <w:rPr>
          <w:color w:val="auto"/>
          <w:u w:val="single"/>
        </w:rPr>
      </w:pPr>
      <w:r w:rsidRPr="00555E8E">
        <w:rPr>
          <w:color w:val="auto"/>
          <w:u w:val="single"/>
        </w:rPr>
        <w:t>Question 2. Procedures for Collecting Information</w:t>
      </w:r>
    </w:p>
    <w:p w:rsidRPr="00555E8E" w:rsidR="006255D7" w:rsidP="00164F35" w:rsidRDefault="006255D7" w14:paraId="09F018F3" w14:textId="77777777">
      <w:pPr>
        <w:pStyle w:val="NormalWeb"/>
        <w:rPr>
          <w:color w:val="auto"/>
        </w:rPr>
      </w:pPr>
    </w:p>
    <w:p w:rsidR="00745158" w:rsidP="00361F2D" w:rsidRDefault="00745158" w14:paraId="615B752D" w14:textId="5AF9CA36">
      <w:pPr>
        <w:pStyle w:val="ListParagraph"/>
        <w:numPr>
          <w:ilvl w:val="0"/>
          <w:numId w:val="4"/>
        </w:num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Description of Reporting Forms</w:t>
      </w:r>
    </w:p>
    <w:p w:rsidR="006255D7" w:rsidP="00DA114E" w:rsidRDefault="006255D7" w14:paraId="3BCF72B4" w14:textId="77777777">
      <w:pPr>
        <w:pStyle w:val="ListParagraph"/>
        <w:autoSpaceDE w:val="0"/>
        <w:autoSpaceDN w:val="0"/>
        <w:adjustRightInd w:val="0"/>
        <w:spacing w:after="0" w:line="240" w:lineRule="auto"/>
        <w:ind w:left="1440"/>
        <w:rPr>
          <w:rFonts w:ascii="Times New Roman" w:hAnsi="Times New Roman" w:cs="Times New Roman"/>
          <w:b/>
          <w:bCs/>
          <w:sz w:val="24"/>
          <w:szCs w:val="24"/>
        </w:rPr>
      </w:pPr>
    </w:p>
    <w:p w:rsidRPr="00745158" w:rsidR="00745158" w:rsidP="00745158" w:rsidRDefault="00745158" w14:paraId="1FE409D6" w14:textId="68F5CCFE">
      <w:pPr>
        <w:autoSpaceDE w:val="0"/>
        <w:autoSpaceDN w:val="0"/>
        <w:adjustRightInd w:val="0"/>
        <w:spacing w:after="0" w:line="240" w:lineRule="auto"/>
        <w:ind w:left="1080"/>
        <w:rPr>
          <w:rFonts w:ascii="Times New Roman" w:hAnsi="Times New Roman" w:cs="Times New Roman"/>
          <w:bCs/>
          <w:sz w:val="24"/>
          <w:szCs w:val="24"/>
        </w:rPr>
      </w:pPr>
      <w:r w:rsidRPr="00745158">
        <w:rPr>
          <w:rFonts w:ascii="Times New Roman" w:hAnsi="Times New Roman" w:cs="Times New Roman"/>
          <w:bCs/>
          <w:sz w:val="24"/>
          <w:szCs w:val="24"/>
        </w:rPr>
        <w:lastRenderedPageBreak/>
        <w:t xml:space="preserve">We will mail forms to approximately </w:t>
      </w:r>
      <w:r w:rsidRPr="004156F0" w:rsidR="003B0F2C">
        <w:rPr>
          <w:rFonts w:ascii="Times New Roman" w:hAnsi="Times New Roman" w:cs="Times New Roman"/>
          <w:bCs/>
          <w:sz w:val="24"/>
          <w:szCs w:val="24"/>
          <w:highlight w:val="yellow"/>
        </w:rPr>
        <w:t>3,200</w:t>
      </w:r>
      <w:r w:rsidRPr="00745158">
        <w:rPr>
          <w:rFonts w:ascii="Times New Roman" w:hAnsi="Times New Roman" w:cs="Times New Roman"/>
          <w:bCs/>
          <w:sz w:val="24"/>
          <w:szCs w:val="24"/>
        </w:rPr>
        <w:t xml:space="preserve"> establishments </w:t>
      </w:r>
      <w:r w:rsidR="00066751">
        <w:rPr>
          <w:rFonts w:ascii="Times New Roman" w:hAnsi="Times New Roman" w:cs="Times New Roman"/>
          <w:bCs/>
          <w:sz w:val="24"/>
          <w:szCs w:val="24"/>
        </w:rPr>
        <w:t xml:space="preserve">associated with firms included in the SAS sample and </w:t>
      </w:r>
      <w:r w:rsidRPr="00745158">
        <w:rPr>
          <w:rFonts w:ascii="Times New Roman" w:hAnsi="Times New Roman" w:cs="Times New Roman"/>
          <w:bCs/>
          <w:sz w:val="24"/>
          <w:szCs w:val="24"/>
        </w:rPr>
        <w:t>classified under NAICS code 6221, General Medical and Surgical Hospitals.</w:t>
      </w:r>
    </w:p>
    <w:p w:rsidR="00745158" w:rsidP="00745158" w:rsidRDefault="00745158" w14:paraId="0A889EE4" w14:textId="77777777">
      <w:pPr>
        <w:pStyle w:val="ListParagraph"/>
        <w:autoSpaceDE w:val="0"/>
        <w:autoSpaceDN w:val="0"/>
        <w:adjustRightInd w:val="0"/>
        <w:spacing w:after="0" w:line="240" w:lineRule="auto"/>
        <w:ind w:left="1440"/>
        <w:rPr>
          <w:rFonts w:ascii="Times New Roman" w:hAnsi="Times New Roman" w:cs="Times New Roman"/>
          <w:b/>
          <w:bCs/>
          <w:sz w:val="24"/>
          <w:szCs w:val="24"/>
        </w:rPr>
      </w:pPr>
    </w:p>
    <w:p w:rsidRPr="00555E8E" w:rsidR="00361F2D" w:rsidP="00361F2D" w:rsidRDefault="00361F2D" w14:paraId="20E90C66" w14:textId="52B41376">
      <w:pPr>
        <w:pStyle w:val="ListParagraph"/>
        <w:numPr>
          <w:ilvl w:val="0"/>
          <w:numId w:val="4"/>
        </w:numPr>
        <w:autoSpaceDE w:val="0"/>
        <w:autoSpaceDN w:val="0"/>
        <w:adjustRightInd w:val="0"/>
        <w:spacing w:after="0" w:line="240" w:lineRule="auto"/>
        <w:rPr>
          <w:rFonts w:ascii="Times New Roman" w:hAnsi="Times New Roman" w:cs="Times New Roman"/>
          <w:b/>
          <w:bCs/>
          <w:sz w:val="24"/>
          <w:szCs w:val="24"/>
        </w:rPr>
      </w:pPr>
      <w:r w:rsidRPr="00555E8E">
        <w:rPr>
          <w:rFonts w:ascii="Times New Roman" w:hAnsi="Times New Roman" w:cs="Times New Roman"/>
          <w:b/>
          <w:bCs/>
          <w:sz w:val="24"/>
          <w:szCs w:val="24"/>
        </w:rPr>
        <w:t>Sampling Methodology</w:t>
      </w:r>
    </w:p>
    <w:p w:rsidRPr="00555E8E" w:rsidR="00361F2D" w:rsidP="00C92949" w:rsidRDefault="00361F2D" w14:paraId="3EF7467E" w14:textId="554C437B">
      <w:pPr>
        <w:autoSpaceDE w:val="0"/>
        <w:autoSpaceDN w:val="0"/>
        <w:adjustRightInd w:val="0"/>
        <w:spacing w:after="0" w:line="240" w:lineRule="auto"/>
        <w:rPr>
          <w:rFonts w:ascii="Times New Roman" w:hAnsi="Times New Roman" w:cs="Times New Roman"/>
          <w:b/>
          <w:bCs/>
          <w:sz w:val="24"/>
          <w:szCs w:val="24"/>
        </w:rPr>
      </w:pPr>
    </w:p>
    <w:p w:rsidRPr="00555E8E" w:rsidR="00361F2D" w:rsidP="00BC06F3" w:rsidRDefault="00361F2D" w14:paraId="629D9096" w14:textId="003C8D84">
      <w:pPr>
        <w:autoSpaceDE w:val="0"/>
        <w:autoSpaceDN w:val="0"/>
        <w:adjustRightInd w:val="0"/>
        <w:spacing w:after="0" w:line="240" w:lineRule="auto"/>
        <w:ind w:left="1035"/>
        <w:rPr>
          <w:rFonts w:ascii="Times New Roman" w:hAnsi="Times New Roman" w:cs="Times New Roman"/>
          <w:sz w:val="24"/>
          <w:szCs w:val="24"/>
        </w:rPr>
      </w:pPr>
      <w:r w:rsidRPr="00555E8E">
        <w:rPr>
          <w:rFonts w:ascii="Times New Roman" w:hAnsi="Times New Roman" w:cs="Times New Roman"/>
          <w:sz w:val="24"/>
          <w:szCs w:val="24"/>
        </w:rPr>
        <w:t xml:space="preserve">The </w:t>
      </w:r>
      <w:r w:rsidRPr="00555E8E" w:rsidR="00BC06F3">
        <w:rPr>
          <w:rFonts w:ascii="Times New Roman" w:hAnsi="Times New Roman" w:cs="Times New Roman"/>
          <w:sz w:val="24"/>
          <w:szCs w:val="24"/>
        </w:rPr>
        <w:t>MOPS-HP</w:t>
      </w:r>
      <w:r w:rsidRPr="00555E8E">
        <w:rPr>
          <w:rFonts w:ascii="Times New Roman" w:hAnsi="Times New Roman" w:cs="Times New Roman"/>
          <w:sz w:val="24"/>
          <w:szCs w:val="24"/>
        </w:rPr>
        <w:t xml:space="preserve"> sampling frame </w:t>
      </w:r>
      <w:r w:rsidRPr="00555E8E" w:rsidR="00BC06F3">
        <w:rPr>
          <w:rFonts w:ascii="Times New Roman" w:hAnsi="Times New Roman" w:cs="Times New Roman"/>
          <w:sz w:val="24"/>
          <w:szCs w:val="24"/>
        </w:rPr>
        <w:t xml:space="preserve">includes establishments classified under NAICS code 6221 (General Medical and Surgical Hospitals) and </w:t>
      </w:r>
      <w:r w:rsidRPr="00555E8E" w:rsidR="00875C49">
        <w:rPr>
          <w:rFonts w:ascii="Times New Roman" w:hAnsi="Times New Roman" w:cs="Times New Roman"/>
          <w:sz w:val="24"/>
          <w:szCs w:val="24"/>
        </w:rPr>
        <w:t xml:space="preserve">associated with firms </w:t>
      </w:r>
      <w:r w:rsidRPr="00555E8E" w:rsidR="00BC06F3">
        <w:rPr>
          <w:rFonts w:ascii="Times New Roman" w:hAnsi="Times New Roman" w:cs="Times New Roman"/>
          <w:sz w:val="24"/>
          <w:szCs w:val="24"/>
        </w:rPr>
        <w:t>included in the SAS sample</w:t>
      </w:r>
      <w:r w:rsidRPr="00555E8E">
        <w:rPr>
          <w:rFonts w:ascii="Times New Roman" w:hAnsi="Times New Roman" w:cs="Times New Roman"/>
          <w:sz w:val="24"/>
          <w:szCs w:val="24"/>
        </w:rPr>
        <w:t xml:space="preserve">. The information used to create these sampling units </w:t>
      </w:r>
      <w:r w:rsidRPr="00555E8E" w:rsidR="00875C49">
        <w:rPr>
          <w:rFonts w:ascii="Times New Roman" w:hAnsi="Times New Roman" w:cs="Times New Roman"/>
          <w:sz w:val="24"/>
          <w:szCs w:val="24"/>
        </w:rPr>
        <w:t>will be</w:t>
      </w:r>
      <w:r w:rsidRPr="00555E8E">
        <w:rPr>
          <w:rFonts w:ascii="Times New Roman" w:hAnsi="Times New Roman" w:cs="Times New Roman"/>
          <w:sz w:val="24"/>
          <w:szCs w:val="24"/>
        </w:rPr>
        <w:t xml:space="preserve"> extracted from da</w:t>
      </w:r>
      <w:r w:rsidRPr="00555E8E" w:rsidR="00BC06F3">
        <w:rPr>
          <w:rFonts w:ascii="Times New Roman" w:hAnsi="Times New Roman" w:cs="Times New Roman"/>
          <w:sz w:val="24"/>
          <w:szCs w:val="24"/>
        </w:rPr>
        <w:t xml:space="preserve">ta collected as part of the SAS, </w:t>
      </w:r>
      <w:r w:rsidRPr="00555E8E">
        <w:rPr>
          <w:rFonts w:ascii="Times New Roman" w:hAnsi="Times New Roman" w:cs="Times New Roman"/>
          <w:sz w:val="24"/>
          <w:szCs w:val="24"/>
        </w:rPr>
        <w:t>Economic Census</w:t>
      </w:r>
      <w:r w:rsidRPr="00555E8E" w:rsidR="00BC06F3">
        <w:rPr>
          <w:rFonts w:ascii="Times New Roman" w:hAnsi="Times New Roman" w:cs="Times New Roman"/>
          <w:sz w:val="24"/>
          <w:szCs w:val="24"/>
        </w:rPr>
        <w:t>,</w:t>
      </w:r>
      <w:r w:rsidRPr="00555E8E">
        <w:rPr>
          <w:rFonts w:ascii="Times New Roman" w:hAnsi="Times New Roman" w:cs="Times New Roman"/>
          <w:sz w:val="24"/>
          <w:szCs w:val="24"/>
        </w:rPr>
        <w:t xml:space="preserve"> and from establishment records contained on the Census Bureau's Business Register</w:t>
      </w:r>
      <w:r w:rsidRPr="00555E8E" w:rsidR="00BC06F3">
        <w:rPr>
          <w:rFonts w:ascii="Times New Roman" w:hAnsi="Times New Roman" w:cs="Times New Roman"/>
          <w:sz w:val="24"/>
          <w:szCs w:val="24"/>
        </w:rPr>
        <w:t>.</w:t>
      </w:r>
      <w:r w:rsidR="005D5932">
        <w:rPr>
          <w:rFonts w:ascii="Times New Roman" w:hAnsi="Times New Roman" w:cs="Times New Roman"/>
          <w:sz w:val="24"/>
          <w:szCs w:val="24"/>
        </w:rPr>
        <w:t xml:space="preserve"> We are currently developing the sampling methodology so all information in this section is subject to change.</w:t>
      </w:r>
    </w:p>
    <w:p w:rsidRPr="00555E8E" w:rsidR="00361F2D" w:rsidP="00361F2D" w:rsidRDefault="00361F2D" w14:paraId="51C0BE1B" w14:textId="77777777">
      <w:pPr>
        <w:autoSpaceDE w:val="0"/>
        <w:autoSpaceDN w:val="0"/>
        <w:adjustRightInd w:val="0"/>
        <w:spacing w:after="0" w:line="240" w:lineRule="auto"/>
        <w:ind w:left="1035"/>
        <w:rPr>
          <w:rFonts w:ascii="Times New Roman" w:hAnsi="Times New Roman" w:cs="Times New Roman"/>
          <w:sz w:val="24"/>
          <w:szCs w:val="24"/>
        </w:rPr>
      </w:pPr>
    </w:p>
    <w:p w:rsidR="00361F2D" w:rsidP="00361F2D" w:rsidRDefault="00361F2D" w14:paraId="6A49F60F" w14:textId="0FC5A9DF">
      <w:pPr>
        <w:autoSpaceDE w:val="0"/>
        <w:autoSpaceDN w:val="0"/>
        <w:adjustRightInd w:val="0"/>
        <w:spacing w:after="0" w:line="240" w:lineRule="auto"/>
        <w:ind w:left="1035"/>
        <w:rPr>
          <w:rFonts w:ascii="Times New Roman" w:hAnsi="Times New Roman" w:cs="Times New Roman"/>
          <w:sz w:val="24"/>
          <w:szCs w:val="24"/>
        </w:rPr>
      </w:pPr>
      <w:r w:rsidRPr="00555E8E">
        <w:rPr>
          <w:rFonts w:ascii="Times New Roman" w:hAnsi="Times New Roman" w:cs="Times New Roman"/>
          <w:sz w:val="24"/>
          <w:szCs w:val="24"/>
        </w:rPr>
        <w:t xml:space="preserve">To create the sampling frame, records </w:t>
      </w:r>
      <w:r w:rsidRPr="00555E8E" w:rsidR="00875C49">
        <w:rPr>
          <w:rFonts w:ascii="Times New Roman" w:hAnsi="Times New Roman" w:cs="Times New Roman"/>
          <w:sz w:val="24"/>
          <w:szCs w:val="24"/>
        </w:rPr>
        <w:t>will be</w:t>
      </w:r>
      <w:r w:rsidRPr="00555E8E">
        <w:rPr>
          <w:rFonts w:ascii="Times New Roman" w:hAnsi="Times New Roman" w:cs="Times New Roman"/>
          <w:sz w:val="24"/>
          <w:szCs w:val="24"/>
        </w:rPr>
        <w:t xml:space="preserve"> extracted for all employer </w:t>
      </w:r>
      <w:r w:rsidRPr="00555E8E" w:rsidR="00BC06F3">
        <w:rPr>
          <w:rFonts w:ascii="Times New Roman" w:hAnsi="Times New Roman" w:cs="Times New Roman"/>
          <w:sz w:val="24"/>
          <w:szCs w:val="24"/>
        </w:rPr>
        <w:t xml:space="preserve">establishments </w:t>
      </w:r>
      <w:r w:rsidRPr="00555E8E">
        <w:rPr>
          <w:rFonts w:ascii="Times New Roman" w:hAnsi="Times New Roman" w:cs="Times New Roman"/>
          <w:sz w:val="24"/>
          <w:szCs w:val="24"/>
        </w:rPr>
        <w:t xml:space="preserve">located in the United States that are classified in </w:t>
      </w:r>
      <w:r w:rsidRPr="00555E8E" w:rsidR="00BC06F3">
        <w:rPr>
          <w:rFonts w:ascii="Times New Roman" w:hAnsi="Times New Roman" w:cs="Times New Roman"/>
          <w:sz w:val="24"/>
          <w:szCs w:val="24"/>
        </w:rPr>
        <w:t>NAICS code 6221</w:t>
      </w:r>
      <w:r w:rsidRPr="00555E8E">
        <w:rPr>
          <w:rFonts w:ascii="Times New Roman" w:hAnsi="Times New Roman" w:cs="Times New Roman"/>
          <w:sz w:val="24"/>
          <w:szCs w:val="24"/>
        </w:rPr>
        <w:t xml:space="preserve"> as defined by the 2012 NAICS</w:t>
      </w:r>
      <w:r w:rsidRPr="00555E8E" w:rsidR="00BC06F3">
        <w:rPr>
          <w:rFonts w:ascii="Times New Roman" w:hAnsi="Times New Roman" w:cs="Times New Roman"/>
          <w:sz w:val="24"/>
          <w:szCs w:val="24"/>
        </w:rPr>
        <w:t xml:space="preserve"> and that are associated with firms included in the SAS sample</w:t>
      </w:r>
      <w:r w:rsidRPr="00555E8E">
        <w:rPr>
          <w:rFonts w:ascii="Times New Roman" w:hAnsi="Times New Roman" w:cs="Times New Roman"/>
          <w:sz w:val="24"/>
          <w:szCs w:val="24"/>
        </w:rPr>
        <w:t>.</w:t>
      </w:r>
      <w:r w:rsidR="00AD70F0">
        <w:rPr>
          <w:rFonts w:ascii="Times New Roman" w:hAnsi="Times New Roman" w:cs="Times New Roman"/>
          <w:sz w:val="24"/>
          <w:szCs w:val="24"/>
        </w:rPr>
        <w:t xml:space="preserve"> The current SAS sample </w:t>
      </w:r>
      <w:r w:rsidR="003656A9">
        <w:rPr>
          <w:rFonts w:ascii="Times New Roman" w:hAnsi="Times New Roman" w:cs="Times New Roman"/>
          <w:sz w:val="24"/>
          <w:szCs w:val="24"/>
        </w:rPr>
        <w:t>was selected based on data from</w:t>
      </w:r>
      <w:r w:rsidR="00AD70F0">
        <w:rPr>
          <w:rFonts w:ascii="Times New Roman" w:hAnsi="Times New Roman" w:cs="Times New Roman"/>
          <w:sz w:val="24"/>
          <w:szCs w:val="24"/>
        </w:rPr>
        <w:t xml:space="preserve"> the 2012 Economic Census and</w:t>
      </w:r>
      <w:r w:rsidR="00407D75">
        <w:rPr>
          <w:rFonts w:ascii="Times New Roman" w:hAnsi="Times New Roman" w:cs="Times New Roman"/>
          <w:sz w:val="24"/>
          <w:szCs w:val="24"/>
        </w:rPr>
        <w:t xml:space="preserve"> </w:t>
      </w:r>
      <w:r w:rsidR="00AD70F0">
        <w:rPr>
          <w:rFonts w:ascii="Times New Roman" w:hAnsi="Times New Roman" w:cs="Times New Roman"/>
          <w:sz w:val="24"/>
          <w:szCs w:val="24"/>
        </w:rPr>
        <w:t>Business Register</w:t>
      </w:r>
      <w:r w:rsidR="003656A9">
        <w:rPr>
          <w:rFonts w:ascii="Times New Roman" w:hAnsi="Times New Roman" w:cs="Times New Roman"/>
          <w:sz w:val="24"/>
          <w:szCs w:val="24"/>
        </w:rPr>
        <w:t xml:space="preserve"> (BR)</w:t>
      </w:r>
      <w:r w:rsidR="00AD70F0">
        <w:rPr>
          <w:rFonts w:ascii="Times New Roman" w:hAnsi="Times New Roman" w:cs="Times New Roman"/>
          <w:sz w:val="24"/>
          <w:szCs w:val="24"/>
        </w:rPr>
        <w:t xml:space="preserve"> data from 2012, 2013, and 2014.</w:t>
      </w:r>
      <w:r w:rsidRPr="00555E8E">
        <w:rPr>
          <w:rFonts w:ascii="Times New Roman" w:hAnsi="Times New Roman" w:cs="Times New Roman"/>
          <w:sz w:val="24"/>
          <w:szCs w:val="24"/>
        </w:rPr>
        <w:t xml:space="preserve"> </w:t>
      </w:r>
      <w:r w:rsidR="00CB16B4">
        <w:rPr>
          <w:rFonts w:ascii="Times New Roman" w:hAnsi="Times New Roman" w:cs="Times New Roman"/>
          <w:sz w:val="24"/>
          <w:szCs w:val="24"/>
        </w:rPr>
        <w:t xml:space="preserve">For the MOPS-HP, we may extract </w:t>
      </w:r>
      <w:r w:rsidRPr="00CB16B4" w:rsidR="00CB16B4">
        <w:rPr>
          <w:rFonts w:ascii="Times New Roman" w:hAnsi="Times New Roman" w:cs="Times New Roman"/>
          <w:sz w:val="24"/>
          <w:szCs w:val="24"/>
        </w:rPr>
        <w:t>the universe of establishments in 6221 o</w:t>
      </w:r>
      <w:r w:rsidR="00CB16B4">
        <w:rPr>
          <w:rFonts w:ascii="Times New Roman" w:hAnsi="Times New Roman" w:cs="Times New Roman"/>
          <w:sz w:val="24"/>
          <w:szCs w:val="24"/>
        </w:rPr>
        <w:t>n a more recent year of BR data to provide</w:t>
      </w:r>
      <w:r w:rsidRPr="00CB16B4" w:rsidR="00CB16B4">
        <w:rPr>
          <w:rFonts w:ascii="Times New Roman" w:hAnsi="Times New Roman" w:cs="Times New Roman"/>
          <w:sz w:val="24"/>
          <w:szCs w:val="24"/>
        </w:rPr>
        <w:t xml:space="preserve"> a more up-to-date frame with revenue at the establishment level</w:t>
      </w:r>
      <w:r w:rsidR="003656A9">
        <w:rPr>
          <w:rFonts w:ascii="Times New Roman" w:hAnsi="Times New Roman" w:cs="Times New Roman"/>
          <w:sz w:val="24"/>
          <w:szCs w:val="24"/>
        </w:rPr>
        <w:t>.</w:t>
      </w:r>
    </w:p>
    <w:p w:rsidR="00C92949" w:rsidP="00361F2D" w:rsidRDefault="00C92949" w14:paraId="7881973C" w14:textId="1E93C4FF">
      <w:pPr>
        <w:autoSpaceDE w:val="0"/>
        <w:autoSpaceDN w:val="0"/>
        <w:adjustRightInd w:val="0"/>
        <w:spacing w:after="0" w:line="240" w:lineRule="auto"/>
        <w:ind w:left="1035"/>
        <w:rPr>
          <w:rFonts w:ascii="Times New Roman" w:hAnsi="Times New Roman" w:cs="Times New Roman"/>
          <w:sz w:val="24"/>
          <w:szCs w:val="24"/>
        </w:rPr>
      </w:pPr>
    </w:p>
    <w:p w:rsidR="00AD70F0" w:rsidP="00C92949" w:rsidRDefault="00C92949" w14:paraId="0DEBACFB" w14:textId="2E0DA25F">
      <w:pPr>
        <w:autoSpaceDE w:val="0"/>
        <w:autoSpaceDN w:val="0"/>
        <w:adjustRightInd w:val="0"/>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The MOPS-HP will use a stratified sample design. </w:t>
      </w:r>
      <w:r w:rsidR="00CB16B4">
        <w:rPr>
          <w:rFonts w:ascii="Times New Roman" w:hAnsi="Times New Roman" w:cs="Times New Roman"/>
          <w:sz w:val="24"/>
          <w:szCs w:val="24"/>
        </w:rPr>
        <w:t xml:space="preserve">This mimics the current </w:t>
      </w:r>
      <w:r w:rsidR="003656A9">
        <w:rPr>
          <w:rFonts w:ascii="Times New Roman" w:hAnsi="Times New Roman" w:cs="Times New Roman"/>
          <w:sz w:val="24"/>
          <w:szCs w:val="24"/>
        </w:rPr>
        <w:t xml:space="preserve">sample design </w:t>
      </w:r>
      <w:r w:rsidR="00CB16B4">
        <w:rPr>
          <w:rFonts w:ascii="Times New Roman" w:hAnsi="Times New Roman" w:cs="Times New Roman"/>
          <w:sz w:val="24"/>
          <w:szCs w:val="24"/>
        </w:rPr>
        <w:t xml:space="preserve">for the SAS. </w:t>
      </w:r>
      <w:r>
        <w:rPr>
          <w:rFonts w:ascii="Times New Roman" w:hAnsi="Times New Roman" w:cs="Times New Roman"/>
          <w:sz w:val="24"/>
          <w:szCs w:val="24"/>
        </w:rPr>
        <w:t>Stratification</w:t>
      </w:r>
      <w:r w:rsidR="00CB16B4">
        <w:rPr>
          <w:rFonts w:ascii="Times New Roman" w:hAnsi="Times New Roman" w:cs="Times New Roman"/>
          <w:sz w:val="24"/>
          <w:szCs w:val="24"/>
        </w:rPr>
        <w:t xml:space="preserve"> for the MOPS-HP</w:t>
      </w:r>
      <w:r>
        <w:rPr>
          <w:rFonts w:ascii="Times New Roman" w:hAnsi="Times New Roman" w:cs="Times New Roman"/>
          <w:sz w:val="24"/>
          <w:szCs w:val="24"/>
        </w:rPr>
        <w:t xml:space="preserve"> will</w:t>
      </w:r>
      <w:r w:rsidR="004C0F86">
        <w:rPr>
          <w:rFonts w:ascii="Times New Roman" w:hAnsi="Times New Roman" w:cs="Times New Roman"/>
          <w:sz w:val="24"/>
          <w:szCs w:val="24"/>
        </w:rPr>
        <w:t xml:space="preserve"> most likely</w:t>
      </w:r>
      <w:r>
        <w:rPr>
          <w:rFonts w:ascii="Times New Roman" w:hAnsi="Times New Roman" w:cs="Times New Roman"/>
          <w:sz w:val="24"/>
          <w:szCs w:val="24"/>
        </w:rPr>
        <w:t xml:space="preserve"> be done </w:t>
      </w:r>
      <w:r w:rsidRPr="00745158">
        <w:rPr>
          <w:rFonts w:ascii="Times New Roman" w:hAnsi="Times New Roman" w:cs="Times New Roman"/>
          <w:sz w:val="24"/>
          <w:szCs w:val="24"/>
        </w:rPr>
        <w:t>by tax-status and Census region with sub-stratification on revenue</w:t>
      </w:r>
      <w:r w:rsidR="005D5932">
        <w:rPr>
          <w:rFonts w:ascii="Times New Roman" w:hAnsi="Times New Roman" w:cs="Times New Roman"/>
          <w:sz w:val="24"/>
          <w:szCs w:val="24"/>
        </w:rPr>
        <w:t>.</w:t>
      </w:r>
    </w:p>
    <w:p w:rsidR="00AD70F0" w:rsidP="00C92949" w:rsidRDefault="00AD70F0" w14:paraId="361C4C81" w14:textId="77777777">
      <w:pPr>
        <w:autoSpaceDE w:val="0"/>
        <w:autoSpaceDN w:val="0"/>
        <w:adjustRightInd w:val="0"/>
        <w:spacing w:after="0" w:line="240" w:lineRule="auto"/>
        <w:ind w:left="1080"/>
        <w:rPr>
          <w:rFonts w:ascii="Times New Roman" w:hAnsi="Times New Roman" w:cs="Times New Roman"/>
          <w:sz w:val="24"/>
          <w:szCs w:val="24"/>
        </w:rPr>
      </w:pPr>
    </w:p>
    <w:p w:rsidRPr="00C22A29" w:rsidR="003656A9" w:rsidP="00C22A29" w:rsidRDefault="003656A9" w14:paraId="39F4CC24" w14:textId="77777777">
      <w:pPr>
        <w:pStyle w:val="ListParagraph"/>
        <w:numPr>
          <w:ilvl w:val="0"/>
          <w:numId w:val="4"/>
        </w:numPr>
        <w:autoSpaceDE w:val="0"/>
        <w:autoSpaceDN w:val="0"/>
        <w:adjustRightInd w:val="0"/>
        <w:spacing w:after="0" w:line="240" w:lineRule="auto"/>
        <w:rPr>
          <w:rFonts w:ascii="Times New Roman" w:hAnsi="Times New Roman" w:cs="Times New Roman"/>
          <w:b/>
          <w:bCs/>
          <w:sz w:val="24"/>
          <w:szCs w:val="24"/>
        </w:rPr>
      </w:pPr>
      <w:r w:rsidRPr="00C22A29">
        <w:rPr>
          <w:rFonts w:ascii="Times New Roman" w:hAnsi="Times New Roman" w:cs="Times New Roman"/>
          <w:b/>
          <w:bCs/>
          <w:sz w:val="24"/>
          <w:szCs w:val="24"/>
        </w:rPr>
        <w:t xml:space="preserve">Non-Response  </w:t>
      </w:r>
    </w:p>
    <w:p w:rsidRPr="003656A9" w:rsidR="003656A9" w:rsidP="00C22A29" w:rsidRDefault="003656A9" w14:paraId="7F485D9C" w14:textId="77777777">
      <w:pPr>
        <w:autoSpaceDE w:val="0"/>
        <w:autoSpaceDN w:val="0"/>
        <w:adjustRightInd w:val="0"/>
        <w:spacing w:after="0" w:line="240" w:lineRule="auto"/>
        <w:ind w:left="1080"/>
        <w:rPr>
          <w:rFonts w:ascii="Times New Roman" w:hAnsi="Times New Roman" w:cs="Times New Roman"/>
          <w:sz w:val="24"/>
          <w:szCs w:val="24"/>
        </w:rPr>
      </w:pPr>
    </w:p>
    <w:p w:rsidR="00361F2D" w:rsidP="00C22A29" w:rsidRDefault="003656A9" w14:paraId="3246956D" w14:textId="38C6297B">
      <w:pPr>
        <w:autoSpaceDE w:val="0"/>
        <w:autoSpaceDN w:val="0"/>
        <w:adjustRightInd w:val="0"/>
        <w:spacing w:after="0" w:line="240" w:lineRule="auto"/>
        <w:ind w:left="1080"/>
        <w:rPr>
          <w:rFonts w:ascii="Times New Roman" w:hAnsi="Times New Roman" w:cs="Times New Roman"/>
          <w:sz w:val="24"/>
          <w:szCs w:val="24"/>
        </w:rPr>
      </w:pPr>
      <w:r w:rsidRPr="003656A9">
        <w:rPr>
          <w:rFonts w:ascii="Times New Roman" w:hAnsi="Times New Roman" w:cs="Times New Roman"/>
          <w:sz w:val="24"/>
          <w:szCs w:val="24"/>
        </w:rPr>
        <w:t>Imputation methodologies are still under development.  In general, data will be imputed using survey data as input for unit non-response, item non-response, and for responses that fail computer or analyst edits.</w:t>
      </w:r>
    </w:p>
    <w:p w:rsidRPr="00555E8E" w:rsidR="003656A9" w:rsidP="00C22A29" w:rsidRDefault="003656A9" w14:paraId="2A777427" w14:textId="77777777">
      <w:pPr>
        <w:autoSpaceDE w:val="0"/>
        <w:autoSpaceDN w:val="0"/>
        <w:adjustRightInd w:val="0"/>
        <w:spacing w:after="0" w:line="240" w:lineRule="auto"/>
        <w:ind w:left="1080"/>
        <w:rPr>
          <w:rFonts w:ascii="Times New Roman" w:hAnsi="Times New Roman" w:cs="Times New Roman"/>
          <w:sz w:val="24"/>
          <w:szCs w:val="24"/>
        </w:rPr>
      </w:pPr>
    </w:p>
    <w:p w:rsidRPr="00555E8E" w:rsidR="00361F2D" w:rsidP="00361F2D" w:rsidRDefault="00361F2D" w14:paraId="0859E1D0" w14:textId="77777777">
      <w:pPr>
        <w:autoSpaceDE w:val="0"/>
        <w:autoSpaceDN w:val="0"/>
        <w:adjustRightInd w:val="0"/>
        <w:spacing w:after="0" w:line="240" w:lineRule="auto"/>
        <w:ind w:left="1080"/>
        <w:rPr>
          <w:rFonts w:ascii="Times New Roman" w:hAnsi="Times New Roman" w:cs="Times New Roman"/>
          <w:sz w:val="24"/>
          <w:szCs w:val="24"/>
        </w:rPr>
      </w:pPr>
    </w:p>
    <w:p w:rsidRPr="00555E8E" w:rsidR="00361F2D" w:rsidP="00361F2D" w:rsidRDefault="00361F2D" w14:paraId="7B38A986" w14:textId="77777777">
      <w:pPr>
        <w:pStyle w:val="ListParagraph"/>
        <w:numPr>
          <w:ilvl w:val="0"/>
          <w:numId w:val="4"/>
        </w:numPr>
        <w:autoSpaceDE w:val="0"/>
        <w:autoSpaceDN w:val="0"/>
        <w:adjustRightInd w:val="0"/>
        <w:spacing w:after="0" w:line="240" w:lineRule="auto"/>
        <w:rPr>
          <w:rFonts w:ascii="Times New Roman" w:hAnsi="Times New Roman" w:cs="Times New Roman"/>
          <w:b/>
          <w:bCs/>
          <w:sz w:val="24"/>
          <w:szCs w:val="24"/>
        </w:rPr>
      </w:pPr>
      <w:r w:rsidRPr="00555E8E">
        <w:rPr>
          <w:rFonts w:ascii="Times New Roman" w:hAnsi="Times New Roman" w:cs="Times New Roman"/>
          <w:b/>
          <w:bCs/>
          <w:sz w:val="24"/>
          <w:szCs w:val="24"/>
        </w:rPr>
        <w:t>Estimation Procedure</w:t>
      </w:r>
    </w:p>
    <w:p w:rsidRPr="00555E8E" w:rsidR="00361F2D" w:rsidP="00361F2D" w:rsidRDefault="00361F2D" w14:paraId="47CC6607" w14:textId="77777777">
      <w:pPr>
        <w:pStyle w:val="ListParagraph"/>
        <w:autoSpaceDE w:val="0"/>
        <w:autoSpaceDN w:val="0"/>
        <w:adjustRightInd w:val="0"/>
        <w:spacing w:after="0" w:line="240" w:lineRule="auto"/>
        <w:ind w:left="1440"/>
        <w:rPr>
          <w:rFonts w:ascii="Times New Roman" w:hAnsi="Times New Roman" w:cs="Times New Roman"/>
          <w:b/>
          <w:bCs/>
          <w:sz w:val="24"/>
          <w:szCs w:val="24"/>
        </w:rPr>
      </w:pPr>
    </w:p>
    <w:p w:rsidR="00361F2D" w:rsidP="00361F2D" w:rsidRDefault="005D5932" w14:paraId="0772E733" w14:textId="5C1AF0CD">
      <w:pPr>
        <w:autoSpaceDE w:val="0"/>
        <w:autoSpaceDN w:val="0"/>
        <w:adjustRightInd w:val="0"/>
        <w:spacing w:after="0" w:line="240" w:lineRule="auto"/>
        <w:ind w:left="1035"/>
        <w:rPr>
          <w:rFonts w:ascii="Times New Roman" w:hAnsi="Times New Roman" w:cs="Times New Roman"/>
          <w:sz w:val="24"/>
          <w:szCs w:val="24"/>
        </w:rPr>
      </w:pPr>
      <w:r>
        <w:rPr>
          <w:rFonts w:ascii="Times New Roman" w:hAnsi="Times New Roman" w:cs="Times New Roman"/>
          <w:sz w:val="24"/>
          <w:szCs w:val="24"/>
        </w:rPr>
        <w:t xml:space="preserve">Estimation procedures are </w:t>
      </w:r>
      <w:r w:rsidR="002C58BD">
        <w:rPr>
          <w:rFonts w:ascii="Times New Roman" w:hAnsi="Times New Roman" w:cs="Times New Roman"/>
          <w:sz w:val="24"/>
          <w:szCs w:val="24"/>
        </w:rPr>
        <w:t>currently</w:t>
      </w:r>
      <w:r w:rsidR="003C4BFC">
        <w:rPr>
          <w:rFonts w:ascii="Times New Roman" w:hAnsi="Times New Roman" w:cs="Times New Roman"/>
          <w:sz w:val="24"/>
          <w:szCs w:val="24"/>
        </w:rPr>
        <w:t xml:space="preserve"> being developed.</w:t>
      </w:r>
      <w:r w:rsidR="008530DD">
        <w:rPr>
          <w:rFonts w:ascii="Times New Roman" w:hAnsi="Times New Roman" w:cs="Times New Roman"/>
          <w:sz w:val="24"/>
          <w:szCs w:val="24"/>
        </w:rPr>
        <w:t xml:space="preserve"> </w:t>
      </w:r>
      <w:r w:rsidR="00F533C0">
        <w:rPr>
          <w:rFonts w:ascii="Times New Roman" w:hAnsi="Times New Roman" w:cs="Times New Roman"/>
          <w:sz w:val="24"/>
          <w:szCs w:val="24"/>
        </w:rPr>
        <w:t xml:space="preserve">Conditional on data quality, </w:t>
      </w:r>
      <w:r w:rsidR="008530DD">
        <w:rPr>
          <w:rFonts w:ascii="Times New Roman" w:hAnsi="Times New Roman" w:cs="Times New Roman"/>
          <w:sz w:val="24"/>
          <w:szCs w:val="24"/>
        </w:rPr>
        <w:t xml:space="preserve">indices on management practices </w:t>
      </w:r>
      <w:r w:rsidR="00D826D3">
        <w:rPr>
          <w:rFonts w:ascii="Times New Roman" w:hAnsi="Times New Roman" w:cs="Times New Roman"/>
          <w:sz w:val="24"/>
          <w:szCs w:val="24"/>
        </w:rPr>
        <w:t>are planned and will</w:t>
      </w:r>
      <w:r w:rsidR="008530DD">
        <w:rPr>
          <w:rFonts w:ascii="Times New Roman" w:hAnsi="Times New Roman" w:cs="Times New Roman"/>
          <w:sz w:val="24"/>
          <w:szCs w:val="24"/>
        </w:rPr>
        <w:t xml:space="preserve"> be used in tabulations and empirical analysis. </w:t>
      </w:r>
      <w:r w:rsidRPr="00DC03F8" w:rsidR="00DC03F8">
        <w:rPr>
          <w:rFonts w:ascii="Times New Roman" w:hAnsi="Times New Roman" w:cs="Times New Roman"/>
          <w:sz w:val="24"/>
          <w:szCs w:val="24"/>
        </w:rPr>
        <w:t xml:space="preserve">These indices </w:t>
      </w:r>
      <w:r w:rsidR="006255D7">
        <w:rPr>
          <w:rFonts w:ascii="Times New Roman" w:hAnsi="Times New Roman" w:cs="Times New Roman"/>
          <w:sz w:val="24"/>
          <w:szCs w:val="24"/>
        </w:rPr>
        <w:t>will</w:t>
      </w:r>
      <w:r w:rsidRPr="00DC03F8" w:rsidR="006255D7">
        <w:rPr>
          <w:rFonts w:ascii="Times New Roman" w:hAnsi="Times New Roman" w:cs="Times New Roman"/>
          <w:sz w:val="24"/>
          <w:szCs w:val="24"/>
        </w:rPr>
        <w:t xml:space="preserve"> </w:t>
      </w:r>
      <w:r w:rsidRPr="00DC03F8" w:rsidR="00DC03F8">
        <w:rPr>
          <w:rFonts w:ascii="Times New Roman" w:hAnsi="Times New Roman" w:cs="Times New Roman"/>
          <w:sz w:val="24"/>
          <w:szCs w:val="24"/>
        </w:rPr>
        <w:t xml:space="preserve">be similar to those previously developed to measure management practices using data from the </w:t>
      </w:r>
      <w:r w:rsidR="00901271">
        <w:rPr>
          <w:rFonts w:ascii="Times New Roman" w:hAnsi="Times New Roman" w:cs="Times New Roman"/>
          <w:sz w:val="24"/>
          <w:szCs w:val="24"/>
        </w:rPr>
        <w:t>WMS</w:t>
      </w:r>
      <w:r w:rsidR="000D66B1">
        <w:rPr>
          <w:rStyle w:val="FootnoteReference"/>
          <w:rFonts w:ascii="Times New Roman" w:hAnsi="Times New Roman" w:cs="Times New Roman"/>
          <w:sz w:val="24"/>
          <w:szCs w:val="24"/>
        </w:rPr>
        <w:footnoteReference w:id="1"/>
      </w:r>
      <w:r w:rsidRPr="00DC03F8" w:rsidR="00DC03F8">
        <w:rPr>
          <w:rFonts w:ascii="Times New Roman" w:hAnsi="Times New Roman" w:cs="Times New Roman"/>
          <w:sz w:val="24"/>
          <w:szCs w:val="24"/>
        </w:rPr>
        <w:t xml:space="preserve"> an</w:t>
      </w:r>
      <w:r w:rsidR="00901271">
        <w:rPr>
          <w:rFonts w:ascii="Times New Roman" w:hAnsi="Times New Roman" w:cs="Times New Roman"/>
          <w:sz w:val="24"/>
          <w:szCs w:val="24"/>
        </w:rPr>
        <w:t>d MOPS</w:t>
      </w:r>
      <w:r w:rsidRPr="00DC03F8" w:rsidR="00DC03F8">
        <w:rPr>
          <w:rFonts w:ascii="Times New Roman" w:hAnsi="Times New Roman" w:cs="Times New Roman"/>
          <w:sz w:val="24"/>
          <w:szCs w:val="24"/>
        </w:rPr>
        <w:t>.</w:t>
      </w:r>
      <w:r w:rsidR="000D66B1">
        <w:rPr>
          <w:rStyle w:val="FootnoteReference"/>
          <w:rFonts w:ascii="Times New Roman" w:hAnsi="Times New Roman" w:cs="Times New Roman"/>
          <w:sz w:val="24"/>
          <w:szCs w:val="24"/>
        </w:rPr>
        <w:footnoteReference w:id="2"/>
      </w:r>
      <w:r w:rsidRPr="00DC03F8" w:rsidR="00DC03F8">
        <w:rPr>
          <w:rFonts w:ascii="Times New Roman" w:hAnsi="Times New Roman" w:cs="Times New Roman"/>
          <w:sz w:val="24"/>
          <w:szCs w:val="24"/>
        </w:rPr>
        <w:t xml:space="preserve"> For example, collected data from MOPS have been aggregated via simple averaging into a single metric or management score ranging between </w:t>
      </w:r>
      <w:r w:rsidR="00B47F41">
        <w:rPr>
          <w:rFonts w:ascii="Times New Roman" w:hAnsi="Times New Roman" w:cs="Times New Roman"/>
          <w:sz w:val="24"/>
          <w:szCs w:val="24"/>
        </w:rPr>
        <w:t>0</w:t>
      </w:r>
      <w:r w:rsidRPr="00DC03F8" w:rsidR="00DC03F8">
        <w:rPr>
          <w:rFonts w:ascii="Times New Roman" w:hAnsi="Times New Roman" w:cs="Times New Roman"/>
          <w:sz w:val="24"/>
          <w:szCs w:val="24"/>
        </w:rPr>
        <w:t xml:space="preserve"> and </w:t>
      </w:r>
      <w:r w:rsidR="00B31D4B">
        <w:rPr>
          <w:rFonts w:ascii="Times New Roman" w:hAnsi="Times New Roman" w:cs="Times New Roman"/>
          <w:sz w:val="24"/>
          <w:szCs w:val="24"/>
        </w:rPr>
        <w:t>1</w:t>
      </w:r>
      <w:r w:rsidRPr="00DC03F8" w:rsidR="00DC03F8">
        <w:rPr>
          <w:rFonts w:ascii="Times New Roman" w:hAnsi="Times New Roman" w:cs="Times New Roman"/>
          <w:sz w:val="24"/>
          <w:szCs w:val="24"/>
        </w:rPr>
        <w:t xml:space="preserve">. A management score of </w:t>
      </w:r>
      <w:r w:rsidR="00B47F41">
        <w:rPr>
          <w:rFonts w:ascii="Times New Roman" w:hAnsi="Times New Roman" w:cs="Times New Roman"/>
          <w:sz w:val="24"/>
          <w:szCs w:val="24"/>
        </w:rPr>
        <w:t>0</w:t>
      </w:r>
      <w:r w:rsidRPr="00DC03F8" w:rsidR="00DC03F8">
        <w:rPr>
          <w:rFonts w:ascii="Times New Roman" w:hAnsi="Times New Roman" w:cs="Times New Roman"/>
          <w:sz w:val="24"/>
          <w:szCs w:val="24"/>
        </w:rPr>
        <w:t xml:space="preserve"> </w:t>
      </w:r>
      <w:r w:rsidRPr="00DC03F8" w:rsidR="00DC03F8">
        <w:rPr>
          <w:rFonts w:ascii="Times New Roman" w:hAnsi="Times New Roman" w:cs="Times New Roman"/>
          <w:sz w:val="24"/>
          <w:szCs w:val="24"/>
        </w:rPr>
        <w:lastRenderedPageBreak/>
        <w:t xml:space="preserve">indicates </w:t>
      </w:r>
      <w:r w:rsidR="00B47F41">
        <w:rPr>
          <w:rFonts w:ascii="Times New Roman" w:hAnsi="Times New Roman" w:cs="Times New Roman"/>
          <w:sz w:val="24"/>
          <w:szCs w:val="24"/>
        </w:rPr>
        <w:t>the least</w:t>
      </w:r>
      <w:r w:rsidRPr="00DC03F8" w:rsidR="00B47F41">
        <w:rPr>
          <w:rFonts w:ascii="Times New Roman" w:hAnsi="Times New Roman" w:cs="Times New Roman"/>
          <w:sz w:val="24"/>
          <w:szCs w:val="24"/>
        </w:rPr>
        <w:t xml:space="preserve"> </w:t>
      </w:r>
      <w:r w:rsidRPr="00DC03F8" w:rsidR="00DC03F8">
        <w:rPr>
          <w:rFonts w:ascii="Times New Roman" w:hAnsi="Times New Roman" w:cs="Times New Roman"/>
          <w:sz w:val="24"/>
          <w:szCs w:val="24"/>
        </w:rPr>
        <w:t xml:space="preserve">structured management practices – little monitoring of performance indicators, only annual targets, weak incentives such as promotions based solely on tenure, or no effective action taken for underperforming workers. A score of </w:t>
      </w:r>
      <w:r w:rsidR="00B47F41">
        <w:rPr>
          <w:rFonts w:ascii="Times New Roman" w:hAnsi="Times New Roman" w:cs="Times New Roman"/>
          <w:sz w:val="24"/>
          <w:szCs w:val="24"/>
        </w:rPr>
        <w:t>1</w:t>
      </w:r>
      <w:r w:rsidRPr="00DC03F8" w:rsidR="00DC03F8">
        <w:rPr>
          <w:rFonts w:ascii="Times New Roman" w:hAnsi="Times New Roman" w:cs="Times New Roman"/>
          <w:sz w:val="24"/>
          <w:szCs w:val="24"/>
        </w:rPr>
        <w:t xml:space="preserve"> indicates </w:t>
      </w:r>
      <w:r w:rsidR="00B47F41">
        <w:rPr>
          <w:rFonts w:ascii="Times New Roman" w:hAnsi="Times New Roman" w:cs="Times New Roman"/>
          <w:sz w:val="24"/>
          <w:szCs w:val="24"/>
        </w:rPr>
        <w:t>the most</w:t>
      </w:r>
      <w:r w:rsidRPr="00DC03F8" w:rsidR="00B47F41">
        <w:rPr>
          <w:rFonts w:ascii="Times New Roman" w:hAnsi="Times New Roman" w:cs="Times New Roman"/>
          <w:sz w:val="24"/>
          <w:szCs w:val="24"/>
        </w:rPr>
        <w:t xml:space="preserve"> </w:t>
      </w:r>
      <w:r w:rsidRPr="00DC03F8" w:rsidR="00DC03F8">
        <w:rPr>
          <w:rFonts w:ascii="Times New Roman" w:hAnsi="Times New Roman" w:cs="Times New Roman"/>
          <w:sz w:val="24"/>
          <w:szCs w:val="24"/>
        </w:rPr>
        <w:t>structured practices – processes for continuous improvement, a mix of short- and long-term targets, and performance-based promotions. Four indices are proposed using the MOPS-HP’s collected data: (1) an index comparable to the 2015 MOPS’ index for manufacturing (Section C</w:t>
      </w:r>
      <w:r w:rsidR="005B6DDD">
        <w:rPr>
          <w:rFonts w:ascii="Times New Roman" w:hAnsi="Times New Roman" w:cs="Times New Roman"/>
          <w:sz w:val="24"/>
          <w:szCs w:val="24"/>
        </w:rPr>
        <w:t xml:space="preserve"> on the survey form</w:t>
      </w:r>
      <w:r w:rsidR="006365A1">
        <w:rPr>
          <w:rFonts w:ascii="Times New Roman" w:hAnsi="Times New Roman" w:cs="Times New Roman"/>
          <w:sz w:val="24"/>
          <w:szCs w:val="24"/>
        </w:rPr>
        <w:t xml:space="preserve"> in Attachment A</w:t>
      </w:r>
      <w:r w:rsidRPr="00DC03F8" w:rsidR="00DC03F8">
        <w:rPr>
          <w:rFonts w:ascii="Times New Roman" w:hAnsi="Times New Roman" w:cs="Times New Roman"/>
          <w:sz w:val="24"/>
          <w:szCs w:val="24"/>
        </w:rPr>
        <w:t>), (2) an index for management practices for team interactions and staffing allocation</w:t>
      </w:r>
      <w:r w:rsidR="00120B5C">
        <w:rPr>
          <w:rFonts w:ascii="Times New Roman" w:hAnsi="Times New Roman" w:cs="Times New Roman"/>
          <w:sz w:val="24"/>
          <w:szCs w:val="24"/>
        </w:rPr>
        <w:t xml:space="preserve"> decisions</w:t>
      </w:r>
      <w:r w:rsidRPr="00DC03F8" w:rsidR="00DC03F8">
        <w:rPr>
          <w:rFonts w:ascii="Times New Roman" w:hAnsi="Times New Roman" w:cs="Times New Roman"/>
          <w:sz w:val="24"/>
          <w:szCs w:val="24"/>
        </w:rPr>
        <w:t xml:space="preserve"> (Sections E and F), (3) an index for the adoption of standardized clinical protocols (Section G), and (4) an index for managing multiple objectives – clinical and financial (Section H).</w:t>
      </w:r>
    </w:p>
    <w:p w:rsidR="003656A9" w:rsidP="00361F2D" w:rsidRDefault="003656A9" w14:paraId="198B669B" w14:textId="77777777">
      <w:pPr>
        <w:autoSpaceDE w:val="0"/>
        <w:autoSpaceDN w:val="0"/>
        <w:adjustRightInd w:val="0"/>
        <w:spacing w:after="0" w:line="240" w:lineRule="auto"/>
        <w:ind w:left="1035"/>
        <w:rPr>
          <w:rFonts w:ascii="Times New Roman" w:hAnsi="Times New Roman" w:cs="Times New Roman"/>
          <w:sz w:val="24"/>
          <w:szCs w:val="24"/>
        </w:rPr>
      </w:pPr>
    </w:p>
    <w:p w:rsidR="00C85C85" w:rsidP="00C22A29" w:rsidRDefault="003656A9" w14:paraId="4421C776" w14:textId="39D13263">
      <w:pPr>
        <w:autoSpaceDE w:val="0"/>
        <w:autoSpaceDN w:val="0"/>
        <w:adjustRightInd w:val="0"/>
        <w:spacing w:after="0" w:line="240" w:lineRule="auto"/>
        <w:ind w:left="1080"/>
        <w:rPr>
          <w:rFonts w:ascii="Times New Roman" w:hAnsi="Times New Roman" w:cs="Times New Roman"/>
          <w:sz w:val="24"/>
          <w:szCs w:val="24"/>
        </w:rPr>
      </w:pPr>
      <w:r>
        <w:rPr>
          <w:rFonts w:ascii="Times New Roman" w:hAnsi="Times New Roman" w:cs="Times New Roman"/>
          <w:sz w:val="24"/>
          <w:szCs w:val="24"/>
        </w:rPr>
        <w:t>V</w:t>
      </w:r>
      <w:r w:rsidRPr="00745158">
        <w:rPr>
          <w:rFonts w:ascii="Times New Roman" w:hAnsi="Times New Roman" w:cs="Times New Roman"/>
          <w:sz w:val="24"/>
          <w:szCs w:val="24"/>
        </w:rPr>
        <w:t xml:space="preserve">ariance estimation </w:t>
      </w:r>
      <w:r>
        <w:rPr>
          <w:rFonts w:ascii="Times New Roman" w:hAnsi="Times New Roman" w:cs="Times New Roman"/>
          <w:sz w:val="24"/>
          <w:szCs w:val="24"/>
        </w:rPr>
        <w:t xml:space="preserve">will be performed </w:t>
      </w:r>
      <w:r w:rsidRPr="00745158">
        <w:rPr>
          <w:rFonts w:ascii="Times New Roman" w:hAnsi="Times New Roman" w:cs="Times New Roman"/>
          <w:sz w:val="24"/>
          <w:szCs w:val="24"/>
        </w:rPr>
        <w:t>using the Random Group methodology</w:t>
      </w:r>
      <w:r>
        <w:rPr>
          <w:rFonts w:ascii="Times New Roman" w:hAnsi="Times New Roman" w:cs="Times New Roman"/>
          <w:sz w:val="24"/>
          <w:szCs w:val="24"/>
        </w:rPr>
        <w:t xml:space="preserve">, which is the same method used to compute variance estimation for the SAS. </w:t>
      </w:r>
      <w:r w:rsidRPr="00AD70F0">
        <w:rPr>
          <w:rFonts w:ascii="Times New Roman" w:hAnsi="Times New Roman" w:cs="Times New Roman"/>
          <w:sz w:val="24"/>
          <w:szCs w:val="24"/>
        </w:rPr>
        <w:t>The Random Group method of variance estimation was chosen for its ability to handle complex survey designs and for its versatility in dealing with different types of estimates (e.g. totals, ratios, etc.).</w:t>
      </w:r>
      <w:r>
        <w:rPr>
          <w:rFonts w:ascii="Times New Roman" w:hAnsi="Times New Roman" w:cs="Times New Roman"/>
          <w:sz w:val="24"/>
          <w:szCs w:val="24"/>
        </w:rPr>
        <w:t xml:space="preserve"> We will utilize </w:t>
      </w:r>
      <w:r w:rsidR="006255D7">
        <w:rPr>
          <w:rFonts w:ascii="Times New Roman" w:hAnsi="Times New Roman" w:cs="Times New Roman"/>
          <w:sz w:val="24"/>
          <w:szCs w:val="24"/>
        </w:rPr>
        <w:t>four</w:t>
      </w:r>
      <w:r>
        <w:rPr>
          <w:rFonts w:ascii="Times New Roman" w:hAnsi="Times New Roman" w:cs="Times New Roman"/>
          <w:sz w:val="24"/>
          <w:szCs w:val="24"/>
        </w:rPr>
        <w:t xml:space="preserve"> random groups for MOPS-HP.</w:t>
      </w:r>
    </w:p>
    <w:p w:rsidR="006255D7" w:rsidP="00C22A29" w:rsidRDefault="006255D7" w14:paraId="08946DC4" w14:textId="4CFCCF4C">
      <w:pPr>
        <w:autoSpaceDE w:val="0"/>
        <w:autoSpaceDN w:val="0"/>
        <w:adjustRightInd w:val="0"/>
        <w:spacing w:after="0" w:line="240" w:lineRule="auto"/>
        <w:ind w:left="1080"/>
      </w:pPr>
    </w:p>
    <w:p w:rsidRPr="00555E8E" w:rsidR="00DA114E" w:rsidP="00C22A29" w:rsidRDefault="00DA114E" w14:paraId="19A9667C" w14:textId="77777777">
      <w:pPr>
        <w:autoSpaceDE w:val="0"/>
        <w:autoSpaceDN w:val="0"/>
        <w:adjustRightInd w:val="0"/>
        <w:spacing w:after="0" w:line="240" w:lineRule="auto"/>
        <w:ind w:left="1080"/>
      </w:pPr>
    </w:p>
    <w:p w:rsidR="00164F35" w:rsidP="00164F35" w:rsidRDefault="00164F35" w14:paraId="0AFF906F" w14:textId="4143B738">
      <w:pPr>
        <w:pStyle w:val="NormalWeb"/>
        <w:rPr>
          <w:color w:val="auto"/>
          <w:u w:val="single"/>
        </w:rPr>
      </w:pPr>
      <w:r w:rsidRPr="00555E8E">
        <w:rPr>
          <w:color w:val="auto"/>
          <w:u w:val="single"/>
        </w:rPr>
        <w:t>Question 3. Methods to Maximize Response</w:t>
      </w:r>
    </w:p>
    <w:p w:rsidRPr="00555E8E" w:rsidR="006255D7" w:rsidP="00164F35" w:rsidRDefault="006255D7" w14:paraId="5DD8AFF7" w14:textId="77777777">
      <w:pPr>
        <w:pStyle w:val="NormalWeb"/>
        <w:rPr>
          <w:color w:val="auto"/>
        </w:rPr>
      </w:pPr>
    </w:p>
    <w:p w:rsidRPr="00555E8E" w:rsidR="00712EBA" w:rsidP="00712EBA" w:rsidRDefault="00712EBA" w14:paraId="6A8F2AAF" w14:textId="7317B5D3">
      <w:pPr>
        <w:autoSpaceDE w:val="0"/>
        <w:autoSpaceDN w:val="0"/>
        <w:adjustRightInd w:val="0"/>
        <w:spacing w:after="0" w:line="240" w:lineRule="auto"/>
        <w:rPr>
          <w:rFonts w:ascii="Times New Roman" w:hAnsi="Times New Roman" w:cs="Times New Roman"/>
          <w:sz w:val="24"/>
          <w:szCs w:val="24"/>
        </w:rPr>
      </w:pPr>
      <w:r w:rsidRPr="00555E8E">
        <w:rPr>
          <w:rFonts w:ascii="Times New Roman" w:hAnsi="Times New Roman" w:cs="Times New Roman"/>
          <w:sz w:val="24"/>
          <w:szCs w:val="24"/>
        </w:rPr>
        <w:t xml:space="preserve">The initial letter (Attachment </w:t>
      </w:r>
      <w:r w:rsidR="008B0321">
        <w:rPr>
          <w:rFonts w:ascii="Times New Roman" w:hAnsi="Times New Roman" w:cs="Times New Roman"/>
          <w:sz w:val="24"/>
          <w:szCs w:val="24"/>
        </w:rPr>
        <w:t>C</w:t>
      </w:r>
      <w:r w:rsidRPr="00555E8E">
        <w:rPr>
          <w:rFonts w:ascii="Times New Roman" w:hAnsi="Times New Roman" w:cs="Times New Roman"/>
          <w:sz w:val="24"/>
          <w:szCs w:val="24"/>
        </w:rPr>
        <w:t>) explains the necessity and use of the data, states the respondents’ authentication code, and provides the website where the respondent can report online and acce</w:t>
      </w:r>
      <w:r w:rsidR="007624D7">
        <w:rPr>
          <w:rFonts w:ascii="Times New Roman" w:hAnsi="Times New Roman" w:cs="Times New Roman"/>
          <w:sz w:val="24"/>
          <w:szCs w:val="24"/>
        </w:rPr>
        <w:t>ss the current year worksheet</w:t>
      </w:r>
      <w:r w:rsidRPr="00555E8E">
        <w:rPr>
          <w:rFonts w:ascii="Times New Roman" w:hAnsi="Times New Roman" w:cs="Times New Roman"/>
          <w:sz w:val="24"/>
          <w:szCs w:val="24"/>
        </w:rPr>
        <w:t xml:space="preserve"> (Attachment </w:t>
      </w:r>
      <w:r w:rsidR="008B0321">
        <w:rPr>
          <w:rFonts w:ascii="Times New Roman" w:hAnsi="Times New Roman" w:cs="Times New Roman"/>
          <w:sz w:val="24"/>
          <w:szCs w:val="24"/>
        </w:rPr>
        <w:t>A</w:t>
      </w:r>
      <w:r w:rsidRPr="00555E8E">
        <w:rPr>
          <w:rFonts w:ascii="Times New Roman" w:hAnsi="Times New Roman" w:cs="Times New Roman"/>
          <w:sz w:val="24"/>
          <w:szCs w:val="24"/>
        </w:rPr>
        <w:t xml:space="preserve">).  </w:t>
      </w:r>
      <w:proofErr w:type="gramStart"/>
      <w:r w:rsidRPr="00555E8E">
        <w:rPr>
          <w:rFonts w:ascii="Times New Roman" w:hAnsi="Times New Roman" w:cs="Times New Roman"/>
          <w:sz w:val="24"/>
          <w:szCs w:val="24"/>
        </w:rPr>
        <w:t>In an effort to</w:t>
      </w:r>
      <w:proofErr w:type="gramEnd"/>
      <w:r w:rsidRPr="00555E8E">
        <w:rPr>
          <w:rFonts w:ascii="Times New Roman" w:hAnsi="Times New Roman" w:cs="Times New Roman"/>
          <w:sz w:val="24"/>
          <w:szCs w:val="24"/>
        </w:rPr>
        <w:t xml:space="preserve"> promote electronic reporting, paper forms have been eliminated from the initial and follow-up mailings, and respondents are instructed to provide data electronically.</w:t>
      </w:r>
    </w:p>
    <w:p w:rsidRPr="00555E8E" w:rsidR="00712EBA" w:rsidP="00712EBA" w:rsidRDefault="00712EBA" w14:paraId="116559C3" w14:textId="77777777">
      <w:pPr>
        <w:autoSpaceDE w:val="0"/>
        <w:autoSpaceDN w:val="0"/>
        <w:adjustRightInd w:val="0"/>
        <w:spacing w:after="0" w:line="240" w:lineRule="auto"/>
        <w:ind w:left="1035"/>
        <w:rPr>
          <w:rFonts w:ascii="Times New Roman" w:hAnsi="Times New Roman" w:cs="Times New Roman"/>
          <w:sz w:val="24"/>
          <w:szCs w:val="24"/>
        </w:rPr>
      </w:pPr>
    </w:p>
    <w:p w:rsidRPr="00555E8E" w:rsidR="00712EBA" w:rsidP="00712EBA" w:rsidRDefault="00712EBA" w14:paraId="78314DAD" w14:textId="4035BBC3">
      <w:pPr>
        <w:autoSpaceDE w:val="0"/>
        <w:autoSpaceDN w:val="0"/>
        <w:adjustRightInd w:val="0"/>
        <w:spacing w:after="0" w:line="240" w:lineRule="auto"/>
        <w:rPr>
          <w:rFonts w:ascii="Times New Roman" w:hAnsi="Times New Roman" w:cs="Times New Roman"/>
          <w:sz w:val="24"/>
          <w:szCs w:val="24"/>
        </w:rPr>
      </w:pPr>
      <w:r w:rsidRPr="00555E8E">
        <w:rPr>
          <w:rFonts w:ascii="Times New Roman" w:hAnsi="Times New Roman" w:cs="Times New Roman"/>
          <w:sz w:val="24"/>
          <w:szCs w:val="24"/>
        </w:rPr>
        <w:t xml:space="preserve">A due date reminder will be mailed approximately two weeks before the survey is due and emailed approximately one week before the survey is due. The SAS utilizes two follow-up mailings and three follow-up e-mail reminders for delinquent cases. The </w:t>
      </w:r>
      <w:r w:rsidRPr="00555E8E" w:rsidR="00B65EFA">
        <w:rPr>
          <w:rFonts w:ascii="Times New Roman" w:hAnsi="Times New Roman" w:cs="Times New Roman"/>
          <w:sz w:val="24"/>
          <w:szCs w:val="24"/>
        </w:rPr>
        <w:t xml:space="preserve">schedule for the respondent contacts </w:t>
      </w:r>
      <w:r w:rsidRPr="00555E8E">
        <w:rPr>
          <w:rFonts w:ascii="Times New Roman" w:hAnsi="Times New Roman" w:cs="Times New Roman"/>
          <w:sz w:val="24"/>
          <w:szCs w:val="24"/>
        </w:rPr>
        <w:t>is as follows:</w:t>
      </w:r>
    </w:p>
    <w:p w:rsidR="00712EBA" w:rsidP="00712EBA" w:rsidRDefault="00712EBA" w14:paraId="6EE4E838" w14:textId="2DF7B505">
      <w:pPr>
        <w:autoSpaceDE w:val="0"/>
        <w:autoSpaceDN w:val="0"/>
        <w:adjustRightInd w:val="0"/>
        <w:spacing w:after="0" w:line="240" w:lineRule="auto"/>
        <w:rPr>
          <w:rFonts w:ascii="Times New Roman" w:hAnsi="Times New Roman" w:cs="Times New Roman"/>
          <w:sz w:val="24"/>
          <w:szCs w:val="24"/>
        </w:rPr>
      </w:pPr>
    </w:p>
    <w:tbl>
      <w:tblPr>
        <w:tblStyle w:val="ListTable3-Accent5"/>
        <w:tblW w:w="0" w:type="auto"/>
        <w:tblInd w:w="1371" w:type="dxa"/>
        <w:tblLook w:val="04A0" w:firstRow="1" w:lastRow="0" w:firstColumn="1" w:lastColumn="0" w:noHBand="0" w:noVBand="1"/>
      </w:tblPr>
      <w:tblGrid>
        <w:gridCol w:w="3124"/>
        <w:gridCol w:w="1551"/>
        <w:gridCol w:w="1440"/>
      </w:tblGrid>
      <w:tr w:rsidR="00C37DF1" w:rsidTr="00284818" w14:paraId="700AD174"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5" w:type="dxa"/>
            <w:gridSpan w:val="2"/>
            <w:tcBorders>
              <w:bottom w:val="single" w:color="4472C4" w:themeColor="accent5" w:sz="4" w:space="0"/>
            </w:tcBorders>
            <w:vAlign w:val="center"/>
          </w:tcPr>
          <w:p w:rsidRPr="00555E8E" w:rsidR="00C37DF1" w:rsidP="00284818" w:rsidRDefault="00C37DF1" w14:paraId="352C6120" w14:textId="77777777">
            <w:pPr>
              <w:autoSpaceDE w:val="0"/>
              <w:autoSpaceDN w:val="0"/>
              <w:adjustRightInd w:val="0"/>
              <w:jc w:val="center"/>
              <w:rPr>
                <w:rFonts w:ascii="Times New Roman" w:hAnsi="Times New Roman" w:cs="Times New Roman"/>
                <w:sz w:val="24"/>
                <w:szCs w:val="24"/>
              </w:rPr>
            </w:pPr>
          </w:p>
        </w:tc>
        <w:tc>
          <w:tcPr>
            <w:tcW w:w="1440" w:type="dxa"/>
          </w:tcPr>
          <w:p w:rsidRPr="00555E8E" w:rsidR="00C37DF1" w:rsidP="00C37DF1" w:rsidRDefault="00C37DF1" w14:paraId="0296D8E1" w14:textId="7777777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37DF1" w:rsidTr="00D05399" w14:paraId="33C1131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4" w:type="dxa"/>
            <w:tcBorders>
              <w:right w:val="single" w:color="auto" w:sz="4" w:space="0"/>
            </w:tcBorders>
          </w:tcPr>
          <w:p w:rsidRPr="004156F0" w:rsidR="00C37DF1" w:rsidP="00C37DF1" w:rsidRDefault="00C37DF1" w14:paraId="246790C4" w14:textId="1DE1595E">
            <w:pPr>
              <w:autoSpaceDE w:val="0"/>
              <w:autoSpaceDN w:val="0"/>
              <w:adjustRightInd w:val="0"/>
              <w:rPr>
                <w:b w:val="0"/>
                <w:highlight w:val="yellow"/>
              </w:rPr>
            </w:pPr>
            <w:r w:rsidRPr="004156F0">
              <w:rPr>
                <w:rFonts w:ascii="Times New Roman" w:hAnsi="Times New Roman" w:cs="Times New Roman"/>
                <w:sz w:val="24"/>
                <w:szCs w:val="24"/>
                <w:highlight w:val="yellow"/>
              </w:rPr>
              <w:t xml:space="preserve">Initial mail out </w:t>
            </w:r>
            <w:r w:rsidRPr="004156F0">
              <w:rPr>
                <w:rFonts w:ascii="Times New Roman" w:hAnsi="Times New Roman" w:cs="Times New Roman"/>
                <w:sz w:val="24"/>
                <w:szCs w:val="24"/>
                <w:highlight w:val="yellow"/>
              </w:rPr>
              <w:tab/>
            </w:r>
            <w:r w:rsidRPr="004156F0">
              <w:rPr>
                <w:rFonts w:ascii="Times New Roman" w:hAnsi="Times New Roman" w:cs="Times New Roman"/>
                <w:sz w:val="24"/>
                <w:szCs w:val="24"/>
                <w:highlight w:val="yellow"/>
              </w:rPr>
              <w:tab/>
            </w:r>
          </w:p>
        </w:tc>
        <w:tc>
          <w:tcPr>
            <w:tcW w:w="2991" w:type="dxa"/>
            <w:gridSpan w:val="2"/>
            <w:tcBorders>
              <w:left w:val="single" w:color="auto" w:sz="4" w:space="0"/>
            </w:tcBorders>
          </w:tcPr>
          <w:p w:rsidRPr="004156F0" w:rsidR="00C37DF1" w:rsidP="00C37DF1" w:rsidRDefault="00124913" w14:paraId="34296980" w14:textId="216CE1E0">
            <w:pPr>
              <w:autoSpaceDE w:val="0"/>
              <w:autoSpaceDN w:val="0"/>
              <w:adjustRightInd w:val="0"/>
              <w:cnfStyle w:val="000000100000" w:firstRow="0" w:lastRow="0" w:firstColumn="0" w:lastColumn="0" w:oddVBand="0" w:evenVBand="0" w:oddHBand="1" w:evenHBand="0" w:firstRowFirstColumn="0" w:firstRowLastColumn="0" w:lastRowFirstColumn="0" w:lastRowLastColumn="0"/>
              <w:rPr>
                <w:highlight w:val="yellow"/>
              </w:rPr>
            </w:pPr>
            <w:r w:rsidRPr="004156F0">
              <w:rPr>
                <w:rFonts w:ascii="Times New Roman" w:hAnsi="Times New Roman" w:cs="Times New Roman"/>
                <w:sz w:val="24"/>
                <w:szCs w:val="24"/>
                <w:highlight w:val="yellow"/>
              </w:rPr>
              <w:t>April 2021</w:t>
            </w:r>
          </w:p>
        </w:tc>
      </w:tr>
      <w:tr w:rsidR="00C37DF1" w:rsidTr="00D05399" w14:paraId="34BE6F55" w14:textId="77777777">
        <w:tc>
          <w:tcPr>
            <w:cnfStyle w:val="001000000000" w:firstRow="0" w:lastRow="0" w:firstColumn="1" w:lastColumn="0" w:oddVBand="0" w:evenVBand="0" w:oddHBand="0" w:evenHBand="0" w:firstRowFirstColumn="0" w:firstRowLastColumn="0" w:lastRowFirstColumn="0" w:lastRowLastColumn="0"/>
            <w:tcW w:w="3124" w:type="dxa"/>
            <w:tcBorders>
              <w:top w:val="single" w:color="4472C4" w:themeColor="accent5" w:sz="4" w:space="0"/>
              <w:bottom w:val="single" w:color="4472C4" w:themeColor="accent5" w:sz="4" w:space="0"/>
              <w:right w:val="single" w:color="auto" w:sz="4" w:space="0"/>
            </w:tcBorders>
          </w:tcPr>
          <w:p w:rsidRPr="004156F0" w:rsidR="00C37DF1" w:rsidP="00C37DF1" w:rsidRDefault="00C37DF1" w14:paraId="1107218B" w14:textId="74C0EB68">
            <w:pPr>
              <w:autoSpaceDE w:val="0"/>
              <w:autoSpaceDN w:val="0"/>
              <w:adjustRightInd w:val="0"/>
              <w:rPr>
                <w:b w:val="0"/>
                <w:highlight w:val="yellow"/>
              </w:rPr>
            </w:pPr>
            <w:r w:rsidRPr="004156F0">
              <w:rPr>
                <w:rFonts w:ascii="Times New Roman" w:hAnsi="Times New Roman" w:cs="Times New Roman"/>
                <w:sz w:val="24"/>
                <w:szCs w:val="24"/>
                <w:highlight w:val="yellow"/>
              </w:rPr>
              <w:t>Due date reminder</w:t>
            </w:r>
            <w:r w:rsidRPr="004156F0">
              <w:rPr>
                <w:rFonts w:ascii="Times New Roman" w:hAnsi="Times New Roman" w:cs="Times New Roman"/>
                <w:sz w:val="24"/>
                <w:szCs w:val="24"/>
                <w:highlight w:val="yellow"/>
              </w:rPr>
              <w:tab/>
            </w:r>
          </w:p>
        </w:tc>
        <w:tc>
          <w:tcPr>
            <w:tcW w:w="2991" w:type="dxa"/>
            <w:gridSpan w:val="2"/>
            <w:tcBorders>
              <w:left w:val="single" w:color="auto" w:sz="4" w:space="0"/>
            </w:tcBorders>
          </w:tcPr>
          <w:p w:rsidRPr="004156F0" w:rsidR="00C37DF1" w:rsidP="00C37DF1" w:rsidRDefault="00124913" w14:paraId="599E9B73" w14:textId="537479FB">
            <w:pPr>
              <w:autoSpaceDE w:val="0"/>
              <w:autoSpaceDN w:val="0"/>
              <w:adjustRightInd w:val="0"/>
              <w:cnfStyle w:val="000000000000" w:firstRow="0" w:lastRow="0" w:firstColumn="0" w:lastColumn="0" w:oddVBand="0" w:evenVBand="0" w:oddHBand="0" w:evenHBand="0" w:firstRowFirstColumn="0" w:firstRowLastColumn="0" w:lastRowFirstColumn="0" w:lastRowLastColumn="0"/>
              <w:rPr>
                <w:highlight w:val="yellow"/>
              </w:rPr>
            </w:pPr>
            <w:r w:rsidRPr="004156F0">
              <w:rPr>
                <w:rFonts w:ascii="Times New Roman" w:hAnsi="Times New Roman" w:cs="Times New Roman"/>
                <w:sz w:val="24"/>
                <w:szCs w:val="24"/>
                <w:highlight w:val="yellow"/>
              </w:rPr>
              <w:t>April 2021</w:t>
            </w:r>
          </w:p>
        </w:tc>
      </w:tr>
      <w:tr w:rsidR="00C37DF1" w:rsidTr="00D05399" w14:paraId="4A5B6FA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4" w:type="dxa"/>
            <w:tcBorders>
              <w:right w:val="single" w:color="auto" w:sz="4" w:space="0"/>
            </w:tcBorders>
          </w:tcPr>
          <w:p w:rsidRPr="004156F0" w:rsidR="00C37DF1" w:rsidP="00C37DF1" w:rsidRDefault="00C37DF1" w14:paraId="08C1E095" w14:textId="419E96CD">
            <w:pPr>
              <w:autoSpaceDE w:val="0"/>
              <w:autoSpaceDN w:val="0"/>
              <w:adjustRightInd w:val="0"/>
              <w:rPr>
                <w:b w:val="0"/>
                <w:highlight w:val="yellow"/>
              </w:rPr>
            </w:pPr>
            <w:r w:rsidRPr="004156F0">
              <w:rPr>
                <w:rFonts w:ascii="Times New Roman" w:hAnsi="Times New Roman" w:cs="Times New Roman"/>
                <w:sz w:val="24"/>
                <w:szCs w:val="24"/>
                <w:highlight w:val="yellow"/>
              </w:rPr>
              <w:t>Due date</w:t>
            </w:r>
            <w:r w:rsidRPr="004156F0">
              <w:rPr>
                <w:rFonts w:ascii="Times New Roman" w:hAnsi="Times New Roman" w:cs="Times New Roman"/>
                <w:sz w:val="24"/>
                <w:szCs w:val="24"/>
                <w:highlight w:val="yellow"/>
              </w:rPr>
              <w:tab/>
            </w:r>
            <w:r w:rsidRPr="004156F0">
              <w:rPr>
                <w:rFonts w:ascii="Times New Roman" w:hAnsi="Times New Roman" w:cs="Times New Roman"/>
                <w:sz w:val="24"/>
                <w:szCs w:val="24"/>
                <w:highlight w:val="yellow"/>
              </w:rPr>
              <w:tab/>
            </w:r>
            <w:r w:rsidRPr="004156F0">
              <w:rPr>
                <w:rFonts w:ascii="Times New Roman" w:hAnsi="Times New Roman" w:cs="Times New Roman"/>
                <w:sz w:val="24"/>
                <w:szCs w:val="24"/>
                <w:highlight w:val="yellow"/>
              </w:rPr>
              <w:tab/>
            </w:r>
          </w:p>
        </w:tc>
        <w:tc>
          <w:tcPr>
            <w:tcW w:w="2991" w:type="dxa"/>
            <w:gridSpan w:val="2"/>
            <w:tcBorders>
              <w:left w:val="single" w:color="auto" w:sz="4" w:space="0"/>
            </w:tcBorders>
          </w:tcPr>
          <w:p w:rsidRPr="004156F0" w:rsidR="00C37DF1" w:rsidP="00C37DF1" w:rsidRDefault="00124913" w14:paraId="10D1594C" w14:textId="65B0893A">
            <w:pPr>
              <w:autoSpaceDE w:val="0"/>
              <w:autoSpaceDN w:val="0"/>
              <w:adjustRightInd w:val="0"/>
              <w:cnfStyle w:val="000000100000" w:firstRow="0" w:lastRow="0" w:firstColumn="0" w:lastColumn="0" w:oddVBand="0" w:evenVBand="0" w:oddHBand="1" w:evenHBand="0" w:firstRowFirstColumn="0" w:firstRowLastColumn="0" w:lastRowFirstColumn="0" w:lastRowLastColumn="0"/>
              <w:rPr>
                <w:highlight w:val="yellow"/>
              </w:rPr>
            </w:pPr>
            <w:r w:rsidRPr="004156F0">
              <w:rPr>
                <w:rFonts w:ascii="Times New Roman" w:hAnsi="Times New Roman" w:cs="Times New Roman"/>
                <w:sz w:val="24"/>
                <w:szCs w:val="24"/>
                <w:highlight w:val="yellow"/>
              </w:rPr>
              <w:t>May 2021</w:t>
            </w:r>
          </w:p>
        </w:tc>
      </w:tr>
      <w:tr w:rsidR="00C37DF1" w:rsidTr="00D05399" w14:paraId="72D891C3" w14:textId="77777777">
        <w:tc>
          <w:tcPr>
            <w:cnfStyle w:val="001000000000" w:firstRow="0" w:lastRow="0" w:firstColumn="1" w:lastColumn="0" w:oddVBand="0" w:evenVBand="0" w:oddHBand="0" w:evenHBand="0" w:firstRowFirstColumn="0" w:firstRowLastColumn="0" w:lastRowFirstColumn="0" w:lastRowLastColumn="0"/>
            <w:tcW w:w="3124" w:type="dxa"/>
            <w:tcBorders>
              <w:top w:val="single" w:color="4472C4" w:themeColor="accent5" w:sz="4" w:space="0"/>
              <w:bottom w:val="single" w:color="4472C4" w:themeColor="accent5" w:sz="4" w:space="0"/>
              <w:right w:val="single" w:color="auto" w:sz="4" w:space="0"/>
            </w:tcBorders>
          </w:tcPr>
          <w:p w:rsidRPr="004156F0" w:rsidR="00C37DF1" w:rsidP="00C37DF1" w:rsidRDefault="00C37DF1" w14:paraId="30D85375" w14:textId="5EE1AC58">
            <w:pPr>
              <w:autoSpaceDE w:val="0"/>
              <w:autoSpaceDN w:val="0"/>
              <w:adjustRightInd w:val="0"/>
              <w:rPr>
                <w:b w:val="0"/>
                <w:highlight w:val="yellow"/>
              </w:rPr>
            </w:pPr>
            <w:r w:rsidRPr="004156F0">
              <w:rPr>
                <w:rFonts w:ascii="Times New Roman" w:hAnsi="Times New Roman" w:cs="Times New Roman"/>
                <w:sz w:val="24"/>
                <w:szCs w:val="24"/>
                <w:highlight w:val="yellow"/>
              </w:rPr>
              <w:t xml:space="preserve">First mail follow-up </w:t>
            </w:r>
            <w:r w:rsidRPr="004156F0">
              <w:rPr>
                <w:rFonts w:ascii="Times New Roman" w:hAnsi="Times New Roman" w:cs="Times New Roman"/>
                <w:sz w:val="24"/>
                <w:szCs w:val="24"/>
                <w:highlight w:val="yellow"/>
              </w:rPr>
              <w:tab/>
            </w:r>
          </w:p>
        </w:tc>
        <w:tc>
          <w:tcPr>
            <w:tcW w:w="2991" w:type="dxa"/>
            <w:gridSpan w:val="2"/>
            <w:tcBorders>
              <w:left w:val="single" w:color="auto" w:sz="4" w:space="0"/>
            </w:tcBorders>
          </w:tcPr>
          <w:p w:rsidRPr="004156F0" w:rsidR="00C37DF1" w:rsidP="00C37DF1" w:rsidRDefault="00124913" w14:paraId="760682E5" w14:textId="2163E6FD">
            <w:pPr>
              <w:autoSpaceDE w:val="0"/>
              <w:autoSpaceDN w:val="0"/>
              <w:adjustRightInd w:val="0"/>
              <w:cnfStyle w:val="000000000000" w:firstRow="0" w:lastRow="0" w:firstColumn="0" w:lastColumn="0" w:oddVBand="0" w:evenVBand="0" w:oddHBand="0" w:evenHBand="0" w:firstRowFirstColumn="0" w:firstRowLastColumn="0" w:lastRowFirstColumn="0" w:lastRowLastColumn="0"/>
              <w:rPr>
                <w:highlight w:val="yellow"/>
              </w:rPr>
            </w:pPr>
            <w:r w:rsidRPr="004156F0">
              <w:rPr>
                <w:rFonts w:ascii="Times New Roman" w:hAnsi="Times New Roman" w:cs="Times New Roman"/>
                <w:sz w:val="24"/>
                <w:szCs w:val="24"/>
                <w:highlight w:val="yellow"/>
              </w:rPr>
              <w:t>May 2021</w:t>
            </w:r>
          </w:p>
        </w:tc>
      </w:tr>
      <w:tr w:rsidR="00C37DF1" w:rsidTr="00D05399" w14:paraId="79E75D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4" w:type="dxa"/>
            <w:tcBorders>
              <w:right w:val="single" w:color="auto" w:sz="4" w:space="0"/>
            </w:tcBorders>
          </w:tcPr>
          <w:p w:rsidRPr="004156F0" w:rsidR="00C37DF1" w:rsidP="00C37DF1" w:rsidRDefault="00C37DF1" w14:paraId="795CC85E" w14:textId="32021746">
            <w:pPr>
              <w:autoSpaceDE w:val="0"/>
              <w:autoSpaceDN w:val="0"/>
              <w:adjustRightInd w:val="0"/>
              <w:rPr>
                <w:b w:val="0"/>
                <w:highlight w:val="yellow"/>
              </w:rPr>
            </w:pPr>
            <w:r w:rsidRPr="004156F0">
              <w:rPr>
                <w:rFonts w:ascii="Times New Roman" w:hAnsi="Times New Roman" w:cs="Times New Roman"/>
                <w:sz w:val="24"/>
                <w:szCs w:val="24"/>
                <w:highlight w:val="yellow"/>
              </w:rPr>
              <w:t>First e-mail follow-up</w:t>
            </w:r>
          </w:p>
        </w:tc>
        <w:tc>
          <w:tcPr>
            <w:tcW w:w="2991" w:type="dxa"/>
            <w:gridSpan w:val="2"/>
            <w:tcBorders>
              <w:left w:val="single" w:color="auto" w:sz="4" w:space="0"/>
            </w:tcBorders>
          </w:tcPr>
          <w:p w:rsidRPr="004156F0" w:rsidR="00C37DF1" w:rsidP="00C37DF1" w:rsidRDefault="00124913" w14:paraId="777FB8F4" w14:textId="5403335A">
            <w:pPr>
              <w:autoSpaceDE w:val="0"/>
              <w:autoSpaceDN w:val="0"/>
              <w:adjustRightInd w:val="0"/>
              <w:cnfStyle w:val="000000100000" w:firstRow="0" w:lastRow="0" w:firstColumn="0" w:lastColumn="0" w:oddVBand="0" w:evenVBand="0" w:oddHBand="1" w:evenHBand="0" w:firstRowFirstColumn="0" w:firstRowLastColumn="0" w:lastRowFirstColumn="0" w:lastRowLastColumn="0"/>
              <w:rPr>
                <w:highlight w:val="yellow"/>
              </w:rPr>
            </w:pPr>
            <w:r w:rsidRPr="004156F0">
              <w:rPr>
                <w:rFonts w:ascii="Times New Roman" w:hAnsi="Times New Roman" w:cs="Times New Roman"/>
                <w:sz w:val="24"/>
                <w:szCs w:val="24"/>
                <w:highlight w:val="yellow"/>
              </w:rPr>
              <w:t>June 2021</w:t>
            </w:r>
          </w:p>
        </w:tc>
      </w:tr>
      <w:tr w:rsidR="00C37DF1" w:rsidTr="00D05399" w14:paraId="11CDF393" w14:textId="77777777">
        <w:tc>
          <w:tcPr>
            <w:cnfStyle w:val="001000000000" w:firstRow="0" w:lastRow="0" w:firstColumn="1" w:lastColumn="0" w:oddVBand="0" w:evenVBand="0" w:oddHBand="0" w:evenHBand="0" w:firstRowFirstColumn="0" w:firstRowLastColumn="0" w:lastRowFirstColumn="0" w:lastRowLastColumn="0"/>
            <w:tcW w:w="3124" w:type="dxa"/>
            <w:tcBorders>
              <w:top w:val="single" w:color="4472C4" w:themeColor="accent5" w:sz="4" w:space="0"/>
              <w:bottom w:val="single" w:color="4472C4" w:themeColor="accent5" w:sz="4" w:space="0"/>
              <w:right w:val="single" w:color="auto" w:sz="4" w:space="0"/>
            </w:tcBorders>
          </w:tcPr>
          <w:p w:rsidRPr="004156F0" w:rsidR="00C37DF1" w:rsidP="00C37DF1" w:rsidRDefault="00C37DF1" w14:paraId="3C048B5B" w14:textId="069AC678">
            <w:pPr>
              <w:autoSpaceDE w:val="0"/>
              <w:autoSpaceDN w:val="0"/>
              <w:adjustRightInd w:val="0"/>
              <w:rPr>
                <w:b w:val="0"/>
                <w:highlight w:val="yellow"/>
              </w:rPr>
            </w:pPr>
            <w:r w:rsidRPr="004156F0">
              <w:rPr>
                <w:rFonts w:ascii="Times New Roman" w:hAnsi="Times New Roman" w:cs="Times New Roman"/>
                <w:sz w:val="24"/>
                <w:szCs w:val="24"/>
                <w:highlight w:val="yellow"/>
              </w:rPr>
              <w:t>Second mail follow-up</w:t>
            </w:r>
          </w:p>
        </w:tc>
        <w:tc>
          <w:tcPr>
            <w:tcW w:w="2991" w:type="dxa"/>
            <w:gridSpan w:val="2"/>
            <w:tcBorders>
              <w:left w:val="single" w:color="auto" w:sz="4" w:space="0"/>
            </w:tcBorders>
          </w:tcPr>
          <w:p w:rsidRPr="004156F0" w:rsidR="00C37DF1" w:rsidP="00C37DF1" w:rsidRDefault="00124913" w14:paraId="1562FE99" w14:textId="461FA712">
            <w:pPr>
              <w:autoSpaceDE w:val="0"/>
              <w:autoSpaceDN w:val="0"/>
              <w:adjustRightInd w:val="0"/>
              <w:cnfStyle w:val="000000000000" w:firstRow="0" w:lastRow="0" w:firstColumn="0" w:lastColumn="0" w:oddVBand="0" w:evenVBand="0" w:oddHBand="0" w:evenHBand="0" w:firstRowFirstColumn="0" w:firstRowLastColumn="0" w:lastRowFirstColumn="0" w:lastRowLastColumn="0"/>
              <w:rPr>
                <w:highlight w:val="yellow"/>
              </w:rPr>
            </w:pPr>
            <w:r w:rsidRPr="004156F0">
              <w:rPr>
                <w:rFonts w:ascii="Times New Roman" w:hAnsi="Times New Roman" w:cs="Times New Roman"/>
                <w:sz w:val="24"/>
                <w:szCs w:val="24"/>
                <w:highlight w:val="yellow"/>
              </w:rPr>
              <w:t>June 2021</w:t>
            </w:r>
          </w:p>
        </w:tc>
      </w:tr>
      <w:tr w:rsidR="00C37DF1" w:rsidTr="00D05399" w14:paraId="57DBC8C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4" w:type="dxa"/>
            <w:tcBorders>
              <w:right w:val="single" w:color="auto" w:sz="4" w:space="0"/>
            </w:tcBorders>
          </w:tcPr>
          <w:p w:rsidRPr="004156F0" w:rsidR="00C37DF1" w:rsidP="00C37DF1" w:rsidRDefault="00C37DF1" w14:paraId="25060687" w14:textId="50485525">
            <w:pPr>
              <w:autoSpaceDE w:val="0"/>
              <w:autoSpaceDN w:val="0"/>
              <w:adjustRightInd w:val="0"/>
              <w:rPr>
                <w:b w:val="0"/>
                <w:highlight w:val="yellow"/>
              </w:rPr>
            </w:pPr>
            <w:r w:rsidRPr="004156F0">
              <w:rPr>
                <w:rFonts w:ascii="Times New Roman" w:hAnsi="Times New Roman" w:cs="Times New Roman"/>
                <w:sz w:val="24"/>
                <w:szCs w:val="24"/>
                <w:highlight w:val="yellow"/>
              </w:rPr>
              <w:t>Second e-mail follow-up</w:t>
            </w:r>
          </w:p>
        </w:tc>
        <w:tc>
          <w:tcPr>
            <w:tcW w:w="2991" w:type="dxa"/>
            <w:gridSpan w:val="2"/>
            <w:tcBorders>
              <w:left w:val="single" w:color="auto" w:sz="4" w:space="0"/>
            </w:tcBorders>
          </w:tcPr>
          <w:p w:rsidRPr="004156F0" w:rsidR="00C37DF1" w:rsidP="00C37DF1" w:rsidRDefault="00124913" w14:paraId="73351E64" w14:textId="1CB3D71C">
            <w:pPr>
              <w:autoSpaceDE w:val="0"/>
              <w:autoSpaceDN w:val="0"/>
              <w:adjustRightInd w:val="0"/>
              <w:cnfStyle w:val="000000100000" w:firstRow="0" w:lastRow="0" w:firstColumn="0" w:lastColumn="0" w:oddVBand="0" w:evenVBand="0" w:oddHBand="1" w:evenHBand="0" w:firstRowFirstColumn="0" w:firstRowLastColumn="0" w:lastRowFirstColumn="0" w:lastRowLastColumn="0"/>
              <w:rPr>
                <w:highlight w:val="yellow"/>
              </w:rPr>
            </w:pPr>
            <w:r w:rsidRPr="004156F0">
              <w:rPr>
                <w:rFonts w:ascii="Times New Roman" w:hAnsi="Times New Roman" w:cs="Times New Roman"/>
                <w:sz w:val="24"/>
                <w:szCs w:val="24"/>
                <w:highlight w:val="yellow"/>
              </w:rPr>
              <w:t>July 2021</w:t>
            </w:r>
          </w:p>
        </w:tc>
      </w:tr>
      <w:tr w:rsidR="00C37DF1" w:rsidTr="00D05399" w14:paraId="6C458C65" w14:textId="77777777">
        <w:tc>
          <w:tcPr>
            <w:cnfStyle w:val="001000000000" w:firstRow="0" w:lastRow="0" w:firstColumn="1" w:lastColumn="0" w:oddVBand="0" w:evenVBand="0" w:oddHBand="0" w:evenHBand="0" w:firstRowFirstColumn="0" w:firstRowLastColumn="0" w:lastRowFirstColumn="0" w:lastRowLastColumn="0"/>
            <w:tcW w:w="3124" w:type="dxa"/>
            <w:tcBorders>
              <w:top w:val="single" w:color="4472C4" w:themeColor="accent5" w:sz="4" w:space="0"/>
              <w:bottom w:val="single" w:color="4472C4" w:themeColor="accent5" w:sz="4" w:space="0"/>
              <w:right w:val="single" w:color="auto" w:sz="4" w:space="0"/>
            </w:tcBorders>
          </w:tcPr>
          <w:p w:rsidRPr="004156F0" w:rsidR="00C37DF1" w:rsidP="00C37DF1" w:rsidRDefault="00C37DF1" w14:paraId="25B179A5" w14:textId="686EE5A6">
            <w:pPr>
              <w:autoSpaceDE w:val="0"/>
              <w:autoSpaceDN w:val="0"/>
              <w:adjustRightInd w:val="0"/>
              <w:rPr>
                <w:b w:val="0"/>
                <w:highlight w:val="yellow"/>
              </w:rPr>
            </w:pPr>
            <w:r w:rsidRPr="004156F0">
              <w:rPr>
                <w:rFonts w:ascii="Times New Roman" w:hAnsi="Times New Roman" w:cs="Times New Roman"/>
                <w:sz w:val="24"/>
                <w:szCs w:val="24"/>
                <w:highlight w:val="yellow"/>
              </w:rPr>
              <w:t>Telephone follow-up</w:t>
            </w:r>
          </w:p>
        </w:tc>
        <w:tc>
          <w:tcPr>
            <w:tcW w:w="2991" w:type="dxa"/>
            <w:gridSpan w:val="2"/>
            <w:tcBorders>
              <w:left w:val="single" w:color="auto" w:sz="4" w:space="0"/>
            </w:tcBorders>
          </w:tcPr>
          <w:p w:rsidRPr="004156F0" w:rsidR="00C37DF1" w:rsidP="00D374D1" w:rsidRDefault="0073552A" w14:paraId="24946724" w14:textId="16417C26">
            <w:pPr>
              <w:autoSpaceDE w:val="0"/>
              <w:autoSpaceDN w:val="0"/>
              <w:adjustRightInd w:val="0"/>
              <w:cnfStyle w:val="000000000000" w:firstRow="0" w:lastRow="0" w:firstColumn="0" w:lastColumn="0" w:oddVBand="0" w:evenVBand="0" w:oddHBand="0" w:evenHBand="0" w:firstRowFirstColumn="0" w:firstRowLastColumn="0" w:lastRowFirstColumn="0" w:lastRowLastColumn="0"/>
              <w:rPr>
                <w:highlight w:val="yellow"/>
              </w:rPr>
            </w:pPr>
            <w:r w:rsidRPr="004156F0">
              <w:rPr>
                <w:rFonts w:ascii="Times New Roman" w:hAnsi="Times New Roman" w:cs="Times New Roman"/>
                <w:sz w:val="24"/>
                <w:szCs w:val="24"/>
                <w:highlight w:val="yellow"/>
              </w:rPr>
              <w:t>July – August 2021</w:t>
            </w:r>
          </w:p>
        </w:tc>
      </w:tr>
      <w:tr w:rsidR="00C37DF1" w:rsidTr="00D05399" w14:paraId="33D54C1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4" w:type="dxa"/>
            <w:tcBorders>
              <w:right w:val="single" w:color="auto" w:sz="4" w:space="0"/>
            </w:tcBorders>
          </w:tcPr>
          <w:p w:rsidRPr="004156F0" w:rsidR="00C37DF1" w:rsidP="00C37DF1" w:rsidRDefault="00C37DF1" w14:paraId="7C90FC2C" w14:textId="5ABD503E">
            <w:pPr>
              <w:autoSpaceDE w:val="0"/>
              <w:autoSpaceDN w:val="0"/>
              <w:adjustRightInd w:val="0"/>
              <w:rPr>
                <w:rFonts w:ascii="Times New Roman" w:hAnsi="Times New Roman" w:cs="Times New Roman"/>
                <w:b w:val="0"/>
                <w:sz w:val="24"/>
                <w:szCs w:val="24"/>
                <w:highlight w:val="yellow"/>
              </w:rPr>
            </w:pPr>
            <w:r w:rsidRPr="004156F0">
              <w:rPr>
                <w:rFonts w:ascii="Times New Roman" w:hAnsi="Times New Roman" w:cs="Times New Roman"/>
                <w:sz w:val="24"/>
                <w:szCs w:val="24"/>
                <w:highlight w:val="yellow"/>
              </w:rPr>
              <w:t>Third e-mail follow-up</w:t>
            </w:r>
          </w:p>
        </w:tc>
        <w:tc>
          <w:tcPr>
            <w:tcW w:w="2991" w:type="dxa"/>
            <w:gridSpan w:val="2"/>
            <w:tcBorders>
              <w:left w:val="single" w:color="auto" w:sz="4" w:space="0"/>
            </w:tcBorders>
          </w:tcPr>
          <w:p w:rsidRPr="004156F0" w:rsidR="00C37DF1" w:rsidP="00712EBA" w:rsidRDefault="0073552A" w14:paraId="6127181F" w14:textId="2F3D85B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4156F0">
              <w:rPr>
                <w:rFonts w:ascii="Times New Roman" w:hAnsi="Times New Roman" w:cs="Times New Roman"/>
                <w:sz w:val="24"/>
                <w:szCs w:val="24"/>
                <w:highlight w:val="yellow"/>
              </w:rPr>
              <w:t>August 2021</w:t>
            </w:r>
          </w:p>
        </w:tc>
      </w:tr>
    </w:tbl>
    <w:p w:rsidR="00C22A29" w:rsidP="00284818" w:rsidRDefault="00C22A29" w14:paraId="48CB9A8B" w14:textId="77777777">
      <w:pPr>
        <w:autoSpaceDE w:val="0"/>
        <w:autoSpaceDN w:val="0"/>
        <w:adjustRightInd w:val="0"/>
        <w:spacing w:after="0" w:line="240" w:lineRule="auto"/>
        <w:rPr>
          <w:rFonts w:ascii="Times New Roman" w:hAnsi="Times New Roman" w:cs="Times New Roman"/>
          <w:sz w:val="24"/>
          <w:szCs w:val="24"/>
        </w:rPr>
      </w:pPr>
    </w:p>
    <w:p w:rsidRPr="00555E8E" w:rsidR="00725FF4" w:rsidP="00284818" w:rsidRDefault="00766E92" w14:paraId="0E98C324" w14:textId="4981B7B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Due to the nature of the respondents, t</w:t>
      </w:r>
      <w:r w:rsidR="00725FF4">
        <w:rPr>
          <w:rFonts w:ascii="Times New Roman" w:hAnsi="Times New Roman" w:cs="Times New Roman"/>
          <w:sz w:val="24"/>
          <w:szCs w:val="24"/>
        </w:rPr>
        <w:t>his schedule may be impacted by the effects of COVID-19. The Census Bureau is monitoring the ongoing situation and will adjust dates as necessary as the collection start date approaches</w:t>
      </w:r>
      <w:r w:rsidR="0077264A">
        <w:rPr>
          <w:rFonts w:ascii="Times New Roman" w:hAnsi="Times New Roman" w:cs="Times New Roman"/>
          <w:sz w:val="24"/>
          <w:szCs w:val="24"/>
        </w:rPr>
        <w:t xml:space="preserve"> as we do not want to add burden to an overly burdened sector of the economy</w:t>
      </w:r>
      <w:r w:rsidR="00725FF4">
        <w:rPr>
          <w:rFonts w:ascii="Times New Roman" w:hAnsi="Times New Roman" w:cs="Times New Roman"/>
          <w:sz w:val="24"/>
          <w:szCs w:val="24"/>
        </w:rPr>
        <w:t>.</w:t>
      </w:r>
    </w:p>
    <w:p w:rsidRPr="00555E8E" w:rsidR="00712EBA" w:rsidP="00C22A29" w:rsidRDefault="00712EBA" w14:paraId="167DDCC3" w14:textId="77777777">
      <w:pPr>
        <w:autoSpaceDE w:val="0"/>
        <w:autoSpaceDN w:val="0"/>
        <w:adjustRightInd w:val="0"/>
        <w:spacing w:after="0" w:line="240" w:lineRule="auto"/>
        <w:rPr>
          <w:rFonts w:ascii="Times New Roman" w:hAnsi="Times New Roman" w:cs="Times New Roman"/>
          <w:sz w:val="24"/>
          <w:szCs w:val="24"/>
        </w:rPr>
      </w:pPr>
    </w:p>
    <w:p w:rsidRPr="00555E8E" w:rsidR="00712EBA" w:rsidP="00B65EFA" w:rsidRDefault="00712EBA" w14:paraId="20599DAA" w14:textId="234F822E">
      <w:pPr>
        <w:autoSpaceDE w:val="0"/>
        <w:autoSpaceDN w:val="0"/>
        <w:adjustRightInd w:val="0"/>
        <w:spacing w:after="0" w:line="240" w:lineRule="auto"/>
        <w:rPr>
          <w:rFonts w:ascii="Times New Roman" w:hAnsi="Times New Roman" w:cs="Times New Roman"/>
          <w:sz w:val="24"/>
          <w:szCs w:val="24"/>
        </w:rPr>
      </w:pPr>
      <w:r w:rsidRPr="00555E8E">
        <w:rPr>
          <w:rFonts w:ascii="Times New Roman" w:hAnsi="Times New Roman" w:cs="Times New Roman"/>
          <w:sz w:val="24"/>
          <w:szCs w:val="24"/>
        </w:rPr>
        <w:t xml:space="preserve">Firms are given at least 30 business days to respond to the initial mailing and are given extension dates upon request.  The Census Bureau also provides a telephone number for assistance with any questions or concerns about the survey.  </w:t>
      </w:r>
    </w:p>
    <w:p w:rsidRPr="00555E8E" w:rsidR="00712EBA" w:rsidP="00712EBA" w:rsidRDefault="00712EBA" w14:paraId="290249B7" w14:textId="77777777">
      <w:pPr>
        <w:autoSpaceDE w:val="0"/>
        <w:autoSpaceDN w:val="0"/>
        <w:adjustRightInd w:val="0"/>
        <w:spacing w:after="0" w:line="240" w:lineRule="auto"/>
        <w:ind w:left="1035"/>
        <w:rPr>
          <w:rFonts w:ascii="Times New Roman" w:hAnsi="Times New Roman" w:cs="Times New Roman"/>
          <w:sz w:val="24"/>
          <w:szCs w:val="24"/>
        </w:rPr>
      </w:pPr>
    </w:p>
    <w:p w:rsidRPr="00555E8E" w:rsidR="00712EBA" w:rsidP="003A21CC" w:rsidRDefault="003A21CC" w14:paraId="18D2D254" w14:textId="2986CD4B">
      <w:pPr>
        <w:spacing w:after="0" w:line="240" w:lineRule="auto"/>
        <w:rPr>
          <w:rFonts w:ascii="Times New Roman" w:hAnsi="Times New Roman" w:eastAsia="Times New Roman" w:cs="Times New Roman"/>
          <w:sz w:val="24"/>
          <w:szCs w:val="24"/>
        </w:rPr>
      </w:pPr>
      <w:r w:rsidRPr="00555E8E">
        <w:rPr>
          <w:rFonts w:ascii="Times New Roman" w:hAnsi="Times New Roman" w:eastAsia="Times New Roman" w:cs="Times New Roman"/>
          <w:sz w:val="24"/>
          <w:szCs w:val="24"/>
        </w:rPr>
        <w:t xml:space="preserve">The Census Bureau prioritizes providing quality customer service to respondents to maximize response. </w:t>
      </w:r>
      <w:r w:rsidRPr="00555E8E" w:rsidR="00712EBA">
        <w:rPr>
          <w:rFonts w:ascii="Times New Roman" w:hAnsi="Times New Roman" w:eastAsia="Times New Roman" w:cs="Times New Roman"/>
          <w:sz w:val="24"/>
          <w:szCs w:val="24"/>
        </w:rPr>
        <w:t xml:space="preserve">With the Respondent Portal, respondents can communicate more easily with Census Bureau staff. From within the portal, they can send secure messages directly to </w:t>
      </w:r>
      <w:r w:rsidRPr="00555E8E">
        <w:rPr>
          <w:rFonts w:ascii="Times New Roman" w:hAnsi="Times New Roman" w:eastAsia="Times New Roman" w:cs="Times New Roman"/>
          <w:sz w:val="24"/>
          <w:szCs w:val="24"/>
        </w:rPr>
        <w:t>survey representatives</w:t>
      </w:r>
      <w:r w:rsidRPr="00555E8E" w:rsidR="00712EBA">
        <w:rPr>
          <w:rFonts w:ascii="Times New Roman" w:hAnsi="Times New Roman" w:eastAsia="Times New Roman" w:cs="Times New Roman"/>
          <w:sz w:val="24"/>
          <w:szCs w:val="24"/>
        </w:rPr>
        <w:t xml:space="preserve">. The Census Bureau staff also </w:t>
      </w:r>
      <w:proofErr w:type="gramStart"/>
      <w:r w:rsidRPr="00555E8E" w:rsidR="00712EBA">
        <w:rPr>
          <w:rFonts w:ascii="Times New Roman" w:hAnsi="Times New Roman" w:eastAsia="Times New Roman" w:cs="Times New Roman"/>
          <w:sz w:val="24"/>
          <w:szCs w:val="24"/>
        </w:rPr>
        <w:t>provides assistance to</w:t>
      </w:r>
      <w:proofErr w:type="gramEnd"/>
      <w:r w:rsidRPr="00555E8E" w:rsidR="00712EBA">
        <w:rPr>
          <w:rFonts w:ascii="Times New Roman" w:hAnsi="Times New Roman" w:eastAsia="Times New Roman" w:cs="Times New Roman"/>
          <w:sz w:val="24"/>
          <w:szCs w:val="24"/>
        </w:rPr>
        <w:t xml:space="preserve"> respondents by walking them through forms if necessary, explaining specific items on forms, granting extensions, </w:t>
      </w:r>
      <w:r w:rsidRPr="00555E8E">
        <w:rPr>
          <w:rFonts w:ascii="Times New Roman" w:hAnsi="Times New Roman" w:eastAsia="Times New Roman" w:cs="Times New Roman"/>
          <w:sz w:val="24"/>
          <w:szCs w:val="24"/>
        </w:rPr>
        <w:t xml:space="preserve">and </w:t>
      </w:r>
      <w:r w:rsidRPr="00555E8E" w:rsidR="00712EBA">
        <w:rPr>
          <w:rFonts w:ascii="Times New Roman" w:hAnsi="Times New Roman" w:eastAsia="Times New Roman" w:cs="Times New Roman"/>
          <w:sz w:val="24"/>
          <w:szCs w:val="24"/>
        </w:rPr>
        <w:t>helping with access to forms and any technical issues</w:t>
      </w:r>
      <w:r w:rsidRPr="00555E8E">
        <w:rPr>
          <w:rFonts w:ascii="Times New Roman" w:hAnsi="Times New Roman" w:eastAsia="Times New Roman" w:cs="Times New Roman"/>
          <w:sz w:val="24"/>
          <w:szCs w:val="24"/>
        </w:rPr>
        <w:t xml:space="preserve">. </w:t>
      </w:r>
    </w:p>
    <w:p w:rsidR="002A5210" w:rsidP="00164F35" w:rsidRDefault="002A5210" w14:paraId="1F46544D" w14:textId="77777777">
      <w:pPr>
        <w:pStyle w:val="NormalWeb"/>
        <w:rPr>
          <w:color w:val="auto"/>
          <w:u w:val="single"/>
        </w:rPr>
      </w:pPr>
    </w:p>
    <w:p w:rsidR="00164F35" w:rsidP="00164F35" w:rsidRDefault="00164F35" w14:paraId="0E0ACAED" w14:textId="1E578998">
      <w:pPr>
        <w:pStyle w:val="NormalWeb"/>
        <w:rPr>
          <w:color w:val="auto"/>
          <w:u w:val="single"/>
        </w:rPr>
      </w:pPr>
      <w:r w:rsidRPr="00555E8E">
        <w:rPr>
          <w:color w:val="auto"/>
          <w:u w:val="single"/>
        </w:rPr>
        <w:t>Question 4. Tests of Procedures or Methods</w:t>
      </w:r>
    </w:p>
    <w:p w:rsidRPr="00555E8E" w:rsidR="006255D7" w:rsidP="00164F35" w:rsidRDefault="006255D7" w14:paraId="3C280894" w14:textId="77777777">
      <w:pPr>
        <w:pStyle w:val="NormalWeb"/>
        <w:rPr>
          <w:color w:val="auto"/>
        </w:rPr>
      </w:pPr>
    </w:p>
    <w:p w:rsidRPr="008262C5" w:rsidR="008262C5" w:rsidP="008262C5" w:rsidRDefault="008262C5" w14:paraId="4DE94FF7" w14:textId="0213C969">
      <w:pPr>
        <w:autoSpaceDE w:val="0"/>
        <w:autoSpaceDN w:val="0"/>
        <w:adjustRightInd w:val="0"/>
        <w:spacing w:after="0" w:line="240" w:lineRule="auto"/>
        <w:rPr>
          <w:rFonts w:ascii="Times New Roman" w:hAnsi="Times New Roman" w:eastAsia="Times New Roman" w:cs="Times New Roman"/>
          <w:sz w:val="24"/>
          <w:szCs w:val="24"/>
        </w:rPr>
      </w:pPr>
      <w:r w:rsidRPr="008262C5">
        <w:rPr>
          <w:rFonts w:ascii="Times New Roman" w:hAnsi="Times New Roman" w:eastAsia="Times New Roman" w:cs="Times New Roman"/>
          <w:sz w:val="24"/>
          <w:szCs w:val="24"/>
        </w:rPr>
        <w:t>As part of the Census Bureau’s statistical quality standards,</w:t>
      </w:r>
      <w:r w:rsidRPr="008262C5">
        <w:rPr>
          <w:rFonts w:ascii="Times New Roman" w:hAnsi="Times New Roman" w:eastAsia="Times New Roman" w:cs="Times New Roman"/>
          <w:sz w:val="24"/>
          <w:szCs w:val="24"/>
          <w:vertAlign w:val="superscript"/>
        </w:rPr>
        <w:footnoteReference w:id="3"/>
      </w:r>
      <w:r w:rsidRPr="008262C5">
        <w:rPr>
          <w:rFonts w:ascii="Times New Roman" w:hAnsi="Times New Roman" w:eastAsia="Times New Roman" w:cs="Times New Roman"/>
          <w:sz w:val="24"/>
          <w:szCs w:val="24"/>
        </w:rPr>
        <w:t xml:space="preserve"> the content for the </w:t>
      </w:r>
      <w:r w:rsidR="00B87ECC">
        <w:rPr>
          <w:rFonts w:ascii="Times New Roman" w:hAnsi="Times New Roman" w:eastAsia="Times New Roman" w:cs="Times New Roman"/>
          <w:sz w:val="24"/>
          <w:szCs w:val="24"/>
        </w:rPr>
        <w:t xml:space="preserve">MOPS-HP </w:t>
      </w:r>
      <w:r w:rsidRPr="008262C5">
        <w:rPr>
          <w:rFonts w:ascii="Times New Roman" w:hAnsi="Times New Roman" w:eastAsia="Times New Roman" w:cs="Times New Roman"/>
          <w:sz w:val="24"/>
          <w:szCs w:val="24"/>
        </w:rPr>
        <w:t xml:space="preserve">has undergone cognitive testing. </w:t>
      </w:r>
      <w:r w:rsidR="00885A1D">
        <w:rPr>
          <w:rFonts w:ascii="Times New Roman" w:hAnsi="Times New Roman" w:eastAsia="Times New Roman" w:cs="Times New Roman"/>
          <w:sz w:val="24"/>
          <w:szCs w:val="24"/>
        </w:rPr>
        <w:t xml:space="preserve">The final content can be seen in Attachment </w:t>
      </w:r>
      <w:r w:rsidR="008B0321">
        <w:rPr>
          <w:rFonts w:ascii="Times New Roman" w:hAnsi="Times New Roman" w:eastAsia="Times New Roman" w:cs="Times New Roman"/>
          <w:sz w:val="24"/>
          <w:szCs w:val="24"/>
        </w:rPr>
        <w:t>A</w:t>
      </w:r>
      <w:r w:rsidR="00885A1D">
        <w:rPr>
          <w:rFonts w:ascii="Times New Roman" w:hAnsi="Times New Roman" w:eastAsia="Times New Roman" w:cs="Times New Roman"/>
          <w:sz w:val="24"/>
          <w:szCs w:val="24"/>
        </w:rPr>
        <w:t xml:space="preserve">. </w:t>
      </w:r>
      <w:r w:rsidR="00FE3562">
        <w:rPr>
          <w:rFonts w:ascii="Times New Roman" w:hAnsi="Times New Roman" w:eastAsia="Times New Roman" w:cs="Times New Roman"/>
          <w:sz w:val="24"/>
          <w:szCs w:val="24"/>
        </w:rPr>
        <w:t>The Census Bureau</w:t>
      </w:r>
      <w:r w:rsidRPr="008262C5">
        <w:rPr>
          <w:rFonts w:ascii="Times New Roman" w:hAnsi="Times New Roman" w:eastAsia="Times New Roman" w:cs="Times New Roman"/>
          <w:sz w:val="24"/>
          <w:szCs w:val="24"/>
        </w:rPr>
        <w:t xml:space="preserve"> interviewed </w:t>
      </w:r>
      <w:r w:rsidR="00FE3562">
        <w:rPr>
          <w:rFonts w:ascii="Times New Roman" w:hAnsi="Times New Roman" w:eastAsia="Times New Roman" w:cs="Times New Roman"/>
          <w:sz w:val="24"/>
          <w:szCs w:val="24"/>
        </w:rPr>
        <w:t xml:space="preserve">respondents </w:t>
      </w:r>
      <w:r w:rsidRPr="008262C5">
        <w:rPr>
          <w:rFonts w:ascii="Times New Roman" w:hAnsi="Times New Roman" w:eastAsia="Times New Roman" w:cs="Times New Roman"/>
          <w:sz w:val="24"/>
          <w:szCs w:val="24"/>
        </w:rPr>
        <w:t>to help ensure that the questionnaires and supplemental materials support a balance between collecting high quality data and minimizing respondent burden. This testing was conducted in 2018 during two separate rounds with respondents who primarily held the title of either Chief Nursing Officer (CNO) or Chief Financial Officer (CFO); testing revealed that CNOs were the more appropriate respondents for the planned content. The MOPS-HP content was tested with thirty hospitals across seven states and the District of Columbia.</w:t>
      </w:r>
      <w:r w:rsidRPr="008262C5">
        <w:rPr>
          <w:rFonts w:ascii="Times New Roman" w:hAnsi="Times New Roman" w:eastAsia="Times New Roman" w:cs="Times New Roman"/>
          <w:sz w:val="24"/>
          <w:szCs w:val="24"/>
          <w:vertAlign w:val="superscript"/>
        </w:rPr>
        <w:footnoteReference w:id="4"/>
      </w:r>
      <w:r w:rsidRPr="008262C5">
        <w:rPr>
          <w:rFonts w:ascii="Times New Roman" w:hAnsi="Times New Roman" w:eastAsia="Times New Roman" w:cs="Times New Roman"/>
          <w:sz w:val="24"/>
          <w:szCs w:val="24"/>
        </w:rPr>
        <w:t xml:space="preserve"> The findings helped the Census Bureau incorporate industry-tested terminology, provide examples and instruct respondents as needed, order and word questions, provide hospital-appropriate responses, and add and delete questions. </w:t>
      </w:r>
    </w:p>
    <w:p w:rsidRPr="008262C5" w:rsidR="008262C5" w:rsidP="008262C5" w:rsidRDefault="008262C5" w14:paraId="0AAD9B96" w14:textId="77777777">
      <w:pPr>
        <w:autoSpaceDE w:val="0"/>
        <w:autoSpaceDN w:val="0"/>
        <w:adjustRightInd w:val="0"/>
        <w:spacing w:after="0" w:line="240" w:lineRule="auto"/>
        <w:rPr>
          <w:rFonts w:ascii="Times New Roman" w:hAnsi="Times New Roman" w:eastAsia="Times New Roman" w:cs="Times New Roman"/>
          <w:sz w:val="24"/>
          <w:szCs w:val="24"/>
        </w:rPr>
      </w:pPr>
    </w:p>
    <w:p w:rsidRPr="008262C5" w:rsidR="008262C5" w:rsidP="008262C5" w:rsidRDefault="008262C5" w14:paraId="41368FB3" w14:textId="77777777">
      <w:pPr>
        <w:numPr>
          <w:ilvl w:val="0"/>
          <w:numId w:val="6"/>
        </w:numPr>
        <w:autoSpaceDE w:val="0"/>
        <w:autoSpaceDN w:val="0"/>
        <w:adjustRightInd w:val="0"/>
        <w:spacing w:after="0" w:line="240" w:lineRule="auto"/>
        <w:rPr>
          <w:rFonts w:ascii="Times New Roman" w:hAnsi="Times New Roman" w:eastAsia="Times New Roman" w:cs="Times New Roman"/>
          <w:i/>
          <w:sz w:val="24"/>
          <w:szCs w:val="24"/>
        </w:rPr>
      </w:pPr>
      <w:r w:rsidRPr="008262C5">
        <w:rPr>
          <w:rFonts w:ascii="Times New Roman" w:hAnsi="Times New Roman" w:eastAsia="Times New Roman" w:cs="Times New Roman"/>
          <w:i/>
          <w:sz w:val="24"/>
          <w:szCs w:val="24"/>
        </w:rPr>
        <w:t>Defining Key Terms</w:t>
      </w:r>
    </w:p>
    <w:p w:rsidRPr="008262C5" w:rsidR="008262C5" w:rsidP="008262C5" w:rsidRDefault="008262C5" w14:paraId="6533A76F" w14:textId="77777777">
      <w:pPr>
        <w:numPr>
          <w:ilvl w:val="1"/>
          <w:numId w:val="6"/>
        </w:numPr>
        <w:autoSpaceDE w:val="0"/>
        <w:autoSpaceDN w:val="0"/>
        <w:adjustRightInd w:val="0"/>
        <w:spacing w:after="0" w:line="240" w:lineRule="auto"/>
        <w:rPr>
          <w:rFonts w:ascii="Times New Roman" w:hAnsi="Times New Roman" w:eastAsia="Times New Roman" w:cs="Times New Roman"/>
          <w:sz w:val="24"/>
          <w:szCs w:val="24"/>
        </w:rPr>
      </w:pPr>
      <w:r w:rsidRPr="008262C5">
        <w:rPr>
          <w:rFonts w:ascii="Times New Roman" w:hAnsi="Times New Roman" w:eastAsia="Times New Roman" w:cs="Times New Roman"/>
          <w:sz w:val="24"/>
          <w:szCs w:val="24"/>
        </w:rPr>
        <w:t>Clinical managers: Initial drafts of the content tested in round 1 referred generally to managers, as defined by those involved in clinical/operational decision making. However, respondents made various suggestions and the questions were subsequently changed to focus more narrowly on clinical managers, defined as “those who are involved in patient care decision-making” (Q4).</w:t>
      </w:r>
    </w:p>
    <w:p w:rsidRPr="008262C5" w:rsidR="008262C5" w:rsidP="008262C5" w:rsidRDefault="008262C5" w14:paraId="09AB2C43" w14:textId="77777777">
      <w:pPr>
        <w:numPr>
          <w:ilvl w:val="1"/>
          <w:numId w:val="6"/>
        </w:numPr>
        <w:autoSpaceDE w:val="0"/>
        <w:autoSpaceDN w:val="0"/>
        <w:adjustRightInd w:val="0"/>
        <w:spacing w:after="0" w:line="240" w:lineRule="auto"/>
        <w:rPr>
          <w:rFonts w:ascii="Times New Roman" w:hAnsi="Times New Roman" w:eastAsia="Times New Roman" w:cs="Times New Roman"/>
          <w:sz w:val="24"/>
          <w:szCs w:val="24"/>
        </w:rPr>
      </w:pPr>
      <w:r w:rsidRPr="008262C5">
        <w:rPr>
          <w:rFonts w:ascii="Times New Roman" w:hAnsi="Times New Roman" w:eastAsia="Times New Roman" w:cs="Times New Roman"/>
          <w:sz w:val="24"/>
          <w:szCs w:val="24"/>
        </w:rPr>
        <w:t xml:space="preserve">Providers: Following feedback obtained during cognitive testing that respondents considered physicians to be providers, and distinct from frontline clinical workers </w:t>
      </w:r>
      <w:r w:rsidRPr="008262C5">
        <w:rPr>
          <w:rFonts w:ascii="Times New Roman" w:hAnsi="Times New Roman" w:eastAsia="Times New Roman" w:cs="Times New Roman"/>
          <w:sz w:val="24"/>
          <w:szCs w:val="24"/>
        </w:rPr>
        <w:lastRenderedPageBreak/>
        <w:t xml:space="preserve">(FCWs), an additional definition was added. Based on respondent feedback, providers are defined as “physicians, physicians’ assistants, advanced practice nurses, and others responsible for evaluating, diagnosing, and treating patients”. (Q5) </w:t>
      </w:r>
    </w:p>
    <w:p w:rsidRPr="008262C5" w:rsidR="008262C5" w:rsidP="008262C5" w:rsidRDefault="008262C5" w14:paraId="06CDBF24" w14:textId="77777777">
      <w:pPr>
        <w:numPr>
          <w:ilvl w:val="1"/>
          <w:numId w:val="6"/>
        </w:numPr>
        <w:autoSpaceDE w:val="0"/>
        <w:autoSpaceDN w:val="0"/>
        <w:adjustRightInd w:val="0"/>
        <w:spacing w:after="0" w:line="240" w:lineRule="auto"/>
        <w:rPr>
          <w:rFonts w:ascii="Times New Roman" w:hAnsi="Times New Roman" w:eastAsia="Times New Roman" w:cs="Times New Roman"/>
          <w:sz w:val="24"/>
          <w:szCs w:val="24"/>
        </w:rPr>
      </w:pPr>
      <w:r w:rsidRPr="008262C5">
        <w:rPr>
          <w:rFonts w:ascii="Times New Roman" w:hAnsi="Times New Roman" w:eastAsia="Times New Roman" w:cs="Times New Roman"/>
          <w:sz w:val="24"/>
          <w:szCs w:val="24"/>
        </w:rPr>
        <w:t>Frontline clinical workers: FCWs were initially defined as clinical staff with non-managerial responsibilities, including physicians, staff nurses, and medical assistants. During round 1 of cognitive testing, however, the Census Bureau was advised that physicians are not considered FCW. Respondents suggested adding a listing of which clinical positions should be included or excluded in the definition of FCWs to promote consistency.  After testing well during round 2, revisions were adopted for the final definition – “FRONTLINE CLINICAL WORKERS include all clinical staff with direct patient care responsibilities (such as nurses, nurses’ aides, physical/occupational/speech therapists, radiology and laboratory technicians), who do NOT have employees directly reporting to them. Do NOT include non-clinical frontline staff such as food services, housekeeping, or maintenance staff” (Q6).</w:t>
      </w:r>
    </w:p>
    <w:p w:rsidRPr="008262C5" w:rsidR="008262C5" w:rsidP="008262C5" w:rsidRDefault="008262C5" w14:paraId="1E2A6F6B" w14:textId="77777777">
      <w:pPr>
        <w:numPr>
          <w:ilvl w:val="1"/>
          <w:numId w:val="6"/>
        </w:numPr>
        <w:autoSpaceDE w:val="0"/>
        <w:autoSpaceDN w:val="0"/>
        <w:adjustRightInd w:val="0"/>
        <w:spacing w:after="0" w:line="240" w:lineRule="auto"/>
        <w:rPr>
          <w:rFonts w:ascii="Times New Roman" w:hAnsi="Times New Roman" w:eastAsia="Times New Roman" w:cs="Times New Roman"/>
          <w:sz w:val="24"/>
          <w:szCs w:val="24"/>
        </w:rPr>
      </w:pPr>
      <w:r w:rsidRPr="008262C5">
        <w:rPr>
          <w:rFonts w:ascii="Times New Roman" w:hAnsi="Times New Roman" w:eastAsia="Times New Roman" w:cs="Times New Roman"/>
          <w:sz w:val="24"/>
          <w:szCs w:val="24"/>
        </w:rPr>
        <w:t xml:space="preserve">Key performance indicators (KPIs): Round 1 cognitive testing revealed that a more specific and thorough definition of KPIs was needed in place of listing examples that included metrics on cost, waste, clinical quality, financial performance, absenteeism, and patient safety. A new definition was tested in round 2 which defined KPIs as “quantifiable metrics used to evaluate the success of any clinical or non-clinical activity or function”. This definition was further refined to focus only on clinical activities, since tested respondents asked for clarification on whether to include KPIs that might be monitored for financial, dietary, and/or human resource activities (Q4). </w:t>
      </w:r>
    </w:p>
    <w:p w:rsidRPr="008262C5" w:rsidR="008262C5" w:rsidP="008262C5" w:rsidRDefault="008262C5" w14:paraId="5D011D35" w14:textId="77777777">
      <w:pPr>
        <w:autoSpaceDE w:val="0"/>
        <w:autoSpaceDN w:val="0"/>
        <w:adjustRightInd w:val="0"/>
        <w:spacing w:after="0" w:line="240" w:lineRule="auto"/>
        <w:rPr>
          <w:rFonts w:ascii="Times New Roman" w:hAnsi="Times New Roman" w:eastAsia="Times New Roman" w:cs="Times New Roman"/>
          <w:sz w:val="24"/>
          <w:szCs w:val="24"/>
        </w:rPr>
      </w:pPr>
    </w:p>
    <w:p w:rsidRPr="008262C5" w:rsidR="008262C5" w:rsidP="008262C5" w:rsidRDefault="008262C5" w14:paraId="0ECA6315" w14:textId="77777777">
      <w:pPr>
        <w:numPr>
          <w:ilvl w:val="0"/>
          <w:numId w:val="6"/>
        </w:numPr>
        <w:autoSpaceDE w:val="0"/>
        <w:autoSpaceDN w:val="0"/>
        <w:adjustRightInd w:val="0"/>
        <w:spacing w:after="0" w:line="240" w:lineRule="auto"/>
        <w:rPr>
          <w:rFonts w:ascii="Times New Roman" w:hAnsi="Times New Roman" w:eastAsia="Times New Roman" w:cs="Times New Roman"/>
          <w:i/>
          <w:sz w:val="24"/>
          <w:szCs w:val="24"/>
        </w:rPr>
      </w:pPr>
      <w:r w:rsidRPr="008262C5">
        <w:rPr>
          <w:rFonts w:ascii="Times New Roman" w:hAnsi="Times New Roman" w:eastAsia="Times New Roman" w:cs="Times New Roman"/>
          <w:i/>
          <w:sz w:val="24"/>
          <w:szCs w:val="24"/>
        </w:rPr>
        <w:t>Providing Examples</w:t>
      </w:r>
    </w:p>
    <w:p w:rsidRPr="008262C5" w:rsidR="008262C5" w:rsidP="008262C5" w:rsidRDefault="008262C5" w14:paraId="0547D488" w14:textId="77777777">
      <w:pPr>
        <w:numPr>
          <w:ilvl w:val="1"/>
          <w:numId w:val="6"/>
        </w:numPr>
        <w:autoSpaceDE w:val="0"/>
        <w:autoSpaceDN w:val="0"/>
        <w:adjustRightInd w:val="0"/>
        <w:spacing w:after="0" w:line="240" w:lineRule="auto"/>
        <w:rPr>
          <w:rFonts w:ascii="Times New Roman" w:hAnsi="Times New Roman" w:eastAsia="Times New Roman" w:cs="Times New Roman"/>
          <w:sz w:val="24"/>
          <w:szCs w:val="24"/>
        </w:rPr>
      </w:pPr>
      <w:r w:rsidRPr="008262C5">
        <w:rPr>
          <w:rFonts w:ascii="Times New Roman" w:hAnsi="Times New Roman" w:eastAsia="Times New Roman" w:cs="Times New Roman"/>
          <w:sz w:val="24"/>
          <w:szCs w:val="24"/>
        </w:rPr>
        <w:t>While providing examples can potentially limit the options considered by the respondent, cognitive testing revealed that respondents found the following examples of hospital-wide goals for patient care to be helpful: “infection rates, readmission rates, and wait times” (Q8).</w:t>
      </w:r>
    </w:p>
    <w:p w:rsidRPr="008262C5" w:rsidR="008262C5" w:rsidP="008262C5" w:rsidRDefault="008262C5" w14:paraId="2FB105DA" w14:textId="77777777">
      <w:pPr>
        <w:numPr>
          <w:ilvl w:val="1"/>
          <w:numId w:val="6"/>
        </w:numPr>
        <w:autoSpaceDE w:val="0"/>
        <w:autoSpaceDN w:val="0"/>
        <w:adjustRightInd w:val="0"/>
        <w:spacing w:after="0" w:line="240" w:lineRule="auto"/>
        <w:rPr>
          <w:rFonts w:ascii="Times New Roman" w:hAnsi="Times New Roman" w:eastAsia="Times New Roman" w:cs="Times New Roman"/>
          <w:sz w:val="24"/>
          <w:szCs w:val="24"/>
        </w:rPr>
      </w:pPr>
      <w:r w:rsidRPr="008262C5">
        <w:rPr>
          <w:rFonts w:ascii="Times New Roman" w:hAnsi="Times New Roman" w:eastAsia="Times New Roman" w:cs="Times New Roman"/>
          <w:sz w:val="24"/>
          <w:szCs w:val="24"/>
        </w:rPr>
        <w:t xml:space="preserve">Respondents repeatedly provided the same examples for financial goals, which suggested that the MOPS-HP did not need to provide examples for additional clarification (Q11). </w:t>
      </w:r>
    </w:p>
    <w:p w:rsidRPr="008262C5" w:rsidR="008262C5" w:rsidP="008262C5" w:rsidRDefault="008262C5" w14:paraId="353A48A0" w14:textId="77777777">
      <w:pPr>
        <w:numPr>
          <w:ilvl w:val="1"/>
          <w:numId w:val="6"/>
        </w:numPr>
        <w:autoSpaceDE w:val="0"/>
        <w:autoSpaceDN w:val="0"/>
        <w:adjustRightInd w:val="0"/>
        <w:spacing w:after="0" w:line="240" w:lineRule="auto"/>
        <w:rPr>
          <w:rFonts w:ascii="Times New Roman" w:hAnsi="Times New Roman" w:eastAsia="Times New Roman" w:cs="Times New Roman"/>
          <w:sz w:val="24"/>
          <w:szCs w:val="24"/>
        </w:rPr>
      </w:pPr>
      <w:r w:rsidRPr="008262C5">
        <w:rPr>
          <w:rFonts w:ascii="Times New Roman" w:hAnsi="Times New Roman" w:eastAsia="Times New Roman" w:cs="Times New Roman"/>
          <w:sz w:val="24"/>
          <w:szCs w:val="24"/>
        </w:rPr>
        <w:t>During cognitive testing, respondents were asked about their interpretation of “data” when asked about its use in meetings dedicated to the discussion of clinical outcomes (Q26).  Their answers included key performance indicators, readmission rates, infection rates, and scorecards which made including examples unnecessary.</w:t>
      </w:r>
    </w:p>
    <w:p w:rsidRPr="008262C5" w:rsidR="008262C5" w:rsidP="008262C5" w:rsidRDefault="008262C5" w14:paraId="1800E018" w14:textId="5A6B2DAD">
      <w:pPr>
        <w:numPr>
          <w:ilvl w:val="1"/>
          <w:numId w:val="6"/>
        </w:numPr>
        <w:autoSpaceDE w:val="0"/>
        <w:autoSpaceDN w:val="0"/>
        <w:adjustRightInd w:val="0"/>
        <w:spacing w:after="0" w:line="240" w:lineRule="auto"/>
        <w:rPr>
          <w:rFonts w:ascii="Times New Roman" w:hAnsi="Times New Roman" w:eastAsia="Times New Roman" w:cs="Times New Roman"/>
          <w:sz w:val="24"/>
          <w:szCs w:val="24"/>
        </w:rPr>
      </w:pPr>
      <w:r w:rsidRPr="008262C5">
        <w:rPr>
          <w:rFonts w:ascii="Times New Roman" w:hAnsi="Times New Roman" w:eastAsia="Times New Roman" w:cs="Times New Roman"/>
          <w:sz w:val="24"/>
          <w:szCs w:val="24"/>
        </w:rPr>
        <w:t>In round 1, examples of standardized clinical protocols were tested and these included checklists or patient bar-coding. Described by some as clinical pathways or maps, most respondents had a clear interpretation of protocols thereby eliminating the need to include examples (Q3</w:t>
      </w:r>
      <w:r w:rsidR="00F27730">
        <w:rPr>
          <w:rFonts w:ascii="Times New Roman" w:hAnsi="Times New Roman" w:eastAsia="Times New Roman" w:cs="Times New Roman"/>
          <w:sz w:val="24"/>
          <w:szCs w:val="24"/>
        </w:rPr>
        <w:t>3</w:t>
      </w:r>
      <w:r w:rsidRPr="008262C5">
        <w:rPr>
          <w:rFonts w:ascii="Times New Roman" w:hAnsi="Times New Roman" w:eastAsia="Times New Roman" w:cs="Times New Roman"/>
          <w:sz w:val="24"/>
          <w:szCs w:val="24"/>
        </w:rPr>
        <w:t>).</w:t>
      </w:r>
    </w:p>
    <w:p w:rsidRPr="008262C5" w:rsidR="008262C5" w:rsidP="008262C5" w:rsidRDefault="008262C5" w14:paraId="74A1B482" w14:textId="77777777">
      <w:pPr>
        <w:autoSpaceDE w:val="0"/>
        <w:autoSpaceDN w:val="0"/>
        <w:adjustRightInd w:val="0"/>
        <w:spacing w:after="0" w:line="240" w:lineRule="auto"/>
        <w:rPr>
          <w:rFonts w:ascii="Times New Roman" w:hAnsi="Times New Roman" w:eastAsia="Times New Roman" w:cs="Times New Roman"/>
          <w:sz w:val="24"/>
          <w:szCs w:val="24"/>
        </w:rPr>
      </w:pPr>
    </w:p>
    <w:p w:rsidRPr="008262C5" w:rsidR="008262C5" w:rsidP="008262C5" w:rsidRDefault="008262C5" w14:paraId="7A96DD7A" w14:textId="77777777">
      <w:pPr>
        <w:numPr>
          <w:ilvl w:val="0"/>
          <w:numId w:val="6"/>
        </w:numPr>
        <w:autoSpaceDE w:val="0"/>
        <w:autoSpaceDN w:val="0"/>
        <w:adjustRightInd w:val="0"/>
        <w:spacing w:after="0" w:line="240" w:lineRule="auto"/>
        <w:rPr>
          <w:rFonts w:ascii="Times New Roman" w:hAnsi="Times New Roman" w:eastAsia="Times New Roman" w:cs="Times New Roman"/>
          <w:i/>
          <w:sz w:val="24"/>
          <w:szCs w:val="24"/>
        </w:rPr>
      </w:pPr>
      <w:r w:rsidRPr="008262C5">
        <w:rPr>
          <w:rFonts w:ascii="Times New Roman" w:hAnsi="Times New Roman" w:eastAsia="Times New Roman" w:cs="Times New Roman"/>
          <w:i/>
          <w:sz w:val="24"/>
          <w:szCs w:val="24"/>
        </w:rPr>
        <w:t xml:space="preserve">   Instructing Respondents</w:t>
      </w:r>
    </w:p>
    <w:p w:rsidRPr="008262C5" w:rsidR="008262C5" w:rsidP="008262C5" w:rsidRDefault="008262C5" w14:paraId="08BB9413" w14:textId="77777777">
      <w:pPr>
        <w:numPr>
          <w:ilvl w:val="1"/>
          <w:numId w:val="6"/>
        </w:numPr>
        <w:autoSpaceDE w:val="0"/>
        <w:autoSpaceDN w:val="0"/>
        <w:adjustRightInd w:val="0"/>
        <w:spacing w:after="0" w:line="240" w:lineRule="auto"/>
        <w:rPr>
          <w:rFonts w:ascii="Times New Roman" w:hAnsi="Times New Roman" w:eastAsia="Times New Roman" w:cs="Times New Roman"/>
          <w:sz w:val="24"/>
          <w:szCs w:val="24"/>
        </w:rPr>
      </w:pPr>
      <w:r w:rsidRPr="008262C5">
        <w:rPr>
          <w:rFonts w:ascii="Times New Roman" w:hAnsi="Times New Roman" w:eastAsia="Times New Roman" w:cs="Times New Roman"/>
          <w:sz w:val="24"/>
          <w:szCs w:val="24"/>
        </w:rPr>
        <w:t xml:space="preserve">Cognitive testing of the MOPS-HP revealed that adding instructions to include time spent on remediation was important when asking about management practices for underperformance (Q17-19).  Respondents explained that remediation, such as training, performance improvement plans, and mentorship were common approaches </w:t>
      </w:r>
      <w:r w:rsidRPr="008262C5">
        <w:rPr>
          <w:rFonts w:ascii="Times New Roman" w:hAnsi="Times New Roman" w:eastAsia="Times New Roman" w:cs="Times New Roman"/>
          <w:sz w:val="24"/>
          <w:szCs w:val="24"/>
        </w:rPr>
        <w:lastRenderedPageBreak/>
        <w:t>for addressing underperformance of clinical managers, providers, and frontline clinical workers.</w:t>
      </w:r>
    </w:p>
    <w:p w:rsidRPr="008262C5" w:rsidR="008262C5" w:rsidP="008262C5" w:rsidRDefault="008262C5" w14:paraId="1F2C4F08" w14:textId="77777777">
      <w:pPr>
        <w:numPr>
          <w:ilvl w:val="1"/>
          <w:numId w:val="6"/>
        </w:numPr>
        <w:autoSpaceDE w:val="0"/>
        <w:autoSpaceDN w:val="0"/>
        <w:adjustRightInd w:val="0"/>
        <w:spacing w:after="0" w:line="240" w:lineRule="auto"/>
        <w:rPr>
          <w:rFonts w:ascii="Times New Roman" w:hAnsi="Times New Roman" w:eastAsia="Times New Roman" w:cs="Times New Roman"/>
          <w:sz w:val="24"/>
          <w:szCs w:val="24"/>
        </w:rPr>
      </w:pPr>
      <w:r w:rsidRPr="008262C5">
        <w:rPr>
          <w:rFonts w:ascii="Times New Roman" w:hAnsi="Times New Roman" w:eastAsia="Times New Roman" w:cs="Times New Roman"/>
          <w:sz w:val="24"/>
          <w:szCs w:val="24"/>
        </w:rPr>
        <w:t xml:space="preserve">As a result of testing, instructions have been added to “exclude serious reportable events that result in patient harm or death and are due to a lapse or error in the hospital”, when asking how the hospital addresses problems with patient care delivery (Q20-21).     </w:t>
      </w:r>
    </w:p>
    <w:p w:rsidRPr="008262C5" w:rsidR="008262C5" w:rsidP="008262C5" w:rsidRDefault="008262C5" w14:paraId="01E0AD3E" w14:textId="77777777">
      <w:pPr>
        <w:autoSpaceDE w:val="0"/>
        <w:autoSpaceDN w:val="0"/>
        <w:adjustRightInd w:val="0"/>
        <w:spacing w:after="0" w:line="240" w:lineRule="auto"/>
        <w:rPr>
          <w:rFonts w:ascii="Times New Roman" w:hAnsi="Times New Roman" w:eastAsia="Times New Roman" w:cs="Times New Roman"/>
          <w:sz w:val="24"/>
          <w:szCs w:val="24"/>
        </w:rPr>
      </w:pPr>
    </w:p>
    <w:p w:rsidRPr="008262C5" w:rsidR="008262C5" w:rsidP="008262C5" w:rsidRDefault="008262C5" w14:paraId="2362D401" w14:textId="77777777">
      <w:pPr>
        <w:numPr>
          <w:ilvl w:val="0"/>
          <w:numId w:val="6"/>
        </w:numPr>
        <w:autoSpaceDE w:val="0"/>
        <w:autoSpaceDN w:val="0"/>
        <w:adjustRightInd w:val="0"/>
        <w:spacing w:after="0" w:line="240" w:lineRule="auto"/>
        <w:rPr>
          <w:rFonts w:ascii="Times New Roman" w:hAnsi="Times New Roman" w:eastAsia="Times New Roman" w:cs="Times New Roman"/>
          <w:i/>
          <w:sz w:val="24"/>
          <w:szCs w:val="24"/>
        </w:rPr>
      </w:pPr>
      <w:r w:rsidRPr="008262C5">
        <w:rPr>
          <w:rFonts w:ascii="Times New Roman" w:hAnsi="Times New Roman" w:eastAsia="Times New Roman" w:cs="Times New Roman"/>
          <w:i/>
          <w:sz w:val="24"/>
          <w:szCs w:val="24"/>
        </w:rPr>
        <w:t>Ordering Questions</w:t>
      </w:r>
    </w:p>
    <w:p w:rsidRPr="008262C5" w:rsidR="008262C5" w:rsidP="008262C5" w:rsidRDefault="008262C5" w14:paraId="216BF1D9" w14:textId="77777777">
      <w:pPr>
        <w:numPr>
          <w:ilvl w:val="1"/>
          <w:numId w:val="6"/>
        </w:numPr>
        <w:autoSpaceDE w:val="0"/>
        <w:autoSpaceDN w:val="0"/>
        <w:adjustRightInd w:val="0"/>
        <w:spacing w:after="0" w:line="240" w:lineRule="auto"/>
        <w:rPr>
          <w:rFonts w:ascii="Times New Roman" w:hAnsi="Times New Roman" w:eastAsia="Times New Roman" w:cs="Times New Roman"/>
          <w:sz w:val="24"/>
          <w:szCs w:val="24"/>
        </w:rPr>
      </w:pPr>
      <w:r w:rsidRPr="008262C5">
        <w:rPr>
          <w:rFonts w:ascii="Times New Roman" w:hAnsi="Times New Roman" w:eastAsia="Times New Roman" w:cs="Times New Roman"/>
          <w:sz w:val="24"/>
          <w:szCs w:val="24"/>
        </w:rPr>
        <w:t xml:space="preserve">Feedback during cognitive testing helped to redesign the order of the MOPS-HP questions. In round 1, the first question asked how the hospital addressed problems; however, respondents suggested that the survey start with a less difficult question. In the final question ordering, questions 20 and 21 now ask how the hospitals typically addresses problems with patient care delivered by providers and FCW, respectively. The first two questions on the MOPS-HP now ask for the respondent’s tenure at the hospital and as a manager at the hospital. </w:t>
      </w:r>
    </w:p>
    <w:p w:rsidRPr="008262C5" w:rsidR="008262C5" w:rsidP="008262C5" w:rsidRDefault="008262C5" w14:paraId="4529E740" w14:textId="77777777">
      <w:pPr>
        <w:numPr>
          <w:ilvl w:val="1"/>
          <w:numId w:val="6"/>
        </w:numPr>
        <w:autoSpaceDE w:val="0"/>
        <w:autoSpaceDN w:val="0"/>
        <w:adjustRightInd w:val="0"/>
        <w:spacing w:after="0" w:line="240" w:lineRule="auto"/>
        <w:rPr>
          <w:rFonts w:ascii="Times New Roman" w:hAnsi="Times New Roman" w:eastAsia="Times New Roman" w:cs="Times New Roman"/>
          <w:sz w:val="24"/>
          <w:szCs w:val="24"/>
        </w:rPr>
      </w:pPr>
      <w:r w:rsidRPr="008262C5">
        <w:rPr>
          <w:rFonts w:ascii="Times New Roman" w:hAnsi="Times New Roman" w:eastAsia="Times New Roman" w:cs="Times New Roman"/>
          <w:sz w:val="24"/>
          <w:szCs w:val="24"/>
        </w:rPr>
        <w:t>Initially Section E asking about the management of team interactions began with a question on how frequently these meetings were held, but cognitive testing results suggested that the first question should ask who participated (Q23).</w:t>
      </w:r>
    </w:p>
    <w:p w:rsidRPr="008262C5" w:rsidR="008262C5" w:rsidP="008262C5" w:rsidRDefault="008262C5" w14:paraId="73995EC9" w14:textId="77777777">
      <w:pPr>
        <w:autoSpaceDE w:val="0"/>
        <w:autoSpaceDN w:val="0"/>
        <w:adjustRightInd w:val="0"/>
        <w:spacing w:after="0" w:line="240" w:lineRule="auto"/>
        <w:rPr>
          <w:rFonts w:ascii="Times New Roman" w:hAnsi="Times New Roman" w:eastAsia="Times New Roman" w:cs="Times New Roman"/>
          <w:sz w:val="24"/>
          <w:szCs w:val="24"/>
        </w:rPr>
      </w:pPr>
    </w:p>
    <w:p w:rsidRPr="008262C5" w:rsidR="008262C5" w:rsidP="008262C5" w:rsidRDefault="008262C5" w14:paraId="5DD62B5F" w14:textId="77777777">
      <w:pPr>
        <w:autoSpaceDE w:val="0"/>
        <w:autoSpaceDN w:val="0"/>
        <w:adjustRightInd w:val="0"/>
        <w:spacing w:after="0" w:line="240" w:lineRule="auto"/>
        <w:rPr>
          <w:rFonts w:ascii="Times New Roman" w:hAnsi="Times New Roman" w:eastAsia="Times New Roman" w:cs="Times New Roman"/>
          <w:sz w:val="24"/>
          <w:szCs w:val="24"/>
        </w:rPr>
      </w:pPr>
    </w:p>
    <w:p w:rsidRPr="008262C5" w:rsidR="008262C5" w:rsidP="008262C5" w:rsidRDefault="008262C5" w14:paraId="7C4ABA25" w14:textId="77777777">
      <w:pPr>
        <w:autoSpaceDE w:val="0"/>
        <w:autoSpaceDN w:val="0"/>
        <w:adjustRightInd w:val="0"/>
        <w:spacing w:after="0" w:line="240" w:lineRule="auto"/>
        <w:rPr>
          <w:rFonts w:ascii="Times New Roman" w:hAnsi="Times New Roman" w:eastAsia="Times New Roman" w:cs="Times New Roman"/>
          <w:sz w:val="24"/>
          <w:szCs w:val="24"/>
        </w:rPr>
      </w:pPr>
    </w:p>
    <w:p w:rsidRPr="008262C5" w:rsidR="008262C5" w:rsidP="008262C5" w:rsidRDefault="008262C5" w14:paraId="59D40717" w14:textId="77777777">
      <w:pPr>
        <w:numPr>
          <w:ilvl w:val="0"/>
          <w:numId w:val="6"/>
        </w:numPr>
        <w:autoSpaceDE w:val="0"/>
        <w:autoSpaceDN w:val="0"/>
        <w:adjustRightInd w:val="0"/>
        <w:spacing w:after="0" w:line="240" w:lineRule="auto"/>
        <w:rPr>
          <w:rFonts w:ascii="Times New Roman" w:hAnsi="Times New Roman" w:eastAsia="Times New Roman" w:cs="Times New Roman"/>
          <w:i/>
          <w:sz w:val="24"/>
          <w:szCs w:val="24"/>
        </w:rPr>
      </w:pPr>
      <w:r w:rsidRPr="008262C5">
        <w:rPr>
          <w:rFonts w:ascii="Times New Roman" w:hAnsi="Times New Roman" w:eastAsia="Times New Roman" w:cs="Times New Roman"/>
          <w:i/>
          <w:sz w:val="24"/>
          <w:szCs w:val="24"/>
        </w:rPr>
        <w:t>Wording Questions</w:t>
      </w:r>
    </w:p>
    <w:p w:rsidRPr="008262C5" w:rsidR="008262C5" w:rsidP="008262C5" w:rsidRDefault="008262C5" w14:paraId="3620DBB1" w14:textId="1072EDDC">
      <w:pPr>
        <w:numPr>
          <w:ilvl w:val="1"/>
          <w:numId w:val="6"/>
        </w:numPr>
        <w:autoSpaceDE w:val="0"/>
        <w:autoSpaceDN w:val="0"/>
        <w:adjustRightInd w:val="0"/>
        <w:spacing w:after="0" w:line="240" w:lineRule="auto"/>
        <w:rPr>
          <w:rFonts w:ascii="Times New Roman" w:hAnsi="Times New Roman" w:eastAsia="Times New Roman" w:cs="Times New Roman"/>
          <w:sz w:val="24"/>
          <w:szCs w:val="24"/>
        </w:rPr>
      </w:pPr>
      <w:r w:rsidRPr="008262C5">
        <w:rPr>
          <w:rFonts w:ascii="Times New Roman" w:hAnsi="Times New Roman" w:eastAsia="Times New Roman" w:cs="Times New Roman"/>
          <w:sz w:val="24"/>
          <w:szCs w:val="24"/>
        </w:rPr>
        <w:t>The MOPS-HP asks for the number of licensed beds. Initially this question asked for the number of staffed beds. However, in cognitive testing, respondents were confused as hospitals may have differing counts for beds that are staffed, budgeted, operated, or licensed. In round 2, respondents were asked for the number of licensed beds and they indicated that they would not have any difficulty providing this information (Q3).</w:t>
      </w:r>
    </w:p>
    <w:p w:rsidRPr="008262C5" w:rsidR="008262C5" w:rsidP="008262C5" w:rsidRDefault="008262C5" w14:paraId="2598E314" w14:textId="77777777">
      <w:pPr>
        <w:numPr>
          <w:ilvl w:val="1"/>
          <w:numId w:val="6"/>
        </w:numPr>
        <w:autoSpaceDE w:val="0"/>
        <w:autoSpaceDN w:val="0"/>
        <w:adjustRightInd w:val="0"/>
        <w:spacing w:after="0" w:line="240" w:lineRule="auto"/>
        <w:rPr>
          <w:rFonts w:ascii="Times New Roman" w:hAnsi="Times New Roman" w:eastAsia="Times New Roman" w:cs="Times New Roman"/>
          <w:sz w:val="24"/>
          <w:szCs w:val="24"/>
        </w:rPr>
      </w:pPr>
      <w:r w:rsidRPr="008262C5">
        <w:rPr>
          <w:rFonts w:ascii="Times New Roman" w:hAnsi="Times New Roman" w:eastAsia="Times New Roman" w:cs="Times New Roman"/>
          <w:sz w:val="24"/>
          <w:szCs w:val="24"/>
        </w:rPr>
        <w:t xml:space="preserve">The MOPS-HP asks how often clinical managers </w:t>
      </w:r>
      <w:r w:rsidRPr="008262C5">
        <w:rPr>
          <w:rFonts w:ascii="Times New Roman" w:hAnsi="Times New Roman" w:eastAsia="Times New Roman" w:cs="Times New Roman"/>
          <w:i/>
          <w:sz w:val="24"/>
          <w:szCs w:val="24"/>
        </w:rPr>
        <w:t>review</w:t>
      </w:r>
      <w:r w:rsidRPr="008262C5">
        <w:rPr>
          <w:rFonts w:ascii="Times New Roman" w:hAnsi="Times New Roman" w:eastAsia="Times New Roman" w:cs="Times New Roman"/>
          <w:sz w:val="24"/>
          <w:szCs w:val="24"/>
        </w:rPr>
        <w:t xml:space="preserve"> KPIs (Q4), and two separate questions ask how often clinical KPIs are </w:t>
      </w:r>
      <w:r w:rsidRPr="008262C5">
        <w:rPr>
          <w:rFonts w:ascii="Times New Roman" w:hAnsi="Times New Roman" w:eastAsia="Times New Roman" w:cs="Times New Roman"/>
          <w:i/>
          <w:sz w:val="24"/>
          <w:szCs w:val="24"/>
        </w:rPr>
        <w:t>given</w:t>
      </w:r>
      <w:r w:rsidRPr="008262C5">
        <w:rPr>
          <w:rFonts w:ascii="Times New Roman" w:hAnsi="Times New Roman" w:eastAsia="Times New Roman" w:cs="Times New Roman"/>
          <w:sz w:val="24"/>
          <w:szCs w:val="24"/>
        </w:rPr>
        <w:t xml:space="preserve"> to providers (Q5) and </w:t>
      </w:r>
      <w:r w:rsidRPr="008262C5">
        <w:rPr>
          <w:rFonts w:ascii="Times New Roman" w:hAnsi="Times New Roman" w:eastAsia="Times New Roman" w:cs="Times New Roman"/>
          <w:i/>
          <w:sz w:val="24"/>
          <w:szCs w:val="24"/>
        </w:rPr>
        <w:t xml:space="preserve">given </w:t>
      </w:r>
      <w:r w:rsidRPr="008262C5">
        <w:rPr>
          <w:rFonts w:ascii="Times New Roman" w:hAnsi="Times New Roman" w:eastAsia="Times New Roman" w:cs="Times New Roman"/>
          <w:sz w:val="24"/>
          <w:szCs w:val="24"/>
        </w:rPr>
        <w:t>to FCWs (Q6). Initially, respondents were asked how often providers and FCWs reviewed the KPIs; however, testing revealed they could only report how frequently these indicators were distributed to providers and FCWs.</w:t>
      </w:r>
    </w:p>
    <w:p w:rsidRPr="008262C5" w:rsidR="008262C5" w:rsidP="008262C5" w:rsidRDefault="008262C5" w14:paraId="754C3E92" w14:textId="77777777">
      <w:pPr>
        <w:numPr>
          <w:ilvl w:val="1"/>
          <w:numId w:val="6"/>
        </w:numPr>
        <w:autoSpaceDE w:val="0"/>
        <w:autoSpaceDN w:val="0"/>
        <w:adjustRightInd w:val="0"/>
        <w:spacing w:after="0" w:line="240" w:lineRule="auto"/>
        <w:rPr>
          <w:rFonts w:ascii="Times New Roman" w:hAnsi="Times New Roman" w:eastAsia="Times New Roman" w:cs="Times New Roman"/>
          <w:sz w:val="24"/>
          <w:szCs w:val="24"/>
        </w:rPr>
      </w:pPr>
      <w:r w:rsidRPr="008262C5">
        <w:rPr>
          <w:rFonts w:ascii="Times New Roman" w:hAnsi="Times New Roman" w:eastAsia="Times New Roman" w:cs="Times New Roman"/>
          <w:sz w:val="24"/>
          <w:szCs w:val="24"/>
        </w:rPr>
        <w:t xml:space="preserve">Initially questions referred to “targets”, but tested respondents felt this term was less relevant for hospitals and suggested the term “goals”, which was cognitively tested and subsequently adopted (Q8-13).  </w:t>
      </w:r>
    </w:p>
    <w:p w:rsidRPr="008262C5" w:rsidR="008262C5" w:rsidP="008262C5" w:rsidRDefault="008262C5" w14:paraId="09094BBF" w14:textId="77777777">
      <w:pPr>
        <w:numPr>
          <w:ilvl w:val="1"/>
          <w:numId w:val="6"/>
        </w:numPr>
        <w:autoSpaceDE w:val="0"/>
        <w:autoSpaceDN w:val="0"/>
        <w:adjustRightInd w:val="0"/>
        <w:spacing w:after="0" w:line="240" w:lineRule="auto"/>
        <w:rPr>
          <w:rFonts w:ascii="Times New Roman" w:hAnsi="Times New Roman" w:eastAsia="Times New Roman" w:cs="Times New Roman"/>
          <w:sz w:val="24"/>
          <w:szCs w:val="24"/>
        </w:rPr>
      </w:pPr>
      <w:r w:rsidRPr="008262C5">
        <w:rPr>
          <w:rFonts w:ascii="Times New Roman" w:hAnsi="Times New Roman" w:eastAsia="Times New Roman" w:cs="Times New Roman"/>
          <w:sz w:val="24"/>
          <w:szCs w:val="24"/>
        </w:rPr>
        <w:t xml:space="preserve">MOPS-HP questions initially referred to “patient care goals”, however, respondents suggested saying “hospital-wide goals for patient care” to avoid confusion with individualized patient care plans (Q8-10). </w:t>
      </w:r>
    </w:p>
    <w:p w:rsidRPr="008262C5" w:rsidR="008262C5" w:rsidP="008262C5" w:rsidRDefault="008262C5" w14:paraId="44AB96A8" w14:textId="77777777">
      <w:pPr>
        <w:numPr>
          <w:ilvl w:val="1"/>
          <w:numId w:val="6"/>
        </w:numPr>
        <w:autoSpaceDE w:val="0"/>
        <w:autoSpaceDN w:val="0"/>
        <w:adjustRightInd w:val="0"/>
        <w:spacing w:after="0" w:line="240" w:lineRule="auto"/>
        <w:rPr>
          <w:rFonts w:ascii="Times New Roman" w:hAnsi="Times New Roman" w:eastAsia="Times New Roman" w:cs="Times New Roman"/>
          <w:sz w:val="24"/>
          <w:szCs w:val="24"/>
        </w:rPr>
      </w:pPr>
      <w:r w:rsidRPr="008262C5">
        <w:rPr>
          <w:rFonts w:ascii="Times New Roman" w:hAnsi="Times New Roman" w:eastAsia="Times New Roman" w:cs="Times New Roman"/>
          <w:sz w:val="24"/>
          <w:szCs w:val="24"/>
        </w:rPr>
        <w:t>When cognitively testing how FCWs and clinical managers are promoted, “relationships” was used as an example of factors other than performance and ability. However, respondents suggested dropping “relationships” and adding “managerial potential” to encapsulate other factors such as experience, tenure, and the ability to get things done (Q14-16).</w:t>
      </w:r>
    </w:p>
    <w:p w:rsidR="008262C5" w:rsidP="008262C5" w:rsidRDefault="008262C5" w14:paraId="21B7B566" w14:textId="66DDECAE">
      <w:pPr>
        <w:numPr>
          <w:ilvl w:val="1"/>
          <w:numId w:val="6"/>
        </w:numPr>
        <w:autoSpaceDE w:val="0"/>
        <w:autoSpaceDN w:val="0"/>
        <w:adjustRightInd w:val="0"/>
        <w:spacing w:after="0" w:line="240" w:lineRule="auto"/>
        <w:rPr>
          <w:rFonts w:ascii="Times New Roman" w:hAnsi="Times New Roman" w:eastAsia="Times New Roman" w:cs="Times New Roman"/>
          <w:sz w:val="24"/>
          <w:szCs w:val="24"/>
        </w:rPr>
      </w:pPr>
      <w:r w:rsidRPr="008262C5">
        <w:rPr>
          <w:rFonts w:ascii="Times New Roman" w:hAnsi="Times New Roman" w:eastAsia="Times New Roman" w:cs="Times New Roman"/>
          <w:sz w:val="24"/>
          <w:szCs w:val="24"/>
        </w:rPr>
        <w:t xml:space="preserve">The MOPS-HP asks about the hospital’s actions when providers incompletely documented patients’ medical records (HP-38). This wording reflects respondents’ </w:t>
      </w:r>
      <w:r w:rsidRPr="008262C5">
        <w:rPr>
          <w:rFonts w:ascii="Times New Roman" w:hAnsi="Times New Roman" w:eastAsia="Times New Roman" w:cs="Times New Roman"/>
          <w:sz w:val="24"/>
          <w:szCs w:val="24"/>
        </w:rPr>
        <w:lastRenderedPageBreak/>
        <w:t xml:space="preserve">emphasis on </w:t>
      </w:r>
      <w:r w:rsidRPr="008262C5">
        <w:rPr>
          <w:rFonts w:ascii="Times New Roman" w:hAnsi="Times New Roman" w:eastAsia="Times New Roman" w:cs="Times New Roman"/>
          <w:i/>
          <w:sz w:val="24"/>
          <w:szCs w:val="24"/>
        </w:rPr>
        <w:t xml:space="preserve">complete </w:t>
      </w:r>
      <w:r w:rsidRPr="008262C5">
        <w:rPr>
          <w:rFonts w:ascii="Times New Roman" w:hAnsi="Times New Roman" w:eastAsia="Times New Roman" w:cs="Times New Roman"/>
          <w:sz w:val="24"/>
          <w:szCs w:val="24"/>
        </w:rPr>
        <w:t xml:space="preserve">documentation rather than saying “poor” documentation (Q38-39). </w:t>
      </w:r>
    </w:p>
    <w:p w:rsidRPr="008262C5" w:rsidR="006255D7" w:rsidP="00DA114E" w:rsidRDefault="006255D7" w14:paraId="6ACDC406" w14:textId="77777777">
      <w:pPr>
        <w:autoSpaceDE w:val="0"/>
        <w:autoSpaceDN w:val="0"/>
        <w:adjustRightInd w:val="0"/>
        <w:spacing w:after="0" w:line="240" w:lineRule="auto"/>
        <w:ind w:left="1080"/>
        <w:rPr>
          <w:rFonts w:ascii="Times New Roman" w:hAnsi="Times New Roman" w:eastAsia="Times New Roman" w:cs="Times New Roman"/>
          <w:sz w:val="24"/>
          <w:szCs w:val="24"/>
        </w:rPr>
      </w:pPr>
    </w:p>
    <w:p w:rsidRPr="008262C5" w:rsidR="008262C5" w:rsidP="008262C5" w:rsidRDefault="008262C5" w14:paraId="1FB6C9E5" w14:textId="77777777">
      <w:pPr>
        <w:numPr>
          <w:ilvl w:val="0"/>
          <w:numId w:val="6"/>
        </w:numPr>
        <w:autoSpaceDE w:val="0"/>
        <w:autoSpaceDN w:val="0"/>
        <w:adjustRightInd w:val="0"/>
        <w:spacing w:after="0" w:line="240" w:lineRule="auto"/>
        <w:rPr>
          <w:rFonts w:ascii="Times New Roman" w:hAnsi="Times New Roman" w:eastAsia="Times New Roman" w:cs="Times New Roman"/>
          <w:i/>
          <w:sz w:val="24"/>
          <w:szCs w:val="24"/>
        </w:rPr>
      </w:pPr>
      <w:r w:rsidRPr="008262C5">
        <w:rPr>
          <w:rFonts w:ascii="Times New Roman" w:hAnsi="Times New Roman" w:eastAsia="Times New Roman" w:cs="Times New Roman"/>
          <w:i/>
          <w:sz w:val="24"/>
          <w:szCs w:val="24"/>
        </w:rPr>
        <w:t>Listing Responses</w:t>
      </w:r>
    </w:p>
    <w:p w:rsidRPr="008262C5" w:rsidR="008262C5" w:rsidP="008262C5" w:rsidRDefault="008262C5" w14:paraId="426C26BD" w14:textId="2F4985B0">
      <w:pPr>
        <w:numPr>
          <w:ilvl w:val="1"/>
          <w:numId w:val="6"/>
        </w:numPr>
        <w:autoSpaceDE w:val="0"/>
        <w:autoSpaceDN w:val="0"/>
        <w:adjustRightInd w:val="0"/>
        <w:spacing w:after="0" w:line="240" w:lineRule="auto"/>
        <w:rPr>
          <w:rFonts w:ascii="Times New Roman" w:hAnsi="Times New Roman" w:eastAsia="Times New Roman" w:cs="Times New Roman"/>
          <w:sz w:val="24"/>
          <w:szCs w:val="24"/>
        </w:rPr>
      </w:pPr>
      <w:r w:rsidRPr="008262C5">
        <w:rPr>
          <w:rFonts w:ascii="Times New Roman" w:hAnsi="Times New Roman" w:eastAsia="Times New Roman" w:cs="Times New Roman"/>
          <w:sz w:val="24"/>
          <w:szCs w:val="24"/>
        </w:rPr>
        <w:t xml:space="preserve">In question 1, the MOPS-HP asks what year the respondent started working at the hospital. </w:t>
      </w:r>
      <w:r w:rsidRPr="004156F0">
        <w:rPr>
          <w:rFonts w:ascii="Times New Roman" w:hAnsi="Times New Roman" w:eastAsia="Times New Roman" w:cs="Times New Roman"/>
          <w:sz w:val="24"/>
          <w:szCs w:val="24"/>
          <w:highlight w:val="yellow"/>
        </w:rPr>
        <w:t>If respondents indicate they were not at the hospital being surveyed in 201</w:t>
      </w:r>
      <w:r w:rsidRPr="004156F0" w:rsidR="004A3C9B">
        <w:rPr>
          <w:rFonts w:ascii="Times New Roman" w:hAnsi="Times New Roman" w:eastAsia="Times New Roman" w:cs="Times New Roman"/>
          <w:sz w:val="24"/>
          <w:szCs w:val="24"/>
          <w:highlight w:val="yellow"/>
        </w:rPr>
        <w:t>9</w:t>
      </w:r>
      <w:r w:rsidRPr="004156F0">
        <w:rPr>
          <w:rFonts w:ascii="Times New Roman" w:hAnsi="Times New Roman" w:eastAsia="Times New Roman" w:cs="Times New Roman"/>
          <w:sz w:val="24"/>
          <w:szCs w:val="24"/>
          <w:highlight w:val="yellow"/>
        </w:rPr>
        <w:t xml:space="preserve"> then only 20</w:t>
      </w:r>
      <w:r w:rsidRPr="004156F0" w:rsidR="004A3C9B">
        <w:rPr>
          <w:rFonts w:ascii="Times New Roman" w:hAnsi="Times New Roman" w:eastAsia="Times New Roman" w:cs="Times New Roman"/>
          <w:sz w:val="24"/>
          <w:szCs w:val="24"/>
          <w:highlight w:val="yellow"/>
        </w:rPr>
        <w:t>20</w:t>
      </w:r>
      <w:r w:rsidRPr="004156F0">
        <w:rPr>
          <w:rFonts w:ascii="Times New Roman" w:hAnsi="Times New Roman" w:eastAsia="Times New Roman" w:cs="Times New Roman"/>
          <w:sz w:val="24"/>
          <w:szCs w:val="24"/>
          <w:highlight w:val="yellow"/>
        </w:rPr>
        <w:t xml:space="preserve"> information will be requested for subsequent questions to reduce respondent burden and to maximize data quality.</w:t>
      </w:r>
      <w:r w:rsidRPr="008262C5">
        <w:rPr>
          <w:rFonts w:ascii="Times New Roman" w:hAnsi="Times New Roman" w:eastAsia="Times New Roman" w:cs="Times New Roman"/>
          <w:sz w:val="24"/>
          <w:szCs w:val="24"/>
        </w:rPr>
        <w:t xml:space="preserve"> </w:t>
      </w:r>
    </w:p>
    <w:p w:rsidRPr="008262C5" w:rsidR="008262C5" w:rsidP="008262C5" w:rsidRDefault="008262C5" w14:paraId="4A17049D" w14:textId="77777777">
      <w:pPr>
        <w:numPr>
          <w:ilvl w:val="1"/>
          <w:numId w:val="6"/>
        </w:numPr>
        <w:autoSpaceDE w:val="0"/>
        <w:autoSpaceDN w:val="0"/>
        <w:adjustRightInd w:val="0"/>
        <w:spacing w:after="0" w:line="240" w:lineRule="auto"/>
        <w:rPr>
          <w:rFonts w:ascii="Times New Roman" w:hAnsi="Times New Roman" w:eastAsia="Times New Roman" w:cs="Times New Roman"/>
          <w:sz w:val="24"/>
          <w:szCs w:val="24"/>
        </w:rPr>
      </w:pPr>
      <w:r w:rsidRPr="008262C5">
        <w:rPr>
          <w:rFonts w:ascii="Times New Roman" w:hAnsi="Times New Roman" w:eastAsia="Times New Roman" w:cs="Times New Roman"/>
          <w:sz w:val="24"/>
          <w:szCs w:val="24"/>
        </w:rPr>
        <w:t>The MOPS-HP asks who was aware of the hospital-wide goals for patient care and financial goals (Q10, Q13). Initially respondents were asked to check all that apply from options for senior non-clinical managers (Chief Financial Officer, Chief Executive Officer), senior clinical managers (Chief Nursing Officer, Chief Medical Officer), department chiefs/nurse managers, and frontline clinical staff. However, we added options for the board of directors and/or hospital president as well as non-clinical staff based on respondents’ suggestions.</w:t>
      </w:r>
    </w:p>
    <w:p w:rsidRPr="008262C5" w:rsidR="008262C5" w:rsidP="008262C5" w:rsidRDefault="008262C5" w14:paraId="7018E0B6" w14:textId="77777777">
      <w:pPr>
        <w:numPr>
          <w:ilvl w:val="1"/>
          <w:numId w:val="6"/>
        </w:numPr>
        <w:autoSpaceDE w:val="0"/>
        <w:autoSpaceDN w:val="0"/>
        <w:adjustRightInd w:val="0"/>
        <w:spacing w:after="0" w:line="240" w:lineRule="auto"/>
        <w:rPr>
          <w:rFonts w:ascii="Times New Roman" w:hAnsi="Times New Roman" w:eastAsia="Times New Roman" w:cs="Times New Roman"/>
          <w:sz w:val="24"/>
          <w:szCs w:val="24"/>
        </w:rPr>
      </w:pPr>
      <w:r w:rsidRPr="008262C5">
        <w:rPr>
          <w:rFonts w:ascii="Times New Roman" w:hAnsi="Times New Roman" w:eastAsia="Times New Roman" w:cs="Times New Roman"/>
          <w:sz w:val="24"/>
          <w:szCs w:val="24"/>
        </w:rPr>
        <w:t>Following feedback from testing, one additional response option was added for questions on how problems with patient care delivery are addressed – “We tried to fix it, but did not remediate the problem” (Q20, Q21).</w:t>
      </w:r>
    </w:p>
    <w:p w:rsidRPr="008262C5" w:rsidR="008262C5" w:rsidP="008262C5" w:rsidRDefault="008262C5" w14:paraId="0571929E" w14:textId="77777777">
      <w:pPr>
        <w:numPr>
          <w:ilvl w:val="1"/>
          <w:numId w:val="6"/>
        </w:numPr>
        <w:autoSpaceDE w:val="0"/>
        <w:autoSpaceDN w:val="0"/>
        <w:adjustRightInd w:val="0"/>
        <w:spacing w:after="0" w:line="240" w:lineRule="auto"/>
        <w:rPr>
          <w:rFonts w:ascii="Times New Roman" w:hAnsi="Times New Roman" w:eastAsia="Times New Roman" w:cs="Times New Roman"/>
          <w:sz w:val="24"/>
          <w:szCs w:val="24"/>
        </w:rPr>
      </w:pPr>
      <w:r w:rsidRPr="008262C5">
        <w:rPr>
          <w:rFonts w:ascii="Times New Roman" w:hAnsi="Times New Roman" w:eastAsia="Times New Roman" w:cs="Times New Roman"/>
          <w:sz w:val="24"/>
          <w:szCs w:val="24"/>
        </w:rPr>
        <w:t xml:space="preserve">The quality of the MOPS-HP’s management training response options benefited from both rounds of cognitive testing (Q22). Initially the only graduate-level training program listed in the responses was a Master of Business Administration (MBA). After round 1, an option for a Masters’ program in health care administration was added but found to be insufficient for measuring the many advanced degree programs found among CNOs. For example, CNOs may have a Master of Science in Nursing, a Master of Health Administration, a Master of Healthcare Management, or an MBA. Rather than trying to develop an exhaustive list of names for non-MBA programs, the final wording refers to “other graduate-level degree programs lasting at least one year or more full-time that included management coursework”. </w:t>
      </w:r>
    </w:p>
    <w:p w:rsidRPr="008262C5" w:rsidR="008262C5" w:rsidP="008262C5" w:rsidRDefault="008262C5" w14:paraId="71126B79" w14:textId="77777777">
      <w:pPr>
        <w:numPr>
          <w:ilvl w:val="1"/>
          <w:numId w:val="6"/>
        </w:numPr>
        <w:autoSpaceDE w:val="0"/>
        <w:autoSpaceDN w:val="0"/>
        <w:adjustRightInd w:val="0"/>
        <w:spacing w:after="0" w:line="240" w:lineRule="auto"/>
        <w:rPr>
          <w:rFonts w:ascii="Times New Roman" w:hAnsi="Times New Roman" w:eastAsia="Times New Roman" w:cs="Times New Roman"/>
          <w:sz w:val="24"/>
          <w:szCs w:val="24"/>
        </w:rPr>
      </w:pPr>
      <w:r w:rsidRPr="008262C5">
        <w:rPr>
          <w:rFonts w:ascii="Times New Roman" w:hAnsi="Times New Roman" w:eastAsia="Times New Roman" w:cs="Times New Roman"/>
          <w:sz w:val="24"/>
          <w:szCs w:val="24"/>
        </w:rPr>
        <w:t>When asked about the management of team interactions, respondents suggested adding the board of directors to the possible responses (Q23, Q28). Along with this addition, the responses listing clinical staff were also edited to move away from terms such as “department chiefs/nurse managers, physicians, nurses, and other support staff”. The final response options include: “Board of Directors and/or President,” “Senior clinical managers”, “Clinical Managers”, “Non-clinical managers”, “Providers”, and “Frontline clinical workers”.</w:t>
      </w:r>
    </w:p>
    <w:p w:rsidRPr="008262C5" w:rsidR="008262C5" w:rsidP="008262C5" w:rsidRDefault="008262C5" w14:paraId="6AB1E403" w14:textId="77777777">
      <w:pPr>
        <w:numPr>
          <w:ilvl w:val="1"/>
          <w:numId w:val="6"/>
        </w:numPr>
        <w:autoSpaceDE w:val="0"/>
        <w:autoSpaceDN w:val="0"/>
        <w:adjustRightInd w:val="0"/>
        <w:spacing w:after="0" w:line="240" w:lineRule="auto"/>
        <w:rPr>
          <w:rFonts w:ascii="Times New Roman" w:hAnsi="Times New Roman" w:eastAsia="Times New Roman" w:cs="Times New Roman"/>
          <w:sz w:val="24"/>
          <w:szCs w:val="24"/>
        </w:rPr>
      </w:pPr>
      <w:r w:rsidRPr="008262C5">
        <w:rPr>
          <w:rFonts w:ascii="Times New Roman" w:hAnsi="Times New Roman" w:eastAsia="Times New Roman" w:cs="Times New Roman"/>
          <w:sz w:val="24"/>
          <w:szCs w:val="24"/>
        </w:rPr>
        <w:t>When asked how work was allocated to the hospital’s clinical staff, respondents during testing suggested that the list of possible responses be expanded beyond just senior managers (Chief Nursing Officer, Chief Medical Officer) and department chiefs/nurse managers (Q29). The revised responses for round 2 included senior clinical managers, clinical managers, physicians, and FCWs. As noted elsewhere, the term physicians were replaced with providers after round 2, and responses were added for senior non-clinical managers (Chief Executive Officer, Chief Financial Officer, and Chief Operating Officer) and non-clinical managers.</w:t>
      </w:r>
    </w:p>
    <w:p w:rsidRPr="008262C5" w:rsidR="008262C5" w:rsidP="008262C5" w:rsidRDefault="008262C5" w14:paraId="20109357" w14:textId="77777777">
      <w:pPr>
        <w:numPr>
          <w:ilvl w:val="1"/>
          <w:numId w:val="6"/>
        </w:numPr>
        <w:autoSpaceDE w:val="0"/>
        <w:autoSpaceDN w:val="0"/>
        <w:adjustRightInd w:val="0"/>
        <w:spacing w:after="0" w:line="240" w:lineRule="auto"/>
        <w:rPr>
          <w:rFonts w:ascii="Times New Roman" w:hAnsi="Times New Roman" w:eastAsia="Times New Roman" w:cs="Times New Roman"/>
          <w:sz w:val="24"/>
          <w:szCs w:val="24"/>
        </w:rPr>
      </w:pPr>
      <w:r w:rsidRPr="008262C5">
        <w:rPr>
          <w:rFonts w:ascii="Times New Roman" w:hAnsi="Times New Roman" w:eastAsia="Times New Roman" w:cs="Times New Roman"/>
          <w:sz w:val="24"/>
          <w:szCs w:val="24"/>
        </w:rPr>
        <w:t xml:space="preserve">When asking about the hospital’s actions when providers incompletely document in patients’ medical records, new response options were suggested during testing (Q38). These included: “Required provider to meet with compliance office” and “Required </w:t>
      </w:r>
      <w:r w:rsidRPr="008262C5">
        <w:rPr>
          <w:rFonts w:ascii="Times New Roman" w:hAnsi="Times New Roman" w:eastAsia="Times New Roman" w:cs="Times New Roman"/>
          <w:sz w:val="24"/>
          <w:szCs w:val="24"/>
        </w:rPr>
        <w:lastRenderedPageBreak/>
        <w:t xml:space="preserve">provider to undergo peer review” (e.g., by the hospital’s medical staff). A response for “Required provider to meet with other staff not listed above” has been added to include individuals from medical records, health information departments, and/or clinical documentation experts that may carry different titles across hospitals. Cognitive testing also led to a suggested response option for “Provider was penalized financially”, which some respondents thought could be suspensions or removal of admitting privileges. Some of the original responses also required some editing based on respondent feedback. For example, rather than requiring providers to meet with hospital administrators, we were advised to replace this with “Hospital senior managers or supervisors”. </w:t>
      </w:r>
    </w:p>
    <w:p w:rsidRPr="008262C5" w:rsidR="008262C5" w:rsidP="008262C5" w:rsidRDefault="008262C5" w14:paraId="36F13E4F" w14:textId="77777777">
      <w:pPr>
        <w:autoSpaceDE w:val="0"/>
        <w:autoSpaceDN w:val="0"/>
        <w:adjustRightInd w:val="0"/>
        <w:spacing w:after="0" w:line="240" w:lineRule="auto"/>
        <w:rPr>
          <w:rFonts w:ascii="Times New Roman" w:hAnsi="Times New Roman" w:eastAsia="Times New Roman" w:cs="Times New Roman"/>
          <w:sz w:val="24"/>
          <w:szCs w:val="24"/>
        </w:rPr>
      </w:pPr>
    </w:p>
    <w:p w:rsidRPr="008262C5" w:rsidR="008262C5" w:rsidP="008262C5" w:rsidRDefault="008262C5" w14:paraId="19BD2819" w14:textId="77777777">
      <w:pPr>
        <w:autoSpaceDE w:val="0"/>
        <w:autoSpaceDN w:val="0"/>
        <w:adjustRightInd w:val="0"/>
        <w:spacing w:after="0" w:line="240" w:lineRule="auto"/>
        <w:rPr>
          <w:rFonts w:ascii="Times New Roman" w:hAnsi="Times New Roman" w:eastAsia="Times New Roman" w:cs="Times New Roman"/>
          <w:sz w:val="24"/>
          <w:szCs w:val="24"/>
        </w:rPr>
      </w:pPr>
    </w:p>
    <w:p w:rsidRPr="008262C5" w:rsidR="008262C5" w:rsidP="008262C5" w:rsidRDefault="008262C5" w14:paraId="08B7FEFB" w14:textId="77777777">
      <w:pPr>
        <w:numPr>
          <w:ilvl w:val="0"/>
          <w:numId w:val="6"/>
        </w:numPr>
        <w:autoSpaceDE w:val="0"/>
        <w:autoSpaceDN w:val="0"/>
        <w:adjustRightInd w:val="0"/>
        <w:spacing w:after="0" w:line="240" w:lineRule="auto"/>
        <w:rPr>
          <w:rFonts w:ascii="Times New Roman" w:hAnsi="Times New Roman" w:eastAsia="Times New Roman" w:cs="Times New Roman"/>
          <w:i/>
          <w:sz w:val="24"/>
          <w:szCs w:val="24"/>
        </w:rPr>
      </w:pPr>
      <w:r w:rsidRPr="008262C5">
        <w:rPr>
          <w:rFonts w:ascii="Times New Roman" w:hAnsi="Times New Roman" w:eastAsia="Times New Roman" w:cs="Times New Roman"/>
          <w:i/>
          <w:sz w:val="24"/>
          <w:szCs w:val="24"/>
        </w:rPr>
        <w:t>Adding Questions</w:t>
      </w:r>
    </w:p>
    <w:p w:rsidRPr="008262C5" w:rsidR="008262C5" w:rsidP="008262C5" w:rsidRDefault="008262C5" w14:paraId="15BDA9FE" w14:textId="77777777">
      <w:pPr>
        <w:numPr>
          <w:ilvl w:val="1"/>
          <w:numId w:val="6"/>
        </w:numPr>
        <w:autoSpaceDE w:val="0"/>
        <w:autoSpaceDN w:val="0"/>
        <w:adjustRightInd w:val="0"/>
        <w:spacing w:after="0" w:line="240" w:lineRule="auto"/>
        <w:rPr>
          <w:rFonts w:ascii="Times New Roman" w:hAnsi="Times New Roman" w:eastAsia="Times New Roman" w:cs="Times New Roman"/>
          <w:sz w:val="24"/>
          <w:szCs w:val="24"/>
        </w:rPr>
      </w:pPr>
      <w:r w:rsidRPr="008262C5">
        <w:rPr>
          <w:rFonts w:ascii="Times New Roman" w:hAnsi="Times New Roman" w:eastAsia="Times New Roman" w:cs="Times New Roman"/>
          <w:sz w:val="24"/>
          <w:szCs w:val="24"/>
        </w:rPr>
        <w:t xml:space="preserve">Respondents frequently commented that various management practices can differ for providers and FCWs. For example, since some providers may not be employed by the hospital and instead have other contractual arrangements, respondents stressed the importance of asking the question about underperformance separately for providers and FCWs as responses may vary for employees versus contractors (Q18-19).  Similarly, separate questions are asked on management practices for when clinical key performance indicators are provided (Q5-6), providers and FCWs are promoted (Q15-16), and problems with patient care delivery are addressed (Q20-21).       </w:t>
      </w:r>
    </w:p>
    <w:p w:rsidRPr="008262C5" w:rsidR="00A67299" w:rsidP="00892554" w:rsidRDefault="002A10F6" w14:paraId="34523309" w14:textId="675F18B5">
      <w:pPr>
        <w:numPr>
          <w:ilvl w:val="1"/>
          <w:numId w:val="6"/>
        </w:numPr>
        <w:autoSpaceDE w:val="0"/>
        <w:autoSpaceDN w:val="0"/>
        <w:adjustRightInd w:val="0"/>
        <w:spacing w:after="0" w:line="240" w:lineRule="auto"/>
        <w:rPr>
          <w:rFonts w:ascii="Times New Roman" w:hAnsi="Times New Roman" w:eastAsia="Times New Roman" w:cs="Times New Roman"/>
          <w:sz w:val="24"/>
          <w:szCs w:val="24"/>
        </w:rPr>
      </w:pPr>
      <w:r w:rsidRPr="002A10F6">
        <w:rPr>
          <w:rFonts w:ascii="Times New Roman" w:hAnsi="Times New Roman" w:eastAsia="Times New Roman" w:cs="Times New Roman"/>
          <w:sz w:val="24"/>
          <w:szCs w:val="24"/>
        </w:rPr>
        <w:t xml:space="preserve">Following communications between the testing staff, survey director, </w:t>
      </w:r>
      <w:r w:rsidR="0077264A">
        <w:rPr>
          <w:rFonts w:ascii="Times New Roman" w:hAnsi="Times New Roman" w:eastAsia="Times New Roman" w:cs="Times New Roman"/>
          <w:sz w:val="24"/>
          <w:szCs w:val="24"/>
        </w:rPr>
        <w:t xml:space="preserve">and </w:t>
      </w:r>
      <w:r w:rsidRPr="002A10F6">
        <w:rPr>
          <w:rFonts w:ascii="Times New Roman" w:hAnsi="Times New Roman" w:eastAsia="Times New Roman" w:cs="Times New Roman"/>
          <w:sz w:val="24"/>
          <w:szCs w:val="24"/>
        </w:rPr>
        <w:t xml:space="preserve">survey </w:t>
      </w:r>
      <w:r w:rsidR="0077264A">
        <w:rPr>
          <w:rFonts w:ascii="Times New Roman" w:hAnsi="Times New Roman" w:eastAsia="Times New Roman" w:cs="Times New Roman"/>
          <w:sz w:val="24"/>
          <w:szCs w:val="24"/>
        </w:rPr>
        <w:t>partner</w:t>
      </w:r>
      <w:r w:rsidRPr="002A10F6">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two </w:t>
      </w:r>
      <w:r w:rsidRPr="00606616">
        <w:rPr>
          <w:rFonts w:ascii="Times New Roman" w:hAnsi="Times New Roman" w:eastAsia="Times New Roman" w:cs="Times New Roman"/>
          <w:sz w:val="24"/>
          <w:szCs w:val="24"/>
        </w:rPr>
        <w:t xml:space="preserve">questions </w:t>
      </w:r>
      <w:r>
        <w:rPr>
          <w:rFonts w:ascii="Times New Roman" w:hAnsi="Times New Roman" w:eastAsia="Times New Roman" w:cs="Times New Roman"/>
          <w:sz w:val="24"/>
          <w:szCs w:val="24"/>
        </w:rPr>
        <w:t>were added</w:t>
      </w:r>
      <w:r w:rsidRPr="00606616">
        <w:rPr>
          <w:rFonts w:ascii="Times New Roman" w:hAnsi="Times New Roman" w:eastAsia="Times New Roman" w:cs="Times New Roman"/>
          <w:sz w:val="24"/>
          <w:szCs w:val="24"/>
        </w:rPr>
        <w:t xml:space="preserve"> related to COVID-19 and hospitals’ ability to respond to shocks to their organization and the health care system</w:t>
      </w:r>
      <w:r>
        <w:rPr>
          <w:rFonts w:ascii="Times New Roman" w:hAnsi="Times New Roman" w:eastAsia="Times New Roman" w:cs="Times New Roman"/>
          <w:sz w:val="24"/>
          <w:szCs w:val="24"/>
        </w:rPr>
        <w:t xml:space="preserve"> (Q30 and Q36). Since this content was a late addition, the questions did not go through cognitive testing due to insufficient time.  In accordance with the Census Bureau’s Statistical Quality Standard A2, Developing Statistical Data Collection Instruments and Supporting Materials</w:t>
      </w:r>
      <w:r>
        <w:rPr>
          <w:rStyle w:val="FootnoteReference"/>
          <w:rFonts w:ascii="Times New Roman" w:hAnsi="Times New Roman" w:eastAsia="Times New Roman" w:cs="Times New Roman"/>
          <w:sz w:val="24"/>
          <w:szCs w:val="24"/>
        </w:rPr>
        <w:footnoteReference w:id="5"/>
      </w:r>
      <w:r w:rsidR="00892554">
        <w:rPr>
          <w:rFonts w:ascii="Times New Roman" w:hAnsi="Times New Roman" w:eastAsia="Times New Roman" w:cs="Times New Roman"/>
          <w:sz w:val="24"/>
          <w:szCs w:val="24"/>
        </w:rPr>
        <w:t xml:space="preserve">, the new content was reviewed independently by two cognitive experts at the Census Bureau. </w:t>
      </w:r>
      <w:r w:rsidRPr="00892554" w:rsidR="00892554">
        <w:rPr>
          <w:rFonts w:ascii="Times New Roman" w:hAnsi="Times New Roman" w:eastAsia="Times New Roman" w:cs="Times New Roman"/>
          <w:sz w:val="24"/>
          <w:szCs w:val="24"/>
        </w:rPr>
        <w:t>Subsequently, the cognitive reviewers, survey managers, and subject matter experts met to discuss the reviewers’ recommendations, seek clarifications, and collaboratively developed acceptable alternatives, upon which mutual agreement was reached.</w:t>
      </w:r>
      <w:r w:rsidR="00360AAE">
        <w:rPr>
          <w:rFonts w:ascii="Times New Roman" w:hAnsi="Times New Roman" w:eastAsia="Times New Roman" w:cs="Times New Roman"/>
          <w:sz w:val="24"/>
          <w:szCs w:val="24"/>
        </w:rPr>
        <w:t xml:space="preserve"> The expert reviews and a summary of the discussion can be seen in Attachment H.</w:t>
      </w:r>
    </w:p>
    <w:p w:rsidRPr="008262C5" w:rsidR="008262C5" w:rsidP="008262C5" w:rsidRDefault="008262C5" w14:paraId="37F8545B" w14:textId="77777777">
      <w:pPr>
        <w:autoSpaceDE w:val="0"/>
        <w:autoSpaceDN w:val="0"/>
        <w:adjustRightInd w:val="0"/>
        <w:spacing w:after="0" w:line="240" w:lineRule="auto"/>
        <w:rPr>
          <w:rFonts w:ascii="Times New Roman" w:hAnsi="Times New Roman" w:eastAsia="Times New Roman" w:cs="Times New Roman"/>
          <w:sz w:val="24"/>
          <w:szCs w:val="24"/>
        </w:rPr>
      </w:pPr>
    </w:p>
    <w:p w:rsidRPr="008262C5" w:rsidR="008262C5" w:rsidP="008262C5" w:rsidRDefault="008262C5" w14:paraId="4CC90937" w14:textId="77777777">
      <w:pPr>
        <w:numPr>
          <w:ilvl w:val="0"/>
          <w:numId w:val="6"/>
        </w:numPr>
        <w:autoSpaceDE w:val="0"/>
        <w:autoSpaceDN w:val="0"/>
        <w:adjustRightInd w:val="0"/>
        <w:spacing w:after="0" w:line="240" w:lineRule="auto"/>
        <w:rPr>
          <w:rFonts w:ascii="Times New Roman" w:hAnsi="Times New Roman" w:eastAsia="Times New Roman" w:cs="Times New Roman"/>
          <w:i/>
          <w:sz w:val="24"/>
          <w:szCs w:val="24"/>
        </w:rPr>
      </w:pPr>
      <w:r w:rsidRPr="008262C5">
        <w:rPr>
          <w:rFonts w:ascii="Times New Roman" w:hAnsi="Times New Roman" w:eastAsia="Times New Roman" w:cs="Times New Roman"/>
          <w:i/>
          <w:sz w:val="24"/>
          <w:szCs w:val="24"/>
        </w:rPr>
        <w:t>Deleting Questions</w:t>
      </w:r>
    </w:p>
    <w:p w:rsidRPr="008262C5" w:rsidR="008262C5" w:rsidP="008262C5" w:rsidRDefault="008262C5" w14:paraId="57735ADF" w14:textId="77777777">
      <w:pPr>
        <w:numPr>
          <w:ilvl w:val="1"/>
          <w:numId w:val="6"/>
        </w:numPr>
        <w:autoSpaceDE w:val="0"/>
        <w:autoSpaceDN w:val="0"/>
        <w:adjustRightInd w:val="0"/>
        <w:spacing w:after="0" w:line="240" w:lineRule="auto"/>
        <w:rPr>
          <w:rFonts w:ascii="Times New Roman" w:hAnsi="Times New Roman" w:eastAsia="Times New Roman" w:cs="Times New Roman"/>
          <w:sz w:val="24"/>
          <w:szCs w:val="24"/>
        </w:rPr>
      </w:pPr>
      <w:r w:rsidRPr="008262C5">
        <w:rPr>
          <w:rFonts w:ascii="Times New Roman" w:hAnsi="Times New Roman" w:eastAsia="Times New Roman" w:cs="Times New Roman"/>
          <w:sz w:val="24"/>
          <w:szCs w:val="24"/>
        </w:rPr>
        <w:t xml:space="preserve">In round 1 of cognitive testing, respondents were asked how many key performance indicators (KPIs) they monitored. They revealed that the number of KPIs could be in the hundreds or even the thousands thereby reducing the value of collecting these data and this question was dropped after round 1. </w:t>
      </w:r>
    </w:p>
    <w:p w:rsidRPr="008262C5" w:rsidR="008262C5" w:rsidP="008262C5" w:rsidRDefault="008262C5" w14:paraId="7F71F952" w14:textId="77777777">
      <w:pPr>
        <w:numPr>
          <w:ilvl w:val="1"/>
          <w:numId w:val="6"/>
        </w:numPr>
        <w:autoSpaceDE w:val="0"/>
        <w:autoSpaceDN w:val="0"/>
        <w:adjustRightInd w:val="0"/>
        <w:spacing w:after="0" w:line="240" w:lineRule="auto"/>
        <w:rPr>
          <w:rFonts w:ascii="Times New Roman" w:hAnsi="Times New Roman" w:eastAsia="Times New Roman" w:cs="Times New Roman"/>
          <w:sz w:val="24"/>
          <w:szCs w:val="24"/>
        </w:rPr>
      </w:pPr>
      <w:r w:rsidRPr="008262C5">
        <w:rPr>
          <w:rFonts w:ascii="Times New Roman" w:hAnsi="Times New Roman" w:eastAsia="Times New Roman" w:cs="Times New Roman"/>
          <w:sz w:val="24"/>
          <w:szCs w:val="24"/>
        </w:rPr>
        <w:t xml:space="preserve">Respondents were asked for the hospital’s typical “nurse to patient ratio” and the typical “medical assistant to patient ratio” during round 1 of testing. These two questions were subsequently dropped, since respondents explained these ratios could differ by </w:t>
      </w:r>
      <w:proofErr w:type="gramStart"/>
      <w:r w:rsidRPr="008262C5">
        <w:rPr>
          <w:rFonts w:ascii="Times New Roman" w:hAnsi="Times New Roman" w:eastAsia="Times New Roman" w:cs="Times New Roman"/>
          <w:sz w:val="24"/>
          <w:szCs w:val="24"/>
        </w:rPr>
        <w:t>a number of</w:t>
      </w:r>
      <w:proofErr w:type="gramEnd"/>
      <w:r w:rsidRPr="008262C5">
        <w:rPr>
          <w:rFonts w:ascii="Times New Roman" w:hAnsi="Times New Roman" w:eastAsia="Times New Roman" w:cs="Times New Roman"/>
          <w:sz w:val="24"/>
          <w:szCs w:val="24"/>
        </w:rPr>
        <w:t xml:space="preserve"> factors, including budgetary reasons and/or patient acuity which can differ by hospital unit or by day. Respondents also advised that an average ratio </w:t>
      </w:r>
      <w:r w:rsidRPr="008262C5">
        <w:rPr>
          <w:rFonts w:ascii="Times New Roman" w:hAnsi="Times New Roman" w:eastAsia="Times New Roman" w:cs="Times New Roman"/>
          <w:sz w:val="24"/>
          <w:szCs w:val="24"/>
        </w:rPr>
        <w:lastRenderedPageBreak/>
        <w:t xml:space="preserve">would not be </w:t>
      </w:r>
      <w:proofErr w:type="gramStart"/>
      <w:r w:rsidRPr="008262C5">
        <w:rPr>
          <w:rFonts w:ascii="Times New Roman" w:hAnsi="Times New Roman" w:eastAsia="Times New Roman" w:cs="Times New Roman"/>
          <w:sz w:val="24"/>
          <w:szCs w:val="24"/>
        </w:rPr>
        <w:t>representative</w:t>
      </w:r>
      <w:proofErr w:type="gramEnd"/>
      <w:r w:rsidRPr="008262C5">
        <w:rPr>
          <w:rFonts w:ascii="Times New Roman" w:hAnsi="Times New Roman" w:eastAsia="Times New Roman" w:cs="Times New Roman"/>
          <w:sz w:val="24"/>
          <w:szCs w:val="24"/>
        </w:rPr>
        <w:t xml:space="preserve"> and these data would be difficult if not impossible to report.</w:t>
      </w:r>
    </w:p>
    <w:p w:rsidRPr="008262C5" w:rsidR="008262C5" w:rsidP="008262C5" w:rsidRDefault="008262C5" w14:paraId="5276B699" w14:textId="77777777">
      <w:pPr>
        <w:numPr>
          <w:ilvl w:val="1"/>
          <w:numId w:val="6"/>
        </w:numPr>
        <w:autoSpaceDE w:val="0"/>
        <w:autoSpaceDN w:val="0"/>
        <w:adjustRightInd w:val="0"/>
        <w:spacing w:after="0" w:line="240" w:lineRule="auto"/>
        <w:rPr>
          <w:rFonts w:ascii="Times New Roman" w:hAnsi="Times New Roman" w:eastAsia="Times New Roman" w:cs="Times New Roman"/>
          <w:sz w:val="24"/>
          <w:szCs w:val="24"/>
        </w:rPr>
      </w:pPr>
      <w:r w:rsidRPr="008262C5">
        <w:rPr>
          <w:rFonts w:ascii="Times New Roman" w:hAnsi="Times New Roman" w:eastAsia="Times New Roman" w:cs="Times New Roman"/>
          <w:sz w:val="24"/>
          <w:szCs w:val="24"/>
        </w:rPr>
        <w:t xml:space="preserve">The MOPS-HP asked respondents how many standardized clinical protocols were used at the hospital during round 1 of cognitive testing. However, many respondents explained that these existed anywhere in the hospital that standard definitions for providing patient care existed and could be specific to multiple departments. They advised that the number of protocols could be in the hundreds if not the thousands and even estimates would be difficult to report. Since the interest was in whether a hospital used </w:t>
      </w:r>
      <w:r w:rsidRPr="008262C5">
        <w:rPr>
          <w:rFonts w:ascii="Times New Roman" w:hAnsi="Times New Roman" w:eastAsia="Times New Roman" w:cs="Times New Roman"/>
          <w:i/>
          <w:sz w:val="24"/>
          <w:szCs w:val="24"/>
        </w:rPr>
        <w:t>any</w:t>
      </w:r>
      <w:r w:rsidRPr="008262C5">
        <w:rPr>
          <w:rFonts w:ascii="Times New Roman" w:hAnsi="Times New Roman" w:eastAsia="Times New Roman" w:cs="Times New Roman"/>
          <w:sz w:val="24"/>
          <w:szCs w:val="24"/>
        </w:rPr>
        <w:t xml:space="preserve"> protocols, and cognitive testing revealed that for respondent hospitals this was always the case, this question was dropped. </w:t>
      </w:r>
    </w:p>
    <w:p w:rsidR="008262C5" w:rsidP="008262C5" w:rsidRDefault="008262C5" w14:paraId="2F47F682" w14:textId="253986E4">
      <w:pPr>
        <w:numPr>
          <w:ilvl w:val="1"/>
          <w:numId w:val="6"/>
        </w:numPr>
        <w:autoSpaceDE w:val="0"/>
        <w:autoSpaceDN w:val="0"/>
        <w:adjustRightInd w:val="0"/>
        <w:spacing w:after="0" w:line="240" w:lineRule="auto"/>
        <w:rPr>
          <w:rFonts w:ascii="Times New Roman" w:hAnsi="Times New Roman" w:eastAsia="Times New Roman" w:cs="Times New Roman"/>
          <w:sz w:val="24"/>
          <w:szCs w:val="24"/>
        </w:rPr>
      </w:pPr>
      <w:r w:rsidRPr="008262C5">
        <w:rPr>
          <w:rFonts w:ascii="Times New Roman" w:hAnsi="Times New Roman" w:eastAsia="Times New Roman" w:cs="Times New Roman"/>
          <w:sz w:val="24"/>
          <w:szCs w:val="24"/>
        </w:rPr>
        <w:t xml:space="preserve">After round 1, the question asking whether FCWs were aware of documenting key words for reimbursement was dropped. This question tested </w:t>
      </w:r>
      <w:proofErr w:type="gramStart"/>
      <w:r w:rsidRPr="008262C5">
        <w:rPr>
          <w:rFonts w:ascii="Times New Roman" w:hAnsi="Times New Roman" w:eastAsia="Times New Roman" w:cs="Times New Roman"/>
          <w:sz w:val="24"/>
          <w:szCs w:val="24"/>
        </w:rPr>
        <w:t>poorly</w:t>
      </w:r>
      <w:proofErr w:type="gramEnd"/>
      <w:r w:rsidRPr="008262C5">
        <w:rPr>
          <w:rFonts w:ascii="Times New Roman" w:hAnsi="Times New Roman" w:eastAsia="Times New Roman" w:cs="Times New Roman"/>
          <w:sz w:val="24"/>
          <w:szCs w:val="24"/>
        </w:rPr>
        <w:t xml:space="preserve"> and respondents advised that FCWs in the hospital generally do not document nor code medical records. </w:t>
      </w:r>
    </w:p>
    <w:p w:rsidR="008262C5" w:rsidP="00986262" w:rsidRDefault="008262C5" w14:paraId="3EC9B2E5" w14:textId="38AF85D0">
      <w:pPr>
        <w:numPr>
          <w:ilvl w:val="1"/>
          <w:numId w:val="6"/>
        </w:numPr>
        <w:autoSpaceDE w:val="0"/>
        <w:autoSpaceDN w:val="0"/>
        <w:adjustRightInd w:val="0"/>
        <w:spacing w:after="0" w:line="240" w:lineRule="auto"/>
        <w:rPr>
          <w:rFonts w:ascii="Times New Roman" w:hAnsi="Times New Roman" w:eastAsia="Times New Roman" w:cs="Times New Roman"/>
          <w:sz w:val="24"/>
          <w:szCs w:val="24"/>
        </w:rPr>
      </w:pPr>
      <w:r w:rsidRPr="008262C5">
        <w:rPr>
          <w:rFonts w:ascii="Times New Roman" w:hAnsi="Times New Roman" w:eastAsia="Times New Roman" w:cs="Times New Roman"/>
          <w:sz w:val="24"/>
          <w:szCs w:val="24"/>
        </w:rPr>
        <w:t xml:space="preserve">After round 2, a question asking who interacted with systems and tools used for documenting patient medical records was dropped. Many tested respondents interpreted systems and tools as being electronic health </w:t>
      </w:r>
      <w:proofErr w:type="gramStart"/>
      <w:r w:rsidRPr="008262C5">
        <w:rPr>
          <w:rFonts w:ascii="Times New Roman" w:hAnsi="Times New Roman" w:eastAsia="Times New Roman" w:cs="Times New Roman"/>
          <w:sz w:val="24"/>
          <w:szCs w:val="24"/>
        </w:rPr>
        <w:t>records, but</w:t>
      </w:r>
      <w:proofErr w:type="gramEnd"/>
      <w:r w:rsidRPr="008262C5">
        <w:rPr>
          <w:rFonts w:ascii="Times New Roman" w:hAnsi="Times New Roman" w:eastAsia="Times New Roman" w:cs="Times New Roman"/>
          <w:sz w:val="24"/>
          <w:szCs w:val="24"/>
        </w:rPr>
        <w:t xml:space="preserve"> indicated the collected data would show little variation since most clinical staff interacted with these systems and tools.   </w:t>
      </w:r>
    </w:p>
    <w:p w:rsidR="00606616" w:rsidP="00606616" w:rsidRDefault="00606616" w14:paraId="40AD5DBF" w14:textId="329A6FA7">
      <w:pPr>
        <w:numPr>
          <w:ilvl w:val="1"/>
          <w:numId w:val="6"/>
        </w:numPr>
        <w:autoSpaceDE w:val="0"/>
        <w:autoSpaceDN w:val="0"/>
        <w:adjustRightInd w:val="0"/>
        <w:spacing w:after="0" w:line="240" w:lineRule="auto"/>
        <w:rPr>
          <w:rFonts w:ascii="Times New Roman" w:hAnsi="Times New Roman" w:eastAsia="Times New Roman" w:cs="Times New Roman"/>
          <w:sz w:val="24"/>
          <w:szCs w:val="24"/>
        </w:rPr>
      </w:pPr>
      <w:r w:rsidRPr="00606616">
        <w:rPr>
          <w:rFonts w:ascii="Times New Roman" w:hAnsi="Times New Roman" w:eastAsia="Times New Roman" w:cs="Times New Roman"/>
          <w:sz w:val="24"/>
          <w:szCs w:val="24"/>
        </w:rPr>
        <w:t>With the late addition of two questions in the MOPS-HP content related to COVID-19 and hospitals’ ability to respond to shocks to their organization and the health care system</w:t>
      </w:r>
      <w:r>
        <w:rPr>
          <w:rFonts w:ascii="Times New Roman" w:hAnsi="Times New Roman" w:eastAsia="Times New Roman" w:cs="Times New Roman"/>
          <w:sz w:val="24"/>
          <w:szCs w:val="24"/>
        </w:rPr>
        <w:t xml:space="preserve"> (Q30 and Q36)</w:t>
      </w:r>
      <w:r w:rsidRPr="00606616">
        <w:rPr>
          <w:rFonts w:ascii="Times New Roman" w:hAnsi="Times New Roman" w:eastAsia="Times New Roman" w:cs="Times New Roman"/>
          <w:sz w:val="24"/>
          <w:szCs w:val="24"/>
        </w:rPr>
        <w:t xml:space="preserve">, adjustments were made to keep the total </w:t>
      </w:r>
      <w:r>
        <w:rPr>
          <w:rFonts w:ascii="Times New Roman" w:hAnsi="Times New Roman" w:eastAsia="Times New Roman" w:cs="Times New Roman"/>
          <w:sz w:val="24"/>
          <w:szCs w:val="24"/>
        </w:rPr>
        <w:t xml:space="preserve">number of questions unchanged. </w:t>
      </w:r>
      <w:proofErr w:type="gramStart"/>
      <w:r w:rsidRPr="00606616">
        <w:rPr>
          <w:rFonts w:ascii="Times New Roman" w:hAnsi="Times New Roman" w:eastAsia="Times New Roman" w:cs="Times New Roman"/>
          <w:sz w:val="24"/>
          <w:szCs w:val="24"/>
        </w:rPr>
        <w:t>In an effort to</w:t>
      </w:r>
      <w:proofErr w:type="gramEnd"/>
      <w:r w:rsidRPr="00606616">
        <w:rPr>
          <w:rFonts w:ascii="Times New Roman" w:hAnsi="Times New Roman" w:eastAsia="Times New Roman" w:cs="Times New Roman"/>
          <w:sz w:val="24"/>
          <w:szCs w:val="24"/>
        </w:rPr>
        <w:t xml:space="preserve"> limit respondent burden wh</w:t>
      </w:r>
      <w:r>
        <w:rPr>
          <w:rFonts w:ascii="Times New Roman" w:hAnsi="Times New Roman" w:eastAsia="Times New Roman" w:cs="Times New Roman"/>
          <w:sz w:val="24"/>
          <w:szCs w:val="24"/>
        </w:rPr>
        <w:t>ile adding this content,</w:t>
      </w:r>
      <w:r w:rsidRPr="00606616">
        <w:rPr>
          <w:rFonts w:ascii="Times New Roman" w:hAnsi="Times New Roman" w:eastAsia="Times New Roman" w:cs="Times New Roman"/>
          <w:sz w:val="24"/>
          <w:szCs w:val="24"/>
        </w:rPr>
        <w:t xml:space="preserve"> discussion with the </w:t>
      </w:r>
      <w:r w:rsidR="00AE0CDE">
        <w:rPr>
          <w:rFonts w:ascii="Times New Roman" w:hAnsi="Times New Roman" w:eastAsia="Times New Roman" w:cs="Times New Roman"/>
          <w:sz w:val="24"/>
          <w:szCs w:val="24"/>
        </w:rPr>
        <w:t>survey partner</w:t>
      </w:r>
      <w:r w:rsidRPr="00606616">
        <w:rPr>
          <w:rFonts w:ascii="Times New Roman" w:hAnsi="Times New Roman" w:eastAsia="Times New Roman" w:cs="Times New Roman"/>
          <w:sz w:val="24"/>
          <w:szCs w:val="24"/>
        </w:rPr>
        <w:t xml:space="preserve"> led to removing two existing questions about the documentation of patients</w:t>
      </w:r>
      <w:r>
        <w:rPr>
          <w:rFonts w:ascii="Times New Roman" w:hAnsi="Times New Roman" w:eastAsia="Times New Roman" w:cs="Times New Roman"/>
          <w:sz w:val="24"/>
          <w:szCs w:val="24"/>
        </w:rPr>
        <w:t>’</w:t>
      </w:r>
      <w:r w:rsidRPr="00606616">
        <w:rPr>
          <w:rFonts w:ascii="Times New Roman" w:hAnsi="Times New Roman" w:eastAsia="Times New Roman" w:cs="Times New Roman"/>
          <w:sz w:val="24"/>
          <w:szCs w:val="24"/>
        </w:rPr>
        <w:t xml:space="preserve"> medical records, specifically regarding training and response time to queries. </w:t>
      </w:r>
    </w:p>
    <w:p w:rsidR="008262C5" w:rsidP="008262C5" w:rsidRDefault="008262C5" w14:paraId="7ED22025" w14:textId="77777777">
      <w:pPr>
        <w:autoSpaceDE w:val="0"/>
        <w:autoSpaceDN w:val="0"/>
        <w:adjustRightInd w:val="0"/>
        <w:spacing w:after="0" w:line="240" w:lineRule="auto"/>
        <w:rPr>
          <w:rFonts w:ascii="Times New Roman" w:hAnsi="Times New Roman" w:eastAsia="Times New Roman" w:cs="Times New Roman"/>
          <w:sz w:val="24"/>
          <w:szCs w:val="24"/>
        </w:rPr>
      </w:pPr>
    </w:p>
    <w:p w:rsidR="00AE2F96" w:rsidP="008262C5" w:rsidRDefault="008262C5" w14:paraId="0CBDF90E" w14:textId="72E5FAD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Additionally, p</w:t>
      </w:r>
      <w:r w:rsidRPr="00555E8E" w:rsidR="00AE2F96">
        <w:rPr>
          <w:rFonts w:ascii="Times New Roman" w:hAnsi="Times New Roman" w:cs="Times New Roman"/>
          <w:sz w:val="24"/>
          <w:szCs w:val="24"/>
        </w:rPr>
        <w:t xml:space="preserve">rocedures in every phase of the MOPS-HP </w:t>
      </w:r>
      <w:r>
        <w:rPr>
          <w:rFonts w:ascii="Times New Roman" w:hAnsi="Times New Roman" w:cs="Times New Roman"/>
          <w:sz w:val="24"/>
          <w:szCs w:val="24"/>
        </w:rPr>
        <w:t xml:space="preserve">production </w:t>
      </w:r>
      <w:r w:rsidRPr="00555E8E" w:rsidR="00AE2F96">
        <w:rPr>
          <w:rFonts w:ascii="Times New Roman" w:hAnsi="Times New Roman" w:cs="Times New Roman"/>
          <w:sz w:val="24"/>
          <w:szCs w:val="24"/>
        </w:rPr>
        <w:t xml:space="preserve">will be tested – from mailout and data capture to editing and publication.   </w:t>
      </w:r>
    </w:p>
    <w:p w:rsidR="006255D7" w:rsidP="008262C5" w:rsidRDefault="006255D7" w14:paraId="7BD4C9DE" w14:textId="12CD6EA7">
      <w:pPr>
        <w:autoSpaceDE w:val="0"/>
        <w:autoSpaceDN w:val="0"/>
        <w:adjustRightInd w:val="0"/>
        <w:spacing w:after="0" w:line="240" w:lineRule="auto"/>
        <w:rPr>
          <w:rFonts w:ascii="Times New Roman" w:hAnsi="Times New Roman" w:cs="Times New Roman"/>
          <w:sz w:val="24"/>
          <w:szCs w:val="24"/>
        </w:rPr>
      </w:pPr>
    </w:p>
    <w:p w:rsidRPr="00555E8E" w:rsidR="00DA114E" w:rsidP="008262C5" w:rsidRDefault="00DA114E" w14:paraId="6E1ABAB5" w14:textId="77777777">
      <w:pPr>
        <w:autoSpaceDE w:val="0"/>
        <w:autoSpaceDN w:val="0"/>
        <w:adjustRightInd w:val="0"/>
        <w:spacing w:after="0" w:line="240" w:lineRule="auto"/>
        <w:rPr>
          <w:rFonts w:ascii="Times New Roman" w:hAnsi="Times New Roman" w:cs="Times New Roman"/>
          <w:sz w:val="24"/>
          <w:szCs w:val="24"/>
        </w:rPr>
      </w:pPr>
    </w:p>
    <w:p w:rsidR="00164F35" w:rsidP="00164F35" w:rsidRDefault="00164F35" w14:paraId="7C9E830A" w14:textId="2D5139AB">
      <w:pPr>
        <w:pStyle w:val="NormalWeb"/>
        <w:rPr>
          <w:color w:val="auto"/>
          <w:u w:val="single"/>
        </w:rPr>
      </w:pPr>
      <w:r w:rsidRPr="00555E8E">
        <w:rPr>
          <w:color w:val="auto"/>
          <w:u w:val="single"/>
        </w:rPr>
        <w:t>Question 5. Contacts for Statistical Aspects and Data Collection</w:t>
      </w:r>
    </w:p>
    <w:p w:rsidRPr="00555E8E" w:rsidR="006255D7" w:rsidP="00164F35" w:rsidRDefault="006255D7" w14:paraId="201E1DE1" w14:textId="77777777">
      <w:pPr>
        <w:pStyle w:val="NormalWeb"/>
        <w:rPr>
          <w:color w:val="auto"/>
        </w:rPr>
      </w:pPr>
    </w:p>
    <w:p w:rsidR="00AE2F96" w:rsidP="00164F35" w:rsidRDefault="00AE2F96" w14:paraId="1303AA2D" w14:textId="3E6D0287">
      <w:pPr>
        <w:pStyle w:val="NormalWeb"/>
        <w:rPr>
          <w:color w:val="auto"/>
        </w:rPr>
      </w:pPr>
      <w:r w:rsidRPr="00555E8E">
        <w:rPr>
          <w:color w:val="auto"/>
        </w:rPr>
        <w:t>Direct questions regarding the planning and implementation of this survey to Edward Watkins, U.S. Census Bureau, (301) 763-</w:t>
      </w:r>
      <w:r w:rsidRPr="00555E8E" w:rsidR="00B40919">
        <w:rPr>
          <w:color w:val="auto"/>
        </w:rPr>
        <w:t>4750</w:t>
      </w:r>
      <w:r w:rsidRPr="00555E8E">
        <w:rPr>
          <w:color w:val="auto"/>
        </w:rPr>
        <w:t xml:space="preserve"> or via email at Edward.E.Watkins.III@census.gov. Questions regarding survey methodology should be directed to Katrina Washington, U.S. Census Bureau, (301) 763-7212 or via email at Katrina.T.Washington@census.gov.</w:t>
      </w:r>
    </w:p>
    <w:p w:rsidRPr="00555E8E" w:rsidR="006255D7" w:rsidP="00164F35" w:rsidRDefault="006255D7" w14:paraId="7706BAF3" w14:textId="77777777">
      <w:pPr>
        <w:pStyle w:val="NormalWeb"/>
        <w:rPr>
          <w:color w:val="auto"/>
        </w:rPr>
      </w:pPr>
    </w:p>
    <w:p w:rsidRPr="00555E8E" w:rsidR="00164F35" w:rsidP="00F12611" w:rsidRDefault="00164F35" w14:paraId="5200816C" w14:textId="03C41107">
      <w:pPr>
        <w:pStyle w:val="NormalWeb"/>
        <w:rPr>
          <w:color w:val="auto"/>
        </w:rPr>
      </w:pPr>
      <w:bookmarkStart w:name="Attachments_to_the_Supporting_Statement" w:id="0"/>
      <w:bookmarkEnd w:id="0"/>
      <w:r w:rsidRPr="00555E8E">
        <w:rPr>
          <w:rStyle w:val="Strong"/>
          <w:color w:val="auto"/>
        </w:rPr>
        <w:t>Attachments to the Supporting Statement</w:t>
      </w:r>
      <w:r w:rsidRPr="00555E8E">
        <w:rPr>
          <w:color w:val="auto"/>
        </w:rPr>
        <w:t xml:space="preserve"> – </w:t>
      </w:r>
    </w:p>
    <w:p w:rsidR="00164F35" w:rsidP="00164F35" w:rsidRDefault="000D4CA4" w14:paraId="0EF04895" w14:textId="24D18522">
      <w:pPr>
        <w:pStyle w:val="NormalWeb"/>
        <w:rPr>
          <w:color w:val="auto"/>
        </w:rPr>
      </w:pPr>
      <w:r>
        <w:rPr>
          <w:color w:val="auto"/>
        </w:rPr>
        <w:t xml:space="preserve">Attachment A: </w:t>
      </w:r>
      <w:r w:rsidR="000C7802">
        <w:rPr>
          <w:color w:val="auto"/>
        </w:rPr>
        <w:t xml:space="preserve">MOPS-HP </w:t>
      </w:r>
      <w:r>
        <w:rPr>
          <w:color w:val="auto"/>
        </w:rPr>
        <w:t>Q</w:t>
      </w:r>
      <w:r w:rsidR="000C7802">
        <w:rPr>
          <w:color w:val="auto"/>
        </w:rPr>
        <w:t xml:space="preserve">uestionnaire </w:t>
      </w:r>
    </w:p>
    <w:p w:rsidR="00D61EC2" w:rsidP="00164F35" w:rsidRDefault="000D4CA4" w14:paraId="31D74560" w14:textId="1ADAE20C">
      <w:pPr>
        <w:pStyle w:val="NormalWeb"/>
        <w:rPr>
          <w:color w:val="auto"/>
        </w:rPr>
      </w:pPr>
      <w:r>
        <w:rPr>
          <w:color w:val="auto"/>
        </w:rPr>
        <w:lastRenderedPageBreak/>
        <w:t xml:space="preserve">Attachment B: </w:t>
      </w:r>
      <w:r w:rsidR="00D61EC2">
        <w:rPr>
          <w:color w:val="auto"/>
        </w:rPr>
        <w:t xml:space="preserve">MOPS-HP </w:t>
      </w:r>
      <w:r>
        <w:rPr>
          <w:color w:val="auto"/>
        </w:rPr>
        <w:t>C</w:t>
      </w:r>
      <w:r w:rsidR="00D61EC2">
        <w:rPr>
          <w:color w:val="auto"/>
        </w:rPr>
        <w:t xml:space="preserve">ontent </w:t>
      </w:r>
      <w:r>
        <w:rPr>
          <w:color w:val="auto"/>
        </w:rPr>
        <w:t>J</w:t>
      </w:r>
      <w:r w:rsidR="00D61EC2">
        <w:rPr>
          <w:color w:val="auto"/>
        </w:rPr>
        <w:t>ustification</w:t>
      </w:r>
    </w:p>
    <w:p w:rsidR="000D4CA4" w:rsidP="00164F35" w:rsidRDefault="000D4CA4" w14:paraId="5353921A" w14:textId="77777777">
      <w:pPr>
        <w:pStyle w:val="NormalWeb"/>
        <w:rPr>
          <w:color w:val="auto"/>
        </w:rPr>
      </w:pPr>
      <w:r>
        <w:rPr>
          <w:color w:val="auto"/>
        </w:rPr>
        <w:t>Attachment C: Initial Letter to Respondents</w:t>
      </w:r>
    </w:p>
    <w:p w:rsidR="00E470B6" w:rsidP="00164F35" w:rsidRDefault="000D4CA4" w14:paraId="675D6FD3" w14:textId="1A3FD248">
      <w:pPr>
        <w:pStyle w:val="NormalWeb"/>
        <w:rPr>
          <w:color w:val="auto"/>
        </w:rPr>
      </w:pPr>
      <w:r>
        <w:rPr>
          <w:color w:val="auto"/>
        </w:rPr>
        <w:t>Attachment D: Due Date Reminder Letter</w:t>
      </w:r>
    </w:p>
    <w:p w:rsidR="000D4CA4" w:rsidP="00164F35" w:rsidRDefault="000D4CA4" w14:paraId="1D72E65B" w14:textId="6C0DE7ED">
      <w:pPr>
        <w:pStyle w:val="NormalWeb"/>
        <w:rPr>
          <w:color w:val="auto"/>
        </w:rPr>
      </w:pPr>
      <w:r>
        <w:rPr>
          <w:color w:val="auto"/>
        </w:rPr>
        <w:t>Attachment E: Reminder Letter</w:t>
      </w:r>
    </w:p>
    <w:p w:rsidR="00E470B6" w:rsidP="00164F35" w:rsidRDefault="000D4CA4" w14:paraId="50B9DAB7" w14:textId="15D2371F">
      <w:pPr>
        <w:pStyle w:val="NormalWeb"/>
        <w:rPr>
          <w:color w:val="auto"/>
        </w:rPr>
      </w:pPr>
      <w:r>
        <w:rPr>
          <w:color w:val="auto"/>
        </w:rPr>
        <w:t xml:space="preserve">Attachment F: </w:t>
      </w:r>
      <w:r w:rsidR="00F12611">
        <w:rPr>
          <w:color w:val="auto"/>
        </w:rPr>
        <w:t>Screenshot of Introductory Centurion S</w:t>
      </w:r>
      <w:r w:rsidR="00E470B6">
        <w:rPr>
          <w:color w:val="auto"/>
        </w:rPr>
        <w:t>creen</w:t>
      </w:r>
    </w:p>
    <w:p w:rsidR="006255D7" w:rsidP="00164F35" w:rsidRDefault="006255D7" w14:paraId="15935406" w14:textId="76177901">
      <w:pPr>
        <w:pStyle w:val="NormalWeb"/>
        <w:rPr>
          <w:color w:val="auto"/>
        </w:rPr>
      </w:pPr>
      <w:r>
        <w:rPr>
          <w:color w:val="auto"/>
        </w:rPr>
        <w:t xml:space="preserve">Attachment G: </w:t>
      </w:r>
      <w:r w:rsidR="00853EED">
        <w:rPr>
          <w:color w:val="auto"/>
        </w:rPr>
        <w:t>BEA Letter of Support for MOPS-HP</w:t>
      </w:r>
    </w:p>
    <w:p w:rsidR="00360AAE" w:rsidP="00164F35" w:rsidRDefault="00360AAE" w14:paraId="7D8A0229" w14:textId="61E6EA4A">
      <w:pPr>
        <w:pStyle w:val="NormalWeb"/>
        <w:rPr>
          <w:color w:val="auto"/>
        </w:rPr>
      </w:pPr>
      <w:r>
        <w:rPr>
          <w:color w:val="auto"/>
        </w:rPr>
        <w:t>Attachment H: Expert Reviews of Additional MOPS-HP Content and Decision Document</w:t>
      </w:r>
    </w:p>
    <w:p w:rsidR="0099210C" w:rsidP="00164F35" w:rsidRDefault="0099210C" w14:paraId="72B7139D" w14:textId="154914A2">
      <w:pPr>
        <w:pStyle w:val="NormalWeb"/>
        <w:rPr>
          <w:color w:val="auto"/>
        </w:rPr>
      </w:pPr>
      <w:r>
        <w:rPr>
          <w:color w:val="auto"/>
        </w:rPr>
        <w:t xml:space="preserve">Attachment I: </w:t>
      </w:r>
      <w:r w:rsidR="00C05600">
        <w:rPr>
          <w:color w:val="auto"/>
        </w:rPr>
        <w:t>Title 13 Cited Authorities</w:t>
      </w:r>
    </w:p>
    <w:p w:rsidR="00205052" w:rsidP="008F4F6B" w:rsidRDefault="00205052" w14:paraId="4D030A3D" w14:textId="2FA94B37"/>
    <w:sectPr w:rsidR="002050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28C1E5" w14:textId="77777777" w:rsidR="001E0AA1" w:rsidRDefault="001E0AA1" w:rsidP="008262C5">
      <w:pPr>
        <w:spacing w:after="0" w:line="240" w:lineRule="auto"/>
      </w:pPr>
      <w:r>
        <w:separator/>
      </w:r>
    </w:p>
  </w:endnote>
  <w:endnote w:type="continuationSeparator" w:id="0">
    <w:p w14:paraId="0654AC02" w14:textId="77777777" w:rsidR="001E0AA1" w:rsidRDefault="001E0AA1" w:rsidP="00826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6B8D6F" w14:textId="77777777" w:rsidR="001E0AA1" w:rsidRDefault="001E0AA1" w:rsidP="008262C5">
      <w:pPr>
        <w:spacing w:after="0" w:line="240" w:lineRule="auto"/>
      </w:pPr>
      <w:r>
        <w:separator/>
      </w:r>
    </w:p>
  </w:footnote>
  <w:footnote w:type="continuationSeparator" w:id="0">
    <w:p w14:paraId="5DF70AB8" w14:textId="77777777" w:rsidR="001E0AA1" w:rsidRDefault="001E0AA1" w:rsidP="008262C5">
      <w:pPr>
        <w:spacing w:after="0" w:line="240" w:lineRule="auto"/>
      </w:pPr>
      <w:r>
        <w:continuationSeparator/>
      </w:r>
    </w:p>
  </w:footnote>
  <w:footnote w:id="1">
    <w:p w14:paraId="3C0A0D1D" w14:textId="2A8CC7C1" w:rsidR="000D66B1" w:rsidRDefault="000D66B1">
      <w:pPr>
        <w:pStyle w:val="FootnoteText"/>
      </w:pPr>
      <w:r>
        <w:rPr>
          <w:rStyle w:val="FootnoteReference"/>
        </w:rPr>
        <w:footnoteRef/>
      </w:r>
      <w:r>
        <w:t xml:space="preserve"> </w:t>
      </w:r>
      <w:r w:rsidRPr="000D66B1">
        <w:t>Bloom, N. and J. Van Reenen. 2007. “Measuring and Explaining Management Practices Across Firms and Countries.” The Quarterly Journal of Economics 122(4): 1351–1408.</w:t>
      </w:r>
    </w:p>
  </w:footnote>
  <w:footnote w:id="2">
    <w:p w14:paraId="78C243D7" w14:textId="3860F13B" w:rsidR="000D66B1" w:rsidRDefault="000D66B1" w:rsidP="000D66B1">
      <w:pPr>
        <w:pStyle w:val="FootnoteText"/>
      </w:pPr>
      <w:r>
        <w:rPr>
          <w:rStyle w:val="FootnoteReference"/>
        </w:rPr>
        <w:footnoteRef/>
      </w:r>
      <w:r>
        <w:t xml:space="preserve"> Buffington, C., A. Hennessy, and S. Ohlmacher. 2018. “The Management and Organizational Practices Survey (MOPS): Collection and Processing.” U.S. Census Bureau’s Center for Economic Studies Working Paper Series CES 18-51.</w:t>
      </w:r>
    </w:p>
  </w:footnote>
  <w:footnote w:id="3">
    <w:p w14:paraId="07F2B9BF" w14:textId="77777777" w:rsidR="008262C5" w:rsidRDefault="008262C5" w:rsidP="008262C5">
      <w:pPr>
        <w:spacing w:after="0" w:line="240" w:lineRule="auto"/>
      </w:pPr>
      <w:r w:rsidRPr="004C2EB1">
        <w:rPr>
          <w:rStyle w:val="FootnoteReference"/>
          <w:rFonts w:ascii="Times New Roman" w:hAnsi="Times New Roman" w:cs="Times New Roman"/>
          <w:sz w:val="20"/>
          <w:szCs w:val="20"/>
        </w:rPr>
        <w:footnoteRef/>
      </w:r>
      <w:r w:rsidRPr="004C2EB1">
        <w:rPr>
          <w:rFonts w:ascii="Times New Roman" w:hAnsi="Times New Roman" w:cs="Times New Roman"/>
          <w:sz w:val="20"/>
          <w:szCs w:val="20"/>
        </w:rPr>
        <w:t xml:space="preserve"> U.S. Census Bureau</w:t>
      </w:r>
      <w:r>
        <w:rPr>
          <w:rFonts w:ascii="Times New Roman" w:hAnsi="Times New Roman" w:cs="Times New Roman"/>
          <w:sz w:val="20"/>
          <w:szCs w:val="20"/>
        </w:rPr>
        <w:t xml:space="preserve">. </w:t>
      </w:r>
      <w:r w:rsidRPr="004C2EB1">
        <w:rPr>
          <w:rFonts w:ascii="Times New Roman" w:hAnsi="Times New Roman" w:cs="Times New Roman"/>
          <w:sz w:val="20"/>
          <w:szCs w:val="20"/>
        </w:rPr>
        <w:t xml:space="preserve">“U.S. Census Bureau Statistical Quality Standards.”  </w:t>
      </w:r>
      <w:hyperlink r:id="rId1" w:history="1">
        <w:r w:rsidRPr="004C2EB1">
          <w:rPr>
            <w:rStyle w:val="Hyperlink"/>
            <w:rFonts w:ascii="Times New Roman" w:hAnsi="Times New Roman" w:cs="Times New Roman"/>
          </w:rPr>
          <w:t>https://www.census.gov/about/policies/quality/standards.html</w:t>
        </w:r>
      </w:hyperlink>
      <w:r w:rsidRPr="004C2EB1">
        <w:rPr>
          <w:rStyle w:val="Hyperlink"/>
          <w:rFonts w:ascii="Times New Roman" w:hAnsi="Times New Roman" w:cs="Times New Roman"/>
        </w:rPr>
        <w:t xml:space="preserve">. </w:t>
      </w:r>
      <w:r w:rsidRPr="004C2EB1">
        <w:rPr>
          <w:rFonts w:ascii="Times New Roman" w:hAnsi="Times New Roman" w:cs="Times New Roman"/>
          <w:sz w:val="20"/>
          <w:szCs w:val="20"/>
        </w:rPr>
        <w:t>July 2013</w:t>
      </w:r>
      <w:r>
        <w:rPr>
          <w:rFonts w:ascii="Times New Roman" w:hAnsi="Times New Roman" w:cs="Times New Roman"/>
          <w:sz w:val="20"/>
          <w:szCs w:val="20"/>
        </w:rPr>
        <w:t>.</w:t>
      </w:r>
    </w:p>
  </w:footnote>
  <w:footnote w:id="4">
    <w:p w14:paraId="05CC8505" w14:textId="77777777" w:rsidR="008262C5" w:rsidRPr="00073EDF" w:rsidRDefault="008262C5" w:rsidP="008262C5">
      <w:pPr>
        <w:pStyle w:val="FootnoteText"/>
        <w:rPr>
          <w:rFonts w:ascii="Times New Roman" w:hAnsi="Times New Roman" w:cs="Times New Roman"/>
        </w:rPr>
      </w:pPr>
      <w:r w:rsidRPr="00073EDF">
        <w:rPr>
          <w:rStyle w:val="FootnoteReference"/>
          <w:rFonts w:ascii="Times New Roman" w:hAnsi="Times New Roman" w:cs="Times New Roman"/>
        </w:rPr>
        <w:footnoteRef/>
      </w:r>
      <w:r w:rsidRPr="00073EDF">
        <w:rPr>
          <w:rFonts w:ascii="Times New Roman" w:hAnsi="Times New Roman" w:cs="Times New Roman"/>
        </w:rPr>
        <w:t xml:space="preserve"> The number of </w:t>
      </w:r>
      <w:r>
        <w:rPr>
          <w:rFonts w:ascii="Times New Roman" w:hAnsi="Times New Roman" w:cs="Times New Roman"/>
        </w:rPr>
        <w:t xml:space="preserve">tested </w:t>
      </w:r>
      <w:r w:rsidRPr="00073EDF">
        <w:rPr>
          <w:rFonts w:ascii="Times New Roman" w:hAnsi="Times New Roman" w:cs="Times New Roman"/>
        </w:rPr>
        <w:t xml:space="preserve">hospitals and states </w:t>
      </w:r>
      <w:r>
        <w:rPr>
          <w:rFonts w:ascii="Times New Roman" w:hAnsi="Times New Roman" w:cs="Times New Roman"/>
        </w:rPr>
        <w:t>has</w:t>
      </w:r>
      <w:r w:rsidRPr="00073EDF">
        <w:rPr>
          <w:rFonts w:ascii="Times New Roman" w:hAnsi="Times New Roman" w:cs="Times New Roman"/>
        </w:rPr>
        <w:t xml:space="preserve"> been reviewed to ensure no confidential information is </w:t>
      </w:r>
      <w:r>
        <w:rPr>
          <w:rFonts w:ascii="Times New Roman" w:hAnsi="Times New Roman" w:cs="Times New Roman"/>
        </w:rPr>
        <w:t>disclosed</w:t>
      </w:r>
      <w:r w:rsidRPr="00073EDF">
        <w:rPr>
          <w:rFonts w:ascii="Times New Roman" w:hAnsi="Times New Roman" w:cs="Times New Roman"/>
        </w:rPr>
        <w:t xml:space="preserve"> (</w:t>
      </w:r>
      <w:r w:rsidRPr="00073EDF">
        <w:rPr>
          <w:rFonts w:ascii="Times New Roman" w:hAnsi="Times New Roman" w:cs="Times New Roman"/>
          <w:color w:val="000000"/>
          <w:lang w:val="en"/>
        </w:rPr>
        <w:t>CBDRB-FY19-EWD-B00002).</w:t>
      </w:r>
    </w:p>
  </w:footnote>
  <w:footnote w:id="5">
    <w:p w14:paraId="6699A794" w14:textId="6A07EC8E" w:rsidR="002A10F6" w:rsidRPr="00D05399" w:rsidRDefault="002A10F6">
      <w:pPr>
        <w:pStyle w:val="FootnoteText"/>
        <w:rPr>
          <w:rFonts w:ascii="Times New Roman" w:hAnsi="Times New Roman" w:cs="Times New Roman"/>
        </w:rPr>
      </w:pPr>
      <w:r w:rsidRPr="00D05399">
        <w:rPr>
          <w:rStyle w:val="FootnoteReference"/>
          <w:rFonts w:ascii="Times New Roman" w:hAnsi="Times New Roman" w:cs="Times New Roman"/>
        </w:rPr>
        <w:footnoteRef/>
      </w:r>
      <w:r w:rsidRPr="00D05399">
        <w:rPr>
          <w:rFonts w:ascii="Times New Roman" w:hAnsi="Times New Roman" w:cs="Times New Roman"/>
        </w:rPr>
        <w:t xml:space="preserve"> </w:t>
      </w:r>
      <w:r w:rsidR="00892554" w:rsidRPr="00892554">
        <w:rPr>
          <w:rFonts w:ascii="Times New Roman" w:hAnsi="Times New Roman" w:cs="Times New Roman"/>
        </w:rPr>
        <w:t xml:space="preserve">U.S. Census Bureau. “Statistical Quality Standard A2: Developing Data Collection Instruments and Supporting Materials.”  </w:t>
      </w:r>
      <w:hyperlink r:id="rId2" w:history="1">
        <w:r w:rsidR="00892554" w:rsidRPr="00D05399">
          <w:rPr>
            <w:rStyle w:val="Hyperlink"/>
            <w:rFonts w:ascii="Times New Roman" w:hAnsi="Times New Roman" w:cs="Times New Roman"/>
          </w:rPr>
          <w:t>https://www.census.gov/about/policies/quality/standards/standarda2.html</w:t>
        </w:r>
      </w:hyperlink>
      <w:r w:rsidR="00892554" w:rsidRPr="00892554">
        <w:rPr>
          <w:rStyle w:val="Hyperlink"/>
          <w:rFonts w:ascii="Times New Roman" w:hAnsi="Times New Roman" w:cs="Times New Roman"/>
        </w:rPr>
        <w:t xml:space="preserve">. </w:t>
      </w:r>
      <w:r w:rsidR="00892554" w:rsidRPr="00892554">
        <w:rPr>
          <w:rFonts w:ascii="Times New Roman" w:hAnsi="Times New Roman" w:cs="Times New Roman"/>
        </w:rPr>
        <w:t>May 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81CDD"/>
    <w:multiLevelType w:val="hybridMultilevel"/>
    <w:tmpl w:val="862479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977CAF"/>
    <w:multiLevelType w:val="multilevel"/>
    <w:tmpl w:val="0EB22A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5C1B2F"/>
    <w:multiLevelType w:val="hybridMultilevel"/>
    <w:tmpl w:val="ACEAFF0E"/>
    <w:lvl w:ilvl="0" w:tplc="46BAD3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B1C682E"/>
    <w:multiLevelType w:val="multilevel"/>
    <w:tmpl w:val="0C50B0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E771AC"/>
    <w:multiLevelType w:val="multilevel"/>
    <w:tmpl w:val="2FE829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2B667D"/>
    <w:multiLevelType w:val="multilevel"/>
    <w:tmpl w:val="4CF22E2E"/>
    <w:lvl w:ilvl="0">
      <w:start w:val="1"/>
      <w:numFmt w:val="bullet"/>
      <w:lvlText w:val=""/>
      <w:lvlJc w:val="left"/>
      <w:pPr>
        <w:tabs>
          <w:tab w:val="num" w:pos="1395"/>
        </w:tabs>
        <w:ind w:left="1395" w:hanging="360"/>
      </w:pPr>
      <w:rPr>
        <w:rFonts w:ascii="Symbol" w:hAnsi="Symbol" w:hint="default"/>
        <w:sz w:val="20"/>
      </w:rPr>
    </w:lvl>
    <w:lvl w:ilvl="1" w:tentative="1">
      <w:start w:val="1"/>
      <w:numFmt w:val="bullet"/>
      <w:lvlText w:val="o"/>
      <w:lvlJc w:val="left"/>
      <w:pPr>
        <w:tabs>
          <w:tab w:val="num" w:pos="2115"/>
        </w:tabs>
        <w:ind w:left="2115" w:hanging="360"/>
      </w:pPr>
      <w:rPr>
        <w:rFonts w:ascii="Courier New" w:hAnsi="Courier New" w:hint="default"/>
        <w:sz w:val="20"/>
      </w:rPr>
    </w:lvl>
    <w:lvl w:ilvl="2" w:tentative="1">
      <w:start w:val="1"/>
      <w:numFmt w:val="bullet"/>
      <w:lvlText w:val=""/>
      <w:lvlJc w:val="left"/>
      <w:pPr>
        <w:tabs>
          <w:tab w:val="num" w:pos="2835"/>
        </w:tabs>
        <w:ind w:left="2835" w:hanging="360"/>
      </w:pPr>
      <w:rPr>
        <w:rFonts w:ascii="Wingdings" w:hAnsi="Wingdings" w:hint="default"/>
        <w:sz w:val="20"/>
      </w:rPr>
    </w:lvl>
    <w:lvl w:ilvl="3" w:tentative="1">
      <w:start w:val="1"/>
      <w:numFmt w:val="bullet"/>
      <w:lvlText w:val=""/>
      <w:lvlJc w:val="left"/>
      <w:pPr>
        <w:tabs>
          <w:tab w:val="num" w:pos="3555"/>
        </w:tabs>
        <w:ind w:left="3555" w:hanging="360"/>
      </w:pPr>
      <w:rPr>
        <w:rFonts w:ascii="Wingdings" w:hAnsi="Wingdings" w:hint="default"/>
        <w:sz w:val="20"/>
      </w:rPr>
    </w:lvl>
    <w:lvl w:ilvl="4" w:tentative="1">
      <w:start w:val="1"/>
      <w:numFmt w:val="bullet"/>
      <w:lvlText w:val=""/>
      <w:lvlJc w:val="left"/>
      <w:pPr>
        <w:tabs>
          <w:tab w:val="num" w:pos="4275"/>
        </w:tabs>
        <w:ind w:left="4275" w:hanging="360"/>
      </w:pPr>
      <w:rPr>
        <w:rFonts w:ascii="Wingdings" w:hAnsi="Wingdings" w:hint="default"/>
        <w:sz w:val="20"/>
      </w:rPr>
    </w:lvl>
    <w:lvl w:ilvl="5" w:tentative="1">
      <w:start w:val="1"/>
      <w:numFmt w:val="bullet"/>
      <w:lvlText w:val=""/>
      <w:lvlJc w:val="left"/>
      <w:pPr>
        <w:tabs>
          <w:tab w:val="num" w:pos="4995"/>
        </w:tabs>
        <w:ind w:left="4995" w:hanging="360"/>
      </w:pPr>
      <w:rPr>
        <w:rFonts w:ascii="Wingdings" w:hAnsi="Wingdings" w:hint="default"/>
        <w:sz w:val="20"/>
      </w:rPr>
    </w:lvl>
    <w:lvl w:ilvl="6" w:tentative="1">
      <w:start w:val="1"/>
      <w:numFmt w:val="bullet"/>
      <w:lvlText w:val=""/>
      <w:lvlJc w:val="left"/>
      <w:pPr>
        <w:tabs>
          <w:tab w:val="num" w:pos="5715"/>
        </w:tabs>
        <w:ind w:left="5715" w:hanging="360"/>
      </w:pPr>
      <w:rPr>
        <w:rFonts w:ascii="Wingdings" w:hAnsi="Wingdings" w:hint="default"/>
        <w:sz w:val="20"/>
      </w:rPr>
    </w:lvl>
    <w:lvl w:ilvl="7" w:tentative="1">
      <w:start w:val="1"/>
      <w:numFmt w:val="bullet"/>
      <w:lvlText w:val=""/>
      <w:lvlJc w:val="left"/>
      <w:pPr>
        <w:tabs>
          <w:tab w:val="num" w:pos="6435"/>
        </w:tabs>
        <w:ind w:left="6435" w:hanging="360"/>
      </w:pPr>
      <w:rPr>
        <w:rFonts w:ascii="Wingdings" w:hAnsi="Wingdings" w:hint="default"/>
        <w:sz w:val="20"/>
      </w:rPr>
    </w:lvl>
    <w:lvl w:ilvl="8" w:tentative="1">
      <w:start w:val="1"/>
      <w:numFmt w:val="bullet"/>
      <w:lvlText w:val=""/>
      <w:lvlJc w:val="left"/>
      <w:pPr>
        <w:tabs>
          <w:tab w:val="num" w:pos="7155"/>
        </w:tabs>
        <w:ind w:left="7155" w:hanging="360"/>
      </w:pPr>
      <w:rPr>
        <w:rFonts w:ascii="Wingdings" w:hAnsi="Wingdings" w:hint="default"/>
        <w:sz w:val="20"/>
      </w:rPr>
    </w:lvl>
  </w:abstractNum>
  <w:abstractNum w:abstractNumId="6" w15:restartNumberingAfterBreak="0">
    <w:nsid w:val="7993409A"/>
    <w:multiLevelType w:val="hybridMultilevel"/>
    <w:tmpl w:val="42566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1266FF"/>
    <w:multiLevelType w:val="hybridMultilevel"/>
    <w:tmpl w:val="ACEAFF0E"/>
    <w:lvl w:ilvl="0" w:tplc="46BAD3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3"/>
  </w:num>
  <w:num w:numId="3">
    <w:abstractNumId w:val="1"/>
  </w:num>
  <w:num w:numId="4">
    <w:abstractNumId w:val="2"/>
  </w:num>
  <w:num w:numId="5">
    <w:abstractNumId w:val="5"/>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529"/>
    <w:rsid w:val="00012640"/>
    <w:rsid w:val="00012AA4"/>
    <w:rsid w:val="00012F0C"/>
    <w:rsid w:val="00021540"/>
    <w:rsid w:val="00030A67"/>
    <w:rsid w:val="00033CA9"/>
    <w:rsid w:val="00034F8E"/>
    <w:rsid w:val="000400C3"/>
    <w:rsid w:val="00066751"/>
    <w:rsid w:val="00084E89"/>
    <w:rsid w:val="0009068C"/>
    <w:rsid w:val="00094B1A"/>
    <w:rsid w:val="00094E51"/>
    <w:rsid w:val="00095B61"/>
    <w:rsid w:val="000A2EAF"/>
    <w:rsid w:val="000A5570"/>
    <w:rsid w:val="000C7802"/>
    <w:rsid w:val="000D4CA4"/>
    <w:rsid w:val="000D66B1"/>
    <w:rsid w:val="00102CAD"/>
    <w:rsid w:val="00103630"/>
    <w:rsid w:val="00111280"/>
    <w:rsid w:val="00117578"/>
    <w:rsid w:val="00120B5C"/>
    <w:rsid w:val="001239E2"/>
    <w:rsid w:val="00124913"/>
    <w:rsid w:val="00124E90"/>
    <w:rsid w:val="001329E2"/>
    <w:rsid w:val="00142F24"/>
    <w:rsid w:val="00145DB5"/>
    <w:rsid w:val="00150F5D"/>
    <w:rsid w:val="00164F35"/>
    <w:rsid w:val="001674D3"/>
    <w:rsid w:val="0017166A"/>
    <w:rsid w:val="00176017"/>
    <w:rsid w:val="00184E8F"/>
    <w:rsid w:val="001929F9"/>
    <w:rsid w:val="001A18DF"/>
    <w:rsid w:val="001A38DB"/>
    <w:rsid w:val="001B0181"/>
    <w:rsid w:val="001E0AA1"/>
    <w:rsid w:val="001E3AC2"/>
    <w:rsid w:val="001E5553"/>
    <w:rsid w:val="00205052"/>
    <w:rsid w:val="0022586A"/>
    <w:rsid w:val="002316E4"/>
    <w:rsid w:val="002326B4"/>
    <w:rsid w:val="002445EB"/>
    <w:rsid w:val="0025249F"/>
    <w:rsid w:val="00253B18"/>
    <w:rsid w:val="00255006"/>
    <w:rsid w:val="0026076D"/>
    <w:rsid w:val="00264050"/>
    <w:rsid w:val="00284818"/>
    <w:rsid w:val="0028642F"/>
    <w:rsid w:val="00295D67"/>
    <w:rsid w:val="0029607C"/>
    <w:rsid w:val="002A10F6"/>
    <w:rsid w:val="002A5210"/>
    <w:rsid w:val="002A5F98"/>
    <w:rsid w:val="002A7D9F"/>
    <w:rsid w:val="002B7F50"/>
    <w:rsid w:val="002C3AB8"/>
    <w:rsid w:val="002C58BD"/>
    <w:rsid w:val="002D2448"/>
    <w:rsid w:val="002D58A9"/>
    <w:rsid w:val="002D5FF4"/>
    <w:rsid w:val="002E6649"/>
    <w:rsid w:val="002F6999"/>
    <w:rsid w:val="00300AED"/>
    <w:rsid w:val="00304362"/>
    <w:rsid w:val="00304BC8"/>
    <w:rsid w:val="003131C4"/>
    <w:rsid w:val="0031503F"/>
    <w:rsid w:val="00325C0B"/>
    <w:rsid w:val="00327956"/>
    <w:rsid w:val="00332410"/>
    <w:rsid w:val="00350507"/>
    <w:rsid w:val="00353887"/>
    <w:rsid w:val="00360AAE"/>
    <w:rsid w:val="00361F2D"/>
    <w:rsid w:val="003656A9"/>
    <w:rsid w:val="003823FB"/>
    <w:rsid w:val="00386B14"/>
    <w:rsid w:val="003A09F5"/>
    <w:rsid w:val="003A202C"/>
    <w:rsid w:val="003A21CC"/>
    <w:rsid w:val="003B0F2C"/>
    <w:rsid w:val="003B737C"/>
    <w:rsid w:val="003C4BFC"/>
    <w:rsid w:val="003D49A2"/>
    <w:rsid w:val="003D4A07"/>
    <w:rsid w:val="003D71B2"/>
    <w:rsid w:val="003F2615"/>
    <w:rsid w:val="00407D75"/>
    <w:rsid w:val="00412809"/>
    <w:rsid w:val="004156F0"/>
    <w:rsid w:val="00445A5D"/>
    <w:rsid w:val="00446BA7"/>
    <w:rsid w:val="00452886"/>
    <w:rsid w:val="00462DCF"/>
    <w:rsid w:val="00465185"/>
    <w:rsid w:val="00480088"/>
    <w:rsid w:val="00481ADA"/>
    <w:rsid w:val="00484C0B"/>
    <w:rsid w:val="00493205"/>
    <w:rsid w:val="004934CB"/>
    <w:rsid w:val="0049604A"/>
    <w:rsid w:val="0049635F"/>
    <w:rsid w:val="004A3093"/>
    <w:rsid w:val="004A3C9B"/>
    <w:rsid w:val="004B1499"/>
    <w:rsid w:val="004B3AFA"/>
    <w:rsid w:val="004C0F86"/>
    <w:rsid w:val="004C4BB9"/>
    <w:rsid w:val="004E46C0"/>
    <w:rsid w:val="004E4A0E"/>
    <w:rsid w:val="00500033"/>
    <w:rsid w:val="005053A6"/>
    <w:rsid w:val="005069E5"/>
    <w:rsid w:val="00520810"/>
    <w:rsid w:val="005307D9"/>
    <w:rsid w:val="00534F65"/>
    <w:rsid w:val="005371A1"/>
    <w:rsid w:val="005475AA"/>
    <w:rsid w:val="005513C9"/>
    <w:rsid w:val="00555E8E"/>
    <w:rsid w:val="00556D65"/>
    <w:rsid w:val="00581211"/>
    <w:rsid w:val="005949AD"/>
    <w:rsid w:val="005A3ED0"/>
    <w:rsid w:val="005A558C"/>
    <w:rsid w:val="005B03F4"/>
    <w:rsid w:val="005B6DDD"/>
    <w:rsid w:val="005B74B3"/>
    <w:rsid w:val="005B7A7F"/>
    <w:rsid w:val="005D5932"/>
    <w:rsid w:val="005F3F73"/>
    <w:rsid w:val="0060086B"/>
    <w:rsid w:val="00606255"/>
    <w:rsid w:val="00606616"/>
    <w:rsid w:val="006074E3"/>
    <w:rsid w:val="00611CB7"/>
    <w:rsid w:val="00614D59"/>
    <w:rsid w:val="00622BB6"/>
    <w:rsid w:val="006255D7"/>
    <w:rsid w:val="006365A1"/>
    <w:rsid w:val="00653A27"/>
    <w:rsid w:val="00655A37"/>
    <w:rsid w:val="00674057"/>
    <w:rsid w:val="0067665C"/>
    <w:rsid w:val="006840C3"/>
    <w:rsid w:val="0068510E"/>
    <w:rsid w:val="006A34AA"/>
    <w:rsid w:val="006A497B"/>
    <w:rsid w:val="006B2D61"/>
    <w:rsid w:val="006B7A79"/>
    <w:rsid w:val="006C0AF0"/>
    <w:rsid w:val="006C49CF"/>
    <w:rsid w:val="006D6763"/>
    <w:rsid w:val="0070199F"/>
    <w:rsid w:val="00703297"/>
    <w:rsid w:val="00703E49"/>
    <w:rsid w:val="007100CE"/>
    <w:rsid w:val="00710CD3"/>
    <w:rsid w:val="00712EBA"/>
    <w:rsid w:val="00715ACD"/>
    <w:rsid w:val="00715C82"/>
    <w:rsid w:val="00725FF4"/>
    <w:rsid w:val="00731408"/>
    <w:rsid w:val="0073552A"/>
    <w:rsid w:val="007412DB"/>
    <w:rsid w:val="00745158"/>
    <w:rsid w:val="007562C1"/>
    <w:rsid w:val="007624D7"/>
    <w:rsid w:val="00766E92"/>
    <w:rsid w:val="0077264A"/>
    <w:rsid w:val="00773D0C"/>
    <w:rsid w:val="007808AF"/>
    <w:rsid w:val="00786CAC"/>
    <w:rsid w:val="00787C1C"/>
    <w:rsid w:val="007A1B93"/>
    <w:rsid w:val="007D06F1"/>
    <w:rsid w:val="007E1F77"/>
    <w:rsid w:val="007E3399"/>
    <w:rsid w:val="007F6022"/>
    <w:rsid w:val="0080336D"/>
    <w:rsid w:val="0080561B"/>
    <w:rsid w:val="00814228"/>
    <w:rsid w:val="0082377A"/>
    <w:rsid w:val="008262C5"/>
    <w:rsid w:val="008269A8"/>
    <w:rsid w:val="00827BF1"/>
    <w:rsid w:val="008313B7"/>
    <w:rsid w:val="008319A5"/>
    <w:rsid w:val="00832A25"/>
    <w:rsid w:val="00835D39"/>
    <w:rsid w:val="0085294D"/>
    <w:rsid w:val="008530DD"/>
    <w:rsid w:val="00853EED"/>
    <w:rsid w:val="0085419E"/>
    <w:rsid w:val="008612FD"/>
    <w:rsid w:val="008663FB"/>
    <w:rsid w:val="008678CE"/>
    <w:rsid w:val="00872A21"/>
    <w:rsid w:val="00875C49"/>
    <w:rsid w:val="00885A1D"/>
    <w:rsid w:val="00891492"/>
    <w:rsid w:val="00892554"/>
    <w:rsid w:val="008B0321"/>
    <w:rsid w:val="008B325F"/>
    <w:rsid w:val="008C306D"/>
    <w:rsid w:val="008C43DC"/>
    <w:rsid w:val="008E39D4"/>
    <w:rsid w:val="008E6AC6"/>
    <w:rsid w:val="008F0620"/>
    <w:rsid w:val="008F4F6B"/>
    <w:rsid w:val="00901271"/>
    <w:rsid w:val="0091274F"/>
    <w:rsid w:val="009759EC"/>
    <w:rsid w:val="00980D88"/>
    <w:rsid w:val="00981BE4"/>
    <w:rsid w:val="00986262"/>
    <w:rsid w:val="0099210C"/>
    <w:rsid w:val="009E5D4D"/>
    <w:rsid w:val="009F6CAC"/>
    <w:rsid w:val="00A22A01"/>
    <w:rsid w:val="00A33DF3"/>
    <w:rsid w:val="00A473DF"/>
    <w:rsid w:val="00A519E9"/>
    <w:rsid w:val="00A67299"/>
    <w:rsid w:val="00A70220"/>
    <w:rsid w:val="00A7574C"/>
    <w:rsid w:val="00A77EFE"/>
    <w:rsid w:val="00A8358F"/>
    <w:rsid w:val="00A87AD3"/>
    <w:rsid w:val="00AA2819"/>
    <w:rsid w:val="00AA547E"/>
    <w:rsid w:val="00AA63FE"/>
    <w:rsid w:val="00AA6ED5"/>
    <w:rsid w:val="00AB22DD"/>
    <w:rsid w:val="00AD70F0"/>
    <w:rsid w:val="00AE0CDE"/>
    <w:rsid w:val="00AE2F96"/>
    <w:rsid w:val="00AE6A23"/>
    <w:rsid w:val="00AF33B1"/>
    <w:rsid w:val="00B1312F"/>
    <w:rsid w:val="00B2450E"/>
    <w:rsid w:val="00B31D4B"/>
    <w:rsid w:val="00B37A1F"/>
    <w:rsid w:val="00B40919"/>
    <w:rsid w:val="00B47F41"/>
    <w:rsid w:val="00B50B45"/>
    <w:rsid w:val="00B5361B"/>
    <w:rsid w:val="00B65EFA"/>
    <w:rsid w:val="00B6730A"/>
    <w:rsid w:val="00B74571"/>
    <w:rsid w:val="00B75AC7"/>
    <w:rsid w:val="00B873CA"/>
    <w:rsid w:val="00B87CC4"/>
    <w:rsid w:val="00B87ECC"/>
    <w:rsid w:val="00BA031A"/>
    <w:rsid w:val="00BA5DF2"/>
    <w:rsid w:val="00BB3F14"/>
    <w:rsid w:val="00BC06F3"/>
    <w:rsid w:val="00BE0E36"/>
    <w:rsid w:val="00BF106B"/>
    <w:rsid w:val="00BF76C8"/>
    <w:rsid w:val="00C054F1"/>
    <w:rsid w:val="00C05600"/>
    <w:rsid w:val="00C05A57"/>
    <w:rsid w:val="00C22A29"/>
    <w:rsid w:val="00C22B9C"/>
    <w:rsid w:val="00C37DF1"/>
    <w:rsid w:val="00C410F8"/>
    <w:rsid w:val="00C453A0"/>
    <w:rsid w:val="00C50B1A"/>
    <w:rsid w:val="00C613DC"/>
    <w:rsid w:val="00C62806"/>
    <w:rsid w:val="00C73577"/>
    <w:rsid w:val="00C75992"/>
    <w:rsid w:val="00C80A8C"/>
    <w:rsid w:val="00C85C85"/>
    <w:rsid w:val="00C92949"/>
    <w:rsid w:val="00CA6A46"/>
    <w:rsid w:val="00CB16B4"/>
    <w:rsid w:val="00CE6740"/>
    <w:rsid w:val="00CF2926"/>
    <w:rsid w:val="00CF3415"/>
    <w:rsid w:val="00D05399"/>
    <w:rsid w:val="00D1058D"/>
    <w:rsid w:val="00D374D1"/>
    <w:rsid w:val="00D4043B"/>
    <w:rsid w:val="00D44E36"/>
    <w:rsid w:val="00D55C64"/>
    <w:rsid w:val="00D61EC2"/>
    <w:rsid w:val="00D65174"/>
    <w:rsid w:val="00D81787"/>
    <w:rsid w:val="00D826D3"/>
    <w:rsid w:val="00DA114E"/>
    <w:rsid w:val="00DB2D8A"/>
    <w:rsid w:val="00DB511F"/>
    <w:rsid w:val="00DC03F8"/>
    <w:rsid w:val="00DE0CC9"/>
    <w:rsid w:val="00DF02EB"/>
    <w:rsid w:val="00DF7CF4"/>
    <w:rsid w:val="00E2157A"/>
    <w:rsid w:val="00E26080"/>
    <w:rsid w:val="00E32406"/>
    <w:rsid w:val="00E340E3"/>
    <w:rsid w:val="00E4009A"/>
    <w:rsid w:val="00E470B6"/>
    <w:rsid w:val="00E827C9"/>
    <w:rsid w:val="00E82996"/>
    <w:rsid w:val="00E864DC"/>
    <w:rsid w:val="00E9214D"/>
    <w:rsid w:val="00E95B3E"/>
    <w:rsid w:val="00EA1101"/>
    <w:rsid w:val="00EA2FC2"/>
    <w:rsid w:val="00EA5A7D"/>
    <w:rsid w:val="00EB1663"/>
    <w:rsid w:val="00EB265B"/>
    <w:rsid w:val="00EB4529"/>
    <w:rsid w:val="00EB70F1"/>
    <w:rsid w:val="00EC400C"/>
    <w:rsid w:val="00ED1E55"/>
    <w:rsid w:val="00EE2582"/>
    <w:rsid w:val="00EE41F5"/>
    <w:rsid w:val="00EE687E"/>
    <w:rsid w:val="00EF3671"/>
    <w:rsid w:val="00EF6B6A"/>
    <w:rsid w:val="00F00FF8"/>
    <w:rsid w:val="00F03C8F"/>
    <w:rsid w:val="00F12611"/>
    <w:rsid w:val="00F15CA5"/>
    <w:rsid w:val="00F20BB6"/>
    <w:rsid w:val="00F248F6"/>
    <w:rsid w:val="00F27730"/>
    <w:rsid w:val="00F277E8"/>
    <w:rsid w:val="00F36DA4"/>
    <w:rsid w:val="00F533C0"/>
    <w:rsid w:val="00F60464"/>
    <w:rsid w:val="00F61D28"/>
    <w:rsid w:val="00F75109"/>
    <w:rsid w:val="00FA1133"/>
    <w:rsid w:val="00FB0CC9"/>
    <w:rsid w:val="00FC5AC3"/>
    <w:rsid w:val="00FD018C"/>
    <w:rsid w:val="00FD4738"/>
    <w:rsid w:val="00FE3562"/>
    <w:rsid w:val="00FF177C"/>
    <w:rsid w:val="00FF3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5D52A"/>
  <w15:chartTrackingRefBased/>
  <w15:docId w15:val="{C530FC94-93A5-4BD4-A6E8-189658183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164F35"/>
    <w:pPr>
      <w:keepNext/>
      <w:keepLines/>
      <w:spacing w:before="40" w:after="0" w:line="240" w:lineRule="auto"/>
      <w:outlineLvl w:val="3"/>
    </w:pPr>
    <w:rPr>
      <w:rFonts w:ascii="Times New Roman" w:eastAsiaTheme="majorEastAsia" w:hAnsi="Times New Roman" w:cstheme="majorBidi"/>
      <w:b/>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4F6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lockText">
    <w:name w:val="Block Text"/>
    <w:basedOn w:val="Normal"/>
    <w:uiPriority w:val="99"/>
    <w:semiHidden/>
    <w:unhideWhenUsed/>
    <w:rsid w:val="008F4F6B"/>
    <w:pPr>
      <w:spacing w:before="100" w:beforeAutospacing="1" w:after="100" w:afterAutospacing="1" w:line="240" w:lineRule="auto"/>
      <w:ind w:left="720" w:right="720"/>
    </w:pPr>
    <w:rPr>
      <w:rFonts w:ascii="Times New Roman" w:eastAsia="Times New Roman" w:hAnsi="Times New Roman" w:cs="Times New Roman"/>
      <w:color w:val="008040"/>
      <w:sz w:val="24"/>
      <w:szCs w:val="24"/>
    </w:rPr>
  </w:style>
  <w:style w:type="character" w:styleId="CommentReference">
    <w:name w:val="annotation reference"/>
    <w:basedOn w:val="DefaultParagraphFont"/>
    <w:uiPriority w:val="99"/>
    <w:semiHidden/>
    <w:unhideWhenUsed/>
    <w:rsid w:val="008F4F6B"/>
    <w:rPr>
      <w:sz w:val="16"/>
      <w:szCs w:val="16"/>
    </w:rPr>
  </w:style>
  <w:style w:type="paragraph" w:styleId="CommentText">
    <w:name w:val="annotation text"/>
    <w:basedOn w:val="Normal"/>
    <w:link w:val="CommentTextChar"/>
    <w:uiPriority w:val="99"/>
    <w:semiHidden/>
    <w:unhideWhenUsed/>
    <w:rsid w:val="008F4F6B"/>
    <w:pPr>
      <w:spacing w:line="240" w:lineRule="auto"/>
    </w:pPr>
    <w:rPr>
      <w:sz w:val="20"/>
      <w:szCs w:val="20"/>
    </w:rPr>
  </w:style>
  <w:style w:type="character" w:customStyle="1" w:styleId="CommentTextChar">
    <w:name w:val="Comment Text Char"/>
    <w:basedOn w:val="DefaultParagraphFont"/>
    <w:link w:val="CommentText"/>
    <w:uiPriority w:val="99"/>
    <w:semiHidden/>
    <w:rsid w:val="008F4F6B"/>
    <w:rPr>
      <w:sz w:val="20"/>
      <w:szCs w:val="20"/>
    </w:rPr>
  </w:style>
  <w:style w:type="paragraph" w:styleId="CommentSubject">
    <w:name w:val="annotation subject"/>
    <w:basedOn w:val="CommentText"/>
    <w:next w:val="CommentText"/>
    <w:link w:val="CommentSubjectChar"/>
    <w:uiPriority w:val="99"/>
    <w:semiHidden/>
    <w:unhideWhenUsed/>
    <w:rsid w:val="008F4F6B"/>
    <w:rPr>
      <w:b/>
      <w:bCs/>
    </w:rPr>
  </w:style>
  <w:style w:type="character" w:customStyle="1" w:styleId="CommentSubjectChar">
    <w:name w:val="Comment Subject Char"/>
    <w:basedOn w:val="CommentTextChar"/>
    <w:link w:val="CommentSubject"/>
    <w:uiPriority w:val="99"/>
    <w:semiHidden/>
    <w:rsid w:val="008F4F6B"/>
    <w:rPr>
      <w:b/>
      <w:bCs/>
      <w:sz w:val="20"/>
      <w:szCs w:val="20"/>
    </w:rPr>
  </w:style>
  <w:style w:type="paragraph" w:styleId="BalloonText">
    <w:name w:val="Balloon Text"/>
    <w:basedOn w:val="Normal"/>
    <w:link w:val="BalloonTextChar"/>
    <w:uiPriority w:val="99"/>
    <w:semiHidden/>
    <w:unhideWhenUsed/>
    <w:rsid w:val="008F4F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F6B"/>
    <w:rPr>
      <w:rFonts w:ascii="Segoe UI" w:hAnsi="Segoe UI" w:cs="Segoe UI"/>
      <w:sz w:val="18"/>
      <w:szCs w:val="18"/>
    </w:rPr>
  </w:style>
  <w:style w:type="character" w:styleId="Emphasis">
    <w:name w:val="Emphasis"/>
    <w:basedOn w:val="DefaultParagraphFont"/>
    <w:uiPriority w:val="20"/>
    <w:qFormat/>
    <w:rsid w:val="00164F35"/>
    <w:rPr>
      <w:i/>
      <w:iCs/>
    </w:rPr>
  </w:style>
  <w:style w:type="character" w:customStyle="1" w:styleId="Heading4Char">
    <w:name w:val="Heading 4 Char"/>
    <w:basedOn w:val="DefaultParagraphFont"/>
    <w:link w:val="Heading4"/>
    <w:uiPriority w:val="9"/>
    <w:rsid w:val="00164F35"/>
    <w:rPr>
      <w:rFonts w:ascii="Times New Roman" w:eastAsiaTheme="majorEastAsia" w:hAnsi="Times New Roman" w:cstheme="majorBidi"/>
      <w:b/>
      <w:iCs/>
      <w:sz w:val="24"/>
      <w:szCs w:val="24"/>
    </w:rPr>
  </w:style>
  <w:style w:type="character" w:styleId="Hyperlink">
    <w:name w:val="Hyperlink"/>
    <w:basedOn w:val="DefaultParagraphFont"/>
    <w:uiPriority w:val="99"/>
    <w:unhideWhenUsed/>
    <w:rsid w:val="00164F35"/>
    <w:rPr>
      <w:color w:val="0000FF"/>
      <w:u w:val="single"/>
    </w:rPr>
  </w:style>
  <w:style w:type="character" w:styleId="Strong">
    <w:name w:val="Strong"/>
    <w:basedOn w:val="DefaultParagraphFont"/>
    <w:uiPriority w:val="22"/>
    <w:qFormat/>
    <w:rsid w:val="00164F35"/>
    <w:rPr>
      <w:b/>
      <w:bCs/>
    </w:rPr>
  </w:style>
  <w:style w:type="character" w:styleId="FollowedHyperlink">
    <w:name w:val="FollowedHyperlink"/>
    <w:basedOn w:val="DefaultParagraphFont"/>
    <w:uiPriority w:val="99"/>
    <w:semiHidden/>
    <w:unhideWhenUsed/>
    <w:rsid w:val="00E95B3E"/>
    <w:rPr>
      <w:color w:val="954F72" w:themeColor="followedHyperlink"/>
      <w:u w:val="single"/>
    </w:rPr>
  </w:style>
  <w:style w:type="paragraph" w:styleId="ListParagraph">
    <w:name w:val="List Paragraph"/>
    <w:basedOn w:val="Normal"/>
    <w:uiPriority w:val="34"/>
    <w:qFormat/>
    <w:rsid w:val="00361F2D"/>
    <w:pPr>
      <w:spacing w:after="200" w:line="276" w:lineRule="auto"/>
      <w:ind w:left="720"/>
      <w:contextualSpacing/>
    </w:pPr>
  </w:style>
  <w:style w:type="paragraph" w:styleId="FootnoteText">
    <w:name w:val="footnote text"/>
    <w:basedOn w:val="Normal"/>
    <w:link w:val="FootnoteTextChar"/>
    <w:semiHidden/>
    <w:unhideWhenUsed/>
    <w:rsid w:val="008262C5"/>
    <w:pPr>
      <w:spacing w:after="0" w:line="240" w:lineRule="auto"/>
    </w:pPr>
    <w:rPr>
      <w:sz w:val="20"/>
      <w:szCs w:val="20"/>
    </w:rPr>
  </w:style>
  <w:style w:type="character" w:customStyle="1" w:styleId="FootnoteTextChar">
    <w:name w:val="Footnote Text Char"/>
    <w:basedOn w:val="DefaultParagraphFont"/>
    <w:link w:val="FootnoteText"/>
    <w:semiHidden/>
    <w:rsid w:val="008262C5"/>
    <w:rPr>
      <w:sz w:val="20"/>
      <w:szCs w:val="20"/>
    </w:rPr>
  </w:style>
  <w:style w:type="character" w:styleId="FootnoteReference">
    <w:name w:val="footnote reference"/>
    <w:basedOn w:val="DefaultParagraphFont"/>
    <w:semiHidden/>
    <w:unhideWhenUsed/>
    <w:rsid w:val="008262C5"/>
    <w:rPr>
      <w:vertAlign w:val="superscript"/>
    </w:rPr>
  </w:style>
  <w:style w:type="table" w:styleId="TableGrid">
    <w:name w:val="Table Grid"/>
    <w:basedOn w:val="TableNormal"/>
    <w:uiPriority w:val="39"/>
    <w:rsid w:val="00C37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28481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3-Accent5">
    <w:name w:val="List Table 3 Accent 5"/>
    <w:basedOn w:val="TableNormal"/>
    <w:uiPriority w:val="48"/>
    <w:rsid w:val="00284818"/>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0949352">
      <w:bodyDiv w:val="1"/>
      <w:marLeft w:val="0"/>
      <w:marRight w:val="0"/>
      <w:marTop w:val="0"/>
      <w:marBottom w:val="0"/>
      <w:divBdr>
        <w:top w:val="none" w:sz="0" w:space="0" w:color="auto"/>
        <w:left w:val="none" w:sz="0" w:space="0" w:color="auto"/>
        <w:bottom w:val="none" w:sz="0" w:space="0" w:color="auto"/>
        <w:right w:val="none" w:sz="0" w:space="0" w:color="auto"/>
      </w:divBdr>
    </w:div>
    <w:div w:id="738751812">
      <w:bodyDiv w:val="1"/>
      <w:marLeft w:val="0"/>
      <w:marRight w:val="0"/>
      <w:marTop w:val="0"/>
      <w:marBottom w:val="0"/>
      <w:divBdr>
        <w:top w:val="none" w:sz="0" w:space="0" w:color="auto"/>
        <w:left w:val="none" w:sz="0" w:space="0" w:color="auto"/>
        <w:bottom w:val="none" w:sz="0" w:space="0" w:color="auto"/>
        <w:right w:val="none" w:sz="0" w:space="0" w:color="auto"/>
      </w:divBdr>
    </w:div>
    <w:div w:id="170000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ensus.gov/about/policies/quality/standards/standarda2.html" TargetMode="External"/><Relationship Id="rId1" Type="http://schemas.openxmlformats.org/officeDocument/2006/relationships/hyperlink" Target="https://www.census.gov/about/policies/quality/standar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D33CE-7AC2-4358-81C1-EC42D2877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3695</Words>
  <Characters>21065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Savita Sathya (CENSUS/EWD FED)</dc:creator>
  <cp:keywords/>
  <dc:description/>
  <cp:lastModifiedBy>Thomas J Smith (CENSUS/EMD FED)</cp:lastModifiedBy>
  <cp:revision>2</cp:revision>
  <dcterms:created xsi:type="dcterms:W3CDTF">2021-02-22T16:29:00Z</dcterms:created>
  <dcterms:modified xsi:type="dcterms:W3CDTF">2021-02-22T16:29:00Z</dcterms:modified>
</cp:coreProperties>
</file>