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1DA3" w:rsidR="008E61C9" w:rsidP="00DF1141" w:rsidRDefault="001477A3" w14:paraId="0EF1C622" w14:textId="77777777">
      <w:pPr>
        <w:pStyle w:val="Heading1"/>
        <w:spacing w:before="0"/>
        <w:ind w:left="0"/>
        <w:jc w:val="center"/>
        <w:rPr>
          <w:rFonts w:cs="Times New Roman"/>
        </w:rPr>
      </w:pPr>
      <w:r w:rsidRPr="00EF1DA3">
        <w:rPr>
          <w:rFonts w:cs="Times New Roman"/>
        </w:rPr>
        <w:t>SUPPORTING STATEMENT</w:t>
      </w:r>
    </w:p>
    <w:p w:rsidRPr="00EF1DA3" w:rsidR="00BD7237" w:rsidP="00DF1141" w:rsidRDefault="001477A3" w14:paraId="6C4ABA47" w14:textId="77777777">
      <w:pPr>
        <w:spacing w:line="259" w:lineRule="auto"/>
        <w:ind w:firstLine="14"/>
        <w:jc w:val="center"/>
        <w:rPr>
          <w:rFonts w:cs="Times New Roman"/>
          <w:b/>
        </w:rPr>
      </w:pPr>
      <w:r w:rsidRPr="00EF1DA3">
        <w:rPr>
          <w:rFonts w:cs="Times New Roman"/>
          <w:b/>
        </w:rPr>
        <w:t>U.S. Department of Commerce</w:t>
      </w:r>
    </w:p>
    <w:p w:rsidRPr="00EF1DA3" w:rsidR="008E61C9" w:rsidP="00DF1141" w:rsidRDefault="00BD7237" w14:paraId="09D9166B" w14:textId="77777777">
      <w:pPr>
        <w:spacing w:line="259" w:lineRule="auto"/>
        <w:ind w:firstLine="14"/>
        <w:jc w:val="center"/>
        <w:rPr>
          <w:rFonts w:cs="Times New Roman"/>
          <w:b/>
        </w:rPr>
      </w:pPr>
      <w:r w:rsidRPr="00EF1DA3">
        <w:rPr>
          <w:rFonts w:cs="Times New Roman"/>
          <w:b/>
        </w:rPr>
        <w:t>National Oceanic &amp; Atmospheric Administration</w:t>
      </w:r>
    </w:p>
    <w:p w:rsidRPr="00EF1DA3" w:rsidR="00C2154B" w:rsidP="00DF1141" w:rsidRDefault="00C2154B" w14:paraId="2FABB579" w14:textId="7B472BEB">
      <w:pPr>
        <w:jc w:val="center"/>
        <w:rPr>
          <w:rFonts w:cs="Times New Roman"/>
          <w:b/>
          <w:bCs/>
        </w:rPr>
      </w:pPr>
      <w:r w:rsidRPr="00EF1DA3">
        <w:rPr>
          <w:rFonts w:cs="Times New Roman"/>
          <w:b/>
          <w:bCs/>
        </w:rPr>
        <w:t xml:space="preserve">Southeast Region </w:t>
      </w:r>
      <w:r w:rsidR="00211488">
        <w:rPr>
          <w:rFonts w:cs="Times New Roman"/>
          <w:b/>
          <w:bCs/>
        </w:rPr>
        <w:t>IFQ</w:t>
      </w:r>
      <w:r w:rsidRPr="00EF1DA3">
        <w:rPr>
          <w:rFonts w:cs="Times New Roman"/>
          <w:b/>
          <w:bCs/>
        </w:rPr>
        <w:t xml:space="preserve"> Programs</w:t>
      </w:r>
    </w:p>
    <w:p w:rsidRPr="00EF1DA3" w:rsidR="00C2154B" w:rsidP="00DF1141" w:rsidRDefault="00C2154B" w14:paraId="695DB11B" w14:textId="2D641B5C">
      <w:pPr>
        <w:jc w:val="center"/>
        <w:rPr>
          <w:rFonts w:cs="Times New Roman"/>
          <w:b/>
          <w:bCs/>
        </w:rPr>
      </w:pPr>
      <w:r w:rsidRPr="00EF1DA3">
        <w:rPr>
          <w:rFonts w:cs="Times New Roman"/>
          <w:b/>
          <w:bCs/>
        </w:rPr>
        <w:t>OMB Control No. 0648-0551</w:t>
      </w:r>
    </w:p>
    <w:p w:rsidRPr="00EF1DA3" w:rsidR="00C2154B" w:rsidP="00DF1141" w:rsidRDefault="00C2154B" w14:paraId="07977572" w14:textId="77777777">
      <w:pPr>
        <w:ind w:hanging="6"/>
        <w:jc w:val="center"/>
        <w:rPr>
          <w:rFonts w:cs="Times New Roman"/>
        </w:rPr>
      </w:pPr>
    </w:p>
    <w:p w:rsidRPr="00EF1DA3" w:rsidR="008E61C9" w:rsidP="00DF1141" w:rsidRDefault="008E61C9" w14:paraId="37C4A910" w14:textId="77777777"/>
    <w:p w:rsidRPr="00EF1DA3" w:rsidR="008E61C9" w:rsidP="00DF1141" w:rsidRDefault="001477A3" w14:paraId="5CEC3E7F" w14:textId="77777777">
      <w:pPr>
        <w:pStyle w:val="Heading1"/>
        <w:spacing w:before="0"/>
        <w:ind w:left="0"/>
        <w:rPr>
          <w:rFonts w:cs="Times New Roman"/>
        </w:rPr>
      </w:pPr>
      <w:r w:rsidRPr="00EF1DA3">
        <w:rPr>
          <w:rFonts w:cs="Times New Roman"/>
        </w:rPr>
        <w:t>Abstract</w:t>
      </w:r>
    </w:p>
    <w:p w:rsidRPr="00EF1DA3" w:rsidR="008D28E4" w:rsidP="00DF1141" w:rsidRDefault="008D28E4" w14:paraId="0C76BDE8" w14:textId="19EE8DEB">
      <w:pPr>
        <w:rPr>
          <w:rFonts w:cs="Times New Roman"/>
        </w:rPr>
      </w:pPr>
    </w:p>
    <w:p w:rsidRPr="00EF1DA3" w:rsidR="008D28E4" w:rsidP="00DF1141" w:rsidRDefault="008D28E4" w14:paraId="0F14AE91" w14:textId="6C264DEF">
      <w:pPr>
        <w:rPr>
          <w:rFonts w:cs="Times New Roman"/>
          <w:i/>
          <w:u w:val="single"/>
        </w:rPr>
      </w:pPr>
      <w:r w:rsidRPr="00EF1DA3">
        <w:rPr>
          <w:rFonts w:cs="Times New Roman"/>
        </w:rPr>
        <w:t>This request is for revision and extension of an approved information co</w:t>
      </w:r>
      <w:r w:rsidRPr="00EF1DA3" w:rsidR="00477A34">
        <w:rPr>
          <w:rFonts w:cs="Times New Roman"/>
        </w:rPr>
        <w:t>llection.</w:t>
      </w:r>
      <w:r w:rsidRPr="00EF1DA3">
        <w:rPr>
          <w:rFonts w:cs="Times New Roman"/>
        </w:rPr>
        <w:t xml:space="preserve"> The purpose of </w:t>
      </w:r>
      <w:r w:rsidRPr="00EF1DA3" w:rsidR="001A5F7E">
        <w:rPr>
          <w:rFonts w:cs="Times New Roman"/>
        </w:rPr>
        <w:t xml:space="preserve">these information </w:t>
      </w:r>
      <w:r w:rsidRPr="00EF1DA3">
        <w:rPr>
          <w:rFonts w:cs="Times New Roman"/>
        </w:rPr>
        <w:t>collection</w:t>
      </w:r>
      <w:r w:rsidRPr="00EF1DA3" w:rsidR="001A5F7E">
        <w:rPr>
          <w:rFonts w:cs="Times New Roman"/>
        </w:rPr>
        <w:t>s</w:t>
      </w:r>
      <w:r w:rsidRPr="00EF1DA3">
        <w:rPr>
          <w:rFonts w:cs="Times New Roman"/>
        </w:rPr>
        <w:t xml:space="preserve"> is to administer the </w:t>
      </w:r>
      <w:r w:rsidRPr="00EF1DA3" w:rsidR="001A5F7E">
        <w:rPr>
          <w:rFonts w:cs="Times New Roman"/>
        </w:rPr>
        <w:t>r</w:t>
      </w:r>
      <w:r w:rsidRPr="00EF1DA3">
        <w:rPr>
          <w:rFonts w:cs="Times New Roman"/>
        </w:rPr>
        <w:t xml:space="preserve">ed </w:t>
      </w:r>
      <w:r w:rsidRPr="00EF1DA3" w:rsidR="001A5F7E">
        <w:rPr>
          <w:rFonts w:cs="Times New Roman"/>
        </w:rPr>
        <w:t>s</w:t>
      </w:r>
      <w:r w:rsidRPr="00EF1DA3">
        <w:rPr>
          <w:rFonts w:cs="Times New Roman"/>
        </w:rPr>
        <w:t>napper</w:t>
      </w:r>
      <w:r w:rsidRPr="00EF1DA3" w:rsidR="009F47B4">
        <w:rPr>
          <w:rFonts w:cs="Times New Roman"/>
        </w:rPr>
        <w:t>,</w:t>
      </w:r>
      <w:r w:rsidRPr="00EF1DA3">
        <w:rPr>
          <w:rFonts w:cs="Times New Roman"/>
        </w:rPr>
        <w:t xml:space="preserve"> and </w:t>
      </w:r>
      <w:r w:rsidRPr="00EF1DA3" w:rsidR="001A5F7E">
        <w:rPr>
          <w:rFonts w:cs="Times New Roman"/>
        </w:rPr>
        <w:t>g</w:t>
      </w:r>
      <w:r w:rsidRPr="00EF1DA3">
        <w:rPr>
          <w:rFonts w:cs="Times New Roman"/>
        </w:rPr>
        <w:t xml:space="preserve">roupers and </w:t>
      </w:r>
      <w:r w:rsidRPr="00EF1DA3" w:rsidR="001A5F7E">
        <w:rPr>
          <w:rFonts w:cs="Times New Roman"/>
        </w:rPr>
        <w:t>t</w:t>
      </w:r>
      <w:r w:rsidRPr="00EF1DA3">
        <w:rPr>
          <w:rFonts w:cs="Times New Roman"/>
        </w:rPr>
        <w:t xml:space="preserve">ilefishes </w:t>
      </w:r>
      <w:r w:rsidRPr="00EF1DA3" w:rsidR="009D4F38">
        <w:rPr>
          <w:rFonts w:cs="Times New Roman"/>
        </w:rPr>
        <w:t>individual fishing quota (IFQ) program</w:t>
      </w:r>
      <w:r w:rsidRPr="00EF1DA3" w:rsidR="00A03534">
        <w:rPr>
          <w:rFonts w:cs="Times New Roman"/>
        </w:rPr>
        <w:t>s</w:t>
      </w:r>
      <w:r w:rsidRPr="00EF1DA3" w:rsidR="009D4F38">
        <w:rPr>
          <w:rFonts w:cs="Times New Roman"/>
        </w:rPr>
        <w:t xml:space="preserve"> </w:t>
      </w:r>
      <w:r w:rsidRPr="00EF1DA3">
        <w:rPr>
          <w:rFonts w:cs="Times New Roman"/>
        </w:rPr>
        <w:t xml:space="preserve">in the </w:t>
      </w:r>
      <w:r w:rsidRPr="00EF1DA3" w:rsidR="009D4F38">
        <w:rPr>
          <w:rFonts w:cs="Times New Roman"/>
        </w:rPr>
        <w:t>Gulf of Mexico</w:t>
      </w:r>
      <w:r w:rsidRPr="00EF1DA3" w:rsidR="001A5F7E">
        <w:rPr>
          <w:rFonts w:cs="Times New Roman"/>
        </w:rPr>
        <w:t xml:space="preserve"> (Gulf),</w:t>
      </w:r>
      <w:r w:rsidRPr="00EF1DA3" w:rsidR="009D4F38">
        <w:rPr>
          <w:rFonts w:cs="Times New Roman"/>
        </w:rPr>
        <w:t xml:space="preserve"> and the wreckfish individual transferable quota (ITQ) program in the South Atlantic</w:t>
      </w:r>
      <w:r w:rsidRPr="00EF1DA3">
        <w:rPr>
          <w:rFonts w:cs="Times New Roman"/>
        </w:rPr>
        <w:t xml:space="preserve">. </w:t>
      </w:r>
      <w:r w:rsidRPr="00EF1DA3" w:rsidR="00A03534">
        <w:rPr>
          <w:rFonts w:cs="Times New Roman"/>
        </w:rPr>
        <w:t>The purpose of t</w:t>
      </w:r>
      <w:r w:rsidRPr="00EF1DA3">
        <w:rPr>
          <w:rFonts w:cs="Times New Roman"/>
        </w:rPr>
        <w:t xml:space="preserve">hese programs </w:t>
      </w:r>
      <w:r w:rsidRPr="00EF1DA3" w:rsidR="00A03534">
        <w:rPr>
          <w:rFonts w:cs="Times New Roman"/>
        </w:rPr>
        <w:t>is</w:t>
      </w:r>
      <w:r w:rsidRPr="00EF1DA3">
        <w:rPr>
          <w:rFonts w:cs="Times New Roman"/>
        </w:rPr>
        <w:t xml:space="preserve"> to address overcapitalization, prevent derby fishery conditions, and prevent overfishing of these fisher</w:t>
      </w:r>
      <w:r w:rsidRPr="00EF1DA3" w:rsidR="00B32092">
        <w:rPr>
          <w:rFonts w:cs="Times New Roman"/>
        </w:rPr>
        <w:t>ies</w:t>
      </w:r>
      <w:r w:rsidRPr="00EF1DA3">
        <w:rPr>
          <w:rFonts w:cs="Times New Roman"/>
        </w:rPr>
        <w:t xml:space="preserve"> resources.</w:t>
      </w:r>
    </w:p>
    <w:p w:rsidRPr="00EF1DA3" w:rsidR="008D28E4" w:rsidP="00DF1141" w:rsidRDefault="008D28E4" w14:paraId="6F9A7AB6" w14:textId="388356EF">
      <w:pPr>
        <w:rPr>
          <w:rFonts w:cs="Times New Roman"/>
        </w:rPr>
      </w:pPr>
    </w:p>
    <w:p w:rsidRPr="00EF1DA3" w:rsidR="006636B9" w:rsidP="00DF1141" w:rsidRDefault="002F16C5" w14:paraId="7368D879" w14:textId="1834EC89">
      <w:pPr>
        <w:rPr>
          <w:rFonts w:cs="Times New Roman"/>
        </w:rPr>
      </w:pPr>
      <w:r w:rsidRPr="00EF1DA3">
        <w:rPr>
          <w:rFonts w:cs="Times New Roman"/>
        </w:rPr>
        <w:t xml:space="preserve">NMFS proposes </w:t>
      </w:r>
      <w:r w:rsidRPr="00EF1DA3" w:rsidR="00AD5AF6">
        <w:rPr>
          <w:rFonts w:cs="Times New Roman"/>
        </w:rPr>
        <w:t xml:space="preserve">revisions </w:t>
      </w:r>
      <w:r w:rsidRPr="00EF1DA3" w:rsidR="001A5F7E">
        <w:rPr>
          <w:rFonts w:cs="Times New Roman"/>
        </w:rPr>
        <w:t xml:space="preserve">to </w:t>
      </w:r>
      <w:r w:rsidRPr="00EF1DA3">
        <w:rPr>
          <w:rFonts w:cs="Times New Roman"/>
        </w:rPr>
        <w:t xml:space="preserve">the </w:t>
      </w:r>
      <w:r w:rsidRPr="00EF1DA3" w:rsidR="00AD5AF6">
        <w:rPr>
          <w:rFonts w:cs="Times New Roman"/>
        </w:rPr>
        <w:t xml:space="preserve">approved </w:t>
      </w:r>
      <w:r w:rsidRPr="00EF1DA3">
        <w:rPr>
          <w:rFonts w:cs="Times New Roman"/>
        </w:rPr>
        <w:t xml:space="preserve">IFQ Online Account Application to collect </w:t>
      </w:r>
      <w:r w:rsidRPr="00EF1DA3" w:rsidR="00477A34">
        <w:rPr>
          <w:rFonts w:cs="Times New Roman"/>
        </w:rPr>
        <w:t xml:space="preserve">additional </w:t>
      </w:r>
      <w:r w:rsidRPr="00EF1DA3">
        <w:rPr>
          <w:rFonts w:cs="Times New Roman"/>
        </w:rPr>
        <w:t>busines</w:t>
      </w:r>
      <w:r w:rsidRPr="00EF1DA3" w:rsidR="000A375D">
        <w:rPr>
          <w:rFonts w:cs="Times New Roman"/>
        </w:rPr>
        <w:t>s and demographic information</w:t>
      </w:r>
      <w:r w:rsidRPr="00EF1DA3" w:rsidR="00477A34">
        <w:rPr>
          <w:rFonts w:cs="Times New Roman"/>
        </w:rPr>
        <w:t>,</w:t>
      </w:r>
      <w:r w:rsidRPr="00EF1DA3" w:rsidR="000A375D">
        <w:rPr>
          <w:rFonts w:cs="Times New Roman"/>
        </w:rPr>
        <w:t xml:space="preserve"> as well as </w:t>
      </w:r>
      <w:r w:rsidRPr="00EF1DA3" w:rsidR="00AD5AF6">
        <w:rPr>
          <w:rFonts w:cs="Times New Roman"/>
        </w:rPr>
        <w:t xml:space="preserve">to the approved Dealer Landing Transaction Report to </w:t>
      </w:r>
      <w:r w:rsidRPr="00EF1DA3" w:rsidR="00F56DF7">
        <w:rPr>
          <w:rFonts w:cs="Times New Roman"/>
        </w:rPr>
        <w:t xml:space="preserve">add a requirement to input the vessel signature </w:t>
      </w:r>
      <w:r w:rsidRPr="00EF1DA3" w:rsidR="001A5F7E">
        <w:rPr>
          <w:rFonts w:cs="Times New Roman"/>
        </w:rPr>
        <w:t>personal identification number (</w:t>
      </w:r>
      <w:r w:rsidRPr="00EF1DA3" w:rsidR="00F56DF7">
        <w:rPr>
          <w:rFonts w:cs="Times New Roman"/>
        </w:rPr>
        <w:t>PIN</w:t>
      </w:r>
      <w:r w:rsidRPr="00EF1DA3" w:rsidR="001A5F7E">
        <w:rPr>
          <w:rFonts w:cs="Times New Roman"/>
        </w:rPr>
        <w:t>)</w:t>
      </w:r>
      <w:r w:rsidRPr="00EF1DA3" w:rsidR="00F56DF7">
        <w:rPr>
          <w:rFonts w:cs="Times New Roman"/>
        </w:rPr>
        <w:t xml:space="preserve"> a second time </w:t>
      </w:r>
      <w:r w:rsidRPr="00EF1DA3" w:rsidR="00477A34">
        <w:rPr>
          <w:rFonts w:cs="Times New Roman"/>
        </w:rPr>
        <w:t xml:space="preserve">if a </w:t>
      </w:r>
      <w:r w:rsidR="00626B1B">
        <w:rPr>
          <w:rFonts w:cs="Times New Roman"/>
        </w:rPr>
        <w:t xml:space="preserve">specific </w:t>
      </w:r>
      <w:r w:rsidRPr="00EF1DA3" w:rsidR="00477A34">
        <w:rPr>
          <w:rFonts w:cs="Times New Roman"/>
        </w:rPr>
        <w:t>criterion is met</w:t>
      </w:r>
      <w:r w:rsidRPr="00EF1DA3" w:rsidR="00F56DF7">
        <w:rPr>
          <w:rFonts w:cs="Times New Roman"/>
        </w:rPr>
        <w:t>.</w:t>
      </w:r>
    </w:p>
    <w:p w:rsidRPr="00EF1DA3" w:rsidR="006636B9" w:rsidP="00DF1141" w:rsidRDefault="006636B9" w14:paraId="79E8C562" w14:textId="77777777">
      <w:pPr>
        <w:rPr>
          <w:rFonts w:cs="Times New Roman"/>
        </w:rPr>
      </w:pPr>
    </w:p>
    <w:p w:rsidRPr="00EF1DA3" w:rsidR="006636B9" w:rsidP="006636B9" w:rsidRDefault="006636B9" w14:paraId="15E87FD2" w14:textId="6BC8CDFD">
      <w:pPr>
        <w:contextualSpacing/>
        <w:rPr>
          <w:rFonts w:cs="Times New Roman"/>
        </w:rPr>
      </w:pPr>
      <w:r w:rsidRPr="00EF1DA3">
        <w:rPr>
          <w:rFonts w:cs="Times New Roman"/>
        </w:rPr>
        <w:t>The purpose of revising the IFQ Online Account Application is to better comply with National Standard 4 (NS4) of the Magnuson-Stevens Act, the Regulatory Flexibility Act (RFA), and the Small Business Administration’s regulations implementing the RFA, Executive Order</w:t>
      </w:r>
      <w:r w:rsidRPr="00EF1DA3" w:rsidR="00662779">
        <w:rPr>
          <w:rFonts w:cs="Times New Roman"/>
        </w:rPr>
        <w:t xml:space="preserve"> (E.O.)</w:t>
      </w:r>
      <w:r w:rsidRPr="00EF1DA3">
        <w:rPr>
          <w:rFonts w:cs="Times New Roman"/>
        </w:rPr>
        <w:t xml:space="preserve"> 12898, and the “fairness and equitable distribution” provisions of the Magnuson-Stevens Act, including NS4 and section 303(b)(6). The purpose of revising the Dealer Landing Transaction Report is to better inform participants in the Gulf IFQ programs and require an additional verification from them when the existing flexibility measure of a 10 percent overage of their allocation would occur.</w:t>
      </w:r>
    </w:p>
    <w:p w:rsidRPr="00EF1DA3" w:rsidR="006636B9" w:rsidP="006636B9" w:rsidRDefault="006636B9" w14:paraId="56E6AEDB" w14:textId="77777777">
      <w:pPr>
        <w:contextualSpacing/>
        <w:rPr>
          <w:rFonts w:cs="Times New Roman"/>
        </w:rPr>
      </w:pPr>
    </w:p>
    <w:p w:rsidRPr="00EF1DA3" w:rsidR="006636B9" w:rsidP="006636B9" w:rsidRDefault="006636B9" w14:paraId="137C5BE1" w14:textId="6EF59539">
      <w:pPr>
        <w:contextualSpacing/>
        <w:rPr>
          <w:rFonts w:cs="Times New Roman"/>
        </w:rPr>
      </w:pPr>
      <w:r w:rsidRPr="00EF1DA3">
        <w:rPr>
          <w:rFonts w:cs="Times New Roman"/>
        </w:rPr>
        <w:t xml:space="preserve">If implemented by NMFS, these administrative revisions would slightly increase the estimated time per response to complete the IFQ Online Account Application. However, the estimated time per response for the Dealer Landing Transaction Report is not expected to change. The </w:t>
      </w:r>
      <w:r w:rsidRPr="00EF1DA3" w:rsidR="009C747C">
        <w:rPr>
          <w:rFonts w:cs="Times New Roman"/>
        </w:rPr>
        <w:t xml:space="preserve">estimated </w:t>
      </w:r>
      <w:r w:rsidRPr="00EF1DA3">
        <w:rPr>
          <w:rFonts w:cs="Times New Roman"/>
        </w:rPr>
        <w:t>cost</w:t>
      </w:r>
      <w:r w:rsidRPr="00EF1DA3" w:rsidR="009C747C">
        <w:rPr>
          <w:rFonts w:cs="Times New Roman"/>
        </w:rPr>
        <w:t xml:space="preserve"> burden</w:t>
      </w:r>
      <w:r w:rsidRPr="00EF1DA3">
        <w:rPr>
          <w:rFonts w:cs="Times New Roman"/>
        </w:rPr>
        <w:t xml:space="preserve"> of both the IFQ Online Account Application and the Dealer Landing Transaction Report would remain the same. </w:t>
      </w:r>
    </w:p>
    <w:p w:rsidRPr="00EF1DA3" w:rsidR="009E0C0F" w:rsidP="00DF1141" w:rsidRDefault="009E0C0F" w14:paraId="6A9C19E4" w14:textId="77777777">
      <w:pPr>
        <w:pStyle w:val="Heading1"/>
        <w:spacing w:before="0"/>
        <w:ind w:left="0"/>
        <w:rPr>
          <w:rFonts w:cs="Times New Roman"/>
          <w:b w:val="0"/>
        </w:rPr>
      </w:pPr>
    </w:p>
    <w:p w:rsidRPr="00EF1DA3" w:rsidR="008E61C9" w:rsidP="00DF1141" w:rsidRDefault="001477A3" w14:paraId="546F5C79" w14:textId="4650647F">
      <w:pPr>
        <w:pStyle w:val="Heading1"/>
        <w:spacing w:before="0"/>
        <w:ind w:left="0"/>
        <w:rPr>
          <w:rFonts w:cs="Times New Roman"/>
        </w:rPr>
      </w:pPr>
      <w:r w:rsidRPr="00EF1DA3">
        <w:rPr>
          <w:rFonts w:cs="Times New Roman"/>
        </w:rPr>
        <w:t>Justification</w:t>
      </w:r>
    </w:p>
    <w:p w:rsidRPr="00EF1DA3" w:rsidR="00DF1141" w:rsidP="00DF1141" w:rsidRDefault="00DF1141" w14:paraId="152C2E30" w14:textId="77777777">
      <w:pPr>
        <w:pStyle w:val="Heading1"/>
        <w:spacing w:before="0"/>
        <w:ind w:left="0"/>
        <w:rPr>
          <w:rFonts w:cs="Times New Roman"/>
          <w:b w:val="0"/>
        </w:rPr>
      </w:pPr>
    </w:p>
    <w:p w:rsidRPr="00EF1DA3" w:rsidR="008E61C9" w:rsidP="00DF1141" w:rsidRDefault="001477A3" w14:paraId="4F3B62B3" w14:textId="77777777">
      <w:pPr>
        <w:pStyle w:val="ListParagraph"/>
        <w:numPr>
          <w:ilvl w:val="0"/>
          <w:numId w:val="7"/>
        </w:numPr>
        <w:tabs>
          <w:tab w:val="left" w:pos="360"/>
        </w:tabs>
        <w:spacing w:before="0"/>
        <w:ind w:left="0" w:firstLine="0"/>
        <w:rPr>
          <w:rFonts w:cs="Times New Roman"/>
          <w:b/>
        </w:rPr>
      </w:pPr>
      <w:r w:rsidRPr="00EF1DA3">
        <w:rPr>
          <w:rFonts w:cs="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F1DA3" w:rsidR="00BE4DC0" w:rsidP="00DF1141" w:rsidRDefault="00BE4DC0" w14:paraId="34465794" w14:textId="77777777">
      <w:pPr>
        <w:pStyle w:val="ListParagraph"/>
        <w:spacing w:before="0"/>
        <w:ind w:left="0" w:firstLine="0"/>
        <w:rPr>
          <w:rFonts w:cs="Times New Roman"/>
        </w:rPr>
      </w:pPr>
    </w:p>
    <w:p w:rsidRPr="00EF1DA3" w:rsidR="00BE4DC0" w:rsidP="00DF1141" w:rsidRDefault="00BE4DC0" w14:paraId="099A877C" w14:textId="57A3D63B">
      <w:pPr>
        <w:pStyle w:val="ListParagraph"/>
        <w:spacing w:before="0"/>
        <w:ind w:left="0" w:firstLine="0"/>
        <w:rPr>
          <w:rFonts w:cs="Times New Roman"/>
        </w:rPr>
      </w:pPr>
      <w:r w:rsidRPr="00EF1DA3">
        <w:rPr>
          <w:rFonts w:cs="Times New Roman"/>
        </w:rPr>
        <w:t>The Magnuson-Stevens Fishery Conservation and Management Act (</w:t>
      </w:r>
      <w:hyperlink w:history="1" r:id="rId8">
        <w:r w:rsidRPr="00EF1DA3">
          <w:rPr>
            <w:rStyle w:val="Hyperlink"/>
            <w:rFonts w:cs="Times New Roman"/>
            <w:color w:val="auto"/>
          </w:rPr>
          <w:t>Magnuson-Stevens Act</w:t>
        </w:r>
      </w:hyperlink>
      <w:r w:rsidRPr="00EF1DA3">
        <w:rPr>
          <w:rFonts w:cs="Times New Roman"/>
        </w:rPr>
        <w:t xml:space="preserve">) authorizes each of the regional fishery management councils to prepare and amend fishery management plans (FMPs) for any fishery in federal waters under its jurisdiction. In the U.S. southeast region, the National Oceanic and Atmospheric Administration (NOAA), </w:t>
      </w:r>
      <w:r w:rsidRPr="00EF1DA3">
        <w:rPr>
          <w:rStyle w:val="s1"/>
          <w:rFonts w:ascii="Times New Roman" w:hAnsi="Times New Roman" w:cs="Times New Roman"/>
          <w:color w:val="auto"/>
          <w:sz w:val="24"/>
          <w:szCs w:val="24"/>
        </w:rPr>
        <w:t>National Marine Fisheries Service (NMFS</w:t>
      </w:r>
      <w:r w:rsidRPr="00EF1DA3">
        <w:rPr>
          <w:rFonts w:cs="Times New Roman"/>
        </w:rPr>
        <w:t xml:space="preserve">) manages three catch share programs for commercial fisheries. The </w:t>
      </w:r>
      <w:r w:rsidRPr="00EF1DA3" w:rsidR="009D4F38">
        <w:rPr>
          <w:rFonts w:cs="Times New Roman"/>
        </w:rPr>
        <w:t>IFQ</w:t>
      </w:r>
      <w:r w:rsidRPr="00EF1DA3">
        <w:rPr>
          <w:rFonts w:cs="Times New Roman"/>
        </w:rPr>
        <w:t xml:space="preserve"> programs for red snapper, and groupers and tilefishes are managed under the FMP for the Reef Fish Resources of the Gulf (Gulf Reef Fish FMP), which was developed by the Gulf of Mexico Fishery Management Council. NMFS </w:t>
      </w:r>
      <w:r w:rsidRPr="00EF1DA3">
        <w:rPr>
          <w:rFonts w:cs="Times New Roman"/>
        </w:rPr>
        <w:lastRenderedPageBreak/>
        <w:t xml:space="preserve">implemented the Gulf IFQ programs </w:t>
      </w:r>
      <w:r w:rsidRPr="00EF1DA3" w:rsidR="00C86CED">
        <w:rPr>
          <w:rFonts w:cs="Times New Roman"/>
        </w:rPr>
        <w:t xml:space="preserve">via regulations </w:t>
      </w:r>
      <w:r w:rsidRPr="00EF1DA3">
        <w:rPr>
          <w:rFonts w:cs="Times New Roman"/>
        </w:rPr>
        <w:t xml:space="preserve">in 2006 and 2009, respectively. The wreckfish ITQ program is managed under the FMP for the Snapper-Grouper Fishery of the South Atlantic Region, which was developed by the South Atlantic Fishery Management Council. NMFS implemented the South Atlantic wreckfish ITQ program </w:t>
      </w:r>
      <w:r w:rsidRPr="00EF1DA3" w:rsidR="00C86CED">
        <w:rPr>
          <w:rFonts w:cs="Times New Roman"/>
        </w:rPr>
        <w:t xml:space="preserve">via regulations </w:t>
      </w:r>
      <w:r w:rsidRPr="00EF1DA3">
        <w:rPr>
          <w:rFonts w:cs="Times New Roman"/>
        </w:rPr>
        <w:t>in 1992.</w:t>
      </w:r>
    </w:p>
    <w:p w:rsidRPr="00EF1DA3" w:rsidR="00BE4DC0" w:rsidP="00BE4DC0" w:rsidRDefault="00BE4DC0" w14:paraId="084C54CD" w14:textId="77777777">
      <w:pPr>
        <w:pStyle w:val="ListParagraph"/>
        <w:spacing w:before="0"/>
        <w:ind w:left="0" w:firstLine="0"/>
        <w:rPr>
          <w:rFonts w:cs="Times New Roman"/>
        </w:rPr>
      </w:pPr>
    </w:p>
    <w:p w:rsidRPr="00EF1DA3" w:rsidR="00BE4DC0" w:rsidP="00BE4DC0" w:rsidRDefault="00BE4DC0" w14:paraId="735DEB26" w14:textId="77777777">
      <w:pPr>
        <w:pStyle w:val="ListParagraph"/>
        <w:spacing w:before="0"/>
        <w:ind w:left="0" w:firstLine="0"/>
        <w:rPr>
          <w:rFonts w:cs="Times New Roman"/>
        </w:rPr>
      </w:pPr>
      <w:r w:rsidRPr="00EF1DA3">
        <w:rPr>
          <w:rFonts w:cs="Times New Roman"/>
        </w:rPr>
        <w:t xml:space="preserve">At the start of each IFQ and ITQ program, NMFS allocated shares (percentages) of the quota to commercial fishermen. Each year shares result in annual allocation (pounds of fish) that limits how many pounds of fish that fishermen can harvest annually. Fishermen can transfer shares or allocation to other IFQ and ITQ program participants 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Division, Limited-Access Privilege Programs (LAPPs) and Data Management Branch for paper-based South Atlantic wreckfish share transfer transactions. </w:t>
      </w:r>
    </w:p>
    <w:p w:rsidRPr="00EF1DA3" w:rsidR="00BE4DC0" w:rsidP="00BE4DC0" w:rsidRDefault="00BE4DC0" w14:paraId="75131739" w14:textId="77777777">
      <w:pPr>
        <w:pStyle w:val="ListParagraph"/>
        <w:spacing w:before="0"/>
        <w:ind w:left="0" w:firstLine="0"/>
        <w:rPr>
          <w:rFonts w:cs="Times New Roman"/>
        </w:rPr>
      </w:pPr>
    </w:p>
    <w:p w:rsidRPr="00EF1DA3" w:rsidR="00BE4DC0" w:rsidP="00BE4DC0" w:rsidRDefault="00BE4DC0" w14:paraId="786EE0D0" w14:textId="1FAD3864">
      <w:pPr>
        <w:pStyle w:val="ListParagraph"/>
        <w:spacing w:before="0"/>
        <w:ind w:left="0" w:firstLine="0"/>
        <w:rPr>
          <w:rFonts w:cs="Times New Roman"/>
        </w:rPr>
      </w:pPr>
      <w:r w:rsidRPr="00EF1DA3">
        <w:rPr>
          <w:rFonts w:cs="Times New Roman"/>
        </w:rPr>
        <w:t xml:space="preserve">Since the IFQ and ITQ programs began, NMFS has been collecting this information to administer and operate </w:t>
      </w:r>
      <w:r w:rsidRPr="00EF1DA3" w:rsidR="00AC43DF">
        <w:rPr>
          <w:rFonts w:cs="Times New Roman"/>
        </w:rPr>
        <w:t>the</w:t>
      </w:r>
      <w:r w:rsidRPr="00EF1DA3">
        <w:rPr>
          <w:rFonts w:cs="Times New Roman"/>
        </w:rPr>
        <w:t xml:space="preserve"> programs</w:t>
      </w:r>
      <w:r w:rsidRPr="00EF1DA3" w:rsidR="00C86CED">
        <w:rPr>
          <w:rFonts w:cs="Times New Roman"/>
        </w:rPr>
        <w:t xml:space="preserve"> that</w:t>
      </w:r>
      <w:r w:rsidRPr="00EF1DA3">
        <w:rPr>
          <w:rFonts w:cs="Times New Roman"/>
        </w:rPr>
        <w:t xml:space="preserve"> are intended to address overcapitalization, prevent derby fishery conditions, and prevent overfishing of these fishery resources. </w:t>
      </w:r>
    </w:p>
    <w:p w:rsidRPr="00EF1DA3" w:rsidR="00BE4DC0" w:rsidP="00BE4DC0" w:rsidRDefault="00BE4DC0" w14:paraId="50B3762F" w14:textId="77777777">
      <w:pPr>
        <w:pStyle w:val="ListParagraph"/>
        <w:spacing w:before="0"/>
        <w:ind w:left="0" w:firstLine="0"/>
        <w:rPr>
          <w:rFonts w:cs="Times New Roman"/>
        </w:rPr>
      </w:pPr>
    </w:p>
    <w:p w:rsidRPr="00EF1DA3" w:rsidR="00BE4DC0" w:rsidP="00BE4DC0" w:rsidRDefault="00BE4DC0" w14:paraId="0FC9D533" w14:textId="730646C4">
      <w:pPr>
        <w:pStyle w:val="ListParagraph"/>
        <w:spacing w:before="0"/>
        <w:ind w:left="0" w:firstLine="0"/>
        <w:rPr>
          <w:rFonts w:cs="Times New Roman"/>
        </w:rPr>
      </w:pPr>
      <w:r w:rsidRPr="00EF1DA3">
        <w:rPr>
          <w:rFonts w:cs="Times New Roman"/>
        </w:rPr>
        <w:t>The information collection under OMB Control No. 0648-0551 addresses IFQ shares, ITQ share certificates (for wreckfish ITQ), and allocation debits and transfers, as well as collection of landings information necessary to operate, administer, and review management of commercial red snapper, and groupers and tilefishes in the Gulf, and wreckfish in the South Atlantic.</w:t>
      </w:r>
    </w:p>
    <w:p w:rsidRPr="00EF1DA3" w:rsidR="000A375D" w:rsidP="00BE4DC0" w:rsidRDefault="000A375D" w14:paraId="6129F51B" w14:textId="4303F32F">
      <w:pPr>
        <w:pStyle w:val="ListParagraph"/>
        <w:spacing w:before="0"/>
        <w:ind w:left="0" w:firstLine="0"/>
        <w:rPr>
          <w:rFonts w:cs="Times New Roman"/>
        </w:rPr>
      </w:pPr>
    </w:p>
    <w:p w:rsidRPr="00EF1DA3" w:rsidR="000A375D" w:rsidP="000A375D" w:rsidRDefault="000A375D" w14:paraId="60188299" w14:textId="5C5B30E8">
      <w:pPr>
        <w:rPr>
          <w:rFonts w:cs="Times New Roman"/>
        </w:rPr>
      </w:pPr>
      <w:r w:rsidRPr="00EF1DA3">
        <w:rPr>
          <w:rFonts w:cs="Times New Roman"/>
        </w:rPr>
        <w:t>The purpose of revising and expanding the IFQ Online Account Application is to better comply with NS4 of the Magnuson-Stevens Act</w:t>
      </w:r>
      <w:r w:rsidR="00AC43DF">
        <w:rPr>
          <w:rFonts w:cs="Times New Roman"/>
        </w:rPr>
        <w:t>. NS4</w:t>
      </w:r>
      <w:r w:rsidRPr="00EF1DA3">
        <w:rPr>
          <w:rFonts w:cs="Times New Roman"/>
        </w:rPr>
        <w:t xml:space="preserve"> states, in part: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w:t>
      </w:r>
    </w:p>
    <w:p w:rsidRPr="00EF1DA3" w:rsidR="000A375D" w:rsidP="000A375D" w:rsidRDefault="000A375D" w14:paraId="275717AD" w14:textId="77777777">
      <w:pPr>
        <w:widowControl/>
        <w:autoSpaceDE/>
        <w:autoSpaceDN/>
        <w:rPr>
          <w:rFonts w:cs="Times New Roman"/>
        </w:rPr>
      </w:pPr>
    </w:p>
    <w:p w:rsidRPr="00EF1DA3" w:rsidR="000A375D" w:rsidP="000A375D" w:rsidRDefault="000A375D" w14:paraId="5334177F" w14:textId="3FC8AB19">
      <w:pPr>
        <w:widowControl/>
        <w:autoSpaceDE/>
        <w:autoSpaceDN/>
        <w:rPr>
          <w:rFonts w:cs="Times New Roman"/>
        </w:rPr>
      </w:pPr>
      <w:r w:rsidRPr="00EF1DA3">
        <w:rPr>
          <w:rFonts w:cs="Times New Roman"/>
        </w:rPr>
        <w:t>In addition, the RFA and the Small Business Administration's (SBA) regulations implementing the RFA require federal agencies, including NMFS, to determine whether their rulemakings have a significant, adverse economic effect on “small” entities (e.g., businesses) directly regulated by those rulemakings. Agencies must also determine whether their rulemakings have any disproportionate economic effects on small entities relative to large entities. The determination of an entity’s size must account for affiliation between entities (i.e., when one business partly or wholly owns another business).</w:t>
      </w:r>
    </w:p>
    <w:p w:rsidRPr="00EF1DA3" w:rsidR="000A375D" w:rsidP="000A375D" w:rsidRDefault="000A375D" w14:paraId="10764033" w14:textId="77777777">
      <w:pPr>
        <w:widowControl/>
        <w:autoSpaceDE/>
        <w:autoSpaceDN/>
        <w:rPr>
          <w:rFonts w:cs="Times New Roman"/>
        </w:rPr>
      </w:pPr>
    </w:p>
    <w:p w:rsidRPr="00EF1DA3" w:rsidR="000A375D" w:rsidP="000A375D" w:rsidRDefault="000A375D" w14:paraId="2389AEEF" w14:textId="77777777">
      <w:pPr>
        <w:widowControl/>
        <w:autoSpaceDE/>
        <w:autoSpaceDN/>
        <w:rPr>
          <w:rFonts w:cs="Times New Roman"/>
        </w:rPr>
      </w:pPr>
      <w:r w:rsidRPr="00EF1DA3">
        <w:rPr>
          <w:rFonts w:cs="Times New Roman"/>
        </w:rPr>
        <w:t xml:space="preserve">It is not possible to determine accurately whether businesses are affiliated, without ownership percentage data for all businesses that participate in the IFQ Program. </w:t>
      </w:r>
      <w:r w:rsidRPr="00EF1DA3">
        <w:rPr>
          <w:rFonts w:cs="Times New Roman"/>
          <w:shd w:val="clear" w:color="auto" w:fill="FFFFFF"/>
        </w:rPr>
        <w:t>Ownership percentage data is not currently collected for dealers, but there is anecdotal evidence that some dealers have ownership interests in commercial harvesting permits and vessels</w:t>
      </w:r>
      <w:r w:rsidRPr="00EF1DA3">
        <w:rPr>
          <w:rFonts w:cs="Times New Roman"/>
        </w:rPr>
        <w:t>. SERO thinks it is prudent to request that the IFQ Online Account Application confirm whether they are small or large entities as per SBA standards.</w:t>
      </w:r>
    </w:p>
    <w:p w:rsidRPr="00EF1DA3" w:rsidR="000A375D" w:rsidP="000A375D" w:rsidRDefault="000A375D" w14:paraId="7408C875" w14:textId="77777777">
      <w:pPr>
        <w:widowControl/>
        <w:autoSpaceDE/>
        <w:autoSpaceDN/>
        <w:rPr>
          <w:rFonts w:cs="Times New Roman"/>
        </w:rPr>
      </w:pPr>
    </w:p>
    <w:p w:rsidRPr="00EF1DA3" w:rsidR="000A375D" w:rsidP="000A375D" w:rsidRDefault="000A375D" w14:paraId="0FFF3535" w14:textId="77777777">
      <w:pPr>
        <w:rPr>
          <w:rFonts w:cs="Times New Roman"/>
          <w:shd w:val="clear" w:color="auto" w:fill="FFFFFF"/>
        </w:rPr>
      </w:pPr>
      <w:r w:rsidRPr="00EF1DA3">
        <w:rPr>
          <w:rFonts w:cs="Times New Roman"/>
        </w:rPr>
        <w:t>Based on the above</w:t>
      </w:r>
      <w:r w:rsidRPr="00EF1DA3">
        <w:rPr>
          <w:rFonts w:cs="Times New Roman"/>
          <w:shd w:val="clear" w:color="auto" w:fill="FFFFFF"/>
        </w:rPr>
        <w:t xml:space="preserve">, it has been determined that the proposed revisions to the </w:t>
      </w:r>
      <w:r w:rsidRPr="00EF1DA3">
        <w:rPr>
          <w:rFonts w:cs="Times New Roman"/>
        </w:rPr>
        <w:t xml:space="preserve">IFQ Online Account Application </w:t>
      </w:r>
      <w:r w:rsidRPr="00EF1DA3">
        <w:rPr>
          <w:rFonts w:cs="Times New Roman"/>
          <w:shd w:val="clear" w:color="auto" w:fill="FFFFFF"/>
        </w:rPr>
        <w:t xml:space="preserve">with respect to ownership data, form or type of business, and confirmation of whether entities are small or large are needed to better comply with NS4 of the Magnuson-Stevens Act and the </w:t>
      </w:r>
      <w:r w:rsidRPr="00EF1DA3">
        <w:rPr>
          <w:rFonts w:cs="Times New Roman"/>
          <w:shd w:val="clear" w:color="auto" w:fill="FFFFFF"/>
        </w:rPr>
        <w:lastRenderedPageBreak/>
        <w:t>RFA.</w:t>
      </w:r>
    </w:p>
    <w:p w:rsidRPr="00EF1DA3" w:rsidR="000A375D" w:rsidP="000A375D" w:rsidRDefault="000A375D" w14:paraId="4CA8D9BE" w14:textId="77777777">
      <w:pPr>
        <w:rPr>
          <w:rFonts w:cs="Times New Roman"/>
          <w:shd w:val="clear" w:color="auto" w:fill="FFFFFF"/>
        </w:rPr>
      </w:pPr>
    </w:p>
    <w:p w:rsidRPr="00EF1DA3" w:rsidR="000A375D" w:rsidP="000A375D" w:rsidRDefault="000A375D" w14:paraId="04B61D4D" w14:textId="038015B9">
      <w:pPr>
        <w:widowControl/>
        <w:autoSpaceDE/>
        <w:autoSpaceDN/>
        <w:rPr>
          <w:rFonts w:cs="Times New Roman"/>
          <w:shd w:val="clear" w:color="auto" w:fill="FFFFFF"/>
        </w:rPr>
      </w:pPr>
      <w:r w:rsidRPr="00EF1DA3">
        <w:rPr>
          <w:rFonts w:cs="Times New Roman"/>
        </w:rPr>
        <w:t xml:space="preserve">NMFS also proposes to add socioeconomic and demographic data collections to the </w:t>
      </w:r>
      <w:r w:rsidRPr="00EF1DA3" w:rsidR="00477A34">
        <w:rPr>
          <w:rFonts w:cs="Times New Roman"/>
        </w:rPr>
        <w:t>IFQ Online Account Application.</w:t>
      </w:r>
      <w:r w:rsidRPr="00EF1DA3">
        <w:rPr>
          <w:rFonts w:cs="Times New Roman"/>
        </w:rPr>
        <w:t xml:space="preserve"> </w:t>
      </w:r>
      <w:hyperlink w:history="1" r:id="rId9">
        <w:r w:rsidRPr="00EF1DA3">
          <w:rPr>
            <w:rStyle w:val="Hyperlink"/>
            <w:rFonts w:cs="Times New Roman"/>
            <w:color w:val="auto"/>
            <w:shd w:val="clear" w:color="auto" w:fill="FFFFFF"/>
          </w:rPr>
          <w:t>E.O. 12898</w:t>
        </w:r>
      </w:hyperlink>
      <w:r w:rsidRPr="00EF1DA3">
        <w:rPr>
          <w:rFonts w:cs="Times New Roman"/>
          <w:shd w:val="clear" w:color="auto" w:fill="FFFFFF"/>
        </w:rPr>
        <w:t xml:space="preserve"> requires federal agencies to analyze the environmental effects, including human health, economic and social effects, of federal regulatory actions whenever an analysis is required under the National Environmental Policy Act (NEPA). E.O. 12898 also requires the agency to mitigate any significant and adverse effects of its regulations, provide for effective minority participation in the NEPA process, and to collect, maintain and analyze data on minority populations. Finally, information on minorities is also needed to comply with the “fairness and equitable distribution” provisions of the Magnuson-Stevens Act, including NS4 and section 303(b)(6).</w:t>
      </w:r>
    </w:p>
    <w:p w:rsidRPr="00EF1DA3" w:rsidR="000A375D" w:rsidP="000A375D" w:rsidRDefault="000A375D" w14:paraId="598ECD31" w14:textId="77777777">
      <w:pPr>
        <w:rPr>
          <w:rFonts w:cs="Times New Roman"/>
        </w:rPr>
      </w:pPr>
    </w:p>
    <w:p w:rsidRPr="00EF1DA3" w:rsidR="000A375D" w:rsidP="00DF1141" w:rsidRDefault="000A375D" w14:paraId="5662AFCF" w14:textId="7CED9E28">
      <w:pPr>
        <w:rPr>
          <w:rFonts w:cs="Times New Roman"/>
          <w:shd w:val="clear" w:color="auto" w:fill="FFFFFF"/>
        </w:rPr>
      </w:pPr>
      <w:r w:rsidRPr="00EF1DA3">
        <w:rPr>
          <w:rFonts w:cs="Times New Roman"/>
        </w:rPr>
        <w:t>NMFS also proposes to add a requirement to input the vessel signature PIN a second time if the landing transaction</w:t>
      </w:r>
      <w:r w:rsidRPr="00EF1DA3" w:rsidR="00477A34">
        <w:rPr>
          <w:rFonts w:cs="Times New Roman"/>
        </w:rPr>
        <w:t xml:space="preserve"> would result in a 10% overage.</w:t>
      </w:r>
      <w:r w:rsidRPr="00EF1DA3">
        <w:rPr>
          <w:rFonts w:cs="Times New Roman"/>
        </w:rPr>
        <w:t xml:space="preserve"> The Gulf Red Snapper and Groupers and Tilefishes IFQ programs both provide a flexibility measure that allows shareholders who hold IFQ shares to land 10% over their remaining allocation on the last fishing trip of the year as long as the amount does not exceed the amount of shares held in the account. Any overage will be subtracted from the shareholder's allocation at the s</w:t>
      </w:r>
      <w:r w:rsidRPr="00EF1DA3" w:rsidR="00477A34">
        <w:rPr>
          <w:rFonts w:cs="Times New Roman"/>
        </w:rPr>
        <w:t xml:space="preserve">tart of the next fishing year. </w:t>
      </w:r>
      <w:r w:rsidRPr="00EF1DA3">
        <w:rPr>
          <w:rFonts w:cs="Times New Roman"/>
        </w:rPr>
        <w:t>However, currently, t</w:t>
      </w:r>
      <w:r w:rsidRPr="00EF1DA3">
        <w:rPr>
          <w:rFonts w:cs="Times New Roman"/>
          <w:shd w:val="clear" w:color="auto" w:fill="FFFFFF"/>
        </w:rPr>
        <w:t xml:space="preserve">here is no warning of </w:t>
      </w:r>
      <w:r w:rsidRPr="00EF1DA3" w:rsidR="000C509B">
        <w:rPr>
          <w:rFonts w:cs="Times New Roman"/>
          <w:shd w:val="clear" w:color="auto" w:fill="FFFFFF"/>
        </w:rPr>
        <w:t xml:space="preserve">when a 10% overage will occur. </w:t>
      </w:r>
      <w:r w:rsidRPr="00EF1DA3">
        <w:rPr>
          <w:rFonts w:cs="Times New Roman"/>
          <w:shd w:val="clear" w:color="auto" w:fill="FFFFFF"/>
        </w:rPr>
        <w:t xml:space="preserve">NMFS proposes to add a feature to the online system that will notify the shareholder that a 10% overage will occur (and in which categories) and require the </w:t>
      </w:r>
      <w:r w:rsidRPr="00EF1DA3">
        <w:rPr>
          <w:rFonts w:cs="Times New Roman"/>
        </w:rPr>
        <w:t xml:space="preserve">vessel signature PIN </w:t>
      </w:r>
      <w:r w:rsidRPr="00EF1DA3" w:rsidR="00477A34">
        <w:rPr>
          <w:rFonts w:cs="Times New Roman"/>
          <w:shd w:val="clear" w:color="auto" w:fill="FFFFFF"/>
        </w:rPr>
        <w:t xml:space="preserve">to accept the overage. </w:t>
      </w:r>
      <w:r w:rsidRPr="00EF1DA3" w:rsidR="00E70F20">
        <w:rPr>
          <w:rFonts w:cs="Times New Roman"/>
          <w:shd w:val="clear" w:color="auto" w:fill="FFFFFF"/>
        </w:rPr>
        <w:t>Although the 10% overage is utilized infrequently, t</w:t>
      </w:r>
      <w:r w:rsidRPr="00EF1DA3">
        <w:rPr>
          <w:rFonts w:cs="Times New Roman"/>
          <w:shd w:val="clear" w:color="auto" w:fill="FFFFFF"/>
        </w:rPr>
        <w:t>his will provide the shareholder the opportunity to transfer allocation and avoid using the 10% overage.</w:t>
      </w:r>
    </w:p>
    <w:p w:rsidRPr="00EF1DA3" w:rsidR="00BE4DC0" w:rsidP="003E50BC" w:rsidRDefault="00BE4DC0" w14:paraId="4D04BD20" w14:textId="293A5F2E">
      <w:pPr>
        <w:pStyle w:val="ListParagraph"/>
        <w:spacing w:before="0"/>
        <w:ind w:left="0" w:firstLine="0"/>
        <w:rPr>
          <w:rFonts w:cs="Times New Roman"/>
        </w:rPr>
      </w:pPr>
    </w:p>
    <w:p w:rsidRPr="00EF1DA3" w:rsidR="008E61C9" w:rsidP="003E50BC" w:rsidRDefault="001477A3" w14:paraId="0CCD04D0" w14:textId="03ABDA2F">
      <w:pPr>
        <w:pStyle w:val="Heading1"/>
        <w:numPr>
          <w:ilvl w:val="0"/>
          <w:numId w:val="7"/>
        </w:numPr>
        <w:tabs>
          <w:tab w:val="left" w:pos="360"/>
        </w:tabs>
        <w:spacing w:before="0"/>
        <w:ind w:left="0" w:firstLine="0"/>
        <w:rPr>
          <w:rFonts w:cs="Times New Roman"/>
        </w:rPr>
      </w:pPr>
      <w:r w:rsidRPr="00EF1DA3">
        <w:rPr>
          <w:rFonts w:cs="Times New Roman"/>
          <w:bCs w:val="0"/>
        </w:rPr>
        <w:t>Indicate how, by whom, and for what purpose the information is to be used. Except for a</w:t>
      </w:r>
      <w:r w:rsidRPr="00EF1DA3">
        <w:rPr>
          <w:rFonts w:cs="Times New Roman"/>
        </w:rPr>
        <w:t xml:space="preserve"> </w:t>
      </w:r>
      <w:r w:rsidRPr="00EF1DA3">
        <w:rPr>
          <w:rFonts w:cs="Times New Roman"/>
          <w:bCs w:val="0"/>
        </w:rPr>
        <w:t>new collection, indicate the actual use the agency has made of the information received from the</w:t>
      </w:r>
      <w:r w:rsidRPr="00EF1DA3">
        <w:rPr>
          <w:rFonts w:cs="Times New Roman"/>
        </w:rPr>
        <w:t xml:space="preserve"> current</w:t>
      </w:r>
      <w:r w:rsidRPr="00EF1DA3">
        <w:rPr>
          <w:rFonts w:cs="Times New Roman"/>
          <w:spacing w:val="-1"/>
        </w:rPr>
        <w:t xml:space="preserve"> </w:t>
      </w:r>
      <w:r w:rsidRPr="00EF1DA3">
        <w:rPr>
          <w:rFonts w:cs="Times New Roman"/>
        </w:rPr>
        <w:t>collection.</w:t>
      </w:r>
    </w:p>
    <w:p w:rsidRPr="00EF1DA3" w:rsidR="009D4F38" w:rsidP="003E50BC" w:rsidRDefault="009D4F38" w14:paraId="5A164E37" w14:textId="77777777">
      <w:pPr>
        <w:rPr>
          <w:rFonts w:cs="Times New Roman"/>
          <w:i/>
          <w:u w:val="single"/>
        </w:rPr>
      </w:pPr>
    </w:p>
    <w:p w:rsidRPr="00EF1DA3" w:rsidR="009D4F38" w:rsidP="003E50BC" w:rsidRDefault="009D4F38" w14:paraId="10E29A9F" w14:textId="5A21B47F">
      <w:pPr>
        <w:rPr>
          <w:rFonts w:cs="Times New Roman"/>
          <w:i/>
          <w:u w:val="single"/>
        </w:rPr>
      </w:pPr>
      <w:r w:rsidRPr="00EF1DA3">
        <w:rPr>
          <w:rFonts w:cs="Times New Roman"/>
          <w:i/>
          <w:u w:val="single"/>
        </w:rPr>
        <w:t>Gulf Red Snapper and Groupers and Tilefishes IFQ Programs</w:t>
      </w:r>
    </w:p>
    <w:p w:rsidRPr="00EF1DA3" w:rsidR="009D4F38" w:rsidP="003E50BC" w:rsidRDefault="009D4F38" w14:paraId="60527604" w14:textId="3D2465B1">
      <w:pPr>
        <w:pStyle w:val="CommentText"/>
        <w:ind w:left="0"/>
        <w:rPr>
          <w:sz w:val="24"/>
          <w:szCs w:val="24"/>
        </w:rPr>
      </w:pPr>
      <w:r w:rsidRPr="00EF1DA3">
        <w:rPr>
          <w:rFonts w:cs="Times New Roman"/>
          <w:sz w:val="24"/>
          <w:szCs w:val="24"/>
        </w:rPr>
        <w:t xml:space="preserve">IFQ share and allocation debits and transfers are tracked using an electronic accounting and reconciliation process developed by NMFS, in which IFQ shareholders or allocation holders, dealers, NMFS personnel, IFQ vessel account holders, and 24-hour customer service personnel participate. The IFQ share or allocation holder and dealer records </w:t>
      </w:r>
      <w:r w:rsidR="00AC43DF">
        <w:rPr>
          <w:rFonts w:cs="Times New Roman"/>
          <w:sz w:val="24"/>
          <w:szCs w:val="24"/>
        </w:rPr>
        <w:t xml:space="preserve">the </w:t>
      </w:r>
      <w:r w:rsidRPr="00EF1DA3">
        <w:rPr>
          <w:rFonts w:cs="Times New Roman"/>
          <w:sz w:val="24"/>
          <w:szCs w:val="24"/>
        </w:rPr>
        <w:t xml:space="preserve">share, allocation, and landing transactions, as well as landing notifications using the online web-based system </w:t>
      </w:r>
      <w:r w:rsidRPr="00EF1DA3">
        <w:rPr>
          <w:rFonts w:cs="Times New Roman"/>
          <w:bCs/>
          <w:sz w:val="24"/>
          <w:szCs w:val="24"/>
        </w:rPr>
        <w:t>(</w:t>
      </w:r>
      <w:r w:rsidRPr="00EF1DA3" w:rsidR="003E50BC">
        <w:rPr>
          <w:i/>
          <w:sz w:val="24"/>
          <w:szCs w:val="24"/>
        </w:rPr>
        <w:t>https://secatchshares.fisheries.noaa.gov/</w:t>
      </w:r>
      <w:r w:rsidRPr="00EF1DA3">
        <w:rPr>
          <w:rFonts w:cs="Times New Roman"/>
          <w:bCs/>
          <w:sz w:val="24"/>
          <w:szCs w:val="24"/>
        </w:rPr>
        <w:t>)</w:t>
      </w:r>
      <w:r w:rsidRPr="00EF1DA3">
        <w:rPr>
          <w:rFonts w:cs="Times New Roman"/>
          <w:sz w:val="24"/>
          <w:szCs w:val="24"/>
        </w:rPr>
        <w:t xml:space="preserve">. Transactions are completed and tracked in real-time to ensure proper accounting of share and allocation transfers, landing notifications, and landing transactions. Each </w:t>
      </w:r>
      <w:r w:rsidRPr="00EF1DA3" w:rsidR="000C509B">
        <w:rPr>
          <w:rFonts w:cs="Times New Roman"/>
          <w:sz w:val="24"/>
          <w:szCs w:val="24"/>
        </w:rPr>
        <w:t>participant</w:t>
      </w:r>
      <w:r w:rsidRPr="00EF1DA3">
        <w:rPr>
          <w:rFonts w:cs="Times New Roman"/>
          <w:sz w:val="24"/>
          <w:szCs w:val="24"/>
        </w:rPr>
        <w:t xml:space="preserve"> of the IFQ online system is assigned a User ID and password for logging in. </w:t>
      </w:r>
    </w:p>
    <w:p w:rsidRPr="00EF1DA3" w:rsidR="009D4F38" w:rsidP="003E50BC" w:rsidRDefault="009D4F38" w14:paraId="6882582A" w14:textId="1734E3D5">
      <w:pPr>
        <w:rPr>
          <w:rFonts w:cs="Times New Roman"/>
        </w:rPr>
      </w:pPr>
    </w:p>
    <w:p w:rsidRPr="00EF1DA3" w:rsidR="009D4F38" w:rsidP="003E50BC" w:rsidRDefault="009D4F38" w14:paraId="54D4A255" w14:textId="4AA43DFB">
      <w:pPr>
        <w:rPr>
          <w:rFonts w:cs="Times New Roman"/>
        </w:rPr>
      </w:pPr>
      <w:r w:rsidRPr="00EF1DA3">
        <w:rPr>
          <w:rFonts w:cs="Times New Roman"/>
        </w:rPr>
        <w:t xml:space="preserve">Frequency of use of the online system varies greatly among participants, depending on total shareholdings and numbers of fishing trips and landing transactions completed. Question 12 provides a summary of the number of annual responses NMFS expects to receive for online activities. NMFS and a 24-hour customer call service use the online system daily. </w:t>
      </w:r>
    </w:p>
    <w:p w:rsidRPr="00EF1DA3" w:rsidR="009D4F38" w:rsidP="009D4F38" w:rsidRDefault="009D4F38" w14:paraId="7C648ACA" w14:textId="77777777">
      <w:pPr>
        <w:rPr>
          <w:rFonts w:cs="Times New Roman"/>
        </w:rPr>
      </w:pPr>
    </w:p>
    <w:p w:rsidRPr="00EF1DA3" w:rsidR="009D4F38" w:rsidP="009D4F38" w:rsidRDefault="009D4F38" w14:paraId="382D6783" w14:textId="1582B504">
      <w:pPr>
        <w:rPr>
          <w:rFonts w:cs="Times New Roman"/>
          <w:bCs/>
        </w:rPr>
      </w:pPr>
      <w:r w:rsidRPr="00EF1DA3">
        <w:rPr>
          <w:rFonts w:cs="Times New Roman"/>
        </w:rPr>
        <w:t xml:space="preserve">NMFS monitors and audits IFQ transactions to ensure that share caps are not exceeded, landing notifications are made, and landing transactions are completed in a timely fashion. NMFS also monitors quota shares suspended prior to issuance and other legal actions taken against IFQ shareholders in which IFQ is garnished. </w:t>
      </w:r>
      <w:r w:rsidRPr="00EF1DA3">
        <w:rPr>
          <w:rFonts w:cs="Times New Roman"/>
          <w:bCs/>
        </w:rPr>
        <w:t xml:space="preserve">For enforcement purposes, IFQ landings must occur at pre-approved landing locations, fish must be sold to IFQ permitted dealers, and fish can only be offloaded between 6 a.m. and 6 p.m. daily. Persons landing IFQ species are required to notify NMFS at least 3 hours, but no more than 24 </w:t>
      </w:r>
      <w:r w:rsidRPr="00EF1DA3">
        <w:rPr>
          <w:rFonts w:cs="Times New Roman"/>
          <w:bCs/>
        </w:rPr>
        <w:lastRenderedPageBreak/>
        <w:t>hours, in advance of the time of landing and of the dealer location information where landing will occur.</w:t>
      </w:r>
    </w:p>
    <w:p w:rsidRPr="00EF1DA3" w:rsidR="009D4F38" w:rsidP="009D4F38" w:rsidRDefault="009D4F38" w14:paraId="5267296D" w14:textId="681447A5">
      <w:pPr>
        <w:rPr>
          <w:rFonts w:cs="Times New Roman"/>
          <w:bCs/>
        </w:rPr>
      </w:pPr>
    </w:p>
    <w:p w:rsidRPr="00EF1DA3" w:rsidR="009D4F38" w:rsidP="009D4F38" w:rsidRDefault="009D4F38" w14:paraId="30671EE9" w14:textId="61BEF9C1">
      <w:pPr>
        <w:rPr>
          <w:rFonts w:cs="Times New Roman"/>
          <w:u w:val="single"/>
        </w:rPr>
      </w:pPr>
      <w:r w:rsidRPr="00EF1DA3">
        <w:rPr>
          <w:rFonts w:cs="Times New Roman"/>
        </w:rPr>
        <w:t xml:space="preserve">During catastrophic conditions only, the IFQ program provides for use of paper-based components for basic required functions as a backup. NMFS determines when catastrophic conditions exist, the duration of the catastrophic conditions, and which participants or geographic areas are deemed affected by the catastrophic conditions. NMFS will provide timely notice to affected participants via publication of notification in the </w:t>
      </w:r>
      <w:r w:rsidRPr="00EF1DA3">
        <w:rPr>
          <w:rFonts w:cs="Times New Roman"/>
          <w:i/>
        </w:rPr>
        <w:t>Federal Register</w:t>
      </w:r>
      <w:r w:rsidRPr="00EF1DA3">
        <w:rPr>
          <w:rFonts w:cs="Times New Roman"/>
        </w:rPr>
        <w:t xml:space="preserve">, </w:t>
      </w:r>
      <w:r w:rsidRPr="00EF1DA3" w:rsidR="00E4671C">
        <w:rPr>
          <w:rFonts w:cs="Times New Roman"/>
        </w:rPr>
        <w:t>and other appropriate means</w:t>
      </w:r>
      <w:r w:rsidR="00E4671C">
        <w:rPr>
          <w:rFonts w:cs="Times New Roman"/>
        </w:rPr>
        <w:t>, such as</w:t>
      </w:r>
      <w:r w:rsidRPr="00EF1DA3" w:rsidR="00E4671C">
        <w:rPr>
          <w:rFonts w:cs="Times New Roman"/>
        </w:rPr>
        <w:t xml:space="preserve"> fishery bulletins</w:t>
      </w:r>
      <w:r w:rsidRPr="00EF1DA3">
        <w:rPr>
          <w:rFonts w:cs="Times New Roman"/>
        </w:rPr>
        <w:t>,</w:t>
      </w:r>
      <w:r w:rsidR="00E4671C">
        <w:rPr>
          <w:rFonts w:cs="Times New Roman"/>
        </w:rPr>
        <w:t xml:space="preserve"> and </w:t>
      </w:r>
      <w:r w:rsidRPr="00EF1DA3">
        <w:rPr>
          <w:rFonts w:cs="Times New Roman"/>
        </w:rPr>
        <w:t xml:space="preserve">will authorize the affected participants’ use of paper-based components for the duration of the catastrophic conditions. NMFS will provide each IFQ dealer the necessary paper forms and instructions for submission of the forms to NMFS. The program functions available to participants or geographic areas deemed affected by catastrophic conditions will be limited under the paper-based system. Assistance in complying with the requirements of the paper-based system will be available via IFQ Customer Service 1-866-425-7627, Monday through Friday, from 8 a.m. </w:t>
      </w:r>
      <w:r w:rsidRPr="00EF1DA3" w:rsidR="000C509B">
        <w:rPr>
          <w:rFonts w:cs="Times New Roman"/>
        </w:rPr>
        <w:t>to</w:t>
      </w:r>
      <w:r w:rsidRPr="00EF1DA3">
        <w:rPr>
          <w:rFonts w:cs="Times New Roman"/>
        </w:rPr>
        <w:t xml:space="preserve"> 4:30 p.m. eastern time. </w:t>
      </w:r>
    </w:p>
    <w:p w:rsidRPr="00EF1DA3" w:rsidR="00CD6CC5" w:rsidP="00CD6CC5" w:rsidRDefault="00CD6CC5" w14:paraId="3EF9EFC8" w14:textId="77777777">
      <w:pPr>
        <w:rPr>
          <w:rFonts w:cs="Times New Roman"/>
          <w:shd w:val="clear" w:color="auto" w:fill="FFFFFF"/>
        </w:rPr>
      </w:pPr>
    </w:p>
    <w:p w:rsidRPr="00EF1DA3" w:rsidR="00CD6CC5" w:rsidP="00CD6CC5" w:rsidRDefault="00CD6CC5" w14:paraId="2F0975FE" w14:textId="039B47A7">
      <w:pPr>
        <w:rPr>
          <w:rFonts w:cs="Times New Roman"/>
          <w:shd w:val="clear" w:color="auto" w:fill="FFFFFF"/>
        </w:rPr>
      </w:pPr>
      <w:r w:rsidRPr="00EF1DA3">
        <w:rPr>
          <w:rFonts w:cs="Times New Roman"/>
          <w:shd w:val="clear" w:color="auto" w:fill="FFFFFF"/>
        </w:rPr>
        <w:t xml:space="preserve">The proposed revisions to the </w:t>
      </w:r>
      <w:r w:rsidRPr="00EF1DA3">
        <w:rPr>
          <w:rFonts w:cs="Times New Roman"/>
        </w:rPr>
        <w:t xml:space="preserve">IFQ Online Account Application </w:t>
      </w:r>
      <w:r w:rsidRPr="00EF1DA3">
        <w:rPr>
          <w:rFonts w:cs="Times New Roman"/>
          <w:shd w:val="clear" w:color="auto" w:fill="FFFFFF"/>
        </w:rPr>
        <w:t>with respect to ownership data, form or type of business, and confirmation of whether entities are small or large are needed for NMFS to better comply with NS4 of the Mag</w:t>
      </w:r>
      <w:r w:rsidRPr="00EF1DA3" w:rsidR="00477A34">
        <w:rPr>
          <w:rFonts w:cs="Times New Roman"/>
          <w:shd w:val="clear" w:color="auto" w:fill="FFFFFF"/>
        </w:rPr>
        <w:t xml:space="preserve">nuson-Stevens Act and the RFA. </w:t>
      </w:r>
      <w:r w:rsidRPr="00EF1DA3">
        <w:rPr>
          <w:rFonts w:cs="Times New Roman"/>
          <w:shd w:val="clear" w:color="auto" w:fill="FFFFFF"/>
        </w:rPr>
        <w:t xml:space="preserve">The addition of </w:t>
      </w:r>
      <w:r w:rsidRPr="00EF1DA3">
        <w:rPr>
          <w:rFonts w:cs="Times New Roman"/>
        </w:rPr>
        <w:t xml:space="preserve">socioeconomic and demographic data collections is to comply with </w:t>
      </w:r>
      <w:r w:rsidRPr="00EF1DA3">
        <w:rPr>
          <w:rFonts w:cs="Times New Roman"/>
          <w:shd w:val="clear" w:color="auto" w:fill="FFFFFF"/>
        </w:rPr>
        <w:t>E.O. 12898.</w:t>
      </w:r>
    </w:p>
    <w:p w:rsidRPr="00EF1DA3" w:rsidR="00CD6CC5" w:rsidP="00CD6CC5" w:rsidRDefault="00CD6CC5" w14:paraId="19006E90" w14:textId="77777777">
      <w:pPr>
        <w:rPr>
          <w:rFonts w:cs="Times New Roman"/>
        </w:rPr>
      </w:pPr>
    </w:p>
    <w:p w:rsidRPr="00EF1DA3" w:rsidR="00CD6CC5" w:rsidP="00CD6CC5" w:rsidRDefault="00CD6CC5" w14:paraId="409E4342" w14:textId="578540E2">
      <w:pPr>
        <w:rPr>
          <w:rFonts w:cs="Times New Roman"/>
        </w:rPr>
      </w:pPr>
      <w:r w:rsidRPr="00EF1DA3">
        <w:rPr>
          <w:rFonts w:cs="Times New Roman"/>
        </w:rPr>
        <w:t>The requirement to input the vessel signature PIN a second time if the landing transaction would result in a 10% overage woul</w:t>
      </w:r>
      <w:r w:rsidRPr="00EF1DA3" w:rsidR="00477A34">
        <w:rPr>
          <w:rFonts w:cs="Times New Roman"/>
        </w:rPr>
        <w:t>d benefit the IFQ shareholders.</w:t>
      </w:r>
      <w:r w:rsidRPr="00EF1DA3">
        <w:rPr>
          <w:rFonts w:cs="Times New Roman"/>
        </w:rPr>
        <w:t xml:space="preserve"> Currently, if a landing transaction resulted in a 10% overage, the shareholder would not know until the landing transaction was complete and too late to avoid the 10% overage. When a 10% overage occurs, the shareholder must pay back the overage, reducing their allocation the followi</w:t>
      </w:r>
      <w:r w:rsidRPr="00EF1DA3" w:rsidR="00477A34">
        <w:rPr>
          <w:rFonts w:cs="Times New Roman"/>
        </w:rPr>
        <w:t>ng year. I</w:t>
      </w:r>
      <w:r w:rsidRPr="00EF1DA3">
        <w:rPr>
          <w:rFonts w:cs="Times New Roman"/>
        </w:rPr>
        <w:t>f a shareholder is aware of the 10% overage before the landing transaction is complete, they can transfer allocation into their vessel account before completing the landing transaction, thus avoiding the 10% overage.</w:t>
      </w:r>
    </w:p>
    <w:p w:rsidRPr="00EF1DA3" w:rsidR="009D4F38" w:rsidP="009D4F38" w:rsidRDefault="009D4F38" w14:paraId="629E2567" w14:textId="0C468514">
      <w:pPr>
        <w:rPr>
          <w:rFonts w:cs="Times New Roman"/>
          <w:bCs/>
        </w:rPr>
      </w:pPr>
    </w:p>
    <w:p w:rsidRPr="00EF1DA3" w:rsidR="009D4F38" w:rsidP="009D4F38" w:rsidRDefault="009D4F38" w14:paraId="5E98A542" w14:textId="77777777">
      <w:pPr>
        <w:rPr>
          <w:rFonts w:cs="Times New Roman"/>
          <w:i/>
          <w:u w:val="single"/>
        </w:rPr>
      </w:pPr>
      <w:r w:rsidRPr="00EF1DA3">
        <w:rPr>
          <w:rFonts w:cs="Times New Roman"/>
          <w:i/>
          <w:u w:val="single"/>
        </w:rPr>
        <w:t>South Atlantic Wreckfish ITQ Program</w:t>
      </w:r>
    </w:p>
    <w:p w:rsidRPr="00EF1DA3" w:rsidR="009D4F38" w:rsidP="009D4F38" w:rsidRDefault="009D4F38" w14:paraId="2108CBE4" w14:textId="3EDB014C">
      <w:pPr>
        <w:widowControl/>
        <w:rPr>
          <w:rFonts w:cs="Times New Roman"/>
        </w:rPr>
      </w:pPr>
      <w:r w:rsidRPr="00EF1DA3">
        <w:rPr>
          <w:rFonts w:cs="Times New Roman"/>
        </w:rPr>
        <w:t xml:space="preserve">Wreckfish ITQ shares transfers are paper-based and are completed through the NMFS’ Sustainable Fisheries Division, </w:t>
      </w:r>
      <w:r w:rsidR="00851C0D">
        <w:rPr>
          <w:rFonts w:cs="Times New Roman"/>
        </w:rPr>
        <w:t>Limited Access Privilege Programs (</w:t>
      </w:r>
      <w:r w:rsidRPr="00EF1DA3">
        <w:rPr>
          <w:rFonts w:cs="Times New Roman"/>
        </w:rPr>
        <w:t>LAPPs</w:t>
      </w:r>
      <w:r w:rsidR="00851C0D">
        <w:rPr>
          <w:rFonts w:cs="Times New Roman"/>
        </w:rPr>
        <w:t>)</w:t>
      </w:r>
      <w:r w:rsidRPr="00EF1DA3">
        <w:rPr>
          <w:rFonts w:cs="Times New Roman"/>
        </w:rPr>
        <w:t xml:space="preserve"> and Data Management Branch. The transfer form is printed on the back of the percentage shares certificate. With each transfer of ownership, the certificate will be reissued. The certificate identifies the seller, but the buyer must provide their name, address, corporate (employer’s) federal tax identification number, and telephone number. The sale price is necessary for economic analysis. The signatures of buyer, seller, and witness will secure the transaction. If the party purchasing shares is a shareholder, the share certificate must be surrendered so that it can be reissued. </w:t>
      </w:r>
    </w:p>
    <w:p w:rsidRPr="00EF1DA3" w:rsidR="009D4F38" w:rsidP="009D4F38" w:rsidRDefault="009D4F38" w14:paraId="6982A76B" w14:textId="77777777">
      <w:pPr>
        <w:rPr>
          <w:rFonts w:cs="Times New Roman"/>
          <w:bCs/>
        </w:rPr>
      </w:pPr>
    </w:p>
    <w:p w:rsidRPr="00EF1DA3" w:rsidR="009D4F38" w:rsidP="009D4F38" w:rsidRDefault="009D4F38" w14:paraId="545D998C" w14:textId="6B584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EF1DA3">
        <w:rPr>
          <w:rFonts w:cs="Times New Roman"/>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0">
        <w:r w:rsidRPr="00EF1DA3">
          <w:rPr>
            <w:rStyle w:val="Hyperlink"/>
            <w:rFonts w:cs="Times New Roman"/>
            <w:color w:val="auto"/>
          </w:rPr>
          <w:t>Section 515 of Public Law 106-554</w:t>
        </w:r>
      </w:hyperlink>
      <w:r w:rsidRPr="00EF1DA3">
        <w:rPr>
          <w:rFonts w:cs="Times New Roman"/>
        </w:rPr>
        <w:t>.</w:t>
      </w:r>
    </w:p>
    <w:p w:rsidRPr="00EF1DA3" w:rsidR="008E61C9" w:rsidP="00BD7237" w:rsidRDefault="001477A3" w14:paraId="49777155" w14:textId="06F5C6A7">
      <w:pPr>
        <w:pStyle w:val="ListParagraph"/>
        <w:numPr>
          <w:ilvl w:val="0"/>
          <w:numId w:val="7"/>
        </w:numPr>
        <w:tabs>
          <w:tab w:val="left" w:pos="360"/>
        </w:tabs>
        <w:spacing w:before="199"/>
        <w:ind w:left="0" w:firstLine="0"/>
        <w:rPr>
          <w:rFonts w:cs="Times New Roman"/>
          <w:b/>
        </w:rPr>
      </w:pPr>
      <w:r w:rsidRPr="00EF1DA3">
        <w:rPr>
          <w:rFonts w:cs="Times New Roman"/>
          <w:b/>
        </w:rPr>
        <w:t xml:space="preserve">Describe whether, and to what extent, the collection of information involves the use of automated, electronic, mechanical, or other technological collection techniques or other forms of </w:t>
      </w:r>
      <w:r w:rsidRPr="00EF1DA3">
        <w:rPr>
          <w:rFonts w:cs="Times New Roman"/>
          <w:b/>
        </w:rPr>
        <w:lastRenderedPageBreak/>
        <w:t>information technology, e.g. permitting electronic submission of responses, and the basis for the decision for adopting this means of collection. Also, describe any consideration of using information technology to reduce</w:t>
      </w:r>
      <w:r w:rsidRPr="00EF1DA3">
        <w:rPr>
          <w:rFonts w:cs="Times New Roman"/>
          <w:b/>
          <w:spacing w:val="-6"/>
        </w:rPr>
        <w:t xml:space="preserve"> </w:t>
      </w:r>
      <w:r w:rsidRPr="00EF1DA3">
        <w:rPr>
          <w:rFonts w:cs="Times New Roman"/>
          <w:b/>
        </w:rPr>
        <w:t>burden.</w:t>
      </w:r>
    </w:p>
    <w:p w:rsidRPr="00EF1DA3" w:rsidR="007D6606" w:rsidP="00376819" w:rsidRDefault="007D6606" w14:paraId="309ECEDA" w14:textId="77777777">
      <w:pPr>
        <w:rPr>
          <w:rFonts w:cs="Times New Roman"/>
          <w:i/>
          <w:u w:val="single"/>
        </w:rPr>
      </w:pPr>
    </w:p>
    <w:p w:rsidRPr="00EF1DA3" w:rsidR="00376819" w:rsidP="00376819" w:rsidRDefault="00376819" w14:paraId="06439483" w14:textId="0DF950D6">
      <w:pPr>
        <w:rPr>
          <w:rFonts w:cs="Times New Roman"/>
        </w:rPr>
      </w:pPr>
      <w:r w:rsidRPr="00EF1DA3">
        <w:rPr>
          <w:rFonts w:cs="Times New Roman"/>
          <w:i/>
          <w:u w:val="single"/>
        </w:rPr>
        <w:t>Gulf Red Snapper and Groupers and Tilefishes IFQ Programs</w:t>
      </w:r>
    </w:p>
    <w:p w:rsidRPr="00EF1DA3" w:rsidR="00376819" w:rsidP="00376819" w:rsidRDefault="00376819" w14:paraId="69A515C4" w14:textId="0D46F71B">
      <w:pPr>
        <w:rPr>
          <w:rFonts w:cs="Times New Roman"/>
        </w:rPr>
      </w:pPr>
      <w:r w:rsidRPr="00EF1DA3">
        <w:rPr>
          <w:rFonts w:cs="Times New Roman"/>
        </w:rPr>
        <w:t xml:space="preserve">Information is collected via a Web-based system, through satellite-linked vessel monitoring system (VMS) units attached to vessels, and through a 24-hour call hotline, with paper submission </w:t>
      </w:r>
      <w:r w:rsidR="009E2C37">
        <w:rPr>
          <w:rFonts w:cs="Times New Roman"/>
        </w:rPr>
        <w:t xml:space="preserve">as </w:t>
      </w:r>
      <w:r w:rsidRPr="00EF1DA3">
        <w:rPr>
          <w:rFonts w:cs="Times New Roman"/>
        </w:rPr>
        <w:t xml:space="preserve">an option only in </w:t>
      </w:r>
      <w:r w:rsidR="00F96471">
        <w:rPr>
          <w:rFonts w:cs="Times New Roman"/>
        </w:rPr>
        <w:t xml:space="preserve">NMFS-declared </w:t>
      </w:r>
      <w:r w:rsidRPr="00EF1DA3">
        <w:rPr>
          <w:rFonts w:cs="Times New Roman"/>
        </w:rPr>
        <w:t>catastrophic circumstances</w:t>
      </w:r>
      <w:r w:rsidR="00F96471">
        <w:rPr>
          <w:rFonts w:cs="Times New Roman"/>
        </w:rPr>
        <w:t>, such as after a hurricane</w:t>
      </w:r>
      <w:r w:rsidRPr="00EF1DA3">
        <w:rPr>
          <w:rFonts w:cs="Times New Roman"/>
        </w:rPr>
        <w:t>.</w:t>
      </w:r>
    </w:p>
    <w:p w:rsidRPr="00EF1DA3" w:rsidR="00376819" w:rsidP="00376819" w:rsidRDefault="00376819" w14:paraId="7D40F889" w14:textId="77777777">
      <w:pPr>
        <w:rPr>
          <w:rFonts w:cs="Times New Roman"/>
        </w:rPr>
      </w:pPr>
    </w:p>
    <w:p w:rsidRPr="00EF1DA3" w:rsidR="00376819" w:rsidP="00376819" w:rsidRDefault="00376819" w14:paraId="408B9508" w14:textId="77777777">
      <w:pPr>
        <w:rPr>
          <w:rFonts w:cs="Times New Roman"/>
        </w:rPr>
      </w:pPr>
      <w:r w:rsidRPr="00EF1DA3">
        <w:rPr>
          <w:rFonts w:cs="Times New Roman"/>
        </w:rPr>
        <w:t>IFQ share certificate, and allocation debits and transfers are tracked using an electronic accounting and reconciliation process developed by NMFS, in which the IFQ share certificate holder or allocation holder, dealer, NMFS, and a 24-hour call service participates. The following information is currently collected and monitored through the electronic accounting and reconciliation process:</w:t>
      </w:r>
    </w:p>
    <w:p w:rsidRPr="00EF1DA3" w:rsidR="00376819" w:rsidP="00376819" w:rsidRDefault="00376819" w14:paraId="45E13816" w14:textId="77777777">
      <w:pPr>
        <w:rPr>
          <w:rFonts w:cs="Times New Roman"/>
        </w:rPr>
      </w:pPr>
    </w:p>
    <w:p w:rsidRPr="00EF1DA3" w:rsidR="00376819" w:rsidP="00376819" w:rsidRDefault="00376819" w14:paraId="6C317836"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Sale of IFQ managed species to an IFQ dealer by an IFQ vessel account holder. </w:t>
      </w:r>
    </w:p>
    <w:p w:rsidRPr="00EF1DA3" w:rsidR="00376819" w:rsidP="00376819" w:rsidRDefault="00376819" w14:paraId="40DD8FC0"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Sale price of IFQ species, IFQ shares, and IFQ allocation.</w:t>
      </w:r>
    </w:p>
    <w:p w:rsidRPr="00EF1DA3" w:rsidR="00376819" w:rsidP="00376819" w:rsidRDefault="00376819" w14:paraId="0EE09464" w14:textId="5FACEA4B">
      <w:pPr>
        <w:widowControl/>
        <w:numPr>
          <w:ilvl w:val="0"/>
          <w:numId w:val="15"/>
        </w:numPr>
        <w:tabs>
          <w:tab w:val="clear" w:pos="1440"/>
          <w:tab w:val="num" w:pos="360"/>
        </w:tabs>
        <w:autoSpaceDE/>
        <w:autoSpaceDN/>
        <w:ind w:left="360"/>
        <w:rPr>
          <w:rFonts w:cs="Times New Roman"/>
          <w:bCs/>
        </w:rPr>
      </w:pPr>
      <w:r w:rsidRPr="00EF1DA3">
        <w:rPr>
          <w:rFonts w:cs="Times New Roman"/>
          <w:bCs/>
        </w:rPr>
        <w:t>The weight of the landed catch and the state</w:t>
      </w:r>
      <w:r w:rsidR="00AC43DF">
        <w:rPr>
          <w:rFonts w:cs="Times New Roman"/>
          <w:bCs/>
        </w:rPr>
        <w:t>-specific</w:t>
      </w:r>
      <w:r w:rsidRPr="00EF1DA3">
        <w:rPr>
          <w:rFonts w:cs="Times New Roman"/>
          <w:bCs/>
        </w:rPr>
        <w:t xml:space="preserve"> trip ticket number for the transaction. </w:t>
      </w:r>
    </w:p>
    <w:p w:rsidRPr="00EF1DA3" w:rsidR="00376819" w:rsidP="00376819" w:rsidRDefault="00376819" w14:paraId="58A9796C" w14:textId="0265D19F">
      <w:pPr>
        <w:widowControl/>
        <w:numPr>
          <w:ilvl w:val="0"/>
          <w:numId w:val="15"/>
        </w:numPr>
        <w:tabs>
          <w:tab w:val="clear" w:pos="1440"/>
          <w:tab w:val="num" w:pos="360"/>
        </w:tabs>
        <w:autoSpaceDE/>
        <w:autoSpaceDN/>
        <w:ind w:left="360"/>
        <w:rPr>
          <w:rFonts w:cs="Times New Roman"/>
          <w:bCs/>
        </w:rPr>
      </w:pPr>
      <w:r w:rsidRPr="00EF1DA3">
        <w:rPr>
          <w:rFonts w:cs="Times New Roman"/>
          <w:bCs/>
        </w:rPr>
        <w:t>Cost recovery fees collected by the dealer from the fisherman at the time of the landing transaction (</w:t>
      </w:r>
      <w:r w:rsidRPr="00EF1DA3">
        <w:rPr>
          <w:rFonts w:cs="Times New Roman"/>
          <w:shd w:val="clear" w:color="auto" w:fill="FFFFFF"/>
        </w:rPr>
        <w:t xml:space="preserve">our site links to the page the </w:t>
      </w:r>
      <w:r w:rsidRPr="00EF1DA3" w:rsidR="000C509B">
        <w:rPr>
          <w:rFonts w:cs="Times New Roman"/>
        </w:rPr>
        <w:t>participant</w:t>
      </w:r>
      <w:r w:rsidRPr="00EF1DA3">
        <w:rPr>
          <w:rFonts w:cs="Times New Roman"/>
          <w:shd w:val="clear" w:color="auto" w:fill="FFFFFF"/>
        </w:rPr>
        <w:t>s complete in order to submit their cost recovery fee payments to the IFQ system, a site maintained by</w:t>
      </w:r>
      <w:r w:rsidRPr="00EF1DA3" w:rsidR="000C509B">
        <w:rPr>
          <w:rFonts w:cs="Times New Roman"/>
          <w:shd w:val="clear" w:color="auto" w:fill="FFFFFF"/>
        </w:rPr>
        <w:t xml:space="preserve"> </w:t>
      </w:r>
      <w:hyperlink w:tgtFrame="_blank" w:history="1" r:id="rId11">
        <w:r w:rsidRPr="00EF1DA3">
          <w:rPr>
            <w:rStyle w:val="Hyperlink"/>
            <w:rFonts w:cs="Times New Roman"/>
            <w:i/>
            <w:color w:val="auto"/>
            <w:shd w:val="clear" w:color="auto" w:fill="FFFFFF"/>
          </w:rPr>
          <w:t>pay.gov</w:t>
        </w:r>
      </w:hyperlink>
      <w:r w:rsidRPr="00EF1DA3">
        <w:rPr>
          <w:rFonts w:cs="Times New Roman"/>
        </w:rPr>
        <w:t>)</w:t>
      </w:r>
    </w:p>
    <w:p w:rsidRPr="00EF1DA3" w:rsidR="00376819" w:rsidP="00376819" w:rsidRDefault="00376819" w14:paraId="78A40DCE"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To whom the catch was sold and their dealer or permit number. </w:t>
      </w:r>
    </w:p>
    <w:p w:rsidRPr="00EF1DA3" w:rsidR="00376819" w:rsidP="00376819" w:rsidRDefault="00376819" w14:paraId="48B2956A"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To whom shares or allocation were sold and their shareholder or vessel account User ID.</w:t>
      </w:r>
    </w:p>
    <w:p w:rsidRPr="00EF1DA3" w:rsidR="00376819" w:rsidP="00376819" w:rsidRDefault="00376819" w14:paraId="061AEDD6"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Whether initial recipients hold enough IFQ allocation. </w:t>
      </w:r>
    </w:p>
    <w:p w:rsidRPr="00EF1DA3" w:rsidR="00376819" w:rsidP="00376819" w:rsidRDefault="00376819" w14:paraId="5222D48D"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IFQ shareholdings, to ensure no one entity holds an excessive amount of shares.</w:t>
      </w:r>
    </w:p>
    <w:p w:rsidRPr="00EF1DA3" w:rsidR="00376819" w:rsidP="00376819" w:rsidRDefault="00376819" w14:paraId="1D410CB3"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IFQ landing notifications, including vessel involved in landing, landing location, dealer to whom fish will be sold, time and date of landing, and estimated pounds to be landed. </w:t>
      </w:r>
    </w:p>
    <w:p w:rsidRPr="00EF1DA3" w:rsidR="00376819" w:rsidP="00376819" w:rsidRDefault="00376819" w14:paraId="639102F2" w14:textId="2FA86ADF">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Reconciliations of IFQ share certificate </w:t>
      </w:r>
      <w:r w:rsidRPr="00EF1DA3" w:rsidR="00DB5579">
        <w:rPr>
          <w:rFonts w:cs="Times New Roman"/>
          <w:bCs/>
        </w:rPr>
        <w:t xml:space="preserve">or allocation </w:t>
      </w:r>
      <w:r w:rsidRPr="00EF1DA3">
        <w:rPr>
          <w:rFonts w:cs="Times New Roman"/>
          <w:bCs/>
        </w:rPr>
        <w:t>holder</w:t>
      </w:r>
      <w:r w:rsidR="00DB5579">
        <w:rPr>
          <w:rFonts w:cs="Times New Roman"/>
          <w:bCs/>
        </w:rPr>
        <w:t>s,</w:t>
      </w:r>
      <w:r w:rsidRPr="00EF1DA3">
        <w:rPr>
          <w:rFonts w:cs="Times New Roman"/>
          <w:bCs/>
        </w:rPr>
        <w:t xml:space="preserve"> and dealer transactions, which would be confirmed and authorized using NMFS approval codes. </w:t>
      </w:r>
    </w:p>
    <w:p w:rsidRPr="00EF1DA3" w:rsidR="00376819" w:rsidP="00376819" w:rsidRDefault="00376819" w14:paraId="4D2AE889"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Adding an IFQ landings location.</w:t>
      </w:r>
    </w:p>
    <w:p w:rsidRPr="00EF1DA3" w:rsidR="00376819" w:rsidP="00376819" w:rsidRDefault="00376819" w14:paraId="0227BBD2" w14:textId="77777777">
      <w:pPr>
        <w:widowControl/>
        <w:numPr>
          <w:ilvl w:val="0"/>
          <w:numId w:val="15"/>
        </w:numPr>
        <w:tabs>
          <w:tab w:val="clear" w:pos="1440"/>
          <w:tab w:val="num" w:pos="360"/>
        </w:tabs>
        <w:autoSpaceDE/>
        <w:autoSpaceDN/>
        <w:ind w:left="360"/>
        <w:rPr>
          <w:rFonts w:cs="Times New Roman"/>
          <w:bCs/>
        </w:rPr>
      </w:pPr>
      <w:r w:rsidRPr="00EF1DA3">
        <w:rPr>
          <w:rFonts w:cs="Times New Roman"/>
          <w:bCs/>
        </w:rPr>
        <w:t>Landing approvals.</w:t>
      </w:r>
    </w:p>
    <w:p w:rsidRPr="00EF1DA3" w:rsidR="00376819" w:rsidP="00376819" w:rsidRDefault="00376819" w14:paraId="495D17EB" w14:textId="172781F4">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Administrative update capabilities to a program </w:t>
      </w:r>
      <w:r w:rsidRPr="00EF1DA3" w:rsidR="000C509B">
        <w:rPr>
          <w:rFonts w:cs="Times New Roman"/>
        </w:rPr>
        <w:t>participant</w:t>
      </w:r>
      <w:r w:rsidRPr="00EF1DA3">
        <w:rPr>
          <w:rFonts w:cs="Times New Roman"/>
          <w:bCs/>
        </w:rPr>
        <w:t>’s account security information and adding a trip ticket number to a previously completed landing transaction form.</w:t>
      </w:r>
    </w:p>
    <w:p w:rsidRPr="00EF1DA3" w:rsidR="00C77BD8" w:rsidP="00C77BD8" w:rsidRDefault="00C77BD8" w14:paraId="34EF1A7F" w14:textId="14FDB94F">
      <w:pPr>
        <w:widowControl/>
        <w:numPr>
          <w:ilvl w:val="0"/>
          <w:numId w:val="15"/>
        </w:numPr>
        <w:tabs>
          <w:tab w:val="clear" w:pos="1440"/>
          <w:tab w:val="num" w:pos="360"/>
        </w:tabs>
        <w:autoSpaceDE/>
        <w:autoSpaceDN/>
        <w:ind w:left="360"/>
        <w:rPr>
          <w:rFonts w:cs="Times New Roman"/>
          <w:bCs/>
        </w:rPr>
      </w:pPr>
      <w:r w:rsidRPr="00EF1DA3">
        <w:rPr>
          <w:rFonts w:cs="Times New Roman"/>
          <w:bCs/>
        </w:rPr>
        <w:t xml:space="preserve">Non-IFQ landing notifications, including vessel involved in landing, landing location, and time/date of landing. </w:t>
      </w:r>
    </w:p>
    <w:p w:rsidRPr="00EF1DA3" w:rsidR="00376819" w:rsidP="00376819" w:rsidRDefault="00376819" w14:paraId="47927205" w14:textId="77777777">
      <w:pPr>
        <w:rPr>
          <w:rFonts w:cs="Times New Roman"/>
        </w:rPr>
      </w:pPr>
    </w:p>
    <w:p w:rsidRPr="00EF1DA3" w:rsidR="00376819" w:rsidP="00376819" w:rsidRDefault="00376819" w14:paraId="582D0920" w14:textId="77777777">
      <w:pPr>
        <w:rPr>
          <w:rFonts w:cs="Times New Roman"/>
          <w:i/>
          <w:u w:val="single"/>
        </w:rPr>
      </w:pPr>
      <w:r w:rsidRPr="00EF1DA3">
        <w:rPr>
          <w:rFonts w:cs="Times New Roman"/>
          <w:i/>
          <w:u w:val="single"/>
        </w:rPr>
        <w:t>South Atlantic Wreckfish ITQ Program</w:t>
      </w:r>
    </w:p>
    <w:p w:rsidRPr="00EF1DA3" w:rsidR="00376819" w:rsidP="00376819" w:rsidRDefault="00376819" w14:paraId="52C3EC43" w14:textId="52FCC3A4">
      <w:pPr>
        <w:spacing w:before="161"/>
        <w:rPr>
          <w:rFonts w:cs="Times New Roman"/>
        </w:rPr>
      </w:pPr>
      <w:r w:rsidRPr="00EF1DA3">
        <w:rPr>
          <w:rFonts w:cs="Times New Roman"/>
        </w:rPr>
        <w:t>The wreckfish share transfer process requires the signatures of witnesses on paper forms. The ITQ program remains paper</w:t>
      </w:r>
      <w:r w:rsidR="009E2C37">
        <w:rPr>
          <w:rFonts w:cs="Times New Roman"/>
        </w:rPr>
        <w:t>-</w:t>
      </w:r>
      <w:r w:rsidRPr="00EF1DA3">
        <w:rPr>
          <w:rFonts w:cs="Times New Roman"/>
        </w:rPr>
        <w:t>based until the South Atlantic Fishery Management Council and NMFS consider whether to implement an electronic system.</w:t>
      </w:r>
    </w:p>
    <w:p w:rsidR="00102F0A" w:rsidP="00DF1141" w:rsidRDefault="00102F0A" w14:paraId="666E86AE" w14:textId="77777777">
      <w:pPr>
        <w:rPr>
          <w:rFonts w:cs="Times New Roman"/>
        </w:rPr>
      </w:pPr>
    </w:p>
    <w:p w:rsidRPr="00EF1DA3" w:rsidR="00A1586A" w:rsidP="00DF1141" w:rsidRDefault="00A1586A" w14:paraId="2F242B22" w14:textId="45BC5DFD">
      <w:pPr>
        <w:rPr>
          <w:rFonts w:cs="Times New Roman"/>
        </w:rPr>
      </w:pPr>
      <w:r w:rsidRPr="00EF1DA3">
        <w:rPr>
          <w:rFonts w:cs="Times New Roman"/>
        </w:rPr>
        <w:t>The South Atlantic Fishery Management Council is currently beginning discussions to transition the Wreckfish ITQ p</w:t>
      </w:r>
      <w:r w:rsidRPr="00EF1DA3" w:rsidR="00477A34">
        <w:rPr>
          <w:rFonts w:cs="Times New Roman"/>
        </w:rPr>
        <w:t>rogram to an electronic system.</w:t>
      </w:r>
      <w:r w:rsidRPr="00EF1DA3">
        <w:rPr>
          <w:rFonts w:cs="Times New Roman"/>
        </w:rPr>
        <w:t xml:space="preserve"> </w:t>
      </w:r>
      <w:r w:rsidRPr="00EF1DA3" w:rsidR="0012072C">
        <w:rPr>
          <w:rFonts w:cs="Times New Roman"/>
        </w:rPr>
        <w:t xml:space="preserve">Wreckfish modernization was discussed at their September 2020 Council Meeting. The determination of burden will be discussed </w:t>
      </w:r>
      <w:r w:rsidRPr="00EF1DA3" w:rsidR="00DB5579">
        <w:rPr>
          <w:rFonts w:cs="Times New Roman"/>
        </w:rPr>
        <w:t>later</w:t>
      </w:r>
      <w:r w:rsidRPr="00EF1DA3" w:rsidR="0012072C">
        <w:rPr>
          <w:rFonts w:cs="Times New Roman"/>
        </w:rPr>
        <w:t xml:space="preserve"> after further details are known.</w:t>
      </w:r>
    </w:p>
    <w:p w:rsidRPr="00EF1DA3" w:rsidR="00376819" w:rsidP="00DF1141" w:rsidRDefault="00376819" w14:paraId="414BA5CC" w14:textId="77777777">
      <w:pPr>
        <w:rPr>
          <w:rFonts w:cs="Times New Roman"/>
        </w:rPr>
      </w:pPr>
    </w:p>
    <w:p w:rsidRPr="00EF1DA3" w:rsidR="008E61C9" w:rsidP="00DF1141" w:rsidRDefault="001477A3" w14:paraId="0E246CB0" w14:textId="6F5263D4">
      <w:pPr>
        <w:pStyle w:val="ListParagraph"/>
        <w:numPr>
          <w:ilvl w:val="0"/>
          <w:numId w:val="7"/>
        </w:numPr>
        <w:tabs>
          <w:tab w:val="left" w:pos="360"/>
        </w:tabs>
        <w:spacing w:before="0"/>
        <w:ind w:left="0" w:firstLine="0"/>
        <w:rPr>
          <w:rFonts w:cs="Times New Roman"/>
          <w:b/>
        </w:rPr>
      </w:pPr>
      <w:r w:rsidRPr="00EF1DA3">
        <w:rPr>
          <w:rFonts w:cs="Times New Roman"/>
          <w:b/>
        </w:rPr>
        <w:t xml:space="preserve">Describe efforts to identify duplication. Show specifically why any similar information already </w:t>
      </w:r>
      <w:r w:rsidRPr="00EF1DA3">
        <w:rPr>
          <w:rFonts w:cs="Times New Roman"/>
          <w:b/>
        </w:rPr>
        <w:lastRenderedPageBreak/>
        <w:t>available cannot be used or modified for use for the purposes described in Question</w:t>
      </w:r>
      <w:r w:rsidRPr="00EF1DA3">
        <w:rPr>
          <w:rFonts w:cs="Times New Roman"/>
          <w:b/>
          <w:spacing w:val="-42"/>
        </w:rPr>
        <w:t xml:space="preserve"> </w:t>
      </w:r>
      <w:r w:rsidRPr="00EF1DA3">
        <w:rPr>
          <w:rFonts w:cs="Times New Roman"/>
          <w:b/>
        </w:rPr>
        <w:t>2</w:t>
      </w:r>
      <w:r w:rsidR="00F96471">
        <w:rPr>
          <w:rFonts w:cs="Times New Roman"/>
          <w:b/>
        </w:rPr>
        <w:t>.</w:t>
      </w:r>
    </w:p>
    <w:p w:rsidRPr="00EF1DA3" w:rsidR="009375F0" w:rsidP="00DF1141" w:rsidRDefault="009375F0" w14:paraId="5566A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Pr="00EF1DA3" w:rsidR="009375F0" w:rsidP="00DF1141" w:rsidRDefault="009375F0" w14:paraId="464CF987" w14:textId="679127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EF1DA3">
        <w:rPr>
          <w:rFonts w:cs="Times New Roman"/>
        </w:rPr>
        <w:t>The Magnuson-Stevens Act's operational guidelines require each FMP and FMP amendment to evaluate existing state and federal laws that govern the fisheries in question, and the findings are made part of each FMP. Each fishery management council is comprised of state and federal officials responsible for resource management in their area. These two circumstances allow identification of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w:t>
      </w:r>
    </w:p>
    <w:p w:rsidRPr="00EF1DA3" w:rsidR="009375F0" w:rsidP="00DF1141" w:rsidRDefault="009375F0" w14:paraId="4699EE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Pr="00EF1DA3" w:rsidR="008E61C9" w:rsidP="00DF1141" w:rsidRDefault="001477A3" w14:paraId="5710CBB4" w14:textId="77777777">
      <w:pPr>
        <w:pStyle w:val="ListParagraph"/>
        <w:numPr>
          <w:ilvl w:val="0"/>
          <w:numId w:val="7"/>
        </w:numPr>
        <w:tabs>
          <w:tab w:val="left" w:pos="360"/>
        </w:tabs>
        <w:spacing w:before="0"/>
        <w:ind w:left="0" w:firstLine="0"/>
        <w:rPr>
          <w:rFonts w:cs="Times New Roman"/>
          <w:b/>
        </w:rPr>
      </w:pPr>
      <w:r w:rsidRPr="00EF1DA3">
        <w:rPr>
          <w:rFonts w:cs="Times New Roman"/>
          <w:b/>
        </w:rPr>
        <w:t>If the collection of information impacts small businesses or other small entities, describe any methods used to minimize burden.</w:t>
      </w:r>
    </w:p>
    <w:p w:rsidRPr="00EF1DA3" w:rsidR="009375F0" w:rsidP="00DF1141" w:rsidRDefault="009375F0" w14:paraId="78A925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Pr="00EF1DA3" w:rsidR="009375F0" w:rsidP="00DF1141" w:rsidRDefault="009375F0" w14:paraId="45014A0A" w14:textId="7485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r w:rsidRPr="00EF1DA3">
        <w:rPr>
          <w:rFonts w:cs="Times New Roman"/>
        </w:rPr>
        <w:t>Because all applicants are considered small businesses, separate requirements based on size of business have not been developed. Only the minimum data to meet the current and future needs of NMFS fishery managers are requested from participants in the Southeast Region IFQ programs.</w:t>
      </w:r>
    </w:p>
    <w:p w:rsidRPr="00EF1DA3" w:rsidR="009375F0" w:rsidP="00DF1141" w:rsidRDefault="009375F0" w14:paraId="340B31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rPr>
      </w:pPr>
    </w:p>
    <w:p w:rsidRPr="00EF1DA3" w:rsidR="008E61C9" w:rsidP="00DF1141" w:rsidRDefault="001477A3" w14:paraId="1D3AA193" w14:textId="77777777">
      <w:pPr>
        <w:pStyle w:val="ListParagraph"/>
        <w:numPr>
          <w:ilvl w:val="0"/>
          <w:numId w:val="7"/>
        </w:numPr>
        <w:tabs>
          <w:tab w:val="left" w:pos="360"/>
        </w:tabs>
        <w:spacing w:before="0"/>
        <w:ind w:left="0" w:firstLine="0"/>
        <w:rPr>
          <w:rFonts w:cs="Times New Roman"/>
          <w:b/>
        </w:rPr>
      </w:pPr>
      <w:r w:rsidRPr="00EF1DA3">
        <w:rPr>
          <w:rFonts w:cs="Times New Roman"/>
          <w:b/>
        </w:rPr>
        <w:t>Describe the consequence to Federal program or policy activities if the collection is not conducted or is conducted less frequently, as well as any technical or legal obstacles to reducing burden.</w:t>
      </w:r>
    </w:p>
    <w:p w:rsidR="00CD5673" w:rsidP="00DF1141" w:rsidRDefault="00CD5673" w14:paraId="1776F20E" w14:textId="77777777">
      <w:pPr>
        <w:rPr>
          <w:rFonts w:cs="Times New Roman"/>
        </w:rPr>
      </w:pPr>
    </w:p>
    <w:p w:rsidRPr="00EF1DA3" w:rsidR="009375F0" w:rsidP="00DF1141" w:rsidRDefault="009375F0" w14:paraId="76EE6A1A" w14:textId="60E6F5F7">
      <w:pPr>
        <w:rPr>
          <w:rFonts w:cs="Times New Roman"/>
        </w:rPr>
      </w:pPr>
      <w:r w:rsidRPr="00EF1DA3">
        <w:rPr>
          <w:rFonts w:cs="Times New Roman"/>
        </w:rPr>
        <w:t>NMFS would be unable to manage the Southeast Region IFQ and ITQ programs if this collection were not conducted or were conducted less frequently. The approved participants would be unknown and landing transactions could not be effectively tracked or enforced, which would result in allocations potentially being exceeded.</w:t>
      </w:r>
    </w:p>
    <w:p w:rsidRPr="00EF1DA3" w:rsidR="009375F0" w:rsidP="00DF1141" w:rsidRDefault="009375F0" w14:paraId="41AB8BD2" w14:textId="77777777">
      <w:pPr>
        <w:rPr>
          <w:rFonts w:cs="Times New Roman"/>
        </w:rPr>
      </w:pPr>
    </w:p>
    <w:p w:rsidR="008E61C9" w:rsidP="00DF1141" w:rsidRDefault="001477A3" w14:paraId="7E2A2C69" w14:textId="57D26804">
      <w:pPr>
        <w:pStyle w:val="ListParagraph"/>
        <w:numPr>
          <w:ilvl w:val="0"/>
          <w:numId w:val="7"/>
        </w:numPr>
        <w:tabs>
          <w:tab w:val="left" w:pos="360"/>
        </w:tabs>
        <w:spacing w:before="0"/>
        <w:ind w:left="0" w:firstLine="0"/>
        <w:rPr>
          <w:rFonts w:cs="Times New Roman"/>
          <w:b/>
        </w:rPr>
      </w:pPr>
      <w:r w:rsidRPr="00EF1DA3">
        <w:rPr>
          <w:rFonts w:cs="Times New Roman"/>
          <w:b/>
        </w:rPr>
        <w:t>Explain any special circumstances that would cause an information collection to be conducted in a manner</w:t>
      </w:r>
      <w:r w:rsidR="00211488">
        <w:rPr>
          <w:rFonts w:cs="Times New Roman"/>
          <w:b/>
        </w:rPr>
        <w:t xml:space="preserve"> that is inconsistent with OMB guidelines.</w:t>
      </w:r>
    </w:p>
    <w:p w:rsidRPr="00EF1DA3" w:rsidR="00CD5673" w:rsidP="00CD5673" w:rsidRDefault="00CD5673" w14:paraId="0918BD17" w14:textId="77777777">
      <w:pPr>
        <w:pStyle w:val="ListParagraph"/>
        <w:tabs>
          <w:tab w:val="left" w:pos="360"/>
        </w:tabs>
        <w:spacing w:before="0"/>
        <w:ind w:left="0" w:firstLine="0"/>
        <w:rPr>
          <w:rFonts w:cs="Times New Roman"/>
          <w:b/>
        </w:rPr>
      </w:pPr>
    </w:p>
    <w:p w:rsidRPr="00EF1DA3" w:rsidR="008E61C9" w:rsidP="00211488" w:rsidRDefault="00211488" w14:paraId="32F6A444" w14:textId="09E97884">
      <w:pPr>
        <w:pStyle w:val="ListParagraph"/>
        <w:spacing w:before="0"/>
        <w:ind w:left="720" w:firstLine="0"/>
        <w:rPr>
          <w:rFonts w:cs="Times New Roman"/>
        </w:rPr>
      </w:pPr>
      <w:r>
        <w:rPr>
          <w:rFonts w:cs="Times New Roman"/>
        </w:rPr>
        <w:t xml:space="preserve">The following information collections </w:t>
      </w:r>
      <w:r w:rsidRPr="00EF1DA3" w:rsidR="001477A3">
        <w:rPr>
          <w:rFonts w:cs="Times New Roman"/>
        </w:rPr>
        <w:t>requir</w:t>
      </w:r>
      <w:r>
        <w:rPr>
          <w:rFonts w:cs="Times New Roman"/>
        </w:rPr>
        <w:t>e</w:t>
      </w:r>
      <w:r w:rsidRPr="00EF1DA3" w:rsidR="001477A3">
        <w:rPr>
          <w:rFonts w:cs="Times New Roman"/>
        </w:rPr>
        <w:t xml:space="preserve"> respondents to report information to the agency more often than</w:t>
      </w:r>
      <w:r w:rsidRPr="00EF1DA3" w:rsidR="001477A3">
        <w:rPr>
          <w:rFonts w:cs="Times New Roman"/>
          <w:spacing w:val="-16"/>
        </w:rPr>
        <w:t xml:space="preserve"> </w:t>
      </w:r>
      <w:r w:rsidRPr="00EF1DA3" w:rsidR="001477A3">
        <w:rPr>
          <w:rFonts w:cs="Times New Roman"/>
        </w:rPr>
        <w:t>quarterly</w:t>
      </w:r>
      <w:r>
        <w:rPr>
          <w:rFonts w:cs="Times New Roman"/>
        </w:rPr>
        <w:t>:</w:t>
      </w:r>
    </w:p>
    <w:p w:rsidRPr="00EF1DA3" w:rsidR="00354B9C" w:rsidP="00DF1141" w:rsidRDefault="00354B9C" w14:paraId="60F50F4A" w14:textId="4B2019C1">
      <w:pPr>
        <w:pStyle w:val="ListParagraph"/>
        <w:numPr>
          <w:ilvl w:val="1"/>
          <w:numId w:val="9"/>
        </w:numPr>
        <w:spacing w:before="0"/>
        <w:rPr>
          <w:rFonts w:cs="Times New Roman"/>
        </w:rPr>
      </w:pPr>
      <w:r w:rsidRPr="00EF1DA3">
        <w:rPr>
          <w:rFonts w:cs="Times New Roman"/>
        </w:rPr>
        <w:t>Transfer Allocation: Allocation must be in the vessel account in order to be landed.</w:t>
      </w:r>
    </w:p>
    <w:p w:rsidRPr="00EF1DA3" w:rsidR="00354B9C" w:rsidP="00DF1141" w:rsidRDefault="00354B9C" w14:paraId="3E8A8F3C" w14:textId="0FEDC436">
      <w:pPr>
        <w:pStyle w:val="ListParagraph"/>
        <w:numPr>
          <w:ilvl w:val="1"/>
          <w:numId w:val="9"/>
        </w:numPr>
        <w:spacing w:before="0"/>
        <w:rPr>
          <w:rFonts w:cs="Times New Roman"/>
        </w:rPr>
      </w:pPr>
      <w:r w:rsidRPr="00EF1DA3">
        <w:rPr>
          <w:rFonts w:cs="Times New Roman"/>
        </w:rPr>
        <w:t xml:space="preserve">Landing Notifications: Vessels must report landing </w:t>
      </w:r>
      <w:r w:rsidRPr="00EF1DA3" w:rsidR="00E53C44">
        <w:rPr>
          <w:rFonts w:cs="Times New Roman"/>
        </w:rPr>
        <w:t>notifications</w:t>
      </w:r>
      <w:r w:rsidRPr="00EF1DA3">
        <w:rPr>
          <w:rFonts w:cs="Times New Roman"/>
        </w:rPr>
        <w:t xml:space="preserve"> for every trip in order to </w:t>
      </w:r>
      <w:r w:rsidRPr="00EF1DA3" w:rsidR="00E53C44">
        <w:rPr>
          <w:rFonts w:cs="Times New Roman"/>
        </w:rPr>
        <w:t>provide</w:t>
      </w:r>
      <w:r w:rsidRPr="00EF1DA3">
        <w:rPr>
          <w:rFonts w:cs="Times New Roman"/>
        </w:rPr>
        <w:t xml:space="preserve"> law </w:t>
      </w:r>
      <w:r w:rsidRPr="00EF1DA3" w:rsidR="00E53C44">
        <w:rPr>
          <w:rFonts w:cs="Times New Roman"/>
        </w:rPr>
        <w:t>enforcement</w:t>
      </w:r>
      <w:r w:rsidRPr="00EF1DA3">
        <w:rPr>
          <w:rFonts w:cs="Times New Roman"/>
        </w:rPr>
        <w:t xml:space="preserve"> </w:t>
      </w:r>
      <w:r w:rsidRPr="00EF1DA3" w:rsidR="00E53C44">
        <w:rPr>
          <w:rFonts w:cs="Times New Roman"/>
        </w:rPr>
        <w:t>the opportunity to meet the vessel at the time of landing</w:t>
      </w:r>
      <w:r w:rsidR="009E2C37">
        <w:rPr>
          <w:rFonts w:cs="Times New Roman"/>
        </w:rPr>
        <w:t>.</w:t>
      </w:r>
    </w:p>
    <w:p w:rsidRPr="00EF1DA3" w:rsidR="0082435B" w:rsidP="00DF1141" w:rsidRDefault="00354B9C" w14:paraId="520F3F34" w14:textId="1FAE26AF">
      <w:pPr>
        <w:pStyle w:val="ListParagraph"/>
        <w:numPr>
          <w:ilvl w:val="1"/>
          <w:numId w:val="9"/>
        </w:numPr>
        <w:spacing w:before="0"/>
        <w:rPr>
          <w:rFonts w:cs="Times New Roman"/>
        </w:rPr>
      </w:pPr>
      <w:r w:rsidRPr="00EF1DA3">
        <w:rPr>
          <w:rFonts w:cs="Times New Roman"/>
        </w:rPr>
        <w:t xml:space="preserve">Landing Transaction: </w:t>
      </w:r>
      <w:r w:rsidRPr="00EF1DA3" w:rsidR="0082435B">
        <w:rPr>
          <w:rFonts w:cs="Times New Roman"/>
        </w:rPr>
        <w:t xml:space="preserve">Dealers must report </w:t>
      </w:r>
      <w:r w:rsidRPr="00EF1DA3" w:rsidR="00477A34">
        <w:rPr>
          <w:rFonts w:cs="Times New Roman"/>
        </w:rPr>
        <w:t xml:space="preserve">landing on the day of offload. </w:t>
      </w:r>
      <w:r w:rsidRPr="00EF1DA3" w:rsidR="0082435B">
        <w:rPr>
          <w:rFonts w:cs="Times New Roman"/>
        </w:rPr>
        <w:t xml:space="preserve">It must be done more often than quarterly in order to </w:t>
      </w:r>
      <w:r w:rsidRPr="00EF1DA3">
        <w:rPr>
          <w:rFonts w:cs="Times New Roman"/>
        </w:rPr>
        <w:t xml:space="preserve">report landings in real time and deduct the allocation from the vessel account. Without deducting </w:t>
      </w:r>
      <w:r w:rsidR="009E2C37">
        <w:rPr>
          <w:rFonts w:cs="Times New Roman"/>
        </w:rPr>
        <w:t xml:space="preserve">the landing </w:t>
      </w:r>
      <w:r w:rsidRPr="00EF1DA3">
        <w:rPr>
          <w:rFonts w:cs="Times New Roman"/>
        </w:rPr>
        <w:t xml:space="preserve">on </w:t>
      </w:r>
      <w:r w:rsidR="009E2C37">
        <w:rPr>
          <w:rFonts w:cs="Times New Roman"/>
        </w:rPr>
        <w:t xml:space="preserve">the </w:t>
      </w:r>
      <w:r w:rsidRPr="00EF1DA3">
        <w:rPr>
          <w:rFonts w:cs="Times New Roman"/>
        </w:rPr>
        <w:t>day of offload, the vessel could potentially harvest more fish than allowed, thus risking exceeding the annual catch limit</w:t>
      </w:r>
      <w:r w:rsidR="009E2C37">
        <w:rPr>
          <w:rFonts w:cs="Times New Roman"/>
        </w:rPr>
        <w:t>.</w:t>
      </w:r>
    </w:p>
    <w:p w:rsidRPr="00EF1DA3" w:rsidR="00354B9C" w:rsidP="00DF1141" w:rsidRDefault="00354B9C" w14:paraId="73AEF67F" w14:textId="1E9E1D52">
      <w:pPr>
        <w:pStyle w:val="ListParagraph"/>
        <w:numPr>
          <w:ilvl w:val="1"/>
          <w:numId w:val="9"/>
        </w:numPr>
        <w:spacing w:before="0"/>
        <w:rPr>
          <w:rFonts w:cs="Times New Roman"/>
        </w:rPr>
      </w:pPr>
      <w:r w:rsidRPr="00EF1DA3">
        <w:rPr>
          <w:rFonts w:cs="Times New Roman"/>
        </w:rPr>
        <w:t>Landing Location:</w:t>
      </w:r>
      <w:r w:rsidRPr="00EF1DA3" w:rsidR="005B595D">
        <w:rPr>
          <w:rFonts w:cs="Times New Roman"/>
        </w:rPr>
        <w:t xml:space="preserve"> New </w:t>
      </w:r>
      <w:r w:rsidRPr="00EF1DA3" w:rsidR="000C509B">
        <w:rPr>
          <w:rFonts w:cs="Times New Roman"/>
        </w:rPr>
        <w:t>participant</w:t>
      </w:r>
      <w:r w:rsidRPr="00EF1DA3" w:rsidR="005B595D">
        <w:rPr>
          <w:rFonts w:cs="Times New Roman"/>
        </w:rPr>
        <w:t xml:space="preserve">s must be able to submit new landing locations for review whenever they need to get </w:t>
      </w:r>
      <w:r w:rsidR="00DB5579">
        <w:rPr>
          <w:rFonts w:cs="Times New Roman"/>
        </w:rPr>
        <w:t xml:space="preserve">landing locations </w:t>
      </w:r>
      <w:r w:rsidRPr="00EF1DA3" w:rsidR="005B595D">
        <w:rPr>
          <w:rFonts w:cs="Times New Roman"/>
        </w:rPr>
        <w:t>approved by law enforcement.</w:t>
      </w:r>
    </w:p>
    <w:p w:rsidRPr="00EF1DA3" w:rsidR="00354B9C" w:rsidP="00DF1141" w:rsidRDefault="00354B9C" w14:paraId="404449AD" w14:textId="2848D9FE">
      <w:pPr>
        <w:pStyle w:val="ListParagraph"/>
        <w:numPr>
          <w:ilvl w:val="1"/>
          <w:numId w:val="9"/>
        </w:numPr>
        <w:spacing w:before="0"/>
        <w:rPr>
          <w:rFonts w:cs="Times New Roman"/>
        </w:rPr>
      </w:pPr>
      <w:r w:rsidRPr="00EF1DA3">
        <w:rPr>
          <w:rFonts w:cs="Times New Roman"/>
        </w:rPr>
        <w:t>Share Transfers</w:t>
      </w:r>
      <w:r w:rsidRPr="00EF1DA3" w:rsidR="002B571A">
        <w:rPr>
          <w:rFonts w:cs="Times New Roman"/>
        </w:rPr>
        <w:t>/ Share Receipt:</w:t>
      </w:r>
      <w:r w:rsidRPr="00EF1DA3" w:rsidR="005B595D">
        <w:rPr>
          <w:rFonts w:cs="Times New Roman"/>
        </w:rPr>
        <w:t xml:space="preserve"> The IFQ program constituents depend on transferability of the shares in order to enter or expand their participation.</w:t>
      </w:r>
      <w:r w:rsidRPr="00EF1DA3" w:rsidR="00203333">
        <w:rPr>
          <w:rFonts w:cs="Times New Roman"/>
        </w:rPr>
        <w:t xml:space="preserve"> Participants can sell assets anytime throughout the year as part of their normal business practice</w:t>
      </w:r>
      <w:r w:rsidR="00DB5579">
        <w:rPr>
          <w:rFonts w:cs="Times New Roman"/>
        </w:rPr>
        <w:t>,</w:t>
      </w:r>
      <w:r w:rsidRPr="00EF1DA3" w:rsidR="00203333">
        <w:rPr>
          <w:rFonts w:cs="Times New Roman"/>
        </w:rPr>
        <w:t xml:space="preserve"> which will affect a participant's net worth</w:t>
      </w:r>
      <w:r w:rsidR="00DB5579">
        <w:rPr>
          <w:rFonts w:cs="Times New Roman"/>
        </w:rPr>
        <w:t xml:space="preserve">, </w:t>
      </w:r>
      <w:r w:rsidRPr="00EF1DA3" w:rsidR="00203333">
        <w:rPr>
          <w:rFonts w:cs="Times New Roman"/>
        </w:rPr>
        <w:t>valuation</w:t>
      </w:r>
      <w:r w:rsidR="00DB5579">
        <w:rPr>
          <w:rFonts w:cs="Times New Roman"/>
        </w:rPr>
        <w:t xml:space="preserve">, or </w:t>
      </w:r>
      <w:r w:rsidRPr="00EF1DA3" w:rsidR="00203333">
        <w:rPr>
          <w:rFonts w:cs="Times New Roman"/>
        </w:rPr>
        <w:t>ownership</w:t>
      </w:r>
      <w:r w:rsidRPr="00EF1DA3" w:rsidR="002B571A">
        <w:rPr>
          <w:rFonts w:cs="Times New Roman"/>
        </w:rPr>
        <w:t>.</w:t>
      </w:r>
    </w:p>
    <w:p w:rsidRPr="00EF1DA3" w:rsidR="00354B9C" w:rsidP="00DF1141" w:rsidRDefault="00354B9C" w14:paraId="2EBA0B24" w14:textId="319F6916">
      <w:pPr>
        <w:pStyle w:val="ListParagraph"/>
        <w:numPr>
          <w:ilvl w:val="1"/>
          <w:numId w:val="9"/>
        </w:numPr>
        <w:spacing w:before="0"/>
        <w:rPr>
          <w:rFonts w:cs="Times New Roman"/>
        </w:rPr>
      </w:pPr>
      <w:r w:rsidRPr="00EF1DA3">
        <w:rPr>
          <w:rFonts w:cs="Times New Roman"/>
        </w:rPr>
        <w:lastRenderedPageBreak/>
        <w:t>CRF Forms: CRF is only collected quarterly.</w:t>
      </w:r>
    </w:p>
    <w:p w:rsidRPr="00EF1DA3" w:rsidR="00354B9C" w:rsidP="00DF1141" w:rsidRDefault="00354B9C" w14:paraId="6D11467C" w14:textId="0C870CD1">
      <w:pPr>
        <w:pStyle w:val="ListParagraph"/>
        <w:numPr>
          <w:ilvl w:val="1"/>
          <w:numId w:val="9"/>
        </w:numPr>
        <w:spacing w:before="0"/>
        <w:rPr>
          <w:rFonts w:cs="Times New Roman"/>
        </w:rPr>
      </w:pPr>
      <w:r w:rsidRPr="00EF1DA3">
        <w:rPr>
          <w:rFonts w:cs="Times New Roman"/>
        </w:rPr>
        <w:t>Landing Correction:</w:t>
      </w:r>
      <w:r w:rsidRPr="00EF1DA3" w:rsidR="009523A7">
        <w:rPr>
          <w:rFonts w:cs="Times New Roman"/>
        </w:rPr>
        <w:t xml:space="preserve"> Corrections must be done in a timely manner to adjust the </w:t>
      </w:r>
      <w:r w:rsidRPr="00EF1DA3" w:rsidR="006462D7">
        <w:rPr>
          <w:rFonts w:cs="Times New Roman"/>
        </w:rPr>
        <w:t xml:space="preserve">allocation in a vessel account to ensure they have the correct allocation or else the vessel could potentially harvest more fish than allowed, thus risking exceeding the annual catch limit. Corrections may also be made to the price, resulting in an adjustment in the total CRF due. </w:t>
      </w:r>
      <w:r w:rsidRPr="00EF1DA3" w:rsidR="00AC43DF">
        <w:rPr>
          <w:rFonts w:cs="Times New Roman"/>
        </w:rPr>
        <w:t>It is</w:t>
      </w:r>
      <w:r w:rsidRPr="00EF1DA3" w:rsidR="006462D7">
        <w:rPr>
          <w:rFonts w:cs="Times New Roman"/>
        </w:rPr>
        <w:t xml:space="preserve"> important the CRF due is accurate so the dealers do not pay more than they are supposed to.</w:t>
      </w:r>
    </w:p>
    <w:p w:rsidRPr="00EF1DA3" w:rsidR="00354B9C" w:rsidP="00DF1141" w:rsidRDefault="00354B9C" w14:paraId="66DBA69F" w14:textId="000DFE5F">
      <w:pPr>
        <w:pStyle w:val="ListParagraph"/>
        <w:numPr>
          <w:ilvl w:val="1"/>
          <w:numId w:val="9"/>
        </w:numPr>
        <w:spacing w:before="0"/>
        <w:rPr>
          <w:rFonts w:cs="Times New Roman"/>
        </w:rPr>
      </w:pPr>
      <w:r w:rsidRPr="00EF1DA3">
        <w:rPr>
          <w:rFonts w:cs="Times New Roman"/>
        </w:rPr>
        <w:t>Close Accounts:</w:t>
      </w:r>
      <w:r w:rsidRPr="00EF1DA3" w:rsidR="002B571A">
        <w:rPr>
          <w:rFonts w:cs="Times New Roman"/>
        </w:rPr>
        <w:t xml:space="preserve"> </w:t>
      </w:r>
      <w:r w:rsidRPr="00EF1DA3" w:rsidR="000C509B">
        <w:rPr>
          <w:rFonts w:cs="Times New Roman"/>
        </w:rPr>
        <w:t>Participant</w:t>
      </w:r>
      <w:r w:rsidRPr="00EF1DA3" w:rsidR="002B571A">
        <w:rPr>
          <w:rFonts w:cs="Times New Roman"/>
        </w:rPr>
        <w:t>s may want to close their IFQ account after life changing events (e.g.</w:t>
      </w:r>
      <w:r w:rsidR="00850085">
        <w:rPr>
          <w:rFonts w:cs="Times New Roman"/>
        </w:rPr>
        <w:t>,</w:t>
      </w:r>
      <w:r w:rsidRPr="00EF1DA3" w:rsidR="002B571A">
        <w:rPr>
          <w:rFonts w:cs="Times New Roman"/>
        </w:rPr>
        <w:t xml:space="preserve"> divorce, death, etc</w:t>
      </w:r>
      <w:r w:rsidR="00CE3E01">
        <w:rPr>
          <w:rFonts w:cs="Times New Roman"/>
        </w:rPr>
        <w:t>.</w:t>
      </w:r>
      <w:r w:rsidRPr="00EF1DA3" w:rsidR="002B571A">
        <w:rPr>
          <w:rFonts w:cs="Times New Roman"/>
        </w:rPr>
        <w:t xml:space="preserve">) and need to be able to close whenever and only when it fits their personal needs. </w:t>
      </w:r>
    </w:p>
    <w:p w:rsidRPr="00EF1DA3" w:rsidR="00354B9C" w:rsidP="00DF1141" w:rsidRDefault="00354B9C" w14:paraId="155E9401" w14:textId="4FA7C305">
      <w:pPr>
        <w:pStyle w:val="ListParagraph"/>
        <w:numPr>
          <w:ilvl w:val="1"/>
          <w:numId w:val="9"/>
        </w:numPr>
        <w:spacing w:before="0"/>
        <w:rPr>
          <w:rFonts w:cs="Times New Roman"/>
        </w:rPr>
      </w:pPr>
      <w:r w:rsidRPr="00EF1DA3">
        <w:rPr>
          <w:rFonts w:cs="Times New Roman"/>
        </w:rPr>
        <w:t>Account Application:</w:t>
      </w:r>
      <w:r w:rsidRPr="00EF1DA3" w:rsidR="005A51B0">
        <w:rPr>
          <w:rFonts w:cs="Times New Roman"/>
        </w:rPr>
        <w:t xml:space="preserve"> </w:t>
      </w:r>
      <w:r w:rsidRPr="00EF1DA3" w:rsidR="000C509B">
        <w:rPr>
          <w:rFonts w:cs="Times New Roman"/>
        </w:rPr>
        <w:t>Participant</w:t>
      </w:r>
      <w:r w:rsidRPr="00EF1DA3" w:rsidR="005A51B0">
        <w:rPr>
          <w:rFonts w:cs="Times New Roman"/>
        </w:rPr>
        <w:t xml:space="preserve">s need to be able to request a new account whenever they need so they can enter the program. Without an IFQ account, they cannot participate in the IFQ program. </w:t>
      </w:r>
      <w:r w:rsidRPr="00EF1DA3" w:rsidR="000C509B">
        <w:rPr>
          <w:rFonts w:cs="Times New Roman"/>
        </w:rPr>
        <w:t>Participant</w:t>
      </w:r>
      <w:r w:rsidRPr="00EF1DA3" w:rsidR="005A51B0">
        <w:rPr>
          <w:rFonts w:cs="Times New Roman"/>
        </w:rPr>
        <w:t>s also use the Account Application to certify their citizenship, as required by the regulations.</w:t>
      </w:r>
    </w:p>
    <w:p w:rsidR="00354B9C" w:rsidP="00DF1141" w:rsidRDefault="00354B9C" w14:paraId="75C14D80" w14:textId="6909530B">
      <w:pPr>
        <w:pStyle w:val="ListParagraph"/>
        <w:numPr>
          <w:ilvl w:val="1"/>
          <w:numId w:val="9"/>
        </w:numPr>
        <w:spacing w:before="0"/>
        <w:rPr>
          <w:rFonts w:cs="Times New Roman"/>
        </w:rPr>
      </w:pPr>
      <w:r w:rsidRPr="00EF1DA3">
        <w:rPr>
          <w:rFonts w:cs="Times New Roman"/>
        </w:rPr>
        <w:t>Wreckfish:</w:t>
      </w:r>
      <w:r w:rsidRPr="00EF1DA3" w:rsidR="005A51B0">
        <w:rPr>
          <w:rFonts w:cs="Times New Roman"/>
        </w:rPr>
        <w:t xml:space="preserve"> Wreckfish shareholders </w:t>
      </w:r>
      <w:r w:rsidRPr="00EF1DA3" w:rsidR="002B571A">
        <w:rPr>
          <w:rFonts w:cs="Times New Roman"/>
        </w:rPr>
        <w:t>depend on transferability of the shares in order to enter or expand their participation. Participants can sell assets anytime throughout the year as part of their normal business practice</w:t>
      </w:r>
      <w:r w:rsidR="00DB5579">
        <w:rPr>
          <w:rFonts w:cs="Times New Roman"/>
        </w:rPr>
        <w:t>,</w:t>
      </w:r>
      <w:r w:rsidRPr="00EF1DA3" w:rsidR="002B571A">
        <w:rPr>
          <w:rFonts w:cs="Times New Roman"/>
        </w:rPr>
        <w:t xml:space="preserve"> which will affect a participant</w:t>
      </w:r>
      <w:r w:rsidR="00850085">
        <w:rPr>
          <w:rFonts w:cs="Times New Roman"/>
        </w:rPr>
        <w:t>’</w:t>
      </w:r>
      <w:r w:rsidRPr="00EF1DA3" w:rsidR="002B571A">
        <w:rPr>
          <w:rFonts w:cs="Times New Roman"/>
        </w:rPr>
        <w:t>s net</w:t>
      </w:r>
      <w:r w:rsidR="00DB5579">
        <w:rPr>
          <w:rFonts w:cs="Times New Roman"/>
        </w:rPr>
        <w:t xml:space="preserve"> </w:t>
      </w:r>
      <w:r w:rsidRPr="00EF1DA3" w:rsidR="002B571A">
        <w:rPr>
          <w:rFonts w:cs="Times New Roman"/>
        </w:rPr>
        <w:t>worth</w:t>
      </w:r>
      <w:r w:rsidR="00DB5579">
        <w:rPr>
          <w:rFonts w:cs="Times New Roman"/>
        </w:rPr>
        <w:t xml:space="preserve">, </w:t>
      </w:r>
      <w:r w:rsidRPr="00EF1DA3" w:rsidR="002B571A">
        <w:rPr>
          <w:rFonts w:cs="Times New Roman"/>
        </w:rPr>
        <w:t>valuation</w:t>
      </w:r>
      <w:r w:rsidR="00DB5579">
        <w:rPr>
          <w:rFonts w:cs="Times New Roman"/>
        </w:rPr>
        <w:t xml:space="preserve">, </w:t>
      </w:r>
      <w:r w:rsidRPr="00EF1DA3" w:rsidR="002B571A">
        <w:rPr>
          <w:rFonts w:cs="Times New Roman"/>
        </w:rPr>
        <w:t>ownership.</w:t>
      </w:r>
    </w:p>
    <w:p w:rsidR="009E2C37" w:rsidP="009E2C37" w:rsidRDefault="009E2C37" w14:paraId="1B06FEE3" w14:textId="77777777">
      <w:pPr>
        <w:pStyle w:val="ListParagraph"/>
        <w:spacing w:before="0"/>
        <w:ind w:left="760" w:firstLine="0"/>
        <w:rPr>
          <w:rFonts w:cs="Times New Roman"/>
        </w:rPr>
      </w:pPr>
    </w:p>
    <w:p w:rsidRPr="00EF1DA3" w:rsidR="009E2C37" w:rsidP="009E2C37" w:rsidRDefault="009E2C37" w14:paraId="25C3A99C" w14:textId="673FF0D5">
      <w:pPr>
        <w:pStyle w:val="ListParagraph"/>
        <w:spacing w:before="0"/>
        <w:ind w:left="760" w:firstLine="0"/>
        <w:rPr>
          <w:rFonts w:cs="Times New Roman"/>
        </w:rPr>
      </w:pPr>
      <w:r>
        <w:rPr>
          <w:rFonts w:cs="Times New Roman"/>
        </w:rPr>
        <w:t>The collection of information will otherwise be conducted in a manner consistent with OMB guidelines.</w:t>
      </w:r>
    </w:p>
    <w:p w:rsidRPr="00EF1DA3" w:rsidR="009375F0" w:rsidP="00F9555D" w:rsidRDefault="009375F0" w14:paraId="6B944D57" w14:textId="73395A32">
      <w:pPr>
        <w:pStyle w:val="BodyText"/>
        <w:tabs>
          <w:tab w:val="left" w:pos="5796"/>
        </w:tabs>
        <w:spacing w:before="0"/>
        <w:ind w:left="0"/>
        <w:rPr>
          <w:rFonts w:cs="Times New Roman"/>
        </w:rPr>
      </w:pPr>
    </w:p>
    <w:p w:rsidRPr="004D747C" w:rsidR="008E61C9" w:rsidP="00F9555D" w:rsidRDefault="001477A3" w14:paraId="1BE10686" w14:textId="77777777">
      <w:pPr>
        <w:pStyle w:val="ListParagraph"/>
        <w:numPr>
          <w:ilvl w:val="0"/>
          <w:numId w:val="7"/>
        </w:numPr>
        <w:tabs>
          <w:tab w:val="left" w:pos="360"/>
        </w:tabs>
        <w:spacing w:before="0"/>
        <w:ind w:left="0" w:firstLine="0"/>
        <w:rPr>
          <w:rFonts w:cs="Times New Roman"/>
          <w:b/>
        </w:rPr>
      </w:pPr>
      <w:r w:rsidRPr="00EF1DA3">
        <w:rPr>
          <w:rFonts w:cs="Times New Roman"/>
          <w:b/>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w:t>
      </w:r>
      <w:r w:rsidRPr="004D747C">
        <w:rPr>
          <w:rFonts w:cs="Times New Roman"/>
          <w:b/>
        </w:rPr>
        <w:t>hour burden.</w:t>
      </w:r>
    </w:p>
    <w:p w:rsidRPr="004D747C" w:rsidR="009375F0" w:rsidP="00F9555D" w:rsidRDefault="009375F0" w14:paraId="0BC0FFEC" w14:textId="77777777">
      <w:pPr>
        <w:pStyle w:val="BodyText"/>
        <w:spacing w:before="0"/>
        <w:ind w:left="0"/>
        <w:rPr>
          <w:rFonts w:cs="Times New Roman"/>
        </w:rPr>
      </w:pPr>
    </w:p>
    <w:p w:rsidRPr="004D747C" w:rsidR="009375F0" w:rsidP="009375F0" w:rsidRDefault="009375F0" w14:paraId="3DAA01FA" w14:textId="6F84815B">
      <w:pPr>
        <w:widowControl/>
        <w:rPr>
          <w:rFonts w:cs="Times New Roman"/>
        </w:rPr>
      </w:pPr>
      <w:r w:rsidRPr="004D747C">
        <w:rPr>
          <w:rFonts w:cs="Times New Roman"/>
        </w:rPr>
        <w:t xml:space="preserve">On </w:t>
      </w:r>
      <w:r w:rsidRPr="004D747C" w:rsidR="00A16F64">
        <w:rPr>
          <w:rFonts w:cs="Times New Roman"/>
        </w:rPr>
        <w:t>December 1, 2020</w:t>
      </w:r>
      <w:r w:rsidRPr="004D747C">
        <w:rPr>
          <w:rFonts w:cs="Times New Roman"/>
        </w:rPr>
        <w:t xml:space="preserve">, NMFS published a notice in the </w:t>
      </w:r>
      <w:r w:rsidRPr="004D747C">
        <w:rPr>
          <w:rFonts w:cs="Times New Roman"/>
          <w:i/>
        </w:rPr>
        <w:t>Federal Register</w:t>
      </w:r>
      <w:r w:rsidRPr="004D747C">
        <w:rPr>
          <w:rFonts w:cs="Times New Roman"/>
        </w:rPr>
        <w:t xml:space="preserve"> soliciting public comments on the </w:t>
      </w:r>
      <w:r w:rsidRPr="004D747C" w:rsidR="00A16F64">
        <w:rPr>
          <w:rFonts w:cs="Times New Roman"/>
        </w:rPr>
        <w:t xml:space="preserve">proposed </w:t>
      </w:r>
      <w:r w:rsidRPr="004D747C">
        <w:rPr>
          <w:rFonts w:cs="Times New Roman"/>
        </w:rPr>
        <w:t>extension and revision of the 0648-0551 information collection (</w:t>
      </w:r>
      <w:r w:rsidRPr="004D747C" w:rsidR="00A16F64">
        <w:rPr>
          <w:rFonts w:cs="Times New Roman"/>
        </w:rPr>
        <w:t>85 FR 77174</w:t>
      </w:r>
      <w:r w:rsidRPr="004D747C">
        <w:rPr>
          <w:rFonts w:cs="Times New Roman"/>
        </w:rPr>
        <w:t>); however, no comments were received.</w:t>
      </w:r>
    </w:p>
    <w:p w:rsidRPr="004D747C" w:rsidR="009375F0" w:rsidP="009375F0" w:rsidRDefault="009375F0" w14:paraId="3E1AB5FA" w14:textId="77777777">
      <w:pPr>
        <w:widowControl/>
        <w:rPr>
          <w:rFonts w:cs="Times New Roman"/>
        </w:rPr>
      </w:pPr>
    </w:p>
    <w:p w:rsidRPr="00EF1DA3" w:rsidR="009375F0" w:rsidP="009375F0" w:rsidRDefault="009375F0" w14:paraId="21C40FB7" w14:textId="43F03E4B">
      <w:pPr>
        <w:rPr>
          <w:rFonts w:cs="Times New Roman"/>
        </w:rPr>
      </w:pPr>
      <w:r w:rsidRPr="004D747C">
        <w:rPr>
          <w:rFonts w:cs="Times New Roman"/>
        </w:rPr>
        <w:t xml:space="preserve">Because these data </w:t>
      </w:r>
      <w:r w:rsidRPr="004D747C" w:rsidR="005B595D">
        <w:rPr>
          <w:rFonts w:cs="Times New Roman"/>
        </w:rPr>
        <w:t>collection</w:t>
      </w:r>
      <w:r w:rsidRPr="004D747C">
        <w:rPr>
          <w:rFonts w:cs="Times New Roman"/>
        </w:rPr>
        <w:t xml:space="preserve"> programs are part of fishery management plans, both scientific and constituent advisory committees have reviewed all aspects of the IFQ programs. Furthermore, comments and suggestions from affected fishermen are routinely submitted, reviewed, and considered. Experience with the IFQ programs, some of which have been operating for</w:t>
      </w:r>
      <w:r w:rsidRPr="00EF1DA3">
        <w:rPr>
          <w:rFonts w:cs="Times New Roman"/>
        </w:rPr>
        <w:t xml:space="preserve"> many years, provides a continual feedback mechanism to NMFS on issues and concerns to the respondents. </w:t>
      </w:r>
    </w:p>
    <w:p w:rsidRPr="00EF1DA3" w:rsidR="009375F0" w:rsidP="009375F0" w:rsidRDefault="009375F0" w14:paraId="799B956D" w14:textId="77777777">
      <w:pPr>
        <w:rPr>
          <w:rFonts w:cs="Times New Roman"/>
        </w:rPr>
      </w:pPr>
    </w:p>
    <w:p w:rsidRPr="00EF1DA3" w:rsidR="009375F0" w:rsidP="009375F0" w:rsidRDefault="009375F0" w14:paraId="60C06E68" w14:textId="56B54F3F">
      <w:pPr>
        <w:rPr>
          <w:rFonts w:cs="Times New Roman"/>
        </w:rPr>
      </w:pPr>
      <w:r w:rsidRPr="00EF1DA3">
        <w:rPr>
          <w:rFonts w:cs="Times New Roman"/>
        </w:rPr>
        <w:t xml:space="preserve">In late </w:t>
      </w:r>
      <w:r w:rsidRPr="00EF1DA3" w:rsidR="00C77BD8">
        <w:rPr>
          <w:rFonts w:cs="Times New Roman"/>
        </w:rPr>
        <w:t>2020</w:t>
      </w:r>
      <w:r w:rsidRPr="00EF1DA3">
        <w:rPr>
          <w:rFonts w:cs="Times New Roman"/>
        </w:rPr>
        <w:t>, NMFS contacted two dealers</w:t>
      </w:r>
      <w:r w:rsidR="009E2C37">
        <w:rPr>
          <w:rFonts w:cs="Times New Roman"/>
        </w:rPr>
        <w:t xml:space="preserve"> as well as</w:t>
      </w:r>
      <w:r w:rsidRPr="00EF1DA3">
        <w:rPr>
          <w:rFonts w:cs="Times New Roman"/>
        </w:rPr>
        <w:t xml:space="preserve"> </w:t>
      </w:r>
      <w:r w:rsidRPr="00EF1DA3" w:rsidR="00C77BD8">
        <w:rPr>
          <w:rFonts w:cs="Times New Roman"/>
        </w:rPr>
        <w:t>two</w:t>
      </w:r>
      <w:r w:rsidRPr="00EF1DA3">
        <w:rPr>
          <w:rFonts w:cs="Times New Roman"/>
        </w:rPr>
        <w:t xml:space="preserve"> </w:t>
      </w:r>
      <w:r w:rsidRPr="00EF1DA3" w:rsidR="000E46F1">
        <w:rPr>
          <w:rFonts w:cs="Times New Roman"/>
        </w:rPr>
        <w:t xml:space="preserve">additional </w:t>
      </w:r>
      <w:r w:rsidRPr="00EF1DA3">
        <w:rPr>
          <w:rFonts w:cs="Times New Roman"/>
        </w:rPr>
        <w:t>dealer</w:t>
      </w:r>
      <w:r w:rsidRPr="00EF1DA3" w:rsidR="00C77BD8">
        <w:rPr>
          <w:rFonts w:cs="Times New Roman"/>
        </w:rPr>
        <w:t>s</w:t>
      </w:r>
      <w:r w:rsidRPr="00EF1DA3">
        <w:rPr>
          <w:rFonts w:cs="Times New Roman"/>
        </w:rPr>
        <w:t xml:space="preserve"> who </w:t>
      </w:r>
      <w:r w:rsidRPr="00EF1DA3" w:rsidR="000E46F1">
        <w:rPr>
          <w:rFonts w:cs="Times New Roman"/>
        </w:rPr>
        <w:t xml:space="preserve">also </w:t>
      </w:r>
      <w:r w:rsidRPr="00EF1DA3">
        <w:rPr>
          <w:rFonts w:cs="Times New Roman"/>
        </w:rPr>
        <w:t xml:space="preserve">own vessels and </w:t>
      </w:r>
      <w:r w:rsidRPr="00EF1DA3" w:rsidR="00C77BD8">
        <w:rPr>
          <w:rFonts w:cs="Times New Roman"/>
        </w:rPr>
        <w:t>are</w:t>
      </w:r>
      <w:r w:rsidRPr="00EF1DA3">
        <w:rPr>
          <w:rFonts w:cs="Times New Roman"/>
        </w:rPr>
        <w:t xml:space="preserve"> IFQ shareholder</w:t>
      </w:r>
      <w:r w:rsidRPr="00EF1DA3" w:rsidR="00C77BD8">
        <w:rPr>
          <w:rFonts w:cs="Times New Roman"/>
        </w:rPr>
        <w:t>s</w:t>
      </w:r>
      <w:r w:rsidRPr="00EF1DA3">
        <w:rPr>
          <w:rFonts w:cs="Times New Roman"/>
        </w:rPr>
        <w:t xml:space="preserve">, </w:t>
      </w:r>
      <w:r w:rsidRPr="009E2C37" w:rsidR="009E2C37">
        <w:t>to obtain their views on the availability of data, frequency of collection, the clarity of instructions and recordkeeping, disclosure, or reporting format (if any), and on the data elements to be recorded, disclosed, or reported</w:t>
      </w:r>
      <w:r w:rsidRPr="009E2C37" w:rsidR="009E2C37">
        <w:t xml:space="preserve"> </w:t>
      </w:r>
      <w:r w:rsidRPr="00EF1DA3">
        <w:rPr>
          <w:rFonts w:cs="Times New Roman"/>
        </w:rPr>
        <w:t>regarding different forms that they complete. Here is a summary of the comments received:</w:t>
      </w:r>
    </w:p>
    <w:p w:rsidRPr="00EF1DA3" w:rsidR="00C77BD8" w:rsidP="009375F0" w:rsidRDefault="00C77BD8" w14:paraId="4FAB5B87" w14:textId="0D578BA8">
      <w:pPr>
        <w:numPr>
          <w:ilvl w:val="0"/>
          <w:numId w:val="16"/>
        </w:numPr>
        <w:adjustRightInd w:val="0"/>
        <w:rPr>
          <w:rFonts w:cs="Times New Roman"/>
        </w:rPr>
      </w:pPr>
      <w:r w:rsidRPr="00EF1DA3">
        <w:rPr>
          <w:rFonts w:cs="Times New Roman"/>
        </w:rPr>
        <w:t>The forms are laid out logically with clear instructions so we know exactly what is needed.</w:t>
      </w:r>
    </w:p>
    <w:p w:rsidRPr="00EF1DA3" w:rsidR="00C77BD8" w:rsidP="009375F0" w:rsidRDefault="00C77BD8" w14:paraId="729566C6" w14:textId="549423AB">
      <w:pPr>
        <w:numPr>
          <w:ilvl w:val="0"/>
          <w:numId w:val="16"/>
        </w:numPr>
        <w:adjustRightInd w:val="0"/>
        <w:rPr>
          <w:rFonts w:cs="Times New Roman"/>
        </w:rPr>
      </w:pPr>
      <w:r w:rsidRPr="00EF1DA3">
        <w:rPr>
          <w:rFonts w:cs="Times New Roman"/>
        </w:rPr>
        <w:t>It would be nice if we could complete the online application for citizenship online like we can with our permit renewals.</w:t>
      </w:r>
    </w:p>
    <w:p w:rsidRPr="00EF1DA3" w:rsidR="008C3256" w:rsidP="00F6437D" w:rsidRDefault="00F6437D" w14:paraId="4A99AEDD" w14:textId="3BBF6637">
      <w:pPr>
        <w:numPr>
          <w:ilvl w:val="0"/>
          <w:numId w:val="16"/>
        </w:numPr>
        <w:adjustRightInd w:val="0"/>
        <w:rPr>
          <w:rFonts w:cs="Times New Roman"/>
        </w:rPr>
      </w:pPr>
      <w:r w:rsidRPr="00EF1DA3">
        <w:rPr>
          <w:rFonts w:cs="Times New Roman"/>
        </w:rPr>
        <w:t xml:space="preserve">The online forms are easy to follow and since we have been doing it so long, </w:t>
      </w:r>
      <w:r w:rsidRPr="00EF1DA3" w:rsidR="00850085">
        <w:rPr>
          <w:rFonts w:cs="Times New Roman"/>
        </w:rPr>
        <w:t>it is</w:t>
      </w:r>
      <w:r w:rsidRPr="00EF1DA3">
        <w:rPr>
          <w:rFonts w:cs="Times New Roman"/>
        </w:rPr>
        <w:t xml:space="preserve"> even easier.</w:t>
      </w:r>
    </w:p>
    <w:p w:rsidRPr="00EF1DA3" w:rsidR="009375F0" w:rsidP="008C3256" w:rsidRDefault="009375F0" w14:paraId="2ACC05BC" w14:textId="5A269B0E">
      <w:pPr>
        <w:adjustRightInd w:val="0"/>
        <w:ind w:left="720"/>
        <w:rPr>
          <w:rFonts w:cs="Times New Roman"/>
        </w:rPr>
      </w:pPr>
    </w:p>
    <w:p w:rsidRPr="00EF1DA3" w:rsidR="008E61C9" w:rsidP="00BD7237" w:rsidRDefault="001477A3" w14:paraId="41B60899" w14:textId="77777777">
      <w:pPr>
        <w:pStyle w:val="ListParagraph"/>
        <w:numPr>
          <w:ilvl w:val="0"/>
          <w:numId w:val="7"/>
        </w:numPr>
        <w:tabs>
          <w:tab w:val="left" w:pos="360"/>
        </w:tabs>
        <w:spacing w:before="80"/>
        <w:ind w:left="0" w:firstLine="0"/>
        <w:rPr>
          <w:rFonts w:cs="Times New Roman"/>
          <w:b/>
        </w:rPr>
      </w:pPr>
      <w:r w:rsidRPr="00EF1DA3">
        <w:rPr>
          <w:rFonts w:cs="Times New Roman"/>
          <w:b/>
        </w:rPr>
        <w:lastRenderedPageBreak/>
        <w:t xml:space="preserve">Explain any decision to provide any payment or gift to respondents, other than </w:t>
      </w:r>
      <w:r w:rsidRPr="00EF1DA3" w:rsidR="00D64DF9">
        <w:rPr>
          <w:rFonts w:cs="Times New Roman"/>
          <w:b/>
        </w:rPr>
        <w:t>remuneration</w:t>
      </w:r>
      <w:r w:rsidRPr="00EF1DA3">
        <w:rPr>
          <w:rFonts w:cs="Times New Roman"/>
          <w:b/>
        </w:rPr>
        <w:t xml:space="preserve"> of contractors or grantees.</w:t>
      </w:r>
    </w:p>
    <w:p w:rsidRPr="00EF1DA3" w:rsidR="00C2154B" w:rsidP="00C2154B" w:rsidRDefault="00C2154B" w14:paraId="5532C16B" w14:textId="77777777">
      <w:pPr>
        <w:widowControl/>
        <w:rPr>
          <w:rFonts w:cs="Times New Roman"/>
        </w:rPr>
      </w:pPr>
    </w:p>
    <w:p w:rsidRPr="00EF1DA3" w:rsidR="00C2154B" w:rsidP="00C2154B" w:rsidRDefault="00C2154B" w14:paraId="6D3C0075" w14:textId="24A125C5">
      <w:pPr>
        <w:widowControl/>
        <w:rPr>
          <w:rFonts w:cs="Times New Roman"/>
        </w:rPr>
      </w:pPr>
      <w:r w:rsidRPr="00EF1DA3">
        <w:rPr>
          <w:rFonts w:cs="Times New Roman"/>
        </w:rPr>
        <w:t>There are no payments or other remunerations to respondents.</w:t>
      </w:r>
    </w:p>
    <w:p w:rsidRPr="00EF1DA3" w:rsidR="00C2154B" w:rsidP="00C2154B" w:rsidRDefault="00C2154B" w14:paraId="34DE1ABB" w14:textId="77777777">
      <w:pPr>
        <w:pStyle w:val="ListParagraph"/>
        <w:tabs>
          <w:tab w:val="left" w:pos="360"/>
        </w:tabs>
        <w:spacing w:before="80"/>
        <w:ind w:left="0" w:firstLine="0"/>
        <w:rPr>
          <w:rFonts w:cs="Times New Roman"/>
          <w:b/>
        </w:rPr>
      </w:pPr>
    </w:p>
    <w:p w:rsidRPr="00EF1DA3" w:rsidR="008E61C9" w:rsidP="00BD7237" w:rsidRDefault="001477A3" w14:paraId="25DF7B0D" w14:textId="11062C4C">
      <w:pPr>
        <w:pStyle w:val="ListParagraph"/>
        <w:numPr>
          <w:ilvl w:val="0"/>
          <w:numId w:val="7"/>
        </w:numPr>
        <w:tabs>
          <w:tab w:val="left" w:pos="360"/>
        </w:tabs>
        <w:spacing w:before="80"/>
        <w:ind w:left="0" w:firstLine="0"/>
        <w:rPr>
          <w:rFonts w:cs="Times New Roman"/>
          <w:b/>
        </w:rPr>
      </w:pPr>
      <w:r w:rsidRPr="00EF1DA3">
        <w:rPr>
          <w:rFonts w:cs="Times New Roman"/>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F1DA3" w:rsidR="00755F60" w:rsidP="00755F60" w:rsidRDefault="00755F60" w14:paraId="6CE2BD24" w14:textId="5AF509D9">
      <w:pPr>
        <w:pStyle w:val="ListParagraph"/>
        <w:tabs>
          <w:tab w:val="left" w:pos="360"/>
        </w:tabs>
        <w:spacing w:before="80"/>
        <w:ind w:left="0" w:firstLine="0"/>
        <w:rPr>
          <w:rFonts w:cs="Times New Roman"/>
          <w:b/>
        </w:rPr>
      </w:pPr>
    </w:p>
    <w:p w:rsidRPr="00EF1DA3" w:rsidR="00755F60" w:rsidP="00755F60" w:rsidRDefault="00755F60" w14:paraId="303D8ABC" w14:textId="77777777">
      <w:pPr>
        <w:rPr>
          <w:rFonts w:cs="Times New Roman"/>
        </w:rPr>
      </w:pPr>
      <w:r w:rsidRPr="00EF1DA3">
        <w:rPr>
          <w:rFonts w:cs="Times New Roman"/>
          <w:i/>
          <w:u w:val="single"/>
        </w:rPr>
        <w:t>Gulf Red Snapper and Groupers and Tilefishes IFQ Programs</w:t>
      </w:r>
    </w:p>
    <w:p w:rsidRPr="00EF1DA3" w:rsidR="00755F60" w:rsidP="00755F60" w:rsidRDefault="00755F60" w14:paraId="44002271" w14:textId="77777777">
      <w:pPr>
        <w:widowControl/>
        <w:rPr>
          <w:rFonts w:cs="Times New Roman"/>
        </w:rPr>
      </w:pPr>
      <w:r w:rsidRPr="00EF1DA3">
        <w:rPr>
          <w:rFonts w:cs="Times New Roman"/>
        </w:rPr>
        <w:t xml:space="preserve">As stated on the forms, all data are treated as confidential in accordance with </w:t>
      </w:r>
      <w:hyperlink w:history="1" r:id="rId12">
        <w:r w:rsidRPr="00EF1DA3">
          <w:rPr>
            <w:rStyle w:val="Hyperlink"/>
            <w:rFonts w:cs="Times New Roman"/>
            <w:color w:val="auto"/>
          </w:rPr>
          <w:t>NOAA Administrative Order 216-100</w:t>
        </w:r>
      </w:hyperlink>
      <w:r w:rsidRPr="00EF1DA3">
        <w:rPr>
          <w:rStyle w:val="Hyperlink"/>
          <w:rFonts w:cs="Times New Roman"/>
          <w:color w:val="auto"/>
        </w:rPr>
        <w:t>, Protection of Confidential Fishery Statistics</w:t>
      </w:r>
      <w:r w:rsidRPr="00EF1DA3">
        <w:rPr>
          <w:rFonts w:cs="Times New Roman"/>
        </w:rPr>
        <w:t>.</w:t>
      </w:r>
    </w:p>
    <w:p w:rsidRPr="00EF1DA3" w:rsidR="00755F60" w:rsidP="00755F60" w:rsidRDefault="00755F60" w14:paraId="54362237" w14:textId="77777777">
      <w:pPr>
        <w:widowControl/>
        <w:rPr>
          <w:rFonts w:cs="Times New Roman"/>
        </w:rPr>
      </w:pPr>
    </w:p>
    <w:p w:rsidRPr="00EF1DA3" w:rsidR="00755F60" w:rsidP="00755F60" w:rsidRDefault="00755F60" w14:paraId="3BCB77AA" w14:textId="77777777">
      <w:pPr>
        <w:rPr>
          <w:rFonts w:cs="Times New Roman"/>
          <w:i/>
          <w:u w:val="single"/>
        </w:rPr>
      </w:pPr>
      <w:r w:rsidRPr="00EF1DA3">
        <w:rPr>
          <w:rFonts w:cs="Times New Roman"/>
          <w:i/>
          <w:u w:val="single"/>
        </w:rPr>
        <w:t>South Atlantic Wreckfish ITQ Program</w:t>
      </w:r>
    </w:p>
    <w:p w:rsidR="00755F60" w:rsidP="00755F60" w:rsidRDefault="00755F60" w14:paraId="0587A865" w14:textId="4C98D101">
      <w:pPr>
        <w:widowControl/>
        <w:rPr>
          <w:rFonts w:cs="Times New Roman"/>
        </w:rPr>
      </w:pPr>
      <w:r w:rsidRPr="00EF1DA3">
        <w:rPr>
          <w:rFonts w:cs="Times New Roman"/>
        </w:rPr>
        <w:t xml:space="preserve">Regulations at 50 CFR 622.172 require NMFS to provide each wreckfish shareholder with a list of all wreckfish shareholders with the names, addresses, and the percentage of shares for each shareholder on an annual basis. Based on past court decisions, the </w:t>
      </w:r>
      <w:hyperlink w:history="1" r:id="rId13">
        <w:r w:rsidRPr="00EF1DA3">
          <w:rPr>
            <w:rStyle w:val="Hyperlink"/>
            <w:rFonts w:cs="Times New Roman"/>
            <w:color w:val="auto"/>
          </w:rPr>
          <w:t>Freedom of Information Act</w:t>
        </w:r>
      </w:hyperlink>
      <w:r w:rsidRPr="00EF1DA3">
        <w:rPr>
          <w:rFonts w:cs="Times New Roman"/>
        </w:rPr>
        <w:t xml:space="preserve"> serves as the basis for release of confidential name and address information via a NOAA Internet website for informational purposes. All other data submitted will be handled as confidential material in accordance with NOAA Administrative Order 216-100, Protection of Confidential Fishery Statistics.</w:t>
      </w:r>
    </w:p>
    <w:p w:rsidR="0089068F" w:rsidP="00755F60" w:rsidRDefault="0089068F" w14:paraId="1D96FE70" w14:textId="05AC2EAB">
      <w:pPr>
        <w:widowControl/>
        <w:rPr>
          <w:rFonts w:cs="Times New Roman"/>
        </w:rPr>
      </w:pPr>
    </w:p>
    <w:p w:rsidR="0089068F" w:rsidP="00755F60" w:rsidRDefault="00001B92" w14:paraId="39870D32" w14:textId="5B383035">
      <w:pPr>
        <w:widowControl/>
        <w:rPr>
          <w:rFonts w:cs="Times New Roman"/>
        </w:rPr>
      </w:pPr>
      <w:r>
        <w:rPr>
          <w:rFonts w:cs="Times New Roman"/>
        </w:rPr>
        <w:t xml:space="preserve">This information collection is collected, stored, used, and disseminated via NOAA system 4300, NMFS Southeast Regional Office Local Area Network, and a Senior Agency Officer for Privacy approved PIA is on file at </w:t>
      </w:r>
      <w:hyperlink w:history="1" r:id="rId14">
        <w:r w:rsidRPr="009E2C37" w:rsidR="009E2C37">
          <w:rPr>
            <w:rStyle w:val="Hyperlink"/>
            <w:rFonts w:cs="Times New Roman"/>
          </w:rPr>
          <w:t>https://www.osec.doc.gov/opog/privacy/NOAA%20PIAs/NOAA4300_FY20_PIA_SAOP_Approved.pdf</w:t>
        </w:r>
      </w:hyperlink>
      <w:r w:rsidR="009E2C37">
        <w:rPr>
          <w:rFonts w:cs="Times New Roman"/>
        </w:rPr>
        <w:t>.</w:t>
      </w:r>
    </w:p>
    <w:p w:rsidR="00F12095" w:rsidP="00755F60" w:rsidRDefault="00F12095" w14:paraId="159E3C72" w14:textId="60976049">
      <w:pPr>
        <w:widowControl/>
        <w:rPr>
          <w:rFonts w:cs="Times New Roman"/>
        </w:rPr>
      </w:pPr>
    </w:p>
    <w:p w:rsidR="00F12095" w:rsidP="00755F60" w:rsidRDefault="00F12095" w14:paraId="2B1BD61A" w14:textId="77777777">
      <w:pPr>
        <w:widowControl/>
        <w:rPr>
          <w:rFonts w:cs="Times New Roman"/>
        </w:rPr>
      </w:pPr>
      <w:r>
        <w:rPr>
          <w:rFonts w:cs="Times New Roman"/>
        </w:rPr>
        <w:t>The following system of records notices (SORNs) apply to this collection of information:</w:t>
      </w:r>
    </w:p>
    <w:p w:rsidR="00F12095" w:rsidP="00755F60" w:rsidRDefault="00F12095" w14:paraId="2A55AF28" w14:textId="2C95FC98">
      <w:pPr>
        <w:widowControl/>
        <w:rPr>
          <w:rFonts w:cs="Times New Roman"/>
        </w:rPr>
      </w:pPr>
      <w:r>
        <w:rPr>
          <w:rFonts w:cs="Times New Roman"/>
        </w:rPr>
        <w:t>COMMERCE/NOAA-11, Contact Information for Members of the Public Requesting or Providing Information Related to NOAA’s Mission;</w:t>
      </w:r>
    </w:p>
    <w:p w:rsidRPr="00EF1DA3" w:rsidR="00F12095" w:rsidP="00755F60" w:rsidRDefault="00F12095" w14:paraId="39B503AF" w14:textId="5C1F82E5">
      <w:pPr>
        <w:widowControl/>
        <w:rPr>
          <w:rFonts w:cs="Times New Roman"/>
        </w:rPr>
      </w:pPr>
      <w:r>
        <w:rPr>
          <w:rFonts w:cs="Times New Roman"/>
        </w:rPr>
        <w:t xml:space="preserve">COMMERCE/NOAA-19, Permits and Registrations for United States Federally Regulated Fisheries; and </w:t>
      </w:r>
      <w:bookmarkStart w:name="_GoBack" w:id="0"/>
      <w:bookmarkEnd w:id="0"/>
      <w:r>
        <w:rPr>
          <w:rFonts w:cs="Times New Roman"/>
        </w:rPr>
        <w:t>COMMERCE/NOAA-12, Marine Mammals, Endangered and Threatened Species, Permits and Exempted Applicants.</w:t>
      </w:r>
    </w:p>
    <w:p w:rsidRPr="00EF1DA3" w:rsidR="00755F60" w:rsidP="00F9555D" w:rsidRDefault="00755F60" w14:paraId="60942E93" w14:textId="77777777">
      <w:pPr>
        <w:pStyle w:val="ListParagraph"/>
        <w:tabs>
          <w:tab w:val="left" w:pos="360"/>
        </w:tabs>
        <w:spacing w:before="0"/>
        <w:ind w:left="0" w:firstLine="0"/>
        <w:rPr>
          <w:rFonts w:cs="Times New Roman"/>
          <w:b/>
        </w:rPr>
      </w:pPr>
    </w:p>
    <w:p w:rsidRPr="00EF1DA3" w:rsidR="008E61C9" w:rsidP="00BD7237" w:rsidRDefault="00755F60" w14:paraId="20E0372F" w14:textId="098C25D6">
      <w:pPr>
        <w:pStyle w:val="ListParagraph"/>
        <w:numPr>
          <w:ilvl w:val="0"/>
          <w:numId w:val="7"/>
        </w:numPr>
        <w:tabs>
          <w:tab w:val="left" w:pos="360"/>
        </w:tabs>
        <w:spacing w:before="80"/>
        <w:ind w:left="0" w:firstLine="0"/>
        <w:rPr>
          <w:rFonts w:cs="Times New Roman"/>
          <w:b/>
        </w:rPr>
      </w:pPr>
      <w:r w:rsidRPr="00EF1DA3">
        <w:rPr>
          <w:rFonts w:cs="Times New Roman"/>
          <w:b/>
        </w:rPr>
        <w:t>P</w:t>
      </w:r>
      <w:r w:rsidRPr="00EF1DA3" w:rsidR="001477A3">
        <w:rPr>
          <w:rFonts w:cs="Times New Roman"/>
          <w:b/>
        </w:rPr>
        <w:t>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F1DA3" w:rsidR="00755F60" w:rsidP="00D9569D" w:rsidRDefault="00755F60" w14:paraId="5CCCB198" w14:textId="3B183FE4">
      <w:pPr>
        <w:rPr>
          <w:rFonts w:cs="Times New Roman"/>
        </w:rPr>
      </w:pPr>
    </w:p>
    <w:p w:rsidRPr="00EF1DA3" w:rsidR="00755F60" w:rsidP="00D9569D" w:rsidRDefault="00755F60" w14:paraId="0C32B3B3" w14:textId="081F4BA8">
      <w:pPr>
        <w:rPr>
          <w:rFonts w:cs="Times New Roman"/>
        </w:rPr>
      </w:pPr>
      <w:r w:rsidRPr="00EF1DA3">
        <w:rPr>
          <w:rFonts w:cs="Times New Roman"/>
        </w:rPr>
        <w:t xml:space="preserve">One question that could be deemed sensitive is the value paid for the shares. Values are confidential and only released in aggregate form. This information is necessary for economic analysis </w:t>
      </w:r>
      <w:r w:rsidR="00850085">
        <w:rPr>
          <w:rFonts w:cs="Times New Roman"/>
        </w:rPr>
        <w:t>to manage</w:t>
      </w:r>
      <w:r w:rsidRPr="00EF1DA3">
        <w:rPr>
          <w:rFonts w:cs="Times New Roman"/>
        </w:rPr>
        <w:t xml:space="preserve"> the wreckfish ITQ program. No one has ever objected to providing any of the information on the form.</w:t>
      </w:r>
    </w:p>
    <w:p w:rsidRPr="00EF1DA3" w:rsidR="00755F60" w:rsidP="00D9569D" w:rsidRDefault="00755F60" w14:paraId="63C68819" w14:textId="6016232B">
      <w:pPr>
        <w:rPr>
          <w:rFonts w:cs="Times New Roman"/>
        </w:rPr>
      </w:pPr>
    </w:p>
    <w:p w:rsidRPr="00EF1DA3" w:rsidR="00755F60" w:rsidP="00D9569D" w:rsidRDefault="00E02E0E" w14:paraId="4C501557" w14:textId="400B42A6">
      <w:pPr>
        <w:rPr>
          <w:rFonts w:cs="Times New Roman"/>
        </w:rPr>
        <w:sectPr w:rsidRPr="00EF1DA3" w:rsidR="00755F60" w:rsidSect="00DF1141">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0" w:footer="1008" w:gutter="0"/>
          <w:cols w:space="720"/>
        </w:sectPr>
      </w:pPr>
      <w:r w:rsidRPr="00EF1DA3">
        <w:rPr>
          <w:rFonts w:cs="Times New Roman"/>
        </w:rPr>
        <w:t xml:space="preserve">The IFQ Online Account Application requires </w:t>
      </w:r>
      <w:r w:rsidRPr="00EF1DA3" w:rsidR="000C509B">
        <w:rPr>
          <w:rFonts w:cs="Times New Roman"/>
        </w:rPr>
        <w:t>participant</w:t>
      </w:r>
      <w:r w:rsidRPr="00EF1DA3">
        <w:rPr>
          <w:rFonts w:cs="Times New Roman"/>
        </w:rPr>
        <w:t xml:space="preserve">s to submit their </w:t>
      </w:r>
      <w:r w:rsidRPr="00EF1DA3" w:rsidR="00E46D21">
        <w:rPr>
          <w:rFonts w:cs="Times New Roman"/>
        </w:rPr>
        <w:t>S</w:t>
      </w:r>
      <w:r w:rsidRPr="00EF1DA3">
        <w:rPr>
          <w:rFonts w:cs="Times New Roman"/>
        </w:rPr>
        <w:t xml:space="preserve">ocial </w:t>
      </w:r>
      <w:r w:rsidRPr="00EF1DA3" w:rsidR="00E46D21">
        <w:rPr>
          <w:rFonts w:cs="Times New Roman"/>
        </w:rPr>
        <w:t>S</w:t>
      </w:r>
      <w:r w:rsidRPr="00EF1DA3">
        <w:rPr>
          <w:rFonts w:cs="Times New Roman"/>
        </w:rPr>
        <w:t xml:space="preserve">ecurity number </w:t>
      </w:r>
      <w:r w:rsidRPr="00EF1DA3" w:rsidR="00755F60">
        <w:rPr>
          <w:rFonts w:cs="Times New Roman"/>
        </w:rPr>
        <w:t xml:space="preserve">for identification purposes. It is essential that entities are </w:t>
      </w:r>
      <w:r w:rsidRPr="00EF1DA3" w:rsidR="00D9569D">
        <w:rPr>
          <w:rFonts w:cs="Times New Roman"/>
        </w:rPr>
        <w:t xml:space="preserve">entered into the database and are able to be </w:t>
      </w:r>
      <w:r w:rsidRPr="00EF1DA3" w:rsidR="00D9569D">
        <w:rPr>
          <w:rFonts w:cs="Times New Roman"/>
        </w:rPr>
        <w:lastRenderedPageBreak/>
        <w:t>identified and di</w:t>
      </w:r>
      <w:r w:rsidRPr="00EF1DA3" w:rsidR="00A94E54">
        <w:rPr>
          <w:rFonts w:cs="Times New Roman"/>
        </w:rPr>
        <w:t>stinguished from other entities</w:t>
      </w:r>
      <w:r w:rsidRPr="00EF1DA3" w:rsidR="00D9569D">
        <w:rPr>
          <w:rFonts w:cs="Times New Roman"/>
        </w:rPr>
        <w:t>.</w:t>
      </w:r>
      <w:r w:rsidRPr="00EF1DA3">
        <w:rPr>
          <w:rFonts w:cs="Times New Roman"/>
        </w:rPr>
        <w:t xml:space="preserve"> The IFQ programs are linked to the </w:t>
      </w:r>
      <w:r w:rsidRPr="00EF1DA3" w:rsidR="00A1446B">
        <w:rPr>
          <w:rFonts w:cs="Times New Roman"/>
        </w:rPr>
        <w:t xml:space="preserve">NMFS </w:t>
      </w:r>
      <w:r w:rsidRPr="00EF1DA3">
        <w:rPr>
          <w:rFonts w:cs="Times New Roman"/>
        </w:rPr>
        <w:t xml:space="preserve">Permits </w:t>
      </w:r>
      <w:r w:rsidRPr="00EF1DA3" w:rsidR="0062487D">
        <w:rPr>
          <w:rFonts w:cs="Times New Roman"/>
        </w:rPr>
        <w:t>database so</w:t>
      </w:r>
      <w:r w:rsidRPr="00EF1DA3">
        <w:rPr>
          <w:rFonts w:cs="Times New Roman"/>
        </w:rPr>
        <w:t xml:space="preserve"> the majority of the </w:t>
      </w:r>
      <w:r w:rsidRPr="00EF1DA3" w:rsidR="000C509B">
        <w:rPr>
          <w:rFonts w:cs="Times New Roman"/>
        </w:rPr>
        <w:t>participant</w:t>
      </w:r>
      <w:r w:rsidRPr="00EF1DA3" w:rsidR="0062487D">
        <w:rPr>
          <w:rFonts w:cs="Times New Roman"/>
        </w:rPr>
        <w:t xml:space="preserve">s will not fill out the application </w:t>
      </w:r>
      <w:r w:rsidRPr="00EF1DA3" w:rsidR="00A1446B">
        <w:rPr>
          <w:rFonts w:cs="Times New Roman"/>
        </w:rPr>
        <w:t>because</w:t>
      </w:r>
      <w:r w:rsidRPr="00EF1DA3" w:rsidR="0062487D">
        <w:rPr>
          <w:rFonts w:cs="Times New Roman"/>
        </w:rPr>
        <w:t xml:space="preserve"> the data is </w:t>
      </w:r>
      <w:r w:rsidRPr="00EF1DA3" w:rsidR="00A1446B">
        <w:rPr>
          <w:rFonts w:cs="Times New Roman"/>
        </w:rPr>
        <w:t xml:space="preserve">already </w:t>
      </w:r>
      <w:r w:rsidRPr="00EF1DA3" w:rsidR="0062487D">
        <w:rPr>
          <w:rFonts w:cs="Times New Roman"/>
        </w:rPr>
        <w:t xml:space="preserve">collected through the </w:t>
      </w:r>
      <w:r w:rsidRPr="00EF1DA3" w:rsidR="00A1446B">
        <w:rPr>
          <w:rFonts w:cs="Times New Roman"/>
        </w:rPr>
        <w:t xml:space="preserve">separate </w:t>
      </w:r>
      <w:r w:rsidRPr="00EF1DA3" w:rsidR="0062487D">
        <w:rPr>
          <w:rFonts w:cs="Times New Roman"/>
        </w:rPr>
        <w:t xml:space="preserve">permit application process. However, not all IFQ </w:t>
      </w:r>
      <w:r w:rsidRPr="00EF1DA3" w:rsidR="000C509B">
        <w:rPr>
          <w:rFonts w:cs="Times New Roman"/>
        </w:rPr>
        <w:t>participant</w:t>
      </w:r>
      <w:r w:rsidRPr="00EF1DA3" w:rsidR="0062487D">
        <w:rPr>
          <w:rFonts w:cs="Times New Roman"/>
        </w:rPr>
        <w:t xml:space="preserve">s are </w:t>
      </w:r>
      <w:r w:rsidRPr="00EF1DA3" w:rsidR="00A1446B">
        <w:rPr>
          <w:rFonts w:cs="Times New Roman"/>
        </w:rPr>
        <w:t xml:space="preserve">federal </w:t>
      </w:r>
      <w:r w:rsidRPr="00EF1DA3" w:rsidR="0062487D">
        <w:rPr>
          <w:rFonts w:cs="Times New Roman"/>
        </w:rPr>
        <w:t>permit holders</w:t>
      </w:r>
      <w:r w:rsidRPr="00EF1DA3" w:rsidR="00A1446B">
        <w:rPr>
          <w:rFonts w:cs="Times New Roman"/>
        </w:rPr>
        <w:t>,</w:t>
      </w:r>
      <w:r w:rsidRPr="00EF1DA3" w:rsidR="0062487D">
        <w:rPr>
          <w:rFonts w:cs="Times New Roman"/>
        </w:rPr>
        <w:t xml:space="preserve"> so </w:t>
      </w:r>
      <w:r w:rsidRPr="00EF1DA3" w:rsidR="003E50BC">
        <w:rPr>
          <w:rFonts w:cs="Times New Roman"/>
        </w:rPr>
        <w:t>NMFS</w:t>
      </w:r>
      <w:r w:rsidRPr="00EF1DA3" w:rsidR="0062487D">
        <w:rPr>
          <w:rFonts w:cs="Times New Roman"/>
        </w:rPr>
        <w:t xml:space="preserve"> must collect their </w:t>
      </w:r>
      <w:r w:rsidRPr="00EF1DA3" w:rsidR="00E46D21">
        <w:rPr>
          <w:rFonts w:cs="Times New Roman"/>
        </w:rPr>
        <w:t>S</w:t>
      </w:r>
      <w:r w:rsidRPr="00EF1DA3" w:rsidR="0062487D">
        <w:rPr>
          <w:rFonts w:cs="Times New Roman"/>
        </w:rPr>
        <w:t xml:space="preserve">ocial </w:t>
      </w:r>
      <w:r w:rsidRPr="00EF1DA3" w:rsidR="00E46D21">
        <w:rPr>
          <w:rFonts w:cs="Times New Roman"/>
        </w:rPr>
        <w:t>S</w:t>
      </w:r>
      <w:r w:rsidRPr="00EF1DA3" w:rsidR="0062487D">
        <w:rPr>
          <w:rFonts w:cs="Times New Roman"/>
        </w:rPr>
        <w:t xml:space="preserve">ecurity numbers through the IFQ Online Account Application. The </w:t>
      </w:r>
      <w:r w:rsidRPr="00EF1DA3" w:rsidR="00A1446B">
        <w:rPr>
          <w:rFonts w:cs="Times New Roman"/>
        </w:rPr>
        <w:t xml:space="preserve">applications that participants submit to NMFS </w:t>
      </w:r>
      <w:r w:rsidRPr="00EF1DA3" w:rsidR="0062487D">
        <w:rPr>
          <w:rFonts w:cs="Times New Roman"/>
        </w:rPr>
        <w:t xml:space="preserve">are kept in a secure, locked cabinet to </w:t>
      </w:r>
      <w:r w:rsidRPr="00EF1DA3" w:rsidR="00E46D21">
        <w:rPr>
          <w:rFonts w:cs="Times New Roman"/>
        </w:rPr>
        <w:t>protect confidential data</w:t>
      </w:r>
      <w:r w:rsidRPr="00EF1DA3" w:rsidR="0062487D">
        <w:rPr>
          <w:rFonts w:cs="Times New Roman"/>
        </w:rPr>
        <w:t>.</w:t>
      </w:r>
    </w:p>
    <w:p w:rsidRPr="00EF1DA3" w:rsidR="008E61C9" w:rsidP="00BD7237" w:rsidRDefault="008E61C9" w14:paraId="4121A7E8" w14:textId="77777777">
      <w:pPr>
        <w:spacing w:line="259" w:lineRule="auto"/>
        <w:rPr>
          <w:rFonts w:cs="Times New Roman"/>
        </w:rPr>
      </w:pPr>
    </w:p>
    <w:p w:rsidRPr="00EF1DA3" w:rsidR="008E61C9" w:rsidP="00BD7237" w:rsidRDefault="001477A3" w14:paraId="433356AF" w14:textId="77777777">
      <w:pPr>
        <w:pStyle w:val="ListParagraph"/>
        <w:numPr>
          <w:ilvl w:val="0"/>
          <w:numId w:val="7"/>
        </w:numPr>
        <w:tabs>
          <w:tab w:val="left" w:pos="360"/>
        </w:tabs>
        <w:spacing w:before="80"/>
        <w:ind w:left="0" w:firstLine="0"/>
        <w:rPr>
          <w:rFonts w:cs="Times New Roman"/>
          <w:b/>
        </w:rPr>
      </w:pPr>
      <w:r w:rsidRPr="00EF1DA3">
        <w:rPr>
          <w:rFonts w:cs="Times New Roman"/>
          <w:b/>
        </w:rPr>
        <w:t>Provide estimates of the hour burden of the collection of information.</w:t>
      </w:r>
    </w:p>
    <w:p w:rsidRPr="00EF1DA3" w:rsidR="00F9555D" w:rsidP="00211488" w:rsidRDefault="00F9555D" w14:paraId="3B86BE48" w14:textId="77777777">
      <w:pPr>
        <w:spacing w:line="259" w:lineRule="auto"/>
        <w:rPr>
          <w:rFonts w:cs="Times New Roman"/>
        </w:rPr>
      </w:pPr>
    </w:p>
    <w:tbl>
      <w:tblPr>
        <w:tblW w:w="5031" w:type="pct"/>
        <w:tblInd w:w="-10" w:type="dxa"/>
        <w:tblLook w:val="04A0" w:firstRow="1" w:lastRow="0" w:firstColumn="1" w:lastColumn="0" w:noHBand="0" w:noVBand="1"/>
      </w:tblPr>
      <w:tblGrid>
        <w:gridCol w:w="2900"/>
        <w:gridCol w:w="1870"/>
        <w:gridCol w:w="1188"/>
        <w:gridCol w:w="1128"/>
        <w:gridCol w:w="1234"/>
        <w:gridCol w:w="1181"/>
        <w:gridCol w:w="1209"/>
        <w:gridCol w:w="1350"/>
        <w:gridCol w:w="1541"/>
      </w:tblGrid>
      <w:tr w:rsidRPr="00EF1DA3" w:rsidR="00EF1DA3" w:rsidTr="00095A9D" w14:paraId="4EA0ABED" w14:textId="77777777">
        <w:trPr>
          <w:trHeight w:val="1140"/>
        </w:trPr>
        <w:tc>
          <w:tcPr>
            <w:tcW w:w="290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EF1DA3" w:rsidR="007250CA" w:rsidP="007250CA" w:rsidRDefault="007250CA" w14:paraId="5A2B56FB"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Information Collection</w:t>
            </w:r>
          </w:p>
        </w:tc>
        <w:tc>
          <w:tcPr>
            <w:tcW w:w="1870" w:type="dxa"/>
            <w:tcBorders>
              <w:top w:val="single" w:color="auto" w:sz="8" w:space="0"/>
              <w:left w:val="nil"/>
              <w:bottom w:val="single" w:color="auto" w:sz="8" w:space="0"/>
              <w:right w:val="single" w:color="000000" w:sz="8" w:space="0"/>
            </w:tcBorders>
            <w:shd w:val="clear" w:color="auto" w:fill="5B9BD5"/>
            <w:vAlign w:val="center"/>
            <w:hideMark/>
          </w:tcPr>
          <w:p w:rsidRPr="00EF1DA3" w:rsidR="007250CA" w:rsidP="007250CA" w:rsidRDefault="007250CA" w14:paraId="4BB4D3E5"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vAlign w:val="center"/>
            <w:hideMark/>
          </w:tcPr>
          <w:p w:rsidRPr="00EF1DA3" w:rsidR="007250CA" w:rsidP="007250CA" w:rsidRDefault="007250CA" w14:paraId="7331C391" w14:textId="2C67D59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 of Respondents</w:t>
            </w:r>
            <w:r w:rsidRPr="00EF1DA3" w:rsidR="008C0276">
              <w:rPr>
                <w:rFonts w:ascii="Calibri" w:hAnsi="Calibri" w:eastAsia="Times New Roman" w:cs="Calibri"/>
                <w:b/>
                <w:bCs/>
                <w:sz w:val="18"/>
                <w:szCs w:val="18"/>
              </w:rPr>
              <w:t xml:space="preserve"> per Year</w:t>
            </w:r>
          </w:p>
          <w:p w:rsidRPr="00EF1DA3" w:rsidR="007250CA" w:rsidP="007250CA" w:rsidRDefault="007250CA" w14:paraId="57288789"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(a)</w:t>
            </w:r>
          </w:p>
        </w:tc>
        <w:tc>
          <w:tcPr>
            <w:tcW w:w="1128"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7250CA" w14:paraId="48E48855"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Annual # of Responses per Respondent</w:t>
            </w:r>
          </w:p>
          <w:p w:rsidRPr="00EF1DA3" w:rsidR="007250CA" w:rsidP="007250CA" w:rsidRDefault="007250CA" w14:paraId="024EFE7F"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(b)</w:t>
            </w:r>
          </w:p>
        </w:tc>
        <w:tc>
          <w:tcPr>
            <w:tcW w:w="1234"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8C0276" w14:paraId="2B860AE8" w14:textId="16FF1E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Total No.</w:t>
            </w:r>
            <w:r w:rsidRPr="00EF1DA3" w:rsidR="007250CA">
              <w:rPr>
                <w:rFonts w:ascii="Calibri" w:hAnsi="Calibri" w:eastAsia="Times New Roman" w:cs="Calibri"/>
                <w:b/>
                <w:bCs/>
                <w:sz w:val="18"/>
                <w:szCs w:val="18"/>
              </w:rPr>
              <w:t xml:space="preserve"> of Annual Responses</w:t>
            </w:r>
          </w:p>
          <w:p w:rsidRPr="00EF1DA3" w:rsidR="007250CA" w:rsidP="007250CA" w:rsidRDefault="007250CA" w14:paraId="505D25AC"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(c) = (a) x (b)</w:t>
            </w:r>
          </w:p>
        </w:tc>
        <w:tc>
          <w:tcPr>
            <w:tcW w:w="1181"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9A1CE4" w14:paraId="207B1B97" w14:textId="3371CFB0">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Burden Hour</w:t>
            </w:r>
            <w:r w:rsidRPr="00EF1DA3" w:rsidR="007250CA">
              <w:rPr>
                <w:rFonts w:ascii="Calibri" w:hAnsi="Calibri" w:eastAsia="Times New Roman" w:cs="Calibri"/>
                <w:b/>
                <w:bCs/>
                <w:sz w:val="18"/>
                <w:szCs w:val="18"/>
              </w:rPr>
              <w:t xml:space="preserve"> per Response</w:t>
            </w:r>
          </w:p>
          <w:p w:rsidRPr="00EF1DA3" w:rsidR="007250CA" w:rsidP="007250CA" w:rsidRDefault="007250CA" w14:paraId="2DDE3D1C"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(d)</w:t>
            </w:r>
          </w:p>
        </w:tc>
        <w:tc>
          <w:tcPr>
            <w:tcW w:w="1209"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9A1CE4" w14:paraId="41DB1910" w14:textId="60AD3508">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Total Annual Burden Hr</w:t>
            </w:r>
          </w:p>
          <w:p w:rsidRPr="00EF1DA3" w:rsidR="007250CA" w:rsidP="007250CA" w:rsidRDefault="007250CA" w14:paraId="0D5D5601"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7250CA" w14:paraId="50B91A03" w14:textId="52383403">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Mean Hourly Wage Rate</w:t>
            </w:r>
            <w:r w:rsidRPr="00EF1DA3" w:rsidR="00095A9D">
              <w:rPr>
                <w:rFonts w:ascii="Calibri" w:hAnsi="Calibri" w:eastAsia="Times New Roman" w:cs="Calibri"/>
                <w:b/>
                <w:bCs/>
                <w:sz w:val="18"/>
                <w:szCs w:val="18"/>
              </w:rPr>
              <w:t xml:space="preserve"> ($)</w:t>
            </w:r>
            <w:r w:rsidRPr="00EF1DA3" w:rsidR="009A1CE4">
              <w:rPr>
                <w:rFonts w:ascii="Calibri" w:hAnsi="Calibri" w:eastAsia="Times New Roman" w:cs="Calibri"/>
                <w:b/>
                <w:bCs/>
                <w:sz w:val="18"/>
                <w:szCs w:val="18"/>
              </w:rPr>
              <w:t xml:space="preserve"> * </w:t>
            </w:r>
            <w:r w:rsidRPr="00EF1DA3">
              <w:rPr>
                <w:rFonts w:ascii="Calibri" w:hAnsi="Calibri" w:eastAsia="Times New Roman" w:cs="Calibri"/>
                <w:b/>
                <w:bCs/>
                <w:sz w:val="18"/>
                <w:szCs w:val="18"/>
              </w:rPr>
              <w:t>for Type of Respondent</w:t>
            </w:r>
          </w:p>
          <w:p w:rsidRPr="00EF1DA3" w:rsidR="007250CA" w:rsidP="007250CA" w:rsidRDefault="007250CA" w14:paraId="6827C106"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(f)</w:t>
            </w:r>
          </w:p>
        </w:tc>
        <w:tc>
          <w:tcPr>
            <w:tcW w:w="1541" w:type="dxa"/>
            <w:tcBorders>
              <w:top w:val="single" w:color="auto" w:sz="8" w:space="0"/>
              <w:left w:val="nil"/>
              <w:bottom w:val="single" w:color="auto" w:sz="8" w:space="0"/>
              <w:right w:val="single" w:color="auto" w:sz="8" w:space="0"/>
            </w:tcBorders>
            <w:shd w:val="clear" w:color="auto" w:fill="5B9BD5"/>
            <w:vAlign w:val="center"/>
            <w:hideMark/>
          </w:tcPr>
          <w:p w:rsidRPr="00EF1DA3" w:rsidR="007250CA" w:rsidP="007250CA" w:rsidRDefault="007250CA" w14:paraId="5824FE83" w14:textId="17B5BFBA">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Total Annual Wage Burden Costs</w:t>
            </w:r>
            <w:r w:rsidRPr="00EF1DA3" w:rsidR="00095A9D">
              <w:rPr>
                <w:rFonts w:ascii="Calibri" w:hAnsi="Calibri" w:eastAsia="Times New Roman" w:cs="Calibri"/>
                <w:b/>
                <w:bCs/>
                <w:sz w:val="18"/>
                <w:szCs w:val="18"/>
              </w:rPr>
              <w:t xml:space="preserve"> ($)</w:t>
            </w:r>
          </w:p>
          <w:p w:rsidRPr="00EF1DA3" w:rsidR="007250CA" w:rsidP="007250CA" w:rsidRDefault="007250CA" w14:paraId="1E44C0AF"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(g) = (e) x (f)</w:t>
            </w:r>
          </w:p>
        </w:tc>
      </w:tr>
      <w:tr w:rsidRPr="00EF1DA3" w:rsidR="00EF1DA3" w:rsidTr="00095A9D" w14:paraId="42B1103A"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7250CA" w:rsidP="007250CA" w:rsidRDefault="007250CA" w14:paraId="04F07F57" w14:textId="2B170A38">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Dealer Landing Transaction Report*</w:t>
            </w:r>
            <w:r w:rsidRPr="00EF1DA3" w:rsidR="002D5262">
              <w:rPr>
                <w:rFonts w:ascii="Calibri" w:hAnsi="Calibri" w:eastAsia="Times New Roman" w:cs="Calibri"/>
                <w:sz w:val="16"/>
                <w:szCs w:val="16"/>
              </w:rPr>
              <w:t>*</w:t>
            </w:r>
          </w:p>
        </w:tc>
        <w:tc>
          <w:tcPr>
            <w:tcW w:w="1870"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0F18BB" w14:paraId="1951D0B9" w14:textId="69FBE2FF">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First Receiver/Processor</w:t>
            </w:r>
          </w:p>
        </w:tc>
        <w:tc>
          <w:tcPr>
            <w:tcW w:w="1188" w:type="dxa"/>
            <w:tcBorders>
              <w:top w:val="nil"/>
              <w:left w:val="nil"/>
              <w:bottom w:val="single" w:color="auto" w:sz="4" w:space="0"/>
              <w:right w:val="single" w:color="auto" w:sz="4" w:space="0"/>
            </w:tcBorders>
            <w:shd w:val="clear" w:color="auto" w:fill="auto"/>
            <w:vAlign w:val="center"/>
            <w:hideMark/>
          </w:tcPr>
          <w:p w:rsidRPr="00EF1DA3" w:rsidR="007250CA" w:rsidP="006F28AA" w:rsidRDefault="000F18BB" w14:paraId="72C111CF" w14:textId="160FAC2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125</w:t>
            </w:r>
          </w:p>
        </w:tc>
        <w:tc>
          <w:tcPr>
            <w:tcW w:w="1128"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73D532C6" w14:textId="43E91E2D">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57.21</w:t>
            </w:r>
          </w:p>
        </w:tc>
        <w:tc>
          <w:tcPr>
            <w:tcW w:w="1234"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0F18BB" w14:paraId="5509CA71" w14:textId="6404B5E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7,151</w:t>
            </w:r>
          </w:p>
        </w:tc>
        <w:tc>
          <w:tcPr>
            <w:tcW w:w="1181"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7250CA" w14:paraId="73A83C4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181D2080" w14:textId="5260ADA3">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715</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7250CA" w:rsidP="00FB1BC6" w:rsidRDefault="00FB1BC6" w14:paraId="307484AD" w14:textId="19D9CD8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33.50</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7250CA" w:rsidP="006F28AA" w:rsidRDefault="00533A58" w14:paraId="0112A0D7" w14:textId="7A13B8E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 xml:space="preserve">23,955.85   </w:t>
            </w:r>
          </w:p>
        </w:tc>
      </w:tr>
      <w:tr w:rsidRPr="00EF1DA3" w:rsidR="00EF1DA3" w:rsidTr="00095A9D" w14:paraId="36AC5F66"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1DC85CC9"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Cost Recovery Fee Submission by Dealers</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533A58" w14:paraId="2A9C568D" w14:textId="7A47142E">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First Receiver/Processor</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4AB1164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119</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06B1287F"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3.34</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56B3D2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397</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0E167AD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Del="0001175A" w:rsidP="00FB1BC6" w:rsidRDefault="00FB1BC6" w14:paraId="0F72F98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20</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136088" w:rsidRDefault="00533A58" w14:paraId="48DC443A" w14:textId="23AE89F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33.50</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FB1BC6" w:rsidRDefault="00C73FC0" w14:paraId="45325324" w14:textId="45DCE14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670</w:t>
            </w:r>
          </w:p>
        </w:tc>
      </w:tr>
      <w:tr w:rsidRPr="00EF1DA3" w:rsidR="00EF1DA3" w:rsidTr="00095A9D" w14:paraId="110AF3FD"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0DD4A54C"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Notification of Landing</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1D614E6"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7CEC8F8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444</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A4BDF7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16.82</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6BC826B3"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7,468</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78819EC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FB44A8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622</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629BCC9F" w14:textId="48C2D8B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FB1BC6" w:rsidRDefault="00C73FC0" w14:paraId="0E05D6B7" w14:textId="13E35A6C">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9,373.54</w:t>
            </w:r>
          </w:p>
        </w:tc>
      </w:tr>
      <w:tr w:rsidRPr="00EF1DA3" w:rsidR="00EF1DA3" w:rsidTr="00095A9D" w14:paraId="6747C80D"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6C3EEBA7"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 xml:space="preserve">Transfer Shares </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44E34F18"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F5E151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139</w:t>
            </w:r>
          </w:p>
        </w:tc>
        <w:tc>
          <w:tcPr>
            <w:tcW w:w="1128" w:type="dxa"/>
            <w:tcBorders>
              <w:top w:val="nil"/>
              <w:left w:val="nil"/>
              <w:bottom w:val="single" w:color="auto" w:sz="4" w:space="0"/>
              <w:right w:val="single" w:color="auto" w:sz="4" w:space="0"/>
            </w:tcBorders>
            <w:shd w:val="clear" w:color="auto" w:fill="auto"/>
            <w:vAlign w:val="center"/>
          </w:tcPr>
          <w:p w:rsidRPr="00EF1DA3" w:rsidR="00FB1BC6" w:rsidDel="00827F6E" w:rsidP="00FB1BC6" w:rsidRDefault="00FB1BC6" w14:paraId="375B4D13"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4.03</w:t>
            </w:r>
          </w:p>
        </w:tc>
        <w:tc>
          <w:tcPr>
            <w:tcW w:w="1234" w:type="dxa"/>
            <w:tcBorders>
              <w:top w:val="nil"/>
              <w:left w:val="nil"/>
              <w:bottom w:val="single" w:color="auto" w:sz="4" w:space="0"/>
              <w:right w:val="single" w:color="auto" w:sz="4" w:space="0"/>
            </w:tcBorders>
            <w:shd w:val="clear" w:color="auto" w:fill="auto"/>
            <w:vAlign w:val="center"/>
          </w:tcPr>
          <w:p w:rsidRPr="00EF1DA3" w:rsidR="00FB1BC6" w:rsidDel="00CA7F0E" w:rsidP="00FB1BC6" w:rsidRDefault="00FB1BC6" w14:paraId="44A89D3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560</w:t>
            </w:r>
          </w:p>
        </w:tc>
        <w:tc>
          <w:tcPr>
            <w:tcW w:w="1181" w:type="dxa"/>
            <w:tcBorders>
              <w:top w:val="nil"/>
              <w:left w:val="nil"/>
              <w:bottom w:val="single" w:color="auto" w:sz="4" w:space="0"/>
              <w:right w:val="single" w:color="auto" w:sz="4" w:space="0"/>
            </w:tcBorders>
            <w:shd w:val="clear" w:color="auto" w:fill="auto"/>
            <w:vAlign w:val="center"/>
          </w:tcPr>
          <w:p w:rsidRPr="00EF1DA3" w:rsidR="00FB1BC6" w:rsidDel="00A35204" w:rsidP="00FB1BC6" w:rsidRDefault="00FB1BC6" w14:paraId="13A3C2C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Del="00D46722" w:rsidP="00FB1BC6" w:rsidRDefault="00FB1BC6" w14:paraId="0C746C4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28</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696A3EF9" w14:textId="0DF580E1">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FB1BC6" w:rsidRDefault="00C73FC0" w14:paraId="2BFEC13B" w14:textId="24B0F44D">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421.96</w:t>
            </w:r>
          </w:p>
        </w:tc>
      </w:tr>
      <w:tr w:rsidRPr="00EF1DA3" w:rsidR="00EF1DA3" w:rsidTr="00095A9D" w14:paraId="2AE25332"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47D28FD6"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Share Receipt</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73E4DAE8"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2DAEF22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139</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2B8C0C4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4.03</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6C0827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560</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2592A28"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01B2F2B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19</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4916E499" w14:textId="281E3A56">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02267C" w:rsidRDefault="00C73FC0" w14:paraId="0E4C944F" w14:textId="209443A2">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286.3</w:t>
            </w:r>
            <w:r w:rsidRPr="00EF1DA3" w:rsidR="0002267C">
              <w:rPr>
                <w:rFonts w:ascii="Calibri" w:hAnsi="Calibri" w:eastAsia="Times New Roman" w:cs="Calibri"/>
                <w:sz w:val="16"/>
                <w:szCs w:val="16"/>
              </w:rPr>
              <w:t>3</w:t>
            </w:r>
          </w:p>
        </w:tc>
      </w:tr>
      <w:tr w:rsidRPr="00EF1DA3" w:rsidR="00EF1DA3" w:rsidTr="00095A9D" w14:paraId="146E4CBB"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FB1BC6" w:rsidP="00FB1BC6" w:rsidRDefault="00FB1BC6" w14:paraId="479E7D5B"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Transfer Allocation</w:t>
            </w:r>
          </w:p>
        </w:tc>
        <w:tc>
          <w:tcPr>
            <w:tcW w:w="1870"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263BDDE2"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61BBE81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604</w:t>
            </w:r>
          </w:p>
        </w:tc>
        <w:tc>
          <w:tcPr>
            <w:tcW w:w="112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00C29A2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19.7</w:t>
            </w:r>
          </w:p>
        </w:tc>
        <w:tc>
          <w:tcPr>
            <w:tcW w:w="1234"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4A0E36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11,899</w:t>
            </w:r>
          </w:p>
        </w:tc>
        <w:tc>
          <w:tcPr>
            <w:tcW w:w="1181"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6B4084F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253AC769"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595</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FB1BC6" w:rsidP="00FB1BC6" w:rsidRDefault="00FB1BC6" w14:paraId="5B00D764" w14:textId="2D83245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FB1BC6" w:rsidP="00FB1BC6" w:rsidRDefault="00C73FC0" w14:paraId="4A5405C6" w14:textId="621BBF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8,966.65</w:t>
            </w:r>
          </w:p>
        </w:tc>
      </w:tr>
      <w:tr w:rsidRPr="00EF1DA3" w:rsidR="00EF1DA3" w:rsidTr="00095A9D" w14:paraId="1C606418"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7250CA" w:rsidP="007250CA" w:rsidRDefault="007250CA" w14:paraId="66826691" w14:textId="46695A9B">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Online Account</w:t>
            </w:r>
            <w:r w:rsidRPr="00EF1DA3" w:rsidR="0002267C">
              <w:rPr>
                <w:rFonts w:ascii="Calibri" w:hAnsi="Calibri" w:eastAsia="Times New Roman" w:cs="Calibri"/>
                <w:sz w:val="16"/>
                <w:szCs w:val="16"/>
              </w:rPr>
              <w:t xml:space="preserve"> </w:t>
            </w:r>
            <w:r w:rsidRPr="00EF1DA3">
              <w:rPr>
                <w:rFonts w:ascii="Calibri" w:hAnsi="Calibri" w:eastAsia="Times New Roman" w:cs="Calibri"/>
                <w:sz w:val="16"/>
                <w:szCs w:val="16"/>
              </w:rPr>
              <w:t>Application</w:t>
            </w:r>
          </w:p>
        </w:tc>
        <w:tc>
          <w:tcPr>
            <w:tcW w:w="1870"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7250CA" w14:paraId="33A5B134"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768BDA46" w14:textId="69B0B5E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107</w:t>
            </w:r>
          </w:p>
        </w:tc>
        <w:tc>
          <w:tcPr>
            <w:tcW w:w="1128"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7250CA" w14:paraId="6E41AD1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234"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6899EFFE" w14:textId="43C8CD73">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107</w:t>
            </w:r>
          </w:p>
        </w:tc>
        <w:tc>
          <w:tcPr>
            <w:tcW w:w="1181"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7498DCBB" w14:textId="2C9CEB11">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 xml:space="preserve">13 </w:t>
            </w:r>
            <w:r w:rsidRPr="00EF1DA3" w:rsidR="0090651A">
              <w:rPr>
                <w:rFonts w:ascii="Calibri" w:hAnsi="Calibri" w:eastAsia="Times New Roman" w:cs="Calibri"/>
                <w:sz w:val="16"/>
                <w:szCs w:val="16"/>
              </w:rPr>
              <w:t>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7250CA" w:rsidP="007250CA" w:rsidRDefault="00FB1BC6" w14:paraId="2758DCA2" w14:textId="1071AC8D">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23</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7250CA" w:rsidP="00FB1BC6" w:rsidRDefault="00FB1BC6" w14:paraId="1714FF82" w14:textId="5C0C62D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7250CA" w:rsidP="00C73FC0" w:rsidRDefault="00C73FC0" w14:paraId="1B9ACABD" w14:textId="725AA6CA">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348.27</w:t>
            </w:r>
          </w:p>
        </w:tc>
      </w:tr>
      <w:tr w:rsidRPr="00EF1DA3" w:rsidR="00EF1DA3" w:rsidTr="00095A9D" w14:paraId="6060B6D7"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38EC9F5F"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Wreckfish Share Transfer</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68AAD142"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7C2AB15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0CE1FA5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0.17</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44DF488"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181" w:type="dxa"/>
            <w:tcBorders>
              <w:top w:val="nil"/>
              <w:left w:val="nil"/>
              <w:bottom w:val="single" w:color="auto" w:sz="4" w:space="0"/>
              <w:right w:val="single" w:color="auto" w:sz="4" w:space="0"/>
            </w:tcBorders>
            <w:shd w:val="clear" w:color="auto" w:fill="auto"/>
            <w:vAlign w:val="center"/>
          </w:tcPr>
          <w:p w:rsidRPr="00EF1DA3" w:rsidR="00FB1BC6" w:rsidDel="00E603BF" w:rsidP="00FB1BC6" w:rsidRDefault="00FB1BC6" w14:paraId="4DAAFB3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20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7B12B8" w14:paraId="33737552" w14:textId="1B59E2AC">
            <w:pPr>
              <w:widowControl/>
              <w:autoSpaceDE/>
              <w:autoSpaceDN/>
              <w:jc w:val="right"/>
              <w:rPr>
                <w:rFonts w:ascii="Calibri" w:hAnsi="Calibri" w:eastAsia="Times New Roman" w:cs="Calibri"/>
                <w:sz w:val="16"/>
                <w:szCs w:val="16"/>
              </w:rPr>
            </w:pPr>
            <w:r>
              <w:rPr>
                <w:rFonts w:ascii="Calibri" w:hAnsi="Calibri" w:eastAsia="Times New Roman" w:cs="Calibri"/>
                <w:sz w:val="16"/>
                <w:szCs w:val="16"/>
              </w:rPr>
              <w:t>.33</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6F68A18E" w14:textId="544CD6A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FB1BC6" w:rsidRDefault="00C73FC0" w14:paraId="1C0AAB77" w14:textId="792ADC8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r>
      <w:tr w:rsidRPr="00EF1DA3" w:rsidR="00EF1DA3" w:rsidTr="00095A9D" w14:paraId="5384CB3D"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FB1BC6" w:rsidP="00FB1BC6" w:rsidRDefault="00FB1BC6" w14:paraId="7953424C"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Landing Transaction Correction Request</w:t>
            </w:r>
          </w:p>
        </w:tc>
        <w:tc>
          <w:tcPr>
            <w:tcW w:w="1870"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0A2368E8"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0B7C332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42</w:t>
            </w:r>
          </w:p>
        </w:tc>
        <w:tc>
          <w:tcPr>
            <w:tcW w:w="112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36C3DCE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3.88</w:t>
            </w:r>
          </w:p>
        </w:tc>
        <w:tc>
          <w:tcPr>
            <w:tcW w:w="1234"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12FD589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163</w:t>
            </w:r>
          </w:p>
        </w:tc>
        <w:tc>
          <w:tcPr>
            <w:tcW w:w="1181"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1C3B685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2E1E1417"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14</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FB1BC6" w:rsidP="00FB1BC6" w:rsidRDefault="00FB1BC6" w14:paraId="52F58B53" w14:textId="71DD8886">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FB1BC6" w:rsidP="00FB1BC6" w:rsidRDefault="00C73FC0" w14:paraId="30EEC83E" w14:textId="1A233A1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 xml:space="preserve">210.98   </w:t>
            </w:r>
          </w:p>
        </w:tc>
      </w:tr>
      <w:tr w:rsidRPr="00EF1DA3" w:rsidR="00EF1DA3" w:rsidTr="00095A9D" w14:paraId="38E5CD4C"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FB1BC6" w:rsidP="00FB1BC6" w:rsidRDefault="00FB1BC6" w14:paraId="2875BF66" w14:textId="3D5C5F55">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Commercial Reef Fish Landing Location Request</w:t>
            </w:r>
            <w:r w:rsidRPr="00EF1DA3" w:rsidR="00DE4649">
              <w:rPr>
                <w:rFonts w:ascii="Calibri" w:hAnsi="Calibri" w:eastAsia="Times New Roman" w:cs="Calibri"/>
                <w:sz w:val="16"/>
                <w:szCs w:val="16"/>
              </w:rPr>
              <w:t xml:space="preserve"> (IFQ only)</w:t>
            </w:r>
          </w:p>
        </w:tc>
        <w:tc>
          <w:tcPr>
            <w:tcW w:w="1870"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83C7689"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529C2E6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26 (IFQ only)</w:t>
            </w:r>
          </w:p>
        </w:tc>
        <w:tc>
          <w:tcPr>
            <w:tcW w:w="112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CABF317"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1.27</w:t>
            </w:r>
          </w:p>
        </w:tc>
        <w:tc>
          <w:tcPr>
            <w:tcW w:w="1234"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7B99878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w:t>
            </w:r>
          </w:p>
        </w:tc>
        <w:tc>
          <w:tcPr>
            <w:tcW w:w="1181"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BF04B03"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5C7A825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FB1BC6" w:rsidP="00FB1BC6" w:rsidRDefault="00FB1BC6" w14:paraId="62E70BAF" w14:textId="2AFF9245">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FB1BC6" w:rsidP="00FB1BC6" w:rsidRDefault="00C73FC0" w14:paraId="54B82EBC" w14:textId="2E759343">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45.21</w:t>
            </w:r>
          </w:p>
        </w:tc>
      </w:tr>
      <w:tr w:rsidRPr="00EF1DA3" w:rsidR="00EF1DA3" w:rsidTr="00095A9D" w14:paraId="0F294CAD"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63019EC5" w14:textId="4BCDF65C">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Commercial Reef Fish Landing Location Request</w:t>
            </w:r>
            <w:r w:rsidRPr="00EF1DA3" w:rsidR="00DE4649">
              <w:rPr>
                <w:rFonts w:ascii="Calibri" w:hAnsi="Calibri" w:eastAsia="Times New Roman" w:cs="Calibri"/>
                <w:sz w:val="16"/>
                <w:szCs w:val="16"/>
              </w:rPr>
              <w:t xml:space="preserve"> (non-IFQ)</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034D451"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5C1FEB8"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105 (non-IFQ reef fish only)</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4E55A3C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0.38</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4678AEF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EDDBB09"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B5D18A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7D882E23" w14:textId="1872660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FB1BC6" w:rsidRDefault="00095A9D" w14:paraId="6C5EE2A2" w14:textId="4F2E489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w:t>
            </w:r>
            <w:r w:rsidRPr="00EF1DA3" w:rsidR="00C73FC0">
              <w:rPr>
                <w:rFonts w:ascii="Calibri" w:hAnsi="Calibri" w:eastAsia="Times New Roman" w:cs="Calibri"/>
                <w:sz w:val="16"/>
                <w:szCs w:val="16"/>
              </w:rPr>
              <w:t>5.2</w:t>
            </w:r>
            <w:r w:rsidRPr="00EF1DA3" w:rsidR="00DE4649">
              <w:rPr>
                <w:rFonts w:ascii="Calibri" w:hAnsi="Calibri" w:eastAsia="Times New Roman" w:cs="Calibri"/>
                <w:sz w:val="16"/>
                <w:szCs w:val="16"/>
              </w:rPr>
              <w:t>1</w:t>
            </w:r>
          </w:p>
        </w:tc>
      </w:tr>
      <w:tr w:rsidRPr="00EF1DA3" w:rsidR="00EF1DA3" w:rsidTr="00095A9D" w14:paraId="7B599E61"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FB1BC6" w:rsidP="00FB1BC6" w:rsidRDefault="00FB1BC6" w14:paraId="3E6F4B02"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Account Update</w:t>
            </w:r>
          </w:p>
        </w:tc>
        <w:tc>
          <w:tcPr>
            <w:tcW w:w="1870"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E9D747A"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098A439E"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31</w:t>
            </w:r>
          </w:p>
        </w:tc>
        <w:tc>
          <w:tcPr>
            <w:tcW w:w="112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1850A8F7"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234"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696ED7C8"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31</w:t>
            </w:r>
          </w:p>
        </w:tc>
        <w:tc>
          <w:tcPr>
            <w:tcW w:w="1181"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5C58FB8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5CB57AA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FB1BC6" w:rsidP="00FB1BC6" w:rsidRDefault="00FB1BC6" w14:paraId="392E2225" w14:textId="7A588BE4">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FB1BC6" w:rsidP="00FB1BC6" w:rsidRDefault="00C73FC0" w14:paraId="39E0AD00" w14:textId="5E6A050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r>
      <w:tr w:rsidRPr="00EF1DA3" w:rsidR="00EF1DA3" w:rsidTr="00095A9D" w14:paraId="4472B524"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EF1DA3" w:rsidR="00FB1BC6" w:rsidP="00FB1BC6" w:rsidRDefault="00FB1BC6" w14:paraId="381DF716"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Trip Ticket Update</w:t>
            </w:r>
          </w:p>
        </w:tc>
        <w:tc>
          <w:tcPr>
            <w:tcW w:w="1870"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709CC69B"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497C0A5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34</w:t>
            </w:r>
          </w:p>
        </w:tc>
        <w:tc>
          <w:tcPr>
            <w:tcW w:w="1128"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36A48F6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11.12</w:t>
            </w:r>
          </w:p>
        </w:tc>
        <w:tc>
          <w:tcPr>
            <w:tcW w:w="1234"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621D60C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378</w:t>
            </w:r>
          </w:p>
        </w:tc>
        <w:tc>
          <w:tcPr>
            <w:tcW w:w="1181"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1C171C7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 min</w:t>
            </w:r>
          </w:p>
        </w:tc>
        <w:tc>
          <w:tcPr>
            <w:tcW w:w="1209" w:type="dxa"/>
            <w:tcBorders>
              <w:top w:val="nil"/>
              <w:left w:val="nil"/>
              <w:bottom w:val="single" w:color="auto" w:sz="4" w:space="0"/>
              <w:right w:val="single" w:color="auto" w:sz="4" w:space="0"/>
            </w:tcBorders>
            <w:shd w:val="clear" w:color="auto" w:fill="auto"/>
            <w:vAlign w:val="center"/>
            <w:hideMark/>
          </w:tcPr>
          <w:p w:rsidRPr="00EF1DA3" w:rsidR="00FB1BC6" w:rsidP="00FB1BC6" w:rsidRDefault="00FB1BC6" w14:paraId="3DAB0CF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13</w:t>
            </w:r>
          </w:p>
        </w:tc>
        <w:tc>
          <w:tcPr>
            <w:tcW w:w="1350" w:type="dxa"/>
            <w:tcBorders>
              <w:top w:val="nil"/>
              <w:left w:val="nil"/>
              <w:bottom w:val="single" w:color="auto" w:sz="4" w:space="0"/>
              <w:right w:val="single" w:color="auto" w:sz="4" w:space="0"/>
            </w:tcBorders>
            <w:shd w:val="clear" w:color="auto" w:fill="auto"/>
            <w:noWrap/>
            <w:vAlign w:val="center"/>
            <w:hideMark/>
          </w:tcPr>
          <w:p w:rsidRPr="00EF1DA3" w:rsidR="00FB1BC6" w:rsidP="00FB1BC6" w:rsidRDefault="00FB1BC6" w14:paraId="661C56FC" w14:textId="2CC13F44">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hideMark/>
          </w:tcPr>
          <w:p w:rsidRPr="00EF1DA3" w:rsidR="00FB1BC6" w:rsidP="00364D3F" w:rsidRDefault="00C73FC0" w14:paraId="6841EECA" w14:textId="467637F4">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195.91</w:t>
            </w:r>
          </w:p>
        </w:tc>
      </w:tr>
      <w:tr w:rsidRPr="00EF1DA3" w:rsidR="00EF1DA3" w:rsidTr="00095A9D" w14:paraId="12A72380"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P="00FB1BC6" w:rsidRDefault="00FB1BC6" w14:paraId="7F9C0648"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Gulf Reef Fish Notification of Landing</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FAA010D"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7F7242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105</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F33544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9.83</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2F35B6CF"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1,033</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AB2FCD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7F999AB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52</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42D05E0E" w14:textId="6DABBCBE">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364D3F" w:rsidRDefault="00C73FC0" w14:paraId="4EB50C56" w14:textId="405876C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783.64</w:t>
            </w:r>
          </w:p>
        </w:tc>
      </w:tr>
      <w:tr w:rsidRPr="00EF1DA3" w:rsidR="00EF1DA3" w:rsidTr="00095A9D" w14:paraId="5054D74E"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EF1DA3" w:rsidR="00FB1BC6" w:rsidDel="00592EB0" w:rsidP="00FB1BC6" w:rsidRDefault="00FB1BC6" w14:paraId="31099A53"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Close Account</w:t>
            </w:r>
          </w:p>
        </w:tc>
        <w:tc>
          <w:tcPr>
            <w:tcW w:w="1870"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8723E2A" w14:textId="77777777">
            <w:pPr>
              <w:widowControl/>
              <w:autoSpaceDE/>
              <w:autoSpaceDN/>
              <w:jc w:val="center"/>
              <w:rPr>
                <w:rFonts w:ascii="Calibri" w:hAnsi="Calibri" w:eastAsia="Times New Roman" w:cs="Calibri"/>
                <w:sz w:val="16"/>
                <w:szCs w:val="16"/>
              </w:rPr>
            </w:pPr>
            <w:r w:rsidRPr="00EF1DA3">
              <w:rPr>
                <w:rFonts w:ascii="Calibri" w:hAnsi="Calibri" w:eastAsia="Times New Roman" w:cs="Calibri"/>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31C7AD3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w:t>
            </w:r>
          </w:p>
        </w:tc>
        <w:tc>
          <w:tcPr>
            <w:tcW w:w="1128"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44C2C2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234"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0945ED7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w:t>
            </w:r>
          </w:p>
        </w:tc>
        <w:tc>
          <w:tcPr>
            <w:tcW w:w="1181"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5AB2E0C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 min</w:t>
            </w:r>
          </w:p>
        </w:tc>
        <w:tc>
          <w:tcPr>
            <w:tcW w:w="1209" w:type="dxa"/>
            <w:tcBorders>
              <w:top w:val="nil"/>
              <w:left w:val="nil"/>
              <w:bottom w:val="single" w:color="auto" w:sz="4" w:space="0"/>
              <w:right w:val="single" w:color="auto" w:sz="4" w:space="0"/>
            </w:tcBorders>
            <w:shd w:val="clear" w:color="auto" w:fill="auto"/>
            <w:vAlign w:val="center"/>
          </w:tcPr>
          <w:p w:rsidRPr="00EF1DA3" w:rsidR="00FB1BC6" w:rsidP="00FB1BC6" w:rsidRDefault="00FB1BC6" w14:paraId="1B659B7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auto" w:fill="auto"/>
            <w:noWrap/>
            <w:vAlign w:val="center"/>
          </w:tcPr>
          <w:p w:rsidRPr="00EF1DA3" w:rsidR="00FB1BC6" w:rsidP="00FB1BC6" w:rsidRDefault="00FB1BC6" w14:paraId="24090888" w14:textId="29195D8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c>
          <w:tcPr>
            <w:tcW w:w="1541" w:type="dxa"/>
            <w:tcBorders>
              <w:top w:val="nil"/>
              <w:left w:val="nil"/>
              <w:bottom w:val="single" w:color="auto" w:sz="4" w:space="0"/>
              <w:right w:val="single" w:color="auto" w:sz="8" w:space="0"/>
            </w:tcBorders>
            <w:shd w:val="clear" w:color="auto" w:fill="auto"/>
            <w:noWrap/>
            <w:vAlign w:val="center"/>
          </w:tcPr>
          <w:p w:rsidRPr="00EF1DA3" w:rsidR="00FB1BC6" w:rsidP="00364D3F" w:rsidRDefault="00C73FC0" w14:paraId="09991204" w14:textId="0C905AA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15.07</w:t>
            </w:r>
          </w:p>
        </w:tc>
      </w:tr>
      <w:tr w:rsidRPr="00EF1DA3" w:rsidR="00EF1DA3" w:rsidTr="00095A9D" w14:paraId="615CB9E3" w14:textId="77777777">
        <w:trPr>
          <w:trHeight w:val="315"/>
        </w:trPr>
        <w:tc>
          <w:tcPr>
            <w:tcW w:w="2900" w:type="dxa"/>
            <w:tcBorders>
              <w:top w:val="nil"/>
              <w:left w:val="single" w:color="auto" w:sz="8" w:space="0"/>
              <w:bottom w:val="single" w:color="auto" w:sz="8" w:space="0"/>
              <w:right w:val="single" w:color="auto" w:sz="8" w:space="0"/>
            </w:tcBorders>
            <w:shd w:val="clear" w:color="000000" w:fill="BDD7EE"/>
            <w:noWrap/>
            <w:vAlign w:val="bottom"/>
            <w:hideMark/>
          </w:tcPr>
          <w:p w:rsidRPr="00EF1DA3" w:rsidR="007250CA" w:rsidP="007250CA" w:rsidRDefault="007250CA" w14:paraId="61D4997C" w14:textId="77777777">
            <w:pPr>
              <w:widowControl/>
              <w:autoSpaceDE/>
              <w:autoSpaceDN/>
              <w:rPr>
                <w:rFonts w:ascii="Calibri" w:hAnsi="Calibri" w:eastAsia="Times New Roman" w:cs="Calibri"/>
                <w:b/>
                <w:bCs/>
                <w:sz w:val="22"/>
                <w:szCs w:val="22"/>
              </w:rPr>
            </w:pPr>
            <w:r w:rsidRPr="00EF1DA3">
              <w:rPr>
                <w:rFonts w:ascii="Calibri" w:hAnsi="Calibri" w:eastAsia="Times New Roman" w:cs="Calibri"/>
                <w:b/>
                <w:bCs/>
                <w:sz w:val="22"/>
                <w:szCs w:val="22"/>
              </w:rPr>
              <w:t>Totals</w:t>
            </w:r>
          </w:p>
        </w:tc>
        <w:tc>
          <w:tcPr>
            <w:tcW w:w="1870" w:type="dxa"/>
            <w:tcBorders>
              <w:top w:val="nil"/>
              <w:left w:val="nil"/>
              <w:bottom w:val="single" w:color="auto" w:sz="8" w:space="0"/>
              <w:right w:val="single" w:color="auto" w:sz="8" w:space="0"/>
            </w:tcBorders>
            <w:shd w:val="clear" w:color="auto" w:fill="808080"/>
            <w:noWrap/>
            <w:vAlign w:val="bottom"/>
            <w:hideMark/>
          </w:tcPr>
          <w:p w:rsidRPr="00EF1DA3" w:rsidR="007250CA" w:rsidP="007250CA" w:rsidRDefault="007250CA" w14:paraId="34111532" w14:textId="77777777">
            <w:pPr>
              <w:widowControl/>
              <w:autoSpaceDE/>
              <w:autoSpaceDN/>
              <w:rPr>
                <w:rFonts w:ascii="Calibri" w:hAnsi="Calibri" w:eastAsia="Times New Roman" w:cs="Calibri"/>
                <w:b/>
                <w:bCs/>
                <w:sz w:val="22"/>
                <w:szCs w:val="22"/>
              </w:rPr>
            </w:pPr>
          </w:p>
        </w:tc>
        <w:tc>
          <w:tcPr>
            <w:tcW w:w="1188" w:type="dxa"/>
            <w:tcBorders>
              <w:top w:val="nil"/>
              <w:left w:val="nil"/>
              <w:bottom w:val="single" w:color="auto" w:sz="8" w:space="0"/>
              <w:right w:val="single" w:color="auto" w:sz="8" w:space="0"/>
            </w:tcBorders>
            <w:shd w:val="clear" w:color="auto" w:fill="808080"/>
            <w:noWrap/>
            <w:vAlign w:val="bottom"/>
            <w:hideMark/>
          </w:tcPr>
          <w:p w:rsidRPr="00EF1DA3" w:rsidR="007250CA" w:rsidP="007250CA" w:rsidRDefault="007250CA" w14:paraId="0E66EF44" w14:textId="77777777">
            <w:pPr>
              <w:widowControl/>
              <w:autoSpaceDE/>
              <w:autoSpaceDN/>
              <w:jc w:val="right"/>
              <w:rPr>
                <w:rFonts w:ascii="Calibri" w:hAnsi="Calibri" w:eastAsia="Times New Roman" w:cs="Calibri"/>
                <w:b/>
                <w:bCs/>
                <w:sz w:val="22"/>
                <w:szCs w:val="22"/>
              </w:rPr>
            </w:pPr>
          </w:p>
        </w:tc>
        <w:tc>
          <w:tcPr>
            <w:tcW w:w="1128" w:type="dxa"/>
            <w:tcBorders>
              <w:top w:val="nil"/>
              <w:left w:val="nil"/>
              <w:bottom w:val="single" w:color="auto" w:sz="8" w:space="0"/>
              <w:right w:val="single" w:color="auto" w:sz="8" w:space="0"/>
            </w:tcBorders>
            <w:shd w:val="clear" w:color="auto" w:fill="808080"/>
            <w:noWrap/>
            <w:vAlign w:val="bottom"/>
            <w:hideMark/>
          </w:tcPr>
          <w:p w:rsidRPr="00EF1DA3" w:rsidR="007250CA" w:rsidP="007250CA" w:rsidRDefault="007250CA" w14:paraId="1DF5BDDA" w14:textId="77777777">
            <w:pPr>
              <w:widowControl/>
              <w:autoSpaceDE/>
              <w:autoSpaceDN/>
              <w:jc w:val="right"/>
              <w:rPr>
                <w:rFonts w:ascii="Calibri" w:hAnsi="Calibri" w:eastAsia="Times New Roman" w:cs="Calibri"/>
                <w:b/>
                <w:bCs/>
                <w:sz w:val="22"/>
                <w:szCs w:val="22"/>
              </w:rPr>
            </w:pPr>
          </w:p>
        </w:tc>
        <w:tc>
          <w:tcPr>
            <w:tcW w:w="1234" w:type="dxa"/>
            <w:tcBorders>
              <w:top w:val="nil"/>
              <w:left w:val="nil"/>
              <w:bottom w:val="single" w:color="auto" w:sz="8" w:space="0"/>
              <w:right w:val="single" w:color="auto" w:sz="8" w:space="0"/>
            </w:tcBorders>
            <w:shd w:val="clear" w:color="000000" w:fill="BDD7EE"/>
            <w:noWrap/>
            <w:vAlign w:val="bottom"/>
            <w:hideMark/>
          </w:tcPr>
          <w:p w:rsidRPr="00EF1DA3" w:rsidR="007250CA" w:rsidP="007250CA" w:rsidRDefault="008F6457" w14:paraId="778105DF" w14:textId="41E5527A">
            <w:pPr>
              <w:widowControl/>
              <w:autoSpaceDE/>
              <w:autoSpaceDN/>
              <w:jc w:val="right"/>
              <w:rPr>
                <w:rFonts w:ascii="Calibri" w:hAnsi="Calibri" w:eastAsia="Times New Roman" w:cs="Calibri"/>
                <w:b/>
                <w:bCs/>
                <w:sz w:val="20"/>
                <w:szCs w:val="20"/>
              </w:rPr>
            </w:pPr>
            <w:r w:rsidRPr="00EF1DA3">
              <w:rPr>
                <w:rFonts w:ascii="Calibri" w:hAnsi="Calibri" w:eastAsia="Times New Roman" w:cs="Calibri"/>
                <w:b/>
                <w:bCs/>
                <w:sz w:val="20"/>
                <w:szCs w:val="20"/>
              </w:rPr>
              <w:t>29,830</w:t>
            </w:r>
          </w:p>
        </w:tc>
        <w:tc>
          <w:tcPr>
            <w:tcW w:w="1181" w:type="dxa"/>
            <w:tcBorders>
              <w:top w:val="nil"/>
              <w:left w:val="nil"/>
              <w:bottom w:val="single" w:color="auto" w:sz="8" w:space="0"/>
              <w:right w:val="single" w:color="auto" w:sz="8" w:space="0"/>
            </w:tcBorders>
            <w:shd w:val="clear" w:color="auto" w:fill="808080"/>
            <w:noWrap/>
            <w:vAlign w:val="bottom"/>
            <w:hideMark/>
          </w:tcPr>
          <w:p w:rsidRPr="00EF1DA3" w:rsidR="007250CA" w:rsidP="007250CA" w:rsidRDefault="007250CA" w14:paraId="2BCB2643" w14:textId="77777777">
            <w:pPr>
              <w:widowControl/>
              <w:autoSpaceDE/>
              <w:autoSpaceDN/>
              <w:jc w:val="right"/>
              <w:rPr>
                <w:rFonts w:ascii="Calibri" w:hAnsi="Calibri" w:eastAsia="Times New Roman" w:cs="Calibri"/>
                <w:b/>
                <w:bCs/>
                <w:sz w:val="22"/>
                <w:szCs w:val="22"/>
              </w:rPr>
            </w:pPr>
          </w:p>
        </w:tc>
        <w:tc>
          <w:tcPr>
            <w:tcW w:w="1209" w:type="dxa"/>
            <w:tcBorders>
              <w:top w:val="nil"/>
              <w:left w:val="nil"/>
              <w:bottom w:val="single" w:color="auto" w:sz="8" w:space="0"/>
              <w:right w:val="single" w:color="auto" w:sz="8" w:space="0"/>
            </w:tcBorders>
            <w:shd w:val="clear" w:color="000000" w:fill="BDD7EE"/>
            <w:noWrap/>
            <w:vAlign w:val="bottom"/>
            <w:hideMark/>
          </w:tcPr>
          <w:p w:rsidRPr="00EF1DA3" w:rsidR="007250CA" w:rsidP="007250CA" w:rsidRDefault="008F6457" w14:paraId="2B87A1B2" w14:textId="139DA3CC">
            <w:pPr>
              <w:widowControl/>
              <w:autoSpaceDE/>
              <w:autoSpaceDN/>
              <w:jc w:val="right"/>
              <w:rPr>
                <w:rFonts w:ascii="Calibri" w:hAnsi="Calibri" w:eastAsia="Times New Roman" w:cs="Calibri"/>
                <w:b/>
                <w:bCs/>
                <w:sz w:val="20"/>
                <w:szCs w:val="20"/>
              </w:rPr>
            </w:pPr>
            <w:r w:rsidRPr="00EF1DA3">
              <w:rPr>
                <w:rFonts w:ascii="Calibri" w:hAnsi="Calibri" w:eastAsia="Times New Roman" w:cs="Calibri"/>
                <w:b/>
                <w:bCs/>
                <w:sz w:val="20"/>
                <w:szCs w:val="20"/>
              </w:rPr>
              <w:t>2,10</w:t>
            </w:r>
            <w:r w:rsidR="007B12B8">
              <w:rPr>
                <w:rFonts w:ascii="Calibri" w:hAnsi="Calibri" w:eastAsia="Times New Roman" w:cs="Calibri"/>
                <w:b/>
                <w:bCs/>
                <w:sz w:val="20"/>
                <w:szCs w:val="20"/>
              </w:rPr>
              <w:t>9</w:t>
            </w:r>
          </w:p>
        </w:tc>
        <w:tc>
          <w:tcPr>
            <w:tcW w:w="1350" w:type="dxa"/>
            <w:tcBorders>
              <w:top w:val="nil"/>
              <w:left w:val="nil"/>
              <w:bottom w:val="single" w:color="auto" w:sz="8" w:space="0"/>
              <w:right w:val="single" w:color="auto" w:sz="8" w:space="0"/>
            </w:tcBorders>
            <w:shd w:val="clear" w:color="auto" w:fill="808080"/>
            <w:noWrap/>
            <w:vAlign w:val="bottom"/>
            <w:hideMark/>
          </w:tcPr>
          <w:p w:rsidRPr="00EF1DA3" w:rsidR="007250CA" w:rsidP="007250CA" w:rsidRDefault="007250CA" w14:paraId="0D52FCD6" w14:textId="77777777">
            <w:pPr>
              <w:widowControl/>
              <w:autoSpaceDE/>
              <w:autoSpaceDN/>
              <w:jc w:val="right"/>
              <w:rPr>
                <w:rFonts w:ascii="Calibri" w:hAnsi="Calibri" w:eastAsia="Times New Roman" w:cs="Calibri"/>
                <w:b/>
                <w:bCs/>
                <w:sz w:val="20"/>
                <w:szCs w:val="20"/>
              </w:rPr>
            </w:pPr>
          </w:p>
        </w:tc>
        <w:tc>
          <w:tcPr>
            <w:tcW w:w="1541" w:type="dxa"/>
            <w:tcBorders>
              <w:top w:val="nil"/>
              <w:left w:val="nil"/>
              <w:bottom w:val="single" w:color="auto" w:sz="8" w:space="0"/>
              <w:right w:val="single" w:color="auto" w:sz="8" w:space="0"/>
            </w:tcBorders>
            <w:shd w:val="clear" w:color="000000" w:fill="BDD7EE"/>
            <w:noWrap/>
            <w:vAlign w:val="bottom"/>
            <w:hideMark/>
          </w:tcPr>
          <w:p w:rsidRPr="00EF1DA3" w:rsidR="007250CA" w:rsidP="00364D3F" w:rsidRDefault="00364D3F" w14:paraId="43BA690C" w14:textId="3618DFEC">
            <w:pPr>
              <w:widowControl/>
              <w:autoSpaceDE/>
              <w:autoSpaceDN/>
              <w:jc w:val="right"/>
              <w:rPr>
                <w:rFonts w:ascii="Calibri" w:hAnsi="Calibri" w:eastAsia="Times New Roman" w:cs="Calibri"/>
                <w:b/>
                <w:bCs/>
                <w:sz w:val="20"/>
                <w:szCs w:val="20"/>
                <w:highlight w:val="yellow"/>
              </w:rPr>
            </w:pPr>
            <w:r w:rsidRPr="00EF1DA3">
              <w:rPr>
                <w:rFonts w:ascii="Calibri" w:hAnsi="Calibri" w:eastAsia="Times New Roman" w:cs="Calibri"/>
                <w:b/>
                <w:bCs/>
                <w:sz w:val="20"/>
                <w:szCs w:val="20"/>
              </w:rPr>
              <w:t>45,348.76</w:t>
            </w:r>
            <w:r w:rsidRPr="00EF1DA3" w:rsidR="008C0276">
              <w:rPr>
                <w:rFonts w:ascii="Calibri" w:hAnsi="Calibri" w:eastAsia="Times New Roman" w:cs="Calibri"/>
                <w:b/>
                <w:bCs/>
                <w:sz w:val="20"/>
                <w:szCs w:val="20"/>
                <w:highlight w:val="yellow"/>
              </w:rPr>
              <w:t xml:space="preserve"> </w:t>
            </w:r>
          </w:p>
        </w:tc>
      </w:tr>
    </w:tbl>
    <w:p w:rsidRPr="00EF1DA3" w:rsidR="007250CA" w:rsidP="00F52881" w:rsidRDefault="007250CA" w14:paraId="3D0E2C6F" w14:textId="611CEFA3">
      <w:pPr>
        <w:spacing w:line="259" w:lineRule="auto"/>
        <w:ind w:hanging="43"/>
        <w:rPr>
          <w:rFonts w:cs="Times New Roman"/>
        </w:rPr>
      </w:pPr>
    </w:p>
    <w:p w:rsidRPr="00EF1DA3" w:rsidR="00415744" w:rsidP="00095A9D" w:rsidRDefault="001477A3" w14:paraId="3C1FD25C" w14:textId="14D75061">
      <w:pPr>
        <w:rPr>
          <w:rFonts w:cs="Times New Roman"/>
        </w:rPr>
      </w:pPr>
      <w:r w:rsidRPr="00EF1DA3">
        <w:rPr>
          <w:rFonts w:cs="Times New Roman"/>
        </w:rPr>
        <w:t>*</w:t>
      </w:r>
      <w:r w:rsidRPr="00EF1DA3" w:rsidR="000F18BB">
        <w:rPr>
          <w:rFonts w:cs="Times New Roman"/>
        </w:rPr>
        <w:t xml:space="preserve"> Wage rates obtained from </w:t>
      </w:r>
      <w:hyperlink w:history="1" r:id="rId21">
        <w:r w:rsidRPr="00EF1DA3" w:rsidR="00415744">
          <w:rPr>
            <w:rStyle w:val="Hyperlink"/>
            <w:rFonts w:cs="Times New Roman"/>
            <w:i/>
            <w:color w:val="auto"/>
          </w:rPr>
          <w:t>https://www.bls.gov/bls/blswage.htm</w:t>
        </w:r>
      </w:hyperlink>
      <w:r w:rsidRPr="00EF1DA3" w:rsidR="00415744">
        <w:rPr>
          <w:rFonts w:cs="Times New Roman"/>
        </w:rPr>
        <w:t>. Compiled on 11/17/2020</w:t>
      </w:r>
      <w:r w:rsidRPr="00EF1DA3" w:rsidR="000F18BB">
        <w:rPr>
          <w:rFonts w:cs="Times New Roman"/>
        </w:rPr>
        <w:t>.</w:t>
      </w:r>
    </w:p>
    <w:p w:rsidRPr="00EF1DA3" w:rsidR="002D5262" w:rsidP="00095A9D" w:rsidRDefault="002D5262" w14:paraId="78504AFF" w14:textId="63AE9891">
      <w:r w:rsidRPr="00EF1DA3">
        <w:t xml:space="preserve">** This information collection form is collected electronically but also has a paper form that may be used during NMFS-declared catastrophic conditions, such as in a localized area negatively affected after a hurricane. The estimated burden for the paper form is 5 minutes per response due to slightly less requested information. NMFS does not estimate the burdens for this paper form separately because its use would be limited both in duration and in numbers of respondents and responses. Further, </w:t>
      </w:r>
      <w:r w:rsidRPr="00EF1DA3" w:rsidR="0017286A">
        <w:t xml:space="preserve">the provided estimates account for </w:t>
      </w:r>
      <w:r w:rsidRPr="00EF1DA3">
        <w:t xml:space="preserve">any responses and corresponding burden for </w:t>
      </w:r>
      <w:r w:rsidRPr="00EF1DA3" w:rsidR="0017286A">
        <w:t xml:space="preserve">use of </w:t>
      </w:r>
      <w:r w:rsidRPr="00EF1DA3">
        <w:t>t</w:t>
      </w:r>
      <w:r w:rsidRPr="00EF1DA3" w:rsidR="0017286A">
        <w:t>he paper form</w:t>
      </w:r>
      <w:r w:rsidRPr="00EF1DA3">
        <w:t>.</w:t>
      </w:r>
    </w:p>
    <w:p w:rsidRPr="00EF1DA3" w:rsidR="008E61C9" w:rsidP="002D5262" w:rsidRDefault="008E61C9" w14:paraId="58FDEF7E" w14:textId="03D8C5E3">
      <w:pPr>
        <w:spacing w:line="259" w:lineRule="auto"/>
        <w:rPr>
          <w:rFonts w:cs="Times New Roman"/>
        </w:rPr>
      </w:pPr>
    </w:p>
    <w:p w:rsidRPr="00EF1DA3" w:rsidR="002D5262" w:rsidP="002D5262" w:rsidRDefault="002D5262" w14:paraId="2E2C3F6D" w14:textId="77777777">
      <w:pPr>
        <w:spacing w:line="259" w:lineRule="auto"/>
        <w:rPr>
          <w:rFonts w:cs="Times New Roman"/>
        </w:rPr>
        <w:sectPr w:rsidRPr="00EF1DA3" w:rsidR="002D5262" w:rsidSect="008C0276">
          <w:pgSz w:w="15840" w:h="12240" w:orient="landscape"/>
          <w:pgMar w:top="1152" w:right="1152" w:bottom="1152" w:left="1152" w:header="0" w:footer="1008" w:gutter="0"/>
          <w:cols w:space="720"/>
          <w:docGrid w:linePitch="299"/>
        </w:sectPr>
      </w:pPr>
    </w:p>
    <w:p w:rsidRPr="00EF1DA3" w:rsidR="008E61C9" w:rsidP="008F6457" w:rsidRDefault="001477A3" w14:paraId="20D98E17" w14:textId="54AC57AE">
      <w:pPr>
        <w:pStyle w:val="ListParagraph"/>
        <w:numPr>
          <w:ilvl w:val="0"/>
          <w:numId w:val="7"/>
        </w:numPr>
        <w:tabs>
          <w:tab w:val="left" w:pos="360"/>
        </w:tabs>
        <w:spacing w:before="0"/>
        <w:ind w:left="0" w:firstLine="0"/>
        <w:rPr>
          <w:rFonts w:cs="Times New Roman"/>
          <w:b/>
        </w:rPr>
      </w:pPr>
      <w:r w:rsidRPr="00EF1DA3">
        <w:rPr>
          <w:rFonts w:cs="Times New Roman"/>
          <w:b/>
        </w:rPr>
        <w:lastRenderedPageBreak/>
        <w:t>Provide an estimate for the total annual cost burden to respondents or record keepers resulting from the collection of information. (Do not include the cost of any hour burden already reflected on the burden worksheet</w:t>
      </w:r>
      <w:r w:rsidRPr="00EF1DA3" w:rsidR="00F606CF">
        <w:rPr>
          <w:rFonts w:cs="Times New Roman"/>
          <w:b/>
        </w:rPr>
        <w:t>.</w:t>
      </w:r>
      <w:r w:rsidRPr="00EF1DA3">
        <w:rPr>
          <w:rFonts w:cs="Times New Roman"/>
          <w:b/>
        </w:rPr>
        <w:t>)</w:t>
      </w:r>
    </w:p>
    <w:p w:rsidRPr="00EF1DA3" w:rsidR="00C207CF" w:rsidP="008F6457" w:rsidRDefault="00C207CF" w14:paraId="7141D86A" w14:textId="26FF5168">
      <w:pPr>
        <w:rPr>
          <w:rFonts w:cs="Times New Roman"/>
        </w:rPr>
      </w:pPr>
    </w:p>
    <w:p w:rsidRPr="00EF1DA3" w:rsidR="00C207CF" w:rsidP="008F6457" w:rsidRDefault="00C207CF" w14:paraId="061859F7" w14:textId="0E878819">
      <w:pPr>
        <w:rPr>
          <w:rFonts w:cs="Times New Roman"/>
          <w:b/>
        </w:rPr>
      </w:pPr>
      <w:r w:rsidRPr="00EF1DA3">
        <w:rPr>
          <w:rFonts w:cs="Times New Roman"/>
        </w:rPr>
        <w:t xml:space="preserve">NMFS collects cost-recovery fees for the red snapper, and groupers and tilefishes IFQ programs, pursuant to section 304(d)(2)(A) of the Magnuson-Stevens Act, which provides the Secretary of Commerce the authority to establish a fee to assist in recovering the actual costs directly related the management and enforcement of any IFQ program. However, such fees are not considered </w:t>
      </w:r>
      <w:r w:rsidRPr="00EF1DA3" w:rsidR="00850085">
        <w:rPr>
          <w:rFonts w:cs="Times New Roman"/>
        </w:rPr>
        <w:t>recordkeeping</w:t>
      </w:r>
      <w:r w:rsidRPr="00EF1DA3">
        <w:rPr>
          <w:rFonts w:cs="Times New Roman"/>
        </w:rPr>
        <w:t xml:space="preserve"> or reporting cost under the PRA.</w:t>
      </w:r>
    </w:p>
    <w:p w:rsidRPr="00EF1DA3" w:rsidR="00C207CF" w:rsidP="00C207CF" w:rsidRDefault="00C207CF" w14:paraId="6F400B28" w14:textId="77777777">
      <w:pPr>
        <w:rPr>
          <w:rFonts w:cs="Times New Roman"/>
        </w:rPr>
      </w:pPr>
    </w:p>
    <w:p w:rsidRPr="00EF1DA3" w:rsidR="00CA543A" w:rsidP="00C207CF" w:rsidRDefault="00AE0803" w14:paraId="0DBB35A9" w14:textId="136A3B30">
      <w:pPr>
        <w:rPr>
          <w:rFonts w:cs="Times New Roman"/>
        </w:rPr>
      </w:pPr>
      <w:r w:rsidRPr="00EF1DA3">
        <w:rPr>
          <w:rFonts w:cs="Times New Roman"/>
        </w:rPr>
        <w:t xml:space="preserve">For several information collections, the </w:t>
      </w:r>
      <w:r w:rsidRPr="00EF1DA3" w:rsidR="00810C32">
        <w:rPr>
          <w:rFonts w:cs="Times New Roman"/>
        </w:rPr>
        <w:t xml:space="preserve">estimated </w:t>
      </w:r>
      <w:r w:rsidRPr="00EF1DA3" w:rsidR="00CA543A">
        <w:rPr>
          <w:rFonts w:cs="Times New Roman"/>
        </w:rPr>
        <w:t xml:space="preserve">annual </w:t>
      </w:r>
      <w:r w:rsidRPr="00EF1DA3" w:rsidR="00C207CF">
        <w:rPr>
          <w:rFonts w:cs="Times New Roman"/>
        </w:rPr>
        <w:t xml:space="preserve">recordkeeping or reporting costs </w:t>
      </w:r>
      <w:r w:rsidRPr="00EF1DA3" w:rsidR="003773A3">
        <w:rPr>
          <w:rFonts w:cs="Times New Roman"/>
        </w:rPr>
        <w:t>are limited to</w:t>
      </w:r>
      <w:r w:rsidRPr="00EF1DA3" w:rsidR="00C207CF">
        <w:rPr>
          <w:rFonts w:cs="Times New Roman"/>
        </w:rPr>
        <w:t xml:space="preserve"> postage</w:t>
      </w:r>
      <w:r w:rsidRPr="00EF1DA3" w:rsidR="00C21838">
        <w:rPr>
          <w:rFonts w:cs="Times New Roman"/>
        </w:rPr>
        <w:t xml:space="preserve"> and envelopes</w:t>
      </w:r>
      <w:r w:rsidRPr="00EF1DA3">
        <w:rPr>
          <w:rFonts w:cs="Times New Roman"/>
        </w:rPr>
        <w:t xml:space="preserve"> </w:t>
      </w:r>
      <w:r w:rsidRPr="00EF1DA3" w:rsidR="00C207CF">
        <w:rPr>
          <w:rFonts w:cs="Times New Roman"/>
        </w:rPr>
        <w:t xml:space="preserve">to mail forms to NMFS. </w:t>
      </w:r>
    </w:p>
    <w:p w:rsidRPr="00EF1DA3" w:rsidR="00CA543A" w:rsidP="00C207CF" w:rsidRDefault="00CA543A" w14:paraId="2FC55FB3" w14:textId="77777777">
      <w:pPr>
        <w:rPr>
          <w:rFonts w:cs="Times New Roman"/>
        </w:rPr>
      </w:pPr>
    </w:p>
    <w:p w:rsidRPr="00EF1DA3" w:rsidR="00AE0803" w:rsidP="00C207CF" w:rsidRDefault="00CA543A" w14:paraId="3974C8BE" w14:textId="102FA109">
      <w:r w:rsidRPr="00EF1DA3">
        <w:t>R</w:t>
      </w:r>
      <w:r w:rsidRPr="00EF1DA3" w:rsidR="00AE0803">
        <w:t xml:space="preserve">ecordkeeping and reporting costs </w:t>
      </w:r>
      <w:r w:rsidRPr="00EF1DA3">
        <w:t xml:space="preserve">for the Gulf Reef Fish Notification of Landing </w:t>
      </w:r>
      <w:r w:rsidRPr="00EF1DA3" w:rsidR="00AE0803">
        <w:t>would be based on which VMS vendor and data plan is used by each vessel owner or operator to submit</w:t>
      </w:r>
      <w:r w:rsidRPr="00EF1DA3">
        <w:t xml:space="preserve"> the form</w:t>
      </w:r>
      <w:r w:rsidRPr="00EF1DA3" w:rsidR="00AE0803">
        <w:t>.</w:t>
      </w:r>
      <w:r w:rsidRPr="00EF1DA3">
        <w:t xml:space="preserve"> While CLS America and some other VMS vendors are known to be more widely used than others in the commercial fleet, NMFS does not have information on the </w:t>
      </w:r>
      <w:r w:rsidRPr="00EF1DA3" w:rsidR="003773A3">
        <w:t xml:space="preserve">numerical </w:t>
      </w:r>
      <w:r w:rsidRPr="00EF1DA3">
        <w:t>breakdown of plan</w:t>
      </w:r>
      <w:r w:rsidRPr="00EF1DA3" w:rsidR="003773A3">
        <w:t xml:space="preserve"> types</w:t>
      </w:r>
      <w:r w:rsidRPr="00EF1DA3">
        <w:t xml:space="preserve"> used by individual participants for any VMS manufacturer. Therefore, to estimate total additional costs, NMFS assumes each respondent uses a McMurdo (Boatracs) VMS unit with the highest per message cost at $0.33 per response (trip).</w:t>
      </w:r>
    </w:p>
    <w:p w:rsidRPr="00EF1DA3" w:rsidR="003773A3" w:rsidP="003773A3" w:rsidRDefault="003773A3" w14:paraId="6F8E86D1" w14:textId="77777777">
      <w:pPr>
        <w:adjustRightInd w:val="0"/>
        <w:rPr>
          <w:rFonts w:cs="Times New Roman"/>
        </w:rPr>
      </w:pPr>
    </w:p>
    <w:p w:rsidRPr="00EF1DA3" w:rsidR="00C207CF" w:rsidP="003773A3" w:rsidRDefault="00C207CF" w14:paraId="06F8E0BD" w14:textId="3EFB0FF5">
      <w:pPr>
        <w:adjustRightInd w:val="0"/>
        <w:rPr>
          <w:rFonts w:cs="Times New Roman"/>
        </w:rPr>
      </w:pPr>
      <w:r w:rsidRPr="00EF1DA3">
        <w:rPr>
          <w:rFonts w:cs="Times New Roman"/>
        </w:rPr>
        <w:t xml:space="preserve">The following cost adjustment </w:t>
      </w:r>
      <w:r w:rsidR="00DC13E2">
        <w:rPr>
          <w:rFonts w:cs="Times New Roman"/>
        </w:rPr>
        <w:t xml:space="preserve">to the estimated annual total </w:t>
      </w:r>
      <w:r w:rsidRPr="00EF1DA3" w:rsidR="003773A3">
        <w:rPr>
          <w:rFonts w:cs="Times New Roman"/>
        </w:rPr>
        <w:t xml:space="preserve">reflects a decrease </w:t>
      </w:r>
      <w:r w:rsidRPr="00EF1DA3">
        <w:rPr>
          <w:rFonts w:cs="Times New Roman"/>
        </w:rPr>
        <w:t xml:space="preserve">to the expected number of annual responses. </w:t>
      </w:r>
      <w:r w:rsidRPr="00EF1DA3" w:rsidR="003773A3">
        <w:rPr>
          <w:rFonts w:cs="Times New Roman"/>
        </w:rPr>
        <w:t xml:space="preserve">IFQ Online Account Application form, at $1 per response, decreases </w:t>
      </w:r>
      <w:r w:rsidRPr="00EF1DA3" w:rsidR="008F6457">
        <w:rPr>
          <w:rFonts w:cs="Times New Roman"/>
        </w:rPr>
        <w:t>the</w:t>
      </w:r>
      <w:r w:rsidRPr="00EF1DA3" w:rsidR="003773A3">
        <w:rPr>
          <w:rFonts w:cs="Times New Roman"/>
        </w:rPr>
        <w:t xml:space="preserve"> estimated annual total </w:t>
      </w:r>
      <w:r w:rsidRPr="00EF1DA3" w:rsidR="008F6457">
        <w:rPr>
          <w:rFonts w:cs="Times New Roman"/>
        </w:rPr>
        <w:t>from</w:t>
      </w:r>
      <w:r w:rsidRPr="00EF1DA3" w:rsidR="003773A3">
        <w:rPr>
          <w:rFonts w:cs="Times New Roman"/>
        </w:rPr>
        <w:t xml:space="preserve"> $133 to $107.</w:t>
      </w:r>
    </w:p>
    <w:p w:rsidRPr="00EF1DA3" w:rsidR="00C207CF" w:rsidP="003773A3" w:rsidRDefault="00C207CF" w14:paraId="14D27905" w14:textId="77777777">
      <w:pPr>
        <w:rPr>
          <w:rFonts w:cs="Times New Roman"/>
        </w:rPr>
      </w:pPr>
    </w:p>
    <w:p w:rsidRPr="00EF1DA3" w:rsidR="00C207CF" w:rsidP="003773A3" w:rsidRDefault="00C207CF" w14:paraId="384C0F99" w14:textId="3F3F1AE6">
      <w:pPr>
        <w:pStyle w:val="BodyText"/>
        <w:spacing w:before="0"/>
        <w:ind w:left="0"/>
        <w:rPr>
          <w:rFonts w:cs="Times New Roman"/>
        </w:rPr>
      </w:pPr>
    </w:p>
    <w:tbl>
      <w:tblPr>
        <w:tblW w:w="9980" w:type="dxa"/>
        <w:tblLook w:val="04A0" w:firstRow="1" w:lastRow="0" w:firstColumn="1" w:lastColumn="0" w:noHBand="0" w:noVBand="1"/>
      </w:tblPr>
      <w:tblGrid>
        <w:gridCol w:w="3230"/>
        <w:gridCol w:w="1260"/>
        <w:gridCol w:w="1530"/>
        <w:gridCol w:w="1350"/>
        <w:gridCol w:w="1263"/>
        <w:gridCol w:w="1347"/>
      </w:tblGrid>
      <w:tr w:rsidRPr="00EF1DA3" w:rsidR="009F47B4" w:rsidTr="009F47B4" w14:paraId="37C84F54"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EF1DA3" w:rsidR="009F47B4" w:rsidP="009F47B4" w:rsidRDefault="009F47B4" w14:paraId="1B40DA79"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EF1DA3" w:rsidR="009F47B4" w:rsidP="009F47B4" w:rsidRDefault="009F47B4" w14:paraId="220A15E5" w14:textId="2CA06A7B">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No. of Respondents Annually</w:t>
            </w:r>
          </w:p>
          <w:p w:rsidRPr="00EF1DA3" w:rsidR="009F47B4" w:rsidP="009F47B4" w:rsidRDefault="009F47B4" w14:paraId="77F6C608"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(a)</w:t>
            </w:r>
          </w:p>
        </w:tc>
        <w:tc>
          <w:tcPr>
            <w:tcW w:w="1530" w:type="dxa"/>
            <w:tcBorders>
              <w:top w:val="single" w:color="auto" w:sz="8" w:space="0"/>
              <w:left w:val="nil"/>
              <w:bottom w:val="single" w:color="auto" w:sz="8" w:space="0"/>
              <w:right w:val="single" w:color="auto" w:sz="8" w:space="0"/>
            </w:tcBorders>
            <w:shd w:val="clear" w:color="auto" w:fill="5B9BD5"/>
            <w:vAlign w:val="center"/>
            <w:hideMark/>
          </w:tcPr>
          <w:p w:rsidRPr="00EF1DA3" w:rsidR="009F47B4" w:rsidP="009F47B4" w:rsidRDefault="009F47B4" w14:paraId="51182AEC" w14:textId="5C8D7F5D">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Annual No. of Responses per Respondent</w:t>
            </w:r>
          </w:p>
          <w:p w:rsidRPr="00EF1DA3" w:rsidR="009F47B4" w:rsidP="009F47B4" w:rsidRDefault="009F47B4" w14:paraId="2733900E"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(b)</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EF1DA3" w:rsidR="009F47B4" w:rsidP="009F47B4" w:rsidRDefault="009F47B4" w14:paraId="002A2748" w14:textId="61452E45">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 xml:space="preserve"> Total No. of Annual Responses</w:t>
            </w:r>
          </w:p>
          <w:p w:rsidRPr="00EF1DA3" w:rsidR="009F47B4" w:rsidP="009F47B4" w:rsidRDefault="009F47B4" w14:paraId="6C319F7D"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vAlign w:val="center"/>
            <w:hideMark/>
          </w:tcPr>
          <w:p w:rsidRPr="00EF1DA3" w:rsidR="009F47B4" w:rsidP="009F47B4" w:rsidRDefault="009F47B4" w14:paraId="46C0704D" w14:textId="0EDA480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Cost Burden per Response</w:t>
            </w:r>
            <w:r w:rsidRPr="00EF1DA3" w:rsidR="005403A4">
              <w:rPr>
                <w:rFonts w:ascii="Calibri" w:hAnsi="Calibri" w:eastAsia="Times New Roman" w:cs="Calibri"/>
                <w:b/>
                <w:bCs/>
                <w:sz w:val="18"/>
                <w:szCs w:val="18"/>
              </w:rPr>
              <w:t xml:space="preserve"> ($)</w:t>
            </w:r>
          </w:p>
          <w:p w:rsidRPr="00EF1DA3" w:rsidR="009F47B4" w:rsidP="009F47B4" w:rsidRDefault="009F47B4" w14:paraId="5FA125CB"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(h)</w:t>
            </w:r>
          </w:p>
        </w:tc>
        <w:tc>
          <w:tcPr>
            <w:tcW w:w="1347" w:type="dxa"/>
            <w:tcBorders>
              <w:top w:val="single" w:color="auto" w:sz="8" w:space="0"/>
              <w:left w:val="nil"/>
              <w:bottom w:val="single" w:color="auto" w:sz="8" w:space="0"/>
              <w:right w:val="single" w:color="auto" w:sz="8" w:space="0"/>
            </w:tcBorders>
            <w:shd w:val="clear" w:color="auto" w:fill="5B9BD5"/>
            <w:vAlign w:val="center"/>
            <w:hideMark/>
          </w:tcPr>
          <w:p w:rsidRPr="00EF1DA3" w:rsidR="009F47B4" w:rsidP="009F47B4" w:rsidRDefault="009F47B4" w14:paraId="4433C532" w14:textId="50574506">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Total Annual Cost Burden</w:t>
            </w:r>
            <w:r w:rsidRPr="00EF1DA3" w:rsidR="005403A4">
              <w:rPr>
                <w:rFonts w:ascii="Calibri" w:hAnsi="Calibri" w:eastAsia="Times New Roman" w:cs="Calibri"/>
                <w:b/>
                <w:bCs/>
                <w:sz w:val="18"/>
                <w:szCs w:val="18"/>
              </w:rPr>
              <w:t xml:space="preserve"> ($)</w:t>
            </w:r>
          </w:p>
          <w:p w:rsidRPr="00EF1DA3" w:rsidR="009F47B4" w:rsidP="009F47B4" w:rsidRDefault="009F47B4" w14:paraId="1120F0F3" w14:textId="77777777">
            <w:pPr>
              <w:widowControl/>
              <w:autoSpaceDE/>
              <w:autoSpaceDN/>
              <w:jc w:val="center"/>
              <w:rPr>
                <w:rFonts w:ascii="Calibri" w:hAnsi="Calibri" w:eastAsia="Times New Roman" w:cs="Calibri"/>
                <w:b/>
                <w:bCs/>
                <w:sz w:val="18"/>
                <w:szCs w:val="18"/>
              </w:rPr>
            </w:pPr>
            <w:r w:rsidRPr="00EF1DA3">
              <w:rPr>
                <w:rFonts w:ascii="Calibri" w:hAnsi="Calibri" w:eastAsia="Times New Roman" w:cs="Calibri"/>
                <w:b/>
                <w:bCs/>
                <w:sz w:val="18"/>
                <w:szCs w:val="18"/>
              </w:rPr>
              <w:t>(i) = (c) x (h)</w:t>
            </w:r>
          </w:p>
        </w:tc>
      </w:tr>
      <w:tr w:rsidRPr="00EF1DA3" w:rsidR="009F47B4" w:rsidTr="009F47B4" w14:paraId="2F292C7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1A981412"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Dealer Landing Transaction Report</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095A9D" w14:paraId="5746C61D" w14:textId="1B14D17D">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125</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095A9D" w14:paraId="512B1CA1" w14:textId="69336225">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57.21</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095A9D" w14:paraId="7DF61B02" w14:textId="777593F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7,151</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BB1FEB" w:rsidRDefault="005403A4" w14:paraId="657729B7" w14:textId="2D6689B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5403A4" w:rsidRDefault="005403A4" w14:paraId="2788336A" w14:textId="305D184A">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773A756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599CC672"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 xml:space="preserve">Transfer Shares </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E75FA19"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139</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F08867F"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4.03</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451C81E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560</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BB1FEB" w:rsidRDefault="005403A4" w14:paraId="71AFD3CD" w14:textId="3D928E16">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BB1FEB" w14:paraId="015D66B9" w14:textId="2522AAD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135335B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EF1DA3" w:rsidR="009F47B4" w:rsidP="009F47B4" w:rsidRDefault="009F47B4" w14:paraId="18B8264E"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 xml:space="preserve">Share Receipt </w:t>
            </w:r>
          </w:p>
        </w:tc>
        <w:tc>
          <w:tcPr>
            <w:tcW w:w="126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6BA22A77"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139</w:t>
            </w:r>
          </w:p>
        </w:tc>
        <w:tc>
          <w:tcPr>
            <w:tcW w:w="153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474416E8"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4.03</w:t>
            </w:r>
          </w:p>
        </w:tc>
        <w:tc>
          <w:tcPr>
            <w:tcW w:w="135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1A2FAFE7"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560</w:t>
            </w:r>
          </w:p>
        </w:tc>
        <w:tc>
          <w:tcPr>
            <w:tcW w:w="1263" w:type="dxa"/>
            <w:tcBorders>
              <w:top w:val="nil"/>
              <w:left w:val="nil"/>
              <w:bottom w:val="single" w:color="auto" w:sz="4" w:space="0"/>
              <w:right w:val="single" w:color="auto" w:sz="4" w:space="0"/>
            </w:tcBorders>
            <w:shd w:val="clear" w:color="000000" w:fill="FFFFFF"/>
            <w:vAlign w:val="center"/>
          </w:tcPr>
          <w:p w:rsidRPr="00EF1DA3" w:rsidR="009F47B4" w:rsidP="009F47B4" w:rsidRDefault="005403A4" w14:paraId="327C00CB" w14:textId="40B5680F">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EF1DA3" w:rsidR="009F47B4" w:rsidP="009F47B4" w:rsidRDefault="005403A4" w14:paraId="5A373759" w14:textId="3B3D86B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20F938E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7A41566B"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Notification of Landing</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79D410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444</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26D3A03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16.82</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1FB5A06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7,468</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BB1FEB" w:rsidRDefault="005403A4" w14:paraId="15D6EA55" w14:textId="38760833">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5403A4" w14:paraId="70E875B9" w14:textId="1867E15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1AC39CB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1409227B"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Transfer Allocation</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D7C886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604</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D888D7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19.7</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2AA8BA3F"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11,899</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BB1FEB" w:rsidRDefault="005403A4" w14:paraId="25FDC174" w14:textId="3F1295D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5403A4" w14:paraId="12F34C52" w14:textId="34C7631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6B18CE7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BA1B54" w:rsidRDefault="009F47B4" w14:paraId="5D5FD16D" w14:textId="351EA303">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Online Account Application</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095A9D" w14:paraId="3FF21E3C" w14:textId="663A7B54">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107</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467EC34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095A9D" w14:paraId="08157E31" w14:textId="15C8F986">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107</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B96CEA8" w14:textId="3790BAA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9F47B4" w:rsidRDefault="00095A9D" w14:paraId="2382C6FE" w14:textId="62656DF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107</w:t>
            </w:r>
          </w:p>
        </w:tc>
      </w:tr>
      <w:tr w:rsidRPr="00EF1DA3" w:rsidR="009F47B4" w:rsidTr="009F47B4" w14:paraId="15E4E8C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31B4D2E4"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Landing Transaction Correction Request</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10B48D4"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42</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28F591E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3.88</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FEA4CA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163</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A8BF8A1" w14:textId="49F5E53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9F47B4" w:rsidRDefault="009F47B4" w14:paraId="36CDF2B5" w14:textId="7228EFC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163</w:t>
            </w:r>
          </w:p>
        </w:tc>
      </w:tr>
      <w:tr w:rsidRPr="00EF1DA3" w:rsidR="009F47B4" w:rsidTr="009F47B4" w14:paraId="659D5900"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09C266F9"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Cost Recovery Fee Submission by Dealers</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1F501A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119</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2F4E0B9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3.34</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01E524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397</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5403A4" w14:paraId="06466846" w14:textId="7B139471">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5403A4" w14:paraId="561B050B" w14:textId="753E6D8A">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6276799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606C4551"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Commercial Reef Fish Landing Location Request (IFQ)</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4AC18F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26</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494725E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1.27</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49851AA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33</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BB1FEB" w:rsidRDefault="005403A4" w14:paraId="125B6FED" w14:textId="67F5E8C8">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5403A4" w14:paraId="58E19DFB" w14:textId="1B3593C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478747E1"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762302F8"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Wreckfish Quota Share Transfer</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835ECF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6</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7D17A5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0.17</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A4FC3BD"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114D27F" w14:textId="4F5DD59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9F47B4" w:rsidRDefault="009F47B4" w14:paraId="06DC2BC1" w14:textId="05F28A6B">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r>
      <w:tr w:rsidRPr="00EF1DA3" w:rsidR="009F47B4" w:rsidTr="009F47B4" w14:paraId="4A766B00"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2BDD687E"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IFQ Close Account</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7FE76DF"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282345B2"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6C357ABA"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5AB23332" w14:textId="0B244040">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9F47B4" w:rsidRDefault="009F47B4" w14:paraId="0162E84C" w14:textId="642A6B8C">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w:t>
            </w:r>
          </w:p>
        </w:tc>
      </w:tr>
      <w:tr w:rsidRPr="00EF1DA3" w:rsidR="009F47B4" w:rsidTr="009F47B4" w14:paraId="71D827A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3BF3AC1A"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Account Update</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E1E433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31</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3A05E37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0EF4D69B"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31</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5403A4" w14:paraId="61D9A184" w14:textId="136DB0EA">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9F47B4" w:rsidRDefault="005403A4" w14:paraId="75164168" w14:textId="3338149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448F63A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EF1DA3" w:rsidR="009F47B4" w:rsidP="009F47B4" w:rsidRDefault="009F47B4" w14:paraId="0C76B2C0"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Trip Ticket Update</w:t>
            </w:r>
          </w:p>
        </w:tc>
        <w:tc>
          <w:tcPr>
            <w:tcW w:w="126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40B42B5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34</w:t>
            </w:r>
          </w:p>
        </w:tc>
        <w:tc>
          <w:tcPr>
            <w:tcW w:w="153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5AEEABC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11.12</w:t>
            </w:r>
          </w:p>
        </w:tc>
        <w:tc>
          <w:tcPr>
            <w:tcW w:w="1350"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9F47B4" w14:paraId="1140B39C"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378</w:t>
            </w:r>
          </w:p>
        </w:tc>
        <w:tc>
          <w:tcPr>
            <w:tcW w:w="1263" w:type="dxa"/>
            <w:tcBorders>
              <w:top w:val="nil"/>
              <w:left w:val="nil"/>
              <w:bottom w:val="single" w:color="auto" w:sz="4" w:space="0"/>
              <w:right w:val="single" w:color="auto" w:sz="4" w:space="0"/>
            </w:tcBorders>
            <w:shd w:val="clear" w:color="000000" w:fill="FFFFFF"/>
            <w:vAlign w:val="center"/>
            <w:hideMark/>
          </w:tcPr>
          <w:p w:rsidRPr="00EF1DA3" w:rsidR="009F47B4" w:rsidP="009F47B4" w:rsidRDefault="005403A4" w14:paraId="7A3711A1" w14:textId="509E821C">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EF1DA3" w:rsidR="009F47B4" w:rsidP="00BB1FEB" w:rsidRDefault="005403A4" w14:paraId="2DAC42E7" w14:textId="12E09AD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w:t>
            </w:r>
          </w:p>
        </w:tc>
      </w:tr>
      <w:tr w:rsidRPr="00EF1DA3" w:rsidR="009F47B4" w:rsidTr="009F47B4" w14:paraId="114C62C8"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EF1DA3" w:rsidR="009F47B4" w:rsidP="009F47B4" w:rsidRDefault="009F47B4" w14:paraId="4BEF8976"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Gulf Reef Fish Notification of Landing</w:t>
            </w:r>
          </w:p>
        </w:tc>
        <w:tc>
          <w:tcPr>
            <w:tcW w:w="126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3F7954C0"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105</w:t>
            </w:r>
          </w:p>
        </w:tc>
        <w:tc>
          <w:tcPr>
            <w:tcW w:w="153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2CB51E4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9.8</w:t>
            </w:r>
          </w:p>
        </w:tc>
        <w:tc>
          <w:tcPr>
            <w:tcW w:w="135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3B5712B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1,033</w:t>
            </w:r>
          </w:p>
        </w:tc>
        <w:tc>
          <w:tcPr>
            <w:tcW w:w="1263"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16759B33" w14:textId="0E69FA9D">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0.33</w:t>
            </w:r>
          </w:p>
        </w:tc>
        <w:tc>
          <w:tcPr>
            <w:tcW w:w="1347" w:type="dxa"/>
            <w:tcBorders>
              <w:top w:val="nil"/>
              <w:left w:val="nil"/>
              <w:bottom w:val="single" w:color="auto" w:sz="4" w:space="0"/>
              <w:right w:val="single" w:color="auto" w:sz="8" w:space="0"/>
            </w:tcBorders>
            <w:shd w:val="clear" w:color="000000" w:fill="FFFFFF"/>
            <w:vAlign w:val="center"/>
          </w:tcPr>
          <w:p w:rsidRPr="00EF1DA3" w:rsidR="009F47B4" w:rsidP="009F47B4" w:rsidRDefault="009F47B4" w14:paraId="38CFA727" w14:textId="2FDE1329">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341</w:t>
            </w:r>
          </w:p>
        </w:tc>
      </w:tr>
      <w:tr w:rsidRPr="00EF1DA3" w:rsidR="009F47B4" w:rsidTr="009F47B4" w14:paraId="3C9E6FC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EF1DA3" w:rsidR="009F47B4" w:rsidP="009F47B4" w:rsidRDefault="009F47B4" w14:paraId="3A763D71" w14:textId="77777777">
            <w:pPr>
              <w:widowControl/>
              <w:autoSpaceDE/>
              <w:autoSpaceDN/>
              <w:rPr>
                <w:rFonts w:ascii="Calibri" w:hAnsi="Calibri" w:eastAsia="Times New Roman" w:cs="Calibri"/>
                <w:sz w:val="16"/>
                <w:szCs w:val="16"/>
              </w:rPr>
            </w:pPr>
            <w:r w:rsidRPr="00EF1DA3">
              <w:rPr>
                <w:rFonts w:ascii="Calibri" w:hAnsi="Calibri" w:eastAsia="Times New Roman" w:cs="Calibri"/>
                <w:sz w:val="16"/>
                <w:szCs w:val="16"/>
              </w:rPr>
              <w:t>Commercial Reef Fish Landing Location Request (non-IFQ)</w:t>
            </w:r>
          </w:p>
        </w:tc>
        <w:tc>
          <w:tcPr>
            <w:tcW w:w="126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651FE706"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105</w:t>
            </w:r>
          </w:p>
        </w:tc>
        <w:tc>
          <w:tcPr>
            <w:tcW w:w="153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13EEBC41"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0.4</w:t>
            </w:r>
          </w:p>
        </w:tc>
        <w:tc>
          <w:tcPr>
            <w:tcW w:w="1350"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48B8D2BE"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40; 4 by mail</w:t>
            </w:r>
          </w:p>
        </w:tc>
        <w:tc>
          <w:tcPr>
            <w:tcW w:w="1263" w:type="dxa"/>
            <w:tcBorders>
              <w:top w:val="nil"/>
              <w:left w:val="nil"/>
              <w:bottom w:val="single" w:color="auto" w:sz="4" w:space="0"/>
              <w:right w:val="single" w:color="auto" w:sz="4" w:space="0"/>
            </w:tcBorders>
            <w:shd w:val="clear" w:color="000000" w:fill="FFFFFF"/>
            <w:vAlign w:val="center"/>
          </w:tcPr>
          <w:p w:rsidRPr="00EF1DA3" w:rsidR="009F47B4" w:rsidP="009F47B4" w:rsidRDefault="009F47B4" w14:paraId="7579A7A6" w14:textId="73CB6443">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Pr="00EF1DA3" w:rsidR="009F47B4" w:rsidP="009F47B4" w:rsidRDefault="009F47B4" w14:paraId="57218955" w14:textId="77777777">
            <w:pPr>
              <w:widowControl/>
              <w:autoSpaceDE/>
              <w:autoSpaceDN/>
              <w:jc w:val="right"/>
              <w:rPr>
                <w:rFonts w:ascii="Calibri" w:hAnsi="Calibri" w:eastAsia="Times New Roman" w:cs="Calibri"/>
                <w:sz w:val="16"/>
                <w:szCs w:val="16"/>
              </w:rPr>
            </w:pPr>
            <w:r w:rsidRPr="00EF1DA3">
              <w:rPr>
                <w:rFonts w:ascii="Calibri" w:hAnsi="Calibri" w:eastAsia="Times New Roman" w:cs="Calibri"/>
                <w:sz w:val="16"/>
                <w:szCs w:val="16"/>
              </w:rPr>
              <w:t>$4</w:t>
            </w:r>
          </w:p>
        </w:tc>
      </w:tr>
      <w:tr w:rsidRPr="00EF1DA3" w:rsidR="009F47B4" w:rsidTr="009F47B4" w14:paraId="19A482E5"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EF1DA3" w:rsidR="009F47B4" w:rsidP="009F47B4" w:rsidRDefault="009F47B4" w14:paraId="2533D0DC" w14:textId="77777777">
            <w:pPr>
              <w:widowControl/>
              <w:autoSpaceDE/>
              <w:autoSpaceDN/>
              <w:rPr>
                <w:rFonts w:ascii="Calibri" w:hAnsi="Calibri" w:eastAsia="Times New Roman" w:cs="Calibri"/>
                <w:b/>
                <w:bCs/>
                <w:sz w:val="16"/>
                <w:szCs w:val="16"/>
              </w:rPr>
            </w:pPr>
            <w:r w:rsidRPr="00EF1DA3">
              <w:rPr>
                <w:rFonts w:ascii="Calibri" w:hAnsi="Calibri" w:eastAsia="Times New Roman" w:cs="Calibri"/>
                <w:b/>
                <w:bCs/>
                <w:sz w:val="16"/>
                <w:szCs w:val="16"/>
              </w:rPr>
              <w:t>TOTALS</w:t>
            </w:r>
          </w:p>
        </w:tc>
        <w:tc>
          <w:tcPr>
            <w:tcW w:w="1260" w:type="dxa"/>
            <w:tcBorders>
              <w:top w:val="single" w:color="auto" w:sz="8" w:space="0"/>
              <w:left w:val="nil"/>
              <w:bottom w:val="single" w:color="auto" w:sz="8" w:space="0"/>
              <w:right w:val="single" w:color="auto" w:sz="4" w:space="0"/>
            </w:tcBorders>
            <w:shd w:val="clear" w:color="auto" w:fill="808080"/>
            <w:vAlign w:val="center"/>
            <w:hideMark/>
          </w:tcPr>
          <w:p w:rsidRPr="00EF1DA3" w:rsidR="009F47B4" w:rsidP="009F47B4" w:rsidRDefault="009F47B4" w14:paraId="4FE0430A" w14:textId="6FC271A6">
            <w:pPr>
              <w:widowControl/>
              <w:autoSpaceDE/>
              <w:autoSpaceDN/>
              <w:jc w:val="right"/>
              <w:rPr>
                <w:rFonts w:ascii="Calibri" w:hAnsi="Calibri" w:eastAsia="Times New Roman" w:cs="Calibri"/>
                <w:b/>
                <w:bCs/>
                <w:sz w:val="16"/>
                <w:szCs w:val="16"/>
              </w:rPr>
            </w:pPr>
          </w:p>
        </w:tc>
        <w:tc>
          <w:tcPr>
            <w:tcW w:w="1530" w:type="dxa"/>
            <w:tcBorders>
              <w:top w:val="single" w:color="auto" w:sz="8" w:space="0"/>
              <w:left w:val="nil"/>
              <w:bottom w:val="single" w:color="auto" w:sz="8" w:space="0"/>
              <w:right w:val="single" w:color="auto" w:sz="4" w:space="0"/>
            </w:tcBorders>
            <w:shd w:val="clear" w:color="auto" w:fill="808080"/>
            <w:vAlign w:val="center"/>
            <w:hideMark/>
          </w:tcPr>
          <w:p w:rsidRPr="00EF1DA3" w:rsidR="009F47B4" w:rsidP="009F47B4" w:rsidRDefault="009F47B4" w14:paraId="6978BC88" w14:textId="7D8E41C5">
            <w:pPr>
              <w:widowControl/>
              <w:autoSpaceDE/>
              <w:autoSpaceDN/>
              <w:jc w:val="right"/>
              <w:rPr>
                <w:rFonts w:ascii="Calibri" w:hAnsi="Calibri" w:eastAsia="Times New Roman" w:cs="Calibri"/>
                <w:b/>
                <w:bCs/>
                <w:sz w:val="16"/>
                <w:szCs w:val="16"/>
              </w:rPr>
            </w:pPr>
          </w:p>
        </w:tc>
        <w:tc>
          <w:tcPr>
            <w:tcW w:w="1350" w:type="dxa"/>
            <w:tcBorders>
              <w:top w:val="single" w:color="auto" w:sz="8" w:space="0"/>
              <w:left w:val="nil"/>
              <w:bottom w:val="single" w:color="auto" w:sz="8" w:space="0"/>
              <w:right w:val="single" w:color="auto" w:sz="4" w:space="0"/>
            </w:tcBorders>
            <w:shd w:val="clear" w:color="auto" w:fill="BDD6EE"/>
            <w:vAlign w:val="center"/>
          </w:tcPr>
          <w:p w:rsidRPr="00EF1DA3" w:rsidR="009F47B4" w:rsidP="009F47B4" w:rsidRDefault="008F6457" w14:paraId="57E5AECE" w14:textId="2BD3B35D">
            <w:pPr>
              <w:widowControl/>
              <w:autoSpaceDE/>
              <w:autoSpaceDN/>
              <w:jc w:val="right"/>
              <w:rPr>
                <w:rFonts w:ascii="Calibri" w:hAnsi="Calibri" w:eastAsia="Times New Roman" w:cs="Calibri"/>
                <w:b/>
                <w:bCs/>
                <w:sz w:val="16"/>
                <w:szCs w:val="16"/>
              </w:rPr>
            </w:pPr>
            <w:r w:rsidRPr="00EF1DA3">
              <w:rPr>
                <w:rFonts w:ascii="Calibri" w:hAnsi="Calibri" w:eastAsia="Times New Roman" w:cs="Calibri"/>
                <w:b/>
                <w:bCs/>
                <w:sz w:val="16"/>
                <w:szCs w:val="16"/>
              </w:rPr>
              <w:t>29,830</w:t>
            </w:r>
          </w:p>
        </w:tc>
        <w:tc>
          <w:tcPr>
            <w:tcW w:w="1263" w:type="dxa"/>
            <w:tcBorders>
              <w:top w:val="single" w:color="auto" w:sz="8" w:space="0"/>
              <w:left w:val="nil"/>
              <w:bottom w:val="single" w:color="auto" w:sz="8" w:space="0"/>
              <w:right w:val="single" w:color="auto" w:sz="4" w:space="0"/>
            </w:tcBorders>
            <w:shd w:val="clear" w:color="auto" w:fill="808080"/>
            <w:vAlign w:val="center"/>
            <w:hideMark/>
          </w:tcPr>
          <w:p w:rsidRPr="00EF1DA3" w:rsidR="009F47B4" w:rsidP="009F47B4" w:rsidRDefault="009F47B4" w14:paraId="21700947" w14:textId="0A17A6D7">
            <w:pPr>
              <w:widowControl/>
              <w:autoSpaceDE/>
              <w:autoSpaceDN/>
              <w:jc w:val="right"/>
              <w:rPr>
                <w:rFonts w:ascii="Calibri" w:hAnsi="Calibri" w:eastAsia="Times New Roman" w:cs="Calibri"/>
                <w:b/>
                <w:bCs/>
                <w:sz w:val="16"/>
                <w:szCs w:val="16"/>
              </w:rPr>
            </w:pPr>
          </w:p>
        </w:tc>
        <w:tc>
          <w:tcPr>
            <w:tcW w:w="1347" w:type="dxa"/>
            <w:tcBorders>
              <w:top w:val="single" w:color="auto" w:sz="8" w:space="0"/>
              <w:left w:val="nil"/>
              <w:bottom w:val="single" w:color="auto" w:sz="8" w:space="0"/>
              <w:right w:val="single" w:color="auto" w:sz="8" w:space="0"/>
            </w:tcBorders>
            <w:shd w:val="clear" w:color="auto" w:fill="BDD6EE"/>
            <w:vAlign w:val="center"/>
            <w:hideMark/>
          </w:tcPr>
          <w:p w:rsidRPr="00EF1DA3" w:rsidR="009F47B4" w:rsidP="009F47B4" w:rsidRDefault="00095A9D" w14:paraId="6220A69B" w14:textId="3EDFF994">
            <w:pPr>
              <w:widowControl/>
              <w:autoSpaceDE/>
              <w:autoSpaceDN/>
              <w:jc w:val="right"/>
              <w:rPr>
                <w:rFonts w:ascii="Calibri" w:hAnsi="Calibri" w:eastAsia="Times New Roman" w:cs="Calibri"/>
                <w:b/>
                <w:bCs/>
                <w:sz w:val="16"/>
                <w:szCs w:val="16"/>
              </w:rPr>
            </w:pPr>
            <w:r w:rsidRPr="00EF1DA3">
              <w:rPr>
                <w:rFonts w:ascii="Calibri" w:hAnsi="Calibri" w:eastAsia="Times New Roman" w:cs="Calibri"/>
                <w:b/>
                <w:bCs/>
                <w:sz w:val="16"/>
                <w:szCs w:val="16"/>
              </w:rPr>
              <w:t>625</w:t>
            </w:r>
          </w:p>
        </w:tc>
      </w:tr>
    </w:tbl>
    <w:p w:rsidRPr="00EF1DA3" w:rsidR="008E61C9" w:rsidP="00BD7237" w:rsidRDefault="008E61C9" w14:paraId="20BED738" w14:textId="0A4A9644">
      <w:pPr>
        <w:pStyle w:val="BodyText"/>
        <w:spacing w:before="7"/>
        <w:ind w:left="0"/>
        <w:rPr>
          <w:rFonts w:cs="Times New Roman"/>
        </w:rPr>
      </w:pPr>
    </w:p>
    <w:p w:rsidRPr="00EF1DA3" w:rsidR="005403A4" w:rsidP="00BD7237" w:rsidRDefault="005403A4" w14:paraId="6A736E64" w14:textId="77777777">
      <w:pPr>
        <w:pStyle w:val="BodyText"/>
        <w:spacing w:before="7"/>
        <w:ind w:left="0"/>
        <w:rPr>
          <w:rFonts w:cs="Times New Roman"/>
        </w:rPr>
      </w:pPr>
    </w:p>
    <w:p w:rsidRPr="00EF1DA3" w:rsidR="008E61C9" w:rsidP="00BD7237" w:rsidRDefault="001477A3" w14:paraId="54534913" w14:textId="5C3B83BF">
      <w:pPr>
        <w:pStyle w:val="ListParagraph"/>
        <w:numPr>
          <w:ilvl w:val="0"/>
          <w:numId w:val="7"/>
        </w:numPr>
        <w:tabs>
          <w:tab w:val="left" w:pos="360"/>
        </w:tabs>
        <w:spacing w:before="80"/>
        <w:ind w:left="0" w:firstLine="0"/>
        <w:rPr>
          <w:rFonts w:cs="Times New Roman"/>
          <w:b/>
        </w:rPr>
      </w:pPr>
      <w:r w:rsidRPr="00CD5673">
        <w:rPr>
          <w:rFonts w:cs="Times New Roman"/>
          <w:b/>
        </w:rPr>
        <w:t>Provide estimates of annualized cost to the Federal government. Also, provide a description of the method used to estimate cost, which should include quantification of hours, operational</w:t>
      </w:r>
      <w:r w:rsidRPr="00EF1DA3">
        <w:rPr>
          <w:rFonts w:cs="Times New Roman"/>
          <w:b/>
        </w:rPr>
        <w:t xml:space="preserve"> expenses (such as equipment, overhead, printing, and support staff), and any other expense that would not have been incurred without this collection of information.</w:t>
      </w:r>
    </w:p>
    <w:p w:rsidRPr="00EF1DA3" w:rsidR="008F6457" w:rsidP="008F6457" w:rsidRDefault="008F6457" w14:paraId="723A23B4" w14:textId="3649FC0A">
      <w:pPr>
        <w:tabs>
          <w:tab w:val="left" w:pos="360"/>
        </w:tabs>
        <w:rPr>
          <w:rFonts w:cs="Times New Roman"/>
        </w:rPr>
      </w:pPr>
    </w:p>
    <w:p w:rsidRPr="00EF1DA3" w:rsidR="008F6457" w:rsidP="008F6457" w:rsidRDefault="008F6457" w14:paraId="4F56DA3B" w14:textId="77777777">
      <w:pPr>
        <w:tabs>
          <w:tab w:val="left" w:pos="360"/>
        </w:tabs>
        <w:rPr>
          <w:rFonts w:cs="Times New Roman"/>
        </w:rPr>
      </w:pPr>
    </w:p>
    <w:tbl>
      <w:tblPr>
        <w:tblW w:w="8640" w:type="dxa"/>
        <w:tblLook w:val="04A0" w:firstRow="1" w:lastRow="0" w:firstColumn="1" w:lastColumn="0" w:noHBand="0" w:noVBand="1"/>
      </w:tblPr>
      <w:tblGrid>
        <w:gridCol w:w="2544"/>
        <w:gridCol w:w="1194"/>
        <w:gridCol w:w="1201"/>
        <w:gridCol w:w="1154"/>
        <w:gridCol w:w="1058"/>
        <w:gridCol w:w="1489"/>
      </w:tblGrid>
      <w:tr w:rsidRPr="00EF1DA3" w:rsidR="00C62DF4" w:rsidTr="00C62DF4" w14:paraId="3582E05F" w14:textId="7B8DF77C">
        <w:tc>
          <w:tcPr>
            <w:tcW w:w="0" w:type="auto"/>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DF0CE3" w:rsidRDefault="00DF0CE3" w14:paraId="39D38643" w14:textId="45D2B1A2">
            <w:pPr>
              <w:widowControl/>
              <w:autoSpaceDE/>
              <w:autoSpaceDN/>
              <w:jc w:val="center"/>
              <w:rPr>
                <w:rFonts w:eastAsia="Times New Roman" w:cs="Times New Roman"/>
                <w:b/>
                <w:bCs/>
                <w:sz w:val="20"/>
                <w:szCs w:val="20"/>
              </w:rPr>
            </w:pPr>
            <w:r w:rsidRPr="00EF1DA3">
              <w:rPr>
                <w:rFonts w:eastAsia="Times New Roman" w:cs="Times New Roman"/>
                <w:b/>
                <w:bCs/>
                <w:sz w:val="20"/>
                <w:szCs w:val="20"/>
              </w:rPr>
              <w:t>Cost Descriptions</w:t>
            </w:r>
          </w:p>
        </w:tc>
        <w:tc>
          <w:tcPr>
            <w:tcW w:w="0" w:type="auto"/>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DF0CE3" w:rsidRDefault="00DF0CE3" w14:paraId="02D27D34" w14:textId="3EF579E7">
            <w:pPr>
              <w:widowControl/>
              <w:autoSpaceDE/>
              <w:autoSpaceDN/>
              <w:jc w:val="center"/>
              <w:rPr>
                <w:rFonts w:eastAsia="Times New Roman" w:cs="Times New Roman"/>
                <w:b/>
                <w:bCs/>
                <w:sz w:val="20"/>
                <w:szCs w:val="20"/>
              </w:rPr>
            </w:pPr>
            <w:r w:rsidRPr="00EF1DA3">
              <w:rPr>
                <w:rFonts w:eastAsia="Times New Roman" w:cs="Times New Roman"/>
                <w:b/>
                <w:bCs/>
                <w:sz w:val="20"/>
                <w:szCs w:val="20"/>
              </w:rPr>
              <w:t>Grade/Step</w:t>
            </w:r>
          </w:p>
        </w:tc>
        <w:tc>
          <w:tcPr>
            <w:tcW w:w="0" w:type="auto"/>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C62DF4" w:rsidRDefault="00C62DF4" w14:paraId="6019E498" w14:textId="2C6EFBBB">
            <w:pPr>
              <w:widowControl/>
              <w:autoSpaceDE/>
              <w:autoSpaceDN/>
              <w:jc w:val="center"/>
              <w:rPr>
                <w:rFonts w:eastAsia="Times New Roman" w:cs="Times New Roman"/>
                <w:b/>
                <w:bCs/>
                <w:sz w:val="20"/>
                <w:szCs w:val="20"/>
              </w:rPr>
            </w:pPr>
            <w:r w:rsidRPr="00EF1DA3">
              <w:rPr>
                <w:rFonts w:eastAsia="Times New Roman" w:cs="Times New Roman"/>
                <w:b/>
                <w:bCs/>
                <w:sz w:val="20"/>
                <w:szCs w:val="20"/>
              </w:rPr>
              <w:t>Loaded Salary</w:t>
            </w:r>
            <w:r w:rsidRPr="00EF1DA3" w:rsidR="007C7814">
              <w:rPr>
                <w:rFonts w:eastAsia="Times New Roman" w:cs="Times New Roman"/>
                <w:b/>
                <w:bCs/>
                <w:sz w:val="20"/>
                <w:szCs w:val="20"/>
              </w:rPr>
              <w:t xml:space="preserve"> ($)</w:t>
            </w:r>
          </w:p>
        </w:tc>
        <w:tc>
          <w:tcPr>
            <w:tcW w:w="1154"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DF0CE3" w:rsidRDefault="00C62DF4" w14:paraId="5C63779B" w14:textId="065B11E2">
            <w:pPr>
              <w:widowControl/>
              <w:autoSpaceDE/>
              <w:autoSpaceDN/>
              <w:jc w:val="center"/>
              <w:rPr>
                <w:rFonts w:eastAsia="Times New Roman" w:cs="Times New Roman"/>
                <w:b/>
                <w:bCs/>
                <w:sz w:val="20"/>
                <w:szCs w:val="20"/>
              </w:rPr>
            </w:pPr>
            <w:r w:rsidRPr="00EF1DA3">
              <w:rPr>
                <w:rFonts w:eastAsia="Times New Roman" w:cs="Times New Roman"/>
                <w:b/>
                <w:bCs/>
                <w:sz w:val="20"/>
                <w:szCs w:val="20"/>
              </w:rPr>
              <w:t>Percent</w:t>
            </w:r>
            <w:r w:rsidRPr="00EF1DA3" w:rsidR="00DF0CE3">
              <w:rPr>
                <w:rFonts w:eastAsia="Times New Roman" w:cs="Times New Roman"/>
                <w:b/>
                <w:bCs/>
                <w:sz w:val="20"/>
                <w:szCs w:val="20"/>
              </w:rPr>
              <w:t xml:space="preserve"> of Effort</w:t>
            </w:r>
          </w:p>
        </w:tc>
        <w:tc>
          <w:tcPr>
            <w:tcW w:w="1058"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C62DF4" w:rsidRDefault="00DF0CE3" w14:paraId="6EF064B9" w14:textId="083113EF">
            <w:pPr>
              <w:widowControl/>
              <w:autoSpaceDE/>
              <w:autoSpaceDN/>
              <w:jc w:val="center"/>
              <w:rPr>
                <w:rFonts w:eastAsia="Times New Roman" w:cs="Times New Roman"/>
                <w:b/>
                <w:bCs/>
                <w:sz w:val="20"/>
                <w:szCs w:val="20"/>
              </w:rPr>
            </w:pPr>
            <w:r w:rsidRPr="00EF1DA3">
              <w:rPr>
                <w:rFonts w:eastAsia="Times New Roman" w:cs="Times New Roman"/>
                <w:b/>
                <w:bCs/>
                <w:sz w:val="20"/>
                <w:szCs w:val="20"/>
              </w:rPr>
              <w:t>Fringe (if Appli</w:t>
            </w:r>
            <w:r w:rsidRPr="00EF1DA3" w:rsidR="00C62DF4">
              <w:rPr>
                <w:rFonts w:eastAsia="Times New Roman" w:cs="Times New Roman"/>
                <w:b/>
                <w:bCs/>
                <w:sz w:val="20"/>
                <w:szCs w:val="20"/>
              </w:rPr>
              <w:t>es</w:t>
            </w:r>
            <w:r w:rsidRPr="00EF1DA3">
              <w:rPr>
                <w:rFonts w:eastAsia="Times New Roman" w:cs="Times New Roman"/>
                <w:b/>
                <w:bCs/>
                <w:sz w:val="20"/>
                <w:szCs w:val="20"/>
              </w:rPr>
              <w:t>)</w:t>
            </w:r>
          </w:p>
        </w:tc>
        <w:tc>
          <w:tcPr>
            <w:tcW w:w="0" w:type="auto"/>
            <w:tcBorders>
              <w:top w:val="single" w:color="auto" w:sz="4" w:space="0"/>
              <w:left w:val="single" w:color="auto" w:sz="4" w:space="0"/>
              <w:bottom w:val="single" w:color="auto" w:sz="4" w:space="0"/>
              <w:right w:val="single" w:color="auto" w:sz="4" w:space="0"/>
            </w:tcBorders>
            <w:shd w:val="clear" w:color="000000" w:fill="BDD7EE"/>
            <w:vAlign w:val="center"/>
            <w:hideMark/>
          </w:tcPr>
          <w:p w:rsidRPr="00EF1DA3" w:rsidR="00DF0CE3" w:rsidP="00DF0CE3" w:rsidRDefault="00DF0CE3" w14:paraId="1755113C" w14:textId="074DF0EF">
            <w:pPr>
              <w:widowControl/>
              <w:autoSpaceDE/>
              <w:autoSpaceDN/>
              <w:jc w:val="center"/>
              <w:rPr>
                <w:rFonts w:eastAsia="Times New Roman" w:cs="Times New Roman"/>
                <w:b/>
                <w:bCs/>
                <w:sz w:val="20"/>
                <w:szCs w:val="20"/>
              </w:rPr>
            </w:pPr>
            <w:r w:rsidRPr="00EF1DA3">
              <w:rPr>
                <w:rFonts w:eastAsia="Times New Roman" w:cs="Times New Roman"/>
                <w:b/>
                <w:bCs/>
                <w:sz w:val="20"/>
                <w:szCs w:val="20"/>
              </w:rPr>
              <w:t>Total Cost to Government</w:t>
            </w:r>
            <w:r w:rsidRPr="00EF1DA3" w:rsidR="00A812F9">
              <w:rPr>
                <w:rFonts w:eastAsia="Times New Roman" w:cs="Times New Roman"/>
                <w:b/>
                <w:bCs/>
                <w:sz w:val="20"/>
                <w:szCs w:val="20"/>
              </w:rPr>
              <w:t xml:space="preserve"> ($)</w:t>
            </w:r>
          </w:p>
        </w:tc>
      </w:tr>
      <w:tr w:rsidRPr="00EF1DA3" w:rsidR="00C62DF4" w:rsidTr="00C62DF4" w14:paraId="335EF360" w14:textId="77777777">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7F53DD04" w14:textId="77777777">
            <w:pPr>
              <w:widowControl/>
              <w:autoSpaceDE/>
              <w:autoSpaceDN/>
              <w:rPr>
                <w:rFonts w:eastAsia="Times New Roman" w:cs="Times New Roman"/>
                <w:sz w:val="20"/>
                <w:szCs w:val="20"/>
              </w:rPr>
            </w:pPr>
            <w:r w:rsidRPr="00EF1DA3">
              <w:rPr>
                <w:rFonts w:eastAsia="Times New Roman" w:cs="Times New Roman"/>
                <w:sz w:val="20"/>
                <w:szCs w:val="20"/>
              </w:rPr>
              <w:t>Manager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4F52E4FA" w14:textId="77777777">
            <w:pPr>
              <w:widowControl/>
              <w:autoSpaceDE/>
              <w:autoSpaceDN/>
              <w:jc w:val="right"/>
              <w:rPr>
                <w:rFonts w:eastAsia="Times New Roman" w:cs="Times New Roman"/>
                <w:sz w:val="20"/>
                <w:szCs w:val="20"/>
              </w:rPr>
            </w:pPr>
            <w:r w:rsidRPr="00EF1DA3">
              <w:rPr>
                <w:rFonts w:eastAsia="Times New Roman" w:cs="Times New Roman"/>
                <w:sz w:val="20"/>
                <w:szCs w:val="20"/>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3A2734D8" w14:textId="48D887C8">
            <w:pPr>
              <w:widowControl/>
              <w:autoSpaceDE/>
              <w:autoSpaceDN/>
              <w:jc w:val="right"/>
              <w:rPr>
                <w:rFonts w:eastAsia="Times New Roman" w:cs="Times New Roman"/>
                <w:sz w:val="20"/>
                <w:szCs w:val="20"/>
              </w:rPr>
            </w:pPr>
            <w:r w:rsidRPr="00EF1DA3">
              <w:rPr>
                <w:rFonts w:eastAsia="Times New Roman" w:cs="Times New Roman"/>
                <w:sz w:val="20"/>
                <w:szCs w:val="20"/>
              </w:rPr>
              <w:t xml:space="preserve">161,710.50 </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CD5673" w14:paraId="0D231D23" w14:textId="672E7E1C">
            <w:pPr>
              <w:widowControl/>
              <w:autoSpaceDE/>
              <w:autoSpaceDN/>
              <w:jc w:val="right"/>
              <w:rPr>
                <w:rFonts w:eastAsia="Times New Roman" w:cs="Times New Roman"/>
                <w:sz w:val="20"/>
                <w:szCs w:val="20"/>
              </w:rPr>
            </w:pPr>
            <w:r>
              <w:rPr>
                <w:rFonts w:eastAsia="Times New Roman" w:cs="Times New Roman"/>
                <w:sz w:val="20"/>
                <w:szCs w:val="20"/>
              </w:rPr>
              <w:t>50</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172172F4"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7943A6B2" w14:textId="7341AFC4">
            <w:pPr>
              <w:widowControl/>
              <w:autoSpaceDE/>
              <w:autoSpaceDN/>
              <w:jc w:val="right"/>
              <w:rPr>
                <w:rFonts w:eastAsia="Times New Roman" w:cs="Times New Roman"/>
                <w:sz w:val="20"/>
                <w:szCs w:val="20"/>
              </w:rPr>
            </w:pPr>
            <w:r w:rsidRPr="00EF1DA3">
              <w:rPr>
                <w:rFonts w:eastAsia="Times New Roman" w:cs="Times New Roman"/>
                <w:sz w:val="20"/>
                <w:szCs w:val="20"/>
              </w:rPr>
              <w:t xml:space="preserve">80,855 </w:t>
            </w:r>
          </w:p>
        </w:tc>
      </w:tr>
      <w:tr w:rsidRPr="00EF1DA3" w:rsidR="00C62DF4" w:rsidTr="00C62DF4" w14:paraId="061A7777" w14:textId="77777777">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5CAB7554" w14:textId="77777777">
            <w:pPr>
              <w:widowControl/>
              <w:autoSpaceDE/>
              <w:autoSpaceDN/>
              <w:rPr>
                <w:rFonts w:eastAsia="Times New Roman" w:cs="Times New Roman"/>
                <w:sz w:val="20"/>
                <w:szCs w:val="20"/>
              </w:rPr>
            </w:pPr>
            <w:r w:rsidRPr="00EF1DA3">
              <w:rPr>
                <w:rFonts w:eastAsia="Times New Roman" w:cs="Times New Roman"/>
                <w:sz w:val="20"/>
                <w:szCs w:val="20"/>
              </w:rPr>
              <w:t>Customer Service Rep (3)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38C0EDFC" w14:textId="77777777">
            <w:pPr>
              <w:widowControl/>
              <w:autoSpaceDE/>
              <w:autoSpaceDN/>
              <w:jc w:val="right"/>
              <w:rPr>
                <w:rFonts w:eastAsia="Times New Roman" w:cs="Times New Roman"/>
                <w:sz w:val="20"/>
                <w:szCs w:val="20"/>
              </w:rPr>
            </w:pPr>
            <w:r w:rsidRPr="00EF1DA3">
              <w:rPr>
                <w:rFonts w:eastAsia="Times New Roman" w:cs="Times New Roman"/>
                <w:sz w:val="20"/>
                <w:szCs w:val="20"/>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5C76A78C" w14:textId="14EE8833">
            <w:pPr>
              <w:widowControl/>
              <w:autoSpaceDE/>
              <w:autoSpaceDN/>
              <w:jc w:val="right"/>
              <w:rPr>
                <w:rFonts w:eastAsia="Times New Roman" w:cs="Times New Roman"/>
                <w:sz w:val="20"/>
                <w:szCs w:val="20"/>
              </w:rPr>
            </w:pPr>
            <w:r w:rsidRPr="00EF1DA3">
              <w:rPr>
                <w:rFonts w:eastAsia="Times New Roman" w:cs="Times New Roman"/>
                <w:sz w:val="20"/>
                <w:szCs w:val="20"/>
              </w:rPr>
              <w:t xml:space="preserve">96,013.50 </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4F069F3E" w14:textId="5A1623A0">
            <w:pPr>
              <w:widowControl/>
              <w:autoSpaceDE/>
              <w:autoSpaceDN/>
              <w:jc w:val="right"/>
              <w:rPr>
                <w:rFonts w:eastAsia="Times New Roman" w:cs="Times New Roman"/>
                <w:sz w:val="20"/>
                <w:szCs w:val="20"/>
              </w:rPr>
            </w:pPr>
            <w:r w:rsidRPr="00EF1DA3">
              <w:rPr>
                <w:rFonts w:eastAsia="Times New Roman" w:cs="Times New Roman"/>
                <w:sz w:val="20"/>
                <w:szCs w:val="20"/>
              </w:rPr>
              <w:t>1</w:t>
            </w:r>
            <w:r w:rsidR="00CD5673">
              <w:rPr>
                <w:rFonts w:eastAsia="Times New Roman" w:cs="Times New Roman"/>
                <w:sz w:val="20"/>
                <w:szCs w:val="20"/>
              </w:rPr>
              <w:t>00</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4C17F141"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4D8F1B63" w14:textId="20CC2FC9">
            <w:pPr>
              <w:widowControl/>
              <w:autoSpaceDE/>
              <w:autoSpaceDN/>
              <w:jc w:val="right"/>
              <w:rPr>
                <w:rFonts w:eastAsia="Times New Roman" w:cs="Times New Roman"/>
                <w:sz w:val="20"/>
                <w:szCs w:val="20"/>
              </w:rPr>
            </w:pPr>
            <w:r w:rsidRPr="00EF1DA3">
              <w:rPr>
                <w:rFonts w:eastAsia="Times New Roman" w:cs="Times New Roman"/>
                <w:sz w:val="20"/>
                <w:szCs w:val="20"/>
              </w:rPr>
              <w:t xml:space="preserve">96,014 </w:t>
            </w:r>
          </w:p>
        </w:tc>
      </w:tr>
      <w:tr w:rsidRPr="00EF1DA3" w:rsidR="00C62DF4" w:rsidTr="00C62DF4" w14:paraId="303DF3D7" w14:textId="77777777">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4065C32F" w14:textId="77777777">
            <w:pPr>
              <w:widowControl/>
              <w:autoSpaceDE/>
              <w:autoSpaceDN/>
              <w:rPr>
                <w:rFonts w:eastAsia="Times New Roman" w:cs="Times New Roman"/>
                <w:sz w:val="20"/>
                <w:szCs w:val="20"/>
              </w:rPr>
            </w:pPr>
            <w:r w:rsidRPr="00EF1DA3">
              <w:rPr>
                <w:rFonts w:eastAsia="Times New Roman" w:cs="Times New Roman"/>
                <w:sz w:val="20"/>
                <w:szCs w:val="20"/>
              </w:rPr>
              <w:t>Web Developer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1AFDA955" w14:textId="77777777">
            <w:pPr>
              <w:widowControl/>
              <w:autoSpaceDE/>
              <w:autoSpaceDN/>
              <w:jc w:val="right"/>
              <w:rPr>
                <w:rFonts w:eastAsia="Times New Roman" w:cs="Times New Roman"/>
                <w:sz w:val="20"/>
                <w:szCs w:val="20"/>
              </w:rPr>
            </w:pPr>
            <w:r w:rsidRPr="00EF1DA3">
              <w:rPr>
                <w:rFonts w:eastAsia="Times New Roman" w:cs="Times New Roman"/>
                <w:sz w:val="20"/>
                <w:szCs w:val="20"/>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1055F1C1" w14:textId="796CD664">
            <w:pPr>
              <w:widowControl/>
              <w:autoSpaceDE/>
              <w:autoSpaceDN/>
              <w:jc w:val="right"/>
              <w:rPr>
                <w:rFonts w:eastAsia="Times New Roman" w:cs="Times New Roman"/>
                <w:sz w:val="20"/>
                <w:szCs w:val="20"/>
              </w:rPr>
            </w:pPr>
            <w:r w:rsidRPr="00EF1DA3">
              <w:rPr>
                <w:rFonts w:eastAsia="Times New Roman" w:cs="Times New Roman"/>
                <w:sz w:val="20"/>
                <w:szCs w:val="20"/>
              </w:rPr>
              <w:t xml:space="preserve">136,846.50 </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CD5673" w14:paraId="4C2844B7" w14:textId="348A69B4">
            <w:pPr>
              <w:widowControl/>
              <w:autoSpaceDE/>
              <w:autoSpaceDN/>
              <w:jc w:val="right"/>
              <w:rPr>
                <w:rFonts w:eastAsia="Times New Roman" w:cs="Times New Roman"/>
                <w:sz w:val="20"/>
                <w:szCs w:val="20"/>
              </w:rPr>
            </w:pPr>
            <w:r>
              <w:rPr>
                <w:rFonts w:eastAsia="Times New Roman" w:cs="Times New Roman"/>
                <w:sz w:val="20"/>
                <w:szCs w:val="20"/>
              </w:rPr>
              <w:t>25</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3FE104E2"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36853B3A" w14:textId="565E6427">
            <w:pPr>
              <w:widowControl/>
              <w:autoSpaceDE/>
              <w:autoSpaceDN/>
              <w:jc w:val="right"/>
              <w:rPr>
                <w:rFonts w:eastAsia="Times New Roman" w:cs="Times New Roman"/>
                <w:sz w:val="20"/>
                <w:szCs w:val="20"/>
              </w:rPr>
            </w:pPr>
            <w:r w:rsidRPr="00EF1DA3">
              <w:rPr>
                <w:rFonts w:eastAsia="Times New Roman" w:cs="Times New Roman"/>
                <w:sz w:val="20"/>
                <w:szCs w:val="20"/>
              </w:rPr>
              <w:t xml:space="preserve">34,212 </w:t>
            </w:r>
          </w:p>
        </w:tc>
      </w:tr>
      <w:tr w:rsidRPr="00EF1DA3" w:rsidR="00C62DF4" w:rsidTr="00C62DF4" w14:paraId="74AEDDBF"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1DA3" w:rsidR="0050708E" w:rsidP="00A812F9" w:rsidRDefault="0050708E" w14:paraId="53C05BCA" w14:textId="77777777">
            <w:pPr>
              <w:widowControl/>
              <w:autoSpaceDE/>
              <w:autoSpaceDN/>
              <w:rPr>
                <w:rFonts w:eastAsia="Times New Roman" w:cs="Times New Roman"/>
                <w:bCs/>
                <w:sz w:val="20"/>
                <w:szCs w:val="20"/>
              </w:rPr>
            </w:pPr>
            <w:r w:rsidRPr="00EF1DA3">
              <w:rPr>
                <w:rFonts w:eastAsia="Times New Roman" w:cs="Times New Roman"/>
                <w:bCs/>
                <w:sz w:val="20"/>
                <w:szCs w:val="20"/>
              </w:rPr>
              <w:t>Contractor Cost</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158E48AD"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0E86C4BB" w14:textId="7730F7C2">
            <w:pPr>
              <w:widowControl/>
              <w:autoSpaceDE/>
              <w:autoSpaceDN/>
              <w:jc w:val="right"/>
              <w:rPr>
                <w:rFonts w:eastAsia="Times New Roman" w:cs="Times New Roman"/>
                <w:sz w:val="20"/>
                <w:szCs w:val="20"/>
              </w:rPr>
            </w:pPr>
            <w:r w:rsidRPr="00EF1DA3">
              <w:rPr>
                <w:rFonts w:eastAsia="Times New Roman" w:cs="Times New Roman"/>
                <w:sz w:val="20"/>
                <w:szCs w:val="20"/>
              </w:rPr>
              <w:t xml:space="preserve">117,000.00 </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6335F008" w14:textId="208CF1BD">
            <w:pPr>
              <w:widowControl/>
              <w:autoSpaceDE/>
              <w:autoSpaceDN/>
              <w:jc w:val="right"/>
              <w:rPr>
                <w:rFonts w:eastAsia="Times New Roman" w:cs="Times New Roman"/>
                <w:sz w:val="20"/>
                <w:szCs w:val="20"/>
              </w:rPr>
            </w:pPr>
            <w:r w:rsidRPr="00EF1DA3">
              <w:rPr>
                <w:rFonts w:eastAsia="Times New Roman" w:cs="Times New Roman"/>
                <w:sz w:val="20"/>
                <w:szCs w:val="20"/>
              </w:rPr>
              <w:t>1</w:t>
            </w:r>
            <w:r w:rsidR="00CD5673">
              <w:rPr>
                <w:rFonts w:eastAsia="Times New Roman" w:cs="Times New Roman"/>
                <w:sz w:val="20"/>
                <w:szCs w:val="20"/>
              </w:rPr>
              <w:t>00</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2746424B"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4D69F37D" w14:textId="437F1786">
            <w:pPr>
              <w:widowControl/>
              <w:autoSpaceDE/>
              <w:autoSpaceDN/>
              <w:jc w:val="right"/>
              <w:rPr>
                <w:rFonts w:eastAsia="Times New Roman" w:cs="Times New Roman"/>
                <w:sz w:val="20"/>
                <w:szCs w:val="20"/>
              </w:rPr>
            </w:pPr>
            <w:r w:rsidRPr="00EF1DA3">
              <w:rPr>
                <w:rFonts w:eastAsia="Times New Roman" w:cs="Times New Roman"/>
                <w:sz w:val="20"/>
                <w:szCs w:val="20"/>
              </w:rPr>
              <w:t xml:space="preserve">117,000 </w:t>
            </w:r>
          </w:p>
        </w:tc>
      </w:tr>
      <w:tr w:rsidRPr="00EF1DA3" w:rsidR="00C62DF4" w:rsidTr="00C62DF4" w14:paraId="36E6DE4D" w14:textId="77777777">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A812F9" w14:paraId="737DD255" w14:textId="1A011348">
            <w:pPr>
              <w:widowControl/>
              <w:autoSpaceDE/>
              <w:autoSpaceDN/>
              <w:rPr>
                <w:rFonts w:eastAsia="Times New Roman" w:cs="Times New Roman"/>
                <w:sz w:val="20"/>
                <w:szCs w:val="20"/>
              </w:rPr>
            </w:pPr>
            <w:r w:rsidRPr="00EF1DA3">
              <w:rPr>
                <w:rFonts w:eastAsia="Times New Roman" w:cs="Times New Roman"/>
                <w:sz w:val="20"/>
                <w:szCs w:val="20"/>
              </w:rPr>
              <w:t>24-hour</w:t>
            </w:r>
            <w:r w:rsidRPr="00EF1DA3" w:rsidR="0050708E">
              <w:rPr>
                <w:rFonts w:eastAsia="Times New Roman" w:cs="Times New Roman"/>
                <w:sz w:val="20"/>
                <w:szCs w:val="20"/>
              </w:rPr>
              <w:t xml:space="preserve"> Call Service</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3CFB0116"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04658CBA"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46D465FB"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5D5920AE"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3F478C87" w14:textId="77777777">
            <w:pPr>
              <w:widowControl/>
              <w:autoSpaceDE/>
              <w:autoSpaceDN/>
              <w:jc w:val="right"/>
              <w:rPr>
                <w:rFonts w:eastAsia="Times New Roman" w:cs="Times New Roman"/>
                <w:sz w:val="20"/>
                <w:szCs w:val="20"/>
              </w:rPr>
            </w:pPr>
            <w:r w:rsidRPr="00EF1DA3">
              <w:rPr>
                <w:rFonts w:eastAsia="Times New Roman" w:cs="Times New Roman"/>
                <w:sz w:val="20"/>
                <w:szCs w:val="20"/>
              </w:rPr>
              <w:t>7,200</w:t>
            </w:r>
          </w:p>
        </w:tc>
      </w:tr>
      <w:tr w:rsidRPr="00EF1DA3" w:rsidR="00C62DF4" w:rsidTr="00C62DF4" w14:paraId="0B082905" w14:textId="77777777">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51EAFFD8" w14:textId="77777777">
            <w:pPr>
              <w:widowControl/>
              <w:autoSpaceDE/>
              <w:autoSpaceDN/>
              <w:rPr>
                <w:rFonts w:eastAsia="Times New Roman" w:cs="Times New Roman"/>
                <w:bCs/>
                <w:sz w:val="20"/>
                <w:szCs w:val="20"/>
              </w:rPr>
            </w:pPr>
            <w:r w:rsidRPr="00EF1DA3">
              <w:rPr>
                <w:rFonts w:eastAsia="Times New Roman" w:cs="Times New Roman"/>
                <w:bCs/>
                <w:sz w:val="20"/>
                <w:szCs w:val="20"/>
              </w:rPr>
              <w:t>Travel</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3F65F36F"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4538CDBA"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2F3941B2"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429A1D6F"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1DA3" w:rsidR="0050708E" w:rsidP="00A812F9" w:rsidRDefault="0050708E" w14:paraId="2D680803" w14:textId="05F74825">
            <w:pPr>
              <w:widowControl/>
              <w:autoSpaceDE/>
              <w:autoSpaceDN/>
              <w:jc w:val="right"/>
              <w:rPr>
                <w:rFonts w:eastAsia="Times New Roman" w:cs="Times New Roman"/>
                <w:sz w:val="20"/>
                <w:szCs w:val="20"/>
              </w:rPr>
            </w:pPr>
            <w:r w:rsidRPr="00EF1DA3">
              <w:rPr>
                <w:rFonts w:eastAsia="Times New Roman" w:cs="Times New Roman"/>
                <w:sz w:val="20"/>
                <w:szCs w:val="20"/>
              </w:rPr>
              <w:t xml:space="preserve">15,000 </w:t>
            </w:r>
          </w:p>
        </w:tc>
      </w:tr>
      <w:tr w:rsidRPr="00EF1DA3" w:rsidR="00C62DF4" w:rsidTr="00C62DF4" w14:paraId="1831E108"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1DA3" w:rsidR="0050708E" w:rsidP="00A812F9" w:rsidRDefault="0050708E" w14:paraId="61E8243F" w14:textId="77777777">
            <w:pPr>
              <w:widowControl/>
              <w:autoSpaceDE/>
              <w:autoSpaceDN/>
              <w:rPr>
                <w:rFonts w:eastAsia="Times New Roman" w:cs="Times New Roman"/>
                <w:sz w:val="20"/>
                <w:szCs w:val="20"/>
              </w:rPr>
            </w:pPr>
            <w:r w:rsidRPr="00EF1DA3">
              <w:rPr>
                <w:rFonts w:eastAsia="Times New Roman" w:cs="Times New Roman"/>
                <w:sz w:val="20"/>
                <w:szCs w:val="20"/>
              </w:rPr>
              <w:t>Wreckfish Coupons</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21C37D4C"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63AAA27A"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2428024E"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2DED37F7"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Pr="00EF1DA3" w:rsidR="0050708E" w:rsidP="00A812F9" w:rsidRDefault="0050708E" w14:paraId="0088B91B" w14:textId="3F2E0D8D">
            <w:pPr>
              <w:widowControl/>
              <w:autoSpaceDE/>
              <w:autoSpaceDN/>
              <w:jc w:val="right"/>
              <w:rPr>
                <w:rFonts w:eastAsia="Times New Roman" w:cs="Times New Roman"/>
                <w:sz w:val="20"/>
                <w:szCs w:val="20"/>
              </w:rPr>
            </w:pPr>
            <w:r w:rsidRPr="00EF1DA3">
              <w:rPr>
                <w:rFonts w:eastAsia="Times New Roman" w:cs="Times New Roman"/>
                <w:sz w:val="20"/>
                <w:szCs w:val="20"/>
              </w:rPr>
              <w:t xml:space="preserve">1,000 </w:t>
            </w:r>
          </w:p>
        </w:tc>
      </w:tr>
      <w:tr w:rsidRPr="00EF1DA3" w:rsidR="00C62DF4" w:rsidTr="00C62DF4" w14:paraId="212FD79D"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1DA3" w:rsidR="0050708E" w:rsidP="00A812F9" w:rsidRDefault="0050708E" w14:paraId="4C92A76E" w14:textId="77777777">
            <w:pPr>
              <w:widowControl/>
              <w:autoSpaceDE/>
              <w:autoSpaceDN/>
              <w:rPr>
                <w:rFonts w:eastAsia="Times New Roman" w:cs="Times New Roman"/>
                <w:sz w:val="20"/>
                <w:szCs w:val="20"/>
              </w:rPr>
            </w:pPr>
            <w:r w:rsidRPr="00EF1DA3">
              <w:rPr>
                <w:rFonts w:eastAsia="Times New Roman" w:cs="Times New Roman"/>
                <w:sz w:val="20"/>
                <w:szCs w:val="20"/>
              </w:rPr>
              <w:t>Law Enforcement Joint Enforcement Agreement</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312DFCCB"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4C47C107"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77C4F5BE"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5A146FCF"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Pr="00EF1DA3" w:rsidR="0050708E" w:rsidP="00A812F9" w:rsidRDefault="0050708E" w14:paraId="5D1246B8" w14:textId="46183BD9">
            <w:pPr>
              <w:widowControl/>
              <w:autoSpaceDE/>
              <w:autoSpaceDN/>
              <w:jc w:val="right"/>
              <w:rPr>
                <w:rFonts w:eastAsia="Times New Roman" w:cs="Times New Roman"/>
                <w:sz w:val="20"/>
                <w:szCs w:val="20"/>
              </w:rPr>
            </w:pPr>
            <w:r w:rsidRPr="00EF1DA3">
              <w:rPr>
                <w:rFonts w:eastAsia="Times New Roman" w:cs="Times New Roman"/>
                <w:sz w:val="20"/>
                <w:szCs w:val="20"/>
              </w:rPr>
              <w:t xml:space="preserve">559,183 </w:t>
            </w:r>
          </w:p>
        </w:tc>
      </w:tr>
      <w:tr w:rsidRPr="00EF1DA3" w:rsidR="00C62DF4" w:rsidTr="00C62DF4" w14:paraId="30594CC9"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1DA3" w:rsidR="0050708E" w:rsidP="00A812F9" w:rsidRDefault="0050708E" w14:paraId="436F628C" w14:textId="77777777">
            <w:pPr>
              <w:widowControl/>
              <w:autoSpaceDE/>
              <w:autoSpaceDN/>
              <w:rPr>
                <w:rFonts w:eastAsia="Times New Roman" w:cs="Times New Roman"/>
                <w:sz w:val="20"/>
                <w:szCs w:val="20"/>
              </w:rPr>
            </w:pPr>
            <w:r w:rsidRPr="00EF1DA3">
              <w:rPr>
                <w:rFonts w:eastAsia="Times New Roman" w:cs="Times New Roman"/>
                <w:sz w:val="20"/>
                <w:szCs w:val="20"/>
              </w:rPr>
              <w:t>Research and Monitoring</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23247DC3"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49F960B4"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7EFFC270"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34D335DA"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Pr="00EF1DA3" w:rsidR="0050708E" w:rsidP="00A812F9" w:rsidRDefault="0050708E" w14:paraId="25C5CD14" w14:textId="1BC6AA94">
            <w:pPr>
              <w:widowControl/>
              <w:autoSpaceDE/>
              <w:autoSpaceDN/>
              <w:jc w:val="right"/>
              <w:rPr>
                <w:rFonts w:eastAsia="Times New Roman" w:cs="Times New Roman"/>
                <w:sz w:val="20"/>
                <w:szCs w:val="20"/>
              </w:rPr>
            </w:pPr>
            <w:r w:rsidRPr="00EF1DA3">
              <w:rPr>
                <w:rFonts w:eastAsia="Times New Roman" w:cs="Times New Roman"/>
                <w:sz w:val="20"/>
                <w:szCs w:val="20"/>
              </w:rPr>
              <w:t xml:space="preserve">361,667 </w:t>
            </w:r>
          </w:p>
        </w:tc>
      </w:tr>
      <w:tr w:rsidRPr="00EF1DA3" w:rsidR="00C62DF4" w:rsidTr="00C62DF4" w14:paraId="014F4806"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1DA3" w:rsidR="0050708E" w:rsidP="00A812F9" w:rsidRDefault="0050708E" w14:paraId="6CE390A9" w14:textId="77777777">
            <w:pPr>
              <w:widowControl/>
              <w:autoSpaceDE/>
              <w:autoSpaceDN/>
              <w:rPr>
                <w:rFonts w:eastAsia="Times New Roman" w:cs="Times New Roman"/>
                <w:sz w:val="20"/>
                <w:szCs w:val="20"/>
              </w:rPr>
            </w:pPr>
            <w:r w:rsidRPr="00EF1DA3">
              <w:rPr>
                <w:rFonts w:eastAsia="Times New Roman" w:cs="Times New Roman"/>
                <w:sz w:val="20"/>
                <w:szCs w:val="20"/>
              </w:rPr>
              <w:t>Printing</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713194D5"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1627AFE2"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154"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0B93385D"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nil"/>
              <w:bottom w:val="single" w:color="auto" w:sz="4" w:space="0"/>
              <w:right w:val="single" w:color="auto" w:sz="4" w:space="0"/>
            </w:tcBorders>
            <w:shd w:val="clear" w:color="000000" w:fill="808080"/>
            <w:noWrap/>
            <w:vAlign w:val="center"/>
            <w:hideMark/>
          </w:tcPr>
          <w:p w:rsidRPr="00EF1DA3" w:rsidR="0050708E" w:rsidP="00A812F9" w:rsidRDefault="0050708E" w14:paraId="29E5F14C"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Pr="00EF1DA3" w:rsidR="0050708E" w:rsidP="00A812F9" w:rsidRDefault="0050708E" w14:paraId="7566BC36" w14:textId="46F6DF97">
            <w:pPr>
              <w:widowControl/>
              <w:autoSpaceDE/>
              <w:autoSpaceDN/>
              <w:jc w:val="right"/>
              <w:rPr>
                <w:rFonts w:eastAsia="Times New Roman" w:cs="Times New Roman"/>
                <w:sz w:val="20"/>
                <w:szCs w:val="20"/>
              </w:rPr>
            </w:pPr>
            <w:r w:rsidRPr="00EF1DA3">
              <w:rPr>
                <w:rFonts w:eastAsia="Times New Roman" w:cs="Times New Roman"/>
                <w:sz w:val="20"/>
                <w:szCs w:val="20"/>
              </w:rPr>
              <w:t xml:space="preserve">931 </w:t>
            </w:r>
          </w:p>
        </w:tc>
      </w:tr>
      <w:tr w:rsidRPr="00EF1DA3" w:rsidR="00C62DF4" w:rsidTr="00C62DF4" w14:paraId="2EAA489E" w14:textId="77777777">
        <w:tc>
          <w:tcPr>
            <w:tcW w:w="0" w:type="auto"/>
            <w:tcBorders>
              <w:top w:val="single" w:color="auto" w:sz="4" w:space="0"/>
              <w:left w:val="single" w:color="auto" w:sz="4" w:space="0"/>
              <w:bottom w:val="single" w:color="auto" w:sz="4" w:space="0"/>
              <w:right w:val="single" w:color="auto" w:sz="4" w:space="0"/>
            </w:tcBorders>
            <w:shd w:val="clear" w:color="000000" w:fill="DDEBF7"/>
            <w:noWrap/>
            <w:vAlign w:val="center"/>
            <w:hideMark/>
          </w:tcPr>
          <w:p w:rsidRPr="00EF1DA3" w:rsidR="0050708E" w:rsidP="00A812F9" w:rsidRDefault="0050708E" w14:paraId="598AD0F1" w14:textId="77777777">
            <w:pPr>
              <w:widowControl/>
              <w:autoSpaceDE/>
              <w:autoSpaceDN/>
              <w:rPr>
                <w:rFonts w:eastAsia="Times New Roman" w:cs="Times New Roman"/>
                <w:b/>
                <w:bCs/>
                <w:sz w:val="20"/>
                <w:szCs w:val="20"/>
              </w:rPr>
            </w:pPr>
            <w:r w:rsidRPr="00EF1DA3">
              <w:rPr>
                <w:rFonts w:eastAsia="Times New Roman" w:cs="Times New Roman"/>
                <w:b/>
                <w:bCs/>
                <w:sz w:val="20"/>
                <w:szCs w:val="20"/>
              </w:rPr>
              <w:t>TOTAL</w:t>
            </w:r>
          </w:p>
        </w:tc>
        <w:tc>
          <w:tcPr>
            <w:tcW w:w="0" w:type="auto"/>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3D7E8152"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000000" w:fill="DDEBF7"/>
            <w:noWrap/>
            <w:vAlign w:val="center"/>
            <w:hideMark/>
          </w:tcPr>
          <w:p w:rsidRPr="00EF1DA3" w:rsidR="0050708E" w:rsidP="00A812F9" w:rsidRDefault="0050708E" w14:paraId="39340EF1" w14:textId="74671658">
            <w:pPr>
              <w:widowControl/>
              <w:autoSpaceDE/>
              <w:autoSpaceDN/>
              <w:jc w:val="right"/>
              <w:rPr>
                <w:rFonts w:eastAsia="Times New Roman" w:cs="Times New Roman"/>
                <w:sz w:val="20"/>
                <w:szCs w:val="20"/>
              </w:rPr>
            </w:pPr>
            <w:r w:rsidRPr="00EF1DA3">
              <w:rPr>
                <w:rFonts w:eastAsia="Times New Roman" w:cs="Times New Roman"/>
                <w:sz w:val="20"/>
                <w:szCs w:val="20"/>
              </w:rPr>
              <w:t xml:space="preserve"> </w:t>
            </w:r>
          </w:p>
        </w:tc>
        <w:tc>
          <w:tcPr>
            <w:tcW w:w="1154" w:type="dxa"/>
            <w:tcBorders>
              <w:top w:val="single" w:color="auto" w:sz="4" w:space="0"/>
              <w:left w:val="single" w:color="auto" w:sz="4" w:space="0"/>
              <w:bottom w:val="single" w:color="auto" w:sz="4" w:space="0"/>
              <w:right w:val="single" w:color="auto" w:sz="4" w:space="0"/>
            </w:tcBorders>
            <w:shd w:val="clear" w:color="000000" w:fill="757171"/>
            <w:noWrap/>
            <w:vAlign w:val="center"/>
            <w:hideMark/>
          </w:tcPr>
          <w:p w:rsidRPr="00EF1DA3" w:rsidR="0050708E" w:rsidP="00A812F9" w:rsidRDefault="0050708E" w14:paraId="1D2DF976"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1058"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EF1DA3" w:rsidR="0050708E" w:rsidP="00A812F9" w:rsidRDefault="0050708E" w14:paraId="07C7E968" w14:textId="77777777">
            <w:pPr>
              <w:widowControl/>
              <w:autoSpaceDE/>
              <w:autoSpaceDN/>
              <w:jc w:val="right"/>
              <w:rPr>
                <w:rFonts w:eastAsia="Times New Roman" w:cs="Times New Roman"/>
                <w:sz w:val="20"/>
                <w:szCs w:val="20"/>
              </w:rPr>
            </w:pPr>
            <w:r w:rsidRPr="00EF1DA3">
              <w:rPr>
                <w:rFonts w:eastAsia="Times New Roman" w:cs="Times New Roman"/>
                <w:sz w:val="20"/>
                <w:szCs w:val="20"/>
              </w:rPr>
              <w:t> </w:t>
            </w:r>
          </w:p>
        </w:tc>
        <w:tc>
          <w:tcPr>
            <w:tcW w:w="0" w:type="auto"/>
            <w:tcBorders>
              <w:top w:val="single" w:color="auto" w:sz="4" w:space="0"/>
              <w:left w:val="single" w:color="auto" w:sz="4" w:space="0"/>
              <w:bottom w:val="single" w:color="auto" w:sz="4" w:space="0"/>
              <w:right w:val="single" w:color="auto" w:sz="4" w:space="0"/>
            </w:tcBorders>
            <w:shd w:val="clear" w:color="000000" w:fill="DDEBF7"/>
            <w:noWrap/>
            <w:vAlign w:val="center"/>
            <w:hideMark/>
          </w:tcPr>
          <w:p w:rsidRPr="00EF1DA3" w:rsidR="0050708E" w:rsidP="00A812F9" w:rsidRDefault="0050708E" w14:paraId="1B51DD7A" w14:textId="6832BF4C">
            <w:pPr>
              <w:widowControl/>
              <w:autoSpaceDE/>
              <w:autoSpaceDN/>
              <w:jc w:val="right"/>
              <w:rPr>
                <w:rFonts w:eastAsia="Times New Roman" w:cs="Times New Roman"/>
                <w:sz w:val="20"/>
                <w:szCs w:val="20"/>
              </w:rPr>
            </w:pPr>
            <w:r w:rsidRPr="00EF1DA3">
              <w:rPr>
                <w:rFonts w:eastAsia="Times New Roman" w:cs="Times New Roman"/>
                <w:sz w:val="20"/>
                <w:szCs w:val="20"/>
              </w:rPr>
              <w:t xml:space="preserve">1,273,061 </w:t>
            </w:r>
          </w:p>
        </w:tc>
      </w:tr>
    </w:tbl>
    <w:p w:rsidRPr="00EF1DA3" w:rsidR="00007573" w:rsidP="00BD7237" w:rsidRDefault="00007573" w14:paraId="3A676A1D" w14:textId="77777777">
      <w:pPr>
        <w:pStyle w:val="BodyText"/>
        <w:spacing w:before="9" w:after="1"/>
        <w:ind w:left="0"/>
        <w:rPr>
          <w:rFonts w:cs="Times New Roman"/>
        </w:rPr>
      </w:pPr>
    </w:p>
    <w:p w:rsidRPr="00EF1DA3" w:rsidR="00C22103" w:rsidRDefault="00C22103" w14:paraId="7DC46159" w14:textId="54C70B4B">
      <w:pPr>
        <w:rPr>
          <w:rFonts w:cs="Times New Roman"/>
        </w:rPr>
      </w:pPr>
    </w:p>
    <w:p w:rsidRPr="00EF1DA3" w:rsidR="00D547CB" w:rsidP="00BD7237" w:rsidRDefault="00D547CB" w14:paraId="5E98D870" w14:textId="77777777">
      <w:pPr>
        <w:pStyle w:val="BodyText"/>
        <w:spacing w:before="9" w:after="1"/>
        <w:ind w:left="0"/>
        <w:rPr>
          <w:rFonts w:cs="Times New Roman"/>
        </w:rPr>
        <w:sectPr w:rsidRPr="00EF1DA3" w:rsidR="00D547CB" w:rsidSect="00BD7237">
          <w:pgSz w:w="12240" w:h="15840"/>
          <w:pgMar w:top="640" w:right="1080" w:bottom="1200" w:left="1080" w:header="0" w:footer="1014" w:gutter="0"/>
          <w:cols w:space="720"/>
        </w:sectPr>
      </w:pPr>
    </w:p>
    <w:p w:rsidRPr="00EF1DA3" w:rsidR="008E61C9" w:rsidP="00BD7237" w:rsidRDefault="001477A3" w14:paraId="6991E65F" w14:textId="77777777">
      <w:pPr>
        <w:pStyle w:val="ListParagraph"/>
        <w:numPr>
          <w:ilvl w:val="0"/>
          <w:numId w:val="7"/>
        </w:numPr>
        <w:tabs>
          <w:tab w:val="left" w:pos="360"/>
        </w:tabs>
        <w:spacing w:before="80"/>
        <w:ind w:left="0" w:firstLine="0"/>
        <w:rPr>
          <w:rFonts w:cs="Times New Roman"/>
          <w:b/>
        </w:rPr>
      </w:pPr>
      <w:r w:rsidRPr="00EF1DA3">
        <w:rPr>
          <w:rFonts w:cs="Times New Roman"/>
          <w:b/>
        </w:rPr>
        <w:lastRenderedPageBreak/>
        <w:t>Explain the reasons for any program changes or adjustments reported in ROCIS.</w:t>
      </w:r>
    </w:p>
    <w:p w:rsidRPr="00EF1DA3" w:rsidR="008F6457" w:rsidP="001F47AF" w:rsidRDefault="008F6457" w14:paraId="70C2FC67" w14:textId="77777777">
      <w:pPr>
        <w:pStyle w:val="BodyText"/>
        <w:spacing w:before="0"/>
        <w:ind w:left="0"/>
        <w:rPr>
          <w:rFonts w:cs="Times New Roman"/>
        </w:rPr>
      </w:pPr>
    </w:p>
    <w:p w:rsidRPr="00EF1DA3" w:rsidR="001F47AF" w:rsidP="001F47AF" w:rsidRDefault="001F47AF" w14:paraId="1B353C34" w14:textId="2165FF2F">
      <w:pPr>
        <w:pStyle w:val="BodyText"/>
        <w:spacing w:before="0"/>
        <w:ind w:left="0"/>
        <w:rPr>
          <w:rFonts w:cs="Times New Roman"/>
        </w:rPr>
      </w:pPr>
      <w:r w:rsidRPr="00EF1DA3">
        <w:rPr>
          <w:rFonts w:cs="Times New Roman"/>
        </w:rPr>
        <w:t xml:space="preserve">The only program change in </w:t>
      </w:r>
      <w:r w:rsidRPr="00EF1DA3" w:rsidR="00F606CF">
        <w:rPr>
          <w:rFonts w:cs="Times New Roman"/>
        </w:rPr>
        <w:t>0648-0551</w:t>
      </w:r>
      <w:r w:rsidRPr="00EF1DA3">
        <w:rPr>
          <w:rFonts w:cs="Times New Roman"/>
        </w:rPr>
        <w:t xml:space="preserve"> is to the IFQ Online Account Application. Th</w:t>
      </w:r>
      <w:r w:rsidRPr="00EF1DA3" w:rsidR="00BA1B54">
        <w:rPr>
          <w:rFonts w:cs="Times New Roman"/>
        </w:rPr>
        <w:t>is form was</w:t>
      </w:r>
      <w:r w:rsidRPr="00EF1DA3">
        <w:rPr>
          <w:rFonts w:cs="Times New Roman"/>
        </w:rPr>
        <w:t xml:space="preserve"> previous</w:t>
      </w:r>
      <w:r w:rsidRPr="00EF1DA3" w:rsidR="00BA1B54">
        <w:rPr>
          <w:rFonts w:cs="Times New Roman"/>
        </w:rPr>
        <w:t>ly</w:t>
      </w:r>
      <w:r w:rsidRPr="00EF1DA3">
        <w:rPr>
          <w:rFonts w:cs="Times New Roman"/>
        </w:rPr>
        <w:t xml:space="preserve"> referred to </w:t>
      </w:r>
      <w:r w:rsidRPr="00EF1DA3" w:rsidR="00BA1B54">
        <w:rPr>
          <w:rFonts w:cs="Times New Roman"/>
        </w:rPr>
        <w:t xml:space="preserve">as </w:t>
      </w:r>
      <w:r w:rsidRPr="00EF1DA3">
        <w:rPr>
          <w:rFonts w:cs="Times New Roman"/>
        </w:rPr>
        <w:t>the “IFQ Online Account Renewal Application</w:t>
      </w:r>
      <w:r w:rsidRPr="00EF1DA3" w:rsidR="00BA1B54">
        <w:rPr>
          <w:rFonts w:cs="Times New Roman"/>
        </w:rPr>
        <w:t>.</w:t>
      </w:r>
      <w:r w:rsidRPr="00EF1DA3">
        <w:rPr>
          <w:rFonts w:cs="Times New Roman"/>
        </w:rPr>
        <w:t xml:space="preserve">” </w:t>
      </w:r>
      <w:r w:rsidRPr="00EF1DA3" w:rsidR="00BA1B54">
        <w:rPr>
          <w:rFonts w:cs="Times New Roman"/>
        </w:rPr>
        <w:t>H</w:t>
      </w:r>
      <w:r w:rsidRPr="00EF1DA3">
        <w:rPr>
          <w:rFonts w:cs="Times New Roman"/>
        </w:rPr>
        <w:t>owever</w:t>
      </w:r>
      <w:r w:rsidRPr="00EF1DA3" w:rsidR="00BA1B54">
        <w:rPr>
          <w:rFonts w:cs="Times New Roman"/>
        </w:rPr>
        <w:t>,</w:t>
      </w:r>
      <w:r w:rsidRPr="00EF1DA3">
        <w:rPr>
          <w:rFonts w:cs="Times New Roman"/>
        </w:rPr>
        <w:t xml:space="preserve"> since this application is also used for new accounts for those who do not have a permit, the term “renewal” is not applicable. The </w:t>
      </w:r>
      <w:r w:rsidRPr="00EF1DA3" w:rsidR="000041C3">
        <w:rPr>
          <w:rFonts w:cs="Times New Roman"/>
        </w:rPr>
        <w:t xml:space="preserve">estimated </w:t>
      </w:r>
      <w:r w:rsidRPr="00EF1DA3">
        <w:rPr>
          <w:rFonts w:cs="Times New Roman"/>
        </w:rPr>
        <w:t>time burden of the IFQ Online Account Application also increased from 10 minutes to 13 minutes</w:t>
      </w:r>
      <w:r w:rsidRPr="00EF1DA3" w:rsidR="00BA1B54">
        <w:rPr>
          <w:rFonts w:cs="Times New Roman"/>
        </w:rPr>
        <w:t xml:space="preserve"> per response</w:t>
      </w:r>
      <w:r w:rsidRPr="00EF1DA3">
        <w:rPr>
          <w:rFonts w:cs="Times New Roman"/>
        </w:rPr>
        <w:t xml:space="preserve"> from the addition of the demographic and business questions previously described. </w:t>
      </w:r>
    </w:p>
    <w:p w:rsidRPr="00EF1DA3" w:rsidR="001F47AF" w:rsidP="001F47AF" w:rsidRDefault="001F47AF" w14:paraId="07801D71" w14:textId="4108EC34">
      <w:pPr>
        <w:pStyle w:val="BodyText"/>
        <w:spacing w:before="0"/>
        <w:ind w:left="0"/>
        <w:rPr>
          <w:rFonts w:cs="Times New Roman"/>
        </w:rPr>
      </w:pPr>
    </w:p>
    <w:p w:rsidRPr="00EF1DA3" w:rsidR="001F47AF" w:rsidP="001F47AF" w:rsidRDefault="001F47AF" w14:paraId="0E5A5D36" w14:textId="2B9CCB65">
      <w:pPr>
        <w:pStyle w:val="BodyText"/>
        <w:spacing w:before="0"/>
        <w:ind w:left="0"/>
        <w:rPr>
          <w:rFonts w:cs="Times New Roman"/>
        </w:rPr>
      </w:pPr>
      <w:r w:rsidRPr="00EF1DA3">
        <w:rPr>
          <w:rFonts w:cs="Times New Roman"/>
        </w:rPr>
        <w:t>There was also an adjustment to the number of</w:t>
      </w:r>
      <w:r w:rsidRPr="00EF1DA3" w:rsidR="000041C3">
        <w:rPr>
          <w:rFonts w:cs="Times New Roman"/>
        </w:rPr>
        <w:t xml:space="preserve"> estimated</w:t>
      </w:r>
      <w:r w:rsidRPr="00EF1DA3">
        <w:rPr>
          <w:rFonts w:cs="Times New Roman"/>
        </w:rPr>
        <w:t xml:space="preserve"> respondents</w:t>
      </w:r>
      <w:r w:rsidRPr="00EF1DA3" w:rsidR="000041C3">
        <w:rPr>
          <w:rFonts w:cs="Times New Roman"/>
        </w:rPr>
        <w:t xml:space="preserve"> for the IFQ Online Account Application since the</w:t>
      </w:r>
      <w:r w:rsidRPr="00EF1DA3">
        <w:rPr>
          <w:rFonts w:cs="Times New Roman"/>
        </w:rPr>
        <w:t xml:space="preserve"> last approval. The number of respondents can fluctuate on a daily basis with the addition of new accounts</w:t>
      </w:r>
      <w:r w:rsidRPr="00EF1DA3" w:rsidR="00367632">
        <w:rPr>
          <w:rFonts w:cs="Times New Roman"/>
        </w:rPr>
        <w:t xml:space="preserve"> or the closure of unused accounts</w:t>
      </w:r>
      <w:r w:rsidRPr="00EF1DA3">
        <w:rPr>
          <w:rFonts w:cs="Times New Roman"/>
        </w:rPr>
        <w:t xml:space="preserve">. IFQ shareholders and dealers can request new accounts or request to close their existing account at any time. Similarly, wreckfish shareholders can transfer their shares at any time and leave the fishery. </w:t>
      </w:r>
      <w:r w:rsidRPr="00EF1DA3" w:rsidR="00367632">
        <w:rPr>
          <w:rFonts w:cs="Times New Roman"/>
        </w:rPr>
        <w:t>Accounts can also fluctuate between statuses (e.g.</w:t>
      </w:r>
      <w:r w:rsidRPr="00EF1DA3" w:rsidR="00BA1B54">
        <w:rPr>
          <w:rFonts w:cs="Times New Roman"/>
        </w:rPr>
        <w:t>,</w:t>
      </w:r>
      <w:r w:rsidRPr="00EF1DA3" w:rsidR="00367632">
        <w:rPr>
          <w:rFonts w:cs="Times New Roman"/>
        </w:rPr>
        <w:t xml:space="preserve"> “ACTIVE” and “SUSPENDED”). Accounts in “SUSPENDED” status cannot perform any activities, thus are not considered active participants. </w:t>
      </w:r>
      <w:r w:rsidRPr="00EF1DA3">
        <w:rPr>
          <w:rFonts w:cs="Times New Roman"/>
        </w:rPr>
        <w:t>However, the fluctuations do not vary widely</w:t>
      </w:r>
      <w:r w:rsidRPr="00EF1DA3" w:rsidR="00832D33">
        <w:rPr>
          <w:rFonts w:cs="Times New Roman"/>
        </w:rPr>
        <w:t xml:space="preserve">. The </w:t>
      </w:r>
      <w:r w:rsidRPr="00EF1DA3" w:rsidR="00367632">
        <w:rPr>
          <w:rFonts w:cs="Times New Roman"/>
        </w:rPr>
        <w:t xml:space="preserve">number of </w:t>
      </w:r>
      <w:r w:rsidRPr="00EF1DA3" w:rsidR="00832D33">
        <w:rPr>
          <w:rFonts w:cs="Times New Roman"/>
        </w:rPr>
        <w:t xml:space="preserve">respondents </w:t>
      </w:r>
      <w:r w:rsidRPr="00EF1DA3" w:rsidR="000041C3">
        <w:rPr>
          <w:rFonts w:cs="Times New Roman"/>
        </w:rPr>
        <w:t xml:space="preserve">overall </w:t>
      </w:r>
      <w:r w:rsidRPr="00EF1DA3" w:rsidR="00832D33">
        <w:rPr>
          <w:rFonts w:cs="Times New Roman"/>
        </w:rPr>
        <w:t xml:space="preserve">can </w:t>
      </w:r>
      <w:r w:rsidRPr="00EF1DA3" w:rsidR="008F6B0B">
        <w:rPr>
          <w:rFonts w:cs="Times New Roman"/>
        </w:rPr>
        <w:t xml:space="preserve">vary </w:t>
      </w:r>
      <w:r w:rsidRPr="00EF1DA3" w:rsidR="000041C3">
        <w:rPr>
          <w:rFonts w:cs="Times New Roman"/>
        </w:rPr>
        <w:t>inter and intra-annually</w:t>
      </w:r>
      <w:r w:rsidRPr="00EF1DA3" w:rsidR="00367632">
        <w:rPr>
          <w:rFonts w:cs="Times New Roman"/>
        </w:rPr>
        <w:t>.</w:t>
      </w:r>
    </w:p>
    <w:p w:rsidRPr="00EF1DA3" w:rsidR="001F47AF" w:rsidP="001F47AF" w:rsidRDefault="001F47AF" w14:paraId="2E492AD1" w14:textId="77777777">
      <w:pPr>
        <w:pStyle w:val="BodyText"/>
        <w:spacing w:before="0"/>
        <w:ind w:left="0"/>
        <w:rPr>
          <w:rFonts w:cs="Times New Roman"/>
        </w:rPr>
      </w:pPr>
    </w:p>
    <w:p w:rsidRPr="00EF1DA3" w:rsidR="008E61C9" w:rsidP="00BD7237" w:rsidRDefault="008E61C9" w14:paraId="1A87CB98" w14:textId="77777777">
      <w:pPr>
        <w:pStyle w:val="BodyText"/>
        <w:spacing w:before="7"/>
        <w:ind w:left="0"/>
        <w:rPr>
          <w:rFonts w:cs="Times New Roman"/>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EF1DA3" w:rsidR="006D3755" w:rsidTr="006D3755" w14:paraId="4DDFBAF5" w14:textId="77777777">
        <w:tc>
          <w:tcPr>
            <w:tcW w:w="2478" w:type="dxa"/>
            <w:vMerge w:val="restart"/>
            <w:shd w:val="clear" w:color="auto" w:fill="5B9BD5"/>
            <w:vAlign w:val="center"/>
          </w:tcPr>
          <w:p w:rsidRPr="00EF1DA3" w:rsidR="006D3755" w:rsidP="006D3755" w:rsidRDefault="006D3755" w14:paraId="5E9EC335"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Information Collection</w:t>
            </w:r>
          </w:p>
        </w:tc>
        <w:tc>
          <w:tcPr>
            <w:tcW w:w="2133" w:type="dxa"/>
            <w:gridSpan w:val="2"/>
            <w:tcBorders>
              <w:bottom w:val="single" w:color="auto" w:sz="4" w:space="0"/>
            </w:tcBorders>
            <w:shd w:val="clear" w:color="auto" w:fill="5B9BD5"/>
            <w:vAlign w:val="center"/>
          </w:tcPr>
          <w:p w:rsidRPr="00EF1DA3" w:rsidR="006D3755" w:rsidP="006D3755" w:rsidRDefault="006D3755" w14:paraId="0BB3B44E"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Respondents</w:t>
            </w:r>
          </w:p>
        </w:tc>
        <w:tc>
          <w:tcPr>
            <w:tcW w:w="2132" w:type="dxa"/>
            <w:gridSpan w:val="2"/>
            <w:tcBorders>
              <w:bottom w:val="single" w:color="auto" w:sz="4" w:space="0"/>
            </w:tcBorders>
            <w:shd w:val="clear" w:color="auto" w:fill="5B9BD5"/>
            <w:vAlign w:val="center"/>
          </w:tcPr>
          <w:p w:rsidRPr="00EF1DA3" w:rsidR="006D3755" w:rsidP="006D3755" w:rsidRDefault="006D3755" w14:paraId="0818C4F8"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Responses</w:t>
            </w:r>
          </w:p>
        </w:tc>
        <w:tc>
          <w:tcPr>
            <w:tcW w:w="2259" w:type="dxa"/>
            <w:gridSpan w:val="2"/>
            <w:tcBorders>
              <w:bottom w:val="single" w:color="auto" w:sz="4" w:space="0"/>
            </w:tcBorders>
            <w:shd w:val="clear" w:color="auto" w:fill="5B9BD5"/>
            <w:vAlign w:val="center"/>
          </w:tcPr>
          <w:p w:rsidRPr="00EF1DA3" w:rsidR="006D3755" w:rsidP="006D3755" w:rsidRDefault="006D3755" w14:paraId="39490D26"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Burden Hours</w:t>
            </w:r>
          </w:p>
        </w:tc>
        <w:tc>
          <w:tcPr>
            <w:tcW w:w="4390" w:type="dxa"/>
            <w:vMerge w:val="restart"/>
            <w:shd w:val="clear" w:color="auto" w:fill="5B9BD5"/>
            <w:vAlign w:val="center"/>
          </w:tcPr>
          <w:p w:rsidRPr="00EF1DA3" w:rsidR="006D3755" w:rsidP="006D3755" w:rsidRDefault="006D3755" w14:paraId="428A4757"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Reason for change or adjustment</w:t>
            </w:r>
          </w:p>
        </w:tc>
      </w:tr>
      <w:tr w:rsidRPr="00EF1DA3" w:rsidR="006D3755" w:rsidTr="006D3755" w14:paraId="555F4288" w14:textId="77777777">
        <w:tc>
          <w:tcPr>
            <w:tcW w:w="2478" w:type="dxa"/>
            <w:vMerge/>
            <w:shd w:val="clear" w:color="auto" w:fill="5B9BD5"/>
            <w:vAlign w:val="center"/>
          </w:tcPr>
          <w:p w:rsidRPr="00EF1DA3" w:rsidR="006D3755" w:rsidP="006D3755" w:rsidRDefault="006D3755" w14:paraId="1B14277E" w14:textId="77777777">
            <w:pPr>
              <w:keepNext/>
              <w:adjustRightInd w:val="0"/>
              <w:rPr>
                <w:rFonts w:ascii="Calibri" w:hAnsi="Calibri" w:eastAsia="Calibri" w:cs="Times New Roman"/>
                <w:sz w:val="16"/>
                <w:szCs w:val="16"/>
              </w:rPr>
            </w:pPr>
          </w:p>
        </w:tc>
        <w:tc>
          <w:tcPr>
            <w:tcW w:w="1071" w:type="dxa"/>
            <w:tcBorders>
              <w:bottom w:val="single" w:color="auto" w:sz="4" w:space="0"/>
              <w:right w:val="dashed" w:color="auto" w:sz="4" w:space="0"/>
            </w:tcBorders>
            <w:shd w:val="clear" w:color="auto" w:fill="FBE4D5"/>
            <w:vAlign w:val="center"/>
          </w:tcPr>
          <w:p w:rsidRPr="00EF1DA3" w:rsidR="006D3755" w:rsidP="006D3755" w:rsidRDefault="006D3755" w14:paraId="6F3BC21F"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Current Renewal / Revision</w:t>
            </w:r>
          </w:p>
        </w:tc>
        <w:tc>
          <w:tcPr>
            <w:tcW w:w="1062" w:type="dxa"/>
            <w:tcBorders>
              <w:left w:val="dashed" w:color="auto" w:sz="4" w:space="0"/>
              <w:bottom w:val="single" w:color="auto" w:sz="4" w:space="0"/>
            </w:tcBorders>
            <w:shd w:val="clear" w:color="auto" w:fill="FBE4D5"/>
            <w:vAlign w:val="center"/>
          </w:tcPr>
          <w:p w:rsidRPr="00EF1DA3" w:rsidR="006D3755" w:rsidP="006D3755" w:rsidRDefault="006D3755" w14:paraId="629305B0"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Previous Renewal / Revision</w:t>
            </w:r>
          </w:p>
        </w:tc>
        <w:tc>
          <w:tcPr>
            <w:tcW w:w="1003" w:type="dxa"/>
            <w:tcBorders>
              <w:right w:val="dashed" w:color="auto" w:sz="4" w:space="0"/>
            </w:tcBorders>
            <w:shd w:val="clear" w:color="auto" w:fill="FBE4D5"/>
            <w:vAlign w:val="center"/>
          </w:tcPr>
          <w:p w:rsidRPr="00EF1DA3" w:rsidR="006D3755" w:rsidP="006D3755" w:rsidRDefault="006D3755" w14:paraId="3D4E1677"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Current Renewal / Revision</w:t>
            </w:r>
          </w:p>
        </w:tc>
        <w:tc>
          <w:tcPr>
            <w:tcW w:w="1129" w:type="dxa"/>
            <w:tcBorders>
              <w:left w:val="dashed" w:color="auto" w:sz="4" w:space="0"/>
            </w:tcBorders>
            <w:shd w:val="clear" w:color="auto" w:fill="FBE4D5"/>
            <w:vAlign w:val="center"/>
          </w:tcPr>
          <w:p w:rsidRPr="00EF1DA3" w:rsidR="006D3755" w:rsidP="006D3755" w:rsidRDefault="006D3755" w14:paraId="77C0B1C9"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Previous Renewal / Revision</w:t>
            </w:r>
          </w:p>
        </w:tc>
        <w:tc>
          <w:tcPr>
            <w:tcW w:w="1129" w:type="dxa"/>
            <w:tcBorders>
              <w:bottom w:val="single" w:color="auto" w:sz="4" w:space="0"/>
              <w:right w:val="dashed" w:color="auto" w:sz="4" w:space="0"/>
            </w:tcBorders>
            <w:shd w:val="clear" w:color="auto" w:fill="FBE4D5"/>
            <w:vAlign w:val="center"/>
          </w:tcPr>
          <w:p w:rsidRPr="00EF1DA3" w:rsidR="006D3755" w:rsidP="006D3755" w:rsidRDefault="006D3755" w14:paraId="36717510"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Current Renewal / Revision</w:t>
            </w:r>
          </w:p>
        </w:tc>
        <w:tc>
          <w:tcPr>
            <w:tcW w:w="1130" w:type="dxa"/>
            <w:tcBorders>
              <w:left w:val="dashed" w:color="auto" w:sz="4" w:space="0"/>
            </w:tcBorders>
            <w:shd w:val="clear" w:color="auto" w:fill="FBE4D5"/>
            <w:vAlign w:val="center"/>
          </w:tcPr>
          <w:p w:rsidRPr="00EF1DA3" w:rsidR="006D3755" w:rsidP="006D3755" w:rsidRDefault="006D3755" w14:paraId="39A4C932"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Previous Renewal / Revision</w:t>
            </w:r>
          </w:p>
        </w:tc>
        <w:tc>
          <w:tcPr>
            <w:tcW w:w="4390" w:type="dxa"/>
            <w:vMerge/>
            <w:shd w:val="clear" w:color="auto" w:fill="FBE4D5"/>
            <w:vAlign w:val="center"/>
          </w:tcPr>
          <w:p w:rsidRPr="00EF1DA3" w:rsidR="006D3755" w:rsidP="006D3755" w:rsidRDefault="006D3755" w14:paraId="01C7499A" w14:textId="77777777">
            <w:pPr>
              <w:keepNext/>
              <w:adjustRightInd w:val="0"/>
              <w:rPr>
                <w:rFonts w:ascii="Calibri" w:hAnsi="Calibri" w:eastAsia="Calibri" w:cs="Times New Roman"/>
                <w:sz w:val="16"/>
                <w:szCs w:val="16"/>
              </w:rPr>
            </w:pPr>
          </w:p>
        </w:tc>
      </w:tr>
      <w:tr w:rsidRPr="00EF1DA3" w:rsidR="006D3755" w:rsidTr="006F28AA" w14:paraId="6787F8F4" w14:textId="77777777">
        <w:tc>
          <w:tcPr>
            <w:tcW w:w="2478" w:type="dxa"/>
            <w:shd w:val="clear" w:color="auto" w:fill="auto"/>
            <w:vAlign w:val="center"/>
          </w:tcPr>
          <w:p w:rsidRPr="00EF1DA3" w:rsidR="006D3755" w:rsidP="006D3755" w:rsidRDefault="006D3755" w14:paraId="42882DFB" w14:textId="77777777">
            <w:pPr>
              <w:adjustRightInd w:val="0"/>
              <w:rPr>
                <w:rFonts w:ascii="Calibri" w:hAnsi="Calibri" w:eastAsia="Times New Roman" w:cs="Times New Roman"/>
                <w:sz w:val="16"/>
                <w:szCs w:val="16"/>
              </w:rPr>
            </w:pPr>
            <w:r w:rsidRPr="00EF1DA3">
              <w:rPr>
                <w:rFonts w:ascii="Calibri" w:hAnsi="Calibri" w:eastAsia="Times New Roman" w:cs="Times New Roman"/>
                <w:sz w:val="16"/>
                <w:szCs w:val="16"/>
              </w:rPr>
              <w:t>Dealer Landing Transaction Report</w:t>
            </w:r>
          </w:p>
        </w:tc>
        <w:tc>
          <w:tcPr>
            <w:tcW w:w="1071" w:type="dxa"/>
            <w:tcBorders>
              <w:bottom w:val="dotted" w:color="auto" w:sz="4" w:space="0"/>
              <w:right w:val="dashed" w:color="auto" w:sz="4" w:space="0"/>
            </w:tcBorders>
            <w:shd w:val="clear" w:color="auto" w:fill="auto"/>
            <w:vAlign w:val="center"/>
          </w:tcPr>
          <w:p w:rsidRPr="00EF1DA3" w:rsidR="006D3755" w:rsidP="006D3755" w:rsidRDefault="00AD2BFF" w14:paraId="7D58C71A" w14:textId="15981A06">
            <w:pPr>
              <w:adjustRightInd w:val="0"/>
              <w:jc w:val="center"/>
              <w:rPr>
                <w:rFonts w:ascii="Calibri" w:hAnsi="Calibri" w:eastAsia="Calibri" w:cs="Times New Roman"/>
                <w:sz w:val="16"/>
                <w:szCs w:val="16"/>
              </w:rPr>
            </w:pPr>
            <w:r w:rsidRPr="00EF1DA3">
              <w:rPr>
                <w:rFonts w:ascii="Calibri" w:hAnsi="Calibri" w:eastAsia="Calibri" w:cs="Times New Roman"/>
                <w:sz w:val="16"/>
                <w:szCs w:val="16"/>
              </w:rPr>
              <w:t>125</w:t>
            </w:r>
          </w:p>
        </w:tc>
        <w:tc>
          <w:tcPr>
            <w:tcW w:w="1062" w:type="dxa"/>
            <w:tcBorders>
              <w:left w:val="dashed" w:color="auto" w:sz="4" w:space="0"/>
              <w:bottom w:val="dotted" w:color="auto" w:sz="4" w:space="0"/>
            </w:tcBorders>
            <w:shd w:val="clear" w:color="auto" w:fill="auto"/>
            <w:vAlign w:val="center"/>
          </w:tcPr>
          <w:p w:rsidRPr="00EF1DA3" w:rsidR="006D3755" w:rsidP="006D3755" w:rsidRDefault="00AD2BFF" w14:paraId="51DB373E" w14:textId="327D5A9F">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119</w:t>
            </w:r>
          </w:p>
        </w:tc>
        <w:tc>
          <w:tcPr>
            <w:tcW w:w="1003" w:type="dxa"/>
            <w:tcBorders>
              <w:bottom w:val="dotted" w:color="auto" w:sz="4" w:space="0"/>
              <w:right w:val="dashed" w:color="auto" w:sz="4" w:space="0"/>
            </w:tcBorders>
            <w:shd w:val="clear" w:color="auto" w:fill="auto"/>
            <w:vAlign w:val="center"/>
          </w:tcPr>
          <w:p w:rsidRPr="00EF1DA3" w:rsidR="006D3755" w:rsidP="006D3755" w:rsidRDefault="00AD2BFF" w14:paraId="61E316AB" w14:textId="224FC81D">
            <w:pPr>
              <w:adjustRightInd w:val="0"/>
              <w:jc w:val="center"/>
              <w:rPr>
                <w:rFonts w:ascii="Calibri" w:hAnsi="Calibri" w:eastAsia="Calibri" w:cs="Times New Roman"/>
                <w:sz w:val="16"/>
                <w:szCs w:val="16"/>
              </w:rPr>
            </w:pPr>
            <w:r w:rsidRPr="00EF1DA3">
              <w:rPr>
                <w:rFonts w:ascii="Calibri" w:hAnsi="Calibri" w:eastAsia="Calibri" w:cs="Times New Roman"/>
                <w:sz w:val="16"/>
                <w:szCs w:val="16"/>
              </w:rPr>
              <w:t>7,151</w:t>
            </w:r>
          </w:p>
        </w:tc>
        <w:tc>
          <w:tcPr>
            <w:tcW w:w="1129" w:type="dxa"/>
            <w:tcBorders>
              <w:left w:val="dashed" w:color="auto" w:sz="4" w:space="0"/>
              <w:bottom w:val="dotted" w:color="auto" w:sz="4" w:space="0"/>
            </w:tcBorders>
            <w:shd w:val="clear" w:color="auto" w:fill="auto"/>
            <w:vAlign w:val="center"/>
          </w:tcPr>
          <w:p w:rsidRPr="00EF1DA3" w:rsidR="006D3755" w:rsidP="006D3755" w:rsidRDefault="00AD2BFF" w14:paraId="5FE99375" w14:textId="0DB1490B">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10,034</w:t>
            </w:r>
          </w:p>
        </w:tc>
        <w:tc>
          <w:tcPr>
            <w:tcW w:w="1129" w:type="dxa"/>
            <w:tcBorders>
              <w:bottom w:val="dotted" w:color="auto" w:sz="4" w:space="0"/>
              <w:right w:val="dashed" w:color="auto" w:sz="4" w:space="0"/>
            </w:tcBorders>
            <w:shd w:val="clear" w:color="auto" w:fill="auto"/>
            <w:vAlign w:val="center"/>
          </w:tcPr>
          <w:p w:rsidRPr="00EF1DA3" w:rsidR="006D3755" w:rsidP="006D3755" w:rsidRDefault="00AD2BFF" w14:paraId="1ECADA94" w14:textId="5AD44DB8">
            <w:pPr>
              <w:adjustRightInd w:val="0"/>
              <w:jc w:val="center"/>
              <w:rPr>
                <w:rFonts w:ascii="Calibri" w:hAnsi="Calibri" w:eastAsia="Calibri" w:cs="Times New Roman"/>
                <w:sz w:val="16"/>
                <w:szCs w:val="16"/>
              </w:rPr>
            </w:pPr>
            <w:r w:rsidRPr="00EF1DA3">
              <w:rPr>
                <w:rFonts w:ascii="Calibri" w:hAnsi="Calibri" w:eastAsia="Calibri" w:cs="Times New Roman"/>
                <w:sz w:val="16"/>
                <w:szCs w:val="16"/>
              </w:rPr>
              <w:t>715</w:t>
            </w:r>
          </w:p>
        </w:tc>
        <w:tc>
          <w:tcPr>
            <w:tcW w:w="1130" w:type="dxa"/>
            <w:tcBorders>
              <w:left w:val="dashed" w:color="auto" w:sz="4" w:space="0"/>
              <w:bottom w:val="dotted" w:color="auto" w:sz="4" w:space="0"/>
            </w:tcBorders>
            <w:shd w:val="clear" w:color="auto" w:fill="auto"/>
            <w:vAlign w:val="center"/>
          </w:tcPr>
          <w:p w:rsidRPr="00EF1DA3" w:rsidR="006D3755" w:rsidP="006D3755" w:rsidRDefault="00AD2BFF" w14:paraId="673028E5" w14:textId="639AC019">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1,003</w:t>
            </w:r>
          </w:p>
        </w:tc>
        <w:tc>
          <w:tcPr>
            <w:tcW w:w="4390" w:type="dxa"/>
            <w:tcBorders>
              <w:left w:val="dotted" w:color="auto" w:sz="4" w:space="0"/>
              <w:bottom w:val="dotted" w:color="auto" w:sz="4" w:space="0"/>
            </w:tcBorders>
            <w:shd w:val="clear" w:color="auto" w:fill="auto"/>
            <w:vAlign w:val="center"/>
          </w:tcPr>
          <w:p w:rsidRPr="00EF1DA3" w:rsidR="006D3755" w:rsidP="009B4254" w:rsidRDefault="00362B45" w14:paraId="3D9DBDD2" w14:textId="1810ABF6">
            <w:pPr>
              <w:adjustRightInd w:val="0"/>
              <w:rPr>
                <w:rFonts w:ascii="Calibri" w:hAnsi="Calibri" w:eastAsia="Calibri" w:cs="Times New Roman"/>
                <w:sz w:val="16"/>
                <w:szCs w:val="16"/>
              </w:rPr>
            </w:pPr>
            <w:r w:rsidRPr="00EF1DA3">
              <w:rPr>
                <w:rFonts w:ascii="Calibri" w:hAnsi="Calibri" w:eastAsia="Calibri" w:cs="Times New Roman"/>
                <w:sz w:val="16"/>
                <w:szCs w:val="16"/>
              </w:rPr>
              <w:t>Routine variation caused r</w:t>
            </w:r>
            <w:r w:rsidRPr="00EF1DA3" w:rsidR="00AD2BFF">
              <w:rPr>
                <w:rFonts w:ascii="Calibri" w:hAnsi="Calibri" w:eastAsia="Calibri" w:cs="Times New Roman"/>
                <w:sz w:val="16"/>
                <w:szCs w:val="16"/>
              </w:rPr>
              <w:t xml:space="preserve">espondents </w:t>
            </w:r>
            <w:r w:rsidRPr="00EF1DA3">
              <w:rPr>
                <w:rFonts w:ascii="Calibri" w:hAnsi="Calibri" w:eastAsia="Calibri" w:cs="Times New Roman"/>
                <w:sz w:val="16"/>
                <w:szCs w:val="16"/>
              </w:rPr>
              <w:t>to increase</w:t>
            </w:r>
            <w:r w:rsidRPr="00EF1DA3" w:rsidR="00AD2BFF">
              <w:rPr>
                <w:rFonts w:ascii="Calibri" w:hAnsi="Calibri" w:eastAsia="Calibri" w:cs="Times New Roman"/>
                <w:sz w:val="16"/>
                <w:szCs w:val="16"/>
              </w:rPr>
              <w:t xml:space="preserve"> slightly, responses </w:t>
            </w:r>
            <w:r w:rsidRPr="00EF1DA3">
              <w:rPr>
                <w:rFonts w:ascii="Calibri" w:hAnsi="Calibri" w:eastAsia="Calibri" w:cs="Times New Roman"/>
                <w:sz w:val="16"/>
                <w:szCs w:val="16"/>
              </w:rPr>
              <w:t xml:space="preserve">to </w:t>
            </w:r>
            <w:r w:rsidRPr="00EF1DA3" w:rsidR="00AD2BFF">
              <w:rPr>
                <w:rFonts w:ascii="Calibri" w:hAnsi="Calibri" w:eastAsia="Calibri" w:cs="Times New Roman"/>
                <w:sz w:val="16"/>
                <w:szCs w:val="16"/>
              </w:rPr>
              <w:t xml:space="preserve">decrease, and </w:t>
            </w:r>
            <w:r w:rsidRPr="00EF1DA3" w:rsidR="009B4254">
              <w:rPr>
                <w:rFonts w:ascii="Calibri" w:hAnsi="Calibri" w:eastAsia="Calibri" w:cs="Times New Roman"/>
                <w:sz w:val="16"/>
                <w:szCs w:val="16"/>
              </w:rPr>
              <w:t xml:space="preserve">a decrease to </w:t>
            </w:r>
            <w:r w:rsidRPr="00EF1DA3" w:rsidR="00AD2BFF">
              <w:rPr>
                <w:rFonts w:ascii="Calibri" w:hAnsi="Calibri" w:eastAsia="Calibri" w:cs="Times New Roman"/>
                <w:sz w:val="16"/>
                <w:szCs w:val="16"/>
              </w:rPr>
              <w:t>b</w:t>
            </w:r>
            <w:r w:rsidRPr="00EF1DA3" w:rsidR="006D3755">
              <w:rPr>
                <w:rFonts w:ascii="Calibri" w:hAnsi="Calibri" w:eastAsia="Calibri" w:cs="Times New Roman"/>
                <w:sz w:val="16"/>
                <w:szCs w:val="16"/>
              </w:rPr>
              <w:t>urden hours</w:t>
            </w:r>
            <w:r w:rsidRPr="00EF1DA3" w:rsidR="009B4254">
              <w:rPr>
                <w:rFonts w:ascii="Calibri" w:hAnsi="Calibri" w:eastAsia="Calibri" w:cs="Times New Roman"/>
                <w:sz w:val="16"/>
                <w:szCs w:val="16"/>
              </w:rPr>
              <w:t>,</w:t>
            </w:r>
            <w:r w:rsidRPr="00EF1DA3" w:rsidR="006D3755">
              <w:rPr>
                <w:rFonts w:ascii="Calibri" w:hAnsi="Calibri" w:eastAsia="Calibri" w:cs="Times New Roman"/>
                <w:sz w:val="16"/>
                <w:szCs w:val="16"/>
              </w:rPr>
              <w:t xml:space="preserve"> </w:t>
            </w:r>
            <w:r w:rsidRPr="00EF1DA3" w:rsidR="00AD2BFF">
              <w:rPr>
                <w:rFonts w:ascii="Calibri" w:hAnsi="Calibri" w:eastAsia="Calibri" w:cs="Times New Roman"/>
                <w:sz w:val="16"/>
                <w:szCs w:val="16"/>
              </w:rPr>
              <w:t>accordingly</w:t>
            </w:r>
            <w:r w:rsidRPr="00EF1DA3" w:rsidR="006D3755">
              <w:rPr>
                <w:rFonts w:ascii="Calibri" w:hAnsi="Calibri" w:eastAsia="Calibri" w:cs="Times New Roman"/>
                <w:sz w:val="16"/>
                <w:szCs w:val="16"/>
              </w:rPr>
              <w:t xml:space="preserve">. </w:t>
            </w:r>
          </w:p>
        </w:tc>
      </w:tr>
      <w:tr w:rsidRPr="00EF1DA3" w:rsidR="006D3755" w:rsidTr="006F28AA" w14:paraId="6BDA9305" w14:textId="77777777">
        <w:tc>
          <w:tcPr>
            <w:tcW w:w="2478" w:type="dxa"/>
            <w:shd w:val="clear" w:color="auto" w:fill="auto"/>
            <w:vAlign w:val="center"/>
          </w:tcPr>
          <w:p w:rsidRPr="00EF1DA3" w:rsidR="006D3755" w:rsidP="00AD2BFF" w:rsidRDefault="006D3755" w14:paraId="0F4AF0F6" w14:textId="20DE1DA7">
            <w:pPr>
              <w:adjustRightInd w:val="0"/>
              <w:rPr>
                <w:rFonts w:ascii="Calibri" w:hAnsi="Calibri" w:eastAsia="Times New Roman" w:cs="Times New Roman"/>
                <w:sz w:val="16"/>
                <w:szCs w:val="16"/>
              </w:rPr>
            </w:pPr>
            <w:r w:rsidRPr="00EF1DA3">
              <w:rPr>
                <w:rFonts w:ascii="Calibri" w:hAnsi="Calibri" w:eastAsia="Times New Roman" w:cs="Times New Roman"/>
                <w:sz w:val="16"/>
                <w:szCs w:val="16"/>
              </w:rPr>
              <w:t>IFQ Online Account Application</w:t>
            </w:r>
          </w:p>
        </w:tc>
        <w:tc>
          <w:tcPr>
            <w:tcW w:w="1071" w:type="dxa"/>
            <w:tcBorders>
              <w:bottom w:val="dotted" w:color="auto" w:sz="4" w:space="0"/>
              <w:right w:val="dashed" w:color="auto" w:sz="4" w:space="0"/>
            </w:tcBorders>
            <w:shd w:val="clear" w:color="auto" w:fill="auto"/>
            <w:vAlign w:val="center"/>
          </w:tcPr>
          <w:p w:rsidRPr="00EF1DA3" w:rsidR="006D3755" w:rsidP="006D3755" w:rsidRDefault="00AD2BFF" w14:paraId="490AC603" w14:textId="43FBF26C">
            <w:pPr>
              <w:adjustRightInd w:val="0"/>
              <w:jc w:val="center"/>
              <w:rPr>
                <w:rFonts w:ascii="Calibri" w:hAnsi="Calibri" w:eastAsia="Calibri" w:cs="Times New Roman"/>
                <w:sz w:val="16"/>
                <w:szCs w:val="16"/>
              </w:rPr>
            </w:pPr>
            <w:r w:rsidRPr="00EF1DA3">
              <w:rPr>
                <w:rFonts w:ascii="Calibri" w:hAnsi="Calibri" w:eastAsia="Calibri" w:cs="Times New Roman"/>
                <w:sz w:val="16"/>
                <w:szCs w:val="16"/>
              </w:rPr>
              <w:t>107</w:t>
            </w:r>
          </w:p>
        </w:tc>
        <w:tc>
          <w:tcPr>
            <w:tcW w:w="1062" w:type="dxa"/>
            <w:tcBorders>
              <w:left w:val="dashed" w:color="auto" w:sz="4" w:space="0"/>
              <w:bottom w:val="dotted" w:color="auto" w:sz="4" w:space="0"/>
            </w:tcBorders>
            <w:shd w:val="clear" w:color="auto" w:fill="auto"/>
            <w:vAlign w:val="center"/>
          </w:tcPr>
          <w:p w:rsidRPr="00EF1DA3" w:rsidR="006D3755" w:rsidP="006D3755" w:rsidRDefault="00AD2BFF" w14:paraId="3D5B4738" w14:textId="14FDDDA6">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133</w:t>
            </w:r>
          </w:p>
        </w:tc>
        <w:tc>
          <w:tcPr>
            <w:tcW w:w="1003" w:type="dxa"/>
            <w:tcBorders>
              <w:bottom w:val="dotted" w:color="auto" w:sz="4" w:space="0"/>
              <w:right w:val="dashed" w:color="auto" w:sz="4" w:space="0"/>
            </w:tcBorders>
            <w:shd w:val="clear" w:color="auto" w:fill="auto"/>
            <w:vAlign w:val="center"/>
          </w:tcPr>
          <w:p w:rsidRPr="00EF1DA3" w:rsidR="006D3755" w:rsidP="006D3755" w:rsidRDefault="00AD2BFF" w14:paraId="71C7F8EC" w14:textId="2D84C5F0">
            <w:pPr>
              <w:adjustRightInd w:val="0"/>
              <w:jc w:val="center"/>
              <w:rPr>
                <w:rFonts w:ascii="Calibri" w:hAnsi="Calibri" w:eastAsia="Times New Roman" w:cs="Times New Roman"/>
                <w:sz w:val="16"/>
                <w:szCs w:val="16"/>
              </w:rPr>
            </w:pPr>
            <w:r w:rsidRPr="00EF1DA3">
              <w:rPr>
                <w:rFonts w:ascii="Calibri" w:hAnsi="Calibri" w:eastAsia="Times New Roman" w:cs="Times New Roman"/>
                <w:sz w:val="16"/>
                <w:szCs w:val="16"/>
              </w:rPr>
              <w:t>107</w:t>
            </w:r>
          </w:p>
        </w:tc>
        <w:tc>
          <w:tcPr>
            <w:tcW w:w="1129" w:type="dxa"/>
            <w:tcBorders>
              <w:left w:val="dashed" w:color="auto" w:sz="4" w:space="0"/>
              <w:bottom w:val="dotted" w:color="auto" w:sz="4" w:space="0"/>
            </w:tcBorders>
            <w:shd w:val="clear" w:color="auto" w:fill="auto"/>
            <w:vAlign w:val="center"/>
          </w:tcPr>
          <w:p w:rsidRPr="00EF1DA3" w:rsidR="006D3755" w:rsidP="006D3755" w:rsidRDefault="00AD2BFF" w14:paraId="1FA55DD0" w14:textId="327467C1">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133</w:t>
            </w:r>
          </w:p>
        </w:tc>
        <w:tc>
          <w:tcPr>
            <w:tcW w:w="1129" w:type="dxa"/>
            <w:tcBorders>
              <w:bottom w:val="dotted" w:color="auto" w:sz="4" w:space="0"/>
              <w:right w:val="dashed" w:color="auto" w:sz="4" w:space="0"/>
            </w:tcBorders>
            <w:shd w:val="clear" w:color="auto" w:fill="auto"/>
            <w:vAlign w:val="center"/>
          </w:tcPr>
          <w:p w:rsidRPr="00EF1DA3" w:rsidR="006D3755" w:rsidP="006D3755" w:rsidRDefault="00AD2BFF" w14:paraId="260CB394" w14:textId="12C4965A">
            <w:pPr>
              <w:adjustRightInd w:val="0"/>
              <w:jc w:val="center"/>
              <w:rPr>
                <w:rFonts w:ascii="Calibri" w:hAnsi="Calibri" w:eastAsia="Calibri" w:cs="Times New Roman"/>
                <w:sz w:val="16"/>
                <w:szCs w:val="16"/>
              </w:rPr>
            </w:pPr>
            <w:r w:rsidRPr="00EF1DA3">
              <w:rPr>
                <w:rFonts w:ascii="Calibri" w:hAnsi="Calibri" w:eastAsia="Calibri" w:cs="Times New Roman"/>
                <w:sz w:val="16"/>
                <w:szCs w:val="16"/>
              </w:rPr>
              <w:t>23</w:t>
            </w:r>
          </w:p>
        </w:tc>
        <w:tc>
          <w:tcPr>
            <w:tcW w:w="1130" w:type="dxa"/>
            <w:tcBorders>
              <w:left w:val="dashed" w:color="auto" w:sz="4" w:space="0"/>
              <w:bottom w:val="dotted" w:color="auto" w:sz="4" w:space="0"/>
            </w:tcBorders>
            <w:shd w:val="clear" w:color="auto" w:fill="auto"/>
            <w:vAlign w:val="center"/>
          </w:tcPr>
          <w:p w:rsidRPr="00EF1DA3" w:rsidR="006D3755" w:rsidP="006D3755" w:rsidRDefault="00AD2BFF" w14:paraId="50520563" w14:textId="3F6460AE">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22</w:t>
            </w:r>
          </w:p>
        </w:tc>
        <w:tc>
          <w:tcPr>
            <w:tcW w:w="4390" w:type="dxa"/>
            <w:tcBorders>
              <w:left w:val="dotted" w:color="auto" w:sz="4" w:space="0"/>
              <w:bottom w:val="dotted" w:color="auto" w:sz="4" w:space="0"/>
            </w:tcBorders>
            <w:shd w:val="clear" w:color="auto" w:fill="auto"/>
            <w:vAlign w:val="center"/>
          </w:tcPr>
          <w:p w:rsidRPr="00EF1DA3" w:rsidR="006D3755" w:rsidP="009B4254" w:rsidRDefault="009B4254" w14:paraId="75A591E2" w14:textId="5AD465CC">
            <w:pPr>
              <w:keepNext/>
              <w:adjustRightInd w:val="0"/>
              <w:rPr>
                <w:rFonts w:ascii="Calibri" w:hAnsi="Calibri" w:eastAsia="Calibri" w:cs="Times New Roman"/>
                <w:sz w:val="16"/>
                <w:szCs w:val="16"/>
              </w:rPr>
            </w:pPr>
            <w:r w:rsidRPr="00EF1DA3">
              <w:rPr>
                <w:rFonts w:ascii="Calibri" w:hAnsi="Calibri" w:eastAsia="Calibri" w:cs="Times New Roman"/>
                <w:sz w:val="16"/>
                <w:szCs w:val="16"/>
              </w:rPr>
              <w:t>Routine variation caused r</w:t>
            </w:r>
            <w:r w:rsidRPr="00EF1DA3" w:rsidR="00AD2BFF">
              <w:rPr>
                <w:rFonts w:ascii="Calibri" w:hAnsi="Calibri" w:eastAsia="Calibri" w:cs="Times New Roman"/>
                <w:sz w:val="16"/>
                <w:szCs w:val="16"/>
              </w:rPr>
              <w:t xml:space="preserve">espondents and responses </w:t>
            </w:r>
            <w:r w:rsidRPr="00EF1DA3">
              <w:rPr>
                <w:rFonts w:ascii="Calibri" w:hAnsi="Calibri" w:eastAsia="Calibri" w:cs="Times New Roman"/>
                <w:sz w:val="16"/>
                <w:szCs w:val="16"/>
              </w:rPr>
              <w:t xml:space="preserve">to </w:t>
            </w:r>
            <w:r w:rsidRPr="00EF1DA3" w:rsidR="00AD2BFF">
              <w:rPr>
                <w:rFonts w:ascii="Calibri" w:hAnsi="Calibri" w:eastAsia="Calibri" w:cs="Times New Roman"/>
                <w:sz w:val="16"/>
                <w:szCs w:val="16"/>
              </w:rPr>
              <w:t>d</w:t>
            </w:r>
            <w:r w:rsidRPr="00EF1DA3">
              <w:rPr>
                <w:rFonts w:ascii="Calibri" w:hAnsi="Calibri" w:eastAsia="Calibri" w:cs="Times New Roman"/>
                <w:sz w:val="16"/>
                <w:szCs w:val="16"/>
              </w:rPr>
              <w:t>ecrease</w:t>
            </w:r>
            <w:r w:rsidRPr="00EF1DA3" w:rsidR="00AD2BFF">
              <w:rPr>
                <w:rFonts w:ascii="Calibri" w:hAnsi="Calibri" w:eastAsia="Calibri" w:cs="Times New Roman"/>
                <w:sz w:val="16"/>
                <w:szCs w:val="16"/>
              </w:rPr>
              <w:t xml:space="preserve">. </w:t>
            </w:r>
            <w:r w:rsidRPr="00EF1DA3" w:rsidR="006D3755">
              <w:rPr>
                <w:rFonts w:ascii="Calibri" w:hAnsi="Calibri" w:eastAsia="Calibri" w:cs="Times New Roman"/>
                <w:sz w:val="16"/>
                <w:szCs w:val="16"/>
              </w:rPr>
              <w:t xml:space="preserve">Burden hours </w:t>
            </w:r>
            <w:r w:rsidRPr="00EF1DA3" w:rsidR="00AD2BFF">
              <w:rPr>
                <w:rFonts w:ascii="Calibri" w:hAnsi="Calibri" w:eastAsia="Calibri" w:cs="Times New Roman"/>
                <w:sz w:val="16"/>
                <w:szCs w:val="16"/>
              </w:rPr>
              <w:t>increase slightly because</w:t>
            </w:r>
            <w:r w:rsidRPr="00EF1DA3" w:rsidR="006D3755">
              <w:rPr>
                <w:rFonts w:ascii="Calibri" w:hAnsi="Calibri" w:eastAsia="Calibri" w:cs="Times New Roman"/>
                <w:sz w:val="16"/>
                <w:szCs w:val="16"/>
              </w:rPr>
              <w:t xml:space="preserve"> estimated </w:t>
            </w:r>
            <w:r w:rsidRPr="00EF1DA3" w:rsidR="00AD2BFF">
              <w:rPr>
                <w:rFonts w:ascii="Calibri" w:hAnsi="Calibri" w:eastAsia="Calibri" w:cs="Times New Roman"/>
                <w:sz w:val="16"/>
                <w:szCs w:val="16"/>
              </w:rPr>
              <w:t xml:space="preserve">time </w:t>
            </w:r>
            <w:r w:rsidRPr="00EF1DA3" w:rsidR="006D3755">
              <w:rPr>
                <w:rFonts w:ascii="Calibri" w:hAnsi="Calibri" w:eastAsia="Calibri" w:cs="Times New Roman"/>
                <w:sz w:val="16"/>
                <w:szCs w:val="16"/>
              </w:rPr>
              <w:t xml:space="preserve">burden per response </w:t>
            </w:r>
            <w:r w:rsidRPr="00EF1DA3" w:rsidR="00AD2BFF">
              <w:rPr>
                <w:rFonts w:ascii="Calibri" w:hAnsi="Calibri" w:eastAsia="Calibri" w:cs="Times New Roman"/>
                <w:sz w:val="16"/>
                <w:szCs w:val="16"/>
              </w:rPr>
              <w:t xml:space="preserve">increases </w:t>
            </w:r>
            <w:r w:rsidRPr="00EF1DA3" w:rsidR="006D3755">
              <w:rPr>
                <w:rFonts w:ascii="Calibri" w:hAnsi="Calibri" w:eastAsia="Calibri" w:cs="Times New Roman"/>
                <w:sz w:val="16"/>
                <w:szCs w:val="16"/>
              </w:rPr>
              <w:t xml:space="preserve">from </w:t>
            </w:r>
            <w:r w:rsidRPr="00EF1DA3" w:rsidR="00AD2BFF">
              <w:rPr>
                <w:rFonts w:ascii="Calibri" w:hAnsi="Calibri" w:eastAsia="Calibri" w:cs="Times New Roman"/>
                <w:sz w:val="16"/>
                <w:szCs w:val="16"/>
              </w:rPr>
              <w:t xml:space="preserve">10 to 13 </w:t>
            </w:r>
            <w:r w:rsidRPr="00EF1DA3" w:rsidR="006D3755">
              <w:rPr>
                <w:rFonts w:ascii="Calibri" w:hAnsi="Calibri" w:eastAsia="Calibri" w:cs="Times New Roman"/>
                <w:sz w:val="16"/>
                <w:szCs w:val="16"/>
              </w:rPr>
              <w:t>minutes.</w:t>
            </w:r>
          </w:p>
        </w:tc>
      </w:tr>
      <w:tr w:rsidRPr="00EF1DA3" w:rsidR="006D3755" w:rsidTr="007B12B8" w14:paraId="2616B091" w14:textId="77777777">
        <w:tc>
          <w:tcPr>
            <w:tcW w:w="2478" w:type="dxa"/>
            <w:shd w:val="clear" w:color="auto" w:fill="BDD6EE"/>
            <w:vAlign w:val="center"/>
          </w:tcPr>
          <w:p w:rsidRPr="00EF1DA3" w:rsidR="006D3755" w:rsidP="006D3755" w:rsidRDefault="006D3755" w14:paraId="2B6C1B3D"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Total for Collection</w:t>
            </w:r>
          </w:p>
        </w:tc>
        <w:tc>
          <w:tcPr>
            <w:tcW w:w="1071" w:type="dxa"/>
            <w:tcBorders>
              <w:right w:val="dashed" w:color="auto" w:sz="4" w:space="0"/>
            </w:tcBorders>
            <w:shd w:val="clear" w:color="auto" w:fill="BDD6EE"/>
            <w:vAlign w:val="center"/>
          </w:tcPr>
          <w:p w:rsidRPr="00EF1DA3" w:rsidR="006D3755" w:rsidP="006D3755" w:rsidRDefault="0023454A" w14:paraId="6D5DB71E" w14:textId="7E965CC0">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1,164</w:t>
            </w:r>
          </w:p>
        </w:tc>
        <w:tc>
          <w:tcPr>
            <w:tcW w:w="1062" w:type="dxa"/>
            <w:tcBorders>
              <w:left w:val="dashed" w:color="auto" w:sz="4" w:space="0"/>
            </w:tcBorders>
            <w:shd w:val="clear" w:color="auto" w:fill="BDD6EE"/>
            <w:vAlign w:val="center"/>
          </w:tcPr>
          <w:p w:rsidRPr="00EF1DA3" w:rsidR="006D3755" w:rsidP="006D3755" w:rsidRDefault="0023454A" w14:paraId="3F46F06F" w14:textId="7CAAD70E">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1,184</w:t>
            </w:r>
          </w:p>
        </w:tc>
        <w:tc>
          <w:tcPr>
            <w:tcW w:w="1003" w:type="dxa"/>
            <w:tcBorders>
              <w:right w:val="dashed" w:color="auto" w:sz="4" w:space="0"/>
            </w:tcBorders>
            <w:shd w:val="clear" w:color="auto" w:fill="BDD6EE"/>
            <w:vAlign w:val="center"/>
          </w:tcPr>
          <w:p w:rsidRPr="00EF1DA3" w:rsidR="006D3755" w:rsidP="006D3755" w:rsidRDefault="00CE7219" w14:paraId="1F82B9F4" w14:textId="3A2862BF">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29,830</w:t>
            </w:r>
          </w:p>
        </w:tc>
        <w:tc>
          <w:tcPr>
            <w:tcW w:w="1129" w:type="dxa"/>
            <w:tcBorders>
              <w:left w:val="dashed" w:color="auto" w:sz="4" w:space="0"/>
            </w:tcBorders>
            <w:shd w:val="clear" w:color="auto" w:fill="BDD6EE"/>
            <w:vAlign w:val="center"/>
          </w:tcPr>
          <w:p w:rsidRPr="00EF1DA3" w:rsidR="006D3755" w:rsidP="006D3755" w:rsidRDefault="00CE7219" w14:paraId="75248121" w14:textId="4551617C">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32,739</w:t>
            </w:r>
          </w:p>
        </w:tc>
        <w:tc>
          <w:tcPr>
            <w:tcW w:w="1129" w:type="dxa"/>
            <w:tcBorders>
              <w:right w:val="dashed" w:color="auto" w:sz="4" w:space="0"/>
            </w:tcBorders>
            <w:shd w:val="clear" w:color="auto" w:fill="BDD6EE"/>
            <w:vAlign w:val="center"/>
          </w:tcPr>
          <w:p w:rsidRPr="00EF1DA3" w:rsidR="006D3755" w:rsidP="007B12B8" w:rsidRDefault="00CE7219" w14:paraId="147AD7BC" w14:textId="318AEBBE">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2,</w:t>
            </w:r>
            <w:r w:rsidRPr="00EF1DA3" w:rsidR="007B12B8">
              <w:rPr>
                <w:rFonts w:ascii="Calibri" w:hAnsi="Calibri" w:eastAsia="Calibri" w:cs="Times New Roman"/>
                <w:b/>
                <w:sz w:val="16"/>
                <w:szCs w:val="16"/>
              </w:rPr>
              <w:t>10</w:t>
            </w:r>
            <w:r w:rsidR="007B12B8">
              <w:rPr>
                <w:rFonts w:ascii="Calibri" w:hAnsi="Calibri" w:eastAsia="Calibri" w:cs="Times New Roman"/>
                <w:b/>
                <w:sz w:val="16"/>
                <w:szCs w:val="16"/>
              </w:rPr>
              <w:t>9</w:t>
            </w:r>
          </w:p>
        </w:tc>
        <w:tc>
          <w:tcPr>
            <w:tcW w:w="1130" w:type="dxa"/>
            <w:tcBorders>
              <w:left w:val="dashed" w:color="auto" w:sz="4" w:space="0"/>
            </w:tcBorders>
            <w:shd w:val="clear" w:color="auto" w:fill="BDD6EE"/>
            <w:vAlign w:val="center"/>
          </w:tcPr>
          <w:p w:rsidRPr="00EF1DA3" w:rsidR="006D3755" w:rsidP="007B12B8" w:rsidRDefault="00CE7219" w14:paraId="47B30DCE" w14:textId="0B12DC82">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2,</w:t>
            </w:r>
            <w:r w:rsidRPr="00EF1DA3" w:rsidR="007B12B8">
              <w:rPr>
                <w:rFonts w:ascii="Calibri" w:hAnsi="Calibri" w:eastAsia="Calibri" w:cs="Times New Roman"/>
                <w:b/>
                <w:sz w:val="16"/>
                <w:szCs w:val="16"/>
              </w:rPr>
              <w:t>39</w:t>
            </w:r>
            <w:r w:rsidR="007B12B8">
              <w:rPr>
                <w:rFonts w:ascii="Calibri" w:hAnsi="Calibri" w:eastAsia="Calibri" w:cs="Times New Roman"/>
                <w:b/>
                <w:sz w:val="16"/>
                <w:szCs w:val="16"/>
              </w:rPr>
              <w:t>6</w:t>
            </w:r>
          </w:p>
        </w:tc>
        <w:tc>
          <w:tcPr>
            <w:tcW w:w="4390" w:type="dxa"/>
            <w:tcBorders>
              <w:left w:val="dotted" w:color="auto" w:sz="4" w:space="0"/>
            </w:tcBorders>
            <w:shd w:val="clear" w:color="auto" w:fill="BDD6EE"/>
            <w:vAlign w:val="center"/>
          </w:tcPr>
          <w:p w:rsidRPr="00EF1DA3" w:rsidR="006D3755" w:rsidP="006D3755" w:rsidRDefault="006D3755" w14:paraId="3B256EC1" w14:textId="77777777">
            <w:pPr>
              <w:keepNext/>
              <w:adjustRightInd w:val="0"/>
              <w:jc w:val="center"/>
              <w:rPr>
                <w:rFonts w:ascii="Calibri" w:hAnsi="Calibri" w:eastAsia="Calibri" w:cs="Times New Roman"/>
                <w:b/>
                <w:sz w:val="16"/>
                <w:szCs w:val="16"/>
              </w:rPr>
            </w:pPr>
          </w:p>
        </w:tc>
      </w:tr>
      <w:tr w:rsidRPr="00EF1DA3" w:rsidR="007B12B8" w:rsidTr="00001B92" w14:paraId="6CE887A0" w14:textId="77777777">
        <w:tc>
          <w:tcPr>
            <w:tcW w:w="2478" w:type="dxa"/>
            <w:shd w:val="clear" w:color="auto" w:fill="FDE9D9" w:themeFill="accent6" w:themeFillTint="33"/>
            <w:vAlign w:val="center"/>
          </w:tcPr>
          <w:p w:rsidRPr="00EF1DA3" w:rsidR="007B12B8" w:rsidP="006D3755" w:rsidRDefault="007B12B8" w14:paraId="245EC7DC" w14:textId="4CBA71F5">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Difference</w:t>
            </w:r>
          </w:p>
        </w:tc>
        <w:tc>
          <w:tcPr>
            <w:tcW w:w="2133" w:type="dxa"/>
            <w:gridSpan w:val="2"/>
            <w:shd w:val="clear" w:color="auto" w:fill="FDE9D9" w:themeFill="accent6" w:themeFillTint="33"/>
            <w:vAlign w:val="center"/>
          </w:tcPr>
          <w:p w:rsidRPr="00EF1DA3" w:rsidR="007B12B8" w:rsidP="007B12B8" w:rsidRDefault="007B12B8" w14:paraId="463BCCC1" w14:textId="356F4EA8">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-20</w:t>
            </w:r>
          </w:p>
        </w:tc>
        <w:tc>
          <w:tcPr>
            <w:tcW w:w="2132" w:type="dxa"/>
            <w:gridSpan w:val="2"/>
            <w:tcBorders>
              <w:bottom w:val="single" w:color="auto" w:sz="4" w:space="0"/>
            </w:tcBorders>
            <w:shd w:val="clear" w:color="auto" w:fill="FDE9D9" w:themeFill="accent6" w:themeFillTint="33"/>
            <w:vAlign w:val="center"/>
          </w:tcPr>
          <w:p w:rsidRPr="00EF1DA3" w:rsidR="007B12B8" w:rsidP="007B12B8" w:rsidRDefault="007B12B8" w14:paraId="2DD74089" w14:textId="0AFA2D97">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-2,909</w:t>
            </w:r>
          </w:p>
        </w:tc>
        <w:tc>
          <w:tcPr>
            <w:tcW w:w="2259" w:type="dxa"/>
            <w:gridSpan w:val="2"/>
            <w:shd w:val="clear" w:color="auto" w:fill="FDE9D9" w:themeFill="accent6" w:themeFillTint="33"/>
            <w:vAlign w:val="center"/>
          </w:tcPr>
          <w:p w:rsidRPr="00EF1DA3" w:rsidR="007B12B8" w:rsidP="007B12B8" w:rsidRDefault="007B12B8" w14:paraId="0F98D5A1" w14:textId="5531245C">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-287</w:t>
            </w:r>
          </w:p>
        </w:tc>
        <w:tc>
          <w:tcPr>
            <w:tcW w:w="4390" w:type="dxa"/>
            <w:tcBorders>
              <w:left w:val="dotted" w:color="auto" w:sz="4" w:space="0"/>
            </w:tcBorders>
            <w:shd w:val="clear" w:color="auto" w:fill="FDE9D9" w:themeFill="accent6" w:themeFillTint="33"/>
            <w:vAlign w:val="center"/>
          </w:tcPr>
          <w:p w:rsidRPr="00EF1DA3" w:rsidR="007B12B8" w:rsidP="006D3755" w:rsidRDefault="007B12B8" w14:paraId="75482CB8" w14:textId="77777777">
            <w:pPr>
              <w:keepNext/>
              <w:adjustRightInd w:val="0"/>
              <w:jc w:val="center"/>
              <w:rPr>
                <w:rFonts w:ascii="Calibri" w:hAnsi="Calibri" w:eastAsia="Calibri" w:cs="Times New Roman"/>
                <w:b/>
                <w:sz w:val="16"/>
                <w:szCs w:val="16"/>
              </w:rPr>
            </w:pPr>
          </w:p>
        </w:tc>
      </w:tr>
    </w:tbl>
    <w:p w:rsidRPr="00EF1DA3" w:rsidR="00DF0CE3" w:rsidP="00BD7237" w:rsidRDefault="00DF0CE3" w14:paraId="4091DC39" w14:textId="77777777">
      <w:pPr>
        <w:pStyle w:val="BodyText"/>
        <w:spacing w:before="7"/>
        <w:ind w:left="0"/>
        <w:rPr>
          <w:rFonts w:cs="Times New Roman"/>
        </w:rPr>
      </w:pPr>
    </w:p>
    <w:p w:rsidRPr="00EF1DA3" w:rsidR="00DF0CE3" w:rsidP="00BD7237" w:rsidRDefault="00DF0CE3" w14:paraId="36BA5DCF" w14:textId="77777777">
      <w:pPr>
        <w:pStyle w:val="BodyText"/>
        <w:spacing w:before="7"/>
        <w:ind w:left="0"/>
        <w:rPr>
          <w:rFonts w:cs="Times New Roman"/>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EF1DA3" w:rsidR="00EF1DA3" w:rsidTr="00D547CB" w14:paraId="6DF2A5A0" w14:textId="77777777">
        <w:tc>
          <w:tcPr>
            <w:tcW w:w="2478" w:type="dxa"/>
            <w:vMerge w:val="restart"/>
            <w:shd w:val="clear" w:color="auto" w:fill="5B9BD5"/>
            <w:vAlign w:val="center"/>
          </w:tcPr>
          <w:p w:rsidRPr="00EF1DA3" w:rsidR="00D547CB" w:rsidP="00D547CB" w:rsidRDefault="00D547CB" w14:paraId="63757A22" w14:textId="77777777">
            <w:pPr>
              <w:keepNext/>
              <w:shd w:val="clear" w:color="auto" w:fill="5B9BD5"/>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lastRenderedPageBreak/>
              <w:t>Information Collection</w:t>
            </w:r>
          </w:p>
        </w:tc>
        <w:tc>
          <w:tcPr>
            <w:tcW w:w="2406" w:type="dxa"/>
            <w:gridSpan w:val="2"/>
            <w:tcBorders>
              <w:bottom w:val="single" w:color="auto" w:sz="4" w:space="0"/>
            </w:tcBorders>
            <w:shd w:val="clear" w:color="auto" w:fill="5B9BD5"/>
            <w:vAlign w:val="center"/>
          </w:tcPr>
          <w:p w:rsidRPr="00EF1DA3" w:rsidR="00D547CB" w:rsidP="00D547CB" w:rsidRDefault="00D547CB" w14:paraId="2CDB6696" w14:textId="77777777">
            <w:pPr>
              <w:keepNext/>
              <w:shd w:val="clear" w:color="auto" w:fill="5B9BD5"/>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Labor Costs</w:t>
            </w:r>
          </w:p>
        </w:tc>
        <w:tc>
          <w:tcPr>
            <w:tcW w:w="2310" w:type="dxa"/>
            <w:gridSpan w:val="2"/>
            <w:shd w:val="clear" w:color="auto" w:fill="5B9BD5"/>
          </w:tcPr>
          <w:p w:rsidRPr="00EF1DA3" w:rsidR="00D547CB" w:rsidP="00D547CB" w:rsidRDefault="00D547CB" w14:paraId="77FB421C" w14:textId="77777777">
            <w:pPr>
              <w:keepNext/>
              <w:shd w:val="clear" w:color="auto" w:fill="5B9BD5"/>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Miscellaneous Costs</w:t>
            </w:r>
          </w:p>
        </w:tc>
        <w:tc>
          <w:tcPr>
            <w:tcW w:w="6177" w:type="dxa"/>
            <w:vMerge w:val="restart"/>
            <w:tcBorders>
              <w:right w:val="single" w:color="auto" w:sz="4" w:space="0"/>
            </w:tcBorders>
            <w:shd w:val="clear" w:color="auto" w:fill="5B9BD5"/>
            <w:vAlign w:val="center"/>
          </w:tcPr>
          <w:p w:rsidRPr="00EF1DA3" w:rsidR="00D547CB" w:rsidP="00D547CB" w:rsidRDefault="00D547CB" w14:paraId="7D242028" w14:textId="77777777">
            <w:pPr>
              <w:keepNext/>
              <w:shd w:val="clear" w:color="auto" w:fill="5B9BD5"/>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Reason for change or adjustment</w:t>
            </w:r>
          </w:p>
        </w:tc>
      </w:tr>
      <w:tr w:rsidRPr="00EF1DA3" w:rsidR="00EF1DA3" w:rsidTr="00D547CB" w14:paraId="74F05ED0" w14:textId="77777777">
        <w:tc>
          <w:tcPr>
            <w:tcW w:w="2478" w:type="dxa"/>
            <w:vMerge/>
            <w:shd w:val="clear" w:color="auto" w:fill="5B9BD5"/>
            <w:vAlign w:val="center"/>
          </w:tcPr>
          <w:p w:rsidRPr="00EF1DA3" w:rsidR="00D547CB" w:rsidP="00D547CB" w:rsidRDefault="00D547CB" w14:paraId="10C8D826" w14:textId="77777777">
            <w:pPr>
              <w:keepNext/>
              <w:adjustRightInd w:val="0"/>
              <w:jc w:val="center"/>
              <w:rPr>
                <w:rFonts w:ascii="Calibri" w:hAnsi="Calibri" w:eastAsia="Calibri" w:cs="Times New Roman"/>
                <w:sz w:val="16"/>
                <w:szCs w:val="16"/>
              </w:rPr>
            </w:pPr>
          </w:p>
        </w:tc>
        <w:tc>
          <w:tcPr>
            <w:tcW w:w="1251" w:type="dxa"/>
            <w:tcBorders>
              <w:bottom w:val="single" w:color="auto" w:sz="4" w:space="0"/>
              <w:right w:val="dashSmallGap" w:color="auto" w:sz="4" w:space="0"/>
            </w:tcBorders>
            <w:shd w:val="clear" w:color="auto" w:fill="FBE4D5"/>
            <w:vAlign w:val="center"/>
          </w:tcPr>
          <w:p w:rsidRPr="00EF1DA3" w:rsidR="00D547CB" w:rsidP="00D547CB" w:rsidRDefault="00D547CB" w14:paraId="0418E860"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Current $</w:t>
            </w:r>
          </w:p>
        </w:tc>
        <w:tc>
          <w:tcPr>
            <w:tcW w:w="1155" w:type="dxa"/>
            <w:tcBorders>
              <w:left w:val="dashSmallGap" w:color="auto" w:sz="4" w:space="0"/>
              <w:bottom w:val="single" w:color="auto" w:sz="4" w:space="0"/>
            </w:tcBorders>
            <w:shd w:val="clear" w:color="auto" w:fill="FBE4D5"/>
            <w:vAlign w:val="center"/>
          </w:tcPr>
          <w:p w:rsidRPr="00EF1DA3" w:rsidR="00D547CB" w:rsidP="00D547CB" w:rsidRDefault="00D547CB" w14:paraId="4A9751B0"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Previous $</w:t>
            </w:r>
          </w:p>
        </w:tc>
        <w:tc>
          <w:tcPr>
            <w:tcW w:w="1058" w:type="dxa"/>
            <w:tcBorders>
              <w:right w:val="dashSmallGap" w:color="auto" w:sz="4" w:space="0"/>
            </w:tcBorders>
            <w:shd w:val="clear" w:color="auto" w:fill="FBE4D5"/>
            <w:vAlign w:val="center"/>
          </w:tcPr>
          <w:p w:rsidRPr="00EF1DA3" w:rsidR="00D547CB" w:rsidP="00D547CB" w:rsidRDefault="00D547CB" w14:paraId="2A25AA3A"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Current $</w:t>
            </w:r>
          </w:p>
        </w:tc>
        <w:tc>
          <w:tcPr>
            <w:tcW w:w="1252" w:type="dxa"/>
            <w:tcBorders>
              <w:left w:val="dashSmallGap" w:color="auto" w:sz="4" w:space="0"/>
            </w:tcBorders>
            <w:shd w:val="clear" w:color="auto" w:fill="FBE4D5"/>
            <w:vAlign w:val="center"/>
          </w:tcPr>
          <w:p w:rsidRPr="00EF1DA3" w:rsidR="00D547CB" w:rsidP="00D547CB" w:rsidRDefault="00D547CB" w14:paraId="02002C05" w14:textId="77777777">
            <w:pPr>
              <w:keepNext/>
              <w:adjustRightInd w:val="0"/>
              <w:jc w:val="center"/>
              <w:rPr>
                <w:rFonts w:ascii="Calibri" w:hAnsi="Calibri" w:eastAsia="Calibri" w:cs="Times New Roman"/>
                <w:sz w:val="16"/>
                <w:szCs w:val="16"/>
              </w:rPr>
            </w:pPr>
            <w:r w:rsidRPr="00EF1DA3">
              <w:rPr>
                <w:rFonts w:ascii="Calibri" w:hAnsi="Calibri" w:eastAsia="Calibri" w:cs="Times New Roman"/>
                <w:sz w:val="16"/>
                <w:szCs w:val="16"/>
              </w:rPr>
              <w:t>Previous $</w:t>
            </w:r>
          </w:p>
        </w:tc>
        <w:tc>
          <w:tcPr>
            <w:tcW w:w="6177" w:type="dxa"/>
            <w:vMerge/>
            <w:tcBorders>
              <w:right w:val="single" w:color="auto" w:sz="4" w:space="0"/>
            </w:tcBorders>
            <w:shd w:val="clear" w:color="auto" w:fill="FBE4D5"/>
            <w:vAlign w:val="center"/>
          </w:tcPr>
          <w:p w:rsidRPr="00EF1DA3" w:rsidR="00D547CB" w:rsidP="00D547CB" w:rsidRDefault="00D547CB" w14:paraId="5BA57117" w14:textId="77777777">
            <w:pPr>
              <w:keepNext/>
              <w:adjustRightInd w:val="0"/>
              <w:rPr>
                <w:rFonts w:ascii="Calibri" w:hAnsi="Calibri" w:eastAsia="Calibri" w:cs="Times New Roman"/>
                <w:sz w:val="16"/>
                <w:szCs w:val="16"/>
              </w:rPr>
            </w:pPr>
          </w:p>
        </w:tc>
      </w:tr>
      <w:tr w:rsidRPr="00EF1DA3" w:rsidR="00EF1DA3" w:rsidTr="006F28AA" w14:paraId="44870F74"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D547CB" w:rsidP="00D547CB" w:rsidRDefault="00D547CB" w14:paraId="44725224"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Dealer Landing Transaction Report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D547CB" w:rsidP="00D547CB" w:rsidRDefault="006F28AA" w14:paraId="70C5FD3A" w14:textId="55BE5474">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23,955.85</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6F28AA" w14:paraId="76908537" w14:textId="795A0ED7">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14,533.47</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D547CB" w:rsidP="00D547CB" w:rsidRDefault="00D547CB" w14:paraId="21538598" w14:textId="28C8959F">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D547CB" w14:paraId="1C38E061" w14:textId="5E2E8161">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D547CB" w:rsidP="00CE7219" w:rsidRDefault="00CE7219" w14:paraId="4D0499A4" w14:textId="1C9F2FF9">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w:t>
            </w:r>
            <w:r w:rsidRPr="00EF1DA3" w:rsidR="00D547CB">
              <w:rPr>
                <w:rFonts w:ascii="Calibri" w:hAnsi="Calibri" w:eastAsia="Calibri" w:cs="Times New Roman"/>
                <w:sz w:val="16"/>
                <w:szCs w:val="16"/>
              </w:rPr>
              <w:t xml:space="preserve">pdated </w:t>
            </w:r>
            <w:r w:rsidRPr="00EF1DA3" w:rsidR="006B0F56">
              <w:rPr>
                <w:rFonts w:ascii="Calibri" w:hAnsi="Calibri" w:eastAsia="Calibri" w:cs="Times New Roman"/>
                <w:sz w:val="16"/>
                <w:szCs w:val="16"/>
              </w:rPr>
              <w:t xml:space="preserve">mean wage rate </w:t>
            </w:r>
            <w:r w:rsidRPr="00EF1DA3" w:rsidR="00D547CB">
              <w:rPr>
                <w:rFonts w:ascii="Calibri" w:hAnsi="Calibri" w:eastAsia="Calibri" w:cs="Times New Roman"/>
                <w:sz w:val="16"/>
                <w:szCs w:val="16"/>
              </w:rPr>
              <w:t>using BLS Occupational Data</w:t>
            </w:r>
            <w:r w:rsidRPr="00EF1DA3">
              <w:rPr>
                <w:rFonts w:ascii="Calibri" w:hAnsi="Calibri" w:eastAsia="Calibri" w:cs="Times New Roman"/>
                <w:sz w:val="16"/>
                <w:szCs w:val="16"/>
              </w:rPr>
              <w:t>,</w:t>
            </w:r>
            <w:r w:rsidRPr="00EF1DA3" w:rsidR="008A54AD">
              <w:rPr>
                <w:rFonts w:ascii="Calibri" w:hAnsi="Calibri" w:eastAsia="Calibri" w:cs="Times New Roman"/>
                <w:sz w:val="16"/>
                <w:szCs w:val="16"/>
              </w:rPr>
              <w:t xml:space="preserve"> and </w:t>
            </w:r>
            <w:r w:rsidRPr="00EF1DA3">
              <w:rPr>
                <w:rFonts w:ascii="Calibri" w:hAnsi="Calibri" w:eastAsia="Calibri" w:cs="Times New Roman"/>
                <w:sz w:val="16"/>
                <w:szCs w:val="16"/>
              </w:rPr>
              <w:t>accounting for r</w:t>
            </w:r>
            <w:r w:rsidRPr="00EF1DA3" w:rsidR="008A54AD">
              <w:rPr>
                <w:rFonts w:ascii="Calibri" w:hAnsi="Calibri" w:eastAsia="Calibri" w:cs="Times New Roman"/>
                <w:sz w:val="16"/>
                <w:szCs w:val="16"/>
              </w:rPr>
              <w:t>evised number of respondents and responses.</w:t>
            </w:r>
          </w:p>
        </w:tc>
      </w:tr>
      <w:tr w:rsidRPr="00EF1DA3" w:rsidR="00EF1DA3" w:rsidTr="006F28AA" w14:paraId="2617DD9E"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6B0F56" w:rsidP="008A54AD" w:rsidRDefault="008A54AD" w14:paraId="0E248C48" w14:textId="2670B35C">
            <w:pPr>
              <w:keepNext/>
              <w:adjustRightInd w:val="0"/>
              <w:rPr>
                <w:rFonts w:ascii="Calibri" w:hAnsi="Calibri" w:eastAsia="Calibri" w:cs="Times New Roman"/>
                <w:sz w:val="16"/>
                <w:szCs w:val="16"/>
              </w:rPr>
            </w:pPr>
            <w:r w:rsidRPr="00EF1DA3">
              <w:rPr>
                <w:rFonts w:ascii="Calibri" w:hAnsi="Calibri" w:eastAsia="Calibri" w:cs="Times New Roman"/>
                <w:sz w:val="16"/>
                <w:szCs w:val="16"/>
              </w:rPr>
              <w:t>IFQ Online Account Application</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6B0F56" w:rsidP="00D547CB" w:rsidRDefault="008A54AD" w14:paraId="2B2656A3" w14:textId="431D5F29">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348.27</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6B0F56" w:rsidP="00D547CB" w:rsidRDefault="008A54AD" w14:paraId="78D672B1" w14:textId="78DA3042">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318.78</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6B0F56" w:rsidP="00D547CB" w:rsidRDefault="00535FB5" w14:paraId="55FAFB71" w14:textId="42CF3FD0">
            <w:pPr>
              <w:keepNext/>
              <w:adjustRightInd w:val="0"/>
              <w:jc w:val="right"/>
              <w:rPr>
                <w:rFonts w:ascii="Calibri" w:hAnsi="Calibri" w:eastAsia="Calibri" w:cs="Times New Roman"/>
                <w:sz w:val="16"/>
                <w:szCs w:val="16"/>
              </w:rPr>
            </w:pPr>
            <w:r>
              <w:rPr>
                <w:rFonts w:ascii="Calibri" w:hAnsi="Calibri" w:eastAsia="Calibri" w:cs="Times New Roman"/>
                <w:sz w:val="16"/>
                <w:szCs w:val="16"/>
              </w:rPr>
              <w:t>107</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6B0F56" w:rsidP="00D547CB" w:rsidRDefault="00535FB5" w14:paraId="188D03BB" w14:textId="3545E866">
            <w:pPr>
              <w:keepNext/>
              <w:adjustRightInd w:val="0"/>
              <w:jc w:val="right"/>
              <w:rPr>
                <w:rFonts w:ascii="Calibri" w:hAnsi="Calibri" w:eastAsia="Calibri" w:cs="Times New Roman"/>
                <w:sz w:val="16"/>
                <w:szCs w:val="16"/>
              </w:rPr>
            </w:pPr>
            <w:r>
              <w:rPr>
                <w:rFonts w:ascii="Calibri" w:hAnsi="Calibri" w:eastAsia="Calibri" w:cs="Times New Roman"/>
                <w:sz w:val="16"/>
                <w:szCs w:val="16"/>
              </w:rPr>
              <w:t>133</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6B0F56" w:rsidP="00CE7219" w:rsidRDefault="008A54AD" w14:paraId="74D4E310" w14:textId="542067B4">
            <w:pPr>
              <w:keepNext/>
              <w:adjustRightInd w:val="0"/>
              <w:rPr>
                <w:rFonts w:ascii="Calibri" w:hAnsi="Calibri" w:eastAsia="Calibri" w:cs="Times New Roman"/>
                <w:sz w:val="16"/>
                <w:szCs w:val="16"/>
              </w:rPr>
            </w:pPr>
            <w:r w:rsidRPr="00EF1DA3">
              <w:rPr>
                <w:rFonts w:ascii="Calibri" w:hAnsi="Calibri" w:eastAsia="Calibri" w:cs="Times New Roman"/>
                <w:sz w:val="16"/>
                <w:szCs w:val="16"/>
              </w:rPr>
              <w:t xml:space="preserve">Labor costs changed from updated mean wage rate using BLS Occupational Data, </w:t>
            </w:r>
            <w:r w:rsidRPr="00EF1DA3" w:rsidR="00CE7219">
              <w:rPr>
                <w:rFonts w:ascii="Calibri" w:hAnsi="Calibri" w:eastAsia="Calibri" w:cs="Times New Roman"/>
                <w:sz w:val="16"/>
                <w:szCs w:val="16"/>
              </w:rPr>
              <w:t xml:space="preserve">and accounting for </w:t>
            </w:r>
            <w:r w:rsidRPr="00EF1DA3">
              <w:rPr>
                <w:rFonts w:ascii="Calibri" w:hAnsi="Calibri" w:eastAsia="Calibri" w:cs="Times New Roman"/>
                <w:sz w:val="16"/>
                <w:szCs w:val="16"/>
              </w:rPr>
              <w:t>revised number of respondents and responses</w:t>
            </w:r>
            <w:r w:rsidRPr="00EF1DA3" w:rsidR="00CE7219">
              <w:rPr>
                <w:rFonts w:ascii="Calibri" w:hAnsi="Calibri" w:eastAsia="Calibri" w:cs="Times New Roman"/>
                <w:sz w:val="16"/>
                <w:szCs w:val="16"/>
              </w:rPr>
              <w:t>;</w:t>
            </w:r>
            <w:r w:rsidRPr="00EF1DA3">
              <w:rPr>
                <w:rFonts w:ascii="Calibri" w:hAnsi="Calibri" w:eastAsia="Calibri" w:cs="Times New Roman"/>
                <w:sz w:val="16"/>
                <w:szCs w:val="16"/>
              </w:rPr>
              <w:t xml:space="preserve"> and revised collection title.</w:t>
            </w:r>
          </w:p>
        </w:tc>
      </w:tr>
      <w:tr w:rsidRPr="00EF1DA3" w:rsidR="00EF1DA3" w:rsidTr="006F28AA" w14:paraId="5C79CED9"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8A54AD" w:rsidP="008A54AD" w:rsidRDefault="00136088" w14:paraId="0640CBA9" w14:textId="07A0D974">
            <w:pPr>
              <w:keepNext/>
              <w:adjustRightInd w:val="0"/>
              <w:rPr>
                <w:rFonts w:ascii="Calibri" w:hAnsi="Calibri" w:eastAsia="Calibri" w:cs="Times New Roman"/>
                <w:sz w:val="16"/>
                <w:szCs w:val="16"/>
              </w:rPr>
            </w:pPr>
            <w:r w:rsidRPr="00EF1DA3">
              <w:rPr>
                <w:rFonts w:ascii="Calibri" w:hAnsi="Calibri" w:eastAsia="Calibri" w:cs="Times New Roman"/>
                <w:sz w:val="16"/>
                <w:szCs w:val="16"/>
              </w:rPr>
              <w:t>Cost Recovery Fee Submission by Dealers</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8A54AD" w:rsidP="00D547CB" w:rsidRDefault="00136088" w14:paraId="7ED1C112" w14:textId="55E65F51">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670</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8A54AD" w:rsidP="00D547CB" w:rsidRDefault="00136088" w14:paraId="4FE8D5F6" w14:textId="4061B5BF">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289.80</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8A54AD" w:rsidP="00D547CB" w:rsidRDefault="008A54AD" w14:paraId="3265131D" w14:textId="77777777">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8A54AD" w:rsidP="00D547CB" w:rsidRDefault="008A54AD" w14:paraId="6A9B03B8" w14:textId="77777777">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8A54AD" w:rsidP="00D547CB" w:rsidRDefault="00136088" w14:paraId="57EA8EEC" w14:textId="26AF2484">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occupational title and mean wage rate using BLS Occupational Data</w:t>
            </w:r>
            <w:r w:rsidRPr="00EF1DA3" w:rsidR="00DE4649">
              <w:rPr>
                <w:rFonts w:ascii="Calibri" w:hAnsi="Calibri" w:eastAsia="Calibri" w:cs="Times New Roman"/>
                <w:sz w:val="16"/>
                <w:szCs w:val="16"/>
              </w:rPr>
              <w:t>.</w:t>
            </w:r>
          </w:p>
        </w:tc>
      </w:tr>
      <w:tr w:rsidRPr="00EF1DA3" w:rsidR="00EF1DA3" w:rsidTr="006F28AA" w14:paraId="2C7E7E36"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EF5B0C" w:rsidP="008A54AD" w:rsidRDefault="00EF5B0C" w14:paraId="273CCEF0" w14:textId="1A1A62F4">
            <w:pPr>
              <w:keepNext/>
              <w:adjustRightInd w:val="0"/>
              <w:rPr>
                <w:rFonts w:ascii="Calibri" w:hAnsi="Calibri" w:eastAsia="Calibri" w:cs="Times New Roman"/>
                <w:sz w:val="16"/>
                <w:szCs w:val="16"/>
              </w:rPr>
            </w:pPr>
            <w:r w:rsidRPr="00EF1DA3">
              <w:rPr>
                <w:rFonts w:ascii="Calibri" w:hAnsi="Calibri" w:eastAsia="Calibri" w:cs="Times New Roman"/>
                <w:sz w:val="16"/>
                <w:szCs w:val="16"/>
              </w:rPr>
              <w:t>IFQ Notification of Landing</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EF5B0C" w:rsidP="00D547CB" w:rsidRDefault="00EF5B0C" w14:paraId="62DB9006" w14:textId="3BC8D716">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9,373.54</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D547CB" w:rsidRDefault="00EF5B0C" w14:paraId="1C3110EC" w14:textId="473A9910">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9,012.78</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EF5B0C" w:rsidP="00D547CB" w:rsidRDefault="00EF5B0C" w14:paraId="2162DFF0" w14:textId="77777777">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D547CB" w:rsidRDefault="00EF5B0C" w14:paraId="6935C87C" w14:textId="77777777">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EF5B0C" w:rsidP="00D547CB" w:rsidRDefault="00EF5B0C" w14:paraId="4F593621" w14:textId="52B26880">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7FE9EDE0"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D547CB" w:rsidP="00D547CB" w:rsidRDefault="00D547CB" w14:paraId="0C68BE0B"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Transfer Shares</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D547CB" w:rsidP="00D547CB" w:rsidRDefault="0002267C" w14:paraId="294F6ADD" w14:textId="1780314A">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421.96</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02267C" w14:paraId="66C362F8" w14:textId="12EF8C48">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405.72</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D547CB" w:rsidP="00D547CB" w:rsidRDefault="00D547CB" w14:paraId="70B8B742" w14:textId="64752F43">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D547CB" w14:paraId="795B3FC8" w14:textId="48EEF28F">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D547CB" w:rsidP="00D547CB" w:rsidRDefault="00CE7219" w14:paraId="3CAACF92" w14:textId="392C1919">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12D5A5AE"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D547CB" w:rsidP="00D547CB" w:rsidRDefault="00D547CB" w14:paraId="4C57A269"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Share Receipt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D547CB" w:rsidP="00D547CB" w:rsidRDefault="0002267C" w14:paraId="58FE6FAF" w14:textId="7B7A0DD9">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286.33</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02267C" w14:paraId="340F68BD" w14:textId="18F55F4C">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275.31</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D547CB" w:rsidP="00D547CB" w:rsidRDefault="00D547CB" w14:paraId="4E31DE2C" w14:textId="77777777">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D547CB" w14:paraId="6A250AB5" w14:textId="77777777">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D547CB" w:rsidP="00D547CB" w:rsidRDefault="00CE7219" w14:paraId="2A18C1F5" w14:textId="014C5D3C">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0FE90B7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D547CB" w:rsidP="00D547CB" w:rsidRDefault="00D547CB" w14:paraId="49A5814E"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Transfer Allocation</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D547CB" w:rsidP="00D547CB" w:rsidRDefault="0002267C" w14:paraId="6D5E6753" w14:textId="3710BE24">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8,966.65</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02267C" w:rsidRDefault="0002267C" w14:paraId="59AEBAC2" w14:textId="5FFDF427">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8,621.55</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D547CB" w:rsidP="00D547CB" w:rsidRDefault="00D547CB" w14:paraId="1F3F9BFD" w14:textId="3EE11B5C">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D547CB" w:rsidP="00D547CB" w:rsidRDefault="00D547CB" w14:paraId="665007E2" w14:textId="61F876DF">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EF1DA3" w:rsidR="00D547CB" w:rsidP="00D547CB" w:rsidRDefault="00CE7219" w14:paraId="274B542D" w14:textId="25B9A647">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AC43DF" w14:paraId="0318145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EF5B0C" w:rsidP="00EF5B0C" w:rsidRDefault="00EF5B0C" w14:paraId="70997E6C" w14:textId="30CB8BDD">
            <w:pPr>
              <w:keepNext/>
              <w:adjustRightInd w:val="0"/>
              <w:rPr>
                <w:rFonts w:ascii="Calibri" w:hAnsi="Calibri" w:eastAsia="Calibri" w:cs="Times New Roman"/>
                <w:sz w:val="16"/>
                <w:szCs w:val="16"/>
              </w:rPr>
            </w:pPr>
            <w:r w:rsidRPr="00EF1DA3">
              <w:rPr>
                <w:rFonts w:ascii="Calibri" w:hAnsi="Calibri" w:eastAsia="Calibri" w:cs="Times New Roman"/>
                <w:sz w:val="16"/>
                <w:szCs w:val="16"/>
              </w:rPr>
              <w:t>Wreckfish Share Transfer</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EF5B0C" w:rsidP="00EF5B0C" w:rsidRDefault="00EF5B0C" w14:paraId="4B93E314" w14:textId="5ACE48C2">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15.07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EF5B0C" w:rsidRDefault="00EF5B0C" w14:paraId="037B5B33" w14:textId="7A7986BD">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14.49</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EF5B0C" w:rsidP="00EF5B0C" w:rsidRDefault="00EF5B0C" w14:paraId="2E665A57" w14:textId="054B83D9">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EF5B0C" w:rsidRDefault="00EF5B0C" w14:paraId="27A498E5" w14:textId="76B4CFCD">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EF5B0C" w:rsidP="00EF5B0C" w:rsidRDefault="00EF5B0C" w14:paraId="708A4222" w14:textId="2893AF49">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2FF7C1D5"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EF5B0C" w:rsidP="00EF5B0C" w:rsidRDefault="00EF5B0C" w14:paraId="13FE5783"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Landings Correction Request Form</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EF5B0C" w:rsidP="00EF5B0C" w:rsidRDefault="00DE4649" w14:paraId="1F6FFA68" w14:textId="7500658F">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210.98</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EF5B0C" w:rsidRDefault="00DE4649" w14:paraId="25E63C01" w14:textId="6C75E266">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202.86</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EF5B0C" w:rsidP="00EF5B0C" w:rsidRDefault="00EF5B0C" w14:paraId="0C98AC23" w14:textId="1CEA0CB9">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EF5B0C" w:rsidRDefault="00EF5B0C" w14:paraId="58106FEA" w14:textId="3F436ACA">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EF5B0C" w:rsidP="00EF5B0C" w:rsidRDefault="00EF5B0C" w14:paraId="09A23C80" w14:textId="58B5B195">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04C7AF03"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EF5B0C" w:rsidP="00DE4649" w:rsidRDefault="00EF5B0C" w14:paraId="7BF468F6" w14:textId="3C0F05E0">
            <w:pPr>
              <w:keepNext/>
              <w:adjustRightInd w:val="0"/>
              <w:rPr>
                <w:rFonts w:ascii="Calibri" w:hAnsi="Calibri" w:eastAsia="Calibri" w:cs="Times New Roman"/>
                <w:sz w:val="16"/>
                <w:szCs w:val="16"/>
              </w:rPr>
            </w:pPr>
            <w:r w:rsidRPr="00EF1DA3">
              <w:rPr>
                <w:rFonts w:ascii="Calibri" w:hAnsi="Calibri" w:eastAsia="Times New Roman" w:cs="Calibri"/>
                <w:sz w:val="16"/>
                <w:szCs w:val="16"/>
              </w:rPr>
              <w:t xml:space="preserve">Commercial Reef Fish Landing Location Request </w:t>
            </w:r>
            <w:r w:rsidRPr="00EF1DA3">
              <w:rPr>
                <w:rFonts w:ascii="Calibri" w:hAnsi="Calibri" w:eastAsia="Calibri" w:cs="Times New Roman"/>
                <w:sz w:val="16"/>
                <w:szCs w:val="16"/>
              </w:rPr>
              <w:t>(IFQ only)</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EF5B0C" w:rsidP="00EF5B0C" w:rsidRDefault="00DE4649" w14:paraId="6A6BB201" w14:textId="78097E73">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45.21</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EF5B0C" w:rsidP="00EF5B0C" w:rsidRDefault="00DE4649" w14:paraId="4098CE51" w14:textId="3F7A3BDF">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43.47</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EF5B0C" w:rsidP="00EF5B0C" w:rsidRDefault="00EF5B0C" w14:paraId="412FE03A" w14:textId="49C77F16">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EF5B0C" w:rsidP="00EF5B0C" w:rsidRDefault="00EF5B0C" w14:paraId="64B9F300" w14:textId="49BEDBDB">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EF5B0C" w:rsidP="00EF5B0C" w:rsidRDefault="00EF5B0C" w14:paraId="4CAC3059" w14:textId="56D08D4A">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0F7E7B29"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02267C" w:rsidP="00CD5673" w:rsidRDefault="0002267C" w14:paraId="7B91B00C" w14:textId="164043B3">
            <w:pPr>
              <w:keepNext/>
              <w:adjustRightInd w:val="0"/>
              <w:rPr>
                <w:rFonts w:ascii="Calibri" w:hAnsi="Calibri" w:eastAsia="Calibri" w:cs="Times New Roman"/>
                <w:sz w:val="16"/>
                <w:szCs w:val="16"/>
              </w:rPr>
            </w:pPr>
            <w:r w:rsidRPr="00EF1DA3">
              <w:rPr>
                <w:rFonts w:ascii="Calibri" w:hAnsi="Calibri" w:eastAsia="Calibri" w:cs="Times New Roman"/>
                <w:sz w:val="16"/>
                <w:szCs w:val="16"/>
              </w:rPr>
              <w:t>Commercial Ree</w:t>
            </w:r>
            <w:r w:rsidR="00CD5673">
              <w:rPr>
                <w:rFonts w:ascii="Calibri" w:hAnsi="Calibri" w:eastAsia="Calibri" w:cs="Times New Roman"/>
                <w:sz w:val="16"/>
                <w:szCs w:val="16"/>
              </w:rPr>
              <w:t>f Fish Landing Location Request</w:t>
            </w:r>
            <w:r w:rsidRPr="00EF1DA3">
              <w:rPr>
                <w:rFonts w:ascii="Calibri" w:hAnsi="Calibri" w:eastAsia="Calibri" w:cs="Times New Roman"/>
                <w:sz w:val="16"/>
                <w:szCs w:val="16"/>
              </w:rPr>
              <w:t xml:space="preserve"> (non-IFQ)</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02267C" w:rsidP="0002267C" w:rsidRDefault="00DE4649" w14:paraId="1F1BB1C6" w14:textId="647F0C3A">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45.21</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02267C" w:rsidP="00DE4649" w:rsidRDefault="00DE4649" w14:paraId="047FC4B0" w14:textId="118E8ABB">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43.47</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02267C" w:rsidP="0002267C" w:rsidRDefault="0002267C" w14:paraId="34A9398D" w14:textId="46F5F635">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02267C" w:rsidP="0002267C" w:rsidRDefault="0002267C" w14:paraId="5B11B71B" w14:textId="6B2209C4">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02267C" w:rsidP="0002267C" w:rsidRDefault="0002267C" w14:paraId="51AA5B54" w14:textId="5A3B1266">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02267C" w:rsidTr="006F28AA" w14:paraId="4DB664A6"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02267C" w:rsidP="0002267C" w:rsidRDefault="0002267C" w14:paraId="53DFBB1C" w14:textId="5C5BD524">
            <w:pPr>
              <w:keepNext/>
              <w:adjustRightInd w:val="0"/>
              <w:rPr>
                <w:rFonts w:ascii="Calibri" w:hAnsi="Calibri" w:eastAsia="Calibri" w:cs="Times New Roman"/>
                <w:sz w:val="16"/>
                <w:szCs w:val="16"/>
              </w:rPr>
            </w:pPr>
            <w:r w:rsidRPr="00EF1DA3">
              <w:rPr>
                <w:rFonts w:ascii="Calibri" w:hAnsi="Calibri" w:eastAsia="Calibri" w:cs="Times New Roman"/>
                <w:sz w:val="16"/>
                <w:szCs w:val="16"/>
              </w:rPr>
              <w:t>Account Update</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02267C" w:rsidP="0002267C" w:rsidRDefault="00DE4649" w14:paraId="491A10F8" w14:textId="3D5D483E">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15.07</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02267C" w:rsidP="0002267C" w:rsidRDefault="00DE4649" w14:paraId="0809C4E0" w14:textId="0ED957BA">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14.49</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02267C" w:rsidP="0002267C" w:rsidRDefault="0002267C" w14:paraId="79D2837D" w14:textId="51C4D9B6">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02267C" w:rsidP="0002267C" w:rsidRDefault="0002267C" w14:paraId="1C0B4281" w14:textId="153125EE">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02267C" w:rsidP="0002267C" w:rsidRDefault="0002267C" w14:paraId="77031E82" w14:textId="5F84ACB9">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02267C" w:rsidTr="006F28AA" w14:paraId="040D6CA5"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02267C" w:rsidP="0002267C" w:rsidRDefault="0002267C" w14:paraId="55855029" w14:textId="78F67B29">
            <w:pPr>
              <w:keepNext/>
              <w:adjustRightInd w:val="0"/>
              <w:rPr>
                <w:rFonts w:ascii="Calibri" w:hAnsi="Calibri" w:eastAsia="Calibri" w:cs="Times New Roman"/>
                <w:sz w:val="16"/>
                <w:szCs w:val="16"/>
              </w:rPr>
            </w:pPr>
            <w:r w:rsidRPr="00EF1DA3">
              <w:rPr>
                <w:rFonts w:ascii="Calibri" w:hAnsi="Calibri" w:eastAsia="Calibri" w:cs="Times New Roman"/>
                <w:sz w:val="16"/>
                <w:szCs w:val="16"/>
              </w:rPr>
              <w:t>Trip Ticket Update</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02267C" w:rsidP="0002267C" w:rsidRDefault="00364D3F" w14:paraId="76610909" w14:textId="0340CC91">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195.91</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02267C" w:rsidP="00364D3F" w:rsidRDefault="00364D3F" w14:paraId="03A49DCD" w14:textId="02982854">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188.37</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02267C" w:rsidP="0002267C" w:rsidRDefault="0002267C" w14:paraId="5D467AF1" w14:textId="1614B84E">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02267C" w:rsidP="0002267C" w:rsidRDefault="0002267C" w14:paraId="73E7559A" w14:textId="2C134A5A">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02267C" w:rsidP="0002267C" w:rsidRDefault="0002267C" w14:paraId="0CCBDDEC" w14:textId="159345AC">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02267C" w:rsidTr="006F28AA" w14:paraId="7768E896"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02267C" w:rsidP="0002267C" w:rsidRDefault="0002267C" w14:paraId="599F42FD" w14:textId="4ECBC072">
            <w:pPr>
              <w:keepNext/>
              <w:adjustRightInd w:val="0"/>
              <w:rPr>
                <w:rFonts w:ascii="Calibri" w:hAnsi="Calibri" w:eastAsia="Calibri" w:cs="Times New Roman"/>
                <w:sz w:val="16"/>
                <w:szCs w:val="16"/>
              </w:rPr>
            </w:pPr>
            <w:r w:rsidRPr="00EF1DA3">
              <w:rPr>
                <w:rFonts w:ascii="Calibri" w:hAnsi="Calibri" w:eastAsia="Times New Roman" w:cs="Calibri"/>
                <w:sz w:val="16"/>
                <w:szCs w:val="16"/>
              </w:rPr>
              <w:t>Gulf Reef Fish Notification of Landing</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02267C" w:rsidP="0002267C" w:rsidRDefault="00364D3F" w14:paraId="4DD9BAAD" w14:textId="2BE28B25">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783.64</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02267C" w:rsidP="0002267C" w:rsidRDefault="00364D3F" w14:paraId="34DB65BA" w14:textId="15DA2962">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753.48</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02267C" w:rsidP="0002267C" w:rsidRDefault="0002267C" w14:paraId="5FDA531B" w14:textId="77777777">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02267C" w:rsidP="0002267C" w:rsidRDefault="0002267C" w14:paraId="55B31809" w14:textId="77777777">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02267C" w:rsidP="0002267C" w:rsidRDefault="0002267C" w14:paraId="52ADFA51" w14:textId="07939B3E">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6F28AA" w14:paraId="4EC0E35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EF1DA3" w:rsidR="0002267C" w:rsidP="0002267C" w:rsidRDefault="0002267C" w14:paraId="02479EFA" w14:textId="77777777">
            <w:pPr>
              <w:keepNext/>
              <w:adjustRightInd w:val="0"/>
              <w:rPr>
                <w:rFonts w:ascii="Calibri" w:hAnsi="Calibri" w:eastAsia="Calibri" w:cs="Times New Roman"/>
                <w:sz w:val="16"/>
                <w:szCs w:val="16"/>
              </w:rPr>
            </w:pPr>
            <w:r w:rsidRPr="00EF1DA3">
              <w:rPr>
                <w:rFonts w:ascii="Calibri" w:hAnsi="Calibri" w:eastAsia="Calibri" w:cs="Times New Roman"/>
                <w:sz w:val="16"/>
                <w:szCs w:val="16"/>
              </w:rPr>
              <w:t>IFQ Close Account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EF1DA3" w:rsidR="0002267C" w:rsidP="0002267C" w:rsidRDefault="00364D3F" w14:paraId="10AA9073" w14:textId="2879C1EC">
            <w:pPr>
              <w:adjustRightInd w:val="0"/>
              <w:jc w:val="right"/>
              <w:rPr>
                <w:rFonts w:ascii="Calibri" w:hAnsi="Calibri" w:eastAsia="Calibri" w:cs="Times New Roman"/>
                <w:sz w:val="16"/>
                <w:szCs w:val="16"/>
              </w:rPr>
            </w:pPr>
            <w:r w:rsidRPr="00EF1DA3">
              <w:rPr>
                <w:rFonts w:ascii="Calibri" w:hAnsi="Calibri" w:eastAsia="Calibri" w:cs="Times New Roman"/>
                <w:sz w:val="16"/>
                <w:szCs w:val="16"/>
              </w:rPr>
              <w:t>15.07</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EF1DA3" w:rsidR="0002267C" w:rsidP="00364D3F" w:rsidRDefault="00364D3F" w14:paraId="7A744506" w14:textId="708390E8">
            <w:pPr>
              <w:keepNext/>
              <w:adjustRightInd w:val="0"/>
              <w:jc w:val="right"/>
              <w:rPr>
                <w:rFonts w:ascii="Calibri" w:hAnsi="Calibri" w:eastAsia="Calibri" w:cs="Times New Roman"/>
                <w:sz w:val="16"/>
                <w:szCs w:val="16"/>
              </w:rPr>
            </w:pPr>
            <w:r w:rsidRPr="00EF1DA3">
              <w:rPr>
                <w:rFonts w:ascii="Calibri" w:hAnsi="Calibri" w:eastAsia="Calibri" w:cs="Times New Roman"/>
                <w:sz w:val="16"/>
                <w:szCs w:val="16"/>
              </w:rPr>
              <w:t>14.49</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EF1DA3" w:rsidR="0002267C" w:rsidP="0002267C" w:rsidRDefault="0002267C" w14:paraId="5988DF54" w14:textId="657B6F74">
            <w:pPr>
              <w:keepNext/>
              <w:adjustRightInd w:val="0"/>
              <w:jc w:val="right"/>
              <w:rPr>
                <w:rFonts w:ascii="Calibri" w:hAnsi="Calibri" w:eastAsia="Calibri" w:cs="Times New Roman"/>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EF1DA3" w:rsidR="0002267C" w:rsidP="0002267C" w:rsidRDefault="0002267C" w14:paraId="72EC85EF" w14:textId="6171BC98">
            <w:pPr>
              <w:keepNext/>
              <w:adjustRightInd w:val="0"/>
              <w:jc w:val="right"/>
              <w:rPr>
                <w:rFonts w:ascii="Calibri" w:hAnsi="Calibri" w:eastAsia="Calibri" w:cs="Times New Roman"/>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EF1DA3" w:rsidR="0002267C" w:rsidP="0002267C" w:rsidRDefault="0002267C" w14:paraId="76DB1BA8" w14:textId="0223B6F6">
            <w:pPr>
              <w:keepNext/>
              <w:adjustRightInd w:val="0"/>
              <w:rPr>
                <w:rFonts w:ascii="Calibri" w:hAnsi="Calibri" w:eastAsia="Calibri" w:cs="Times New Roman"/>
                <w:sz w:val="16"/>
                <w:szCs w:val="16"/>
              </w:rPr>
            </w:pPr>
            <w:r w:rsidRPr="00EF1DA3">
              <w:rPr>
                <w:rFonts w:ascii="Calibri" w:hAnsi="Calibri" w:eastAsia="Calibri" w:cs="Times New Roman"/>
                <w:sz w:val="16"/>
                <w:szCs w:val="16"/>
              </w:rPr>
              <w:t>Labor costs changed from updated mean wage rate using BLS Occupational Data</w:t>
            </w:r>
            <w:r w:rsidRPr="00EF1DA3" w:rsidR="00DE4649">
              <w:rPr>
                <w:rFonts w:ascii="Calibri" w:hAnsi="Calibri" w:eastAsia="Calibri" w:cs="Times New Roman"/>
                <w:sz w:val="16"/>
                <w:szCs w:val="16"/>
              </w:rPr>
              <w:t>.</w:t>
            </w:r>
          </w:p>
        </w:tc>
      </w:tr>
      <w:tr w:rsidRPr="00EF1DA3" w:rsidR="00EF1DA3" w:rsidTr="007B12B8" w14:paraId="6203C20B" w14:textId="77777777">
        <w:tc>
          <w:tcPr>
            <w:tcW w:w="2478" w:type="dxa"/>
            <w:tcBorders>
              <w:top w:val="single" w:color="auto" w:sz="4" w:space="0"/>
              <w:bottom w:val="single" w:color="auto" w:sz="4" w:space="0"/>
            </w:tcBorders>
            <w:shd w:val="clear" w:color="auto" w:fill="BDD6EE"/>
            <w:vAlign w:val="center"/>
          </w:tcPr>
          <w:p w:rsidRPr="00EF1DA3" w:rsidR="0002267C" w:rsidP="0002267C" w:rsidRDefault="0002267C" w14:paraId="6A2F79F4" w14:textId="77777777">
            <w:pPr>
              <w:keepNext/>
              <w:adjustRightInd w:val="0"/>
              <w:jc w:val="center"/>
              <w:rPr>
                <w:rFonts w:ascii="Calibri" w:hAnsi="Calibri" w:eastAsia="Calibri" w:cs="Times New Roman"/>
                <w:b/>
                <w:sz w:val="16"/>
                <w:szCs w:val="16"/>
              </w:rPr>
            </w:pPr>
            <w:r w:rsidRPr="00EF1DA3">
              <w:rPr>
                <w:rFonts w:ascii="Calibri" w:hAnsi="Calibri" w:eastAsia="Calibri" w:cs="Times New Roman"/>
                <w:b/>
                <w:sz w:val="16"/>
                <w:szCs w:val="16"/>
              </w:rPr>
              <w:t>Total for Collection</w:t>
            </w:r>
          </w:p>
        </w:tc>
        <w:tc>
          <w:tcPr>
            <w:tcW w:w="1251" w:type="dxa"/>
            <w:tcBorders>
              <w:top w:val="single" w:color="auto" w:sz="4" w:space="0"/>
              <w:left w:val="nil"/>
              <w:bottom w:val="single" w:color="auto" w:sz="4" w:space="0"/>
              <w:right w:val="dashed" w:color="auto" w:sz="8" w:space="0"/>
            </w:tcBorders>
            <w:shd w:val="clear" w:color="000000" w:fill="BDD6EE"/>
            <w:vAlign w:val="center"/>
          </w:tcPr>
          <w:p w:rsidRPr="00EF1DA3" w:rsidR="0002267C" w:rsidP="0002267C" w:rsidRDefault="00364D3F" w14:paraId="3A6664F3" w14:textId="5B60885F">
            <w:pPr>
              <w:keepNext/>
              <w:adjustRightInd w:val="0"/>
              <w:jc w:val="right"/>
              <w:rPr>
                <w:rFonts w:ascii="Calibri" w:hAnsi="Calibri" w:eastAsia="Calibri" w:cs="Times New Roman"/>
                <w:b/>
                <w:sz w:val="16"/>
                <w:szCs w:val="16"/>
              </w:rPr>
            </w:pPr>
            <w:r w:rsidRPr="00EF1DA3">
              <w:rPr>
                <w:rFonts w:ascii="Calibri" w:hAnsi="Calibri" w:eastAsia="Calibri" w:cs="Times New Roman"/>
                <w:b/>
                <w:sz w:val="16"/>
                <w:szCs w:val="16"/>
              </w:rPr>
              <w:t>45,348.76</w:t>
            </w:r>
          </w:p>
        </w:tc>
        <w:tc>
          <w:tcPr>
            <w:tcW w:w="1155" w:type="dxa"/>
            <w:tcBorders>
              <w:top w:val="single" w:color="auto" w:sz="4" w:space="0"/>
              <w:left w:val="nil"/>
              <w:bottom w:val="single" w:color="auto" w:sz="4" w:space="0"/>
              <w:right w:val="single" w:color="auto" w:sz="8" w:space="0"/>
            </w:tcBorders>
            <w:shd w:val="clear" w:color="000000" w:fill="BDD6EE"/>
            <w:vAlign w:val="center"/>
          </w:tcPr>
          <w:p w:rsidRPr="00EF1DA3" w:rsidR="0002267C" w:rsidP="00364D3F" w:rsidRDefault="00364D3F" w14:paraId="053B99EB" w14:textId="69BDC376">
            <w:pPr>
              <w:adjustRightInd w:val="0"/>
              <w:jc w:val="right"/>
              <w:rPr>
                <w:rFonts w:ascii="Calibri" w:hAnsi="Calibri" w:eastAsia="Calibri" w:cs="Times New Roman"/>
                <w:b/>
                <w:bCs/>
                <w:sz w:val="16"/>
                <w:szCs w:val="16"/>
              </w:rPr>
            </w:pPr>
            <w:r w:rsidRPr="00EF1DA3">
              <w:rPr>
                <w:rFonts w:ascii="Calibri" w:hAnsi="Calibri" w:eastAsia="Times New Roman" w:cs="Calibri"/>
                <w:b/>
                <w:bCs/>
                <w:sz w:val="16"/>
                <w:szCs w:val="16"/>
              </w:rPr>
              <w:t>34,732.53</w:t>
            </w:r>
          </w:p>
        </w:tc>
        <w:tc>
          <w:tcPr>
            <w:tcW w:w="1058" w:type="dxa"/>
            <w:tcBorders>
              <w:top w:val="single" w:color="auto" w:sz="4" w:space="0"/>
              <w:left w:val="nil"/>
              <w:bottom w:val="single" w:color="auto" w:sz="4" w:space="0"/>
              <w:right w:val="dashed" w:color="auto" w:sz="8" w:space="0"/>
            </w:tcBorders>
            <w:shd w:val="clear" w:color="000000" w:fill="BDD6EE"/>
            <w:vAlign w:val="center"/>
          </w:tcPr>
          <w:p w:rsidRPr="00EF1DA3" w:rsidR="0002267C" w:rsidP="0002267C" w:rsidRDefault="00535FB5" w14:paraId="5A8C8577" w14:textId="3B0F54E8">
            <w:pPr>
              <w:keepNext/>
              <w:adjustRightInd w:val="0"/>
              <w:jc w:val="right"/>
              <w:rPr>
                <w:rFonts w:ascii="Calibri" w:hAnsi="Calibri" w:eastAsia="Calibri" w:cs="Times New Roman"/>
                <w:b/>
                <w:sz w:val="16"/>
                <w:szCs w:val="16"/>
              </w:rPr>
            </w:pPr>
            <w:r>
              <w:rPr>
                <w:rFonts w:ascii="Calibri" w:hAnsi="Calibri" w:eastAsia="Calibri" w:cs="Times New Roman"/>
                <w:b/>
                <w:sz w:val="16"/>
                <w:szCs w:val="16"/>
              </w:rPr>
              <w:t>625</w:t>
            </w:r>
          </w:p>
        </w:tc>
        <w:tc>
          <w:tcPr>
            <w:tcW w:w="1252" w:type="dxa"/>
            <w:tcBorders>
              <w:top w:val="single" w:color="auto" w:sz="4" w:space="0"/>
              <w:left w:val="nil"/>
              <w:bottom w:val="single" w:color="auto" w:sz="4" w:space="0"/>
              <w:right w:val="single" w:color="auto" w:sz="8" w:space="0"/>
            </w:tcBorders>
            <w:shd w:val="clear" w:color="000000" w:fill="BDD6EE"/>
            <w:vAlign w:val="center"/>
          </w:tcPr>
          <w:p w:rsidRPr="00EF1DA3" w:rsidR="0002267C" w:rsidP="0002267C" w:rsidRDefault="00535FB5" w14:paraId="5BE90FCE" w14:textId="52AAD061">
            <w:pPr>
              <w:keepNext/>
              <w:adjustRightInd w:val="0"/>
              <w:jc w:val="right"/>
              <w:rPr>
                <w:rFonts w:ascii="Calibri" w:hAnsi="Calibri" w:eastAsia="Calibri" w:cs="Times New Roman"/>
                <w:b/>
                <w:sz w:val="16"/>
                <w:szCs w:val="16"/>
              </w:rPr>
            </w:pPr>
            <w:r>
              <w:rPr>
                <w:rFonts w:ascii="Calibri" w:hAnsi="Calibri" w:eastAsia="Calibri" w:cs="Times New Roman"/>
                <w:b/>
                <w:sz w:val="16"/>
                <w:szCs w:val="16"/>
              </w:rPr>
              <w:t>651</w:t>
            </w:r>
          </w:p>
        </w:tc>
        <w:tc>
          <w:tcPr>
            <w:tcW w:w="6177" w:type="dxa"/>
            <w:tcBorders>
              <w:left w:val="single" w:color="auto" w:sz="4" w:space="0"/>
              <w:right w:val="single" w:color="auto" w:sz="4" w:space="0"/>
            </w:tcBorders>
            <w:shd w:val="clear" w:color="auto" w:fill="BDD6EE"/>
            <w:vAlign w:val="center"/>
          </w:tcPr>
          <w:p w:rsidRPr="00EF1DA3" w:rsidR="0002267C" w:rsidP="0002267C" w:rsidRDefault="0002267C" w14:paraId="1710290E" w14:textId="77777777">
            <w:pPr>
              <w:keepNext/>
              <w:adjustRightInd w:val="0"/>
              <w:jc w:val="center"/>
              <w:rPr>
                <w:rFonts w:ascii="Calibri" w:hAnsi="Calibri" w:eastAsia="Calibri" w:cs="Times New Roman"/>
                <w:b/>
                <w:sz w:val="16"/>
                <w:szCs w:val="16"/>
              </w:rPr>
            </w:pPr>
          </w:p>
        </w:tc>
      </w:tr>
      <w:tr w:rsidRPr="00EF1DA3" w:rsidR="007B12B8" w:rsidTr="00001B92" w14:paraId="0764AE71" w14:textId="77777777">
        <w:tc>
          <w:tcPr>
            <w:tcW w:w="2478" w:type="dxa"/>
            <w:tcBorders>
              <w:top w:val="single" w:color="auto" w:sz="4" w:space="0"/>
            </w:tcBorders>
            <w:shd w:val="clear" w:color="auto" w:fill="FDE9D9" w:themeFill="accent6" w:themeFillTint="33"/>
            <w:vAlign w:val="center"/>
          </w:tcPr>
          <w:p w:rsidRPr="00EF1DA3" w:rsidR="007B12B8" w:rsidP="0002267C" w:rsidRDefault="007B12B8" w14:paraId="75199476" w14:textId="4309B680">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Difference</w:t>
            </w:r>
          </w:p>
        </w:tc>
        <w:tc>
          <w:tcPr>
            <w:tcW w:w="2406"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Pr="00EF1DA3" w:rsidR="007B12B8" w:rsidP="007B12B8" w:rsidRDefault="007B12B8" w14:paraId="3F636F7F" w14:textId="77777777">
            <w:pPr>
              <w:adjustRightInd w:val="0"/>
              <w:jc w:val="center"/>
              <w:rPr>
                <w:rFonts w:ascii="Calibri" w:hAnsi="Calibri" w:eastAsia="Times New Roman" w:cs="Calibri"/>
                <w:b/>
                <w:bCs/>
                <w:sz w:val="16"/>
                <w:szCs w:val="16"/>
              </w:rPr>
            </w:pPr>
          </w:p>
        </w:tc>
        <w:tc>
          <w:tcPr>
            <w:tcW w:w="2310"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007B12B8" w:rsidP="007B12B8" w:rsidRDefault="007B12B8" w14:paraId="31A21BF1" w14:textId="1B55C0F4">
            <w:pPr>
              <w:keepNext/>
              <w:adjustRightInd w:val="0"/>
              <w:jc w:val="center"/>
              <w:rPr>
                <w:rFonts w:ascii="Calibri" w:hAnsi="Calibri" w:eastAsia="Calibri" w:cs="Times New Roman"/>
                <w:b/>
                <w:sz w:val="16"/>
                <w:szCs w:val="16"/>
              </w:rPr>
            </w:pPr>
            <w:r>
              <w:rPr>
                <w:rFonts w:ascii="Calibri" w:hAnsi="Calibri" w:eastAsia="Calibri" w:cs="Times New Roman"/>
                <w:b/>
                <w:sz w:val="16"/>
                <w:szCs w:val="16"/>
              </w:rPr>
              <w:t>-$26</w:t>
            </w:r>
          </w:p>
        </w:tc>
        <w:tc>
          <w:tcPr>
            <w:tcW w:w="6177" w:type="dxa"/>
            <w:tcBorders>
              <w:left w:val="single" w:color="auto" w:sz="4" w:space="0"/>
              <w:bottom w:val="single" w:color="auto" w:sz="4" w:space="0"/>
              <w:right w:val="single" w:color="auto" w:sz="4" w:space="0"/>
            </w:tcBorders>
            <w:shd w:val="clear" w:color="auto" w:fill="FDE9D9" w:themeFill="accent6" w:themeFillTint="33"/>
            <w:vAlign w:val="center"/>
          </w:tcPr>
          <w:p w:rsidRPr="00EF1DA3" w:rsidR="007B12B8" w:rsidP="0002267C" w:rsidRDefault="007B12B8" w14:paraId="3316A92B" w14:textId="77777777">
            <w:pPr>
              <w:keepNext/>
              <w:adjustRightInd w:val="0"/>
              <w:jc w:val="center"/>
              <w:rPr>
                <w:rFonts w:ascii="Calibri" w:hAnsi="Calibri" w:eastAsia="Calibri" w:cs="Times New Roman"/>
                <w:b/>
                <w:sz w:val="16"/>
                <w:szCs w:val="16"/>
              </w:rPr>
            </w:pPr>
          </w:p>
        </w:tc>
      </w:tr>
    </w:tbl>
    <w:p w:rsidRPr="00EF1DA3" w:rsidR="00DF0CE3" w:rsidP="00BD7237" w:rsidRDefault="00DF0CE3" w14:paraId="26ADA5A4" w14:textId="2808D597">
      <w:pPr>
        <w:pStyle w:val="BodyText"/>
        <w:spacing w:before="7"/>
        <w:ind w:left="0"/>
        <w:rPr>
          <w:rFonts w:cs="Times New Roman"/>
        </w:rPr>
      </w:pPr>
    </w:p>
    <w:p w:rsidRPr="00EF1DA3" w:rsidR="00D547CB" w:rsidP="00FE4D10" w:rsidRDefault="00D547CB" w14:paraId="6A736A64" w14:textId="036F54EB">
      <w:pPr>
        <w:pStyle w:val="BodyText"/>
        <w:spacing w:before="0"/>
        <w:ind w:left="0"/>
        <w:rPr>
          <w:rFonts w:cs="Times New Roman"/>
        </w:rPr>
      </w:pPr>
    </w:p>
    <w:p w:rsidRPr="00EF1DA3" w:rsidR="00D547CB" w:rsidP="00FE4D10" w:rsidRDefault="00D547CB" w14:paraId="611977D6" w14:textId="77777777">
      <w:pPr>
        <w:pStyle w:val="BodyText"/>
        <w:spacing w:before="0"/>
        <w:ind w:left="0"/>
        <w:rPr>
          <w:rFonts w:cs="Times New Roman"/>
        </w:rPr>
        <w:sectPr w:rsidRPr="00EF1DA3" w:rsidR="00D547CB" w:rsidSect="00D547CB">
          <w:pgSz w:w="15840" w:h="12240" w:orient="landscape"/>
          <w:pgMar w:top="1080" w:right="1200" w:bottom="1080" w:left="640" w:header="0" w:footer="1014" w:gutter="0"/>
          <w:cols w:space="720"/>
          <w:docGrid w:linePitch="326"/>
        </w:sectPr>
      </w:pPr>
    </w:p>
    <w:p w:rsidRPr="00EF1DA3" w:rsidR="008E61C9" w:rsidP="00FE4D10" w:rsidRDefault="001477A3" w14:paraId="169A4C32" w14:textId="77777777">
      <w:pPr>
        <w:pStyle w:val="ListParagraph"/>
        <w:numPr>
          <w:ilvl w:val="0"/>
          <w:numId w:val="7"/>
        </w:numPr>
        <w:tabs>
          <w:tab w:val="left" w:pos="360"/>
        </w:tabs>
        <w:spacing w:before="0"/>
        <w:ind w:left="0" w:firstLine="0"/>
        <w:rPr>
          <w:rFonts w:cs="Times New Roman"/>
          <w:b/>
        </w:rPr>
      </w:pPr>
      <w:r w:rsidRPr="00EF1DA3">
        <w:rPr>
          <w:rFonts w:cs="Times New Roman"/>
          <w:b/>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1DA3" w:rsidR="00D9569D" w:rsidP="00FE4D10" w:rsidRDefault="00D9569D" w14:paraId="779D4133" w14:textId="77777777">
      <w:pPr>
        <w:widowControl/>
        <w:rPr>
          <w:rFonts w:cs="Times New Roman"/>
        </w:rPr>
      </w:pPr>
    </w:p>
    <w:p w:rsidRPr="00EF1DA3" w:rsidR="00D9569D" w:rsidP="00FE4D10" w:rsidRDefault="00D9569D" w14:paraId="787FDC36" w14:textId="5AD26B4F">
      <w:pPr>
        <w:widowControl/>
        <w:rPr>
          <w:rFonts w:cs="Times New Roman"/>
        </w:rPr>
      </w:pPr>
      <w:r w:rsidRPr="00EF1DA3">
        <w:rPr>
          <w:rFonts w:cs="Times New Roman"/>
        </w:rPr>
        <w:t xml:space="preserve">The results from this collection are not planned for peer-review publication. IFQ program staff complete a summary report for each program annually and posts these reports online. These reports comply with Information Quality Act guidelines. NMFS aggregates collected data as needed to maintain confidentiality when disseminating data. </w:t>
      </w:r>
    </w:p>
    <w:p w:rsidRPr="00EF1DA3" w:rsidR="00D9569D" w:rsidP="00FE4D10" w:rsidRDefault="00D9569D" w14:paraId="4ED0680A" w14:textId="77777777">
      <w:pPr>
        <w:pStyle w:val="BodyText"/>
        <w:spacing w:before="0"/>
        <w:ind w:left="0"/>
        <w:rPr>
          <w:rFonts w:cs="Times New Roman"/>
        </w:rPr>
      </w:pPr>
    </w:p>
    <w:p w:rsidRPr="00EF1DA3" w:rsidR="008E61C9" w:rsidP="00FE4D10" w:rsidRDefault="001477A3" w14:paraId="4CF78A47" w14:textId="77777777">
      <w:pPr>
        <w:pStyle w:val="ListParagraph"/>
        <w:numPr>
          <w:ilvl w:val="0"/>
          <w:numId w:val="7"/>
        </w:numPr>
        <w:tabs>
          <w:tab w:val="left" w:pos="360"/>
        </w:tabs>
        <w:spacing w:before="0"/>
        <w:ind w:left="0" w:firstLine="0"/>
        <w:rPr>
          <w:rFonts w:cs="Times New Roman"/>
          <w:b/>
        </w:rPr>
      </w:pPr>
      <w:r w:rsidRPr="00EF1DA3">
        <w:rPr>
          <w:rFonts w:cs="Times New Roman"/>
          <w:b/>
        </w:rPr>
        <w:t>If seeking approval to not display the expiration date for OMB approval of the information collection, explain the reasons that display would be inappropriate.</w:t>
      </w:r>
    </w:p>
    <w:p w:rsidR="00F9555D" w:rsidP="00FE4D10" w:rsidRDefault="00F9555D" w14:paraId="5E380656" w14:textId="77777777">
      <w:pPr>
        <w:rPr>
          <w:rFonts w:cs="Times New Roman"/>
        </w:rPr>
      </w:pPr>
    </w:p>
    <w:p w:rsidRPr="00EF1DA3" w:rsidR="00F60F98" w:rsidP="00FE4D10" w:rsidRDefault="00F9555D" w14:paraId="74E78EE5" w14:textId="339AACD3">
      <w:pPr>
        <w:rPr>
          <w:rFonts w:cs="Times New Roman"/>
        </w:rPr>
      </w:pPr>
      <w:r>
        <w:rPr>
          <w:rFonts w:cs="Times New Roman"/>
        </w:rPr>
        <w:t>NMFS</w:t>
      </w:r>
      <w:r w:rsidRPr="00EF1DA3" w:rsidR="001477A3">
        <w:rPr>
          <w:rFonts w:cs="Times New Roman"/>
        </w:rPr>
        <w:t xml:space="preserve"> plans to display the expiration date for OMB approval of the information</w:t>
      </w:r>
      <w:r w:rsidRPr="00EF1DA3" w:rsidR="005B595D">
        <w:rPr>
          <w:rFonts w:cs="Times New Roman"/>
        </w:rPr>
        <w:t xml:space="preserve"> collection on all instruments.</w:t>
      </w:r>
    </w:p>
    <w:p w:rsidRPr="00EF1DA3" w:rsidR="008E61C9" w:rsidP="00FE4D10" w:rsidRDefault="008E61C9" w14:paraId="2E5BFD71" w14:textId="77777777">
      <w:pPr>
        <w:rPr>
          <w:rFonts w:cs="Times New Roman"/>
          <w:i/>
        </w:rPr>
      </w:pPr>
    </w:p>
    <w:p w:rsidRPr="00EF1DA3" w:rsidR="008E61C9" w:rsidP="00FE4D10" w:rsidRDefault="001477A3" w14:paraId="1A16B57D" w14:textId="4A33CA80">
      <w:pPr>
        <w:pStyle w:val="ListParagraph"/>
        <w:numPr>
          <w:ilvl w:val="0"/>
          <w:numId w:val="7"/>
        </w:numPr>
        <w:tabs>
          <w:tab w:val="left" w:pos="360"/>
        </w:tabs>
        <w:spacing w:before="0"/>
        <w:ind w:left="0" w:firstLine="0"/>
        <w:rPr>
          <w:rFonts w:cs="Times New Roman"/>
          <w:b/>
        </w:rPr>
      </w:pPr>
      <w:r w:rsidRPr="00EF1DA3">
        <w:rPr>
          <w:rFonts w:cs="Times New Roman"/>
          <w:b/>
        </w:rPr>
        <w:t>Explain each exception to the certification statement identified in “Certification for Paperwork Reduction Act Submissions.</w:t>
      </w:r>
      <w:r w:rsidR="00F9555D">
        <w:rPr>
          <w:rFonts w:cs="Times New Roman"/>
          <w:b/>
        </w:rPr>
        <w:t>”</w:t>
      </w:r>
    </w:p>
    <w:p w:rsidR="00F9555D" w:rsidP="00FE4D10" w:rsidRDefault="00F9555D" w14:paraId="5DAB169F" w14:textId="77777777">
      <w:pPr>
        <w:jc w:val="both"/>
        <w:rPr>
          <w:rFonts w:cs="Times New Roman"/>
        </w:rPr>
      </w:pPr>
    </w:p>
    <w:p w:rsidRPr="00EF1DA3" w:rsidR="008E61C9" w:rsidP="00FE4D10" w:rsidRDefault="001477A3" w14:paraId="18A214CE" w14:textId="62D9EECD">
      <w:pPr>
        <w:jc w:val="both"/>
        <w:rPr>
          <w:rFonts w:cs="Times New Roman"/>
        </w:rPr>
      </w:pPr>
      <w:r w:rsidRPr="00EF1DA3">
        <w:rPr>
          <w:rFonts w:cs="Times New Roman"/>
        </w:rPr>
        <w:t xml:space="preserve">The agency certifies compliance with </w:t>
      </w:r>
      <w:hyperlink r:id="rId22">
        <w:r w:rsidRPr="00EF1DA3">
          <w:rPr>
            <w:rFonts w:cs="Times New Roman"/>
            <w:u w:val="thick" w:color="0563C1"/>
          </w:rPr>
          <w:t>5 CFR 1320.9</w:t>
        </w:r>
        <w:r w:rsidRPr="00EF1DA3">
          <w:rPr>
            <w:rFonts w:cs="Times New Roman"/>
          </w:rPr>
          <w:t xml:space="preserve"> </w:t>
        </w:r>
      </w:hyperlink>
      <w:r w:rsidRPr="00EF1DA3">
        <w:rPr>
          <w:rFonts w:cs="Times New Roman"/>
        </w:rPr>
        <w:t xml:space="preserve">and the related provisions of </w:t>
      </w:r>
      <w:hyperlink r:id="rId23">
        <w:r w:rsidRPr="00EF1DA3">
          <w:rPr>
            <w:rFonts w:cs="Times New Roman"/>
            <w:u w:val="thick" w:color="0563C1"/>
          </w:rPr>
          <w:t>5</w:t>
        </w:r>
        <w:r w:rsidRPr="00EF1DA3">
          <w:rPr>
            <w:rFonts w:cs="Times New Roman"/>
            <w:spacing w:val="-42"/>
            <w:u w:val="thick" w:color="0563C1"/>
          </w:rPr>
          <w:t xml:space="preserve"> </w:t>
        </w:r>
        <w:r w:rsidRPr="00EF1DA3">
          <w:rPr>
            <w:rFonts w:cs="Times New Roman"/>
            <w:u w:val="thick" w:color="0563C1"/>
          </w:rPr>
          <w:t>CFR</w:t>
        </w:r>
      </w:hyperlink>
      <w:r w:rsidRPr="00EF1DA3">
        <w:rPr>
          <w:rFonts w:cs="Times New Roman"/>
        </w:rPr>
        <w:t xml:space="preserve"> </w:t>
      </w:r>
      <w:hyperlink r:id="rId24">
        <w:r w:rsidRPr="00EF1DA3">
          <w:rPr>
            <w:rFonts w:cs="Times New Roman"/>
            <w:u w:val="thick" w:color="0563C1"/>
          </w:rPr>
          <w:t>1320.8(b)(3)</w:t>
        </w:r>
      </w:hyperlink>
      <w:r w:rsidRPr="00EF1DA3" w:rsidR="00F60F98">
        <w:rPr>
          <w:rFonts w:cs="Times New Roman"/>
        </w:rPr>
        <w:t>.</w:t>
      </w:r>
    </w:p>
    <w:p w:rsidRPr="00EF1DA3" w:rsidR="0018522A" w:rsidP="00FE4D10" w:rsidRDefault="0018522A" w14:paraId="0044A0A3" w14:textId="7FF856B3">
      <w:pPr>
        <w:jc w:val="both"/>
        <w:rPr>
          <w:rFonts w:cs="Times New Roman"/>
        </w:rPr>
      </w:pPr>
    </w:p>
    <w:p w:rsidRPr="00EF1DA3" w:rsidR="0018522A" w:rsidP="00FE4D10" w:rsidRDefault="0018522A" w14:paraId="75231E0A" w14:textId="77777777">
      <w:pPr>
        <w:jc w:val="both"/>
        <w:rPr>
          <w:rFonts w:cs="Times New Roman"/>
        </w:rPr>
      </w:pPr>
    </w:p>
    <w:sectPr w:rsidRPr="00EF1DA3" w:rsidR="0018522A"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A8C8" w14:textId="77777777" w:rsidR="00001B92" w:rsidRDefault="00001B92">
      <w:r>
        <w:separator/>
      </w:r>
    </w:p>
  </w:endnote>
  <w:endnote w:type="continuationSeparator" w:id="0">
    <w:p w14:paraId="78F7715E" w14:textId="77777777" w:rsidR="00001B92" w:rsidRDefault="0000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A430" w14:textId="77777777" w:rsidR="00001B92" w:rsidRDefault="00001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33399"/>
      <w:docPartObj>
        <w:docPartGallery w:val="Page Numbers (Bottom of Page)"/>
        <w:docPartUnique/>
      </w:docPartObj>
    </w:sdtPr>
    <w:sdtEndPr>
      <w:rPr>
        <w:noProof/>
      </w:rPr>
    </w:sdtEndPr>
    <w:sdtContent>
      <w:p w14:paraId="67D00DFB" w14:textId="4BECCE6C" w:rsidR="00001B92" w:rsidRDefault="00001B92">
        <w:pPr>
          <w:pStyle w:val="Footer"/>
          <w:jc w:val="center"/>
        </w:pPr>
        <w:r>
          <w:fldChar w:fldCharType="begin"/>
        </w:r>
        <w:r>
          <w:instrText xml:space="preserve"> PAGE   \* MERGEFORMAT </w:instrText>
        </w:r>
        <w:r>
          <w:fldChar w:fldCharType="separate"/>
        </w:r>
        <w:r w:rsidR="00F12095">
          <w:rPr>
            <w:noProof/>
          </w:rPr>
          <w:t>15</w:t>
        </w:r>
        <w:r>
          <w:rPr>
            <w:noProof/>
          </w:rPr>
          <w:fldChar w:fldCharType="end"/>
        </w:r>
      </w:p>
    </w:sdtContent>
  </w:sdt>
  <w:p w14:paraId="153C8E01" w14:textId="303D64C0" w:rsidR="00001B92" w:rsidRPr="00DF1141" w:rsidRDefault="00001B92" w:rsidP="00DF1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AACA" w14:textId="77777777" w:rsidR="00001B92" w:rsidRDefault="00001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FDD9A" w14:textId="77777777" w:rsidR="00001B92" w:rsidRDefault="00001B92">
      <w:r>
        <w:separator/>
      </w:r>
    </w:p>
  </w:footnote>
  <w:footnote w:type="continuationSeparator" w:id="0">
    <w:p w14:paraId="612DF462" w14:textId="77777777" w:rsidR="00001B92" w:rsidRDefault="0000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71A3" w14:textId="77777777" w:rsidR="00001B92" w:rsidRDefault="00001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0D65" w14:textId="77777777" w:rsidR="00001B92" w:rsidRDefault="00001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E7BD3" w14:textId="77777777" w:rsidR="00001B92" w:rsidRDefault="00001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1C80"/>
    <w:multiLevelType w:val="multilevel"/>
    <w:tmpl w:val="257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59D535E"/>
    <w:multiLevelType w:val="hybridMultilevel"/>
    <w:tmpl w:val="FA4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D1A90"/>
    <w:multiLevelType w:val="hybridMultilevel"/>
    <w:tmpl w:val="AEC8BF50"/>
    <w:lvl w:ilvl="0" w:tplc="F7AAC3AC">
      <w:start w:val="1"/>
      <w:numFmt w:val="decimal"/>
      <w:lvlText w:val="%1."/>
      <w:lvlJc w:val="left"/>
      <w:pPr>
        <w:ind w:left="1619" w:hanging="269"/>
      </w:pPr>
      <w:rPr>
        <w:rFonts w:ascii="Times New Roman" w:eastAsia="Arial" w:hAnsi="Times New Roman" w:cs="Times New Roman"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1E15358E"/>
    <w:multiLevelType w:val="hybridMultilevel"/>
    <w:tmpl w:val="DCF0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1"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10"/>
  </w:num>
  <w:num w:numId="6">
    <w:abstractNumId w:val="11"/>
  </w:num>
  <w:num w:numId="7">
    <w:abstractNumId w:val="6"/>
  </w:num>
  <w:num w:numId="8">
    <w:abstractNumId w:val="2"/>
  </w:num>
  <w:num w:numId="9">
    <w:abstractNumId w:val="12"/>
  </w:num>
  <w:num w:numId="10">
    <w:abstractNumId w:val="16"/>
  </w:num>
  <w:num w:numId="11">
    <w:abstractNumId w:val="8"/>
  </w:num>
  <w:num w:numId="12">
    <w:abstractNumId w:val="14"/>
  </w:num>
  <w:num w:numId="13">
    <w:abstractNumId w:val="1"/>
  </w:num>
  <w:num w:numId="14">
    <w:abstractNumId w:val="17"/>
  </w:num>
  <w:num w:numId="15">
    <w:abstractNumId w:val="9"/>
  </w:num>
  <w:num w:numId="16">
    <w:abstractNumId w:val="0"/>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B92"/>
    <w:rsid w:val="000041C3"/>
    <w:rsid w:val="00007573"/>
    <w:rsid w:val="00007BC8"/>
    <w:rsid w:val="0002267C"/>
    <w:rsid w:val="0006590E"/>
    <w:rsid w:val="00085752"/>
    <w:rsid w:val="00092CB1"/>
    <w:rsid w:val="00095A9D"/>
    <w:rsid w:val="000A375D"/>
    <w:rsid w:val="000B117C"/>
    <w:rsid w:val="000B2A9C"/>
    <w:rsid w:val="000C509B"/>
    <w:rsid w:val="000E46F1"/>
    <w:rsid w:val="000F0BFB"/>
    <w:rsid w:val="000F18BB"/>
    <w:rsid w:val="00102F0A"/>
    <w:rsid w:val="00104CE6"/>
    <w:rsid w:val="00115034"/>
    <w:rsid w:val="0012072C"/>
    <w:rsid w:val="00136088"/>
    <w:rsid w:val="001477A3"/>
    <w:rsid w:val="001512D5"/>
    <w:rsid w:val="0016792B"/>
    <w:rsid w:val="0017286A"/>
    <w:rsid w:val="0018522A"/>
    <w:rsid w:val="001A4DD2"/>
    <w:rsid w:val="001A5F7E"/>
    <w:rsid w:val="001B3F27"/>
    <w:rsid w:val="001D23B2"/>
    <w:rsid w:val="001F47AF"/>
    <w:rsid w:val="00203333"/>
    <w:rsid w:val="00211488"/>
    <w:rsid w:val="0023454A"/>
    <w:rsid w:val="002B1FE8"/>
    <w:rsid w:val="002B571A"/>
    <w:rsid w:val="002C43AA"/>
    <w:rsid w:val="002D5262"/>
    <w:rsid w:val="002F16C5"/>
    <w:rsid w:val="002F30ED"/>
    <w:rsid w:val="002F4B78"/>
    <w:rsid w:val="00324E78"/>
    <w:rsid w:val="00354B9C"/>
    <w:rsid w:val="00362B45"/>
    <w:rsid w:val="00364D3F"/>
    <w:rsid w:val="003668E9"/>
    <w:rsid w:val="00367632"/>
    <w:rsid w:val="00376819"/>
    <w:rsid w:val="003773A3"/>
    <w:rsid w:val="003B4650"/>
    <w:rsid w:val="003C0CD8"/>
    <w:rsid w:val="003C4232"/>
    <w:rsid w:val="003E50BC"/>
    <w:rsid w:val="003E6ADE"/>
    <w:rsid w:val="00415744"/>
    <w:rsid w:val="00427992"/>
    <w:rsid w:val="00477A34"/>
    <w:rsid w:val="004B75EF"/>
    <w:rsid w:val="004C4050"/>
    <w:rsid w:val="004D747C"/>
    <w:rsid w:val="004F32E9"/>
    <w:rsid w:val="0050663C"/>
    <w:rsid w:val="0050708E"/>
    <w:rsid w:val="0051618E"/>
    <w:rsid w:val="00533A58"/>
    <w:rsid w:val="00535FB5"/>
    <w:rsid w:val="005403A4"/>
    <w:rsid w:val="00561EF8"/>
    <w:rsid w:val="005A51B0"/>
    <w:rsid w:val="005B595D"/>
    <w:rsid w:val="0060276E"/>
    <w:rsid w:val="0062487D"/>
    <w:rsid w:val="00626B1B"/>
    <w:rsid w:val="006462D7"/>
    <w:rsid w:val="00662779"/>
    <w:rsid w:val="006636B9"/>
    <w:rsid w:val="006B0F56"/>
    <w:rsid w:val="006D3755"/>
    <w:rsid w:val="006E1322"/>
    <w:rsid w:val="006E185F"/>
    <w:rsid w:val="006E7F83"/>
    <w:rsid w:val="006F28AA"/>
    <w:rsid w:val="0070229C"/>
    <w:rsid w:val="007250CA"/>
    <w:rsid w:val="00755F60"/>
    <w:rsid w:val="00756CB2"/>
    <w:rsid w:val="007817E6"/>
    <w:rsid w:val="007A65F3"/>
    <w:rsid w:val="007B12B8"/>
    <w:rsid w:val="007C5E13"/>
    <w:rsid w:val="007C7814"/>
    <w:rsid w:val="007D6606"/>
    <w:rsid w:val="007E71CD"/>
    <w:rsid w:val="008023E0"/>
    <w:rsid w:val="00802E6D"/>
    <w:rsid w:val="008074FA"/>
    <w:rsid w:val="00810C32"/>
    <w:rsid w:val="0081417B"/>
    <w:rsid w:val="0082262E"/>
    <w:rsid w:val="0082435B"/>
    <w:rsid w:val="00832D33"/>
    <w:rsid w:val="00850085"/>
    <w:rsid w:val="00851C0D"/>
    <w:rsid w:val="00880F82"/>
    <w:rsid w:val="008843AA"/>
    <w:rsid w:val="0089068F"/>
    <w:rsid w:val="008A54AD"/>
    <w:rsid w:val="008B6171"/>
    <w:rsid w:val="008C0276"/>
    <w:rsid w:val="008C3256"/>
    <w:rsid w:val="008C4D60"/>
    <w:rsid w:val="008D28E4"/>
    <w:rsid w:val="008D3C5D"/>
    <w:rsid w:val="008E61C9"/>
    <w:rsid w:val="008F6457"/>
    <w:rsid w:val="008F6B0B"/>
    <w:rsid w:val="0090651A"/>
    <w:rsid w:val="009375F0"/>
    <w:rsid w:val="00937FC0"/>
    <w:rsid w:val="00943C81"/>
    <w:rsid w:val="009523A7"/>
    <w:rsid w:val="00986124"/>
    <w:rsid w:val="009A1CE4"/>
    <w:rsid w:val="009B116F"/>
    <w:rsid w:val="009B4254"/>
    <w:rsid w:val="009C713E"/>
    <w:rsid w:val="009C747C"/>
    <w:rsid w:val="009D4F38"/>
    <w:rsid w:val="009E0C0F"/>
    <w:rsid w:val="009E2C37"/>
    <w:rsid w:val="009E3FB3"/>
    <w:rsid w:val="009F33C7"/>
    <w:rsid w:val="009F47B4"/>
    <w:rsid w:val="00A03534"/>
    <w:rsid w:val="00A1446B"/>
    <w:rsid w:val="00A149E9"/>
    <w:rsid w:val="00A1586A"/>
    <w:rsid w:val="00A16F64"/>
    <w:rsid w:val="00A27DA5"/>
    <w:rsid w:val="00A31CBE"/>
    <w:rsid w:val="00A70A70"/>
    <w:rsid w:val="00A812F9"/>
    <w:rsid w:val="00A86A6B"/>
    <w:rsid w:val="00A90349"/>
    <w:rsid w:val="00A94E54"/>
    <w:rsid w:val="00AC43DF"/>
    <w:rsid w:val="00AD1431"/>
    <w:rsid w:val="00AD2BFF"/>
    <w:rsid w:val="00AD441D"/>
    <w:rsid w:val="00AD5AF6"/>
    <w:rsid w:val="00AE0803"/>
    <w:rsid w:val="00B1664C"/>
    <w:rsid w:val="00B32092"/>
    <w:rsid w:val="00B710E1"/>
    <w:rsid w:val="00B7151C"/>
    <w:rsid w:val="00B742D8"/>
    <w:rsid w:val="00B76125"/>
    <w:rsid w:val="00B802C9"/>
    <w:rsid w:val="00B92DA4"/>
    <w:rsid w:val="00BA1B54"/>
    <w:rsid w:val="00BA369D"/>
    <w:rsid w:val="00BB1FEB"/>
    <w:rsid w:val="00BD7237"/>
    <w:rsid w:val="00BE0BB5"/>
    <w:rsid w:val="00BE4C20"/>
    <w:rsid w:val="00BE4DC0"/>
    <w:rsid w:val="00C06DEB"/>
    <w:rsid w:val="00C207CF"/>
    <w:rsid w:val="00C2154B"/>
    <w:rsid w:val="00C21838"/>
    <w:rsid w:val="00C22103"/>
    <w:rsid w:val="00C56698"/>
    <w:rsid w:val="00C62DF4"/>
    <w:rsid w:val="00C73FC0"/>
    <w:rsid w:val="00C77BD8"/>
    <w:rsid w:val="00C81E05"/>
    <w:rsid w:val="00C86CED"/>
    <w:rsid w:val="00CA543A"/>
    <w:rsid w:val="00CB209C"/>
    <w:rsid w:val="00CC3B4D"/>
    <w:rsid w:val="00CD5673"/>
    <w:rsid w:val="00CD6CC5"/>
    <w:rsid w:val="00CE1CF4"/>
    <w:rsid w:val="00CE299B"/>
    <w:rsid w:val="00CE3E01"/>
    <w:rsid w:val="00CE7219"/>
    <w:rsid w:val="00D37B2B"/>
    <w:rsid w:val="00D5315D"/>
    <w:rsid w:val="00D547CB"/>
    <w:rsid w:val="00D56745"/>
    <w:rsid w:val="00D64DF9"/>
    <w:rsid w:val="00D71B8B"/>
    <w:rsid w:val="00D91741"/>
    <w:rsid w:val="00D9569D"/>
    <w:rsid w:val="00DB5579"/>
    <w:rsid w:val="00DC13E2"/>
    <w:rsid w:val="00DD03C3"/>
    <w:rsid w:val="00DE4649"/>
    <w:rsid w:val="00DF0CE3"/>
    <w:rsid w:val="00DF1141"/>
    <w:rsid w:val="00DF15DD"/>
    <w:rsid w:val="00E02E0E"/>
    <w:rsid w:val="00E312FF"/>
    <w:rsid w:val="00E4671C"/>
    <w:rsid w:val="00E46D21"/>
    <w:rsid w:val="00E53C44"/>
    <w:rsid w:val="00E70F20"/>
    <w:rsid w:val="00EA79E9"/>
    <w:rsid w:val="00EF1DA3"/>
    <w:rsid w:val="00EF5B0C"/>
    <w:rsid w:val="00EF6149"/>
    <w:rsid w:val="00F12095"/>
    <w:rsid w:val="00F51017"/>
    <w:rsid w:val="00F52881"/>
    <w:rsid w:val="00F56DF7"/>
    <w:rsid w:val="00F57309"/>
    <w:rsid w:val="00F606CF"/>
    <w:rsid w:val="00F60F98"/>
    <w:rsid w:val="00F6437D"/>
    <w:rsid w:val="00F73952"/>
    <w:rsid w:val="00F9555D"/>
    <w:rsid w:val="00F96471"/>
    <w:rsid w:val="00FA31E9"/>
    <w:rsid w:val="00FB1BC6"/>
    <w:rsid w:val="00FE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0536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34"/>
  </w:style>
  <w:style w:type="paragraph" w:styleId="Heading1">
    <w:name w:val="heading 1"/>
    <w:basedOn w:val="Normal"/>
    <w:uiPriority w:val="1"/>
    <w:qFormat/>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03534"/>
    <w:pPr>
      <w:widowControl/>
      <w:autoSpaceDE/>
      <w:autoSpaceDN/>
      <w:spacing w:after="149"/>
      <w:ind w:left="426" w:hanging="10"/>
    </w:pPr>
    <w:rPr>
      <w:sz w:val="20"/>
      <w:szCs w:val="20"/>
    </w:rPr>
  </w:style>
  <w:style w:type="character" w:customStyle="1" w:styleId="CommentTextChar">
    <w:name w:val="Comment Text Char"/>
    <w:basedOn w:val="DefaultParagraphFont"/>
    <w:link w:val="CommentText"/>
    <w:uiPriority w:val="99"/>
    <w:rsid w:val="00A03534"/>
    <w:rPr>
      <w:sz w:val="20"/>
      <w:szCs w:val="20"/>
    </w:rPr>
  </w:style>
  <w:style w:type="paragraph" w:styleId="BalloonText">
    <w:name w:val="Balloon Text"/>
    <w:basedOn w:val="Normal"/>
    <w:link w:val="BalloonTextChar"/>
    <w:uiPriority w:val="99"/>
    <w:semiHidden/>
    <w:unhideWhenUsed/>
    <w:rsid w:val="00A03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34"/>
    <w:rPr>
      <w:rFonts w:ascii="Segoe UI" w:hAnsi="Segoe UI" w:cs="Segoe UI"/>
      <w:sz w:val="18"/>
      <w:szCs w:val="18"/>
    </w:rPr>
  </w:style>
  <w:style w:type="character" w:styleId="Hyperlink">
    <w:name w:val="Hyperlink"/>
    <w:rsid w:val="00BE4DC0"/>
    <w:rPr>
      <w:color w:val="0000FF"/>
      <w:u w:val="single"/>
    </w:rPr>
  </w:style>
  <w:style w:type="character" w:customStyle="1" w:styleId="s1">
    <w:name w:val="s1"/>
    <w:rsid w:val="00BE4DC0"/>
    <w:rPr>
      <w:rFonts w:ascii="Arial" w:hAnsi="Arial" w:cs="Arial" w:hint="default"/>
      <w:color w:val="000000"/>
      <w:sz w:val="19"/>
      <w:szCs w:val="19"/>
      <w:shd w:val="clear" w:color="auto" w:fill="FFFFFF"/>
    </w:rPr>
  </w:style>
  <w:style w:type="paragraph" w:styleId="CommentSubject">
    <w:name w:val="annotation subject"/>
    <w:basedOn w:val="CommentText"/>
    <w:next w:val="CommentText"/>
    <w:link w:val="CommentSubjectChar"/>
    <w:uiPriority w:val="99"/>
    <w:semiHidden/>
    <w:unhideWhenUsed/>
    <w:rsid w:val="00BE4DC0"/>
    <w:pPr>
      <w:widowControl w:val="0"/>
      <w:autoSpaceDE w:val="0"/>
      <w:autoSpaceDN w:val="0"/>
      <w:spacing w:after="0"/>
      <w:ind w:left="0" w:firstLine="0"/>
    </w:pPr>
    <w:rPr>
      <w:b/>
      <w:bCs/>
    </w:rPr>
  </w:style>
  <w:style w:type="character" w:customStyle="1" w:styleId="CommentSubjectChar">
    <w:name w:val="Comment Subject Char"/>
    <w:basedOn w:val="CommentTextChar"/>
    <w:link w:val="CommentSubject"/>
    <w:uiPriority w:val="99"/>
    <w:semiHidden/>
    <w:rsid w:val="00BE4DC0"/>
    <w:rPr>
      <w:rFonts w:ascii="Arial" w:eastAsia="Arial" w:hAnsi="Arial" w:cs="Arial"/>
      <w:b/>
      <w:bCs/>
      <w:color w:val="2E5395"/>
      <w:sz w:val="20"/>
      <w:szCs w:val="20"/>
    </w:rPr>
  </w:style>
  <w:style w:type="paragraph" w:styleId="Header">
    <w:name w:val="header"/>
    <w:basedOn w:val="Normal"/>
    <w:link w:val="HeaderChar"/>
    <w:uiPriority w:val="99"/>
    <w:unhideWhenUsed/>
    <w:rsid w:val="009375F0"/>
    <w:pPr>
      <w:tabs>
        <w:tab w:val="center" w:pos="4680"/>
        <w:tab w:val="right" w:pos="9360"/>
      </w:tabs>
    </w:pPr>
  </w:style>
  <w:style w:type="character" w:customStyle="1" w:styleId="HeaderChar">
    <w:name w:val="Header Char"/>
    <w:basedOn w:val="DefaultParagraphFont"/>
    <w:link w:val="Header"/>
    <w:uiPriority w:val="99"/>
    <w:rsid w:val="009375F0"/>
  </w:style>
  <w:style w:type="paragraph" w:styleId="Footer">
    <w:name w:val="footer"/>
    <w:basedOn w:val="Normal"/>
    <w:link w:val="FooterChar"/>
    <w:uiPriority w:val="99"/>
    <w:unhideWhenUsed/>
    <w:rsid w:val="009375F0"/>
    <w:pPr>
      <w:tabs>
        <w:tab w:val="center" w:pos="4680"/>
        <w:tab w:val="right" w:pos="9360"/>
      </w:tabs>
    </w:pPr>
  </w:style>
  <w:style w:type="character" w:customStyle="1" w:styleId="FooterChar">
    <w:name w:val="Footer Char"/>
    <w:basedOn w:val="DefaultParagraphFont"/>
    <w:link w:val="Footer"/>
    <w:uiPriority w:val="99"/>
    <w:rsid w:val="009375F0"/>
  </w:style>
  <w:style w:type="character" w:styleId="FollowedHyperlink">
    <w:name w:val="FollowedHyperlink"/>
    <w:basedOn w:val="DefaultParagraphFont"/>
    <w:uiPriority w:val="99"/>
    <w:semiHidden/>
    <w:unhideWhenUsed/>
    <w:rsid w:val="000A375D"/>
    <w:rPr>
      <w:color w:val="800080" w:themeColor="followedHyperlink"/>
      <w:u w:val="single"/>
    </w:rPr>
  </w:style>
  <w:style w:type="paragraph" w:styleId="NoSpacing">
    <w:name w:val="No Spacing"/>
    <w:uiPriority w:val="1"/>
    <w:qFormat/>
    <w:rsid w:val="00DF1141"/>
  </w:style>
  <w:style w:type="paragraph" w:styleId="Revision">
    <w:name w:val="Revision"/>
    <w:hidden/>
    <w:uiPriority w:val="99"/>
    <w:semiHidden/>
    <w:rsid w:val="001F47A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8457">
      <w:bodyDiv w:val="1"/>
      <w:marLeft w:val="0"/>
      <w:marRight w:val="0"/>
      <w:marTop w:val="0"/>
      <w:marBottom w:val="0"/>
      <w:divBdr>
        <w:top w:val="none" w:sz="0" w:space="0" w:color="auto"/>
        <w:left w:val="none" w:sz="0" w:space="0" w:color="auto"/>
        <w:bottom w:val="none" w:sz="0" w:space="0" w:color="auto"/>
        <w:right w:val="none" w:sz="0" w:space="0" w:color="auto"/>
      </w:divBdr>
    </w:div>
    <w:div w:id="380135076">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47309288">
      <w:bodyDiv w:val="1"/>
      <w:marLeft w:val="0"/>
      <w:marRight w:val="0"/>
      <w:marTop w:val="0"/>
      <w:marBottom w:val="0"/>
      <w:divBdr>
        <w:top w:val="none" w:sz="0" w:space="0" w:color="auto"/>
        <w:left w:val="none" w:sz="0" w:space="0" w:color="auto"/>
        <w:bottom w:val="none" w:sz="0" w:space="0" w:color="auto"/>
        <w:right w:val="none" w:sz="0" w:space="0" w:color="auto"/>
      </w:divBdr>
      <w:divsChild>
        <w:div w:id="1225944536">
          <w:marLeft w:val="135"/>
          <w:marRight w:val="135"/>
          <w:marTop w:val="0"/>
          <w:marBottom w:val="90"/>
          <w:divBdr>
            <w:top w:val="none" w:sz="0" w:space="0" w:color="auto"/>
            <w:left w:val="none" w:sz="0" w:space="0" w:color="auto"/>
            <w:bottom w:val="none" w:sz="0" w:space="0" w:color="auto"/>
            <w:right w:val="none" w:sz="0" w:space="0" w:color="auto"/>
          </w:divBdr>
        </w:div>
        <w:div w:id="489255861">
          <w:marLeft w:val="135"/>
          <w:marRight w:val="135"/>
          <w:marTop w:val="0"/>
          <w:marBottom w:val="9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www.law.cornell.edu/uscode/text/5/552"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ls.gov/bls/blswage.htm" TargetMode="Externa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y.gov/"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informationquality/section515.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rchives.gov/federal-register/executive-orders/pdf/12898.pdf" TargetMode="External"/><Relationship Id="rId14" Type="http://schemas.openxmlformats.org/officeDocument/2006/relationships/hyperlink" Target="https://www.osec.doc.gov/opog/privacy/NOAA%20PIAs/NOAA4300_FY20_PIA_SAOP_Approved.pdf" TargetMode="Externa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F55B-C5F7-4302-B5A9-7090E99F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5969</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Britni Lavine;Adam Bailey</dc:creator>
  <cp:lastModifiedBy>Adrienne Thomas</cp:lastModifiedBy>
  <cp:revision>5</cp:revision>
  <dcterms:created xsi:type="dcterms:W3CDTF">2021-02-16T20:07:00Z</dcterms:created>
  <dcterms:modified xsi:type="dcterms:W3CDTF">2021-02-16T20:36:00Z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