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59" w:rsidP="00D06028" w:rsidRDefault="00C13659">
      <w:pPr>
        <w:spacing w:after="200" w:line="276" w:lineRule="auto"/>
        <w:rPr>
          <w:rFonts w:ascii="Calibri" w:hAnsi="Calibri" w:eastAsia="Calibri" w:cs="Times New Roman"/>
          <w:b/>
          <w:sz w:val="24"/>
          <w:szCs w:val="24"/>
        </w:rPr>
      </w:pPr>
      <w:r>
        <w:rPr>
          <w:rFonts w:ascii="Calibri" w:hAnsi="Calibri" w:eastAsia="Calibri" w:cs="Times New Roman"/>
          <w:b/>
          <w:sz w:val="24"/>
          <w:szCs w:val="24"/>
        </w:rPr>
        <w:t xml:space="preserve">Appendix </w:t>
      </w:r>
      <w:r w:rsidR="008B692D">
        <w:rPr>
          <w:rFonts w:ascii="Calibri" w:hAnsi="Calibri" w:eastAsia="Calibri" w:cs="Times New Roman"/>
          <w:b/>
          <w:sz w:val="24"/>
          <w:szCs w:val="24"/>
        </w:rPr>
        <w:t>B - Table 2</w:t>
      </w:r>
    </w:p>
    <w:p w:rsidRPr="00D06028" w:rsidR="00C13659" w:rsidP="00D06028" w:rsidRDefault="00C13659">
      <w:pPr>
        <w:spacing w:after="200" w:line="276" w:lineRule="auto"/>
        <w:rPr>
          <w:rFonts w:ascii="Calibri" w:hAnsi="Calibri" w:eastAsia="Calibri" w:cs="Times New Roman"/>
          <w:b/>
          <w:sz w:val="24"/>
          <w:szCs w:val="24"/>
        </w:rPr>
      </w:pPr>
      <w:bookmarkStart w:name="_GoBack" w:id="0"/>
      <w:bookmarkEnd w:id="0"/>
    </w:p>
    <w:p w:rsidRPr="00D06028" w:rsidR="00D06028" w:rsidP="00D06028" w:rsidRDefault="00D06028">
      <w:pPr>
        <w:spacing w:after="200" w:line="276" w:lineRule="auto"/>
        <w:rPr>
          <w:rFonts w:ascii="Calibri" w:hAnsi="Calibri" w:eastAsia="Calibri" w:cs="Times New Roman"/>
          <w:b/>
          <w:sz w:val="24"/>
          <w:szCs w:val="24"/>
        </w:rPr>
      </w:pPr>
      <w:r w:rsidRPr="00D06028">
        <w:rPr>
          <w:rFonts w:ascii="Calibri" w:hAnsi="Calibri" w:eastAsia="Calibri" w:cs="Times New Roman"/>
          <w:b/>
          <w:sz w:val="24"/>
          <w:szCs w:val="24"/>
        </w:rPr>
        <w:t xml:space="preserve">Table </w:t>
      </w:r>
      <w:r>
        <w:rPr>
          <w:rFonts w:ascii="Calibri" w:hAnsi="Calibri" w:eastAsia="Calibri" w:cs="Times New Roman"/>
          <w:b/>
          <w:sz w:val="24"/>
          <w:szCs w:val="24"/>
        </w:rPr>
        <w:t>2</w:t>
      </w:r>
      <w:r w:rsidRPr="00D06028">
        <w:rPr>
          <w:rFonts w:ascii="Calibri" w:hAnsi="Calibri" w:eastAsia="Calibri" w:cs="Times New Roman"/>
          <w:b/>
          <w:sz w:val="24"/>
          <w:szCs w:val="24"/>
        </w:rPr>
        <w:t>: Sample Plan</w:t>
      </w:r>
    </w:p>
    <w:tbl>
      <w:tblPr>
        <w:tblStyle w:val="TableGrid"/>
        <w:tblpPr w:leftFromText="180" w:rightFromText="180" w:vertAnchor="text" w:horzAnchor="margin" w:tblpXSpec="center" w:tblpY="81"/>
        <w:tblW w:w="9265" w:type="dxa"/>
        <w:tblLayout w:type="fixed"/>
        <w:tblLook w:val="00A0" w:firstRow="1" w:lastRow="0" w:firstColumn="1" w:lastColumn="0" w:noHBand="0" w:noVBand="0"/>
      </w:tblPr>
      <w:tblGrid>
        <w:gridCol w:w="1885"/>
        <w:gridCol w:w="900"/>
        <w:gridCol w:w="810"/>
        <w:gridCol w:w="810"/>
        <w:gridCol w:w="900"/>
        <w:gridCol w:w="1080"/>
        <w:gridCol w:w="990"/>
        <w:gridCol w:w="990"/>
        <w:gridCol w:w="900"/>
      </w:tblGrid>
      <w:tr w:rsidRPr="00D06028" w:rsidR="00D06028" w:rsidTr="006C0AA0">
        <w:trPr>
          <w:cantSplit/>
          <w:trHeight w:val="1358"/>
        </w:trPr>
        <w:tc>
          <w:tcPr>
            <w:tcW w:w="1885" w:type="dxa"/>
          </w:tcPr>
          <w:p w:rsidRPr="00D06028" w:rsidR="00D06028" w:rsidP="00D06028" w:rsidRDefault="00D06028">
            <w:pPr>
              <w:keepNext/>
              <w:keepLines/>
              <w:spacing w:before="20" w:after="20"/>
              <w:contextualSpacing/>
              <w:rPr>
                <w:rFonts w:eastAsia="Times New Roman" w:cs="Calibri"/>
                <w:b/>
              </w:rPr>
            </w:pPr>
          </w:p>
        </w:tc>
        <w:tc>
          <w:tcPr>
            <w:tcW w:w="900" w:type="dxa"/>
            <w:textDirection w:val="btLr"/>
          </w:tcPr>
          <w:p w:rsidRPr="00D06028" w:rsidR="00D06028" w:rsidP="00D06028" w:rsidRDefault="00D06028">
            <w:pPr>
              <w:keepNext/>
              <w:keepLines/>
              <w:spacing w:before="20" w:after="20"/>
              <w:ind w:left="113" w:right="113"/>
              <w:contextualSpacing/>
              <w:jc w:val="center"/>
              <w:rPr>
                <w:rFonts w:eastAsia="Times New Roman" w:cs="Calibri"/>
                <w:b/>
              </w:rPr>
            </w:pPr>
            <w:r w:rsidRPr="00D06028">
              <w:rPr>
                <w:rFonts w:eastAsia="Times New Roman" w:cs="Calibri"/>
                <w:b/>
              </w:rPr>
              <w:t>Northern Mariana Islands</w:t>
            </w:r>
          </w:p>
        </w:tc>
        <w:tc>
          <w:tcPr>
            <w:tcW w:w="810" w:type="dxa"/>
            <w:textDirection w:val="btLr"/>
          </w:tcPr>
          <w:p w:rsidRPr="00D06028" w:rsidR="00D06028" w:rsidP="00D06028" w:rsidRDefault="00D06028">
            <w:pPr>
              <w:keepNext/>
              <w:keepLines/>
              <w:spacing w:before="20" w:after="20"/>
              <w:ind w:left="113" w:right="113"/>
              <w:contextualSpacing/>
              <w:jc w:val="center"/>
              <w:rPr>
                <w:rFonts w:eastAsia="Times New Roman" w:cs="Calibri"/>
                <w:b/>
              </w:rPr>
            </w:pPr>
            <w:r w:rsidRPr="00D06028">
              <w:rPr>
                <w:rFonts w:eastAsia="Times New Roman" w:cs="Calibri"/>
                <w:b/>
              </w:rPr>
              <w:t>American Samoa</w:t>
            </w:r>
          </w:p>
        </w:tc>
        <w:tc>
          <w:tcPr>
            <w:tcW w:w="810" w:type="dxa"/>
            <w:textDirection w:val="btLr"/>
          </w:tcPr>
          <w:p w:rsidRPr="00D06028" w:rsidR="00D06028" w:rsidP="00D06028" w:rsidRDefault="00D06028">
            <w:pPr>
              <w:keepNext/>
              <w:keepLines/>
              <w:spacing w:before="20" w:after="20"/>
              <w:ind w:left="113" w:right="113"/>
              <w:contextualSpacing/>
              <w:jc w:val="center"/>
              <w:rPr>
                <w:rFonts w:eastAsia="Times New Roman" w:cs="Calibri"/>
                <w:b/>
              </w:rPr>
            </w:pPr>
            <w:r w:rsidRPr="00D06028">
              <w:rPr>
                <w:rFonts w:eastAsia="Times New Roman" w:cs="Calibri"/>
                <w:b/>
              </w:rPr>
              <w:t>Palau</w:t>
            </w:r>
          </w:p>
        </w:tc>
        <w:tc>
          <w:tcPr>
            <w:tcW w:w="900" w:type="dxa"/>
            <w:textDirection w:val="btLr"/>
          </w:tcPr>
          <w:p w:rsidRPr="00D06028" w:rsidR="00D06028" w:rsidP="00D06028" w:rsidRDefault="00D06028">
            <w:pPr>
              <w:keepNext/>
              <w:keepLines/>
              <w:spacing w:before="20" w:after="20"/>
              <w:ind w:left="113" w:right="113"/>
              <w:contextualSpacing/>
              <w:jc w:val="center"/>
              <w:rPr>
                <w:rFonts w:eastAsia="Times New Roman" w:cs="Calibri"/>
                <w:b/>
              </w:rPr>
            </w:pPr>
            <w:r w:rsidRPr="00D06028">
              <w:rPr>
                <w:rFonts w:eastAsia="Times New Roman" w:cs="Calibri"/>
                <w:b/>
              </w:rPr>
              <w:t>Marshall Islands</w:t>
            </w:r>
          </w:p>
        </w:tc>
        <w:tc>
          <w:tcPr>
            <w:tcW w:w="1080" w:type="dxa"/>
            <w:textDirection w:val="btLr"/>
          </w:tcPr>
          <w:p w:rsidRPr="00D06028" w:rsidR="00D06028" w:rsidP="00D06028" w:rsidRDefault="00D06028">
            <w:pPr>
              <w:keepNext/>
              <w:keepLines/>
              <w:spacing w:before="20" w:after="20"/>
              <w:ind w:left="113" w:right="113"/>
              <w:contextualSpacing/>
              <w:jc w:val="center"/>
              <w:rPr>
                <w:rFonts w:eastAsia="Times New Roman" w:cs="Calibri"/>
                <w:b/>
              </w:rPr>
            </w:pPr>
            <w:r w:rsidRPr="00D06028">
              <w:rPr>
                <w:rFonts w:eastAsia="Times New Roman" w:cs="Calibri"/>
                <w:b/>
              </w:rPr>
              <w:t>Federated States of Micronesia</w:t>
            </w:r>
          </w:p>
        </w:tc>
        <w:tc>
          <w:tcPr>
            <w:tcW w:w="990" w:type="dxa"/>
            <w:textDirection w:val="btLr"/>
          </w:tcPr>
          <w:p w:rsidRPr="00D06028" w:rsidR="00D06028" w:rsidP="00D06028" w:rsidRDefault="00D06028">
            <w:pPr>
              <w:keepNext/>
              <w:keepLines/>
              <w:spacing w:before="20" w:after="20"/>
              <w:ind w:left="113" w:right="113"/>
              <w:contextualSpacing/>
              <w:jc w:val="center"/>
              <w:rPr>
                <w:rFonts w:eastAsia="Times New Roman" w:cs="Calibri"/>
                <w:b/>
              </w:rPr>
            </w:pPr>
            <w:r w:rsidRPr="00D06028">
              <w:rPr>
                <w:rFonts w:eastAsia="Times New Roman" w:cs="Calibri"/>
                <w:b/>
              </w:rPr>
              <w:t>Puerto Rico</w:t>
            </w:r>
          </w:p>
        </w:tc>
        <w:tc>
          <w:tcPr>
            <w:tcW w:w="990" w:type="dxa"/>
            <w:textDirection w:val="btLr"/>
          </w:tcPr>
          <w:p w:rsidRPr="00D06028" w:rsidR="00D06028" w:rsidP="00D06028" w:rsidRDefault="00D06028">
            <w:pPr>
              <w:keepNext/>
              <w:keepLines/>
              <w:spacing w:before="20" w:after="20"/>
              <w:ind w:left="113" w:right="113"/>
              <w:contextualSpacing/>
              <w:jc w:val="center"/>
              <w:rPr>
                <w:rFonts w:eastAsia="Times New Roman" w:cs="Calibri"/>
                <w:b/>
              </w:rPr>
            </w:pPr>
            <w:r w:rsidRPr="00D06028">
              <w:rPr>
                <w:rFonts w:eastAsia="Times New Roman" w:cs="Calibri"/>
                <w:b/>
              </w:rPr>
              <w:t>U.S. Virgin Islands</w:t>
            </w:r>
          </w:p>
        </w:tc>
        <w:tc>
          <w:tcPr>
            <w:tcW w:w="900" w:type="dxa"/>
            <w:textDirection w:val="btLr"/>
          </w:tcPr>
          <w:p w:rsidRPr="00D06028" w:rsidR="00D06028" w:rsidP="00D06028" w:rsidRDefault="00D06028">
            <w:pPr>
              <w:keepNext/>
              <w:keepLines/>
              <w:spacing w:before="20" w:after="20"/>
              <w:ind w:left="113" w:right="113"/>
              <w:contextualSpacing/>
              <w:jc w:val="center"/>
              <w:rPr>
                <w:rFonts w:eastAsia="Times New Roman" w:cs="Calibri"/>
                <w:b/>
              </w:rPr>
            </w:pPr>
            <w:r w:rsidRPr="00D06028">
              <w:rPr>
                <w:rFonts w:eastAsia="Times New Roman" w:cs="Calibri"/>
                <w:b/>
              </w:rPr>
              <w:t>Guam</w:t>
            </w:r>
          </w:p>
        </w:tc>
      </w:tr>
      <w:tr w:rsidRPr="00D06028" w:rsidR="00D06028" w:rsidTr="006C0AA0">
        <w:tc>
          <w:tcPr>
            <w:tcW w:w="1885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rPr>
                <w:rFonts w:eastAsia="Times New Roman" w:cs="Calibri"/>
                <w:b/>
              </w:rPr>
            </w:pPr>
            <w:r w:rsidRPr="00D06028">
              <w:rPr>
                <w:rFonts w:eastAsia="Times New Roman" w:cs="Calibri"/>
                <w:b/>
              </w:rPr>
              <w:t>Target Population</w:t>
            </w:r>
          </w:p>
        </w:tc>
        <w:tc>
          <w:tcPr>
            <w:tcW w:w="7380" w:type="dxa"/>
            <w:gridSpan w:val="8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Non-institutionalized children in housing units</w:t>
            </w:r>
          </w:p>
        </w:tc>
      </w:tr>
      <w:tr w:rsidRPr="00D06028" w:rsidR="00D06028" w:rsidTr="006C0AA0">
        <w:tc>
          <w:tcPr>
            <w:tcW w:w="1885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rPr>
                <w:rFonts w:eastAsia="Times New Roman" w:cs="Calibri"/>
                <w:b/>
              </w:rPr>
            </w:pPr>
            <w:r w:rsidRPr="00D06028">
              <w:rPr>
                <w:rFonts w:eastAsia="Times New Roman" w:cs="Calibri"/>
                <w:b/>
              </w:rPr>
              <w:t>Sampling Frame</w:t>
            </w:r>
          </w:p>
        </w:tc>
        <w:tc>
          <w:tcPr>
            <w:tcW w:w="7380" w:type="dxa"/>
            <w:gridSpan w:val="8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Interval sampling (random walk method)</w:t>
            </w:r>
          </w:p>
        </w:tc>
      </w:tr>
      <w:tr w:rsidRPr="00D06028" w:rsidR="00D06028" w:rsidTr="006C0AA0">
        <w:tc>
          <w:tcPr>
            <w:tcW w:w="1885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rPr>
                <w:rFonts w:eastAsia="Times New Roman" w:cs="Calibri"/>
                <w:b/>
              </w:rPr>
            </w:pPr>
            <w:r w:rsidRPr="00D06028">
              <w:rPr>
                <w:rFonts w:eastAsia="Times New Roman" w:cs="Calibri"/>
                <w:b/>
              </w:rPr>
              <w:t>Within Household Selection</w:t>
            </w:r>
          </w:p>
        </w:tc>
        <w:tc>
          <w:tcPr>
            <w:tcW w:w="7380" w:type="dxa"/>
            <w:gridSpan w:val="8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Select one screened child to be the subject of the topical interview</w:t>
            </w:r>
          </w:p>
        </w:tc>
      </w:tr>
      <w:tr w:rsidRPr="00D06028" w:rsidR="00D06028" w:rsidTr="006C0AA0">
        <w:tc>
          <w:tcPr>
            <w:tcW w:w="1885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rPr>
                <w:rFonts w:eastAsia="Times New Roman" w:cs="Calibri"/>
                <w:b/>
              </w:rPr>
            </w:pPr>
            <w:r w:rsidRPr="00D06028">
              <w:rPr>
                <w:rFonts w:eastAsia="Times New Roman" w:cs="Calibri"/>
                <w:b/>
              </w:rPr>
              <w:t>Target Sample Size</w:t>
            </w:r>
          </w:p>
        </w:tc>
        <w:tc>
          <w:tcPr>
            <w:tcW w:w="90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250</w:t>
            </w:r>
          </w:p>
        </w:tc>
        <w:tc>
          <w:tcPr>
            <w:tcW w:w="81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250</w:t>
            </w:r>
          </w:p>
        </w:tc>
        <w:tc>
          <w:tcPr>
            <w:tcW w:w="81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250</w:t>
            </w:r>
          </w:p>
        </w:tc>
        <w:tc>
          <w:tcPr>
            <w:tcW w:w="90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250</w:t>
            </w:r>
          </w:p>
        </w:tc>
        <w:tc>
          <w:tcPr>
            <w:tcW w:w="108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250</w:t>
            </w:r>
          </w:p>
        </w:tc>
        <w:tc>
          <w:tcPr>
            <w:tcW w:w="99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250</w:t>
            </w:r>
          </w:p>
        </w:tc>
        <w:tc>
          <w:tcPr>
            <w:tcW w:w="99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250</w:t>
            </w:r>
          </w:p>
        </w:tc>
        <w:tc>
          <w:tcPr>
            <w:tcW w:w="90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250</w:t>
            </w:r>
          </w:p>
        </w:tc>
      </w:tr>
      <w:tr w:rsidRPr="00D06028" w:rsidR="00D06028" w:rsidTr="006C0AA0">
        <w:tc>
          <w:tcPr>
            <w:tcW w:w="1885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rPr>
                <w:rFonts w:eastAsia="Times New Roman" w:cs="Calibri"/>
                <w:b/>
              </w:rPr>
            </w:pPr>
            <w:r w:rsidRPr="00D06028">
              <w:rPr>
                <w:rFonts w:eastAsia="Times New Roman" w:cs="Calibri"/>
                <w:b/>
              </w:rPr>
              <w:t>Estimated Sample</w:t>
            </w:r>
          </w:p>
        </w:tc>
        <w:tc>
          <w:tcPr>
            <w:tcW w:w="7380" w:type="dxa"/>
            <w:gridSpan w:val="8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</w:p>
        </w:tc>
      </w:tr>
      <w:tr w:rsidRPr="00D06028" w:rsidR="00D06028" w:rsidTr="006C0AA0">
        <w:tc>
          <w:tcPr>
            <w:tcW w:w="1885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Addresses/housing units sampled</w:t>
            </w:r>
          </w:p>
        </w:tc>
        <w:tc>
          <w:tcPr>
            <w:tcW w:w="90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499</w:t>
            </w:r>
          </w:p>
        </w:tc>
        <w:tc>
          <w:tcPr>
            <w:tcW w:w="81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448</w:t>
            </w:r>
          </w:p>
        </w:tc>
        <w:tc>
          <w:tcPr>
            <w:tcW w:w="81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513</w:t>
            </w:r>
          </w:p>
        </w:tc>
        <w:tc>
          <w:tcPr>
            <w:tcW w:w="90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288</w:t>
            </w:r>
          </w:p>
        </w:tc>
        <w:tc>
          <w:tcPr>
            <w:tcW w:w="108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383</w:t>
            </w:r>
          </w:p>
        </w:tc>
        <w:tc>
          <w:tcPr>
            <w:tcW w:w="99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3,120</w:t>
            </w:r>
          </w:p>
        </w:tc>
        <w:tc>
          <w:tcPr>
            <w:tcW w:w="99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2,607</w:t>
            </w:r>
          </w:p>
        </w:tc>
        <w:tc>
          <w:tcPr>
            <w:tcW w:w="90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1141</w:t>
            </w:r>
          </w:p>
        </w:tc>
      </w:tr>
      <w:tr w:rsidRPr="00D06028" w:rsidR="00D06028" w:rsidTr="006C0AA0">
        <w:tc>
          <w:tcPr>
            <w:tcW w:w="1885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Assumed screener completion rate</w:t>
            </w:r>
          </w:p>
        </w:tc>
        <w:tc>
          <w:tcPr>
            <w:tcW w:w="90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color w:val="000000"/>
              </w:rPr>
              <w:t>94%</w:t>
            </w:r>
          </w:p>
        </w:tc>
        <w:tc>
          <w:tcPr>
            <w:tcW w:w="81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color w:val="000000"/>
              </w:rPr>
              <w:t>95%</w:t>
            </w:r>
          </w:p>
        </w:tc>
        <w:tc>
          <w:tcPr>
            <w:tcW w:w="81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color w:val="000000"/>
              </w:rPr>
              <w:t>91%</w:t>
            </w:r>
          </w:p>
        </w:tc>
        <w:tc>
          <w:tcPr>
            <w:tcW w:w="90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color w:val="000000"/>
              </w:rPr>
              <w:t>99%</w:t>
            </w:r>
          </w:p>
        </w:tc>
        <w:tc>
          <w:tcPr>
            <w:tcW w:w="108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color w:val="000000"/>
              </w:rPr>
              <w:t>89%</w:t>
            </w:r>
          </w:p>
        </w:tc>
        <w:tc>
          <w:tcPr>
            <w:tcW w:w="99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color w:val="000000"/>
              </w:rPr>
              <w:t>79%</w:t>
            </w:r>
          </w:p>
        </w:tc>
        <w:tc>
          <w:tcPr>
            <w:tcW w:w="99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color w:val="000000"/>
              </w:rPr>
              <w:t>83%</w:t>
            </w:r>
          </w:p>
        </w:tc>
        <w:tc>
          <w:tcPr>
            <w:tcW w:w="90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color w:val="000000"/>
              </w:rPr>
              <w:t>60%</w:t>
            </w:r>
          </w:p>
        </w:tc>
      </w:tr>
      <w:tr w:rsidRPr="00D06028" w:rsidR="00D06028" w:rsidTr="006C0AA0">
        <w:tc>
          <w:tcPr>
            <w:tcW w:w="1885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Screened for presence of children</w:t>
            </w:r>
          </w:p>
        </w:tc>
        <w:tc>
          <w:tcPr>
            <w:tcW w:w="90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470</w:t>
            </w:r>
          </w:p>
        </w:tc>
        <w:tc>
          <w:tcPr>
            <w:tcW w:w="81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426</w:t>
            </w:r>
          </w:p>
        </w:tc>
        <w:tc>
          <w:tcPr>
            <w:tcW w:w="81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467</w:t>
            </w:r>
          </w:p>
        </w:tc>
        <w:tc>
          <w:tcPr>
            <w:tcW w:w="90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284</w:t>
            </w:r>
          </w:p>
        </w:tc>
        <w:tc>
          <w:tcPr>
            <w:tcW w:w="108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339</w:t>
            </w:r>
          </w:p>
        </w:tc>
        <w:tc>
          <w:tcPr>
            <w:tcW w:w="99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2,480</w:t>
            </w:r>
          </w:p>
        </w:tc>
        <w:tc>
          <w:tcPr>
            <w:tcW w:w="99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2,153</w:t>
            </w:r>
          </w:p>
        </w:tc>
        <w:tc>
          <w:tcPr>
            <w:tcW w:w="90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684</w:t>
            </w:r>
          </w:p>
        </w:tc>
      </w:tr>
      <w:tr w:rsidRPr="00D06028" w:rsidR="00D06028" w:rsidTr="006C0AA0">
        <w:tc>
          <w:tcPr>
            <w:tcW w:w="1885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Assumed eligibility rate</w:t>
            </w:r>
          </w:p>
        </w:tc>
        <w:tc>
          <w:tcPr>
            <w:tcW w:w="90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i/>
                <w:iCs/>
                <w:color w:val="000000"/>
              </w:rPr>
              <w:t>64%</w:t>
            </w:r>
          </w:p>
        </w:tc>
        <w:tc>
          <w:tcPr>
            <w:tcW w:w="81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i/>
                <w:iCs/>
                <w:color w:val="000000"/>
              </w:rPr>
              <w:t>73%</w:t>
            </w:r>
          </w:p>
        </w:tc>
        <w:tc>
          <w:tcPr>
            <w:tcW w:w="81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i/>
                <w:iCs/>
                <w:color w:val="000000"/>
              </w:rPr>
              <w:t>62%</w:t>
            </w:r>
          </w:p>
        </w:tc>
        <w:tc>
          <w:tcPr>
            <w:tcW w:w="90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i/>
                <w:iCs/>
                <w:color w:val="000000"/>
              </w:rPr>
              <w:t>93%</w:t>
            </w:r>
          </w:p>
        </w:tc>
        <w:tc>
          <w:tcPr>
            <w:tcW w:w="108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i/>
                <w:iCs/>
                <w:color w:val="000000"/>
              </w:rPr>
              <w:t>79%</w:t>
            </w:r>
          </w:p>
        </w:tc>
        <w:tc>
          <w:tcPr>
            <w:tcW w:w="99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i/>
                <w:iCs/>
                <w:color w:val="000000"/>
              </w:rPr>
              <w:t>19%</w:t>
            </w:r>
          </w:p>
        </w:tc>
        <w:tc>
          <w:tcPr>
            <w:tcW w:w="99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i/>
                <w:iCs/>
                <w:color w:val="000000"/>
              </w:rPr>
              <w:t>24%</w:t>
            </w:r>
          </w:p>
        </w:tc>
        <w:tc>
          <w:tcPr>
            <w:tcW w:w="90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i/>
                <w:iCs/>
                <w:color w:val="000000"/>
              </w:rPr>
              <w:t>49%</w:t>
            </w:r>
          </w:p>
        </w:tc>
      </w:tr>
      <w:tr w:rsidRPr="00D06028" w:rsidR="00D06028" w:rsidTr="006C0AA0">
        <w:tc>
          <w:tcPr>
            <w:tcW w:w="1885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Child in household</w:t>
            </w:r>
          </w:p>
        </w:tc>
        <w:tc>
          <w:tcPr>
            <w:tcW w:w="90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303</w:t>
            </w:r>
          </w:p>
        </w:tc>
        <w:tc>
          <w:tcPr>
            <w:tcW w:w="81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312</w:t>
            </w:r>
          </w:p>
        </w:tc>
        <w:tc>
          <w:tcPr>
            <w:tcW w:w="81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289</w:t>
            </w:r>
          </w:p>
        </w:tc>
        <w:tc>
          <w:tcPr>
            <w:tcW w:w="90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263</w:t>
            </w:r>
          </w:p>
        </w:tc>
        <w:tc>
          <w:tcPr>
            <w:tcW w:w="108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268</w:t>
            </w:r>
          </w:p>
        </w:tc>
        <w:tc>
          <w:tcPr>
            <w:tcW w:w="99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467</w:t>
            </w:r>
          </w:p>
        </w:tc>
        <w:tc>
          <w:tcPr>
            <w:tcW w:w="99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512</w:t>
            </w:r>
          </w:p>
        </w:tc>
        <w:tc>
          <w:tcPr>
            <w:tcW w:w="90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332</w:t>
            </w:r>
          </w:p>
        </w:tc>
      </w:tr>
      <w:tr w:rsidRPr="00D06028" w:rsidR="00D06028" w:rsidTr="006C0AA0">
        <w:tc>
          <w:tcPr>
            <w:tcW w:w="1885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Assumed interview completion rate</w:t>
            </w:r>
          </w:p>
        </w:tc>
        <w:tc>
          <w:tcPr>
            <w:tcW w:w="90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i/>
                <w:iCs/>
                <w:color w:val="000000"/>
              </w:rPr>
              <w:t>83%</w:t>
            </w:r>
          </w:p>
        </w:tc>
        <w:tc>
          <w:tcPr>
            <w:tcW w:w="81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i/>
                <w:iCs/>
                <w:color w:val="000000"/>
              </w:rPr>
              <w:t>80%</w:t>
            </w:r>
          </w:p>
        </w:tc>
        <w:tc>
          <w:tcPr>
            <w:tcW w:w="81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i/>
                <w:iCs/>
                <w:color w:val="000000"/>
              </w:rPr>
              <w:t>87%</w:t>
            </w:r>
          </w:p>
        </w:tc>
        <w:tc>
          <w:tcPr>
            <w:tcW w:w="90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i/>
                <w:iCs/>
                <w:color w:val="000000"/>
              </w:rPr>
              <w:t>95%</w:t>
            </w:r>
          </w:p>
        </w:tc>
        <w:tc>
          <w:tcPr>
            <w:tcW w:w="108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i/>
                <w:iCs/>
                <w:color w:val="000000"/>
              </w:rPr>
              <w:t>93%</w:t>
            </w:r>
          </w:p>
        </w:tc>
        <w:tc>
          <w:tcPr>
            <w:tcW w:w="99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i/>
                <w:iCs/>
                <w:color w:val="000000"/>
              </w:rPr>
              <w:t>54%</w:t>
            </w:r>
          </w:p>
        </w:tc>
        <w:tc>
          <w:tcPr>
            <w:tcW w:w="99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i/>
                <w:iCs/>
                <w:color w:val="000000"/>
              </w:rPr>
              <w:t>49%</w:t>
            </w:r>
          </w:p>
        </w:tc>
        <w:tc>
          <w:tcPr>
            <w:tcW w:w="900" w:type="dxa"/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  <w:i/>
                <w:iCs/>
                <w:color w:val="000000"/>
              </w:rPr>
              <w:t>75%</w:t>
            </w:r>
          </w:p>
        </w:tc>
      </w:tr>
      <w:tr w:rsidRPr="00D06028" w:rsidR="00D06028" w:rsidTr="006C0AA0">
        <w:tc>
          <w:tcPr>
            <w:tcW w:w="1885" w:type="dxa"/>
            <w:tcBorders>
              <w:bottom w:val="single" w:color="auto" w:sz="4" w:space="0"/>
            </w:tcBorders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Completed interview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250</w:t>
            </w:r>
          </w:p>
        </w:tc>
        <w:tc>
          <w:tcPr>
            <w:tcW w:w="810" w:type="dxa"/>
            <w:tcBorders>
              <w:bottom w:val="single" w:color="auto" w:sz="4" w:space="0"/>
            </w:tcBorders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250</w:t>
            </w:r>
          </w:p>
        </w:tc>
        <w:tc>
          <w:tcPr>
            <w:tcW w:w="810" w:type="dxa"/>
            <w:tcBorders>
              <w:bottom w:val="single" w:color="auto" w:sz="4" w:space="0"/>
            </w:tcBorders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250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250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250</w:t>
            </w:r>
          </w:p>
        </w:tc>
        <w:tc>
          <w:tcPr>
            <w:tcW w:w="990" w:type="dxa"/>
            <w:tcBorders>
              <w:bottom w:val="single" w:color="auto" w:sz="4" w:space="0"/>
            </w:tcBorders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250</w:t>
            </w:r>
          </w:p>
        </w:tc>
        <w:tc>
          <w:tcPr>
            <w:tcW w:w="990" w:type="dxa"/>
            <w:tcBorders>
              <w:bottom w:val="single" w:color="auto" w:sz="4" w:space="0"/>
            </w:tcBorders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250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250</w:t>
            </w:r>
          </w:p>
        </w:tc>
      </w:tr>
      <w:tr w:rsidRPr="00D06028" w:rsidR="00D06028" w:rsidTr="006C0AA0">
        <w:tc>
          <w:tcPr>
            <w:tcW w:w="1885" w:type="dxa"/>
            <w:tcBorders>
              <w:bottom w:val="single" w:color="auto" w:sz="4" w:space="0"/>
            </w:tcBorders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Response rate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78.1%</w:t>
            </w:r>
          </w:p>
        </w:tc>
        <w:tc>
          <w:tcPr>
            <w:tcW w:w="810" w:type="dxa"/>
            <w:tcBorders>
              <w:bottom w:val="single" w:color="auto" w:sz="4" w:space="0"/>
            </w:tcBorders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76.6%</w:t>
            </w:r>
          </w:p>
        </w:tc>
        <w:tc>
          <w:tcPr>
            <w:tcW w:w="810" w:type="dxa"/>
            <w:tcBorders>
              <w:bottom w:val="single" w:color="auto" w:sz="4" w:space="0"/>
            </w:tcBorders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75.4%</w:t>
            </w:r>
          </w:p>
        </w:tc>
        <w:tc>
          <w:tcPr>
            <w:tcW w:w="900" w:type="dxa"/>
            <w:tcBorders>
              <w:bottom w:val="single" w:color="auto" w:sz="4" w:space="0"/>
            </w:tcBorders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92.6%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83.0%</w:t>
            </w:r>
          </w:p>
        </w:tc>
        <w:tc>
          <w:tcPr>
            <w:tcW w:w="990" w:type="dxa"/>
            <w:tcBorders>
              <w:bottom w:val="single" w:color="auto" w:sz="4" w:space="0"/>
            </w:tcBorders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44.4%</w:t>
            </w:r>
          </w:p>
        </w:tc>
        <w:tc>
          <w:tcPr>
            <w:tcW w:w="990" w:type="dxa"/>
            <w:tcBorders>
              <w:bottom w:val="single" w:color="auto" w:sz="4" w:space="0"/>
            </w:tcBorders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41.1%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 w:rsidRPr="00D06028" w:rsidR="00D06028" w:rsidP="00D06028" w:rsidRDefault="00D06028">
            <w:pPr>
              <w:spacing w:before="20" w:after="20"/>
              <w:contextualSpacing/>
              <w:jc w:val="center"/>
              <w:rPr>
                <w:rFonts w:eastAsia="Times New Roman" w:cs="Calibri"/>
              </w:rPr>
            </w:pPr>
            <w:r w:rsidRPr="00D06028">
              <w:rPr>
                <w:rFonts w:eastAsia="Times New Roman" w:cs="Calibri"/>
              </w:rPr>
              <w:t>44.1%</w:t>
            </w:r>
          </w:p>
        </w:tc>
      </w:tr>
    </w:tbl>
    <w:p w:rsidR="003E4D2A" w:rsidP="00D06028" w:rsidRDefault="008B692D"/>
    <w:sectPr w:rsidR="003E4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25"/>
    <w:rsid w:val="00283269"/>
    <w:rsid w:val="00846E7E"/>
    <w:rsid w:val="008B692D"/>
    <w:rsid w:val="00A20025"/>
    <w:rsid w:val="00B73EB8"/>
    <w:rsid w:val="00C13659"/>
    <w:rsid w:val="00D0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0A45"/>
  <w15:chartTrackingRefBased/>
  <w15:docId w15:val="{484B4CB0-0323-42BC-9FBE-9F848AAC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0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Lauren (HRSA)</dc:creator>
  <cp:keywords/>
  <dc:description/>
  <cp:lastModifiedBy>Chambers, Lauren (HRSA)</cp:lastModifiedBy>
  <cp:revision>3</cp:revision>
  <dcterms:created xsi:type="dcterms:W3CDTF">2021-01-13T19:59:00Z</dcterms:created>
  <dcterms:modified xsi:type="dcterms:W3CDTF">2021-01-13T20:00:00Z</dcterms:modified>
</cp:coreProperties>
</file>