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830" w:rsidP="00C87830" w:rsidRDefault="00D702FB">
      <w:pPr>
        <w:pStyle w:val="NoSpacing"/>
        <w:jc w:val="center"/>
        <w:rPr>
          <w:rFonts w:ascii="Times New Roman" w:hAnsi="Times New Roman"/>
          <w:sz w:val="24"/>
          <w:szCs w:val="24"/>
        </w:rPr>
      </w:pPr>
      <w:r w:rsidRPr="00C87830">
        <w:rPr>
          <w:rFonts w:ascii="Times New Roman" w:hAnsi="Times New Roman"/>
          <w:sz w:val="24"/>
          <w:szCs w:val="24"/>
        </w:rPr>
        <w:t>U</w:t>
      </w:r>
      <w:r w:rsidR="00D44E80">
        <w:rPr>
          <w:rFonts w:ascii="Times New Roman" w:hAnsi="Times New Roman"/>
          <w:sz w:val="24"/>
          <w:szCs w:val="24"/>
        </w:rPr>
        <w:t>nited States Food and Drug Administration</w:t>
      </w:r>
    </w:p>
    <w:p w:rsidRPr="00C87830" w:rsidR="00C87830" w:rsidP="00C87830" w:rsidRDefault="00C87830">
      <w:pPr>
        <w:pStyle w:val="NoSpacing"/>
        <w:jc w:val="center"/>
        <w:rPr>
          <w:rFonts w:ascii="Times New Roman" w:hAnsi="Times New Roman"/>
          <w:sz w:val="24"/>
          <w:szCs w:val="24"/>
        </w:rPr>
      </w:pPr>
    </w:p>
    <w:p w:rsidR="00C87830" w:rsidP="00035425" w:rsidRDefault="00854E4A">
      <w:pPr>
        <w:spacing w:after="0" w:line="240" w:lineRule="auto"/>
        <w:jc w:val="center"/>
        <w:rPr>
          <w:rFonts w:ascii="Times New Roman" w:hAnsi="Times New Roman"/>
          <w:sz w:val="24"/>
          <w:szCs w:val="24"/>
        </w:rPr>
      </w:pPr>
      <w:r>
        <w:rPr>
          <w:rFonts w:ascii="Times New Roman" w:hAnsi="Times New Roman"/>
          <w:sz w:val="24"/>
          <w:szCs w:val="24"/>
        </w:rPr>
        <w:t xml:space="preserve">Data to </w:t>
      </w:r>
      <w:r w:rsidR="006D6022">
        <w:rPr>
          <w:rFonts w:ascii="Times New Roman" w:hAnsi="Times New Roman"/>
          <w:sz w:val="24"/>
          <w:szCs w:val="24"/>
        </w:rPr>
        <w:t xml:space="preserve">Support </w:t>
      </w:r>
      <w:r>
        <w:rPr>
          <w:rFonts w:ascii="Times New Roman" w:hAnsi="Times New Roman"/>
          <w:sz w:val="24"/>
          <w:szCs w:val="24"/>
        </w:rPr>
        <w:t xml:space="preserve">Cross-Center Collaboration for Social Behavioral Sciences </w:t>
      </w:r>
      <w:r w:rsidR="00835737">
        <w:rPr>
          <w:rFonts w:ascii="Times New Roman" w:hAnsi="Times New Roman"/>
          <w:sz w:val="24"/>
          <w:szCs w:val="24"/>
        </w:rPr>
        <w:t>A</w:t>
      </w:r>
      <w:r w:rsidRPr="00C87830" w:rsidR="00835737">
        <w:rPr>
          <w:rFonts w:ascii="Times New Roman" w:hAnsi="Times New Roman"/>
          <w:sz w:val="24"/>
          <w:szCs w:val="24"/>
        </w:rPr>
        <w:t xml:space="preserve">ssociated </w:t>
      </w:r>
      <w:r w:rsidR="006D6022">
        <w:rPr>
          <w:rFonts w:ascii="Times New Roman" w:hAnsi="Times New Roman"/>
          <w:sz w:val="24"/>
          <w:szCs w:val="24"/>
        </w:rPr>
        <w:t>with</w:t>
      </w:r>
      <w:r w:rsidR="00835737">
        <w:rPr>
          <w:rFonts w:ascii="Times New Roman" w:hAnsi="Times New Roman"/>
          <w:sz w:val="24"/>
          <w:szCs w:val="24"/>
        </w:rPr>
        <w:t xml:space="preserve"> Disease Prevention and Treatment</w:t>
      </w:r>
      <w:r w:rsidR="006D6022">
        <w:rPr>
          <w:rFonts w:ascii="Times New Roman" w:hAnsi="Times New Roman"/>
          <w:sz w:val="24"/>
          <w:szCs w:val="24"/>
        </w:rPr>
        <w:t xml:space="preserve"> and the Safety, Efficacy,</w:t>
      </w:r>
      <w:r w:rsidRPr="00C87830" w:rsidR="006D6022">
        <w:rPr>
          <w:rFonts w:ascii="Times New Roman" w:hAnsi="Times New Roman"/>
          <w:sz w:val="24"/>
          <w:szCs w:val="24"/>
        </w:rPr>
        <w:t xml:space="preserve"> and </w:t>
      </w:r>
      <w:r w:rsidR="006D6022">
        <w:rPr>
          <w:rFonts w:ascii="Times New Roman" w:hAnsi="Times New Roman"/>
          <w:sz w:val="24"/>
          <w:szCs w:val="24"/>
        </w:rPr>
        <w:t>Usage</w:t>
      </w:r>
      <w:r w:rsidRPr="00C87830" w:rsidR="006D6022">
        <w:rPr>
          <w:rFonts w:ascii="Times New Roman" w:hAnsi="Times New Roman"/>
          <w:sz w:val="24"/>
          <w:szCs w:val="24"/>
        </w:rPr>
        <w:t xml:space="preserve"> of </w:t>
      </w:r>
      <w:r w:rsidR="006D6022">
        <w:rPr>
          <w:rFonts w:ascii="Times New Roman" w:hAnsi="Times New Roman"/>
          <w:sz w:val="24"/>
          <w:szCs w:val="24"/>
        </w:rPr>
        <w:t>FDA regulated P</w:t>
      </w:r>
      <w:r w:rsidRPr="00C87830" w:rsidR="006D6022">
        <w:rPr>
          <w:rFonts w:ascii="Times New Roman" w:hAnsi="Times New Roman"/>
          <w:sz w:val="24"/>
          <w:szCs w:val="24"/>
        </w:rPr>
        <w:t xml:space="preserve">roducts </w:t>
      </w:r>
    </w:p>
    <w:p w:rsidR="005B2B49" w:rsidP="00C87830" w:rsidRDefault="005B2B49">
      <w:pPr>
        <w:pStyle w:val="NoSpacing"/>
        <w:rPr>
          <w:rFonts w:ascii="Times New Roman" w:hAnsi="Times New Roman"/>
          <w:sz w:val="24"/>
          <w:szCs w:val="24"/>
        </w:rPr>
      </w:pPr>
    </w:p>
    <w:p w:rsidR="00011C5B" w:rsidP="00C87830" w:rsidRDefault="00427E8F">
      <w:pPr>
        <w:pStyle w:val="NoSpacing"/>
        <w:jc w:val="center"/>
        <w:rPr>
          <w:rFonts w:ascii="Times New Roman" w:hAnsi="Times New Roman"/>
          <w:sz w:val="24"/>
          <w:szCs w:val="24"/>
        </w:rPr>
      </w:pPr>
      <w:r>
        <w:rPr>
          <w:rFonts w:ascii="Times New Roman" w:hAnsi="Times New Roman"/>
          <w:sz w:val="24"/>
          <w:szCs w:val="24"/>
        </w:rPr>
        <w:t xml:space="preserve">OMB </w:t>
      </w:r>
      <w:r w:rsidR="00C87830">
        <w:rPr>
          <w:rFonts w:ascii="Times New Roman" w:hAnsi="Times New Roman"/>
          <w:sz w:val="24"/>
          <w:szCs w:val="24"/>
        </w:rPr>
        <w:t xml:space="preserve">Control No. </w:t>
      </w:r>
      <w:r w:rsidRPr="00C87830" w:rsidR="00011C5B">
        <w:rPr>
          <w:rFonts w:ascii="Times New Roman" w:hAnsi="Times New Roman"/>
          <w:sz w:val="24"/>
          <w:szCs w:val="24"/>
        </w:rPr>
        <w:t>0910-</w:t>
      </w:r>
      <w:r w:rsidRPr="00C87830" w:rsidR="005437D2">
        <w:rPr>
          <w:rFonts w:ascii="Times New Roman" w:hAnsi="Times New Roman"/>
          <w:sz w:val="24"/>
          <w:szCs w:val="24"/>
        </w:rPr>
        <w:t>NEW</w:t>
      </w:r>
    </w:p>
    <w:p w:rsidRPr="00C87830" w:rsidR="00C87830" w:rsidP="00C87830" w:rsidRDefault="00C87830">
      <w:pPr>
        <w:pStyle w:val="NoSpacing"/>
        <w:jc w:val="center"/>
        <w:rPr>
          <w:rFonts w:ascii="Times New Roman" w:hAnsi="Times New Roman"/>
          <w:sz w:val="24"/>
          <w:szCs w:val="24"/>
        </w:rPr>
      </w:pPr>
    </w:p>
    <w:p w:rsidRPr="001842E0" w:rsidR="001842E0" w:rsidP="001224EF" w:rsidRDefault="000B175A">
      <w:pPr>
        <w:pStyle w:val="NoSpacing"/>
        <w:jc w:val="center"/>
        <w:rPr>
          <w:rFonts w:ascii="Times New Roman" w:hAnsi="Times New Roman"/>
          <w:sz w:val="24"/>
          <w:szCs w:val="24"/>
        </w:rPr>
      </w:pPr>
      <w:r w:rsidRPr="001842E0">
        <w:rPr>
          <w:rFonts w:ascii="Times New Roman" w:hAnsi="Times New Roman"/>
          <w:sz w:val="24"/>
          <w:szCs w:val="24"/>
        </w:rPr>
        <w:t>SUPPORTING STATEMENT</w:t>
      </w:r>
    </w:p>
    <w:p w:rsidR="001842E0" w:rsidP="001224EF" w:rsidRDefault="001842E0">
      <w:pPr>
        <w:pStyle w:val="NoSpacing"/>
        <w:jc w:val="center"/>
        <w:rPr>
          <w:rFonts w:ascii="Times New Roman" w:hAnsi="Times New Roman"/>
          <w:b/>
          <w:sz w:val="24"/>
          <w:szCs w:val="24"/>
        </w:rPr>
      </w:pPr>
    </w:p>
    <w:p w:rsidRPr="001224EF" w:rsidR="001224EF" w:rsidP="001842E0" w:rsidRDefault="00E73C39">
      <w:pPr>
        <w:pStyle w:val="NoSpacing"/>
        <w:rPr>
          <w:rFonts w:ascii="Times New Roman" w:hAnsi="Times New Roman"/>
          <w:b/>
          <w:sz w:val="24"/>
          <w:szCs w:val="24"/>
        </w:rPr>
      </w:pPr>
      <w:r w:rsidRPr="001224EF">
        <w:rPr>
          <w:rFonts w:ascii="Times New Roman" w:hAnsi="Times New Roman"/>
          <w:b/>
          <w:sz w:val="24"/>
          <w:szCs w:val="24"/>
        </w:rPr>
        <w:t>Part A</w:t>
      </w:r>
      <w:r w:rsidRPr="001224EF" w:rsidR="001224EF">
        <w:rPr>
          <w:rFonts w:ascii="Times New Roman" w:hAnsi="Times New Roman"/>
          <w:b/>
          <w:sz w:val="24"/>
          <w:szCs w:val="24"/>
        </w:rPr>
        <w:t>:  Justification</w:t>
      </w:r>
      <w:bookmarkStart w:name="_Toc239649221" w:id="0"/>
      <w:bookmarkStart w:name="_Toc276963623" w:id="1"/>
    </w:p>
    <w:p w:rsidR="001224EF" w:rsidP="001224EF" w:rsidRDefault="001224EF">
      <w:pPr>
        <w:pStyle w:val="NoSpacing"/>
        <w:rPr>
          <w:rFonts w:ascii="Times New Roman" w:hAnsi="Times New Roman"/>
          <w:sz w:val="24"/>
          <w:szCs w:val="24"/>
        </w:rPr>
      </w:pPr>
    </w:p>
    <w:p w:rsidR="000B175A" w:rsidP="001224EF" w:rsidRDefault="000B175A">
      <w:pPr>
        <w:pStyle w:val="NoSpacing"/>
        <w:rPr>
          <w:rFonts w:ascii="Times New Roman" w:hAnsi="Times New Roman"/>
          <w:sz w:val="24"/>
          <w:szCs w:val="24"/>
        </w:rPr>
      </w:pPr>
      <w:r w:rsidRPr="00C87830">
        <w:rPr>
          <w:rFonts w:ascii="Times New Roman" w:hAnsi="Times New Roman"/>
          <w:sz w:val="24"/>
          <w:szCs w:val="24"/>
        </w:rPr>
        <w:t>1.</w:t>
      </w:r>
      <w:r w:rsidR="00E73C39">
        <w:rPr>
          <w:rFonts w:ascii="Times New Roman" w:hAnsi="Times New Roman"/>
          <w:sz w:val="24"/>
          <w:szCs w:val="24"/>
        </w:rPr>
        <w:t xml:space="preserve">  </w:t>
      </w:r>
      <w:r w:rsidRPr="00E73C39">
        <w:rPr>
          <w:rFonts w:ascii="Times New Roman" w:hAnsi="Times New Roman"/>
          <w:sz w:val="24"/>
          <w:szCs w:val="24"/>
          <w:u w:val="single"/>
        </w:rPr>
        <w:t xml:space="preserve">Circumstances Making the Collection of Information </w:t>
      </w:r>
      <w:bookmarkEnd w:id="0"/>
      <w:r w:rsidRPr="00E73C39">
        <w:rPr>
          <w:rFonts w:ascii="Times New Roman" w:hAnsi="Times New Roman"/>
          <w:sz w:val="24"/>
          <w:szCs w:val="24"/>
          <w:u w:val="single"/>
        </w:rPr>
        <w:t>Necessary</w:t>
      </w:r>
      <w:bookmarkEnd w:id="1"/>
    </w:p>
    <w:p w:rsidRPr="00C87830" w:rsidR="00E73C39" w:rsidP="00C87830" w:rsidRDefault="00E73C39">
      <w:pPr>
        <w:pStyle w:val="NoSpacing"/>
        <w:rPr>
          <w:rFonts w:ascii="Times New Roman" w:hAnsi="Times New Roman"/>
          <w:sz w:val="24"/>
          <w:szCs w:val="24"/>
        </w:rPr>
      </w:pPr>
    </w:p>
    <w:p w:rsidR="006B6E52" w:rsidP="00C87830" w:rsidRDefault="00655347">
      <w:pPr>
        <w:pStyle w:val="NoSpacing"/>
        <w:rPr>
          <w:rFonts w:ascii="Times New Roman" w:hAnsi="Times New Roman"/>
          <w:sz w:val="24"/>
          <w:szCs w:val="24"/>
        </w:rPr>
      </w:pPr>
      <w:r w:rsidRPr="00C87830">
        <w:rPr>
          <w:rFonts w:ascii="Times New Roman" w:hAnsi="Times New Roman"/>
          <w:sz w:val="24"/>
          <w:szCs w:val="24"/>
        </w:rPr>
        <w:t xml:space="preserve">This information collection </w:t>
      </w:r>
      <w:r w:rsidR="006B6E52">
        <w:rPr>
          <w:rFonts w:ascii="Times New Roman" w:hAnsi="Times New Roman"/>
          <w:sz w:val="24"/>
          <w:szCs w:val="24"/>
        </w:rPr>
        <w:t>is intended to support</w:t>
      </w:r>
      <w:r w:rsidRPr="00C87830">
        <w:rPr>
          <w:rFonts w:ascii="Times New Roman" w:hAnsi="Times New Roman"/>
          <w:sz w:val="24"/>
          <w:szCs w:val="24"/>
        </w:rPr>
        <w:t xml:space="preserve"> research conducted by</w:t>
      </w:r>
      <w:r w:rsidR="00267F82">
        <w:rPr>
          <w:rFonts w:ascii="Times New Roman" w:hAnsi="Times New Roman"/>
          <w:sz w:val="24"/>
          <w:szCs w:val="24"/>
        </w:rPr>
        <w:t>, or on behalf of,</w:t>
      </w:r>
      <w:r w:rsidRPr="00C87830">
        <w:rPr>
          <w:rFonts w:ascii="Times New Roman" w:hAnsi="Times New Roman"/>
          <w:sz w:val="24"/>
          <w:szCs w:val="24"/>
        </w:rPr>
        <w:t xml:space="preserve"> the Food and Drug Administration (FDA or we).  </w:t>
      </w:r>
      <w:r w:rsidRPr="00C87830" w:rsidR="00A31F11">
        <w:rPr>
          <w:rFonts w:ascii="Times New Roman" w:hAnsi="Times New Roman"/>
          <w:sz w:val="24"/>
          <w:szCs w:val="24"/>
        </w:rPr>
        <w:t xml:space="preserve">Understanding </w:t>
      </w:r>
      <w:r w:rsidRPr="00C87830" w:rsidR="008E19D7">
        <w:rPr>
          <w:rFonts w:ascii="Times New Roman" w:hAnsi="Times New Roman"/>
          <w:sz w:val="24"/>
          <w:szCs w:val="24"/>
        </w:rPr>
        <w:t>consumer</w:t>
      </w:r>
      <w:r w:rsidR="008E19D7">
        <w:rPr>
          <w:rFonts w:ascii="Times New Roman" w:hAnsi="Times New Roman"/>
          <w:sz w:val="24"/>
          <w:szCs w:val="24"/>
        </w:rPr>
        <w:t>s</w:t>
      </w:r>
      <w:r w:rsidRPr="00C87830" w:rsidR="008E19D7">
        <w:rPr>
          <w:rFonts w:ascii="Times New Roman" w:hAnsi="Times New Roman"/>
          <w:sz w:val="24"/>
          <w:szCs w:val="24"/>
        </w:rPr>
        <w:t>,</w:t>
      </w:r>
      <w:r w:rsidR="008E19D7">
        <w:rPr>
          <w:rFonts w:ascii="Times New Roman" w:hAnsi="Times New Roman"/>
          <w:sz w:val="24"/>
          <w:szCs w:val="24"/>
        </w:rPr>
        <w:t xml:space="preserve"> </w:t>
      </w:r>
      <w:r w:rsidRPr="00C87830" w:rsidR="00A31F11">
        <w:rPr>
          <w:rFonts w:ascii="Times New Roman" w:hAnsi="Times New Roman"/>
          <w:sz w:val="24"/>
          <w:szCs w:val="24"/>
        </w:rPr>
        <w:t>patient</w:t>
      </w:r>
      <w:r w:rsidR="00CF192F">
        <w:rPr>
          <w:rFonts w:ascii="Times New Roman" w:hAnsi="Times New Roman"/>
          <w:sz w:val="24"/>
          <w:szCs w:val="24"/>
        </w:rPr>
        <w:t>s</w:t>
      </w:r>
      <w:r w:rsidRPr="00C87830" w:rsidR="00A31F11">
        <w:rPr>
          <w:rFonts w:ascii="Times New Roman" w:hAnsi="Times New Roman"/>
          <w:sz w:val="24"/>
          <w:szCs w:val="24"/>
        </w:rPr>
        <w:t xml:space="preserve">, </w:t>
      </w:r>
      <w:r w:rsidR="00165808">
        <w:rPr>
          <w:rFonts w:ascii="Times New Roman" w:hAnsi="Times New Roman"/>
          <w:sz w:val="24"/>
          <w:szCs w:val="24"/>
        </w:rPr>
        <w:t>caregiver</w:t>
      </w:r>
      <w:r w:rsidR="008E19D7">
        <w:rPr>
          <w:rFonts w:ascii="Times New Roman" w:hAnsi="Times New Roman"/>
          <w:sz w:val="24"/>
          <w:szCs w:val="24"/>
        </w:rPr>
        <w:t>s</w:t>
      </w:r>
      <w:r w:rsidR="00165808">
        <w:rPr>
          <w:rFonts w:ascii="Times New Roman" w:hAnsi="Times New Roman"/>
          <w:sz w:val="24"/>
          <w:szCs w:val="24"/>
        </w:rPr>
        <w:t xml:space="preserve">, </w:t>
      </w:r>
      <w:r w:rsidR="00267F82">
        <w:rPr>
          <w:rFonts w:ascii="Times New Roman" w:hAnsi="Times New Roman"/>
          <w:sz w:val="24"/>
          <w:szCs w:val="24"/>
        </w:rPr>
        <w:t xml:space="preserve">academic/scientific experts </w:t>
      </w:r>
      <w:r w:rsidRPr="00C87830" w:rsidR="00A31F11">
        <w:rPr>
          <w:rFonts w:ascii="Times New Roman" w:hAnsi="Times New Roman"/>
          <w:sz w:val="24"/>
          <w:szCs w:val="24"/>
        </w:rPr>
        <w:t xml:space="preserve">and </w:t>
      </w:r>
      <w:r w:rsidR="007A2FD0">
        <w:rPr>
          <w:rFonts w:ascii="Times New Roman" w:hAnsi="Times New Roman"/>
          <w:sz w:val="24"/>
          <w:szCs w:val="24"/>
        </w:rPr>
        <w:t xml:space="preserve">public </w:t>
      </w:r>
      <w:r w:rsidRPr="00C87830" w:rsidR="00A31F11">
        <w:rPr>
          <w:rFonts w:ascii="Times New Roman" w:hAnsi="Times New Roman"/>
          <w:sz w:val="24"/>
          <w:szCs w:val="24"/>
        </w:rPr>
        <w:t>health professionals' perceptions and behaviors plays an important role in improving FDA's decision</w:t>
      </w:r>
      <w:r w:rsidR="001F4944">
        <w:rPr>
          <w:rFonts w:ascii="Times New Roman" w:hAnsi="Times New Roman"/>
          <w:sz w:val="24"/>
          <w:szCs w:val="24"/>
        </w:rPr>
        <w:t>-</w:t>
      </w:r>
      <w:r w:rsidRPr="00C87830" w:rsidR="00A31F11">
        <w:rPr>
          <w:rFonts w:ascii="Times New Roman" w:hAnsi="Times New Roman"/>
          <w:sz w:val="24"/>
          <w:szCs w:val="24"/>
        </w:rPr>
        <w:t xml:space="preserve">making processes and communications impacting various stakeholders.  </w:t>
      </w:r>
      <w:r w:rsidRPr="00C87830">
        <w:rPr>
          <w:rFonts w:ascii="Times New Roman" w:hAnsi="Times New Roman"/>
          <w:sz w:val="24"/>
          <w:szCs w:val="24"/>
        </w:rPr>
        <w:t>T</w:t>
      </w:r>
      <w:r w:rsidRPr="00C87830" w:rsidR="000B175A">
        <w:rPr>
          <w:rFonts w:ascii="Times New Roman" w:hAnsi="Times New Roman"/>
          <w:sz w:val="24"/>
          <w:szCs w:val="24"/>
        </w:rPr>
        <w:t xml:space="preserve">o </w:t>
      </w:r>
      <w:r w:rsidRPr="00C87830">
        <w:rPr>
          <w:rFonts w:ascii="Times New Roman" w:hAnsi="Times New Roman"/>
          <w:sz w:val="24"/>
          <w:szCs w:val="24"/>
        </w:rPr>
        <w:t xml:space="preserve">better </w:t>
      </w:r>
      <w:r w:rsidRPr="00C87830" w:rsidR="00101D9C">
        <w:rPr>
          <w:rFonts w:ascii="Times New Roman" w:hAnsi="Times New Roman"/>
          <w:sz w:val="24"/>
          <w:szCs w:val="24"/>
        </w:rPr>
        <w:t xml:space="preserve">understand </w:t>
      </w:r>
      <w:r w:rsidRPr="00C87830" w:rsidR="008E19D7">
        <w:rPr>
          <w:rFonts w:ascii="Times New Roman" w:hAnsi="Times New Roman"/>
          <w:sz w:val="24"/>
          <w:szCs w:val="24"/>
        </w:rPr>
        <w:t>consumer</w:t>
      </w:r>
      <w:r w:rsidR="008E19D7">
        <w:rPr>
          <w:rFonts w:ascii="Times New Roman" w:hAnsi="Times New Roman"/>
          <w:sz w:val="24"/>
          <w:szCs w:val="24"/>
        </w:rPr>
        <w:t>s</w:t>
      </w:r>
      <w:r w:rsidRPr="00C87830" w:rsidR="008E19D7">
        <w:rPr>
          <w:rFonts w:ascii="Times New Roman" w:hAnsi="Times New Roman"/>
          <w:sz w:val="24"/>
          <w:szCs w:val="24"/>
        </w:rPr>
        <w:t>,</w:t>
      </w:r>
      <w:r w:rsidR="008E19D7">
        <w:rPr>
          <w:rFonts w:ascii="Times New Roman" w:hAnsi="Times New Roman"/>
          <w:sz w:val="24"/>
          <w:szCs w:val="24"/>
        </w:rPr>
        <w:t xml:space="preserve"> </w:t>
      </w:r>
      <w:r w:rsidRPr="00C87830" w:rsidR="00101D9C">
        <w:rPr>
          <w:rFonts w:ascii="Times New Roman" w:hAnsi="Times New Roman"/>
          <w:sz w:val="24"/>
          <w:szCs w:val="24"/>
        </w:rPr>
        <w:t xml:space="preserve">patient, </w:t>
      </w:r>
      <w:r w:rsidR="00165808">
        <w:rPr>
          <w:rFonts w:ascii="Times New Roman" w:hAnsi="Times New Roman"/>
          <w:sz w:val="24"/>
          <w:szCs w:val="24"/>
        </w:rPr>
        <w:t>caregiver</w:t>
      </w:r>
      <w:r w:rsidR="008E19D7">
        <w:rPr>
          <w:rFonts w:ascii="Times New Roman" w:hAnsi="Times New Roman"/>
          <w:sz w:val="24"/>
          <w:szCs w:val="24"/>
        </w:rPr>
        <w:t>s</w:t>
      </w:r>
      <w:r w:rsidR="00165808">
        <w:rPr>
          <w:rFonts w:ascii="Times New Roman" w:hAnsi="Times New Roman"/>
          <w:sz w:val="24"/>
          <w:szCs w:val="24"/>
        </w:rPr>
        <w:t xml:space="preserve">, </w:t>
      </w:r>
      <w:r w:rsidR="00267F82">
        <w:rPr>
          <w:rFonts w:ascii="Times New Roman" w:hAnsi="Times New Roman"/>
          <w:sz w:val="24"/>
          <w:szCs w:val="24"/>
        </w:rPr>
        <w:t>academic/</w:t>
      </w:r>
      <w:r w:rsidR="00B27D85">
        <w:rPr>
          <w:rFonts w:ascii="Times New Roman" w:hAnsi="Times New Roman"/>
          <w:sz w:val="24"/>
          <w:szCs w:val="24"/>
        </w:rPr>
        <w:t>s</w:t>
      </w:r>
      <w:r w:rsidR="00267F82">
        <w:rPr>
          <w:rFonts w:ascii="Times New Roman" w:hAnsi="Times New Roman"/>
          <w:sz w:val="24"/>
          <w:szCs w:val="24"/>
        </w:rPr>
        <w:t xml:space="preserve">cientific experts </w:t>
      </w:r>
      <w:r w:rsidRPr="00C87830" w:rsidR="00101D9C">
        <w:rPr>
          <w:rFonts w:ascii="Times New Roman" w:hAnsi="Times New Roman"/>
          <w:sz w:val="24"/>
          <w:szCs w:val="24"/>
        </w:rPr>
        <w:t xml:space="preserve">and </w:t>
      </w:r>
      <w:r w:rsidR="00437BC5">
        <w:rPr>
          <w:rFonts w:ascii="Times New Roman" w:hAnsi="Times New Roman"/>
          <w:sz w:val="24"/>
          <w:szCs w:val="24"/>
        </w:rPr>
        <w:t xml:space="preserve">public </w:t>
      </w:r>
      <w:r w:rsidRPr="00C87830" w:rsidR="00101D9C">
        <w:rPr>
          <w:rFonts w:ascii="Times New Roman" w:hAnsi="Times New Roman"/>
          <w:sz w:val="24"/>
          <w:szCs w:val="24"/>
        </w:rPr>
        <w:t xml:space="preserve">health professionals' perceptions and behaviors </w:t>
      </w:r>
      <w:r w:rsidRPr="00C87830">
        <w:rPr>
          <w:rFonts w:ascii="Times New Roman" w:hAnsi="Times New Roman"/>
          <w:sz w:val="24"/>
          <w:szCs w:val="24"/>
        </w:rPr>
        <w:t xml:space="preserve">regarding various issues </w:t>
      </w:r>
      <w:r w:rsidR="00BD4A5A">
        <w:rPr>
          <w:rFonts w:ascii="Times New Roman" w:hAnsi="Times New Roman"/>
          <w:sz w:val="24"/>
          <w:szCs w:val="24"/>
        </w:rPr>
        <w:t>and</w:t>
      </w:r>
      <w:r w:rsidRPr="002D1BB9" w:rsidR="00BD4A5A">
        <w:rPr>
          <w:rFonts w:ascii="Times New Roman" w:hAnsi="Times New Roman"/>
          <w:sz w:val="24"/>
          <w:szCs w:val="24"/>
        </w:rPr>
        <w:t xml:space="preserve"> outcomes</w:t>
      </w:r>
      <w:r w:rsidR="00BD4A5A">
        <w:rPr>
          <w:rFonts w:ascii="Times New Roman" w:hAnsi="Times New Roman"/>
          <w:sz w:val="24"/>
          <w:szCs w:val="24"/>
        </w:rPr>
        <w:t xml:space="preserve"> </w:t>
      </w:r>
      <w:r w:rsidRPr="00C87830">
        <w:rPr>
          <w:rFonts w:ascii="Times New Roman" w:hAnsi="Times New Roman"/>
          <w:sz w:val="24"/>
          <w:szCs w:val="24"/>
        </w:rPr>
        <w:t>associated the</w:t>
      </w:r>
      <w:r w:rsidR="007F57C0">
        <w:rPr>
          <w:rFonts w:ascii="Times New Roman" w:hAnsi="Times New Roman"/>
          <w:sz w:val="24"/>
          <w:szCs w:val="24"/>
        </w:rPr>
        <w:t xml:space="preserve"> disease prevention</w:t>
      </w:r>
      <w:r w:rsidR="00406E6A">
        <w:rPr>
          <w:rFonts w:ascii="Times New Roman" w:hAnsi="Times New Roman"/>
          <w:sz w:val="24"/>
          <w:szCs w:val="24"/>
        </w:rPr>
        <w:t xml:space="preserve">, </w:t>
      </w:r>
      <w:r w:rsidR="007F57C0">
        <w:rPr>
          <w:rFonts w:ascii="Times New Roman" w:hAnsi="Times New Roman"/>
          <w:sz w:val="24"/>
          <w:szCs w:val="24"/>
        </w:rPr>
        <w:t>treatment</w:t>
      </w:r>
      <w:r w:rsidR="00406E6A">
        <w:rPr>
          <w:rFonts w:ascii="Times New Roman" w:hAnsi="Times New Roman"/>
          <w:sz w:val="24"/>
          <w:szCs w:val="24"/>
        </w:rPr>
        <w:t xml:space="preserve">, </w:t>
      </w:r>
      <w:r w:rsidR="007F57C0">
        <w:rPr>
          <w:rFonts w:ascii="Times New Roman" w:hAnsi="Times New Roman"/>
          <w:sz w:val="24"/>
          <w:szCs w:val="24"/>
        </w:rPr>
        <w:t>and the safety</w:t>
      </w:r>
      <w:r w:rsidR="007A2FD0">
        <w:rPr>
          <w:rFonts w:ascii="Times New Roman" w:hAnsi="Times New Roman"/>
          <w:sz w:val="24"/>
          <w:szCs w:val="24"/>
        </w:rPr>
        <w:t xml:space="preserve">, </w:t>
      </w:r>
      <w:r w:rsidR="00D1243E">
        <w:rPr>
          <w:rFonts w:ascii="Times New Roman" w:hAnsi="Times New Roman"/>
          <w:sz w:val="24"/>
          <w:szCs w:val="24"/>
        </w:rPr>
        <w:t>efficacy</w:t>
      </w:r>
      <w:r w:rsidR="007A2FD0">
        <w:rPr>
          <w:rFonts w:ascii="Times New Roman" w:hAnsi="Times New Roman"/>
          <w:sz w:val="24"/>
          <w:szCs w:val="24"/>
        </w:rPr>
        <w:t>,</w:t>
      </w:r>
      <w:r w:rsidRPr="00C87830">
        <w:rPr>
          <w:rFonts w:ascii="Times New Roman" w:hAnsi="Times New Roman"/>
          <w:sz w:val="24"/>
          <w:szCs w:val="24"/>
        </w:rPr>
        <w:t xml:space="preserve"> and </w:t>
      </w:r>
      <w:r w:rsidR="008E19D7">
        <w:rPr>
          <w:rFonts w:ascii="Times New Roman" w:hAnsi="Times New Roman"/>
          <w:sz w:val="24"/>
          <w:szCs w:val="24"/>
        </w:rPr>
        <w:t>usage</w:t>
      </w:r>
      <w:r w:rsidRPr="00C87830" w:rsidR="008E19D7">
        <w:rPr>
          <w:rFonts w:ascii="Times New Roman" w:hAnsi="Times New Roman"/>
          <w:sz w:val="24"/>
          <w:szCs w:val="24"/>
        </w:rPr>
        <w:t xml:space="preserve"> </w:t>
      </w:r>
      <w:r w:rsidRPr="00C87830">
        <w:rPr>
          <w:rFonts w:ascii="Times New Roman" w:hAnsi="Times New Roman"/>
          <w:sz w:val="24"/>
          <w:szCs w:val="24"/>
        </w:rPr>
        <w:t xml:space="preserve">of products overseen by the agency, FDA is requesting approval of this generic information collection request.  </w:t>
      </w:r>
    </w:p>
    <w:p w:rsidR="006B6E52" w:rsidP="00C87830" w:rsidRDefault="006B6E52">
      <w:pPr>
        <w:pStyle w:val="NoSpacing"/>
        <w:rPr>
          <w:rFonts w:ascii="Times New Roman" w:hAnsi="Times New Roman"/>
          <w:sz w:val="24"/>
          <w:szCs w:val="24"/>
        </w:rPr>
      </w:pPr>
    </w:p>
    <w:p w:rsidR="00C46C3D" w:rsidP="00C87830" w:rsidRDefault="00721F56">
      <w:pPr>
        <w:pStyle w:val="NoSpacing"/>
        <w:rPr>
          <w:rFonts w:ascii="Times New Roman" w:hAnsi="Times New Roman"/>
          <w:sz w:val="24"/>
          <w:szCs w:val="24"/>
        </w:rPr>
      </w:pPr>
      <w:r w:rsidRPr="00C87830">
        <w:rPr>
          <w:rFonts w:ascii="Times New Roman" w:hAnsi="Times New Roman"/>
          <w:sz w:val="24"/>
          <w:szCs w:val="24"/>
        </w:rPr>
        <w:t xml:space="preserve">Among the general provisions of the </w:t>
      </w:r>
      <w:r w:rsidR="007A2FD0">
        <w:rPr>
          <w:rFonts w:ascii="Times New Roman" w:hAnsi="Times New Roman"/>
          <w:sz w:val="24"/>
          <w:szCs w:val="24"/>
        </w:rPr>
        <w:t>Federal Food</w:t>
      </w:r>
      <w:r w:rsidR="001F4944">
        <w:rPr>
          <w:rFonts w:ascii="Times New Roman" w:hAnsi="Times New Roman"/>
          <w:sz w:val="24"/>
          <w:szCs w:val="24"/>
        </w:rPr>
        <w:t>,</w:t>
      </w:r>
      <w:r w:rsidR="007A2FD0">
        <w:rPr>
          <w:rFonts w:ascii="Times New Roman" w:hAnsi="Times New Roman"/>
          <w:sz w:val="24"/>
          <w:szCs w:val="24"/>
        </w:rPr>
        <w:t xml:space="preserve"> Drug, and Cosmetic Act (FFDCA, or the </w:t>
      </w:r>
      <w:r w:rsidR="001052EC">
        <w:rPr>
          <w:rFonts w:ascii="Times New Roman" w:hAnsi="Times New Roman"/>
          <w:sz w:val="24"/>
          <w:szCs w:val="24"/>
        </w:rPr>
        <w:t>A</w:t>
      </w:r>
      <w:r w:rsidRPr="00C87830">
        <w:rPr>
          <w:rFonts w:ascii="Times New Roman" w:hAnsi="Times New Roman"/>
          <w:sz w:val="24"/>
          <w:szCs w:val="24"/>
        </w:rPr>
        <w:t>ct</w:t>
      </w:r>
      <w:r w:rsidR="007A2FD0">
        <w:rPr>
          <w:rFonts w:ascii="Times New Roman" w:hAnsi="Times New Roman"/>
          <w:sz w:val="24"/>
          <w:szCs w:val="24"/>
        </w:rPr>
        <w:t>)</w:t>
      </w:r>
      <w:r w:rsidRPr="00C87830">
        <w:rPr>
          <w:rFonts w:ascii="Times New Roman" w:hAnsi="Times New Roman"/>
          <w:sz w:val="24"/>
          <w:szCs w:val="24"/>
        </w:rPr>
        <w:t>, FDA is charged with promoting the public health through regulatory oversight as well as clinical research.  Specifically, s</w:t>
      </w:r>
      <w:r w:rsidRPr="00C87830" w:rsidR="000B175A">
        <w:rPr>
          <w:rFonts w:ascii="Times New Roman" w:hAnsi="Times New Roman"/>
          <w:sz w:val="24"/>
          <w:szCs w:val="24"/>
        </w:rPr>
        <w:t xml:space="preserve">ection </w:t>
      </w:r>
      <w:r w:rsidRPr="00C87830">
        <w:rPr>
          <w:rFonts w:ascii="Times New Roman" w:hAnsi="Times New Roman"/>
          <w:sz w:val="24"/>
          <w:szCs w:val="24"/>
        </w:rPr>
        <w:t>100</w:t>
      </w:r>
      <w:r w:rsidRPr="00C87830" w:rsidR="00A31F11">
        <w:rPr>
          <w:rFonts w:ascii="Times New Roman" w:hAnsi="Times New Roman"/>
          <w:sz w:val="24"/>
          <w:szCs w:val="24"/>
        </w:rPr>
        <w:t xml:space="preserve">3 of </w:t>
      </w:r>
      <w:r w:rsidRPr="00C87830" w:rsidR="000B175A">
        <w:rPr>
          <w:rFonts w:ascii="Times New Roman" w:hAnsi="Times New Roman"/>
          <w:sz w:val="24"/>
          <w:szCs w:val="24"/>
        </w:rPr>
        <w:t xml:space="preserve">the </w:t>
      </w:r>
      <w:r w:rsidR="001052EC">
        <w:rPr>
          <w:rFonts w:ascii="Times New Roman" w:hAnsi="Times New Roman"/>
          <w:sz w:val="24"/>
          <w:szCs w:val="24"/>
        </w:rPr>
        <w:t>A</w:t>
      </w:r>
      <w:r w:rsidR="007A2FD0">
        <w:rPr>
          <w:rFonts w:ascii="Times New Roman" w:hAnsi="Times New Roman"/>
          <w:sz w:val="24"/>
          <w:szCs w:val="24"/>
        </w:rPr>
        <w:t>ct</w:t>
      </w:r>
      <w:r w:rsidRPr="00C87830" w:rsidR="000B175A">
        <w:rPr>
          <w:rFonts w:ascii="Times New Roman" w:hAnsi="Times New Roman"/>
          <w:sz w:val="24"/>
          <w:szCs w:val="24"/>
        </w:rPr>
        <w:t xml:space="preserve"> </w:t>
      </w:r>
      <w:r w:rsidRPr="00C87830" w:rsidR="00A31F11">
        <w:rPr>
          <w:rFonts w:ascii="Times New Roman" w:hAnsi="Times New Roman"/>
          <w:sz w:val="24"/>
          <w:szCs w:val="24"/>
        </w:rPr>
        <w:t>(21 U.S.C. 393(d)(2)(</w:t>
      </w:r>
      <w:r w:rsidRPr="00C87830" w:rsidR="00CF192F">
        <w:rPr>
          <w:rFonts w:ascii="Times New Roman" w:hAnsi="Times New Roman"/>
          <w:sz w:val="24"/>
          <w:szCs w:val="24"/>
        </w:rPr>
        <w:t>C) and</w:t>
      </w:r>
      <w:r w:rsidRPr="00C87830" w:rsidR="00A31F11">
        <w:rPr>
          <w:rFonts w:ascii="Times New Roman" w:hAnsi="Times New Roman"/>
          <w:sz w:val="24"/>
          <w:szCs w:val="24"/>
        </w:rPr>
        <w:t xml:space="preserve"> (D)) provides that the Commissioner of Food and Drugs shall be responsible for “</w:t>
      </w:r>
      <w:r w:rsidRPr="00C87830" w:rsidR="00A31F11">
        <w:rPr>
          <w:rFonts w:ascii="Times New Roman" w:hAnsi="Times New Roman"/>
          <w:i/>
          <w:sz w:val="24"/>
          <w:szCs w:val="24"/>
        </w:rPr>
        <w:t>research relating to foods, drugs, cosmetics, devices, and tobacco products in carrying out this chapter; [and]conducting educational and public information programs relating to the responsibilities of the [FDA]</w:t>
      </w:r>
      <w:r w:rsidRPr="00C87830" w:rsidR="00A31F11">
        <w:rPr>
          <w:rFonts w:ascii="Times New Roman" w:hAnsi="Times New Roman"/>
          <w:sz w:val="24"/>
          <w:szCs w:val="24"/>
        </w:rPr>
        <w:t>.”</w:t>
      </w:r>
      <w:r w:rsidRPr="00C87830" w:rsidR="00C87830">
        <w:rPr>
          <w:rFonts w:ascii="Times New Roman" w:hAnsi="Times New Roman"/>
          <w:sz w:val="24"/>
          <w:szCs w:val="24"/>
        </w:rPr>
        <w:t xml:space="preserve">  </w:t>
      </w:r>
      <w:r w:rsidRPr="00CF192F" w:rsidR="00C87830">
        <w:rPr>
          <w:rFonts w:ascii="Times New Roman" w:hAnsi="Times New Roman"/>
          <w:sz w:val="24"/>
          <w:szCs w:val="24"/>
        </w:rPr>
        <w:t>Accordingly, FDA</w:t>
      </w:r>
      <w:r w:rsidRPr="00CF192F" w:rsidR="006B6E52">
        <w:rPr>
          <w:rFonts w:ascii="Times New Roman" w:hAnsi="Times New Roman"/>
          <w:sz w:val="24"/>
          <w:szCs w:val="24"/>
        </w:rPr>
        <w:t xml:space="preserve"> is seeking</w:t>
      </w:r>
      <w:r w:rsidRPr="00CF192F" w:rsidR="00C87830">
        <w:rPr>
          <w:rFonts w:ascii="Times New Roman" w:hAnsi="Times New Roman"/>
          <w:sz w:val="24"/>
          <w:szCs w:val="24"/>
        </w:rPr>
        <w:t xml:space="preserve"> to</w:t>
      </w:r>
      <w:r w:rsidRPr="00CF192F" w:rsidR="00CB0F82">
        <w:rPr>
          <w:rFonts w:ascii="Times New Roman" w:hAnsi="Times New Roman"/>
          <w:sz w:val="24"/>
          <w:szCs w:val="24"/>
        </w:rPr>
        <w:t xml:space="preserve"> conduct </w:t>
      </w:r>
      <w:r w:rsidRPr="00CF192F" w:rsidR="00061575">
        <w:rPr>
          <w:rFonts w:ascii="Times New Roman" w:hAnsi="Times New Roman"/>
          <w:sz w:val="24"/>
          <w:szCs w:val="24"/>
        </w:rPr>
        <w:t xml:space="preserve">qualitative and quantitative </w:t>
      </w:r>
      <w:r w:rsidRPr="00CF192F" w:rsidR="00CB0F82">
        <w:rPr>
          <w:rFonts w:ascii="Times New Roman" w:hAnsi="Times New Roman"/>
          <w:sz w:val="24"/>
          <w:szCs w:val="24"/>
        </w:rPr>
        <w:t xml:space="preserve">research </w:t>
      </w:r>
      <w:r w:rsidRPr="00CF192F" w:rsidR="00061575">
        <w:rPr>
          <w:rFonts w:ascii="Times New Roman" w:hAnsi="Times New Roman"/>
          <w:sz w:val="24"/>
          <w:szCs w:val="24"/>
        </w:rPr>
        <w:t>studies</w:t>
      </w:r>
      <w:r w:rsidRPr="00CF192F" w:rsidR="00CD0720">
        <w:rPr>
          <w:rFonts w:ascii="Times New Roman" w:hAnsi="Times New Roman"/>
          <w:sz w:val="24"/>
          <w:szCs w:val="24"/>
        </w:rPr>
        <w:t>. These studies may</w:t>
      </w:r>
      <w:r w:rsidRPr="00CF192F" w:rsidR="00061575">
        <w:rPr>
          <w:rFonts w:ascii="Times New Roman" w:hAnsi="Times New Roman"/>
          <w:sz w:val="24"/>
          <w:szCs w:val="24"/>
        </w:rPr>
        <w:t xml:space="preserve"> </w:t>
      </w:r>
      <w:r w:rsidRPr="00CF192F" w:rsidR="00CB0F82">
        <w:rPr>
          <w:rFonts w:ascii="Times New Roman" w:hAnsi="Times New Roman"/>
          <w:sz w:val="24"/>
          <w:szCs w:val="24"/>
        </w:rPr>
        <w:t xml:space="preserve">consist of </w:t>
      </w:r>
      <w:r w:rsidRPr="00CF192F" w:rsidR="00E61D40">
        <w:rPr>
          <w:rFonts w:ascii="Times New Roman" w:hAnsi="Times New Roman"/>
          <w:sz w:val="24"/>
          <w:szCs w:val="24"/>
        </w:rPr>
        <w:t xml:space="preserve">small groups, </w:t>
      </w:r>
      <w:r w:rsidRPr="00CF192F" w:rsidR="00CB0F82">
        <w:rPr>
          <w:rFonts w:ascii="Times New Roman" w:hAnsi="Times New Roman"/>
          <w:sz w:val="24"/>
          <w:szCs w:val="24"/>
        </w:rPr>
        <w:t>focus groups</w:t>
      </w:r>
      <w:r w:rsidRPr="004E11D8" w:rsidR="005C5AF2">
        <w:rPr>
          <w:rFonts w:ascii="Times New Roman" w:hAnsi="Times New Roman"/>
          <w:sz w:val="24"/>
          <w:szCs w:val="24"/>
        </w:rPr>
        <w:t>/town halls</w:t>
      </w:r>
      <w:r w:rsidRPr="00CF192F" w:rsidR="00CB0F82">
        <w:rPr>
          <w:rFonts w:ascii="Times New Roman" w:hAnsi="Times New Roman"/>
          <w:sz w:val="24"/>
          <w:szCs w:val="24"/>
        </w:rPr>
        <w:t xml:space="preserve">, </w:t>
      </w:r>
      <w:r w:rsidR="00267F82">
        <w:rPr>
          <w:rFonts w:ascii="Times New Roman" w:hAnsi="Times New Roman"/>
          <w:sz w:val="24"/>
          <w:szCs w:val="24"/>
        </w:rPr>
        <w:t xml:space="preserve">individual </w:t>
      </w:r>
      <w:r w:rsidRPr="00CF192F" w:rsidR="00BC45DE">
        <w:rPr>
          <w:rFonts w:ascii="Times New Roman" w:hAnsi="Times New Roman"/>
          <w:sz w:val="24"/>
          <w:szCs w:val="24"/>
        </w:rPr>
        <w:t xml:space="preserve">in-depth </w:t>
      </w:r>
      <w:r w:rsidRPr="00CF192F" w:rsidR="00CB0F82">
        <w:rPr>
          <w:rFonts w:ascii="Times New Roman" w:hAnsi="Times New Roman"/>
          <w:sz w:val="24"/>
          <w:szCs w:val="24"/>
        </w:rPr>
        <w:t>interviews</w:t>
      </w:r>
      <w:r w:rsidRPr="00CF192F" w:rsidR="00C87830">
        <w:rPr>
          <w:rFonts w:ascii="Times New Roman" w:hAnsi="Times New Roman"/>
          <w:sz w:val="24"/>
          <w:szCs w:val="24"/>
        </w:rPr>
        <w:t xml:space="preserve">, </w:t>
      </w:r>
      <w:r w:rsidRPr="00CF192F" w:rsidR="00CB0F82">
        <w:rPr>
          <w:rFonts w:ascii="Times New Roman" w:hAnsi="Times New Roman"/>
          <w:sz w:val="24"/>
          <w:szCs w:val="24"/>
        </w:rPr>
        <w:t xml:space="preserve">and surveys </w:t>
      </w:r>
      <w:r w:rsidRPr="00CF192F" w:rsidR="00C87830">
        <w:rPr>
          <w:rFonts w:ascii="Times New Roman" w:hAnsi="Times New Roman"/>
          <w:sz w:val="24"/>
          <w:szCs w:val="24"/>
        </w:rPr>
        <w:t>relating</w:t>
      </w:r>
      <w:r w:rsidRPr="00CF192F" w:rsidR="00CB0F82">
        <w:rPr>
          <w:rFonts w:ascii="Times New Roman" w:hAnsi="Times New Roman"/>
          <w:sz w:val="24"/>
          <w:szCs w:val="24"/>
        </w:rPr>
        <w:t xml:space="preserve"> to the </w:t>
      </w:r>
      <w:r w:rsidR="00267F82">
        <w:rPr>
          <w:rFonts w:ascii="Times New Roman" w:hAnsi="Times New Roman"/>
          <w:sz w:val="24"/>
          <w:szCs w:val="24"/>
        </w:rPr>
        <w:t xml:space="preserve">evaluation of </w:t>
      </w:r>
      <w:r w:rsidR="008D59F7">
        <w:rPr>
          <w:rFonts w:ascii="Times New Roman" w:hAnsi="Times New Roman"/>
          <w:sz w:val="24"/>
          <w:szCs w:val="24"/>
        </w:rPr>
        <w:t xml:space="preserve">disease prevention and treatment  and </w:t>
      </w:r>
      <w:r w:rsidR="00267F82">
        <w:rPr>
          <w:rFonts w:ascii="Times New Roman" w:hAnsi="Times New Roman"/>
          <w:sz w:val="24"/>
          <w:szCs w:val="24"/>
        </w:rPr>
        <w:t>the safety, efficacy, and usage</w:t>
      </w:r>
      <w:r w:rsidRPr="00CF192F" w:rsidR="00CB0F82">
        <w:rPr>
          <w:rFonts w:ascii="Times New Roman" w:hAnsi="Times New Roman"/>
          <w:sz w:val="24"/>
          <w:szCs w:val="24"/>
        </w:rPr>
        <w:t xml:space="preserve"> of </w:t>
      </w:r>
      <w:r w:rsidRPr="00CF192F" w:rsidR="00171292">
        <w:rPr>
          <w:rFonts w:ascii="Times New Roman" w:hAnsi="Times New Roman"/>
          <w:sz w:val="24"/>
          <w:szCs w:val="24"/>
        </w:rPr>
        <w:t>FDA</w:t>
      </w:r>
      <w:r w:rsidRPr="00CF192F" w:rsidR="001F4944">
        <w:rPr>
          <w:rFonts w:ascii="Times New Roman" w:hAnsi="Times New Roman"/>
          <w:sz w:val="24"/>
          <w:szCs w:val="24"/>
        </w:rPr>
        <w:t>-</w:t>
      </w:r>
      <w:r w:rsidRPr="00CF192F" w:rsidR="00171292">
        <w:rPr>
          <w:rFonts w:ascii="Times New Roman" w:hAnsi="Times New Roman"/>
          <w:sz w:val="24"/>
          <w:szCs w:val="24"/>
        </w:rPr>
        <w:t xml:space="preserve">regulated products </w:t>
      </w:r>
      <w:r w:rsidRPr="00CF192F" w:rsidR="00031A1B">
        <w:rPr>
          <w:rFonts w:ascii="Times New Roman" w:hAnsi="Times New Roman"/>
          <w:sz w:val="24"/>
          <w:szCs w:val="24"/>
        </w:rPr>
        <w:t xml:space="preserve">and </w:t>
      </w:r>
      <w:r w:rsidRPr="00CF192F" w:rsidR="00CB0F82">
        <w:rPr>
          <w:rFonts w:ascii="Times New Roman" w:hAnsi="Times New Roman"/>
          <w:sz w:val="24"/>
          <w:szCs w:val="24"/>
        </w:rPr>
        <w:t>communication messages</w:t>
      </w:r>
      <w:r w:rsidR="00262B5A">
        <w:rPr>
          <w:rFonts w:ascii="Times New Roman" w:hAnsi="Times New Roman"/>
          <w:sz w:val="24"/>
          <w:szCs w:val="24"/>
        </w:rPr>
        <w:t xml:space="preserve"> and strategies</w:t>
      </w:r>
      <w:r w:rsidR="00CF192F">
        <w:rPr>
          <w:rFonts w:ascii="Times New Roman" w:hAnsi="Times New Roman"/>
          <w:sz w:val="24"/>
          <w:szCs w:val="24"/>
        </w:rPr>
        <w:t>,</w:t>
      </w:r>
      <w:r w:rsidRPr="00CF192F" w:rsidR="00CB0F82">
        <w:rPr>
          <w:rFonts w:ascii="Times New Roman" w:hAnsi="Times New Roman"/>
          <w:sz w:val="24"/>
          <w:szCs w:val="24"/>
        </w:rPr>
        <w:t xml:space="preserve"> and other materials directed </w:t>
      </w:r>
      <w:r w:rsidRPr="00CF192F" w:rsidR="00C87830">
        <w:rPr>
          <w:rFonts w:ascii="Times New Roman" w:hAnsi="Times New Roman"/>
          <w:sz w:val="24"/>
          <w:szCs w:val="24"/>
        </w:rPr>
        <w:t>to</w:t>
      </w:r>
      <w:r w:rsidRPr="00CF192F" w:rsidR="006D5B6E">
        <w:rPr>
          <w:rFonts w:ascii="Times New Roman" w:hAnsi="Times New Roman"/>
          <w:sz w:val="24"/>
          <w:szCs w:val="24"/>
        </w:rPr>
        <w:t xml:space="preserve"> consumers,</w:t>
      </w:r>
      <w:r w:rsidRPr="00CF192F" w:rsidR="00C87830">
        <w:rPr>
          <w:rFonts w:ascii="Times New Roman" w:hAnsi="Times New Roman"/>
          <w:sz w:val="24"/>
          <w:szCs w:val="24"/>
        </w:rPr>
        <w:t xml:space="preserve"> patients, </w:t>
      </w:r>
      <w:r w:rsidRPr="00CF192F" w:rsidR="00F8161B">
        <w:rPr>
          <w:rFonts w:ascii="Times New Roman" w:hAnsi="Times New Roman"/>
          <w:sz w:val="24"/>
          <w:szCs w:val="24"/>
        </w:rPr>
        <w:t xml:space="preserve">caregivers, </w:t>
      </w:r>
      <w:r w:rsidRPr="00CF192F" w:rsidR="006D5B6E">
        <w:rPr>
          <w:rFonts w:ascii="Times New Roman" w:hAnsi="Times New Roman"/>
          <w:sz w:val="24"/>
          <w:szCs w:val="24"/>
        </w:rPr>
        <w:t xml:space="preserve">and </w:t>
      </w:r>
      <w:r w:rsidRPr="00CF192F" w:rsidR="007A2FD0">
        <w:rPr>
          <w:rFonts w:ascii="Times New Roman" w:hAnsi="Times New Roman"/>
          <w:sz w:val="24"/>
          <w:szCs w:val="24"/>
        </w:rPr>
        <w:t xml:space="preserve">public </w:t>
      </w:r>
      <w:r w:rsidRPr="00CF192F" w:rsidR="00CB0F82">
        <w:rPr>
          <w:rFonts w:ascii="Times New Roman" w:hAnsi="Times New Roman"/>
          <w:sz w:val="24"/>
          <w:szCs w:val="24"/>
        </w:rPr>
        <w:t>health professionals</w:t>
      </w:r>
      <w:r w:rsidR="00267F82">
        <w:rPr>
          <w:rFonts w:ascii="Times New Roman" w:hAnsi="Times New Roman"/>
          <w:sz w:val="24"/>
          <w:szCs w:val="24"/>
        </w:rPr>
        <w:t xml:space="preserve"> (e.g., </w:t>
      </w:r>
      <w:r w:rsidRPr="00CF192F" w:rsidR="00CD0720">
        <w:rPr>
          <w:rFonts w:ascii="Times New Roman" w:hAnsi="Times New Roman"/>
          <w:sz w:val="24"/>
          <w:szCs w:val="24"/>
        </w:rPr>
        <w:t xml:space="preserve">evaluate the effectiveness of </w:t>
      </w:r>
      <w:r w:rsidRPr="00CF192F" w:rsidR="00CB0F82">
        <w:rPr>
          <w:rFonts w:ascii="Times New Roman" w:hAnsi="Times New Roman"/>
          <w:sz w:val="24"/>
          <w:szCs w:val="24"/>
        </w:rPr>
        <w:t>communication messages, educational materials</w:t>
      </w:r>
      <w:r w:rsidRPr="00CF192F" w:rsidR="00C87830">
        <w:rPr>
          <w:rFonts w:ascii="Times New Roman" w:hAnsi="Times New Roman"/>
          <w:sz w:val="24"/>
          <w:szCs w:val="24"/>
        </w:rPr>
        <w:t>,</w:t>
      </w:r>
      <w:r w:rsidRPr="00CF192F" w:rsidR="00CB0F82">
        <w:rPr>
          <w:rFonts w:ascii="Times New Roman" w:hAnsi="Times New Roman"/>
          <w:sz w:val="24"/>
          <w:szCs w:val="24"/>
        </w:rPr>
        <w:t xml:space="preserve"> and interventions</w:t>
      </w:r>
      <w:r w:rsidRPr="00CF192F" w:rsidR="00C87830">
        <w:rPr>
          <w:rFonts w:ascii="Times New Roman" w:hAnsi="Times New Roman"/>
          <w:sz w:val="24"/>
          <w:szCs w:val="24"/>
        </w:rPr>
        <w:t xml:space="preserve"> directed toward promoting and protecting </w:t>
      </w:r>
      <w:r w:rsidRPr="00CF192F" w:rsidR="007A2FD0">
        <w:rPr>
          <w:rFonts w:ascii="Times New Roman" w:hAnsi="Times New Roman"/>
          <w:sz w:val="24"/>
          <w:szCs w:val="24"/>
        </w:rPr>
        <w:t>human and animal</w:t>
      </w:r>
      <w:r w:rsidRPr="00CF192F" w:rsidR="00C87830">
        <w:rPr>
          <w:rFonts w:ascii="Times New Roman" w:hAnsi="Times New Roman"/>
          <w:sz w:val="24"/>
          <w:szCs w:val="24"/>
        </w:rPr>
        <w:t xml:space="preserve"> health</w:t>
      </w:r>
      <w:r w:rsidR="00267F82">
        <w:rPr>
          <w:rFonts w:ascii="Times New Roman" w:hAnsi="Times New Roman"/>
          <w:sz w:val="24"/>
          <w:szCs w:val="24"/>
        </w:rPr>
        <w:t>)</w:t>
      </w:r>
      <w:r w:rsidRPr="00CF192F" w:rsidR="00910AFF">
        <w:rPr>
          <w:rFonts w:ascii="Times New Roman" w:hAnsi="Times New Roman"/>
          <w:sz w:val="24"/>
          <w:szCs w:val="24"/>
        </w:rPr>
        <w:t>.</w:t>
      </w:r>
    </w:p>
    <w:p w:rsidR="00C46C3D" w:rsidP="00C87830" w:rsidRDefault="00C46C3D">
      <w:pPr>
        <w:pStyle w:val="NoSpacing"/>
        <w:rPr>
          <w:rFonts w:ascii="Times New Roman" w:hAnsi="Times New Roman"/>
          <w:sz w:val="24"/>
          <w:szCs w:val="24"/>
        </w:rPr>
      </w:pPr>
    </w:p>
    <w:p w:rsidR="00C67DEC" w:rsidP="00C87830" w:rsidRDefault="006B6E52">
      <w:pPr>
        <w:pStyle w:val="NoSpacing"/>
        <w:rPr>
          <w:rFonts w:ascii="Times New Roman" w:hAnsi="Times New Roman"/>
          <w:sz w:val="24"/>
          <w:szCs w:val="24"/>
        </w:rPr>
      </w:pPr>
      <w:r>
        <w:rPr>
          <w:rFonts w:ascii="Times New Roman" w:hAnsi="Times New Roman"/>
          <w:sz w:val="24"/>
          <w:szCs w:val="24"/>
        </w:rPr>
        <w:t>The q</w:t>
      </w:r>
      <w:r w:rsidRPr="00C87830" w:rsidR="00CB0F82">
        <w:rPr>
          <w:rFonts w:ascii="Times New Roman" w:hAnsi="Times New Roman"/>
          <w:sz w:val="24"/>
          <w:szCs w:val="24"/>
        </w:rPr>
        <w:t xml:space="preserve">ualitative and quantitative research </w:t>
      </w:r>
      <w:r>
        <w:rPr>
          <w:rFonts w:ascii="Times New Roman" w:hAnsi="Times New Roman"/>
          <w:sz w:val="24"/>
          <w:szCs w:val="24"/>
        </w:rPr>
        <w:t xml:space="preserve">anticipated by FDA </w:t>
      </w:r>
      <w:r w:rsidRPr="00C87830" w:rsidR="00CB0F82">
        <w:rPr>
          <w:rFonts w:ascii="Times New Roman" w:hAnsi="Times New Roman"/>
          <w:sz w:val="24"/>
          <w:szCs w:val="24"/>
        </w:rPr>
        <w:t xml:space="preserve">aligns with </w:t>
      </w:r>
      <w:r>
        <w:rPr>
          <w:rFonts w:ascii="Times New Roman" w:hAnsi="Times New Roman"/>
          <w:sz w:val="24"/>
          <w:szCs w:val="24"/>
        </w:rPr>
        <w:t xml:space="preserve">agency </w:t>
      </w:r>
      <w:r w:rsidRPr="00C87830" w:rsidR="00CB0F82">
        <w:rPr>
          <w:rFonts w:ascii="Times New Roman" w:hAnsi="Times New Roman"/>
          <w:sz w:val="24"/>
          <w:szCs w:val="24"/>
        </w:rPr>
        <w:t xml:space="preserve">objectives.  </w:t>
      </w:r>
      <w:r w:rsidR="007B480B">
        <w:rPr>
          <w:rFonts w:ascii="Times New Roman" w:hAnsi="Times New Roman"/>
          <w:sz w:val="24"/>
          <w:szCs w:val="24"/>
        </w:rPr>
        <w:t>For example, a</w:t>
      </w:r>
      <w:r>
        <w:rPr>
          <w:rFonts w:ascii="Times New Roman" w:hAnsi="Times New Roman"/>
          <w:sz w:val="24"/>
          <w:szCs w:val="24"/>
        </w:rPr>
        <w:t xml:space="preserve">mong eight scientific priorities is </w:t>
      </w:r>
      <w:r w:rsidR="007B480B">
        <w:rPr>
          <w:rFonts w:ascii="Times New Roman" w:hAnsi="Times New Roman"/>
          <w:sz w:val="24"/>
          <w:szCs w:val="24"/>
        </w:rPr>
        <w:t xml:space="preserve">the </w:t>
      </w:r>
      <w:r>
        <w:rPr>
          <w:rFonts w:ascii="Times New Roman" w:hAnsi="Times New Roman"/>
          <w:sz w:val="24"/>
          <w:szCs w:val="24"/>
        </w:rPr>
        <w:t xml:space="preserve">goal to </w:t>
      </w:r>
      <w:r w:rsidRPr="00C87830" w:rsidR="00CB0F82">
        <w:rPr>
          <w:rFonts w:ascii="Times New Roman" w:hAnsi="Times New Roman"/>
          <w:sz w:val="24"/>
          <w:szCs w:val="24"/>
        </w:rPr>
        <w:t>“</w:t>
      </w:r>
      <w:r w:rsidRPr="006B6E52" w:rsidR="00CB0F82">
        <w:rPr>
          <w:rFonts w:ascii="Times New Roman" w:hAnsi="Times New Roman"/>
          <w:i/>
          <w:sz w:val="24"/>
          <w:szCs w:val="24"/>
        </w:rPr>
        <w:t xml:space="preserve">strengthen social and behavioral science to </w:t>
      </w:r>
      <w:r w:rsidRPr="00B707AB" w:rsidR="00CB0F82">
        <w:rPr>
          <w:rFonts w:ascii="Times New Roman" w:hAnsi="Times New Roman"/>
          <w:i/>
          <w:sz w:val="24"/>
          <w:szCs w:val="24"/>
        </w:rPr>
        <w:t xml:space="preserve">promote informed decision-making </w:t>
      </w:r>
      <w:r w:rsidRPr="006B6E52" w:rsidR="00CB0F82">
        <w:rPr>
          <w:rFonts w:ascii="Times New Roman" w:hAnsi="Times New Roman"/>
          <w:i/>
          <w:sz w:val="24"/>
          <w:szCs w:val="24"/>
        </w:rPr>
        <w:t>about FDA-regulated products</w:t>
      </w:r>
      <w:r w:rsidR="00753FFA">
        <w:rPr>
          <w:rFonts w:ascii="Times New Roman" w:hAnsi="Times New Roman"/>
          <w:i/>
          <w:sz w:val="24"/>
          <w:szCs w:val="24"/>
        </w:rPr>
        <w:t>.</w:t>
      </w:r>
      <w:r w:rsidRPr="00C87830" w:rsidR="00CB0F82">
        <w:rPr>
          <w:rFonts w:ascii="Times New Roman" w:hAnsi="Times New Roman"/>
          <w:sz w:val="24"/>
          <w:szCs w:val="24"/>
        </w:rPr>
        <w:t>”</w:t>
      </w:r>
      <w:r w:rsidRPr="006B6E52" w:rsidR="00CB0F82">
        <w:rPr>
          <w:rFonts w:ascii="Times New Roman" w:hAnsi="Times New Roman"/>
          <w:sz w:val="24"/>
          <w:szCs w:val="24"/>
          <w:vertAlign w:val="superscript"/>
        </w:rPr>
        <w:footnoteReference w:id="1"/>
      </w:r>
      <w:r w:rsidRPr="00C87830" w:rsidR="00C87830">
        <w:rPr>
          <w:rFonts w:ascii="Times New Roman" w:hAnsi="Times New Roman"/>
          <w:sz w:val="24"/>
          <w:szCs w:val="24"/>
        </w:rPr>
        <w:t xml:space="preserve">  </w:t>
      </w:r>
      <w:r>
        <w:rPr>
          <w:rFonts w:ascii="Times New Roman" w:hAnsi="Times New Roman"/>
          <w:sz w:val="24"/>
          <w:szCs w:val="24"/>
        </w:rPr>
        <w:t xml:space="preserve">Such research </w:t>
      </w:r>
      <w:r w:rsidR="00C67DEC">
        <w:rPr>
          <w:rFonts w:ascii="Times New Roman" w:hAnsi="Times New Roman"/>
          <w:sz w:val="24"/>
          <w:szCs w:val="24"/>
        </w:rPr>
        <w:t>helps the agency</w:t>
      </w:r>
      <w:r w:rsidRPr="00C87830" w:rsidR="00CB0F82">
        <w:rPr>
          <w:rFonts w:ascii="Times New Roman" w:hAnsi="Times New Roman"/>
          <w:sz w:val="24"/>
          <w:szCs w:val="24"/>
        </w:rPr>
        <w:t xml:space="preserve"> meet this goal </w:t>
      </w:r>
      <w:r>
        <w:rPr>
          <w:rFonts w:ascii="Times New Roman" w:hAnsi="Times New Roman"/>
          <w:sz w:val="24"/>
          <w:szCs w:val="24"/>
        </w:rPr>
        <w:t>by</w:t>
      </w:r>
      <w:r w:rsidR="00C67DEC">
        <w:rPr>
          <w:rFonts w:ascii="Times New Roman" w:hAnsi="Times New Roman"/>
          <w:sz w:val="24"/>
          <w:szCs w:val="24"/>
        </w:rPr>
        <w:t>:</w:t>
      </w:r>
    </w:p>
    <w:p w:rsidR="005032B6" w:rsidP="00C87830" w:rsidRDefault="005032B6">
      <w:pPr>
        <w:pStyle w:val="NoSpacing"/>
        <w:rPr>
          <w:rFonts w:ascii="Times New Roman" w:hAnsi="Times New Roman"/>
          <w:sz w:val="24"/>
          <w:szCs w:val="24"/>
        </w:rPr>
      </w:pPr>
    </w:p>
    <w:p w:rsidR="00C67DEC" w:rsidP="00C67DEC" w:rsidRDefault="006B6E52">
      <w:pPr>
        <w:pStyle w:val="NoSpacing"/>
        <w:numPr>
          <w:ilvl w:val="0"/>
          <w:numId w:val="8"/>
        </w:numPr>
        <w:rPr>
          <w:rFonts w:ascii="Times New Roman" w:hAnsi="Times New Roman"/>
          <w:sz w:val="24"/>
          <w:szCs w:val="24"/>
        </w:rPr>
      </w:pPr>
      <w:r>
        <w:rPr>
          <w:rFonts w:ascii="Times New Roman" w:hAnsi="Times New Roman"/>
          <w:sz w:val="24"/>
          <w:szCs w:val="24"/>
        </w:rPr>
        <w:lastRenderedPageBreak/>
        <w:t>identify</w:t>
      </w:r>
      <w:r w:rsidR="00AD2E60">
        <w:rPr>
          <w:rFonts w:ascii="Times New Roman" w:hAnsi="Times New Roman"/>
          <w:sz w:val="24"/>
          <w:szCs w:val="24"/>
        </w:rPr>
        <w:t>ing</w:t>
      </w:r>
      <w:r w:rsidRPr="00C87830" w:rsidR="00CB0F82">
        <w:rPr>
          <w:rFonts w:ascii="Times New Roman" w:hAnsi="Times New Roman"/>
          <w:sz w:val="24"/>
          <w:szCs w:val="24"/>
        </w:rPr>
        <w:t xml:space="preserve"> gaps in </w:t>
      </w:r>
      <w:r w:rsidR="00C67DEC">
        <w:rPr>
          <w:rFonts w:ascii="Times New Roman" w:hAnsi="Times New Roman"/>
          <w:sz w:val="24"/>
          <w:szCs w:val="24"/>
        </w:rPr>
        <w:t xml:space="preserve">the target audience’s </w:t>
      </w:r>
      <w:r w:rsidRPr="00C87830" w:rsidR="00CB0F82">
        <w:rPr>
          <w:rFonts w:ascii="Times New Roman" w:hAnsi="Times New Roman"/>
          <w:sz w:val="24"/>
          <w:szCs w:val="24"/>
        </w:rPr>
        <w:t>knowledge</w:t>
      </w:r>
      <w:r w:rsidR="00C67DEC">
        <w:rPr>
          <w:rFonts w:ascii="Times New Roman" w:hAnsi="Times New Roman"/>
          <w:sz w:val="24"/>
          <w:szCs w:val="24"/>
        </w:rPr>
        <w:t xml:space="preserve"> regarding FDA-regulated products</w:t>
      </w:r>
      <w:r w:rsidR="00406E6A">
        <w:rPr>
          <w:rFonts w:ascii="Times New Roman" w:hAnsi="Times New Roman"/>
          <w:sz w:val="24"/>
          <w:szCs w:val="24"/>
        </w:rPr>
        <w:t xml:space="preserve">, and </w:t>
      </w:r>
      <w:r w:rsidRPr="002D1BB9" w:rsidR="00406E6A">
        <w:rPr>
          <w:rFonts w:ascii="Times New Roman" w:hAnsi="Times New Roman"/>
          <w:sz w:val="24"/>
          <w:szCs w:val="24"/>
        </w:rPr>
        <w:t>outcomes</w:t>
      </w:r>
      <w:r w:rsidR="00406E6A">
        <w:rPr>
          <w:rFonts w:ascii="Times New Roman" w:hAnsi="Times New Roman"/>
          <w:sz w:val="24"/>
          <w:szCs w:val="24"/>
        </w:rPr>
        <w:t xml:space="preserve"> </w:t>
      </w:r>
      <w:r w:rsidRPr="00C87830" w:rsidR="00406E6A">
        <w:rPr>
          <w:rFonts w:ascii="Times New Roman" w:hAnsi="Times New Roman"/>
          <w:sz w:val="24"/>
          <w:szCs w:val="24"/>
        </w:rPr>
        <w:t>associated the</w:t>
      </w:r>
      <w:r w:rsidR="00406E6A">
        <w:rPr>
          <w:rFonts w:ascii="Times New Roman" w:hAnsi="Times New Roman"/>
          <w:sz w:val="24"/>
          <w:szCs w:val="24"/>
        </w:rPr>
        <w:t xml:space="preserve"> disease prevention, treatment</w:t>
      </w:r>
      <w:r w:rsidR="00C67DEC">
        <w:rPr>
          <w:rFonts w:ascii="Times New Roman" w:hAnsi="Times New Roman"/>
          <w:sz w:val="24"/>
          <w:szCs w:val="24"/>
        </w:rPr>
        <w:t>;</w:t>
      </w:r>
      <w:r w:rsidRPr="00C87830" w:rsidR="00CB0F82">
        <w:rPr>
          <w:rFonts w:ascii="Times New Roman" w:hAnsi="Times New Roman"/>
          <w:sz w:val="24"/>
          <w:szCs w:val="24"/>
        </w:rPr>
        <w:t xml:space="preserve"> </w:t>
      </w:r>
    </w:p>
    <w:p w:rsidR="00C67DEC" w:rsidP="00C67DEC" w:rsidRDefault="006B6E52">
      <w:pPr>
        <w:pStyle w:val="NoSpacing"/>
        <w:numPr>
          <w:ilvl w:val="0"/>
          <w:numId w:val="8"/>
        </w:numPr>
        <w:rPr>
          <w:rFonts w:ascii="Times New Roman" w:hAnsi="Times New Roman"/>
          <w:sz w:val="24"/>
          <w:szCs w:val="24"/>
        </w:rPr>
      </w:pPr>
      <w:r>
        <w:rPr>
          <w:rFonts w:ascii="Times New Roman" w:hAnsi="Times New Roman"/>
          <w:sz w:val="24"/>
          <w:szCs w:val="24"/>
        </w:rPr>
        <w:t>reaching diverse audiences;</w:t>
      </w:r>
      <w:r w:rsidRPr="00C87830" w:rsidR="00CB0F82">
        <w:rPr>
          <w:rFonts w:ascii="Times New Roman" w:hAnsi="Times New Roman"/>
          <w:sz w:val="24"/>
          <w:szCs w:val="24"/>
        </w:rPr>
        <w:t xml:space="preserve"> </w:t>
      </w:r>
    </w:p>
    <w:p w:rsidR="00C67DEC" w:rsidP="00C67DEC" w:rsidRDefault="00CB0F82">
      <w:pPr>
        <w:pStyle w:val="NoSpacing"/>
        <w:numPr>
          <w:ilvl w:val="0"/>
          <w:numId w:val="8"/>
        </w:numPr>
        <w:rPr>
          <w:rFonts w:ascii="Times New Roman" w:hAnsi="Times New Roman"/>
          <w:sz w:val="24"/>
          <w:szCs w:val="24"/>
        </w:rPr>
      </w:pPr>
      <w:r w:rsidRPr="00C87830">
        <w:rPr>
          <w:rFonts w:ascii="Times New Roman" w:hAnsi="Times New Roman"/>
          <w:sz w:val="24"/>
          <w:szCs w:val="24"/>
        </w:rPr>
        <w:t xml:space="preserve">assessing </w:t>
      </w:r>
      <w:r w:rsidR="00C67DEC">
        <w:rPr>
          <w:rFonts w:ascii="Times New Roman" w:hAnsi="Times New Roman"/>
          <w:sz w:val="24"/>
          <w:szCs w:val="24"/>
        </w:rPr>
        <w:t>target audiences</w:t>
      </w:r>
      <w:r w:rsidR="00061575">
        <w:rPr>
          <w:rFonts w:ascii="Times New Roman" w:hAnsi="Times New Roman"/>
          <w:sz w:val="24"/>
          <w:szCs w:val="24"/>
        </w:rPr>
        <w:t>’</w:t>
      </w:r>
      <w:r w:rsidR="00C67DEC">
        <w:rPr>
          <w:rFonts w:ascii="Times New Roman" w:hAnsi="Times New Roman"/>
          <w:sz w:val="24"/>
          <w:szCs w:val="24"/>
        </w:rPr>
        <w:t xml:space="preserve"> </w:t>
      </w:r>
      <w:r w:rsidRPr="00C87830">
        <w:rPr>
          <w:rFonts w:ascii="Times New Roman" w:hAnsi="Times New Roman"/>
          <w:sz w:val="24"/>
          <w:szCs w:val="24"/>
        </w:rPr>
        <w:t>knowledge</w:t>
      </w:r>
      <w:r w:rsidR="00061575">
        <w:rPr>
          <w:rFonts w:ascii="Times New Roman" w:hAnsi="Times New Roman"/>
          <w:sz w:val="24"/>
          <w:szCs w:val="24"/>
        </w:rPr>
        <w:t>,</w:t>
      </w:r>
      <w:r w:rsidRPr="00C87830">
        <w:rPr>
          <w:rFonts w:ascii="Times New Roman" w:hAnsi="Times New Roman"/>
          <w:sz w:val="24"/>
          <w:szCs w:val="24"/>
        </w:rPr>
        <w:t xml:space="preserve"> perceptions </w:t>
      </w:r>
      <w:r w:rsidR="00061575">
        <w:rPr>
          <w:rFonts w:ascii="Times New Roman" w:hAnsi="Times New Roman"/>
          <w:sz w:val="24"/>
          <w:szCs w:val="24"/>
        </w:rPr>
        <w:t xml:space="preserve">and behaviors </w:t>
      </w:r>
      <w:r w:rsidRPr="00C87830">
        <w:rPr>
          <w:rFonts w:ascii="Times New Roman" w:hAnsi="Times New Roman"/>
          <w:sz w:val="24"/>
          <w:szCs w:val="24"/>
        </w:rPr>
        <w:t xml:space="preserve">about </w:t>
      </w:r>
      <w:r w:rsidR="00171292">
        <w:rPr>
          <w:rFonts w:ascii="Times New Roman" w:hAnsi="Times New Roman"/>
          <w:sz w:val="24"/>
          <w:szCs w:val="24"/>
        </w:rPr>
        <w:t>FDA</w:t>
      </w:r>
      <w:r w:rsidR="001F4944">
        <w:rPr>
          <w:rFonts w:ascii="Times New Roman" w:hAnsi="Times New Roman"/>
          <w:sz w:val="24"/>
          <w:szCs w:val="24"/>
        </w:rPr>
        <w:t>-</w:t>
      </w:r>
      <w:r w:rsidR="00171292">
        <w:rPr>
          <w:rFonts w:ascii="Times New Roman" w:hAnsi="Times New Roman"/>
          <w:sz w:val="24"/>
          <w:szCs w:val="24"/>
        </w:rPr>
        <w:t>regulated products</w:t>
      </w:r>
      <w:r w:rsidR="006B6E52">
        <w:rPr>
          <w:rFonts w:ascii="Times New Roman" w:hAnsi="Times New Roman"/>
          <w:sz w:val="24"/>
          <w:szCs w:val="24"/>
        </w:rPr>
        <w:t xml:space="preserve">; </w:t>
      </w:r>
    </w:p>
    <w:p w:rsidR="00C67DEC" w:rsidP="00C67DEC" w:rsidRDefault="00CB0F82">
      <w:pPr>
        <w:pStyle w:val="NoSpacing"/>
        <w:numPr>
          <w:ilvl w:val="0"/>
          <w:numId w:val="8"/>
        </w:numPr>
        <w:rPr>
          <w:rFonts w:ascii="Times New Roman" w:hAnsi="Times New Roman"/>
          <w:sz w:val="24"/>
          <w:szCs w:val="24"/>
        </w:rPr>
      </w:pPr>
      <w:r w:rsidRPr="00C87830">
        <w:rPr>
          <w:rFonts w:ascii="Times New Roman" w:hAnsi="Times New Roman"/>
          <w:sz w:val="24"/>
          <w:szCs w:val="24"/>
        </w:rPr>
        <w:t>evaluating the effectiveness of FDA’s communication</w:t>
      </w:r>
      <w:r w:rsidRPr="00C87830" w:rsidR="00D75E8D">
        <w:rPr>
          <w:rFonts w:ascii="Times New Roman" w:hAnsi="Times New Roman"/>
          <w:sz w:val="24"/>
          <w:szCs w:val="24"/>
        </w:rPr>
        <w:t>s</w:t>
      </w:r>
      <w:r w:rsidR="006B6E52">
        <w:rPr>
          <w:rFonts w:ascii="Times New Roman" w:hAnsi="Times New Roman"/>
          <w:sz w:val="24"/>
          <w:szCs w:val="24"/>
        </w:rPr>
        <w:t>;</w:t>
      </w:r>
      <w:r w:rsidR="00BD4A5A">
        <w:rPr>
          <w:rFonts w:ascii="Times New Roman" w:hAnsi="Times New Roman"/>
          <w:sz w:val="24"/>
          <w:szCs w:val="24"/>
        </w:rPr>
        <w:t xml:space="preserve"> </w:t>
      </w:r>
    </w:p>
    <w:p w:rsidR="00440EE7" w:rsidP="00C67DEC" w:rsidRDefault="00440EE7">
      <w:pPr>
        <w:pStyle w:val="NoSpacing"/>
        <w:numPr>
          <w:ilvl w:val="0"/>
          <w:numId w:val="8"/>
        </w:numPr>
        <w:rPr>
          <w:rFonts w:ascii="Times New Roman" w:hAnsi="Times New Roman"/>
          <w:sz w:val="24"/>
          <w:szCs w:val="24"/>
        </w:rPr>
      </w:pPr>
      <w:r>
        <w:rPr>
          <w:rFonts w:ascii="Times New Roman" w:hAnsi="Times New Roman"/>
          <w:sz w:val="24"/>
          <w:szCs w:val="24"/>
        </w:rPr>
        <w:t>exploring ways to incorporate patient input into decision-making;</w:t>
      </w:r>
    </w:p>
    <w:p w:rsidR="00440EE7" w:rsidP="00C67DEC" w:rsidRDefault="00440EE7">
      <w:pPr>
        <w:pStyle w:val="NoSpacing"/>
        <w:numPr>
          <w:ilvl w:val="0"/>
          <w:numId w:val="8"/>
        </w:numPr>
        <w:rPr>
          <w:rFonts w:ascii="Times New Roman" w:hAnsi="Times New Roman"/>
          <w:sz w:val="24"/>
          <w:szCs w:val="24"/>
        </w:rPr>
      </w:pPr>
      <w:r>
        <w:rPr>
          <w:rFonts w:ascii="Times New Roman" w:hAnsi="Times New Roman"/>
          <w:sz w:val="24"/>
          <w:szCs w:val="24"/>
        </w:rPr>
        <w:t>leveraging real-world data;</w:t>
      </w:r>
    </w:p>
    <w:p w:rsidR="00C67DEC" w:rsidP="00C67DEC" w:rsidRDefault="00C67DEC">
      <w:pPr>
        <w:pStyle w:val="NoSpacing"/>
        <w:numPr>
          <w:ilvl w:val="0"/>
          <w:numId w:val="8"/>
        </w:numPr>
        <w:rPr>
          <w:rFonts w:ascii="Times New Roman" w:hAnsi="Times New Roman"/>
          <w:sz w:val="24"/>
          <w:szCs w:val="24"/>
        </w:rPr>
      </w:pPr>
      <w:r>
        <w:rPr>
          <w:rFonts w:ascii="Times New Roman" w:hAnsi="Times New Roman"/>
          <w:sz w:val="24"/>
          <w:szCs w:val="24"/>
        </w:rPr>
        <w:t xml:space="preserve">evaluating </w:t>
      </w:r>
      <w:r w:rsidRPr="002D1BB9" w:rsidR="00BD4A5A">
        <w:rPr>
          <w:rFonts w:ascii="Times New Roman" w:hAnsi="Times New Roman"/>
          <w:sz w:val="24"/>
          <w:szCs w:val="24"/>
        </w:rPr>
        <w:t>outcomes</w:t>
      </w:r>
      <w:r w:rsidR="00910AFF">
        <w:rPr>
          <w:rFonts w:ascii="Times New Roman" w:hAnsi="Times New Roman"/>
          <w:sz w:val="24"/>
          <w:szCs w:val="24"/>
        </w:rPr>
        <w:t>;</w:t>
      </w:r>
      <w:r w:rsidR="006B6E52">
        <w:rPr>
          <w:rFonts w:ascii="Times New Roman" w:hAnsi="Times New Roman"/>
          <w:sz w:val="24"/>
          <w:szCs w:val="24"/>
        </w:rPr>
        <w:t xml:space="preserve"> </w:t>
      </w:r>
      <w:r w:rsidRPr="00C87830" w:rsidR="00CB0F82">
        <w:rPr>
          <w:rFonts w:ascii="Times New Roman" w:hAnsi="Times New Roman"/>
          <w:sz w:val="24"/>
          <w:szCs w:val="24"/>
        </w:rPr>
        <w:t xml:space="preserve">and </w:t>
      </w:r>
    </w:p>
    <w:p w:rsidRPr="00C87830" w:rsidR="00CB0F82" w:rsidP="00C67DEC" w:rsidRDefault="00CB0F82">
      <w:pPr>
        <w:pStyle w:val="NoSpacing"/>
        <w:numPr>
          <w:ilvl w:val="0"/>
          <w:numId w:val="8"/>
        </w:numPr>
        <w:rPr>
          <w:rFonts w:ascii="Times New Roman" w:hAnsi="Times New Roman"/>
          <w:sz w:val="24"/>
          <w:szCs w:val="24"/>
        </w:rPr>
      </w:pPr>
      <w:r w:rsidRPr="00C87830">
        <w:rPr>
          <w:rFonts w:ascii="Times New Roman" w:hAnsi="Times New Roman"/>
          <w:sz w:val="24"/>
          <w:szCs w:val="24"/>
        </w:rPr>
        <w:t xml:space="preserve">integrating </w:t>
      </w:r>
      <w:r w:rsidR="00C67DEC">
        <w:rPr>
          <w:rFonts w:ascii="Times New Roman" w:hAnsi="Times New Roman"/>
          <w:sz w:val="24"/>
          <w:szCs w:val="24"/>
        </w:rPr>
        <w:t xml:space="preserve">the </w:t>
      </w:r>
      <w:r w:rsidRPr="00C87830">
        <w:rPr>
          <w:rFonts w:ascii="Times New Roman" w:hAnsi="Times New Roman"/>
          <w:sz w:val="24"/>
          <w:szCs w:val="24"/>
        </w:rPr>
        <w:t xml:space="preserve">knowledge </w:t>
      </w:r>
      <w:r w:rsidR="00C67DEC">
        <w:rPr>
          <w:rFonts w:ascii="Times New Roman" w:hAnsi="Times New Roman"/>
          <w:sz w:val="24"/>
          <w:szCs w:val="24"/>
        </w:rPr>
        <w:t xml:space="preserve">gained </w:t>
      </w:r>
      <w:r w:rsidRPr="00C87830">
        <w:rPr>
          <w:rFonts w:ascii="Times New Roman" w:hAnsi="Times New Roman"/>
          <w:sz w:val="24"/>
          <w:szCs w:val="24"/>
        </w:rPr>
        <w:t xml:space="preserve">from </w:t>
      </w:r>
      <w:r w:rsidR="00C67DEC">
        <w:rPr>
          <w:rFonts w:ascii="Times New Roman" w:hAnsi="Times New Roman"/>
          <w:sz w:val="24"/>
          <w:szCs w:val="24"/>
        </w:rPr>
        <w:t xml:space="preserve">the </w:t>
      </w:r>
      <w:r w:rsidRPr="00C87830">
        <w:rPr>
          <w:rFonts w:ascii="Times New Roman" w:hAnsi="Times New Roman"/>
          <w:sz w:val="24"/>
          <w:szCs w:val="24"/>
        </w:rPr>
        <w:t>resea</w:t>
      </w:r>
      <w:r w:rsidR="006B6E52">
        <w:rPr>
          <w:rFonts w:ascii="Times New Roman" w:hAnsi="Times New Roman"/>
          <w:sz w:val="24"/>
          <w:szCs w:val="24"/>
        </w:rPr>
        <w:t xml:space="preserve">rch into agency </w:t>
      </w:r>
      <w:r w:rsidR="00CC2428">
        <w:rPr>
          <w:rFonts w:ascii="Times New Roman" w:hAnsi="Times New Roman"/>
          <w:sz w:val="24"/>
          <w:szCs w:val="24"/>
        </w:rPr>
        <w:t xml:space="preserve">communications, activities, </w:t>
      </w:r>
      <w:r w:rsidR="00204956">
        <w:rPr>
          <w:rFonts w:ascii="Times New Roman" w:hAnsi="Times New Roman"/>
          <w:sz w:val="24"/>
          <w:szCs w:val="24"/>
        </w:rPr>
        <w:t xml:space="preserve">interventions </w:t>
      </w:r>
      <w:r w:rsidR="00CC2428">
        <w:rPr>
          <w:rFonts w:ascii="Times New Roman" w:hAnsi="Times New Roman"/>
          <w:sz w:val="24"/>
          <w:szCs w:val="24"/>
        </w:rPr>
        <w:t xml:space="preserve">and </w:t>
      </w:r>
      <w:r w:rsidR="006B6E52">
        <w:rPr>
          <w:rFonts w:ascii="Times New Roman" w:hAnsi="Times New Roman"/>
          <w:sz w:val="24"/>
          <w:szCs w:val="24"/>
        </w:rPr>
        <w:t>programs</w:t>
      </w:r>
      <w:r w:rsidRPr="00C87830">
        <w:rPr>
          <w:rFonts w:ascii="Times New Roman" w:hAnsi="Times New Roman"/>
          <w:sz w:val="24"/>
          <w:szCs w:val="24"/>
        </w:rPr>
        <w:t xml:space="preserve">. </w:t>
      </w:r>
    </w:p>
    <w:p w:rsidR="00C67DEC" w:rsidP="00C87830" w:rsidRDefault="00C67DEC">
      <w:pPr>
        <w:pStyle w:val="NoSpacing"/>
        <w:rPr>
          <w:rFonts w:ascii="Times New Roman" w:hAnsi="Times New Roman"/>
          <w:sz w:val="24"/>
          <w:szCs w:val="24"/>
        </w:rPr>
      </w:pPr>
      <w:bookmarkStart w:name="_Toc239649222" w:id="2"/>
      <w:bookmarkStart w:name="_Toc276963624" w:id="3"/>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2.</w:t>
      </w:r>
      <w:bookmarkEnd w:id="2"/>
      <w:r w:rsidRPr="00C87830">
        <w:rPr>
          <w:rFonts w:ascii="Times New Roman" w:hAnsi="Times New Roman"/>
          <w:sz w:val="24"/>
          <w:szCs w:val="24"/>
        </w:rPr>
        <w:t xml:space="preserve">  </w:t>
      </w:r>
      <w:r w:rsidRPr="00E73C39">
        <w:rPr>
          <w:rFonts w:ascii="Times New Roman" w:hAnsi="Times New Roman"/>
          <w:sz w:val="24"/>
          <w:szCs w:val="24"/>
          <w:u w:val="single"/>
        </w:rPr>
        <w:t>Purpose and Use of the Information</w:t>
      </w:r>
      <w:bookmarkEnd w:id="3"/>
    </w:p>
    <w:p w:rsidR="00E73C39" w:rsidP="00C87830" w:rsidRDefault="00E73C39">
      <w:pPr>
        <w:pStyle w:val="NoSpacing"/>
        <w:rPr>
          <w:rFonts w:ascii="Times New Roman" w:hAnsi="Times New Roman"/>
          <w:sz w:val="24"/>
          <w:szCs w:val="24"/>
        </w:rPr>
      </w:pPr>
    </w:p>
    <w:p w:rsidR="00E73C39" w:rsidP="00C87830" w:rsidRDefault="00C87830">
      <w:pPr>
        <w:pStyle w:val="NoSpacing"/>
        <w:rPr>
          <w:rFonts w:ascii="Times New Roman" w:hAnsi="Times New Roman"/>
          <w:sz w:val="24"/>
          <w:szCs w:val="24"/>
        </w:rPr>
      </w:pPr>
      <w:r w:rsidRPr="00C87830">
        <w:rPr>
          <w:rFonts w:ascii="Times New Roman" w:hAnsi="Times New Roman"/>
          <w:sz w:val="24"/>
          <w:szCs w:val="24"/>
        </w:rPr>
        <w:t xml:space="preserve">FDA plans to use the data collected under this generic clearance to inform its </w:t>
      </w:r>
      <w:r w:rsidR="00171292">
        <w:rPr>
          <w:rFonts w:ascii="Times New Roman" w:hAnsi="Times New Roman"/>
          <w:sz w:val="24"/>
          <w:szCs w:val="24"/>
        </w:rPr>
        <w:t>FDA</w:t>
      </w:r>
      <w:r w:rsidR="001F4944">
        <w:rPr>
          <w:rFonts w:ascii="Times New Roman" w:hAnsi="Times New Roman"/>
          <w:sz w:val="24"/>
          <w:szCs w:val="24"/>
        </w:rPr>
        <w:t>-</w:t>
      </w:r>
      <w:r w:rsidR="00171292">
        <w:rPr>
          <w:rFonts w:ascii="Times New Roman" w:hAnsi="Times New Roman"/>
          <w:sz w:val="24"/>
          <w:szCs w:val="24"/>
        </w:rPr>
        <w:t>regulated products</w:t>
      </w:r>
      <w:r w:rsidRPr="00C87830" w:rsidR="00171292">
        <w:rPr>
          <w:rFonts w:ascii="Times New Roman" w:hAnsi="Times New Roman"/>
          <w:sz w:val="24"/>
          <w:szCs w:val="24"/>
        </w:rPr>
        <w:t xml:space="preserve"> </w:t>
      </w:r>
      <w:r w:rsidRPr="00C87830">
        <w:rPr>
          <w:rFonts w:ascii="Times New Roman" w:hAnsi="Times New Roman"/>
          <w:sz w:val="24"/>
          <w:szCs w:val="24"/>
        </w:rPr>
        <w:t>educational, intervention</w:t>
      </w:r>
      <w:r w:rsidR="006D5B6E">
        <w:rPr>
          <w:rFonts w:ascii="Times New Roman" w:hAnsi="Times New Roman"/>
          <w:sz w:val="24"/>
          <w:szCs w:val="24"/>
        </w:rPr>
        <w:t>s</w:t>
      </w:r>
      <w:r w:rsidRPr="00C87830">
        <w:rPr>
          <w:rFonts w:ascii="Times New Roman" w:hAnsi="Times New Roman"/>
          <w:sz w:val="24"/>
          <w:szCs w:val="24"/>
        </w:rPr>
        <w:t xml:space="preserve">, </w:t>
      </w:r>
      <w:r w:rsidRPr="002D1BB9" w:rsidR="006E4F73">
        <w:rPr>
          <w:rFonts w:ascii="Times New Roman" w:hAnsi="Times New Roman"/>
          <w:sz w:val="24"/>
          <w:szCs w:val="24"/>
        </w:rPr>
        <w:t>outcomes</w:t>
      </w:r>
      <w:r w:rsidR="00910AFF">
        <w:rPr>
          <w:rFonts w:ascii="Times New Roman" w:hAnsi="Times New Roman"/>
          <w:sz w:val="24"/>
          <w:szCs w:val="24"/>
        </w:rPr>
        <w:t>,</w:t>
      </w:r>
      <w:r w:rsidR="006E4F73">
        <w:rPr>
          <w:rFonts w:ascii="Times New Roman" w:hAnsi="Times New Roman"/>
          <w:sz w:val="24"/>
          <w:szCs w:val="24"/>
        </w:rPr>
        <w:t xml:space="preserve"> </w:t>
      </w:r>
      <w:r w:rsidRPr="00C87830">
        <w:rPr>
          <w:rFonts w:ascii="Times New Roman" w:hAnsi="Times New Roman"/>
          <w:sz w:val="24"/>
          <w:szCs w:val="24"/>
        </w:rPr>
        <w:t>and regulatory science programs</w:t>
      </w:r>
      <w:r w:rsidR="00262B5A">
        <w:rPr>
          <w:rFonts w:ascii="Times New Roman" w:hAnsi="Times New Roman"/>
          <w:sz w:val="24"/>
          <w:szCs w:val="24"/>
        </w:rPr>
        <w:t>, materials and resources</w:t>
      </w:r>
      <w:r w:rsidR="008D59F7">
        <w:rPr>
          <w:rFonts w:ascii="Times New Roman" w:hAnsi="Times New Roman"/>
          <w:sz w:val="24"/>
          <w:szCs w:val="24"/>
        </w:rPr>
        <w:t xml:space="preserve"> and disease prevention and treatment</w:t>
      </w:r>
      <w:r w:rsidRPr="00C87830">
        <w:rPr>
          <w:rFonts w:ascii="Times New Roman" w:hAnsi="Times New Roman"/>
          <w:sz w:val="24"/>
          <w:szCs w:val="24"/>
        </w:rPr>
        <w:t xml:space="preserve">.  FDA expects the data to guide the formulation of </w:t>
      </w:r>
      <w:r w:rsidR="00437BC5">
        <w:rPr>
          <w:rFonts w:ascii="Times New Roman" w:hAnsi="Times New Roman"/>
          <w:sz w:val="24"/>
          <w:szCs w:val="24"/>
        </w:rPr>
        <w:t>the agency’s</w:t>
      </w:r>
      <w:r w:rsidRPr="00C87830">
        <w:rPr>
          <w:rFonts w:ascii="Times New Roman" w:hAnsi="Times New Roman"/>
          <w:sz w:val="24"/>
          <w:szCs w:val="24"/>
        </w:rPr>
        <w:t xml:space="preserve"> educational and public health objectives on </w:t>
      </w:r>
      <w:r w:rsidR="00171292">
        <w:rPr>
          <w:rFonts w:ascii="Times New Roman" w:hAnsi="Times New Roman"/>
          <w:sz w:val="24"/>
          <w:szCs w:val="24"/>
        </w:rPr>
        <w:t>FDA</w:t>
      </w:r>
      <w:r w:rsidR="001F4944">
        <w:rPr>
          <w:rFonts w:ascii="Times New Roman" w:hAnsi="Times New Roman"/>
          <w:sz w:val="24"/>
          <w:szCs w:val="24"/>
        </w:rPr>
        <w:t>-</w:t>
      </w:r>
      <w:r w:rsidR="00171292">
        <w:rPr>
          <w:rFonts w:ascii="Times New Roman" w:hAnsi="Times New Roman"/>
          <w:sz w:val="24"/>
          <w:szCs w:val="24"/>
        </w:rPr>
        <w:t>regulated products</w:t>
      </w:r>
      <w:r w:rsidRPr="00C87830" w:rsidR="00171292">
        <w:rPr>
          <w:rFonts w:ascii="Times New Roman" w:hAnsi="Times New Roman"/>
          <w:sz w:val="24"/>
          <w:szCs w:val="24"/>
        </w:rPr>
        <w:t xml:space="preserve"> </w:t>
      </w:r>
      <w:r w:rsidRPr="00C87830">
        <w:rPr>
          <w:rFonts w:ascii="Times New Roman" w:hAnsi="Times New Roman"/>
          <w:sz w:val="24"/>
          <w:szCs w:val="24"/>
        </w:rPr>
        <w:t xml:space="preserve">and support development of subsequent research efforts.  The data will not be used </w:t>
      </w:r>
      <w:r w:rsidR="00CC2428">
        <w:rPr>
          <w:rFonts w:ascii="Times New Roman" w:hAnsi="Times New Roman"/>
          <w:sz w:val="24"/>
          <w:szCs w:val="24"/>
        </w:rPr>
        <w:t>to</w:t>
      </w:r>
      <w:r w:rsidR="00906371">
        <w:rPr>
          <w:rFonts w:ascii="Times New Roman" w:hAnsi="Times New Roman"/>
          <w:sz w:val="24"/>
          <w:szCs w:val="24"/>
        </w:rPr>
        <w:t xml:space="preserve"> </w:t>
      </w:r>
      <w:r w:rsidRPr="00C87830">
        <w:rPr>
          <w:rFonts w:ascii="Times New Roman" w:hAnsi="Times New Roman"/>
          <w:sz w:val="24"/>
          <w:szCs w:val="24"/>
        </w:rPr>
        <w:t>mak</w:t>
      </w:r>
      <w:r w:rsidR="00CC2428">
        <w:rPr>
          <w:rFonts w:ascii="Times New Roman" w:hAnsi="Times New Roman"/>
          <w:sz w:val="24"/>
          <w:szCs w:val="24"/>
        </w:rPr>
        <w:t>e</w:t>
      </w:r>
      <w:r w:rsidRPr="00C87830">
        <w:rPr>
          <w:rFonts w:ascii="Times New Roman" w:hAnsi="Times New Roman"/>
          <w:sz w:val="24"/>
          <w:szCs w:val="24"/>
        </w:rPr>
        <w:t xml:space="preserve"> policy or regulatory decisions.</w:t>
      </w:r>
      <w:r w:rsidR="006B6E52">
        <w:rPr>
          <w:rFonts w:ascii="Times New Roman" w:hAnsi="Times New Roman"/>
          <w:sz w:val="24"/>
          <w:szCs w:val="24"/>
        </w:rPr>
        <w:t xml:space="preserve">  Rather, </w:t>
      </w:r>
      <w:r w:rsidR="00E61D40">
        <w:rPr>
          <w:rFonts w:ascii="Times New Roman" w:hAnsi="Times New Roman"/>
          <w:sz w:val="24"/>
          <w:szCs w:val="24"/>
        </w:rPr>
        <w:t>th</w:t>
      </w:r>
      <w:r w:rsidR="00CB09D3">
        <w:rPr>
          <w:rFonts w:ascii="Times New Roman" w:hAnsi="Times New Roman"/>
          <w:sz w:val="24"/>
          <w:szCs w:val="24"/>
        </w:rPr>
        <w:t>e</w:t>
      </w:r>
      <w:r w:rsidR="00E61D40">
        <w:rPr>
          <w:rFonts w:ascii="Times New Roman" w:hAnsi="Times New Roman"/>
          <w:sz w:val="24"/>
          <w:szCs w:val="24"/>
        </w:rPr>
        <w:t>s</w:t>
      </w:r>
      <w:r w:rsidR="00CB09D3">
        <w:rPr>
          <w:rFonts w:ascii="Times New Roman" w:hAnsi="Times New Roman"/>
          <w:sz w:val="24"/>
          <w:szCs w:val="24"/>
        </w:rPr>
        <w:t>e</w:t>
      </w:r>
      <w:r w:rsidR="00E61D40">
        <w:rPr>
          <w:rFonts w:ascii="Times New Roman" w:hAnsi="Times New Roman"/>
          <w:sz w:val="24"/>
          <w:szCs w:val="24"/>
        </w:rPr>
        <w:t xml:space="preserve"> data will</w:t>
      </w:r>
      <w:r w:rsidR="00267F82">
        <w:rPr>
          <w:rFonts w:ascii="Times New Roman" w:hAnsi="Times New Roman"/>
          <w:sz w:val="24"/>
          <w:szCs w:val="24"/>
        </w:rPr>
        <w:t xml:space="preserve">: </w:t>
      </w:r>
      <w:r w:rsidR="00540BB9">
        <w:rPr>
          <w:rFonts w:ascii="Times New Roman" w:hAnsi="Times New Roman"/>
          <w:sz w:val="24"/>
          <w:szCs w:val="24"/>
        </w:rPr>
        <w:t>(</w:t>
      </w:r>
      <w:r w:rsidR="00267F82">
        <w:rPr>
          <w:rFonts w:ascii="Times New Roman" w:hAnsi="Times New Roman"/>
          <w:sz w:val="24"/>
          <w:szCs w:val="24"/>
        </w:rPr>
        <w:t>1)</w:t>
      </w:r>
      <w:r w:rsidR="00E61D40">
        <w:rPr>
          <w:rFonts w:ascii="Times New Roman" w:hAnsi="Times New Roman"/>
          <w:sz w:val="24"/>
          <w:szCs w:val="24"/>
        </w:rPr>
        <w:t xml:space="preserve"> inform </w:t>
      </w:r>
      <w:r w:rsidRPr="00C87830" w:rsidR="00CB0F82">
        <w:rPr>
          <w:rFonts w:ascii="Times New Roman" w:hAnsi="Times New Roman"/>
          <w:sz w:val="24"/>
          <w:szCs w:val="24"/>
        </w:rPr>
        <w:t xml:space="preserve">FDA’s public education campaigns and other </w:t>
      </w:r>
      <w:r w:rsidRPr="00C87830" w:rsidR="00AB6436">
        <w:rPr>
          <w:rFonts w:ascii="Times New Roman" w:hAnsi="Times New Roman"/>
          <w:sz w:val="24"/>
          <w:szCs w:val="24"/>
        </w:rPr>
        <w:t>educational</w:t>
      </w:r>
      <w:r w:rsidRPr="002D1BB9" w:rsidR="006E4F73">
        <w:rPr>
          <w:rFonts w:ascii="Times New Roman" w:hAnsi="Times New Roman"/>
          <w:sz w:val="24"/>
          <w:szCs w:val="24"/>
        </w:rPr>
        <w:t>/interventional</w:t>
      </w:r>
      <w:r w:rsidRPr="00C87830" w:rsidR="00AB6436">
        <w:rPr>
          <w:rFonts w:ascii="Times New Roman" w:hAnsi="Times New Roman"/>
          <w:sz w:val="24"/>
          <w:szCs w:val="24"/>
        </w:rPr>
        <w:t xml:space="preserve"> </w:t>
      </w:r>
      <w:r w:rsidRPr="00C87830" w:rsidR="00CB0F82">
        <w:rPr>
          <w:rFonts w:ascii="Times New Roman" w:hAnsi="Times New Roman"/>
          <w:sz w:val="24"/>
          <w:szCs w:val="24"/>
        </w:rPr>
        <w:t xml:space="preserve">materials directed </w:t>
      </w:r>
      <w:r w:rsidR="006B6E52">
        <w:rPr>
          <w:rFonts w:ascii="Times New Roman" w:hAnsi="Times New Roman"/>
          <w:sz w:val="24"/>
          <w:szCs w:val="24"/>
        </w:rPr>
        <w:t xml:space="preserve">to informing </w:t>
      </w:r>
      <w:r w:rsidR="006D5B6E">
        <w:rPr>
          <w:rFonts w:ascii="Times New Roman" w:hAnsi="Times New Roman"/>
          <w:sz w:val="24"/>
          <w:szCs w:val="24"/>
        </w:rPr>
        <w:t xml:space="preserve">consumers, </w:t>
      </w:r>
      <w:r w:rsidRPr="00C87830" w:rsidR="00CB0F82">
        <w:rPr>
          <w:rFonts w:ascii="Times New Roman" w:hAnsi="Times New Roman"/>
          <w:sz w:val="24"/>
          <w:szCs w:val="24"/>
        </w:rPr>
        <w:t>patients</w:t>
      </w:r>
      <w:r w:rsidR="006D5B6E">
        <w:rPr>
          <w:rFonts w:ascii="Times New Roman" w:hAnsi="Times New Roman"/>
          <w:sz w:val="24"/>
          <w:szCs w:val="24"/>
        </w:rPr>
        <w:t>,</w:t>
      </w:r>
      <w:r w:rsidRPr="00C87830" w:rsidR="00AB6436">
        <w:rPr>
          <w:rFonts w:ascii="Times New Roman" w:hAnsi="Times New Roman"/>
          <w:sz w:val="24"/>
          <w:szCs w:val="24"/>
        </w:rPr>
        <w:t xml:space="preserve"> </w:t>
      </w:r>
      <w:r w:rsidR="00F8161B">
        <w:rPr>
          <w:rFonts w:ascii="Times New Roman" w:hAnsi="Times New Roman"/>
          <w:sz w:val="24"/>
          <w:szCs w:val="24"/>
        </w:rPr>
        <w:t xml:space="preserve">caregivers, </w:t>
      </w:r>
      <w:r w:rsidR="006B6E52">
        <w:rPr>
          <w:rFonts w:ascii="Times New Roman" w:hAnsi="Times New Roman"/>
          <w:sz w:val="24"/>
          <w:szCs w:val="24"/>
        </w:rPr>
        <w:t xml:space="preserve">and </w:t>
      </w:r>
      <w:r w:rsidR="007A2FD0">
        <w:rPr>
          <w:rFonts w:ascii="Times New Roman" w:hAnsi="Times New Roman"/>
          <w:sz w:val="24"/>
          <w:szCs w:val="24"/>
        </w:rPr>
        <w:t xml:space="preserve">public </w:t>
      </w:r>
      <w:r w:rsidRPr="00C87830" w:rsidR="00CB0F82">
        <w:rPr>
          <w:rFonts w:ascii="Times New Roman" w:hAnsi="Times New Roman"/>
          <w:sz w:val="24"/>
          <w:szCs w:val="24"/>
        </w:rPr>
        <w:t>health professionals</w:t>
      </w:r>
      <w:r w:rsidR="006B6E52">
        <w:rPr>
          <w:rFonts w:ascii="Times New Roman" w:hAnsi="Times New Roman"/>
          <w:sz w:val="24"/>
          <w:szCs w:val="24"/>
        </w:rPr>
        <w:t xml:space="preserve"> </w:t>
      </w:r>
      <w:r w:rsidR="007A2FD0">
        <w:rPr>
          <w:rFonts w:ascii="Times New Roman" w:hAnsi="Times New Roman"/>
          <w:sz w:val="24"/>
          <w:szCs w:val="24"/>
        </w:rPr>
        <w:t>about human and animal</w:t>
      </w:r>
      <w:r w:rsidR="006B6E52">
        <w:rPr>
          <w:rFonts w:ascii="Times New Roman" w:hAnsi="Times New Roman"/>
          <w:sz w:val="24"/>
          <w:szCs w:val="24"/>
        </w:rPr>
        <w:t xml:space="preserve"> health</w:t>
      </w:r>
      <w:r w:rsidR="007A2FD0">
        <w:rPr>
          <w:rFonts w:ascii="Times New Roman" w:hAnsi="Times New Roman"/>
          <w:sz w:val="24"/>
          <w:szCs w:val="24"/>
        </w:rPr>
        <w:t xml:space="preserve"> issues</w:t>
      </w:r>
      <w:r w:rsidR="00540BB9">
        <w:rPr>
          <w:rFonts w:ascii="Times New Roman" w:hAnsi="Times New Roman"/>
          <w:sz w:val="24"/>
          <w:szCs w:val="24"/>
        </w:rPr>
        <w:t>;</w:t>
      </w:r>
      <w:r w:rsidR="00267F82">
        <w:rPr>
          <w:rFonts w:ascii="Times New Roman" w:hAnsi="Times New Roman"/>
          <w:sz w:val="24"/>
          <w:szCs w:val="24"/>
        </w:rPr>
        <w:t xml:space="preserve"> and </w:t>
      </w:r>
      <w:r w:rsidR="00540BB9">
        <w:rPr>
          <w:rFonts w:ascii="Times New Roman" w:hAnsi="Times New Roman"/>
          <w:sz w:val="24"/>
          <w:szCs w:val="24"/>
        </w:rPr>
        <w:t>(</w:t>
      </w:r>
      <w:r w:rsidR="00267F82">
        <w:rPr>
          <w:rFonts w:ascii="Times New Roman" w:hAnsi="Times New Roman"/>
          <w:sz w:val="24"/>
          <w:szCs w:val="24"/>
        </w:rPr>
        <w:t>2) provide information on the safety, efficacy and usage of FDA-regulated products</w:t>
      </w:r>
      <w:r w:rsidRPr="00C87830" w:rsidR="00CB0F82">
        <w:rPr>
          <w:rFonts w:ascii="Times New Roman" w:hAnsi="Times New Roman"/>
          <w:sz w:val="24"/>
          <w:szCs w:val="24"/>
        </w:rPr>
        <w:t>.</w:t>
      </w:r>
      <w:bookmarkStart w:name="_Toc239649223" w:id="4"/>
      <w:bookmarkStart w:name="_Toc276963625" w:id="5"/>
    </w:p>
    <w:p w:rsidR="006B6E52" w:rsidP="00C87830" w:rsidRDefault="006B6E52">
      <w:pPr>
        <w:pStyle w:val="NoSpacing"/>
        <w:rPr>
          <w:rFonts w:ascii="Times New Roman" w:hAnsi="Times New Roman"/>
          <w:sz w:val="24"/>
          <w:szCs w:val="24"/>
        </w:rPr>
      </w:pPr>
    </w:p>
    <w:p w:rsidR="000B175A" w:rsidP="00C87830" w:rsidRDefault="000B175A">
      <w:pPr>
        <w:pStyle w:val="NoSpacing"/>
        <w:rPr>
          <w:rFonts w:ascii="Times New Roman" w:hAnsi="Times New Roman"/>
          <w:sz w:val="24"/>
          <w:szCs w:val="24"/>
        </w:rPr>
      </w:pPr>
      <w:r w:rsidRPr="00E73C39">
        <w:rPr>
          <w:rFonts w:ascii="Times New Roman" w:hAnsi="Times New Roman"/>
          <w:sz w:val="24"/>
          <w:szCs w:val="24"/>
        </w:rPr>
        <w:t xml:space="preserve">3.  </w:t>
      </w:r>
      <w:r w:rsidRPr="004F1EC9">
        <w:rPr>
          <w:rFonts w:ascii="Times New Roman" w:hAnsi="Times New Roman"/>
          <w:sz w:val="24"/>
          <w:szCs w:val="24"/>
          <w:u w:val="single"/>
        </w:rPr>
        <w:t>Use of Information Technology</w:t>
      </w:r>
      <w:bookmarkEnd w:id="4"/>
      <w:r w:rsidRPr="004F1EC9">
        <w:rPr>
          <w:rFonts w:ascii="Times New Roman" w:hAnsi="Times New Roman"/>
          <w:sz w:val="24"/>
          <w:szCs w:val="24"/>
          <w:u w:val="single"/>
        </w:rPr>
        <w:t xml:space="preserve"> and Burden Reduction</w:t>
      </w:r>
      <w:bookmarkEnd w:id="5"/>
    </w:p>
    <w:p w:rsidRPr="00C87830" w:rsidR="004F1EC9" w:rsidP="00C87830" w:rsidRDefault="004F1EC9">
      <w:pPr>
        <w:pStyle w:val="NoSpacing"/>
        <w:rPr>
          <w:rFonts w:ascii="Times New Roman" w:hAnsi="Times New Roman"/>
          <w:sz w:val="24"/>
          <w:szCs w:val="24"/>
        </w:rPr>
      </w:pPr>
    </w:p>
    <w:p w:rsidRPr="00C87830" w:rsidR="000B175A" w:rsidP="00C87830" w:rsidRDefault="009C39B8">
      <w:pPr>
        <w:pStyle w:val="NoSpacing"/>
        <w:rPr>
          <w:rFonts w:ascii="Times New Roman" w:hAnsi="Times New Roman"/>
          <w:sz w:val="24"/>
          <w:szCs w:val="24"/>
        </w:rPr>
      </w:pPr>
      <w:r w:rsidRPr="00C87830">
        <w:rPr>
          <w:rFonts w:ascii="Times New Roman" w:hAnsi="Times New Roman"/>
          <w:sz w:val="24"/>
          <w:szCs w:val="24"/>
        </w:rPr>
        <w:t xml:space="preserve">The information will be collected through focus groups, </w:t>
      </w:r>
      <w:r w:rsidRPr="00C87830" w:rsidR="009B6E62">
        <w:rPr>
          <w:rFonts w:ascii="Times New Roman" w:hAnsi="Times New Roman"/>
          <w:sz w:val="24"/>
          <w:szCs w:val="24"/>
        </w:rPr>
        <w:t xml:space="preserve">individual </w:t>
      </w:r>
      <w:r w:rsidR="00E105DB">
        <w:rPr>
          <w:rFonts w:ascii="Times New Roman" w:hAnsi="Times New Roman"/>
          <w:sz w:val="24"/>
          <w:szCs w:val="24"/>
        </w:rPr>
        <w:t xml:space="preserve">in-depth </w:t>
      </w:r>
      <w:r w:rsidRPr="00C87830" w:rsidR="009B6E62">
        <w:rPr>
          <w:rFonts w:ascii="Times New Roman" w:hAnsi="Times New Roman"/>
          <w:sz w:val="24"/>
          <w:szCs w:val="24"/>
        </w:rPr>
        <w:t xml:space="preserve">interviews, </w:t>
      </w:r>
      <w:r w:rsidR="00CF192F">
        <w:rPr>
          <w:rFonts w:ascii="Times New Roman" w:hAnsi="Times New Roman"/>
          <w:sz w:val="24"/>
          <w:szCs w:val="24"/>
        </w:rPr>
        <w:t>and</w:t>
      </w:r>
      <w:r w:rsidRPr="00C87830" w:rsidR="00CF192F">
        <w:rPr>
          <w:rFonts w:ascii="Times New Roman" w:hAnsi="Times New Roman"/>
          <w:sz w:val="24"/>
          <w:szCs w:val="24"/>
        </w:rPr>
        <w:t xml:space="preserve"> surveys</w:t>
      </w:r>
      <w:r w:rsidR="00430099">
        <w:rPr>
          <w:rFonts w:ascii="Times New Roman" w:hAnsi="Times New Roman"/>
          <w:sz w:val="24"/>
          <w:szCs w:val="24"/>
        </w:rPr>
        <w:t xml:space="preserve"> and experiment</w:t>
      </w:r>
      <w:r w:rsidR="004E08D1">
        <w:rPr>
          <w:rFonts w:ascii="Times New Roman" w:hAnsi="Times New Roman"/>
          <w:sz w:val="24"/>
          <w:szCs w:val="24"/>
        </w:rPr>
        <w:t>al studies</w:t>
      </w:r>
      <w:r w:rsidRPr="00C87830">
        <w:rPr>
          <w:rFonts w:ascii="Times New Roman" w:hAnsi="Times New Roman"/>
          <w:sz w:val="24"/>
          <w:szCs w:val="24"/>
        </w:rPr>
        <w:t xml:space="preserve"> depending upon the target </w:t>
      </w:r>
      <w:r w:rsidR="00CC2428">
        <w:rPr>
          <w:rFonts w:ascii="Times New Roman" w:hAnsi="Times New Roman"/>
          <w:sz w:val="24"/>
          <w:szCs w:val="24"/>
        </w:rPr>
        <w:t>participants</w:t>
      </w:r>
      <w:r w:rsidRPr="00C87830">
        <w:rPr>
          <w:rFonts w:ascii="Times New Roman" w:hAnsi="Times New Roman"/>
          <w:sz w:val="24"/>
          <w:szCs w:val="24"/>
        </w:rPr>
        <w:t xml:space="preserve">, expectations about whether the information will be evaluated in an individual or group context, and the need to present </w:t>
      </w:r>
      <w:r w:rsidR="00414FD4">
        <w:rPr>
          <w:rFonts w:ascii="Times New Roman" w:hAnsi="Times New Roman"/>
          <w:sz w:val="24"/>
          <w:szCs w:val="24"/>
        </w:rPr>
        <w:t xml:space="preserve">(for example) FDA </w:t>
      </w:r>
      <w:r w:rsidRPr="00C87830" w:rsidR="00E66048">
        <w:rPr>
          <w:rFonts w:ascii="Times New Roman" w:hAnsi="Times New Roman"/>
          <w:sz w:val="24"/>
          <w:szCs w:val="24"/>
        </w:rPr>
        <w:t>educational and</w:t>
      </w:r>
      <w:r w:rsidR="007A2FD0">
        <w:rPr>
          <w:rFonts w:ascii="Times New Roman" w:hAnsi="Times New Roman"/>
          <w:sz w:val="24"/>
          <w:szCs w:val="24"/>
        </w:rPr>
        <w:t>/</w:t>
      </w:r>
      <w:r w:rsidRPr="00C87830" w:rsidR="00E66048">
        <w:rPr>
          <w:rFonts w:ascii="Times New Roman" w:hAnsi="Times New Roman"/>
          <w:sz w:val="24"/>
          <w:szCs w:val="24"/>
        </w:rPr>
        <w:t>or interventional materials.</w:t>
      </w:r>
      <w:r w:rsidRPr="00C87830">
        <w:rPr>
          <w:rFonts w:ascii="Times New Roman" w:hAnsi="Times New Roman"/>
          <w:sz w:val="24"/>
          <w:szCs w:val="24"/>
        </w:rPr>
        <w:t xml:space="preserve">  </w:t>
      </w:r>
      <w:r w:rsidR="00F3025C">
        <w:rPr>
          <w:rFonts w:ascii="Times New Roman" w:hAnsi="Times New Roman"/>
          <w:sz w:val="24"/>
          <w:szCs w:val="24"/>
        </w:rPr>
        <w:t xml:space="preserve">Because </w:t>
      </w:r>
      <w:r w:rsidR="007A2FD0">
        <w:rPr>
          <w:rFonts w:ascii="Times New Roman" w:hAnsi="Times New Roman"/>
          <w:sz w:val="24"/>
          <w:szCs w:val="24"/>
        </w:rPr>
        <w:t>online</w:t>
      </w:r>
      <w:r w:rsidRPr="00C87830">
        <w:rPr>
          <w:rFonts w:ascii="Times New Roman" w:hAnsi="Times New Roman"/>
          <w:sz w:val="24"/>
          <w:szCs w:val="24"/>
        </w:rPr>
        <w:t xml:space="preserve"> </w:t>
      </w:r>
      <w:r w:rsidR="00F3025C">
        <w:rPr>
          <w:rFonts w:ascii="Times New Roman" w:hAnsi="Times New Roman"/>
          <w:sz w:val="24"/>
          <w:szCs w:val="24"/>
        </w:rPr>
        <w:t xml:space="preserve">methods </w:t>
      </w:r>
      <w:r w:rsidR="007A2FD0">
        <w:rPr>
          <w:rFonts w:ascii="Times New Roman" w:hAnsi="Times New Roman"/>
          <w:sz w:val="24"/>
          <w:szCs w:val="24"/>
        </w:rPr>
        <w:t>for collecting data</w:t>
      </w:r>
      <w:r w:rsidR="00CC2428">
        <w:rPr>
          <w:rFonts w:ascii="Times New Roman" w:hAnsi="Times New Roman"/>
          <w:sz w:val="24"/>
          <w:szCs w:val="24"/>
        </w:rPr>
        <w:t xml:space="preserve"> can</w:t>
      </w:r>
      <w:r w:rsidR="00F3025C">
        <w:rPr>
          <w:rFonts w:ascii="Times New Roman" w:hAnsi="Times New Roman"/>
          <w:sz w:val="24"/>
          <w:szCs w:val="24"/>
        </w:rPr>
        <w:t xml:space="preserve"> minimize</w:t>
      </w:r>
      <w:r w:rsidR="007A2FD0">
        <w:rPr>
          <w:rFonts w:ascii="Times New Roman" w:hAnsi="Times New Roman"/>
          <w:sz w:val="24"/>
          <w:szCs w:val="24"/>
        </w:rPr>
        <w:t xml:space="preserve"> the</w:t>
      </w:r>
      <w:r w:rsidR="00F3025C">
        <w:rPr>
          <w:rFonts w:ascii="Times New Roman" w:hAnsi="Times New Roman"/>
          <w:sz w:val="24"/>
          <w:szCs w:val="24"/>
        </w:rPr>
        <w:t xml:space="preserve"> </w:t>
      </w:r>
      <w:r w:rsidRPr="00C87830">
        <w:rPr>
          <w:rFonts w:ascii="Times New Roman" w:hAnsi="Times New Roman"/>
          <w:sz w:val="24"/>
          <w:szCs w:val="24"/>
        </w:rPr>
        <w:t>burden on respondents</w:t>
      </w:r>
      <w:r w:rsidR="00F3025C">
        <w:rPr>
          <w:rFonts w:ascii="Times New Roman" w:hAnsi="Times New Roman"/>
          <w:sz w:val="24"/>
          <w:szCs w:val="24"/>
        </w:rPr>
        <w:t>, w</w:t>
      </w:r>
      <w:r w:rsidRPr="00C87830">
        <w:rPr>
          <w:rFonts w:ascii="Times New Roman" w:hAnsi="Times New Roman"/>
          <w:sz w:val="24"/>
          <w:szCs w:val="24"/>
        </w:rPr>
        <w:t>he</w:t>
      </w:r>
      <w:r w:rsidR="00CC2428">
        <w:rPr>
          <w:rFonts w:ascii="Times New Roman" w:hAnsi="Times New Roman"/>
          <w:sz w:val="24"/>
          <w:szCs w:val="24"/>
        </w:rPr>
        <w:t>n</w:t>
      </w:r>
      <w:r w:rsidRPr="00C87830">
        <w:rPr>
          <w:rFonts w:ascii="Times New Roman" w:hAnsi="Times New Roman"/>
          <w:sz w:val="24"/>
          <w:szCs w:val="24"/>
        </w:rPr>
        <w:t xml:space="preserve"> </w:t>
      </w:r>
      <w:r w:rsidR="00124F08">
        <w:rPr>
          <w:rFonts w:ascii="Times New Roman" w:hAnsi="Times New Roman"/>
          <w:sz w:val="24"/>
          <w:szCs w:val="24"/>
        </w:rPr>
        <w:t>possible, FDA will make use of w</w:t>
      </w:r>
      <w:r w:rsidRPr="00C87830">
        <w:rPr>
          <w:rFonts w:ascii="Times New Roman" w:hAnsi="Times New Roman"/>
          <w:sz w:val="24"/>
          <w:szCs w:val="24"/>
        </w:rPr>
        <w:t>eb</w:t>
      </w:r>
      <w:r w:rsidR="00124F08">
        <w:rPr>
          <w:rFonts w:ascii="Times New Roman" w:hAnsi="Times New Roman"/>
          <w:sz w:val="24"/>
          <w:szCs w:val="24"/>
        </w:rPr>
        <w:t>-based data collection methods</w:t>
      </w:r>
      <w:r w:rsidR="006E4F73">
        <w:rPr>
          <w:rFonts w:ascii="Times New Roman" w:hAnsi="Times New Roman"/>
          <w:sz w:val="24"/>
          <w:szCs w:val="24"/>
        </w:rPr>
        <w:t>, i</w:t>
      </w:r>
      <w:r w:rsidRPr="002D1BB9" w:rsidR="006E4F73">
        <w:rPr>
          <w:rFonts w:ascii="Times New Roman" w:hAnsi="Times New Roman"/>
          <w:sz w:val="24"/>
          <w:szCs w:val="24"/>
        </w:rPr>
        <w:t>ncluding data collected through mobile devices</w:t>
      </w:r>
      <w:r w:rsidRPr="00910AFF" w:rsidR="00124F08">
        <w:rPr>
          <w:rFonts w:ascii="Times New Roman" w:hAnsi="Times New Roman"/>
          <w:sz w:val="24"/>
          <w:szCs w:val="24"/>
        </w:rPr>
        <w:t>.</w:t>
      </w:r>
    </w:p>
    <w:p w:rsidRPr="00C87830" w:rsidR="005C31A8" w:rsidP="00C87830" w:rsidRDefault="005C31A8">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bookmarkStart w:name="_Toc276963626" w:id="6"/>
      <w:bookmarkStart w:name="_Toc239649224" w:id="7"/>
      <w:r w:rsidRPr="004F1EC9">
        <w:rPr>
          <w:rFonts w:ascii="Times New Roman" w:hAnsi="Times New Roman"/>
          <w:sz w:val="24"/>
          <w:szCs w:val="24"/>
        </w:rPr>
        <w:t xml:space="preserve">4.  </w:t>
      </w:r>
      <w:r w:rsidRPr="004F1EC9">
        <w:rPr>
          <w:rFonts w:ascii="Times New Roman" w:hAnsi="Times New Roman"/>
          <w:sz w:val="24"/>
          <w:szCs w:val="24"/>
          <w:u w:val="single"/>
        </w:rPr>
        <w:t>Efforts to Identify Duplication and Use of Similar Information</w:t>
      </w:r>
      <w:bookmarkEnd w:id="6"/>
      <w:bookmarkEnd w:id="7"/>
    </w:p>
    <w:p w:rsidRPr="00C87830" w:rsidR="009C39B8" w:rsidP="00C87830" w:rsidRDefault="009C39B8">
      <w:pPr>
        <w:pStyle w:val="NoSpacing"/>
        <w:rPr>
          <w:rFonts w:ascii="Times New Roman" w:hAnsi="Times New Roman"/>
          <w:sz w:val="24"/>
          <w:szCs w:val="24"/>
        </w:rPr>
      </w:pPr>
    </w:p>
    <w:p w:rsidR="005C31A8" w:rsidP="00C87830" w:rsidRDefault="00787E7E">
      <w:pPr>
        <w:pStyle w:val="NoSpacing"/>
        <w:rPr>
          <w:rFonts w:ascii="Times New Roman" w:hAnsi="Times New Roman"/>
          <w:sz w:val="24"/>
          <w:szCs w:val="24"/>
        </w:rPr>
      </w:pPr>
      <w:r>
        <w:rPr>
          <w:rFonts w:ascii="Times New Roman" w:hAnsi="Times New Roman"/>
          <w:sz w:val="24"/>
          <w:szCs w:val="24"/>
        </w:rPr>
        <w:t xml:space="preserve">We are unaware of </w:t>
      </w:r>
      <w:r w:rsidR="007B5F0B">
        <w:rPr>
          <w:rFonts w:ascii="Times New Roman" w:hAnsi="Times New Roman"/>
          <w:sz w:val="24"/>
          <w:szCs w:val="24"/>
        </w:rPr>
        <w:t xml:space="preserve">a </w:t>
      </w:r>
      <w:r>
        <w:rPr>
          <w:rFonts w:ascii="Times New Roman" w:hAnsi="Times New Roman"/>
          <w:sz w:val="24"/>
          <w:szCs w:val="24"/>
        </w:rPr>
        <w:t>simila</w:t>
      </w:r>
      <w:r w:rsidR="00320500">
        <w:rPr>
          <w:rFonts w:ascii="Times New Roman" w:hAnsi="Times New Roman"/>
          <w:sz w:val="24"/>
          <w:szCs w:val="24"/>
        </w:rPr>
        <w:t>r data collection</w:t>
      </w:r>
      <w:r w:rsidR="007B5F0B">
        <w:rPr>
          <w:rFonts w:ascii="Times New Roman" w:hAnsi="Times New Roman"/>
          <w:sz w:val="24"/>
          <w:szCs w:val="24"/>
        </w:rPr>
        <w:t xml:space="preserve"> generic clearance</w:t>
      </w:r>
      <w:r w:rsidR="00320500">
        <w:rPr>
          <w:rFonts w:ascii="Times New Roman" w:hAnsi="Times New Roman"/>
          <w:sz w:val="24"/>
          <w:szCs w:val="24"/>
        </w:rPr>
        <w:t xml:space="preserve">.  </w:t>
      </w:r>
      <w:r w:rsidRPr="00320500" w:rsidR="00320500">
        <w:rPr>
          <w:rFonts w:ascii="Times New Roman" w:hAnsi="Times New Roman"/>
          <w:sz w:val="24"/>
          <w:szCs w:val="24"/>
        </w:rPr>
        <w:t>As each new research study is developed, FDA will review existing literature and databases</w:t>
      </w:r>
      <w:r w:rsidR="00267F82">
        <w:rPr>
          <w:rFonts w:ascii="Times New Roman" w:hAnsi="Times New Roman"/>
          <w:sz w:val="24"/>
          <w:szCs w:val="24"/>
        </w:rPr>
        <w:t xml:space="preserve"> to identify duplicative studies (e.g., </w:t>
      </w:r>
      <w:r w:rsidRPr="00320500" w:rsidR="00320500">
        <w:rPr>
          <w:rFonts w:ascii="Times New Roman" w:hAnsi="Times New Roman"/>
          <w:sz w:val="24"/>
          <w:szCs w:val="24"/>
        </w:rPr>
        <w:t>pretesting reports on existing educational and intervention materials</w:t>
      </w:r>
      <w:r w:rsidR="00267F82">
        <w:rPr>
          <w:rFonts w:ascii="Times New Roman" w:hAnsi="Times New Roman"/>
          <w:sz w:val="24"/>
          <w:szCs w:val="24"/>
        </w:rPr>
        <w:t>)</w:t>
      </w:r>
      <w:r w:rsidRPr="00320500" w:rsidR="00320500">
        <w:rPr>
          <w:rFonts w:ascii="Times New Roman" w:hAnsi="Times New Roman"/>
          <w:sz w:val="24"/>
          <w:szCs w:val="24"/>
        </w:rPr>
        <w:t>.</w:t>
      </w:r>
      <w:r w:rsidR="00320500">
        <w:rPr>
          <w:rFonts w:ascii="Times New Roman" w:hAnsi="Times New Roman"/>
          <w:sz w:val="24"/>
          <w:szCs w:val="24"/>
        </w:rPr>
        <w:t xml:space="preserve"> Also, o</w:t>
      </w:r>
      <w:r>
        <w:rPr>
          <w:rFonts w:ascii="Times New Roman" w:hAnsi="Times New Roman"/>
          <w:sz w:val="24"/>
          <w:szCs w:val="24"/>
        </w:rPr>
        <w:t>n an ongoing basis</w:t>
      </w:r>
      <w:r w:rsidR="007A2FD0">
        <w:rPr>
          <w:rFonts w:ascii="Times New Roman" w:hAnsi="Times New Roman"/>
          <w:sz w:val="24"/>
          <w:szCs w:val="24"/>
        </w:rPr>
        <w:t>,</w:t>
      </w:r>
      <w:r>
        <w:rPr>
          <w:rFonts w:ascii="Times New Roman" w:hAnsi="Times New Roman"/>
          <w:sz w:val="24"/>
          <w:szCs w:val="24"/>
        </w:rPr>
        <w:t xml:space="preserve"> FDA engages with other agencies within the Department of Health and Human Services to determine whether </w:t>
      </w:r>
      <w:r w:rsidR="00F3025C">
        <w:rPr>
          <w:rFonts w:ascii="Times New Roman" w:hAnsi="Times New Roman"/>
          <w:sz w:val="24"/>
          <w:szCs w:val="24"/>
        </w:rPr>
        <w:t xml:space="preserve">existing </w:t>
      </w:r>
      <w:r>
        <w:rPr>
          <w:rFonts w:ascii="Times New Roman" w:hAnsi="Times New Roman"/>
          <w:sz w:val="24"/>
          <w:szCs w:val="24"/>
        </w:rPr>
        <w:t xml:space="preserve">research may be </w:t>
      </w:r>
      <w:r w:rsidR="003B771B">
        <w:rPr>
          <w:rFonts w:ascii="Times New Roman" w:hAnsi="Times New Roman"/>
          <w:sz w:val="24"/>
          <w:szCs w:val="24"/>
        </w:rPr>
        <w:t>coordinated</w:t>
      </w:r>
      <w:r w:rsidR="00320500">
        <w:rPr>
          <w:rFonts w:ascii="Times New Roman" w:hAnsi="Times New Roman"/>
          <w:sz w:val="24"/>
          <w:szCs w:val="24"/>
        </w:rPr>
        <w:t xml:space="preserve"> to avoid duplicative data collection.</w:t>
      </w:r>
    </w:p>
    <w:p w:rsidRPr="00C87830" w:rsidR="00320500" w:rsidP="00C87830" w:rsidRDefault="00320500">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bookmarkStart w:name="_Toc276963627" w:id="8"/>
      <w:bookmarkStart w:name="_Toc239649225" w:id="9"/>
      <w:r w:rsidRPr="00223E0E">
        <w:rPr>
          <w:rFonts w:ascii="Times New Roman" w:hAnsi="Times New Roman"/>
          <w:sz w:val="24"/>
          <w:szCs w:val="24"/>
        </w:rPr>
        <w:t xml:space="preserve">5.   </w:t>
      </w:r>
      <w:r w:rsidRPr="00223E0E">
        <w:rPr>
          <w:rFonts w:ascii="Times New Roman" w:hAnsi="Times New Roman"/>
          <w:sz w:val="24"/>
          <w:szCs w:val="24"/>
          <w:u w:val="single"/>
        </w:rPr>
        <w:t>Impact on Small Businesses or Other Small Entities</w:t>
      </w:r>
      <w:bookmarkEnd w:id="8"/>
      <w:bookmarkEnd w:id="9"/>
    </w:p>
    <w:p w:rsidR="00787E7E" w:rsidP="00C87830" w:rsidRDefault="00787E7E">
      <w:pPr>
        <w:pStyle w:val="NoSpacing"/>
        <w:rPr>
          <w:rFonts w:ascii="Times New Roman" w:hAnsi="Times New Roman"/>
          <w:sz w:val="24"/>
          <w:szCs w:val="24"/>
        </w:rPr>
      </w:pPr>
    </w:p>
    <w:p w:rsidR="005965C2" w:rsidP="00C87830" w:rsidRDefault="00787E7E">
      <w:pPr>
        <w:pStyle w:val="NoSpacing"/>
        <w:rPr>
          <w:rFonts w:ascii="Times New Roman" w:hAnsi="Times New Roman"/>
          <w:sz w:val="24"/>
          <w:szCs w:val="24"/>
        </w:rPr>
      </w:pPr>
      <w:r>
        <w:rPr>
          <w:rFonts w:ascii="Times New Roman" w:hAnsi="Times New Roman"/>
          <w:sz w:val="24"/>
          <w:szCs w:val="24"/>
        </w:rPr>
        <w:t>FDA expects most respondents will be</w:t>
      </w:r>
      <w:r w:rsidR="005965C2">
        <w:rPr>
          <w:rFonts w:ascii="Times New Roman" w:hAnsi="Times New Roman"/>
          <w:sz w:val="24"/>
          <w:szCs w:val="24"/>
        </w:rPr>
        <w:t xml:space="preserve"> </w:t>
      </w:r>
      <w:r w:rsidR="007B5F0B">
        <w:rPr>
          <w:rFonts w:ascii="Times New Roman" w:hAnsi="Times New Roman"/>
          <w:sz w:val="24"/>
          <w:szCs w:val="24"/>
        </w:rPr>
        <w:t xml:space="preserve">general population </w:t>
      </w:r>
      <w:r w:rsidR="005965C2">
        <w:rPr>
          <w:rFonts w:ascii="Times New Roman" w:hAnsi="Times New Roman"/>
          <w:sz w:val="24"/>
          <w:szCs w:val="24"/>
        </w:rPr>
        <w:t xml:space="preserve">individuals.  However, </w:t>
      </w:r>
      <w:r w:rsidR="00D4283D">
        <w:rPr>
          <w:rFonts w:ascii="Times New Roman" w:hAnsi="Times New Roman"/>
          <w:sz w:val="24"/>
          <w:szCs w:val="24"/>
        </w:rPr>
        <w:t xml:space="preserve">FDA’s </w:t>
      </w:r>
      <w:r w:rsidR="005965C2">
        <w:rPr>
          <w:rFonts w:ascii="Times New Roman" w:hAnsi="Times New Roman"/>
          <w:sz w:val="24"/>
          <w:szCs w:val="24"/>
        </w:rPr>
        <w:t>c</w:t>
      </w:r>
      <w:r w:rsidRPr="005965C2" w:rsidR="005965C2">
        <w:rPr>
          <w:rFonts w:ascii="Times New Roman" w:hAnsi="Times New Roman"/>
          <w:sz w:val="24"/>
          <w:szCs w:val="24"/>
        </w:rPr>
        <w:t>ommunication</w:t>
      </w:r>
      <w:r w:rsidR="005965C2">
        <w:rPr>
          <w:rFonts w:ascii="Times New Roman" w:hAnsi="Times New Roman"/>
          <w:sz w:val="24"/>
          <w:szCs w:val="24"/>
        </w:rPr>
        <w:t xml:space="preserve"> </w:t>
      </w:r>
      <w:r w:rsidRPr="005965C2" w:rsidR="005965C2">
        <w:rPr>
          <w:rFonts w:ascii="Times New Roman" w:hAnsi="Times New Roman"/>
          <w:sz w:val="24"/>
          <w:szCs w:val="24"/>
        </w:rPr>
        <w:t>and educational</w:t>
      </w:r>
      <w:r w:rsidR="005965C2">
        <w:rPr>
          <w:rFonts w:ascii="Times New Roman" w:hAnsi="Times New Roman"/>
          <w:sz w:val="24"/>
          <w:szCs w:val="24"/>
        </w:rPr>
        <w:t xml:space="preserve"> research</w:t>
      </w:r>
      <w:r w:rsidRPr="005965C2" w:rsidR="005965C2">
        <w:rPr>
          <w:rFonts w:ascii="Times New Roman" w:hAnsi="Times New Roman"/>
          <w:sz w:val="24"/>
          <w:szCs w:val="24"/>
        </w:rPr>
        <w:t xml:space="preserve"> frequently </w:t>
      </w:r>
      <w:r w:rsidR="00D4283D">
        <w:rPr>
          <w:rFonts w:ascii="Times New Roman" w:hAnsi="Times New Roman"/>
          <w:sz w:val="24"/>
          <w:szCs w:val="24"/>
        </w:rPr>
        <w:t>requires involvement by</w:t>
      </w:r>
      <w:r w:rsidRPr="005965C2" w:rsidR="005965C2">
        <w:rPr>
          <w:rFonts w:ascii="Times New Roman" w:hAnsi="Times New Roman"/>
          <w:sz w:val="24"/>
          <w:szCs w:val="24"/>
        </w:rPr>
        <w:t xml:space="preserve"> </w:t>
      </w:r>
      <w:r w:rsidR="00D4283D">
        <w:rPr>
          <w:rFonts w:ascii="Times New Roman" w:hAnsi="Times New Roman"/>
          <w:sz w:val="24"/>
          <w:szCs w:val="24"/>
        </w:rPr>
        <w:t xml:space="preserve">public health </w:t>
      </w:r>
      <w:r w:rsidR="00D4283D">
        <w:rPr>
          <w:rFonts w:ascii="Times New Roman" w:hAnsi="Times New Roman"/>
          <w:sz w:val="24"/>
          <w:szCs w:val="24"/>
        </w:rPr>
        <w:lastRenderedPageBreak/>
        <w:t>professionals</w:t>
      </w:r>
      <w:r w:rsidR="00942B65">
        <w:rPr>
          <w:rFonts w:ascii="Times New Roman" w:hAnsi="Times New Roman"/>
          <w:sz w:val="24"/>
          <w:szCs w:val="24"/>
        </w:rPr>
        <w:t xml:space="preserve"> (e.g., physicians, dentists, pharmacists, veterinarians, dieti</w:t>
      </w:r>
      <w:r w:rsidR="00914F7E">
        <w:rPr>
          <w:rFonts w:ascii="Times New Roman" w:hAnsi="Times New Roman"/>
          <w:sz w:val="24"/>
          <w:szCs w:val="24"/>
        </w:rPr>
        <w:t>t</w:t>
      </w:r>
      <w:r w:rsidR="00942B65">
        <w:rPr>
          <w:rFonts w:ascii="Times New Roman" w:hAnsi="Times New Roman"/>
          <w:sz w:val="24"/>
          <w:szCs w:val="24"/>
        </w:rPr>
        <w:t>ians, nurses)</w:t>
      </w:r>
      <w:r w:rsidR="005965C2">
        <w:rPr>
          <w:rFonts w:ascii="Times New Roman" w:hAnsi="Times New Roman"/>
          <w:sz w:val="24"/>
          <w:szCs w:val="24"/>
        </w:rPr>
        <w:t xml:space="preserve">.  </w:t>
      </w:r>
      <w:r w:rsidR="00EE2E4E">
        <w:rPr>
          <w:rFonts w:ascii="Times New Roman" w:hAnsi="Times New Roman"/>
          <w:sz w:val="24"/>
          <w:szCs w:val="24"/>
        </w:rPr>
        <w:t>Particularly w</w:t>
      </w:r>
      <w:r w:rsidRPr="005965C2" w:rsidR="005965C2">
        <w:rPr>
          <w:rFonts w:ascii="Times New Roman" w:hAnsi="Times New Roman"/>
          <w:sz w:val="24"/>
          <w:szCs w:val="24"/>
        </w:rPr>
        <w:t xml:space="preserve">hen research with this audience </w:t>
      </w:r>
      <w:r w:rsidR="005965C2">
        <w:rPr>
          <w:rFonts w:ascii="Times New Roman" w:hAnsi="Times New Roman"/>
          <w:sz w:val="24"/>
          <w:szCs w:val="24"/>
        </w:rPr>
        <w:t xml:space="preserve">is required, FDA </w:t>
      </w:r>
      <w:r w:rsidRPr="005965C2" w:rsidR="005965C2">
        <w:rPr>
          <w:rFonts w:ascii="Times New Roman" w:hAnsi="Times New Roman"/>
          <w:sz w:val="24"/>
          <w:szCs w:val="24"/>
        </w:rPr>
        <w:t xml:space="preserve">works through </w:t>
      </w:r>
      <w:r w:rsidR="00D4283D">
        <w:rPr>
          <w:rFonts w:ascii="Times New Roman" w:hAnsi="Times New Roman"/>
          <w:sz w:val="24"/>
          <w:szCs w:val="24"/>
        </w:rPr>
        <w:t xml:space="preserve">contractors and </w:t>
      </w:r>
      <w:r w:rsidR="00942B65">
        <w:rPr>
          <w:rFonts w:ascii="Times New Roman" w:hAnsi="Times New Roman"/>
          <w:sz w:val="24"/>
          <w:szCs w:val="24"/>
        </w:rPr>
        <w:t xml:space="preserve">cooperative agreement grantees and </w:t>
      </w:r>
      <w:r w:rsidR="007B5F0B">
        <w:rPr>
          <w:rFonts w:ascii="Times New Roman" w:hAnsi="Times New Roman"/>
          <w:sz w:val="24"/>
          <w:szCs w:val="24"/>
        </w:rPr>
        <w:t xml:space="preserve">food and cosmetics, </w:t>
      </w:r>
      <w:r w:rsidRPr="005965C2" w:rsidR="005965C2">
        <w:rPr>
          <w:rFonts w:ascii="Times New Roman" w:hAnsi="Times New Roman"/>
          <w:sz w:val="24"/>
          <w:szCs w:val="24"/>
        </w:rPr>
        <w:t>medical</w:t>
      </w:r>
      <w:r w:rsidR="007A2FD0">
        <w:rPr>
          <w:rFonts w:ascii="Times New Roman" w:hAnsi="Times New Roman"/>
          <w:sz w:val="24"/>
          <w:szCs w:val="24"/>
        </w:rPr>
        <w:t>, veterinary,</w:t>
      </w:r>
      <w:r w:rsidRPr="005965C2" w:rsidR="005965C2">
        <w:rPr>
          <w:rFonts w:ascii="Times New Roman" w:hAnsi="Times New Roman"/>
          <w:sz w:val="24"/>
          <w:szCs w:val="24"/>
        </w:rPr>
        <w:t xml:space="preserve"> </w:t>
      </w:r>
      <w:r w:rsidR="00430099">
        <w:rPr>
          <w:rFonts w:ascii="Times New Roman" w:hAnsi="Times New Roman"/>
          <w:sz w:val="24"/>
          <w:szCs w:val="24"/>
        </w:rPr>
        <w:t xml:space="preserve">academic </w:t>
      </w:r>
      <w:r w:rsidR="007B5F0B">
        <w:rPr>
          <w:rFonts w:ascii="Times New Roman" w:hAnsi="Times New Roman"/>
          <w:sz w:val="24"/>
          <w:szCs w:val="24"/>
        </w:rPr>
        <w:t>institutions,</w:t>
      </w:r>
      <w:r w:rsidR="00430099">
        <w:rPr>
          <w:rFonts w:ascii="Times New Roman" w:hAnsi="Times New Roman"/>
          <w:sz w:val="24"/>
          <w:szCs w:val="24"/>
        </w:rPr>
        <w:t xml:space="preserve"> other federal agencies </w:t>
      </w:r>
      <w:r w:rsidRPr="005965C2" w:rsidR="005965C2">
        <w:rPr>
          <w:rFonts w:ascii="Times New Roman" w:hAnsi="Times New Roman"/>
          <w:sz w:val="24"/>
          <w:szCs w:val="24"/>
        </w:rPr>
        <w:t xml:space="preserve">and </w:t>
      </w:r>
      <w:r w:rsidR="007A2FD0">
        <w:rPr>
          <w:rFonts w:ascii="Times New Roman" w:hAnsi="Times New Roman"/>
          <w:sz w:val="24"/>
          <w:szCs w:val="24"/>
        </w:rPr>
        <w:t xml:space="preserve">other </w:t>
      </w:r>
      <w:r w:rsidRPr="005965C2" w:rsidR="005965C2">
        <w:rPr>
          <w:rFonts w:ascii="Times New Roman" w:hAnsi="Times New Roman"/>
          <w:sz w:val="24"/>
          <w:szCs w:val="24"/>
        </w:rPr>
        <w:t>professional societies to obt</w:t>
      </w:r>
      <w:r w:rsidR="005965C2">
        <w:rPr>
          <w:rFonts w:ascii="Times New Roman" w:hAnsi="Times New Roman"/>
          <w:sz w:val="24"/>
          <w:szCs w:val="24"/>
        </w:rPr>
        <w:t xml:space="preserve">ain the necessary participants.  </w:t>
      </w:r>
      <w:r w:rsidR="007A2065">
        <w:rPr>
          <w:rFonts w:ascii="Times New Roman" w:hAnsi="Times New Roman"/>
          <w:sz w:val="24"/>
          <w:szCs w:val="24"/>
        </w:rPr>
        <w:t>In doing so, we will</w:t>
      </w:r>
      <w:r w:rsidRPr="005965C2" w:rsidR="005965C2">
        <w:rPr>
          <w:rFonts w:ascii="Times New Roman" w:hAnsi="Times New Roman"/>
          <w:sz w:val="24"/>
          <w:szCs w:val="24"/>
        </w:rPr>
        <w:t xml:space="preserve"> carefully plan</w:t>
      </w:r>
      <w:r w:rsidR="007A2065">
        <w:rPr>
          <w:rFonts w:ascii="Times New Roman" w:hAnsi="Times New Roman"/>
          <w:sz w:val="24"/>
          <w:szCs w:val="24"/>
        </w:rPr>
        <w:t xml:space="preserve"> these effor</w:t>
      </w:r>
      <w:r w:rsidR="00031A82">
        <w:rPr>
          <w:rFonts w:ascii="Times New Roman" w:hAnsi="Times New Roman"/>
          <w:sz w:val="24"/>
          <w:szCs w:val="24"/>
        </w:rPr>
        <w:t>ts</w:t>
      </w:r>
      <w:r w:rsidRPr="005965C2" w:rsidR="005965C2">
        <w:rPr>
          <w:rFonts w:ascii="Times New Roman" w:hAnsi="Times New Roman"/>
          <w:sz w:val="24"/>
          <w:szCs w:val="24"/>
        </w:rPr>
        <w:t xml:space="preserve"> to minimize the burden on </w:t>
      </w:r>
      <w:r w:rsidR="007A2065">
        <w:rPr>
          <w:rFonts w:ascii="Times New Roman" w:hAnsi="Times New Roman"/>
          <w:sz w:val="24"/>
          <w:szCs w:val="24"/>
        </w:rPr>
        <w:t xml:space="preserve">small </w:t>
      </w:r>
      <w:r w:rsidRPr="005965C2" w:rsidR="005965C2">
        <w:rPr>
          <w:rFonts w:ascii="Times New Roman" w:hAnsi="Times New Roman"/>
          <w:sz w:val="24"/>
          <w:szCs w:val="24"/>
        </w:rPr>
        <w:t xml:space="preserve">healthcare provider practices and </w:t>
      </w:r>
      <w:r w:rsidR="005965C2">
        <w:rPr>
          <w:rFonts w:ascii="Times New Roman" w:hAnsi="Times New Roman"/>
          <w:sz w:val="24"/>
          <w:szCs w:val="24"/>
        </w:rPr>
        <w:t xml:space="preserve">any </w:t>
      </w:r>
      <w:r w:rsidRPr="005965C2" w:rsidR="005965C2">
        <w:rPr>
          <w:rFonts w:ascii="Times New Roman" w:hAnsi="Times New Roman"/>
          <w:sz w:val="24"/>
          <w:szCs w:val="24"/>
        </w:rPr>
        <w:t>other small entities.</w:t>
      </w:r>
      <w:bookmarkStart w:name="_Toc276963628" w:id="10"/>
    </w:p>
    <w:p w:rsidR="005965C2" w:rsidP="00C87830" w:rsidRDefault="005965C2">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r w:rsidRPr="00223E0E">
        <w:rPr>
          <w:rFonts w:ascii="Times New Roman" w:hAnsi="Times New Roman"/>
          <w:sz w:val="24"/>
          <w:szCs w:val="24"/>
        </w:rPr>
        <w:t xml:space="preserve">6.  </w:t>
      </w:r>
      <w:r w:rsidRPr="00223E0E">
        <w:rPr>
          <w:rFonts w:ascii="Times New Roman" w:hAnsi="Times New Roman"/>
          <w:sz w:val="24"/>
          <w:szCs w:val="24"/>
          <w:u w:val="single"/>
        </w:rPr>
        <w:t>Consequence of Collecting the Information Less Frequently</w:t>
      </w:r>
      <w:bookmarkEnd w:id="10"/>
    </w:p>
    <w:p w:rsidR="00223E0E" w:rsidP="00C87830" w:rsidRDefault="00223E0E">
      <w:pPr>
        <w:pStyle w:val="NoSpacing"/>
        <w:rPr>
          <w:rFonts w:ascii="Times New Roman" w:hAnsi="Times New Roman"/>
          <w:sz w:val="24"/>
          <w:szCs w:val="24"/>
        </w:rPr>
      </w:pPr>
    </w:p>
    <w:p w:rsidR="005C31A8" w:rsidP="00C87830" w:rsidRDefault="009C39B8">
      <w:pPr>
        <w:pStyle w:val="NoSpacing"/>
        <w:rPr>
          <w:rFonts w:ascii="Times New Roman" w:hAnsi="Times New Roman"/>
          <w:sz w:val="24"/>
          <w:szCs w:val="24"/>
        </w:rPr>
      </w:pPr>
      <w:r w:rsidRPr="00C87830">
        <w:rPr>
          <w:rFonts w:ascii="Times New Roman" w:hAnsi="Times New Roman"/>
          <w:sz w:val="24"/>
          <w:szCs w:val="24"/>
        </w:rPr>
        <w:t xml:space="preserve">FDA </w:t>
      </w:r>
      <w:r w:rsidR="003C6342">
        <w:rPr>
          <w:rFonts w:ascii="Times New Roman" w:hAnsi="Times New Roman"/>
          <w:sz w:val="24"/>
          <w:szCs w:val="24"/>
        </w:rPr>
        <w:t>uses</w:t>
      </w:r>
      <w:r w:rsidR="00F3025C">
        <w:rPr>
          <w:rFonts w:ascii="Times New Roman" w:hAnsi="Times New Roman"/>
          <w:sz w:val="24"/>
          <w:szCs w:val="24"/>
        </w:rPr>
        <w:t xml:space="preserve"> </w:t>
      </w:r>
      <w:r w:rsidRPr="00C87830">
        <w:rPr>
          <w:rFonts w:ascii="Times New Roman" w:hAnsi="Times New Roman"/>
          <w:sz w:val="24"/>
          <w:szCs w:val="24"/>
        </w:rPr>
        <w:t xml:space="preserve">a variety of </w:t>
      </w:r>
      <w:r w:rsidR="00F3025C">
        <w:rPr>
          <w:rFonts w:ascii="Times New Roman" w:hAnsi="Times New Roman"/>
          <w:sz w:val="24"/>
          <w:szCs w:val="24"/>
        </w:rPr>
        <w:t xml:space="preserve">techniques to </w:t>
      </w:r>
      <w:r w:rsidR="00414FD4">
        <w:rPr>
          <w:rFonts w:ascii="Times New Roman" w:hAnsi="Times New Roman"/>
          <w:sz w:val="24"/>
          <w:szCs w:val="24"/>
        </w:rPr>
        <w:t>evaluate knowledge of and attitudes toward FDA functions and programs</w:t>
      </w:r>
      <w:r w:rsidR="009D3EE7">
        <w:rPr>
          <w:rFonts w:ascii="Times New Roman" w:hAnsi="Times New Roman"/>
          <w:sz w:val="24"/>
          <w:szCs w:val="24"/>
        </w:rPr>
        <w:t>;</w:t>
      </w:r>
      <w:r w:rsidR="00414FD4">
        <w:rPr>
          <w:rFonts w:ascii="Times New Roman" w:hAnsi="Times New Roman"/>
          <w:sz w:val="24"/>
          <w:szCs w:val="24"/>
        </w:rPr>
        <w:t xml:space="preserve"> to </w:t>
      </w:r>
      <w:r w:rsidR="00F3025C">
        <w:rPr>
          <w:rFonts w:ascii="Times New Roman" w:hAnsi="Times New Roman"/>
          <w:sz w:val="24"/>
          <w:szCs w:val="24"/>
        </w:rPr>
        <w:t xml:space="preserve">convey messages, information, and </w:t>
      </w:r>
      <w:r w:rsidR="007B5F0B">
        <w:rPr>
          <w:rFonts w:ascii="Times New Roman" w:hAnsi="Times New Roman"/>
          <w:sz w:val="24"/>
          <w:szCs w:val="24"/>
        </w:rPr>
        <w:t xml:space="preserve">interventional </w:t>
      </w:r>
      <w:r w:rsidRPr="00C87830">
        <w:rPr>
          <w:rFonts w:ascii="Times New Roman" w:hAnsi="Times New Roman"/>
          <w:sz w:val="24"/>
          <w:szCs w:val="24"/>
        </w:rPr>
        <w:t xml:space="preserve">materials to inform and educate the public about </w:t>
      </w:r>
      <w:r w:rsidRPr="00C87830" w:rsidR="003F0168">
        <w:rPr>
          <w:rFonts w:ascii="Times New Roman" w:hAnsi="Times New Roman"/>
          <w:sz w:val="24"/>
          <w:szCs w:val="24"/>
        </w:rPr>
        <w:t>appropriate</w:t>
      </w:r>
      <w:r w:rsidR="003B771B">
        <w:rPr>
          <w:rFonts w:ascii="Times New Roman" w:hAnsi="Times New Roman"/>
          <w:sz w:val="24"/>
          <w:szCs w:val="24"/>
        </w:rPr>
        <w:t xml:space="preserve"> benefits</w:t>
      </w:r>
      <w:r w:rsidRPr="00C87830" w:rsidR="003F0168">
        <w:rPr>
          <w:rFonts w:ascii="Times New Roman" w:hAnsi="Times New Roman"/>
          <w:sz w:val="24"/>
          <w:szCs w:val="24"/>
        </w:rPr>
        <w:t xml:space="preserve"> and </w:t>
      </w:r>
      <w:r w:rsidRPr="00C87830">
        <w:rPr>
          <w:rFonts w:ascii="Times New Roman" w:hAnsi="Times New Roman"/>
          <w:sz w:val="24"/>
          <w:szCs w:val="24"/>
        </w:rPr>
        <w:t xml:space="preserve">risks </w:t>
      </w:r>
      <w:r w:rsidR="00F3025C">
        <w:rPr>
          <w:rFonts w:ascii="Times New Roman" w:hAnsi="Times New Roman"/>
          <w:sz w:val="24"/>
          <w:szCs w:val="24"/>
        </w:rPr>
        <w:t xml:space="preserve">associated with </w:t>
      </w:r>
      <w:r w:rsidR="0011111F">
        <w:rPr>
          <w:rFonts w:ascii="Times New Roman" w:hAnsi="Times New Roman"/>
          <w:sz w:val="24"/>
          <w:szCs w:val="24"/>
        </w:rPr>
        <w:t xml:space="preserve">the use of regulated </w:t>
      </w:r>
      <w:r w:rsidR="00B22B13">
        <w:rPr>
          <w:rFonts w:ascii="Times New Roman" w:hAnsi="Times New Roman"/>
          <w:sz w:val="24"/>
          <w:szCs w:val="24"/>
        </w:rPr>
        <w:t>product</w:t>
      </w:r>
      <w:r w:rsidR="0011111F">
        <w:rPr>
          <w:rFonts w:ascii="Times New Roman" w:hAnsi="Times New Roman"/>
          <w:sz w:val="24"/>
          <w:szCs w:val="24"/>
        </w:rPr>
        <w:t>s</w:t>
      </w:r>
      <w:r w:rsidR="009D3EE7">
        <w:rPr>
          <w:rFonts w:ascii="Times New Roman" w:hAnsi="Times New Roman"/>
          <w:sz w:val="24"/>
          <w:szCs w:val="24"/>
        </w:rPr>
        <w:t>; or implement other programs to improve the public health</w:t>
      </w:r>
      <w:r w:rsidRPr="00C87830">
        <w:rPr>
          <w:rFonts w:ascii="Times New Roman" w:hAnsi="Times New Roman"/>
          <w:sz w:val="24"/>
          <w:szCs w:val="24"/>
        </w:rPr>
        <w:t xml:space="preserve">.  </w:t>
      </w:r>
      <w:r w:rsidR="00F3025C">
        <w:rPr>
          <w:rFonts w:ascii="Times New Roman" w:hAnsi="Times New Roman"/>
          <w:sz w:val="24"/>
          <w:szCs w:val="24"/>
        </w:rPr>
        <w:t xml:space="preserve">To </w:t>
      </w:r>
      <w:r w:rsidR="00414FD4">
        <w:rPr>
          <w:rFonts w:ascii="Times New Roman" w:hAnsi="Times New Roman"/>
          <w:sz w:val="24"/>
          <w:szCs w:val="24"/>
        </w:rPr>
        <w:t>perform these duties</w:t>
      </w:r>
      <w:r w:rsidRPr="00C87830" w:rsidR="00414FD4">
        <w:rPr>
          <w:rFonts w:ascii="Times New Roman" w:hAnsi="Times New Roman"/>
          <w:sz w:val="24"/>
          <w:szCs w:val="24"/>
        </w:rPr>
        <w:t xml:space="preserve"> </w:t>
      </w:r>
      <w:r w:rsidRPr="00C87830">
        <w:rPr>
          <w:rFonts w:ascii="Times New Roman" w:hAnsi="Times New Roman"/>
          <w:sz w:val="24"/>
          <w:szCs w:val="24"/>
        </w:rPr>
        <w:t>effectively</w:t>
      </w:r>
      <w:r w:rsidR="00F3025C">
        <w:rPr>
          <w:rFonts w:ascii="Times New Roman" w:hAnsi="Times New Roman"/>
          <w:sz w:val="24"/>
          <w:szCs w:val="24"/>
        </w:rPr>
        <w:t>, we rely on research</w:t>
      </w:r>
      <w:r w:rsidR="0011111F">
        <w:rPr>
          <w:rFonts w:ascii="Times New Roman" w:hAnsi="Times New Roman"/>
          <w:sz w:val="24"/>
          <w:szCs w:val="24"/>
        </w:rPr>
        <w:t xml:space="preserve"> studies to obtain the needed evidence</w:t>
      </w:r>
      <w:r w:rsidR="00F3025C">
        <w:rPr>
          <w:rFonts w:ascii="Times New Roman" w:hAnsi="Times New Roman"/>
          <w:sz w:val="24"/>
          <w:szCs w:val="24"/>
        </w:rPr>
        <w:t xml:space="preserve"> and advance our efforts in this area.  </w:t>
      </w:r>
      <w:r w:rsidRPr="00C87830">
        <w:rPr>
          <w:rFonts w:ascii="Times New Roman" w:hAnsi="Times New Roman"/>
          <w:sz w:val="24"/>
          <w:szCs w:val="24"/>
        </w:rPr>
        <w:t xml:space="preserve">Without </w:t>
      </w:r>
      <w:r w:rsidRPr="00C87830" w:rsidR="003F0168">
        <w:rPr>
          <w:rFonts w:ascii="Times New Roman" w:hAnsi="Times New Roman"/>
          <w:sz w:val="24"/>
          <w:szCs w:val="24"/>
        </w:rPr>
        <w:t xml:space="preserve">ongoing </w:t>
      </w:r>
      <w:r w:rsidRPr="00C87830">
        <w:rPr>
          <w:rFonts w:ascii="Times New Roman" w:hAnsi="Times New Roman"/>
          <w:sz w:val="24"/>
          <w:szCs w:val="24"/>
        </w:rPr>
        <w:t xml:space="preserve">data collections, FDA </w:t>
      </w:r>
      <w:r w:rsidR="00F3025C">
        <w:rPr>
          <w:rFonts w:ascii="Times New Roman" w:hAnsi="Times New Roman"/>
          <w:sz w:val="24"/>
          <w:szCs w:val="24"/>
        </w:rPr>
        <w:t xml:space="preserve">would </w:t>
      </w:r>
      <w:r w:rsidR="003C6342">
        <w:rPr>
          <w:rFonts w:ascii="Times New Roman" w:hAnsi="Times New Roman"/>
          <w:sz w:val="24"/>
          <w:szCs w:val="24"/>
        </w:rPr>
        <w:t xml:space="preserve">be </w:t>
      </w:r>
      <w:r w:rsidR="00F3025C">
        <w:rPr>
          <w:rFonts w:ascii="Times New Roman" w:hAnsi="Times New Roman"/>
          <w:sz w:val="24"/>
          <w:szCs w:val="24"/>
        </w:rPr>
        <w:t xml:space="preserve">at a disadvantage </w:t>
      </w:r>
      <w:r w:rsidR="003C6342">
        <w:rPr>
          <w:rFonts w:ascii="Times New Roman" w:hAnsi="Times New Roman"/>
          <w:sz w:val="24"/>
          <w:szCs w:val="24"/>
        </w:rPr>
        <w:t>whenever public health</w:t>
      </w:r>
      <w:r w:rsidR="00F3025C">
        <w:rPr>
          <w:rFonts w:ascii="Times New Roman" w:hAnsi="Times New Roman"/>
          <w:sz w:val="24"/>
          <w:szCs w:val="24"/>
        </w:rPr>
        <w:t xml:space="preserve"> </w:t>
      </w:r>
      <w:r w:rsidR="009D3EE7">
        <w:rPr>
          <w:rFonts w:ascii="Times New Roman" w:hAnsi="Times New Roman"/>
          <w:sz w:val="24"/>
          <w:szCs w:val="24"/>
        </w:rPr>
        <w:t>concerns</w:t>
      </w:r>
      <w:r w:rsidR="00F3025C">
        <w:rPr>
          <w:rFonts w:ascii="Times New Roman" w:hAnsi="Times New Roman"/>
          <w:sz w:val="24"/>
          <w:szCs w:val="24"/>
        </w:rPr>
        <w:t xml:space="preserve"> emerge</w:t>
      </w:r>
      <w:r w:rsidR="003C6342">
        <w:rPr>
          <w:rFonts w:ascii="Times New Roman" w:hAnsi="Times New Roman"/>
          <w:sz w:val="24"/>
          <w:szCs w:val="24"/>
        </w:rPr>
        <w:t>. In addition, without these data collections, the agency may</w:t>
      </w:r>
      <w:r w:rsidR="00F3025C">
        <w:rPr>
          <w:rFonts w:ascii="Times New Roman" w:hAnsi="Times New Roman"/>
          <w:sz w:val="24"/>
          <w:szCs w:val="24"/>
        </w:rPr>
        <w:t xml:space="preserve"> devote finite resources to </w:t>
      </w:r>
      <w:r w:rsidR="0011111F">
        <w:rPr>
          <w:rFonts w:ascii="Times New Roman" w:hAnsi="Times New Roman"/>
          <w:sz w:val="24"/>
          <w:szCs w:val="24"/>
        </w:rPr>
        <w:t xml:space="preserve">developing and disseminating </w:t>
      </w:r>
      <w:r w:rsidR="003B771B">
        <w:rPr>
          <w:rFonts w:ascii="Times New Roman" w:hAnsi="Times New Roman"/>
          <w:sz w:val="24"/>
          <w:szCs w:val="24"/>
        </w:rPr>
        <w:t xml:space="preserve">public health </w:t>
      </w:r>
      <w:r w:rsidR="0011111F">
        <w:rPr>
          <w:rFonts w:ascii="Times New Roman" w:hAnsi="Times New Roman"/>
          <w:sz w:val="24"/>
          <w:szCs w:val="24"/>
        </w:rPr>
        <w:t xml:space="preserve">information and </w:t>
      </w:r>
      <w:r w:rsidR="003B771B">
        <w:rPr>
          <w:rFonts w:ascii="Times New Roman" w:hAnsi="Times New Roman"/>
          <w:sz w:val="24"/>
          <w:szCs w:val="24"/>
        </w:rPr>
        <w:t>campaigns</w:t>
      </w:r>
      <w:r w:rsidR="009D3EE7">
        <w:rPr>
          <w:rFonts w:ascii="Times New Roman" w:hAnsi="Times New Roman"/>
          <w:sz w:val="24"/>
          <w:szCs w:val="24"/>
        </w:rPr>
        <w:t xml:space="preserve"> or implementing programs</w:t>
      </w:r>
      <w:r w:rsidR="003B771B">
        <w:rPr>
          <w:rFonts w:ascii="Times New Roman" w:hAnsi="Times New Roman"/>
          <w:sz w:val="24"/>
          <w:szCs w:val="24"/>
        </w:rPr>
        <w:t xml:space="preserve"> that </w:t>
      </w:r>
      <w:r w:rsidR="009D3EE7">
        <w:rPr>
          <w:rFonts w:ascii="Times New Roman" w:hAnsi="Times New Roman"/>
          <w:sz w:val="24"/>
          <w:szCs w:val="24"/>
        </w:rPr>
        <w:t xml:space="preserve">may ultimately be </w:t>
      </w:r>
      <w:r w:rsidR="003B771B">
        <w:rPr>
          <w:rFonts w:ascii="Times New Roman" w:hAnsi="Times New Roman"/>
          <w:sz w:val="24"/>
          <w:szCs w:val="24"/>
        </w:rPr>
        <w:t>ineffective</w:t>
      </w:r>
      <w:bookmarkStart w:name="_Toc276963629" w:id="11"/>
      <w:r w:rsidR="003B771B">
        <w:rPr>
          <w:rFonts w:ascii="Times New Roman" w:hAnsi="Times New Roman"/>
          <w:sz w:val="24"/>
          <w:szCs w:val="24"/>
        </w:rPr>
        <w:t>.</w:t>
      </w:r>
    </w:p>
    <w:p w:rsidRPr="00C87830" w:rsidR="003B771B" w:rsidP="00C87830" w:rsidRDefault="003B771B">
      <w:pPr>
        <w:pStyle w:val="NoSpacing"/>
        <w:rPr>
          <w:rFonts w:ascii="Times New Roman" w:hAnsi="Times New Roman"/>
          <w:sz w:val="24"/>
          <w:szCs w:val="24"/>
        </w:rPr>
      </w:pPr>
    </w:p>
    <w:p w:rsidRPr="00C87830" w:rsidR="000B175A" w:rsidP="00C87830" w:rsidRDefault="00223E0E">
      <w:pPr>
        <w:pStyle w:val="NoSpacing"/>
        <w:rPr>
          <w:rFonts w:ascii="Times New Roman" w:hAnsi="Times New Roman"/>
          <w:sz w:val="24"/>
          <w:szCs w:val="24"/>
        </w:rPr>
      </w:pPr>
      <w:bookmarkStart w:name="_Toc239649227" w:id="12"/>
      <w:r>
        <w:rPr>
          <w:rFonts w:ascii="Times New Roman" w:hAnsi="Times New Roman"/>
          <w:sz w:val="24"/>
          <w:szCs w:val="24"/>
        </w:rPr>
        <w:t xml:space="preserve">7.  </w:t>
      </w:r>
      <w:r w:rsidRPr="00223E0E" w:rsidR="000B175A">
        <w:rPr>
          <w:rFonts w:ascii="Times New Roman" w:hAnsi="Times New Roman"/>
          <w:sz w:val="24"/>
          <w:szCs w:val="24"/>
          <w:u w:val="single"/>
        </w:rPr>
        <w:t>Special Circumstances</w:t>
      </w:r>
      <w:bookmarkEnd w:id="12"/>
      <w:r w:rsidRPr="00223E0E" w:rsidR="000B175A">
        <w:rPr>
          <w:rFonts w:ascii="Times New Roman" w:hAnsi="Times New Roman"/>
          <w:sz w:val="24"/>
          <w:szCs w:val="24"/>
          <w:u w:val="single"/>
        </w:rPr>
        <w:t xml:space="preserve"> Relating to the Guidelines of 5 CFR 1320.5</w:t>
      </w:r>
      <w:bookmarkEnd w:id="11"/>
    </w:p>
    <w:p w:rsidR="00223E0E" w:rsidP="00C87830" w:rsidRDefault="00223E0E">
      <w:pPr>
        <w:pStyle w:val="NoSpacing"/>
        <w:rPr>
          <w:rFonts w:ascii="Times New Roman" w:hAnsi="Times New Roman"/>
          <w:sz w:val="24"/>
          <w:szCs w:val="24"/>
        </w:rPr>
      </w:pPr>
    </w:p>
    <w:p w:rsidRPr="00C87830" w:rsidR="000B175A" w:rsidP="00C87830" w:rsidRDefault="003B771B">
      <w:pPr>
        <w:pStyle w:val="NoSpacing"/>
        <w:rPr>
          <w:rFonts w:ascii="Times New Roman" w:hAnsi="Times New Roman"/>
          <w:sz w:val="24"/>
          <w:szCs w:val="24"/>
        </w:rPr>
      </w:pPr>
      <w:r>
        <w:rPr>
          <w:rFonts w:ascii="Times New Roman" w:hAnsi="Times New Roman"/>
          <w:sz w:val="24"/>
          <w:szCs w:val="24"/>
        </w:rPr>
        <w:t>The information collection complies with the gu</w:t>
      </w:r>
      <w:r w:rsidR="00C46C3D">
        <w:rPr>
          <w:rFonts w:ascii="Times New Roman" w:hAnsi="Times New Roman"/>
          <w:sz w:val="24"/>
          <w:szCs w:val="24"/>
        </w:rPr>
        <w:t>idelines found in 5 CFR 1320.5.</w:t>
      </w:r>
    </w:p>
    <w:p w:rsidRPr="00C87830" w:rsidR="005C31A8" w:rsidP="00C87830" w:rsidRDefault="005C31A8">
      <w:pPr>
        <w:pStyle w:val="NoSpacing"/>
        <w:rPr>
          <w:rFonts w:ascii="Times New Roman" w:hAnsi="Times New Roman"/>
          <w:sz w:val="24"/>
          <w:szCs w:val="24"/>
        </w:rPr>
      </w:pPr>
      <w:bookmarkStart w:name="_Toc276963630" w:id="13"/>
    </w:p>
    <w:p w:rsidRPr="00C87830" w:rsidR="000B175A" w:rsidP="00C87830" w:rsidRDefault="000B175A">
      <w:pPr>
        <w:pStyle w:val="NoSpacing"/>
        <w:rPr>
          <w:rFonts w:ascii="Times New Roman" w:hAnsi="Times New Roman"/>
          <w:sz w:val="24"/>
          <w:szCs w:val="24"/>
        </w:rPr>
      </w:pPr>
      <w:bookmarkStart w:name="_Toc239649228" w:id="14"/>
      <w:bookmarkStart w:name="_Toc264962854" w:id="15"/>
      <w:r w:rsidRPr="00C87830">
        <w:rPr>
          <w:rFonts w:ascii="Times New Roman" w:hAnsi="Times New Roman"/>
          <w:sz w:val="24"/>
          <w:szCs w:val="24"/>
        </w:rPr>
        <w:t>8.</w:t>
      </w:r>
      <w:r w:rsidR="00223E0E">
        <w:rPr>
          <w:rFonts w:ascii="Times New Roman" w:hAnsi="Times New Roman"/>
          <w:sz w:val="24"/>
          <w:szCs w:val="24"/>
        </w:rPr>
        <w:t xml:space="preserve">  </w:t>
      </w:r>
      <w:r w:rsidRPr="00223E0E">
        <w:rPr>
          <w:rFonts w:ascii="Times New Roman" w:hAnsi="Times New Roman"/>
          <w:sz w:val="24"/>
          <w:szCs w:val="24"/>
          <w:u w:val="single"/>
        </w:rPr>
        <w:t>Comments in Response to the Federal Register Notice and Efforts to Consult Outside</w:t>
      </w:r>
      <w:bookmarkStart w:name="_Toc239649229" w:id="16"/>
      <w:bookmarkEnd w:id="14"/>
      <w:r w:rsidRPr="00223E0E">
        <w:rPr>
          <w:rFonts w:ascii="Times New Roman" w:hAnsi="Times New Roman"/>
          <w:sz w:val="24"/>
          <w:szCs w:val="24"/>
          <w:u w:val="single"/>
        </w:rPr>
        <w:t xml:space="preserve"> </w:t>
      </w:r>
      <w:r w:rsidR="001072CE">
        <w:rPr>
          <w:rFonts w:ascii="Times New Roman" w:hAnsi="Times New Roman"/>
          <w:sz w:val="24"/>
          <w:szCs w:val="24"/>
          <w:u w:val="single"/>
        </w:rPr>
        <w:t xml:space="preserve">the </w:t>
      </w:r>
      <w:r w:rsidRPr="00223E0E">
        <w:rPr>
          <w:rFonts w:ascii="Times New Roman" w:hAnsi="Times New Roman"/>
          <w:sz w:val="24"/>
          <w:szCs w:val="24"/>
          <w:u w:val="single"/>
        </w:rPr>
        <w:t>Agency</w:t>
      </w:r>
      <w:bookmarkEnd w:id="13"/>
      <w:bookmarkEnd w:id="15"/>
      <w:bookmarkEnd w:id="16"/>
    </w:p>
    <w:p w:rsidR="004F1EC9" w:rsidP="00C87830" w:rsidRDefault="005C31A8">
      <w:pPr>
        <w:pStyle w:val="NoSpacing"/>
        <w:rPr>
          <w:rFonts w:ascii="Times New Roman" w:hAnsi="Times New Roman"/>
          <w:sz w:val="24"/>
          <w:szCs w:val="24"/>
        </w:rPr>
      </w:pPr>
      <w:r w:rsidRPr="00C87830">
        <w:rPr>
          <w:rFonts w:ascii="Times New Roman" w:hAnsi="Times New Roman"/>
          <w:sz w:val="24"/>
          <w:szCs w:val="24"/>
        </w:rPr>
        <w:tab/>
      </w:r>
    </w:p>
    <w:p w:rsidRPr="00C87830" w:rsidR="005C31A8" w:rsidP="00A6309B" w:rsidRDefault="000B175A">
      <w:pPr>
        <w:pStyle w:val="NoSpacing"/>
        <w:spacing w:after="240"/>
        <w:rPr>
          <w:rFonts w:ascii="Times New Roman" w:hAnsi="Times New Roman"/>
          <w:sz w:val="24"/>
          <w:szCs w:val="24"/>
        </w:rPr>
      </w:pPr>
      <w:r w:rsidRPr="00C87830">
        <w:rPr>
          <w:rFonts w:ascii="Times New Roman" w:hAnsi="Times New Roman"/>
          <w:sz w:val="24"/>
          <w:szCs w:val="24"/>
        </w:rPr>
        <w:t>In accordance with 5 CFR 1320.8(d), FDA publish</w:t>
      </w:r>
      <w:r w:rsidR="008E2E16">
        <w:rPr>
          <w:rFonts w:ascii="Times New Roman" w:hAnsi="Times New Roman"/>
          <w:sz w:val="24"/>
          <w:szCs w:val="24"/>
        </w:rPr>
        <w:t>ed</w:t>
      </w:r>
      <w:r w:rsidRPr="00C87830">
        <w:rPr>
          <w:rFonts w:ascii="Times New Roman" w:hAnsi="Times New Roman"/>
          <w:sz w:val="24"/>
          <w:szCs w:val="24"/>
        </w:rPr>
        <w:t xml:space="preserve"> a </w:t>
      </w:r>
      <w:r w:rsidRPr="00C87830" w:rsidR="00035425">
        <w:rPr>
          <w:rFonts w:ascii="Times New Roman" w:hAnsi="Times New Roman"/>
          <w:sz w:val="24"/>
          <w:szCs w:val="24"/>
        </w:rPr>
        <w:t>60</w:t>
      </w:r>
      <w:r w:rsidR="00035425">
        <w:rPr>
          <w:rFonts w:ascii="Times New Roman" w:hAnsi="Times New Roman"/>
          <w:sz w:val="24"/>
          <w:szCs w:val="24"/>
        </w:rPr>
        <w:t>-day</w:t>
      </w:r>
      <w:r w:rsidRPr="00C87830">
        <w:rPr>
          <w:rFonts w:ascii="Times New Roman" w:hAnsi="Times New Roman"/>
          <w:sz w:val="24"/>
          <w:szCs w:val="24"/>
        </w:rPr>
        <w:t xml:space="preserve"> notice for public</w:t>
      </w:r>
      <w:r w:rsidRPr="00C87830" w:rsidR="00F71F93">
        <w:rPr>
          <w:rFonts w:ascii="Times New Roman" w:hAnsi="Times New Roman"/>
          <w:sz w:val="24"/>
          <w:szCs w:val="24"/>
        </w:rPr>
        <w:t xml:space="preserve"> comment in the </w:t>
      </w:r>
      <w:r w:rsidRPr="004F1EC9" w:rsidR="00F71F93">
        <w:rPr>
          <w:rFonts w:ascii="Times New Roman" w:hAnsi="Times New Roman"/>
          <w:sz w:val="24"/>
          <w:szCs w:val="24"/>
          <w:u w:val="single"/>
        </w:rPr>
        <w:t>Federal Register</w:t>
      </w:r>
      <w:r w:rsidR="008E2E16">
        <w:rPr>
          <w:rFonts w:ascii="Times New Roman" w:hAnsi="Times New Roman"/>
          <w:sz w:val="24"/>
          <w:szCs w:val="24"/>
        </w:rPr>
        <w:t xml:space="preserve"> of 7/7/2020 (85 FR 40655)</w:t>
      </w:r>
      <w:r w:rsidRPr="00C87830" w:rsidR="005C31A8">
        <w:rPr>
          <w:rFonts w:ascii="Times New Roman" w:hAnsi="Times New Roman"/>
          <w:sz w:val="24"/>
          <w:szCs w:val="24"/>
        </w:rPr>
        <w:t>.</w:t>
      </w:r>
      <w:r w:rsidR="008E2E16">
        <w:rPr>
          <w:rFonts w:ascii="Times New Roman" w:hAnsi="Times New Roman"/>
          <w:sz w:val="24"/>
          <w:szCs w:val="24"/>
        </w:rPr>
        <w:t xml:space="preserve">  </w:t>
      </w:r>
      <w:r w:rsidR="003B2920">
        <w:rPr>
          <w:rFonts w:ascii="Times New Roman" w:hAnsi="Times New Roman"/>
          <w:sz w:val="24"/>
          <w:szCs w:val="24"/>
        </w:rPr>
        <w:t xml:space="preserve"> </w:t>
      </w:r>
      <w:r w:rsidR="008E2E16">
        <w:rPr>
          <w:rFonts w:ascii="Times New Roman" w:hAnsi="Times New Roman"/>
          <w:sz w:val="24"/>
          <w:szCs w:val="24"/>
        </w:rPr>
        <w:t xml:space="preserve">Although one comment was received, it was not responsive to the four collection of information topics solicited and therefore will not be discussed in this document.  </w:t>
      </w:r>
      <w:r w:rsidR="003B2920">
        <w:rPr>
          <w:rFonts w:ascii="Times New Roman" w:hAnsi="Times New Roman"/>
          <w:sz w:val="24"/>
          <w:szCs w:val="24"/>
        </w:rPr>
        <w:t xml:space="preserve"> </w:t>
      </w:r>
      <w:bookmarkStart w:name="_Toc276963631" w:id="17"/>
      <w:r w:rsidR="008E2E16">
        <w:rPr>
          <w:rFonts w:ascii="Times New Roman" w:hAnsi="Times New Roman"/>
          <w:sz w:val="24"/>
          <w:szCs w:val="24"/>
        </w:rPr>
        <w:t xml:space="preserve"> </w:t>
      </w:r>
    </w:p>
    <w:p w:rsidRPr="00C87830" w:rsidR="000B175A" w:rsidP="00C87830" w:rsidRDefault="000B175A">
      <w:pPr>
        <w:pStyle w:val="NoSpacing"/>
        <w:rPr>
          <w:rFonts w:ascii="Times New Roman" w:hAnsi="Times New Roman"/>
          <w:sz w:val="24"/>
          <w:szCs w:val="24"/>
        </w:rPr>
      </w:pPr>
      <w:bookmarkStart w:name="_Toc239649230" w:id="18"/>
      <w:r w:rsidRPr="00223E0E">
        <w:rPr>
          <w:rFonts w:ascii="Times New Roman" w:hAnsi="Times New Roman"/>
          <w:sz w:val="24"/>
          <w:szCs w:val="24"/>
        </w:rPr>
        <w:t xml:space="preserve">9.  </w:t>
      </w:r>
      <w:r w:rsidRPr="00223E0E">
        <w:rPr>
          <w:rFonts w:ascii="Times New Roman" w:hAnsi="Times New Roman"/>
          <w:sz w:val="24"/>
          <w:szCs w:val="24"/>
          <w:u w:val="single"/>
        </w:rPr>
        <w:t>Explanation of Any Payment or Gift to Respondents</w:t>
      </w:r>
      <w:bookmarkEnd w:id="17"/>
      <w:bookmarkEnd w:id="18"/>
    </w:p>
    <w:p w:rsidR="00223E0E" w:rsidP="00C87830" w:rsidRDefault="00223E0E">
      <w:pPr>
        <w:pStyle w:val="NoSpacing"/>
        <w:rPr>
          <w:rFonts w:ascii="Times New Roman" w:hAnsi="Times New Roman"/>
          <w:sz w:val="24"/>
          <w:szCs w:val="24"/>
        </w:rPr>
      </w:pPr>
    </w:p>
    <w:p w:rsidRPr="00C87830" w:rsidR="000B175A" w:rsidP="00C87830" w:rsidRDefault="00C01C7A">
      <w:pPr>
        <w:pStyle w:val="NoSpacing"/>
        <w:rPr>
          <w:rFonts w:ascii="Times New Roman" w:hAnsi="Times New Roman"/>
          <w:sz w:val="24"/>
          <w:szCs w:val="24"/>
        </w:rPr>
      </w:pPr>
      <w:r>
        <w:rPr>
          <w:rFonts w:ascii="Times New Roman" w:hAnsi="Times New Roman"/>
          <w:sz w:val="24"/>
          <w:szCs w:val="24"/>
        </w:rPr>
        <w:t>Whe</w:t>
      </w:r>
      <w:r w:rsidR="007A2FD0">
        <w:rPr>
          <w:rFonts w:ascii="Times New Roman" w:hAnsi="Times New Roman"/>
          <w:sz w:val="24"/>
          <w:szCs w:val="24"/>
        </w:rPr>
        <w:t>n</w:t>
      </w:r>
      <w:r>
        <w:rPr>
          <w:rFonts w:ascii="Times New Roman" w:hAnsi="Times New Roman"/>
          <w:sz w:val="24"/>
          <w:szCs w:val="24"/>
        </w:rPr>
        <w:t xml:space="preserve"> appropriate, a</w:t>
      </w:r>
      <w:r w:rsidRPr="00C01C7A">
        <w:rPr>
          <w:rFonts w:ascii="Times New Roman" w:hAnsi="Times New Roman"/>
          <w:sz w:val="24"/>
          <w:szCs w:val="24"/>
        </w:rPr>
        <w:t xml:space="preserve"> cash stipend or other gift may be offered to the research participants as a token of appreciation for </w:t>
      </w:r>
      <w:r w:rsidR="007A2FD0">
        <w:rPr>
          <w:rFonts w:ascii="Times New Roman" w:hAnsi="Times New Roman"/>
          <w:sz w:val="24"/>
          <w:szCs w:val="24"/>
        </w:rPr>
        <w:t>their</w:t>
      </w:r>
      <w:r w:rsidRPr="00C01C7A">
        <w:rPr>
          <w:rFonts w:ascii="Times New Roman" w:hAnsi="Times New Roman"/>
          <w:sz w:val="24"/>
          <w:szCs w:val="24"/>
        </w:rPr>
        <w:t xml:space="preserve"> time and </w:t>
      </w:r>
      <w:r w:rsidR="00942B65">
        <w:rPr>
          <w:rFonts w:ascii="Times New Roman" w:hAnsi="Times New Roman"/>
          <w:sz w:val="24"/>
          <w:szCs w:val="24"/>
        </w:rPr>
        <w:t>effort</w:t>
      </w:r>
      <w:r w:rsidRPr="00C01C7A">
        <w:rPr>
          <w:rFonts w:ascii="Times New Roman" w:hAnsi="Times New Roman"/>
          <w:sz w:val="24"/>
          <w:szCs w:val="24"/>
        </w:rPr>
        <w:t xml:space="preserve"> in the project</w:t>
      </w:r>
      <w:r w:rsidR="00D0491D">
        <w:rPr>
          <w:rFonts w:ascii="Times New Roman" w:hAnsi="Times New Roman"/>
          <w:sz w:val="24"/>
          <w:szCs w:val="24"/>
        </w:rPr>
        <w:t>.</w:t>
      </w:r>
      <w:r>
        <w:rPr>
          <w:rFonts w:ascii="Times New Roman" w:hAnsi="Times New Roman"/>
          <w:sz w:val="24"/>
          <w:szCs w:val="24"/>
        </w:rPr>
        <w:t xml:space="preserve"> </w:t>
      </w:r>
      <w:r w:rsidRPr="00C01C7A">
        <w:rPr>
          <w:rFonts w:ascii="Times New Roman" w:hAnsi="Times New Roman"/>
          <w:sz w:val="24"/>
          <w:szCs w:val="24"/>
        </w:rPr>
        <w:t xml:space="preserve">Amounts and justifications for any </w:t>
      </w:r>
      <w:r w:rsidR="00942B65">
        <w:rPr>
          <w:rFonts w:ascii="Times New Roman" w:hAnsi="Times New Roman"/>
          <w:sz w:val="24"/>
          <w:szCs w:val="24"/>
        </w:rPr>
        <w:t>payment or gift</w:t>
      </w:r>
      <w:r w:rsidRPr="00C01C7A">
        <w:rPr>
          <w:rFonts w:ascii="Times New Roman" w:hAnsi="Times New Roman"/>
          <w:sz w:val="24"/>
          <w:szCs w:val="24"/>
        </w:rPr>
        <w:t xml:space="preserve"> will be determined on an individual project basis and will be supported by research indicating that </w:t>
      </w:r>
      <w:r w:rsidR="00942B65">
        <w:rPr>
          <w:rFonts w:ascii="Times New Roman" w:hAnsi="Times New Roman"/>
          <w:sz w:val="24"/>
          <w:szCs w:val="24"/>
        </w:rPr>
        <w:t>payments or gifts</w:t>
      </w:r>
      <w:r w:rsidRPr="00C01C7A">
        <w:rPr>
          <w:rFonts w:ascii="Times New Roman" w:hAnsi="Times New Roman"/>
          <w:sz w:val="24"/>
          <w:szCs w:val="24"/>
        </w:rPr>
        <w:t xml:space="preserve"> are useful for the </w:t>
      </w:r>
      <w:r w:rsidR="00E00D5C">
        <w:rPr>
          <w:rFonts w:ascii="Times New Roman" w:hAnsi="Times New Roman"/>
          <w:sz w:val="24"/>
          <w:szCs w:val="24"/>
        </w:rPr>
        <w:t>target audience</w:t>
      </w:r>
      <w:r>
        <w:rPr>
          <w:rFonts w:ascii="Times New Roman" w:hAnsi="Times New Roman"/>
          <w:sz w:val="24"/>
          <w:szCs w:val="24"/>
        </w:rPr>
        <w:t xml:space="preserve">.  </w:t>
      </w:r>
      <w:r w:rsidRPr="00C01C7A">
        <w:rPr>
          <w:rFonts w:ascii="Times New Roman" w:hAnsi="Times New Roman"/>
          <w:sz w:val="24"/>
          <w:szCs w:val="24"/>
        </w:rPr>
        <w:t xml:space="preserve">This information will be included in the statement provided to OMB for each information collection to be conducted </w:t>
      </w:r>
      <w:r>
        <w:rPr>
          <w:rFonts w:ascii="Times New Roman" w:hAnsi="Times New Roman"/>
          <w:sz w:val="24"/>
          <w:szCs w:val="24"/>
        </w:rPr>
        <w:t>under this generic authorization.</w:t>
      </w:r>
    </w:p>
    <w:p w:rsidRPr="00C87830" w:rsidR="00F71F93" w:rsidP="00C87830" w:rsidRDefault="00F71F93">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bookmarkStart w:name="_Toc239649231" w:id="19"/>
      <w:bookmarkStart w:name="_Toc276963632" w:id="20"/>
      <w:r w:rsidRPr="00223E0E">
        <w:rPr>
          <w:rFonts w:ascii="Times New Roman" w:hAnsi="Times New Roman"/>
          <w:sz w:val="24"/>
          <w:szCs w:val="24"/>
        </w:rPr>
        <w:t xml:space="preserve">10.  </w:t>
      </w:r>
      <w:r w:rsidRPr="00223E0E">
        <w:rPr>
          <w:rFonts w:ascii="Times New Roman" w:hAnsi="Times New Roman"/>
          <w:sz w:val="24"/>
          <w:szCs w:val="24"/>
          <w:u w:val="single"/>
        </w:rPr>
        <w:t>Assurance of Confidentiality</w:t>
      </w:r>
      <w:bookmarkEnd w:id="19"/>
      <w:r w:rsidRPr="00223E0E">
        <w:rPr>
          <w:rFonts w:ascii="Times New Roman" w:hAnsi="Times New Roman"/>
          <w:sz w:val="24"/>
          <w:szCs w:val="24"/>
          <w:u w:val="single"/>
        </w:rPr>
        <w:t xml:space="preserve"> Provided to Respondents</w:t>
      </w:r>
      <w:bookmarkEnd w:id="20"/>
    </w:p>
    <w:p w:rsidR="00223E0E" w:rsidP="00C87830" w:rsidRDefault="00223E0E">
      <w:pPr>
        <w:pStyle w:val="NoSpacing"/>
        <w:rPr>
          <w:rFonts w:ascii="Times New Roman" w:hAnsi="Times New Roman"/>
          <w:sz w:val="24"/>
          <w:szCs w:val="24"/>
        </w:rPr>
      </w:pPr>
    </w:p>
    <w:p w:rsidRPr="00021F5A" w:rsidR="00D827A7" w:rsidP="00030CB5" w:rsidRDefault="00D827A7">
      <w:pPr>
        <w:spacing w:line="240" w:lineRule="auto"/>
        <w:rPr>
          <w:rFonts w:ascii="Times New Roman" w:hAnsi="Times New Roman"/>
          <w:sz w:val="24"/>
          <w:szCs w:val="24"/>
        </w:rPr>
      </w:pPr>
      <w:r w:rsidRPr="00021F5A">
        <w:rPr>
          <w:rFonts w:ascii="Times New Roman" w:hAnsi="Times New Roman"/>
          <w:sz w:val="24"/>
          <w:szCs w:val="24"/>
        </w:rPr>
        <w:t>In preparing this Supporting Statement, we consulted our Privacy Office to ensure appropriate identification and handling of information collected.</w:t>
      </w:r>
    </w:p>
    <w:p w:rsidRPr="00021F5A" w:rsidR="00DB1429" w:rsidP="00030CB5" w:rsidRDefault="00DB1429">
      <w:pPr>
        <w:spacing w:line="240" w:lineRule="auto"/>
        <w:rPr>
          <w:rFonts w:ascii="Times New Roman" w:hAnsi="Times New Roman"/>
          <w:sz w:val="24"/>
          <w:szCs w:val="24"/>
        </w:rPr>
      </w:pPr>
      <w:r w:rsidRPr="00021F5A">
        <w:rPr>
          <w:rFonts w:ascii="Times New Roman" w:hAnsi="Times New Roman"/>
          <w:sz w:val="24"/>
          <w:szCs w:val="24"/>
        </w:rPr>
        <w:lastRenderedPageBreak/>
        <w:t xml:space="preserve">This ICR collects personally identifiable information (PII).  The PII submitted is name, telephone number, age, race/ethnicity, and geographical location. </w:t>
      </w:r>
      <w:r w:rsidRPr="00DB1429">
        <w:rPr>
          <w:rFonts w:ascii="Times New Roman" w:hAnsi="Times New Roman"/>
          <w:sz w:val="24"/>
          <w:szCs w:val="24"/>
        </w:rPr>
        <w:t>Personally identifiable information shall be limited to data that may be required in the process of respondent enrollment.</w:t>
      </w:r>
      <w:r w:rsidRPr="00021F5A">
        <w:rPr>
          <w:rFonts w:ascii="Times New Roman" w:hAnsi="Times New Roman"/>
          <w:sz w:val="24"/>
          <w:szCs w:val="24"/>
        </w:rPr>
        <w:t xml:space="preserve"> Information is collected for</w:t>
      </w:r>
      <w:r w:rsidRPr="00DB1429">
        <w:rPr>
          <w:rFonts w:ascii="Times New Roman" w:hAnsi="Times New Roman" w:eastAsia="Times New Roman"/>
          <w:color w:val="000000"/>
          <w:sz w:val="24"/>
          <w:szCs w:val="24"/>
        </w:rPr>
        <w:t xml:space="preserve"> individual interviews, small group, and focus group methodologies.  </w:t>
      </w:r>
      <w:r w:rsidRPr="001E20DE">
        <w:rPr>
          <w:rFonts w:ascii="Times New Roman" w:hAnsi="Times New Roman"/>
          <w:sz w:val="24"/>
          <w:szCs w:val="24"/>
        </w:rPr>
        <w:t xml:space="preserve">Personally identifiable information will be accessible only </w:t>
      </w:r>
      <w:r w:rsidR="000E4620">
        <w:rPr>
          <w:rFonts w:ascii="Times New Roman" w:hAnsi="Times New Roman"/>
          <w:sz w:val="24"/>
          <w:szCs w:val="24"/>
        </w:rPr>
        <w:t>to those</w:t>
      </w:r>
      <w:r w:rsidRPr="001E20DE">
        <w:rPr>
          <w:rFonts w:ascii="Times New Roman" w:hAnsi="Times New Roman"/>
          <w:sz w:val="24"/>
          <w:szCs w:val="24"/>
        </w:rPr>
        <w:t xml:space="preserve"> who </w:t>
      </w:r>
      <w:r w:rsidR="000E4620">
        <w:rPr>
          <w:rFonts w:ascii="Times New Roman" w:hAnsi="Times New Roman"/>
          <w:sz w:val="24"/>
          <w:szCs w:val="24"/>
        </w:rPr>
        <w:t>have a business need</w:t>
      </w:r>
      <w:r w:rsidRPr="001E20DE">
        <w:rPr>
          <w:rFonts w:ascii="Times New Roman" w:hAnsi="Times New Roman"/>
          <w:sz w:val="24"/>
          <w:szCs w:val="24"/>
        </w:rPr>
        <w:t xml:space="preserve"> and will not be linked to interview data</w:t>
      </w:r>
      <w:r w:rsidR="000E4620">
        <w:rPr>
          <w:rFonts w:ascii="Times New Roman" w:hAnsi="Times New Roman"/>
          <w:sz w:val="24"/>
          <w:szCs w:val="24"/>
        </w:rPr>
        <w:t xml:space="preserve"> or the individual</w:t>
      </w:r>
      <w:r w:rsidRPr="001E20DE">
        <w:rPr>
          <w:rFonts w:ascii="Times New Roman" w:hAnsi="Times New Roman"/>
          <w:sz w:val="24"/>
          <w:szCs w:val="24"/>
        </w:rPr>
        <w:t xml:space="preserve">. Neither FDA employees nor any federal employee of any other agency will have access to personally identifiable information.  </w:t>
      </w:r>
      <w:r w:rsidRPr="00021F5A">
        <w:rPr>
          <w:rFonts w:ascii="Times New Roman" w:hAnsi="Times New Roman"/>
          <w:sz w:val="24"/>
          <w:szCs w:val="24"/>
        </w:rPr>
        <w:t>Through appropriate instruction, FDA minimized the PII collected to protect the privacy of the individuals.</w:t>
      </w:r>
    </w:p>
    <w:p w:rsidRPr="00021F5A" w:rsidR="00DB1429" w:rsidP="00030CB5" w:rsidRDefault="00DB1429">
      <w:pPr>
        <w:spacing w:line="240" w:lineRule="auto"/>
        <w:rPr>
          <w:rFonts w:ascii="Times New Roman" w:hAnsi="Times New Roman"/>
          <w:sz w:val="24"/>
          <w:szCs w:val="24"/>
        </w:rPr>
      </w:pPr>
      <w:r w:rsidRPr="00021F5A">
        <w:rPr>
          <w:rFonts w:ascii="Times New Roman" w:hAnsi="Times New Roman"/>
          <w:sz w:val="24"/>
          <w:szCs w:val="24"/>
        </w:rPr>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C87830" w:rsidR="000B175A" w:rsidP="00C87830" w:rsidRDefault="000B175A">
      <w:pPr>
        <w:pStyle w:val="NoSpacing"/>
        <w:rPr>
          <w:rFonts w:ascii="Times New Roman" w:hAnsi="Times New Roman"/>
          <w:sz w:val="24"/>
          <w:szCs w:val="24"/>
        </w:rPr>
      </w:pPr>
      <w:bookmarkStart w:name="_Toc276963633" w:id="21"/>
      <w:bookmarkStart w:name="_Toc239649232" w:id="22"/>
      <w:r w:rsidRPr="00223E0E">
        <w:rPr>
          <w:rFonts w:ascii="Times New Roman" w:hAnsi="Times New Roman"/>
          <w:sz w:val="24"/>
          <w:szCs w:val="24"/>
        </w:rPr>
        <w:t>11.</w:t>
      </w:r>
      <w:r w:rsidR="00223E0E">
        <w:rPr>
          <w:rFonts w:ascii="Times New Roman" w:hAnsi="Times New Roman"/>
          <w:sz w:val="24"/>
          <w:szCs w:val="24"/>
        </w:rPr>
        <w:t xml:space="preserve">  </w:t>
      </w:r>
      <w:r w:rsidRPr="00223E0E">
        <w:rPr>
          <w:rFonts w:ascii="Times New Roman" w:hAnsi="Times New Roman"/>
          <w:sz w:val="24"/>
          <w:szCs w:val="24"/>
          <w:u w:val="single"/>
        </w:rPr>
        <w:t>Justification for Sensitive Questions</w:t>
      </w:r>
      <w:bookmarkEnd w:id="21"/>
      <w:bookmarkEnd w:id="22"/>
    </w:p>
    <w:p w:rsidR="00223E0E" w:rsidP="00C87830" w:rsidRDefault="00223E0E">
      <w:pPr>
        <w:pStyle w:val="NoSpacing"/>
        <w:rPr>
          <w:rFonts w:ascii="Times New Roman" w:hAnsi="Times New Roman"/>
          <w:sz w:val="24"/>
          <w:szCs w:val="24"/>
        </w:rPr>
      </w:pPr>
    </w:p>
    <w:p w:rsidRPr="00C87830" w:rsidR="007E45E6" w:rsidP="00C87830" w:rsidRDefault="007E45E6">
      <w:pPr>
        <w:pStyle w:val="NoSpacing"/>
        <w:rPr>
          <w:rFonts w:ascii="Times New Roman" w:hAnsi="Times New Roman"/>
          <w:sz w:val="24"/>
          <w:szCs w:val="24"/>
        </w:rPr>
      </w:pPr>
      <w:r w:rsidRPr="00C87830">
        <w:rPr>
          <w:rFonts w:ascii="Times New Roman" w:hAnsi="Times New Roman"/>
          <w:sz w:val="24"/>
          <w:szCs w:val="24"/>
        </w:rPr>
        <w:t xml:space="preserve">Some studies require the inclusion of people who match selected characteristics of </w:t>
      </w:r>
      <w:r w:rsidR="00C01C7A">
        <w:rPr>
          <w:rFonts w:ascii="Times New Roman" w:hAnsi="Times New Roman"/>
          <w:sz w:val="24"/>
          <w:szCs w:val="24"/>
        </w:rPr>
        <w:t xml:space="preserve">a </w:t>
      </w:r>
      <w:r w:rsidRPr="00C87830">
        <w:rPr>
          <w:rFonts w:ascii="Times New Roman" w:hAnsi="Times New Roman"/>
          <w:sz w:val="24"/>
          <w:szCs w:val="24"/>
        </w:rPr>
        <w:t xml:space="preserve">target </w:t>
      </w:r>
      <w:r w:rsidR="00E00D5C">
        <w:rPr>
          <w:rFonts w:ascii="Times New Roman" w:hAnsi="Times New Roman"/>
          <w:sz w:val="24"/>
          <w:szCs w:val="24"/>
        </w:rPr>
        <w:t>audience</w:t>
      </w:r>
      <w:r w:rsidR="00C01C7A">
        <w:rPr>
          <w:rFonts w:ascii="Times New Roman" w:hAnsi="Times New Roman"/>
          <w:sz w:val="24"/>
          <w:szCs w:val="24"/>
        </w:rPr>
        <w:t xml:space="preserve"> that FDA is trying to reach.  </w:t>
      </w:r>
      <w:r w:rsidR="00942B65">
        <w:rPr>
          <w:rFonts w:ascii="Times New Roman" w:hAnsi="Times New Roman"/>
          <w:sz w:val="24"/>
          <w:szCs w:val="24"/>
        </w:rPr>
        <w:t>Therefore, a</w:t>
      </w:r>
      <w:r w:rsidR="00C01C7A">
        <w:rPr>
          <w:rFonts w:ascii="Times New Roman" w:hAnsi="Times New Roman"/>
          <w:sz w:val="24"/>
          <w:szCs w:val="24"/>
        </w:rPr>
        <w:t xml:space="preserve"> portion of </w:t>
      </w:r>
      <w:r w:rsidR="003E6052">
        <w:rPr>
          <w:rFonts w:ascii="Times New Roman" w:hAnsi="Times New Roman"/>
          <w:sz w:val="24"/>
          <w:szCs w:val="24"/>
        </w:rPr>
        <w:t>respondents</w:t>
      </w:r>
      <w:r w:rsidR="00C01C7A">
        <w:rPr>
          <w:rFonts w:ascii="Times New Roman" w:hAnsi="Times New Roman"/>
          <w:sz w:val="24"/>
          <w:szCs w:val="24"/>
        </w:rPr>
        <w:t xml:space="preserve"> could consider questions about race, ethnicity, </w:t>
      </w:r>
      <w:r w:rsidR="00DE3EBA">
        <w:rPr>
          <w:rFonts w:ascii="Times New Roman" w:hAnsi="Times New Roman"/>
          <w:sz w:val="24"/>
          <w:szCs w:val="24"/>
        </w:rPr>
        <w:t>sex, gender</w:t>
      </w:r>
      <w:r w:rsidR="00FD191C">
        <w:rPr>
          <w:rFonts w:ascii="Times New Roman" w:hAnsi="Times New Roman"/>
          <w:sz w:val="24"/>
          <w:szCs w:val="24"/>
        </w:rPr>
        <w:t>,</w:t>
      </w:r>
      <w:r w:rsidR="00DE3EBA">
        <w:rPr>
          <w:rFonts w:ascii="Times New Roman" w:hAnsi="Times New Roman"/>
          <w:sz w:val="24"/>
          <w:szCs w:val="24"/>
        </w:rPr>
        <w:t xml:space="preserve"> </w:t>
      </w:r>
      <w:r w:rsidR="00C01C7A">
        <w:rPr>
          <w:rFonts w:ascii="Times New Roman" w:hAnsi="Times New Roman"/>
          <w:sz w:val="24"/>
          <w:szCs w:val="24"/>
        </w:rPr>
        <w:t>or other demographic characteristics to be sensitive.  Whe</w:t>
      </w:r>
      <w:r w:rsidR="005679C0">
        <w:rPr>
          <w:rFonts w:ascii="Times New Roman" w:hAnsi="Times New Roman"/>
          <w:sz w:val="24"/>
          <w:szCs w:val="24"/>
        </w:rPr>
        <w:t>n</w:t>
      </w:r>
      <w:r w:rsidR="00C01C7A">
        <w:rPr>
          <w:rFonts w:ascii="Times New Roman" w:hAnsi="Times New Roman"/>
          <w:sz w:val="24"/>
          <w:szCs w:val="24"/>
        </w:rPr>
        <w:t xml:space="preserve"> relevant to the</w:t>
      </w:r>
      <w:r w:rsidR="005679C0">
        <w:rPr>
          <w:rFonts w:ascii="Times New Roman" w:hAnsi="Times New Roman"/>
          <w:sz w:val="24"/>
          <w:szCs w:val="24"/>
        </w:rPr>
        <w:t xml:space="preserve"> study</w:t>
      </w:r>
      <w:r w:rsidR="00C01C7A">
        <w:rPr>
          <w:rFonts w:ascii="Times New Roman" w:hAnsi="Times New Roman"/>
          <w:sz w:val="24"/>
          <w:szCs w:val="24"/>
        </w:rPr>
        <w:t xml:space="preserve">, all </w:t>
      </w:r>
      <w:r w:rsidRPr="00C87830" w:rsidR="00C01C7A">
        <w:rPr>
          <w:rFonts w:ascii="Times New Roman" w:hAnsi="Times New Roman"/>
          <w:sz w:val="24"/>
          <w:szCs w:val="24"/>
        </w:rPr>
        <w:t xml:space="preserve">information </w:t>
      </w:r>
      <w:r w:rsidR="003B771B">
        <w:rPr>
          <w:rFonts w:ascii="Times New Roman" w:hAnsi="Times New Roman"/>
          <w:sz w:val="24"/>
          <w:szCs w:val="24"/>
        </w:rPr>
        <w:t>collecti</w:t>
      </w:r>
      <w:r w:rsidR="00C01C7A">
        <w:rPr>
          <w:rFonts w:ascii="Times New Roman" w:hAnsi="Times New Roman"/>
          <w:sz w:val="24"/>
          <w:szCs w:val="24"/>
        </w:rPr>
        <w:t>o</w:t>
      </w:r>
      <w:r w:rsidR="003B771B">
        <w:rPr>
          <w:rFonts w:ascii="Times New Roman" w:hAnsi="Times New Roman"/>
          <w:sz w:val="24"/>
          <w:szCs w:val="24"/>
        </w:rPr>
        <w:t>n</w:t>
      </w:r>
      <w:r w:rsidR="00C01C7A">
        <w:rPr>
          <w:rFonts w:ascii="Times New Roman" w:hAnsi="Times New Roman"/>
          <w:sz w:val="24"/>
          <w:szCs w:val="24"/>
        </w:rPr>
        <w:t xml:space="preserve"> </w:t>
      </w:r>
      <w:r w:rsidRPr="00C87830" w:rsidR="00C01C7A">
        <w:rPr>
          <w:rFonts w:ascii="Times New Roman" w:hAnsi="Times New Roman"/>
          <w:sz w:val="24"/>
          <w:szCs w:val="24"/>
        </w:rPr>
        <w:t>on race</w:t>
      </w:r>
      <w:r w:rsidR="00E00D5C">
        <w:rPr>
          <w:rFonts w:ascii="Times New Roman" w:hAnsi="Times New Roman"/>
          <w:sz w:val="24"/>
          <w:szCs w:val="24"/>
        </w:rPr>
        <w:t xml:space="preserve"> or </w:t>
      </w:r>
      <w:r w:rsidRPr="00C87830" w:rsidR="00C01C7A">
        <w:rPr>
          <w:rFonts w:ascii="Times New Roman" w:hAnsi="Times New Roman"/>
          <w:sz w:val="24"/>
          <w:szCs w:val="24"/>
        </w:rPr>
        <w:t>ethnicity will comply fully with the standards of OMB Statistical Policy Directive No. 15, October 1997</w:t>
      </w:r>
      <w:r w:rsidR="00942B65">
        <w:rPr>
          <w:rFonts w:ascii="Times New Roman" w:hAnsi="Times New Roman"/>
          <w:sz w:val="24"/>
          <w:szCs w:val="24"/>
        </w:rPr>
        <w:t xml:space="preserve">. </w:t>
      </w:r>
      <w:r w:rsidRPr="00C87830" w:rsidR="00C01C7A">
        <w:rPr>
          <w:rFonts w:ascii="Times New Roman" w:hAnsi="Times New Roman"/>
          <w:sz w:val="24"/>
          <w:szCs w:val="24"/>
        </w:rPr>
        <w:t xml:space="preserve"> </w:t>
      </w:r>
      <w:r w:rsidR="00C01C7A">
        <w:rPr>
          <w:rFonts w:ascii="Times New Roman" w:hAnsi="Times New Roman"/>
          <w:sz w:val="24"/>
          <w:szCs w:val="24"/>
        </w:rPr>
        <w:t xml:space="preserve">Respondents </w:t>
      </w:r>
      <w:r w:rsidRPr="00C87830" w:rsidR="009408DD">
        <w:rPr>
          <w:rFonts w:ascii="Times New Roman" w:hAnsi="Times New Roman"/>
          <w:sz w:val="24"/>
          <w:szCs w:val="24"/>
        </w:rPr>
        <w:t>will be</w:t>
      </w:r>
      <w:r w:rsidRPr="00C87830">
        <w:rPr>
          <w:rFonts w:ascii="Times New Roman" w:hAnsi="Times New Roman"/>
          <w:sz w:val="24"/>
          <w:szCs w:val="24"/>
        </w:rPr>
        <w:t xml:space="preserve"> informed that this is being done to make sure that FDA </w:t>
      </w:r>
      <w:r w:rsidR="00D0491D">
        <w:rPr>
          <w:rFonts w:ascii="Times New Roman" w:hAnsi="Times New Roman"/>
          <w:sz w:val="24"/>
          <w:szCs w:val="24"/>
        </w:rPr>
        <w:t>addresses</w:t>
      </w:r>
      <w:r w:rsidR="00C01C7A">
        <w:rPr>
          <w:rFonts w:ascii="Times New Roman" w:hAnsi="Times New Roman"/>
          <w:sz w:val="24"/>
          <w:szCs w:val="24"/>
        </w:rPr>
        <w:t xml:space="preserve"> the demographic population</w:t>
      </w:r>
      <w:r w:rsidRPr="00C87830">
        <w:rPr>
          <w:rFonts w:ascii="Times New Roman" w:hAnsi="Times New Roman"/>
          <w:sz w:val="24"/>
          <w:szCs w:val="24"/>
        </w:rPr>
        <w:t xml:space="preserve"> for whom its messages</w:t>
      </w:r>
      <w:r w:rsidR="00914F7E">
        <w:rPr>
          <w:rFonts w:ascii="Times New Roman" w:hAnsi="Times New Roman"/>
          <w:sz w:val="24"/>
          <w:szCs w:val="24"/>
        </w:rPr>
        <w:t>,</w:t>
      </w:r>
      <w:r w:rsidRPr="00C87830">
        <w:rPr>
          <w:rFonts w:ascii="Times New Roman" w:hAnsi="Times New Roman"/>
          <w:sz w:val="24"/>
          <w:szCs w:val="24"/>
        </w:rPr>
        <w:t xml:space="preserve"> intervention materials </w:t>
      </w:r>
      <w:r w:rsidR="00914F7E">
        <w:rPr>
          <w:rFonts w:ascii="Times New Roman" w:hAnsi="Times New Roman"/>
          <w:sz w:val="24"/>
          <w:szCs w:val="24"/>
        </w:rPr>
        <w:t xml:space="preserve">and research </w:t>
      </w:r>
      <w:r w:rsidRPr="00C87830">
        <w:rPr>
          <w:rFonts w:ascii="Times New Roman" w:hAnsi="Times New Roman"/>
          <w:sz w:val="24"/>
          <w:szCs w:val="24"/>
        </w:rPr>
        <w:t>are intended.</w:t>
      </w:r>
    </w:p>
    <w:p w:rsidRPr="00C87830" w:rsidR="007E45E6" w:rsidP="00C87830" w:rsidRDefault="007E45E6">
      <w:pPr>
        <w:pStyle w:val="NoSpacing"/>
        <w:rPr>
          <w:rFonts w:ascii="Times New Roman" w:hAnsi="Times New Roman"/>
          <w:sz w:val="24"/>
          <w:szCs w:val="24"/>
        </w:rPr>
      </w:pPr>
    </w:p>
    <w:p w:rsidRPr="00C87830" w:rsidR="007E45E6" w:rsidP="00C87830" w:rsidRDefault="003E6052">
      <w:pPr>
        <w:pStyle w:val="NoSpacing"/>
        <w:rPr>
          <w:rFonts w:ascii="Times New Roman" w:hAnsi="Times New Roman"/>
          <w:sz w:val="24"/>
          <w:szCs w:val="24"/>
        </w:rPr>
      </w:pPr>
      <w:r>
        <w:rPr>
          <w:rFonts w:ascii="Times New Roman" w:hAnsi="Times New Roman"/>
          <w:sz w:val="24"/>
          <w:szCs w:val="24"/>
        </w:rPr>
        <w:t>Additionally</w:t>
      </w:r>
      <w:r w:rsidR="00C01C7A">
        <w:rPr>
          <w:rFonts w:ascii="Times New Roman" w:hAnsi="Times New Roman"/>
          <w:sz w:val="24"/>
          <w:szCs w:val="24"/>
        </w:rPr>
        <w:t>, b</w:t>
      </w:r>
      <w:r w:rsidRPr="00C87830" w:rsidR="007E45E6">
        <w:rPr>
          <w:rFonts w:ascii="Times New Roman" w:hAnsi="Times New Roman"/>
          <w:sz w:val="24"/>
          <w:szCs w:val="24"/>
        </w:rPr>
        <w:t xml:space="preserve">ecause these data collections may be concerned with </w:t>
      </w:r>
      <w:r w:rsidR="00AF5BA8">
        <w:rPr>
          <w:rFonts w:ascii="Times New Roman" w:hAnsi="Times New Roman"/>
          <w:sz w:val="24"/>
          <w:szCs w:val="24"/>
        </w:rPr>
        <w:t xml:space="preserve">preventing drug </w:t>
      </w:r>
      <w:r w:rsidR="009D3EE7">
        <w:rPr>
          <w:rFonts w:ascii="Times New Roman" w:hAnsi="Times New Roman"/>
          <w:sz w:val="24"/>
          <w:szCs w:val="24"/>
        </w:rPr>
        <w:t>mis</w:t>
      </w:r>
      <w:r w:rsidR="00AF5BA8">
        <w:rPr>
          <w:rFonts w:ascii="Times New Roman" w:hAnsi="Times New Roman"/>
          <w:sz w:val="24"/>
          <w:szCs w:val="24"/>
        </w:rPr>
        <w:t>use</w:t>
      </w:r>
      <w:r w:rsidR="009D3EE7">
        <w:rPr>
          <w:rFonts w:ascii="Times New Roman" w:hAnsi="Times New Roman"/>
          <w:sz w:val="24"/>
          <w:szCs w:val="24"/>
        </w:rPr>
        <w:t>, drug abuse</w:t>
      </w:r>
      <w:r w:rsidR="00FD191C">
        <w:rPr>
          <w:rFonts w:ascii="Times New Roman" w:hAnsi="Times New Roman"/>
          <w:sz w:val="24"/>
          <w:szCs w:val="24"/>
        </w:rPr>
        <w:t>,</w:t>
      </w:r>
      <w:r w:rsidR="00AF5BA8">
        <w:rPr>
          <w:rFonts w:ascii="Times New Roman" w:hAnsi="Times New Roman"/>
          <w:sz w:val="24"/>
          <w:szCs w:val="24"/>
        </w:rPr>
        <w:t xml:space="preserve"> and other risky behavior</w:t>
      </w:r>
      <w:r w:rsidR="009D3EE7">
        <w:rPr>
          <w:rFonts w:ascii="Times New Roman" w:hAnsi="Times New Roman"/>
          <w:sz w:val="24"/>
          <w:szCs w:val="24"/>
        </w:rPr>
        <w:t>s exhibited</w:t>
      </w:r>
      <w:r w:rsidR="00AF5BA8">
        <w:rPr>
          <w:rFonts w:ascii="Times New Roman" w:hAnsi="Times New Roman"/>
          <w:sz w:val="24"/>
          <w:szCs w:val="24"/>
        </w:rPr>
        <w:t xml:space="preserve"> by consumers of FDA-regulated products</w:t>
      </w:r>
      <w:r w:rsidR="00C01C7A">
        <w:rPr>
          <w:rFonts w:ascii="Times New Roman" w:hAnsi="Times New Roman"/>
          <w:sz w:val="24"/>
          <w:szCs w:val="24"/>
        </w:rPr>
        <w:t>, some pr</w:t>
      </w:r>
      <w:r w:rsidRPr="00C87830" w:rsidR="007E45E6">
        <w:rPr>
          <w:rFonts w:ascii="Times New Roman" w:hAnsi="Times New Roman"/>
          <w:sz w:val="24"/>
          <w:szCs w:val="24"/>
        </w:rPr>
        <w:t>ojects may involve asking questions about (or discussing) how one perceives his</w:t>
      </w:r>
      <w:r w:rsidR="00AF5BA8">
        <w:rPr>
          <w:rFonts w:ascii="Times New Roman" w:hAnsi="Times New Roman"/>
          <w:sz w:val="24"/>
          <w:szCs w:val="24"/>
        </w:rPr>
        <w:t xml:space="preserve"> or </w:t>
      </w:r>
      <w:r w:rsidRPr="00C87830" w:rsidR="007E45E6">
        <w:rPr>
          <w:rFonts w:ascii="Times New Roman" w:hAnsi="Times New Roman"/>
          <w:sz w:val="24"/>
          <w:szCs w:val="24"/>
        </w:rPr>
        <w:t>her personal risk for serious illness</w:t>
      </w:r>
      <w:r w:rsidR="003B771B">
        <w:rPr>
          <w:rFonts w:ascii="Times New Roman" w:hAnsi="Times New Roman"/>
          <w:sz w:val="24"/>
          <w:szCs w:val="24"/>
        </w:rPr>
        <w:t>.  While t</w:t>
      </w:r>
      <w:r w:rsidRPr="00C87830" w:rsidR="007E45E6">
        <w:rPr>
          <w:rFonts w:ascii="Times New Roman" w:hAnsi="Times New Roman"/>
          <w:sz w:val="24"/>
          <w:szCs w:val="24"/>
        </w:rPr>
        <w:t xml:space="preserve">his information is needed to gain a better understanding of the target audience so that the </w:t>
      </w:r>
      <w:r w:rsidR="00914F7E">
        <w:rPr>
          <w:rFonts w:ascii="Times New Roman" w:hAnsi="Times New Roman"/>
          <w:sz w:val="24"/>
          <w:szCs w:val="24"/>
        </w:rPr>
        <w:t xml:space="preserve">research, </w:t>
      </w:r>
      <w:r w:rsidRPr="00C87830" w:rsidR="007E45E6">
        <w:rPr>
          <w:rFonts w:ascii="Times New Roman" w:hAnsi="Times New Roman"/>
          <w:sz w:val="24"/>
          <w:szCs w:val="24"/>
        </w:rPr>
        <w:t>messages, strategies, and materials designed will be appropriate</w:t>
      </w:r>
      <w:r w:rsidR="003B771B">
        <w:rPr>
          <w:rFonts w:ascii="Times New Roman" w:hAnsi="Times New Roman"/>
          <w:sz w:val="24"/>
          <w:szCs w:val="24"/>
        </w:rPr>
        <w:t xml:space="preserve">, </w:t>
      </w:r>
      <w:r w:rsidR="00C01C7A">
        <w:rPr>
          <w:rFonts w:ascii="Times New Roman" w:hAnsi="Times New Roman"/>
          <w:sz w:val="24"/>
          <w:szCs w:val="24"/>
        </w:rPr>
        <w:t>some respondents</w:t>
      </w:r>
      <w:r w:rsidR="005679C0">
        <w:rPr>
          <w:rFonts w:ascii="Times New Roman" w:hAnsi="Times New Roman"/>
          <w:sz w:val="24"/>
          <w:szCs w:val="24"/>
        </w:rPr>
        <w:t xml:space="preserve"> may consider these questions</w:t>
      </w:r>
      <w:r w:rsidR="00C01C7A">
        <w:rPr>
          <w:rFonts w:ascii="Times New Roman" w:hAnsi="Times New Roman"/>
          <w:sz w:val="24"/>
          <w:szCs w:val="24"/>
        </w:rPr>
        <w:t xml:space="preserve"> to be </w:t>
      </w:r>
      <w:r w:rsidRPr="00C87830" w:rsidR="007E45E6">
        <w:rPr>
          <w:rFonts w:ascii="Times New Roman" w:hAnsi="Times New Roman"/>
          <w:sz w:val="24"/>
          <w:szCs w:val="24"/>
        </w:rPr>
        <w:t xml:space="preserve">sensitive.  </w:t>
      </w:r>
      <w:r w:rsidR="00C01C7A">
        <w:rPr>
          <w:rFonts w:ascii="Times New Roman" w:hAnsi="Times New Roman"/>
          <w:sz w:val="24"/>
          <w:szCs w:val="24"/>
        </w:rPr>
        <w:t xml:space="preserve">The agency is mindful that such questions will </w:t>
      </w:r>
      <w:r w:rsidRPr="00C87830" w:rsidR="007E45E6">
        <w:rPr>
          <w:rFonts w:ascii="Times New Roman" w:hAnsi="Times New Roman"/>
          <w:sz w:val="24"/>
          <w:szCs w:val="24"/>
        </w:rPr>
        <w:t xml:space="preserve">require sensitivity in how they are worded and approached.  In face-to-face data collections, questions of this kind are generally asked later in the interview or group discussion, </w:t>
      </w:r>
      <w:r w:rsidR="00C01C7A">
        <w:rPr>
          <w:rFonts w:ascii="Times New Roman" w:hAnsi="Times New Roman"/>
          <w:sz w:val="24"/>
          <w:szCs w:val="24"/>
        </w:rPr>
        <w:t xml:space="preserve">as </w:t>
      </w:r>
      <w:r w:rsidRPr="00C87830" w:rsidR="007E45E6">
        <w:rPr>
          <w:rFonts w:ascii="Times New Roman" w:hAnsi="Times New Roman"/>
          <w:sz w:val="24"/>
          <w:szCs w:val="24"/>
        </w:rPr>
        <w:t xml:space="preserve">respondents </w:t>
      </w:r>
      <w:r w:rsidR="00C01C7A">
        <w:rPr>
          <w:rFonts w:ascii="Times New Roman" w:hAnsi="Times New Roman"/>
          <w:sz w:val="24"/>
          <w:szCs w:val="24"/>
        </w:rPr>
        <w:t xml:space="preserve">have grown </w:t>
      </w:r>
      <w:r w:rsidRPr="00C87830" w:rsidR="007E45E6">
        <w:rPr>
          <w:rFonts w:ascii="Times New Roman" w:hAnsi="Times New Roman"/>
          <w:sz w:val="24"/>
          <w:szCs w:val="24"/>
        </w:rPr>
        <w:t>more comfortable with the interview and more at ease with the interviewer/mo</w:t>
      </w:r>
      <w:r w:rsidR="003B771B">
        <w:rPr>
          <w:rFonts w:ascii="Times New Roman" w:hAnsi="Times New Roman"/>
          <w:sz w:val="24"/>
          <w:szCs w:val="24"/>
        </w:rPr>
        <w:t>derator.  As noted in Question 10</w:t>
      </w:r>
      <w:r w:rsidRPr="00C87830" w:rsidR="007E45E6">
        <w:rPr>
          <w:rFonts w:ascii="Times New Roman" w:hAnsi="Times New Roman"/>
          <w:sz w:val="24"/>
          <w:szCs w:val="24"/>
        </w:rPr>
        <w:t xml:space="preserve">, participants </w:t>
      </w:r>
      <w:r w:rsidRPr="00C87830" w:rsidR="009408DD">
        <w:rPr>
          <w:rFonts w:ascii="Times New Roman" w:hAnsi="Times New Roman"/>
          <w:sz w:val="24"/>
          <w:szCs w:val="24"/>
        </w:rPr>
        <w:t>will be</w:t>
      </w:r>
      <w:r w:rsidRPr="00C87830" w:rsidR="007E45E6">
        <w:rPr>
          <w:rFonts w:ascii="Times New Roman" w:hAnsi="Times New Roman"/>
          <w:sz w:val="24"/>
          <w:szCs w:val="24"/>
        </w:rPr>
        <w:t xml:space="preserve"> informed prior to</w:t>
      </w:r>
      <w:r w:rsidR="006B6E52">
        <w:rPr>
          <w:rFonts w:ascii="Times New Roman" w:hAnsi="Times New Roman"/>
          <w:sz w:val="24"/>
          <w:szCs w:val="24"/>
        </w:rPr>
        <w:t xml:space="preserve"> their</w:t>
      </w:r>
      <w:r w:rsidRPr="00C87830" w:rsidR="007E45E6">
        <w:rPr>
          <w:rFonts w:ascii="Times New Roman" w:hAnsi="Times New Roman"/>
          <w:sz w:val="24"/>
          <w:szCs w:val="24"/>
        </w:rPr>
        <w:t xml:space="preserve"> participation about the nature of the </w:t>
      </w:r>
      <w:r w:rsidR="006B6E52">
        <w:rPr>
          <w:rFonts w:ascii="Times New Roman" w:hAnsi="Times New Roman"/>
          <w:sz w:val="24"/>
          <w:szCs w:val="24"/>
        </w:rPr>
        <w:t xml:space="preserve">research </w:t>
      </w:r>
      <w:r w:rsidRPr="00C87830" w:rsidR="007E45E6">
        <w:rPr>
          <w:rFonts w:ascii="Times New Roman" w:hAnsi="Times New Roman"/>
          <w:sz w:val="24"/>
          <w:szCs w:val="24"/>
        </w:rPr>
        <w:t xml:space="preserve">and the voluntary nature of their participation.  </w:t>
      </w:r>
    </w:p>
    <w:p w:rsidRPr="00C87830" w:rsidR="007E45E6" w:rsidP="00C87830" w:rsidRDefault="007E45E6">
      <w:pPr>
        <w:pStyle w:val="NoSpacing"/>
        <w:rPr>
          <w:rFonts w:ascii="Times New Roman" w:hAnsi="Times New Roman"/>
          <w:sz w:val="24"/>
          <w:szCs w:val="24"/>
        </w:rPr>
      </w:pPr>
    </w:p>
    <w:p w:rsidR="007E45E6" w:rsidP="00C87830" w:rsidRDefault="006B6E52">
      <w:pPr>
        <w:pStyle w:val="NoSpacing"/>
        <w:rPr>
          <w:rFonts w:ascii="Times New Roman" w:hAnsi="Times New Roman"/>
          <w:sz w:val="24"/>
          <w:szCs w:val="24"/>
        </w:rPr>
      </w:pPr>
      <w:r>
        <w:rPr>
          <w:rFonts w:ascii="Times New Roman" w:hAnsi="Times New Roman"/>
          <w:sz w:val="24"/>
          <w:szCs w:val="24"/>
        </w:rPr>
        <w:t>Finally, r</w:t>
      </w:r>
      <w:r w:rsidRPr="00C87830" w:rsidR="007E45E6">
        <w:rPr>
          <w:rFonts w:ascii="Times New Roman" w:hAnsi="Times New Roman"/>
          <w:sz w:val="24"/>
          <w:szCs w:val="24"/>
        </w:rPr>
        <w:t xml:space="preserve">aw data from data collections that may include sensitive information (for example, screening questionnaires) </w:t>
      </w:r>
      <w:r w:rsidRPr="00C87830" w:rsidR="008A2581">
        <w:rPr>
          <w:rFonts w:ascii="Times New Roman" w:hAnsi="Times New Roman"/>
          <w:sz w:val="24"/>
          <w:szCs w:val="24"/>
        </w:rPr>
        <w:t>will</w:t>
      </w:r>
      <w:r w:rsidRPr="00C87830" w:rsidR="007E45E6">
        <w:rPr>
          <w:rFonts w:ascii="Times New Roman" w:hAnsi="Times New Roman"/>
          <w:sz w:val="24"/>
          <w:szCs w:val="24"/>
        </w:rPr>
        <w:t xml:space="preserve"> not</w:t>
      </w:r>
      <w:r w:rsidRPr="00C87830" w:rsidR="008A2581">
        <w:rPr>
          <w:rFonts w:ascii="Times New Roman" w:hAnsi="Times New Roman"/>
          <w:sz w:val="24"/>
          <w:szCs w:val="24"/>
        </w:rPr>
        <w:t xml:space="preserve"> be</w:t>
      </w:r>
      <w:r w:rsidRPr="00C87830" w:rsidR="007E45E6">
        <w:rPr>
          <w:rFonts w:ascii="Times New Roman" w:hAnsi="Times New Roman"/>
          <w:sz w:val="24"/>
          <w:szCs w:val="24"/>
        </w:rPr>
        <w:t xml:space="preserve"> retained once </w:t>
      </w:r>
      <w:r>
        <w:rPr>
          <w:rFonts w:ascii="Times New Roman" w:hAnsi="Times New Roman"/>
          <w:sz w:val="24"/>
          <w:szCs w:val="24"/>
        </w:rPr>
        <w:t xml:space="preserve">the </w:t>
      </w:r>
      <w:r w:rsidRPr="00C87830" w:rsidR="007E45E6">
        <w:rPr>
          <w:rFonts w:ascii="Times New Roman" w:hAnsi="Times New Roman"/>
          <w:sz w:val="24"/>
          <w:szCs w:val="24"/>
        </w:rPr>
        <w:t xml:space="preserve">data have been extracted and aggregated.  The information never becomes part of a system of records containing permanent identifiers that </w:t>
      </w:r>
      <w:r w:rsidR="00575FF8">
        <w:rPr>
          <w:rFonts w:ascii="Times New Roman" w:hAnsi="Times New Roman"/>
          <w:sz w:val="24"/>
          <w:szCs w:val="24"/>
        </w:rPr>
        <w:t>could</w:t>
      </w:r>
      <w:r w:rsidRPr="00C87830" w:rsidR="007E45E6">
        <w:rPr>
          <w:rFonts w:ascii="Times New Roman" w:hAnsi="Times New Roman"/>
          <w:sz w:val="24"/>
          <w:szCs w:val="24"/>
        </w:rPr>
        <w:t xml:space="preserve"> be used </w:t>
      </w:r>
      <w:r w:rsidR="00575FF8">
        <w:rPr>
          <w:rFonts w:ascii="Times New Roman" w:hAnsi="Times New Roman"/>
          <w:sz w:val="24"/>
          <w:szCs w:val="24"/>
        </w:rPr>
        <w:t>to identify participants</w:t>
      </w:r>
      <w:r w:rsidRPr="00C87830" w:rsidR="007E45E6">
        <w:rPr>
          <w:rFonts w:ascii="Times New Roman" w:hAnsi="Times New Roman"/>
          <w:sz w:val="24"/>
          <w:szCs w:val="24"/>
        </w:rPr>
        <w:t>.</w:t>
      </w:r>
    </w:p>
    <w:p w:rsidR="000941C2" w:rsidP="00C87830" w:rsidRDefault="000941C2">
      <w:pPr>
        <w:pStyle w:val="NoSpacing"/>
        <w:rPr>
          <w:rFonts w:ascii="Times New Roman" w:hAnsi="Times New Roman"/>
          <w:sz w:val="24"/>
          <w:szCs w:val="24"/>
        </w:rPr>
      </w:pPr>
    </w:p>
    <w:p w:rsidR="000941C2" w:rsidP="00C87830" w:rsidRDefault="000941C2">
      <w:pPr>
        <w:pStyle w:val="NoSpacing"/>
        <w:rPr>
          <w:rFonts w:ascii="Times New Roman" w:hAnsi="Times New Roman"/>
          <w:sz w:val="24"/>
          <w:szCs w:val="24"/>
        </w:rPr>
      </w:pPr>
    </w:p>
    <w:p w:rsidR="000941C2" w:rsidP="00C87830" w:rsidRDefault="000941C2">
      <w:pPr>
        <w:pStyle w:val="NoSpacing"/>
        <w:rPr>
          <w:rFonts w:ascii="Times New Roman" w:hAnsi="Times New Roman"/>
          <w:sz w:val="24"/>
          <w:szCs w:val="24"/>
        </w:rPr>
      </w:pPr>
    </w:p>
    <w:p w:rsidR="00030CB5" w:rsidP="00C87830" w:rsidRDefault="00030CB5">
      <w:pPr>
        <w:pStyle w:val="NoSpacing"/>
        <w:rPr>
          <w:rFonts w:ascii="Times New Roman" w:hAnsi="Times New Roman"/>
          <w:sz w:val="24"/>
          <w:szCs w:val="24"/>
        </w:rPr>
      </w:pPr>
    </w:p>
    <w:p w:rsidR="00030CB5" w:rsidP="00C87830" w:rsidRDefault="00030CB5">
      <w:pPr>
        <w:pStyle w:val="NoSpacing"/>
        <w:rPr>
          <w:rFonts w:ascii="Times New Roman" w:hAnsi="Times New Roman"/>
          <w:sz w:val="24"/>
          <w:szCs w:val="24"/>
        </w:rPr>
      </w:pPr>
    </w:p>
    <w:p w:rsidRPr="00C87830" w:rsidR="00030CB5" w:rsidP="00C87830" w:rsidRDefault="00030CB5">
      <w:pPr>
        <w:pStyle w:val="NoSpacing"/>
        <w:rPr>
          <w:rFonts w:ascii="Times New Roman" w:hAnsi="Times New Roman"/>
          <w:sz w:val="24"/>
          <w:szCs w:val="24"/>
        </w:rPr>
      </w:pPr>
    </w:p>
    <w:p w:rsidRPr="00C87830" w:rsidR="00F71F93" w:rsidP="00C87830" w:rsidRDefault="00F71F93">
      <w:pPr>
        <w:pStyle w:val="NoSpacing"/>
        <w:rPr>
          <w:rFonts w:ascii="Times New Roman" w:hAnsi="Times New Roman"/>
          <w:sz w:val="24"/>
          <w:szCs w:val="24"/>
        </w:rPr>
      </w:pPr>
    </w:p>
    <w:p w:rsidR="000B175A" w:rsidP="00C87830" w:rsidRDefault="000B175A">
      <w:pPr>
        <w:pStyle w:val="NoSpacing"/>
        <w:rPr>
          <w:rFonts w:ascii="Times New Roman" w:hAnsi="Times New Roman"/>
          <w:sz w:val="24"/>
          <w:szCs w:val="24"/>
        </w:rPr>
      </w:pPr>
      <w:bookmarkStart w:name="_Toc239649233" w:id="23"/>
      <w:bookmarkStart w:name="_Toc276963634" w:id="24"/>
      <w:r w:rsidRPr="00C87830">
        <w:rPr>
          <w:rFonts w:ascii="Times New Roman" w:hAnsi="Times New Roman"/>
          <w:sz w:val="24"/>
          <w:szCs w:val="24"/>
        </w:rPr>
        <w:t>12.</w:t>
      </w:r>
      <w:bookmarkEnd w:id="23"/>
      <w:r w:rsidRPr="00C87830">
        <w:rPr>
          <w:rFonts w:ascii="Times New Roman" w:hAnsi="Times New Roman"/>
          <w:sz w:val="24"/>
          <w:szCs w:val="24"/>
        </w:rPr>
        <w:t xml:space="preserve">  </w:t>
      </w:r>
      <w:r w:rsidRPr="00F94CCB">
        <w:rPr>
          <w:rFonts w:ascii="Times New Roman" w:hAnsi="Times New Roman"/>
          <w:sz w:val="24"/>
          <w:szCs w:val="24"/>
          <w:u w:val="single"/>
        </w:rPr>
        <w:t>Estimates of Annualized Burden Hours and Costs</w:t>
      </w:r>
      <w:bookmarkEnd w:id="24"/>
    </w:p>
    <w:p w:rsidR="00F94CCB" w:rsidP="00C87830" w:rsidRDefault="00F94CCB">
      <w:pPr>
        <w:pStyle w:val="NoSpacing"/>
        <w:rPr>
          <w:rFonts w:ascii="Times New Roman" w:hAnsi="Times New Roman"/>
          <w:sz w:val="24"/>
          <w:szCs w:val="24"/>
        </w:rPr>
      </w:pPr>
    </w:p>
    <w:p w:rsidRPr="00F94CCB" w:rsidR="00F94CCB" w:rsidP="00C87830" w:rsidRDefault="00F94CCB">
      <w:pPr>
        <w:pStyle w:val="NoSpacing"/>
        <w:rPr>
          <w:rFonts w:ascii="Times New Roman" w:hAnsi="Times New Roman"/>
          <w:i/>
          <w:sz w:val="24"/>
          <w:szCs w:val="24"/>
        </w:rPr>
      </w:pPr>
      <w:r>
        <w:rPr>
          <w:rFonts w:ascii="Times New Roman" w:hAnsi="Times New Roman"/>
          <w:sz w:val="24"/>
          <w:szCs w:val="24"/>
        </w:rPr>
        <w:tab/>
      </w:r>
      <w:r w:rsidRPr="00F94CCB">
        <w:rPr>
          <w:rFonts w:ascii="Times New Roman" w:hAnsi="Times New Roman"/>
          <w:i/>
          <w:sz w:val="24"/>
          <w:szCs w:val="24"/>
        </w:rPr>
        <w:t xml:space="preserve">12a.  </w:t>
      </w:r>
      <w:r w:rsidRPr="00A6309B">
        <w:rPr>
          <w:rFonts w:ascii="Times New Roman" w:hAnsi="Times New Roman"/>
          <w:sz w:val="24"/>
          <w:szCs w:val="24"/>
        </w:rPr>
        <w:t>Annualized Hour Burden</w:t>
      </w:r>
      <w:r w:rsidR="00323D50">
        <w:rPr>
          <w:rFonts w:ascii="Times New Roman" w:hAnsi="Times New Roman"/>
          <w:sz w:val="24"/>
          <w:szCs w:val="24"/>
        </w:rPr>
        <w:t xml:space="preserve"> Estimate</w:t>
      </w:r>
    </w:p>
    <w:p w:rsidR="00F94CCB" w:rsidP="00C87830" w:rsidRDefault="00F94CCB">
      <w:pPr>
        <w:pStyle w:val="NoSpacing"/>
        <w:rPr>
          <w:rFonts w:ascii="Times New Roman" w:hAnsi="Times New Roman"/>
          <w:sz w:val="24"/>
          <w:szCs w:val="24"/>
        </w:rPr>
      </w:pPr>
    </w:p>
    <w:p w:rsidR="000B175A" w:rsidP="00A6309B" w:rsidRDefault="007E62BF">
      <w:pPr>
        <w:pStyle w:val="NoSpacing"/>
        <w:rPr>
          <w:rFonts w:ascii="Times New Roman" w:hAnsi="Times New Roman"/>
          <w:sz w:val="24"/>
          <w:szCs w:val="24"/>
        </w:rPr>
      </w:pPr>
      <w:r>
        <w:rPr>
          <w:rFonts w:ascii="Times New Roman" w:hAnsi="Times New Roman"/>
          <w:sz w:val="24"/>
          <w:szCs w:val="24"/>
        </w:rPr>
        <w:t>FDA estimates the total reporting burden for the information collection to be 9,198 hours.  Respondents to the collection are primarily</w:t>
      </w:r>
      <w:r w:rsidR="005965C2">
        <w:rPr>
          <w:rFonts w:ascii="Times New Roman" w:hAnsi="Times New Roman"/>
          <w:sz w:val="24"/>
          <w:szCs w:val="24"/>
        </w:rPr>
        <w:t xml:space="preserve"> </w:t>
      </w:r>
      <w:r w:rsidR="00D0491D">
        <w:rPr>
          <w:rFonts w:ascii="Times New Roman" w:hAnsi="Times New Roman"/>
          <w:sz w:val="24"/>
          <w:szCs w:val="24"/>
        </w:rPr>
        <w:t xml:space="preserve">general population </w:t>
      </w:r>
      <w:r>
        <w:rPr>
          <w:rFonts w:ascii="Times New Roman" w:hAnsi="Times New Roman"/>
          <w:sz w:val="24"/>
          <w:szCs w:val="24"/>
        </w:rPr>
        <w:t>individuals</w:t>
      </w:r>
      <w:r w:rsidR="00205392">
        <w:rPr>
          <w:rFonts w:ascii="Times New Roman" w:hAnsi="Times New Roman"/>
          <w:sz w:val="24"/>
          <w:szCs w:val="24"/>
        </w:rPr>
        <w:t xml:space="preserve">, </w:t>
      </w:r>
      <w:r w:rsidR="00D0491D">
        <w:rPr>
          <w:rFonts w:ascii="Times New Roman" w:hAnsi="Times New Roman"/>
          <w:sz w:val="24"/>
          <w:szCs w:val="24"/>
        </w:rPr>
        <w:t xml:space="preserve">as well as </w:t>
      </w:r>
      <w:r w:rsidR="00CF192F">
        <w:rPr>
          <w:rFonts w:ascii="Times New Roman" w:hAnsi="Times New Roman"/>
          <w:sz w:val="24"/>
          <w:szCs w:val="24"/>
        </w:rPr>
        <w:t xml:space="preserve">consumers of certain products, patients and </w:t>
      </w:r>
      <w:r w:rsidR="00914F7E">
        <w:rPr>
          <w:rFonts w:ascii="Times New Roman" w:hAnsi="Times New Roman"/>
          <w:sz w:val="24"/>
          <w:szCs w:val="24"/>
        </w:rPr>
        <w:t xml:space="preserve">their caregivers, academic/scientific experts, </w:t>
      </w:r>
      <w:r w:rsidR="00D0491D">
        <w:rPr>
          <w:rFonts w:ascii="Times New Roman" w:hAnsi="Times New Roman"/>
          <w:sz w:val="24"/>
          <w:szCs w:val="24"/>
        </w:rPr>
        <w:t xml:space="preserve">individuals </w:t>
      </w:r>
      <w:r>
        <w:rPr>
          <w:rFonts w:ascii="Times New Roman" w:hAnsi="Times New Roman"/>
          <w:sz w:val="24"/>
          <w:szCs w:val="24"/>
        </w:rPr>
        <w:t>from specific target labor groups such as physicians, medical specialists</w:t>
      </w:r>
      <w:r w:rsidR="00205392">
        <w:rPr>
          <w:rFonts w:ascii="Times New Roman" w:hAnsi="Times New Roman"/>
          <w:sz w:val="24"/>
          <w:szCs w:val="24"/>
        </w:rPr>
        <w:t xml:space="preserve">, </w:t>
      </w:r>
      <w:r w:rsidR="00914F7E">
        <w:rPr>
          <w:rFonts w:ascii="Times New Roman" w:hAnsi="Times New Roman"/>
          <w:sz w:val="24"/>
          <w:szCs w:val="24"/>
        </w:rPr>
        <w:t xml:space="preserve">pharmacists, dentists, nurses, </w:t>
      </w:r>
      <w:r w:rsidR="00575FF8">
        <w:rPr>
          <w:rFonts w:ascii="Times New Roman" w:hAnsi="Times New Roman"/>
          <w:sz w:val="24"/>
          <w:szCs w:val="24"/>
        </w:rPr>
        <w:t xml:space="preserve">veterinarians, </w:t>
      </w:r>
      <w:r w:rsidR="00CF192F">
        <w:rPr>
          <w:rFonts w:ascii="Times New Roman" w:hAnsi="Times New Roman"/>
          <w:sz w:val="24"/>
          <w:szCs w:val="24"/>
        </w:rPr>
        <w:t xml:space="preserve">dietitians </w:t>
      </w:r>
      <w:r w:rsidR="00205392">
        <w:rPr>
          <w:rFonts w:ascii="Times New Roman" w:hAnsi="Times New Roman"/>
          <w:sz w:val="24"/>
          <w:szCs w:val="24"/>
        </w:rPr>
        <w:t>and other</w:t>
      </w:r>
      <w:r w:rsidR="00575FF8">
        <w:rPr>
          <w:rFonts w:ascii="Times New Roman" w:hAnsi="Times New Roman"/>
          <w:sz w:val="24"/>
          <w:szCs w:val="24"/>
        </w:rPr>
        <w:t xml:space="preserve"> public</w:t>
      </w:r>
      <w:r w:rsidR="00205392">
        <w:rPr>
          <w:rFonts w:ascii="Times New Roman" w:hAnsi="Times New Roman"/>
          <w:sz w:val="24"/>
          <w:szCs w:val="24"/>
        </w:rPr>
        <w:t xml:space="preserve"> health professionals.  </w:t>
      </w:r>
      <w:r w:rsidRPr="00C87830" w:rsidR="000B175A">
        <w:rPr>
          <w:rFonts w:ascii="Times New Roman" w:hAnsi="Times New Roman"/>
          <w:sz w:val="24"/>
          <w:szCs w:val="24"/>
        </w:rPr>
        <w:t>Proposed data collection methodologies are described in more detail in</w:t>
      </w:r>
      <w:r w:rsidR="00205392">
        <w:rPr>
          <w:rFonts w:ascii="Times New Roman" w:hAnsi="Times New Roman"/>
          <w:sz w:val="24"/>
          <w:szCs w:val="24"/>
        </w:rPr>
        <w:t xml:space="preserve"> the agency’s Supporting Statement –Part </w:t>
      </w:r>
      <w:r w:rsidRPr="00C87830" w:rsidR="000B175A">
        <w:rPr>
          <w:rFonts w:ascii="Times New Roman" w:hAnsi="Times New Roman"/>
          <w:sz w:val="24"/>
          <w:szCs w:val="24"/>
        </w:rPr>
        <w:t>B.</w:t>
      </w:r>
    </w:p>
    <w:p w:rsidRPr="00C87830" w:rsidR="00F94CCB" w:rsidP="00C87830" w:rsidRDefault="00F94CCB">
      <w:pPr>
        <w:pStyle w:val="NoSpacing"/>
        <w:rPr>
          <w:rFonts w:ascii="Times New Roman" w:hAnsi="Times New Roman"/>
          <w:sz w:val="24"/>
          <w:szCs w:val="24"/>
        </w:rPr>
      </w:pPr>
    </w:p>
    <w:tbl>
      <w:tblPr>
        <w:tblW w:w="9450" w:type="dxa"/>
        <w:tblInd w:w="15" w:type="dxa"/>
        <w:tblCellMar>
          <w:left w:w="0" w:type="dxa"/>
          <w:right w:w="0" w:type="dxa"/>
        </w:tblCellMar>
        <w:tblLook w:val="04A0" w:firstRow="1" w:lastRow="0" w:firstColumn="1" w:lastColumn="0" w:noHBand="0" w:noVBand="1"/>
      </w:tblPr>
      <w:tblGrid>
        <w:gridCol w:w="1890"/>
        <w:gridCol w:w="1260"/>
        <w:gridCol w:w="1710"/>
        <w:gridCol w:w="1710"/>
        <w:gridCol w:w="1890"/>
        <w:gridCol w:w="990"/>
      </w:tblGrid>
      <w:tr w:rsidRPr="00C87830" w:rsidR="00D16D71" w:rsidTr="00F20EF3">
        <w:trPr>
          <w:trHeight w:val="315"/>
        </w:trPr>
        <w:tc>
          <w:tcPr>
            <w:tcW w:w="9450" w:type="dxa"/>
            <w:gridSpan w:val="6"/>
            <w:tcBorders>
              <w:top w:val="single" w:color="auto" w:sz="8" w:space="0"/>
              <w:left w:val="single" w:color="auto" w:sz="8" w:space="0"/>
              <w:bottom w:val="single" w:color="auto" w:sz="8" w:space="0"/>
              <w:right w:val="single" w:color="auto" w:sz="8" w:space="0"/>
            </w:tcBorders>
            <w:shd w:val="clear" w:color="auto" w:fill="D9D9D9"/>
            <w:noWrap/>
            <w:tcMar>
              <w:top w:w="15" w:type="dxa"/>
              <w:left w:w="15" w:type="dxa"/>
              <w:bottom w:w="0" w:type="dxa"/>
              <w:right w:w="15" w:type="dxa"/>
            </w:tcMar>
            <w:vAlign w:val="bottom"/>
          </w:tcPr>
          <w:p w:rsidRPr="00D16D71" w:rsidR="00D16D71" w:rsidP="00D16D71" w:rsidRDefault="00D16D71">
            <w:pPr>
              <w:pStyle w:val="NoSpacing"/>
              <w:jc w:val="center"/>
              <w:rPr>
                <w:rFonts w:ascii="Times New Roman" w:hAnsi="Times New Roman"/>
                <w:sz w:val="23"/>
                <w:szCs w:val="23"/>
              </w:rPr>
            </w:pPr>
            <w:r w:rsidRPr="00D16D71">
              <w:rPr>
                <w:rFonts w:ascii="Times New Roman" w:hAnsi="Times New Roman"/>
                <w:sz w:val="23"/>
                <w:szCs w:val="23"/>
              </w:rPr>
              <w:t>Table 1. Estimated Annual Reporting Bu</w:t>
            </w:r>
            <w:r>
              <w:rPr>
                <w:rFonts w:ascii="Times New Roman" w:hAnsi="Times New Roman"/>
                <w:sz w:val="23"/>
                <w:szCs w:val="23"/>
              </w:rPr>
              <w:t>rden</w:t>
            </w:r>
            <w:r w:rsidRPr="00A6309B" w:rsidR="008D276C">
              <w:rPr>
                <w:rFonts w:ascii="Times New Roman" w:hAnsi="Times New Roman"/>
                <w:sz w:val="23"/>
                <w:szCs w:val="23"/>
                <w:vertAlign w:val="superscript"/>
              </w:rPr>
              <w:t>1</w:t>
            </w:r>
          </w:p>
        </w:tc>
      </w:tr>
      <w:tr w:rsidRPr="00C87830" w:rsidR="00D16D71" w:rsidTr="00D16D71">
        <w:trPr>
          <w:trHeight w:val="538"/>
        </w:trPr>
        <w:tc>
          <w:tcPr>
            <w:tcW w:w="1890" w:type="dxa"/>
            <w:tcBorders>
              <w:top w:val="nil"/>
              <w:left w:val="single" w:color="auto" w:sz="8" w:space="0"/>
              <w:bottom w:val="single" w:color="auto" w:sz="8" w:space="0"/>
              <w:right w:val="single" w:color="auto" w:sz="8" w:space="0"/>
            </w:tcBorders>
            <w:tcMar>
              <w:top w:w="15" w:type="dxa"/>
              <w:left w:w="15" w:type="dxa"/>
              <w:bottom w:w="0" w:type="dxa"/>
              <w:right w:w="15" w:type="dxa"/>
            </w:tcMar>
          </w:tcPr>
          <w:p w:rsidRPr="00D16D71" w:rsidR="000B175A" w:rsidP="00D16D71" w:rsidRDefault="00D16D71">
            <w:pPr>
              <w:pStyle w:val="NoSpacing"/>
              <w:jc w:val="center"/>
              <w:rPr>
                <w:rFonts w:ascii="Times New Roman" w:hAnsi="Times New Roman"/>
              </w:rPr>
            </w:pPr>
            <w:r>
              <w:rPr>
                <w:rFonts w:ascii="Times New Roman" w:hAnsi="Times New Roman"/>
              </w:rPr>
              <w:t>Activity</w:t>
            </w:r>
          </w:p>
        </w:tc>
        <w:tc>
          <w:tcPr>
            <w:tcW w:w="1260" w:type="dxa"/>
            <w:tcBorders>
              <w:top w:val="nil"/>
              <w:left w:val="single" w:color="auto" w:sz="8" w:space="0"/>
              <w:bottom w:val="single" w:color="auto" w:sz="8" w:space="0"/>
              <w:right w:val="single" w:color="auto" w:sz="8" w:space="0"/>
            </w:tcBorders>
            <w:hideMark/>
          </w:tcPr>
          <w:p w:rsidRPr="00F94CCB" w:rsidR="000B175A" w:rsidP="00D16D71" w:rsidRDefault="00D16D71">
            <w:pPr>
              <w:pStyle w:val="NoSpacing"/>
              <w:jc w:val="center"/>
              <w:rPr>
                <w:rFonts w:ascii="Times New Roman" w:hAnsi="Times New Roman"/>
              </w:rPr>
            </w:pPr>
            <w:r>
              <w:rPr>
                <w:rFonts w:ascii="Times New Roman" w:hAnsi="Times New Roman"/>
              </w:rPr>
              <w:t xml:space="preserve">No. </w:t>
            </w:r>
            <w:r w:rsidRPr="00F94CCB" w:rsidR="000B175A">
              <w:rPr>
                <w:rFonts w:ascii="Times New Roman" w:hAnsi="Times New Roman"/>
              </w:rPr>
              <w:t>of Respondents</w:t>
            </w:r>
          </w:p>
        </w:tc>
        <w:tc>
          <w:tcPr>
            <w:tcW w:w="1710" w:type="dxa"/>
            <w:tcBorders>
              <w:top w:val="nil"/>
              <w:left w:val="single" w:color="auto" w:sz="8" w:space="0"/>
              <w:bottom w:val="single" w:color="auto" w:sz="8" w:space="0"/>
              <w:right w:val="single" w:color="auto" w:sz="8" w:space="0"/>
            </w:tcBorders>
            <w:tcMar>
              <w:top w:w="15" w:type="dxa"/>
              <w:left w:w="15" w:type="dxa"/>
              <w:bottom w:w="0" w:type="dxa"/>
              <w:right w:w="15" w:type="dxa"/>
            </w:tcMar>
          </w:tcPr>
          <w:p w:rsidRPr="00F94CCB" w:rsidR="000B175A" w:rsidP="00D16D71" w:rsidRDefault="000B175A">
            <w:pPr>
              <w:pStyle w:val="NoSpacing"/>
              <w:jc w:val="center"/>
              <w:rPr>
                <w:rFonts w:ascii="Times New Roman" w:hAnsi="Times New Roman"/>
              </w:rPr>
            </w:pPr>
            <w:r w:rsidRPr="00F94CCB">
              <w:rPr>
                <w:rFonts w:ascii="Times New Roman" w:hAnsi="Times New Roman"/>
              </w:rPr>
              <w:t>No. of Responses per Respondent</w:t>
            </w:r>
          </w:p>
          <w:p w:rsidRPr="00F94CCB" w:rsidR="000B175A" w:rsidP="00D16D71" w:rsidRDefault="000B175A">
            <w:pPr>
              <w:pStyle w:val="NoSpacing"/>
              <w:jc w:val="center"/>
              <w:rPr>
                <w:rFonts w:ascii="Times New Roman" w:hAnsi="Times New Roman"/>
              </w:rPr>
            </w:pPr>
          </w:p>
        </w:tc>
        <w:tc>
          <w:tcPr>
            <w:tcW w:w="171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0B175A">
            <w:pPr>
              <w:pStyle w:val="NoSpacing"/>
              <w:jc w:val="center"/>
              <w:rPr>
                <w:rFonts w:ascii="Times New Roman" w:hAnsi="Times New Roman"/>
              </w:rPr>
            </w:pPr>
            <w:r w:rsidRPr="00F94CCB">
              <w:rPr>
                <w:rFonts w:ascii="Times New Roman" w:hAnsi="Times New Roman"/>
              </w:rPr>
              <w:t>Total Annual Responses</w:t>
            </w:r>
          </w:p>
        </w:tc>
        <w:tc>
          <w:tcPr>
            <w:tcW w:w="189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0B175A">
            <w:pPr>
              <w:pStyle w:val="NoSpacing"/>
              <w:jc w:val="center"/>
              <w:rPr>
                <w:rFonts w:ascii="Times New Roman" w:hAnsi="Times New Roman"/>
              </w:rPr>
            </w:pPr>
            <w:r w:rsidRPr="00F94CCB">
              <w:rPr>
                <w:rFonts w:ascii="Times New Roman" w:hAnsi="Times New Roman"/>
              </w:rPr>
              <w:t>Average</w:t>
            </w:r>
          </w:p>
          <w:p w:rsidRPr="00F94CCB" w:rsidR="000B175A" w:rsidP="00D16D71" w:rsidRDefault="000B175A">
            <w:pPr>
              <w:pStyle w:val="NoSpacing"/>
              <w:jc w:val="center"/>
              <w:rPr>
                <w:rFonts w:ascii="Times New Roman" w:hAnsi="Times New Roman"/>
              </w:rPr>
            </w:pPr>
            <w:r w:rsidRPr="00F94CCB">
              <w:rPr>
                <w:rFonts w:ascii="Times New Roman" w:hAnsi="Times New Roman"/>
              </w:rPr>
              <w:t xml:space="preserve">burden per response </w:t>
            </w:r>
          </w:p>
        </w:tc>
        <w:tc>
          <w:tcPr>
            <w:tcW w:w="99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0B175A">
            <w:pPr>
              <w:pStyle w:val="NoSpacing"/>
              <w:jc w:val="center"/>
              <w:rPr>
                <w:rFonts w:ascii="Times New Roman" w:hAnsi="Times New Roman"/>
              </w:rPr>
            </w:pPr>
            <w:r w:rsidRPr="00F94CCB">
              <w:rPr>
                <w:rFonts w:ascii="Times New Roman" w:hAnsi="Times New Roman"/>
              </w:rPr>
              <w:t>Total Hours</w:t>
            </w:r>
          </w:p>
        </w:tc>
      </w:tr>
      <w:tr w:rsidRPr="00C87830" w:rsidR="00D16D71" w:rsidTr="00D16D71">
        <w:trPr>
          <w:trHeight w:val="315"/>
        </w:trPr>
        <w:tc>
          <w:tcPr>
            <w:tcW w:w="189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C87830" w:rsidRDefault="000B175A">
            <w:pPr>
              <w:pStyle w:val="NoSpacing"/>
              <w:rPr>
                <w:rFonts w:ascii="Times New Roman" w:hAnsi="Times New Roman"/>
              </w:rPr>
            </w:pPr>
            <w:bookmarkStart w:name="RANGE!A7" w:id="25"/>
            <w:bookmarkStart w:name="OLE_LINK1" w:colFirst="0" w:colLast="4" w:id="26"/>
            <w:bookmarkStart w:name="OLE_LINK2" w:colFirst="0" w:colLast="4" w:id="27"/>
            <w:bookmarkStart w:name="_Hlk261245041" w:id="28"/>
            <w:r w:rsidRPr="00F94CCB">
              <w:rPr>
                <w:rFonts w:ascii="Times New Roman" w:hAnsi="Times New Roman"/>
              </w:rPr>
              <w:t>Interviews</w:t>
            </w:r>
            <w:bookmarkEnd w:id="25"/>
            <w:r w:rsidR="00D16D71">
              <w:rPr>
                <w:rFonts w:ascii="Times New Roman" w:hAnsi="Times New Roman"/>
              </w:rPr>
              <w:t>/</w:t>
            </w:r>
            <w:r w:rsidR="00914F7E">
              <w:rPr>
                <w:rFonts w:ascii="Times New Roman" w:hAnsi="Times New Roman"/>
              </w:rPr>
              <w:t xml:space="preserve"> </w:t>
            </w:r>
            <w:r w:rsidR="00D16D71">
              <w:rPr>
                <w:rFonts w:ascii="Times New Roman" w:hAnsi="Times New Roman"/>
              </w:rPr>
              <w:t>Surveys</w:t>
            </w:r>
            <w:r w:rsidR="00914F7E">
              <w:rPr>
                <w:rFonts w:ascii="Times New Roman" w:hAnsi="Times New Roman"/>
              </w:rPr>
              <w:t>/ Focus Groups</w:t>
            </w:r>
          </w:p>
        </w:tc>
        <w:tc>
          <w:tcPr>
            <w:tcW w:w="1260" w:type="dxa"/>
            <w:tcBorders>
              <w:top w:val="nil"/>
              <w:left w:val="single" w:color="auto" w:sz="8" w:space="0"/>
              <w:bottom w:val="single" w:color="auto" w:sz="8" w:space="0"/>
              <w:right w:val="single" w:color="auto" w:sz="8" w:space="0"/>
            </w:tcBorders>
            <w:hideMark/>
          </w:tcPr>
          <w:p w:rsidRPr="00F94CCB" w:rsidR="000B175A" w:rsidP="00D16D71" w:rsidRDefault="00D16D71">
            <w:pPr>
              <w:pStyle w:val="NoSpacing"/>
              <w:jc w:val="center"/>
              <w:rPr>
                <w:rFonts w:ascii="Times New Roman" w:hAnsi="Times New Roman"/>
              </w:rPr>
            </w:pPr>
            <w:r>
              <w:rPr>
                <w:rFonts w:ascii="Times New Roman" w:hAnsi="Times New Roman"/>
              </w:rPr>
              <w:t>2,520</w:t>
            </w:r>
          </w:p>
        </w:tc>
        <w:tc>
          <w:tcPr>
            <w:tcW w:w="171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D16D71">
            <w:pPr>
              <w:pStyle w:val="NoSpacing"/>
              <w:jc w:val="center"/>
              <w:rPr>
                <w:rFonts w:ascii="Times New Roman" w:hAnsi="Times New Roman"/>
              </w:rPr>
            </w:pPr>
            <w:r>
              <w:rPr>
                <w:rFonts w:ascii="Times New Roman" w:hAnsi="Times New Roman"/>
              </w:rPr>
              <w:t>14.6</w:t>
            </w:r>
          </w:p>
        </w:tc>
        <w:tc>
          <w:tcPr>
            <w:tcW w:w="171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D16D71">
            <w:pPr>
              <w:pStyle w:val="NoSpacing"/>
              <w:jc w:val="center"/>
              <w:rPr>
                <w:rFonts w:ascii="Times New Roman" w:hAnsi="Times New Roman"/>
              </w:rPr>
            </w:pPr>
            <w:r>
              <w:rPr>
                <w:rFonts w:ascii="Times New Roman" w:hAnsi="Times New Roman"/>
              </w:rPr>
              <w:t>36,792</w:t>
            </w:r>
          </w:p>
        </w:tc>
        <w:tc>
          <w:tcPr>
            <w:tcW w:w="189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D16D71">
            <w:pPr>
              <w:pStyle w:val="NoSpacing"/>
              <w:jc w:val="center"/>
              <w:rPr>
                <w:rFonts w:ascii="Times New Roman" w:hAnsi="Times New Roman"/>
              </w:rPr>
            </w:pPr>
            <w:r>
              <w:rPr>
                <w:rFonts w:ascii="Times New Roman" w:hAnsi="Times New Roman"/>
              </w:rPr>
              <w:t>0.25 (15 mins.)</w:t>
            </w:r>
          </w:p>
        </w:tc>
        <w:tc>
          <w:tcPr>
            <w:tcW w:w="990" w:type="dxa"/>
            <w:tcBorders>
              <w:top w:val="nil"/>
              <w:left w:val="single" w:color="auto" w:sz="8" w:space="0"/>
              <w:bottom w:val="single" w:color="auto" w:sz="8" w:space="0"/>
              <w:right w:val="single" w:color="auto" w:sz="8" w:space="0"/>
            </w:tcBorders>
            <w:tcMar>
              <w:top w:w="15" w:type="dxa"/>
              <w:left w:w="15" w:type="dxa"/>
              <w:bottom w:w="0" w:type="dxa"/>
              <w:right w:w="15" w:type="dxa"/>
            </w:tcMar>
            <w:hideMark/>
          </w:tcPr>
          <w:p w:rsidRPr="00F94CCB" w:rsidR="000B175A" w:rsidP="00D16D71" w:rsidRDefault="00D16D71">
            <w:pPr>
              <w:pStyle w:val="NoSpacing"/>
              <w:jc w:val="center"/>
              <w:rPr>
                <w:rFonts w:ascii="Times New Roman" w:hAnsi="Times New Roman"/>
              </w:rPr>
            </w:pPr>
            <w:r>
              <w:rPr>
                <w:rFonts w:ascii="Times New Roman" w:hAnsi="Times New Roman"/>
              </w:rPr>
              <w:t>9,198</w:t>
            </w:r>
          </w:p>
        </w:tc>
      </w:tr>
    </w:tbl>
    <w:bookmarkEnd w:id="26"/>
    <w:bookmarkEnd w:id="27"/>
    <w:bookmarkEnd w:id="28"/>
    <w:p w:rsidR="000B175A" w:rsidP="00C87830" w:rsidRDefault="000B175A">
      <w:pPr>
        <w:pStyle w:val="NoSpacing"/>
        <w:rPr>
          <w:rFonts w:ascii="Times New Roman" w:hAnsi="Times New Roman"/>
          <w:sz w:val="24"/>
          <w:szCs w:val="24"/>
        </w:rPr>
      </w:pPr>
      <w:r w:rsidRPr="00C87830">
        <w:rPr>
          <w:rFonts w:ascii="Times New Roman" w:hAnsi="Times New Roman"/>
          <w:sz w:val="24"/>
          <w:szCs w:val="24"/>
        </w:rPr>
        <w:t xml:space="preserve"> </w:t>
      </w:r>
      <w:r w:rsidRPr="00A6309B" w:rsidR="008D276C">
        <w:rPr>
          <w:rFonts w:ascii="Times New Roman" w:hAnsi="Times New Roman"/>
          <w:sz w:val="24"/>
          <w:szCs w:val="24"/>
          <w:vertAlign w:val="superscript"/>
        </w:rPr>
        <w:t>1</w:t>
      </w:r>
      <w:r w:rsidR="008D276C">
        <w:rPr>
          <w:rFonts w:ascii="Times New Roman" w:hAnsi="Times New Roman"/>
          <w:sz w:val="24"/>
          <w:szCs w:val="24"/>
        </w:rPr>
        <w:t>There are no capital costs or operating and maintenance costs associated with this collect</w:t>
      </w:r>
      <w:r w:rsidR="00035425">
        <w:rPr>
          <w:rFonts w:ascii="Times New Roman" w:hAnsi="Times New Roman"/>
          <w:sz w:val="24"/>
          <w:szCs w:val="24"/>
        </w:rPr>
        <w:t>i</w:t>
      </w:r>
      <w:r w:rsidR="008D276C">
        <w:rPr>
          <w:rFonts w:ascii="Times New Roman" w:hAnsi="Times New Roman"/>
          <w:sz w:val="24"/>
          <w:szCs w:val="24"/>
        </w:rPr>
        <w:t>on of information.</w:t>
      </w:r>
    </w:p>
    <w:p w:rsidRPr="00C87830" w:rsidR="00035425" w:rsidP="00C87830" w:rsidRDefault="00035425">
      <w:pPr>
        <w:pStyle w:val="NoSpacing"/>
        <w:rPr>
          <w:rFonts w:ascii="Times New Roman" w:hAnsi="Times New Roman"/>
          <w:sz w:val="24"/>
          <w:szCs w:val="24"/>
        </w:rPr>
      </w:pPr>
    </w:p>
    <w:p w:rsidRPr="00F94CCB" w:rsidR="00F94CCB" w:rsidP="00C87830" w:rsidRDefault="00F71F93">
      <w:pPr>
        <w:pStyle w:val="NoSpacing"/>
        <w:rPr>
          <w:rFonts w:ascii="Times New Roman" w:hAnsi="Times New Roman"/>
          <w:i/>
          <w:sz w:val="24"/>
          <w:szCs w:val="24"/>
        </w:rPr>
      </w:pPr>
      <w:r w:rsidRPr="00C87830">
        <w:rPr>
          <w:rFonts w:ascii="Times New Roman" w:hAnsi="Times New Roman"/>
          <w:sz w:val="24"/>
          <w:szCs w:val="24"/>
        </w:rPr>
        <w:tab/>
      </w:r>
      <w:r w:rsidRPr="00F94CCB" w:rsidR="00F94CCB">
        <w:rPr>
          <w:rFonts w:ascii="Times New Roman" w:hAnsi="Times New Roman"/>
          <w:i/>
          <w:sz w:val="24"/>
          <w:szCs w:val="24"/>
        </w:rPr>
        <w:t xml:space="preserve">12b.  </w:t>
      </w:r>
      <w:r w:rsidR="001072CE">
        <w:rPr>
          <w:rFonts w:ascii="Times New Roman" w:hAnsi="Times New Roman"/>
          <w:sz w:val="24"/>
          <w:szCs w:val="24"/>
        </w:rPr>
        <w:t xml:space="preserve">Annualized </w:t>
      </w:r>
      <w:r w:rsidRPr="00A6309B" w:rsidR="00F94CCB">
        <w:rPr>
          <w:rFonts w:ascii="Times New Roman" w:hAnsi="Times New Roman"/>
          <w:sz w:val="24"/>
          <w:szCs w:val="24"/>
        </w:rPr>
        <w:t xml:space="preserve"> </w:t>
      </w:r>
      <w:r w:rsidRPr="00A6309B" w:rsidR="006E22BD">
        <w:rPr>
          <w:rFonts w:ascii="Times New Roman" w:hAnsi="Times New Roman"/>
          <w:sz w:val="24"/>
          <w:szCs w:val="24"/>
        </w:rPr>
        <w:t>C</w:t>
      </w:r>
      <w:r w:rsidRPr="00A6309B" w:rsidR="00F94CCB">
        <w:rPr>
          <w:rFonts w:ascii="Times New Roman" w:hAnsi="Times New Roman"/>
          <w:sz w:val="24"/>
          <w:szCs w:val="24"/>
        </w:rPr>
        <w:t xml:space="preserve">ost </w:t>
      </w:r>
      <w:r w:rsidRPr="00A6309B" w:rsidR="006E22BD">
        <w:rPr>
          <w:rFonts w:ascii="Times New Roman" w:hAnsi="Times New Roman"/>
          <w:sz w:val="24"/>
          <w:szCs w:val="24"/>
        </w:rPr>
        <w:t>B</w:t>
      </w:r>
      <w:r w:rsidRPr="00A6309B" w:rsidR="00F94CCB">
        <w:rPr>
          <w:rFonts w:ascii="Times New Roman" w:hAnsi="Times New Roman"/>
          <w:sz w:val="24"/>
          <w:szCs w:val="24"/>
        </w:rPr>
        <w:t>urden</w:t>
      </w:r>
      <w:r w:rsidR="001072CE">
        <w:rPr>
          <w:rFonts w:ascii="Times New Roman" w:hAnsi="Times New Roman"/>
          <w:sz w:val="24"/>
          <w:szCs w:val="24"/>
        </w:rPr>
        <w:t xml:space="preserve"> Estimate</w:t>
      </w:r>
      <w:r w:rsidR="009F6FF4">
        <w:rPr>
          <w:rFonts w:ascii="Times New Roman" w:hAnsi="Times New Roman"/>
          <w:sz w:val="24"/>
          <w:szCs w:val="24"/>
        </w:rPr>
        <w:t xml:space="preserve"> </w:t>
      </w:r>
    </w:p>
    <w:p w:rsidR="00F94CCB" w:rsidP="00C87830" w:rsidRDefault="00F94CCB">
      <w:pPr>
        <w:pStyle w:val="NoSpacing"/>
        <w:rPr>
          <w:rFonts w:ascii="Times New Roman" w:hAnsi="Times New Roman"/>
          <w:sz w:val="24"/>
          <w:szCs w:val="24"/>
        </w:rPr>
      </w:pPr>
    </w:p>
    <w:p w:rsidR="00F71F93" w:rsidP="00205392" w:rsidRDefault="005965C2">
      <w:pPr>
        <w:pStyle w:val="NoSpacing"/>
        <w:rPr>
          <w:rFonts w:ascii="Times New Roman" w:hAnsi="Times New Roman"/>
          <w:sz w:val="24"/>
          <w:szCs w:val="24"/>
        </w:rPr>
      </w:pPr>
      <w:r>
        <w:rPr>
          <w:rFonts w:ascii="Times New Roman" w:hAnsi="Times New Roman"/>
          <w:sz w:val="24"/>
          <w:szCs w:val="24"/>
        </w:rPr>
        <w:t>W</w:t>
      </w:r>
      <w:r w:rsidR="00205392">
        <w:rPr>
          <w:rFonts w:ascii="Times New Roman" w:hAnsi="Times New Roman"/>
          <w:sz w:val="24"/>
          <w:szCs w:val="24"/>
        </w:rPr>
        <w:t xml:space="preserve">e estimate no annualized cost to respondents for the information collection.  FDA notes, however, the estimated salaries </w:t>
      </w:r>
      <w:r w:rsidR="00575FF8">
        <w:rPr>
          <w:rFonts w:ascii="Times New Roman" w:hAnsi="Times New Roman"/>
          <w:sz w:val="24"/>
          <w:szCs w:val="24"/>
        </w:rPr>
        <w:t>of</w:t>
      </w:r>
      <w:r w:rsidR="00205392">
        <w:rPr>
          <w:rFonts w:ascii="Times New Roman" w:hAnsi="Times New Roman"/>
          <w:sz w:val="24"/>
          <w:szCs w:val="24"/>
        </w:rPr>
        <w:t xml:space="preserve"> </w:t>
      </w:r>
      <w:r>
        <w:rPr>
          <w:rFonts w:ascii="Times New Roman" w:hAnsi="Times New Roman"/>
          <w:sz w:val="24"/>
          <w:szCs w:val="24"/>
        </w:rPr>
        <w:t xml:space="preserve">some of </w:t>
      </w:r>
      <w:r w:rsidR="00205392">
        <w:rPr>
          <w:rFonts w:ascii="Times New Roman" w:hAnsi="Times New Roman"/>
          <w:sz w:val="24"/>
          <w:szCs w:val="24"/>
        </w:rPr>
        <w:t xml:space="preserve">the target labor groups </w:t>
      </w:r>
      <w:r>
        <w:rPr>
          <w:rFonts w:ascii="Times New Roman" w:hAnsi="Times New Roman"/>
          <w:sz w:val="24"/>
          <w:szCs w:val="24"/>
        </w:rPr>
        <w:t xml:space="preserve">identified </w:t>
      </w:r>
      <w:r w:rsidR="00205392">
        <w:rPr>
          <w:rFonts w:ascii="Times New Roman" w:hAnsi="Times New Roman"/>
          <w:sz w:val="24"/>
          <w:szCs w:val="24"/>
        </w:rPr>
        <w:t>above as a possible deterrent to the willingness of these respondents to voluntarily participate in the information collection.  Accordingly, and as discussed more fully in Question 9 of this supporting statement, a</w:t>
      </w:r>
      <w:r w:rsidRPr="00205392" w:rsidR="00205392">
        <w:rPr>
          <w:rFonts w:ascii="Times New Roman" w:hAnsi="Times New Roman"/>
          <w:sz w:val="24"/>
          <w:szCs w:val="24"/>
        </w:rPr>
        <w:t xml:space="preserve">mounts and justifications for any </w:t>
      </w:r>
      <w:r w:rsidR="00914F7E">
        <w:rPr>
          <w:rFonts w:ascii="Times New Roman" w:hAnsi="Times New Roman"/>
          <w:sz w:val="24"/>
          <w:szCs w:val="24"/>
        </w:rPr>
        <w:t>payments or gifts</w:t>
      </w:r>
      <w:r w:rsidRPr="00205392" w:rsidR="00205392">
        <w:rPr>
          <w:rFonts w:ascii="Times New Roman" w:hAnsi="Times New Roman"/>
          <w:sz w:val="24"/>
          <w:szCs w:val="24"/>
        </w:rPr>
        <w:t xml:space="preserve"> </w:t>
      </w:r>
      <w:r w:rsidR="00205392">
        <w:rPr>
          <w:rFonts w:ascii="Times New Roman" w:hAnsi="Times New Roman"/>
          <w:sz w:val="24"/>
          <w:szCs w:val="24"/>
        </w:rPr>
        <w:t>associated</w:t>
      </w:r>
      <w:r>
        <w:rPr>
          <w:rFonts w:ascii="Times New Roman" w:hAnsi="Times New Roman"/>
          <w:sz w:val="24"/>
          <w:szCs w:val="24"/>
        </w:rPr>
        <w:t xml:space="preserve"> with the information collecti</w:t>
      </w:r>
      <w:r w:rsidR="00205392">
        <w:rPr>
          <w:rFonts w:ascii="Times New Roman" w:hAnsi="Times New Roman"/>
          <w:sz w:val="24"/>
          <w:szCs w:val="24"/>
        </w:rPr>
        <w:t>o</w:t>
      </w:r>
      <w:r>
        <w:rPr>
          <w:rFonts w:ascii="Times New Roman" w:hAnsi="Times New Roman"/>
          <w:sz w:val="24"/>
          <w:szCs w:val="24"/>
        </w:rPr>
        <w:t>n</w:t>
      </w:r>
      <w:r w:rsidR="00205392">
        <w:rPr>
          <w:rFonts w:ascii="Times New Roman" w:hAnsi="Times New Roman"/>
          <w:sz w:val="24"/>
          <w:szCs w:val="24"/>
        </w:rPr>
        <w:t xml:space="preserve"> </w:t>
      </w:r>
      <w:r w:rsidRPr="00205392" w:rsidR="00205392">
        <w:rPr>
          <w:rFonts w:ascii="Times New Roman" w:hAnsi="Times New Roman"/>
          <w:sz w:val="24"/>
          <w:szCs w:val="24"/>
        </w:rPr>
        <w:t xml:space="preserve">will be determined on an individual project basis and will be supported by research indicating that </w:t>
      </w:r>
      <w:r w:rsidR="00914F7E">
        <w:rPr>
          <w:rFonts w:ascii="Times New Roman" w:hAnsi="Times New Roman"/>
          <w:sz w:val="24"/>
          <w:szCs w:val="24"/>
        </w:rPr>
        <w:t>payments or gifts</w:t>
      </w:r>
      <w:r w:rsidRPr="00205392" w:rsidR="00205392">
        <w:rPr>
          <w:rFonts w:ascii="Times New Roman" w:hAnsi="Times New Roman"/>
          <w:sz w:val="24"/>
          <w:szCs w:val="24"/>
        </w:rPr>
        <w:t xml:space="preserve"> are useful for the </w:t>
      </w:r>
      <w:r w:rsidR="00E00D5C">
        <w:rPr>
          <w:rFonts w:ascii="Times New Roman" w:hAnsi="Times New Roman"/>
          <w:sz w:val="24"/>
          <w:szCs w:val="24"/>
        </w:rPr>
        <w:t>target audience</w:t>
      </w:r>
      <w:r w:rsidRPr="00205392" w:rsidR="00205392">
        <w:rPr>
          <w:rFonts w:ascii="Times New Roman" w:hAnsi="Times New Roman"/>
          <w:sz w:val="24"/>
          <w:szCs w:val="24"/>
        </w:rPr>
        <w:t>.</w:t>
      </w:r>
    </w:p>
    <w:p w:rsidRPr="00C87830" w:rsidR="00205392" w:rsidP="00205392" w:rsidRDefault="00205392">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bookmarkStart w:name="_Toc276963635" w:id="29"/>
      <w:r w:rsidRPr="00C87830">
        <w:rPr>
          <w:rFonts w:ascii="Times New Roman" w:hAnsi="Times New Roman"/>
          <w:sz w:val="24"/>
          <w:szCs w:val="24"/>
        </w:rPr>
        <w:t xml:space="preserve">13.  </w:t>
      </w:r>
      <w:r w:rsidRPr="00AC5BCF">
        <w:rPr>
          <w:rFonts w:ascii="Times New Roman" w:hAnsi="Times New Roman"/>
          <w:sz w:val="24"/>
          <w:szCs w:val="24"/>
          <w:u w:val="single"/>
        </w:rPr>
        <w:t>Estimates of Other Total Annual Cost B</w:t>
      </w:r>
      <w:r w:rsidR="00AC5BCF">
        <w:rPr>
          <w:rFonts w:ascii="Times New Roman" w:hAnsi="Times New Roman"/>
          <w:sz w:val="24"/>
          <w:szCs w:val="24"/>
          <w:u w:val="single"/>
        </w:rPr>
        <w:t xml:space="preserve">urden to Respondents </w:t>
      </w:r>
      <w:r w:rsidR="00E63219">
        <w:rPr>
          <w:rFonts w:ascii="Times New Roman" w:hAnsi="Times New Roman"/>
          <w:sz w:val="24"/>
          <w:szCs w:val="24"/>
          <w:u w:val="single"/>
        </w:rPr>
        <w:t>and/</w:t>
      </w:r>
      <w:r w:rsidR="00AC5BCF">
        <w:rPr>
          <w:rFonts w:ascii="Times New Roman" w:hAnsi="Times New Roman"/>
          <w:sz w:val="24"/>
          <w:szCs w:val="24"/>
          <w:u w:val="single"/>
        </w:rPr>
        <w:t>or Recordk</w:t>
      </w:r>
      <w:r w:rsidRPr="00AC5BCF">
        <w:rPr>
          <w:rFonts w:ascii="Times New Roman" w:hAnsi="Times New Roman"/>
          <w:sz w:val="24"/>
          <w:szCs w:val="24"/>
          <w:u w:val="single"/>
        </w:rPr>
        <w:t>eepers</w:t>
      </w:r>
      <w:bookmarkEnd w:id="29"/>
      <w:r w:rsidR="00E63219">
        <w:rPr>
          <w:rFonts w:ascii="Times New Roman" w:hAnsi="Times New Roman"/>
          <w:sz w:val="24"/>
          <w:szCs w:val="24"/>
          <w:u w:val="single"/>
        </w:rPr>
        <w:t>/Capital Costs</w:t>
      </w:r>
    </w:p>
    <w:p w:rsidR="00AC5BCF" w:rsidP="00C87830" w:rsidRDefault="00AC5BCF">
      <w:pPr>
        <w:pStyle w:val="NoSpacing"/>
        <w:rPr>
          <w:rFonts w:ascii="Times New Roman" w:hAnsi="Times New Roman"/>
          <w:sz w:val="24"/>
          <w:szCs w:val="24"/>
        </w:rPr>
      </w:pPr>
    </w:p>
    <w:p w:rsidRPr="00C87830" w:rsidR="000B175A" w:rsidP="00C87830" w:rsidRDefault="00575FF8">
      <w:pPr>
        <w:pStyle w:val="NoSpacing"/>
        <w:rPr>
          <w:rFonts w:ascii="Times New Roman" w:hAnsi="Times New Roman"/>
          <w:sz w:val="24"/>
          <w:szCs w:val="24"/>
        </w:rPr>
      </w:pPr>
      <w:r>
        <w:rPr>
          <w:rFonts w:ascii="Times New Roman" w:hAnsi="Times New Roman"/>
          <w:sz w:val="24"/>
          <w:szCs w:val="24"/>
        </w:rPr>
        <w:t>Respondents will not incur any costs for participating in the information collection</w:t>
      </w:r>
      <w:r w:rsidRPr="00C87830" w:rsidR="000B175A">
        <w:rPr>
          <w:rFonts w:ascii="Times New Roman" w:hAnsi="Times New Roman"/>
          <w:sz w:val="24"/>
          <w:szCs w:val="24"/>
        </w:rPr>
        <w:t>.</w:t>
      </w:r>
    </w:p>
    <w:p w:rsidRPr="00C87830" w:rsidR="00F71F93" w:rsidP="00C87830" w:rsidRDefault="00F71F93">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bookmarkStart w:name="_Toc276963636" w:id="30"/>
      <w:bookmarkStart w:name="_Toc239649235" w:id="31"/>
      <w:r w:rsidRPr="00AC5BCF">
        <w:rPr>
          <w:rFonts w:ascii="Times New Roman" w:hAnsi="Times New Roman"/>
          <w:sz w:val="24"/>
          <w:szCs w:val="24"/>
        </w:rPr>
        <w:t xml:space="preserve">14.  </w:t>
      </w:r>
      <w:r w:rsidRPr="00AC5BCF">
        <w:rPr>
          <w:rFonts w:ascii="Times New Roman" w:hAnsi="Times New Roman"/>
          <w:sz w:val="24"/>
          <w:szCs w:val="24"/>
          <w:u w:val="single"/>
        </w:rPr>
        <w:t>Annualized Cost to the Federal Government</w:t>
      </w:r>
      <w:bookmarkEnd w:id="30"/>
      <w:bookmarkEnd w:id="31"/>
    </w:p>
    <w:p w:rsidR="00AC5BCF" w:rsidP="00C87830" w:rsidRDefault="00F71F93">
      <w:pPr>
        <w:pStyle w:val="NoSpacing"/>
        <w:rPr>
          <w:rFonts w:ascii="Times New Roman" w:hAnsi="Times New Roman"/>
          <w:sz w:val="24"/>
          <w:szCs w:val="24"/>
        </w:rPr>
      </w:pPr>
      <w:r w:rsidRPr="00C87830">
        <w:rPr>
          <w:rFonts w:ascii="Times New Roman" w:hAnsi="Times New Roman"/>
          <w:sz w:val="24"/>
          <w:szCs w:val="24"/>
        </w:rPr>
        <w:tab/>
      </w:r>
    </w:p>
    <w:p w:rsidR="005965C2" w:rsidP="00C87830" w:rsidRDefault="00205392">
      <w:pPr>
        <w:pStyle w:val="NoSpacing"/>
        <w:rPr>
          <w:rFonts w:ascii="Times New Roman" w:hAnsi="Times New Roman"/>
          <w:sz w:val="24"/>
          <w:szCs w:val="24"/>
        </w:rPr>
      </w:pPr>
      <w:r>
        <w:rPr>
          <w:rFonts w:ascii="Times New Roman" w:hAnsi="Times New Roman"/>
          <w:sz w:val="24"/>
          <w:szCs w:val="24"/>
        </w:rPr>
        <w:t xml:space="preserve">The estimated annual cost to the Federal Government is </w:t>
      </w:r>
      <w:r w:rsidR="005965C2">
        <w:rPr>
          <w:rFonts w:ascii="Times New Roman" w:hAnsi="Times New Roman"/>
          <w:sz w:val="24"/>
          <w:szCs w:val="24"/>
        </w:rPr>
        <w:t>$2,</w:t>
      </w:r>
      <w:r w:rsidR="002D1BB9">
        <w:rPr>
          <w:rFonts w:ascii="Times New Roman" w:hAnsi="Times New Roman"/>
          <w:sz w:val="24"/>
          <w:szCs w:val="24"/>
        </w:rPr>
        <w:t>329</w:t>
      </w:r>
      <w:r w:rsidR="007914FD">
        <w:rPr>
          <w:rFonts w:ascii="Times New Roman" w:hAnsi="Times New Roman"/>
          <w:sz w:val="24"/>
          <w:szCs w:val="24"/>
        </w:rPr>
        <w:t>,</w:t>
      </w:r>
      <w:r w:rsidR="002D1BB9">
        <w:rPr>
          <w:rFonts w:ascii="Times New Roman" w:hAnsi="Times New Roman"/>
          <w:sz w:val="24"/>
          <w:szCs w:val="24"/>
        </w:rPr>
        <w:t>109</w:t>
      </w:r>
      <w:r>
        <w:rPr>
          <w:rFonts w:ascii="Times New Roman" w:hAnsi="Times New Roman"/>
          <w:sz w:val="24"/>
          <w:szCs w:val="24"/>
        </w:rPr>
        <w:t>.  This figure includes an annual cap of $2,</w:t>
      </w:r>
      <w:r w:rsidR="005965C2">
        <w:rPr>
          <w:rFonts w:ascii="Times New Roman" w:hAnsi="Times New Roman"/>
          <w:sz w:val="24"/>
          <w:szCs w:val="24"/>
        </w:rPr>
        <w:t xml:space="preserve">180,000 in contractor </w:t>
      </w:r>
      <w:r w:rsidR="00914F7E">
        <w:rPr>
          <w:rFonts w:ascii="Times New Roman" w:hAnsi="Times New Roman"/>
          <w:sz w:val="24"/>
          <w:szCs w:val="24"/>
        </w:rPr>
        <w:t xml:space="preserve">or cooperative agreement grantee </w:t>
      </w:r>
      <w:r w:rsidR="005965C2">
        <w:rPr>
          <w:rFonts w:ascii="Times New Roman" w:hAnsi="Times New Roman"/>
          <w:sz w:val="24"/>
          <w:szCs w:val="24"/>
        </w:rPr>
        <w:t xml:space="preserve">costs, </w:t>
      </w:r>
      <w:r>
        <w:rPr>
          <w:rFonts w:ascii="Times New Roman" w:hAnsi="Times New Roman"/>
          <w:sz w:val="24"/>
          <w:szCs w:val="24"/>
        </w:rPr>
        <w:t xml:space="preserve">25% of </w:t>
      </w:r>
      <w:r w:rsidR="002D1BB9">
        <w:rPr>
          <w:rFonts w:ascii="Times New Roman" w:hAnsi="Times New Roman"/>
          <w:sz w:val="24"/>
          <w:szCs w:val="24"/>
        </w:rPr>
        <w:t xml:space="preserve">5 </w:t>
      </w:r>
      <w:r w:rsidR="007914FD">
        <w:rPr>
          <w:rFonts w:ascii="Times New Roman" w:hAnsi="Times New Roman"/>
          <w:sz w:val="24"/>
          <w:szCs w:val="24"/>
        </w:rPr>
        <w:t>full-time employees (</w:t>
      </w:r>
      <w:r>
        <w:rPr>
          <w:rFonts w:ascii="Times New Roman" w:hAnsi="Times New Roman"/>
          <w:sz w:val="24"/>
          <w:szCs w:val="24"/>
        </w:rPr>
        <w:t>FTE</w:t>
      </w:r>
      <w:r w:rsidR="007914FD">
        <w:rPr>
          <w:rFonts w:ascii="Times New Roman" w:hAnsi="Times New Roman"/>
          <w:sz w:val="24"/>
          <w:szCs w:val="24"/>
        </w:rPr>
        <w:t>s)</w:t>
      </w:r>
      <w:r>
        <w:rPr>
          <w:rFonts w:ascii="Times New Roman" w:hAnsi="Times New Roman"/>
          <w:sz w:val="24"/>
          <w:szCs w:val="24"/>
        </w:rPr>
        <w:t xml:space="preserve"> (522 hours</w:t>
      </w:r>
      <w:r w:rsidR="007914FD">
        <w:rPr>
          <w:rFonts w:ascii="Times New Roman" w:hAnsi="Times New Roman"/>
          <w:sz w:val="24"/>
          <w:szCs w:val="24"/>
        </w:rPr>
        <w:t xml:space="preserve"> per FTE</w:t>
      </w:r>
      <w:r>
        <w:rPr>
          <w:rFonts w:ascii="Times New Roman" w:hAnsi="Times New Roman"/>
          <w:sz w:val="24"/>
          <w:szCs w:val="24"/>
        </w:rPr>
        <w:t>) annually</w:t>
      </w:r>
      <w:r w:rsidR="005965C2">
        <w:rPr>
          <w:rFonts w:ascii="Times New Roman" w:hAnsi="Times New Roman"/>
          <w:sz w:val="24"/>
          <w:szCs w:val="24"/>
        </w:rPr>
        <w:t xml:space="preserve"> (</w:t>
      </w:r>
      <w:r>
        <w:rPr>
          <w:rFonts w:ascii="Times New Roman" w:hAnsi="Times New Roman"/>
          <w:sz w:val="24"/>
          <w:szCs w:val="24"/>
        </w:rPr>
        <w:t>using a salary cost of $57.13 per hour</w:t>
      </w:r>
      <w:r w:rsidR="00CF192F">
        <w:rPr>
          <w:rFonts w:ascii="Times New Roman" w:hAnsi="Times New Roman"/>
          <w:sz w:val="24"/>
          <w:szCs w:val="24"/>
        </w:rPr>
        <w:t>) and</w:t>
      </w:r>
      <w:r w:rsidR="005965C2">
        <w:rPr>
          <w:rFonts w:ascii="Times New Roman" w:hAnsi="Times New Roman"/>
          <w:sz w:val="24"/>
          <w:szCs w:val="24"/>
        </w:rPr>
        <w:t xml:space="preserve"> is rounded to the nearest whole number</w:t>
      </w:r>
      <w:r>
        <w:rPr>
          <w:rFonts w:ascii="Times New Roman" w:hAnsi="Times New Roman"/>
          <w:sz w:val="24"/>
          <w:szCs w:val="24"/>
        </w:rPr>
        <w:t>.  [</w:t>
      </w:r>
      <w:r w:rsidR="005965C2">
        <w:rPr>
          <w:rFonts w:ascii="Times New Roman" w:hAnsi="Times New Roman"/>
          <w:sz w:val="24"/>
          <w:szCs w:val="24"/>
        </w:rPr>
        <w:t xml:space="preserve">$2,180,000 + (57.13 x </w:t>
      </w:r>
      <w:r w:rsidR="007914FD">
        <w:rPr>
          <w:rFonts w:ascii="Times New Roman" w:hAnsi="Times New Roman"/>
          <w:sz w:val="24"/>
          <w:szCs w:val="24"/>
        </w:rPr>
        <w:t>(522 x 5)</w:t>
      </w:r>
      <w:r w:rsidR="005965C2">
        <w:rPr>
          <w:rFonts w:ascii="Times New Roman" w:hAnsi="Times New Roman"/>
          <w:sz w:val="24"/>
          <w:szCs w:val="24"/>
        </w:rPr>
        <w:t>)].</w:t>
      </w:r>
    </w:p>
    <w:p w:rsidR="00AC5BCF" w:rsidP="00C87830" w:rsidRDefault="00AC5BCF">
      <w:pPr>
        <w:pStyle w:val="NoSpacing"/>
        <w:rPr>
          <w:rFonts w:ascii="Times New Roman" w:hAnsi="Times New Roman"/>
          <w:sz w:val="24"/>
          <w:szCs w:val="24"/>
        </w:rPr>
      </w:pPr>
      <w:bookmarkStart w:name="_Toc276963637" w:id="32"/>
      <w:bookmarkStart w:name="_Toc239649236" w:id="33"/>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 xml:space="preserve">15.  </w:t>
      </w:r>
      <w:r w:rsidRPr="00AC5BCF">
        <w:rPr>
          <w:rFonts w:ascii="Times New Roman" w:hAnsi="Times New Roman"/>
          <w:sz w:val="24"/>
          <w:szCs w:val="24"/>
          <w:u w:val="single"/>
        </w:rPr>
        <w:t>Explanation for Program Changes or Adjustments</w:t>
      </w:r>
      <w:bookmarkEnd w:id="32"/>
      <w:bookmarkEnd w:id="33"/>
    </w:p>
    <w:p w:rsidR="00AC5BCF" w:rsidP="00C87830" w:rsidRDefault="00AC5BCF">
      <w:pPr>
        <w:pStyle w:val="NoSpacing"/>
        <w:rPr>
          <w:rFonts w:ascii="Times New Roman" w:hAnsi="Times New Roman"/>
          <w:sz w:val="24"/>
          <w:szCs w:val="24"/>
        </w:rPr>
      </w:pPr>
    </w:p>
    <w:p w:rsidRPr="00C87830" w:rsidR="000B175A" w:rsidP="00C87830" w:rsidRDefault="007C3152">
      <w:pPr>
        <w:pStyle w:val="NoSpacing"/>
        <w:rPr>
          <w:rFonts w:ascii="Times New Roman" w:hAnsi="Times New Roman"/>
          <w:sz w:val="24"/>
          <w:szCs w:val="24"/>
        </w:rPr>
      </w:pPr>
      <w:r w:rsidRPr="00C87830">
        <w:rPr>
          <w:rFonts w:ascii="Times New Roman" w:hAnsi="Times New Roman"/>
          <w:sz w:val="24"/>
          <w:szCs w:val="24"/>
        </w:rPr>
        <w:t>This i</w:t>
      </w:r>
      <w:r w:rsidR="00AC5BCF">
        <w:rPr>
          <w:rFonts w:ascii="Times New Roman" w:hAnsi="Times New Roman"/>
          <w:sz w:val="24"/>
          <w:szCs w:val="24"/>
        </w:rPr>
        <w:t>s a new information collection.</w:t>
      </w:r>
    </w:p>
    <w:p w:rsidR="00AC5BCF" w:rsidP="00C87830" w:rsidRDefault="00AC5BCF">
      <w:pPr>
        <w:pStyle w:val="NoSpacing"/>
        <w:rPr>
          <w:rFonts w:ascii="Times New Roman" w:hAnsi="Times New Roman"/>
          <w:sz w:val="24"/>
          <w:szCs w:val="24"/>
        </w:rPr>
      </w:pPr>
      <w:bookmarkStart w:name="_Toc276963638" w:id="34"/>
      <w:bookmarkStart w:name="_Toc239649237" w:id="35"/>
    </w:p>
    <w:p w:rsidR="000B175A" w:rsidP="00C87830" w:rsidRDefault="000B175A">
      <w:pPr>
        <w:pStyle w:val="NoSpacing"/>
        <w:rPr>
          <w:rFonts w:ascii="Times New Roman" w:hAnsi="Times New Roman"/>
          <w:sz w:val="24"/>
          <w:szCs w:val="24"/>
        </w:rPr>
      </w:pPr>
      <w:r w:rsidRPr="00AC5BCF">
        <w:rPr>
          <w:rFonts w:ascii="Times New Roman" w:hAnsi="Times New Roman"/>
          <w:sz w:val="24"/>
          <w:szCs w:val="24"/>
        </w:rPr>
        <w:t xml:space="preserve">16.  </w:t>
      </w:r>
      <w:r w:rsidRPr="00AC5BCF">
        <w:rPr>
          <w:rFonts w:ascii="Times New Roman" w:hAnsi="Times New Roman"/>
          <w:sz w:val="24"/>
          <w:szCs w:val="24"/>
          <w:u w:val="single"/>
        </w:rPr>
        <w:t>Plans for Tabulation and Publication and Project Time Schedule</w:t>
      </w:r>
      <w:bookmarkEnd w:id="34"/>
      <w:bookmarkEnd w:id="35"/>
    </w:p>
    <w:p w:rsidRPr="00C87830" w:rsidR="00AC5BCF" w:rsidP="00C87830" w:rsidRDefault="00AC5BCF">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 xml:space="preserve">The process for developing the analytical plan for </w:t>
      </w:r>
      <w:r w:rsidRPr="00C87830" w:rsidR="007E45E6">
        <w:rPr>
          <w:rFonts w:ascii="Times New Roman" w:hAnsi="Times New Roman"/>
          <w:sz w:val="24"/>
          <w:szCs w:val="24"/>
        </w:rPr>
        <w:t xml:space="preserve">social and behavioral research </w:t>
      </w:r>
      <w:r w:rsidRPr="00C87830">
        <w:rPr>
          <w:rFonts w:ascii="Times New Roman" w:hAnsi="Times New Roman"/>
          <w:sz w:val="24"/>
          <w:szCs w:val="24"/>
        </w:rPr>
        <w:t>is similar to that used in any formal evaluation.  The staff will discuss the objectives with the individuals</w:t>
      </w:r>
      <w:r w:rsidRPr="00C87830" w:rsidR="007C3152">
        <w:rPr>
          <w:rFonts w:ascii="Times New Roman" w:hAnsi="Times New Roman"/>
          <w:sz w:val="24"/>
          <w:szCs w:val="24"/>
        </w:rPr>
        <w:t xml:space="preserve"> (e.g., contractors</w:t>
      </w:r>
      <w:r w:rsidR="00914F7E">
        <w:rPr>
          <w:rFonts w:ascii="Times New Roman" w:hAnsi="Times New Roman"/>
          <w:sz w:val="24"/>
          <w:szCs w:val="24"/>
        </w:rPr>
        <w:t>, cooperative agreement grantees</w:t>
      </w:r>
      <w:r w:rsidRPr="00C87830" w:rsidR="007C3152">
        <w:rPr>
          <w:rFonts w:ascii="Times New Roman" w:hAnsi="Times New Roman"/>
          <w:sz w:val="24"/>
          <w:szCs w:val="24"/>
        </w:rPr>
        <w:t>)</w:t>
      </w:r>
      <w:r w:rsidRPr="00C87830">
        <w:rPr>
          <w:rFonts w:ascii="Times New Roman" w:hAnsi="Times New Roman"/>
          <w:sz w:val="24"/>
          <w:szCs w:val="24"/>
        </w:rPr>
        <w:t xml:space="preserve"> responsible for developing the materials, determine the analytic questions to be addressed, and then prepare the procedures, instruments, and data analysis plan.  The analyses conducted for each project will be determined by the objectives, the messages being </w:t>
      </w:r>
      <w:r w:rsidRPr="00C87830" w:rsidR="00CF192F">
        <w:rPr>
          <w:rFonts w:ascii="Times New Roman" w:hAnsi="Times New Roman"/>
          <w:sz w:val="24"/>
          <w:szCs w:val="24"/>
        </w:rPr>
        <w:t>tested,</w:t>
      </w:r>
      <w:r w:rsidRPr="00C87830" w:rsidR="007C3152">
        <w:rPr>
          <w:rFonts w:ascii="Times New Roman" w:hAnsi="Times New Roman"/>
          <w:sz w:val="24"/>
          <w:szCs w:val="24"/>
        </w:rPr>
        <w:t xml:space="preserve"> or the questions being asked</w:t>
      </w:r>
      <w:r w:rsidRPr="00C87830">
        <w:rPr>
          <w:rFonts w:ascii="Times New Roman" w:hAnsi="Times New Roman"/>
          <w:sz w:val="24"/>
          <w:szCs w:val="24"/>
        </w:rPr>
        <w:t>, and the</w:t>
      </w:r>
      <w:r w:rsidR="007914FD">
        <w:rPr>
          <w:rFonts w:ascii="Times New Roman" w:hAnsi="Times New Roman"/>
          <w:sz w:val="24"/>
          <w:szCs w:val="24"/>
        </w:rPr>
        <w:t xml:space="preserve"> target</w:t>
      </w:r>
      <w:r w:rsidRPr="00C87830">
        <w:rPr>
          <w:rFonts w:ascii="Times New Roman" w:hAnsi="Times New Roman"/>
          <w:sz w:val="24"/>
          <w:szCs w:val="24"/>
        </w:rPr>
        <w:t xml:space="preserve"> audience.  Specifics of the analyses cannot be determined until the messages to be tested are prepared.</w:t>
      </w:r>
    </w:p>
    <w:p w:rsidR="00AC5BCF" w:rsidP="00C87830" w:rsidRDefault="00F71F93">
      <w:pPr>
        <w:pStyle w:val="NoSpacing"/>
        <w:rPr>
          <w:rFonts w:ascii="Times New Roman" w:hAnsi="Times New Roman"/>
          <w:sz w:val="24"/>
          <w:szCs w:val="24"/>
        </w:rPr>
      </w:pPr>
      <w:r w:rsidRPr="00C87830">
        <w:rPr>
          <w:rFonts w:ascii="Times New Roman" w:hAnsi="Times New Roman"/>
          <w:sz w:val="24"/>
          <w:szCs w:val="24"/>
        </w:rPr>
        <w:tab/>
      </w:r>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 xml:space="preserve">Techniques include primarily qualitative analyses (for example, content analysis for </w:t>
      </w:r>
      <w:r w:rsidR="00914F7E">
        <w:rPr>
          <w:rFonts w:ascii="Times New Roman" w:hAnsi="Times New Roman"/>
          <w:sz w:val="24"/>
          <w:szCs w:val="24"/>
        </w:rPr>
        <w:t xml:space="preserve">individual </w:t>
      </w:r>
      <w:r w:rsidRPr="00C87830">
        <w:rPr>
          <w:rFonts w:ascii="Times New Roman" w:hAnsi="Times New Roman"/>
          <w:sz w:val="24"/>
          <w:szCs w:val="24"/>
        </w:rPr>
        <w:t xml:space="preserve">in-depth interviews), although some results, </w:t>
      </w:r>
      <w:r w:rsidRPr="00C87830" w:rsidR="007C3152">
        <w:rPr>
          <w:rFonts w:ascii="Times New Roman" w:hAnsi="Times New Roman"/>
          <w:sz w:val="24"/>
          <w:szCs w:val="24"/>
        </w:rPr>
        <w:t xml:space="preserve">such as </w:t>
      </w:r>
      <w:r w:rsidRPr="00C87830">
        <w:rPr>
          <w:rFonts w:ascii="Times New Roman" w:hAnsi="Times New Roman"/>
          <w:sz w:val="24"/>
          <w:szCs w:val="24"/>
        </w:rPr>
        <w:t xml:space="preserve">those from </w:t>
      </w:r>
      <w:r w:rsidRPr="00C87830" w:rsidR="007C3152">
        <w:rPr>
          <w:rFonts w:ascii="Times New Roman" w:hAnsi="Times New Roman"/>
          <w:sz w:val="24"/>
          <w:szCs w:val="24"/>
        </w:rPr>
        <w:t xml:space="preserve">self-administered </w:t>
      </w:r>
      <w:r w:rsidRPr="00C87830">
        <w:rPr>
          <w:rFonts w:ascii="Times New Roman" w:hAnsi="Times New Roman"/>
          <w:sz w:val="24"/>
          <w:szCs w:val="24"/>
        </w:rPr>
        <w:t xml:space="preserve">surveys, are summarized quantitatively using descriptive statistics.  In cases where quantitative data is collected, descriptive statistics—including percentages, cross tabulations, and averages—will be calculated and presented, along with demographic descriptions of study </w:t>
      </w:r>
      <w:r w:rsidR="00CF192F">
        <w:rPr>
          <w:rFonts w:ascii="Times New Roman" w:hAnsi="Times New Roman"/>
          <w:sz w:val="24"/>
          <w:szCs w:val="24"/>
        </w:rPr>
        <w:t>participants</w:t>
      </w:r>
      <w:r w:rsidRPr="00C87830">
        <w:rPr>
          <w:rFonts w:ascii="Times New Roman" w:hAnsi="Times New Roman"/>
          <w:sz w:val="24"/>
          <w:szCs w:val="24"/>
        </w:rPr>
        <w:t xml:space="preserve">.  Information collected from study participants </w:t>
      </w:r>
      <w:r w:rsidRPr="00C87830" w:rsidR="007C3152">
        <w:rPr>
          <w:rFonts w:ascii="Times New Roman" w:hAnsi="Times New Roman"/>
          <w:sz w:val="24"/>
          <w:szCs w:val="24"/>
        </w:rPr>
        <w:t xml:space="preserve">may </w:t>
      </w:r>
      <w:r w:rsidRPr="00C87830">
        <w:rPr>
          <w:rFonts w:ascii="Times New Roman" w:hAnsi="Times New Roman"/>
          <w:sz w:val="24"/>
          <w:szCs w:val="24"/>
        </w:rPr>
        <w:t xml:space="preserve">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 All analyses will be done in the context of understanding the limitations of the </w:t>
      </w:r>
      <w:r w:rsidRPr="00C87830" w:rsidR="007C3152">
        <w:rPr>
          <w:rFonts w:ascii="Times New Roman" w:hAnsi="Times New Roman"/>
          <w:sz w:val="24"/>
          <w:szCs w:val="24"/>
        </w:rPr>
        <w:t xml:space="preserve">sampling and </w:t>
      </w:r>
      <w:r w:rsidRPr="00C87830">
        <w:rPr>
          <w:rFonts w:ascii="Times New Roman" w:hAnsi="Times New Roman"/>
          <w:sz w:val="24"/>
          <w:szCs w:val="24"/>
        </w:rPr>
        <w:t>data</w:t>
      </w:r>
      <w:r w:rsidRPr="00C87830" w:rsidR="007C3152">
        <w:rPr>
          <w:rFonts w:ascii="Times New Roman" w:hAnsi="Times New Roman"/>
          <w:sz w:val="24"/>
          <w:szCs w:val="24"/>
        </w:rPr>
        <w:t xml:space="preserve"> collection methods</w:t>
      </w:r>
      <w:r w:rsidRPr="00C87830">
        <w:rPr>
          <w:rFonts w:ascii="Times New Roman" w:hAnsi="Times New Roman"/>
          <w:sz w:val="24"/>
          <w:szCs w:val="24"/>
        </w:rPr>
        <w:t>.</w:t>
      </w:r>
    </w:p>
    <w:p w:rsidR="00AC5BCF" w:rsidP="00C87830" w:rsidRDefault="00AC5BCF">
      <w:pPr>
        <w:pStyle w:val="NoSpacing"/>
        <w:rPr>
          <w:rFonts w:ascii="Times New Roman" w:hAnsi="Times New Roman"/>
          <w:sz w:val="24"/>
          <w:szCs w:val="24"/>
        </w:rPr>
      </w:pPr>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 xml:space="preserve">While the primary purpose of this data collection is to </w:t>
      </w:r>
      <w:r w:rsidRPr="00C87830" w:rsidR="00BD4A5A">
        <w:rPr>
          <w:rFonts w:ascii="Times New Roman" w:hAnsi="Times New Roman"/>
          <w:sz w:val="24"/>
          <w:szCs w:val="24"/>
        </w:rPr>
        <w:t>gather information</w:t>
      </w:r>
      <w:r w:rsidRPr="00C87830" w:rsidR="00595195">
        <w:rPr>
          <w:rFonts w:ascii="Times New Roman" w:hAnsi="Times New Roman"/>
          <w:sz w:val="24"/>
          <w:szCs w:val="24"/>
        </w:rPr>
        <w:t xml:space="preserve"> </w:t>
      </w:r>
      <w:r w:rsidRPr="00C87830" w:rsidR="00BC0139">
        <w:rPr>
          <w:rFonts w:ascii="Times New Roman" w:hAnsi="Times New Roman"/>
          <w:sz w:val="24"/>
          <w:szCs w:val="24"/>
        </w:rPr>
        <w:t xml:space="preserve">on </w:t>
      </w:r>
      <w:r w:rsidR="00B22B13">
        <w:rPr>
          <w:rFonts w:ascii="Times New Roman" w:hAnsi="Times New Roman"/>
          <w:sz w:val="24"/>
          <w:szCs w:val="24"/>
        </w:rPr>
        <w:t>FDA-regulated</w:t>
      </w:r>
      <w:r w:rsidRPr="00C87830" w:rsidR="00B22B13">
        <w:rPr>
          <w:rFonts w:ascii="Times New Roman" w:hAnsi="Times New Roman"/>
          <w:sz w:val="24"/>
          <w:szCs w:val="24"/>
        </w:rPr>
        <w:t xml:space="preserve"> </w:t>
      </w:r>
      <w:r w:rsidRPr="00C87830" w:rsidR="00BC0139">
        <w:rPr>
          <w:rFonts w:ascii="Times New Roman" w:hAnsi="Times New Roman"/>
          <w:sz w:val="24"/>
          <w:szCs w:val="24"/>
        </w:rPr>
        <w:t>products via</w:t>
      </w:r>
      <w:r w:rsidRPr="00C87830" w:rsidR="00595195">
        <w:rPr>
          <w:rFonts w:ascii="Times New Roman" w:hAnsi="Times New Roman"/>
          <w:sz w:val="24"/>
          <w:szCs w:val="24"/>
        </w:rPr>
        <w:t xml:space="preserve"> social and behavioral research</w:t>
      </w:r>
      <w:r w:rsidRPr="00C87830" w:rsidR="00BC0139">
        <w:rPr>
          <w:rFonts w:ascii="Times New Roman" w:hAnsi="Times New Roman"/>
          <w:sz w:val="24"/>
          <w:szCs w:val="24"/>
        </w:rPr>
        <w:t xml:space="preserve"> to support </w:t>
      </w:r>
      <w:r w:rsidR="007914FD">
        <w:rPr>
          <w:rFonts w:ascii="Times New Roman" w:hAnsi="Times New Roman"/>
          <w:sz w:val="24"/>
          <w:szCs w:val="24"/>
        </w:rPr>
        <w:t>the agency’s</w:t>
      </w:r>
      <w:r w:rsidRPr="00C87830" w:rsidR="00BC0139">
        <w:rPr>
          <w:rFonts w:ascii="Times New Roman" w:hAnsi="Times New Roman"/>
          <w:sz w:val="24"/>
          <w:szCs w:val="24"/>
        </w:rPr>
        <w:t xml:space="preserve"> communications and regulatory science </w:t>
      </w:r>
      <w:r w:rsidRPr="00C87830" w:rsidR="003E6052">
        <w:rPr>
          <w:rFonts w:ascii="Times New Roman" w:hAnsi="Times New Roman"/>
          <w:sz w:val="24"/>
          <w:szCs w:val="24"/>
        </w:rPr>
        <w:t>initiatives</w:t>
      </w:r>
      <w:r w:rsidRPr="00C87830">
        <w:rPr>
          <w:rFonts w:ascii="Times New Roman" w:hAnsi="Times New Roman"/>
          <w:sz w:val="24"/>
          <w:szCs w:val="24"/>
        </w:rPr>
        <w:t xml:space="preserve">, FDA </w:t>
      </w:r>
      <w:r w:rsidRPr="00C87830" w:rsidR="00BC0139">
        <w:rPr>
          <w:rFonts w:ascii="Times New Roman" w:hAnsi="Times New Roman"/>
          <w:sz w:val="24"/>
          <w:szCs w:val="24"/>
        </w:rPr>
        <w:t xml:space="preserve">will make </w:t>
      </w:r>
      <w:r w:rsidRPr="00C87830">
        <w:rPr>
          <w:rFonts w:ascii="Times New Roman" w:hAnsi="Times New Roman"/>
          <w:sz w:val="24"/>
          <w:szCs w:val="24"/>
        </w:rPr>
        <w:t xml:space="preserve">results available to a variety of health program planners at </w:t>
      </w:r>
      <w:r w:rsidR="007914FD">
        <w:rPr>
          <w:rFonts w:ascii="Times New Roman" w:hAnsi="Times New Roman"/>
          <w:sz w:val="24"/>
          <w:szCs w:val="24"/>
        </w:rPr>
        <w:t>g</w:t>
      </w:r>
      <w:r w:rsidRPr="00C87830">
        <w:rPr>
          <w:rFonts w:ascii="Times New Roman" w:hAnsi="Times New Roman"/>
          <w:sz w:val="24"/>
          <w:szCs w:val="24"/>
        </w:rPr>
        <w:t xml:space="preserve">overnment agencies, voluntary organizations, </w:t>
      </w:r>
      <w:r w:rsidR="00237AD5">
        <w:rPr>
          <w:rFonts w:ascii="Times New Roman" w:hAnsi="Times New Roman"/>
          <w:sz w:val="24"/>
          <w:szCs w:val="24"/>
        </w:rPr>
        <w:t xml:space="preserve">public </w:t>
      </w:r>
      <w:r w:rsidRPr="00C87830">
        <w:rPr>
          <w:rFonts w:ascii="Times New Roman" w:hAnsi="Times New Roman"/>
          <w:sz w:val="24"/>
          <w:szCs w:val="24"/>
        </w:rPr>
        <w:t xml:space="preserve">health professional organizations, and medical </w:t>
      </w:r>
      <w:r w:rsidR="00237AD5">
        <w:rPr>
          <w:rFonts w:ascii="Times New Roman" w:hAnsi="Times New Roman"/>
          <w:sz w:val="24"/>
          <w:szCs w:val="24"/>
        </w:rPr>
        <w:t xml:space="preserve">and veterinary </w:t>
      </w:r>
      <w:r w:rsidRPr="00C87830">
        <w:rPr>
          <w:rFonts w:ascii="Times New Roman" w:hAnsi="Times New Roman"/>
          <w:sz w:val="24"/>
          <w:szCs w:val="24"/>
        </w:rPr>
        <w:t>institutions.  In addition, FDA</w:t>
      </w:r>
      <w:r w:rsidR="00914F7E">
        <w:rPr>
          <w:rFonts w:ascii="Times New Roman" w:hAnsi="Times New Roman"/>
          <w:sz w:val="24"/>
          <w:szCs w:val="24"/>
        </w:rPr>
        <w:t xml:space="preserve">, </w:t>
      </w:r>
      <w:r w:rsidRPr="00C87830" w:rsidR="00BC0139">
        <w:rPr>
          <w:rFonts w:ascii="Times New Roman" w:hAnsi="Times New Roman"/>
          <w:sz w:val="24"/>
          <w:szCs w:val="24"/>
        </w:rPr>
        <w:t xml:space="preserve">contractors </w:t>
      </w:r>
      <w:r w:rsidR="00914F7E">
        <w:rPr>
          <w:rFonts w:ascii="Times New Roman" w:hAnsi="Times New Roman"/>
          <w:sz w:val="24"/>
          <w:szCs w:val="24"/>
        </w:rPr>
        <w:t xml:space="preserve">and cooperative agreement grantees </w:t>
      </w:r>
      <w:r w:rsidRPr="00C87830">
        <w:rPr>
          <w:rFonts w:ascii="Times New Roman" w:hAnsi="Times New Roman"/>
          <w:sz w:val="24"/>
          <w:szCs w:val="24"/>
        </w:rPr>
        <w:t xml:space="preserve">may present the findings at </w:t>
      </w:r>
      <w:r w:rsidRPr="00C87830" w:rsidR="00BC0139">
        <w:rPr>
          <w:rFonts w:ascii="Times New Roman" w:hAnsi="Times New Roman"/>
          <w:sz w:val="24"/>
          <w:szCs w:val="24"/>
        </w:rPr>
        <w:t xml:space="preserve">relevant </w:t>
      </w:r>
      <w:r w:rsidRPr="00C87830">
        <w:rPr>
          <w:rFonts w:ascii="Times New Roman" w:hAnsi="Times New Roman"/>
          <w:sz w:val="24"/>
          <w:szCs w:val="24"/>
        </w:rPr>
        <w:t>professional association meetings</w:t>
      </w:r>
      <w:r w:rsidRPr="00C87830" w:rsidR="00BC0139">
        <w:rPr>
          <w:rFonts w:ascii="Times New Roman" w:hAnsi="Times New Roman"/>
          <w:sz w:val="24"/>
          <w:szCs w:val="24"/>
        </w:rPr>
        <w:t xml:space="preserve"> or</w:t>
      </w:r>
      <w:r w:rsidRPr="00C87830">
        <w:rPr>
          <w:rFonts w:ascii="Times New Roman" w:hAnsi="Times New Roman"/>
          <w:sz w:val="24"/>
          <w:szCs w:val="24"/>
        </w:rPr>
        <w:t xml:space="preserve"> publish</w:t>
      </w:r>
      <w:r w:rsidRPr="00C87830" w:rsidR="00BC0139">
        <w:rPr>
          <w:rFonts w:ascii="Times New Roman" w:hAnsi="Times New Roman"/>
          <w:sz w:val="24"/>
          <w:szCs w:val="24"/>
        </w:rPr>
        <w:t xml:space="preserve"> results</w:t>
      </w:r>
      <w:r w:rsidRPr="00C87830">
        <w:rPr>
          <w:rFonts w:ascii="Times New Roman" w:hAnsi="Times New Roman"/>
          <w:sz w:val="24"/>
          <w:szCs w:val="24"/>
        </w:rPr>
        <w:t xml:space="preserve"> in professional journals</w:t>
      </w:r>
      <w:r w:rsidR="00B22B13">
        <w:rPr>
          <w:rFonts w:ascii="Times New Roman" w:hAnsi="Times New Roman"/>
          <w:sz w:val="24"/>
          <w:szCs w:val="24"/>
        </w:rPr>
        <w:t>.</w:t>
      </w:r>
      <w:r w:rsidRPr="00C87830">
        <w:rPr>
          <w:rFonts w:ascii="Times New Roman" w:hAnsi="Times New Roman"/>
          <w:sz w:val="24"/>
          <w:szCs w:val="24"/>
        </w:rPr>
        <w:t xml:space="preserve">  In any findings presented at professional association meetings or in professional journals, FDA will state the limitations of the data</w:t>
      </w:r>
      <w:r w:rsidRPr="00C87830" w:rsidR="00BC0139">
        <w:rPr>
          <w:rFonts w:ascii="Times New Roman" w:hAnsi="Times New Roman"/>
          <w:sz w:val="24"/>
          <w:szCs w:val="24"/>
        </w:rPr>
        <w:t xml:space="preserve"> based on the sampling and data collection methods used</w:t>
      </w:r>
      <w:r w:rsidRPr="00C87830">
        <w:rPr>
          <w:rFonts w:ascii="Times New Roman" w:hAnsi="Times New Roman"/>
          <w:sz w:val="24"/>
          <w:szCs w:val="24"/>
        </w:rPr>
        <w:t>.</w:t>
      </w:r>
    </w:p>
    <w:p w:rsidRPr="00C87830" w:rsidR="000B175A" w:rsidP="00C87830" w:rsidRDefault="00F71F93">
      <w:pPr>
        <w:pStyle w:val="NoSpacing"/>
        <w:rPr>
          <w:rFonts w:ascii="Times New Roman" w:hAnsi="Times New Roman"/>
          <w:sz w:val="24"/>
          <w:szCs w:val="24"/>
        </w:rPr>
      </w:pPr>
      <w:r w:rsidRPr="00C87830">
        <w:rPr>
          <w:rFonts w:ascii="Times New Roman" w:hAnsi="Times New Roman"/>
          <w:sz w:val="24"/>
          <w:szCs w:val="24"/>
        </w:rPr>
        <w:tab/>
      </w:r>
    </w:p>
    <w:p w:rsidRPr="00C87830" w:rsidR="000B175A" w:rsidP="00C87830" w:rsidRDefault="000B175A">
      <w:pPr>
        <w:pStyle w:val="NoSpacing"/>
        <w:rPr>
          <w:rFonts w:ascii="Times New Roman" w:hAnsi="Times New Roman"/>
          <w:sz w:val="24"/>
          <w:szCs w:val="24"/>
        </w:rPr>
      </w:pPr>
      <w:bookmarkStart w:name="_Toc239649238" w:id="36"/>
      <w:bookmarkStart w:name="_Toc276963639" w:id="37"/>
      <w:r w:rsidRPr="00C87830">
        <w:rPr>
          <w:rFonts w:ascii="Times New Roman" w:hAnsi="Times New Roman"/>
          <w:sz w:val="24"/>
          <w:szCs w:val="24"/>
        </w:rPr>
        <w:t>17.</w:t>
      </w:r>
      <w:r w:rsidR="00AC5BCF">
        <w:rPr>
          <w:rFonts w:ascii="Times New Roman" w:hAnsi="Times New Roman"/>
          <w:sz w:val="24"/>
          <w:szCs w:val="24"/>
        </w:rPr>
        <w:t xml:space="preserve">  </w:t>
      </w:r>
      <w:r w:rsidRPr="00AC5BCF">
        <w:rPr>
          <w:rFonts w:ascii="Times New Roman" w:hAnsi="Times New Roman"/>
          <w:sz w:val="24"/>
          <w:szCs w:val="24"/>
          <w:u w:val="single"/>
        </w:rPr>
        <w:t>Reason(s) Display of OMB Expiration Date</w:t>
      </w:r>
      <w:bookmarkEnd w:id="36"/>
      <w:r w:rsidRPr="00AC5BCF">
        <w:rPr>
          <w:rFonts w:ascii="Times New Roman" w:hAnsi="Times New Roman"/>
          <w:sz w:val="24"/>
          <w:szCs w:val="24"/>
          <w:u w:val="single"/>
        </w:rPr>
        <w:t xml:space="preserve"> is Inappropriate</w:t>
      </w:r>
      <w:bookmarkEnd w:id="37"/>
    </w:p>
    <w:p w:rsidR="00AC5BCF" w:rsidP="00C87830" w:rsidRDefault="00F71F93">
      <w:pPr>
        <w:pStyle w:val="NoSpacing"/>
        <w:rPr>
          <w:rFonts w:ascii="Times New Roman" w:hAnsi="Times New Roman"/>
          <w:sz w:val="24"/>
          <w:szCs w:val="24"/>
        </w:rPr>
      </w:pPr>
      <w:r w:rsidRPr="00C87830">
        <w:rPr>
          <w:rFonts w:ascii="Times New Roman" w:hAnsi="Times New Roman"/>
          <w:sz w:val="24"/>
          <w:szCs w:val="24"/>
        </w:rPr>
        <w:tab/>
      </w:r>
    </w:p>
    <w:p w:rsidRPr="00C87830" w:rsidR="000B175A" w:rsidP="00C87830" w:rsidRDefault="000B175A">
      <w:pPr>
        <w:pStyle w:val="NoSpacing"/>
        <w:rPr>
          <w:rFonts w:ascii="Times New Roman" w:hAnsi="Times New Roman"/>
          <w:sz w:val="24"/>
          <w:szCs w:val="24"/>
        </w:rPr>
      </w:pPr>
      <w:r w:rsidRPr="00C87830">
        <w:rPr>
          <w:rFonts w:ascii="Times New Roman" w:hAnsi="Times New Roman"/>
          <w:sz w:val="24"/>
          <w:szCs w:val="24"/>
        </w:rPr>
        <w:t>The OMB ex</w:t>
      </w:r>
      <w:r w:rsidR="003D1585">
        <w:rPr>
          <w:rFonts w:ascii="Times New Roman" w:hAnsi="Times New Roman"/>
          <w:sz w:val="24"/>
          <w:szCs w:val="24"/>
        </w:rPr>
        <w:t>piration date will be displayed on the collection instruments.</w:t>
      </w:r>
    </w:p>
    <w:p w:rsidR="000B175A" w:rsidP="00C87830" w:rsidRDefault="000B175A">
      <w:pPr>
        <w:pStyle w:val="NoSpacing"/>
        <w:rPr>
          <w:rFonts w:ascii="Times New Roman" w:hAnsi="Times New Roman"/>
          <w:sz w:val="24"/>
          <w:szCs w:val="24"/>
        </w:rPr>
      </w:pPr>
    </w:p>
    <w:p w:rsidR="002C580C" w:rsidP="00C87830" w:rsidRDefault="002C580C">
      <w:pPr>
        <w:pStyle w:val="NoSpacing"/>
        <w:rPr>
          <w:rFonts w:ascii="Times New Roman" w:hAnsi="Times New Roman"/>
          <w:sz w:val="24"/>
          <w:szCs w:val="24"/>
        </w:rPr>
      </w:pPr>
    </w:p>
    <w:p w:rsidRPr="00C87830" w:rsidR="002C580C" w:rsidP="00C87830" w:rsidRDefault="002C580C">
      <w:pPr>
        <w:pStyle w:val="NoSpacing"/>
        <w:rPr>
          <w:rFonts w:ascii="Times New Roman" w:hAnsi="Times New Roman"/>
          <w:sz w:val="24"/>
          <w:szCs w:val="24"/>
        </w:rPr>
      </w:pPr>
      <w:bookmarkStart w:name="_GoBack" w:id="38"/>
      <w:bookmarkEnd w:id="38"/>
    </w:p>
    <w:p w:rsidRPr="00C87830" w:rsidR="000B175A" w:rsidP="00C87830" w:rsidRDefault="000B175A">
      <w:pPr>
        <w:pStyle w:val="NoSpacing"/>
        <w:rPr>
          <w:rFonts w:ascii="Times New Roman" w:hAnsi="Times New Roman"/>
          <w:sz w:val="24"/>
          <w:szCs w:val="24"/>
        </w:rPr>
      </w:pPr>
      <w:bookmarkStart w:name="_Toc276963640" w:id="39"/>
      <w:bookmarkStart w:name="_Toc239649239" w:id="40"/>
      <w:r w:rsidRPr="00C87830">
        <w:rPr>
          <w:rFonts w:ascii="Times New Roman" w:hAnsi="Times New Roman"/>
          <w:sz w:val="24"/>
          <w:szCs w:val="24"/>
        </w:rPr>
        <w:lastRenderedPageBreak/>
        <w:t>18.</w:t>
      </w:r>
      <w:r w:rsidR="00AC5BCF">
        <w:rPr>
          <w:rFonts w:ascii="Times New Roman" w:hAnsi="Times New Roman"/>
          <w:sz w:val="24"/>
          <w:szCs w:val="24"/>
        </w:rPr>
        <w:t xml:space="preserve">  </w:t>
      </w:r>
      <w:r w:rsidRPr="00AC5BCF">
        <w:rPr>
          <w:rFonts w:ascii="Times New Roman" w:hAnsi="Times New Roman"/>
          <w:sz w:val="24"/>
          <w:szCs w:val="24"/>
          <w:u w:val="single"/>
        </w:rPr>
        <w:t>Exceptions to Certification for Paperwork Reduction Act Submissions</w:t>
      </w:r>
      <w:bookmarkEnd w:id="39"/>
      <w:bookmarkEnd w:id="40"/>
    </w:p>
    <w:p w:rsidR="00AC5BCF" w:rsidP="00C87830" w:rsidRDefault="00F71F93">
      <w:pPr>
        <w:pStyle w:val="NoSpacing"/>
        <w:rPr>
          <w:rFonts w:ascii="Times New Roman" w:hAnsi="Times New Roman"/>
          <w:sz w:val="24"/>
          <w:szCs w:val="24"/>
        </w:rPr>
      </w:pPr>
      <w:r w:rsidRPr="00C87830">
        <w:rPr>
          <w:rFonts w:ascii="Times New Roman" w:hAnsi="Times New Roman"/>
          <w:sz w:val="24"/>
          <w:szCs w:val="24"/>
        </w:rPr>
        <w:tab/>
      </w:r>
    </w:p>
    <w:p w:rsidRPr="00C87830" w:rsidR="00B27B78" w:rsidP="00C87830" w:rsidRDefault="00AC5BCF">
      <w:pPr>
        <w:pStyle w:val="NoSpacing"/>
        <w:rPr>
          <w:rFonts w:ascii="Times New Roman" w:hAnsi="Times New Roman"/>
          <w:sz w:val="24"/>
          <w:szCs w:val="24"/>
        </w:rPr>
      </w:pPr>
      <w:r>
        <w:rPr>
          <w:rFonts w:ascii="Times New Roman" w:hAnsi="Times New Roman"/>
          <w:sz w:val="24"/>
          <w:szCs w:val="24"/>
        </w:rPr>
        <w:t>There are no exceptions to the certifica</w:t>
      </w:r>
      <w:r w:rsidR="003B771B">
        <w:rPr>
          <w:rFonts w:ascii="Times New Roman" w:hAnsi="Times New Roman"/>
          <w:sz w:val="24"/>
          <w:szCs w:val="24"/>
        </w:rPr>
        <w:t>tion.</w:t>
      </w:r>
    </w:p>
    <w:sectPr w:rsidRPr="00C87830" w:rsidR="00B27B78" w:rsidSect="00F94CC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0B2" w:rsidRDefault="008F30B2" w:rsidP="000B175A">
      <w:pPr>
        <w:spacing w:after="0" w:line="240" w:lineRule="auto"/>
      </w:pPr>
      <w:r>
        <w:separator/>
      </w:r>
    </w:p>
  </w:endnote>
  <w:endnote w:type="continuationSeparator" w:id="0">
    <w:p w:rsidR="008F30B2" w:rsidRDefault="008F30B2" w:rsidP="000B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5B" w:rsidRPr="00F94CCB" w:rsidRDefault="00011C5B">
    <w:pPr>
      <w:pStyle w:val="Footer"/>
      <w:jc w:val="center"/>
      <w:rPr>
        <w:rFonts w:ascii="Times New Roman" w:hAnsi="Times New Roman"/>
      </w:rPr>
    </w:pPr>
    <w:r w:rsidRPr="00F94CCB">
      <w:rPr>
        <w:rFonts w:ascii="Times New Roman" w:hAnsi="Times New Roman"/>
      </w:rPr>
      <w:fldChar w:fldCharType="begin"/>
    </w:r>
    <w:r w:rsidRPr="00F94CCB">
      <w:rPr>
        <w:rFonts w:ascii="Times New Roman" w:hAnsi="Times New Roman"/>
      </w:rPr>
      <w:instrText xml:space="preserve"> PAGE   \* MERGEFORMAT </w:instrText>
    </w:r>
    <w:r w:rsidRPr="00F94CCB">
      <w:rPr>
        <w:rFonts w:ascii="Times New Roman" w:hAnsi="Times New Roman"/>
      </w:rPr>
      <w:fldChar w:fldCharType="separate"/>
    </w:r>
    <w:r w:rsidR="002D1BB9">
      <w:rPr>
        <w:rFonts w:ascii="Times New Roman" w:hAnsi="Times New Roman"/>
        <w:noProof/>
      </w:rPr>
      <w:t>3</w:t>
    </w:r>
    <w:r w:rsidRPr="00F94CCB">
      <w:rPr>
        <w:rFonts w:ascii="Times New Roman" w:hAnsi="Times New Roman"/>
        <w:noProof/>
      </w:rPr>
      <w:fldChar w:fldCharType="end"/>
    </w:r>
  </w:p>
  <w:p w:rsidR="00011C5B" w:rsidRDefault="0001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0B2" w:rsidRDefault="008F30B2" w:rsidP="000B175A">
      <w:pPr>
        <w:spacing w:after="0" w:line="240" w:lineRule="auto"/>
      </w:pPr>
      <w:r>
        <w:separator/>
      </w:r>
    </w:p>
  </w:footnote>
  <w:footnote w:type="continuationSeparator" w:id="0">
    <w:p w:rsidR="008F30B2" w:rsidRDefault="008F30B2" w:rsidP="000B175A">
      <w:pPr>
        <w:spacing w:after="0" w:line="240" w:lineRule="auto"/>
      </w:pPr>
      <w:r>
        <w:continuationSeparator/>
      </w:r>
    </w:p>
  </w:footnote>
  <w:footnote w:id="1">
    <w:p w:rsidR="00CB0F82" w:rsidRPr="00124F08" w:rsidRDefault="00CB0F82" w:rsidP="00CB0F82">
      <w:pPr>
        <w:pStyle w:val="FootnoteText"/>
        <w:rPr>
          <w:rFonts w:ascii="Times New Roman" w:hAnsi="Times New Roman"/>
        </w:rPr>
      </w:pPr>
      <w:r w:rsidRPr="00124F08">
        <w:rPr>
          <w:rStyle w:val="FootnoteReference"/>
          <w:rFonts w:ascii="Times New Roman" w:hAnsi="Times New Roman"/>
        </w:rPr>
        <w:footnoteRef/>
      </w:r>
      <w:r w:rsidRPr="00124F08">
        <w:rPr>
          <w:rFonts w:ascii="Times New Roman" w:hAnsi="Times New Roman"/>
        </w:rPr>
        <w:t xml:space="preserve"> Food and Drug Administration. About Science &amp; Research at FDA. Silver Spring, MD: U.S. Department of Health and Human Services (HHS), July 2013.  Accessed from </w:t>
      </w:r>
      <w:r w:rsidR="00D1243E" w:rsidRPr="00D1243E">
        <w:rPr>
          <w:rFonts w:ascii="Times New Roman" w:hAnsi="Times New Roman"/>
        </w:rPr>
        <w:t>https://www.fda.gov/media/81109/download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05577"/>
    <w:multiLevelType w:val="hybridMultilevel"/>
    <w:tmpl w:val="11F0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8832DEC"/>
    <w:multiLevelType w:val="hybridMultilevel"/>
    <w:tmpl w:val="7598D1A2"/>
    <w:lvl w:ilvl="0" w:tplc="7200D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9468C"/>
    <w:multiLevelType w:val="hybridMultilevel"/>
    <w:tmpl w:val="5BA8D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3"/>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5A"/>
    <w:rsid w:val="00011C5B"/>
    <w:rsid w:val="00013F49"/>
    <w:rsid w:val="00016E19"/>
    <w:rsid w:val="00021F5A"/>
    <w:rsid w:val="00030CB5"/>
    <w:rsid w:val="00031A1B"/>
    <w:rsid w:val="00031A82"/>
    <w:rsid w:val="00035425"/>
    <w:rsid w:val="00036007"/>
    <w:rsid w:val="00044E31"/>
    <w:rsid w:val="00061575"/>
    <w:rsid w:val="00086060"/>
    <w:rsid w:val="0009266E"/>
    <w:rsid w:val="000941C2"/>
    <w:rsid w:val="00094840"/>
    <w:rsid w:val="000A0E97"/>
    <w:rsid w:val="000B175A"/>
    <w:rsid w:val="000C3D47"/>
    <w:rsid w:val="000C7690"/>
    <w:rsid w:val="000C78DF"/>
    <w:rsid w:val="000E4620"/>
    <w:rsid w:val="000E68BF"/>
    <w:rsid w:val="00101D9C"/>
    <w:rsid w:val="001052EC"/>
    <w:rsid w:val="00106D50"/>
    <w:rsid w:val="001072CE"/>
    <w:rsid w:val="0011111F"/>
    <w:rsid w:val="001224EF"/>
    <w:rsid w:val="00124F08"/>
    <w:rsid w:val="001333D7"/>
    <w:rsid w:val="00147E68"/>
    <w:rsid w:val="001556F0"/>
    <w:rsid w:val="00165808"/>
    <w:rsid w:val="0016592C"/>
    <w:rsid w:val="00171292"/>
    <w:rsid w:val="00172443"/>
    <w:rsid w:val="001842E0"/>
    <w:rsid w:val="001C1A13"/>
    <w:rsid w:val="001E6270"/>
    <w:rsid w:val="001F4944"/>
    <w:rsid w:val="00204956"/>
    <w:rsid w:val="00205392"/>
    <w:rsid w:val="00217586"/>
    <w:rsid w:val="00223E0E"/>
    <w:rsid w:val="00237AD5"/>
    <w:rsid w:val="002449B4"/>
    <w:rsid w:val="00252F17"/>
    <w:rsid w:val="00262B5A"/>
    <w:rsid w:val="00267F82"/>
    <w:rsid w:val="0027455E"/>
    <w:rsid w:val="002746F7"/>
    <w:rsid w:val="002937EF"/>
    <w:rsid w:val="002C3600"/>
    <w:rsid w:val="002C580C"/>
    <w:rsid w:val="002D1BB9"/>
    <w:rsid w:val="002F35B6"/>
    <w:rsid w:val="002F77E4"/>
    <w:rsid w:val="00307C34"/>
    <w:rsid w:val="00320500"/>
    <w:rsid w:val="00323D50"/>
    <w:rsid w:val="0033241C"/>
    <w:rsid w:val="003456D0"/>
    <w:rsid w:val="00347CBE"/>
    <w:rsid w:val="00354D84"/>
    <w:rsid w:val="00380753"/>
    <w:rsid w:val="003829AB"/>
    <w:rsid w:val="003A215A"/>
    <w:rsid w:val="003B2920"/>
    <w:rsid w:val="003B771B"/>
    <w:rsid w:val="003C6342"/>
    <w:rsid w:val="003D1585"/>
    <w:rsid w:val="003D28F0"/>
    <w:rsid w:val="003E6052"/>
    <w:rsid w:val="003F0168"/>
    <w:rsid w:val="003F4457"/>
    <w:rsid w:val="003F55E4"/>
    <w:rsid w:val="0040165C"/>
    <w:rsid w:val="00406E6A"/>
    <w:rsid w:val="00414FD4"/>
    <w:rsid w:val="00421867"/>
    <w:rsid w:val="00424925"/>
    <w:rsid w:val="00427E8F"/>
    <w:rsid w:val="00430099"/>
    <w:rsid w:val="004314F2"/>
    <w:rsid w:val="00437BC5"/>
    <w:rsid w:val="00440EE7"/>
    <w:rsid w:val="00450C6A"/>
    <w:rsid w:val="00453CEC"/>
    <w:rsid w:val="00486D9C"/>
    <w:rsid w:val="00493451"/>
    <w:rsid w:val="00495F7A"/>
    <w:rsid w:val="004A32C9"/>
    <w:rsid w:val="004C3E56"/>
    <w:rsid w:val="004C45C1"/>
    <w:rsid w:val="004E08D1"/>
    <w:rsid w:val="004E11D8"/>
    <w:rsid w:val="004F1EC9"/>
    <w:rsid w:val="005032B6"/>
    <w:rsid w:val="00510136"/>
    <w:rsid w:val="00530D21"/>
    <w:rsid w:val="00540BB9"/>
    <w:rsid w:val="005437D2"/>
    <w:rsid w:val="005679C0"/>
    <w:rsid w:val="0057362F"/>
    <w:rsid w:val="00575FF8"/>
    <w:rsid w:val="00595195"/>
    <w:rsid w:val="005965C2"/>
    <w:rsid w:val="005B2B49"/>
    <w:rsid w:val="005C31A8"/>
    <w:rsid w:val="005C5AF2"/>
    <w:rsid w:val="005E28C2"/>
    <w:rsid w:val="005E611C"/>
    <w:rsid w:val="005F57B7"/>
    <w:rsid w:val="006536E5"/>
    <w:rsid w:val="00655347"/>
    <w:rsid w:val="00660E99"/>
    <w:rsid w:val="00677B3E"/>
    <w:rsid w:val="00680A72"/>
    <w:rsid w:val="006959B3"/>
    <w:rsid w:val="006A589D"/>
    <w:rsid w:val="006B6E52"/>
    <w:rsid w:val="006C58FF"/>
    <w:rsid w:val="006D26F7"/>
    <w:rsid w:val="006D5B6E"/>
    <w:rsid w:val="006D6022"/>
    <w:rsid w:val="006D7F94"/>
    <w:rsid w:val="006E05C2"/>
    <w:rsid w:val="006E0E9A"/>
    <w:rsid w:val="006E22BD"/>
    <w:rsid w:val="006E2FDD"/>
    <w:rsid w:val="006E4F73"/>
    <w:rsid w:val="006F1B16"/>
    <w:rsid w:val="007048B3"/>
    <w:rsid w:val="007119DB"/>
    <w:rsid w:val="00721F56"/>
    <w:rsid w:val="00722049"/>
    <w:rsid w:val="0073159D"/>
    <w:rsid w:val="00740135"/>
    <w:rsid w:val="0075079E"/>
    <w:rsid w:val="00753FFA"/>
    <w:rsid w:val="0076406C"/>
    <w:rsid w:val="00775AA3"/>
    <w:rsid w:val="00781274"/>
    <w:rsid w:val="00787E7E"/>
    <w:rsid w:val="007914FD"/>
    <w:rsid w:val="00796C84"/>
    <w:rsid w:val="007A2065"/>
    <w:rsid w:val="007A2FD0"/>
    <w:rsid w:val="007B328F"/>
    <w:rsid w:val="007B480B"/>
    <w:rsid w:val="007B4ADF"/>
    <w:rsid w:val="007B529B"/>
    <w:rsid w:val="007B5F0B"/>
    <w:rsid w:val="007B7DC3"/>
    <w:rsid w:val="007C3152"/>
    <w:rsid w:val="007C51C7"/>
    <w:rsid w:val="007D0716"/>
    <w:rsid w:val="007D58CE"/>
    <w:rsid w:val="007E0948"/>
    <w:rsid w:val="007E45E6"/>
    <w:rsid w:val="007E62BF"/>
    <w:rsid w:val="007F11E7"/>
    <w:rsid w:val="007F57C0"/>
    <w:rsid w:val="008024D8"/>
    <w:rsid w:val="00802952"/>
    <w:rsid w:val="008034F3"/>
    <w:rsid w:val="00812E77"/>
    <w:rsid w:val="0082289E"/>
    <w:rsid w:val="00825CC4"/>
    <w:rsid w:val="00835737"/>
    <w:rsid w:val="00854E4A"/>
    <w:rsid w:val="00881918"/>
    <w:rsid w:val="008A2581"/>
    <w:rsid w:val="008B3887"/>
    <w:rsid w:val="008B6094"/>
    <w:rsid w:val="008C0303"/>
    <w:rsid w:val="008D06DC"/>
    <w:rsid w:val="008D276C"/>
    <w:rsid w:val="008D4749"/>
    <w:rsid w:val="008D59F7"/>
    <w:rsid w:val="008D60FF"/>
    <w:rsid w:val="008E19D7"/>
    <w:rsid w:val="008E2E16"/>
    <w:rsid w:val="008F30B2"/>
    <w:rsid w:val="00900179"/>
    <w:rsid w:val="00906371"/>
    <w:rsid w:val="00910AFF"/>
    <w:rsid w:val="00914F7E"/>
    <w:rsid w:val="00934B65"/>
    <w:rsid w:val="00937FFE"/>
    <w:rsid w:val="009408DD"/>
    <w:rsid w:val="00942B65"/>
    <w:rsid w:val="00950352"/>
    <w:rsid w:val="00957E62"/>
    <w:rsid w:val="00963A83"/>
    <w:rsid w:val="00977E5A"/>
    <w:rsid w:val="00995139"/>
    <w:rsid w:val="009A6090"/>
    <w:rsid w:val="009B183E"/>
    <w:rsid w:val="009B6E62"/>
    <w:rsid w:val="009C1482"/>
    <w:rsid w:val="009C1FBE"/>
    <w:rsid w:val="009C39B8"/>
    <w:rsid w:val="009D1986"/>
    <w:rsid w:val="009D3EE7"/>
    <w:rsid w:val="009F6FF4"/>
    <w:rsid w:val="009F71C1"/>
    <w:rsid w:val="00A31F11"/>
    <w:rsid w:val="00A44C59"/>
    <w:rsid w:val="00A6309B"/>
    <w:rsid w:val="00A670C7"/>
    <w:rsid w:val="00AB6436"/>
    <w:rsid w:val="00AC2E06"/>
    <w:rsid w:val="00AC5BCF"/>
    <w:rsid w:val="00AD2E60"/>
    <w:rsid w:val="00AE38DE"/>
    <w:rsid w:val="00AF5BA8"/>
    <w:rsid w:val="00B228BC"/>
    <w:rsid w:val="00B22B13"/>
    <w:rsid w:val="00B25438"/>
    <w:rsid w:val="00B27B78"/>
    <w:rsid w:val="00B27D85"/>
    <w:rsid w:val="00B3335A"/>
    <w:rsid w:val="00B42830"/>
    <w:rsid w:val="00B707AB"/>
    <w:rsid w:val="00B96FE2"/>
    <w:rsid w:val="00BA4F37"/>
    <w:rsid w:val="00BB28CC"/>
    <w:rsid w:val="00BC0139"/>
    <w:rsid w:val="00BC287C"/>
    <w:rsid w:val="00BC45DE"/>
    <w:rsid w:val="00BC4AD4"/>
    <w:rsid w:val="00BD4A5A"/>
    <w:rsid w:val="00BF0BAA"/>
    <w:rsid w:val="00C01C7A"/>
    <w:rsid w:val="00C25F75"/>
    <w:rsid w:val="00C330BF"/>
    <w:rsid w:val="00C42160"/>
    <w:rsid w:val="00C46C3D"/>
    <w:rsid w:val="00C54A1B"/>
    <w:rsid w:val="00C605B8"/>
    <w:rsid w:val="00C65FBD"/>
    <w:rsid w:val="00C67DEC"/>
    <w:rsid w:val="00C7463B"/>
    <w:rsid w:val="00C750A3"/>
    <w:rsid w:val="00C86F00"/>
    <w:rsid w:val="00C87830"/>
    <w:rsid w:val="00C910F3"/>
    <w:rsid w:val="00CA7335"/>
    <w:rsid w:val="00CB0925"/>
    <w:rsid w:val="00CB09D3"/>
    <w:rsid w:val="00CB0F82"/>
    <w:rsid w:val="00CC2428"/>
    <w:rsid w:val="00CD0720"/>
    <w:rsid w:val="00CD2E9E"/>
    <w:rsid w:val="00CE56CB"/>
    <w:rsid w:val="00CF192F"/>
    <w:rsid w:val="00CF1F40"/>
    <w:rsid w:val="00CF4507"/>
    <w:rsid w:val="00D02FC6"/>
    <w:rsid w:val="00D0491D"/>
    <w:rsid w:val="00D1243E"/>
    <w:rsid w:val="00D16D71"/>
    <w:rsid w:val="00D25015"/>
    <w:rsid w:val="00D36121"/>
    <w:rsid w:val="00D4283D"/>
    <w:rsid w:val="00D44E80"/>
    <w:rsid w:val="00D56585"/>
    <w:rsid w:val="00D56E9A"/>
    <w:rsid w:val="00D64DF0"/>
    <w:rsid w:val="00D702FB"/>
    <w:rsid w:val="00D75E8D"/>
    <w:rsid w:val="00D827A7"/>
    <w:rsid w:val="00D90125"/>
    <w:rsid w:val="00DB1429"/>
    <w:rsid w:val="00DB2248"/>
    <w:rsid w:val="00DE3EBA"/>
    <w:rsid w:val="00E00D5C"/>
    <w:rsid w:val="00E105DB"/>
    <w:rsid w:val="00E1296C"/>
    <w:rsid w:val="00E353AA"/>
    <w:rsid w:val="00E4583D"/>
    <w:rsid w:val="00E45B65"/>
    <w:rsid w:val="00E61D40"/>
    <w:rsid w:val="00E63219"/>
    <w:rsid w:val="00E66048"/>
    <w:rsid w:val="00E73C39"/>
    <w:rsid w:val="00E867F2"/>
    <w:rsid w:val="00EA10EA"/>
    <w:rsid w:val="00EC2464"/>
    <w:rsid w:val="00EC7D33"/>
    <w:rsid w:val="00EE2E4E"/>
    <w:rsid w:val="00EE6B1A"/>
    <w:rsid w:val="00F00785"/>
    <w:rsid w:val="00F20B14"/>
    <w:rsid w:val="00F20EF3"/>
    <w:rsid w:val="00F3025C"/>
    <w:rsid w:val="00F32442"/>
    <w:rsid w:val="00F331BE"/>
    <w:rsid w:val="00F7199F"/>
    <w:rsid w:val="00F71F93"/>
    <w:rsid w:val="00F8161B"/>
    <w:rsid w:val="00F94CCB"/>
    <w:rsid w:val="00FC2040"/>
    <w:rsid w:val="00FC2E47"/>
    <w:rsid w:val="00FD191C"/>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C901"/>
  <w15:chartTrackingRefBased/>
  <w15:docId w15:val="{70AB64E6-D8B2-4F21-9DFB-852DAA13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CB0F82"/>
    <w:pPr>
      <w:keepNext/>
      <w:tabs>
        <w:tab w:val="left" w:pos="960"/>
        <w:tab w:val="right" w:pos="9240"/>
      </w:tabs>
      <w:spacing w:after="0" w:line="240" w:lineRule="auto"/>
      <w:outlineLvl w:val="0"/>
    </w:pPr>
    <w:rPr>
      <w:rFonts w:ascii="Arial" w:eastAsia="Times New Roman"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B175A"/>
    <w:rPr>
      <w:color w:val="0000FF"/>
      <w:u w:val="single"/>
    </w:rPr>
  </w:style>
  <w:style w:type="paragraph" w:styleId="FootnoteText">
    <w:name w:val="footnote text"/>
    <w:basedOn w:val="Normal"/>
    <w:link w:val="FootnoteTextChar"/>
    <w:uiPriority w:val="99"/>
    <w:semiHidden/>
    <w:unhideWhenUsed/>
    <w:rsid w:val="000B175A"/>
    <w:pPr>
      <w:autoSpaceDE w:val="0"/>
      <w:autoSpaceDN w:val="0"/>
      <w:adjustRightInd w:val="0"/>
      <w:spacing w:after="0" w:line="240" w:lineRule="auto"/>
    </w:pPr>
    <w:rPr>
      <w:rFonts w:ascii="Courier 10cpi" w:eastAsia="Times New Roman" w:hAnsi="Courier 10cpi"/>
      <w:sz w:val="20"/>
      <w:szCs w:val="20"/>
    </w:rPr>
  </w:style>
  <w:style w:type="character" w:customStyle="1" w:styleId="FootnoteTextChar">
    <w:name w:val="Footnote Text Char"/>
    <w:link w:val="FootnoteText"/>
    <w:uiPriority w:val="99"/>
    <w:semiHidden/>
    <w:rsid w:val="000B175A"/>
    <w:rPr>
      <w:rFonts w:ascii="Courier 10cpi" w:eastAsia="Times New Roman" w:hAnsi="Courier 10cpi"/>
    </w:rPr>
  </w:style>
  <w:style w:type="paragraph" w:styleId="BodyTextIndent">
    <w:name w:val="Body Text Indent"/>
    <w:basedOn w:val="Normal"/>
    <w:link w:val="BodyTextIndentChar"/>
    <w:semiHidden/>
    <w:unhideWhenUsed/>
    <w:rsid w:val="000B175A"/>
    <w:pPr>
      <w:autoSpaceDE w:val="0"/>
      <w:autoSpaceDN w:val="0"/>
      <w:adjustRightInd w:val="0"/>
      <w:spacing w:after="120" w:line="240" w:lineRule="auto"/>
      <w:ind w:left="360"/>
    </w:pPr>
    <w:rPr>
      <w:rFonts w:ascii="Courier 10cpi" w:eastAsia="Times New Roman" w:hAnsi="Courier 10cpi"/>
      <w:sz w:val="20"/>
      <w:szCs w:val="20"/>
    </w:rPr>
  </w:style>
  <w:style w:type="character" w:customStyle="1" w:styleId="BodyTextIndentChar">
    <w:name w:val="Body Text Indent Char"/>
    <w:link w:val="BodyTextIndent"/>
    <w:semiHidden/>
    <w:rsid w:val="000B175A"/>
    <w:rPr>
      <w:rFonts w:ascii="Courier 10cpi" w:eastAsia="Times New Roman" w:hAnsi="Courier 10cpi"/>
    </w:rPr>
  </w:style>
  <w:style w:type="paragraph" w:styleId="BlockText">
    <w:name w:val="Block Text"/>
    <w:basedOn w:val="Normal"/>
    <w:semiHidden/>
    <w:unhideWhenUsed/>
    <w:rsid w:val="000B175A"/>
    <w:pPr>
      <w:tabs>
        <w:tab w:val="left" w:pos="720"/>
        <w:tab w:val="left" w:pos="1440"/>
      </w:tabs>
      <w:spacing w:after="0" w:line="240" w:lineRule="auto"/>
      <w:ind w:left="720" w:right="-720"/>
    </w:pPr>
    <w:rPr>
      <w:rFonts w:ascii="Times New Roman" w:eastAsia="Times New Roman" w:hAnsi="Times New Roman"/>
      <w:sz w:val="28"/>
      <w:szCs w:val="20"/>
    </w:rPr>
  </w:style>
  <w:style w:type="character" w:styleId="FootnoteReference">
    <w:name w:val="footnote reference"/>
    <w:uiPriority w:val="99"/>
    <w:semiHidden/>
    <w:unhideWhenUsed/>
    <w:rsid w:val="000B175A"/>
    <w:rPr>
      <w:vertAlign w:val="superscript"/>
    </w:rPr>
  </w:style>
  <w:style w:type="paragraph" w:styleId="BalloonText">
    <w:name w:val="Balloon Text"/>
    <w:basedOn w:val="Normal"/>
    <w:link w:val="BalloonTextChar"/>
    <w:uiPriority w:val="99"/>
    <w:semiHidden/>
    <w:unhideWhenUsed/>
    <w:rsid w:val="000B1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175A"/>
    <w:rPr>
      <w:rFonts w:ascii="Tahoma" w:hAnsi="Tahoma" w:cs="Tahoma"/>
      <w:sz w:val="16"/>
      <w:szCs w:val="16"/>
    </w:rPr>
  </w:style>
  <w:style w:type="paragraph" w:styleId="Header">
    <w:name w:val="header"/>
    <w:basedOn w:val="Normal"/>
    <w:link w:val="HeaderChar"/>
    <w:uiPriority w:val="99"/>
    <w:unhideWhenUsed/>
    <w:rsid w:val="00011C5B"/>
    <w:pPr>
      <w:tabs>
        <w:tab w:val="center" w:pos="4680"/>
        <w:tab w:val="right" w:pos="9360"/>
      </w:tabs>
    </w:pPr>
  </w:style>
  <w:style w:type="character" w:customStyle="1" w:styleId="HeaderChar">
    <w:name w:val="Header Char"/>
    <w:link w:val="Header"/>
    <w:uiPriority w:val="99"/>
    <w:rsid w:val="00011C5B"/>
    <w:rPr>
      <w:sz w:val="22"/>
      <w:szCs w:val="22"/>
    </w:rPr>
  </w:style>
  <w:style w:type="paragraph" w:styleId="Footer">
    <w:name w:val="footer"/>
    <w:basedOn w:val="Normal"/>
    <w:link w:val="FooterChar"/>
    <w:uiPriority w:val="99"/>
    <w:unhideWhenUsed/>
    <w:rsid w:val="00011C5B"/>
    <w:pPr>
      <w:tabs>
        <w:tab w:val="center" w:pos="4680"/>
        <w:tab w:val="right" w:pos="9360"/>
      </w:tabs>
    </w:pPr>
  </w:style>
  <w:style w:type="character" w:customStyle="1" w:styleId="FooterChar">
    <w:name w:val="Footer Char"/>
    <w:link w:val="Footer"/>
    <w:uiPriority w:val="99"/>
    <w:rsid w:val="00011C5B"/>
    <w:rPr>
      <w:sz w:val="22"/>
      <w:szCs w:val="22"/>
    </w:rPr>
  </w:style>
  <w:style w:type="character" w:customStyle="1" w:styleId="Heading1Char">
    <w:name w:val="Heading 1 Char"/>
    <w:link w:val="Heading1"/>
    <w:rsid w:val="00CB0F82"/>
    <w:rPr>
      <w:rFonts w:ascii="Arial" w:eastAsia="Times New Roman" w:hAnsi="Arial"/>
      <w:sz w:val="28"/>
    </w:rPr>
  </w:style>
  <w:style w:type="character" w:styleId="CommentReference">
    <w:name w:val="annotation reference"/>
    <w:uiPriority w:val="99"/>
    <w:semiHidden/>
    <w:rsid w:val="00CB0F82"/>
    <w:rPr>
      <w:sz w:val="16"/>
      <w:szCs w:val="16"/>
    </w:rPr>
  </w:style>
  <w:style w:type="paragraph" w:styleId="CommentText">
    <w:name w:val="annotation text"/>
    <w:basedOn w:val="Normal"/>
    <w:link w:val="CommentTextChar"/>
    <w:semiHidden/>
    <w:rsid w:val="00CB0F82"/>
    <w:pPr>
      <w:autoSpaceDE w:val="0"/>
      <w:autoSpaceDN w:val="0"/>
      <w:adjustRightInd w:val="0"/>
      <w:spacing w:after="0" w:line="240" w:lineRule="auto"/>
    </w:pPr>
    <w:rPr>
      <w:rFonts w:ascii="Courier 10cpi" w:eastAsia="Times New Roman" w:hAnsi="Courier 10cpi"/>
      <w:sz w:val="20"/>
      <w:szCs w:val="20"/>
    </w:rPr>
  </w:style>
  <w:style w:type="character" w:customStyle="1" w:styleId="CommentTextChar">
    <w:name w:val="Comment Text Char"/>
    <w:link w:val="CommentText"/>
    <w:semiHidden/>
    <w:rsid w:val="00CB0F82"/>
    <w:rPr>
      <w:rFonts w:ascii="Courier 10cpi" w:eastAsia="Times New Roman" w:hAnsi="Courier 10cpi"/>
    </w:rPr>
  </w:style>
  <w:style w:type="paragraph" w:styleId="CommentSubject">
    <w:name w:val="annotation subject"/>
    <w:basedOn w:val="CommentText"/>
    <w:next w:val="CommentText"/>
    <w:link w:val="CommentSubjectChar"/>
    <w:uiPriority w:val="99"/>
    <w:semiHidden/>
    <w:unhideWhenUsed/>
    <w:rsid w:val="00E66048"/>
    <w:pPr>
      <w:autoSpaceDE/>
      <w:autoSpaceDN/>
      <w:adjustRightInd/>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E66048"/>
    <w:rPr>
      <w:rFonts w:ascii="Courier 10cpi" w:eastAsia="Times New Roman" w:hAnsi="Courier 10cpi"/>
      <w:b/>
      <w:bCs/>
    </w:rPr>
  </w:style>
  <w:style w:type="paragraph" w:styleId="NoSpacing">
    <w:name w:val="No Spacing"/>
    <w:uiPriority w:val="1"/>
    <w:qFormat/>
    <w:rsid w:val="00C87830"/>
    <w:rPr>
      <w:sz w:val="22"/>
      <w:szCs w:val="22"/>
    </w:rPr>
  </w:style>
  <w:style w:type="character" w:styleId="FollowedHyperlink">
    <w:name w:val="FollowedHyperlink"/>
    <w:uiPriority w:val="99"/>
    <w:semiHidden/>
    <w:unhideWhenUsed/>
    <w:rsid w:val="00CD0720"/>
    <w:rPr>
      <w:color w:val="954F72"/>
      <w:u w:val="single"/>
    </w:rPr>
  </w:style>
  <w:style w:type="character" w:styleId="UnresolvedMention">
    <w:name w:val="Unresolved Mention"/>
    <w:uiPriority w:val="99"/>
    <w:semiHidden/>
    <w:unhideWhenUsed/>
    <w:rsid w:val="00C605B8"/>
    <w:rPr>
      <w:color w:val="605E5C"/>
      <w:shd w:val="clear" w:color="auto" w:fill="E1DFDD"/>
    </w:rPr>
  </w:style>
  <w:style w:type="paragraph" w:styleId="Revision">
    <w:name w:val="Revision"/>
    <w:hidden/>
    <w:uiPriority w:val="99"/>
    <w:semiHidden/>
    <w:rsid w:val="00204956"/>
    <w:rPr>
      <w:sz w:val="22"/>
      <w:szCs w:val="22"/>
    </w:rPr>
  </w:style>
  <w:style w:type="character" w:styleId="Emphasis">
    <w:name w:val="Emphasis"/>
    <w:uiPriority w:val="20"/>
    <w:qFormat/>
    <w:rsid w:val="005B2B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8708">
      <w:bodyDiv w:val="1"/>
      <w:marLeft w:val="0"/>
      <w:marRight w:val="0"/>
      <w:marTop w:val="0"/>
      <w:marBottom w:val="0"/>
      <w:divBdr>
        <w:top w:val="none" w:sz="0" w:space="0" w:color="auto"/>
        <w:left w:val="none" w:sz="0" w:space="0" w:color="auto"/>
        <w:bottom w:val="none" w:sz="0" w:space="0" w:color="auto"/>
        <w:right w:val="none" w:sz="0" w:space="0" w:color="auto"/>
      </w:divBdr>
    </w:div>
    <w:div w:id="735007206">
      <w:bodyDiv w:val="1"/>
      <w:marLeft w:val="0"/>
      <w:marRight w:val="0"/>
      <w:marTop w:val="0"/>
      <w:marBottom w:val="0"/>
      <w:divBdr>
        <w:top w:val="none" w:sz="0" w:space="0" w:color="auto"/>
        <w:left w:val="none" w:sz="0" w:space="0" w:color="auto"/>
        <w:bottom w:val="none" w:sz="0" w:space="0" w:color="auto"/>
        <w:right w:val="none" w:sz="0" w:space="0" w:color="auto"/>
      </w:divBdr>
    </w:div>
    <w:div w:id="11873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32b432a01be3bb38deb2ed917223352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597f3a5a5aa1803b7d5eb8044e5f9b90"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2476-BBFD-4A2D-8B31-50D7D04B1595}">
  <ds:schemaRefs>
    <ds:schemaRef ds:uri="http://schemas.microsoft.com/office/2006/metadata/longProperties"/>
  </ds:schemaRefs>
</ds:datastoreItem>
</file>

<file path=customXml/itemProps2.xml><?xml version="1.0" encoding="utf-8"?>
<ds:datastoreItem xmlns:ds="http://schemas.openxmlformats.org/officeDocument/2006/customXml" ds:itemID="{FB9DC096-AF3D-41F3-BF49-70EE416207D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cbee1-b604-4d95-9f89-3d25ff6383a8"/>
    <ds:schemaRef ds:uri="ecc0eb5f-8763-404a-8c31-210cabb72f8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ED8EF0-28FF-46AA-97FB-F251AA50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45FF0-F41F-47EF-8AC9-6D088D16EDF6}">
  <ds:schemaRefs>
    <ds:schemaRef ds:uri="http://schemas.microsoft.com/sharepoint/v3/contenttype/forms"/>
  </ds:schemaRefs>
</ds:datastoreItem>
</file>

<file path=customXml/itemProps5.xml><?xml version="1.0" encoding="utf-8"?>
<ds:datastoreItem xmlns:ds="http://schemas.openxmlformats.org/officeDocument/2006/customXml" ds:itemID="{0200422D-D05C-4D16-BAB2-A6CA9C25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Howard P</dc:creator>
  <cp:keywords/>
  <cp:lastModifiedBy>Mizrachi, Ila</cp:lastModifiedBy>
  <cp:revision>7</cp:revision>
  <cp:lastPrinted>2017-08-30T17:07:00Z</cp:lastPrinted>
  <dcterms:created xsi:type="dcterms:W3CDTF">2020-11-20T22:34:00Z</dcterms:created>
  <dcterms:modified xsi:type="dcterms:W3CDTF">2021-03-03T14:58:00Z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DZDRYCS6JSRJ-276-64</vt:lpwstr>
  </property>
  <property fmtid="{D5CDD505-2E9C-101B-9397-08002B2CF9AE}" pid="3" name="_dlc_DocIdItemGuid">
    <vt:lpwstr>b89b563d-da12-4904-8d7d-dcf3c1556151</vt:lpwstr>
  </property>
  <property fmtid="{D5CDD505-2E9C-101B-9397-08002B2CF9AE}" pid="4" name="_dlc_DocIdUrl">
    <vt:lpwstr>http://sharepoint.fda.gov/orgs/OC-OCS/ORSI/SBS/_layouts/DocIdRedir.aspx?ID=DZDRYCS6JSRJ-276-64, DZDRYCS6JSRJ-276-64</vt:lpwstr>
  </property>
  <property fmtid="{D5CDD505-2E9C-101B-9397-08002B2CF9AE}" pid="5" name="ContentTypeId">
    <vt:lpwstr>0x010100076A08FBD5310342BF958ADCB470BE9A</vt:lpwstr>
  </property>
</Properties>
</file>