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4F3E" w:rsidR="00CE4F3E" w:rsidP="003A6829" w:rsidRDefault="00CE4F3E" w14:paraId="46329818" w14:textId="77777777">
      <w:pPr>
        <w:jc w:val="center"/>
      </w:pPr>
      <w:r w:rsidRPr="00CE4F3E">
        <w:t>UNITED STATES FOOD &amp; DRUG ADMINISTRATION</w:t>
      </w:r>
    </w:p>
    <w:p w:rsidRPr="00CE4F3E" w:rsidR="00CE4F3E" w:rsidP="003A6829" w:rsidRDefault="00CE4F3E" w14:paraId="1E01A77D" w14:textId="77777777">
      <w:pPr>
        <w:jc w:val="center"/>
      </w:pPr>
    </w:p>
    <w:p w:rsidR="00EB7538" w:rsidP="003A6829" w:rsidRDefault="007A74C4" w14:paraId="40833263" w14:textId="77777777">
      <w:pPr>
        <w:jc w:val="center"/>
      </w:pPr>
      <w:r w:rsidRPr="00CE4F3E">
        <w:t>FDA Recall Regulations</w:t>
      </w:r>
    </w:p>
    <w:p w:rsidRPr="00CE4F3E" w:rsidR="003A6829" w:rsidP="003A6829" w:rsidRDefault="003A6829" w14:paraId="0430E0DA" w14:textId="77777777">
      <w:pPr>
        <w:jc w:val="center"/>
      </w:pPr>
    </w:p>
    <w:p w:rsidRPr="00CE4F3E" w:rsidR="003A6829" w:rsidP="003A6829" w:rsidRDefault="003E57E7" w14:paraId="622EB959" w14:textId="77777777">
      <w:pPr>
        <w:jc w:val="center"/>
      </w:pPr>
      <w:r w:rsidRPr="00CE4F3E">
        <w:t xml:space="preserve">OMB Control Number </w:t>
      </w:r>
      <w:r w:rsidRPr="00CE4F3E" w:rsidR="00EB7538">
        <w:t>0910-</w:t>
      </w:r>
      <w:r w:rsidRPr="00CE4F3E" w:rsidR="007A74C4">
        <w:t>0249</w:t>
      </w:r>
      <w:r w:rsidR="003A6829">
        <w:t xml:space="preserve"> – </w:t>
      </w:r>
      <w:r w:rsidRPr="003A6829" w:rsidR="003A6829">
        <w:rPr>
          <w:i/>
          <w:iCs/>
        </w:rPr>
        <w:t>Extension</w:t>
      </w:r>
    </w:p>
    <w:p w:rsidR="00660344" w:rsidP="00CE4F3E" w:rsidRDefault="00660344" w14:paraId="35898757" w14:textId="77777777"/>
    <w:p w:rsidR="00144102" w:rsidP="00CE4F3E" w:rsidRDefault="00144102" w14:paraId="7819DFAE" w14:textId="77777777"/>
    <w:p w:rsidRPr="00CE4F3E" w:rsidR="00EB7538" w:rsidP="00CE4F3E" w:rsidRDefault="00EB7538" w14:paraId="13A71691" w14:textId="77777777">
      <w:r w:rsidRPr="00CE4F3E">
        <w:t>SUPPORTING STATEMENT</w:t>
      </w:r>
      <w:r w:rsidR="00CE4F3E">
        <w:t xml:space="preserve"> – </w:t>
      </w:r>
      <w:r w:rsidRPr="003A6829" w:rsidR="00CE4F3E">
        <w:rPr>
          <w:b/>
          <w:bCs/>
        </w:rPr>
        <w:t>Part A:  Justification</w:t>
      </w:r>
    </w:p>
    <w:p w:rsidRPr="00CE4F3E" w:rsidR="00E123FF" w:rsidP="00CE4F3E" w:rsidRDefault="00E123FF" w14:paraId="0C197200" w14:textId="77777777"/>
    <w:p w:rsidRPr="00CE4F3E" w:rsidR="008B30AB" w:rsidP="00CE4F3E" w:rsidRDefault="00CE4F3E" w14:paraId="47371BC1" w14:textId="77777777">
      <w:r>
        <w:t xml:space="preserve">1.  </w:t>
      </w:r>
      <w:r w:rsidRPr="003A6829" w:rsidR="00EB7538">
        <w:rPr>
          <w:u w:val="single"/>
        </w:rPr>
        <w:t>Circumstances Making the Collection of Information Necessary</w:t>
      </w:r>
    </w:p>
    <w:p w:rsidRPr="00CE4F3E" w:rsidR="00CE4F3E" w:rsidP="00CE4F3E" w:rsidRDefault="00CE4F3E" w14:paraId="283085F8" w14:textId="77777777"/>
    <w:p w:rsidR="00660344" w:rsidP="00CE4F3E" w:rsidRDefault="003A6829" w14:paraId="6890402D" w14:textId="77777777">
      <w:r w:rsidRPr="003A6829">
        <w:t>This information collection helps support implementation of section 701 of the Federal Food, Drug, and Cosmetic Act (21 U.S.C. 371) pertaining to product recalls, and regulations in part 7 (21 CFR part 7), subpart C promulgated to clarify and explain associated practices and procedures</w:t>
      </w:r>
      <w:r w:rsidR="00144102">
        <w:t xml:space="preserve"> by the U.S. Food and Drug Administration (FDA, the agency)</w:t>
      </w:r>
      <w:r w:rsidRPr="003A6829">
        <w:t xml:space="preserve">.  Sections 7.49, 7.50, and 7.59 (21 CFR 7.49, 7.50, and 7.59) apply specifically to product recalls, which may be undertaken voluntarily and at any time by manufacturers and distributors, or at the request of the </w:t>
      </w:r>
      <w:r w:rsidR="00144102">
        <w:t>a</w:t>
      </w:r>
      <w:r w:rsidRPr="003A6829">
        <w:t>gency.  Recalls are terminated when all reasonable efforts have been made to remove or correct the product in accordance with the recall strategy.  The regulations also provide for corrective actions to be taken regarding violative products and establish specific requirements that enable us to monitor and assess the adequacy of a firm’s efforts in this regard.  The provisions include reporting to FDA on the initiation and termination of a recall, as well as submitting recall status reports and making required communication disclosures.  Specific guidance regarding recalls is set forth in § 7.59, although product-specific guidance documents may also be developed to assist respondents to the information collection.  Agency guidance documents are issued in accordance with our good guidance regulations in 21 CFR 10.115, which provide for public comment at any time.</w:t>
      </w:r>
      <w:r w:rsidR="00FD15FB">
        <w:t xml:space="preserve"> </w:t>
      </w:r>
    </w:p>
    <w:p w:rsidR="00144102" w:rsidP="00CE4F3E" w:rsidRDefault="00144102" w14:paraId="00FAEA53" w14:textId="77777777"/>
    <w:p w:rsidR="00660344" w:rsidP="00CE4F3E" w:rsidRDefault="00660344" w14:paraId="34FC1BD0" w14:textId="77777777">
      <w:r w:rsidRPr="00660344">
        <w:rPr>
          <w:lang w:val="en"/>
        </w:rPr>
        <w:t xml:space="preserve">Consistent with § 7.50, all </w:t>
      </w:r>
      <w:r w:rsidRPr="00660344">
        <w:t>recalls monitored by FDA are included in an “Enforcement Report” once they are classified and may be listed prior to classification when FDA determines the firm’s removal or correction of a marketed product(s) meets the definition of a recall.  Recall data in the Enforcement Report can be accessed through the weekly report publication, the quick and advanced search functionalities, and an Application Programming Interface (API).</w:t>
      </w:r>
      <w:r w:rsidRPr="00660344">
        <w:rPr>
          <w:lang w:val="en"/>
        </w:rPr>
        <w:t xml:space="preserve">  </w:t>
      </w:r>
      <w:r w:rsidRPr="00660344">
        <w:t xml:space="preserve">Instructions for navigating the report, accessing and using the API, and definitions of the report contents are found at </w:t>
      </w:r>
      <w:hyperlink w:history="1" r:id="rId7">
        <w:r w:rsidRPr="00660344">
          <w:rPr>
            <w:rStyle w:val="Hyperlink"/>
          </w:rPr>
          <w:t>https://www.fda.gov/safety/enforcement-reports/enforcement-report-information-and-definitions</w:t>
        </w:r>
      </w:hyperlink>
      <w:r w:rsidRPr="00660344">
        <w:t>.</w:t>
      </w:r>
    </w:p>
    <w:p w:rsidR="00660344" w:rsidP="00CE4F3E" w:rsidRDefault="00660344" w14:paraId="46C3D41A" w14:textId="77777777"/>
    <w:p w:rsidRPr="00CE4F3E" w:rsidR="003A6829" w:rsidP="00CE4F3E" w:rsidRDefault="003A6829" w14:paraId="61ACD11B" w14:textId="77777777">
      <w:r>
        <w:t>We therefore request extension of OMB approval for the information collection found in our regulations in 21 CFR part 7 (</w:t>
      </w:r>
      <w:r w:rsidRPr="003A6829">
        <w:rPr>
          <w:i/>
          <w:iCs/>
        </w:rPr>
        <w:t>Recalls (Including Product Corrections)—Guidance on Policy, Procedures, and Industry Responsibilities</w:t>
      </w:r>
      <w:r>
        <w:t>) and associated guidance, as discussed in this supporting statement.</w:t>
      </w:r>
    </w:p>
    <w:p w:rsidRPr="00CE4F3E" w:rsidR="00C43463" w:rsidP="00CE4F3E" w:rsidRDefault="00C43463" w14:paraId="3DDEF14B" w14:textId="77777777"/>
    <w:p w:rsidRPr="00CE4F3E" w:rsidR="008B30AB" w:rsidP="00CE4F3E" w:rsidRDefault="00CE4F3E" w14:paraId="2CDBA715" w14:textId="77777777">
      <w:r>
        <w:t xml:space="preserve">2.  </w:t>
      </w:r>
      <w:r w:rsidRPr="003A6829" w:rsidR="00EB7538">
        <w:rPr>
          <w:u w:val="single"/>
        </w:rPr>
        <w:t>Purpose and Use of the Information Collection</w:t>
      </w:r>
      <w:r w:rsidRPr="00CE4F3E" w:rsidR="00EB7538">
        <w:t xml:space="preserve"> </w:t>
      </w:r>
    </w:p>
    <w:p w:rsidRPr="00CE4F3E" w:rsidR="003E57E7" w:rsidP="00CE4F3E" w:rsidRDefault="003E57E7" w14:paraId="01A5AC7F" w14:textId="77777777"/>
    <w:p w:rsidRPr="00CE4F3E" w:rsidR="00030A69" w:rsidP="00CE4F3E" w:rsidRDefault="003A6829" w14:paraId="4BD72BC6" w14:textId="77777777">
      <w:r>
        <w:t>Regulations in 21 CFR 7.40 explain that product recall is “</w:t>
      </w:r>
      <w:r w:rsidRPr="003A6829">
        <w:rPr>
          <w:i/>
          <w:iCs/>
        </w:rPr>
        <w:t xml:space="preserve">an effective </w:t>
      </w:r>
      <w:r w:rsidRPr="003A6829">
        <w:rPr>
          <w:i/>
          <w:iCs/>
        </w:rPr>
        <w:t xml:space="preserve">method of removing or correcting consumer products that are in violation of laws administered by the Food and Drug </w:t>
      </w:r>
      <w:r w:rsidRPr="003A6829">
        <w:rPr>
          <w:i/>
          <w:iCs/>
        </w:rPr>
        <w:lastRenderedPageBreak/>
        <w:t>Administration.</w:t>
      </w:r>
      <w:r w:rsidRPr="003A6829">
        <w:rPr>
          <w:i/>
          <w:iCs/>
        </w:rPr>
        <w:t xml:space="preserve">  </w:t>
      </w:r>
      <w:r w:rsidRPr="003A6829">
        <w:rPr>
          <w:i/>
          <w:iCs/>
        </w:rPr>
        <w:t>Recall is a voluntary action that takes place because manufacturers and distributors carry out their responsibility to protect the public health and well-being from products that present a risk of injury or gross deception or are otherwise defective</w:t>
      </w:r>
      <w:r w:rsidRPr="003A6829">
        <w:t>.</w:t>
      </w:r>
      <w:r>
        <w:t>”  The purpose of the information collection is to achieve these objectives.  The regulations also permit</w:t>
      </w:r>
      <w:r w:rsidRPr="00CE4F3E" w:rsidR="00030A69">
        <w:t xml:space="preserve"> FDA to evaluate whether a recall has been completed in a manner which assures that unreasonable risk of substantial harm to the public health has been eliminated</w:t>
      </w:r>
      <w:r w:rsidRPr="00CE4F3E" w:rsidR="00D33ED1">
        <w:t xml:space="preserve"> and that violative products have been corrected or removed from the market</w:t>
      </w:r>
      <w:r w:rsidRPr="00CE4F3E" w:rsidR="00030A69">
        <w:t>.</w:t>
      </w:r>
    </w:p>
    <w:p w:rsidRPr="00CE4F3E" w:rsidR="00254E17" w:rsidP="00CE4F3E" w:rsidRDefault="00254E17" w14:paraId="18B72825" w14:textId="77777777"/>
    <w:p w:rsidRPr="00CE4F3E" w:rsidR="002746DB" w:rsidP="00CE4F3E" w:rsidRDefault="00CE4F3E" w14:paraId="458BD0E2" w14:textId="77777777">
      <w:r>
        <w:t xml:space="preserve">3.  </w:t>
      </w:r>
      <w:r w:rsidRPr="003A6829" w:rsidR="00EB7538">
        <w:rPr>
          <w:u w:val="single"/>
        </w:rPr>
        <w:t>Use of Improved Information Technology and Burden Reduction</w:t>
      </w:r>
      <w:r w:rsidRPr="00CE4F3E" w:rsidR="00EB7538">
        <w:t xml:space="preserve"> </w:t>
      </w:r>
    </w:p>
    <w:p w:rsidRPr="00CE4F3E" w:rsidR="003E57E7" w:rsidP="00CE4F3E" w:rsidRDefault="003E57E7" w14:paraId="1FD945D8" w14:textId="77777777"/>
    <w:p w:rsidRPr="00CE4F3E" w:rsidR="00C14510" w:rsidP="00CE4F3E" w:rsidRDefault="00FD15FB" w14:paraId="6D593DD7" w14:textId="77777777">
      <w:r>
        <w:t xml:space="preserve">The majority of agency business is conducted electronically reflecting industry trends in this regard; we estimate </w:t>
      </w:r>
      <w:r w:rsidRPr="00CE4F3E" w:rsidR="00C14510">
        <w:t xml:space="preserve">95% of </w:t>
      </w:r>
      <w:r>
        <w:t>respondents will fulfill the information collection through electronic means.</w:t>
      </w:r>
      <w:r w:rsidRPr="00CE4F3E" w:rsidR="00C14510">
        <w:t xml:space="preserve"> </w:t>
      </w:r>
    </w:p>
    <w:p w:rsidRPr="00CE4F3E" w:rsidR="00C14510" w:rsidP="00CE4F3E" w:rsidRDefault="00C14510" w14:paraId="13A66129" w14:textId="77777777"/>
    <w:p w:rsidRPr="00CE4F3E" w:rsidR="002746DB" w:rsidP="00CE4F3E" w:rsidRDefault="00CE4F3E" w14:paraId="70EA25B4" w14:textId="77777777">
      <w:r>
        <w:t xml:space="preserve">4.  </w:t>
      </w:r>
      <w:r w:rsidRPr="00FD15FB" w:rsidR="00EB7538">
        <w:rPr>
          <w:u w:val="single"/>
        </w:rPr>
        <w:t>Efforts to Identify Duplication and Use of Similar Information</w:t>
      </w:r>
      <w:r w:rsidRPr="00CE4F3E" w:rsidR="00EB7538">
        <w:t xml:space="preserve"> </w:t>
      </w:r>
    </w:p>
    <w:p w:rsidRPr="00CE4F3E" w:rsidR="00BE0512" w:rsidP="00CE4F3E" w:rsidRDefault="00BE0512" w14:paraId="61B552FD" w14:textId="77777777"/>
    <w:p w:rsidRPr="00CE4F3E" w:rsidR="00254E17" w:rsidP="00CE4F3E" w:rsidRDefault="00EE1741" w14:paraId="043DA3A2" w14:textId="77777777">
      <w:r w:rsidRPr="00CE4F3E">
        <w:t>We are unaware of duplicative information collection.</w:t>
      </w:r>
    </w:p>
    <w:p w:rsidRPr="00CE4F3E" w:rsidR="00EE1741" w:rsidP="00CE4F3E" w:rsidRDefault="00EE1741" w14:paraId="4BBB2AA9" w14:textId="77777777"/>
    <w:p w:rsidRPr="00CE4F3E" w:rsidR="002746DB" w:rsidP="00CE4F3E" w:rsidRDefault="00CE4F3E" w14:paraId="666060B2" w14:textId="77777777">
      <w:r>
        <w:t xml:space="preserve">5.  </w:t>
      </w:r>
      <w:r w:rsidRPr="00FD15FB" w:rsidR="00EB7538">
        <w:rPr>
          <w:u w:val="single"/>
        </w:rPr>
        <w:t>Impact on Small Businesses or Other Small Entities</w:t>
      </w:r>
    </w:p>
    <w:p w:rsidRPr="00CE4F3E" w:rsidR="00BE0512" w:rsidP="00CE4F3E" w:rsidRDefault="00BE0512" w14:paraId="1A6A7B90" w14:textId="77777777"/>
    <w:p w:rsidRPr="00CE4F3E" w:rsidR="00CD0406" w:rsidP="00FD15FB" w:rsidRDefault="00FD15FB" w14:paraId="0212F033" w14:textId="77777777">
      <w:r>
        <w:t xml:space="preserve">The information collection poses no undue burden on small entities, nor do </w:t>
      </w:r>
      <w:r w:rsidRPr="00CE4F3E" w:rsidR="00CD0406">
        <w:t xml:space="preserve">requirements fall disproportionately on small business.  </w:t>
      </w:r>
      <w:r>
        <w:t xml:space="preserve">At the same time, we </w:t>
      </w:r>
      <w:r w:rsidRPr="00FD15FB">
        <w:t xml:space="preserve">provide information resources to both </w:t>
      </w:r>
      <w:r w:rsidRPr="00FD15FB" w:rsidR="00644952">
        <w:t>respondents</w:t>
      </w:r>
      <w:r w:rsidRPr="00FD15FB">
        <w:t xml:space="preserve"> and consumers regarding FDA product recalls from our website at:  </w:t>
      </w:r>
      <w:hyperlink w:history="1" r:id="rId8">
        <w:r w:rsidRPr="00900DBD">
          <w:rPr>
            <w:rStyle w:val="Hyperlink"/>
          </w:rPr>
          <w:t>https://www.fda.gov/safety/recalls-market-withdrawals-safety-alerts/recall-resources</w:t>
        </w:r>
      </w:hyperlink>
      <w:r>
        <w:t>.   We also provide small business assistance resources on our website and through consumer-staff employees throughout the agency.</w:t>
      </w:r>
    </w:p>
    <w:p w:rsidRPr="00CE4F3E" w:rsidR="00254E17" w:rsidP="00CE4F3E" w:rsidRDefault="00254E17" w14:paraId="2B958070" w14:textId="77777777"/>
    <w:p w:rsidRPr="00CE4F3E" w:rsidR="00CD77C3" w:rsidP="00CE4F3E" w:rsidRDefault="00CE4F3E" w14:paraId="216D0D1A" w14:textId="77777777">
      <w:r>
        <w:t xml:space="preserve">6.  </w:t>
      </w:r>
      <w:r w:rsidRPr="00FD15FB" w:rsidR="00EB7538">
        <w:rPr>
          <w:u w:val="single"/>
        </w:rPr>
        <w:t>Consequences of Collecting the Information Less Frequently</w:t>
      </w:r>
    </w:p>
    <w:p w:rsidRPr="00CE4F3E" w:rsidR="00BE0512" w:rsidP="00CE4F3E" w:rsidRDefault="00BE0512" w14:paraId="6F9C62B4" w14:textId="77777777"/>
    <w:p w:rsidRPr="00CE4F3E" w:rsidR="00E63DDE" w:rsidP="00CE4F3E" w:rsidRDefault="00EE1741" w14:paraId="5D837F70" w14:textId="77777777">
      <w:r w:rsidRPr="00CE4F3E">
        <w:t xml:space="preserve">The information collection schedule is consistent with statutory and regulatory requirements.  </w:t>
      </w:r>
      <w:r w:rsidRPr="00CE4F3E" w:rsidR="00E63DDE">
        <w:t xml:space="preserve">Most of the information collected for recalls </w:t>
      </w:r>
      <w:r w:rsidRPr="00CE4F3E" w:rsidR="00610BA7">
        <w:t>is</w:t>
      </w:r>
      <w:r w:rsidRPr="00CE4F3E" w:rsidR="00E63DDE">
        <w:t xml:space="preserve"> a one time collection</w:t>
      </w:r>
      <w:r w:rsidRPr="00CE4F3E" w:rsidR="00610BA7">
        <w:t>, with the exception of recall status reports.  21 CFR 7.53 states that the recalling firm is requested to submit periodic recall stat</w:t>
      </w:r>
      <w:r w:rsidRPr="00CE4F3E" w:rsidR="00AC4EBC">
        <w:t xml:space="preserve">us reports so that the agency may assess the progress of the recall.  The frequency of such reports will be determined by the relative urgency of the recall and will be specified by </w:t>
      </w:r>
      <w:r w:rsidRPr="00CE4F3E" w:rsidR="00D5678E">
        <w:t>FDA</w:t>
      </w:r>
      <w:r w:rsidRPr="00CE4F3E" w:rsidR="00AC4EBC">
        <w:t xml:space="preserve"> in each recall case; generally the reporting interval will be between </w:t>
      </w:r>
      <w:r w:rsidRPr="00CE4F3E" w:rsidR="00D5678E">
        <w:t>two and four</w:t>
      </w:r>
      <w:r w:rsidRPr="00CE4F3E" w:rsidR="00AC4EBC">
        <w:t xml:space="preserve"> weeks.</w:t>
      </w:r>
      <w:r w:rsidR="00FD15FB">
        <w:t xml:space="preserve">  </w:t>
      </w:r>
      <w:r w:rsidRPr="00CE4F3E" w:rsidR="00E63DDE">
        <w:t xml:space="preserve">The impact of not collecting the information or </w:t>
      </w:r>
      <w:r w:rsidRPr="00CE4F3E" w:rsidR="00D33ED1">
        <w:t xml:space="preserve">requesting </w:t>
      </w:r>
      <w:r w:rsidRPr="00CE4F3E" w:rsidR="00E63DDE">
        <w:t>the reports and notification in those instances where FDA has determined that recall should be conducted could seriously compromise the public health.</w:t>
      </w:r>
    </w:p>
    <w:p w:rsidRPr="00CE4F3E" w:rsidR="00254E17" w:rsidP="00CE4F3E" w:rsidRDefault="00254E17" w14:paraId="18BCC2D5" w14:textId="77777777"/>
    <w:p w:rsidRPr="00CE4F3E" w:rsidR="00CD77C3" w:rsidP="00CE4F3E" w:rsidRDefault="00FD15FB" w14:paraId="1C8B225F" w14:textId="77777777">
      <w:r>
        <w:t xml:space="preserve">7.  </w:t>
      </w:r>
      <w:r w:rsidRPr="00FD15FB" w:rsidR="00EB7538">
        <w:rPr>
          <w:u w:val="single"/>
        </w:rPr>
        <w:t>Special Circumstances Relating to the Guidelines of 5 CFR 1320.5</w:t>
      </w:r>
    </w:p>
    <w:p w:rsidRPr="00CE4F3E" w:rsidR="00BE0512" w:rsidP="00CE4F3E" w:rsidRDefault="00BE0512" w14:paraId="20B26ACF" w14:textId="77777777"/>
    <w:p w:rsidRPr="00CE4F3E" w:rsidR="008108FA" w:rsidP="00CE4F3E" w:rsidRDefault="008108FA" w14:paraId="77B847EF" w14:textId="77777777">
      <w:r w:rsidRPr="00CE4F3E">
        <w:t>There are no special circumstances for this collection of information.</w:t>
      </w:r>
    </w:p>
    <w:p w:rsidRPr="00CE4F3E" w:rsidR="00254E17" w:rsidP="00CE4F3E" w:rsidRDefault="00254E17" w14:paraId="73AC99A0" w14:textId="77777777"/>
    <w:p w:rsidRPr="00CE4F3E" w:rsidR="00CD77C3" w:rsidP="00CE4F3E" w:rsidRDefault="00144102" w14:paraId="3F8E8E6E" w14:textId="77777777">
      <w:r>
        <w:br w:type="page"/>
      </w:r>
      <w:r w:rsidR="00FD15FB">
        <w:lastRenderedPageBreak/>
        <w:t xml:space="preserve">8.  </w:t>
      </w:r>
      <w:r w:rsidRPr="00FD15FB" w:rsidR="00EB7538">
        <w:rPr>
          <w:u w:val="single"/>
        </w:rPr>
        <w:t>Comments in Response to the Federal Register Notice and Efforts to Consult Outside the Agency</w:t>
      </w:r>
    </w:p>
    <w:p w:rsidR="00660344" w:rsidP="00CE4F3E" w:rsidRDefault="00660344" w14:paraId="5AFADCD0" w14:textId="77777777"/>
    <w:p w:rsidRPr="00CE4F3E" w:rsidR="009672DA" w:rsidP="00CE4F3E" w:rsidRDefault="00660344" w14:paraId="64F60302" w14:textId="77777777">
      <w:r w:rsidRPr="00660344">
        <w:t xml:space="preserve">In the </w:t>
      </w:r>
      <w:r w:rsidRPr="00660344">
        <w:rPr>
          <w:u w:val="single"/>
        </w:rPr>
        <w:t>Federal Register</w:t>
      </w:r>
      <w:r w:rsidRPr="00660344">
        <w:t xml:space="preserve"> of January 8, 2021 (86 FR 1508), we published a 60-day notice requesting public comment on the proposed collection of information.  No comments were received.  </w:t>
      </w:r>
      <w:r w:rsidRPr="00CE4F3E" w:rsidR="00D5678E">
        <w:t>.</w:t>
      </w:r>
    </w:p>
    <w:p w:rsidRPr="00CE4F3E" w:rsidR="009B668C" w:rsidP="00CE4F3E" w:rsidRDefault="009B668C" w14:paraId="4CDE4FB3" w14:textId="77777777"/>
    <w:p w:rsidRPr="00CE4F3E" w:rsidR="00CD77C3" w:rsidP="00CE4F3E" w:rsidRDefault="00FD15FB" w14:paraId="07A4560E" w14:textId="77777777">
      <w:r>
        <w:t xml:space="preserve">9.  </w:t>
      </w:r>
      <w:r w:rsidRPr="00FD15FB" w:rsidR="00EB7538">
        <w:rPr>
          <w:u w:val="single"/>
        </w:rPr>
        <w:t>Explanation of Any Payment or Gift to Respondents</w:t>
      </w:r>
    </w:p>
    <w:p w:rsidRPr="00CE4F3E" w:rsidR="00BE0512" w:rsidP="00CE4F3E" w:rsidRDefault="00BE0512" w14:paraId="46860A43" w14:textId="77777777"/>
    <w:p w:rsidRPr="00CE4F3E" w:rsidR="00CD77C3" w:rsidP="00CE4F3E" w:rsidRDefault="00384304" w14:paraId="1F448881" w14:textId="77777777">
      <w:r w:rsidRPr="00CE4F3E">
        <w:t>No payment or gift was provided.</w:t>
      </w:r>
    </w:p>
    <w:p w:rsidRPr="00CE4F3E" w:rsidR="00254E17" w:rsidP="00CE4F3E" w:rsidRDefault="00254E17" w14:paraId="23358060" w14:textId="77777777"/>
    <w:p w:rsidRPr="00CE4F3E" w:rsidR="00CD77C3" w:rsidP="00CE4F3E" w:rsidRDefault="00FD15FB" w14:paraId="568AAF9A" w14:textId="77777777">
      <w:r>
        <w:t xml:space="preserve">10.  </w:t>
      </w:r>
      <w:r w:rsidRPr="00FD15FB" w:rsidR="00EB7538">
        <w:rPr>
          <w:u w:val="single"/>
        </w:rPr>
        <w:t>Assurance of Confidentiality Provided to Respondents</w:t>
      </w:r>
    </w:p>
    <w:p w:rsidRPr="00CE4F3E" w:rsidR="00BE0512" w:rsidP="00CE4F3E" w:rsidRDefault="00BE0512" w14:paraId="217F80C9" w14:textId="77777777"/>
    <w:p w:rsidRPr="00CE4F3E" w:rsidR="00384304" w:rsidP="00CE4F3E" w:rsidRDefault="00384304" w14:paraId="337C70B1" w14:textId="77777777">
      <w:r w:rsidRPr="00CE4F3E">
        <w:t xml:space="preserve">No sensitive </w:t>
      </w:r>
      <w:r w:rsidRPr="00CE4F3E" w:rsidR="00D5678E">
        <w:t>information is sought under this information collection</w:t>
      </w:r>
      <w:r w:rsidRPr="00CE4F3E">
        <w:t>.  Some confidential commercial information may be reported to FDA but FDA’s public information regulations (21 CFR Part 20) will govern the release of data.</w:t>
      </w:r>
    </w:p>
    <w:p w:rsidRPr="00CE4F3E" w:rsidR="00254E17" w:rsidP="00CE4F3E" w:rsidRDefault="00254E17" w14:paraId="47FC0FB1" w14:textId="77777777"/>
    <w:p w:rsidRPr="00CE4F3E" w:rsidR="004C6979" w:rsidP="00CE4F3E" w:rsidRDefault="00FD15FB" w14:paraId="2BF2C787" w14:textId="77777777">
      <w:r>
        <w:t xml:space="preserve">11.  </w:t>
      </w:r>
      <w:r w:rsidRPr="00FD15FB" w:rsidR="00EB7538">
        <w:rPr>
          <w:u w:val="single"/>
        </w:rPr>
        <w:t>Justification for Sensitive Questions</w:t>
      </w:r>
    </w:p>
    <w:p w:rsidRPr="00CE4F3E" w:rsidR="00BE0512" w:rsidP="00CE4F3E" w:rsidRDefault="00BE0512" w14:paraId="1BDD51CC" w14:textId="77777777"/>
    <w:p w:rsidRPr="00CE4F3E" w:rsidR="00384304" w:rsidP="00CE4F3E" w:rsidRDefault="00384304" w14:paraId="1497CB17" w14:textId="77777777">
      <w:r w:rsidRPr="00CE4F3E">
        <w:t xml:space="preserve">Questions of a sensitive nature are not applicable to this information collection.  </w:t>
      </w:r>
    </w:p>
    <w:p w:rsidRPr="00CE4F3E" w:rsidR="00254E17" w:rsidP="00CE4F3E" w:rsidRDefault="00254E17" w14:paraId="1E56EBE0" w14:textId="77777777"/>
    <w:p w:rsidRPr="00CE4F3E" w:rsidR="004C6979" w:rsidP="00CE4F3E" w:rsidRDefault="00660344" w14:paraId="07A3C4E6" w14:textId="77777777">
      <w:r>
        <w:t xml:space="preserve">12.  </w:t>
      </w:r>
      <w:r w:rsidRPr="00144102" w:rsidR="00EB7538">
        <w:rPr>
          <w:u w:val="single"/>
        </w:rPr>
        <w:t>Estimates of Annualized Burden Hours and Costs</w:t>
      </w:r>
    </w:p>
    <w:p w:rsidRPr="00CE4F3E" w:rsidR="00254E17" w:rsidP="00CE4F3E" w:rsidRDefault="00254E17" w14:paraId="30C55AD6" w14:textId="77777777"/>
    <w:p w:rsidR="00660344" w:rsidP="00660344" w:rsidRDefault="00660344" w14:paraId="1E3A8ED3" w14:textId="77777777">
      <w:r>
        <w:tab/>
      </w:r>
      <w:r w:rsidRPr="00660344" w:rsidR="008B0E29">
        <w:rPr>
          <w:i/>
          <w:iCs/>
        </w:rPr>
        <w:t xml:space="preserve">12a. </w:t>
      </w:r>
      <w:r w:rsidRPr="00660344" w:rsidR="00411D11">
        <w:rPr>
          <w:i/>
          <w:iCs/>
        </w:rPr>
        <w:t xml:space="preserve">Annualized </w:t>
      </w:r>
      <w:r w:rsidRPr="00660344" w:rsidR="004C6979">
        <w:rPr>
          <w:i/>
          <w:iCs/>
        </w:rPr>
        <w:t>Hour Burden Estimate</w:t>
      </w:r>
    </w:p>
    <w:p w:rsidRPr="00660344" w:rsidR="00660344" w:rsidP="00660344" w:rsidRDefault="00660344" w14:paraId="4785E84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441"/>
        <w:gridCol w:w="1529"/>
        <w:gridCol w:w="1260"/>
        <w:gridCol w:w="1350"/>
        <w:gridCol w:w="990"/>
      </w:tblGrid>
      <w:tr w:rsidRPr="00660344" w:rsidR="00660344" w:rsidTr="00B2096C" w14:paraId="0C83FF92" w14:textId="77777777">
        <w:trPr>
          <w:cantSplit/>
          <w:tblHeader/>
        </w:trPr>
        <w:tc>
          <w:tcPr>
            <w:tcW w:w="9360" w:type="dxa"/>
            <w:gridSpan w:val="6"/>
            <w:tcBorders>
              <w:top w:val="nil"/>
              <w:left w:val="nil"/>
              <w:bottom w:val="nil"/>
              <w:right w:val="nil"/>
            </w:tcBorders>
            <w:shd w:val="clear" w:color="auto" w:fill="auto"/>
          </w:tcPr>
          <w:p w:rsidRPr="00660344" w:rsidR="00660344" w:rsidP="00660344" w:rsidRDefault="00660344" w14:paraId="772CCB66" w14:textId="77777777">
            <w:pPr>
              <w:jc w:val="center"/>
              <w:rPr>
                <w:sz w:val="20"/>
                <w:szCs w:val="20"/>
              </w:rPr>
            </w:pPr>
            <w:r w:rsidRPr="00660344">
              <w:rPr>
                <w:sz w:val="20"/>
                <w:szCs w:val="20"/>
              </w:rPr>
              <w:t>Table 1.--Estimated Annual Reporting Burden</w:t>
            </w:r>
            <w:r w:rsidRPr="00660344">
              <w:rPr>
                <w:sz w:val="20"/>
                <w:szCs w:val="20"/>
                <w:vertAlign w:val="superscript"/>
              </w:rPr>
              <w:t>1</w:t>
            </w:r>
          </w:p>
        </w:tc>
      </w:tr>
      <w:tr w:rsidRPr="00660344" w:rsidR="00660344" w:rsidTr="00B2096C" w14:paraId="4A4B9DE5" w14:textId="77777777">
        <w:trPr>
          <w:cantSplit/>
        </w:trPr>
        <w:tc>
          <w:tcPr>
            <w:tcW w:w="2790" w:type="dxa"/>
            <w:shd w:val="clear" w:color="auto" w:fill="auto"/>
          </w:tcPr>
          <w:p w:rsidRPr="00660344" w:rsidR="00660344" w:rsidP="00660344" w:rsidRDefault="00660344" w14:paraId="3EF02CBA" w14:textId="77777777">
            <w:pPr>
              <w:jc w:val="center"/>
              <w:rPr>
                <w:sz w:val="20"/>
                <w:szCs w:val="20"/>
              </w:rPr>
            </w:pPr>
            <w:r w:rsidRPr="00660344">
              <w:rPr>
                <w:sz w:val="20"/>
                <w:szCs w:val="20"/>
              </w:rPr>
              <w:t>Activity; 21 CFR Section</w:t>
            </w:r>
          </w:p>
        </w:tc>
        <w:tc>
          <w:tcPr>
            <w:tcW w:w="1441" w:type="dxa"/>
            <w:shd w:val="clear" w:color="auto" w:fill="auto"/>
          </w:tcPr>
          <w:p w:rsidRPr="00660344" w:rsidR="00660344" w:rsidP="00660344" w:rsidRDefault="00660344" w14:paraId="1EF0A740" w14:textId="77777777">
            <w:pPr>
              <w:jc w:val="center"/>
              <w:rPr>
                <w:sz w:val="20"/>
                <w:szCs w:val="20"/>
              </w:rPr>
            </w:pPr>
            <w:r w:rsidRPr="00660344">
              <w:rPr>
                <w:sz w:val="20"/>
                <w:szCs w:val="20"/>
              </w:rPr>
              <w:t>No. of Respondents</w:t>
            </w:r>
          </w:p>
        </w:tc>
        <w:tc>
          <w:tcPr>
            <w:tcW w:w="1529" w:type="dxa"/>
            <w:shd w:val="clear" w:color="auto" w:fill="auto"/>
          </w:tcPr>
          <w:p w:rsidRPr="00660344" w:rsidR="00660344" w:rsidP="00660344" w:rsidRDefault="00660344" w14:paraId="114D0743" w14:textId="77777777">
            <w:pPr>
              <w:jc w:val="center"/>
              <w:rPr>
                <w:bCs/>
                <w:sz w:val="20"/>
                <w:szCs w:val="20"/>
              </w:rPr>
            </w:pPr>
            <w:r w:rsidRPr="00660344">
              <w:rPr>
                <w:bCs/>
                <w:sz w:val="20"/>
                <w:szCs w:val="20"/>
              </w:rPr>
              <w:t>No. of Responses per Respondent</w:t>
            </w:r>
          </w:p>
        </w:tc>
        <w:tc>
          <w:tcPr>
            <w:tcW w:w="1260" w:type="dxa"/>
            <w:shd w:val="clear" w:color="auto" w:fill="auto"/>
          </w:tcPr>
          <w:p w:rsidRPr="00660344" w:rsidR="00660344" w:rsidP="00660344" w:rsidRDefault="00660344" w14:paraId="531C53FB" w14:textId="77777777">
            <w:pPr>
              <w:jc w:val="center"/>
              <w:rPr>
                <w:sz w:val="20"/>
                <w:szCs w:val="20"/>
              </w:rPr>
            </w:pPr>
            <w:r w:rsidRPr="00660344">
              <w:rPr>
                <w:sz w:val="20"/>
                <w:szCs w:val="20"/>
              </w:rPr>
              <w:t>Total Annual Responses</w:t>
            </w:r>
          </w:p>
        </w:tc>
        <w:tc>
          <w:tcPr>
            <w:tcW w:w="1350" w:type="dxa"/>
            <w:shd w:val="clear" w:color="auto" w:fill="auto"/>
          </w:tcPr>
          <w:p w:rsidRPr="00660344" w:rsidR="00660344" w:rsidP="00660344" w:rsidRDefault="00660344" w14:paraId="00CE9855" w14:textId="77777777">
            <w:pPr>
              <w:jc w:val="center"/>
              <w:rPr>
                <w:bCs/>
                <w:sz w:val="20"/>
                <w:szCs w:val="20"/>
              </w:rPr>
            </w:pPr>
            <w:r w:rsidRPr="00660344">
              <w:rPr>
                <w:bCs/>
                <w:sz w:val="20"/>
                <w:szCs w:val="20"/>
              </w:rPr>
              <w:t>Average Burden per Response</w:t>
            </w:r>
          </w:p>
        </w:tc>
        <w:tc>
          <w:tcPr>
            <w:tcW w:w="990" w:type="dxa"/>
            <w:shd w:val="clear" w:color="auto" w:fill="auto"/>
          </w:tcPr>
          <w:p w:rsidRPr="00660344" w:rsidR="00660344" w:rsidP="00660344" w:rsidRDefault="00660344" w14:paraId="10B6A7AF" w14:textId="77777777">
            <w:pPr>
              <w:jc w:val="center"/>
              <w:rPr>
                <w:sz w:val="20"/>
                <w:szCs w:val="20"/>
              </w:rPr>
            </w:pPr>
            <w:r w:rsidRPr="00660344">
              <w:rPr>
                <w:sz w:val="20"/>
                <w:szCs w:val="20"/>
              </w:rPr>
              <w:t>Total Hours</w:t>
            </w:r>
          </w:p>
        </w:tc>
      </w:tr>
      <w:tr w:rsidRPr="00660344" w:rsidR="00660344" w:rsidTr="00B2096C" w14:paraId="69174F99" w14:textId="77777777">
        <w:trPr>
          <w:cantSplit/>
        </w:trPr>
        <w:tc>
          <w:tcPr>
            <w:tcW w:w="2790" w:type="dxa"/>
            <w:shd w:val="clear" w:color="auto" w:fill="auto"/>
          </w:tcPr>
          <w:p w:rsidRPr="00660344" w:rsidR="00660344" w:rsidP="00660344" w:rsidRDefault="00660344" w14:paraId="51F53DCF" w14:textId="77777777">
            <w:pPr>
              <w:rPr>
                <w:sz w:val="20"/>
                <w:szCs w:val="20"/>
              </w:rPr>
            </w:pPr>
            <w:r w:rsidRPr="00660344">
              <w:rPr>
                <w:sz w:val="20"/>
                <w:szCs w:val="20"/>
              </w:rPr>
              <w:t xml:space="preserve">Firm initiated recall; </w:t>
            </w:r>
            <w:r w:rsidRPr="00660344">
              <w:rPr>
                <w:sz w:val="20"/>
                <w:szCs w:val="20"/>
                <w:lang w:val="en"/>
              </w:rPr>
              <w:t xml:space="preserve">§ </w:t>
            </w:r>
            <w:r w:rsidRPr="00660344">
              <w:rPr>
                <w:sz w:val="20"/>
                <w:szCs w:val="20"/>
              </w:rPr>
              <w:t>7.46</w:t>
            </w:r>
          </w:p>
        </w:tc>
        <w:tc>
          <w:tcPr>
            <w:tcW w:w="1441" w:type="dxa"/>
            <w:shd w:val="clear" w:color="auto" w:fill="auto"/>
          </w:tcPr>
          <w:p w:rsidRPr="00660344" w:rsidR="00660344" w:rsidP="00660344" w:rsidRDefault="00660344" w14:paraId="485107AA" w14:textId="77777777">
            <w:pPr>
              <w:jc w:val="right"/>
              <w:rPr>
                <w:sz w:val="20"/>
                <w:szCs w:val="20"/>
              </w:rPr>
            </w:pPr>
            <w:r w:rsidRPr="00660344">
              <w:rPr>
                <w:sz w:val="20"/>
                <w:szCs w:val="20"/>
              </w:rPr>
              <w:t>2,779</w:t>
            </w:r>
          </w:p>
        </w:tc>
        <w:tc>
          <w:tcPr>
            <w:tcW w:w="1529" w:type="dxa"/>
            <w:shd w:val="clear" w:color="auto" w:fill="auto"/>
          </w:tcPr>
          <w:p w:rsidRPr="00660344" w:rsidR="00660344" w:rsidP="00660344" w:rsidRDefault="00660344" w14:paraId="679FD9F3" w14:textId="77777777">
            <w:pPr>
              <w:jc w:val="right"/>
              <w:rPr>
                <w:sz w:val="20"/>
                <w:szCs w:val="20"/>
              </w:rPr>
            </w:pPr>
            <w:r w:rsidRPr="00660344">
              <w:rPr>
                <w:sz w:val="20"/>
                <w:szCs w:val="20"/>
              </w:rPr>
              <w:t>1</w:t>
            </w:r>
          </w:p>
        </w:tc>
        <w:tc>
          <w:tcPr>
            <w:tcW w:w="1260" w:type="dxa"/>
            <w:shd w:val="clear" w:color="auto" w:fill="auto"/>
          </w:tcPr>
          <w:p w:rsidRPr="00660344" w:rsidR="00660344" w:rsidP="00660344" w:rsidRDefault="00660344" w14:paraId="7A792D45" w14:textId="77777777">
            <w:pPr>
              <w:jc w:val="right"/>
              <w:rPr>
                <w:sz w:val="20"/>
                <w:szCs w:val="20"/>
              </w:rPr>
            </w:pPr>
            <w:r w:rsidRPr="00660344">
              <w:rPr>
                <w:sz w:val="20"/>
                <w:szCs w:val="20"/>
              </w:rPr>
              <w:t>2,779</w:t>
            </w:r>
          </w:p>
        </w:tc>
        <w:tc>
          <w:tcPr>
            <w:tcW w:w="1350" w:type="dxa"/>
            <w:shd w:val="clear" w:color="auto" w:fill="auto"/>
          </w:tcPr>
          <w:p w:rsidRPr="00660344" w:rsidR="00660344" w:rsidP="00660344" w:rsidRDefault="00660344" w14:paraId="15CAA2C9" w14:textId="77777777">
            <w:pPr>
              <w:jc w:val="right"/>
              <w:rPr>
                <w:sz w:val="20"/>
                <w:szCs w:val="20"/>
              </w:rPr>
            </w:pPr>
            <w:r w:rsidRPr="00660344">
              <w:rPr>
                <w:sz w:val="20"/>
                <w:szCs w:val="20"/>
              </w:rPr>
              <w:t>25</w:t>
            </w:r>
          </w:p>
        </w:tc>
        <w:tc>
          <w:tcPr>
            <w:tcW w:w="990" w:type="dxa"/>
            <w:shd w:val="clear" w:color="auto" w:fill="auto"/>
          </w:tcPr>
          <w:p w:rsidRPr="00660344" w:rsidR="00660344" w:rsidP="00660344" w:rsidRDefault="00660344" w14:paraId="19D3B018" w14:textId="77777777">
            <w:pPr>
              <w:jc w:val="right"/>
              <w:rPr>
                <w:sz w:val="20"/>
                <w:szCs w:val="20"/>
              </w:rPr>
            </w:pPr>
            <w:r w:rsidRPr="00660344">
              <w:rPr>
                <w:sz w:val="20"/>
                <w:szCs w:val="20"/>
              </w:rPr>
              <w:t>69,475</w:t>
            </w:r>
          </w:p>
        </w:tc>
      </w:tr>
      <w:tr w:rsidRPr="00660344" w:rsidR="00660344" w:rsidTr="00660344" w14:paraId="3393CECC" w14:textId="77777777">
        <w:trPr>
          <w:cantSplit/>
        </w:trPr>
        <w:tc>
          <w:tcPr>
            <w:tcW w:w="2790" w:type="dxa"/>
            <w:shd w:val="clear" w:color="auto" w:fill="FFFFFF"/>
          </w:tcPr>
          <w:p w:rsidRPr="00660344" w:rsidR="00660344" w:rsidP="00660344" w:rsidRDefault="00660344" w14:paraId="3E559A57" w14:textId="77777777">
            <w:pPr>
              <w:rPr>
                <w:sz w:val="20"/>
                <w:szCs w:val="20"/>
              </w:rPr>
            </w:pPr>
            <w:r w:rsidRPr="00660344">
              <w:rPr>
                <w:sz w:val="20"/>
                <w:szCs w:val="20"/>
              </w:rPr>
              <w:t xml:space="preserve">Termination of recall; </w:t>
            </w:r>
            <w:r w:rsidRPr="00660344">
              <w:rPr>
                <w:sz w:val="20"/>
                <w:szCs w:val="20"/>
                <w:lang w:val="en"/>
              </w:rPr>
              <w:t xml:space="preserve">§ </w:t>
            </w:r>
            <w:r w:rsidRPr="00660344">
              <w:rPr>
                <w:sz w:val="20"/>
                <w:szCs w:val="20"/>
              </w:rPr>
              <w:t>7.55</w:t>
            </w:r>
          </w:p>
        </w:tc>
        <w:tc>
          <w:tcPr>
            <w:tcW w:w="1441" w:type="dxa"/>
            <w:shd w:val="clear" w:color="auto" w:fill="FFFFFF"/>
          </w:tcPr>
          <w:p w:rsidRPr="00660344" w:rsidR="00660344" w:rsidP="00660344" w:rsidRDefault="00660344" w14:paraId="750EDBCF" w14:textId="77777777">
            <w:pPr>
              <w:jc w:val="right"/>
              <w:rPr>
                <w:sz w:val="20"/>
                <w:szCs w:val="20"/>
              </w:rPr>
            </w:pPr>
            <w:r w:rsidRPr="00660344">
              <w:rPr>
                <w:sz w:val="20"/>
                <w:szCs w:val="20"/>
              </w:rPr>
              <w:t>2,095</w:t>
            </w:r>
          </w:p>
        </w:tc>
        <w:tc>
          <w:tcPr>
            <w:tcW w:w="1529" w:type="dxa"/>
            <w:shd w:val="clear" w:color="auto" w:fill="FFFFFF"/>
          </w:tcPr>
          <w:p w:rsidRPr="00660344" w:rsidR="00660344" w:rsidP="00660344" w:rsidRDefault="00660344" w14:paraId="56139D18" w14:textId="77777777">
            <w:pPr>
              <w:jc w:val="right"/>
              <w:rPr>
                <w:sz w:val="20"/>
                <w:szCs w:val="20"/>
              </w:rPr>
            </w:pPr>
            <w:r w:rsidRPr="00660344">
              <w:rPr>
                <w:sz w:val="20"/>
                <w:szCs w:val="20"/>
              </w:rPr>
              <w:t>1</w:t>
            </w:r>
          </w:p>
        </w:tc>
        <w:tc>
          <w:tcPr>
            <w:tcW w:w="1260" w:type="dxa"/>
            <w:shd w:val="clear" w:color="auto" w:fill="auto"/>
          </w:tcPr>
          <w:p w:rsidRPr="00660344" w:rsidR="00660344" w:rsidP="00660344" w:rsidRDefault="00660344" w14:paraId="497E762A" w14:textId="77777777">
            <w:pPr>
              <w:jc w:val="right"/>
              <w:rPr>
                <w:sz w:val="20"/>
                <w:szCs w:val="20"/>
              </w:rPr>
            </w:pPr>
            <w:r w:rsidRPr="00660344">
              <w:rPr>
                <w:sz w:val="20"/>
                <w:szCs w:val="20"/>
              </w:rPr>
              <w:t>2,095</w:t>
            </w:r>
          </w:p>
        </w:tc>
        <w:tc>
          <w:tcPr>
            <w:tcW w:w="1350" w:type="dxa"/>
            <w:shd w:val="clear" w:color="auto" w:fill="auto"/>
          </w:tcPr>
          <w:p w:rsidRPr="00660344" w:rsidR="00660344" w:rsidP="00660344" w:rsidRDefault="00660344" w14:paraId="1387F7F0" w14:textId="77777777">
            <w:pPr>
              <w:jc w:val="right"/>
              <w:rPr>
                <w:sz w:val="20"/>
                <w:szCs w:val="20"/>
              </w:rPr>
            </w:pPr>
            <w:r w:rsidRPr="00660344">
              <w:rPr>
                <w:sz w:val="20"/>
                <w:szCs w:val="20"/>
              </w:rPr>
              <w:t>10</w:t>
            </w:r>
          </w:p>
        </w:tc>
        <w:tc>
          <w:tcPr>
            <w:tcW w:w="990" w:type="dxa"/>
            <w:shd w:val="clear" w:color="auto" w:fill="auto"/>
          </w:tcPr>
          <w:p w:rsidRPr="00660344" w:rsidR="00660344" w:rsidP="00660344" w:rsidRDefault="00660344" w14:paraId="623F5B06" w14:textId="77777777">
            <w:pPr>
              <w:jc w:val="right"/>
              <w:rPr>
                <w:sz w:val="20"/>
                <w:szCs w:val="20"/>
              </w:rPr>
            </w:pPr>
            <w:r w:rsidRPr="00660344">
              <w:rPr>
                <w:sz w:val="20"/>
                <w:szCs w:val="20"/>
              </w:rPr>
              <w:t>20,950</w:t>
            </w:r>
          </w:p>
        </w:tc>
      </w:tr>
      <w:tr w:rsidRPr="00660344" w:rsidR="00660344" w:rsidTr="00660344" w14:paraId="20468CEB" w14:textId="77777777">
        <w:trPr>
          <w:cantSplit/>
        </w:trPr>
        <w:tc>
          <w:tcPr>
            <w:tcW w:w="2790" w:type="dxa"/>
            <w:shd w:val="clear" w:color="auto" w:fill="FFFFFF"/>
          </w:tcPr>
          <w:p w:rsidRPr="00660344" w:rsidR="00660344" w:rsidP="00660344" w:rsidRDefault="00660344" w14:paraId="487124E0" w14:textId="77777777">
            <w:pPr>
              <w:rPr>
                <w:sz w:val="20"/>
                <w:szCs w:val="20"/>
              </w:rPr>
            </w:pPr>
            <w:r w:rsidRPr="00660344">
              <w:rPr>
                <w:sz w:val="20"/>
                <w:szCs w:val="20"/>
              </w:rPr>
              <w:t xml:space="preserve">Recall status reports; </w:t>
            </w:r>
            <w:r w:rsidRPr="00660344">
              <w:rPr>
                <w:sz w:val="20"/>
                <w:szCs w:val="20"/>
                <w:lang w:val="en"/>
              </w:rPr>
              <w:t xml:space="preserve">§ </w:t>
            </w:r>
            <w:r w:rsidRPr="00660344">
              <w:rPr>
                <w:sz w:val="20"/>
                <w:szCs w:val="20"/>
              </w:rPr>
              <w:t>7.53</w:t>
            </w:r>
          </w:p>
        </w:tc>
        <w:tc>
          <w:tcPr>
            <w:tcW w:w="1441" w:type="dxa"/>
            <w:shd w:val="clear" w:color="auto" w:fill="FFFFFF"/>
          </w:tcPr>
          <w:p w:rsidRPr="00660344" w:rsidR="00660344" w:rsidP="00660344" w:rsidRDefault="00660344" w14:paraId="37A08B21" w14:textId="77777777">
            <w:pPr>
              <w:jc w:val="right"/>
              <w:rPr>
                <w:sz w:val="20"/>
                <w:szCs w:val="20"/>
              </w:rPr>
            </w:pPr>
            <w:r w:rsidRPr="00660344">
              <w:rPr>
                <w:sz w:val="20"/>
                <w:szCs w:val="20"/>
              </w:rPr>
              <w:t>2,779</w:t>
            </w:r>
          </w:p>
        </w:tc>
        <w:tc>
          <w:tcPr>
            <w:tcW w:w="1529" w:type="dxa"/>
            <w:shd w:val="clear" w:color="auto" w:fill="FFFFFF"/>
          </w:tcPr>
          <w:p w:rsidRPr="00660344" w:rsidR="00660344" w:rsidP="00660344" w:rsidRDefault="00660344" w14:paraId="25063E17" w14:textId="77777777">
            <w:pPr>
              <w:jc w:val="right"/>
              <w:rPr>
                <w:sz w:val="20"/>
                <w:szCs w:val="20"/>
              </w:rPr>
            </w:pPr>
            <w:r w:rsidRPr="00660344">
              <w:rPr>
                <w:sz w:val="20"/>
                <w:szCs w:val="20"/>
              </w:rPr>
              <w:t>13</w:t>
            </w:r>
          </w:p>
        </w:tc>
        <w:tc>
          <w:tcPr>
            <w:tcW w:w="1260" w:type="dxa"/>
            <w:shd w:val="clear" w:color="auto" w:fill="auto"/>
          </w:tcPr>
          <w:p w:rsidRPr="00660344" w:rsidR="00660344" w:rsidP="00660344" w:rsidRDefault="00660344" w14:paraId="7B88CEAB" w14:textId="77777777">
            <w:pPr>
              <w:jc w:val="right"/>
              <w:rPr>
                <w:sz w:val="20"/>
                <w:szCs w:val="20"/>
              </w:rPr>
            </w:pPr>
            <w:r w:rsidRPr="00660344">
              <w:rPr>
                <w:sz w:val="20"/>
                <w:szCs w:val="20"/>
              </w:rPr>
              <w:t>36,127</w:t>
            </w:r>
          </w:p>
        </w:tc>
        <w:tc>
          <w:tcPr>
            <w:tcW w:w="1350" w:type="dxa"/>
            <w:shd w:val="clear" w:color="auto" w:fill="auto"/>
          </w:tcPr>
          <w:p w:rsidRPr="00660344" w:rsidR="00660344" w:rsidP="00660344" w:rsidRDefault="00660344" w14:paraId="4A6D7FEA" w14:textId="77777777">
            <w:pPr>
              <w:jc w:val="right"/>
              <w:rPr>
                <w:sz w:val="20"/>
                <w:szCs w:val="20"/>
              </w:rPr>
            </w:pPr>
            <w:r w:rsidRPr="00660344">
              <w:rPr>
                <w:sz w:val="20"/>
                <w:szCs w:val="20"/>
              </w:rPr>
              <w:t>10</w:t>
            </w:r>
          </w:p>
        </w:tc>
        <w:tc>
          <w:tcPr>
            <w:tcW w:w="990" w:type="dxa"/>
            <w:shd w:val="clear" w:color="auto" w:fill="auto"/>
          </w:tcPr>
          <w:p w:rsidRPr="00660344" w:rsidR="00660344" w:rsidP="00660344" w:rsidRDefault="00660344" w14:paraId="65D10F58" w14:textId="77777777">
            <w:pPr>
              <w:jc w:val="right"/>
              <w:rPr>
                <w:sz w:val="20"/>
                <w:szCs w:val="20"/>
              </w:rPr>
            </w:pPr>
            <w:r w:rsidRPr="00660344">
              <w:rPr>
                <w:sz w:val="20"/>
                <w:szCs w:val="20"/>
              </w:rPr>
              <w:t>361,270</w:t>
            </w:r>
          </w:p>
        </w:tc>
      </w:tr>
      <w:tr w:rsidRPr="00660344" w:rsidR="00660344" w:rsidTr="00B2096C" w14:paraId="5C32D60E" w14:textId="77777777">
        <w:trPr>
          <w:cantSplit/>
        </w:trPr>
        <w:tc>
          <w:tcPr>
            <w:tcW w:w="2790" w:type="dxa"/>
            <w:shd w:val="clear" w:color="auto" w:fill="auto"/>
          </w:tcPr>
          <w:p w:rsidRPr="00660344" w:rsidR="00660344" w:rsidP="00660344" w:rsidRDefault="00660344" w14:paraId="4D98E711" w14:textId="77777777">
            <w:pPr>
              <w:rPr>
                <w:sz w:val="20"/>
                <w:szCs w:val="20"/>
              </w:rPr>
            </w:pPr>
            <w:r w:rsidRPr="00660344">
              <w:rPr>
                <w:sz w:val="20"/>
                <w:szCs w:val="20"/>
              </w:rPr>
              <w:t>Total</w:t>
            </w:r>
          </w:p>
        </w:tc>
        <w:tc>
          <w:tcPr>
            <w:tcW w:w="1441" w:type="dxa"/>
            <w:shd w:val="clear" w:color="auto" w:fill="auto"/>
          </w:tcPr>
          <w:p w:rsidRPr="00660344" w:rsidR="00660344" w:rsidP="00660344" w:rsidRDefault="00660344" w14:paraId="7DE54CE4" w14:textId="77777777">
            <w:pPr>
              <w:jc w:val="right"/>
              <w:rPr>
                <w:sz w:val="20"/>
                <w:szCs w:val="20"/>
              </w:rPr>
            </w:pPr>
          </w:p>
        </w:tc>
        <w:tc>
          <w:tcPr>
            <w:tcW w:w="1529" w:type="dxa"/>
            <w:shd w:val="clear" w:color="auto" w:fill="auto"/>
          </w:tcPr>
          <w:p w:rsidRPr="00660344" w:rsidR="00660344" w:rsidP="00660344" w:rsidRDefault="00660344" w14:paraId="60C3BF3C" w14:textId="77777777">
            <w:pPr>
              <w:jc w:val="right"/>
              <w:rPr>
                <w:sz w:val="20"/>
                <w:szCs w:val="20"/>
              </w:rPr>
            </w:pPr>
          </w:p>
        </w:tc>
        <w:tc>
          <w:tcPr>
            <w:tcW w:w="1260" w:type="dxa"/>
            <w:shd w:val="clear" w:color="auto" w:fill="auto"/>
          </w:tcPr>
          <w:p w:rsidRPr="00660344" w:rsidR="00660344" w:rsidP="00660344" w:rsidRDefault="00660344" w14:paraId="508C5D1A" w14:textId="77777777">
            <w:pPr>
              <w:jc w:val="right"/>
              <w:rPr>
                <w:sz w:val="20"/>
                <w:szCs w:val="20"/>
              </w:rPr>
            </w:pPr>
            <w:r w:rsidRPr="00660344">
              <w:rPr>
                <w:noProof/>
                <w:sz w:val="20"/>
                <w:szCs w:val="20"/>
              </w:rPr>
              <w:t>41,001</w:t>
            </w:r>
          </w:p>
        </w:tc>
        <w:tc>
          <w:tcPr>
            <w:tcW w:w="1350" w:type="dxa"/>
            <w:shd w:val="clear" w:color="auto" w:fill="auto"/>
          </w:tcPr>
          <w:p w:rsidRPr="00660344" w:rsidR="00660344" w:rsidP="00660344" w:rsidRDefault="00660344" w14:paraId="33DC9566" w14:textId="77777777">
            <w:pPr>
              <w:jc w:val="right"/>
              <w:rPr>
                <w:sz w:val="20"/>
                <w:szCs w:val="20"/>
              </w:rPr>
            </w:pPr>
          </w:p>
        </w:tc>
        <w:tc>
          <w:tcPr>
            <w:tcW w:w="990" w:type="dxa"/>
            <w:shd w:val="clear" w:color="auto" w:fill="auto"/>
          </w:tcPr>
          <w:p w:rsidRPr="00660344" w:rsidR="00660344" w:rsidP="00660344" w:rsidRDefault="00660344" w14:paraId="305C3390" w14:textId="77777777">
            <w:pPr>
              <w:jc w:val="right"/>
              <w:rPr>
                <w:sz w:val="20"/>
                <w:szCs w:val="20"/>
              </w:rPr>
            </w:pPr>
            <w:r w:rsidRPr="00660344">
              <w:rPr>
                <w:noProof/>
                <w:sz w:val="20"/>
                <w:szCs w:val="20"/>
              </w:rPr>
              <w:t>451,695</w:t>
            </w:r>
          </w:p>
        </w:tc>
      </w:tr>
    </w:tbl>
    <w:p w:rsidRPr="00660344" w:rsidR="00660344" w:rsidP="00660344" w:rsidRDefault="00660344" w14:paraId="254AC083" w14:textId="77777777">
      <w:pPr>
        <w:rPr>
          <w:sz w:val="20"/>
          <w:szCs w:val="20"/>
        </w:rPr>
      </w:pPr>
      <w:r w:rsidRPr="00660344">
        <w:rPr>
          <w:sz w:val="20"/>
          <w:szCs w:val="20"/>
          <w:vertAlign w:val="superscript"/>
        </w:rPr>
        <w:t>1</w:t>
      </w:r>
      <w:r w:rsidRPr="00660344">
        <w:rPr>
          <w:sz w:val="20"/>
          <w:szCs w:val="20"/>
        </w:rPr>
        <w:t xml:space="preserve"> There are no capital costs or operating and maintenance costs associated with this collection of information.</w:t>
      </w:r>
    </w:p>
    <w:p w:rsidRPr="00660344" w:rsidR="00660344" w:rsidP="00660344" w:rsidRDefault="00660344" w14:paraId="3FC82ADF" w14:textId="77777777">
      <w:pPr>
        <w:rPr>
          <w:sz w:val="20"/>
          <w:szCs w:val="20"/>
        </w:rPr>
      </w:pPr>
    </w:p>
    <w:p w:rsidR="00144102" w:rsidP="00660344" w:rsidRDefault="00660344" w14:paraId="7D217936" w14:textId="77777777">
      <w:pPr>
        <w:ind w:firstLine="720"/>
        <w:contextualSpacing/>
      </w:pPr>
      <w:r w:rsidRPr="00660344">
        <w:t xml:space="preserve">A review of </w:t>
      </w:r>
      <w:r w:rsidR="00144102">
        <w:t>a</w:t>
      </w:r>
      <w:r w:rsidRPr="00660344">
        <w:t>gency data shows that 8,337 recalls were conducted during fiscal years 2017 through 2019, for an average of 2,779 recalls annually.  We assume an average of 25 hours is needed to submit the requisite notification to FDA, for a total annual burden of 69,475 hours.  Similarly, during the same period, 6,287 recalls were terminated, for an average of 2,095 recall terminations annually, and we assume an average of 10 hours is needed for the corresponding information collection activity.  To determine burden associated with recall status reports we divided the average number of annual submissions (36,127) by the average number of annual respondents (2,779) and assume 10 hours is necessary for the corresponding information collection, resulting in 361,270 hours annually</w:t>
      </w:r>
      <w:r w:rsidR="00144102">
        <w:t>.</w:t>
      </w:r>
    </w:p>
    <w:p w:rsidRPr="00660344" w:rsidR="00660344" w:rsidP="00660344" w:rsidRDefault="00660344" w14:paraId="08340268" w14:textId="77777777">
      <w:pPr>
        <w:ind w:firstLine="720"/>
        <w:contextualSpacing/>
      </w:pPr>
      <w:r w:rsidRPr="00660344">
        <w:t xml:space="preserve">  </w:t>
      </w:r>
    </w:p>
    <w:p w:rsidRPr="00660344" w:rsidR="00660344" w:rsidP="00660344" w:rsidRDefault="00144102" w14:paraId="4E4D17F0" w14:textId="77777777">
      <w:pPr>
        <w:contextualSpacing/>
        <w:jc w:val="center"/>
        <w:rPr>
          <w:sz w:val="20"/>
          <w:szCs w:val="20"/>
        </w:rPr>
      </w:pPr>
      <w:r>
        <w:rPr>
          <w:sz w:val="20"/>
          <w:szCs w:val="20"/>
        </w:rPr>
        <w:br w:type="page"/>
      </w:r>
      <w:bookmarkStart w:name="_GoBack" w:id="0"/>
      <w:bookmarkEnd w:id="0"/>
      <w:r w:rsidRPr="00660344" w:rsidR="00660344">
        <w:rPr>
          <w:sz w:val="20"/>
          <w:szCs w:val="20"/>
        </w:rPr>
        <w:lastRenderedPageBreak/>
        <w:t>Table 2.--Estimated Annual Third-Party Disclosure Burden</w:t>
      </w:r>
      <w:r w:rsidRPr="00660344" w:rsidR="00660344">
        <w:rPr>
          <w:sz w:val="20"/>
          <w:szCs w:val="20"/>
          <w:vertAlign w:val="superscript"/>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1"/>
        <w:gridCol w:w="1349"/>
        <w:gridCol w:w="1705"/>
        <w:gridCol w:w="1260"/>
        <w:gridCol w:w="1239"/>
        <w:gridCol w:w="1096"/>
      </w:tblGrid>
      <w:tr w:rsidRPr="00660344" w:rsidR="00144102" w:rsidTr="00144102" w14:paraId="30CA15F7" w14:textId="77777777">
        <w:trPr>
          <w:cantSplit/>
        </w:trPr>
        <w:tc>
          <w:tcPr>
            <w:tcW w:w="2701" w:type="dxa"/>
            <w:shd w:val="clear" w:color="auto" w:fill="auto"/>
          </w:tcPr>
          <w:p w:rsidRPr="00660344" w:rsidR="00660344" w:rsidP="00144102" w:rsidRDefault="00660344" w14:paraId="7E9C28F3" w14:textId="77777777">
            <w:pPr>
              <w:contextualSpacing/>
              <w:jc w:val="center"/>
              <w:rPr>
                <w:sz w:val="20"/>
                <w:szCs w:val="20"/>
              </w:rPr>
            </w:pPr>
            <w:r w:rsidRPr="00660344">
              <w:rPr>
                <w:sz w:val="20"/>
                <w:szCs w:val="20"/>
              </w:rPr>
              <w:t>Activity; 21 CFR Section</w:t>
            </w:r>
          </w:p>
        </w:tc>
        <w:tc>
          <w:tcPr>
            <w:tcW w:w="1349" w:type="dxa"/>
            <w:shd w:val="clear" w:color="auto" w:fill="auto"/>
          </w:tcPr>
          <w:p w:rsidRPr="00660344" w:rsidR="00660344" w:rsidP="00144102" w:rsidRDefault="00660344" w14:paraId="47DBFF84" w14:textId="77777777">
            <w:pPr>
              <w:contextualSpacing/>
              <w:jc w:val="center"/>
              <w:rPr>
                <w:sz w:val="20"/>
                <w:szCs w:val="20"/>
              </w:rPr>
            </w:pPr>
            <w:r w:rsidRPr="00660344">
              <w:rPr>
                <w:sz w:val="20"/>
                <w:szCs w:val="20"/>
              </w:rPr>
              <w:t>No. of Respondents</w:t>
            </w:r>
          </w:p>
        </w:tc>
        <w:tc>
          <w:tcPr>
            <w:tcW w:w="1705" w:type="dxa"/>
            <w:shd w:val="clear" w:color="auto" w:fill="auto"/>
          </w:tcPr>
          <w:p w:rsidRPr="00660344" w:rsidR="00660344" w:rsidP="00144102" w:rsidRDefault="00660344" w14:paraId="5DE653ED" w14:textId="77777777">
            <w:pPr>
              <w:contextualSpacing/>
              <w:jc w:val="center"/>
              <w:rPr>
                <w:sz w:val="20"/>
                <w:szCs w:val="20"/>
              </w:rPr>
            </w:pPr>
            <w:r w:rsidRPr="00660344">
              <w:rPr>
                <w:bCs/>
                <w:sz w:val="20"/>
                <w:szCs w:val="20"/>
              </w:rPr>
              <w:t>No. of Disclosures per Respondent</w:t>
            </w:r>
          </w:p>
        </w:tc>
        <w:tc>
          <w:tcPr>
            <w:tcW w:w="1260" w:type="dxa"/>
            <w:shd w:val="clear" w:color="auto" w:fill="auto"/>
          </w:tcPr>
          <w:p w:rsidRPr="00660344" w:rsidR="00660344" w:rsidP="00144102" w:rsidRDefault="00660344" w14:paraId="682E974B" w14:textId="77777777">
            <w:pPr>
              <w:contextualSpacing/>
              <w:jc w:val="center"/>
              <w:rPr>
                <w:sz w:val="20"/>
                <w:szCs w:val="20"/>
              </w:rPr>
            </w:pPr>
            <w:r w:rsidRPr="00660344">
              <w:rPr>
                <w:sz w:val="20"/>
                <w:szCs w:val="20"/>
              </w:rPr>
              <w:t>Total Annual Disclosures</w:t>
            </w:r>
          </w:p>
        </w:tc>
        <w:tc>
          <w:tcPr>
            <w:tcW w:w="1239" w:type="dxa"/>
            <w:shd w:val="clear" w:color="auto" w:fill="auto"/>
          </w:tcPr>
          <w:p w:rsidRPr="00660344" w:rsidR="00660344" w:rsidP="00144102" w:rsidRDefault="00660344" w14:paraId="5E6EFD2C" w14:textId="77777777">
            <w:pPr>
              <w:contextualSpacing/>
              <w:jc w:val="center"/>
              <w:rPr>
                <w:sz w:val="20"/>
                <w:szCs w:val="20"/>
              </w:rPr>
            </w:pPr>
            <w:r w:rsidRPr="00660344">
              <w:rPr>
                <w:bCs/>
                <w:sz w:val="20"/>
                <w:szCs w:val="20"/>
              </w:rPr>
              <w:t>Average Burden per Disclosure</w:t>
            </w:r>
          </w:p>
        </w:tc>
        <w:tc>
          <w:tcPr>
            <w:tcW w:w="1096" w:type="dxa"/>
            <w:shd w:val="clear" w:color="auto" w:fill="auto"/>
          </w:tcPr>
          <w:p w:rsidRPr="00660344" w:rsidR="00660344" w:rsidP="00144102" w:rsidRDefault="00660344" w14:paraId="62F37486" w14:textId="77777777">
            <w:pPr>
              <w:contextualSpacing/>
              <w:jc w:val="center"/>
              <w:rPr>
                <w:sz w:val="20"/>
                <w:szCs w:val="20"/>
              </w:rPr>
            </w:pPr>
            <w:r w:rsidRPr="00660344">
              <w:rPr>
                <w:sz w:val="20"/>
                <w:szCs w:val="20"/>
              </w:rPr>
              <w:t>Total Hours</w:t>
            </w:r>
          </w:p>
        </w:tc>
      </w:tr>
      <w:tr w:rsidRPr="00660344" w:rsidR="00144102" w:rsidTr="00144102" w14:paraId="08AEECC6" w14:textId="77777777">
        <w:trPr>
          <w:cantSplit/>
        </w:trPr>
        <w:tc>
          <w:tcPr>
            <w:tcW w:w="2701" w:type="dxa"/>
            <w:shd w:val="clear" w:color="auto" w:fill="auto"/>
          </w:tcPr>
          <w:p w:rsidRPr="00660344" w:rsidR="00660344" w:rsidP="00660344" w:rsidRDefault="00660344" w14:paraId="53B9840A" w14:textId="77777777">
            <w:pPr>
              <w:contextualSpacing/>
              <w:rPr>
                <w:sz w:val="20"/>
                <w:szCs w:val="20"/>
              </w:rPr>
            </w:pPr>
            <w:r w:rsidRPr="00660344">
              <w:rPr>
                <w:sz w:val="20"/>
                <w:szCs w:val="20"/>
              </w:rPr>
              <w:t xml:space="preserve">Recall communications; </w:t>
            </w:r>
            <w:r w:rsidRPr="00660344">
              <w:rPr>
                <w:sz w:val="20"/>
                <w:szCs w:val="20"/>
                <w:lang w:val="en"/>
              </w:rPr>
              <w:t>§ </w:t>
            </w:r>
            <w:r w:rsidRPr="00660344">
              <w:rPr>
                <w:sz w:val="20"/>
                <w:szCs w:val="20"/>
              </w:rPr>
              <w:t>7.49</w:t>
            </w:r>
          </w:p>
        </w:tc>
        <w:tc>
          <w:tcPr>
            <w:tcW w:w="1349" w:type="dxa"/>
            <w:shd w:val="clear" w:color="auto" w:fill="auto"/>
          </w:tcPr>
          <w:p w:rsidRPr="00660344" w:rsidR="00660344" w:rsidP="00144102" w:rsidRDefault="00660344" w14:paraId="0F0B4F46" w14:textId="77777777">
            <w:pPr>
              <w:contextualSpacing/>
              <w:jc w:val="right"/>
              <w:rPr>
                <w:sz w:val="20"/>
                <w:szCs w:val="20"/>
              </w:rPr>
            </w:pPr>
            <w:r w:rsidRPr="00660344">
              <w:rPr>
                <w:sz w:val="20"/>
                <w:szCs w:val="20"/>
              </w:rPr>
              <w:t>2,779</w:t>
            </w:r>
          </w:p>
        </w:tc>
        <w:tc>
          <w:tcPr>
            <w:tcW w:w="1705" w:type="dxa"/>
            <w:shd w:val="clear" w:color="auto" w:fill="auto"/>
          </w:tcPr>
          <w:p w:rsidRPr="00660344" w:rsidR="00660344" w:rsidP="00144102" w:rsidRDefault="00660344" w14:paraId="3FECE986" w14:textId="77777777">
            <w:pPr>
              <w:contextualSpacing/>
              <w:jc w:val="right"/>
              <w:rPr>
                <w:sz w:val="20"/>
                <w:szCs w:val="20"/>
              </w:rPr>
            </w:pPr>
            <w:r w:rsidRPr="00660344">
              <w:rPr>
                <w:sz w:val="20"/>
                <w:szCs w:val="20"/>
              </w:rPr>
              <w:t>445</w:t>
            </w:r>
          </w:p>
        </w:tc>
        <w:tc>
          <w:tcPr>
            <w:tcW w:w="1260" w:type="dxa"/>
            <w:shd w:val="clear" w:color="auto" w:fill="auto"/>
          </w:tcPr>
          <w:p w:rsidRPr="00660344" w:rsidR="00660344" w:rsidP="00144102" w:rsidRDefault="00660344" w14:paraId="7EC7A340" w14:textId="77777777">
            <w:pPr>
              <w:contextualSpacing/>
              <w:jc w:val="right"/>
              <w:rPr>
                <w:sz w:val="20"/>
                <w:szCs w:val="20"/>
              </w:rPr>
            </w:pPr>
            <w:r w:rsidRPr="00660344">
              <w:rPr>
                <w:sz w:val="20"/>
                <w:szCs w:val="20"/>
              </w:rPr>
              <w:t>1,236,655</w:t>
            </w:r>
          </w:p>
        </w:tc>
        <w:tc>
          <w:tcPr>
            <w:tcW w:w="1239" w:type="dxa"/>
            <w:shd w:val="clear" w:color="auto" w:fill="auto"/>
          </w:tcPr>
          <w:p w:rsidRPr="00660344" w:rsidR="00660344" w:rsidP="00144102" w:rsidRDefault="00660344" w14:paraId="4BCECBD4" w14:textId="77777777">
            <w:pPr>
              <w:contextualSpacing/>
              <w:jc w:val="right"/>
              <w:rPr>
                <w:sz w:val="20"/>
                <w:szCs w:val="20"/>
              </w:rPr>
            </w:pPr>
            <w:r w:rsidRPr="00660344">
              <w:rPr>
                <w:sz w:val="20"/>
                <w:szCs w:val="20"/>
              </w:rPr>
              <w:t xml:space="preserve">0.05 </w:t>
            </w:r>
          </w:p>
          <w:p w:rsidRPr="00660344" w:rsidR="00660344" w:rsidP="00144102" w:rsidRDefault="00660344" w14:paraId="576E6E56" w14:textId="77777777">
            <w:pPr>
              <w:contextualSpacing/>
              <w:jc w:val="right"/>
              <w:rPr>
                <w:sz w:val="20"/>
                <w:szCs w:val="20"/>
              </w:rPr>
            </w:pPr>
            <w:r w:rsidRPr="00660344">
              <w:rPr>
                <w:sz w:val="20"/>
                <w:szCs w:val="20"/>
              </w:rPr>
              <w:t>(3 minutes)</w:t>
            </w:r>
          </w:p>
        </w:tc>
        <w:tc>
          <w:tcPr>
            <w:tcW w:w="1096" w:type="dxa"/>
            <w:shd w:val="clear" w:color="auto" w:fill="auto"/>
          </w:tcPr>
          <w:p w:rsidRPr="00660344" w:rsidR="00660344" w:rsidP="00144102" w:rsidRDefault="00660344" w14:paraId="428BCFC7" w14:textId="77777777">
            <w:pPr>
              <w:contextualSpacing/>
              <w:jc w:val="right"/>
              <w:rPr>
                <w:sz w:val="20"/>
                <w:szCs w:val="20"/>
              </w:rPr>
            </w:pPr>
            <w:r w:rsidRPr="00660344">
              <w:rPr>
                <w:sz w:val="20"/>
                <w:szCs w:val="20"/>
              </w:rPr>
              <w:t>61,832.75</w:t>
            </w:r>
          </w:p>
        </w:tc>
      </w:tr>
    </w:tbl>
    <w:p w:rsidRPr="00660344" w:rsidR="00660344" w:rsidP="00660344" w:rsidRDefault="00660344" w14:paraId="39BE157D" w14:textId="77777777">
      <w:pPr>
        <w:contextualSpacing/>
        <w:rPr>
          <w:sz w:val="20"/>
          <w:szCs w:val="20"/>
        </w:rPr>
      </w:pPr>
      <w:r w:rsidRPr="00660344">
        <w:rPr>
          <w:sz w:val="20"/>
          <w:szCs w:val="20"/>
          <w:vertAlign w:val="superscript"/>
        </w:rPr>
        <w:t>1</w:t>
      </w:r>
      <w:r w:rsidRPr="00660344">
        <w:rPr>
          <w:sz w:val="20"/>
          <w:szCs w:val="20"/>
        </w:rPr>
        <w:t xml:space="preserve"> There are no capital costs or operating and maintenance costs associated with this collection of information.</w:t>
      </w:r>
    </w:p>
    <w:p w:rsidRPr="00660344" w:rsidR="00660344" w:rsidP="00660344" w:rsidRDefault="00660344" w14:paraId="4C4B20AB" w14:textId="77777777">
      <w:pPr>
        <w:rPr>
          <w:sz w:val="20"/>
          <w:szCs w:val="20"/>
        </w:rPr>
      </w:pPr>
    </w:p>
    <w:p w:rsidR="00A21BB4" w:rsidP="00660344" w:rsidRDefault="00660344" w14:paraId="79312C2A" w14:textId="77777777">
      <w:pPr>
        <w:ind w:firstLine="720"/>
        <w:contextualSpacing/>
        <w:rPr>
          <w:szCs w:val="20"/>
        </w:rPr>
      </w:pPr>
      <w:r w:rsidRPr="00660344">
        <w:rPr>
          <w:szCs w:val="20"/>
        </w:rPr>
        <w:t>To determine burden associated with recall communication disclosures described in § 7.49, we calculated an average of 445 disclosures per recall and attribute 3 minutes for each disclosure, resulting in 61,832.75 burden hours annually.</w:t>
      </w:r>
      <w:r>
        <w:rPr>
          <w:szCs w:val="20"/>
        </w:rPr>
        <w:t xml:space="preserve">  We provide no estimate for r</w:t>
      </w:r>
      <w:r w:rsidRPr="00CE4F3E" w:rsidR="00A21BB4">
        <w:t xml:space="preserve">ecordkeeping </w:t>
      </w:r>
      <w:r>
        <w:t xml:space="preserve">in </w:t>
      </w:r>
      <w:r w:rsidRPr="00CE4F3E" w:rsidR="00A21BB4">
        <w:t>21 CFR 7.59</w:t>
      </w:r>
      <w:r>
        <w:t xml:space="preserve">, regarding these activities to </w:t>
      </w:r>
      <w:r w:rsidRPr="00CE4F3E" w:rsidR="00A21BB4">
        <w:t xml:space="preserve"> to be usual and customary to these respondents.</w:t>
      </w:r>
    </w:p>
    <w:p w:rsidRPr="00660344" w:rsidR="00660344" w:rsidP="00660344" w:rsidRDefault="00660344" w14:paraId="6E78449C" w14:textId="77777777">
      <w:pPr>
        <w:ind w:firstLine="720"/>
        <w:contextualSpacing/>
        <w:rPr>
          <w:szCs w:val="20"/>
        </w:rPr>
      </w:pPr>
    </w:p>
    <w:p w:rsidRPr="00660344" w:rsidR="00665B7C" w:rsidP="00CE4F3E" w:rsidRDefault="00660344" w14:paraId="16ED1088" w14:textId="77777777">
      <w:pPr>
        <w:rPr>
          <w:i/>
          <w:iCs/>
        </w:rPr>
      </w:pPr>
      <w:r>
        <w:tab/>
      </w:r>
      <w:r w:rsidRPr="00660344" w:rsidR="00A93ED9">
        <w:rPr>
          <w:i/>
          <w:iCs/>
        </w:rPr>
        <w:t xml:space="preserve">12b. </w:t>
      </w:r>
      <w:r w:rsidRPr="00660344" w:rsidR="00411D11">
        <w:rPr>
          <w:i/>
          <w:iCs/>
        </w:rPr>
        <w:t>Annualized Cost Burden Estimate</w:t>
      </w:r>
    </w:p>
    <w:p w:rsidRPr="00CE4F3E" w:rsidR="00D96512" w:rsidP="00CE4F3E" w:rsidRDefault="00D96512" w14:paraId="1F9FEEA0" w14:textId="77777777"/>
    <w:p w:rsidRPr="00CE4F3E" w:rsidR="00294202" w:rsidP="00CE4F3E" w:rsidRDefault="00660344" w14:paraId="559232F6" w14:textId="77777777">
      <w:r>
        <w:tab/>
      </w:r>
      <w:r w:rsidRPr="00CE4F3E" w:rsidR="009C2AF7">
        <w:t>FDA regulates many different types of products including, but not limited to, medical products, food and feed, cosmetics, and tobacco products.  Further, FDA notes that not all recall events reported are similar in nature and may entail different information and volume of information on a case-by-case basis.  Therefore, t</w:t>
      </w:r>
      <w:r w:rsidRPr="00CE4F3E" w:rsidR="00294202">
        <w:t xml:space="preserve">he FDA has no information which would allow it to make any meaningful estimate of the cost to FDA regulated </w:t>
      </w:r>
      <w:r w:rsidRPr="00CE4F3E" w:rsidR="005F7472">
        <w:t>i</w:t>
      </w:r>
      <w:r w:rsidRPr="00CE4F3E" w:rsidR="00294202">
        <w:t xml:space="preserve">ndustry to conduct recalls. </w:t>
      </w:r>
    </w:p>
    <w:p w:rsidRPr="00CE4F3E" w:rsidR="009C2AF7" w:rsidP="00CE4F3E" w:rsidRDefault="009C2AF7" w14:paraId="64B9E21A" w14:textId="77777777"/>
    <w:p w:rsidRPr="00CE4F3E" w:rsidR="004C6979" w:rsidP="00CE4F3E" w:rsidRDefault="00660344" w14:paraId="4A23FE60" w14:textId="77777777">
      <w:r>
        <w:t xml:space="preserve">13.  </w:t>
      </w:r>
      <w:r w:rsidRPr="00660344" w:rsidR="00EB7538">
        <w:rPr>
          <w:u w:val="single"/>
        </w:rPr>
        <w:t>Estimates of Other Total Annual Cost</w:t>
      </w:r>
      <w:r w:rsidRPr="00660344" w:rsidR="007C75B1">
        <w:rPr>
          <w:u w:val="single"/>
        </w:rPr>
        <w:t>s</w:t>
      </w:r>
      <w:r w:rsidRPr="00660344" w:rsidR="00EB7538">
        <w:rPr>
          <w:u w:val="single"/>
        </w:rPr>
        <w:t xml:space="preserve"> to Respondents and</w:t>
      </w:r>
      <w:r w:rsidRPr="00660344" w:rsidR="00350523">
        <w:rPr>
          <w:u w:val="single"/>
        </w:rPr>
        <w:t>/or Recordkeepers/Capital Costs</w:t>
      </w:r>
    </w:p>
    <w:p w:rsidR="00660344" w:rsidP="00CE4F3E" w:rsidRDefault="00660344" w14:paraId="61E2772C" w14:textId="77777777"/>
    <w:p w:rsidRPr="00CE4F3E" w:rsidR="00350523" w:rsidP="00CE4F3E" w:rsidRDefault="00350523" w14:paraId="4802CC11" w14:textId="77777777">
      <w:r w:rsidRPr="00CE4F3E">
        <w:t>There are no capital, start-up, operating or maintenance costs associated with this information collection.</w:t>
      </w:r>
    </w:p>
    <w:p w:rsidRPr="00CE4F3E" w:rsidR="009C2AF7" w:rsidP="00CE4F3E" w:rsidRDefault="009C2AF7" w14:paraId="2E5B9666" w14:textId="77777777"/>
    <w:p w:rsidRPr="00CE4F3E" w:rsidR="004C6979" w:rsidP="00CE4F3E" w:rsidRDefault="00660344" w14:paraId="0AA581F4" w14:textId="77777777">
      <w:r>
        <w:t xml:space="preserve">14.  </w:t>
      </w:r>
      <w:r w:rsidRPr="00660344" w:rsidR="00EB7538">
        <w:rPr>
          <w:u w:val="single"/>
        </w:rPr>
        <w:t>Annualized Cost to the Federal Government</w:t>
      </w:r>
    </w:p>
    <w:p w:rsidRPr="00CE4F3E" w:rsidR="00D96512" w:rsidP="00CE4F3E" w:rsidRDefault="00D96512" w14:paraId="0A771847" w14:textId="77777777"/>
    <w:p w:rsidRPr="00CE4F3E" w:rsidR="006F7A91" w:rsidP="00CE4F3E" w:rsidRDefault="00D3740F" w14:paraId="15EB1CD5" w14:textId="77777777">
      <w:r w:rsidRPr="00CE4F3E">
        <w:t>There is one program support FTE for each operational FTE for a total of 102 FTEs (51 operational FTEs + 51 program support FTEs = 102 total FTEs). Every year FDA calculates the full-loaded cost of a FTE. This cost includes salary, benefits, travel, training, IT support, overhead, rent and supplies. In FY 2018 the fully-loaded FTE cost was $267,783 per FTE, resulting in a total anticipated annualized cost to FDA of $27,313,886 to fund the 102 FTEs in this program.</w:t>
      </w:r>
    </w:p>
    <w:p w:rsidRPr="00CE4F3E" w:rsidR="00D3740F" w:rsidP="00CE4F3E" w:rsidRDefault="00D3740F" w14:paraId="77BDE454" w14:textId="77777777"/>
    <w:p w:rsidRPr="00CE4F3E" w:rsidR="004C6979" w:rsidP="00CE4F3E" w:rsidRDefault="00660344" w14:paraId="4AED5942" w14:textId="77777777">
      <w:r>
        <w:t xml:space="preserve">15.  </w:t>
      </w:r>
      <w:r w:rsidRPr="00660344" w:rsidR="00EB7538">
        <w:rPr>
          <w:u w:val="single"/>
        </w:rPr>
        <w:t>Explanation for Program Changes or Adjustments</w:t>
      </w:r>
    </w:p>
    <w:p w:rsidR="00D96512" w:rsidP="00CE4F3E" w:rsidRDefault="00D96512" w14:paraId="0E8624CD" w14:textId="77777777"/>
    <w:p w:rsidRPr="00CE4F3E" w:rsidR="00660344" w:rsidP="00CE4F3E" w:rsidRDefault="00660344" w14:paraId="4B3E8E8F" w14:textId="77777777">
      <w:r>
        <w:t xml:space="preserve">We have adjusted our </w:t>
      </w:r>
      <w:r w:rsidRPr="00660344">
        <w:t>estimate</w:t>
      </w:r>
      <w:r>
        <w:t xml:space="preserve"> to</w:t>
      </w:r>
      <w:r w:rsidRPr="00660344">
        <w:t xml:space="preserve"> reflect an overall decrease in the average number of annual responses by 245,846 and a decrease in the average number of annual burden hours by 70,949.25 since our last </w:t>
      </w:r>
      <w:r>
        <w:t xml:space="preserve">review of the information collection.  The adjustment reflects a decrease in FDA-product recalls </w:t>
      </w:r>
      <w:r w:rsidR="00644952">
        <w:t>over the most recent calendar years.</w:t>
      </w:r>
    </w:p>
    <w:p w:rsidRPr="00CE4F3E" w:rsidR="007140BB" w:rsidP="00CE4F3E" w:rsidRDefault="007140BB" w14:paraId="39EFE5BB" w14:textId="77777777"/>
    <w:p w:rsidRPr="00CE4F3E" w:rsidR="004C6979" w:rsidP="00CE4F3E" w:rsidRDefault="00660344" w14:paraId="434D1259" w14:textId="77777777">
      <w:r>
        <w:t xml:space="preserve">16.  </w:t>
      </w:r>
      <w:r w:rsidRPr="00660344" w:rsidR="00EB7538">
        <w:rPr>
          <w:u w:val="single"/>
        </w:rPr>
        <w:t>Plans for Tabulation and Publication and Project Time Schedule</w:t>
      </w:r>
    </w:p>
    <w:p w:rsidRPr="00CE4F3E" w:rsidR="00D96512" w:rsidP="00CE4F3E" w:rsidRDefault="00D96512" w14:paraId="7EC5AAE2" w14:textId="77777777"/>
    <w:p w:rsidRPr="00CE4F3E" w:rsidR="003C4EBB" w:rsidP="00CE4F3E" w:rsidRDefault="00DC6162" w14:paraId="0039960B" w14:textId="77777777">
      <w:r w:rsidRPr="00CE4F3E">
        <w:t>The reporting requirements contained in this proposal will not</w:t>
      </w:r>
      <w:r w:rsidRPr="00CE4F3E" w:rsidR="006A7D5D">
        <w:t xml:space="preserve"> be published, tabulated or manipulated</w:t>
      </w:r>
    </w:p>
    <w:p w:rsidRPr="00CE4F3E" w:rsidR="00071A0C" w:rsidP="00CE4F3E" w:rsidRDefault="00071A0C" w14:paraId="3C3DD3E0" w14:textId="77777777"/>
    <w:p w:rsidRPr="00CE4F3E" w:rsidR="004C6979" w:rsidP="00CE4F3E" w:rsidRDefault="00660344" w14:paraId="2AF614D7" w14:textId="77777777">
      <w:r>
        <w:t xml:space="preserve">17.  </w:t>
      </w:r>
      <w:r w:rsidRPr="00660344" w:rsidR="00EB7538">
        <w:rPr>
          <w:u w:val="single"/>
        </w:rPr>
        <w:t>Reason(s) Display of OMB Expiration Date is Inappropriate</w:t>
      </w:r>
    </w:p>
    <w:p w:rsidRPr="00CE4F3E" w:rsidR="00D96512" w:rsidP="00CE4F3E" w:rsidRDefault="00D96512" w14:paraId="3D8A4383" w14:textId="77777777"/>
    <w:p w:rsidRPr="00CE4F3E" w:rsidR="004D2AD4" w:rsidP="00CE4F3E" w:rsidRDefault="004D2AD4" w14:paraId="7C4CD666" w14:textId="77777777">
      <w:r w:rsidRPr="00CE4F3E">
        <w:t>We are not seeking approval to exempt display of the OMB approval date on any documents that are associated with this information collection.</w:t>
      </w:r>
    </w:p>
    <w:p w:rsidRPr="00CE4F3E" w:rsidR="00071A0C" w:rsidP="00CE4F3E" w:rsidRDefault="00071A0C" w14:paraId="2AC9F0C8" w14:textId="77777777"/>
    <w:p w:rsidRPr="00CE4F3E" w:rsidR="00EB7538" w:rsidP="00CE4F3E" w:rsidRDefault="00660344" w14:paraId="2026E786" w14:textId="77777777">
      <w:r>
        <w:t xml:space="preserve">18.  </w:t>
      </w:r>
      <w:r w:rsidRPr="00660344" w:rsidR="00EB7538">
        <w:rPr>
          <w:u w:val="single"/>
        </w:rPr>
        <w:t>Exceptions to Certification for Paperwork Reduction Act Submissions</w:t>
      </w:r>
    </w:p>
    <w:p w:rsidRPr="00CE4F3E" w:rsidR="00D96512" w:rsidP="00CE4F3E" w:rsidRDefault="00D96512" w14:paraId="0F8CC25F" w14:textId="77777777"/>
    <w:p w:rsidRPr="00CE4F3E" w:rsidR="00E00EA0" w:rsidP="00CE4F3E" w:rsidRDefault="004D2AD4" w14:paraId="26095CF4" w14:textId="77777777">
      <w:r w:rsidRPr="00CE4F3E">
        <w:t>T</w:t>
      </w:r>
      <w:r w:rsidRPr="00CE4F3E" w:rsidR="00754497">
        <w:t>here are no e</w:t>
      </w:r>
      <w:r w:rsidRPr="00CE4F3E">
        <w:t>xceptions to the certification.</w:t>
      </w:r>
    </w:p>
    <w:p w:rsidRPr="00CE4F3E" w:rsidR="002746DB" w:rsidP="00CE4F3E" w:rsidRDefault="008B0333" w14:paraId="503FB716" w14:textId="77777777">
      <w:r w:rsidRPr="00CE4F3E">
        <w:t xml:space="preserve"> </w:t>
      </w:r>
    </w:p>
    <w:sectPr w:rsidRPr="00CE4F3E" w:rsidR="002746DB" w:rsidSect="00144102">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3698A" w14:textId="77777777" w:rsidR="00144102" w:rsidRDefault="00144102" w:rsidP="00144102">
      <w:r>
        <w:separator/>
      </w:r>
    </w:p>
  </w:endnote>
  <w:endnote w:type="continuationSeparator" w:id="0">
    <w:p w14:paraId="58DF527D" w14:textId="77777777" w:rsidR="00144102" w:rsidRDefault="00144102" w:rsidP="0014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7242" w14:textId="77777777" w:rsidR="00144102" w:rsidRDefault="00144102" w:rsidP="00144102">
      <w:r>
        <w:separator/>
      </w:r>
    </w:p>
  </w:footnote>
  <w:footnote w:type="continuationSeparator" w:id="0">
    <w:p w14:paraId="0F5D6683" w14:textId="77777777" w:rsidR="00144102" w:rsidRDefault="00144102" w:rsidP="0014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56B6" w14:textId="77777777" w:rsidR="00144102" w:rsidRDefault="00144102">
    <w:pPr>
      <w:pStyle w:val="Header"/>
      <w:jc w:val="right"/>
    </w:pPr>
    <w:r>
      <w:fldChar w:fldCharType="begin"/>
    </w:r>
    <w:r>
      <w:instrText xml:space="preserve"> PAGE   \* MERGEFORMAT </w:instrText>
    </w:r>
    <w:r>
      <w:fldChar w:fldCharType="separate"/>
    </w:r>
    <w:r>
      <w:rPr>
        <w:noProof/>
      </w:rPr>
      <w:t>2</w:t>
    </w:r>
    <w:r>
      <w:rPr>
        <w:noProof/>
      </w:rPr>
      <w:fldChar w:fldCharType="end"/>
    </w:r>
  </w:p>
  <w:p w14:paraId="7D196C30" w14:textId="77777777" w:rsidR="00144102" w:rsidRDefault="00144102">
    <w:pPr>
      <w:pStyle w:val="Header"/>
    </w:pPr>
  </w:p>
  <w:p w14:paraId="5358792E" w14:textId="77777777" w:rsidR="00144102" w:rsidRDefault="00144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DD7BB4"/>
    <w:multiLevelType w:val="hybridMultilevel"/>
    <w:tmpl w:val="A3081CC0"/>
    <w:lvl w:ilvl="0" w:tplc="D6E6C882">
      <w:start w:val="2"/>
      <w:numFmt w:val="upperRoman"/>
      <w:lvlText w:val="%1."/>
      <w:lvlJc w:val="left"/>
      <w:pPr>
        <w:tabs>
          <w:tab w:val="num" w:pos="14760"/>
        </w:tabs>
        <w:ind w:left="14760" w:hanging="720"/>
      </w:pPr>
      <w:rPr>
        <w:rFonts w:hint="default"/>
      </w:rPr>
    </w:lvl>
    <w:lvl w:ilvl="1" w:tplc="04090019" w:tentative="1">
      <w:start w:val="1"/>
      <w:numFmt w:val="lowerLetter"/>
      <w:lvlText w:val="%2."/>
      <w:lvlJc w:val="left"/>
      <w:pPr>
        <w:tabs>
          <w:tab w:val="num" w:pos="15120"/>
        </w:tabs>
        <w:ind w:left="15120" w:hanging="360"/>
      </w:pPr>
    </w:lvl>
    <w:lvl w:ilvl="2" w:tplc="0409001B" w:tentative="1">
      <w:start w:val="1"/>
      <w:numFmt w:val="lowerRoman"/>
      <w:lvlText w:val="%3."/>
      <w:lvlJc w:val="right"/>
      <w:pPr>
        <w:tabs>
          <w:tab w:val="num" w:pos="15840"/>
        </w:tabs>
        <w:ind w:left="15840" w:hanging="180"/>
      </w:pPr>
    </w:lvl>
    <w:lvl w:ilvl="3" w:tplc="0409000F" w:tentative="1">
      <w:start w:val="1"/>
      <w:numFmt w:val="decimal"/>
      <w:lvlText w:val="%4."/>
      <w:lvlJc w:val="left"/>
      <w:pPr>
        <w:tabs>
          <w:tab w:val="num" w:pos="16560"/>
        </w:tabs>
        <w:ind w:left="16560" w:hanging="360"/>
      </w:pPr>
    </w:lvl>
    <w:lvl w:ilvl="4" w:tplc="04090019" w:tentative="1">
      <w:start w:val="1"/>
      <w:numFmt w:val="lowerLetter"/>
      <w:lvlText w:val="%5."/>
      <w:lvlJc w:val="left"/>
      <w:pPr>
        <w:tabs>
          <w:tab w:val="num" w:pos="17280"/>
        </w:tabs>
        <w:ind w:left="17280" w:hanging="360"/>
      </w:pPr>
    </w:lvl>
    <w:lvl w:ilvl="5" w:tplc="0409001B" w:tentative="1">
      <w:start w:val="1"/>
      <w:numFmt w:val="lowerRoman"/>
      <w:lvlText w:val="%6."/>
      <w:lvlJc w:val="right"/>
      <w:pPr>
        <w:tabs>
          <w:tab w:val="num" w:pos="18000"/>
        </w:tabs>
        <w:ind w:left="18000" w:hanging="180"/>
      </w:pPr>
    </w:lvl>
    <w:lvl w:ilvl="6" w:tplc="0409000F" w:tentative="1">
      <w:start w:val="1"/>
      <w:numFmt w:val="decimal"/>
      <w:lvlText w:val="%7."/>
      <w:lvlJc w:val="left"/>
      <w:pPr>
        <w:tabs>
          <w:tab w:val="num" w:pos="18720"/>
        </w:tabs>
        <w:ind w:left="18720" w:hanging="360"/>
      </w:pPr>
    </w:lvl>
    <w:lvl w:ilvl="7" w:tplc="04090019" w:tentative="1">
      <w:start w:val="1"/>
      <w:numFmt w:val="lowerLetter"/>
      <w:lvlText w:val="%8."/>
      <w:lvlJc w:val="left"/>
      <w:pPr>
        <w:tabs>
          <w:tab w:val="num" w:pos="19440"/>
        </w:tabs>
        <w:ind w:left="19440" w:hanging="360"/>
      </w:pPr>
    </w:lvl>
    <w:lvl w:ilvl="8" w:tplc="0409001B" w:tentative="1">
      <w:start w:val="1"/>
      <w:numFmt w:val="lowerRoman"/>
      <w:lvlText w:val="%9."/>
      <w:lvlJc w:val="right"/>
      <w:pPr>
        <w:tabs>
          <w:tab w:val="num" w:pos="20160"/>
        </w:tabs>
        <w:ind w:left="20160" w:hanging="180"/>
      </w:p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E1030E"/>
    <w:multiLevelType w:val="hybridMultilevel"/>
    <w:tmpl w:val="A50A0C70"/>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99D09AB"/>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B6B4033"/>
    <w:multiLevelType w:val="hybridMultilevel"/>
    <w:tmpl w:val="0A026560"/>
    <w:lvl w:ilvl="0" w:tplc="1FFA05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314B83"/>
    <w:multiLevelType w:val="hybridMultilevel"/>
    <w:tmpl w:val="3D6AA0A6"/>
    <w:lvl w:ilvl="0" w:tplc="D6E6C882">
      <w:start w:val="2"/>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1880"/>
        </w:tabs>
        <w:ind w:left="-11880" w:hanging="360"/>
      </w:pPr>
    </w:lvl>
    <w:lvl w:ilvl="2" w:tplc="0409001B" w:tentative="1">
      <w:start w:val="1"/>
      <w:numFmt w:val="lowerRoman"/>
      <w:lvlText w:val="%3."/>
      <w:lvlJc w:val="right"/>
      <w:pPr>
        <w:tabs>
          <w:tab w:val="num" w:pos="-11160"/>
        </w:tabs>
        <w:ind w:left="-11160" w:hanging="180"/>
      </w:pPr>
    </w:lvl>
    <w:lvl w:ilvl="3" w:tplc="0409000F" w:tentative="1">
      <w:start w:val="1"/>
      <w:numFmt w:val="decimal"/>
      <w:lvlText w:val="%4."/>
      <w:lvlJc w:val="left"/>
      <w:pPr>
        <w:tabs>
          <w:tab w:val="num" w:pos="-10440"/>
        </w:tabs>
        <w:ind w:left="-10440" w:hanging="360"/>
      </w:pPr>
    </w:lvl>
    <w:lvl w:ilvl="4" w:tplc="04090019" w:tentative="1">
      <w:start w:val="1"/>
      <w:numFmt w:val="lowerLetter"/>
      <w:lvlText w:val="%5."/>
      <w:lvlJc w:val="left"/>
      <w:pPr>
        <w:tabs>
          <w:tab w:val="num" w:pos="-9720"/>
        </w:tabs>
        <w:ind w:left="-972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1D0BFB"/>
    <w:multiLevelType w:val="hybridMultilevel"/>
    <w:tmpl w:val="4BF427C4"/>
    <w:lvl w:ilvl="0" w:tplc="DC449E0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9"/>
  </w:num>
  <w:num w:numId="6">
    <w:abstractNumId w:val="27"/>
  </w:num>
  <w:num w:numId="7">
    <w:abstractNumId w:val="32"/>
  </w:num>
  <w:num w:numId="8">
    <w:abstractNumId w:val="6"/>
  </w:num>
  <w:num w:numId="9">
    <w:abstractNumId w:val="28"/>
  </w:num>
  <w:num w:numId="10">
    <w:abstractNumId w:val="24"/>
  </w:num>
  <w:num w:numId="11">
    <w:abstractNumId w:val="11"/>
  </w:num>
  <w:num w:numId="12">
    <w:abstractNumId w:val="35"/>
  </w:num>
  <w:num w:numId="13">
    <w:abstractNumId w:val="23"/>
  </w:num>
  <w:num w:numId="14">
    <w:abstractNumId w:val="10"/>
  </w:num>
  <w:num w:numId="15">
    <w:abstractNumId w:val="18"/>
  </w:num>
  <w:num w:numId="16">
    <w:abstractNumId w:val="16"/>
  </w:num>
  <w:num w:numId="17">
    <w:abstractNumId w:val="31"/>
  </w:num>
  <w:num w:numId="18">
    <w:abstractNumId w:val="34"/>
  </w:num>
  <w:num w:numId="19">
    <w:abstractNumId w:val="33"/>
  </w:num>
  <w:num w:numId="20">
    <w:abstractNumId w:val="22"/>
  </w:num>
  <w:num w:numId="21">
    <w:abstractNumId w:val="15"/>
  </w:num>
  <w:num w:numId="22">
    <w:abstractNumId w:val="4"/>
  </w:num>
  <w:num w:numId="23">
    <w:abstractNumId w:val="29"/>
  </w:num>
  <w:num w:numId="24">
    <w:abstractNumId w:val="26"/>
  </w:num>
  <w:num w:numId="25">
    <w:abstractNumId w:val="13"/>
  </w:num>
  <w:num w:numId="26">
    <w:abstractNumId w:val="8"/>
  </w:num>
  <w:num w:numId="27">
    <w:abstractNumId w:val="36"/>
  </w:num>
  <w:num w:numId="28">
    <w:abstractNumId w:val="30"/>
  </w:num>
  <w:num w:numId="29">
    <w:abstractNumId w:val="7"/>
  </w:num>
  <w:num w:numId="30">
    <w:abstractNumId w:val="20"/>
  </w:num>
  <w:num w:numId="31">
    <w:abstractNumId w:val="2"/>
  </w:num>
  <w:num w:numId="32">
    <w:abstractNumId w:val="1"/>
  </w:num>
  <w:num w:numId="33">
    <w:abstractNumId w:val="5"/>
  </w:num>
  <w:num w:numId="34">
    <w:abstractNumId w:val="3"/>
  </w:num>
  <w:num w:numId="35">
    <w:abstractNumId w:val="17"/>
  </w:num>
  <w:num w:numId="36">
    <w:abstractNumId w:val="14"/>
  </w:num>
  <w:num w:numId="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3EC"/>
    <w:rsid w:val="000036B5"/>
    <w:rsid w:val="000065D1"/>
    <w:rsid w:val="00016121"/>
    <w:rsid w:val="00030A69"/>
    <w:rsid w:val="00036DFC"/>
    <w:rsid w:val="00047949"/>
    <w:rsid w:val="00053237"/>
    <w:rsid w:val="00064A8C"/>
    <w:rsid w:val="0006570F"/>
    <w:rsid w:val="00071A0C"/>
    <w:rsid w:val="0009339B"/>
    <w:rsid w:val="000A10A3"/>
    <w:rsid w:val="000B594F"/>
    <w:rsid w:val="000C144C"/>
    <w:rsid w:val="000C1FC5"/>
    <w:rsid w:val="000D059B"/>
    <w:rsid w:val="000D13F1"/>
    <w:rsid w:val="000D4820"/>
    <w:rsid w:val="000D48FD"/>
    <w:rsid w:val="000E1C64"/>
    <w:rsid w:val="000E5931"/>
    <w:rsid w:val="000F48DC"/>
    <w:rsid w:val="000F764A"/>
    <w:rsid w:val="001053FD"/>
    <w:rsid w:val="00107885"/>
    <w:rsid w:val="001128A2"/>
    <w:rsid w:val="00114FC4"/>
    <w:rsid w:val="0012329C"/>
    <w:rsid w:val="00134FA7"/>
    <w:rsid w:val="00137950"/>
    <w:rsid w:val="0014229D"/>
    <w:rsid w:val="00144102"/>
    <w:rsid w:val="00147E2D"/>
    <w:rsid w:val="00152216"/>
    <w:rsid w:val="00152F29"/>
    <w:rsid w:val="0015757F"/>
    <w:rsid w:val="00160791"/>
    <w:rsid w:val="001633D0"/>
    <w:rsid w:val="00172AF3"/>
    <w:rsid w:val="0017665E"/>
    <w:rsid w:val="00185270"/>
    <w:rsid w:val="00186AF9"/>
    <w:rsid w:val="00197C38"/>
    <w:rsid w:val="001A3B5A"/>
    <w:rsid w:val="001B0002"/>
    <w:rsid w:val="001B5429"/>
    <w:rsid w:val="001B6B70"/>
    <w:rsid w:val="001B7CE9"/>
    <w:rsid w:val="001C528B"/>
    <w:rsid w:val="001D2AC3"/>
    <w:rsid w:val="001D4738"/>
    <w:rsid w:val="001D495A"/>
    <w:rsid w:val="001E1524"/>
    <w:rsid w:val="001E337B"/>
    <w:rsid w:val="00207942"/>
    <w:rsid w:val="002259EF"/>
    <w:rsid w:val="00226BC5"/>
    <w:rsid w:val="00242ED1"/>
    <w:rsid w:val="00244581"/>
    <w:rsid w:val="00254069"/>
    <w:rsid w:val="00254E17"/>
    <w:rsid w:val="00255516"/>
    <w:rsid w:val="002734E5"/>
    <w:rsid w:val="002746DB"/>
    <w:rsid w:val="00280CAF"/>
    <w:rsid w:val="00282F09"/>
    <w:rsid w:val="00284A5E"/>
    <w:rsid w:val="00286657"/>
    <w:rsid w:val="00294202"/>
    <w:rsid w:val="002A0016"/>
    <w:rsid w:val="002A20A7"/>
    <w:rsid w:val="002C392F"/>
    <w:rsid w:val="002D2E62"/>
    <w:rsid w:val="002D4799"/>
    <w:rsid w:val="002D56DE"/>
    <w:rsid w:val="002D5D86"/>
    <w:rsid w:val="002D7503"/>
    <w:rsid w:val="002E3FA4"/>
    <w:rsid w:val="002E4C1C"/>
    <w:rsid w:val="00302A92"/>
    <w:rsid w:val="00316E7E"/>
    <w:rsid w:val="0032277F"/>
    <w:rsid w:val="00324A76"/>
    <w:rsid w:val="00333729"/>
    <w:rsid w:val="00346966"/>
    <w:rsid w:val="00350523"/>
    <w:rsid w:val="0035664E"/>
    <w:rsid w:val="0036210C"/>
    <w:rsid w:val="0036383D"/>
    <w:rsid w:val="003670B4"/>
    <w:rsid w:val="003740BC"/>
    <w:rsid w:val="003801A3"/>
    <w:rsid w:val="00382382"/>
    <w:rsid w:val="00383D90"/>
    <w:rsid w:val="00384304"/>
    <w:rsid w:val="00385049"/>
    <w:rsid w:val="0038548E"/>
    <w:rsid w:val="00386187"/>
    <w:rsid w:val="00387510"/>
    <w:rsid w:val="00395751"/>
    <w:rsid w:val="003A03B9"/>
    <w:rsid w:val="003A08B8"/>
    <w:rsid w:val="003A2F7A"/>
    <w:rsid w:val="003A61A4"/>
    <w:rsid w:val="003A626D"/>
    <w:rsid w:val="003A6829"/>
    <w:rsid w:val="003B0152"/>
    <w:rsid w:val="003B42B3"/>
    <w:rsid w:val="003B6384"/>
    <w:rsid w:val="003C041F"/>
    <w:rsid w:val="003C4EBB"/>
    <w:rsid w:val="003D1531"/>
    <w:rsid w:val="003D226F"/>
    <w:rsid w:val="003D3AED"/>
    <w:rsid w:val="003D5761"/>
    <w:rsid w:val="003D6E3F"/>
    <w:rsid w:val="003E4EC6"/>
    <w:rsid w:val="003E527E"/>
    <w:rsid w:val="003E553E"/>
    <w:rsid w:val="003E57E7"/>
    <w:rsid w:val="003E7078"/>
    <w:rsid w:val="003F6C3C"/>
    <w:rsid w:val="00403503"/>
    <w:rsid w:val="00407395"/>
    <w:rsid w:val="00410AE7"/>
    <w:rsid w:val="00411D11"/>
    <w:rsid w:val="004131FA"/>
    <w:rsid w:val="00415E23"/>
    <w:rsid w:val="00423D29"/>
    <w:rsid w:val="00424061"/>
    <w:rsid w:val="004266E5"/>
    <w:rsid w:val="00431F41"/>
    <w:rsid w:val="00442053"/>
    <w:rsid w:val="00443969"/>
    <w:rsid w:val="00447D74"/>
    <w:rsid w:val="00465350"/>
    <w:rsid w:val="00467172"/>
    <w:rsid w:val="00470B52"/>
    <w:rsid w:val="00474626"/>
    <w:rsid w:val="00481A89"/>
    <w:rsid w:val="004846BF"/>
    <w:rsid w:val="00484E4E"/>
    <w:rsid w:val="004B3957"/>
    <w:rsid w:val="004C4953"/>
    <w:rsid w:val="004C6979"/>
    <w:rsid w:val="004D2AD4"/>
    <w:rsid w:val="004D3E7A"/>
    <w:rsid w:val="004D7C4E"/>
    <w:rsid w:val="004E2C13"/>
    <w:rsid w:val="004F3487"/>
    <w:rsid w:val="005003B8"/>
    <w:rsid w:val="005232A4"/>
    <w:rsid w:val="0052394E"/>
    <w:rsid w:val="00525A91"/>
    <w:rsid w:val="00544138"/>
    <w:rsid w:val="0057518E"/>
    <w:rsid w:val="00576683"/>
    <w:rsid w:val="005840A0"/>
    <w:rsid w:val="00584583"/>
    <w:rsid w:val="005944A3"/>
    <w:rsid w:val="0059543D"/>
    <w:rsid w:val="005A35E8"/>
    <w:rsid w:val="005A4099"/>
    <w:rsid w:val="005C38B2"/>
    <w:rsid w:val="005C5029"/>
    <w:rsid w:val="005C55C2"/>
    <w:rsid w:val="005D2D3A"/>
    <w:rsid w:val="005D4DF5"/>
    <w:rsid w:val="005E1AE3"/>
    <w:rsid w:val="005E334C"/>
    <w:rsid w:val="005E4FCE"/>
    <w:rsid w:val="005E75BE"/>
    <w:rsid w:val="005F30C6"/>
    <w:rsid w:val="005F3C57"/>
    <w:rsid w:val="005F4EA9"/>
    <w:rsid w:val="005F7472"/>
    <w:rsid w:val="00610BA7"/>
    <w:rsid w:val="00644952"/>
    <w:rsid w:val="00646950"/>
    <w:rsid w:val="00652DFB"/>
    <w:rsid w:val="00654CA5"/>
    <w:rsid w:val="00660344"/>
    <w:rsid w:val="00665B7C"/>
    <w:rsid w:val="006731A7"/>
    <w:rsid w:val="00682952"/>
    <w:rsid w:val="006A0B41"/>
    <w:rsid w:val="006A26C6"/>
    <w:rsid w:val="006A48FE"/>
    <w:rsid w:val="006A7D5D"/>
    <w:rsid w:val="006B7EA0"/>
    <w:rsid w:val="006C0B2A"/>
    <w:rsid w:val="006C6B53"/>
    <w:rsid w:val="006D2E03"/>
    <w:rsid w:val="006F4D6D"/>
    <w:rsid w:val="006F7A91"/>
    <w:rsid w:val="00705086"/>
    <w:rsid w:val="0070570A"/>
    <w:rsid w:val="007061AC"/>
    <w:rsid w:val="00713490"/>
    <w:rsid w:val="007140BB"/>
    <w:rsid w:val="00727ABF"/>
    <w:rsid w:val="007312D4"/>
    <w:rsid w:val="00733F41"/>
    <w:rsid w:val="00743A44"/>
    <w:rsid w:val="0074614A"/>
    <w:rsid w:val="00746E21"/>
    <w:rsid w:val="00754497"/>
    <w:rsid w:val="00783022"/>
    <w:rsid w:val="00787C39"/>
    <w:rsid w:val="00792859"/>
    <w:rsid w:val="00795DF3"/>
    <w:rsid w:val="007A33E3"/>
    <w:rsid w:val="007A373C"/>
    <w:rsid w:val="007A5C28"/>
    <w:rsid w:val="007A74C4"/>
    <w:rsid w:val="007A787F"/>
    <w:rsid w:val="007B03D6"/>
    <w:rsid w:val="007B0610"/>
    <w:rsid w:val="007C0B07"/>
    <w:rsid w:val="007C4021"/>
    <w:rsid w:val="007C4B8A"/>
    <w:rsid w:val="007C75B1"/>
    <w:rsid w:val="007D3DFC"/>
    <w:rsid w:val="007E5629"/>
    <w:rsid w:val="007F11CB"/>
    <w:rsid w:val="007F792C"/>
    <w:rsid w:val="0080776D"/>
    <w:rsid w:val="008077D9"/>
    <w:rsid w:val="00810145"/>
    <w:rsid w:val="008108FA"/>
    <w:rsid w:val="00810FF1"/>
    <w:rsid w:val="00813DF2"/>
    <w:rsid w:val="00817EB1"/>
    <w:rsid w:val="00822336"/>
    <w:rsid w:val="00823DFA"/>
    <w:rsid w:val="0082481A"/>
    <w:rsid w:val="00832FFA"/>
    <w:rsid w:val="0084040D"/>
    <w:rsid w:val="00843752"/>
    <w:rsid w:val="00846A46"/>
    <w:rsid w:val="00850E69"/>
    <w:rsid w:val="008707CC"/>
    <w:rsid w:val="008847AB"/>
    <w:rsid w:val="00885B09"/>
    <w:rsid w:val="008866B4"/>
    <w:rsid w:val="00886762"/>
    <w:rsid w:val="00887580"/>
    <w:rsid w:val="0089045A"/>
    <w:rsid w:val="00892400"/>
    <w:rsid w:val="008A209D"/>
    <w:rsid w:val="008B0333"/>
    <w:rsid w:val="008B0E29"/>
    <w:rsid w:val="008B0EFA"/>
    <w:rsid w:val="008B30AB"/>
    <w:rsid w:val="008D19D9"/>
    <w:rsid w:val="008D1FE9"/>
    <w:rsid w:val="008D287B"/>
    <w:rsid w:val="008D7CAE"/>
    <w:rsid w:val="008F064E"/>
    <w:rsid w:val="008F3D91"/>
    <w:rsid w:val="008F5A11"/>
    <w:rsid w:val="008F6AD6"/>
    <w:rsid w:val="008F6E67"/>
    <w:rsid w:val="00905DEF"/>
    <w:rsid w:val="0091324D"/>
    <w:rsid w:val="009223B3"/>
    <w:rsid w:val="00922702"/>
    <w:rsid w:val="00922A81"/>
    <w:rsid w:val="00930203"/>
    <w:rsid w:val="009311D2"/>
    <w:rsid w:val="00931275"/>
    <w:rsid w:val="0093621A"/>
    <w:rsid w:val="00936AC7"/>
    <w:rsid w:val="0093796F"/>
    <w:rsid w:val="00946F72"/>
    <w:rsid w:val="00961F61"/>
    <w:rsid w:val="009672DA"/>
    <w:rsid w:val="00971337"/>
    <w:rsid w:val="00976E13"/>
    <w:rsid w:val="009943B6"/>
    <w:rsid w:val="009A1674"/>
    <w:rsid w:val="009A217A"/>
    <w:rsid w:val="009B20C8"/>
    <w:rsid w:val="009B4794"/>
    <w:rsid w:val="009B668C"/>
    <w:rsid w:val="009C2AF7"/>
    <w:rsid w:val="009D074C"/>
    <w:rsid w:val="009E2638"/>
    <w:rsid w:val="009E5AB2"/>
    <w:rsid w:val="009E6653"/>
    <w:rsid w:val="009F0696"/>
    <w:rsid w:val="009F2B4F"/>
    <w:rsid w:val="009F342C"/>
    <w:rsid w:val="009F448B"/>
    <w:rsid w:val="009F4AFE"/>
    <w:rsid w:val="009F66B5"/>
    <w:rsid w:val="00A0333B"/>
    <w:rsid w:val="00A127A6"/>
    <w:rsid w:val="00A15661"/>
    <w:rsid w:val="00A17294"/>
    <w:rsid w:val="00A20A7D"/>
    <w:rsid w:val="00A21BB4"/>
    <w:rsid w:val="00A23156"/>
    <w:rsid w:val="00A24B2C"/>
    <w:rsid w:val="00A26025"/>
    <w:rsid w:val="00A35D42"/>
    <w:rsid w:val="00A41C3C"/>
    <w:rsid w:val="00A43AAC"/>
    <w:rsid w:val="00A44824"/>
    <w:rsid w:val="00A46CCF"/>
    <w:rsid w:val="00A64ED3"/>
    <w:rsid w:val="00A66027"/>
    <w:rsid w:val="00A67A9E"/>
    <w:rsid w:val="00A70426"/>
    <w:rsid w:val="00A72F92"/>
    <w:rsid w:val="00A73AB1"/>
    <w:rsid w:val="00A85BB1"/>
    <w:rsid w:val="00A86943"/>
    <w:rsid w:val="00A91E9A"/>
    <w:rsid w:val="00A93ED9"/>
    <w:rsid w:val="00AB1FF0"/>
    <w:rsid w:val="00AC4EBC"/>
    <w:rsid w:val="00AC53E5"/>
    <w:rsid w:val="00AC6A99"/>
    <w:rsid w:val="00AD4FAF"/>
    <w:rsid w:val="00AE2AD4"/>
    <w:rsid w:val="00AE4D25"/>
    <w:rsid w:val="00AE7288"/>
    <w:rsid w:val="00AE7BF3"/>
    <w:rsid w:val="00B055EF"/>
    <w:rsid w:val="00B201D8"/>
    <w:rsid w:val="00B226BC"/>
    <w:rsid w:val="00B23769"/>
    <w:rsid w:val="00B312AF"/>
    <w:rsid w:val="00B50943"/>
    <w:rsid w:val="00B52092"/>
    <w:rsid w:val="00B5715E"/>
    <w:rsid w:val="00B66CDA"/>
    <w:rsid w:val="00B71126"/>
    <w:rsid w:val="00B801BE"/>
    <w:rsid w:val="00B870A9"/>
    <w:rsid w:val="00B936D0"/>
    <w:rsid w:val="00B96720"/>
    <w:rsid w:val="00BB023B"/>
    <w:rsid w:val="00BB7D61"/>
    <w:rsid w:val="00BC154B"/>
    <w:rsid w:val="00BE0512"/>
    <w:rsid w:val="00BE3444"/>
    <w:rsid w:val="00BE3600"/>
    <w:rsid w:val="00BF001B"/>
    <w:rsid w:val="00BF3DF6"/>
    <w:rsid w:val="00C011F3"/>
    <w:rsid w:val="00C01F6F"/>
    <w:rsid w:val="00C14510"/>
    <w:rsid w:val="00C149AB"/>
    <w:rsid w:val="00C34008"/>
    <w:rsid w:val="00C36700"/>
    <w:rsid w:val="00C40694"/>
    <w:rsid w:val="00C43463"/>
    <w:rsid w:val="00C469F9"/>
    <w:rsid w:val="00C643FE"/>
    <w:rsid w:val="00C70542"/>
    <w:rsid w:val="00C75CBF"/>
    <w:rsid w:val="00C81AC3"/>
    <w:rsid w:val="00C8307E"/>
    <w:rsid w:val="00C86103"/>
    <w:rsid w:val="00C9353F"/>
    <w:rsid w:val="00CB39F4"/>
    <w:rsid w:val="00CC2894"/>
    <w:rsid w:val="00CD0406"/>
    <w:rsid w:val="00CD10B3"/>
    <w:rsid w:val="00CD77C3"/>
    <w:rsid w:val="00CE112C"/>
    <w:rsid w:val="00CE4F3E"/>
    <w:rsid w:val="00CF01A2"/>
    <w:rsid w:val="00CF0EC3"/>
    <w:rsid w:val="00D133DB"/>
    <w:rsid w:val="00D1654B"/>
    <w:rsid w:val="00D33ED1"/>
    <w:rsid w:val="00D3740F"/>
    <w:rsid w:val="00D405F4"/>
    <w:rsid w:val="00D5678E"/>
    <w:rsid w:val="00D608DA"/>
    <w:rsid w:val="00D6306D"/>
    <w:rsid w:val="00D730BF"/>
    <w:rsid w:val="00D83A61"/>
    <w:rsid w:val="00D83ACD"/>
    <w:rsid w:val="00D85463"/>
    <w:rsid w:val="00D8793A"/>
    <w:rsid w:val="00D90744"/>
    <w:rsid w:val="00D90C52"/>
    <w:rsid w:val="00D96512"/>
    <w:rsid w:val="00DB087F"/>
    <w:rsid w:val="00DB71FE"/>
    <w:rsid w:val="00DC6162"/>
    <w:rsid w:val="00DC76C7"/>
    <w:rsid w:val="00DD09F5"/>
    <w:rsid w:val="00DD4201"/>
    <w:rsid w:val="00DE5711"/>
    <w:rsid w:val="00DF1C54"/>
    <w:rsid w:val="00E00EA0"/>
    <w:rsid w:val="00E06B1D"/>
    <w:rsid w:val="00E123FF"/>
    <w:rsid w:val="00E1599B"/>
    <w:rsid w:val="00E213D4"/>
    <w:rsid w:val="00E238D5"/>
    <w:rsid w:val="00E26758"/>
    <w:rsid w:val="00E30CE5"/>
    <w:rsid w:val="00E36E39"/>
    <w:rsid w:val="00E4357B"/>
    <w:rsid w:val="00E47CD2"/>
    <w:rsid w:val="00E52152"/>
    <w:rsid w:val="00E60030"/>
    <w:rsid w:val="00E609CE"/>
    <w:rsid w:val="00E60FC8"/>
    <w:rsid w:val="00E61589"/>
    <w:rsid w:val="00E63A91"/>
    <w:rsid w:val="00E63DDE"/>
    <w:rsid w:val="00E75855"/>
    <w:rsid w:val="00E77B48"/>
    <w:rsid w:val="00E91799"/>
    <w:rsid w:val="00EA1D39"/>
    <w:rsid w:val="00EA34E3"/>
    <w:rsid w:val="00EA389F"/>
    <w:rsid w:val="00EA777B"/>
    <w:rsid w:val="00EB7538"/>
    <w:rsid w:val="00ED665A"/>
    <w:rsid w:val="00EE1741"/>
    <w:rsid w:val="00EF239E"/>
    <w:rsid w:val="00EF3EC1"/>
    <w:rsid w:val="00F019BB"/>
    <w:rsid w:val="00F03878"/>
    <w:rsid w:val="00F11027"/>
    <w:rsid w:val="00F12A5E"/>
    <w:rsid w:val="00F207A4"/>
    <w:rsid w:val="00F2369F"/>
    <w:rsid w:val="00F355AC"/>
    <w:rsid w:val="00F42639"/>
    <w:rsid w:val="00F42CC8"/>
    <w:rsid w:val="00F5388D"/>
    <w:rsid w:val="00F70A0B"/>
    <w:rsid w:val="00F71A5A"/>
    <w:rsid w:val="00F73B5F"/>
    <w:rsid w:val="00F74DC9"/>
    <w:rsid w:val="00F769E0"/>
    <w:rsid w:val="00F82DB1"/>
    <w:rsid w:val="00F84658"/>
    <w:rsid w:val="00F86596"/>
    <w:rsid w:val="00FA29DC"/>
    <w:rsid w:val="00FA3A4D"/>
    <w:rsid w:val="00FA4027"/>
    <w:rsid w:val="00FB56EA"/>
    <w:rsid w:val="00FC6BDE"/>
    <w:rsid w:val="00FD15FB"/>
    <w:rsid w:val="00FE1E78"/>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5AF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EA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382382"/>
    <w:rPr>
      <w:sz w:val="20"/>
      <w:szCs w:val="20"/>
    </w:rPr>
  </w:style>
  <w:style w:type="character" w:styleId="CommentReference">
    <w:name w:val="annotation reference"/>
    <w:semiHidden/>
    <w:rsid w:val="006C0B2A"/>
    <w:rPr>
      <w:sz w:val="16"/>
      <w:szCs w:val="16"/>
    </w:rPr>
  </w:style>
  <w:style w:type="paragraph" w:styleId="CommentSubject">
    <w:name w:val="annotation subject"/>
    <w:basedOn w:val="CommentText"/>
    <w:next w:val="CommentText"/>
    <w:semiHidden/>
    <w:rsid w:val="006C0B2A"/>
    <w:rPr>
      <w:b/>
      <w:bCs/>
    </w:rPr>
  </w:style>
  <w:style w:type="character" w:customStyle="1" w:styleId="CommentTextChar">
    <w:name w:val="Comment Text Char"/>
    <w:link w:val="CommentText"/>
    <w:semiHidden/>
    <w:rsid w:val="0035664E"/>
  </w:style>
  <w:style w:type="paragraph" w:styleId="Revision">
    <w:name w:val="Revision"/>
    <w:hidden/>
    <w:uiPriority w:val="99"/>
    <w:semiHidden/>
    <w:rsid w:val="002E4C1C"/>
    <w:rPr>
      <w:sz w:val="24"/>
      <w:szCs w:val="24"/>
    </w:rPr>
  </w:style>
  <w:style w:type="character" w:styleId="Hyperlink">
    <w:name w:val="Hyperlink"/>
    <w:rsid w:val="00FD15FB"/>
    <w:rPr>
      <w:color w:val="0563C1"/>
      <w:u w:val="single"/>
    </w:rPr>
  </w:style>
  <w:style w:type="character" w:styleId="UnresolvedMention">
    <w:name w:val="Unresolved Mention"/>
    <w:uiPriority w:val="99"/>
    <w:semiHidden/>
    <w:unhideWhenUsed/>
    <w:rsid w:val="00FD15FB"/>
    <w:rPr>
      <w:color w:val="605E5C"/>
      <w:shd w:val="clear" w:color="auto" w:fill="E1DFDD"/>
    </w:rPr>
  </w:style>
  <w:style w:type="paragraph" w:styleId="Header">
    <w:name w:val="header"/>
    <w:basedOn w:val="Normal"/>
    <w:link w:val="HeaderChar"/>
    <w:uiPriority w:val="99"/>
    <w:rsid w:val="00144102"/>
    <w:pPr>
      <w:tabs>
        <w:tab w:val="center" w:pos="4680"/>
        <w:tab w:val="right" w:pos="9360"/>
      </w:tabs>
    </w:pPr>
  </w:style>
  <w:style w:type="character" w:customStyle="1" w:styleId="HeaderChar">
    <w:name w:val="Header Char"/>
    <w:link w:val="Header"/>
    <w:uiPriority w:val="99"/>
    <w:rsid w:val="00144102"/>
    <w:rPr>
      <w:sz w:val="24"/>
      <w:szCs w:val="24"/>
    </w:rPr>
  </w:style>
  <w:style w:type="paragraph" w:styleId="Footer">
    <w:name w:val="footer"/>
    <w:basedOn w:val="Normal"/>
    <w:link w:val="FooterChar"/>
    <w:rsid w:val="00144102"/>
    <w:pPr>
      <w:tabs>
        <w:tab w:val="center" w:pos="4680"/>
        <w:tab w:val="right" w:pos="9360"/>
      </w:tabs>
    </w:pPr>
  </w:style>
  <w:style w:type="character" w:customStyle="1" w:styleId="FooterChar">
    <w:name w:val="Footer Char"/>
    <w:link w:val="Footer"/>
    <w:rsid w:val="001441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1436">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safety/recalls-market-withdrawals-safety-alerts/recall-resources" TargetMode="External"/><Relationship Id="rId3" Type="http://schemas.openxmlformats.org/officeDocument/2006/relationships/settings" Target="settings.xml"/><Relationship Id="rId7" Type="http://schemas.openxmlformats.org/officeDocument/2006/relationships/hyperlink" Target="https://www.fda.gov/safety/enforcement-reports/enforcement-report-information-and-defin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2021-04-13T20:42:00Z</dcterms:created>
  <dcterms:modified xsi:type="dcterms:W3CDTF">2021-04-13T20:43:00Z</dcterms:modified>
</cp:coreProperties>
</file>