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3BFC" w:rsidP="0014499B" w:rsidRDefault="00873BFC" w14:paraId="163B009D" w14:textId="77777777">
      <w:pPr>
        <w:ind w:hanging="810"/>
        <w:rPr>
          <w:b/>
          <w:sz w:val="22"/>
          <w:szCs w:val="22"/>
        </w:rPr>
      </w:pPr>
    </w:p>
    <w:p w:rsidR="00140D7A" w:rsidP="0014499B" w:rsidRDefault="00140D7A" w14:paraId="163B009F" w14:textId="77777777">
      <w:pPr>
        <w:jc w:val="center"/>
        <w:rPr>
          <w:b/>
          <w:sz w:val="22"/>
          <w:szCs w:val="22"/>
        </w:rPr>
      </w:pPr>
    </w:p>
    <w:p w:rsidR="00140D7A" w:rsidP="0014499B" w:rsidRDefault="00140D7A" w14:paraId="163B00A0" w14:textId="77777777">
      <w:pPr>
        <w:jc w:val="center"/>
        <w:rPr>
          <w:b/>
          <w:sz w:val="22"/>
          <w:szCs w:val="22"/>
        </w:rPr>
      </w:pPr>
    </w:p>
    <w:p w:rsidRPr="008A5181" w:rsidR="00140D7A" w:rsidP="0014499B" w:rsidRDefault="00140D7A" w14:paraId="163B00A1" w14:textId="77777777">
      <w:pPr>
        <w:ind w:left="-720" w:hanging="1080"/>
        <w:jc w:val="center"/>
        <w:rPr>
          <w:b/>
          <w:sz w:val="28"/>
          <w:szCs w:val="28"/>
        </w:rPr>
      </w:pPr>
    </w:p>
    <w:p w:rsidRPr="001120EA" w:rsidR="00643FBE" w:rsidP="0014499B" w:rsidRDefault="00643FBE" w14:paraId="6F767A37" w14:textId="048F123E">
      <w:pPr>
        <w:ind w:left="-1440"/>
        <w:jc w:val="center"/>
        <w:rPr>
          <w:b/>
        </w:rPr>
      </w:pPr>
      <w:r w:rsidRPr="001120EA">
        <w:rPr>
          <w:b/>
        </w:rPr>
        <w:t>Evaluation of Venous Thromboembolism Prevention Practices in U.S. Hospitals</w:t>
      </w:r>
    </w:p>
    <w:p w:rsidRPr="001120EA" w:rsidR="00643FBE" w:rsidP="0014499B" w:rsidRDefault="00643FBE" w14:paraId="1B67A934" w14:textId="77777777">
      <w:pPr>
        <w:ind w:left="-1440"/>
        <w:jc w:val="center"/>
        <w:rPr>
          <w:b/>
        </w:rPr>
      </w:pPr>
    </w:p>
    <w:p w:rsidRPr="001120EA" w:rsidR="00140D7A" w:rsidP="0014499B" w:rsidRDefault="00140D7A" w14:paraId="163B00A3" w14:textId="6579CDDD">
      <w:pPr>
        <w:ind w:left="-1440"/>
        <w:jc w:val="center"/>
        <w:rPr>
          <w:b/>
        </w:rPr>
      </w:pPr>
      <w:r w:rsidRPr="00170CAA">
        <w:rPr>
          <w:b/>
        </w:rPr>
        <w:t>OMB/agency number (</w:t>
      </w:r>
      <w:r w:rsidR="006127FE">
        <w:rPr>
          <w:b/>
        </w:rPr>
        <w:t>0920-XXXX</w:t>
      </w:r>
      <w:r w:rsidRPr="00170CAA">
        <w:rPr>
          <w:b/>
        </w:rPr>
        <w:t>)</w:t>
      </w:r>
    </w:p>
    <w:p w:rsidRPr="001120EA" w:rsidR="00140D7A" w:rsidRDefault="00140D7A" w14:paraId="163B00A4" w14:textId="77777777">
      <w:pPr>
        <w:ind w:left="-810" w:hanging="990"/>
        <w:jc w:val="center"/>
        <w:rPr>
          <w:b/>
        </w:rPr>
      </w:pPr>
    </w:p>
    <w:p w:rsidRPr="001120EA" w:rsidR="003E680F" w:rsidRDefault="003E680F" w14:paraId="163B00A5" w14:textId="77777777">
      <w:pPr>
        <w:ind w:left="-810" w:hanging="990"/>
        <w:jc w:val="center"/>
        <w:rPr>
          <w:b/>
        </w:rPr>
      </w:pPr>
    </w:p>
    <w:p w:rsidRPr="001120EA" w:rsidR="003E680F" w:rsidRDefault="003E680F" w14:paraId="163B00A6" w14:textId="77777777">
      <w:pPr>
        <w:ind w:left="-810" w:hanging="990"/>
        <w:jc w:val="center"/>
        <w:rPr>
          <w:b/>
        </w:rPr>
      </w:pPr>
    </w:p>
    <w:p w:rsidRPr="001120EA" w:rsidR="003E680F" w:rsidRDefault="003E680F" w14:paraId="163B00A7" w14:textId="77777777">
      <w:pPr>
        <w:ind w:left="-810" w:hanging="990"/>
        <w:jc w:val="center"/>
        <w:rPr>
          <w:b/>
        </w:rPr>
      </w:pPr>
    </w:p>
    <w:p w:rsidRPr="001120EA" w:rsidR="003E680F" w:rsidRDefault="003E680F" w14:paraId="163B00A8" w14:textId="77777777">
      <w:pPr>
        <w:ind w:left="-810" w:hanging="990"/>
        <w:jc w:val="center"/>
        <w:rPr>
          <w:b/>
        </w:rPr>
      </w:pPr>
    </w:p>
    <w:p w:rsidRPr="001120EA" w:rsidR="003E680F" w:rsidRDefault="003E680F" w14:paraId="163B00A9" w14:textId="77777777">
      <w:pPr>
        <w:ind w:left="-1170" w:hanging="630"/>
        <w:jc w:val="center"/>
        <w:rPr>
          <w:b/>
        </w:rPr>
      </w:pPr>
    </w:p>
    <w:p w:rsidRPr="001120EA" w:rsidR="003E680F" w:rsidRDefault="003E680F" w14:paraId="163B00AA" w14:textId="77777777">
      <w:pPr>
        <w:ind w:left="-810" w:hanging="990"/>
        <w:jc w:val="center"/>
        <w:rPr>
          <w:b/>
        </w:rPr>
      </w:pPr>
    </w:p>
    <w:p w:rsidRPr="001120EA" w:rsidR="007B0F57" w:rsidRDefault="007B0F57" w14:paraId="219E34B7" w14:textId="7F8D388F">
      <w:pPr>
        <w:ind w:left="-1440"/>
        <w:jc w:val="center"/>
        <w:rPr>
          <w:b/>
        </w:rPr>
      </w:pPr>
      <w:r w:rsidRPr="001120EA">
        <w:rPr>
          <w:b/>
        </w:rPr>
        <w:t>Supporting Statement A- New</w:t>
      </w:r>
    </w:p>
    <w:p w:rsidRPr="001120EA" w:rsidR="00140D7A" w:rsidRDefault="00140D7A" w14:paraId="163B00AC" w14:textId="77777777">
      <w:pPr>
        <w:ind w:left="-810" w:hanging="990"/>
        <w:jc w:val="center"/>
        <w:rPr>
          <w:b/>
        </w:rPr>
      </w:pPr>
    </w:p>
    <w:p w:rsidR="00F2430C" w:rsidP="0014499B" w:rsidRDefault="00F2430C" w14:paraId="163B00AD" w14:textId="4C99159C">
      <w:pPr>
        <w:jc w:val="center"/>
        <w:rPr>
          <w:b/>
        </w:rPr>
      </w:pPr>
    </w:p>
    <w:p w:rsidR="001627E9" w:rsidP="0014499B" w:rsidRDefault="001627E9" w14:paraId="27DEEEC5" w14:textId="2E7AC107">
      <w:pPr>
        <w:jc w:val="center"/>
        <w:rPr>
          <w:b/>
        </w:rPr>
      </w:pPr>
    </w:p>
    <w:p w:rsidR="001627E9" w:rsidP="0014499B" w:rsidRDefault="001627E9" w14:paraId="364BEBA1" w14:textId="199B6146">
      <w:pPr>
        <w:jc w:val="center"/>
        <w:rPr>
          <w:b/>
        </w:rPr>
      </w:pPr>
    </w:p>
    <w:p w:rsidR="001627E9" w:rsidP="0014499B" w:rsidRDefault="001627E9" w14:paraId="78EF6F7A" w14:textId="14948C3D">
      <w:pPr>
        <w:jc w:val="center"/>
        <w:rPr>
          <w:b/>
        </w:rPr>
      </w:pPr>
    </w:p>
    <w:p w:rsidR="001627E9" w:rsidP="0014499B" w:rsidRDefault="001627E9" w14:paraId="21D4CFD0" w14:textId="7C351542">
      <w:pPr>
        <w:jc w:val="center"/>
        <w:rPr>
          <w:b/>
        </w:rPr>
      </w:pPr>
    </w:p>
    <w:p w:rsidR="001627E9" w:rsidP="0014499B" w:rsidRDefault="001627E9" w14:paraId="1B7D75BF" w14:textId="371AE21A">
      <w:pPr>
        <w:jc w:val="center"/>
        <w:rPr>
          <w:b/>
        </w:rPr>
      </w:pPr>
    </w:p>
    <w:p w:rsidR="001627E9" w:rsidP="0014499B" w:rsidRDefault="001627E9" w14:paraId="1D60BE63" w14:textId="2374A59F">
      <w:pPr>
        <w:jc w:val="center"/>
        <w:rPr>
          <w:b/>
        </w:rPr>
      </w:pPr>
    </w:p>
    <w:p w:rsidRPr="001120EA" w:rsidR="001627E9" w:rsidRDefault="001627E9" w14:paraId="4D028D71" w14:textId="77777777">
      <w:pPr>
        <w:jc w:val="center"/>
        <w:rPr>
          <w:b/>
        </w:rPr>
      </w:pPr>
    </w:p>
    <w:p w:rsidRPr="001120EA" w:rsidR="00F2430C" w:rsidRDefault="00F2430C" w14:paraId="163B00AE" w14:textId="77777777">
      <w:pPr>
        <w:jc w:val="center"/>
        <w:rPr>
          <w:b/>
        </w:rPr>
      </w:pPr>
    </w:p>
    <w:p w:rsidRPr="001120EA" w:rsidR="00EA4998" w:rsidRDefault="00EA4998" w14:paraId="19138B7E" w14:textId="77777777">
      <w:pPr>
        <w:ind w:left="-1440"/>
        <w:jc w:val="center"/>
      </w:pPr>
      <w:r w:rsidRPr="001120EA">
        <w:t>Nimia L. Reyes, MD, MPH</w:t>
      </w:r>
      <w:r w:rsidRPr="001120EA">
        <w:br/>
        <w:t>Medical Officer</w:t>
      </w:r>
    </w:p>
    <w:p w:rsidRPr="001120EA" w:rsidR="00140D7A" w:rsidRDefault="00681011" w14:paraId="163B00B0" w14:textId="4982152A">
      <w:pPr>
        <w:ind w:left="-1440"/>
        <w:jc w:val="center"/>
        <w:rPr>
          <w:b/>
        </w:rPr>
      </w:pPr>
      <w:r w:rsidRPr="001120EA">
        <w:t>Centers for Disease Control and Prevention (CDC)</w:t>
      </w:r>
    </w:p>
    <w:p w:rsidRPr="001120EA" w:rsidR="009F2272" w:rsidRDefault="009F2272" w14:paraId="4E38109B" w14:textId="77777777">
      <w:pPr>
        <w:ind w:left="-1440"/>
        <w:jc w:val="center"/>
      </w:pPr>
      <w:r w:rsidRPr="001120EA">
        <w:t>National Center on Birth Defects and Developmental Disabilities (NCBDDD)</w:t>
      </w:r>
    </w:p>
    <w:p w:rsidRPr="001120EA" w:rsidR="00A41610" w:rsidRDefault="004A6B4F" w14:paraId="68F477CF" w14:textId="05A52F19">
      <w:pPr>
        <w:ind w:left="-1440"/>
        <w:jc w:val="center"/>
      </w:pPr>
      <w:r w:rsidRPr="001120EA">
        <w:t>Division of Blood Disorders</w:t>
      </w:r>
      <w:r w:rsidRPr="001120EA">
        <w:br/>
      </w:r>
      <w:r w:rsidRPr="001120EA" w:rsidR="00A41610">
        <w:t>Phone: (404) 498-6733</w:t>
      </w:r>
    </w:p>
    <w:p w:rsidRPr="001120EA" w:rsidR="00140D7A" w:rsidRDefault="00A41610" w14:paraId="163B00B3" w14:textId="10E096D7">
      <w:pPr>
        <w:ind w:left="-1440"/>
        <w:jc w:val="center"/>
        <w:rPr>
          <w:b/>
        </w:rPr>
      </w:pPr>
      <w:r w:rsidRPr="001120EA">
        <w:t xml:space="preserve">Fax: </w:t>
      </w:r>
      <w:r w:rsidRPr="001120EA" w:rsidR="00AE63A5">
        <w:t>(404) 498-6798</w:t>
      </w:r>
      <w:r w:rsidRPr="001120EA" w:rsidR="00AE63A5">
        <w:br/>
      </w:r>
      <w:r w:rsidRPr="001120EA">
        <w:t xml:space="preserve">Email: </w:t>
      </w:r>
      <w:hyperlink w:history="1" r:id="rId11">
        <w:r w:rsidRPr="001120EA">
          <w:rPr>
            <w:rStyle w:val="Hyperlink"/>
            <w:color w:val="auto"/>
          </w:rPr>
          <w:t>NReyes@cdc.gov</w:t>
        </w:r>
      </w:hyperlink>
    </w:p>
    <w:p w:rsidRPr="001120EA" w:rsidR="00140D7A" w:rsidRDefault="00140D7A" w14:paraId="163B00B5" w14:textId="257D4C56">
      <w:pPr>
        <w:jc w:val="center"/>
        <w:rPr>
          <w:b/>
        </w:rPr>
      </w:pPr>
    </w:p>
    <w:p w:rsidRPr="001120EA" w:rsidR="00140D7A" w:rsidRDefault="00140D7A" w14:paraId="163B00B6" w14:textId="77777777">
      <w:pPr>
        <w:jc w:val="center"/>
        <w:rPr>
          <w:b/>
        </w:rPr>
      </w:pPr>
    </w:p>
    <w:p w:rsidRPr="001120EA" w:rsidR="00140D7A" w:rsidRDefault="00140D7A" w14:paraId="163B00B7" w14:textId="77777777">
      <w:pPr>
        <w:jc w:val="center"/>
        <w:rPr>
          <w:b/>
        </w:rPr>
      </w:pPr>
    </w:p>
    <w:p w:rsidRPr="001120EA" w:rsidR="00140D7A" w:rsidRDefault="00140D7A" w14:paraId="163B00B8" w14:textId="77777777">
      <w:pPr>
        <w:jc w:val="center"/>
        <w:rPr>
          <w:b/>
        </w:rPr>
      </w:pPr>
    </w:p>
    <w:p w:rsidRPr="001120EA" w:rsidR="00140D7A" w:rsidRDefault="00140D7A" w14:paraId="163B00B9" w14:textId="77777777">
      <w:pPr>
        <w:jc w:val="center"/>
        <w:rPr>
          <w:b/>
        </w:rPr>
      </w:pPr>
    </w:p>
    <w:p w:rsidRPr="001120EA" w:rsidR="00140D7A" w:rsidRDefault="00140D7A" w14:paraId="163B00BA" w14:textId="77777777">
      <w:pPr>
        <w:jc w:val="center"/>
        <w:rPr>
          <w:b/>
        </w:rPr>
      </w:pPr>
    </w:p>
    <w:p w:rsidRPr="001120EA" w:rsidR="00140D7A" w:rsidRDefault="00140D7A" w14:paraId="163B00BB" w14:textId="77777777">
      <w:pPr>
        <w:jc w:val="center"/>
        <w:rPr>
          <w:b/>
        </w:rPr>
      </w:pPr>
    </w:p>
    <w:p w:rsidRPr="001120EA" w:rsidR="00140D7A" w:rsidRDefault="00140D7A" w14:paraId="163B00BC" w14:textId="77777777">
      <w:pPr>
        <w:jc w:val="center"/>
        <w:rPr>
          <w:b/>
        </w:rPr>
      </w:pPr>
    </w:p>
    <w:p w:rsidRPr="001120EA" w:rsidR="00140D7A" w:rsidRDefault="00140D7A" w14:paraId="163B00BD" w14:textId="77777777">
      <w:pPr>
        <w:jc w:val="center"/>
        <w:rPr>
          <w:b/>
        </w:rPr>
      </w:pPr>
    </w:p>
    <w:p w:rsidRPr="001120EA" w:rsidR="00140D7A" w:rsidRDefault="00140D7A" w14:paraId="163B00BE" w14:textId="77777777">
      <w:pPr>
        <w:jc w:val="center"/>
        <w:rPr>
          <w:b/>
        </w:rPr>
      </w:pPr>
    </w:p>
    <w:p w:rsidRPr="001120EA" w:rsidR="00140D7A" w:rsidRDefault="00140D7A" w14:paraId="163B00BF" w14:textId="77777777">
      <w:pPr>
        <w:jc w:val="center"/>
        <w:rPr>
          <w:b/>
        </w:rPr>
      </w:pPr>
    </w:p>
    <w:p w:rsidRPr="001120EA" w:rsidR="00140D7A" w:rsidRDefault="00140D7A" w14:paraId="163B00C0" w14:textId="77777777">
      <w:pPr>
        <w:jc w:val="center"/>
        <w:rPr>
          <w:b/>
        </w:rPr>
      </w:pPr>
    </w:p>
    <w:p w:rsidRPr="001120EA" w:rsidR="00873BFC" w:rsidRDefault="007460CF" w14:paraId="163B00C1" w14:textId="4B95232C">
      <w:pPr>
        <w:ind w:left="-1440"/>
        <w:jc w:val="center"/>
        <w:rPr>
          <w:b/>
        </w:rPr>
      </w:pPr>
      <w:r>
        <w:rPr>
          <w:b/>
        </w:rPr>
        <w:t xml:space="preserve">February </w:t>
      </w:r>
      <w:r w:rsidR="00C4040A">
        <w:rPr>
          <w:b/>
        </w:rPr>
        <w:t>9</w:t>
      </w:r>
      <w:r w:rsidRPr="001120EA" w:rsidR="00DA44B2">
        <w:rPr>
          <w:b/>
        </w:rPr>
        <w:t>, 202</w:t>
      </w:r>
      <w:r w:rsidR="00AF3B99">
        <w:rPr>
          <w:b/>
        </w:rPr>
        <w:t>1</w:t>
      </w:r>
      <w:r w:rsidRPr="001120EA" w:rsidR="00873BFC">
        <w:rPr>
          <w:b/>
        </w:rPr>
        <w:br w:type="page"/>
      </w:r>
    </w:p>
    <w:p w:rsidR="00B44BB8" w:rsidP="0014499B" w:rsidRDefault="00B44BB8" w14:paraId="4C4FE04F" w14:textId="6C752E69">
      <w:pPr>
        <w:rPr>
          <w:b/>
        </w:rPr>
      </w:pPr>
      <w:r w:rsidRPr="001120EA">
        <w:rPr>
          <w:noProof/>
        </w:rPr>
        <w:lastRenderedPageBreak/>
        <mc:AlternateContent>
          <mc:Choice Requires="wps">
            <w:drawing>
              <wp:anchor distT="0" distB="0" distL="114300" distR="114300" simplePos="0" relativeHeight="251657216" behindDoc="0" locked="0" layoutInCell="1" allowOverlap="1" wp14:editId="53C415F6" wp14:anchorId="66825D97">
                <wp:simplePos x="0" y="0"/>
                <wp:positionH relativeFrom="margin">
                  <wp:posOffset>-541020</wp:posOffset>
                </wp:positionH>
                <wp:positionV relativeFrom="margin">
                  <wp:posOffset>-236220</wp:posOffset>
                </wp:positionV>
                <wp:extent cx="6362700" cy="334010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340100"/>
                        </a:xfrm>
                        <a:prstGeom prst="rect">
                          <a:avLst/>
                        </a:prstGeom>
                        <a:solidFill>
                          <a:srgbClr val="FFFFFF"/>
                        </a:solidFill>
                        <a:ln w="9525">
                          <a:solidFill>
                            <a:srgbClr val="000000"/>
                          </a:solidFill>
                          <a:miter lim="800000"/>
                          <a:headEnd/>
                          <a:tailEnd/>
                        </a:ln>
                      </wps:spPr>
                      <wps:txbx>
                        <w:txbxContent>
                          <w:p w:rsidRPr="000C629B" w:rsidR="005E55CA" w:rsidP="00B44BB8" w:rsidRDefault="005E55CA" w14:paraId="75C22C7E" w14:textId="77777777">
                            <w:pPr>
                              <w:pStyle w:val="ListParagraph"/>
                              <w:numPr>
                                <w:ilvl w:val="0"/>
                                <w:numId w:val="39"/>
                              </w:numPr>
                              <w:spacing w:after="0" w:line="360" w:lineRule="auto"/>
                              <w:ind w:left="360"/>
                              <w:rPr>
                                <w:sz w:val="24"/>
                                <w:szCs w:val="24"/>
                              </w:rPr>
                            </w:pPr>
                            <w:r w:rsidRPr="000C629B">
                              <w:rPr>
                                <w:b/>
                                <w:sz w:val="24"/>
                                <w:szCs w:val="24"/>
                              </w:rPr>
                              <w:t xml:space="preserve">Goal of the study: </w:t>
                            </w:r>
                            <w:r w:rsidRPr="000C629B">
                              <w:rPr>
                                <w:sz w:val="24"/>
                                <w:szCs w:val="24"/>
                              </w:rPr>
                              <w:t xml:space="preserve">The overall goal of this project is to support a framework for improving hospital venous thromboembolism (VTE) prevention practices through the evaluation of current VTE prevention practices in U.S. </w:t>
                            </w:r>
                            <w:r>
                              <w:rPr>
                                <w:sz w:val="24"/>
                                <w:szCs w:val="24"/>
                              </w:rPr>
                              <w:t xml:space="preserve">adult </w:t>
                            </w:r>
                            <w:r w:rsidRPr="000C629B">
                              <w:rPr>
                                <w:sz w:val="24"/>
                                <w:szCs w:val="24"/>
                              </w:rPr>
                              <w:t>general medical and surgical hospitals.</w:t>
                            </w:r>
                          </w:p>
                          <w:p w:rsidRPr="00F04801" w:rsidR="005E55CA" w:rsidP="00B44BB8" w:rsidRDefault="005E55CA" w14:paraId="3531C2C7" w14:textId="77777777">
                            <w:pPr>
                              <w:pStyle w:val="BodyText"/>
                              <w:keepNext w:val="0"/>
                              <w:keepLines w:val="0"/>
                              <w:numPr>
                                <w:ilvl w:val="0"/>
                                <w:numId w:val="12"/>
                              </w:numPr>
                              <w:tabs>
                                <w:tab w:val="clear"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hanging="360"/>
                              <w:rPr>
                                <w:sz w:val="24"/>
                                <w:szCs w:val="24"/>
                              </w:rPr>
                            </w:pPr>
                            <w:r w:rsidRPr="000C629B">
                              <w:rPr>
                                <w:b/>
                                <w:sz w:val="24"/>
                                <w:szCs w:val="24"/>
                              </w:rPr>
                              <w:t>Intended use of the resulting data:</w:t>
                            </w:r>
                            <w:r w:rsidRPr="000C629B">
                              <w:rPr>
                                <w:sz w:val="24"/>
                                <w:szCs w:val="24"/>
                              </w:rPr>
                              <w:t xml:space="preserve"> Improve understanding of VTE prevention</w:t>
                            </w:r>
                            <w:r>
                              <w:rPr>
                                <w:sz w:val="24"/>
                                <w:szCs w:val="24"/>
                              </w:rPr>
                              <w:t xml:space="preserve"> </w:t>
                            </w:r>
                            <w:r w:rsidRPr="000C629B">
                              <w:rPr>
                                <w:sz w:val="24"/>
                                <w:szCs w:val="24"/>
                              </w:rPr>
                              <w:t xml:space="preserve">practices </w:t>
                            </w:r>
                            <w:r>
                              <w:rPr>
                                <w:sz w:val="24"/>
                                <w:szCs w:val="24"/>
                              </w:rPr>
                              <w:t>(</w:t>
                            </w:r>
                            <w:r w:rsidRPr="000C629B">
                              <w:rPr>
                                <w:sz w:val="24"/>
                                <w:szCs w:val="24"/>
                              </w:rPr>
                              <w:t>includ</w:t>
                            </w:r>
                            <w:r>
                              <w:rPr>
                                <w:sz w:val="24"/>
                                <w:szCs w:val="24"/>
                              </w:rPr>
                              <w:t>ing</w:t>
                            </w:r>
                            <w:r w:rsidRPr="000C629B">
                              <w:rPr>
                                <w:sz w:val="24"/>
                                <w:szCs w:val="24"/>
                              </w:rPr>
                              <w:t xml:space="preserve"> risk assessment</w:t>
                            </w:r>
                            <w:r>
                              <w:rPr>
                                <w:sz w:val="24"/>
                                <w:szCs w:val="24"/>
                              </w:rPr>
                              <w:t>) in U.S. adult general medical and surgical hospitals</w:t>
                            </w:r>
                            <w:r w:rsidRPr="000C629B">
                              <w:rPr>
                                <w:sz w:val="24"/>
                                <w:szCs w:val="24"/>
                              </w:rPr>
                              <w:t xml:space="preserve">, improve </w:t>
                            </w:r>
                            <w:r w:rsidRPr="00F04801">
                              <w:rPr>
                                <w:sz w:val="24"/>
                                <w:szCs w:val="24"/>
                              </w:rPr>
                              <w:t>understanding of the capacity of hospitals to track VTE risk assessment, and inform evaluation and development of VTE risk assessment as a performance measure to reduce the burden of hospital-associated VTE.</w:t>
                            </w:r>
                          </w:p>
                          <w:p w:rsidRPr="00F04801" w:rsidR="005E55CA" w:rsidP="00B44BB8" w:rsidRDefault="005E55CA" w14:paraId="510A2070" w14:textId="77777777">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rPr>
                                <w:sz w:val="24"/>
                                <w:szCs w:val="24"/>
                                <w:shd w:val="clear" w:color="auto" w:fill="FAF9F8"/>
                              </w:rPr>
                            </w:pPr>
                            <w:r w:rsidRPr="00F04801">
                              <w:rPr>
                                <w:b/>
                                <w:sz w:val="24"/>
                                <w:szCs w:val="24"/>
                              </w:rPr>
                              <w:t>Methods to be used to collect:</w:t>
                            </w:r>
                            <w:r w:rsidRPr="00F04801">
                              <w:rPr>
                                <w:sz w:val="24"/>
                                <w:szCs w:val="24"/>
                              </w:rPr>
                              <w:t xml:space="preserve"> Selected hospitals will complete a questionnaire that is administered electronically through the Qualtrics</w:t>
                            </w:r>
                            <w:r w:rsidRPr="00F04801">
                              <w:rPr>
                                <w:sz w:val="24"/>
                                <w:szCs w:val="24"/>
                                <w:vertAlign w:val="superscript"/>
                              </w:rPr>
                              <w:t>XM</w:t>
                            </w:r>
                            <w:r w:rsidRPr="00F04801">
                              <w:rPr>
                                <w:sz w:val="24"/>
                                <w:szCs w:val="24"/>
                              </w:rPr>
                              <w:t xml:space="preserve"> platform. </w:t>
                            </w:r>
                          </w:p>
                          <w:p w:rsidRPr="00F04801" w:rsidR="005E55CA" w:rsidP="00B44BB8" w:rsidRDefault="005E55CA" w14:paraId="0C8B41DB" w14:textId="77777777">
                            <w:pPr>
                              <w:pStyle w:val="ListParagraph"/>
                              <w:numPr>
                                <w:ilvl w:val="0"/>
                                <w:numId w:val="39"/>
                              </w:numPr>
                              <w:spacing w:after="0" w:line="360" w:lineRule="auto"/>
                              <w:ind w:left="360"/>
                            </w:pPr>
                            <w:r w:rsidRPr="00F04801">
                              <w:rPr>
                                <w:b/>
                                <w:sz w:val="24"/>
                                <w:szCs w:val="24"/>
                              </w:rPr>
                              <w:t>The subpopulation to be studied:</w:t>
                            </w:r>
                            <w:r w:rsidRPr="00F04801">
                              <w:rPr>
                                <w:sz w:val="24"/>
                                <w:szCs w:val="24"/>
                              </w:rPr>
                              <w:t xml:space="preserve"> Random sample of U.S. </w:t>
                            </w:r>
                            <w:r>
                              <w:rPr>
                                <w:sz w:val="24"/>
                                <w:szCs w:val="24"/>
                              </w:rPr>
                              <w:t xml:space="preserve">adult </w:t>
                            </w:r>
                            <w:r w:rsidRPr="00F04801">
                              <w:rPr>
                                <w:sz w:val="24"/>
                                <w:szCs w:val="24"/>
                              </w:rPr>
                              <w:t>general medical and surgical hospitals.</w:t>
                            </w:r>
                            <w:r w:rsidRPr="00F04801" w:rsidDel="00C83551">
                              <w:rPr>
                                <w:sz w:val="24"/>
                                <w:szCs w:val="24"/>
                              </w:rPr>
                              <w:t xml:space="preserve"> </w:t>
                            </w:r>
                          </w:p>
                          <w:p w:rsidRPr="00C83934" w:rsidR="005E55CA" w:rsidP="00B44BB8" w:rsidRDefault="005E55CA" w14:paraId="556A27E1" w14:textId="77777777">
                            <w:pPr>
                              <w:pStyle w:val="ListParagraph"/>
                              <w:numPr>
                                <w:ilvl w:val="0"/>
                                <w:numId w:val="39"/>
                              </w:numPr>
                              <w:shd w:val="clear" w:color="auto" w:fill="FFFFFF" w:themeFill="background1"/>
                              <w:tabs>
                                <w:tab w:val="left" w:pos="0"/>
                                <w:tab w:val="left" w:pos="864"/>
                                <w:tab w:val="left" w:pos="1584"/>
                                <w:tab w:val="left" w:pos="6192"/>
                                <w:tab w:val="left" w:pos="6480"/>
                                <w:tab w:val="left" w:pos="7200"/>
                                <w:tab w:val="left" w:pos="7920"/>
                                <w:tab w:val="left" w:pos="8640"/>
                                <w:tab w:val="left" w:pos="9360"/>
                              </w:tabs>
                              <w:spacing w:after="0" w:line="360" w:lineRule="auto"/>
                              <w:ind w:left="360"/>
                              <w:rPr>
                                <w:bCs/>
                                <w:color w:val="00B050"/>
                                <w:sz w:val="24"/>
                                <w:szCs w:val="24"/>
                              </w:rPr>
                            </w:pPr>
                            <w:r w:rsidRPr="00F04801">
                              <w:rPr>
                                <w:b/>
                                <w:sz w:val="24"/>
                                <w:szCs w:val="24"/>
                              </w:rPr>
                              <w:t xml:space="preserve">How data will be analyzed: </w:t>
                            </w:r>
                            <w:r w:rsidRPr="00F04801">
                              <w:rPr>
                                <w:bCs/>
                                <w:sz w:val="24"/>
                                <w:szCs w:val="24"/>
                              </w:rPr>
                              <w:t>Standard descriptive and multivariate analysis will be conducted</w:t>
                            </w:r>
                            <w:r w:rsidRPr="00C83934">
                              <w:rPr>
                                <w:bCs/>
                                <w:color w:val="00B05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825D97">
                <v:stroke joinstyle="miter"/>
                <v:path gradientshapeok="t" o:connecttype="rect"/>
              </v:shapetype>
              <v:shape id="Text Box 2" style="position:absolute;margin-left:-42.6pt;margin-top:-18.6pt;width:501pt;height:26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">
                <v:textbox>
                  <w:txbxContent>
                    <w:p w:rsidRPr="000C629B" w:rsidR="005E55CA" w:rsidP="00B44BB8" w:rsidRDefault="005E55CA" w14:paraId="75C22C7E" w14:textId="77777777">
                      <w:pPr>
                        <w:pStyle w:val="ListParagraph"/>
                        <w:numPr>
                          <w:ilvl w:val="0"/>
                          <w:numId w:val="39"/>
                        </w:numPr>
                        <w:spacing w:after="0" w:line="360" w:lineRule="auto"/>
                        <w:ind w:left="360"/>
                        <w:rPr>
                          <w:sz w:val="24"/>
                          <w:szCs w:val="24"/>
                        </w:rPr>
                      </w:pPr>
                      <w:r w:rsidRPr="000C629B">
                        <w:rPr>
                          <w:b/>
                          <w:sz w:val="24"/>
                          <w:szCs w:val="24"/>
                        </w:rPr>
                        <w:t xml:space="preserve">Goal of the study: </w:t>
                      </w:r>
                      <w:r w:rsidRPr="000C629B">
                        <w:rPr>
                          <w:sz w:val="24"/>
                          <w:szCs w:val="24"/>
                        </w:rPr>
                        <w:t xml:space="preserve">The overall goal of this project is to support a framework for improving hospital venous thromboembolism (VTE) prevention practices through the evaluation of current VTE prevention practices in U.S. </w:t>
                      </w:r>
                      <w:r>
                        <w:rPr>
                          <w:sz w:val="24"/>
                          <w:szCs w:val="24"/>
                        </w:rPr>
                        <w:t xml:space="preserve">adult </w:t>
                      </w:r>
                      <w:r w:rsidRPr="000C629B">
                        <w:rPr>
                          <w:sz w:val="24"/>
                          <w:szCs w:val="24"/>
                        </w:rPr>
                        <w:t>general medical and surgical hospitals.</w:t>
                      </w:r>
                    </w:p>
                    <w:p w:rsidRPr="00F04801" w:rsidR="005E55CA" w:rsidP="00B44BB8" w:rsidRDefault="005E55CA" w14:paraId="3531C2C7" w14:textId="77777777">
                      <w:pPr>
                        <w:pStyle w:val="BodyText"/>
                        <w:keepNext w:val="0"/>
                        <w:keepLines w:val="0"/>
                        <w:numPr>
                          <w:ilvl w:val="0"/>
                          <w:numId w:val="12"/>
                        </w:numPr>
                        <w:tabs>
                          <w:tab w:val="clear"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360" w:hanging="360"/>
                        <w:rPr>
                          <w:sz w:val="24"/>
                          <w:szCs w:val="24"/>
                        </w:rPr>
                      </w:pPr>
                      <w:r w:rsidRPr="000C629B">
                        <w:rPr>
                          <w:b/>
                          <w:sz w:val="24"/>
                          <w:szCs w:val="24"/>
                        </w:rPr>
                        <w:t>Intended use of the resulting data:</w:t>
                      </w:r>
                      <w:r w:rsidRPr="000C629B">
                        <w:rPr>
                          <w:sz w:val="24"/>
                          <w:szCs w:val="24"/>
                        </w:rPr>
                        <w:t xml:space="preserve"> Improve understanding of VTE prevention</w:t>
                      </w:r>
                      <w:r>
                        <w:rPr>
                          <w:sz w:val="24"/>
                          <w:szCs w:val="24"/>
                        </w:rPr>
                        <w:t xml:space="preserve"> </w:t>
                      </w:r>
                      <w:r w:rsidRPr="000C629B">
                        <w:rPr>
                          <w:sz w:val="24"/>
                          <w:szCs w:val="24"/>
                        </w:rPr>
                        <w:t xml:space="preserve">practices </w:t>
                      </w:r>
                      <w:r>
                        <w:rPr>
                          <w:sz w:val="24"/>
                          <w:szCs w:val="24"/>
                        </w:rPr>
                        <w:t>(</w:t>
                      </w:r>
                      <w:r w:rsidRPr="000C629B">
                        <w:rPr>
                          <w:sz w:val="24"/>
                          <w:szCs w:val="24"/>
                        </w:rPr>
                        <w:t>includ</w:t>
                      </w:r>
                      <w:r>
                        <w:rPr>
                          <w:sz w:val="24"/>
                          <w:szCs w:val="24"/>
                        </w:rPr>
                        <w:t>ing</w:t>
                      </w:r>
                      <w:r w:rsidRPr="000C629B">
                        <w:rPr>
                          <w:sz w:val="24"/>
                          <w:szCs w:val="24"/>
                        </w:rPr>
                        <w:t xml:space="preserve"> risk assessment</w:t>
                      </w:r>
                      <w:r>
                        <w:rPr>
                          <w:sz w:val="24"/>
                          <w:szCs w:val="24"/>
                        </w:rPr>
                        <w:t>) in U.S. adult general medical and surgical hospitals</w:t>
                      </w:r>
                      <w:r w:rsidRPr="000C629B">
                        <w:rPr>
                          <w:sz w:val="24"/>
                          <w:szCs w:val="24"/>
                        </w:rPr>
                        <w:t xml:space="preserve">, improve </w:t>
                      </w:r>
                      <w:r w:rsidRPr="00F04801">
                        <w:rPr>
                          <w:sz w:val="24"/>
                          <w:szCs w:val="24"/>
                        </w:rPr>
                        <w:t>understanding of the capacity of hospitals to track VTE risk assessment, and inform evaluation and development of VTE risk assessment as a performance measure to reduce the burden of hospital-associated VTE.</w:t>
                      </w:r>
                    </w:p>
                    <w:p w:rsidRPr="00F04801" w:rsidR="005E55CA" w:rsidP="00B44BB8" w:rsidRDefault="005E55CA" w14:paraId="510A2070" w14:textId="77777777">
                      <w:pPr>
                        <w:pStyle w:val="ListParagraph"/>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rPr>
                          <w:sz w:val="24"/>
                          <w:szCs w:val="24"/>
                          <w:shd w:val="clear" w:color="auto" w:fill="FAF9F8"/>
                        </w:rPr>
                      </w:pPr>
                      <w:r w:rsidRPr="00F04801">
                        <w:rPr>
                          <w:b/>
                          <w:sz w:val="24"/>
                          <w:szCs w:val="24"/>
                        </w:rPr>
                        <w:t>Methods to be used to collect:</w:t>
                      </w:r>
                      <w:r w:rsidRPr="00F04801">
                        <w:rPr>
                          <w:sz w:val="24"/>
                          <w:szCs w:val="24"/>
                        </w:rPr>
                        <w:t xml:space="preserve"> Selected hospitals will complete a questionnaire that is administered electronically through the Qualtrics</w:t>
                      </w:r>
                      <w:r w:rsidRPr="00F04801">
                        <w:rPr>
                          <w:sz w:val="24"/>
                          <w:szCs w:val="24"/>
                          <w:vertAlign w:val="superscript"/>
                        </w:rPr>
                        <w:t>XM</w:t>
                      </w:r>
                      <w:r w:rsidRPr="00F04801">
                        <w:rPr>
                          <w:sz w:val="24"/>
                          <w:szCs w:val="24"/>
                        </w:rPr>
                        <w:t xml:space="preserve"> platform. </w:t>
                      </w:r>
                    </w:p>
                    <w:p w:rsidRPr="00F04801" w:rsidR="005E55CA" w:rsidP="00B44BB8" w:rsidRDefault="005E55CA" w14:paraId="0C8B41DB" w14:textId="77777777">
                      <w:pPr>
                        <w:pStyle w:val="ListParagraph"/>
                        <w:numPr>
                          <w:ilvl w:val="0"/>
                          <w:numId w:val="39"/>
                        </w:numPr>
                        <w:spacing w:after="0" w:line="360" w:lineRule="auto"/>
                        <w:ind w:left="360"/>
                      </w:pPr>
                      <w:r w:rsidRPr="00F04801">
                        <w:rPr>
                          <w:b/>
                          <w:sz w:val="24"/>
                          <w:szCs w:val="24"/>
                        </w:rPr>
                        <w:t>The subpopulation to be studied:</w:t>
                      </w:r>
                      <w:r w:rsidRPr="00F04801">
                        <w:rPr>
                          <w:sz w:val="24"/>
                          <w:szCs w:val="24"/>
                        </w:rPr>
                        <w:t xml:space="preserve"> Random sample of U.S. </w:t>
                      </w:r>
                      <w:r>
                        <w:rPr>
                          <w:sz w:val="24"/>
                          <w:szCs w:val="24"/>
                        </w:rPr>
                        <w:t xml:space="preserve">adult </w:t>
                      </w:r>
                      <w:r w:rsidRPr="00F04801">
                        <w:rPr>
                          <w:sz w:val="24"/>
                          <w:szCs w:val="24"/>
                        </w:rPr>
                        <w:t>general medical and surgical hospitals.</w:t>
                      </w:r>
                      <w:r w:rsidRPr="00F04801" w:rsidDel="00C83551">
                        <w:rPr>
                          <w:sz w:val="24"/>
                          <w:szCs w:val="24"/>
                        </w:rPr>
                        <w:t xml:space="preserve"> </w:t>
                      </w:r>
                    </w:p>
                    <w:p w:rsidRPr="00C83934" w:rsidR="005E55CA" w:rsidP="00B44BB8" w:rsidRDefault="005E55CA" w14:paraId="556A27E1" w14:textId="77777777">
                      <w:pPr>
                        <w:pStyle w:val="ListParagraph"/>
                        <w:numPr>
                          <w:ilvl w:val="0"/>
                          <w:numId w:val="39"/>
                        </w:numPr>
                        <w:shd w:val="clear" w:color="auto" w:fill="FFFFFF" w:themeFill="background1"/>
                        <w:tabs>
                          <w:tab w:val="left" w:pos="0"/>
                          <w:tab w:val="left" w:pos="864"/>
                          <w:tab w:val="left" w:pos="1584"/>
                          <w:tab w:val="left" w:pos="6192"/>
                          <w:tab w:val="left" w:pos="6480"/>
                          <w:tab w:val="left" w:pos="7200"/>
                          <w:tab w:val="left" w:pos="7920"/>
                          <w:tab w:val="left" w:pos="8640"/>
                          <w:tab w:val="left" w:pos="9360"/>
                        </w:tabs>
                        <w:spacing w:after="0" w:line="360" w:lineRule="auto"/>
                        <w:ind w:left="360"/>
                        <w:rPr>
                          <w:bCs/>
                          <w:color w:val="00B050"/>
                          <w:sz w:val="24"/>
                          <w:szCs w:val="24"/>
                        </w:rPr>
                      </w:pPr>
                      <w:r w:rsidRPr="00F04801">
                        <w:rPr>
                          <w:b/>
                          <w:sz w:val="24"/>
                          <w:szCs w:val="24"/>
                        </w:rPr>
                        <w:t xml:space="preserve">How data will be analyzed: </w:t>
                      </w:r>
                      <w:r w:rsidRPr="00F04801">
                        <w:rPr>
                          <w:bCs/>
                          <w:sz w:val="24"/>
                          <w:szCs w:val="24"/>
                        </w:rPr>
                        <w:t>Standard descriptive and multivariate analysis will be conducted</w:t>
                      </w:r>
                      <w:r w:rsidRPr="00C83934">
                        <w:rPr>
                          <w:bCs/>
                          <w:color w:val="00B050"/>
                          <w:sz w:val="24"/>
                          <w:szCs w:val="24"/>
                        </w:rPr>
                        <w:t xml:space="preserve">. </w:t>
                      </w:r>
                    </w:p>
                  </w:txbxContent>
                </v:textbox>
                <w10:wrap type="square" anchorx="margin" anchory="margin"/>
              </v:shape>
            </w:pict>
          </mc:Fallback>
        </mc:AlternateContent>
      </w:r>
    </w:p>
    <w:p w:rsidR="00B44BB8" w:rsidP="0014499B" w:rsidRDefault="00B44BB8" w14:paraId="22E851EF" w14:textId="77777777">
      <w:pPr>
        <w:rPr>
          <w:b/>
        </w:rPr>
      </w:pPr>
    </w:p>
    <w:p w:rsidR="00B44BB8" w:rsidP="0014499B" w:rsidRDefault="00B44BB8" w14:paraId="0B84BD23" w14:textId="77777777">
      <w:pPr>
        <w:rPr>
          <w:b/>
        </w:rPr>
      </w:pPr>
    </w:p>
    <w:p w:rsidR="00B44BB8" w:rsidP="0014499B" w:rsidRDefault="00B44BB8" w14:paraId="2ABBFC27" w14:textId="77777777">
      <w:pPr>
        <w:rPr>
          <w:b/>
        </w:rPr>
      </w:pPr>
    </w:p>
    <w:p w:rsidR="00B44BB8" w:rsidP="0014499B" w:rsidRDefault="00B44BB8" w14:paraId="0ED507D6" w14:textId="77777777">
      <w:pPr>
        <w:rPr>
          <w:b/>
        </w:rPr>
      </w:pPr>
    </w:p>
    <w:p w:rsidR="00B44BB8" w:rsidP="0014499B" w:rsidRDefault="00B44BB8" w14:paraId="46712A15" w14:textId="77777777">
      <w:pPr>
        <w:rPr>
          <w:b/>
        </w:rPr>
      </w:pPr>
    </w:p>
    <w:p w:rsidR="00B44BB8" w:rsidP="0014499B" w:rsidRDefault="00B44BB8" w14:paraId="7F68387D" w14:textId="77777777">
      <w:pPr>
        <w:rPr>
          <w:b/>
        </w:rPr>
      </w:pPr>
    </w:p>
    <w:p w:rsidR="00B44BB8" w:rsidP="0014499B" w:rsidRDefault="00B44BB8" w14:paraId="6C79CCB6" w14:textId="77777777">
      <w:pPr>
        <w:rPr>
          <w:b/>
        </w:rPr>
      </w:pPr>
    </w:p>
    <w:p w:rsidR="00B44BB8" w:rsidP="0014499B" w:rsidRDefault="00B44BB8" w14:paraId="3DDA5B6E" w14:textId="77777777">
      <w:pPr>
        <w:rPr>
          <w:b/>
        </w:rPr>
      </w:pPr>
    </w:p>
    <w:p w:rsidR="00B44BB8" w:rsidP="0014499B" w:rsidRDefault="00B44BB8" w14:paraId="7B22F1DB" w14:textId="77777777">
      <w:pPr>
        <w:rPr>
          <w:b/>
        </w:rPr>
      </w:pPr>
    </w:p>
    <w:p w:rsidR="00B44BB8" w:rsidP="0014499B" w:rsidRDefault="00B44BB8" w14:paraId="0FF4FED1" w14:textId="77777777">
      <w:pPr>
        <w:rPr>
          <w:b/>
        </w:rPr>
      </w:pPr>
    </w:p>
    <w:p w:rsidR="00B44BB8" w:rsidP="0014499B" w:rsidRDefault="00B44BB8" w14:paraId="6BA560FE" w14:textId="77777777">
      <w:pPr>
        <w:rPr>
          <w:b/>
        </w:rPr>
      </w:pPr>
    </w:p>
    <w:p w:rsidR="00B44BB8" w:rsidP="0014499B" w:rsidRDefault="00B44BB8" w14:paraId="4C45FB58" w14:textId="77777777">
      <w:pPr>
        <w:rPr>
          <w:b/>
        </w:rPr>
      </w:pPr>
    </w:p>
    <w:p w:rsidR="00B44BB8" w:rsidP="0014499B" w:rsidRDefault="00B44BB8" w14:paraId="212466CC" w14:textId="77777777">
      <w:pPr>
        <w:rPr>
          <w:b/>
        </w:rPr>
      </w:pPr>
    </w:p>
    <w:p w:rsidR="00B44BB8" w:rsidP="0014499B" w:rsidRDefault="00B44BB8" w14:paraId="69EF1A21" w14:textId="77777777">
      <w:pPr>
        <w:rPr>
          <w:b/>
        </w:rPr>
      </w:pPr>
    </w:p>
    <w:p w:rsidR="00B44BB8" w:rsidP="0014499B" w:rsidRDefault="00B44BB8" w14:paraId="313C36F3" w14:textId="77777777">
      <w:pPr>
        <w:rPr>
          <w:b/>
        </w:rPr>
      </w:pPr>
    </w:p>
    <w:p w:rsidR="00B44BB8" w:rsidP="0014499B" w:rsidRDefault="00B44BB8" w14:paraId="3310C09D" w14:textId="77777777">
      <w:pPr>
        <w:rPr>
          <w:b/>
        </w:rPr>
      </w:pPr>
    </w:p>
    <w:p w:rsidR="00B44BB8" w:rsidP="0014499B" w:rsidRDefault="00B44BB8" w14:paraId="11EE15AC" w14:textId="77777777">
      <w:pPr>
        <w:rPr>
          <w:b/>
        </w:rPr>
      </w:pPr>
    </w:p>
    <w:p w:rsidR="00B44BB8" w:rsidP="0014499B" w:rsidRDefault="00B44BB8" w14:paraId="76640AF3" w14:textId="77777777">
      <w:pPr>
        <w:rPr>
          <w:b/>
        </w:rPr>
      </w:pPr>
    </w:p>
    <w:p w:rsidR="00B44BB8" w:rsidP="0014499B" w:rsidRDefault="00B44BB8" w14:paraId="1832770E" w14:textId="77777777">
      <w:pPr>
        <w:rPr>
          <w:b/>
        </w:rPr>
      </w:pPr>
    </w:p>
    <w:p w:rsidR="00B44BB8" w:rsidP="0014499B" w:rsidRDefault="00B44BB8" w14:paraId="2FA34A30" w14:textId="77777777">
      <w:pPr>
        <w:rPr>
          <w:b/>
        </w:rPr>
      </w:pPr>
    </w:p>
    <w:p w:rsidR="00B44BB8" w:rsidP="0014499B" w:rsidRDefault="00B44BB8" w14:paraId="1479DE3F" w14:textId="77777777">
      <w:pPr>
        <w:rPr>
          <w:b/>
        </w:rPr>
      </w:pPr>
    </w:p>
    <w:p w:rsidR="00B44BB8" w:rsidP="0014499B" w:rsidRDefault="00B44BB8" w14:paraId="6A9D1D3F" w14:textId="77777777">
      <w:pPr>
        <w:rPr>
          <w:b/>
        </w:rPr>
      </w:pPr>
    </w:p>
    <w:p w:rsidR="00B44BB8" w:rsidP="0014499B" w:rsidRDefault="00B44BB8" w14:paraId="1CCAE127" w14:textId="77777777">
      <w:pPr>
        <w:rPr>
          <w:b/>
        </w:rPr>
      </w:pPr>
    </w:p>
    <w:p w:rsidR="00B44BB8" w:rsidP="0014499B" w:rsidRDefault="00B44BB8" w14:paraId="7539249C" w14:textId="77777777">
      <w:pPr>
        <w:rPr>
          <w:b/>
        </w:rPr>
      </w:pPr>
    </w:p>
    <w:p w:rsidR="00B44BB8" w:rsidP="0014499B" w:rsidRDefault="00B44BB8" w14:paraId="705EE66A" w14:textId="77777777">
      <w:pPr>
        <w:rPr>
          <w:b/>
        </w:rPr>
      </w:pPr>
    </w:p>
    <w:p w:rsidR="002A3A19" w:rsidRDefault="002A3A19" w14:paraId="28776EA9" w14:textId="77777777">
      <w:pPr>
        <w:rPr>
          <w:b/>
        </w:rPr>
      </w:pPr>
    </w:p>
    <w:p w:rsidR="002A3A19" w:rsidRDefault="002A3A19" w14:paraId="265E4951" w14:textId="77777777">
      <w:pPr>
        <w:rPr>
          <w:b/>
        </w:rPr>
      </w:pPr>
    </w:p>
    <w:p w:rsidR="002A3A19" w:rsidRDefault="002A3A19" w14:paraId="57EAE74F" w14:textId="77777777">
      <w:pPr>
        <w:rPr>
          <w:b/>
        </w:rPr>
      </w:pPr>
    </w:p>
    <w:p w:rsidRPr="001120EA" w:rsidR="002849D2" w:rsidRDefault="00B8150A" w14:paraId="6BDAB59A" w14:textId="0A2F6964">
      <w:pPr>
        <w:rPr>
          <w:b/>
        </w:rPr>
      </w:pPr>
      <w:r w:rsidRPr="001120EA">
        <w:rPr>
          <w:b/>
        </w:rPr>
        <w:lastRenderedPageBreak/>
        <w:t xml:space="preserve">Table of Contents </w:t>
      </w:r>
    </w:p>
    <w:p w:rsidRPr="001120EA" w:rsidR="0025112E" w:rsidP="00E0163C" w:rsidRDefault="0025112E" w14:paraId="5FDA4F9F" w14:textId="77777777">
      <w:pPr>
        <w:pStyle w:val="TOC2"/>
        <w:spacing w:after="0"/>
        <w:rPr>
          <w:rFonts w:ascii="Times New Roman" w:hAnsi="Times New Roman" w:cs="Times New Roman" w:eastAsiaTheme="minorEastAsia"/>
        </w:rPr>
      </w:pPr>
    </w:p>
    <w:p w:rsidRPr="001120EA" w:rsidR="0025112E" w:rsidP="00E0163C" w:rsidRDefault="00C4040A" w14:paraId="552D5EBA" w14:textId="5E65928A">
      <w:pPr>
        <w:pStyle w:val="TOC2"/>
        <w:spacing w:after="0"/>
        <w:rPr>
          <w:rFonts w:ascii="Times New Roman" w:hAnsi="Times New Roman" w:cs="Times New Roman" w:eastAsiaTheme="minorEastAsia"/>
        </w:rPr>
      </w:pPr>
      <w:hyperlink w:history="1" w:anchor="_Toc15926284">
        <w:r w:rsidRPr="001120EA" w:rsidR="0025112E">
          <w:rPr>
            <w:rStyle w:val="Hyperlink"/>
            <w:rFonts w:ascii="Times New Roman" w:hAnsi="Times New Roman" w:cs="Times New Roman"/>
            <w:color w:val="auto"/>
            <w:u w:val="none"/>
          </w:rPr>
          <w:t>A.1.</w:t>
        </w:r>
        <w:r w:rsidR="00B206CB">
          <w:rPr>
            <w:rStyle w:val="Hyperlink"/>
            <w:rFonts w:ascii="Times New Roman" w:hAnsi="Times New Roman" w:cs="Times New Roman"/>
            <w:color w:val="auto"/>
            <w:u w:val="none"/>
          </w:rPr>
          <w:t xml:space="preserve">           </w:t>
        </w:r>
        <w:r w:rsidRPr="001120EA" w:rsidR="0025112E">
          <w:rPr>
            <w:rStyle w:val="Hyperlink"/>
            <w:rFonts w:ascii="Times New Roman" w:hAnsi="Times New Roman" w:cs="Times New Roman"/>
            <w:color w:val="auto"/>
            <w:u w:val="none"/>
          </w:rPr>
          <w:t xml:space="preserve">Circumstances Making the Collection of Information </w:t>
        </w:r>
        <w:r w:rsidRPr="001120EA" w:rsidR="00CD3524">
          <w:rPr>
            <w:rStyle w:val="Hyperlink"/>
            <w:rFonts w:ascii="Times New Roman" w:hAnsi="Times New Roman" w:cs="Times New Roman"/>
            <w:color w:val="auto"/>
            <w:u w:val="none"/>
          </w:rPr>
          <w:t xml:space="preserve"> </w:t>
        </w:r>
        <w:r w:rsidRPr="001120EA" w:rsidR="0025112E">
          <w:rPr>
            <w:rStyle w:val="Hyperlink"/>
            <w:rFonts w:ascii="Times New Roman" w:hAnsi="Times New Roman" w:cs="Times New Roman"/>
            <w:color w:val="auto"/>
            <w:u w:val="none"/>
          </w:rPr>
          <w:t>Necessary</w:t>
        </w:r>
        <w:r w:rsidRPr="001120EA" w:rsidR="00CD3524">
          <w:rPr>
            <w:rStyle w:val="Hyperlink"/>
            <w:rFonts w:ascii="Times New Roman" w:hAnsi="Times New Roman" w:cs="Times New Roman"/>
            <w:color w:val="auto"/>
            <w:u w:val="none"/>
          </w:rPr>
          <w:t xml:space="preserve"> </w:t>
        </w:r>
        <w:r w:rsidRPr="001120EA" w:rsidR="0025112E">
          <w:rPr>
            <w:rFonts w:ascii="Times New Roman" w:hAnsi="Times New Roman" w:cs="Times New Roman"/>
            <w:webHidden/>
          </w:rPr>
          <w:tab/>
        </w:r>
      </w:hyperlink>
      <w:r w:rsidR="006C35E3">
        <w:rPr>
          <w:rStyle w:val="CommentReference"/>
          <w:rFonts w:ascii="Times New Roman" w:hAnsi="Times New Roman" w:cs="Times New Roman"/>
          <w:noProof w:val="0"/>
          <w:sz w:val="24"/>
          <w:szCs w:val="24"/>
        </w:rPr>
        <w:t>4</w:t>
      </w:r>
    </w:p>
    <w:p w:rsidRPr="001120EA" w:rsidR="0025112E" w:rsidP="00E0163C" w:rsidRDefault="00C4040A" w14:paraId="4897E8DA" w14:textId="79B3939E">
      <w:pPr>
        <w:pStyle w:val="TOC2"/>
        <w:spacing w:after="0"/>
        <w:rPr>
          <w:rFonts w:ascii="Times New Roman" w:hAnsi="Times New Roman" w:cs="Times New Roman" w:eastAsiaTheme="minorEastAsia"/>
        </w:rPr>
      </w:pPr>
      <w:hyperlink w:history="1" w:anchor="_Toc15926285">
        <w:r w:rsidRPr="001120EA" w:rsidR="0025112E">
          <w:rPr>
            <w:rStyle w:val="Hyperlink"/>
            <w:rFonts w:ascii="Times New Roman" w:hAnsi="Times New Roman" w:cs="Times New Roman"/>
            <w:color w:val="auto"/>
            <w:u w:val="none"/>
          </w:rPr>
          <w:t>A.2.</w:t>
        </w:r>
        <w:r w:rsidRPr="001120EA" w:rsidR="0025112E">
          <w:rPr>
            <w:rFonts w:ascii="Times New Roman" w:hAnsi="Times New Roman" w:cs="Times New Roman" w:eastAsiaTheme="minorEastAsia"/>
          </w:rPr>
          <w:tab/>
        </w:r>
        <w:r w:rsidRPr="001120EA" w:rsidR="0025112E">
          <w:rPr>
            <w:rStyle w:val="Hyperlink"/>
            <w:rFonts w:ascii="Times New Roman" w:hAnsi="Times New Roman" w:cs="Times New Roman"/>
            <w:color w:val="auto"/>
            <w:u w:val="none"/>
          </w:rPr>
          <w:t>Purpose and Use of Information Collection</w:t>
        </w:r>
        <w:r w:rsidRPr="001120EA" w:rsidR="0025112E">
          <w:rPr>
            <w:rFonts w:ascii="Times New Roman" w:hAnsi="Times New Roman" w:cs="Times New Roman"/>
            <w:webHidden/>
          </w:rPr>
          <w:tab/>
        </w:r>
      </w:hyperlink>
      <w:r w:rsidR="006C35E3">
        <w:rPr>
          <w:rFonts w:ascii="Times New Roman" w:hAnsi="Times New Roman" w:cs="Times New Roman"/>
        </w:rPr>
        <w:t>6</w:t>
      </w:r>
    </w:p>
    <w:p w:rsidRPr="001120EA" w:rsidR="0025112E" w:rsidP="00E0163C" w:rsidRDefault="00C4040A" w14:paraId="06CCC086" w14:textId="79330C48">
      <w:pPr>
        <w:pStyle w:val="TOC2"/>
        <w:spacing w:after="0"/>
        <w:rPr>
          <w:rFonts w:ascii="Times New Roman" w:hAnsi="Times New Roman" w:cs="Times New Roman" w:eastAsiaTheme="minorEastAsia"/>
        </w:rPr>
      </w:pPr>
      <w:hyperlink w:history="1" w:anchor="_Toc15926286">
        <w:r w:rsidRPr="001120EA" w:rsidR="0025112E">
          <w:rPr>
            <w:rStyle w:val="Hyperlink"/>
            <w:rFonts w:ascii="Times New Roman" w:hAnsi="Times New Roman" w:cs="Times New Roman"/>
            <w:color w:val="auto"/>
            <w:u w:val="none"/>
          </w:rPr>
          <w:t>A.3.</w:t>
        </w:r>
        <w:r w:rsidRPr="001120EA" w:rsidR="0025112E">
          <w:rPr>
            <w:rFonts w:ascii="Times New Roman" w:hAnsi="Times New Roman" w:cs="Times New Roman" w:eastAsiaTheme="minorEastAsia"/>
          </w:rPr>
          <w:tab/>
        </w:r>
        <w:r w:rsidRPr="001120EA" w:rsidR="0025112E">
          <w:rPr>
            <w:rStyle w:val="Hyperlink"/>
            <w:rFonts w:ascii="Times New Roman" w:hAnsi="Times New Roman" w:cs="Times New Roman"/>
            <w:color w:val="auto"/>
            <w:u w:val="none"/>
          </w:rPr>
          <w:t>Use of Improved Information Technology and Burden Reduction</w:t>
        </w:r>
        <w:r w:rsidRPr="001120EA" w:rsidR="0025112E">
          <w:rPr>
            <w:rFonts w:ascii="Times New Roman" w:hAnsi="Times New Roman" w:cs="Times New Roman"/>
            <w:webHidden/>
          </w:rPr>
          <w:tab/>
        </w:r>
      </w:hyperlink>
      <w:r w:rsidR="006C35E3">
        <w:rPr>
          <w:rFonts w:ascii="Times New Roman" w:hAnsi="Times New Roman" w:cs="Times New Roman"/>
        </w:rPr>
        <w:t>6</w:t>
      </w:r>
    </w:p>
    <w:p w:rsidRPr="001120EA" w:rsidR="0025112E" w:rsidP="00E0163C" w:rsidRDefault="00C4040A" w14:paraId="78029989" w14:textId="366B17F9">
      <w:pPr>
        <w:pStyle w:val="TOC2"/>
        <w:spacing w:after="0"/>
        <w:rPr>
          <w:rFonts w:ascii="Times New Roman" w:hAnsi="Times New Roman" w:cs="Times New Roman" w:eastAsiaTheme="minorEastAsia"/>
        </w:rPr>
      </w:pPr>
      <w:hyperlink w:history="1" w:anchor="_Toc15926287">
        <w:r w:rsidRPr="001120EA" w:rsidR="0025112E">
          <w:rPr>
            <w:rStyle w:val="Hyperlink"/>
            <w:rFonts w:ascii="Times New Roman" w:hAnsi="Times New Roman" w:cs="Times New Roman"/>
            <w:color w:val="auto"/>
            <w:u w:val="none"/>
          </w:rPr>
          <w:t>A.4.</w:t>
        </w:r>
        <w:r w:rsidRPr="001120EA" w:rsidR="0025112E">
          <w:rPr>
            <w:rFonts w:ascii="Times New Roman" w:hAnsi="Times New Roman" w:cs="Times New Roman" w:eastAsiaTheme="minorEastAsia"/>
          </w:rPr>
          <w:tab/>
        </w:r>
        <w:r w:rsidRPr="001120EA" w:rsidR="0025112E">
          <w:rPr>
            <w:rStyle w:val="Hyperlink"/>
            <w:rFonts w:ascii="Times New Roman" w:hAnsi="Times New Roman" w:cs="Times New Roman"/>
            <w:color w:val="auto"/>
            <w:u w:val="none"/>
          </w:rPr>
          <w:t>Efforts to Identify Duplication and Use of Similar Information</w:t>
        </w:r>
        <w:r w:rsidRPr="001120EA" w:rsidR="0025112E">
          <w:rPr>
            <w:rFonts w:ascii="Times New Roman" w:hAnsi="Times New Roman" w:cs="Times New Roman"/>
            <w:webHidden/>
          </w:rPr>
          <w:tab/>
        </w:r>
      </w:hyperlink>
      <w:r w:rsidR="006C35E3">
        <w:rPr>
          <w:rFonts w:ascii="Times New Roman" w:hAnsi="Times New Roman" w:cs="Times New Roman"/>
        </w:rPr>
        <w:t>7</w:t>
      </w:r>
    </w:p>
    <w:p w:rsidRPr="001120EA" w:rsidR="0025112E" w:rsidP="00E0163C" w:rsidRDefault="00C4040A" w14:paraId="16C91A34" w14:textId="611F0BF8">
      <w:pPr>
        <w:pStyle w:val="TOC2"/>
        <w:spacing w:after="0"/>
        <w:rPr>
          <w:rFonts w:ascii="Times New Roman" w:hAnsi="Times New Roman" w:cs="Times New Roman" w:eastAsiaTheme="minorEastAsia"/>
        </w:rPr>
      </w:pPr>
      <w:hyperlink w:history="1" w:anchor="_Toc15926288">
        <w:r w:rsidRPr="001120EA" w:rsidR="0025112E">
          <w:rPr>
            <w:rStyle w:val="Hyperlink"/>
            <w:rFonts w:ascii="Times New Roman" w:hAnsi="Times New Roman" w:cs="Times New Roman"/>
            <w:color w:val="auto"/>
            <w:u w:val="none"/>
          </w:rPr>
          <w:t>A.5.</w:t>
        </w:r>
        <w:r w:rsidRPr="001120EA" w:rsidR="0025112E">
          <w:rPr>
            <w:rFonts w:ascii="Times New Roman" w:hAnsi="Times New Roman" w:cs="Times New Roman" w:eastAsiaTheme="minorEastAsia"/>
          </w:rPr>
          <w:tab/>
        </w:r>
        <w:r w:rsidRPr="001120EA" w:rsidR="0025112E">
          <w:rPr>
            <w:rStyle w:val="Hyperlink"/>
            <w:rFonts w:ascii="Times New Roman" w:hAnsi="Times New Roman" w:cs="Times New Roman"/>
            <w:color w:val="auto"/>
            <w:u w:val="none"/>
          </w:rPr>
          <w:t>Impact on Small Businesses or Other Small Entities</w:t>
        </w:r>
        <w:r w:rsidRPr="001120EA" w:rsidR="0025112E">
          <w:rPr>
            <w:rFonts w:ascii="Times New Roman" w:hAnsi="Times New Roman" w:cs="Times New Roman"/>
            <w:webHidden/>
          </w:rPr>
          <w:tab/>
        </w:r>
      </w:hyperlink>
      <w:r w:rsidR="006C35E3">
        <w:rPr>
          <w:rFonts w:ascii="Times New Roman" w:hAnsi="Times New Roman" w:cs="Times New Roman"/>
        </w:rPr>
        <w:t>7</w:t>
      </w:r>
    </w:p>
    <w:p w:rsidRPr="001120EA" w:rsidR="0025112E" w:rsidP="00E0163C" w:rsidRDefault="00C4040A" w14:paraId="3BFEF310" w14:textId="4E686D2A">
      <w:pPr>
        <w:pStyle w:val="TOC2"/>
        <w:spacing w:after="0"/>
        <w:rPr>
          <w:rFonts w:ascii="Times New Roman" w:hAnsi="Times New Roman" w:cs="Times New Roman"/>
        </w:rPr>
      </w:pPr>
      <w:hyperlink w:history="1" w:anchor="_Toc15926289">
        <w:r w:rsidRPr="001120EA" w:rsidR="0025112E">
          <w:rPr>
            <w:rStyle w:val="Hyperlink"/>
            <w:rFonts w:ascii="Times New Roman" w:hAnsi="Times New Roman" w:cs="Times New Roman"/>
            <w:color w:val="auto"/>
            <w:u w:val="none"/>
          </w:rPr>
          <w:t>A.6.</w:t>
        </w:r>
        <w:r w:rsidRPr="001120EA" w:rsidR="0025112E">
          <w:rPr>
            <w:rFonts w:ascii="Times New Roman" w:hAnsi="Times New Roman" w:cs="Times New Roman" w:eastAsiaTheme="minorEastAsia"/>
          </w:rPr>
          <w:tab/>
        </w:r>
        <w:r w:rsidRPr="001120EA" w:rsidR="0025112E">
          <w:rPr>
            <w:rStyle w:val="Hyperlink"/>
            <w:rFonts w:ascii="Times New Roman" w:hAnsi="Times New Roman" w:cs="Times New Roman"/>
            <w:color w:val="auto"/>
            <w:u w:val="none"/>
          </w:rPr>
          <w:t>Consequences of Collecting the Information Less Frequently</w:t>
        </w:r>
        <w:r w:rsidRPr="001120EA" w:rsidR="0025112E">
          <w:rPr>
            <w:rFonts w:ascii="Times New Roman" w:hAnsi="Times New Roman" w:cs="Times New Roman"/>
            <w:webHidden/>
          </w:rPr>
          <w:tab/>
        </w:r>
      </w:hyperlink>
      <w:r w:rsidR="006C35E3">
        <w:rPr>
          <w:rFonts w:ascii="Times New Roman" w:hAnsi="Times New Roman" w:cs="Times New Roman"/>
        </w:rPr>
        <w:t>7</w:t>
      </w:r>
    </w:p>
    <w:p w:rsidR="004A7436" w:rsidP="00E0163C" w:rsidRDefault="00C4040A" w14:paraId="2BA4BC6C" w14:textId="2CB1F03E">
      <w:pPr>
        <w:pStyle w:val="TOC2"/>
        <w:tabs>
          <w:tab w:val="clear" w:pos="1100"/>
          <w:tab w:val="left" w:pos="1080"/>
        </w:tabs>
        <w:spacing w:after="0"/>
        <w:rPr>
          <w:rFonts w:ascii="Times New Roman" w:hAnsi="Times New Roman" w:cs="Times New Roman"/>
          <w:webHidden/>
        </w:rPr>
      </w:pPr>
      <w:hyperlink w:history="1" w:anchor="_Toc15926291">
        <w:r w:rsidRPr="001120EA" w:rsidR="003D12FF">
          <w:rPr>
            <w:rStyle w:val="Hyperlink"/>
            <w:rFonts w:ascii="Times New Roman" w:hAnsi="Times New Roman" w:cs="Times New Roman"/>
            <w:color w:val="auto"/>
            <w:u w:val="none"/>
          </w:rPr>
          <w:t>A.7.</w:t>
        </w:r>
        <w:r w:rsidRPr="001120EA" w:rsidR="003D12FF">
          <w:rPr>
            <w:rFonts w:ascii="Times New Roman" w:hAnsi="Times New Roman" w:cs="Times New Roman" w:eastAsiaTheme="minorEastAsia"/>
          </w:rPr>
          <w:tab/>
        </w:r>
        <w:r w:rsidRPr="001120EA" w:rsidR="003D12FF">
          <w:rPr>
            <w:rStyle w:val="Hyperlink"/>
            <w:rFonts w:ascii="Times New Roman" w:hAnsi="Times New Roman" w:cs="Times New Roman"/>
            <w:color w:val="auto"/>
            <w:u w:val="none"/>
          </w:rPr>
          <w:t>Special Circumstances Relating to the Guidelines of 5 CFR 1320.</w:t>
        </w:r>
        <w:r w:rsidR="00C91F05">
          <w:rPr>
            <w:rStyle w:val="Hyperlink"/>
            <w:rFonts w:ascii="Times New Roman" w:hAnsi="Times New Roman" w:cs="Times New Roman"/>
            <w:color w:val="auto"/>
            <w:u w:val="none"/>
          </w:rPr>
          <w:t>5</w:t>
        </w:r>
        <w:r w:rsidRPr="001120EA" w:rsidR="003D12FF">
          <w:rPr>
            <w:rFonts w:ascii="Times New Roman" w:hAnsi="Times New Roman" w:cs="Times New Roman"/>
            <w:webHidden/>
          </w:rPr>
          <w:tab/>
        </w:r>
      </w:hyperlink>
      <w:r w:rsidR="001025E6">
        <w:rPr>
          <w:rFonts w:ascii="Times New Roman" w:hAnsi="Times New Roman" w:cs="Times New Roman"/>
        </w:rPr>
        <w:t>8</w:t>
      </w:r>
    </w:p>
    <w:p w:rsidRPr="001120EA" w:rsidR="0025112E" w:rsidP="00E0163C" w:rsidRDefault="00C4040A" w14:paraId="567D90BE" w14:textId="1E6570C2">
      <w:pPr>
        <w:pStyle w:val="TOC2"/>
        <w:tabs>
          <w:tab w:val="clear" w:pos="1100"/>
          <w:tab w:val="left" w:pos="1080"/>
        </w:tabs>
        <w:spacing w:after="0"/>
        <w:rPr>
          <w:rFonts w:ascii="Times New Roman" w:hAnsi="Times New Roman" w:cs="Times New Roman" w:eastAsiaTheme="minorEastAsia"/>
        </w:rPr>
      </w:pPr>
      <w:hyperlink w:history="1" w:anchor="_Toc15926291">
        <w:r w:rsidRPr="001120EA" w:rsidR="0025112E">
          <w:rPr>
            <w:rStyle w:val="Hyperlink"/>
            <w:rFonts w:ascii="Times New Roman" w:hAnsi="Times New Roman" w:cs="Times New Roman"/>
            <w:color w:val="auto"/>
            <w:u w:val="none"/>
          </w:rPr>
          <w:t>A.8.</w:t>
        </w:r>
        <w:r w:rsidRPr="001120EA" w:rsidR="0025112E">
          <w:rPr>
            <w:rFonts w:ascii="Times New Roman" w:hAnsi="Times New Roman" w:cs="Times New Roman" w:eastAsiaTheme="minorEastAsia"/>
          </w:rPr>
          <w:tab/>
        </w:r>
        <w:r w:rsidRPr="001120EA" w:rsidR="0025112E">
          <w:rPr>
            <w:rStyle w:val="Hyperlink"/>
            <w:rFonts w:ascii="Times New Roman" w:hAnsi="Times New Roman" w:cs="Times New Roman"/>
            <w:color w:val="auto"/>
            <w:u w:val="none"/>
          </w:rPr>
          <w:t xml:space="preserve">Comments in Response to the Federal Register Notice and Efforts to Consult Outside </w:t>
        </w:r>
        <w:r w:rsidR="00E46104">
          <w:rPr>
            <w:rStyle w:val="Hyperlink"/>
            <w:rFonts w:ascii="Times New Roman" w:hAnsi="Times New Roman" w:cs="Times New Roman"/>
            <w:color w:val="auto"/>
            <w:u w:val="none"/>
          </w:rPr>
          <w:t xml:space="preserve"> </w:t>
        </w:r>
        <w:r w:rsidRPr="001120EA" w:rsidR="0025112E">
          <w:rPr>
            <w:rStyle w:val="Hyperlink"/>
            <w:rFonts w:ascii="Times New Roman" w:hAnsi="Times New Roman" w:cs="Times New Roman"/>
            <w:color w:val="auto"/>
            <w:u w:val="none"/>
          </w:rPr>
          <w:t xml:space="preserve"> </w:t>
        </w:r>
        <w:r w:rsidR="0083256F">
          <w:rPr>
            <w:rStyle w:val="Hyperlink"/>
            <w:rFonts w:ascii="Times New Roman" w:hAnsi="Times New Roman" w:cs="Times New Roman"/>
            <w:color w:val="auto"/>
            <w:u w:val="none"/>
          </w:rPr>
          <w:t xml:space="preserve"> </w:t>
        </w:r>
        <w:r w:rsidR="00E46104">
          <w:rPr>
            <w:rStyle w:val="Hyperlink"/>
            <w:rFonts w:ascii="Times New Roman" w:hAnsi="Times New Roman" w:cs="Times New Roman"/>
            <w:color w:val="auto"/>
            <w:u w:val="none"/>
          </w:rPr>
          <w:t xml:space="preserve">                      </w:t>
        </w:r>
        <w:r w:rsidR="0092681E">
          <w:rPr>
            <w:rStyle w:val="Hyperlink"/>
            <w:rFonts w:ascii="Times New Roman" w:hAnsi="Times New Roman" w:cs="Times New Roman"/>
            <w:color w:val="auto"/>
            <w:u w:val="none"/>
          </w:rPr>
          <w:t xml:space="preserve">   </w:t>
        </w:r>
        <w:r w:rsidRPr="00C91F05" w:rsidR="00C91F05">
          <w:rPr>
            <w:rStyle w:val="Hyperlink"/>
            <w:rFonts w:ascii="Times New Roman" w:hAnsi="Times New Roman" w:cs="Times New Roman"/>
            <w:webHidden/>
            <w:color w:val="auto"/>
            <w:u w:val="none"/>
          </w:rPr>
          <w:tab/>
        </w:r>
      </w:hyperlink>
      <w:r w:rsidR="0092681E">
        <w:rPr>
          <w:rFonts w:ascii="Times New Roman" w:hAnsi="Times New Roman" w:cs="Times New Roman"/>
        </w:rPr>
        <w:t>the Agency……………………………………………………………………</w:t>
      </w:r>
      <w:r w:rsidR="00E71557">
        <w:rPr>
          <w:rFonts w:ascii="Times New Roman" w:hAnsi="Times New Roman" w:cs="Times New Roman"/>
        </w:rPr>
        <w:t>….</w:t>
      </w:r>
      <w:r w:rsidR="0092681E">
        <w:rPr>
          <w:rFonts w:ascii="Times New Roman" w:hAnsi="Times New Roman" w:cs="Times New Roman"/>
        </w:rPr>
        <w:t>……</w:t>
      </w:r>
      <w:r w:rsidR="00E71557">
        <w:rPr>
          <w:rFonts w:ascii="Times New Roman" w:hAnsi="Times New Roman" w:cs="Times New Roman"/>
        </w:rPr>
        <w:t>8</w:t>
      </w:r>
    </w:p>
    <w:p w:rsidRPr="006C54EB" w:rsidR="0025112E" w:rsidP="00E0163C" w:rsidRDefault="00C4040A" w14:paraId="2A26A4BD" w14:textId="2BF865DE">
      <w:pPr>
        <w:pStyle w:val="TOC2"/>
        <w:spacing w:after="0"/>
        <w:rPr>
          <w:rFonts w:ascii="Times New Roman" w:hAnsi="Times New Roman" w:cs="Times New Roman" w:eastAsiaTheme="minorEastAsia"/>
        </w:rPr>
      </w:pPr>
      <w:hyperlink w:history="1" w:anchor="_Toc15926292">
        <w:r w:rsidRPr="006C54EB" w:rsidR="0025112E">
          <w:rPr>
            <w:rStyle w:val="Hyperlink"/>
            <w:rFonts w:ascii="Times New Roman" w:hAnsi="Times New Roman" w:cs="Times New Roman"/>
            <w:color w:val="auto"/>
            <w:u w:val="none"/>
          </w:rPr>
          <w:t xml:space="preserve">A.9.   </w:t>
        </w:r>
        <w:r w:rsidRPr="006C54EB" w:rsidR="00793BD6">
          <w:rPr>
            <w:rStyle w:val="Hyperlink"/>
            <w:rFonts w:ascii="Times New Roman" w:hAnsi="Times New Roman" w:cs="Times New Roman"/>
            <w:color w:val="auto"/>
            <w:u w:val="none"/>
          </w:rPr>
          <w:t xml:space="preserve">        </w:t>
        </w:r>
        <w:r w:rsidRPr="006C54EB" w:rsidR="0025112E">
          <w:rPr>
            <w:rStyle w:val="Hyperlink"/>
            <w:rFonts w:ascii="Times New Roman" w:hAnsi="Times New Roman" w:cs="Times New Roman"/>
            <w:color w:val="auto"/>
            <w:u w:val="none"/>
          </w:rPr>
          <w:t>Explanation of Any Payment or Gift to Respondents</w:t>
        </w:r>
        <w:r w:rsidRPr="006C54EB" w:rsidR="0025112E">
          <w:rPr>
            <w:rFonts w:ascii="Times New Roman" w:hAnsi="Times New Roman" w:cs="Times New Roman"/>
            <w:webHidden/>
          </w:rPr>
          <w:tab/>
        </w:r>
      </w:hyperlink>
      <w:r w:rsidR="00A260AB">
        <w:rPr>
          <w:rFonts w:ascii="Times New Roman" w:hAnsi="Times New Roman" w:cs="Times New Roman"/>
        </w:rPr>
        <w:t>8</w:t>
      </w:r>
    </w:p>
    <w:p w:rsidRPr="006C54EB" w:rsidR="0025112E" w:rsidP="00E0163C" w:rsidRDefault="00C4040A" w14:paraId="278AA6BA" w14:textId="16D5C11F">
      <w:pPr>
        <w:pStyle w:val="TOC2"/>
        <w:spacing w:after="0"/>
        <w:ind w:left="1100" w:hanging="1100"/>
        <w:rPr>
          <w:rFonts w:ascii="Times New Roman" w:hAnsi="Times New Roman" w:cs="Times New Roman" w:eastAsiaTheme="minorEastAsia"/>
        </w:rPr>
      </w:pPr>
      <w:hyperlink w:history="1" w:anchor="_Toc15926293">
        <w:r w:rsidRPr="006C54EB" w:rsidR="0025112E">
          <w:rPr>
            <w:rStyle w:val="Hyperlink"/>
            <w:rFonts w:ascii="Times New Roman" w:hAnsi="Times New Roman" w:cs="Times New Roman"/>
            <w:color w:val="auto"/>
            <w:u w:val="none"/>
          </w:rPr>
          <w:t>A.10.</w:t>
        </w:r>
        <w:r w:rsidRPr="006C54EB" w:rsidR="0025112E">
          <w:rPr>
            <w:rFonts w:ascii="Times New Roman" w:hAnsi="Times New Roman" w:cs="Times New Roman" w:eastAsiaTheme="minorEastAsia"/>
          </w:rPr>
          <w:tab/>
        </w:r>
        <w:r w:rsidRPr="006C54EB" w:rsidR="0025112E">
          <w:rPr>
            <w:rStyle w:val="Hyperlink"/>
            <w:rFonts w:ascii="Times New Roman" w:hAnsi="Times New Roman" w:cs="Times New Roman"/>
            <w:color w:val="auto"/>
            <w:u w:val="none"/>
          </w:rPr>
          <w:t>Protection of the Privacy and Confidentiality of Information Provided by</w:t>
        </w:r>
        <w:r w:rsidRPr="006C54EB" w:rsidR="00AD2D81">
          <w:rPr>
            <w:rStyle w:val="Hyperlink"/>
            <w:rFonts w:ascii="Times New Roman" w:hAnsi="Times New Roman" w:cs="Times New Roman"/>
            <w:color w:val="auto"/>
            <w:u w:val="none"/>
          </w:rPr>
          <w:t xml:space="preserve">          </w:t>
        </w:r>
        <w:r w:rsidRPr="006C54EB" w:rsidR="00793BD6">
          <w:rPr>
            <w:rStyle w:val="Hyperlink"/>
            <w:rFonts w:ascii="Times New Roman" w:hAnsi="Times New Roman" w:cs="Times New Roman"/>
            <w:color w:val="auto"/>
            <w:u w:val="none"/>
          </w:rPr>
          <w:t xml:space="preserve"> </w:t>
        </w:r>
        <w:r w:rsidRPr="006C54EB" w:rsidR="00AD2D81">
          <w:rPr>
            <w:rStyle w:val="Hyperlink"/>
            <w:rFonts w:ascii="Times New Roman" w:hAnsi="Times New Roman" w:cs="Times New Roman"/>
            <w:color w:val="auto"/>
            <w:u w:val="none"/>
          </w:rPr>
          <w:t xml:space="preserve"> </w:t>
        </w:r>
        <w:r w:rsidRPr="006C54EB" w:rsidR="00793BD6">
          <w:rPr>
            <w:rStyle w:val="Hyperlink"/>
            <w:rFonts w:ascii="Times New Roman" w:hAnsi="Times New Roman" w:cs="Times New Roman"/>
            <w:color w:val="auto"/>
            <w:u w:val="none"/>
          </w:rPr>
          <w:t xml:space="preserve">                </w:t>
        </w:r>
        <w:r w:rsidRPr="006C54EB" w:rsidR="00643070">
          <w:rPr>
            <w:rStyle w:val="Hyperlink"/>
            <w:rFonts w:ascii="Times New Roman" w:hAnsi="Times New Roman" w:cs="Times New Roman"/>
            <w:color w:val="auto"/>
            <w:u w:val="none"/>
          </w:rPr>
          <w:t>Respondents</w:t>
        </w:r>
        <w:r w:rsidRPr="006C54EB" w:rsidR="0025112E">
          <w:rPr>
            <w:rFonts w:ascii="Times New Roman" w:hAnsi="Times New Roman" w:cs="Times New Roman"/>
            <w:webHidden/>
          </w:rPr>
          <w:tab/>
        </w:r>
      </w:hyperlink>
      <w:r w:rsidR="00A260AB">
        <w:rPr>
          <w:rFonts w:ascii="Times New Roman" w:hAnsi="Times New Roman" w:cs="Times New Roman"/>
        </w:rPr>
        <w:t>8</w:t>
      </w:r>
    </w:p>
    <w:p w:rsidRPr="006C54EB" w:rsidR="0025112E" w:rsidP="00E0163C" w:rsidRDefault="00C4040A" w14:paraId="0D2AECAA" w14:textId="215E700C">
      <w:pPr>
        <w:pStyle w:val="TOC2"/>
        <w:spacing w:after="0"/>
        <w:rPr>
          <w:rFonts w:ascii="Times New Roman" w:hAnsi="Times New Roman" w:cs="Times New Roman" w:eastAsiaTheme="minorEastAsia"/>
        </w:rPr>
      </w:pPr>
      <w:hyperlink w:history="1" w:anchor="_Toc15926294">
        <w:r w:rsidRPr="006C54EB" w:rsidR="0025112E">
          <w:rPr>
            <w:rStyle w:val="Hyperlink"/>
            <w:rFonts w:ascii="Times New Roman" w:hAnsi="Times New Roman" w:cs="Times New Roman"/>
            <w:color w:val="auto"/>
            <w:u w:val="none"/>
          </w:rPr>
          <w:t>A.11.</w:t>
        </w:r>
        <w:r w:rsidRPr="006C54EB" w:rsidR="0025112E">
          <w:rPr>
            <w:rFonts w:ascii="Times New Roman" w:hAnsi="Times New Roman" w:cs="Times New Roman" w:eastAsiaTheme="minorEastAsia"/>
          </w:rPr>
          <w:tab/>
        </w:r>
        <w:r w:rsidRPr="006C54EB" w:rsidR="0025112E">
          <w:rPr>
            <w:rStyle w:val="Hyperlink"/>
            <w:rFonts w:ascii="Times New Roman" w:hAnsi="Times New Roman" w:cs="Times New Roman"/>
            <w:color w:val="auto"/>
            <w:u w:val="none"/>
          </w:rPr>
          <w:t>Institutional Review Board (IRB) and Justification for Sensitive Questions</w:t>
        </w:r>
        <w:r w:rsidRPr="006C54EB" w:rsidR="0025112E">
          <w:rPr>
            <w:rFonts w:ascii="Times New Roman" w:hAnsi="Times New Roman" w:cs="Times New Roman"/>
            <w:webHidden/>
          </w:rPr>
          <w:tab/>
        </w:r>
      </w:hyperlink>
      <w:r w:rsidRPr="006C54EB" w:rsidR="00B52449">
        <w:rPr>
          <w:rFonts w:ascii="Times New Roman" w:hAnsi="Times New Roman" w:cs="Times New Roman"/>
        </w:rPr>
        <w:t>1</w:t>
      </w:r>
      <w:r w:rsidR="00A260AB">
        <w:rPr>
          <w:rFonts w:ascii="Times New Roman" w:hAnsi="Times New Roman" w:cs="Times New Roman"/>
        </w:rPr>
        <w:t>0</w:t>
      </w:r>
    </w:p>
    <w:p w:rsidRPr="006C54EB" w:rsidR="0025112E" w:rsidP="00E0163C" w:rsidRDefault="00C4040A" w14:paraId="42C5E6FC" w14:textId="3EFD2F29">
      <w:pPr>
        <w:pStyle w:val="TOC2"/>
        <w:spacing w:after="0"/>
        <w:rPr>
          <w:rFonts w:ascii="Times New Roman" w:hAnsi="Times New Roman" w:cs="Times New Roman" w:eastAsiaTheme="minorEastAsia"/>
        </w:rPr>
      </w:pPr>
      <w:hyperlink w:history="1" w:anchor="_Toc15926295">
        <w:r w:rsidRPr="006C54EB" w:rsidR="0025112E">
          <w:rPr>
            <w:rStyle w:val="Hyperlink"/>
            <w:rFonts w:ascii="Times New Roman" w:hAnsi="Times New Roman" w:cs="Times New Roman"/>
            <w:color w:val="auto"/>
            <w:u w:val="none"/>
          </w:rPr>
          <w:t>A.12.</w:t>
        </w:r>
        <w:r w:rsidRPr="006C54EB" w:rsidR="0025112E">
          <w:rPr>
            <w:rFonts w:ascii="Times New Roman" w:hAnsi="Times New Roman" w:cs="Times New Roman" w:eastAsiaTheme="minorEastAsia"/>
          </w:rPr>
          <w:tab/>
        </w:r>
        <w:r w:rsidRPr="006C54EB" w:rsidR="0025112E">
          <w:rPr>
            <w:rStyle w:val="Hyperlink"/>
            <w:rFonts w:ascii="Times New Roman" w:hAnsi="Times New Roman" w:cs="Times New Roman"/>
            <w:color w:val="auto"/>
            <w:u w:val="none"/>
          </w:rPr>
          <w:t>Estimates of Annualized Burden Hours and Costs</w:t>
        </w:r>
        <w:r w:rsidRPr="006C54EB" w:rsidR="0025112E">
          <w:rPr>
            <w:rFonts w:ascii="Times New Roman" w:hAnsi="Times New Roman" w:cs="Times New Roman"/>
            <w:webHidden/>
          </w:rPr>
          <w:tab/>
        </w:r>
      </w:hyperlink>
      <w:r w:rsidRPr="006C54EB" w:rsidR="00B52449">
        <w:rPr>
          <w:rFonts w:ascii="Times New Roman" w:hAnsi="Times New Roman" w:cs="Times New Roman"/>
        </w:rPr>
        <w:t>1</w:t>
      </w:r>
      <w:r w:rsidR="00A260AB">
        <w:rPr>
          <w:rFonts w:ascii="Times New Roman" w:hAnsi="Times New Roman" w:cs="Times New Roman"/>
        </w:rPr>
        <w:t>0</w:t>
      </w:r>
    </w:p>
    <w:p w:rsidRPr="006C54EB" w:rsidR="00B52449" w:rsidP="00E0163C" w:rsidRDefault="00C4040A" w14:paraId="494C9CF5" w14:textId="12071795">
      <w:pPr>
        <w:pStyle w:val="TOC2"/>
        <w:spacing w:after="0"/>
        <w:rPr>
          <w:rFonts w:ascii="Times New Roman" w:hAnsi="Times New Roman" w:cs="Times New Roman" w:eastAsiaTheme="minorEastAsia"/>
        </w:rPr>
      </w:pPr>
      <w:hyperlink w:history="1" w:anchor="_Toc15926297">
        <w:r w:rsidRPr="006C54EB" w:rsidR="00B52449">
          <w:rPr>
            <w:rStyle w:val="Hyperlink"/>
            <w:rFonts w:ascii="Times New Roman" w:hAnsi="Times New Roman" w:cs="Times New Roman"/>
            <w:color w:val="auto"/>
            <w:u w:val="none"/>
          </w:rPr>
          <w:t>A.1</w:t>
        </w:r>
        <w:r w:rsidRPr="006C54EB" w:rsidR="003D2124">
          <w:rPr>
            <w:rStyle w:val="Hyperlink"/>
            <w:rFonts w:ascii="Times New Roman" w:hAnsi="Times New Roman" w:cs="Times New Roman"/>
            <w:color w:val="auto"/>
            <w:u w:val="none"/>
          </w:rPr>
          <w:t>3</w:t>
        </w:r>
        <w:r w:rsidRPr="006C54EB" w:rsidR="00B52449">
          <w:rPr>
            <w:rStyle w:val="Hyperlink"/>
            <w:rFonts w:ascii="Times New Roman" w:hAnsi="Times New Roman" w:cs="Times New Roman"/>
            <w:color w:val="auto"/>
            <w:u w:val="none"/>
          </w:rPr>
          <w:t>.</w:t>
        </w:r>
        <w:r w:rsidRPr="006C54EB" w:rsidR="00B52449">
          <w:rPr>
            <w:rFonts w:ascii="Times New Roman" w:hAnsi="Times New Roman" w:cs="Times New Roman" w:eastAsiaTheme="minorEastAsia"/>
          </w:rPr>
          <w:tab/>
        </w:r>
        <w:r w:rsidRPr="006C54EB" w:rsidR="003D2124">
          <w:rPr>
            <w:rStyle w:val="Hyperlink"/>
            <w:rFonts w:ascii="Times New Roman" w:hAnsi="Times New Roman" w:cs="Times New Roman"/>
            <w:color w:val="auto"/>
            <w:u w:val="none"/>
          </w:rPr>
          <w:t>Estimates of Other Total</w:t>
        </w:r>
        <w:r w:rsidRPr="006C54EB" w:rsidR="00B52449">
          <w:rPr>
            <w:rStyle w:val="Hyperlink"/>
            <w:rFonts w:ascii="Times New Roman" w:hAnsi="Times New Roman" w:cs="Times New Roman"/>
            <w:color w:val="auto"/>
            <w:u w:val="none"/>
          </w:rPr>
          <w:t xml:space="preserve"> </w:t>
        </w:r>
        <w:r w:rsidRPr="006C54EB" w:rsidR="003D2124">
          <w:rPr>
            <w:rStyle w:val="Hyperlink"/>
            <w:rFonts w:ascii="Times New Roman" w:hAnsi="Times New Roman" w:cs="Times New Roman"/>
            <w:color w:val="auto"/>
            <w:u w:val="none"/>
          </w:rPr>
          <w:t xml:space="preserve">Annualized </w:t>
        </w:r>
        <w:r w:rsidRPr="006C54EB" w:rsidR="00B52449">
          <w:rPr>
            <w:rStyle w:val="Hyperlink"/>
            <w:rFonts w:ascii="Times New Roman" w:hAnsi="Times New Roman" w:cs="Times New Roman"/>
            <w:color w:val="auto"/>
            <w:u w:val="none"/>
          </w:rPr>
          <w:t xml:space="preserve">Costs </w:t>
        </w:r>
        <w:r w:rsidRPr="006C54EB" w:rsidR="003D2124">
          <w:rPr>
            <w:rStyle w:val="Hyperlink"/>
            <w:rFonts w:ascii="Times New Roman" w:hAnsi="Times New Roman" w:cs="Times New Roman"/>
            <w:color w:val="auto"/>
            <w:u w:val="none"/>
          </w:rPr>
          <w:t>Burden to Respondents or Reco</w:t>
        </w:r>
        <w:r w:rsidRPr="006C54EB" w:rsidR="003F4852">
          <w:rPr>
            <w:rStyle w:val="Hyperlink"/>
            <w:rFonts w:ascii="Times New Roman" w:hAnsi="Times New Roman" w:cs="Times New Roman"/>
            <w:color w:val="auto"/>
            <w:u w:val="none"/>
          </w:rPr>
          <w:t xml:space="preserve">rd </w:t>
        </w:r>
        <w:r w:rsidRPr="006C54EB" w:rsidR="00B52449">
          <w:rPr>
            <w:rFonts w:ascii="Times New Roman" w:hAnsi="Times New Roman" w:cs="Times New Roman"/>
            <w:webHidden/>
          </w:rPr>
          <w:tab/>
        </w:r>
      </w:hyperlink>
      <w:r w:rsidRPr="006C54EB" w:rsidR="00AD2D81">
        <w:rPr>
          <w:rFonts w:ascii="Times New Roman" w:hAnsi="Times New Roman" w:cs="Times New Roman"/>
        </w:rPr>
        <w:t>Keepers</w:t>
      </w:r>
      <w:r w:rsidRPr="006C54EB" w:rsidR="00B76551">
        <w:rPr>
          <w:rFonts w:ascii="Times New Roman" w:hAnsi="Times New Roman" w:cs="Times New Roman"/>
          <w:webHidden/>
        </w:rPr>
        <w:tab/>
      </w:r>
      <w:r w:rsidR="00B57744">
        <w:rPr>
          <w:rFonts w:ascii="Times New Roman" w:hAnsi="Times New Roman" w:cs="Times New Roman"/>
        </w:rPr>
        <w:t>1</w:t>
      </w:r>
      <w:r w:rsidR="00A260AB">
        <w:rPr>
          <w:rFonts w:ascii="Times New Roman" w:hAnsi="Times New Roman" w:cs="Times New Roman"/>
        </w:rPr>
        <w:t>2</w:t>
      </w:r>
    </w:p>
    <w:p w:rsidRPr="006C54EB" w:rsidR="0025112E" w:rsidP="00E0163C" w:rsidRDefault="00C4040A" w14:paraId="23ED9044" w14:textId="352060E2">
      <w:pPr>
        <w:pStyle w:val="TOC2"/>
        <w:spacing w:after="0"/>
        <w:rPr>
          <w:rFonts w:ascii="Times New Roman" w:hAnsi="Times New Roman" w:cs="Times New Roman" w:eastAsiaTheme="minorEastAsia"/>
        </w:rPr>
      </w:pPr>
      <w:hyperlink w:history="1" w:anchor="_Toc15926297">
        <w:r w:rsidRPr="006C54EB" w:rsidR="0025112E">
          <w:rPr>
            <w:rStyle w:val="Hyperlink"/>
            <w:rFonts w:ascii="Times New Roman" w:hAnsi="Times New Roman" w:cs="Times New Roman"/>
            <w:color w:val="auto"/>
            <w:u w:val="none"/>
          </w:rPr>
          <w:t>A.14.</w:t>
        </w:r>
        <w:r w:rsidRPr="006C54EB" w:rsidR="0025112E">
          <w:rPr>
            <w:rFonts w:ascii="Times New Roman" w:hAnsi="Times New Roman" w:cs="Times New Roman" w:eastAsiaTheme="minorEastAsia"/>
          </w:rPr>
          <w:tab/>
        </w:r>
        <w:r w:rsidRPr="006C54EB" w:rsidR="0025112E">
          <w:rPr>
            <w:rStyle w:val="Hyperlink"/>
            <w:rFonts w:ascii="Times New Roman" w:hAnsi="Times New Roman" w:cs="Times New Roman"/>
            <w:color w:val="auto"/>
            <w:u w:val="none"/>
          </w:rPr>
          <w:t>Annualized Costs to the</w:t>
        </w:r>
        <w:r w:rsidRPr="006C54EB" w:rsidR="002146FA">
          <w:rPr>
            <w:rStyle w:val="Hyperlink"/>
            <w:rFonts w:ascii="Times New Roman" w:hAnsi="Times New Roman" w:cs="Times New Roman"/>
            <w:color w:val="auto"/>
            <w:u w:val="none"/>
          </w:rPr>
          <w:t xml:space="preserve"> Federal</w:t>
        </w:r>
        <w:r w:rsidRPr="006C54EB" w:rsidR="00FB357D">
          <w:rPr>
            <w:rStyle w:val="Hyperlink"/>
            <w:rFonts w:ascii="Times New Roman" w:hAnsi="Times New Roman" w:cs="Times New Roman"/>
            <w:color w:val="auto"/>
            <w:u w:val="none"/>
          </w:rPr>
          <w:t xml:space="preserve"> </w:t>
        </w:r>
        <w:r w:rsidRPr="006C54EB" w:rsidR="0025112E">
          <w:rPr>
            <w:rStyle w:val="Hyperlink"/>
            <w:rFonts w:ascii="Times New Roman" w:hAnsi="Times New Roman" w:cs="Times New Roman"/>
            <w:color w:val="auto"/>
            <w:u w:val="none"/>
          </w:rPr>
          <w:t>Government</w:t>
        </w:r>
        <w:r w:rsidRPr="006C54EB" w:rsidR="0025112E">
          <w:rPr>
            <w:rFonts w:ascii="Times New Roman" w:hAnsi="Times New Roman" w:cs="Times New Roman"/>
            <w:webHidden/>
          </w:rPr>
          <w:tab/>
        </w:r>
      </w:hyperlink>
      <w:r w:rsidR="00B57744">
        <w:rPr>
          <w:rFonts w:ascii="Times New Roman" w:hAnsi="Times New Roman" w:cs="Times New Roman"/>
        </w:rPr>
        <w:t>1</w:t>
      </w:r>
      <w:r w:rsidR="00A260AB">
        <w:rPr>
          <w:rFonts w:ascii="Times New Roman" w:hAnsi="Times New Roman" w:cs="Times New Roman"/>
        </w:rPr>
        <w:t>2</w:t>
      </w:r>
    </w:p>
    <w:p w:rsidRPr="006C54EB" w:rsidR="0025112E" w:rsidP="00E0163C" w:rsidRDefault="00C4040A" w14:paraId="6BC443B0" w14:textId="1EC54799">
      <w:pPr>
        <w:pStyle w:val="TOC2"/>
        <w:spacing w:after="0"/>
        <w:rPr>
          <w:rFonts w:ascii="Times New Roman" w:hAnsi="Times New Roman" w:cs="Times New Roman" w:eastAsiaTheme="minorEastAsia"/>
        </w:rPr>
      </w:pPr>
      <w:hyperlink w:history="1" w:anchor="_Toc15926298">
        <w:r w:rsidRPr="006C54EB" w:rsidR="0025112E">
          <w:rPr>
            <w:rStyle w:val="Hyperlink"/>
            <w:rFonts w:ascii="Times New Roman" w:hAnsi="Times New Roman" w:cs="Times New Roman"/>
            <w:color w:val="auto"/>
            <w:u w:val="none"/>
          </w:rPr>
          <w:t>A.15.</w:t>
        </w:r>
        <w:r w:rsidRPr="006C54EB" w:rsidR="0025112E">
          <w:rPr>
            <w:rFonts w:ascii="Times New Roman" w:hAnsi="Times New Roman" w:cs="Times New Roman" w:eastAsiaTheme="minorEastAsia"/>
          </w:rPr>
          <w:tab/>
        </w:r>
        <w:r w:rsidRPr="006C54EB" w:rsidR="0025112E">
          <w:rPr>
            <w:rStyle w:val="Hyperlink"/>
            <w:rFonts w:ascii="Times New Roman" w:hAnsi="Times New Roman" w:cs="Times New Roman"/>
            <w:color w:val="auto"/>
            <w:u w:val="none"/>
          </w:rPr>
          <w:t>Explanation for Program Changes or Adjustments</w:t>
        </w:r>
        <w:r w:rsidRPr="006C54EB" w:rsidR="0025112E">
          <w:rPr>
            <w:rFonts w:ascii="Times New Roman" w:hAnsi="Times New Roman" w:cs="Times New Roman"/>
            <w:webHidden/>
          </w:rPr>
          <w:tab/>
        </w:r>
      </w:hyperlink>
      <w:r w:rsidR="00B57744">
        <w:rPr>
          <w:rFonts w:ascii="Times New Roman" w:hAnsi="Times New Roman" w:cs="Times New Roman"/>
        </w:rPr>
        <w:t>1</w:t>
      </w:r>
      <w:r w:rsidR="00320C18">
        <w:rPr>
          <w:rFonts w:ascii="Times New Roman" w:hAnsi="Times New Roman" w:cs="Times New Roman"/>
        </w:rPr>
        <w:t>2</w:t>
      </w:r>
    </w:p>
    <w:p w:rsidRPr="001120EA" w:rsidR="0025112E" w:rsidP="00E0163C" w:rsidRDefault="00C4040A" w14:paraId="63659F9C" w14:textId="0A9D7173">
      <w:pPr>
        <w:pStyle w:val="TOC2"/>
        <w:spacing w:after="0"/>
        <w:rPr>
          <w:rFonts w:ascii="Times New Roman" w:hAnsi="Times New Roman" w:cs="Times New Roman"/>
        </w:rPr>
      </w:pPr>
      <w:hyperlink w:history="1" w:anchor="_Toc15926299">
        <w:r w:rsidRPr="006C54EB" w:rsidR="0025112E">
          <w:rPr>
            <w:rStyle w:val="Hyperlink"/>
            <w:rFonts w:ascii="Times New Roman" w:hAnsi="Times New Roman" w:cs="Times New Roman"/>
            <w:color w:val="auto"/>
            <w:u w:val="none"/>
          </w:rPr>
          <w:t>A.16.</w:t>
        </w:r>
        <w:r w:rsidRPr="006C54EB" w:rsidR="0025112E">
          <w:rPr>
            <w:rFonts w:ascii="Times New Roman" w:hAnsi="Times New Roman" w:cs="Times New Roman" w:eastAsiaTheme="minorEastAsia"/>
          </w:rPr>
          <w:tab/>
        </w:r>
        <w:r w:rsidRPr="006C54EB" w:rsidR="0025112E">
          <w:rPr>
            <w:rStyle w:val="Hyperlink"/>
            <w:rFonts w:ascii="Times New Roman" w:hAnsi="Times New Roman" w:cs="Times New Roman"/>
            <w:color w:val="auto"/>
            <w:u w:val="none"/>
          </w:rPr>
          <w:t>Plans for tabulation and Publication and Project Time Schedule</w:t>
        </w:r>
        <w:r w:rsidRPr="006C54EB" w:rsidR="0025112E">
          <w:rPr>
            <w:rFonts w:ascii="Times New Roman" w:hAnsi="Times New Roman" w:cs="Times New Roman"/>
            <w:webHidden/>
          </w:rPr>
          <w:tab/>
        </w:r>
      </w:hyperlink>
      <w:r w:rsidR="00B57744">
        <w:rPr>
          <w:rFonts w:ascii="Times New Roman" w:hAnsi="Times New Roman" w:cs="Times New Roman"/>
        </w:rPr>
        <w:t>1</w:t>
      </w:r>
      <w:r w:rsidR="00320C18">
        <w:rPr>
          <w:rFonts w:ascii="Times New Roman" w:hAnsi="Times New Roman" w:cs="Times New Roman"/>
        </w:rPr>
        <w:t>2</w:t>
      </w:r>
    </w:p>
    <w:p w:rsidRPr="001120EA" w:rsidR="003D12FF" w:rsidP="00E0163C" w:rsidRDefault="00C4040A" w14:paraId="6724F45C" w14:textId="477B1B49">
      <w:pPr>
        <w:pStyle w:val="TOC2"/>
        <w:spacing w:after="0"/>
        <w:rPr>
          <w:rFonts w:ascii="Times New Roman" w:hAnsi="Times New Roman" w:cs="Times New Roman" w:eastAsiaTheme="minorEastAsia"/>
        </w:rPr>
      </w:pPr>
      <w:hyperlink w:history="1" w:anchor="_Toc15926301">
        <w:r w:rsidRPr="001120EA" w:rsidR="003D12FF">
          <w:rPr>
            <w:rStyle w:val="Hyperlink"/>
            <w:rFonts w:ascii="Times New Roman" w:hAnsi="Times New Roman" w:cs="Times New Roman"/>
            <w:color w:val="auto"/>
            <w:u w:val="none"/>
          </w:rPr>
          <w:t>A.17.</w:t>
        </w:r>
        <w:r w:rsidRPr="001120EA" w:rsidR="003D12FF">
          <w:rPr>
            <w:rFonts w:ascii="Times New Roman" w:hAnsi="Times New Roman" w:cs="Times New Roman" w:eastAsiaTheme="minorEastAsia"/>
          </w:rPr>
          <w:tab/>
        </w:r>
        <w:r w:rsidRPr="001120EA" w:rsidR="003D12FF">
          <w:rPr>
            <w:rFonts w:ascii="Times New Roman" w:hAnsi="Times New Roman" w:cs="Times New Roman"/>
            <w:bCs/>
          </w:rPr>
          <w:t>Reason(s)</w:t>
        </w:r>
        <w:r w:rsidRPr="001120EA" w:rsidR="003D12FF">
          <w:rPr>
            <w:rFonts w:ascii="Times New Roman" w:hAnsi="Times New Roman" w:cs="Times New Roman"/>
            <w:b/>
          </w:rPr>
          <w:t xml:space="preserve"> </w:t>
        </w:r>
        <w:r w:rsidRPr="001120EA" w:rsidR="003D12FF">
          <w:rPr>
            <w:rFonts w:ascii="Times New Roman" w:hAnsi="Times New Roman" w:cs="Times New Roman"/>
            <w:bCs/>
          </w:rPr>
          <w:t>Display of OMB</w:t>
        </w:r>
        <w:r w:rsidRPr="001120EA" w:rsidR="003D12FF">
          <w:rPr>
            <w:rStyle w:val="Hyperlink"/>
            <w:rFonts w:ascii="Times New Roman" w:hAnsi="Times New Roman" w:cs="Times New Roman"/>
            <w:color w:val="auto"/>
            <w:u w:val="none"/>
          </w:rPr>
          <w:t xml:space="preserve"> Expiration Date is Inappropriate</w:t>
        </w:r>
      </w:hyperlink>
      <w:r w:rsidRPr="001120EA" w:rsidR="003D12FF">
        <w:rPr>
          <w:rFonts w:ascii="Times New Roman" w:hAnsi="Times New Roman" w:cs="Times New Roman"/>
          <w:webHidden/>
        </w:rPr>
        <w:tab/>
      </w:r>
      <w:r w:rsidR="00A260AB">
        <w:rPr>
          <w:rFonts w:ascii="Times New Roman" w:hAnsi="Times New Roman" w:cs="Times New Roman"/>
        </w:rPr>
        <w:t>1</w:t>
      </w:r>
      <w:r w:rsidR="00320C18">
        <w:rPr>
          <w:rFonts w:ascii="Times New Roman" w:hAnsi="Times New Roman" w:cs="Times New Roman"/>
        </w:rPr>
        <w:t>5</w:t>
      </w:r>
    </w:p>
    <w:p w:rsidRPr="001120EA" w:rsidR="005B3444" w:rsidP="00E0163C" w:rsidRDefault="00C4040A" w14:paraId="66958700" w14:textId="190EC579">
      <w:pPr>
        <w:pStyle w:val="TOC2"/>
        <w:spacing w:after="0"/>
        <w:rPr>
          <w:rFonts w:ascii="Times New Roman" w:hAnsi="Times New Roman" w:cs="Times New Roman" w:eastAsiaTheme="minorEastAsia"/>
        </w:rPr>
      </w:pPr>
      <w:hyperlink w:history="1" w:anchor="_Toc15926301">
        <w:r w:rsidRPr="001120EA" w:rsidR="005B3444">
          <w:rPr>
            <w:rStyle w:val="Hyperlink"/>
            <w:rFonts w:ascii="Times New Roman" w:hAnsi="Times New Roman" w:cs="Times New Roman"/>
            <w:color w:val="auto"/>
            <w:u w:val="none"/>
          </w:rPr>
          <w:t>A.18.</w:t>
        </w:r>
        <w:r w:rsidRPr="001120EA" w:rsidR="005B3444">
          <w:rPr>
            <w:rFonts w:ascii="Times New Roman" w:hAnsi="Times New Roman" w:cs="Times New Roman" w:eastAsiaTheme="minorEastAsia"/>
          </w:rPr>
          <w:tab/>
        </w:r>
        <w:r w:rsidRPr="001120EA" w:rsidR="005B3444">
          <w:rPr>
            <w:rStyle w:val="Hyperlink"/>
            <w:rFonts w:ascii="Times New Roman" w:hAnsi="Times New Roman" w:cs="Times New Roman"/>
            <w:color w:val="auto"/>
            <w:u w:val="none"/>
          </w:rPr>
          <w:t>Exceptions to Certification for Paperwork Reduction Act Submissions</w:t>
        </w:r>
        <w:r w:rsidRPr="001120EA" w:rsidR="005B3444">
          <w:rPr>
            <w:rFonts w:ascii="Times New Roman" w:hAnsi="Times New Roman" w:cs="Times New Roman"/>
            <w:webHidden/>
          </w:rPr>
          <w:tab/>
        </w:r>
      </w:hyperlink>
      <w:r w:rsidR="00A260AB">
        <w:rPr>
          <w:rFonts w:ascii="Times New Roman" w:hAnsi="Times New Roman" w:cs="Times New Roman"/>
        </w:rPr>
        <w:t>1</w:t>
      </w:r>
      <w:r w:rsidR="00644B74">
        <w:rPr>
          <w:rFonts w:ascii="Times New Roman" w:hAnsi="Times New Roman" w:cs="Times New Roman"/>
        </w:rPr>
        <w:t>5</w:t>
      </w:r>
    </w:p>
    <w:p w:rsidRPr="001120EA" w:rsidR="002849D2" w:rsidRDefault="002849D2" w14:paraId="7FE42E23" w14:textId="6FCAEE8C">
      <w:pPr>
        <w:rPr>
          <w:b/>
        </w:rPr>
      </w:pPr>
    </w:p>
    <w:p w:rsidRPr="001120EA" w:rsidR="002849D2" w:rsidRDefault="002849D2" w14:paraId="572E582F" w14:textId="27F9EF7F">
      <w:pPr>
        <w:rPr>
          <w:b/>
        </w:rPr>
      </w:pPr>
    </w:p>
    <w:p w:rsidRPr="001120EA" w:rsidR="002849D2" w:rsidRDefault="002849D2" w14:paraId="3A65AE9C" w14:textId="69E8577C">
      <w:pPr>
        <w:rPr>
          <w:b/>
        </w:rPr>
      </w:pPr>
    </w:p>
    <w:p w:rsidRPr="001120EA" w:rsidR="002849D2" w:rsidRDefault="002849D2" w14:paraId="11710E76" w14:textId="39447340">
      <w:pPr>
        <w:rPr>
          <w:b/>
        </w:rPr>
      </w:pPr>
    </w:p>
    <w:p w:rsidRPr="001120EA" w:rsidR="003D12FF" w:rsidP="00E0163C" w:rsidRDefault="003D12FF" w14:paraId="0BE5FF98" w14:textId="6A325445">
      <w:pPr>
        <w:pStyle w:val="TOC2"/>
        <w:spacing w:after="0"/>
        <w:rPr>
          <w:rFonts w:ascii="Times New Roman" w:hAnsi="Times New Roman" w:cs="Times New Roman" w:eastAsiaTheme="minorEastAsia"/>
        </w:rPr>
      </w:pPr>
      <w:r w:rsidRPr="001120EA">
        <w:rPr>
          <w:rFonts w:ascii="Times New Roman" w:hAnsi="Times New Roman" w:cs="Times New Roman"/>
          <w:b/>
        </w:rPr>
        <w:t xml:space="preserve"> </w:t>
      </w:r>
    </w:p>
    <w:p w:rsidRPr="001120EA" w:rsidR="002849D2" w:rsidRDefault="002849D2" w14:paraId="12062270" w14:textId="118B1934">
      <w:pPr>
        <w:rPr>
          <w:b/>
        </w:rPr>
      </w:pPr>
    </w:p>
    <w:p w:rsidRPr="001120EA" w:rsidR="002849D2" w:rsidRDefault="002849D2" w14:paraId="62CB0787" w14:textId="21ECC174">
      <w:pPr>
        <w:rPr>
          <w:b/>
        </w:rPr>
      </w:pPr>
    </w:p>
    <w:p w:rsidRPr="001120EA" w:rsidR="002849D2" w:rsidRDefault="002849D2" w14:paraId="12C638D7" w14:textId="597F3E56">
      <w:pPr>
        <w:rPr>
          <w:b/>
        </w:rPr>
      </w:pPr>
    </w:p>
    <w:p w:rsidRPr="001120EA" w:rsidR="002849D2" w:rsidRDefault="002849D2" w14:paraId="018745DC" w14:textId="3D8FA984">
      <w:pPr>
        <w:rPr>
          <w:b/>
        </w:rPr>
      </w:pPr>
    </w:p>
    <w:p w:rsidRPr="001120EA" w:rsidR="002849D2" w:rsidRDefault="002849D2" w14:paraId="4B670751" w14:textId="4A9095FA">
      <w:pPr>
        <w:rPr>
          <w:b/>
        </w:rPr>
      </w:pPr>
    </w:p>
    <w:p w:rsidRPr="001120EA" w:rsidR="002849D2" w:rsidRDefault="002849D2" w14:paraId="27D672B6" w14:textId="68FB7041">
      <w:pPr>
        <w:rPr>
          <w:b/>
        </w:rPr>
      </w:pPr>
    </w:p>
    <w:p w:rsidRPr="001120EA" w:rsidR="002849D2" w:rsidRDefault="002849D2" w14:paraId="110E5A0A" w14:textId="6EA0DEBD">
      <w:pPr>
        <w:rPr>
          <w:b/>
        </w:rPr>
      </w:pPr>
    </w:p>
    <w:p w:rsidRPr="001120EA" w:rsidR="002849D2" w:rsidRDefault="002849D2" w14:paraId="2C8DDFD7" w14:textId="59D0F33A">
      <w:pPr>
        <w:rPr>
          <w:b/>
        </w:rPr>
      </w:pPr>
    </w:p>
    <w:p w:rsidRPr="001120EA" w:rsidR="002849D2" w:rsidRDefault="002849D2" w14:paraId="400FD3C8" w14:textId="3A3C8615">
      <w:pPr>
        <w:rPr>
          <w:b/>
        </w:rPr>
      </w:pPr>
    </w:p>
    <w:p w:rsidRPr="001120EA" w:rsidR="002849D2" w:rsidRDefault="002849D2" w14:paraId="3EF0B915" w14:textId="33F93239">
      <w:pPr>
        <w:rPr>
          <w:b/>
        </w:rPr>
      </w:pPr>
    </w:p>
    <w:p w:rsidRPr="001120EA" w:rsidR="002849D2" w:rsidRDefault="002849D2" w14:paraId="7A087524" w14:textId="3182EE60">
      <w:pPr>
        <w:rPr>
          <w:b/>
        </w:rPr>
      </w:pPr>
    </w:p>
    <w:p w:rsidRPr="001120EA" w:rsidR="002849D2" w:rsidRDefault="002849D2" w14:paraId="11743ACD" w14:textId="33007389">
      <w:pPr>
        <w:rPr>
          <w:b/>
        </w:rPr>
      </w:pPr>
    </w:p>
    <w:p w:rsidR="002849D2" w:rsidP="0014499B" w:rsidRDefault="002849D2" w14:paraId="335D16ED" w14:textId="75F9093B">
      <w:pPr>
        <w:rPr>
          <w:b/>
        </w:rPr>
      </w:pPr>
    </w:p>
    <w:p w:rsidR="001627E9" w:rsidP="0014499B" w:rsidRDefault="001627E9" w14:paraId="6DE40CD3" w14:textId="60CCE62C">
      <w:pPr>
        <w:rPr>
          <w:b/>
        </w:rPr>
      </w:pPr>
    </w:p>
    <w:p w:rsidR="001627E9" w:rsidP="0014499B" w:rsidRDefault="001627E9" w14:paraId="2FA71900" w14:textId="3876E7DF">
      <w:pPr>
        <w:rPr>
          <w:b/>
        </w:rPr>
      </w:pPr>
    </w:p>
    <w:p w:rsidR="001627E9" w:rsidP="0014499B" w:rsidRDefault="001627E9" w14:paraId="44AA2BCE" w14:textId="4F5F56DA">
      <w:pPr>
        <w:rPr>
          <w:b/>
        </w:rPr>
      </w:pPr>
    </w:p>
    <w:p w:rsidR="001627E9" w:rsidP="0014499B" w:rsidRDefault="001627E9" w14:paraId="1793BAF2" w14:textId="19778FE9">
      <w:pPr>
        <w:rPr>
          <w:b/>
        </w:rPr>
      </w:pPr>
    </w:p>
    <w:p w:rsidR="001627E9" w:rsidP="0014499B" w:rsidRDefault="001627E9" w14:paraId="1AD8A7C0" w14:textId="04A83CE2">
      <w:pPr>
        <w:rPr>
          <w:b/>
        </w:rPr>
      </w:pPr>
    </w:p>
    <w:p w:rsidRPr="001120EA" w:rsidR="00CB7F3B" w:rsidRDefault="00B8150A" w14:paraId="29FBC750" w14:textId="7EE7A2BE">
      <w:pPr>
        <w:rPr>
          <w:b/>
        </w:rPr>
      </w:pPr>
      <w:r w:rsidRPr="001120EA">
        <w:rPr>
          <w:b/>
        </w:rPr>
        <w:lastRenderedPageBreak/>
        <w:t xml:space="preserve">Attachments </w:t>
      </w:r>
    </w:p>
    <w:p w:rsidRPr="001120EA" w:rsidR="00CB7F3B" w:rsidRDefault="00CB7F3B" w14:paraId="6FB3E4B7" w14:textId="68A11128">
      <w:pPr>
        <w:rPr>
          <w:b/>
        </w:rPr>
      </w:pPr>
    </w:p>
    <w:p w:rsidRPr="001120EA" w:rsidR="000644BC" w:rsidP="000736F1" w:rsidRDefault="000644BC" w14:paraId="061C1A34" w14:textId="42868CF1">
      <w:r w:rsidRPr="001120EA">
        <w:t xml:space="preserve">Attachment </w:t>
      </w:r>
      <w:r w:rsidRPr="001120EA" w:rsidR="00420558">
        <w:t>1</w:t>
      </w:r>
      <w:r w:rsidR="005A693C">
        <w:t xml:space="preserve"> </w:t>
      </w:r>
      <w:r w:rsidR="000569A2">
        <w:t>–</w:t>
      </w:r>
      <w:r w:rsidRPr="001120EA">
        <w:t xml:space="preserve"> </w:t>
      </w:r>
      <w:r w:rsidRPr="001120EA" w:rsidR="00B03EA6">
        <w:t xml:space="preserve">Authorizing Legislation </w:t>
      </w:r>
      <w:r w:rsidRPr="001120EA" w:rsidR="00420558">
        <w:t xml:space="preserve"> </w:t>
      </w:r>
    </w:p>
    <w:p w:rsidRPr="001120EA" w:rsidR="000C7D6D" w:rsidP="000736F1" w:rsidRDefault="000C7D6D" w14:paraId="0450BCBF" w14:textId="46F3E4F7">
      <w:r w:rsidRPr="001120EA">
        <w:t>Attachment 2</w:t>
      </w:r>
      <w:r w:rsidR="005A693C">
        <w:t xml:space="preserve"> </w:t>
      </w:r>
      <w:r w:rsidR="000569A2">
        <w:t>–</w:t>
      </w:r>
      <w:r w:rsidRPr="001120EA">
        <w:t xml:space="preserve"> </w:t>
      </w:r>
      <w:r w:rsidRPr="001120EA">
        <w:rPr>
          <w:iCs/>
        </w:rPr>
        <w:t>60-day Federal Register Notice</w:t>
      </w:r>
    </w:p>
    <w:p w:rsidRPr="001120EA" w:rsidR="001E4EA5" w:rsidP="000736F1" w:rsidRDefault="00234CE1" w14:paraId="48383287" w14:textId="41F755B2">
      <w:pPr>
        <w:rPr>
          <w:color w:val="FF0000"/>
        </w:rPr>
      </w:pPr>
      <w:r w:rsidRPr="001120EA">
        <w:t xml:space="preserve">Attachment </w:t>
      </w:r>
      <w:r w:rsidRPr="001120EA" w:rsidR="00420558">
        <w:t>3</w:t>
      </w:r>
      <w:r w:rsidR="005A693C">
        <w:t xml:space="preserve"> </w:t>
      </w:r>
      <w:r w:rsidR="000569A2">
        <w:t>–</w:t>
      </w:r>
      <w:r w:rsidRPr="001120EA">
        <w:t xml:space="preserve"> </w:t>
      </w:r>
      <w:r w:rsidRPr="001120EA" w:rsidR="003A41BF">
        <w:t>Screenshots of questionnaire in Qualtrics</w:t>
      </w:r>
      <w:r w:rsidRPr="001120EA" w:rsidR="003A41BF">
        <w:rPr>
          <w:vertAlign w:val="superscript"/>
        </w:rPr>
        <w:t>XM</w:t>
      </w:r>
      <w:r w:rsidRPr="001120EA" w:rsidR="003A41BF">
        <w:t xml:space="preserve"> </w:t>
      </w:r>
    </w:p>
    <w:p w:rsidRPr="001120EA" w:rsidR="006254C0" w:rsidP="000736F1" w:rsidRDefault="001E4EA5" w14:paraId="06DCE440" w14:textId="1C0574BB">
      <w:r w:rsidRPr="001120EA">
        <w:t>Attachment 4</w:t>
      </w:r>
      <w:r w:rsidR="00C063E1">
        <w:t xml:space="preserve"> </w:t>
      </w:r>
      <w:r w:rsidR="000569A2">
        <w:t>–</w:t>
      </w:r>
      <w:r w:rsidR="00C063E1">
        <w:t xml:space="preserve"> </w:t>
      </w:r>
      <w:r w:rsidRPr="001120EA" w:rsidR="003A41BF">
        <w:t xml:space="preserve">PDF of questionnaire </w:t>
      </w:r>
    </w:p>
    <w:p w:rsidRPr="001120EA" w:rsidR="00234CE1" w:rsidP="000736F1" w:rsidRDefault="00AE3514" w14:paraId="5BF630F5" w14:textId="16F95A71">
      <w:pPr>
        <w:rPr>
          <w:color w:val="FF0000"/>
        </w:rPr>
      </w:pPr>
      <w:r w:rsidRPr="001120EA">
        <w:t xml:space="preserve">Attachment </w:t>
      </w:r>
      <w:r w:rsidRPr="001120EA" w:rsidR="001E4EA5">
        <w:t>5</w:t>
      </w:r>
      <w:r w:rsidR="005A693C">
        <w:t xml:space="preserve"> </w:t>
      </w:r>
      <w:r w:rsidR="00C063E1">
        <w:t>–</w:t>
      </w:r>
      <w:r w:rsidRPr="001120EA" w:rsidR="00234CE1">
        <w:t xml:space="preserve"> </w:t>
      </w:r>
      <w:r w:rsidRPr="001120EA" w:rsidR="00E42A29">
        <w:t>Implementation</w:t>
      </w:r>
      <w:r w:rsidRPr="001120EA" w:rsidR="00234CE1">
        <w:t xml:space="preserve"> email</w:t>
      </w:r>
      <w:r w:rsidRPr="001120EA" w:rsidR="00E97E12">
        <w:t xml:space="preserve"> </w:t>
      </w:r>
      <w:r w:rsidR="0078439E">
        <w:t>and project information sheet</w:t>
      </w:r>
    </w:p>
    <w:p w:rsidRPr="001120EA" w:rsidR="0021363E" w:rsidP="000736F1" w:rsidRDefault="0021363E" w14:paraId="3DB11B00" w14:textId="2224D0FA">
      <w:r w:rsidRPr="001120EA">
        <w:t xml:space="preserve">Attachment </w:t>
      </w:r>
      <w:r w:rsidR="008B71BE">
        <w:t>6</w:t>
      </w:r>
      <w:r w:rsidR="005A693C">
        <w:t xml:space="preserve"> </w:t>
      </w:r>
      <w:r w:rsidR="00C063E1">
        <w:t>–</w:t>
      </w:r>
      <w:r w:rsidRPr="001120EA" w:rsidR="00622D4A">
        <w:t xml:space="preserve"> Characteristics </w:t>
      </w:r>
      <w:r w:rsidRPr="001120EA">
        <w:t xml:space="preserve">of pilot sites </w:t>
      </w:r>
    </w:p>
    <w:p w:rsidRPr="001120EA" w:rsidR="009166F9" w:rsidP="000736F1" w:rsidRDefault="009166F9" w14:paraId="5A435436" w14:textId="1C2FB9D5">
      <w:r w:rsidRPr="001120EA">
        <w:t xml:space="preserve">Attachment </w:t>
      </w:r>
      <w:r w:rsidR="008B71BE">
        <w:t>7</w:t>
      </w:r>
      <w:r w:rsidR="005A693C">
        <w:t xml:space="preserve"> </w:t>
      </w:r>
      <w:r w:rsidR="00C063E1">
        <w:t>–</w:t>
      </w:r>
      <w:r w:rsidRPr="001120EA" w:rsidR="00F16A3B">
        <w:t xml:space="preserve"> </w:t>
      </w:r>
      <w:r w:rsidRPr="001120EA" w:rsidR="00754816">
        <w:t xml:space="preserve">Recruitment communications </w:t>
      </w:r>
    </w:p>
    <w:p w:rsidR="00CB7F3B" w:rsidP="000736F1" w:rsidRDefault="00F531B7" w14:paraId="1BDA9B89" w14:textId="029B93EB">
      <w:r w:rsidRPr="001120EA">
        <w:t>Attachment</w:t>
      </w:r>
      <w:r w:rsidRPr="001120EA" w:rsidR="00400250">
        <w:t xml:space="preserve"> </w:t>
      </w:r>
      <w:r w:rsidR="008B71BE">
        <w:t>8</w:t>
      </w:r>
      <w:r w:rsidR="005A693C">
        <w:t xml:space="preserve"> </w:t>
      </w:r>
      <w:r w:rsidR="00C063E1">
        <w:t>–</w:t>
      </w:r>
      <w:r w:rsidRPr="001120EA" w:rsidR="00400250">
        <w:t xml:space="preserve"> </w:t>
      </w:r>
      <w:r w:rsidR="00E67B1D">
        <w:t>Non-research determination</w:t>
      </w:r>
    </w:p>
    <w:p w:rsidR="005A693C" w:rsidP="000736F1" w:rsidRDefault="005A693C" w14:paraId="3946AD0D" w14:textId="2C46CBC9">
      <w:r>
        <w:t xml:space="preserve">Attachment 9 </w:t>
      </w:r>
      <w:r w:rsidR="00C063E1">
        <w:t>–</w:t>
      </w:r>
      <w:r>
        <w:t xml:space="preserve"> Privacy Act </w:t>
      </w:r>
      <w:r w:rsidR="000569A2">
        <w:t>c</w:t>
      </w:r>
      <w:r>
        <w:t>hecklist</w:t>
      </w:r>
    </w:p>
    <w:p w:rsidRPr="001120EA" w:rsidR="005A693C" w:rsidP="000736F1" w:rsidRDefault="005A693C" w14:paraId="7CE7DBE3" w14:textId="53F7C828">
      <w:r>
        <w:t xml:space="preserve">Attachment 10 </w:t>
      </w:r>
      <w:r w:rsidR="00C063E1">
        <w:t>–</w:t>
      </w:r>
      <w:r>
        <w:t xml:space="preserve"> Determination of </w:t>
      </w:r>
      <w:r w:rsidR="000569A2">
        <w:t>n</w:t>
      </w:r>
      <w:r>
        <w:t>on-applicability of Privacy Act</w:t>
      </w:r>
    </w:p>
    <w:p w:rsidRPr="001120EA" w:rsidR="00D9674A" w:rsidP="000736F1" w:rsidRDefault="00D9674A" w14:paraId="4B0178B2" w14:textId="192F8E77">
      <w:pPr>
        <w:rPr>
          <w:color w:val="0070C0"/>
        </w:rPr>
      </w:pPr>
    </w:p>
    <w:p w:rsidR="00AF3B99" w:rsidRDefault="00AF3B99" w14:paraId="2B1C83AF" w14:textId="77777777">
      <w:pPr>
        <w:rPr>
          <w:b/>
        </w:rPr>
      </w:pPr>
    </w:p>
    <w:p w:rsidRPr="001120EA" w:rsidR="00873BFC" w:rsidRDefault="00873BFC" w14:paraId="163B00C3" w14:textId="60A81438">
      <w:pPr>
        <w:rPr>
          <w:b/>
        </w:rPr>
      </w:pPr>
      <w:r w:rsidRPr="001120EA">
        <w:rPr>
          <w:b/>
        </w:rPr>
        <w:t xml:space="preserve">Supporting Statement Part A. Justification </w:t>
      </w:r>
    </w:p>
    <w:p w:rsidRPr="001120EA" w:rsidR="00873BFC" w:rsidRDefault="00873BFC" w14:paraId="163B00C4" w14:textId="77777777">
      <w:pPr>
        <w:rPr>
          <w:b/>
        </w:rPr>
      </w:pPr>
    </w:p>
    <w:p w:rsidRPr="001120EA" w:rsidR="003E680F" w:rsidP="00E0163C" w:rsidRDefault="003E680F" w14:paraId="163B00C6" w14:textId="77777777">
      <w:pPr>
        <w:pStyle w:val="ListBullet"/>
        <w:numPr>
          <w:ilvl w:val="0"/>
          <w:numId w:val="0"/>
        </w:numPr>
        <w:rPr>
          <w:b/>
          <w:sz w:val="24"/>
          <w:szCs w:val="24"/>
        </w:rPr>
      </w:pPr>
      <w:r w:rsidRPr="001120EA">
        <w:rPr>
          <w:b/>
          <w:sz w:val="24"/>
          <w:szCs w:val="24"/>
        </w:rPr>
        <w:t>A. Justification</w:t>
      </w:r>
    </w:p>
    <w:p w:rsidR="00AF3B99" w:rsidP="00E0163C" w:rsidRDefault="00AF3B99" w14:paraId="2238EEB0" w14:textId="77777777">
      <w:pPr>
        <w:pStyle w:val="ListBullet"/>
        <w:numPr>
          <w:ilvl w:val="0"/>
          <w:numId w:val="0"/>
        </w:numPr>
        <w:rPr>
          <w:b/>
          <w:i/>
          <w:sz w:val="24"/>
          <w:szCs w:val="24"/>
          <w:u w:val="single"/>
        </w:rPr>
      </w:pPr>
    </w:p>
    <w:p w:rsidR="00873BFC" w:rsidP="00E0163C" w:rsidRDefault="006C7214" w14:paraId="163B00C8" w14:textId="48102CF0">
      <w:pPr>
        <w:pStyle w:val="ListBullet"/>
        <w:numPr>
          <w:ilvl w:val="0"/>
          <w:numId w:val="0"/>
        </w:numPr>
        <w:rPr>
          <w:b/>
          <w:i/>
          <w:sz w:val="24"/>
          <w:szCs w:val="24"/>
          <w:u w:val="single"/>
        </w:rPr>
      </w:pPr>
      <w:r>
        <w:rPr>
          <w:b/>
          <w:i/>
          <w:sz w:val="24"/>
          <w:szCs w:val="24"/>
          <w:u w:val="single"/>
        </w:rPr>
        <w:t xml:space="preserve">Section </w:t>
      </w:r>
      <w:r w:rsidRPr="001120EA" w:rsidR="00873BFC">
        <w:rPr>
          <w:b/>
          <w:i/>
          <w:sz w:val="24"/>
          <w:szCs w:val="24"/>
          <w:u w:val="single"/>
        </w:rPr>
        <w:t xml:space="preserve">A.1. Circumstances </w:t>
      </w:r>
      <w:r w:rsidRPr="001120EA" w:rsidR="003E680F">
        <w:rPr>
          <w:b/>
          <w:i/>
          <w:sz w:val="24"/>
          <w:szCs w:val="24"/>
          <w:u w:val="single"/>
        </w:rPr>
        <w:t>Making the Collection of Information Necessary</w:t>
      </w:r>
    </w:p>
    <w:p w:rsidRPr="001120EA" w:rsidR="00FA5874" w:rsidP="00E0163C" w:rsidRDefault="00FA5874" w14:paraId="2F98D0E3" w14:textId="77777777">
      <w:pPr>
        <w:pStyle w:val="ListBullet"/>
        <w:numPr>
          <w:ilvl w:val="0"/>
          <w:numId w:val="0"/>
        </w:numPr>
        <w:rPr>
          <w:b/>
          <w:i/>
          <w:sz w:val="24"/>
          <w:szCs w:val="24"/>
          <w:u w:val="single"/>
        </w:rPr>
      </w:pPr>
    </w:p>
    <w:p w:rsidRPr="001120EA" w:rsidR="00FC2E12" w:rsidP="00E0163C" w:rsidRDefault="00873BFC" w14:paraId="7B21E89F" w14:textId="0C564731">
      <w:pPr>
        <w:pStyle w:val="ListBullet"/>
        <w:numPr>
          <w:ilvl w:val="0"/>
          <w:numId w:val="0"/>
        </w:numPr>
        <w:rPr>
          <w:color w:val="FF0000"/>
          <w:sz w:val="24"/>
          <w:szCs w:val="24"/>
        </w:rPr>
      </w:pPr>
      <w:r w:rsidRPr="001120EA">
        <w:rPr>
          <w:sz w:val="24"/>
          <w:szCs w:val="24"/>
        </w:rPr>
        <w:t>This Information Collection Request is submitted under the classification</w:t>
      </w:r>
      <w:r w:rsidRPr="001120EA" w:rsidR="006D3FF1">
        <w:rPr>
          <w:sz w:val="24"/>
          <w:szCs w:val="24"/>
        </w:rPr>
        <w:t xml:space="preserve"> </w:t>
      </w:r>
      <w:r w:rsidRPr="001120EA" w:rsidR="00BE39BF">
        <w:rPr>
          <w:sz w:val="24"/>
          <w:szCs w:val="24"/>
        </w:rPr>
        <w:t>“New</w:t>
      </w:r>
      <w:r w:rsidRPr="001120EA" w:rsidR="00B8150A">
        <w:rPr>
          <w:sz w:val="24"/>
          <w:szCs w:val="24"/>
        </w:rPr>
        <w:t>”</w:t>
      </w:r>
      <w:r w:rsidRPr="001120EA" w:rsidR="00CB7F3B">
        <w:rPr>
          <w:sz w:val="24"/>
          <w:szCs w:val="24"/>
        </w:rPr>
        <w:t>.</w:t>
      </w:r>
      <w:r w:rsidRPr="001120EA">
        <w:rPr>
          <w:color w:val="0070C0"/>
          <w:sz w:val="24"/>
          <w:szCs w:val="24"/>
        </w:rPr>
        <w:t xml:space="preserve">  </w:t>
      </w:r>
      <w:r w:rsidRPr="001120EA">
        <w:rPr>
          <w:sz w:val="24"/>
          <w:szCs w:val="24"/>
        </w:rPr>
        <w:t>The length of data collection requested for OMB-PRA approval is</w:t>
      </w:r>
      <w:r w:rsidRPr="001120EA" w:rsidR="00E10CCF">
        <w:rPr>
          <w:sz w:val="24"/>
          <w:szCs w:val="24"/>
        </w:rPr>
        <w:t xml:space="preserve"> </w:t>
      </w:r>
      <w:r w:rsidR="00E573CA">
        <w:rPr>
          <w:sz w:val="24"/>
          <w:szCs w:val="24"/>
        </w:rPr>
        <w:t>one</w:t>
      </w:r>
      <w:r w:rsidRPr="001120EA" w:rsidR="003248E3">
        <w:rPr>
          <w:sz w:val="24"/>
          <w:szCs w:val="24"/>
        </w:rPr>
        <w:t xml:space="preserve"> year</w:t>
      </w:r>
      <w:r w:rsidRPr="001120EA">
        <w:rPr>
          <w:sz w:val="24"/>
          <w:szCs w:val="24"/>
        </w:rPr>
        <w:t>.</w:t>
      </w:r>
      <w:r w:rsidRPr="001120EA" w:rsidR="003E680F">
        <w:rPr>
          <w:sz w:val="24"/>
          <w:szCs w:val="24"/>
        </w:rPr>
        <w:t xml:space="preserve"> </w:t>
      </w:r>
      <w:r w:rsidRPr="001120EA" w:rsidR="00FC2E12">
        <w:rPr>
          <w:sz w:val="24"/>
          <w:szCs w:val="24"/>
        </w:rPr>
        <w:t>The Centers for Disease Control and Prevention (CDC) is making this request as authorized by Section 301 of the Public Health Service Act (42 U.S.C. 241) as the authorizing law</w:t>
      </w:r>
      <w:r w:rsidRPr="001120EA" w:rsidR="00CB1AA6">
        <w:rPr>
          <w:sz w:val="24"/>
          <w:szCs w:val="24"/>
        </w:rPr>
        <w:t xml:space="preserve"> (</w:t>
      </w:r>
      <w:r w:rsidRPr="001120EA" w:rsidR="00CB1AA6">
        <w:rPr>
          <w:b/>
          <w:bCs/>
          <w:sz w:val="24"/>
          <w:szCs w:val="24"/>
        </w:rPr>
        <w:t>Attachment</w:t>
      </w:r>
      <w:r w:rsidRPr="001120EA" w:rsidR="00234CE1">
        <w:rPr>
          <w:b/>
          <w:bCs/>
          <w:sz w:val="24"/>
          <w:szCs w:val="24"/>
        </w:rPr>
        <w:t xml:space="preserve"> </w:t>
      </w:r>
      <w:r w:rsidRPr="001120EA" w:rsidR="00D226B9">
        <w:rPr>
          <w:b/>
          <w:bCs/>
          <w:sz w:val="24"/>
          <w:szCs w:val="24"/>
        </w:rPr>
        <w:t>1</w:t>
      </w:r>
      <w:r w:rsidRPr="001120EA" w:rsidR="00CB1AA6">
        <w:rPr>
          <w:sz w:val="24"/>
          <w:szCs w:val="24"/>
        </w:rPr>
        <w:t>).</w:t>
      </w:r>
    </w:p>
    <w:p w:rsidRPr="001120EA" w:rsidR="00873BFC" w:rsidP="00E0163C" w:rsidRDefault="00873BFC" w14:paraId="163B00CF" w14:textId="4C576666">
      <w:pPr>
        <w:pStyle w:val="ListBullet"/>
        <w:numPr>
          <w:ilvl w:val="0"/>
          <w:numId w:val="0"/>
        </w:numPr>
        <w:rPr>
          <w:bCs/>
          <w:sz w:val="24"/>
          <w:szCs w:val="24"/>
        </w:rPr>
      </w:pPr>
    </w:p>
    <w:p w:rsidR="00B9719C" w:rsidP="00E0163C" w:rsidRDefault="00552E06" w14:paraId="24101726" w14:textId="1969E6CC">
      <w:r w:rsidRPr="001120EA">
        <w:rPr>
          <w:b/>
          <w:bCs/>
        </w:rPr>
        <w:t xml:space="preserve">Background: </w:t>
      </w:r>
      <w:r w:rsidRPr="001120EA">
        <w:t>Venous thromboembolism</w:t>
      </w:r>
      <w:r w:rsidR="00B9719C">
        <w:t xml:space="preserve"> (VTE)</w:t>
      </w:r>
      <w:r w:rsidRPr="001120EA">
        <w:t>, which includes deep vein thrombosis (DVT) and pulmonary embolism (PE), is an important and growing public health problem. Each year in the U.S., it is estimated that VTE affects as many as 900,000 people, is responsible for up to 100,000 deaths, and is associated with healthcare costs of approximately $10 billion (CDC, 2019a).</w:t>
      </w:r>
      <w:r w:rsidRPr="001120EA">
        <w:rPr>
          <w:vertAlign w:val="superscript"/>
        </w:rPr>
        <w:t xml:space="preserve"> </w:t>
      </w:r>
      <w:r w:rsidRPr="001120EA">
        <w:t xml:space="preserve"> Recurrence after a VTE is common and complications include post-thrombotic syndrome and chronic thromboembolic pulmonary hypertension (CDC, 2019b). </w:t>
      </w:r>
    </w:p>
    <w:p w:rsidR="00B9719C" w:rsidP="00E0163C" w:rsidRDefault="00B9719C" w14:paraId="0AFBE6CF" w14:textId="77777777"/>
    <w:p w:rsidRPr="00B57744" w:rsidR="00552E06" w:rsidP="00E0163C" w:rsidRDefault="000530CC" w14:paraId="34DB269F" w14:textId="61B39202">
      <w:bookmarkStart w:name="_Hlk49178909" w:id="0"/>
      <w:r w:rsidRPr="00B57744">
        <w:t xml:space="preserve">Over half of VTE events are associated with recent hospitalization or surgery and most occur after discharge (CDC, 2019a).  An analysis of the National Hospital Discharge Survey from 2007 to 2009 estimated that almost 550,000 U.S. adult hospitalizations had a discharge diagnosis of VTE each year (CDC, 2019a).  </w:t>
      </w:r>
      <w:bookmarkEnd w:id="0"/>
      <w:r w:rsidRPr="00B57744" w:rsidR="00B9719C">
        <w:t>Hospital</w:t>
      </w:r>
      <w:r w:rsidRPr="00B57744" w:rsidR="00552E06">
        <w:t xml:space="preserve">-associated </w:t>
      </w:r>
      <w:r w:rsidRPr="00B57744" w:rsidR="006E1632">
        <w:t>VTE</w:t>
      </w:r>
      <w:r w:rsidRPr="00B57744" w:rsidR="00552E06">
        <w:t xml:space="preserve"> (HA-VTE) is often preventable but VTE prevention strategies are not applied uniformly or systematically across U.S. hospitals and healthcare systems </w:t>
      </w:r>
      <w:r w:rsidRPr="00B57744" w:rsidR="00552E06">
        <w:rPr>
          <w:color w:val="000000"/>
          <w:shd w:val="clear" w:color="auto" w:fill="FFFFFF"/>
        </w:rPr>
        <w:t>(</w:t>
      </w:r>
      <w:r w:rsidRPr="00B57744" w:rsidR="00552E06">
        <w:t xml:space="preserve">Kahn et al., 2013). </w:t>
      </w:r>
    </w:p>
    <w:p w:rsidRPr="00B57744" w:rsidR="007A348A" w:rsidP="00E0163C" w:rsidRDefault="007A348A" w14:paraId="4B64D183" w14:textId="77777777">
      <w:bookmarkStart w:name="_Hlk49179463" w:id="1"/>
    </w:p>
    <w:p w:rsidR="003D18E5" w:rsidP="00E0163C" w:rsidRDefault="00A11707" w14:paraId="62034A3A" w14:textId="1A2653AD">
      <w:r w:rsidRPr="00B57744">
        <w:t xml:space="preserve">The Agency for Healthcare Research and Quality (AHRQ) published a guide for preventing HA-VTE </w:t>
      </w:r>
      <w:r w:rsidRPr="00B57744" w:rsidR="003076F6">
        <w:t xml:space="preserve">in </w:t>
      </w:r>
      <w:r w:rsidRPr="00B57744">
        <w:t>2016</w:t>
      </w:r>
      <w:r w:rsidRPr="00B57744" w:rsidR="006B39D5">
        <w:t xml:space="preserve"> (Maynard, 2016)</w:t>
      </w:r>
      <w:r w:rsidRPr="00B57744" w:rsidR="003076F6">
        <w:t>.</w:t>
      </w:r>
      <w:r w:rsidRPr="00B57744">
        <w:t xml:space="preserve"> </w:t>
      </w:r>
      <w:bookmarkEnd w:id="1"/>
      <w:r w:rsidRPr="00B57744" w:rsidR="00552E06">
        <w:t>The framework for improving VTE prevention</w:t>
      </w:r>
      <w:r w:rsidRPr="00B57744">
        <w:t xml:space="preserve"> in hospitalized</w:t>
      </w:r>
      <w:r>
        <w:t xml:space="preserve"> patients</w:t>
      </w:r>
      <w:r w:rsidRPr="001120EA" w:rsidR="00552E06">
        <w:t xml:space="preserve"> includes</w:t>
      </w:r>
      <w:r w:rsidR="008D5182">
        <w:t xml:space="preserve"> a hospital VTE prevention policy,</w:t>
      </w:r>
      <w:r w:rsidR="00002BCF">
        <w:t xml:space="preserve"> </w:t>
      </w:r>
      <w:r w:rsidR="00AA0C81">
        <w:t xml:space="preserve">an </w:t>
      </w:r>
      <w:r w:rsidR="00605510">
        <w:t>interdisciplinary VTE team</w:t>
      </w:r>
      <w:r w:rsidR="008D5182">
        <w:t xml:space="preserve">, </w:t>
      </w:r>
      <w:r w:rsidR="00BE2472">
        <w:t>standardiz</w:t>
      </w:r>
      <w:r w:rsidR="008D5182">
        <w:t>ation of</w:t>
      </w:r>
      <w:r w:rsidR="00BE2472">
        <w:t xml:space="preserve"> </w:t>
      </w:r>
      <w:r w:rsidR="00E94DBD">
        <w:t xml:space="preserve">VTE prevention </w:t>
      </w:r>
      <w:r w:rsidR="00BE2472">
        <w:t>processes</w:t>
      </w:r>
      <w:r w:rsidR="008D5182">
        <w:t xml:space="preserve">, </w:t>
      </w:r>
      <w:r w:rsidR="00E94DBD">
        <w:t>monitor</w:t>
      </w:r>
      <w:r w:rsidR="008D5182">
        <w:t>ing of</w:t>
      </w:r>
      <w:r w:rsidR="00E94DBD">
        <w:t xml:space="preserve"> </w:t>
      </w:r>
      <w:r w:rsidR="00BE2472">
        <w:t>processes and outcomes</w:t>
      </w:r>
      <w:r w:rsidR="00605510">
        <w:t xml:space="preserve">, </w:t>
      </w:r>
      <w:r w:rsidR="00BE2472">
        <w:t>and</w:t>
      </w:r>
      <w:r w:rsidR="00E94DBD">
        <w:t xml:space="preserve"> </w:t>
      </w:r>
      <w:r w:rsidR="008D5182">
        <w:t xml:space="preserve">VTE prevention education </w:t>
      </w:r>
      <w:r w:rsidR="00880039">
        <w:t xml:space="preserve">for </w:t>
      </w:r>
      <w:r w:rsidR="00AA0C81">
        <w:t>providers and patients</w:t>
      </w:r>
      <w:r w:rsidR="00BE2472">
        <w:t xml:space="preserve">.  </w:t>
      </w:r>
      <w:r w:rsidR="00477921">
        <w:t>A VTE prevention</w:t>
      </w:r>
      <w:r w:rsidRPr="001120EA" w:rsidR="00552E06">
        <w:t xml:space="preserve"> protocol </w:t>
      </w:r>
      <w:r w:rsidR="00477921">
        <w:t xml:space="preserve">includes </w:t>
      </w:r>
      <w:r w:rsidRPr="001120EA" w:rsidR="00552E06">
        <w:t>VTE</w:t>
      </w:r>
      <w:r w:rsidR="00323544">
        <w:t xml:space="preserve"> risk assessment,</w:t>
      </w:r>
      <w:r w:rsidRPr="001120EA" w:rsidR="00552E06">
        <w:t xml:space="preserve"> bleeding risk assessment</w:t>
      </w:r>
      <w:r w:rsidR="00CA199A">
        <w:t xml:space="preserve"> (risk of bleeding with anticoagulant prophylaxis)</w:t>
      </w:r>
      <w:r w:rsidRPr="001120EA" w:rsidR="00552E06">
        <w:t xml:space="preserve"> </w:t>
      </w:r>
      <w:r w:rsidR="00CA199A">
        <w:t xml:space="preserve">and </w:t>
      </w:r>
      <w:r w:rsidR="00CA199A">
        <w:lastRenderedPageBreak/>
        <w:t xml:space="preserve">clinical decision support </w:t>
      </w:r>
      <w:r w:rsidR="003B3856">
        <w:t>for</w:t>
      </w:r>
      <w:r w:rsidR="00CA199A">
        <w:t xml:space="preserve"> appropriate prophylaxis</w:t>
      </w:r>
      <w:r w:rsidR="00323544">
        <w:t xml:space="preserve"> (i.e., ambulation, anticoagulant prophylaxis, and/or mechanical prophylaxis)</w:t>
      </w:r>
      <w:r w:rsidR="00CA199A">
        <w:t xml:space="preserve"> based on both VTE and bleeding risk</w:t>
      </w:r>
      <w:r w:rsidR="002D6AC7">
        <w:t xml:space="preserve"> assessments</w:t>
      </w:r>
      <w:r w:rsidRPr="001120EA" w:rsidR="00552E06">
        <w:t xml:space="preserve">.  </w:t>
      </w:r>
    </w:p>
    <w:p w:rsidR="003D18E5" w:rsidP="00E0163C" w:rsidRDefault="003D18E5" w14:paraId="3F1A3CC5" w14:textId="77777777"/>
    <w:p w:rsidR="00323544" w:rsidP="00E0163C" w:rsidRDefault="00323544" w14:paraId="0EEAB5C6" w14:textId="1ED6204D">
      <w:r w:rsidRPr="007B43DC">
        <w:t>Despite evidence-based guidelines for VTE prophylaxis in at-risk hospitalized patients, there is systemic underuse of appropriate VTE prophylaxis (ISTH, 2016). As many as 70% of HA-VTE events are potentially preventable but less than half of hospitalized patients receive appropriate VTE prophylaxis (CDC, 2019a).  An implementation gap exists between evidence-based guidelines for VTE prophylaxis in hospitalized adult patients and implementation of those guidelines in real</w:t>
      </w:r>
      <w:r w:rsidR="00F06C8C">
        <w:t>-</w:t>
      </w:r>
      <w:r w:rsidRPr="007B43DC">
        <w:t>world hospital settings (</w:t>
      </w:r>
      <w:r w:rsidR="00174CCC">
        <w:t>Maynard, 2016;</w:t>
      </w:r>
      <w:r w:rsidRPr="007B43DC">
        <w:t xml:space="preserve"> ISTH</w:t>
      </w:r>
      <w:r w:rsidR="00174CCC">
        <w:t>, 2016</w:t>
      </w:r>
      <w:r w:rsidRPr="007B43DC">
        <w:t xml:space="preserve">).  </w:t>
      </w:r>
      <w:r w:rsidR="00270C33">
        <w:t xml:space="preserve">The </w:t>
      </w:r>
      <w:r w:rsidR="00B02D30">
        <w:t xml:space="preserve">2008 </w:t>
      </w:r>
      <w:r w:rsidR="00270C33">
        <w:t xml:space="preserve">Surgeon General’s </w:t>
      </w:r>
      <w:r w:rsidR="00B02D30">
        <w:t>C</w:t>
      </w:r>
      <w:r w:rsidR="00270C33">
        <w:t xml:space="preserve">all to </w:t>
      </w:r>
      <w:r w:rsidR="00B02D30">
        <w:t>A</w:t>
      </w:r>
      <w:r w:rsidR="00270C33">
        <w:t xml:space="preserve">ction to </w:t>
      </w:r>
      <w:r w:rsidR="00B02D30">
        <w:t>Prevent DVT and PE included instituting formal systems related to risk assessment and the provision of prophylaxis to high-risk hospitalized patients (</w:t>
      </w:r>
      <w:r w:rsidR="00475F2F">
        <w:t>OSG</w:t>
      </w:r>
      <w:r w:rsidR="00B02D30">
        <w:t xml:space="preserve">, 2008). </w:t>
      </w:r>
      <w:r w:rsidR="00270C33">
        <w:t xml:space="preserve"> </w:t>
      </w:r>
      <w:r w:rsidRPr="007B43DC">
        <w:t>For World Thrombosis Day in 2016, the International Society on Thrombosis and Haemostasis (ISTH) issued a call to clinical leaders, hospitals, and payers to work together to make VTE risk assessment for all hospitalized patients a priority.</w:t>
      </w:r>
      <w:r w:rsidR="00536A36">
        <w:t xml:space="preserve">  </w:t>
      </w:r>
    </w:p>
    <w:p w:rsidR="00C666F6" w:rsidP="00E0163C" w:rsidRDefault="00C666F6" w14:paraId="01C6F077" w14:textId="4803A84C"/>
    <w:p w:rsidR="00C666F6" w:rsidP="00E0163C" w:rsidRDefault="00C666F6" w14:paraId="4F5C45C0" w14:textId="3664B8EB">
      <w:r>
        <w:t>In England, The National Venous Thromboembolism Prevention Programme was launched in 2010 with the goal of reducing preventable HA-VTE morbidity and mortality</w:t>
      </w:r>
      <w:r w:rsidR="00784274">
        <w:t xml:space="preserve"> (Roberts, 2017)</w:t>
      </w:r>
      <w:r>
        <w:t xml:space="preserve">.  </w:t>
      </w:r>
      <w:r w:rsidR="004D2358">
        <w:t>VTE risk assessment</w:t>
      </w:r>
      <w:r w:rsidR="00F06C8C">
        <w:t xml:space="preserve"> was mandated</w:t>
      </w:r>
      <w:r w:rsidR="004D2358">
        <w:t xml:space="preserve"> for all adult patients on admission to an acute hospital utilizing a previously developed national VTE risk assessment tool/model.  Hospitals were required to report VTE risk assessment rates</w:t>
      </w:r>
      <w:r w:rsidR="002442FE">
        <w:t>, with</w:t>
      </w:r>
      <w:r w:rsidR="00DF0DD6">
        <w:t xml:space="preserve"> a</w:t>
      </w:r>
      <w:r w:rsidR="004D2358">
        <w:t xml:space="preserve"> </w:t>
      </w:r>
      <w:r w:rsidR="00DF0DD6">
        <w:t>financial incentive applied</w:t>
      </w:r>
      <w:r w:rsidR="002442FE">
        <w:t xml:space="preserve"> to achieve a target of 90%</w:t>
      </w:r>
      <w:r w:rsidR="00DF0DD6">
        <w:t>.</w:t>
      </w:r>
      <w:r w:rsidR="004D2358">
        <w:t xml:space="preserve"> </w:t>
      </w:r>
      <w:r w:rsidR="009955BA">
        <w:t xml:space="preserve"> This resulted in an impressive, sustained increase </w:t>
      </w:r>
      <w:r w:rsidR="002D646E">
        <w:t>i</w:t>
      </w:r>
      <w:r w:rsidR="009955BA">
        <w:t>n VTE risk assessment rates with</w:t>
      </w:r>
      <w:r w:rsidR="002D646E">
        <w:t xml:space="preserve"> a </w:t>
      </w:r>
      <w:r w:rsidR="009955BA">
        <w:t>corresponding increase in anticoagulant prophylaxis.  There was evidence of significant reductions in HA-VTE and associated mortality following implementation of this program.</w:t>
      </w:r>
    </w:p>
    <w:p w:rsidR="00762647" w:rsidP="00E0163C" w:rsidRDefault="00762647" w14:paraId="18253959" w14:textId="77777777"/>
    <w:p w:rsidRPr="001A5ED3" w:rsidR="008928C0" w:rsidP="00E0163C" w:rsidRDefault="00AA562D" w14:paraId="18024965" w14:textId="2D16CF58">
      <w:r>
        <w:t xml:space="preserve">Unlike </w:t>
      </w:r>
      <w:r w:rsidR="00F06C8C">
        <w:t>England</w:t>
      </w:r>
      <w:r w:rsidR="00C85C50">
        <w:t>,</w:t>
      </w:r>
      <w:r>
        <w:t xml:space="preserve"> the U.S. has no</w:t>
      </w:r>
      <w:r w:rsidR="00140D85">
        <w:t xml:space="preserve"> national VTE prevention program with hospital risk assessment rates tied to financial incentives and no national VTE risk assessment tool/model</w:t>
      </w:r>
      <w:r>
        <w:t xml:space="preserve">. </w:t>
      </w:r>
      <w:r w:rsidR="00464983">
        <w:t xml:space="preserve"> Various </w:t>
      </w:r>
      <w:r w:rsidR="00762647">
        <w:t xml:space="preserve">VTE risk assessment models (RAMs) have been </w:t>
      </w:r>
      <w:r w:rsidR="00464983">
        <w:t>developed</w:t>
      </w:r>
      <w:r w:rsidR="00ED030F">
        <w:t xml:space="preserve"> and </w:t>
      </w:r>
      <w:r w:rsidR="00464983">
        <w:t>published</w:t>
      </w:r>
      <w:r w:rsidR="00762647">
        <w:t xml:space="preserve"> to identify hospitalized patients whose risk for VTE is high enough to offset the risk of bleeding with anticoagulant prophylaxis</w:t>
      </w:r>
      <w:r w:rsidR="00ED030F">
        <w:t>.</w:t>
      </w:r>
      <w:r w:rsidR="00762647">
        <w:t xml:space="preserve"> </w:t>
      </w:r>
      <w:r w:rsidR="00ED030F">
        <w:t xml:space="preserve">However, </w:t>
      </w:r>
      <w:r w:rsidRPr="001120EA" w:rsidR="00552E06">
        <w:t xml:space="preserve">there is no standardized </w:t>
      </w:r>
      <w:r w:rsidR="00762647">
        <w:t>RAM</w:t>
      </w:r>
      <w:r w:rsidRPr="001120EA" w:rsidR="00552E06">
        <w:t xml:space="preserve"> currently in use across U.S. hospitals and healthcare systems.  Implementation of risk assessment varies in terms of the patient population</w:t>
      </w:r>
      <w:r w:rsidR="00F152AE">
        <w:t xml:space="preserve"> (e.g., medical vs. surgical)</w:t>
      </w:r>
      <w:r w:rsidRPr="001120EA" w:rsidR="00552E06">
        <w:t>, time frames</w:t>
      </w:r>
      <w:r w:rsidR="006E3C97">
        <w:t xml:space="preserve"> (e.g</w:t>
      </w:r>
      <w:r w:rsidR="00E20E9B">
        <w:t>.,</w:t>
      </w:r>
      <w:r w:rsidR="006E3C97">
        <w:t xml:space="preserve"> on admission, on transfer to another unit)</w:t>
      </w:r>
      <w:r w:rsidRPr="001120EA" w:rsidR="00552E06">
        <w:t>, method of administration</w:t>
      </w:r>
      <w:r w:rsidR="006E3C97">
        <w:t xml:space="preserve"> (i.e., electronic vs. paper)</w:t>
      </w:r>
      <w:r w:rsidRPr="001120EA" w:rsidR="00552E06">
        <w:t>, person/s performing the risk assessment</w:t>
      </w:r>
      <w:r w:rsidR="006E3C97">
        <w:t xml:space="preserve"> (e.g., physician, nurse, pharmacist)</w:t>
      </w:r>
      <w:r w:rsidRPr="001120EA" w:rsidR="00552E06">
        <w:t xml:space="preserve">, </w:t>
      </w:r>
      <w:r w:rsidR="003B3856">
        <w:t>type of RAM (e.g., quantitative vs. qualitative),</w:t>
      </w:r>
      <w:r w:rsidR="00E20E9B">
        <w:t xml:space="preserve"> and</w:t>
      </w:r>
      <w:r w:rsidR="003B3856">
        <w:t xml:space="preserve"> </w:t>
      </w:r>
      <w:r w:rsidRPr="001120EA" w:rsidR="00552E06">
        <w:t xml:space="preserve">linkage to a clinical decision support tool for </w:t>
      </w:r>
      <w:r w:rsidR="003B3856">
        <w:t xml:space="preserve">appropriate </w:t>
      </w:r>
      <w:r w:rsidRPr="001120EA" w:rsidR="00552E06">
        <w:t xml:space="preserve">VTE prophylaxis.  </w:t>
      </w:r>
      <w:bookmarkStart w:name="_Hlk39076075" w:id="2"/>
    </w:p>
    <w:p w:rsidRPr="00B57744" w:rsidR="00F92FD3" w:rsidP="00E0163C" w:rsidRDefault="00F92FD3" w14:paraId="7E7A5A27" w14:textId="76606636">
      <w:pPr>
        <w:rPr>
          <w:color w:val="00B050"/>
        </w:rPr>
      </w:pPr>
    </w:p>
    <w:p w:rsidRPr="00B57744" w:rsidR="00690C80" w:rsidP="00E0163C" w:rsidRDefault="00ED030F" w14:paraId="50DA5C11" w14:textId="06DDC5A0">
      <w:pPr>
        <w:rPr>
          <w:rFonts w:eastAsia="Calibri"/>
        </w:rPr>
      </w:pPr>
      <w:r w:rsidRPr="00B57744">
        <w:t xml:space="preserve">An evaluation of the extent to which U.S. hospitals utilize VTE risk assessment is needed to better understand the landscape around VTE prevention practices in real-world hospital settings in order to guide efforts and inform interventions to reduce the burden of HA-VTE.  </w:t>
      </w:r>
      <w:r w:rsidRPr="00B57744" w:rsidR="008860BF">
        <w:rPr>
          <w:rFonts w:eastAsia="Calibri"/>
        </w:rPr>
        <w:t xml:space="preserve">CDC </w:t>
      </w:r>
      <w:r w:rsidRPr="00B57744" w:rsidR="00033BBA">
        <w:rPr>
          <w:rFonts w:eastAsia="Calibri"/>
        </w:rPr>
        <w:t>is funding</w:t>
      </w:r>
      <w:r w:rsidRPr="00B57744" w:rsidR="008860BF">
        <w:rPr>
          <w:rFonts w:eastAsia="Calibri"/>
        </w:rPr>
        <w:t xml:space="preserve"> </w:t>
      </w:r>
      <w:r w:rsidRPr="00B57744" w:rsidR="006D7F9B">
        <w:rPr>
          <w:rFonts w:eastAsia="Calibri"/>
        </w:rPr>
        <w:t>T</w:t>
      </w:r>
      <w:r w:rsidRPr="00B57744" w:rsidR="0028067C">
        <w:rPr>
          <w:rFonts w:eastAsia="Calibri"/>
        </w:rPr>
        <w:t>he Joint Commission</w:t>
      </w:r>
      <w:r w:rsidRPr="00B57744" w:rsidR="008860BF">
        <w:rPr>
          <w:rFonts w:eastAsia="Calibri"/>
        </w:rPr>
        <w:t xml:space="preserve"> to evaluate VTE prevention practices in</w:t>
      </w:r>
      <w:r w:rsidRPr="00B57744" w:rsidR="00B02C2E">
        <w:rPr>
          <w:rFonts w:eastAsia="Calibri"/>
        </w:rPr>
        <w:t xml:space="preserve"> </w:t>
      </w:r>
      <w:r w:rsidRPr="00B57744" w:rsidR="008860BF">
        <w:rPr>
          <w:rFonts w:eastAsia="Calibri"/>
        </w:rPr>
        <w:t xml:space="preserve">U.S. hospitals.  </w:t>
      </w:r>
      <w:r w:rsidRPr="00B57744" w:rsidR="009C6203">
        <w:rPr>
          <w:rFonts w:eastAsia="Calibri"/>
        </w:rPr>
        <w:t>T</w:t>
      </w:r>
      <w:r w:rsidRPr="00B57744" w:rsidR="00DE1E12">
        <w:rPr>
          <w:rFonts w:eastAsia="Calibri"/>
        </w:rPr>
        <w:t>he Joint Commission</w:t>
      </w:r>
      <w:r w:rsidRPr="00B57744" w:rsidR="00033BBA">
        <w:rPr>
          <w:rFonts w:eastAsia="Calibri"/>
        </w:rPr>
        <w:t xml:space="preserve"> has had a role in patient safety through standards and performance measurement.  </w:t>
      </w:r>
      <w:r w:rsidRPr="00B57744" w:rsidR="00DE1E12">
        <w:rPr>
          <w:rFonts w:eastAsia="Calibri"/>
        </w:rPr>
        <w:t>It</w:t>
      </w:r>
      <w:r w:rsidRPr="00B57744" w:rsidR="00033BBA">
        <w:rPr>
          <w:rFonts w:eastAsia="Calibri"/>
        </w:rPr>
        <w:t xml:space="preserve"> is the measure steward for two electronic clinical quality measures</w:t>
      </w:r>
      <w:r w:rsidRPr="00B57744" w:rsidR="00ED1BEA">
        <w:rPr>
          <w:rFonts w:eastAsia="Calibri"/>
        </w:rPr>
        <w:t xml:space="preserve"> (eCQMs)</w:t>
      </w:r>
      <w:r w:rsidRPr="00B57744" w:rsidR="00033BBA">
        <w:rPr>
          <w:rFonts w:eastAsia="Calibri"/>
        </w:rPr>
        <w:t xml:space="preserve"> on VTE prevention available for Center for Medicare and Medicaid Services Inpatient Quality Reporting and Joint Commission hospital accreditation since 2016</w:t>
      </w:r>
      <w:r w:rsidRPr="00B57744" w:rsidR="00B82012">
        <w:rPr>
          <w:rFonts w:eastAsia="Calibri"/>
        </w:rPr>
        <w:t xml:space="preserve">.  </w:t>
      </w:r>
      <w:r w:rsidRPr="00B57744" w:rsidR="00ED1BEA">
        <w:rPr>
          <w:rFonts w:eastAsia="Calibri"/>
        </w:rPr>
        <w:t xml:space="preserve">However, these two VTE prevention eCQMs only address the initiation of VTE prophylaxis </w:t>
      </w:r>
      <w:r w:rsidRPr="00B57744" w:rsidR="007D046F">
        <w:rPr>
          <w:rFonts w:eastAsia="Calibri"/>
        </w:rPr>
        <w:t>with</w:t>
      </w:r>
      <w:r w:rsidRPr="00B57744" w:rsidR="00ED1BEA">
        <w:rPr>
          <w:rFonts w:eastAsia="Calibri"/>
        </w:rPr>
        <w:t>in a specifie</w:t>
      </w:r>
      <w:r w:rsidRPr="00B57744" w:rsidR="007D046F">
        <w:rPr>
          <w:rFonts w:eastAsia="Calibri"/>
        </w:rPr>
        <w:t>d</w:t>
      </w:r>
      <w:r w:rsidRPr="00B57744" w:rsidR="00ED1BEA">
        <w:rPr>
          <w:rFonts w:eastAsia="Calibri"/>
        </w:rPr>
        <w:t xml:space="preserve"> timeframe</w:t>
      </w:r>
      <w:r w:rsidRPr="00B57744" w:rsidR="007D046F">
        <w:rPr>
          <w:rFonts w:eastAsia="Calibri"/>
        </w:rPr>
        <w:t xml:space="preserve">; they do not assess the patient’s </w:t>
      </w:r>
      <w:r w:rsidRPr="00B57744" w:rsidR="00FB0BC1">
        <w:rPr>
          <w:rFonts w:eastAsia="Calibri"/>
        </w:rPr>
        <w:t xml:space="preserve">level of </w:t>
      </w:r>
      <w:r w:rsidRPr="00B57744" w:rsidR="007D046F">
        <w:rPr>
          <w:rFonts w:eastAsia="Calibri"/>
        </w:rPr>
        <w:t>VTE risk or the appropriateness of prophylaxis.</w:t>
      </w:r>
      <w:r w:rsidRPr="00B57744" w:rsidR="00ED1BEA">
        <w:rPr>
          <w:rFonts w:eastAsia="Calibri"/>
        </w:rPr>
        <w:t xml:space="preserve"> </w:t>
      </w:r>
    </w:p>
    <w:p w:rsidR="0028067C" w:rsidP="00E0163C" w:rsidRDefault="00B82012" w14:paraId="3B0292D1" w14:textId="6DEFCCF1">
      <w:pPr>
        <w:rPr>
          <w:rFonts w:eastAsia="Calibri"/>
        </w:rPr>
      </w:pPr>
      <w:r>
        <w:rPr>
          <w:rFonts w:eastAsia="Calibri"/>
        </w:rPr>
        <w:lastRenderedPageBreak/>
        <w:t xml:space="preserve">For this project, </w:t>
      </w:r>
      <w:r w:rsidR="009D5768">
        <w:rPr>
          <w:rFonts w:eastAsia="Calibri"/>
        </w:rPr>
        <w:t>T</w:t>
      </w:r>
      <w:r w:rsidR="00DE1E12">
        <w:rPr>
          <w:rFonts w:eastAsia="Calibri"/>
        </w:rPr>
        <w:t>he Joint Commission</w:t>
      </w:r>
      <w:r w:rsidR="0028067C">
        <w:rPr>
          <w:rFonts w:eastAsia="Calibri"/>
        </w:rPr>
        <w:t>, in collaboration with CDC, develop</w:t>
      </w:r>
      <w:r w:rsidR="0047328E">
        <w:rPr>
          <w:rFonts w:eastAsia="Calibri"/>
        </w:rPr>
        <w:t>ed a survey on hospital VTE prevention practices</w:t>
      </w:r>
      <w:r w:rsidR="003F7F34">
        <w:rPr>
          <w:rFonts w:eastAsia="Calibri"/>
        </w:rPr>
        <w:t xml:space="preserve">. </w:t>
      </w:r>
      <w:r w:rsidR="008860BF">
        <w:rPr>
          <w:rFonts w:eastAsia="Calibri"/>
        </w:rPr>
        <w:t xml:space="preserve"> </w:t>
      </w:r>
      <w:r w:rsidR="003F7F34">
        <w:rPr>
          <w:rFonts w:eastAsia="Calibri"/>
        </w:rPr>
        <w:t>T</w:t>
      </w:r>
      <w:r w:rsidR="008860BF">
        <w:rPr>
          <w:rFonts w:eastAsia="Calibri"/>
        </w:rPr>
        <w:t>he survey</w:t>
      </w:r>
      <w:r w:rsidR="00F8029E">
        <w:rPr>
          <w:rFonts w:eastAsia="Calibri"/>
        </w:rPr>
        <w:t xml:space="preserve"> questionnaire</w:t>
      </w:r>
      <w:r w:rsidR="008860BF">
        <w:rPr>
          <w:rFonts w:eastAsia="Calibri"/>
        </w:rPr>
        <w:t xml:space="preserve"> was </w:t>
      </w:r>
      <w:r w:rsidR="0047328E">
        <w:rPr>
          <w:rFonts w:eastAsia="Calibri"/>
        </w:rPr>
        <w:t>piloted in 9 hospitals</w:t>
      </w:r>
      <w:r w:rsidR="003F7F34">
        <w:rPr>
          <w:rFonts w:eastAsia="Calibri"/>
        </w:rPr>
        <w:t xml:space="preserve"> and th</w:t>
      </w:r>
      <w:r w:rsidR="005B6DD3">
        <w:rPr>
          <w:rFonts w:eastAsia="Calibri"/>
        </w:rPr>
        <w:t xml:space="preserve">eir </w:t>
      </w:r>
      <w:r w:rsidR="003F7F34">
        <w:rPr>
          <w:rFonts w:eastAsia="Calibri"/>
        </w:rPr>
        <w:t>feedback was used to improve</w:t>
      </w:r>
      <w:r w:rsidR="005B6DD3">
        <w:rPr>
          <w:rFonts w:eastAsia="Calibri"/>
        </w:rPr>
        <w:t xml:space="preserve"> the</w:t>
      </w:r>
      <w:r w:rsidR="003F7F34">
        <w:rPr>
          <w:rFonts w:eastAsia="Calibri"/>
        </w:rPr>
        <w:t xml:space="preserve"> </w:t>
      </w:r>
      <w:r w:rsidR="00F8029E">
        <w:rPr>
          <w:rFonts w:eastAsia="Calibri"/>
        </w:rPr>
        <w:t>questionnaire</w:t>
      </w:r>
      <w:r w:rsidR="0047328E">
        <w:rPr>
          <w:rFonts w:eastAsia="Calibri"/>
        </w:rPr>
        <w:t xml:space="preserve">.  After OMB approval, the survey will be implemented by </w:t>
      </w:r>
      <w:r w:rsidR="00714A3B">
        <w:rPr>
          <w:rFonts w:eastAsia="Calibri"/>
        </w:rPr>
        <w:t>T</w:t>
      </w:r>
      <w:r w:rsidR="00DE1E12">
        <w:rPr>
          <w:rFonts w:eastAsia="Calibri"/>
        </w:rPr>
        <w:t>he Joint Commission</w:t>
      </w:r>
      <w:r w:rsidR="0047328E">
        <w:rPr>
          <w:rFonts w:eastAsia="Calibri"/>
        </w:rPr>
        <w:t xml:space="preserve"> as a one-time d</w:t>
      </w:r>
      <w:r w:rsidR="00536A36">
        <w:rPr>
          <w:rFonts w:eastAsia="Calibri"/>
        </w:rPr>
        <w:t>a</w:t>
      </w:r>
      <w:r w:rsidR="0047328E">
        <w:rPr>
          <w:rFonts w:eastAsia="Calibri"/>
        </w:rPr>
        <w:t xml:space="preserve">ta collection in a nationally representative sample of U.S. </w:t>
      </w:r>
      <w:r w:rsidR="003742FA">
        <w:rPr>
          <w:rFonts w:eastAsia="Calibri"/>
        </w:rPr>
        <w:t xml:space="preserve">adult </w:t>
      </w:r>
      <w:r w:rsidR="0047328E">
        <w:rPr>
          <w:rFonts w:eastAsia="Calibri"/>
        </w:rPr>
        <w:t>general medical and surgical hospitals.</w:t>
      </w:r>
      <w:r w:rsidR="00172927">
        <w:rPr>
          <w:rFonts w:eastAsia="Calibri"/>
        </w:rPr>
        <w:t xml:space="preserve">  </w:t>
      </w:r>
      <w:r w:rsidR="00583555">
        <w:rPr>
          <w:rFonts w:eastAsia="Calibri"/>
        </w:rPr>
        <w:t xml:space="preserve">No </w:t>
      </w:r>
      <w:r w:rsidR="00646E73">
        <w:rPr>
          <w:rFonts w:eastAsia="Calibri"/>
        </w:rPr>
        <w:t>individual</w:t>
      </w:r>
      <w:r w:rsidR="00583555">
        <w:rPr>
          <w:rFonts w:eastAsia="Calibri"/>
        </w:rPr>
        <w:t xml:space="preserve">-level data will be collected.  </w:t>
      </w:r>
      <w:r w:rsidR="00172927">
        <w:rPr>
          <w:rFonts w:eastAsia="Calibri"/>
        </w:rPr>
        <w:t>CDC will not receive any</w:t>
      </w:r>
      <w:r w:rsidR="005D2E67">
        <w:rPr>
          <w:rFonts w:eastAsia="Calibri"/>
        </w:rPr>
        <w:t xml:space="preserve"> individual or</w:t>
      </w:r>
      <w:r w:rsidR="00172927">
        <w:rPr>
          <w:rFonts w:eastAsia="Calibri"/>
        </w:rPr>
        <w:t xml:space="preserve"> hospital identifiable information</w:t>
      </w:r>
      <w:r w:rsidR="005D2E67">
        <w:rPr>
          <w:rFonts w:eastAsia="Calibri"/>
        </w:rPr>
        <w:t>.</w:t>
      </w:r>
    </w:p>
    <w:bookmarkEnd w:id="2"/>
    <w:p w:rsidR="00C91F05" w:rsidP="00E0163C" w:rsidRDefault="00C91F05" w14:paraId="57A59FE3" w14:textId="77777777">
      <w:pPr>
        <w:rPr>
          <w:b/>
          <w:i/>
          <w:u w:val="single"/>
        </w:rPr>
      </w:pPr>
    </w:p>
    <w:p w:rsidRPr="001120EA" w:rsidR="00873BFC" w:rsidP="00E0163C" w:rsidRDefault="00873BFC" w14:paraId="163B00D2" w14:textId="6BC74B6E">
      <w:pPr>
        <w:rPr>
          <w:b/>
          <w:i/>
          <w:u w:val="single"/>
        </w:rPr>
      </w:pPr>
      <w:r w:rsidRPr="001120EA">
        <w:rPr>
          <w:b/>
          <w:i/>
          <w:u w:val="single"/>
        </w:rPr>
        <w:t>Section A.2. Purpose and Use of Information</w:t>
      </w:r>
      <w:r w:rsidRPr="001120EA" w:rsidR="00C10E8C">
        <w:rPr>
          <w:b/>
          <w:i/>
          <w:u w:val="single"/>
        </w:rPr>
        <w:t xml:space="preserve"> Collection</w:t>
      </w:r>
    </w:p>
    <w:p w:rsidR="00FA5874" w:rsidP="00E0163C" w:rsidRDefault="00FA5874" w14:paraId="4E906FAD" w14:textId="77777777"/>
    <w:p w:rsidR="002E5BA6" w:rsidP="00E0163C" w:rsidRDefault="008A4FBF" w14:paraId="25D3838C" w14:textId="14926098">
      <w:r>
        <w:t xml:space="preserve">The overall purpose of this project is to </w:t>
      </w:r>
      <w:r w:rsidR="001370D8">
        <w:t>evaluate current VTE prevention practices</w:t>
      </w:r>
      <w:r w:rsidR="00BD4A32">
        <w:t>,</w:t>
      </w:r>
      <w:r w:rsidRPr="00BD4A32" w:rsidR="00BD4A32">
        <w:t xml:space="preserve"> </w:t>
      </w:r>
      <w:r w:rsidR="00BD4A32">
        <w:t xml:space="preserve">including risk assessment, </w:t>
      </w:r>
      <w:r w:rsidR="001370D8">
        <w:t>in U.S.</w:t>
      </w:r>
      <w:r w:rsidR="00D00003">
        <w:t xml:space="preserve"> </w:t>
      </w:r>
      <w:r w:rsidR="001370D8">
        <w:t>hospitals</w:t>
      </w:r>
      <w:r w:rsidR="00D67A13">
        <w:t xml:space="preserve"> (American Hospital Association</w:t>
      </w:r>
      <w:r w:rsidR="00823DA0">
        <w:t xml:space="preserve"> </w:t>
      </w:r>
      <w:r w:rsidR="00CD66A6">
        <w:t>[</w:t>
      </w:r>
      <w:r w:rsidR="00823DA0">
        <w:t>AHA</w:t>
      </w:r>
      <w:r w:rsidR="00CD66A6">
        <w:t>]</w:t>
      </w:r>
      <w:r w:rsidR="00D67A13">
        <w:t xml:space="preserve"> </w:t>
      </w:r>
      <w:r w:rsidR="003742FA">
        <w:t xml:space="preserve">adult </w:t>
      </w:r>
      <w:r w:rsidR="00D67A13">
        <w:t>general medical and surgical service category)</w:t>
      </w:r>
      <w:r w:rsidR="002558DC">
        <w:t xml:space="preserve"> </w:t>
      </w:r>
      <w:r w:rsidR="001370D8">
        <w:t xml:space="preserve">in order to </w:t>
      </w:r>
      <w:r>
        <w:t xml:space="preserve">support a framework for </w:t>
      </w:r>
      <w:r w:rsidR="001370D8">
        <w:t>HA-VTE prevention.</w:t>
      </w:r>
      <w:r>
        <w:t xml:space="preserve">  </w:t>
      </w:r>
      <w:r w:rsidR="0014451D">
        <w:t xml:space="preserve">The information collected in this </w:t>
      </w:r>
      <w:r w:rsidR="001450BC">
        <w:t xml:space="preserve">hospital </w:t>
      </w:r>
      <w:r w:rsidR="0014451D">
        <w:t>survey will be used to</w:t>
      </w:r>
      <w:r w:rsidR="002E5BA6">
        <w:t xml:space="preserve"> improve understanding</w:t>
      </w:r>
      <w:r w:rsidR="001450BC">
        <w:t xml:space="preserve"> of</w:t>
      </w:r>
      <w:r w:rsidRPr="001120EA" w:rsidR="002E5BA6">
        <w:t xml:space="preserve"> </w:t>
      </w:r>
      <w:r w:rsidR="001450BC">
        <w:t>hospital</w:t>
      </w:r>
      <w:r w:rsidRPr="001120EA" w:rsidR="002E5BA6">
        <w:t xml:space="preserve"> VTE prevention practices</w:t>
      </w:r>
      <w:r w:rsidR="005009BC">
        <w:t xml:space="preserve">, which will </w:t>
      </w:r>
      <w:r w:rsidR="002E5BA6">
        <w:t>guide efforts and inform interventions</w:t>
      </w:r>
      <w:r w:rsidRPr="001120EA" w:rsidR="002E5BA6">
        <w:t xml:space="preserve"> to reduce the burden of </w:t>
      </w:r>
      <w:r w:rsidR="00003977">
        <w:t>HA-</w:t>
      </w:r>
      <w:r w:rsidRPr="001120EA" w:rsidR="002E5BA6">
        <w:t>VTE.</w:t>
      </w:r>
      <w:r w:rsidR="00297571">
        <w:t xml:space="preserve">  Specifically, the information collected on VTE prevention policy and protocol, VTE prevention team, VTE data collection and reporting, </w:t>
      </w:r>
      <w:r w:rsidR="002F058F">
        <w:t xml:space="preserve">VTE risk assessment, VTE prophylaxis safety considerations (i.e., bleeding risk assessment), ambulation protocol, VTE prevention education for providers and patients, and VTE prophylaxis monitoring and support </w:t>
      </w:r>
      <w:r w:rsidR="002558DC">
        <w:t xml:space="preserve">will be used to assess the </w:t>
      </w:r>
      <w:r w:rsidR="004101CC">
        <w:t>extent</w:t>
      </w:r>
      <w:r w:rsidR="002558DC">
        <w:t xml:space="preserve"> to which hospitals</w:t>
      </w:r>
      <w:r w:rsidR="00A07A4E">
        <w:t xml:space="preserve"> </w:t>
      </w:r>
      <w:r w:rsidR="002C1378">
        <w:t>apply</w:t>
      </w:r>
      <w:r w:rsidR="00A07A4E">
        <w:t xml:space="preserve"> </w:t>
      </w:r>
      <w:r w:rsidR="001A5ED3">
        <w:t xml:space="preserve">these </w:t>
      </w:r>
      <w:r w:rsidR="00A07A4E">
        <w:t>components of the</w:t>
      </w:r>
      <w:r w:rsidR="000A6218">
        <w:t xml:space="preserve"> HA-VTE prevention</w:t>
      </w:r>
      <w:r w:rsidR="00F72FC9">
        <w:t xml:space="preserve"> framework</w:t>
      </w:r>
      <w:r w:rsidR="002C1378">
        <w:t xml:space="preserve"> </w:t>
      </w:r>
      <w:r w:rsidR="00CC4A0A">
        <w:t xml:space="preserve">at the hospital level and in </w:t>
      </w:r>
      <w:r w:rsidR="003742FA">
        <w:t xml:space="preserve">adult </w:t>
      </w:r>
      <w:r w:rsidR="00CC4A0A">
        <w:t>general medical and surgical units</w:t>
      </w:r>
      <w:r w:rsidR="000A6218">
        <w:t xml:space="preserve">.  </w:t>
      </w:r>
      <w:r w:rsidR="002F12E0">
        <w:t xml:space="preserve">The responses to specific VTE prevention practices </w:t>
      </w:r>
      <w:r w:rsidR="008B3A82">
        <w:t xml:space="preserve">can be used to assess VTE prevention practices by </w:t>
      </w:r>
      <w:r w:rsidR="002F12E0">
        <w:t>hospital characteristics (e.g., bed size, urban vs. rural location, teaching vs. non-teaching status)</w:t>
      </w:r>
      <w:r w:rsidR="008E20BE">
        <w:t xml:space="preserve"> to better target efforts or interventions to improve HA-VTE prevention.</w:t>
      </w:r>
      <w:r w:rsidR="00A475EF">
        <w:t xml:space="preserve"> </w:t>
      </w:r>
      <w:r w:rsidR="00702A62">
        <w:t>Information collected on the barriers to establishing a hospital-wide VTE prevention policy</w:t>
      </w:r>
      <w:r w:rsidR="00271675">
        <w:t xml:space="preserve"> will be helpful in addressing these challenges.</w:t>
      </w:r>
      <w:r w:rsidR="00702A62">
        <w:t xml:space="preserve"> </w:t>
      </w:r>
      <w:r w:rsidR="001A5ED3">
        <w:t xml:space="preserve"> Information </w:t>
      </w:r>
      <w:r w:rsidR="002C67A1">
        <w:t>will be</w:t>
      </w:r>
      <w:r w:rsidR="001A5ED3">
        <w:t xml:space="preserve"> collected on both </w:t>
      </w:r>
      <w:r w:rsidR="003742FA">
        <w:t xml:space="preserve">adult </w:t>
      </w:r>
      <w:r w:rsidR="001A5ED3">
        <w:t xml:space="preserve">general medical and surgical units since VTE prevention practices differ by specialty.  </w:t>
      </w:r>
      <w:r w:rsidR="00067D66">
        <w:t xml:space="preserve">Information on </w:t>
      </w:r>
      <w:r w:rsidR="00003977">
        <w:t xml:space="preserve">VTE </w:t>
      </w:r>
      <w:r w:rsidR="00067D66">
        <w:t xml:space="preserve">risk assessment </w:t>
      </w:r>
      <w:r w:rsidR="00142BFB">
        <w:t>(e.g., who conducts the asse</w:t>
      </w:r>
      <w:r w:rsidR="001E33AD">
        <w:t xml:space="preserve">ssment, when is it performed, mandatory or optional, format, type of RAM) </w:t>
      </w:r>
      <w:r w:rsidR="00E065CE">
        <w:t>will improve understanding of</w:t>
      </w:r>
      <w:r w:rsidR="00D74904">
        <w:t xml:space="preserve"> </w:t>
      </w:r>
      <w:r w:rsidR="00DD7534">
        <w:t xml:space="preserve">real-world hospital VTE </w:t>
      </w:r>
      <w:r w:rsidR="001E33AD">
        <w:t>risk assessment</w:t>
      </w:r>
      <w:r w:rsidR="00DD7534">
        <w:t xml:space="preserve"> practices.  </w:t>
      </w:r>
      <w:r w:rsidR="00BF427E">
        <w:t>I</w:t>
      </w:r>
      <w:r w:rsidR="00142BFB">
        <w:t xml:space="preserve">nformation on the </w:t>
      </w:r>
      <w:r w:rsidR="00E065CE">
        <w:t xml:space="preserve">capacity of hospitals to </w:t>
      </w:r>
      <w:r w:rsidR="00142BFB">
        <w:t>collect data on</w:t>
      </w:r>
      <w:r w:rsidR="00E065CE">
        <w:t xml:space="preserve"> VTE risk assessment</w:t>
      </w:r>
      <w:r w:rsidR="00BF427E">
        <w:t xml:space="preserve"> will be helpful </w:t>
      </w:r>
      <w:r w:rsidR="00C2374F">
        <w:t>in determining the</w:t>
      </w:r>
      <w:r w:rsidR="00BF427E">
        <w:t xml:space="preserve"> feasibility of VTE risk assessment</w:t>
      </w:r>
      <w:r w:rsidR="00E065CE">
        <w:t xml:space="preserve"> as a </w:t>
      </w:r>
      <w:r w:rsidR="00702A62">
        <w:t xml:space="preserve">VTE </w:t>
      </w:r>
      <w:r w:rsidR="00FA776D">
        <w:t xml:space="preserve">prevention </w:t>
      </w:r>
      <w:r w:rsidR="00E065CE">
        <w:t>performance measure</w:t>
      </w:r>
      <w:r w:rsidR="00D74904">
        <w:t>.</w:t>
      </w:r>
      <w:r w:rsidR="00B777B3">
        <w:t xml:space="preserve">  The data collected can also serve as a baseline for evaluation of </w:t>
      </w:r>
      <w:r w:rsidR="005173D6">
        <w:t xml:space="preserve">future </w:t>
      </w:r>
      <w:r w:rsidR="00B663C8">
        <w:t>HA-</w:t>
      </w:r>
      <w:r w:rsidR="00B777B3">
        <w:t>VTE prevention initiatives.</w:t>
      </w:r>
    </w:p>
    <w:p w:rsidR="007713CB" w:rsidP="00E0163C" w:rsidRDefault="007713CB" w14:paraId="372D9BFF" w14:textId="6BC64D31"/>
    <w:p w:rsidRPr="00B57744" w:rsidR="007713CB" w:rsidP="00E0163C" w:rsidRDefault="007713CB" w14:paraId="318C3C8D" w14:textId="6935FED8">
      <w:r w:rsidRPr="00B57744">
        <w:t>The negative consequence of not collecting this information is</w:t>
      </w:r>
      <w:r w:rsidR="008A19CC">
        <w:t xml:space="preserve"> the continuation of limited knowledge/understanding of </w:t>
      </w:r>
      <w:r w:rsidR="009949CA">
        <w:t xml:space="preserve">the gap </w:t>
      </w:r>
      <w:r w:rsidRPr="00B57744">
        <w:t>between evidence-based guidelines on HA-VTE prevention and the implementation of HA-VTE prevention practices, particularly VTE risk assessment, in hospitals.</w:t>
      </w:r>
      <w:r w:rsidRPr="00B57744" w:rsidR="00D10EDD">
        <w:t xml:space="preserve">  This continued gap will </w:t>
      </w:r>
      <w:r w:rsidRPr="00B57744" w:rsidR="00122D8A">
        <w:t>have a negative impact on</w:t>
      </w:r>
      <w:r w:rsidRPr="00B57744" w:rsidR="00D10EDD">
        <w:t xml:space="preserve"> decreas</w:t>
      </w:r>
      <w:r w:rsidRPr="00B57744" w:rsidR="00122D8A">
        <w:t>ing</w:t>
      </w:r>
      <w:r w:rsidRPr="00B57744" w:rsidR="00D10EDD">
        <w:t xml:space="preserve"> the burden of HA-VTE.</w:t>
      </w:r>
    </w:p>
    <w:p w:rsidRPr="00B57744" w:rsidR="0014451D" w:rsidP="00E0163C" w:rsidRDefault="0014451D" w14:paraId="1A138908" w14:textId="77777777">
      <w:pPr>
        <w:rPr>
          <w:b/>
          <w:bCs/>
        </w:rPr>
      </w:pPr>
    </w:p>
    <w:p w:rsidRPr="00B57744" w:rsidR="00873BFC" w:rsidP="00E0163C" w:rsidRDefault="00873BFC" w14:paraId="163B00D8" w14:textId="2D02C851">
      <w:pPr>
        <w:rPr>
          <w:b/>
        </w:rPr>
      </w:pPr>
      <w:r w:rsidRPr="00B57744">
        <w:rPr>
          <w:b/>
          <w:i/>
          <w:u w:val="single"/>
        </w:rPr>
        <w:t xml:space="preserve">Section A.3. Use of </w:t>
      </w:r>
      <w:r w:rsidRPr="00B57744" w:rsidR="00C10E8C">
        <w:rPr>
          <w:b/>
          <w:i/>
          <w:u w:val="single"/>
        </w:rPr>
        <w:t xml:space="preserve">Improved </w:t>
      </w:r>
      <w:r w:rsidRPr="00B57744">
        <w:rPr>
          <w:b/>
          <w:i/>
          <w:u w:val="single"/>
        </w:rPr>
        <w:t>Information Technology and Burden Reduction</w:t>
      </w:r>
    </w:p>
    <w:p w:rsidR="00FA5874" w:rsidP="00FB0715" w:rsidRDefault="00FA5874" w14:paraId="59F2FE04" w14:textId="77777777"/>
    <w:p w:rsidRPr="001120EA" w:rsidR="00BB1D62" w:rsidP="00FB0715" w:rsidRDefault="00B01542" w14:paraId="70665C13" w14:textId="16190C21">
      <w:r w:rsidRPr="00B57744">
        <w:t>P</w:t>
      </w:r>
      <w:r w:rsidRPr="00B57744" w:rsidR="00BD4E07">
        <w:t>articipants</w:t>
      </w:r>
      <w:r w:rsidRPr="00B57744" w:rsidR="00E7466B">
        <w:t>/respondents</w:t>
      </w:r>
      <w:r w:rsidRPr="00B57744" w:rsidR="00BD4E07">
        <w:t xml:space="preserve"> in the project will </w:t>
      </w:r>
      <w:r w:rsidRPr="00B57744" w:rsidR="001346F7">
        <w:t>complete a</w:t>
      </w:r>
      <w:r w:rsidRPr="00B57744">
        <w:t>n electronic</w:t>
      </w:r>
      <w:r w:rsidRPr="00B57744" w:rsidR="001346F7">
        <w:t xml:space="preserve"> questionnaire</w:t>
      </w:r>
      <w:r w:rsidRPr="00B57744">
        <w:t xml:space="preserve"> (</w:t>
      </w:r>
      <w:r w:rsidRPr="00B57744">
        <w:rPr>
          <w:b/>
          <w:bCs/>
        </w:rPr>
        <w:t>Attachment 3</w:t>
      </w:r>
      <w:r w:rsidRPr="00B57744">
        <w:t>)</w:t>
      </w:r>
      <w:r w:rsidRPr="00B57744" w:rsidR="001346F7">
        <w:t xml:space="preserve"> that </w:t>
      </w:r>
      <w:r w:rsidRPr="00B57744" w:rsidR="0009312F">
        <w:t xml:space="preserve">will be </w:t>
      </w:r>
      <w:r w:rsidRPr="00B57744" w:rsidR="001346F7">
        <w:t xml:space="preserve">administered </w:t>
      </w:r>
      <w:r w:rsidRPr="00B57744" w:rsidR="00DE5F26">
        <w:t xml:space="preserve">through a platform called </w:t>
      </w:r>
      <w:r w:rsidRPr="00B57744" w:rsidR="00E2798A">
        <w:t>Qualtrics</w:t>
      </w:r>
      <w:r w:rsidRPr="00B57744" w:rsidR="00E2798A">
        <w:rPr>
          <w:vertAlign w:val="superscript"/>
        </w:rPr>
        <w:t>XM</w:t>
      </w:r>
      <w:r w:rsidRPr="00B57744" w:rsidR="004B226F">
        <w:rPr>
          <w:vertAlign w:val="superscript"/>
        </w:rPr>
        <w:t xml:space="preserve"> </w:t>
      </w:r>
      <w:r w:rsidRPr="00B57744" w:rsidR="005064EC">
        <w:rPr>
          <w:vertAlign w:val="superscript"/>
        </w:rPr>
        <w:t xml:space="preserve"> </w:t>
      </w:r>
      <w:r w:rsidRPr="00B57744" w:rsidR="00584ABF">
        <w:t>(</w:t>
      </w:r>
      <w:hyperlink w:history="1" r:id="rId12">
        <w:r w:rsidRPr="00B57744" w:rsidR="00584ABF">
          <w:rPr>
            <w:rStyle w:val="Hyperlink"/>
            <w:color w:val="auto"/>
          </w:rPr>
          <w:t>Provo, UT</w:t>
        </w:r>
      </w:hyperlink>
      <w:r w:rsidRPr="00B57744" w:rsidR="00584ABF">
        <w:t xml:space="preserve">, </w:t>
      </w:r>
      <w:hyperlink w:history="1" r:id="rId13">
        <w:r w:rsidRPr="00B57744" w:rsidR="00584ABF">
          <w:rPr>
            <w:rStyle w:val="Hyperlink"/>
            <w:color w:val="auto"/>
          </w:rPr>
          <w:t>https://www.qualtrics.com</w:t>
        </w:r>
      </w:hyperlink>
      <w:r w:rsidRPr="00B57744" w:rsidR="00584ABF">
        <w:t xml:space="preserve">). </w:t>
      </w:r>
      <w:r w:rsidRPr="00B57744">
        <w:t xml:space="preserve">A </w:t>
      </w:r>
      <w:r w:rsidRPr="00B57744" w:rsidR="00AC23B2">
        <w:t xml:space="preserve">PDF version of the questionnaire </w:t>
      </w:r>
      <w:r w:rsidRPr="00B57744" w:rsidR="00773586">
        <w:t>(</w:t>
      </w:r>
      <w:r w:rsidRPr="00B57744" w:rsidR="00773586">
        <w:rPr>
          <w:b/>
          <w:bCs/>
        </w:rPr>
        <w:t>Attachment 4</w:t>
      </w:r>
      <w:r w:rsidRPr="00B57744" w:rsidR="00773586">
        <w:t>)</w:t>
      </w:r>
      <w:r w:rsidRPr="00B57744" w:rsidR="00A95B70">
        <w:t xml:space="preserve"> </w:t>
      </w:r>
      <w:r w:rsidRPr="00B57744" w:rsidR="00542FD1">
        <w:t>was crea</w:t>
      </w:r>
      <w:r w:rsidRPr="00B57744" w:rsidR="00800C05">
        <w:t>ted</w:t>
      </w:r>
      <w:r w:rsidRPr="00B57744" w:rsidR="00AC23B2">
        <w:t xml:space="preserve"> </w:t>
      </w:r>
      <w:r w:rsidRPr="00B57744">
        <w:t xml:space="preserve">to </w:t>
      </w:r>
      <w:r w:rsidRPr="00B57744" w:rsidR="00773586">
        <w:t>give</w:t>
      </w:r>
      <w:r w:rsidRPr="00B57744">
        <w:t xml:space="preserve"> participant</w:t>
      </w:r>
      <w:r w:rsidRPr="00B57744" w:rsidR="00773586">
        <w:t>s the opportunity to</w:t>
      </w:r>
      <w:r w:rsidRPr="00B57744">
        <w:t xml:space="preserve"> </w:t>
      </w:r>
      <w:r w:rsidRPr="00B57744" w:rsidR="00773586">
        <w:t xml:space="preserve">review </w:t>
      </w:r>
      <w:r w:rsidRPr="00B57744">
        <w:t>the survey questions</w:t>
      </w:r>
      <w:r w:rsidRPr="00B57744" w:rsidR="00773586">
        <w:t xml:space="preserve"> </w:t>
      </w:r>
      <w:r w:rsidRPr="00B57744" w:rsidR="00405858">
        <w:t>and obtain input from other hospital staff (if necessary) before starting</w:t>
      </w:r>
      <w:r w:rsidRPr="00B57744" w:rsidR="00FD69CC">
        <w:t xml:space="preserve"> or while completing</w:t>
      </w:r>
      <w:r w:rsidRPr="00B57744" w:rsidR="00405858">
        <w:t xml:space="preserve"> the electronic questionnaire. </w:t>
      </w:r>
      <w:r w:rsidRPr="00B57744" w:rsidR="003D6A54">
        <w:t>The</w:t>
      </w:r>
      <w:r w:rsidRPr="001120EA" w:rsidR="003D6A54">
        <w:t xml:space="preserve"> questionnaire is </w:t>
      </w:r>
      <w:r w:rsidRPr="001120EA" w:rsidR="00E070EB">
        <w:t>designed to ascertain only information</w:t>
      </w:r>
      <w:r w:rsidR="00F45228">
        <w:t xml:space="preserve"> </w:t>
      </w:r>
      <w:r w:rsidRPr="001120EA" w:rsidR="00F45228">
        <w:t>related to VTE prevention practices</w:t>
      </w:r>
      <w:r w:rsidR="00F45228">
        <w:t xml:space="preserve"> at the </w:t>
      </w:r>
      <w:r w:rsidR="00F45228">
        <w:lastRenderedPageBreak/>
        <w:t>hospital level and in</w:t>
      </w:r>
      <w:r w:rsidRPr="001120EA" w:rsidR="00E070EB">
        <w:t xml:space="preserve"> </w:t>
      </w:r>
      <w:r w:rsidR="003742FA">
        <w:t xml:space="preserve">adult </w:t>
      </w:r>
      <w:r w:rsidRPr="001120EA" w:rsidR="00C25E4B">
        <w:t>general medical and surgical services/units</w:t>
      </w:r>
      <w:r w:rsidRPr="001120EA" w:rsidR="00F4064B">
        <w:t xml:space="preserve">. </w:t>
      </w:r>
      <w:r w:rsidRPr="001120EA" w:rsidR="00E070EB">
        <w:t xml:space="preserve"> </w:t>
      </w:r>
      <w:r w:rsidRPr="001120EA" w:rsidR="001866CE">
        <w:t xml:space="preserve">It </w:t>
      </w:r>
      <w:r w:rsidRPr="001120EA" w:rsidR="00ED63D0">
        <w:t xml:space="preserve">has </w:t>
      </w:r>
      <w:r w:rsidRPr="00026F8E" w:rsidR="00131DD2">
        <w:rPr>
          <w:rFonts w:cs="ITC Franklin Gothic Std Book"/>
        </w:rPr>
        <w:t xml:space="preserve">computer generated skip patterns </w:t>
      </w:r>
      <w:r w:rsidRPr="001120EA" w:rsidR="00ED63D0">
        <w:t xml:space="preserve">in order to reduce burden on participants. </w:t>
      </w:r>
      <w:r w:rsidRPr="001120EA" w:rsidR="006D0D18">
        <w:t>The platform is user friendly and i</w:t>
      </w:r>
      <w:r w:rsidRPr="001120EA" w:rsidR="008C0C3B">
        <w:t xml:space="preserve">t is possible to </w:t>
      </w:r>
      <w:r w:rsidRPr="001120EA" w:rsidR="00670E35">
        <w:t xml:space="preserve">answer </w:t>
      </w:r>
      <w:r w:rsidRPr="001120EA" w:rsidR="007F0FF4">
        <w:t xml:space="preserve">some </w:t>
      </w:r>
      <w:r w:rsidRPr="001120EA" w:rsidR="00670E35">
        <w:t>questions, stop</w:t>
      </w:r>
      <w:r w:rsidR="00E7466B">
        <w:t>,</w:t>
      </w:r>
      <w:r w:rsidRPr="001120EA" w:rsidR="00670E35">
        <w:t xml:space="preserve"> and </w:t>
      </w:r>
      <w:r w:rsidRPr="001120EA" w:rsidR="007F0FF4">
        <w:t xml:space="preserve">resume where </w:t>
      </w:r>
      <w:r w:rsidR="00E7466B">
        <w:t xml:space="preserve">the </w:t>
      </w:r>
      <w:r w:rsidR="00037133">
        <w:t>participant</w:t>
      </w:r>
      <w:r w:rsidR="00E7466B">
        <w:t xml:space="preserve"> </w:t>
      </w:r>
      <w:r w:rsidRPr="001120EA" w:rsidR="007F0FF4">
        <w:t>left off</w:t>
      </w:r>
      <w:r w:rsidRPr="001120EA" w:rsidR="00B34E98">
        <w:t>.</w:t>
      </w:r>
      <w:r w:rsidRPr="001120EA" w:rsidR="00412EB3">
        <w:t xml:space="preserve"> Some</w:t>
      </w:r>
      <w:r w:rsidRPr="001120EA" w:rsidR="00B34E98">
        <w:t xml:space="preserve"> </w:t>
      </w:r>
      <w:r w:rsidRPr="001120EA" w:rsidR="00A8362F">
        <w:t>d</w:t>
      </w:r>
      <w:r w:rsidRPr="001120EA" w:rsidR="00BB1D62">
        <w:t xml:space="preserve">ata elements, such as demographic information, are available from an existing source, </w:t>
      </w:r>
      <w:r w:rsidRPr="001120EA" w:rsidR="0009792B">
        <w:t xml:space="preserve">so they are not </w:t>
      </w:r>
      <w:r w:rsidRPr="001120EA" w:rsidR="00A8362F">
        <w:t xml:space="preserve">asked </w:t>
      </w:r>
      <w:r w:rsidRPr="001120EA" w:rsidR="0009792B">
        <w:t>on the questionnaire</w:t>
      </w:r>
      <w:r w:rsidR="00037133">
        <w:t>,</w:t>
      </w:r>
      <w:r w:rsidRPr="001120EA" w:rsidR="0009792B">
        <w:t xml:space="preserve"> </w:t>
      </w:r>
      <w:r w:rsidRPr="001120EA" w:rsidR="003F5EB0">
        <w:t xml:space="preserve">which will </w:t>
      </w:r>
      <w:r w:rsidRPr="001120EA" w:rsidR="00BB1D62">
        <w:t xml:space="preserve">reduce the burden on participants. </w:t>
      </w:r>
    </w:p>
    <w:p w:rsidRPr="00C10B72" w:rsidR="00FC3355" w:rsidP="00E0163C" w:rsidRDefault="00896DD0" w14:paraId="40BD4D09" w14:textId="2ACBAE26">
      <w:r w:rsidRPr="001120EA">
        <w:t>An</w:t>
      </w:r>
      <w:r w:rsidRPr="001120EA" w:rsidR="00EF297B">
        <w:t xml:space="preserve"> </w:t>
      </w:r>
      <w:r w:rsidRPr="001120EA" w:rsidR="00290B87">
        <w:t xml:space="preserve">implementation </w:t>
      </w:r>
      <w:r w:rsidRPr="001120EA" w:rsidR="00EF297B">
        <w:t xml:space="preserve">email </w:t>
      </w:r>
      <w:r w:rsidRPr="001120EA" w:rsidR="00E5721A">
        <w:t>(</w:t>
      </w:r>
      <w:r w:rsidRPr="001120EA" w:rsidR="00E5721A">
        <w:rPr>
          <w:b/>
          <w:bCs/>
        </w:rPr>
        <w:t>Attachment</w:t>
      </w:r>
      <w:r w:rsidRPr="001120EA" w:rsidR="0012467C">
        <w:rPr>
          <w:b/>
          <w:bCs/>
        </w:rPr>
        <w:t xml:space="preserve"> </w:t>
      </w:r>
      <w:r w:rsidRPr="001120EA" w:rsidR="00CF258A">
        <w:rPr>
          <w:b/>
          <w:bCs/>
        </w:rPr>
        <w:t>5</w:t>
      </w:r>
      <w:r w:rsidRPr="001120EA" w:rsidR="00E5721A">
        <w:t xml:space="preserve">) </w:t>
      </w:r>
      <w:r w:rsidRPr="001120EA">
        <w:t>will be sent</w:t>
      </w:r>
      <w:r w:rsidRPr="001120EA" w:rsidR="00EF297B">
        <w:t xml:space="preserve"> to each </w:t>
      </w:r>
      <w:r w:rsidRPr="001120EA" w:rsidR="0012467C">
        <w:t xml:space="preserve">eligible </w:t>
      </w:r>
      <w:r w:rsidRPr="001120EA" w:rsidR="00EF297B">
        <w:t>participant</w:t>
      </w:r>
      <w:r w:rsidRPr="001120EA" w:rsidR="00A237F6">
        <w:t>. T</w:t>
      </w:r>
      <w:r w:rsidRPr="001120EA" w:rsidR="00427E2E">
        <w:t>he email include</w:t>
      </w:r>
      <w:r w:rsidRPr="001120EA" w:rsidR="008620D2">
        <w:t>s</w:t>
      </w:r>
      <w:r w:rsidRPr="001120EA" w:rsidR="00427E2E">
        <w:t xml:space="preserve"> a </w:t>
      </w:r>
      <w:r w:rsidRPr="001120EA" w:rsidR="004E3F15">
        <w:t>hyper</w:t>
      </w:r>
      <w:r w:rsidRPr="001120EA" w:rsidR="00427E2E">
        <w:t xml:space="preserve">link to the </w:t>
      </w:r>
      <w:r w:rsidRPr="001120EA" w:rsidR="004E0FB2">
        <w:t>P</w:t>
      </w:r>
      <w:r w:rsidRPr="001120EA" w:rsidR="00242B8E">
        <w:t xml:space="preserve">roject </w:t>
      </w:r>
      <w:r w:rsidRPr="001120EA" w:rsidR="004E0FB2">
        <w:t>I</w:t>
      </w:r>
      <w:r w:rsidRPr="001120EA" w:rsidR="00242B8E">
        <w:t xml:space="preserve">nformation </w:t>
      </w:r>
      <w:r w:rsidRPr="001120EA" w:rsidR="00C35267">
        <w:t>S</w:t>
      </w:r>
      <w:r w:rsidRPr="001120EA" w:rsidR="00242B8E">
        <w:t>heet</w:t>
      </w:r>
      <w:r w:rsidRPr="001120EA" w:rsidR="00CA61E2">
        <w:t xml:space="preserve"> </w:t>
      </w:r>
      <w:r w:rsidRPr="001120EA" w:rsidR="004A174F">
        <w:t>(</w:t>
      </w:r>
      <w:r w:rsidRPr="001120EA" w:rsidR="004A174F">
        <w:rPr>
          <w:b/>
          <w:bCs/>
        </w:rPr>
        <w:t xml:space="preserve">Attachment </w:t>
      </w:r>
      <w:r w:rsidR="00FC65E8">
        <w:rPr>
          <w:b/>
          <w:bCs/>
        </w:rPr>
        <w:t>5</w:t>
      </w:r>
      <w:r w:rsidRPr="001120EA" w:rsidR="004A174F">
        <w:t xml:space="preserve">) </w:t>
      </w:r>
      <w:r w:rsidRPr="001120EA" w:rsidR="00CA61E2">
        <w:t>that describes in more detail what the project entails and why it is important</w:t>
      </w:r>
      <w:r w:rsidRPr="001120EA" w:rsidR="0028675C">
        <w:t>,</w:t>
      </w:r>
      <w:r w:rsidRPr="001120EA" w:rsidR="00CA61E2">
        <w:t xml:space="preserve"> </w:t>
      </w:r>
      <w:r w:rsidRPr="001120EA" w:rsidR="00B17999">
        <w:t>as well as a hyperlink</w:t>
      </w:r>
      <w:r w:rsidRPr="001120EA" w:rsidR="009667F2">
        <w:t xml:space="preserve"> to</w:t>
      </w:r>
      <w:r w:rsidRPr="001120EA" w:rsidR="00B17999">
        <w:t xml:space="preserve"> a pdf of the questionnaire</w:t>
      </w:r>
      <w:r w:rsidRPr="001120EA" w:rsidR="00242B8E">
        <w:t xml:space="preserve">. </w:t>
      </w:r>
      <w:r w:rsidRPr="001120EA" w:rsidR="001B3182">
        <w:t>The information sheet includes the elements needed for online survey consent</w:t>
      </w:r>
      <w:r w:rsidRPr="001120EA" w:rsidR="00B744DD">
        <w:t>.</w:t>
      </w:r>
    </w:p>
    <w:p w:rsidRPr="001120EA" w:rsidR="00755576" w:rsidP="00E0163C" w:rsidRDefault="00755576" w14:paraId="1CC3955D" w14:textId="77777777">
      <w:pPr>
        <w:rPr>
          <w:b/>
          <w:i/>
          <w:u w:val="single"/>
        </w:rPr>
      </w:pPr>
    </w:p>
    <w:p w:rsidRPr="00AC069C" w:rsidR="00AC069C" w:rsidP="00E0163C" w:rsidRDefault="00873BFC" w14:paraId="163B00DC" w14:textId="4F245AD4">
      <w:pPr>
        <w:rPr>
          <w:b/>
          <w:i/>
          <w:u w:val="single"/>
        </w:rPr>
      </w:pPr>
      <w:r w:rsidRPr="001120EA">
        <w:rPr>
          <w:b/>
          <w:i/>
          <w:u w:val="single"/>
        </w:rPr>
        <w:t>Section A.4. Efforts to Identify Duplication and Use of Similar Information</w:t>
      </w:r>
    </w:p>
    <w:p w:rsidRPr="001120EA" w:rsidR="00926FF7" w:rsidP="00E0163C" w:rsidRDefault="00926FF7" w14:paraId="353BB2C3" w14:textId="535333EC">
      <w:pPr>
        <w:rPr>
          <w:b/>
          <w:bCs/>
          <w:i/>
          <w:iCs/>
          <w:u w:val="single"/>
        </w:rPr>
      </w:pPr>
    </w:p>
    <w:p w:rsidR="00AB05DB" w:rsidP="00E0163C" w:rsidRDefault="00B87130" w14:paraId="74C81923" w14:textId="02A69CA9">
      <w:pPr>
        <w:rPr>
          <w:rFonts w:eastAsiaTheme="minorHAnsi"/>
        </w:rPr>
      </w:pPr>
      <w:r w:rsidRPr="001120EA">
        <w:rPr>
          <w:rFonts w:eastAsiaTheme="minorHAnsi"/>
          <w:color w:val="1A1A1A"/>
        </w:rPr>
        <w:t>Our survey is designed to gather comprehensive data</w:t>
      </w:r>
      <w:r w:rsidR="00144D04">
        <w:rPr>
          <w:rFonts w:eastAsiaTheme="minorHAnsi"/>
          <w:color w:val="1A1A1A"/>
        </w:rPr>
        <w:t>/</w:t>
      </w:r>
      <w:r w:rsidR="00375DAC">
        <w:rPr>
          <w:rFonts w:eastAsiaTheme="minorHAnsi"/>
          <w:color w:val="1A1A1A"/>
        </w:rPr>
        <w:t>information on</w:t>
      </w:r>
      <w:r w:rsidRPr="001120EA">
        <w:rPr>
          <w:rFonts w:eastAsiaTheme="minorHAnsi"/>
          <w:color w:val="1A1A1A"/>
        </w:rPr>
        <w:t xml:space="preserve"> VTE prevention practices</w:t>
      </w:r>
      <w:r w:rsidR="00AB05DB">
        <w:rPr>
          <w:rFonts w:eastAsiaTheme="minorHAnsi"/>
          <w:color w:val="1A1A1A"/>
        </w:rPr>
        <w:t>, including risk assessment,</w:t>
      </w:r>
      <w:r w:rsidR="008A608C">
        <w:rPr>
          <w:rFonts w:eastAsiaTheme="minorHAnsi"/>
          <w:color w:val="1A1A1A"/>
        </w:rPr>
        <w:t xml:space="preserve"> in a nationally representative sample of U.S. hospitals</w:t>
      </w:r>
      <w:r w:rsidRPr="001120EA">
        <w:rPr>
          <w:rFonts w:eastAsiaTheme="minorHAnsi"/>
          <w:color w:val="1A1A1A"/>
        </w:rPr>
        <w:t xml:space="preserve">. </w:t>
      </w:r>
      <w:r w:rsidR="00E25DC6">
        <w:rPr>
          <w:rFonts w:eastAsiaTheme="minorHAnsi"/>
        </w:rPr>
        <w:t>N</w:t>
      </w:r>
      <w:r w:rsidRPr="00EA1A5E">
        <w:rPr>
          <w:rFonts w:eastAsiaTheme="minorHAnsi"/>
        </w:rPr>
        <w:t>o similar data</w:t>
      </w:r>
      <w:r w:rsidR="00144D04">
        <w:rPr>
          <w:rFonts w:eastAsiaTheme="minorHAnsi"/>
        </w:rPr>
        <w:t>/</w:t>
      </w:r>
      <w:r w:rsidRPr="00EA1A5E">
        <w:rPr>
          <w:rFonts w:eastAsiaTheme="minorHAnsi"/>
        </w:rPr>
        <w:t xml:space="preserve">information </w:t>
      </w:r>
      <w:r w:rsidR="00E25DC6">
        <w:rPr>
          <w:rFonts w:eastAsiaTheme="minorHAnsi"/>
        </w:rPr>
        <w:t xml:space="preserve">is </w:t>
      </w:r>
      <w:r w:rsidRPr="00EA1A5E">
        <w:rPr>
          <w:rFonts w:eastAsiaTheme="minorHAnsi"/>
        </w:rPr>
        <w:t xml:space="preserve">available. </w:t>
      </w:r>
      <w:r w:rsidR="0088664F">
        <w:rPr>
          <w:rFonts w:eastAsiaTheme="minorHAnsi"/>
        </w:rPr>
        <w:t xml:space="preserve">No other federal agencies collect this type of </w:t>
      </w:r>
      <w:r w:rsidR="00144D04">
        <w:rPr>
          <w:rFonts w:eastAsiaTheme="minorHAnsi"/>
        </w:rPr>
        <w:t>data/</w:t>
      </w:r>
      <w:r w:rsidR="0088664F">
        <w:rPr>
          <w:rFonts w:eastAsiaTheme="minorHAnsi"/>
        </w:rPr>
        <w:t xml:space="preserve">information. </w:t>
      </w:r>
    </w:p>
    <w:p w:rsidR="00AB05DB" w:rsidP="00E0163C" w:rsidRDefault="00AB05DB" w14:paraId="368CE79A" w14:textId="77777777">
      <w:pPr>
        <w:rPr>
          <w:rFonts w:eastAsiaTheme="minorHAnsi"/>
        </w:rPr>
      </w:pPr>
    </w:p>
    <w:p w:rsidR="002B76C0" w:rsidP="00E0163C" w:rsidRDefault="0071716B" w14:paraId="65F7B977" w14:textId="3B79465B">
      <w:r w:rsidRPr="00EA1A5E">
        <w:t>We searched for similar studies in the literature (PubMed)</w:t>
      </w:r>
      <w:r w:rsidRPr="00EA1A5E" w:rsidR="00B87130">
        <w:t xml:space="preserve"> and found </w:t>
      </w:r>
      <w:r w:rsidRPr="00EA1A5E" w:rsidR="00375DAC">
        <w:t>studies</w:t>
      </w:r>
      <w:r w:rsidRPr="00EA1A5E" w:rsidR="00DF6EB8">
        <w:t xml:space="preserve"> that collected </w:t>
      </w:r>
      <w:r w:rsidR="00E25DC6">
        <w:t>limited</w:t>
      </w:r>
      <w:r w:rsidRPr="00EA1A5E" w:rsidR="00DF6EB8">
        <w:t xml:space="preserve"> information on risk assessment and</w:t>
      </w:r>
      <w:r w:rsidRPr="00EA1A5E" w:rsidR="001A02F1">
        <w:t>/or</w:t>
      </w:r>
      <w:r w:rsidRPr="00EA1A5E" w:rsidR="00DF6EB8">
        <w:t xml:space="preserve"> prophylaxis</w:t>
      </w:r>
      <w:r w:rsidRPr="00EA1A5E" w:rsidR="00A30D1B">
        <w:t>/</w:t>
      </w:r>
      <w:r w:rsidRPr="00EA1A5E" w:rsidR="00A30C12">
        <w:t>HA-</w:t>
      </w:r>
      <w:r w:rsidRPr="00EA1A5E" w:rsidR="005D5407">
        <w:t xml:space="preserve">VTE </w:t>
      </w:r>
      <w:r w:rsidRPr="00EA1A5E" w:rsidR="00A30D1B">
        <w:t>prevention</w:t>
      </w:r>
      <w:r w:rsidRPr="00EA1A5E" w:rsidR="00DF6EB8">
        <w:t xml:space="preserve"> but </w:t>
      </w:r>
      <w:r w:rsidRPr="00EA1A5E" w:rsidR="001A02F1">
        <w:t xml:space="preserve">they were </w:t>
      </w:r>
      <w:r w:rsidRPr="00EA1A5E" w:rsidR="00B777B3">
        <w:t>non-U.S. studies</w:t>
      </w:r>
      <w:r w:rsidRPr="00EA1A5E" w:rsidR="00884748">
        <w:t>,</w:t>
      </w:r>
      <w:r w:rsidRPr="00EA1A5E" w:rsidR="00616804">
        <w:t xml:space="preserve"> </w:t>
      </w:r>
      <w:r w:rsidRPr="00EA1A5E" w:rsidR="00A30C12">
        <w:t xml:space="preserve">not nationally representative or </w:t>
      </w:r>
      <w:r w:rsidR="00F02C18">
        <w:t>single site studies</w:t>
      </w:r>
      <w:r w:rsidRPr="00EA1A5E" w:rsidR="00CF3285">
        <w:t>, and</w:t>
      </w:r>
      <w:r w:rsidRPr="00EA1A5E" w:rsidR="00B5426B">
        <w:t xml:space="preserve">/or did not </w:t>
      </w:r>
      <w:r w:rsidRPr="00EA1A5E" w:rsidR="00CF3285">
        <w:t xml:space="preserve">collect the level of </w:t>
      </w:r>
      <w:r w:rsidRPr="00EA1A5E" w:rsidR="00B5426B">
        <w:t>information</w:t>
      </w:r>
      <w:r w:rsidRPr="00EA1A5E" w:rsidR="00CF3285">
        <w:t xml:space="preserve"> required to better understand</w:t>
      </w:r>
      <w:r w:rsidRPr="00EA1A5E" w:rsidR="00B5426B">
        <w:t xml:space="preserve"> </w:t>
      </w:r>
      <w:r w:rsidRPr="00EA1A5E" w:rsidR="00A30C12">
        <w:t xml:space="preserve">hospital </w:t>
      </w:r>
      <w:r w:rsidR="00E25DC6">
        <w:t>VTE prevention practices</w:t>
      </w:r>
      <w:r w:rsidR="00046898">
        <w:t xml:space="preserve"> in re</w:t>
      </w:r>
      <w:r w:rsidR="00E25DC6">
        <w:t>lation</w:t>
      </w:r>
      <w:r w:rsidR="00914C5E">
        <w:t xml:space="preserve"> to</w:t>
      </w:r>
      <w:r w:rsidRPr="00EA1A5E" w:rsidR="00285127">
        <w:t xml:space="preserve"> </w:t>
      </w:r>
      <w:r w:rsidR="00046898">
        <w:t xml:space="preserve">components of </w:t>
      </w:r>
      <w:r w:rsidRPr="00EA1A5E" w:rsidR="00285127">
        <w:t>the HA-</w:t>
      </w:r>
      <w:r w:rsidRPr="00EA1A5E" w:rsidR="007F4162">
        <w:t>VTE prevention framework.</w:t>
      </w:r>
      <w:r w:rsidR="00E25DC6">
        <w:t xml:space="preserve"> </w:t>
      </w:r>
    </w:p>
    <w:p w:rsidR="00E01488" w:rsidP="00E0163C" w:rsidRDefault="00E01488" w14:paraId="12C684B1" w14:textId="64DD3E8F"/>
    <w:p w:rsidR="00E01488" w:rsidP="00E0163C" w:rsidRDefault="00E01488" w14:paraId="16B5E000" w14:textId="09276FF0">
      <w:pPr>
        <w:rPr>
          <w:color w:val="00B050"/>
        </w:rPr>
      </w:pPr>
      <w:r w:rsidRPr="5DEDE2EA">
        <w:t>In addition</w:t>
      </w:r>
      <w:r>
        <w:t xml:space="preserve">, </w:t>
      </w:r>
      <w:r w:rsidR="00DB7503">
        <w:rPr>
          <w:rFonts w:eastAsia="Calibri"/>
        </w:rPr>
        <w:t>the Joint Commission</w:t>
      </w:r>
      <w:r>
        <w:t xml:space="preserve"> had</w:t>
      </w:r>
      <w:r w:rsidR="00D2559F">
        <w:t xml:space="preserve"> </w:t>
      </w:r>
      <w:r w:rsidRPr="001120EA">
        <w:t>discussion</w:t>
      </w:r>
      <w:r>
        <w:t>s</w:t>
      </w:r>
      <w:r w:rsidRPr="001120EA">
        <w:t xml:space="preserve"> with several hospitals that have ongoing VTE quality improvement initiatives as identified by The Joint Commission Pioneers in Quality webinar series. </w:t>
      </w:r>
      <w:r w:rsidR="00D2559F">
        <w:t xml:space="preserve"> </w:t>
      </w:r>
      <w:r w:rsidRPr="4D271109">
        <w:rPr>
          <w:color w:val="333333"/>
          <w:bdr w:val="none" w:color="auto" w:sz="0" w:space="0" w:frame="1"/>
        </w:rPr>
        <w:t>Pioneers in Quality</w:t>
      </w:r>
      <w:r w:rsidRPr="4D271109">
        <w:rPr>
          <w:color w:val="333333"/>
          <w:vertAlign w:val="superscript"/>
        </w:rPr>
        <w:t>™</w:t>
      </w:r>
      <w:r>
        <w:rPr>
          <w:color w:val="333333"/>
          <w:vertAlign w:val="superscript"/>
        </w:rPr>
        <w:t xml:space="preserve"> </w:t>
      </w:r>
      <w:r>
        <w:rPr>
          <w:color w:val="333333"/>
        </w:rPr>
        <w:t>is a Joint Commission collaborative program to improve</w:t>
      </w:r>
      <w:r>
        <w:rPr>
          <w:color w:val="333333"/>
          <w:vertAlign w:val="superscript"/>
        </w:rPr>
        <w:t xml:space="preserve">   </w:t>
      </w:r>
      <w:r>
        <w:rPr>
          <w:color w:val="333333"/>
        </w:rPr>
        <w:t xml:space="preserve">health care quality and </w:t>
      </w:r>
      <w:r w:rsidRPr="001120EA">
        <w:rPr>
          <w:color w:val="333333"/>
        </w:rPr>
        <w:t>patient safety through education, innovation and recognition of pioneering practices for Joint Commission quality measurement stakeholders.</w:t>
      </w:r>
      <w:r>
        <w:rPr>
          <w:color w:val="333333"/>
        </w:rPr>
        <w:t xml:space="preserve"> </w:t>
      </w:r>
      <w:r w:rsidR="00CA54D9">
        <w:rPr>
          <w:color w:val="333333"/>
        </w:rPr>
        <w:t xml:space="preserve">However, the </w:t>
      </w:r>
      <w:r w:rsidRPr="00026F8E">
        <w:t xml:space="preserve">Pioneers in Quality program </w:t>
      </w:r>
      <w:r w:rsidRPr="00026F8E" w:rsidR="00CA54D9">
        <w:t xml:space="preserve">only </w:t>
      </w:r>
      <w:r w:rsidRPr="00026F8E">
        <w:t>highlights single-site quality improvement initiatives</w:t>
      </w:r>
      <w:r w:rsidRPr="00026F8E" w:rsidR="00CA54D9">
        <w:t>.</w:t>
      </w:r>
    </w:p>
    <w:p w:rsidRPr="001120EA" w:rsidR="00873BFC" w:rsidP="00E0163C" w:rsidRDefault="00873BFC" w14:paraId="163B00E2" w14:textId="60C8E219">
      <w:pPr>
        <w:pStyle w:val="Default"/>
      </w:pPr>
    </w:p>
    <w:p w:rsidRPr="001120EA" w:rsidR="00873BFC" w:rsidP="00E0163C" w:rsidRDefault="00873BFC" w14:paraId="163B00E3" w14:textId="77777777">
      <w:pPr>
        <w:rPr>
          <w:b/>
          <w:i/>
          <w:u w:val="single"/>
        </w:rPr>
      </w:pPr>
      <w:r w:rsidRPr="001120EA">
        <w:rPr>
          <w:b/>
          <w:i/>
          <w:u w:val="single"/>
        </w:rPr>
        <w:t>Section A.5. Impact on Small Businesses or Other Small Entities</w:t>
      </w:r>
    </w:p>
    <w:p w:rsidRPr="001120EA" w:rsidR="00DB1E2D" w:rsidP="00E0163C" w:rsidRDefault="00DB1E2D" w14:paraId="5B851029" w14:textId="77777777"/>
    <w:p w:rsidRPr="008C2EBD" w:rsidR="0034569F" w:rsidP="00E0163C" w:rsidRDefault="00923DAC" w14:paraId="107E2AC3" w14:textId="163094CB">
      <w:pPr>
        <w:rPr>
          <w:color w:val="00B050"/>
        </w:rPr>
      </w:pPr>
      <w:r w:rsidRPr="001120EA">
        <w:t>The</w:t>
      </w:r>
      <w:r w:rsidRPr="001120EA" w:rsidR="008C78AD">
        <w:t xml:space="preserve"> nationally representative sample</w:t>
      </w:r>
      <w:r w:rsidRPr="001120EA" w:rsidR="008C19DD">
        <w:t xml:space="preserve"> of hospitals asked to complete </w:t>
      </w:r>
      <w:r w:rsidRPr="001120EA">
        <w:t>the</w:t>
      </w:r>
      <w:r w:rsidRPr="001120EA" w:rsidR="008C19DD">
        <w:t xml:space="preserve"> questionnaire</w:t>
      </w:r>
      <w:r w:rsidRPr="001120EA">
        <w:t xml:space="preserve"> will </w:t>
      </w:r>
      <w:r w:rsidRPr="001120EA" w:rsidR="00F271DA">
        <w:t xml:space="preserve">likely </w:t>
      </w:r>
      <w:r w:rsidRPr="001120EA">
        <w:t xml:space="preserve">include hospitals that meet the definition of a </w:t>
      </w:r>
      <w:r w:rsidRPr="001120EA" w:rsidR="00F271DA">
        <w:t>s</w:t>
      </w:r>
      <w:r w:rsidRPr="001120EA">
        <w:t xml:space="preserve">mall </w:t>
      </w:r>
      <w:r w:rsidRPr="001120EA" w:rsidR="00F271DA">
        <w:t>b</w:t>
      </w:r>
      <w:r w:rsidRPr="001120EA">
        <w:t xml:space="preserve">usiness </w:t>
      </w:r>
      <w:r w:rsidRPr="001120EA" w:rsidR="00B563AE">
        <w:t>(</w:t>
      </w:r>
      <w:hyperlink w:history="1" w:anchor="section-header-0" r:id="rId14">
        <w:r w:rsidRPr="001120EA" w:rsidR="002D2EC7">
          <w:rPr>
            <w:rStyle w:val="Hyperlink"/>
          </w:rPr>
          <w:t>https://www.sba.gov/federal-contracting/contracting-guide/size-standards#section-header-0</w:t>
        </w:r>
      </w:hyperlink>
      <w:r w:rsidRPr="001120EA" w:rsidR="00B563AE">
        <w:t xml:space="preserve">). </w:t>
      </w:r>
      <w:r w:rsidRPr="001120EA" w:rsidR="00EE44F2">
        <w:t>To the extent that a small hospital may be considered a small busi</w:t>
      </w:r>
      <w:r w:rsidRPr="001120EA" w:rsidR="004B3345">
        <w:t>ness, t</w:t>
      </w:r>
      <w:r w:rsidRPr="001120EA" w:rsidR="00C22F16">
        <w:t xml:space="preserve">he impact of </w:t>
      </w:r>
      <w:r w:rsidR="00C13AC0">
        <w:t>this hospital survey</w:t>
      </w:r>
      <w:r w:rsidRPr="001120EA" w:rsidR="00C22F16">
        <w:t xml:space="preserve"> on any </w:t>
      </w:r>
      <w:r w:rsidRPr="001120EA" w:rsidR="003C760B">
        <w:t>such hospital</w:t>
      </w:r>
      <w:r w:rsidRPr="001120EA" w:rsidR="00C22F16">
        <w:t xml:space="preserve"> is assessed to be</w:t>
      </w:r>
      <w:r w:rsidR="005E0659">
        <w:t xml:space="preserve"> </w:t>
      </w:r>
      <w:r w:rsidR="00443311">
        <w:t>minimal</w:t>
      </w:r>
      <w:r w:rsidRPr="001120EA" w:rsidR="00C22F16">
        <w:t xml:space="preserve">. </w:t>
      </w:r>
      <w:r w:rsidRPr="001120EA" w:rsidR="00C0275D">
        <w:t xml:space="preserve">Data collection will occur one time. </w:t>
      </w:r>
      <w:r w:rsidRPr="001120EA" w:rsidR="00F271DA">
        <w:t>We an</w:t>
      </w:r>
      <w:r w:rsidRPr="001120EA" w:rsidR="00FE5019">
        <w:t xml:space="preserve">ticipate it </w:t>
      </w:r>
      <w:r w:rsidRPr="001120EA" w:rsidR="00715425">
        <w:t>will take less than one hour for a member of the hospital to complete the questionnaire</w:t>
      </w:r>
      <w:r w:rsidR="00B472B6">
        <w:t>;</w:t>
      </w:r>
      <w:r w:rsidR="009F29BD">
        <w:t xml:space="preserve"> </w:t>
      </w:r>
      <w:r w:rsidRPr="001120EA" w:rsidR="00EC4224">
        <w:t xml:space="preserve">smaller hospitals will require less time than larger hospitals because fewer people will be </w:t>
      </w:r>
      <w:r w:rsidRPr="001120EA" w:rsidR="005E0659">
        <w:t>involved,</w:t>
      </w:r>
      <w:r w:rsidRPr="001120EA" w:rsidR="00EC4224">
        <w:t xml:space="preserve"> and systems may be less complex</w:t>
      </w:r>
      <w:r w:rsidRPr="008C2EBD" w:rsidR="00EC4224">
        <w:rPr>
          <w:color w:val="00B050"/>
        </w:rPr>
        <w:t>.</w:t>
      </w:r>
      <w:r w:rsidR="008C2EBD">
        <w:rPr>
          <w:color w:val="00B050"/>
        </w:rPr>
        <w:t xml:space="preserve"> </w:t>
      </w:r>
      <w:r w:rsidRPr="00026F8E" w:rsidR="008C2EBD">
        <w:t>Similarly, s</w:t>
      </w:r>
      <w:r w:rsidRPr="00026F8E" w:rsidR="0034569F">
        <w:t>mall organizations may have fewer VTE relevant practices</w:t>
      </w:r>
      <w:r w:rsidRPr="00026F8E" w:rsidR="00443311">
        <w:t>;</w:t>
      </w:r>
      <w:r w:rsidRPr="00026F8E" w:rsidR="0034569F">
        <w:t xml:space="preserve"> given the </w:t>
      </w:r>
      <w:r w:rsidRPr="00026F8E" w:rsidR="0034569F">
        <w:rPr>
          <w:rFonts w:cs="ITC Franklin Gothic Std Book"/>
        </w:rPr>
        <w:t>computer-generated skip patterns</w:t>
      </w:r>
      <w:r w:rsidRPr="00026F8E" w:rsidR="0034569F">
        <w:t xml:space="preserve">, they </w:t>
      </w:r>
      <w:r w:rsidR="000F2EAA">
        <w:t>would probably have</w:t>
      </w:r>
      <w:r w:rsidRPr="00026F8E" w:rsidR="0034569F">
        <w:t xml:space="preserve"> fewer questions</w:t>
      </w:r>
      <w:r w:rsidR="000F2EAA">
        <w:t xml:space="preserve"> to answer</w:t>
      </w:r>
      <w:r w:rsidR="007C26EA">
        <w:t>,</w:t>
      </w:r>
      <w:r w:rsidRPr="00026F8E" w:rsidR="0034569F">
        <w:t xml:space="preserve"> which will take less time.</w:t>
      </w:r>
    </w:p>
    <w:p w:rsidR="00C91F05" w:rsidP="00E0163C" w:rsidRDefault="00C91F05" w14:paraId="3C7CD4D9" w14:textId="77777777">
      <w:pPr>
        <w:rPr>
          <w:b/>
          <w:i/>
          <w:u w:val="single"/>
        </w:rPr>
      </w:pPr>
    </w:p>
    <w:p w:rsidRPr="001120EA" w:rsidR="00873BFC" w:rsidP="00E0163C" w:rsidRDefault="00873BFC" w14:paraId="163B00E8" w14:textId="0C15D443">
      <w:pPr>
        <w:rPr>
          <w:b/>
        </w:rPr>
      </w:pPr>
      <w:r w:rsidRPr="001120EA">
        <w:rPr>
          <w:b/>
          <w:i/>
          <w:u w:val="single"/>
        </w:rPr>
        <w:t>Section A.6. Consequences of Collecting the Information Less Frequently</w:t>
      </w:r>
    </w:p>
    <w:p w:rsidR="00341996" w:rsidP="00E0163C" w:rsidRDefault="00341996" w14:paraId="10A0FBF9" w14:textId="77777777"/>
    <w:p w:rsidRPr="001120EA" w:rsidR="002416D3" w:rsidP="00E0163C" w:rsidRDefault="00873BFC" w14:paraId="2AF63F55" w14:textId="38E74717">
      <w:r w:rsidRPr="001120EA">
        <w:t xml:space="preserve">Each respondent will be asked to respond </w:t>
      </w:r>
      <w:r w:rsidRPr="001120EA" w:rsidR="00FE5019">
        <w:t>one time</w:t>
      </w:r>
      <w:r w:rsidRPr="001120EA" w:rsidR="00D55C9D">
        <w:t>.</w:t>
      </w:r>
      <w:r w:rsidRPr="001120EA">
        <w:t xml:space="preserve"> </w:t>
      </w:r>
      <w:r w:rsidRPr="001120EA" w:rsidR="00631BA6">
        <w:t xml:space="preserve">Therefore, </w:t>
      </w:r>
      <w:r w:rsidRPr="001120EA" w:rsidR="00044933">
        <w:t>there is no consequence of collecting the information less frequently</w:t>
      </w:r>
      <w:r w:rsidRPr="001120EA" w:rsidR="00631BA6">
        <w:t xml:space="preserve">. </w:t>
      </w:r>
      <w:r w:rsidRPr="001120EA" w:rsidR="002416D3">
        <w:t xml:space="preserve">There are no legal obstacles to reduce the burden. </w:t>
      </w:r>
    </w:p>
    <w:p w:rsidRPr="001120EA" w:rsidR="00BB1042" w:rsidP="00E0163C" w:rsidRDefault="00BB1042" w14:paraId="3CEF8679" w14:textId="77777777">
      <w:pPr>
        <w:rPr>
          <w:b/>
        </w:rPr>
      </w:pPr>
    </w:p>
    <w:p w:rsidRPr="001120EA" w:rsidR="00873BFC" w:rsidP="00E0163C" w:rsidRDefault="00873BFC" w14:paraId="163B00F1" w14:textId="21ADBDBD">
      <w:pPr>
        <w:rPr>
          <w:b/>
          <w:i/>
          <w:u w:val="single"/>
        </w:rPr>
      </w:pPr>
      <w:r w:rsidRPr="001120EA">
        <w:rPr>
          <w:b/>
          <w:i/>
          <w:u w:val="single"/>
        </w:rPr>
        <w:t>Section A.7. Special Circumstances Relating to the Guidelines of 5 CFR 1320.5</w:t>
      </w:r>
    </w:p>
    <w:p w:rsidRPr="001120EA" w:rsidR="00873BFC" w:rsidP="00E0163C" w:rsidRDefault="00873BFC" w14:paraId="163B00F2" w14:textId="77777777">
      <w:pPr>
        <w:rPr>
          <w:i/>
          <w:u w:val="single"/>
        </w:rPr>
      </w:pPr>
    </w:p>
    <w:p w:rsidR="00686E5D" w:rsidP="00E0163C" w:rsidRDefault="00686E5D" w14:paraId="6E5CD074" w14:textId="13AB0370">
      <w:r w:rsidRPr="001120EA">
        <w:t>This request fully complies with regulation 5 CFR 1320.5</w:t>
      </w:r>
      <w:r w:rsidRPr="001120EA" w:rsidR="00391F62">
        <w:t>.</w:t>
      </w:r>
    </w:p>
    <w:p w:rsidRPr="001120EA" w:rsidR="00FA5874" w:rsidP="00E0163C" w:rsidRDefault="00FA5874" w14:paraId="22AFA9C2" w14:textId="77777777"/>
    <w:p w:rsidRPr="001120EA" w:rsidR="00873BFC" w:rsidP="00E0163C" w:rsidRDefault="00873BFC" w14:paraId="163B00F5" w14:textId="39745C47">
      <w:pPr>
        <w:rPr>
          <w:b/>
          <w:i/>
          <w:u w:val="single"/>
        </w:rPr>
      </w:pPr>
      <w:r w:rsidRPr="001120EA">
        <w:rPr>
          <w:i/>
          <w:u w:val="single"/>
        </w:rPr>
        <w:t xml:space="preserve"> </w:t>
      </w:r>
      <w:r w:rsidRPr="001120EA">
        <w:rPr>
          <w:b/>
          <w:i/>
          <w:u w:val="single"/>
        </w:rPr>
        <w:t>Section A.8. Comments in Response to the Federal Register Notice and Efforts to Consult Outside the Agency</w:t>
      </w:r>
    </w:p>
    <w:p w:rsidRPr="001120EA" w:rsidR="00873BFC" w:rsidP="00E0163C" w:rsidRDefault="00873BFC" w14:paraId="163B00F6" w14:textId="77777777">
      <w:pPr>
        <w:rPr>
          <w:i/>
          <w:u w:val="single"/>
        </w:rPr>
      </w:pPr>
    </w:p>
    <w:p w:rsidR="007F1BED" w:rsidP="00814356" w:rsidRDefault="00873BFC" w14:paraId="5BD08417" w14:textId="554B4E69">
      <w:pPr>
        <w:pStyle w:val="ListParagraph"/>
        <w:numPr>
          <w:ilvl w:val="0"/>
          <w:numId w:val="28"/>
        </w:numPr>
        <w:spacing w:after="0" w:line="240" w:lineRule="auto"/>
        <w:rPr>
          <w:sz w:val="24"/>
          <w:szCs w:val="24"/>
        </w:rPr>
      </w:pPr>
      <w:r w:rsidRPr="001120EA">
        <w:rPr>
          <w:sz w:val="24"/>
          <w:szCs w:val="24"/>
        </w:rPr>
        <w:t xml:space="preserve">A 60-day Federal Register Notice </w:t>
      </w:r>
      <w:r w:rsidR="00814356">
        <w:rPr>
          <w:sz w:val="24"/>
          <w:szCs w:val="24"/>
        </w:rPr>
        <w:t>was published on November 19, 2020, Vol. 85, No. 224, pp. 73716-73718</w:t>
      </w:r>
      <w:r w:rsidRPr="001120EA">
        <w:rPr>
          <w:sz w:val="24"/>
          <w:szCs w:val="24"/>
        </w:rPr>
        <w:t xml:space="preserve"> (</w:t>
      </w:r>
      <w:r w:rsidRPr="001120EA">
        <w:rPr>
          <w:b/>
          <w:bCs/>
          <w:sz w:val="24"/>
          <w:szCs w:val="24"/>
        </w:rPr>
        <w:t>Attachment</w:t>
      </w:r>
      <w:r w:rsidRPr="001120EA" w:rsidR="00AD34AA">
        <w:rPr>
          <w:b/>
          <w:bCs/>
          <w:sz w:val="24"/>
          <w:szCs w:val="24"/>
        </w:rPr>
        <w:t xml:space="preserve"> </w:t>
      </w:r>
      <w:r w:rsidRPr="001120EA" w:rsidR="005654F7">
        <w:rPr>
          <w:b/>
          <w:bCs/>
          <w:sz w:val="24"/>
          <w:szCs w:val="24"/>
        </w:rPr>
        <w:t>2</w:t>
      </w:r>
      <w:r w:rsidRPr="001120EA">
        <w:rPr>
          <w:sz w:val="24"/>
          <w:szCs w:val="24"/>
        </w:rPr>
        <w:t xml:space="preserve">). </w:t>
      </w:r>
      <w:r w:rsidR="00814356">
        <w:rPr>
          <w:sz w:val="24"/>
          <w:szCs w:val="24"/>
        </w:rPr>
        <w:t xml:space="preserve"> CDC did not receive public comments related to this notice.</w:t>
      </w:r>
    </w:p>
    <w:p w:rsidRPr="001120EA" w:rsidR="00814356" w:rsidP="00814356" w:rsidRDefault="00814356" w14:paraId="450C00D0" w14:textId="77777777">
      <w:pPr>
        <w:pStyle w:val="ListParagraph"/>
        <w:spacing w:after="0" w:line="240" w:lineRule="auto"/>
        <w:rPr>
          <w:sz w:val="24"/>
          <w:szCs w:val="24"/>
        </w:rPr>
      </w:pPr>
    </w:p>
    <w:p w:rsidRPr="007C5E20" w:rsidR="007D667B" w:rsidP="00E0163C" w:rsidRDefault="007640A7" w14:paraId="3D70D9E6" w14:textId="7453C16F">
      <w:pPr>
        <w:tabs>
          <w:tab w:val="left" w:pos="720"/>
          <w:tab w:val="left" w:pos="3240"/>
        </w:tabs>
        <w:ind w:left="720" w:hanging="450"/>
        <w:rPr>
          <w:color w:val="00B050"/>
          <w:sz w:val="22"/>
          <w:szCs w:val="22"/>
        </w:rPr>
      </w:pPr>
      <w:r w:rsidRPr="007640A7">
        <w:t xml:space="preserve"> </w:t>
      </w:r>
      <w:r w:rsidRPr="007640A7" w:rsidR="007D667B">
        <w:t xml:space="preserve">B. </w:t>
      </w:r>
      <w:r w:rsidRPr="007640A7">
        <w:t xml:space="preserve"> </w:t>
      </w:r>
      <w:r w:rsidRPr="00F7418A" w:rsidR="006A03CB">
        <w:t>There were no representatives from organizations outside of CDC</w:t>
      </w:r>
      <w:r w:rsidR="001621CB">
        <w:t xml:space="preserve"> (other than the </w:t>
      </w:r>
      <w:r>
        <w:t xml:space="preserve">      </w:t>
      </w:r>
      <w:r w:rsidR="001621CB">
        <w:t xml:space="preserve">contractor, </w:t>
      </w:r>
      <w:r w:rsidR="008B2DFB">
        <w:rPr>
          <w:rFonts w:eastAsia="Calibri"/>
        </w:rPr>
        <w:t>T</w:t>
      </w:r>
      <w:r w:rsidR="0032589F">
        <w:rPr>
          <w:rFonts w:eastAsia="Calibri"/>
        </w:rPr>
        <w:t>he Joint Commission</w:t>
      </w:r>
      <w:r w:rsidR="001621CB">
        <w:t>)</w:t>
      </w:r>
      <w:r w:rsidRPr="00F7418A" w:rsidR="006A03CB">
        <w:t xml:space="preserve"> consulted and asked to review the data collection </w:t>
      </w:r>
      <w:r w:rsidRPr="009545E2" w:rsidR="006A03CB">
        <w:t xml:space="preserve">instruments for this </w:t>
      </w:r>
      <w:r w:rsidRPr="009545E2" w:rsidR="00F05645">
        <w:t>project</w:t>
      </w:r>
      <w:r w:rsidRPr="009545E2" w:rsidR="00322FFB">
        <w:t xml:space="preserve">. </w:t>
      </w:r>
      <w:r w:rsidRPr="009545E2" w:rsidR="00D62791">
        <w:t xml:space="preserve">The tool was piloted tested </w:t>
      </w:r>
      <w:r w:rsidRPr="009545E2" w:rsidR="00031C5A">
        <w:t xml:space="preserve">by </w:t>
      </w:r>
      <w:r w:rsidR="008B2DFB">
        <w:rPr>
          <w:rFonts w:eastAsia="Calibri"/>
        </w:rPr>
        <w:t>T</w:t>
      </w:r>
      <w:r w:rsidRPr="009545E2" w:rsidR="0032589F">
        <w:rPr>
          <w:rFonts w:eastAsia="Calibri"/>
        </w:rPr>
        <w:t>he Joint Commission</w:t>
      </w:r>
      <w:r w:rsidRPr="009545E2" w:rsidR="00031C5A">
        <w:t xml:space="preserve"> </w:t>
      </w:r>
      <w:r w:rsidRPr="009545E2" w:rsidR="00D62791">
        <w:t xml:space="preserve">in </w:t>
      </w:r>
      <w:r w:rsidR="004A7853">
        <w:t xml:space="preserve">9 </w:t>
      </w:r>
      <w:r w:rsidRPr="009545E2" w:rsidR="007C5E20">
        <w:t>hospitals</w:t>
      </w:r>
      <w:r w:rsidRPr="009545E2" w:rsidR="00D62791">
        <w:t xml:space="preserve"> and this information is included in </w:t>
      </w:r>
      <w:r w:rsidRPr="009545E2" w:rsidR="005E271C">
        <w:t xml:space="preserve">Supporting </w:t>
      </w:r>
      <w:r w:rsidRPr="009545E2" w:rsidR="00D62791">
        <w:t>S</w:t>
      </w:r>
      <w:r w:rsidRPr="009545E2" w:rsidR="005E271C">
        <w:t xml:space="preserve">tatement </w:t>
      </w:r>
      <w:r w:rsidRPr="009545E2" w:rsidR="00D62791">
        <w:t>B.</w:t>
      </w:r>
    </w:p>
    <w:p w:rsidR="00BB1042" w:rsidP="00E0163C" w:rsidRDefault="00BB1042" w14:paraId="02E11446" w14:textId="77777777">
      <w:pPr>
        <w:tabs>
          <w:tab w:val="left" w:pos="3240"/>
        </w:tabs>
      </w:pPr>
    </w:p>
    <w:p w:rsidRPr="001120EA" w:rsidR="00873BFC" w:rsidP="00E0163C" w:rsidRDefault="006A03CB" w14:paraId="163B00FB" w14:textId="2D641A7B">
      <w:pPr>
        <w:tabs>
          <w:tab w:val="left" w:pos="3240"/>
        </w:tabs>
      </w:pPr>
      <w:r w:rsidRPr="001120EA" w:rsidDel="006A03CB">
        <w:t xml:space="preserve"> </w:t>
      </w:r>
      <w:r w:rsidRPr="007D667B" w:rsidR="00873BFC">
        <w:rPr>
          <w:b/>
          <w:i/>
          <w:u w:val="single"/>
        </w:rPr>
        <w:t>Section A.9. Explanation of Any Payment or Gift to</w:t>
      </w:r>
      <w:r w:rsidRPr="007D667B" w:rsidR="00873BFC">
        <w:rPr>
          <w:i/>
          <w:u w:val="single"/>
        </w:rPr>
        <w:t xml:space="preserve"> </w:t>
      </w:r>
      <w:r w:rsidRPr="007D667B" w:rsidR="00873BFC">
        <w:rPr>
          <w:b/>
          <w:i/>
          <w:u w:val="single"/>
        </w:rPr>
        <w:t>Respondents</w:t>
      </w:r>
    </w:p>
    <w:p w:rsidR="00FA5874" w:rsidP="00782EB0" w:rsidRDefault="00FA5874" w14:paraId="77D78755" w14:textId="77777777">
      <w:pPr>
        <w:rPr>
          <w:bCs/>
        </w:rPr>
      </w:pPr>
    </w:p>
    <w:p w:rsidRPr="001120EA" w:rsidR="001C65A1" w:rsidP="00782EB0" w:rsidRDefault="004657D2" w14:paraId="27D3CF9A" w14:textId="5A07C9DA">
      <w:pPr>
        <w:rPr>
          <w:bCs/>
        </w:rPr>
      </w:pPr>
      <w:r>
        <w:rPr>
          <w:bCs/>
        </w:rPr>
        <w:t>N</w:t>
      </w:r>
      <w:r w:rsidR="00E558A7">
        <w:rPr>
          <w:bCs/>
        </w:rPr>
        <w:t>o</w:t>
      </w:r>
      <w:r w:rsidRPr="001120EA" w:rsidR="00CA73DB">
        <w:rPr>
          <w:bCs/>
        </w:rPr>
        <w:t xml:space="preserve"> </w:t>
      </w:r>
      <w:r w:rsidRPr="001120EA" w:rsidR="006A734D">
        <w:rPr>
          <w:bCs/>
        </w:rPr>
        <w:t xml:space="preserve">payment or gift </w:t>
      </w:r>
      <w:r w:rsidR="00E558A7">
        <w:rPr>
          <w:bCs/>
        </w:rPr>
        <w:t xml:space="preserve">will be provided </w:t>
      </w:r>
      <w:r w:rsidRPr="001120EA" w:rsidR="006A734D">
        <w:rPr>
          <w:bCs/>
        </w:rPr>
        <w:t>to respondents</w:t>
      </w:r>
    </w:p>
    <w:p w:rsidRPr="009743D4" w:rsidR="00B565DA" w:rsidP="00E0163C" w:rsidRDefault="005C7756" w14:paraId="0FCA2F94" w14:textId="507D77A7">
      <w:pPr>
        <w:rPr>
          <w:b/>
          <w:i/>
          <w:u w:val="single"/>
        </w:rPr>
      </w:pPr>
      <w:r w:rsidRPr="001120EA">
        <w:rPr>
          <w:color w:val="0070C0"/>
        </w:rPr>
        <w:br/>
      </w:r>
      <w:r w:rsidRPr="009743D4" w:rsidR="00B565DA">
        <w:rPr>
          <w:b/>
          <w:i/>
          <w:u w:val="single"/>
        </w:rPr>
        <w:t xml:space="preserve">Section A.10. Protection of the Privacy and Confidentiality of Information Provided by Respondents.  </w:t>
      </w:r>
    </w:p>
    <w:p w:rsidRPr="009743D4" w:rsidR="000D6DA1" w:rsidP="00E0163C" w:rsidRDefault="000D6DA1" w14:paraId="4780E78B" w14:textId="74B1C30F">
      <w:pPr>
        <w:pStyle w:val="Pa0"/>
        <w:spacing w:line="240" w:lineRule="auto"/>
        <w:rPr>
          <w:rFonts w:ascii="Calibri" w:hAnsi="Calibri" w:cs="Calibri"/>
          <w:sz w:val="22"/>
          <w:szCs w:val="22"/>
        </w:rPr>
      </w:pPr>
    </w:p>
    <w:p w:rsidRPr="00411723" w:rsidR="00550751" w:rsidP="00E0163C" w:rsidRDefault="00550751" w14:paraId="125BBFF5" w14:textId="714B850C">
      <w:pPr>
        <w:pStyle w:val="Default"/>
        <w:numPr>
          <w:ilvl w:val="1"/>
          <w:numId w:val="26"/>
        </w:numPr>
        <w:rPr>
          <w:color w:val="auto"/>
          <w:u w:val="single"/>
        </w:rPr>
      </w:pPr>
      <w:r w:rsidRPr="009743D4">
        <w:rPr>
          <w:bCs/>
          <w:color w:val="auto"/>
        </w:rPr>
        <w:t xml:space="preserve">  </w:t>
      </w:r>
      <w:r w:rsidRPr="009743D4">
        <w:rPr>
          <w:bCs/>
          <w:color w:val="auto"/>
          <w:u w:val="single"/>
        </w:rPr>
        <w:t>Privacy Impact Assessment</w:t>
      </w:r>
    </w:p>
    <w:p w:rsidRPr="009743D4" w:rsidR="00F915AD" w:rsidP="00E0163C" w:rsidRDefault="00F915AD" w14:paraId="53231CF9" w14:textId="77777777">
      <w:pPr>
        <w:keepNext/>
        <w:autoSpaceDE w:val="0"/>
        <w:autoSpaceDN w:val="0"/>
        <w:adjustRightInd w:val="0"/>
        <w:outlineLvl w:val="7"/>
      </w:pPr>
    </w:p>
    <w:p w:rsidR="00280C2C" w:rsidP="00E0163C" w:rsidRDefault="00280C2C" w14:paraId="03A52CA7" w14:textId="1BAC584F">
      <w:pPr>
        <w:keepNext/>
        <w:autoSpaceDE w:val="0"/>
        <w:autoSpaceDN w:val="0"/>
        <w:adjustRightInd w:val="0"/>
        <w:outlineLvl w:val="7"/>
      </w:pPr>
      <w:r>
        <w:t>The CIO’s Information Systems Security Officer</w:t>
      </w:r>
      <w:r w:rsidR="00915A1D">
        <w:t>, Cindy Allen,</w:t>
      </w:r>
      <w:r>
        <w:t xml:space="preserve"> reviewed this submission, including the Privacy </w:t>
      </w:r>
      <w:r w:rsidR="004E5E38">
        <w:t xml:space="preserve">Act </w:t>
      </w:r>
      <w:r>
        <w:t>Checklist</w:t>
      </w:r>
      <w:r w:rsidR="007D4A54">
        <w:t xml:space="preserve"> (</w:t>
      </w:r>
      <w:r w:rsidRPr="00F41BFA" w:rsidR="007D4A54">
        <w:rPr>
          <w:b/>
          <w:bCs/>
        </w:rPr>
        <w:t>Attachment</w:t>
      </w:r>
      <w:r w:rsidRPr="00F41BFA" w:rsidR="00F41BFA">
        <w:rPr>
          <w:b/>
          <w:bCs/>
        </w:rPr>
        <w:t xml:space="preserve"> </w:t>
      </w:r>
      <w:r w:rsidR="005A693C">
        <w:rPr>
          <w:b/>
          <w:bCs/>
        </w:rPr>
        <w:t>9</w:t>
      </w:r>
      <w:r w:rsidR="00F41BFA">
        <w:t xml:space="preserve">), </w:t>
      </w:r>
      <w:r w:rsidR="00570D89">
        <w:t xml:space="preserve">on January 14, 2021, </w:t>
      </w:r>
      <w:r w:rsidR="00F41BFA">
        <w:t>and determine</w:t>
      </w:r>
      <w:r w:rsidR="00570D89">
        <w:t>d that the Privacy Act does not apply (</w:t>
      </w:r>
      <w:r w:rsidRPr="00570D89" w:rsidR="00570D89">
        <w:rPr>
          <w:b/>
          <w:bCs/>
        </w:rPr>
        <w:t>Attachment 1</w:t>
      </w:r>
      <w:r w:rsidR="005A693C">
        <w:rPr>
          <w:b/>
          <w:bCs/>
        </w:rPr>
        <w:t>0</w:t>
      </w:r>
      <w:r w:rsidR="00570D89">
        <w:t>).</w:t>
      </w:r>
    </w:p>
    <w:p w:rsidR="00280C2C" w:rsidP="00E0163C" w:rsidRDefault="00280C2C" w14:paraId="310A9815" w14:textId="77777777">
      <w:pPr>
        <w:keepNext/>
        <w:autoSpaceDE w:val="0"/>
        <w:autoSpaceDN w:val="0"/>
        <w:adjustRightInd w:val="0"/>
        <w:outlineLvl w:val="7"/>
      </w:pPr>
    </w:p>
    <w:p w:rsidRPr="009743D4" w:rsidR="00676B73" w:rsidP="00E0163C" w:rsidRDefault="000434B3" w14:paraId="0267CA1D" w14:textId="72AEA55B">
      <w:pPr>
        <w:keepNext/>
        <w:autoSpaceDE w:val="0"/>
        <w:autoSpaceDN w:val="0"/>
        <w:adjustRightInd w:val="0"/>
        <w:outlineLvl w:val="7"/>
      </w:pPr>
      <w:r>
        <w:t xml:space="preserve">Activities do not involve the collection of individually identifiable information.  </w:t>
      </w:r>
      <w:r w:rsidRPr="009743D4" w:rsidR="00676B73">
        <w:t xml:space="preserve">The data being collected for this project are organization-level data.  </w:t>
      </w:r>
      <w:r w:rsidRPr="009743D4" w:rsidR="00CB6F5F">
        <w:t xml:space="preserve">The type of information being collected at an organizational level includes whether </w:t>
      </w:r>
      <w:r w:rsidR="00DC25A8">
        <w:t xml:space="preserve"> </w:t>
      </w:r>
      <w:r w:rsidR="0073611E">
        <w:t xml:space="preserve">the </w:t>
      </w:r>
      <w:r w:rsidR="00DC25A8">
        <w:t>hospital</w:t>
      </w:r>
      <w:r w:rsidR="0073611E">
        <w:t xml:space="preserve"> has a</w:t>
      </w:r>
      <w:r w:rsidRPr="009743D4" w:rsidR="00CB6F5F">
        <w:t xml:space="preserve"> VTE prevention polic</w:t>
      </w:r>
      <w:r w:rsidR="0073611E">
        <w:t>y</w:t>
      </w:r>
      <w:r w:rsidRPr="009743D4" w:rsidR="00CB6F5F">
        <w:t xml:space="preserve"> and protocol, VTE prevention team, VTE data collection and reporting, VTE risk assessment, VTE prophylaxis safety, </w:t>
      </w:r>
      <w:r w:rsidR="0073611E">
        <w:t xml:space="preserve">an </w:t>
      </w:r>
      <w:r w:rsidRPr="009743D4" w:rsidR="00CB6F5F">
        <w:t>ambulation protocol</w:t>
      </w:r>
      <w:r w:rsidR="000F39C0">
        <w:t>,</w:t>
      </w:r>
      <w:r w:rsidRPr="009743D4" w:rsidR="00CB6F5F">
        <w:t xml:space="preserve"> </w:t>
      </w:r>
      <w:r w:rsidR="000F39C0">
        <w:t xml:space="preserve">VTE </w:t>
      </w:r>
      <w:r w:rsidRPr="009743D4" w:rsidR="00CB6F5F">
        <w:t>prevention education</w:t>
      </w:r>
      <w:r w:rsidR="000F39C0">
        <w:t>,</w:t>
      </w:r>
      <w:r w:rsidRPr="009743D4" w:rsidR="00CB6F5F">
        <w:t xml:space="preserve"> and VTE prophylaxis monitoring and support.  (</w:t>
      </w:r>
      <w:r w:rsidRPr="009743D4" w:rsidR="00CB6F5F">
        <w:rPr>
          <w:b/>
          <w:bCs/>
        </w:rPr>
        <w:t>Attachment</w:t>
      </w:r>
      <w:r w:rsidR="007F05BB">
        <w:rPr>
          <w:b/>
          <w:bCs/>
        </w:rPr>
        <w:t>s</w:t>
      </w:r>
      <w:r w:rsidRPr="009743D4" w:rsidR="00CB6F5F">
        <w:rPr>
          <w:b/>
          <w:bCs/>
        </w:rPr>
        <w:t xml:space="preserve"> 3 &amp;</w:t>
      </w:r>
      <w:r w:rsidRPr="009743D4" w:rsidR="00CB6F5F">
        <w:t xml:space="preserve"> </w:t>
      </w:r>
      <w:r w:rsidRPr="009743D4" w:rsidR="00CB6F5F">
        <w:rPr>
          <w:b/>
          <w:bCs/>
        </w:rPr>
        <w:t>4</w:t>
      </w:r>
      <w:r w:rsidRPr="009743D4" w:rsidR="00CB6F5F">
        <w:t>).  Hospital demographic information from the AHA data set</w:t>
      </w:r>
      <w:r w:rsidR="004C1F46">
        <w:t xml:space="preserve"> (e.g., bed size, location, teaching status)</w:t>
      </w:r>
      <w:r w:rsidRPr="009743D4" w:rsidR="00CB6F5F">
        <w:t xml:space="preserve"> that </w:t>
      </w:r>
      <w:r w:rsidR="00093E13">
        <w:t>will be</w:t>
      </w:r>
      <w:r w:rsidRPr="009743D4" w:rsidR="00093E13">
        <w:t xml:space="preserve"> </w:t>
      </w:r>
      <w:r w:rsidRPr="009743D4" w:rsidR="00CB6F5F">
        <w:t xml:space="preserve">used to select the sample will be stored for analysis purposes but will not be asked of respondents. </w:t>
      </w:r>
    </w:p>
    <w:p w:rsidRPr="009743D4" w:rsidR="002C40C2" w:rsidP="00E0163C" w:rsidRDefault="002C40C2" w14:paraId="03E11E15" w14:textId="77777777">
      <w:pPr>
        <w:keepNext/>
        <w:autoSpaceDE w:val="0"/>
        <w:autoSpaceDN w:val="0"/>
        <w:adjustRightInd w:val="0"/>
        <w:outlineLvl w:val="7"/>
      </w:pPr>
    </w:p>
    <w:p w:rsidRPr="00B57744" w:rsidR="002C40C2" w:rsidP="00E0163C" w:rsidRDefault="00B60A2F" w14:paraId="72888145" w14:textId="609516C8">
      <w:pPr>
        <w:keepNext/>
        <w:autoSpaceDE w:val="0"/>
        <w:autoSpaceDN w:val="0"/>
        <w:adjustRightInd w:val="0"/>
        <w:outlineLvl w:val="7"/>
      </w:pPr>
      <w:r w:rsidRPr="009743D4">
        <w:t>Project activities do not involve the collection of identifiable information about individuals other than</w:t>
      </w:r>
      <w:r>
        <w:t xml:space="preserve"> the name, title, and</w:t>
      </w:r>
      <w:r w:rsidRPr="009743D4">
        <w:t xml:space="preserve"> email address</w:t>
      </w:r>
      <w:r>
        <w:t xml:space="preserve"> of the hospital contact/target respondent. </w:t>
      </w:r>
      <w:r w:rsidRPr="009743D4">
        <w:t>The proposed data collection will have no effect on the respondent’s privacy.</w:t>
      </w:r>
      <w:r>
        <w:t xml:space="preserve"> </w:t>
      </w:r>
      <w:r w:rsidRPr="009743D4" w:rsidR="00415CFD">
        <w:t xml:space="preserve">For the purpose of sending the questionnaire to the target respondent, </w:t>
      </w:r>
      <w:r w:rsidRPr="009743D4" w:rsidR="00F11186">
        <w:t>The Joint Commission</w:t>
      </w:r>
      <w:r w:rsidRPr="009743D4" w:rsidR="00415CFD">
        <w:t xml:space="preserve"> will obtain information about the title, name and email address of the respondent</w:t>
      </w:r>
      <w:r w:rsidRPr="009743D4" w:rsidR="00F915AD">
        <w:t xml:space="preserve"> from </w:t>
      </w:r>
      <w:r w:rsidRPr="009743D4" w:rsidR="00015DB0">
        <w:t xml:space="preserve">the Definitive </w:t>
      </w:r>
      <w:r w:rsidRPr="009743D4" w:rsidR="00486BE5">
        <w:t>Database (</w:t>
      </w:r>
      <w:r w:rsidRPr="009743D4" w:rsidR="00547A00">
        <w:t xml:space="preserve">Framingham, MA. URL </w:t>
      </w:r>
      <w:r w:rsidRPr="009743D4" w:rsidR="00547A00">
        <w:rPr>
          <w:rStyle w:val="HTMLCite"/>
          <w:i w:val="0"/>
          <w:iCs w:val="0"/>
        </w:rPr>
        <w:t>https://</w:t>
      </w:r>
      <w:hyperlink w:history="1" r:id="rId15">
        <w:r w:rsidRPr="009743D4" w:rsidR="00547A00">
          <w:rPr>
            <w:rStyle w:val="Hyperlink"/>
            <w:color w:val="auto"/>
          </w:rPr>
          <w:t>www.definitivehc.com</w:t>
        </w:r>
      </w:hyperlink>
      <w:r w:rsidRPr="009743D4" w:rsidR="00547A00">
        <w:t>)</w:t>
      </w:r>
      <w:r w:rsidRPr="009743D4" w:rsidR="000B3EFF">
        <w:t>.</w:t>
      </w:r>
      <w:r w:rsidRPr="009743D4" w:rsidR="00415CFD">
        <w:t xml:space="preserve"> This information along with a project-specific hospital identifying code number will be kept in a separate file by The Joint Commission </w:t>
      </w:r>
      <w:r w:rsidRPr="009743D4" w:rsidR="00F11186">
        <w:t xml:space="preserve">research project </w:t>
      </w:r>
      <w:r w:rsidRPr="00B57744" w:rsidR="00F11186">
        <w:lastRenderedPageBreak/>
        <w:t>team</w:t>
      </w:r>
      <w:r w:rsidRPr="00B57744" w:rsidR="00415CFD">
        <w:t xml:space="preserve"> and will not be sent to CDC.  CDC will only receive the project</w:t>
      </w:r>
      <w:r w:rsidRPr="00B57744" w:rsidR="001F2FF5">
        <w:t>-specific</w:t>
      </w:r>
      <w:r w:rsidRPr="00B57744" w:rsidR="00415CFD">
        <w:t xml:space="preserve"> coded hospital identifier. Within the questionnaire, </w:t>
      </w:r>
      <w:r w:rsidRPr="00B57744" w:rsidR="00980F27">
        <w:t xml:space="preserve">respondent </w:t>
      </w:r>
      <w:r w:rsidRPr="00B57744" w:rsidR="00415CFD">
        <w:t>role or title</w:t>
      </w:r>
      <w:r w:rsidRPr="00B57744" w:rsidR="003C20F3">
        <w:t xml:space="preserve"> is requested</w:t>
      </w:r>
      <w:r w:rsidRPr="00B57744" w:rsidR="00415CFD">
        <w:t xml:space="preserve"> but no other personal information about the respondents. </w:t>
      </w:r>
    </w:p>
    <w:p w:rsidRPr="00B57744" w:rsidR="00456CE6" w:rsidRDefault="00456CE6" w14:paraId="5391C0BC" w14:textId="00FB10C3">
      <w:pPr>
        <w:pStyle w:val="Default"/>
        <w:rPr>
          <w:color w:val="auto"/>
        </w:rPr>
      </w:pPr>
    </w:p>
    <w:p w:rsidRPr="00B57744" w:rsidR="00AC767F" w:rsidP="00E0163C" w:rsidRDefault="00945908" w14:paraId="50A6DE1C" w14:textId="72939F71">
      <w:pPr>
        <w:pStyle w:val="Default"/>
        <w:rPr>
          <w:rFonts w:cs="ITC Franklin Gothic Std Book"/>
          <w:b/>
          <w:i/>
          <w:color w:val="auto"/>
        </w:rPr>
      </w:pPr>
      <w:r w:rsidRPr="00B57744">
        <w:rPr>
          <w:rFonts w:cs="ITC Franklin Gothic Std Book"/>
          <w:b/>
          <w:i/>
          <w:color w:val="auto"/>
        </w:rPr>
        <w:t>Controls and safeguards designed to minimize the possibility of unauthorized access, use, or dissemination of the information being collected.</w:t>
      </w:r>
    </w:p>
    <w:p w:rsidR="00B57744" w:rsidP="00E0163C" w:rsidRDefault="00B57744" w14:paraId="753A66FF" w14:textId="77777777">
      <w:pPr>
        <w:pStyle w:val="Default"/>
        <w:rPr>
          <w:i/>
          <w:iCs/>
        </w:rPr>
      </w:pPr>
    </w:p>
    <w:p w:rsidRPr="00B57744" w:rsidR="0059388E" w:rsidP="00E0163C" w:rsidRDefault="00415CFD" w14:paraId="02D6630F" w14:textId="35D5A7DA">
      <w:pPr>
        <w:pStyle w:val="Default"/>
      </w:pPr>
      <w:r w:rsidRPr="00B57744">
        <w:t xml:space="preserve">CDC will not receive any </w:t>
      </w:r>
      <w:r w:rsidRPr="00B57744" w:rsidR="004C59EA">
        <w:t xml:space="preserve">individually </w:t>
      </w:r>
      <w:r w:rsidRPr="00B57744">
        <w:t xml:space="preserve">identifiable </w:t>
      </w:r>
      <w:r w:rsidRPr="00B57744" w:rsidR="00B60A2F">
        <w:t xml:space="preserve">or hospital identifiable </w:t>
      </w:r>
      <w:r w:rsidRPr="00B57744">
        <w:t xml:space="preserve">data.  The key to the hospital identifier codes will be kept at </w:t>
      </w:r>
      <w:r w:rsidRPr="00B57744" w:rsidR="00BA43E2">
        <w:t>the contractor site (</w:t>
      </w:r>
      <w:r w:rsidRPr="00B57744">
        <w:t>The Joint Commission Department of Research</w:t>
      </w:r>
      <w:r w:rsidRPr="00B57744" w:rsidR="00BA43E2">
        <w:t>)</w:t>
      </w:r>
      <w:r w:rsidRPr="00B57744">
        <w:t>.</w:t>
      </w:r>
      <w:r w:rsidRPr="00B57744" w:rsidR="0059388E">
        <w:t xml:space="preserve"> Data will be deidentified by the contractor before it is sent to the CDC.</w:t>
      </w:r>
    </w:p>
    <w:p w:rsidRPr="00B57744" w:rsidR="00980F27" w:rsidP="00E0163C" w:rsidRDefault="00980F27" w14:paraId="018FAC55" w14:textId="77777777">
      <w:pPr>
        <w:keepNext/>
        <w:autoSpaceDE w:val="0"/>
        <w:autoSpaceDN w:val="0"/>
        <w:adjustRightInd w:val="0"/>
        <w:outlineLvl w:val="7"/>
        <w:rPr>
          <w:i/>
        </w:rPr>
      </w:pPr>
    </w:p>
    <w:p w:rsidRPr="00B57744" w:rsidR="00550751" w:rsidP="00E0163C" w:rsidRDefault="00550751" w14:paraId="68756867" w14:textId="57FCBBDA">
      <w:pPr>
        <w:keepNext/>
        <w:autoSpaceDE w:val="0"/>
        <w:autoSpaceDN w:val="0"/>
        <w:adjustRightInd w:val="0"/>
        <w:outlineLvl w:val="7"/>
      </w:pPr>
      <w:r w:rsidRPr="00B57744">
        <w:rPr>
          <w:i/>
        </w:rPr>
        <w:t xml:space="preserve">At </w:t>
      </w:r>
      <w:r w:rsidRPr="00B57744" w:rsidR="00E537D3">
        <w:rPr>
          <w:i/>
        </w:rPr>
        <w:t>T</w:t>
      </w:r>
      <w:r w:rsidRPr="00B57744">
        <w:rPr>
          <w:i/>
        </w:rPr>
        <w:t>he Joint Commission</w:t>
      </w:r>
      <w:r w:rsidRPr="00B57744">
        <w:t>:</w:t>
      </w:r>
    </w:p>
    <w:p w:rsidRPr="00B57744" w:rsidR="00550751" w:rsidP="00E0163C" w:rsidRDefault="00BF14C5" w14:paraId="5287F651" w14:textId="7FD2F3B2">
      <w:pPr>
        <w:keepNext/>
        <w:autoSpaceDE w:val="0"/>
        <w:autoSpaceDN w:val="0"/>
        <w:adjustRightInd w:val="0"/>
        <w:outlineLvl w:val="7"/>
      </w:pPr>
      <w:r w:rsidRPr="00B57744">
        <w:t>The Joint Commission</w:t>
      </w:r>
      <w:r w:rsidRPr="00B57744" w:rsidR="001D0604">
        <w:t xml:space="preserve"> </w:t>
      </w:r>
      <w:r w:rsidRPr="00B57744" w:rsidR="00FB6FD7">
        <w:t xml:space="preserve">utilizes several </w:t>
      </w:r>
      <w:r w:rsidRPr="00B57744" w:rsidR="00D77DD0">
        <w:t xml:space="preserve">physical, </w:t>
      </w:r>
      <w:r w:rsidRPr="00B57744" w:rsidR="00EC2E16">
        <w:t>technical</w:t>
      </w:r>
      <w:r w:rsidRPr="00B57744" w:rsidR="00D77DD0">
        <w:t xml:space="preserve"> and</w:t>
      </w:r>
      <w:r w:rsidRPr="00B57744" w:rsidR="00EC2E16">
        <w:t xml:space="preserve"> administrative</w:t>
      </w:r>
      <w:r w:rsidRPr="00B57744" w:rsidR="008F7A62">
        <w:t xml:space="preserve"> controls to minimize the possibility of unauthorized access, use, or dissemination of the information being collected</w:t>
      </w:r>
      <w:r w:rsidRPr="00B57744" w:rsidR="00980F27">
        <w:t>.</w:t>
      </w:r>
    </w:p>
    <w:p w:rsidRPr="00B57744" w:rsidR="00550751" w:rsidP="00E0163C" w:rsidRDefault="00550751" w14:paraId="5F2B5BFA" w14:textId="77777777">
      <w:pPr>
        <w:keepNext/>
        <w:autoSpaceDE w:val="0"/>
        <w:autoSpaceDN w:val="0"/>
        <w:adjustRightInd w:val="0"/>
        <w:outlineLvl w:val="7"/>
      </w:pPr>
    </w:p>
    <w:p w:rsidRPr="00B57744" w:rsidR="009A5FF4" w:rsidP="00E0163C" w:rsidRDefault="00D77DD0" w14:paraId="16AD8C0E" w14:textId="08B4780E">
      <w:pPr>
        <w:keepNext/>
        <w:autoSpaceDE w:val="0"/>
        <w:autoSpaceDN w:val="0"/>
        <w:adjustRightInd w:val="0"/>
        <w:outlineLvl w:val="7"/>
      </w:pPr>
      <w:r w:rsidRPr="00B57744">
        <w:t xml:space="preserve">Physical controls include </w:t>
      </w:r>
      <w:r w:rsidRPr="00B57744" w:rsidR="006D6ED3">
        <w:t>24/7 s</w:t>
      </w:r>
      <w:r w:rsidRPr="00B57744">
        <w:t>ecurity</w:t>
      </w:r>
      <w:r w:rsidRPr="00B57744" w:rsidR="006D6ED3">
        <w:t xml:space="preserve"> o</w:t>
      </w:r>
      <w:r w:rsidRPr="00B57744">
        <w:t>fficers</w:t>
      </w:r>
      <w:r w:rsidRPr="00B57744" w:rsidR="006D6ED3">
        <w:t xml:space="preserve"> </w:t>
      </w:r>
      <w:r w:rsidRPr="00B57744" w:rsidR="004E025B">
        <w:t xml:space="preserve">at the front desk with </w:t>
      </w:r>
      <w:r w:rsidRPr="00B57744" w:rsidR="00334F99">
        <w:t xml:space="preserve">a </w:t>
      </w:r>
      <w:r w:rsidRPr="00B57744" w:rsidR="004E025B">
        <w:t>closed</w:t>
      </w:r>
      <w:r w:rsidR="00EB4C14">
        <w:t>-</w:t>
      </w:r>
      <w:r w:rsidRPr="00B57744" w:rsidR="004E025B">
        <w:t>circuit TV system.  All staff</w:t>
      </w:r>
      <w:r w:rsidRPr="00B57744" w:rsidR="008E7FC2">
        <w:t xml:space="preserve"> must wear i</w:t>
      </w:r>
      <w:r w:rsidRPr="00B57744">
        <w:t xml:space="preserve">dentification </w:t>
      </w:r>
      <w:r w:rsidRPr="00B57744" w:rsidR="008E7FC2">
        <w:t>b</w:t>
      </w:r>
      <w:r w:rsidRPr="00B57744">
        <w:t>adges</w:t>
      </w:r>
      <w:r w:rsidRPr="00B57744" w:rsidR="008E7FC2">
        <w:t xml:space="preserve"> when in the building and </w:t>
      </w:r>
      <w:r w:rsidRPr="00B57744" w:rsidR="00F747C8">
        <w:t>k</w:t>
      </w:r>
      <w:r w:rsidRPr="00B57744">
        <w:t xml:space="preserve">ey </w:t>
      </w:r>
      <w:r w:rsidRPr="00B57744" w:rsidR="00F747C8">
        <w:t>c</w:t>
      </w:r>
      <w:r w:rsidRPr="00B57744">
        <w:t>ards</w:t>
      </w:r>
      <w:r w:rsidRPr="00B57744" w:rsidR="00F747C8">
        <w:t xml:space="preserve"> are </w:t>
      </w:r>
      <w:r w:rsidRPr="00B57744" w:rsidR="006409A7">
        <w:t>required</w:t>
      </w:r>
      <w:r w:rsidRPr="00B57744" w:rsidR="00F747C8">
        <w:t xml:space="preserve"> for building access.</w:t>
      </w:r>
      <w:r w:rsidRPr="00B57744" w:rsidR="009A5FF4">
        <w:t xml:space="preserve"> </w:t>
      </w:r>
    </w:p>
    <w:p w:rsidRPr="00B57744" w:rsidR="0031555C" w:rsidP="00E0163C" w:rsidRDefault="0031555C" w14:paraId="6A1570A6" w14:textId="77777777">
      <w:pPr>
        <w:keepNext/>
        <w:autoSpaceDE w:val="0"/>
        <w:autoSpaceDN w:val="0"/>
        <w:adjustRightInd w:val="0"/>
        <w:outlineLvl w:val="7"/>
      </w:pPr>
    </w:p>
    <w:p w:rsidRPr="00B57744" w:rsidR="009A5FF4" w:rsidP="00E0163C" w:rsidRDefault="009A5FF4" w14:paraId="4C53D703" w14:textId="36BE793E">
      <w:pPr>
        <w:keepNext/>
        <w:autoSpaceDE w:val="0"/>
        <w:autoSpaceDN w:val="0"/>
        <w:adjustRightInd w:val="0"/>
        <w:outlineLvl w:val="7"/>
      </w:pPr>
      <w:r>
        <w:t>The Joint Commission</w:t>
      </w:r>
      <w:r w:rsidR="0031555C">
        <w:t xml:space="preserve"> also</w:t>
      </w:r>
      <w:r>
        <w:t xml:space="preserve"> has an active information security program that is designed to meet HIPAA regulations and </w:t>
      </w:r>
      <w:r w:rsidR="009514CB">
        <w:t>more than</w:t>
      </w:r>
      <w:r>
        <w:t xml:space="preserve"> 18 privacy and security policies that address privacy and data security. International, federal </w:t>
      </w:r>
      <w:r w:rsidR="0D2520E1">
        <w:t>and</w:t>
      </w:r>
      <w:r>
        <w:t xml:space="preserve"> state laws regulate the access, use, maintenance, transfer </w:t>
      </w:r>
      <w:r w:rsidR="009514CB">
        <w:t>and</w:t>
      </w:r>
      <w:r w:rsidR="00983BAD">
        <w:t xml:space="preserve"> </w:t>
      </w:r>
      <w:r>
        <w:t xml:space="preserve">destruction of individual personally identifiable information maintained by The Joint Commission. All systems used during the implementation of this contract are consistent with Federal Information Security Management Act (FISMA) security compliance requirements. </w:t>
      </w:r>
    </w:p>
    <w:p w:rsidRPr="00B57744" w:rsidR="009A5FF4" w:rsidP="00E0163C" w:rsidRDefault="009A5FF4" w14:paraId="476C6A7A" w14:textId="77777777">
      <w:pPr>
        <w:keepNext/>
        <w:autoSpaceDE w:val="0"/>
        <w:autoSpaceDN w:val="0"/>
        <w:adjustRightInd w:val="0"/>
        <w:outlineLvl w:val="7"/>
      </w:pPr>
    </w:p>
    <w:p w:rsidRPr="00B57744" w:rsidR="009A5FF4" w:rsidP="00E0163C" w:rsidRDefault="009A5FF4" w14:paraId="253DA2BD" w14:textId="587928B9">
      <w:pPr>
        <w:keepNext/>
        <w:autoSpaceDE w:val="0"/>
        <w:autoSpaceDN w:val="0"/>
        <w:adjustRightInd w:val="0"/>
        <w:outlineLvl w:val="7"/>
      </w:pPr>
      <w:r w:rsidRPr="00B57744">
        <w:t xml:space="preserve">To protect personally identifiable information, all Joint Commission personnel undergo training annually that addresses the following topics: awareness of any personal information with which they work; understanding the legal and contractual limitations on the use of personal information; collection, use and disclosure of personnel information consistent with the law and Joint Commission policies; proper storage or transport of personal information; and reporting of  any unauthorized access, use or disclosure. </w:t>
      </w:r>
    </w:p>
    <w:p w:rsidRPr="009743D4" w:rsidR="00550751" w:rsidP="00E0163C" w:rsidRDefault="00550751" w14:paraId="191B734E" w14:textId="624CB3CF">
      <w:pPr>
        <w:keepNext/>
        <w:autoSpaceDE w:val="0"/>
        <w:autoSpaceDN w:val="0"/>
        <w:adjustRightInd w:val="0"/>
        <w:outlineLvl w:val="7"/>
      </w:pPr>
    </w:p>
    <w:p w:rsidRPr="009743D4" w:rsidR="00A943C8" w:rsidP="00E0163C" w:rsidRDefault="00E46796" w14:paraId="7B11C8EA" w14:textId="11D51620">
      <w:pPr>
        <w:keepNext/>
        <w:autoSpaceDE w:val="0"/>
        <w:autoSpaceDN w:val="0"/>
        <w:adjustRightInd w:val="0"/>
        <w:outlineLvl w:val="7"/>
      </w:pPr>
      <w:r>
        <w:t>Regarding</w:t>
      </w:r>
      <w:r w:rsidR="00A943C8">
        <w:t xml:space="preserve"> archiving and long-term preservation of electronic data, The Joint Commission maintains an information technology network that protects any confidential information it creates, uses, maintains, or possesses, against any reasonably anticipated threats or hazard to its security and integrity. Due to the high rate of evolution </w:t>
      </w:r>
      <w:r w:rsidR="0355B8FF">
        <w:t>regarding</w:t>
      </w:r>
      <w:r w:rsidR="00A943C8">
        <w:t xml:space="preserve"> technological implementations, these systems and safeguards are regularly assessed to ensure their on-going effectiveness. </w:t>
      </w:r>
    </w:p>
    <w:p w:rsidRPr="009743D4" w:rsidR="00A943C8" w:rsidP="00E0163C" w:rsidRDefault="00A943C8" w14:paraId="06F18897" w14:textId="77777777">
      <w:pPr>
        <w:keepNext/>
        <w:autoSpaceDE w:val="0"/>
        <w:autoSpaceDN w:val="0"/>
        <w:adjustRightInd w:val="0"/>
        <w:outlineLvl w:val="7"/>
      </w:pPr>
    </w:p>
    <w:p w:rsidRPr="009743D4" w:rsidR="00A943C8" w:rsidP="00E0163C" w:rsidRDefault="00A124D6" w14:paraId="04E3D67E" w14:textId="03E0B221">
      <w:pPr>
        <w:keepNext/>
        <w:autoSpaceDE w:val="0"/>
        <w:autoSpaceDN w:val="0"/>
        <w:adjustRightInd w:val="0"/>
        <w:outlineLvl w:val="7"/>
        <w:rPr>
          <w:i/>
        </w:rPr>
      </w:pPr>
      <w:r w:rsidRPr="009743D4">
        <w:rPr>
          <w:i/>
        </w:rPr>
        <w:t>Protecting d</w:t>
      </w:r>
      <w:r w:rsidRPr="009743D4" w:rsidR="00A943C8">
        <w:rPr>
          <w:i/>
        </w:rPr>
        <w:t>ata collect</w:t>
      </w:r>
      <w:r w:rsidRPr="009743D4">
        <w:rPr>
          <w:i/>
        </w:rPr>
        <w:t xml:space="preserve">ed </w:t>
      </w:r>
      <w:r w:rsidRPr="009743D4" w:rsidR="006409A7">
        <w:rPr>
          <w:i/>
        </w:rPr>
        <w:t xml:space="preserve">specifically </w:t>
      </w:r>
      <w:r w:rsidRPr="009743D4" w:rsidR="00A943C8">
        <w:rPr>
          <w:i/>
        </w:rPr>
        <w:t>for this project</w:t>
      </w:r>
    </w:p>
    <w:p w:rsidR="00A124D6" w:rsidP="007E5125" w:rsidRDefault="00065256" w14:paraId="1E464563" w14:textId="4049A635">
      <w:pPr>
        <w:autoSpaceDE w:val="0"/>
        <w:autoSpaceDN w:val="0"/>
        <w:adjustRightInd w:val="0"/>
        <w:outlineLvl w:val="7"/>
      </w:pPr>
      <w:r w:rsidRPr="009743D4">
        <w:t>The participants in the project will complete a questionnaire that is administered electronically through the Qualtrics</w:t>
      </w:r>
      <w:r w:rsidRPr="009743D4">
        <w:rPr>
          <w:vertAlign w:val="superscript"/>
        </w:rPr>
        <w:t>XM</w:t>
      </w:r>
      <w:r w:rsidRPr="009743D4">
        <w:t xml:space="preserve"> </w:t>
      </w:r>
      <w:r w:rsidRPr="009743D4" w:rsidR="00584ABF">
        <w:t>(</w:t>
      </w:r>
      <w:hyperlink w:history="1" r:id="rId16">
        <w:r w:rsidRPr="009743D4" w:rsidR="00584ABF">
          <w:rPr>
            <w:rStyle w:val="Hyperlink"/>
            <w:color w:val="auto"/>
          </w:rPr>
          <w:t>Provo, UT</w:t>
        </w:r>
      </w:hyperlink>
      <w:r w:rsidRPr="009743D4" w:rsidR="00584ABF">
        <w:t xml:space="preserve">, </w:t>
      </w:r>
      <w:hyperlink w:history="1" r:id="rId17">
        <w:r w:rsidRPr="009743D4" w:rsidR="00584ABF">
          <w:rPr>
            <w:rStyle w:val="Hyperlink"/>
            <w:color w:val="auto"/>
          </w:rPr>
          <w:t>https://www.qualtrics.com</w:t>
        </w:r>
      </w:hyperlink>
      <w:r w:rsidRPr="009743D4" w:rsidR="00584ABF">
        <w:t xml:space="preserve">) </w:t>
      </w:r>
      <w:r w:rsidRPr="009743D4">
        <w:t xml:space="preserve">platform.  </w:t>
      </w:r>
      <w:r w:rsidRPr="009743D4" w:rsidR="00A124D6">
        <w:t>Each participant will</w:t>
      </w:r>
      <w:r w:rsidRPr="000B56FD" w:rsidR="000B56FD">
        <w:t xml:space="preserve"> </w:t>
      </w:r>
      <w:r w:rsidRPr="009743D4" w:rsidR="000B56FD">
        <w:t>receive a unique link to the questionnaire which is non-sharable and only usable by the targeted respondent. There will be no face to face interaction.</w:t>
      </w:r>
    </w:p>
    <w:p w:rsidRPr="009743D4" w:rsidR="007E5125" w:rsidP="007E5125" w:rsidRDefault="007E5125" w14:paraId="647A24C8" w14:textId="77777777">
      <w:pPr>
        <w:autoSpaceDE w:val="0"/>
        <w:autoSpaceDN w:val="0"/>
        <w:adjustRightInd w:val="0"/>
        <w:outlineLvl w:val="7"/>
      </w:pPr>
    </w:p>
    <w:p w:rsidRPr="009743D4" w:rsidR="00A124D6" w:rsidP="00E0163C" w:rsidRDefault="00A124D6" w14:paraId="70506EE8" w14:textId="6BFF0E84">
      <w:pPr>
        <w:keepNext/>
        <w:autoSpaceDE w:val="0"/>
        <w:autoSpaceDN w:val="0"/>
        <w:adjustRightInd w:val="0"/>
        <w:outlineLvl w:val="7"/>
      </w:pPr>
      <w:r w:rsidRPr="009743D4">
        <w:lastRenderedPageBreak/>
        <w:t xml:space="preserve">Data will be stored in a password-protected electronic format securely accessed only by research project staff. </w:t>
      </w:r>
    </w:p>
    <w:p w:rsidRPr="009743D4" w:rsidR="00550751" w:rsidP="00E0163C" w:rsidRDefault="00550751" w14:paraId="2409D6C8" w14:textId="77777777">
      <w:pPr>
        <w:keepNext/>
        <w:autoSpaceDE w:val="0"/>
        <w:autoSpaceDN w:val="0"/>
        <w:adjustRightInd w:val="0"/>
        <w:outlineLvl w:val="7"/>
      </w:pPr>
    </w:p>
    <w:p w:rsidRPr="009743D4" w:rsidR="0020495F" w:rsidP="00E0163C" w:rsidRDefault="003170D9" w14:paraId="02DEBB4C" w14:textId="59176F83">
      <w:pPr>
        <w:keepNext/>
        <w:autoSpaceDE w:val="0"/>
        <w:autoSpaceDN w:val="0"/>
        <w:adjustRightInd w:val="0"/>
        <w:outlineLvl w:val="7"/>
      </w:pPr>
      <w:r w:rsidRPr="009743D4">
        <w:t xml:space="preserve">In order to protect the confidentiality of participants, research findings will be de-identified in all reports and publications. </w:t>
      </w:r>
      <w:r w:rsidRPr="009743D4" w:rsidR="00FE2FD9">
        <w:t>All results will be reported in aggregate only. No information that identifies facilities will be released without specific permission from participating organizations.</w:t>
      </w:r>
      <w:r w:rsidRPr="009743D4" w:rsidR="00BA43E2">
        <w:t xml:space="preserve"> </w:t>
      </w:r>
      <w:r w:rsidRPr="00232006" w:rsidR="00F967B1">
        <w:t xml:space="preserve">Project </w:t>
      </w:r>
      <w:r w:rsidRPr="00232006" w:rsidR="00BA43E2">
        <w:t>data will be retained for five years after the completion of the project.</w:t>
      </w:r>
    </w:p>
    <w:p w:rsidRPr="009743D4" w:rsidR="003170D9" w:rsidP="00E0163C" w:rsidRDefault="003170D9" w14:paraId="7EDD56B5" w14:textId="77777777">
      <w:pPr>
        <w:keepNext/>
        <w:autoSpaceDE w:val="0"/>
        <w:autoSpaceDN w:val="0"/>
        <w:adjustRightInd w:val="0"/>
        <w:outlineLvl w:val="7"/>
        <w:rPr>
          <w:rStyle w:val="normaltextrun"/>
          <w:shd w:val="clear" w:color="auto" w:fill="FFFFFF"/>
        </w:rPr>
      </w:pPr>
    </w:p>
    <w:p w:rsidRPr="009743D4" w:rsidR="00065256" w:rsidP="00E0163C" w:rsidRDefault="003170D9" w14:paraId="46FE3EB7" w14:textId="26799082">
      <w:pPr>
        <w:keepNext/>
        <w:autoSpaceDE w:val="0"/>
        <w:autoSpaceDN w:val="0"/>
        <w:adjustRightInd w:val="0"/>
        <w:outlineLvl w:val="7"/>
        <w:rPr>
          <w:rStyle w:val="normaltextrun"/>
          <w:shd w:val="clear" w:color="auto" w:fill="FFFFFF"/>
        </w:rPr>
      </w:pPr>
      <w:r w:rsidRPr="009743D4">
        <w:rPr>
          <w:rStyle w:val="normaltextrun"/>
          <w:shd w:val="clear" w:color="auto" w:fill="FFFFFF"/>
        </w:rPr>
        <w:t xml:space="preserve">It is possible that some hospitals participating may be accredited by </w:t>
      </w:r>
      <w:r w:rsidR="008B2DFB">
        <w:rPr>
          <w:rStyle w:val="normaltextrun"/>
          <w:shd w:val="clear" w:color="auto" w:fill="FFFFFF"/>
        </w:rPr>
        <w:t>T</w:t>
      </w:r>
      <w:r w:rsidRPr="009743D4">
        <w:rPr>
          <w:rStyle w:val="normaltextrun"/>
          <w:shd w:val="clear" w:color="auto" w:fill="FFFFFF"/>
        </w:rPr>
        <w:t>he Joint Commission and may have concerns about whether this response will relate to accreditation activities. Respondents will be informed</w:t>
      </w:r>
      <w:r w:rsidRPr="009743D4" w:rsidR="003F64DB">
        <w:rPr>
          <w:rStyle w:val="normaltextrun"/>
          <w:shd w:val="clear" w:color="auto" w:fill="FFFFFF"/>
        </w:rPr>
        <w:t xml:space="preserve"> </w:t>
      </w:r>
      <w:r w:rsidRPr="009743D4" w:rsidR="00F87538">
        <w:rPr>
          <w:rStyle w:val="normaltextrun"/>
          <w:shd w:val="clear" w:color="auto" w:fill="FFFFFF"/>
        </w:rPr>
        <w:t xml:space="preserve">during recruitment using the project information sheet </w:t>
      </w:r>
      <w:r w:rsidRPr="009743D4">
        <w:rPr>
          <w:rStyle w:val="normaltextrun"/>
          <w:shd w:val="clear" w:color="auto" w:fill="FFFFFF"/>
        </w:rPr>
        <w:t xml:space="preserve">that participation in this research is completely unrelated to The Joint Commission’s accreditation process. There is a firewall between the data received from research and accreditation-related activities. Thus, data collected as part of this project will be not be shared with persons other than those directly involved in </w:t>
      </w:r>
      <w:r w:rsidR="00F967B1">
        <w:rPr>
          <w:rStyle w:val="normaltextrun"/>
          <w:shd w:val="clear" w:color="auto" w:fill="FFFFFF"/>
        </w:rPr>
        <w:t>this project</w:t>
      </w:r>
      <w:r w:rsidRPr="009743D4">
        <w:rPr>
          <w:rStyle w:val="normaltextrun"/>
          <w:shd w:val="clear" w:color="auto" w:fill="FFFFFF"/>
        </w:rPr>
        <w:t xml:space="preserve">. </w:t>
      </w:r>
    </w:p>
    <w:p w:rsidRPr="009743D4" w:rsidR="00AD489F" w:rsidP="00E0163C" w:rsidRDefault="00AD489F" w14:paraId="0B95CE1D" w14:textId="77777777">
      <w:pPr>
        <w:pStyle w:val="ListBullet"/>
        <w:numPr>
          <w:ilvl w:val="0"/>
          <w:numId w:val="0"/>
        </w:numPr>
        <w:ind w:left="1440" w:hanging="360"/>
        <w:rPr>
          <w:bCs/>
          <w:sz w:val="24"/>
          <w:szCs w:val="24"/>
        </w:rPr>
      </w:pPr>
    </w:p>
    <w:p w:rsidRPr="000B10DE" w:rsidR="0072585D" w:rsidRDefault="0072585D" w14:paraId="4FE3E8FA" w14:textId="356A6CEF">
      <w:pPr>
        <w:pStyle w:val="ListBullet"/>
        <w:numPr>
          <w:ilvl w:val="0"/>
          <w:numId w:val="0"/>
        </w:numPr>
        <w:rPr>
          <w:bCs/>
          <w:sz w:val="24"/>
          <w:szCs w:val="24"/>
        </w:rPr>
      </w:pPr>
      <w:r w:rsidRPr="0026684A">
        <w:rPr>
          <w:bCs/>
          <w:sz w:val="24"/>
          <w:szCs w:val="24"/>
          <w:u w:val="single"/>
        </w:rPr>
        <w:t>I</w:t>
      </w:r>
      <w:r w:rsidRPr="00DF24A9">
        <w:rPr>
          <w:bCs/>
          <w:sz w:val="24"/>
          <w:szCs w:val="24"/>
          <w:u w:val="single"/>
        </w:rPr>
        <w:t>den</w:t>
      </w:r>
      <w:r w:rsidRPr="00D6530A">
        <w:rPr>
          <w:bCs/>
          <w:sz w:val="24"/>
          <w:szCs w:val="24"/>
          <w:u w:val="single"/>
        </w:rPr>
        <w:t>tification o</w:t>
      </w:r>
      <w:r w:rsidRPr="00EF6FBB">
        <w:rPr>
          <w:bCs/>
          <w:sz w:val="24"/>
          <w:szCs w:val="24"/>
          <w:u w:val="single"/>
        </w:rPr>
        <w:t xml:space="preserve">f </w:t>
      </w:r>
      <w:r w:rsidRPr="008354D7">
        <w:rPr>
          <w:bCs/>
          <w:sz w:val="24"/>
          <w:szCs w:val="24"/>
          <w:u w:val="single"/>
        </w:rPr>
        <w:t>W</w:t>
      </w:r>
      <w:r w:rsidRPr="00F967B1">
        <w:rPr>
          <w:bCs/>
          <w:sz w:val="24"/>
          <w:szCs w:val="24"/>
          <w:u w:val="single"/>
        </w:rPr>
        <w:t>ebsite(s) and Website Cont</w:t>
      </w:r>
      <w:r w:rsidRPr="00AC767F">
        <w:rPr>
          <w:bCs/>
          <w:sz w:val="24"/>
          <w:szCs w:val="24"/>
          <w:u w:val="single"/>
        </w:rPr>
        <w:t>ent Directed a</w:t>
      </w:r>
      <w:r w:rsidRPr="000B10DE">
        <w:rPr>
          <w:bCs/>
          <w:sz w:val="24"/>
          <w:szCs w:val="24"/>
          <w:u w:val="single"/>
        </w:rPr>
        <w:t xml:space="preserve">t Children Under 13 Years of Age </w:t>
      </w:r>
    </w:p>
    <w:p w:rsidRPr="00CB7302" w:rsidR="003C585F" w:rsidP="00E0163C" w:rsidRDefault="003C585F" w14:paraId="39DC5E0F" w14:textId="5611486E">
      <w:pPr>
        <w:pStyle w:val="ListBullet"/>
        <w:numPr>
          <w:ilvl w:val="0"/>
          <w:numId w:val="0"/>
        </w:numPr>
        <w:ind w:left="1080"/>
        <w:rPr>
          <w:bCs/>
          <w:sz w:val="24"/>
          <w:szCs w:val="24"/>
        </w:rPr>
      </w:pPr>
    </w:p>
    <w:p w:rsidR="002374B6" w:rsidP="00E0163C" w:rsidRDefault="0089546E" w14:paraId="2F449A96" w14:textId="77777777">
      <w:pPr>
        <w:pStyle w:val="ListBullet"/>
        <w:numPr>
          <w:ilvl w:val="0"/>
          <w:numId w:val="0"/>
        </w:numPr>
        <w:tabs>
          <w:tab w:val="left" w:pos="90"/>
        </w:tabs>
        <w:ind w:left="90" w:hanging="90"/>
        <w:rPr>
          <w:bCs/>
          <w:sz w:val="24"/>
          <w:szCs w:val="24"/>
        </w:rPr>
      </w:pPr>
      <w:r w:rsidRPr="00D537DA">
        <w:rPr>
          <w:bCs/>
          <w:sz w:val="24"/>
          <w:szCs w:val="24"/>
        </w:rPr>
        <w:t>N</w:t>
      </w:r>
      <w:r w:rsidRPr="00DA56E1">
        <w:rPr>
          <w:bCs/>
          <w:sz w:val="24"/>
          <w:szCs w:val="24"/>
        </w:rPr>
        <w:t>ot</w:t>
      </w:r>
      <w:r w:rsidRPr="00B23ED6">
        <w:rPr>
          <w:bCs/>
          <w:sz w:val="24"/>
          <w:szCs w:val="24"/>
        </w:rPr>
        <w:t xml:space="preserve"> </w:t>
      </w:r>
      <w:r w:rsidRPr="009743D4">
        <w:rPr>
          <w:bCs/>
          <w:sz w:val="24"/>
          <w:szCs w:val="24"/>
        </w:rPr>
        <w:t>applica</w:t>
      </w:r>
      <w:r w:rsidRPr="009743D4" w:rsidR="003C585F">
        <w:rPr>
          <w:bCs/>
          <w:sz w:val="24"/>
          <w:szCs w:val="24"/>
        </w:rPr>
        <w:t>ble</w:t>
      </w:r>
      <w:r w:rsidRPr="009743D4" w:rsidR="00A8475B">
        <w:rPr>
          <w:bCs/>
          <w:sz w:val="24"/>
          <w:szCs w:val="24"/>
        </w:rPr>
        <w:t xml:space="preserve">. There </w:t>
      </w:r>
      <w:r w:rsidRPr="009743D4" w:rsidR="00953F96">
        <w:rPr>
          <w:bCs/>
          <w:sz w:val="24"/>
          <w:szCs w:val="24"/>
        </w:rPr>
        <w:t xml:space="preserve">will be </w:t>
      </w:r>
      <w:r w:rsidRPr="009743D4" w:rsidR="00A8475B">
        <w:rPr>
          <w:bCs/>
          <w:sz w:val="24"/>
          <w:szCs w:val="24"/>
        </w:rPr>
        <w:t xml:space="preserve">no websites </w:t>
      </w:r>
      <w:r w:rsidRPr="009743D4" w:rsidR="000E0F1D">
        <w:rPr>
          <w:bCs/>
          <w:sz w:val="24"/>
          <w:szCs w:val="24"/>
        </w:rPr>
        <w:t>with</w:t>
      </w:r>
      <w:r w:rsidRPr="009743D4" w:rsidR="00A8475B">
        <w:rPr>
          <w:bCs/>
          <w:sz w:val="24"/>
          <w:szCs w:val="24"/>
        </w:rPr>
        <w:t xml:space="preserve"> website content directed at </w:t>
      </w:r>
      <w:r w:rsidRPr="009743D4" w:rsidR="00687C26">
        <w:rPr>
          <w:bCs/>
          <w:sz w:val="24"/>
          <w:szCs w:val="24"/>
        </w:rPr>
        <w:t>children</w:t>
      </w:r>
      <w:r w:rsidRPr="009743D4" w:rsidR="00F047FB">
        <w:rPr>
          <w:bCs/>
          <w:sz w:val="24"/>
          <w:szCs w:val="24"/>
        </w:rPr>
        <w:t xml:space="preserve"> </w:t>
      </w:r>
      <w:r w:rsidRPr="009743D4" w:rsidR="00687C26">
        <w:rPr>
          <w:bCs/>
          <w:sz w:val="24"/>
          <w:szCs w:val="24"/>
        </w:rPr>
        <w:t>under 13</w:t>
      </w:r>
    </w:p>
    <w:p w:rsidRPr="009743D4" w:rsidR="0072585D" w:rsidP="00E0163C" w:rsidRDefault="00687C26" w14:paraId="756D97C2" w14:textId="05231E0D">
      <w:pPr>
        <w:pStyle w:val="ListBullet"/>
        <w:numPr>
          <w:ilvl w:val="0"/>
          <w:numId w:val="0"/>
        </w:numPr>
        <w:tabs>
          <w:tab w:val="left" w:pos="90"/>
        </w:tabs>
        <w:ind w:left="90" w:hanging="90"/>
        <w:rPr>
          <w:bCs/>
          <w:sz w:val="24"/>
          <w:szCs w:val="24"/>
        </w:rPr>
      </w:pPr>
      <w:r w:rsidRPr="009743D4">
        <w:rPr>
          <w:bCs/>
          <w:sz w:val="24"/>
          <w:szCs w:val="24"/>
        </w:rPr>
        <w:t>years of age.</w:t>
      </w:r>
      <w:r w:rsidRPr="009743D4" w:rsidR="003C585F">
        <w:rPr>
          <w:bCs/>
          <w:sz w:val="24"/>
          <w:szCs w:val="24"/>
        </w:rPr>
        <w:t xml:space="preserve"> </w:t>
      </w:r>
    </w:p>
    <w:p w:rsidRPr="009743D4" w:rsidR="00BB1042" w:rsidP="00E0163C" w:rsidRDefault="00BB1042" w14:paraId="40831F93" w14:textId="77777777">
      <w:pPr>
        <w:rPr>
          <w:b/>
          <w:i/>
          <w:u w:val="single"/>
        </w:rPr>
      </w:pPr>
    </w:p>
    <w:p w:rsidRPr="009743D4" w:rsidR="000D3006" w:rsidP="00E0163C" w:rsidRDefault="00AD1391" w14:paraId="7E2E1DAF" w14:textId="4AAC6B4D">
      <w:pPr>
        <w:rPr>
          <w:b/>
          <w:i/>
          <w:u w:val="single"/>
        </w:rPr>
      </w:pPr>
      <w:r w:rsidRPr="009743D4">
        <w:rPr>
          <w:b/>
          <w:i/>
          <w:u w:val="single"/>
        </w:rPr>
        <w:t xml:space="preserve">Section A.11. Institutional Review Board (IRB) and Justification for Sensitive Questions </w:t>
      </w:r>
    </w:p>
    <w:p w:rsidRPr="009743D4" w:rsidR="00873BFC" w:rsidP="00E0163C" w:rsidRDefault="00873BFC" w14:paraId="163B012B" w14:textId="77777777"/>
    <w:p w:rsidRPr="008354D7" w:rsidR="00C84E2B" w:rsidP="00E0163C" w:rsidRDefault="00C84E2B" w14:paraId="082B8F16" w14:textId="77777777">
      <w:pPr>
        <w:rPr>
          <w:u w:val="single"/>
        </w:rPr>
      </w:pPr>
      <w:r w:rsidRPr="004E6E13">
        <w:rPr>
          <w:u w:val="single"/>
        </w:rPr>
        <w:t>I</w:t>
      </w:r>
      <w:r w:rsidRPr="0026684A">
        <w:rPr>
          <w:u w:val="single"/>
        </w:rPr>
        <w:t>nstitu</w:t>
      </w:r>
      <w:r w:rsidRPr="00DF24A9">
        <w:rPr>
          <w:u w:val="single"/>
        </w:rPr>
        <w:t>tional Re</w:t>
      </w:r>
      <w:r w:rsidRPr="00D6530A">
        <w:rPr>
          <w:u w:val="single"/>
        </w:rPr>
        <w:t xml:space="preserve">view </w:t>
      </w:r>
      <w:r w:rsidRPr="00EF6FBB">
        <w:rPr>
          <w:u w:val="single"/>
        </w:rPr>
        <w:t>Board Approval</w:t>
      </w:r>
    </w:p>
    <w:p w:rsidRPr="009743D4" w:rsidR="004522A7" w:rsidP="001A49E0" w:rsidRDefault="00C84E2B" w14:paraId="39A642CC" w14:textId="62E4A3BF">
      <w:r w:rsidRPr="00AC767F">
        <w:t>A proposal describing</w:t>
      </w:r>
      <w:r w:rsidRPr="000B10DE">
        <w:t xml:space="preserve"> t</w:t>
      </w:r>
      <w:r w:rsidRPr="00232006">
        <w:t>he project was subm</w:t>
      </w:r>
      <w:r w:rsidRPr="00CB7302">
        <w:t xml:space="preserve">itted to Scott Campbell, BSN, MSPH, Health Scientist, Centers </w:t>
      </w:r>
      <w:r w:rsidRPr="00D537DA">
        <w:t>for Disease Control a</w:t>
      </w:r>
      <w:r w:rsidRPr="00DA56E1">
        <w:t>n</w:t>
      </w:r>
      <w:r w:rsidRPr="00B23ED6">
        <w:t>d P</w:t>
      </w:r>
      <w:r w:rsidRPr="009743D4">
        <w:t xml:space="preserve">revention. It </w:t>
      </w:r>
      <w:r w:rsidRPr="009743D4">
        <w:rPr>
          <w:lang w:val="en"/>
        </w:rPr>
        <w:t>was reviewed by the NCBDDD Human Subjects Contact and on November 18, 2018 it was determined to be Non-Research: Public Health Practice—Surveillance (</w:t>
      </w:r>
      <w:r w:rsidRPr="009743D4">
        <w:rPr>
          <w:b/>
          <w:bCs/>
          <w:lang w:val="en"/>
        </w:rPr>
        <w:t xml:space="preserve">Attachment </w:t>
      </w:r>
      <w:r w:rsidR="00BB28AA">
        <w:rPr>
          <w:b/>
          <w:bCs/>
          <w:lang w:val="en"/>
        </w:rPr>
        <w:t>8</w:t>
      </w:r>
      <w:r w:rsidRPr="009743D4">
        <w:rPr>
          <w:lang w:val="en"/>
        </w:rPr>
        <w:t xml:space="preserve">). </w:t>
      </w:r>
      <w:r w:rsidRPr="009743D4">
        <w:t>Since the project is not considered to be research, no further action is required by CDC for human subjects protections in accordance with federal regulation for the protection of human subjects in research.</w:t>
      </w:r>
      <w:r w:rsidR="00623804">
        <w:t xml:space="preserve"> In addition</w:t>
      </w:r>
      <w:r w:rsidRPr="009743D4">
        <w:t>,</w:t>
      </w:r>
      <w:r w:rsidRPr="009743D4" w:rsidR="001D54BE">
        <w:t xml:space="preserve"> </w:t>
      </w:r>
      <w:r w:rsidR="007C6B06">
        <w:t>this project does not involve the collection of</w:t>
      </w:r>
      <w:r w:rsidRPr="009743D4" w:rsidR="007C6B06">
        <w:t xml:space="preserve"> </w:t>
      </w:r>
      <w:r w:rsidRPr="009743D4" w:rsidR="001D54BE">
        <w:t xml:space="preserve">sensitive </w:t>
      </w:r>
      <w:r w:rsidR="007C6B06">
        <w:t>information</w:t>
      </w:r>
      <w:r w:rsidRPr="009743D4" w:rsidR="001D54BE">
        <w:t xml:space="preserve">. </w:t>
      </w:r>
    </w:p>
    <w:p w:rsidRPr="009743D4" w:rsidR="00BB1042" w:rsidP="00E0163C" w:rsidRDefault="00BB1042" w14:paraId="381E25CB" w14:textId="77777777"/>
    <w:p w:rsidRPr="00CB7302" w:rsidR="004522A7" w:rsidP="00E0163C" w:rsidRDefault="00873BFC" w14:paraId="7A0D2684" w14:textId="77777777">
      <w:pPr>
        <w:rPr>
          <w:b/>
          <w:i/>
          <w:u w:val="single"/>
        </w:rPr>
      </w:pPr>
      <w:r w:rsidRPr="004E6E13">
        <w:rPr>
          <w:b/>
          <w:i/>
          <w:u w:val="single"/>
        </w:rPr>
        <w:t xml:space="preserve">Section </w:t>
      </w:r>
      <w:r w:rsidRPr="0026684A">
        <w:rPr>
          <w:b/>
          <w:i/>
          <w:u w:val="single"/>
        </w:rPr>
        <w:t>A</w:t>
      </w:r>
      <w:r w:rsidRPr="00DF24A9" w:rsidR="00D217AF">
        <w:rPr>
          <w:b/>
          <w:i/>
          <w:u w:val="single"/>
        </w:rPr>
        <w:t>.</w:t>
      </w:r>
      <w:r w:rsidRPr="00D6530A">
        <w:rPr>
          <w:b/>
          <w:i/>
          <w:u w:val="single"/>
        </w:rPr>
        <w:t>12. Es</w:t>
      </w:r>
      <w:r w:rsidRPr="00EF6FBB">
        <w:rPr>
          <w:b/>
          <w:i/>
          <w:u w:val="single"/>
        </w:rPr>
        <w:t>timat</w:t>
      </w:r>
      <w:r w:rsidRPr="008354D7">
        <w:rPr>
          <w:b/>
          <w:i/>
          <w:u w:val="single"/>
        </w:rPr>
        <w:t>es of</w:t>
      </w:r>
      <w:r w:rsidRPr="00F967B1">
        <w:rPr>
          <w:b/>
          <w:i/>
          <w:u w:val="single"/>
        </w:rPr>
        <w:t xml:space="preserve"> Annua</w:t>
      </w:r>
      <w:r w:rsidRPr="00AC767F">
        <w:rPr>
          <w:b/>
          <w:i/>
          <w:u w:val="single"/>
        </w:rPr>
        <w:t>lized Bur</w:t>
      </w:r>
      <w:r w:rsidRPr="000B10DE">
        <w:rPr>
          <w:b/>
          <w:i/>
          <w:u w:val="single"/>
        </w:rPr>
        <w:t>den</w:t>
      </w:r>
      <w:r w:rsidRPr="00232006">
        <w:rPr>
          <w:b/>
          <w:i/>
          <w:u w:val="single"/>
        </w:rPr>
        <w:t xml:space="preserve"> Ho</w:t>
      </w:r>
      <w:r w:rsidRPr="00CB7302">
        <w:rPr>
          <w:b/>
          <w:i/>
          <w:u w:val="single"/>
        </w:rPr>
        <w:t>urs and Costs</w:t>
      </w:r>
    </w:p>
    <w:p w:rsidRPr="00D537DA" w:rsidR="004522A7" w:rsidP="00E0163C" w:rsidRDefault="004522A7" w14:paraId="35D5DC3F" w14:textId="77777777">
      <w:pPr>
        <w:rPr>
          <w:b/>
          <w:i/>
          <w:u w:val="single"/>
        </w:rPr>
      </w:pPr>
    </w:p>
    <w:p w:rsidRPr="009743D4" w:rsidR="00B7620C" w:rsidP="00E0163C" w:rsidRDefault="00B7620C" w14:paraId="5ED3B68F" w14:textId="77777777">
      <w:pPr>
        <w:pStyle w:val="CommentText"/>
        <w:rPr>
          <w:sz w:val="24"/>
          <w:szCs w:val="24"/>
        </w:rPr>
      </w:pPr>
      <w:r w:rsidRPr="00DA56E1">
        <w:rPr>
          <w:sz w:val="24"/>
          <w:szCs w:val="24"/>
        </w:rPr>
        <w:t>Bas</w:t>
      </w:r>
      <w:r w:rsidRPr="00B23ED6">
        <w:rPr>
          <w:sz w:val="24"/>
          <w:szCs w:val="24"/>
        </w:rPr>
        <w:t>ed</w:t>
      </w:r>
      <w:r w:rsidRPr="009743D4">
        <w:rPr>
          <w:sz w:val="24"/>
          <w:szCs w:val="24"/>
        </w:rPr>
        <w:t xml:space="preserve"> on statistical power analyses, the desired number of respondents is at least 384.</w:t>
      </w:r>
    </w:p>
    <w:p w:rsidR="0042764A" w:rsidP="001E5E91" w:rsidRDefault="000E5C00" w14:paraId="1E166F13" w14:textId="450DC6AD">
      <w:pPr>
        <w:rPr>
          <w:b/>
          <w:color w:val="000000"/>
          <w:u w:val="single"/>
        </w:rPr>
      </w:pPr>
      <w:r w:rsidRPr="009743D4">
        <w:t xml:space="preserve">Each respondent will </w:t>
      </w:r>
      <w:r w:rsidRPr="009743D4" w:rsidR="00696320">
        <w:t>take approximately</w:t>
      </w:r>
      <w:r w:rsidRPr="009743D4" w:rsidR="008472BD">
        <w:t xml:space="preserve"> one</w:t>
      </w:r>
      <w:r w:rsidRPr="009743D4" w:rsidR="00696320">
        <w:t xml:space="preserve"> </w:t>
      </w:r>
      <w:r w:rsidRPr="009743D4" w:rsidR="009241ED">
        <w:t>hour</w:t>
      </w:r>
      <w:r w:rsidRPr="009743D4" w:rsidR="00696320">
        <w:t xml:space="preserve"> to </w:t>
      </w:r>
      <w:r w:rsidRPr="009743D4" w:rsidR="001972C1">
        <w:t xml:space="preserve">complete the </w:t>
      </w:r>
      <w:r w:rsidRPr="009743D4" w:rsidR="00696320">
        <w:t xml:space="preserve">questionnaire. The estimated response burden is </w:t>
      </w:r>
      <w:r w:rsidR="005E55CA">
        <w:t>384</w:t>
      </w:r>
      <w:r w:rsidRPr="009743D4" w:rsidR="00696320">
        <w:t xml:space="preserve"> hours. </w:t>
      </w:r>
      <w:r w:rsidRPr="009743D4" w:rsidR="00D217AF">
        <w:t>There are no costs to respondents other than their time</w:t>
      </w:r>
      <w:r w:rsidRPr="009743D4" w:rsidR="003E04F9">
        <w:t xml:space="preserve"> and efforts</w:t>
      </w:r>
      <w:r w:rsidRPr="009743D4" w:rsidR="00D217AF">
        <w:t>.</w:t>
      </w:r>
      <w:r w:rsidRPr="009743D4" w:rsidR="000524A0">
        <w:t xml:space="preserve"> </w:t>
      </w:r>
      <w:r w:rsidRPr="009743D4" w:rsidR="005D176A">
        <w:t>Based on the pilot test of the electronic questionnaire (N=</w:t>
      </w:r>
      <w:r w:rsidRPr="009743D4" w:rsidR="00893628">
        <w:t>9</w:t>
      </w:r>
      <w:r w:rsidR="008C45A5">
        <w:t>)</w:t>
      </w:r>
      <w:r w:rsidRPr="009743D4" w:rsidR="005D176A">
        <w:t xml:space="preserve">, the average time to complete the questionnaire was </w:t>
      </w:r>
      <w:r w:rsidRPr="009743D4" w:rsidR="004921AC">
        <w:t>6</w:t>
      </w:r>
      <w:r w:rsidRPr="009743D4" w:rsidR="00B031A7">
        <w:t>1</w:t>
      </w:r>
      <w:r w:rsidRPr="009743D4" w:rsidR="000B14D9">
        <w:t xml:space="preserve"> </w:t>
      </w:r>
      <w:r w:rsidRPr="009743D4" w:rsidR="005D176A">
        <w:t>minutes (min</w:t>
      </w:r>
      <w:r w:rsidRPr="009743D4" w:rsidR="00874162">
        <w:t>=</w:t>
      </w:r>
      <w:r w:rsidRPr="009743D4" w:rsidR="005A62B6">
        <w:t>20</w:t>
      </w:r>
      <w:r w:rsidRPr="009743D4" w:rsidR="005D176A">
        <w:t>; max=150, median=</w:t>
      </w:r>
      <w:r w:rsidRPr="009743D4" w:rsidR="00EC437E">
        <w:t>60</w:t>
      </w:r>
      <w:r w:rsidRPr="009743D4" w:rsidR="005D176A">
        <w:t>, range</w:t>
      </w:r>
      <w:r w:rsidRPr="009743D4" w:rsidR="00874162">
        <w:t>=</w:t>
      </w:r>
      <w:r w:rsidRPr="009743D4" w:rsidR="002F2DB1">
        <w:t>130</w:t>
      </w:r>
      <w:r w:rsidRPr="009743D4" w:rsidR="005D176A">
        <w:t>, standard deviation=</w:t>
      </w:r>
      <w:r w:rsidRPr="009743D4" w:rsidR="00946386">
        <w:t>3</w:t>
      </w:r>
      <w:r w:rsidRPr="009743D4" w:rsidR="00B031A7">
        <w:t>7</w:t>
      </w:r>
      <w:r w:rsidRPr="009743D4" w:rsidR="005D176A">
        <w:t>).</w:t>
      </w:r>
      <w:r w:rsidRPr="009743D4" w:rsidR="008E6F3D">
        <w:t xml:space="preserve"> </w:t>
      </w:r>
      <w:r w:rsidRPr="009743D4" w:rsidR="00E14EB0">
        <w:t xml:space="preserve">We can expect </w:t>
      </w:r>
      <w:r w:rsidRPr="009743D4" w:rsidR="0026646B">
        <w:t>variation</w:t>
      </w:r>
      <w:r w:rsidRPr="009743D4" w:rsidR="00E659D9">
        <w:t xml:space="preserve"> </w:t>
      </w:r>
      <w:r w:rsidRPr="009743D4" w:rsidR="008B1B07">
        <w:t xml:space="preserve">in the time it takes a respondent </w:t>
      </w:r>
      <w:r w:rsidRPr="009743D4" w:rsidR="00245B0E">
        <w:t>to complete the questionnaire</w:t>
      </w:r>
      <w:r w:rsidRPr="009743D4" w:rsidR="007455E4">
        <w:t xml:space="preserve"> </w:t>
      </w:r>
      <w:r w:rsidRPr="009743D4" w:rsidR="00D611A9">
        <w:t>during the implementation phase</w:t>
      </w:r>
      <w:r w:rsidRPr="009743D4" w:rsidR="00245B0E">
        <w:t xml:space="preserve">. </w:t>
      </w:r>
      <w:r w:rsidRPr="009743D4" w:rsidR="005E271C">
        <w:t>Variation may</w:t>
      </w:r>
      <w:r w:rsidRPr="009743D4" w:rsidR="00245B0E">
        <w:t xml:space="preserve"> be related to </w:t>
      </w:r>
      <w:r w:rsidRPr="009743D4" w:rsidR="007D2A75">
        <w:t xml:space="preserve">factors such as </w:t>
      </w:r>
      <w:r w:rsidR="00D71935">
        <w:t xml:space="preserve">hospital size </w:t>
      </w:r>
      <w:r w:rsidR="0005773B">
        <w:t>as well as</w:t>
      </w:r>
      <w:r w:rsidRPr="009743D4" w:rsidR="007D2A75">
        <w:t xml:space="preserve"> </w:t>
      </w:r>
      <w:r w:rsidR="00C712EF">
        <w:t xml:space="preserve">the </w:t>
      </w:r>
      <w:r w:rsidRPr="009743D4" w:rsidR="00BF451F">
        <w:t xml:space="preserve">complexity and </w:t>
      </w:r>
      <w:r w:rsidR="00C712EF">
        <w:t xml:space="preserve">comprehensiveness </w:t>
      </w:r>
      <w:r w:rsidRPr="009743D4" w:rsidR="00AA5DFE">
        <w:t xml:space="preserve">of </w:t>
      </w:r>
      <w:r w:rsidRPr="009743D4" w:rsidR="000D643F">
        <w:t xml:space="preserve">VTE risk </w:t>
      </w:r>
      <w:r w:rsidRPr="009743D4" w:rsidR="003A501B">
        <w:t>assessment</w:t>
      </w:r>
      <w:r w:rsidRPr="009743D4" w:rsidR="00284030">
        <w:t xml:space="preserve"> practices</w:t>
      </w:r>
      <w:r w:rsidRPr="009743D4" w:rsidR="00BF451F">
        <w:t xml:space="preserve">. </w:t>
      </w:r>
      <w:r w:rsidRPr="009743D4" w:rsidR="00D46DB8">
        <w:t xml:space="preserve"> Small organizations may have fewer VTE relevant practices therefore, given the </w:t>
      </w:r>
      <w:r w:rsidRPr="009743D4" w:rsidR="007D667B">
        <w:rPr>
          <w:rFonts w:cs="ITC Franklin Gothic Std Book"/>
        </w:rPr>
        <w:t>computer-generated</w:t>
      </w:r>
      <w:r w:rsidRPr="009743D4" w:rsidR="00D46DB8">
        <w:rPr>
          <w:rFonts w:cs="ITC Franklin Gothic Std Book"/>
        </w:rPr>
        <w:t xml:space="preserve"> skip patterns</w:t>
      </w:r>
      <w:r w:rsidRPr="009743D4" w:rsidR="00D46DB8">
        <w:t>, they may need to answer fewer questions which will take less time</w:t>
      </w:r>
      <w:r w:rsidRPr="009743D4" w:rsidR="00956ED6">
        <w:t>.</w:t>
      </w:r>
    </w:p>
    <w:p w:rsidR="001E5E91" w:rsidP="001E5E91" w:rsidRDefault="001E5E91" w14:paraId="6173D781" w14:textId="77777777">
      <w:pPr>
        <w:rPr>
          <w:b/>
          <w:color w:val="000000"/>
          <w:u w:val="single"/>
        </w:rPr>
      </w:pPr>
    </w:p>
    <w:p w:rsidRPr="001120EA" w:rsidR="007A7662" w:rsidP="00E0163C" w:rsidRDefault="007A7662" w14:paraId="6FFA727C" w14:textId="0DCAC7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1120EA">
        <w:rPr>
          <w:b/>
          <w:color w:val="000000"/>
          <w:u w:val="single"/>
        </w:rPr>
        <w:lastRenderedPageBreak/>
        <w:t>Estimated Annualized Burden Hours</w:t>
      </w:r>
      <w:r w:rsidRPr="001120EA">
        <w:rPr>
          <w:b/>
          <w:color w:val="000000"/>
        </w:rPr>
        <w:t xml:space="preserve"> </w:t>
      </w:r>
    </w:p>
    <w:p w:rsidR="001E5E91" w:rsidP="00E0163C" w:rsidRDefault="001E5E91" w14:paraId="340FB9E0" w14:textId="77777777">
      <w:pPr>
        <w:keepNext/>
        <w:keepLines/>
        <w:rPr>
          <w:b/>
          <w:i/>
        </w:rPr>
      </w:pPr>
    </w:p>
    <w:p w:rsidR="009B0DB8" w:rsidP="00E0163C" w:rsidRDefault="009B0DB8" w14:paraId="150926E7" w14:textId="5A5A9F63">
      <w:pPr>
        <w:keepNext/>
        <w:keepLines/>
        <w:rPr>
          <w:b/>
          <w:i/>
        </w:rPr>
      </w:pPr>
      <w:r w:rsidRPr="001120EA">
        <w:rPr>
          <w:b/>
          <w:i/>
        </w:rPr>
        <w:t xml:space="preserve">A.12.A. Estimated Annualized Burden Hours </w:t>
      </w:r>
    </w:p>
    <w:p w:rsidRPr="001120EA" w:rsidR="001E5E91" w:rsidP="00E0163C" w:rsidRDefault="001E5E91" w14:paraId="61A19113" w14:textId="77777777">
      <w:pPr>
        <w:keepNext/>
        <w:keepLines/>
        <w:rPr>
          <w:b/>
          <w:i/>
        </w:rPr>
      </w:pPr>
    </w:p>
    <w:tbl>
      <w:tblPr>
        <w:tblStyle w:val="TableGrid"/>
        <w:tblW w:w="9625" w:type="dxa"/>
        <w:tblLook w:val="04A0" w:firstRow="1" w:lastRow="0" w:firstColumn="1" w:lastColumn="0" w:noHBand="0" w:noVBand="1"/>
      </w:tblPr>
      <w:tblGrid>
        <w:gridCol w:w="2125"/>
        <w:gridCol w:w="1856"/>
        <w:gridCol w:w="1523"/>
        <w:gridCol w:w="1488"/>
        <w:gridCol w:w="1353"/>
        <w:gridCol w:w="1280"/>
      </w:tblGrid>
      <w:tr w:rsidRPr="001120EA" w:rsidR="00FA319B" w:rsidTr="005E55CA" w14:paraId="7BAC0AF1" w14:textId="77777777">
        <w:trPr>
          <w:trHeight w:val="1277"/>
        </w:trPr>
        <w:tc>
          <w:tcPr>
            <w:tcW w:w="2125" w:type="dxa"/>
          </w:tcPr>
          <w:p w:rsidRPr="001120EA" w:rsidR="00CA343D" w:rsidP="00E0163C" w:rsidRDefault="00CA343D" w14:paraId="6CC62211" w14:textId="42E0CD42">
            <w:pPr>
              <w:pStyle w:val="ListBullet"/>
              <w:numPr>
                <w:ilvl w:val="0"/>
                <w:numId w:val="0"/>
              </w:numPr>
              <w:rPr>
                <w:b/>
                <w:sz w:val="24"/>
                <w:szCs w:val="24"/>
              </w:rPr>
            </w:pPr>
            <w:r w:rsidRPr="001120EA">
              <w:rPr>
                <w:b/>
                <w:bCs/>
                <w:sz w:val="24"/>
                <w:szCs w:val="24"/>
              </w:rPr>
              <w:t>Type of Respondents</w:t>
            </w:r>
          </w:p>
        </w:tc>
        <w:tc>
          <w:tcPr>
            <w:tcW w:w="1856" w:type="dxa"/>
          </w:tcPr>
          <w:p w:rsidRPr="001120EA" w:rsidR="00CA343D" w:rsidP="00E0163C" w:rsidRDefault="00CA343D" w14:paraId="0815DEBD" w14:textId="29182F7F">
            <w:pPr>
              <w:pStyle w:val="ListBullet"/>
              <w:numPr>
                <w:ilvl w:val="0"/>
                <w:numId w:val="0"/>
              </w:numPr>
              <w:rPr>
                <w:b/>
                <w:sz w:val="24"/>
                <w:szCs w:val="24"/>
              </w:rPr>
            </w:pPr>
            <w:r w:rsidRPr="001120EA">
              <w:rPr>
                <w:b/>
                <w:sz w:val="24"/>
                <w:szCs w:val="24"/>
              </w:rPr>
              <w:t xml:space="preserve">Form </w:t>
            </w:r>
            <w:r w:rsidRPr="001120EA" w:rsidR="00CD497C">
              <w:rPr>
                <w:b/>
                <w:sz w:val="24"/>
                <w:szCs w:val="24"/>
              </w:rPr>
              <w:t>N</w:t>
            </w:r>
            <w:r w:rsidRPr="001120EA">
              <w:rPr>
                <w:b/>
                <w:sz w:val="24"/>
                <w:szCs w:val="24"/>
              </w:rPr>
              <w:t xml:space="preserve">ame </w:t>
            </w:r>
          </w:p>
        </w:tc>
        <w:tc>
          <w:tcPr>
            <w:tcW w:w="1523" w:type="dxa"/>
          </w:tcPr>
          <w:p w:rsidRPr="001120EA" w:rsidR="00CA343D" w:rsidP="00E0163C" w:rsidRDefault="00CA343D" w14:paraId="4A0EB62D" w14:textId="1FE2EA90">
            <w:pPr>
              <w:pStyle w:val="ListBullet"/>
              <w:numPr>
                <w:ilvl w:val="0"/>
                <w:numId w:val="0"/>
              </w:numPr>
              <w:rPr>
                <w:b/>
                <w:sz w:val="24"/>
                <w:szCs w:val="24"/>
              </w:rPr>
            </w:pPr>
            <w:r w:rsidRPr="001120EA">
              <w:rPr>
                <w:b/>
                <w:sz w:val="24"/>
                <w:szCs w:val="24"/>
              </w:rPr>
              <w:t xml:space="preserve">No. of </w:t>
            </w:r>
            <w:r w:rsidRPr="001120EA" w:rsidR="00CD497C">
              <w:rPr>
                <w:b/>
                <w:sz w:val="24"/>
                <w:szCs w:val="24"/>
              </w:rPr>
              <w:t>R</w:t>
            </w:r>
            <w:r w:rsidRPr="001120EA">
              <w:rPr>
                <w:b/>
                <w:sz w:val="24"/>
                <w:szCs w:val="24"/>
              </w:rPr>
              <w:t xml:space="preserve">espondents </w:t>
            </w:r>
          </w:p>
        </w:tc>
        <w:tc>
          <w:tcPr>
            <w:tcW w:w="1488" w:type="dxa"/>
          </w:tcPr>
          <w:p w:rsidRPr="001120EA" w:rsidR="00CA343D" w:rsidP="00E0163C" w:rsidRDefault="00CA343D" w14:paraId="316FBB0F" w14:textId="6F4B9B15">
            <w:pPr>
              <w:pStyle w:val="ListBullet"/>
              <w:numPr>
                <w:ilvl w:val="0"/>
                <w:numId w:val="0"/>
              </w:numPr>
              <w:rPr>
                <w:b/>
                <w:sz w:val="24"/>
                <w:szCs w:val="24"/>
              </w:rPr>
            </w:pPr>
            <w:r w:rsidRPr="001120EA">
              <w:rPr>
                <w:b/>
                <w:bCs/>
                <w:sz w:val="24"/>
                <w:szCs w:val="24"/>
              </w:rPr>
              <w:t>No. Responses per Respondent</w:t>
            </w:r>
          </w:p>
        </w:tc>
        <w:tc>
          <w:tcPr>
            <w:tcW w:w="1353" w:type="dxa"/>
          </w:tcPr>
          <w:p w:rsidRPr="001120EA" w:rsidR="00CA343D" w:rsidP="00E0163C" w:rsidRDefault="00CA343D" w14:paraId="2667F8B4" w14:textId="36400F89">
            <w:pPr>
              <w:pStyle w:val="ListBullet"/>
              <w:numPr>
                <w:ilvl w:val="0"/>
                <w:numId w:val="0"/>
              </w:numPr>
              <w:rPr>
                <w:b/>
                <w:sz w:val="24"/>
                <w:szCs w:val="24"/>
              </w:rPr>
            </w:pPr>
            <w:r w:rsidRPr="001120EA">
              <w:rPr>
                <w:b/>
                <w:bCs/>
                <w:sz w:val="24"/>
                <w:szCs w:val="24"/>
              </w:rPr>
              <w:t>Average Burden per Response (in hours)</w:t>
            </w:r>
          </w:p>
        </w:tc>
        <w:tc>
          <w:tcPr>
            <w:tcW w:w="1280" w:type="dxa"/>
          </w:tcPr>
          <w:p w:rsidRPr="001120EA" w:rsidR="00CA343D" w:rsidP="00E0163C" w:rsidRDefault="00CA343D" w14:paraId="052F595D" w14:textId="77777777">
            <w:pPr>
              <w:pStyle w:val="ListBullet"/>
              <w:numPr>
                <w:ilvl w:val="0"/>
                <w:numId w:val="0"/>
              </w:numPr>
              <w:jc w:val="center"/>
              <w:rPr>
                <w:b/>
                <w:bCs/>
                <w:sz w:val="24"/>
                <w:szCs w:val="24"/>
              </w:rPr>
            </w:pPr>
            <w:r w:rsidRPr="001120EA">
              <w:rPr>
                <w:b/>
                <w:bCs/>
                <w:sz w:val="24"/>
                <w:szCs w:val="24"/>
              </w:rPr>
              <w:t>Total Burden</w:t>
            </w:r>
          </w:p>
          <w:p w:rsidRPr="001120EA" w:rsidR="00CA343D" w:rsidP="00E0163C" w:rsidRDefault="72F389B2" w14:paraId="7DBCEB73" w14:textId="0483E6A8">
            <w:pPr>
              <w:pStyle w:val="ListBullet"/>
              <w:numPr>
                <w:ilvl w:val="0"/>
                <w:numId w:val="0"/>
              </w:numPr>
              <w:jc w:val="center"/>
              <w:rPr>
                <w:b/>
                <w:sz w:val="24"/>
                <w:szCs w:val="24"/>
              </w:rPr>
            </w:pPr>
            <w:r w:rsidRPr="001120EA">
              <w:rPr>
                <w:b/>
                <w:bCs/>
                <w:sz w:val="24"/>
                <w:szCs w:val="24"/>
              </w:rPr>
              <w:t>Hours</w:t>
            </w:r>
          </w:p>
        </w:tc>
      </w:tr>
      <w:tr w:rsidRPr="001120EA" w:rsidR="00FA319B" w:rsidTr="005E55CA" w14:paraId="2867B7DB" w14:textId="77777777">
        <w:trPr>
          <w:trHeight w:val="3770"/>
        </w:trPr>
        <w:tc>
          <w:tcPr>
            <w:tcW w:w="2125" w:type="dxa"/>
          </w:tcPr>
          <w:p w:rsidRPr="001120EA" w:rsidR="001B4A40" w:rsidP="00E0163C" w:rsidRDefault="001B4A40" w14:paraId="122CBC3C" w14:textId="757EFE73">
            <w:pPr>
              <w:pStyle w:val="ListBullet"/>
              <w:numPr>
                <w:ilvl w:val="0"/>
                <w:numId w:val="0"/>
              </w:numPr>
              <w:jc w:val="center"/>
              <w:rPr>
                <w:sz w:val="24"/>
                <w:szCs w:val="24"/>
              </w:rPr>
            </w:pPr>
            <w:r w:rsidRPr="001120EA">
              <w:rPr>
                <w:sz w:val="24"/>
                <w:szCs w:val="24"/>
              </w:rPr>
              <w:t>The Director of Patient Safety and Quality, the Chairperson of the Patient Safety Committee, or other quality improvement professional</w:t>
            </w:r>
          </w:p>
        </w:tc>
        <w:tc>
          <w:tcPr>
            <w:tcW w:w="1856" w:type="dxa"/>
          </w:tcPr>
          <w:p w:rsidRPr="001120EA" w:rsidR="001B4A40" w:rsidP="00E0163C" w:rsidRDefault="002A66AA" w14:paraId="593E06DD" w14:textId="4E270896">
            <w:pPr>
              <w:pStyle w:val="ListBullet"/>
              <w:numPr>
                <w:ilvl w:val="0"/>
                <w:numId w:val="0"/>
              </w:numPr>
              <w:jc w:val="center"/>
              <w:rPr>
                <w:sz w:val="24"/>
                <w:szCs w:val="24"/>
              </w:rPr>
            </w:pPr>
            <w:r w:rsidRPr="001120EA">
              <w:rPr>
                <w:sz w:val="24"/>
                <w:szCs w:val="24"/>
              </w:rPr>
              <w:t>O</w:t>
            </w:r>
            <w:r w:rsidRPr="001120EA" w:rsidR="00E3713B">
              <w:rPr>
                <w:sz w:val="24"/>
                <w:szCs w:val="24"/>
              </w:rPr>
              <w:t xml:space="preserve">nline </w:t>
            </w:r>
            <w:r w:rsidRPr="001120EA" w:rsidR="001B4A40">
              <w:rPr>
                <w:sz w:val="24"/>
                <w:szCs w:val="24"/>
              </w:rPr>
              <w:t>questionnaire</w:t>
            </w:r>
            <w:r w:rsidRPr="001120EA" w:rsidR="006462E1">
              <w:rPr>
                <w:sz w:val="24"/>
                <w:szCs w:val="24"/>
              </w:rPr>
              <w:t xml:space="preserve"> (</w:t>
            </w:r>
            <w:r w:rsidRPr="001120EA" w:rsidR="006462E1">
              <w:rPr>
                <w:b/>
                <w:bCs/>
                <w:sz w:val="24"/>
                <w:szCs w:val="24"/>
              </w:rPr>
              <w:t>Attachment</w:t>
            </w:r>
            <w:r w:rsidRPr="001120EA" w:rsidR="009462E8">
              <w:rPr>
                <w:b/>
                <w:bCs/>
                <w:sz w:val="24"/>
                <w:szCs w:val="24"/>
              </w:rPr>
              <w:t xml:space="preserve"> </w:t>
            </w:r>
            <w:r w:rsidR="001375AE">
              <w:rPr>
                <w:b/>
                <w:bCs/>
                <w:sz w:val="24"/>
                <w:szCs w:val="24"/>
              </w:rPr>
              <w:t>3</w:t>
            </w:r>
            <w:r w:rsidRPr="001120EA" w:rsidR="006462E1">
              <w:rPr>
                <w:sz w:val="24"/>
                <w:szCs w:val="24"/>
              </w:rPr>
              <w:t xml:space="preserve">) </w:t>
            </w:r>
          </w:p>
        </w:tc>
        <w:tc>
          <w:tcPr>
            <w:tcW w:w="1523" w:type="dxa"/>
          </w:tcPr>
          <w:p w:rsidRPr="001120EA" w:rsidR="001B4A40" w:rsidP="00E0163C" w:rsidRDefault="001B4A40" w14:paraId="3B9A278C" w14:textId="28D35949">
            <w:pPr>
              <w:pStyle w:val="ListBullet"/>
              <w:numPr>
                <w:ilvl w:val="0"/>
                <w:numId w:val="0"/>
              </w:numPr>
              <w:jc w:val="center"/>
              <w:rPr>
                <w:sz w:val="24"/>
                <w:szCs w:val="24"/>
              </w:rPr>
            </w:pPr>
            <w:r w:rsidRPr="001120EA">
              <w:rPr>
                <w:sz w:val="24"/>
                <w:szCs w:val="24"/>
              </w:rPr>
              <w:t>384</w:t>
            </w:r>
          </w:p>
        </w:tc>
        <w:tc>
          <w:tcPr>
            <w:tcW w:w="1488" w:type="dxa"/>
          </w:tcPr>
          <w:p w:rsidRPr="001120EA" w:rsidR="001B4A40" w:rsidP="00E0163C" w:rsidRDefault="00BA6076" w14:paraId="4967599B" w14:textId="1CDF02A4">
            <w:pPr>
              <w:pStyle w:val="ListBullet"/>
              <w:numPr>
                <w:ilvl w:val="0"/>
                <w:numId w:val="0"/>
              </w:numPr>
              <w:jc w:val="center"/>
              <w:rPr>
                <w:sz w:val="24"/>
                <w:szCs w:val="24"/>
              </w:rPr>
            </w:pPr>
            <w:r>
              <w:rPr>
                <w:sz w:val="24"/>
                <w:szCs w:val="24"/>
              </w:rPr>
              <w:t>1</w:t>
            </w:r>
          </w:p>
          <w:p w:rsidRPr="001120EA" w:rsidR="001B4A40" w:rsidP="00E0163C" w:rsidRDefault="001B4A40" w14:paraId="269E1863" w14:textId="77777777">
            <w:pPr>
              <w:pStyle w:val="ListBullet"/>
              <w:numPr>
                <w:ilvl w:val="0"/>
                <w:numId w:val="0"/>
              </w:numPr>
              <w:jc w:val="center"/>
              <w:rPr>
                <w:sz w:val="24"/>
                <w:szCs w:val="24"/>
              </w:rPr>
            </w:pPr>
          </w:p>
          <w:p w:rsidRPr="001120EA" w:rsidR="001B4A40" w:rsidP="00E0163C" w:rsidRDefault="001B4A40" w14:paraId="7D757066" w14:textId="77777777">
            <w:pPr>
              <w:pStyle w:val="ListBullet"/>
              <w:numPr>
                <w:ilvl w:val="0"/>
                <w:numId w:val="0"/>
              </w:numPr>
              <w:jc w:val="center"/>
              <w:rPr>
                <w:sz w:val="24"/>
                <w:szCs w:val="24"/>
              </w:rPr>
            </w:pPr>
          </w:p>
          <w:p w:rsidR="001B4A40" w:rsidP="00E0163C" w:rsidRDefault="001B4A40" w14:paraId="0E3AE0A3" w14:textId="3274FEA8">
            <w:pPr>
              <w:pStyle w:val="ListBullet"/>
              <w:numPr>
                <w:ilvl w:val="0"/>
                <w:numId w:val="0"/>
              </w:numPr>
              <w:jc w:val="center"/>
              <w:rPr>
                <w:sz w:val="24"/>
                <w:szCs w:val="24"/>
              </w:rPr>
            </w:pPr>
          </w:p>
          <w:p w:rsidR="00BA6076" w:rsidP="00E0163C" w:rsidRDefault="00BA6076" w14:paraId="167B3F30" w14:textId="77777777">
            <w:pPr>
              <w:pStyle w:val="ListBullet"/>
              <w:numPr>
                <w:ilvl w:val="0"/>
                <w:numId w:val="0"/>
              </w:numPr>
              <w:jc w:val="center"/>
              <w:rPr>
                <w:sz w:val="24"/>
                <w:szCs w:val="24"/>
              </w:rPr>
            </w:pPr>
          </w:p>
          <w:p w:rsidRPr="001120EA" w:rsidR="008D5441" w:rsidP="00E0163C" w:rsidRDefault="008D5441" w14:paraId="23EC08D7" w14:textId="7B5BDD04">
            <w:pPr>
              <w:pStyle w:val="ListBullet"/>
              <w:numPr>
                <w:ilvl w:val="0"/>
                <w:numId w:val="0"/>
              </w:numPr>
              <w:jc w:val="center"/>
              <w:rPr>
                <w:sz w:val="24"/>
                <w:szCs w:val="24"/>
              </w:rPr>
            </w:pPr>
          </w:p>
        </w:tc>
        <w:tc>
          <w:tcPr>
            <w:tcW w:w="1353" w:type="dxa"/>
          </w:tcPr>
          <w:p w:rsidR="00BA6076" w:rsidP="00E0163C" w:rsidRDefault="00BA6076" w14:paraId="4A5D4A0D" w14:textId="77777777">
            <w:pPr>
              <w:pStyle w:val="ListBullet"/>
              <w:numPr>
                <w:ilvl w:val="0"/>
                <w:numId w:val="0"/>
              </w:numPr>
              <w:jc w:val="center"/>
              <w:rPr>
                <w:sz w:val="24"/>
                <w:szCs w:val="24"/>
              </w:rPr>
            </w:pPr>
            <w:r w:rsidRPr="001120EA">
              <w:rPr>
                <w:sz w:val="24"/>
                <w:szCs w:val="24"/>
              </w:rPr>
              <w:t>1</w:t>
            </w:r>
          </w:p>
          <w:p w:rsidRPr="001120EA" w:rsidR="001B4A40" w:rsidP="00E0163C" w:rsidRDefault="001B4A40" w14:paraId="6C1A902C" w14:textId="77777777">
            <w:pPr>
              <w:pStyle w:val="ListBullet"/>
              <w:numPr>
                <w:ilvl w:val="0"/>
                <w:numId w:val="0"/>
              </w:numPr>
              <w:jc w:val="center"/>
              <w:rPr>
                <w:sz w:val="24"/>
                <w:szCs w:val="24"/>
              </w:rPr>
            </w:pPr>
          </w:p>
          <w:p w:rsidR="001B4A40" w:rsidP="00E0163C" w:rsidRDefault="001B4A40" w14:paraId="0B58245F" w14:textId="77EEBD3F">
            <w:pPr>
              <w:pStyle w:val="ListBullet"/>
              <w:numPr>
                <w:ilvl w:val="0"/>
                <w:numId w:val="0"/>
              </w:numPr>
              <w:jc w:val="center"/>
              <w:rPr>
                <w:sz w:val="24"/>
                <w:szCs w:val="24"/>
              </w:rPr>
            </w:pPr>
          </w:p>
          <w:p w:rsidRPr="001120EA" w:rsidR="00BA6076" w:rsidP="00E0163C" w:rsidRDefault="00BA6076" w14:paraId="311BF7EC" w14:textId="1133CD50">
            <w:pPr>
              <w:pStyle w:val="ListBullet"/>
              <w:numPr>
                <w:ilvl w:val="0"/>
                <w:numId w:val="0"/>
              </w:numPr>
              <w:jc w:val="center"/>
              <w:rPr>
                <w:sz w:val="24"/>
                <w:szCs w:val="24"/>
              </w:rPr>
            </w:pPr>
          </w:p>
        </w:tc>
        <w:tc>
          <w:tcPr>
            <w:tcW w:w="1280" w:type="dxa"/>
          </w:tcPr>
          <w:p w:rsidRPr="001120EA" w:rsidR="00BA6076" w:rsidP="00E0163C" w:rsidRDefault="00BA6076" w14:paraId="49496C24" w14:textId="77777777">
            <w:pPr>
              <w:pStyle w:val="ListBullet"/>
              <w:numPr>
                <w:ilvl w:val="0"/>
                <w:numId w:val="0"/>
              </w:numPr>
              <w:jc w:val="center"/>
              <w:rPr>
                <w:sz w:val="24"/>
                <w:szCs w:val="24"/>
              </w:rPr>
            </w:pPr>
            <w:r w:rsidRPr="001120EA">
              <w:rPr>
                <w:sz w:val="24"/>
                <w:szCs w:val="24"/>
              </w:rPr>
              <w:t>384</w:t>
            </w:r>
          </w:p>
          <w:p w:rsidRPr="001120EA" w:rsidR="001B4A40" w:rsidP="00E0163C" w:rsidRDefault="001B4A40" w14:paraId="718B1871" w14:textId="77777777">
            <w:pPr>
              <w:pStyle w:val="ListBullet"/>
              <w:numPr>
                <w:ilvl w:val="0"/>
                <w:numId w:val="0"/>
              </w:numPr>
              <w:jc w:val="center"/>
              <w:rPr>
                <w:sz w:val="24"/>
                <w:szCs w:val="24"/>
              </w:rPr>
            </w:pPr>
          </w:p>
          <w:p w:rsidRPr="001120EA" w:rsidR="001B4A40" w:rsidP="00E0163C" w:rsidRDefault="001B4A40" w14:paraId="367CDD14" w14:textId="77777777">
            <w:pPr>
              <w:pStyle w:val="ListBullet"/>
              <w:numPr>
                <w:ilvl w:val="0"/>
                <w:numId w:val="0"/>
              </w:numPr>
              <w:jc w:val="center"/>
              <w:rPr>
                <w:sz w:val="24"/>
                <w:szCs w:val="24"/>
              </w:rPr>
            </w:pPr>
          </w:p>
          <w:p w:rsidRPr="001120EA" w:rsidR="001B4A40" w:rsidP="00E0163C" w:rsidRDefault="001B4A40" w14:paraId="1902EE15" w14:textId="6F3A27DF">
            <w:pPr>
              <w:pStyle w:val="ListBullet"/>
              <w:numPr>
                <w:ilvl w:val="0"/>
                <w:numId w:val="0"/>
              </w:numPr>
              <w:jc w:val="center"/>
              <w:rPr>
                <w:sz w:val="24"/>
                <w:szCs w:val="24"/>
              </w:rPr>
            </w:pPr>
          </w:p>
        </w:tc>
      </w:tr>
    </w:tbl>
    <w:p w:rsidRPr="001120EA" w:rsidR="00D217AF" w:rsidP="00E0163C" w:rsidRDefault="00D217AF" w14:paraId="163B0179" w14:textId="77777777">
      <w:pPr>
        <w:pStyle w:val="ListBullet"/>
        <w:numPr>
          <w:ilvl w:val="0"/>
          <w:numId w:val="0"/>
        </w:numPr>
        <w:rPr>
          <w:b/>
          <w:sz w:val="24"/>
          <w:szCs w:val="24"/>
        </w:rPr>
      </w:pPr>
    </w:p>
    <w:p w:rsidRPr="001120EA" w:rsidR="0002505F" w:rsidP="00E0163C" w:rsidRDefault="00385C5E" w14:paraId="46D8A4C4" w14:textId="77777777">
      <w:r w:rsidRPr="001120EA">
        <w:t xml:space="preserve">The annualized cost burden is shown in Table A.12.B. The mean hourly wage rate is based on the most recent (May 2019) National Occupational Employment and Wage Estimates for </w:t>
      </w:r>
    </w:p>
    <w:p w:rsidRPr="001120EA" w:rsidR="005D3800" w:rsidP="00E0163C" w:rsidRDefault="0002505F" w14:paraId="7489CEAC" w14:textId="619637A6">
      <w:r w:rsidRPr="00773407">
        <w:t>Medical and Health Services Managers</w:t>
      </w:r>
      <w:r w:rsidRPr="00773407" w:rsidR="00385C5E">
        <w:t>, published</w:t>
      </w:r>
      <w:r w:rsidRPr="001120EA" w:rsidR="00385C5E">
        <w:t xml:space="preserve"> on the Bureau of Labor Statistics website</w:t>
      </w:r>
      <w:r w:rsidRPr="001120EA" w:rsidR="00F92222">
        <w:t>,</w:t>
      </w:r>
      <w:r w:rsidRPr="001120EA" w:rsidR="00385C5E">
        <w:t xml:space="preserve"> which is $</w:t>
      </w:r>
      <w:r w:rsidRPr="001120EA" w:rsidR="00875D80">
        <w:t>48.55</w:t>
      </w:r>
      <w:r w:rsidRPr="001120EA" w:rsidR="00526D34">
        <w:t xml:space="preserve">. The 2019 median pay is $100,980 and </w:t>
      </w:r>
      <w:r w:rsidRPr="001120EA" w:rsidR="00545BCC">
        <w:t>the pay per hour is $48.55</w:t>
      </w:r>
      <w:r w:rsidRPr="001120EA" w:rsidR="0004323D">
        <w:t xml:space="preserve"> (</w:t>
      </w:r>
    </w:p>
    <w:p w:rsidRPr="005E55CA" w:rsidR="0042764A" w:rsidP="005E55CA" w:rsidRDefault="00C4040A" w14:paraId="318DAD69" w14:textId="3C8BB942">
      <w:pPr>
        <w:rPr>
          <w:u w:val="single"/>
        </w:rPr>
      </w:pPr>
      <w:hyperlink w:history="1" w:anchor="tab-1" r:id="rId18">
        <w:r w:rsidRPr="001120EA" w:rsidR="00E6168A">
          <w:rPr>
            <w:rStyle w:val="Hyperlink"/>
            <w:color w:val="auto"/>
          </w:rPr>
          <w:t>https://www.bls.gov/ooh/management/medical-and-health-services-managers.htm#tab-1</w:t>
        </w:r>
      </w:hyperlink>
      <w:r w:rsidRPr="001120EA" w:rsidR="0004323D">
        <w:rPr>
          <w:rStyle w:val="Hyperlink"/>
          <w:color w:val="auto"/>
        </w:rPr>
        <w:t>)</w:t>
      </w:r>
      <w:r w:rsidRPr="001120EA" w:rsidR="00B30B92">
        <w:rPr>
          <w:rStyle w:val="Hyperlink"/>
          <w:color w:val="auto"/>
        </w:rPr>
        <w:t>.</w:t>
      </w:r>
    </w:p>
    <w:p w:rsidR="001E5E91" w:rsidP="002260AC" w:rsidRDefault="001E5E91" w14:paraId="746AA898" w14:textId="77777777">
      <w:pPr>
        <w:pStyle w:val="ListBullet"/>
        <w:numPr>
          <w:ilvl w:val="0"/>
          <w:numId w:val="0"/>
        </w:numPr>
        <w:rPr>
          <w:b/>
          <w:i/>
          <w:sz w:val="24"/>
          <w:szCs w:val="24"/>
        </w:rPr>
      </w:pPr>
    </w:p>
    <w:p w:rsidRPr="001120EA" w:rsidR="0092704D" w:rsidP="002260AC" w:rsidRDefault="0092704D" w14:paraId="74AA5B82" w14:textId="35D62C34">
      <w:pPr>
        <w:pStyle w:val="ListBullet"/>
        <w:numPr>
          <w:ilvl w:val="0"/>
          <w:numId w:val="0"/>
        </w:numPr>
        <w:rPr>
          <w:b/>
          <w:sz w:val="24"/>
          <w:szCs w:val="24"/>
        </w:rPr>
      </w:pPr>
      <w:r w:rsidRPr="001120EA">
        <w:rPr>
          <w:b/>
          <w:i/>
          <w:sz w:val="24"/>
          <w:szCs w:val="24"/>
        </w:rPr>
        <w:t>A.12.B. Estimated Annualized Burden Costs</w:t>
      </w:r>
      <w:r w:rsidRPr="001120EA">
        <w:rPr>
          <w:b/>
          <w:sz w:val="24"/>
          <w:szCs w:val="24"/>
        </w:rPr>
        <w:t xml:space="preserve"> </w:t>
      </w:r>
    </w:p>
    <w:p w:rsidRPr="001120EA" w:rsidR="005766BC" w:rsidRDefault="005766BC" w14:paraId="48C0831E" w14:textId="77777777">
      <w:pPr>
        <w:pStyle w:val="ListBullet"/>
        <w:numPr>
          <w:ilvl w:val="0"/>
          <w:numId w:val="0"/>
        </w:numPr>
        <w:rPr>
          <w:i/>
          <w:sz w:val="24"/>
          <w:szCs w:val="24"/>
          <w:highlight w:val="yellow"/>
        </w:rPr>
      </w:pPr>
    </w:p>
    <w:tbl>
      <w:tblPr>
        <w:tblStyle w:val="TableGrid"/>
        <w:tblW w:w="0" w:type="auto"/>
        <w:tblLook w:val="04A0" w:firstRow="1" w:lastRow="0" w:firstColumn="1" w:lastColumn="0" w:noHBand="0" w:noVBand="1"/>
      </w:tblPr>
      <w:tblGrid>
        <w:gridCol w:w="1705"/>
        <w:gridCol w:w="1736"/>
        <w:gridCol w:w="1593"/>
        <w:gridCol w:w="1950"/>
        <w:gridCol w:w="2032"/>
      </w:tblGrid>
      <w:tr w:rsidRPr="001120EA" w:rsidR="000303ED" w:rsidTr="005E55CA" w14:paraId="20A22E8C" w14:textId="0CBBCCD1">
        <w:tc>
          <w:tcPr>
            <w:tcW w:w="1705" w:type="dxa"/>
          </w:tcPr>
          <w:p w:rsidRPr="001120EA" w:rsidR="00470F26" w:rsidP="00E0163C" w:rsidRDefault="00470F26" w14:paraId="7870BFA8" w14:textId="77777777">
            <w:pPr>
              <w:pStyle w:val="ListBullet"/>
              <w:numPr>
                <w:ilvl w:val="0"/>
                <w:numId w:val="0"/>
              </w:numPr>
              <w:rPr>
                <w:b/>
                <w:sz w:val="24"/>
                <w:szCs w:val="24"/>
              </w:rPr>
            </w:pPr>
            <w:r w:rsidRPr="001120EA">
              <w:rPr>
                <w:b/>
                <w:bCs/>
                <w:sz w:val="24"/>
                <w:szCs w:val="24"/>
              </w:rPr>
              <w:t>Type of Respondents</w:t>
            </w:r>
          </w:p>
        </w:tc>
        <w:tc>
          <w:tcPr>
            <w:tcW w:w="1736" w:type="dxa"/>
          </w:tcPr>
          <w:p w:rsidRPr="001120EA" w:rsidR="00470F26" w:rsidP="00E0163C" w:rsidRDefault="00470F26" w14:paraId="187585AC" w14:textId="77777777">
            <w:pPr>
              <w:pStyle w:val="ListBullet"/>
              <w:numPr>
                <w:ilvl w:val="0"/>
                <w:numId w:val="0"/>
              </w:numPr>
              <w:rPr>
                <w:b/>
                <w:sz w:val="24"/>
                <w:szCs w:val="24"/>
              </w:rPr>
            </w:pPr>
            <w:r w:rsidRPr="001120EA">
              <w:rPr>
                <w:b/>
                <w:sz w:val="24"/>
                <w:szCs w:val="24"/>
              </w:rPr>
              <w:t xml:space="preserve">Form Name </w:t>
            </w:r>
          </w:p>
        </w:tc>
        <w:tc>
          <w:tcPr>
            <w:tcW w:w="1593" w:type="dxa"/>
          </w:tcPr>
          <w:p w:rsidRPr="001120EA" w:rsidR="00470F26" w:rsidP="00E0163C" w:rsidRDefault="00470F26" w14:paraId="26623544" w14:textId="19FE8E18">
            <w:pPr>
              <w:pStyle w:val="ListBullet"/>
              <w:numPr>
                <w:ilvl w:val="0"/>
                <w:numId w:val="0"/>
              </w:numPr>
              <w:jc w:val="center"/>
              <w:rPr>
                <w:b/>
                <w:bCs/>
                <w:sz w:val="24"/>
                <w:szCs w:val="24"/>
              </w:rPr>
            </w:pPr>
            <w:r w:rsidRPr="001120EA">
              <w:rPr>
                <w:b/>
                <w:bCs/>
                <w:sz w:val="24"/>
                <w:szCs w:val="24"/>
              </w:rPr>
              <w:t>Total Burden Hours</w:t>
            </w:r>
          </w:p>
        </w:tc>
        <w:tc>
          <w:tcPr>
            <w:tcW w:w="1950" w:type="dxa"/>
          </w:tcPr>
          <w:p w:rsidRPr="001120EA" w:rsidR="00470F26" w:rsidP="00E0163C" w:rsidRDefault="00470F26" w14:paraId="5A2DBAE7" w14:textId="001869BC">
            <w:pPr>
              <w:pStyle w:val="ListBullet"/>
              <w:numPr>
                <w:ilvl w:val="0"/>
                <w:numId w:val="0"/>
              </w:numPr>
              <w:jc w:val="center"/>
              <w:rPr>
                <w:b/>
                <w:bCs/>
                <w:sz w:val="24"/>
                <w:szCs w:val="24"/>
              </w:rPr>
            </w:pPr>
            <w:r w:rsidRPr="001120EA">
              <w:rPr>
                <w:b/>
                <w:bCs/>
                <w:sz w:val="24"/>
                <w:szCs w:val="24"/>
              </w:rPr>
              <w:t>Hourly Wage Rate ($)</w:t>
            </w:r>
          </w:p>
        </w:tc>
        <w:tc>
          <w:tcPr>
            <w:tcW w:w="2032" w:type="dxa"/>
          </w:tcPr>
          <w:p w:rsidRPr="001120EA" w:rsidR="00470F26" w:rsidP="00E0163C" w:rsidRDefault="00470F26" w14:paraId="1BAD2F6A" w14:textId="33D8B7B3">
            <w:pPr>
              <w:pStyle w:val="ListBullet"/>
              <w:numPr>
                <w:ilvl w:val="0"/>
                <w:numId w:val="0"/>
              </w:numPr>
              <w:jc w:val="center"/>
              <w:rPr>
                <w:b/>
                <w:bCs/>
                <w:sz w:val="24"/>
                <w:szCs w:val="24"/>
              </w:rPr>
            </w:pPr>
            <w:r w:rsidRPr="001120EA">
              <w:rPr>
                <w:b/>
                <w:bCs/>
                <w:sz w:val="24"/>
                <w:szCs w:val="24"/>
              </w:rPr>
              <w:t>Total Respondent Cost ($)</w:t>
            </w:r>
          </w:p>
        </w:tc>
      </w:tr>
      <w:tr w:rsidRPr="001120EA" w:rsidR="004B068A" w:rsidTr="005E55CA" w14:paraId="3D9A3E13" w14:textId="77777777">
        <w:tc>
          <w:tcPr>
            <w:tcW w:w="1705" w:type="dxa"/>
          </w:tcPr>
          <w:p w:rsidRPr="001120EA" w:rsidR="004B068A" w:rsidP="00E0163C" w:rsidRDefault="004B068A" w14:paraId="5596FA12" w14:textId="2CEC6424">
            <w:pPr>
              <w:pStyle w:val="ListBullet"/>
              <w:numPr>
                <w:ilvl w:val="0"/>
                <w:numId w:val="0"/>
              </w:numPr>
              <w:jc w:val="center"/>
              <w:rPr>
                <w:sz w:val="24"/>
                <w:szCs w:val="24"/>
              </w:rPr>
            </w:pPr>
            <w:r w:rsidRPr="001120EA">
              <w:rPr>
                <w:sz w:val="24"/>
                <w:szCs w:val="24"/>
              </w:rPr>
              <w:t>The Director of Patient Safety and Quality, the Chairperson of the Patient Safety Committee, or other quality improvement professionals</w:t>
            </w:r>
          </w:p>
        </w:tc>
        <w:tc>
          <w:tcPr>
            <w:tcW w:w="1736" w:type="dxa"/>
          </w:tcPr>
          <w:p w:rsidR="004B068A" w:rsidP="004B068A" w:rsidRDefault="004B068A" w14:paraId="74471F8B" w14:textId="43616D3C">
            <w:pPr>
              <w:pStyle w:val="ListBullet"/>
              <w:numPr>
                <w:ilvl w:val="0"/>
                <w:numId w:val="0"/>
              </w:numPr>
              <w:jc w:val="center"/>
              <w:rPr>
                <w:sz w:val="24"/>
                <w:szCs w:val="24"/>
              </w:rPr>
            </w:pPr>
            <w:r>
              <w:rPr>
                <w:sz w:val="24"/>
                <w:szCs w:val="24"/>
              </w:rPr>
              <w:t>O</w:t>
            </w:r>
            <w:r w:rsidRPr="001120EA">
              <w:rPr>
                <w:sz w:val="24"/>
                <w:szCs w:val="24"/>
              </w:rPr>
              <w:t>nline questionnaire</w:t>
            </w:r>
          </w:p>
          <w:p w:rsidRPr="001120EA" w:rsidR="004B068A" w:rsidP="00E0163C" w:rsidRDefault="004B068A" w14:paraId="1C045850" w14:textId="77777777">
            <w:pPr>
              <w:pStyle w:val="ListBullet"/>
              <w:numPr>
                <w:ilvl w:val="0"/>
                <w:numId w:val="0"/>
              </w:numPr>
              <w:jc w:val="center"/>
              <w:rPr>
                <w:sz w:val="24"/>
                <w:szCs w:val="24"/>
              </w:rPr>
            </w:pPr>
          </w:p>
        </w:tc>
        <w:tc>
          <w:tcPr>
            <w:tcW w:w="1593" w:type="dxa"/>
          </w:tcPr>
          <w:p w:rsidRPr="001120EA" w:rsidR="004B068A" w:rsidP="00E0163C" w:rsidRDefault="004B068A" w14:paraId="6DBCAB62" w14:textId="4D15B9FE">
            <w:pPr>
              <w:pStyle w:val="ListBullet"/>
              <w:numPr>
                <w:ilvl w:val="0"/>
                <w:numId w:val="0"/>
              </w:numPr>
              <w:jc w:val="center"/>
              <w:rPr>
                <w:sz w:val="24"/>
                <w:szCs w:val="24"/>
              </w:rPr>
            </w:pPr>
            <w:r>
              <w:rPr>
                <w:sz w:val="24"/>
                <w:szCs w:val="24"/>
              </w:rPr>
              <w:t>384</w:t>
            </w:r>
          </w:p>
        </w:tc>
        <w:tc>
          <w:tcPr>
            <w:tcW w:w="1950" w:type="dxa"/>
          </w:tcPr>
          <w:p w:rsidRPr="001120EA" w:rsidR="004B068A" w:rsidP="00E0163C" w:rsidRDefault="00CD4ECC" w14:paraId="7A07C2E3" w14:textId="6650D0E2">
            <w:pPr>
              <w:pStyle w:val="ListBullet"/>
              <w:numPr>
                <w:ilvl w:val="0"/>
                <w:numId w:val="0"/>
              </w:numPr>
              <w:jc w:val="center"/>
              <w:rPr>
                <w:sz w:val="24"/>
                <w:szCs w:val="24"/>
              </w:rPr>
            </w:pPr>
            <w:r w:rsidRPr="001120EA">
              <w:rPr>
                <w:sz w:val="24"/>
                <w:szCs w:val="24"/>
              </w:rPr>
              <w:t>$48.55</w:t>
            </w:r>
          </w:p>
        </w:tc>
        <w:tc>
          <w:tcPr>
            <w:tcW w:w="2032" w:type="dxa"/>
          </w:tcPr>
          <w:p w:rsidRPr="001120EA" w:rsidR="004B068A" w:rsidP="00E0163C" w:rsidRDefault="00D9148E" w14:paraId="16CC7B13" w14:textId="17B68894">
            <w:pPr>
              <w:pStyle w:val="ListBullet"/>
              <w:numPr>
                <w:ilvl w:val="0"/>
                <w:numId w:val="0"/>
              </w:numPr>
              <w:jc w:val="center"/>
              <w:rPr>
                <w:sz w:val="24"/>
                <w:szCs w:val="24"/>
              </w:rPr>
            </w:pPr>
            <w:r>
              <w:rPr>
                <w:sz w:val="24"/>
                <w:szCs w:val="24"/>
              </w:rPr>
              <w:t>$18,643</w:t>
            </w:r>
          </w:p>
        </w:tc>
      </w:tr>
    </w:tbl>
    <w:p w:rsidRPr="001120EA" w:rsidR="00873BFC" w:rsidP="00E0163C" w:rsidRDefault="00873BFC" w14:paraId="163B017D" w14:textId="77777777">
      <w:pPr>
        <w:pStyle w:val="ListBullet"/>
        <w:numPr>
          <w:ilvl w:val="0"/>
          <w:numId w:val="0"/>
        </w:numPr>
        <w:rPr>
          <w:sz w:val="24"/>
          <w:szCs w:val="24"/>
        </w:rPr>
      </w:pPr>
    </w:p>
    <w:p w:rsidR="00873BFC" w:rsidP="00E0163C" w:rsidRDefault="00873BFC" w14:paraId="163B01B3" w14:textId="3AD2CA07"/>
    <w:p w:rsidRPr="001120EA" w:rsidR="00873BFC" w:rsidP="00E0163C" w:rsidRDefault="00873BFC" w14:paraId="163B01B4" w14:textId="77777777">
      <w:pPr>
        <w:rPr>
          <w:b/>
        </w:rPr>
      </w:pPr>
      <w:r w:rsidRPr="001120EA">
        <w:rPr>
          <w:b/>
          <w:i/>
          <w:u w:val="single"/>
        </w:rPr>
        <w:lastRenderedPageBreak/>
        <w:t>Section A.13. Estimates of Other Total Annual Cost Burden to Respondents or Record Keepers</w:t>
      </w:r>
    </w:p>
    <w:p w:rsidR="003D50E7" w:rsidP="00E0163C" w:rsidRDefault="003D50E7" w14:paraId="712D61CF" w14:textId="77777777"/>
    <w:p w:rsidRPr="001120EA" w:rsidR="00873BFC" w:rsidP="00E0163C" w:rsidRDefault="004C48B0" w14:paraId="163B01B6" w14:textId="34566354">
      <w:r w:rsidRPr="001120EA">
        <w:t xml:space="preserve">There are </w:t>
      </w:r>
      <w:r w:rsidRPr="001120EA" w:rsidR="00A84E4B">
        <w:t>no</w:t>
      </w:r>
      <w:r w:rsidRPr="001120EA" w:rsidR="001333A3">
        <w:t xml:space="preserve"> </w:t>
      </w:r>
      <w:r w:rsidRPr="001120EA" w:rsidR="00873BFC">
        <w:t>costs to respondents associated with either capital and startup efforts or operation and maintenance of services for this project.</w:t>
      </w:r>
    </w:p>
    <w:p w:rsidR="00873BFC" w:rsidP="00E0163C" w:rsidRDefault="00873BFC" w14:paraId="163B01B7" w14:textId="3CCD793E"/>
    <w:p w:rsidR="003C2570" w:rsidP="00E0163C" w:rsidRDefault="003C2570" w14:paraId="2F3FE01F" w14:textId="77777777">
      <w:pPr>
        <w:rPr>
          <w:b/>
          <w:i/>
          <w:u w:val="single"/>
        </w:rPr>
      </w:pPr>
    </w:p>
    <w:p w:rsidRPr="001120EA" w:rsidR="00873BFC" w:rsidP="00E0163C" w:rsidRDefault="00873BFC" w14:paraId="163B01B8" w14:textId="38BFC045">
      <w:pPr>
        <w:rPr>
          <w:b/>
        </w:rPr>
      </w:pPr>
      <w:r w:rsidRPr="001120EA">
        <w:rPr>
          <w:b/>
          <w:i/>
          <w:u w:val="single"/>
        </w:rPr>
        <w:t xml:space="preserve">Section A.14. </w:t>
      </w:r>
      <w:r w:rsidRPr="001120EA">
        <w:rPr>
          <w:b/>
          <w:bCs/>
          <w:i/>
          <w:u w:val="single"/>
        </w:rPr>
        <w:t xml:space="preserve">Annualized </w:t>
      </w:r>
      <w:r w:rsidRPr="001120EA">
        <w:rPr>
          <w:b/>
          <w:i/>
          <w:u w:val="single"/>
        </w:rPr>
        <w:t xml:space="preserve">Cost to the </w:t>
      </w:r>
      <w:r w:rsidRPr="001120EA" w:rsidR="002146FA">
        <w:rPr>
          <w:b/>
          <w:i/>
          <w:u w:val="single"/>
        </w:rPr>
        <w:t xml:space="preserve">Federal </w:t>
      </w:r>
      <w:r w:rsidRPr="001120EA">
        <w:rPr>
          <w:b/>
          <w:i/>
          <w:u w:val="single"/>
        </w:rPr>
        <w:t>Government</w:t>
      </w:r>
    </w:p>
    <w:p w:rsidRPr="001120EA" w:rsidR="00873BFC" w:rsidP="00E0163C" w:rsidRDefault="00873BFC" w14:paraId="163B01B9" w14:textId="77777777"/>
    <w:p w:rsidRPr="00FB3906" w:rsidR="005A36E2" w:rsidRDefault="00F64D4B" w14:paraId="734D2960" w14:textId="74F83A0B">
      <w:pPr>
        <w:rPr>
          <w:rFonts w:ascii="Calibri" w:hAnsi="Calibri" w:cs="Calibri"/>
          <w:color w:val="000000"/>
          <w:sz w:val="22"/>
          <w:szCs w:val="22"/>
        </w:rPr>
      </w:pPr>
      <w:r w:rsidRPr="001120EA">
        <w:t xml:space="preserve">The average annualized cost to the Government to collect this information is </w:t>
      </w:r>
      <w:r w:rsidRPr="00AD2DB4">
        <w:t>$</w:t>
      </w:r>
      <w:r w:rsidRPr="008665DA" w:rsidR="00DF0CE9">
        <w:rPr>
          <w:color w:val="000000"/>
        </w:rPr>
        <w:t>140,147</w:t>
      </w:r>
      <w:r w:rsidR="00310A15">
        <w:rPr>
          <w:rFonts w:ascii="Calibri" w:hAnsi="Calibri" w:cs="Calibri"/>
          <w:color w:val="000000"/>
          <w:sz w:val="22"/>
          <w:szCs w:val="22"/>
        </w:rPr>
        <w:t>.</w:t>
      </w:r>
    </w:p>
    <w:p w:rsidR="00F64D4B" w:rsidP="00E0163C" w:rsidRDefault="00F64D4B" w14:paraId="1E586028" w14:textId="67881BEA"/>
    <w:p w:rsidRPr="001120EA" w:rsidR="003D50E7" w:rsidP="00E0163C" w:rsidRDefault="003D50E7" w14:paraId="6BA3DCC3" w14:textId="77777777"/>
    <w:p w:rsidRPr="001120EA" w:rsidR="00F64D4B" w:rsidRDefault="00AB0828" w14:paraId="3F6DB11A" w14:textId="7ACDF957">
      <w:pPr>
        <w:rPr>
          <w:b/>
          <w:bCs/>
          <w:i/>
          <w:iCs/>
        </w:rPr>
      </w:pPr>
      <w:r w:rsidRPr="001120EA">
        <w:rPr>
          <w:b/>
          <w:bCs/>
          <w:i/>
          <w:iCs/>
        </w:rPr>
        <w:t>A.14.</w:t>
      </w:r>
      <w:r w:rsidR="00CC5151">
        <w:rPr>
          <w:b/>
          <w:bCs/>
          <w:i/>
          <w:iCs/>
        </w:rPr>
        <w:t xml:space="preserve"> </w:t>
      </w:r>
      <w:r w:rsidRPr="001120EA" w:rsidR="00AC3862">
        <w:rPr>
          <w:b/>
          <w:bCs/>
          <w:i/>
          <w:iCs/>
        </w:rPr>
        <w:t xml:space="preserve">Average Annualized </w:t>
      </w:r>
      <w:r w:rsidRPr="001120EA">
        <w:rPr>
          <w:b/>
          <w:bCs/>
          <w:i/>
          <w:iCs/>
        </w:rPr>
        <w:t>C</w:t>
      </w:r>
      <w:r w:rsidRPr="001120EA" w:rsidR="00AC3862">
        <w:rPr>
          <w:b/>
          <w:bCs/>
          <w:i/>
          <w:iCs/>
        </w:rPr>
        <w:t>ost to the Government</w:t>
      </w:r>
    </w:p>
    <w:p w:rsidRPr="001120EA" w:rsidR="00F64D4B" w:rsidRDefault="00F64D4B" w14:paraId="6E3012BA" w14:textId="3BD37CD1">
      <w:pPr>
        <w:rPr>
          <w:b/>
        </w:rPr>
      </w:pPr>
    </w:p>
    <w:tbl>
      <w:tblPr>
        <w:tblW w:w="8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55"/>
        <w:gridCol w:w="3600"/>
        <w:gridCol w:w="2880"/>
      </w:tblGrid>
      <w:tr w:rsidRPr="001120EA" w:rsidR="00F64D4B" w:rsidTr="00FC27C6" w14:paraId="2E847277" w14:textId="77777777">
        <w:tc>
          <w:tcPr>
            <w:tcW w:w="5755" w:type="dxa"/>
            <w:gridSpan w:val="2"/>
          </w:tcPr>
          <w:p w:rsidRPr="001120EA" w:rsidR="00F64D4B" w:rsidRDefault="00F64D4B" w14:paraId="454B5312" w14:textId="77777777"/>
        </w:tc>
        <w:tc>
          <w:tcPr>
            <w:tcW w:w="2880" w:type="dxa"/>
          </w:tcPr>
          <w:p w:rsidRPr="001120EA" w:rsidR="00F64D4B" w:rsidRDefault="00F64D4B" w14:paraId="75BEA9C9" w14:textId="77777777">
            <w:pPr>
              <w:jc w:val="center"/>
              <w:rPr>
                <w:b/>
              </w:rPr>
            </w:pPr>
            <w:r w:rsidRPr="001120EA">
              <w:rPr>
                <w:b/>
              </w:rPr>
              <w:t>Total ($)</w:t>
            </w:r>
          </w:p>
        </w:tc>
      </w:tr>
      <w:tr w:rsidRPr="001120EA" w:rsidR="0038287D" w:rsidTr="00AD2DB4" w14:paraId="1D77F7B0" w14:textId="77777777">
        <w:trPr>
          <w:trHeight w:val="255"/>
        </w:trPr>
        <w:tc>
          <w:tcPr>
            <w:tcW w:w="2155" w:type="dxa"/>
            <w:vMerge w:val="restart"/>
          </w:tcPr>
          <w:p w:rsidRPr="001120EA" w:rsidR="00F64D4B" w:rsidRDefault="00F64D4B" w14:paraId="2A280F2E" w14:textId="77777777">
            <w:pPr>
              <w:rPr>
                <w:b/>
              </w:rPr>
            </w:pPr>
            <w:r w:rsidRPr="001120EA">
              <w:rPr>
                <w:b/>
              </w:rPr>
              <w:t>Federal Government</w:t>
            </w:r>
          </w:p>
          <w:p w:rsidRPr="001120EA" w:rsidR="00F64D4B" w:rsidRDefault="00F64D4B" w14:paraId="5DDB2A48" w14:textId="77777777">
            <w:pPr>
              <w:rPr>
                <w:b/>
              </w:rPr>
            </w:pPr>
            <w:r w:rsidRPr="001120EA">
              <w:rPr>
                <w:b/>
              </w:rPr>
              <w:t>Personnel costs</w:t>
            </w:r>
          </w:p>
        </w:tc>
        <w:tc>
          <w:tcPr>
            <w:tcW w:w="3600" w:type="dxa"/>
          </w:tcPr>
          <w:p w:rsidR="00F64D4B" w:rsidRDefault="00F64D4B" w14:paraId="0E512263" w14:textId="77777777">
            <w:r w:rsidRPr="001120EA">
              <w:t>CDC Project Officer</w:t>
            </w:r>
          </w:p>
          <w:p w:rsidRPr="001120EA" w:rsidR="00F64D4B" w:rsidRDefault="00F64D4B" w14:paraId="3BF1EC71" w14:textId="026F991A"/>
        </w:tc>
        <w:tc>
          <w:tcPr>
            <w:tcW w:w="2880" w:type="dxa"/>
            <w:shd w:val="clear" w:color="auto" w:fill="auto"/>
          </w:tcPr>
          <w:p w:rsidRPr="00AD2DB4" w:rsidR="00F64D4B" w:rsidRDefault="00D77C86" w14:paraId="4B086E30" w14:textId="031A72F3">
            <w:pPr>
              <w:jc w:val="center"/>
            </w:pPr>
            <w:r>
              <w:t>$3,899</w:t>
            </w:r>
          </w:p>
        </w:tc>
      </w:tr>
      <w:tr w:rsidRPr="001120EA" w:rsidR="0038287D" w:rsidTr="00AD2DB4" w14:paraId="1BC53B6F" w14:textId="77777777">
        <w:trPr>
          <w:trHeight w:val="255"/>
        </w:trPr>
        <w:tc>
          <w:tcPr>
            <w:tcW w:w="2155" w:type="dxa"/>
            <w:vMerge/>
          </w:tcPr>
          <w:p w:rsidRPr="001120EA" w:rsidR="00F64D4B" w:rsidRDefault="00F64D4B" w14:paraId="1E65E305" w14:textId="77777777">
            <w:pPr>
              <w:rPr>
                <w:b/>
              </w:rPr>
            </w:pPr>
          </w:p>
        </w:tc>
        <w:tc>
          <w:tcPr>
            <w:tcW w:w="3600" w:type="dxa"/>
          </w:tcPr>
          <w:p w:rsidR="00F64D4B" w:rsidRDefault="00F64D4B" w14:paraId="05D4002E" w14:textId="77777777">
            <w:r w:rsidRPr="001120EA">
              <w:t xml:space="preserve">CDC Co-Principal Investigator </w:t>
            </w:r>
          </w:p>
          <w:p w:rsidRPr="001120EA" w:rsidR="00F64D4B" w:rsidRDefault="00F64D4B" w14:paraId="45C3069D" w14:textId="08AD9258"/>
        </w:tc>
        <w:tc>
          <w:tcPr>
            <w:tcW w:w="2880" w:type="dxa"/>
            <w:shd w:val="clear" w:color="auto" w:fill="auto"/>
          </w:tcPr>
          <w:p w:rsidRPr="00AD2DB4" w:rsidR="00F64D4B" w:rsidRDefault="00DF0CE9" w14:paraId="65E1A008" w14:textId="6C5B89FE">
            <w:pPr>
              <w:jc w:val="center"/>
            </w:pPr>
            <w:r>
              <w:t>$2,915</w:t>
            </w:r>
          </w:p>
        </w:tc>
      </w:tr>
      <w:tr w:rsidRPr="001120EA" w:rsidR="006840EA" w:rsidTr="00FC27C6" w14:paraId="25264962" w14:textId="77777777">
        <w:trPr>
          <w:trHeight w:val="1043"/>
        </w:trPr>
        <w:tc>
          <w:tcPr>
            <w:tcW w:w="2155" w:type="dxa"/>
          </w:tcPr>
          <w:p w:rsidRPr="001120EA" w:rsidR="006840EA" w:rsidRDefault="006840EA" w14:paraId="7885D3B5" w14:textId="77777777">
            <w:pPr>
              <w:rPr>
                <w:b/>
              </w:rPr>
            </w:pPr>
            <w:r w:rsidRPr="001120EA">
              <w:rPr>
                <w:b/>
              </w:rPr>
              <w:t>Contractor</w:t>
            </w:r>
          </w:p>
          <w:p w:rsidRPr="001120EA" w:rsidR="006840EA" w:rsidRDefault="006840EA" w14:paraId="4117C469" w14:textId="77777777">
            <w:pPr>
              <w:rPr>
                <w:b/>
              </w:rPr>
            </w:pPr>
            <w:r w:rsidRPr="001120EA">
              <w:rPr>
                <w:b/>
              </w:rPr>
              <w:t>Direct Labor</w:t>
            </w:r>
          </w:p>
        </w:tc>
        <w:tc>
          <w:tcPr>
            <w:tcW w:w="3600" w:type="dxa"/>
          </w:tcPr>
          <w:p w:rsidRPr="001120EA" w:rsidR="006840EA" w:rsidRDefault="00346867" w14:paraId="5DADE163" w14:textId="7C400D7F">
            <w:r w:rsidRPr="001120EA">
              <w:t>Personnel salary and wages</w:t>
            </w:r>
          </w:p>
        </w:tc>
        <w:tc>
          <w:tcPr>
            <w:tcW w:w="2880" w:type="dxa"/>
          </w:tcPr>
          <w:p w:rsidRPr="001120EA" w:rsidR="006840EA" w:rsidRDefault="00861C4F" w14:paraId="13D673D4" w14:textId="0C6B3952">
            <w:pPr>
              <w:jc w:val="center"/>
            </w:pPr>
            <w:r w:rsidRPr="001120EA">
              <w:t>$14,093</w:t>
            </w:r>
          </w:p>
        </w:tc>
      </w:tr>
      <w:tr w:rsidRPr="001120EA" w:rsidR="0038287D" w:rsidTr="00FC27C6" w14:paraId="3746C814" w14:textId="77777777">
        <w:tc>
          <w:tcPr>
            <w:tcW w:w="2155" w:type="dxa"/>
          </w:tcPr>
          <w:p w:rsidRPr="001120EA" w:rsidR="00F64D4B" w:rsidRDefault="00F64D4B" w14:paraId="6BBD93F3" w14:textId="77777777">
            <w:pPr>
              <w:rPr>
                <w:b/>
              </w:rPr>
            </w:pPr>
            <w:r w:rsidRPr="001120EA">
              <w:rPr>
                <w:b/>
              </w:rPr>
              <w:t xml:space="preserve">Other </w:t>
            </w:r>
          </w:p>
          <w:p w:rsidRPr="001120EA" w:rsidR="00F64D4B" w:rsidRDefault="00F64D4B" w14:paraId="62E1D47A" w14:textId="77777777">
            <w:pPr>
              <w:rPr>
                <w:b/>
              </w:rPr>
            </w:pPr>
            <w:r w:rsidRPr="001120EA">
              <w:rPr>
                <w:b/>
              </w:rPr>
              <w:t>Contractor</w:t>
            </w:r>
          </w:p>
          <w:p w:rsidRPr="001120EA" w:rsidR="00F64D4B" w:rsidRDefault="00F64D4B" w14:paraId="0CA12843" w14:textId="77777777">
            <w:pPr>
              <w:rPr>
                <w:b/>
              </w:rPr>
            </w:pPr>
            <w:r w:rsidRPr="001120EA">
              <w:rPr>
                <w:b/>
              </w:rPr>
              <w:t>Direct Cost</w:t>
            </w:r>
          </w:p>
        </w:tc>
        <w:tc>
          <w:tcPr>
            <w:tcW w:w="3600" w:type="dxa"/>
          </w:tcPr>
          <w:p w:rsidR="00F64D4B" w:rsidRDefault="00EC7F7E" w14:paraId="0CEA4928" w14:textId="77777777">
            <w:r w:rsidRPr="001120EA">
              <w:t>Supplies (also: travel, equipment, subcontractor, and consultant fees)</w:t>
            </w:r>
          </w:p>
          <w:p w:rsidRPr="001120EA" w:rsidR="00F64D4B" w:rsidRDefault="00F64D4B" w14:paraId="1D9240F3" w14:textId="59A0E7D2"/>
        </w:tc>
        <w:tc>
          <w:tcPr>
            <w:tcW w:w="2880" w:type="dxa"/>
          </w:tcPr>
          <w:p w:rsidRPr="001120EA" w:rsidR="00034DF3" w:rsidRDefault="0072105D" w14:paraId="0ED25D02" w14:textId="4FB65FDE">
            <w:pPr>
              <w:jc w:val="center"/>
            </w:pPr>
            <w:r w:rsidRPr="001120EA">
              <w:t>$115,441</w:t>
            </w:r>
          </w:p>
        </w:tc>
      </w:tr>
      <w:tr w:rsidRPr="001120EA" w:rsidR="0038287D" w:rsidTr="00FC27C6" w14:paraId="7925DF9D" w14:textId="77777777">
        <w:tc>
          <w:tcPr>
            <w:tcW w:w="2155" w:type="dxa"/>
          </w:tcPr>
          <w:p w:rsidRPr="001120EA" w:rsidR="00F64D4B" w:rsidRDefault="00F64D4B" w14:paraId="31768381" w14:textId="77777777">
            <w:pPr>
              <w:rPr>
                <w:b/>
              </w:rPr>
            </w:pPr>
            <w:r w:rsidRPr="001120EA">
              <w:rPr>
                <w:b/>
              </w:rPr>
              <w:t>Total Indirect Cost</w:t>
            </w:r>
          </w:p>
        </w:tc>
        <w:tc>
          <w:tcPr>
            <w:tcW w:w="3600" w:type="dxa"/>
          </w:tcPr>
          <w:p w:rsidRPr="001120EA" w:rsidR="00F64D4B" w:rsidRDefault="00F64D4B" w14:paraId="2A9FB658" w14:textId="20550DF1">
            <w:r w:rsidRPr="001120EA">
              <w:t xml:space="preserve">Fringe </w:t>
            </w:r>
            <w:r w:rsidRPr="001120EA" w:rsidR="00B73D8D">
              <w:t>and indirect</w:t>
            </w:r>
          </w:p>
        </w:tc>
        <w:tc>
          <w:tcPr>
            <w:tcW w:w="2880" w:type="dxa"/>
          </w:tcPr>
          <w:p w:rsidRPr="001120EA" w:rsidR="00FE5B40" w:rsidRDefault="003A7994" w14:paraId="4C231693" w14:textId="7FB3FFFB">
            <w:pPr>
              <w:jc w:val="center"/>
            </w:pPr>
            <w:r w:rsidRPr="001120EA">
              <w:t xml:space="preserve"> </w:t>
            </w:r>
            <w:r w:rsidRPr="001120EA" w:rsidR="00861C4F">
              <w:t>$3,799</w:t>
            </w:r>
            <w:r w:rsidRPr="001120EA" w:rsidR="00FE5B40">
              <w:t xml:space="preserve"> </w:t>
            </w:r>
          </w:p>
        </w:tc>
      </w:tr>
      <w:tr w:rsidRPr="001120EA" w:rsidR="0038287D" w:rsidTr="00AD2DB4" w14:paraId="2B3C210D" w14:textId="77777777">
        <w:tc>
          <w:tcPr>
            <w:tcW w:w="2155" w:type="dxa"/>
          </w:tcPr>
          <w:p w:rsidRPr="001120EA" w:rsidR="00F64D4B" w:rsidRDefault="00F64D4B" w14:paraId="3D007E8D" w14:textId="77777777">
            <w:pPr>
              <w:rPr>
                <w:b/>
              </w:rPr>
            </w:pPr>
            <w:r w:rsidRPr="001120EA">
              <w:rPr>
                <w:b/>
              </w:rPr>
              <w:t>Total</w:t>
            </w:r>
          </w:p>
        </w:tc>
        <w:tc>
          <w:tcPr>
            <w:tcW w:w="3600" w:type="dxa"/>
          </w:tcPr>
          <w:p w:rsidR="00F64D4B" w:rsidRDefault="00346867" w14:paraId="30FCE53D" w14:textId="77777777">
            <w:r w:rsidRPr="001120EA">
              <w:t>Budget total</w:t>
            </w:r>
          </w:p>
          <w:p w:rsidRPr="001120EA" w:rsidR="00F64D4B" w:rsidRDefault="00F64D4B" w14:paraId="5703AC15" w14:textId="5E45A5F7"/>
        </w:tc>
        <w:tc>
          <w:tcPr>
            <w:tcW w:w="2880" w:type="dxa"/>
            <w:shd w:val="clear" w:color="auto" w:fill="auto"/>
          </w:tcPr>
          <w:p w:rsidRPr="00CD5E8E" w:rsidR="00DF0CE9" w:rsidRDefault="00D402C8" w14:paraId="237A3614" w14:textId="0E3A5432">
            <w:pPr>
              <w:jc w:val="center"/>
              <w:rPr>
                <w:color w:val="000000"/>
              </w:rPr>
            </w:pPr>
            <w:r w:rsidRPr="001120EA">
              <w:rPr>
                <w:color w:val="000000"/>
              </w:rPr>
              <w:t>$</w:t>
            </w:r>
            <w:r w:rsidRPr="008665DA" w:rsidR="00DF0CE9">
              <w:rPr>
                <w:color w:val="000000"/>
              </w:rPr>
              <w:t>140,147</w:t>
            </w:r>
          </w:p>
          <w:p w:rsidRPr="001120EA" w:rsidR="00AC1D3B" w:rsidRDefault="00AC1D3B" w14:paraId="42ED78B2" w14:textId="71D7B1D4">
            <w:pPr>
              <w:jc w:val="center"/>
            </w:pPr>
          </w:p>
        </w:tc>
      </w:tr>
    </w:tbl>
    <w:p w:rsidR="00F64D4B" w:rsidRDefault="00F64D4B" w14:paraId="3CCCC823" w14:textId="656CD232"/>
    <w:p w:rsidRPr="001120EA" w:rsidR="00200E97" w:rsidRDefault="00200E97" w14:paraId="1AC8A29B" w14:textId="77777777"/>
    <w:p w:rsidRPr="001120EA" w:rsidR="00873BFC" w:rsidP="00E0163C" w:rsidRDefault="00873BFC" w14:paraId="163B01EA" w14:textId="7FD0970B">
      <w:r w:rsidRPr="001120EA">
        <w:rPr>
          <w:b/>
          <w:i/>
          <w:u w:val="single"/>
        </w:rPr>
        <w:t>Section A.15. Explanation for Program Changes or Adjustments</w:t>
      </w:r>
    </w:p>
    <w:p w:rsidR="003D50E7" w:rsidP="00E0163C" w:rsidRDefault="003D50E7" w14:paraId="5BAA6E4D" w14:textId="77777777"/>
    <w:p w:rsidRPr="001120EA" w:rsidR="00873BFC" w:rsidP="00E0163C" w:rsidRDefault="00873BFC" w14:paraId="163B01EB" w14:textId="08590F3E">
      <w:r w:rsidRPr="001120EA">
        <w:t>This is a new data collection.</w:t>
      </w:r>
      <w:r w:rsidRPr="001120EA" w:rsidR="004C48B0">
        <w:t xml:space="preserve">  </w:t>
      </w:r>
    </w:p>
    <w:p w:rsidR="004C48B0" w:rsidP="0014499B" w:rsidRDefault="004C48B0" w14:paraId="163B01ED" w14:textId="64774595"/>
    <w:p w:rsidRPr="001120EA" w:rsidR="001F1FCA" w:rsidP="00E0163C" w:rsidRDefault="001F1FCA" w14:paraId="15A35F17" w14:textId="77777777"/>
    <w:p w:rsidR="00873BFC" w:rsidP="00E0163C" w:rsidRDefault="00873BFC" w14:paraId="163B01EE" w14:textId="1EBAEFD9">
      <w:pPr>
        <w:rPr>
          <w:b/>
          <w:i/>
          <w:u w:val="single"/>
        </w:rPr>
      </w:pPr>
      <w:r w:rsidRPr="001120EA">
        <w:rPr>
          <w:b/>
          <w:i/>
          <w:u w:val="single"/>
        </w:rPr>
        <w:t>Section A.16. Plans for Tabulation and Publication and Project Time Schedule</w:t>
      </w:r>
    </w:p>
    <w:p w:rsidR="009D3C68" w:rsidP="00E0163C" w:rsidRDefault="009D3C68" w14:paraId="0490120E" w14:textId="26115BBC">
      <w:pPr>
        <w:rPr>
          <w:b/>
          <w:i/>
          <w:u w:val="single"/>
        </w:rPr>
      </w:pPr>
    </w:p>
    <w:tbl>
      <w:tblPr>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91"/>
        <w:gridCol w:w="5446"/>
      </w:tblGrid>
      <w:tr w:rsidRPr="001120EA" w:rsidR="009D3C68" w:rsidTr="00435CE6" w14:paraId="11AA0DBA" w14:textId="77777777">
        <w:trPr>
          <w:jc w:val="center"/>
        </w:trPr>
        <w:tc>
          <w:tcPr>
            <w:tcW w:w="8437" w:type="dxa"/>
            <w:gridSpan w:val="2"/>
            <w:shd w:val="clear" w:color="auto" w:fill="auto"/>
          </w:tcPr>
          <w:p w:rsidR="009D3C68" w:rsidP="00E0163C" w:rsidRDefault="009D3C68" w14:paraId="24C45E65" w14:textId="30F50756">
            <w:pPr>
              <w:ind w:left="33"/>
              <w:jc w:val="center"/>
              <w:rPr>
                <w:b/>
              </w:rPr>
            </w:pPr>
            <w:r w:rsidRPr="001120EA">
              <w:rPr>
                <w:b/>
              </w:rPr>
              <w:t>Project Time Schedule</w:t>
            </w:r>
          </w:p>
          <w:p w:rsidRPr="001120EA" w:rsidR="009D3C68" w:rsidP="00E0163C" w:rsidRDefault="009D3C68" w14:paraId="1C660A69" w14:textId="77777777">
            <w:pPr>
              <w:ind w:left="33"/>
              <w:jc w:val="center"/>
              <w:rPr>
                <w:b/>
              </w:rPr>
            </w:pPr>
            <w:r w:rsidRPr="001120EA">
              <w:rPr>
                <w:b/>
              </w:rPr>
              <w:t xml:space="preserve"> </w:t>
            </w:r>
          </w:p>
        </w:tc>
      </w:tr>
      <w:tr w:rsidRPr="001120EA" w:rsidR="009D3C68" w:rsidTr="00435CE6" w14:paraId="5AD08129" w14:textId="77777777">
        <w:trPr>
          <w:jc w:val="center"/>
        </w:trPr>
        <w:tc>
          <w:tcPr>
            <w:tcW w:w="2991" w:type="dxa"/>
            <w:shd w:val="clear" w:color="auto" w:fill="auto"/>
          </w:tcPr>
          <w:p w:rsidRPr="001120EA" w:rsidR="009D3C68" w:rsidP="00E0163C" w:rsidRDefault="009D3C68" w14:paraId="43DD5929" w14:textId="77777777">
            <w:pPr>
              <w:ind w:left="33"/>
              <w:jc w:val="center"/>
              <w:rPr>
                <w:b/>
                <w:bCs/>
              </w:rPr>
            </w:pPr>
            <w:r w:rsidRPr="001120EA">
              <w:rPr>
                <w:b/>
                <w:bCs/>
              </w:rPr>
              <w:t>Activity</w:t>
            </w:r>
          </w:p>
        </w:tc>
        <w:tc>
          <w:tcPr>
            <w:tcW w:w="5446" w:type="dxa"/>
            <w:shd w:val="clear" w:color="auto" w:fill="auto"/>
          </w:tcPr>
          <w:p w:rsidRPr="001120EA" w:rsidR="009D3C68" w:rsidP="00E0163C" w:rsidRDefault="009D3C68" w14:paraId="1DB24367" w14:textId="77777777">
            <w:pPr>
              <w:ind w:left="33"/>
              <w:jc w:val="center"/>
              <w:rPr>
                <w:b/>
                <w:bCs/>
              </w:rPr>
            </w:pPr>
            <w:r w:rsidRPr="001120EA">
              <w:rPr>
                <w:b/>
                <w:bCs/>
              </w:rPr>
              <w:t>Timeframe</w:t>
            </w:r>
          </w:p>
        </w:tc>
      </w:tr>
      <w:tr w:rsidRPr="001120EA" w:rsidR="009D3C68" w:rsidTr="00435CE6" w14:paraId="6F23E8BD" w14:textId="77777777">
        <w:trPr>
          <w:jc w:val="center"/>
        </w:trPr>
        <w:tc>
          <w:tcPr>
            <w:tcW w:w="2991" w:type="dxa"/>
            <w:shd w:val="clear" w:color="auto" w:fill="auto"/>
          </w:tcPr>
          <w:p w:rsidRPr="001120EA" w:rsidR="009D3C68" w:rsidP="00E0163C" w:rsidRDefault="009D3C68" w14:paraId="0BF7EB52" w14:textId="77777777">
            <w:pPr>
              <w:ind w:left="33"/>
            </w:pPr>
            <w:r w:rsidRPr="001120EA">
              <w:t>Identify Participants</w:t>
            </w:r>
          </w:p>
        </w:tc>
        <w:tc>
          <w:tcPr>
            <w:tcW w:w="5446" w:type="dxa"/>
            <w:shd w:val="clear" w:color="auto" w:fill="auto"/>
          </w:tcPr>
          <w:p w:rsidRPr="001120EA" w:rsidR="009D3C68" w:rsidP="00E0163C" w:rsidRDefault="009D3C68" w14:paraId="410B7212" w14:textId="77777777">
            <w:pPr>
              <w:ind w:left="33"/>
            </w:pPr>
            <w:r w:rsidRPr="001120EA">
              <w:t>1–2 months after OMB approval</w:t>
            </w:r>
          </w:p>
        </w:tc>
      </w:tr>
      <w:tr w:rsidRPr="001120EA" w:rsidR="009D3C68" w:rsidTr="00435CE6" w14:paraId="600ECE97" w14:textId="77777777">
        <w:trPr>
          <w:jc w:val="center"/>
        </w:trPr>
        <w:tc>
          <w:tcPr>
            <w:tcW w:w="2991" w:type="dxa"/>
            <w:shd w:val="clear" w:color="auto" w:fill="auto"/>
          </w:tcPr>
          <w:p w:rsidRPr="001120EA" w:rsidR="009D3C68" w:rsidP="00E0163C" w:rsidRDefault="009D3C68" w14:paraId="4FA49072" w14:textId="77777777">
            <w:pPr>
              <w:ind w:left="33"/>
            </w:pPr>
            <w:r w:rsidRPr="001120EA">
              <w:t xml:space="preserve">Initiate implementation </w:t>
            </w:r>
          </w:p>
        </w:tc>
        <w:tc>
          <w:tcPr>
            <w:tcW w:w="5446" w:type="dxa"/>
            <w:shd w:val="clear" w:color="auto" w:fill="auto"/>
          </w:tcPr>
          <w:p w:rsidRPr="001120EA" w:rsidR="009D3C68" w:rsidP="00E0163C" w:rsidRDefault="009D3C68" w14:paraId="774653EE" w14:textId="77777777">
            <w:pPr>
              <w:ind w:left="33"/>
            </w:pPr>
            <w:r w:rsidRPr="001120EA">
              <w:t>3-5 months after OMB approval</w:t>
            </w:r>
          </w:p>
        </w:tc>
      </w:tr>
      <w:tr w:rsidRPr="001120EA" w:rsidR="009D3C68" w:rsidTr="00435CE6" w14:paraId="73DF02C3" w14:textId="77777777">
        <w:trPr>
          <w:jc w:val="center"/>
        </w:trPr>
        <w:tc>
          <w:tcPr>
            <w:tcW w:w="2991" w:type="dxa"/>
            <w:shd w:val="clear" w:color="auto" w:fill="auto"/>
          </w:tcPr>
          <w:p w:rsidRPr="001120EA" w:rsidR="009D3C68" w:rsidP="00E0163C" w:rsidRDefault="009D3C68" w14:paraId="48D67793" w14:textId="5AE1D1FE">
            <w:r w:rsidRPr="001120EA">
              <w:t xml:space="preserve">Collect and Review Data </w:t>
            </w:r>
          </w:p>
        </w:tc>
        <w:tc>
          <w:tcPr>
            <w:tcW w:w="5446" w:type="dxa"/>
            <w:shd w:val="clear" w:color="auto" w:fill="auto"/>
          </w:tcPr>
          <w:p w:rsidRPr="001120EA" w:rsidR="009D3C68" w:rsidP="00E0163C" w:rsidRDefault="009D3C68" w14:paraId="66B61F63" w14:textId="77777777">
            <w:pPr>
              <w:ind w:left="33"/>
            </w:pPr>
            <w:r w:rsidRPr="001120EA">
              <w:t>3-7 months after OMB approval</w:t>
            </w:r>
          </w:p>
        </w:tc>
      </w:tr>
      <w:tr w:rsidRPr="001120EA" w:rsidR="009D3C68" w:rsidTr="00435CE6" w14:paraId="4D8484AF" w14:textId="77777777">
        <w:trPr>
          <w:jc w:val="center"/>
        </w:trPr>
        <w:tc>
          <w:tcPr>
            <w:tcW w:w="2991" w:type="dxa"/>
            <w:shd w:val="clear" w:color="auto" w:fill="auto"/>
          </w:tcPr>
          <w:p w:rsidRPr="001120EA" w:rsidR="009D3C68" w:rsidP="00E0163C" w:rsidRDefault="009D3C68" w14:paraId="4D79DEF6" w14:textId="77777777">
            <w:r w:rsidRPr="001120EA">
              <w:t>Analyze Data</w:t>
            </w:r>
          </w:p>
        </w:tc>
        <w:tc>
          <w:tcPr>
            <w:tcW w:w="5446" w:type="dxa"/>
            <w:shd w:val="clear" w:color="auto" w:fill="auto"/>
          </w:tcPr>
          <w:p w:rsidRPr="001120EA" w:rsidR="009D3C68" w:rsidP="00E0163C" w:rsidRDefault="009D3C68" w14:paraId="576B6167" w14:textId="77777777">
            <w:pPr>
              <w:ind w:left="33"/>
            </w:pPr>
            <w:r w:rsidRPr="001120EA">
              <w:t>8 months after OMB approval</w:t>
            </w:r>
          </w:p>
        </w:tc>
      </w:tr>
      <w:tr w:rsidRPr="001120EA" w:rsidR="009D3C68" w:rsidTr="00213116" w14:paraId="5DCAD6A1" w14:textId="77777777">
        <w:trPr>
          <w:trHeight w:val="350"/>
          <w:jc w:val="center"/>
        </w:trPr>
        <w:tc>
          <w:tcPr>
            <w:tcW w:w="2991" w:type="dxa"/>
            <w:shd w:val="clear" w:color="auto" w:fill="auto"/>
          </w:tcPr>
          <w:p w:rsidRPr="001120EA" w:rsidR="009D3C68" w:rsidP="00E0163C" w:rsidRDefault="009D3C68" w14:paraId="6FE3065D" w14:textId="77777777">
            <w:r w:rsidRPr="001120EA">
              <w:lastRenderedPageBreak/>
              <w:t xml:space="preserve">Draft Report  </w:t>
            </w:r>
          </w:p>
        </w:tc>
        <w:tc>
          <w:tcPr>
            <w:tcW w:w="5446" w:type="dxa"/>
            <w:shd w:val="clear" w:color="auto" w:fill="auto"/>
          </w:tcPr>
          <w:p w:rsidRPr="001120EA" w:rsidR="009D3C68" w:rsidP="00E0163C" w:rsidRDefault="009D3C68" w14:paraId="737800FD" w14:textId="77777777">
            <w:pPr>
              <w:ind w:left="33"/>
            </w:pPr>
            <w:r w:rsidRPr="001120EA">
              <w:t>9-10 months after OMB approval</w:t>
            </w:r>
          </w:p>
        </w:tc>
      </w:tr>
      <w:tr w:rsidRPr="001120EA" w:rsidR="009D3C68" w:rsidTr="00435CE6" w14:paraId="18B66B57" w14:textId="77777777">
        <w:trPr>
          <w:jc w:val="center"/>
        </w:trPr>
        <w:tc>
          <w:tcPr>
            <w:tcW w:w="2991" w:type="dxa"/>
            <w:shd w:val="clear" w:color="auto" w:fill="auto"/>
          </w:tcPr>
          <w:p w:rsidRPr="001120EA" w:rsidR="009D3C68" w:rsidP="00E0163C" w:rsidRDefault="009D3C68" w14:paraId="4998CDE8" w14:textId="77777777">
            <w:pPr>
              <w:tabs>
                <w:tab w:val="left" w:pos="2775"/>
              </w:tabs>
              <w:ind w:left="33"/>
            </w:pPr>
            <w:r w:rsidRPr="001120EA">
              <w:rPr>
                <w:bCs/>
              </w:rPr>
              <w:t>Final Report</w:t>
            </w:r>
            <w:r w:rsidRPr="001120EA">
              <w:rPr>
                <w:bCs/>
              </w:rPr>
              <w:tab/>
            </w:r>
          </w:p>
        </w:tc>
        <w:tc>
          <w:tcPr>
            <w:tcW w:w="5446" w:type="dxa"/>
            <w:shd w:val="clear" w:color="auto" w:fill="auto"/>
          </w:tcPr>
          <w:p w:rsidRPr="001120EA" w:rsidR="009D3C68" w:rsidP="00E0163C" w:rsidRDefault="009D3C68" w14:paraId="06201AF2" w14:textId="77777777">
            <w:pPr>
              <w:ind w:left="33"/>
            </w:pPr>
            <w:r w:rsidRPr="001120EA">
              <w:t>11-12 months after OMB approval</w:t>
            </w:r>
          </w:p>
        </w:tc>
      </w:tr>
    </w:tbl>
    <w:p w:rsidRPr="007212FF" w:rsidR="009D3C68" w:rsidP="00E0163C" w:rsidRDefault="009D3C68" w14:paraId="02F8FB11" w14:textId="77777777">
      <w:pPr>
        <w:rPr>
          <w:bCs/>
          <w:iCs/>
        </w:rPr>
      </w:pPr>
    </w:p>
    <w:p w:rsidRPr="001120EA" w:rsidR="00873BFC" w:rsidP="00E0163C" w:rsidRDefault="00873BFC" w14:paraId="163B01EF" w14:textId="77777777"/>
    <w:p w:rsidRPr="001120EA" w:rsidR="004C48B0" w:rsidP="00E0163C" w:rsidRDefault="00230AB9" w14:paraId="163B01F1" w14:textId="71B573AE">
      <w:pPr>
        <w:pStyle w:val="ListParagraph"/>
        <w:numPr>
          <w:ilvl w:val="0"/>
          <w:numId w:val="29"/>
        </w:numPr>
        <w:spacing w:after="0" w:line="240" w:lineRule="auto"/>
        <w:contextualSpacing w:val="0"/>
        <w:rPr>
          <w:sz w:val="24"/>
          <w:szCs w:val="24"/>
        </w:rPr>
      </w:pPr>
      <w:r w:rsidRPr="001120EA">
        <w:rPr>
          <w:sz w:val="24"/>
          <w:szCs w:val="24"/>
        </w:rPr>
        <w:t xml:space="preserve">Identify </w:t>
      </w:r>
      <w:r w:rsidR="00435CE6">
        <w:rPr>
          <w:sz w:val="24"/>
          <w:szCs w:val="24"/>
        </w:rPr>
        <w:t>p</w:t>
      </w:r>
      <w:r w:rsidRPr="001120EA">
        <w:rPr>
          <w:sz w:val="24"/>
          <w:szCs w:val="24"/>
        </w:rPr>
        <w:t xml:space="preserve">articipants: </w:t>
      </w:r>
      <w:r w:rsidRPr="001120EA" w:rsidR="00AA1B0E">
        <w:rPr>
          <w:sz w:val="24"/>
          <w:szCs w:val="24"/>
        </w:rPr>
        <w:t>During the first month after OMB approval, t</w:t>
      </w:r>
      <w:r w:rsidRPr="001120EA" w:rsidR="002D391D">
        <w:rPr>
          <w:sz w:val="24"/>
          <w:szCs w:val="24"/>
        </w:rPr>
        <w:t xml:space="preserve">he participants will be identified </w:t>
      </w:r>
      <w:r w:rsidRPr="001120EA" w:rsidR="00C41860">
        <w:rPr>
          <w:sz w:val="24"/>
          <w:szCs w:val="24"/>
        </w:rPr>
        <w:t xml:space="preserve">by </w:t>
      </w:r>
      <w:r w:rsidRPr="001120EA" w:rsidR="002D391D">
        <w:rPr>
          <w:sz w:val="24"/>
          <w:szCs w:val="24"/>
        </w:rPr>
        <w:t xml:space="preserve">using a </w:t>
      </w:r>
      <w:r w:rsidRPr="001120EA" w:rsidR="00C41860">
        <w:rPr>
          <w:sz w:val="24"/>
          <w:szCs w:val="24"/>
        </w:rPr>
        <w:t>representative sample from the AHA database.  The sample will be representative of all U</w:t>
      </w:r>
      <w:r w:rsidR="00AE3EAD">
        <w:rPr>
          <w:sz w:val="24"/>
          <w:szCs w:val="24"/>
        </w:rPr>
        <w:t>.</w:t>
      </w:r>
      <w:r w:rsidRPr="001120EA" w:rsidR="00C41860">
        <w:rPr>
          <w:sz w:val="24"/>
          <w:szCs w:val="24"/>
        </w:rPr>
        <w:t>S</w:t>
      </w:r>
      <w:r w:rsidR="00AE3EAD">
        <w:rPr>
          <w:sz w:val="24"/>
          <w:szCs w:val="24"/>
        </w:rPr>
        <w:t>.</w:t>
      </w:r>
      <w:r w:rsidRPr="001120EA" w:rsidR="00C41860">
        <w:rPr>
          <w:sz w:val="24"/>
          <w:szCs w:val="24"/>
        </w:rPr>
        <w:t xml:space="preserve"> </w:t>
      </w:r>
      <w:r w:rsidR="003742FA">
        <w:rPr>
          <w:sz w:val="24"/>
          <w:szCs w:val="24"/>
        </w:rPr>
        <w:t xml:space="preserve">adult </w:t>
      </w:r>
      <w:r w:rsidRPr="001120EA" w:rsidR="00C41860">
        <w:rPr>
          <w:sz w:val="24"/>
          <w:szCs w:val="24"/>
        </w:rPr>
        <w:t>general medical and surgical hospitals</w:t>
      </w:r>
      <w:r w:rsidRPr="001120EA" w:rsidR="004B2EE8">
        <w:rPr>
          <w:sz w:val="24"/>
          <w:szCs w:val="24"/>
        </w:rPr>
        <w:t xml:space="preserve">. The sampling approach will be a </w:t>
      </w:r>
      <w:r w:rsidRPr="001120EA" w:rsidR="00A32BC5">
        <w:rPr>
          <w:sz w:val="24"/>
          <w:szCs w:val="24"/>
        </w:rPr>
        <w:t>stratified random sample</w:t>
      </w:r>
      <w:r w:rsidRPr="001120EA" w:rsidR="002E6396">
        <w:rPr>
          <w:sz w:val="24"/>
          <w:szCs w:val="24"/>
        </w:rPr>
        <w:t>.</w:t>
      </w:r>
    </w:p>
    <w:p w:rsidRPr="001120EA" w:rsidR="00C46FDA" w:rsidP="00E0163C" w:rsidRDefault="00C46FDA" w14:paraId="554ED4FE" w14:textId="77777777">
      <w:pPr>
        <w:pStyle w:val="ListParagraph"/>
        <w:spacing w:after="0" w:line="240" w:lineRule="auto"/>
        <w:contextualSpacing w:val="0"/>
        <w:rPr>
          <w:sz w:val="24"/>
          <w:szCs w:val="24"/>
        </w:rPr>
      </w:pPr>
    </w:p>
    <w:p w:rsidRPr="001120EA" w:rsidR="00703618" w:rsidP="00E0163C" w:rsidRDefault="007806ED" w14:paraId="3BDBF24A" w14:textId="133D8301">
      <w:pPr>
        <w:pStyle w:val="ListParagraph"/>
        <w:numPr>
          <w:ilvl w:val="0"/>
          <w:numId w:val="32"/>
        </w:numPr>
        <w:spacing w:after="0" w:line="240" w:lineRule="auto"/>
        <w:contextualSpacing w:val="0"/>
        <w:rPr>
          <w:sz w:val="24"/>
          <w:szCs w:val="24"/>
        </w:rPr>
      </w:pPr>
      <w:r w:rsidRPr="00FB12E0">
        <w:rPr>
          <w:sz w:val="24"/>
          <w:szCs w:val="24"/>
        </w:rPr>
        <w:t>Implementation</w:t>
      </w:r>
      <w:r w:rsidRPr="00FB12E0" w:rsidR="00703618">
        <w:rPr>
          <w:sz w:val="24"/>
          <w:szCs w:val="24"/>
        </w:rPr>
        <w:t xml:space="preserve">: The target respondent is the Director of Quality and Safety at each hospital. We will obtain their </w:t>
      </w:r>
      <w:r w:rsidRPr="00FB12E0" w:rsidR="00801B4A">
        <w:rPr>
          <w:sz w:val="24"/>
          <w:szCs w:val="24"/>
        </w:rPr>
        <w:t>email address</w:t>
      </w:r>
      <w:r w:rsidRPr="00FB12E0" w:rsidR="00703618">
        <w:rPr>
          <w:sz w:val="24"/>
          <w:szCs w:val="24"/>
        </w:rPr>
        <w:t xml:space="preserve"> from the Definitive Healthcare </w:t>
      </w:r>
      <w:r w:rsidRPr="00FB12E0" w:rsidR="00AF7398">
        <w:rPr>
          <w:sz w:val="24"/>
          <w:szCs w:val="24"/>
        </w:rPr>
        <w:t>(Framingham</w:t>
      </w:r>
      <w:r w:rsidRPr="00FB12E0" w:rsidR="00BA2B9A">
        <w:rPr>
          <w:sz w:val="24"/>
          <w:szCs w:val="24"/>
        </w:rPr>
        <w:t>, MA</w:t>
      </w:r>
      <w:r w:rsidRPr="00FB12E0" w:rsidR="005F399D">
        <w:rPr>
          <w:sz w:val="24"/>
          <w:szCs w:val="24"/>
        </w:rPr>
        <w:t>.</w:t>
      </w:r>
      <w:r w:rsidRPr="00FB12E0" w:rsidR="00BD12BE">
        <w:rPr>
          <w:sz w:val="24"/>
          <w:szCs w:val="24"/>
        </w:rPr>
        <w:t xml:space="preserve"> URL</w:t>
      </w:r>
      <w:r w:rsidRPr="00FB12E0" w:rsidR="004A18CD">
        <w:rPr>
          <w:sz w:val="24"/>
          <w:szCs w:val="24"/>
        </w:rPr>
        <w:t xml:space="preserve"> </w:t>
      </w:r>
      <w:r w:rsidRPr="00FB12E0" w:rsidR="00140581">
        <w:rPr>
          <w:rStyle w:val="HTMLCite"/>
          <w:i w:val="0"/>
          <w:iCs w:val="0"/>
        </w:rPr>
        <w:t>https://</w:t>
      </w:r>
      <w:hyperlink w:history="1" r:id="rId19">
        <w:r w:rsidRPr="00FB12E0" w:rsidR="005F399D">
          <w:rPr>
            <w:rStyle w:val="Hyperlink"/>
            <w:color w:val="auto"/>
            <w:sz w:val="24"/>
            <w:szCs w:val="24"/>
          </w:rPr>
          <w:t>www.definitivehc.com</w:t>
        </w:r>
      </w:hyperlink>
      <w:r w:rsidRPr="00FB12E0" w:rsidR="00BA2B9A">
        <w:rPr>
          <w:sz w:val="24"/>
          <w:szCs w:val="24"/>
        </w:rPr>
        <w:t>)</w:t>
      </w:r>
      <w:r w:rsidRPr="00FB12E0" w:rsidR="005F399D">
        <w:rPr>
          <w:sz w:val="24"/>
          <w:szCs w:val="24"/>
        </w:rPr>
        <w:t xml:space="preserve"> </w:t>
      </w:r>
      <w:r w:rsidRPr="00FB12E0" w:rsidR="00703618">
        <w:rPr>
          <w:sz w:val="24"/>
          <w:szCs w:val="24"/>
        </w:rPr>
        <w:t xml:space="preserve">database. The research team will send a </w:t>
      </w:r>
      <w:r w:rsidRPr="00FB12E0" w:rsidR="00801B4A">
        <w:rPr>
          <w:sz w:val="24"/>
          <w:szCs w:val="24"/>
        </w:rPr>
        <w:t>project</w:t>
      </w:r>
      <w:r w:rsidRPr="00FB12E0" w:rsidR="00703618">
        <w:rPr>
          <w:sz w:val="24"/>
          <w:szCs w:val="24"/>
        </w:rPr>
        <w:t xml:space="preserve"> information sheet and a link to the electronic questionnaire via the Qualtrics</w:t>
      </w:r>
      <w:r w:rsidRPr="00FB12E0" w:rsidR="00703618">
        <w:rPr>
          <w:sz w:val="24"/>
          <w:szCs w:val="24"/>
          <w:vertAlign w:val="superscript"/>
        </w:rPr>
        <w:t>XM</w:t>
      </w:r>
      <w:r w:rsidRPr="00FB12E0" w:rsidR="00817AB7">
        <w:rPr>
          <w:sz w:val="24"/>
          <w:szCs w:val="24"/>
          <w:vertAlign w:val="superscript"/>
        </w:rPr>
        <w:t xml:space="preserve"> </w:t>
      </w:r>
      <w:r w:rsidRPr="00FB12E0" w:rsidR="00584ABF">
        <w:t>(</w:t>
      </w:r>
      <w:hyperlink w:history="1" r:id="rId20">
        <w:r w:rsidRPr="00FB12E0" w:rsidR="00584ABF">
          <w:rPr>
            <w:rStyle w:val="Hyperlink"/>
            <w:color w:val="auto"/>
          </w:rPr>
          <w:t>Provo, UT</w:t>
        </w:r>
      </w:hyperlink>
      <w:r w:rsidRPr="00FB12E0" w:rsidR="00584ABF">
        <w:rPr>
          <w:sz w:val="24"/>
          <w:szCs w:val="24"/>
        </w:rPr>
        <w:t xml:space="preserve">, </w:t>
      </w:r>
      <w:hyperlink w:history="1" r:id="rId21">
        <w:r w:rsidRPr="00FB12E0" w:rsidR="00584ABF">
          <w:rPr>
            <w:rStyle w:val="Hyperlink"/>
            <w:color w:val="auto"/>
            <w:sz w:val="24"/>
            <w:szCs w:val="24"/>
          </w:rPr>
          <w:t>https://www.qualtrics.com</w:t>
        </w:r>
      </w:hyperlink>
      <w:r w:rsidRPr="00FB12E0" w:rsidR="00584ABF">
        <w:t>)</w:t>
      </w:r>
      <w:r w:rsidRPr="00FB12E0" w:rsidR="00703618">
        <w:rPr>
          <w:sz w:val="24"/>
          <w:szCs w:val="24"/>
        </w:rPr>
        <w:t xml:space="preserve"> platform. The </w:t>
      </w:r>
      <w:r w:rsidRPr="00FB12E0" w:rsidR="00801B4A">
        <w:rPr>
          <w:sz w:val="24"/>
          <w:szCs w:val="24"/>
        </w:rPr>
        <w:t>project</w:t>
      </w:r>
      <w:r w:rsidRPr="00FB12E0" w:rsidR="00703618">
        <w:rPr>
          <w:sz w:val="24"/>
          <w:szCs w:val="24"/>
        </w:rPr>
        <w:t xml:space="preserve"> information sheet will include a background and description of the project</w:t>
      </w:r>
      <w:r w:rsidRPr="001120EA" w:rsidR="00703618">
        <w:rPr>
          <w:sz w:val="24"/>
          <w:szCs w:val="24"/>
        </w:rPr>
        <w:t xml:space="preserve">, </w:t>
      </w:r>
      <w:r w:rsidRPr="001120EA" w:rsidR="00937E5A">
        <w:rPr>
          <w:sz w:val="24"/>
          <w:szCs w:val="24"/>
        </w:rPr>
        <w:t xml:space="preserve">topics included in the questionnaire, estimated time to complete the questionnaire, </w:t>
      </w:r>
      <w:r w:rsidRPr="001120EA" w:rsidR="00703618">
        <w:rPr>
          <w:sz w:val="24"/>
          <w:szCs w:val="24"/>
        </w:rPr>
        <w:t xml:space="preserve">role of the respondent and potential benefits and risks for participation to enable the respondents to be well informed before making the decision to click </w:t>
      </w:r>
      <w:r w:rsidRPr="00FB12E0" w:rsidR="00703618">
        <w:rPr>
          <w:sz w:val="24"/>
          <w:szCs w:val="24"/>
        </w:rPr>
        <w:t xml:space="preserve">on the link to the </w:t>
      </w:r>
      <w:r w:rsidRPr="00FB12E0" w:rsidR="00162DA1">
        <w:rPr>
          <w:sz w:val="24"/>
          <w:szCs w:val="24"/>
        </w:rPr>
        <w:t>Qualtrics</w:t>
      </w:r>
      <w:r w:rsidRPr="00FB12E0" w:rsidR="00162DA1">
        <w:rPr>
          <w:sz w:val="24"/>
          <w:szCs w:val="24"/>
          <w:vertAlign w:val="superscript"/>
        </w:rPr>
        <w:t>XM</w:t>
      </w:r>
      <w:r w:rsidRPr="00FB12E0" w:rsidR="00703618">
        <w:rPr>
          <w:sz w:val="24"/>
          <w:szCs w:val="24"/>
        </w:rPr>
        <w:t xml:space="preserve"> </w:t>
      </w:r>
      <w:r w:rsidRPr="00FB12E0" w:rsidR="00584ABF">
        <w:t>(</w:t>
      </w:r>
      <w:hyperlink w:history="1" r:id="rId22">
        <w:r w:rsidRPr="00FB12E0" w:rsidR="00584ABF">
          <w:rPr>
            <w:rStyle w:val="Hyperlink"/>
            <w:color w:val="auto"/>
          </w:rPr>
          <w:t>Provo, UT</w:t>
        </w:r>
      </w:hyperlink>
      <w:r w:rsidRPr="00FB12E0" w:rsidR="00584ABF">
        <w:rPr>
          <w:sz w:val="24"/>
          <w:szCs w:val="24"/>
        </w:rPr>
        <w:t xml:space="preserve">, </w:t>
      </w:r>
      <w:hyperlink w:history="1" r:id="rId23">
        <w:r w:rsidRPr="00FB12E0" w:rsidR="00584ABF">
          <w:rPr>
            <w:rStyle w:val="Hyperlink"/>
            <w:color w:val="auto"/>
            <w:sz w:val="24"/>
            <w:szCs w:val="24"/>
          </w:rPr>
          <w:t>https://www.qualtrics.com</w:t>
        </w:r>
      </w:hyperlink>
      <w:r w:rsidRPr="00FB12E0" w:rsidR="00584ABF">
        <w:t xml:space="preserve">) </w:t>
      </w:r>
      <w:r w:rsidRPr="00FB12E0" w:rsidR="00703618">
        <w:rPr>
          <w:sz w:val="24"/>
          <w:szCs w:val="24"/>
        </w:rPr>
        <w:t xml:space="preserve">online questionnaire. The </w:t>
      </w:r>
      <w:r w:rsidRPr="00FB12E0" w:rsidR="00162DA1">
        <w:rPr>
          <w:sz w:val="24"/>
          <w:szCs w:val="24"/>
        </w:rPr>
        <w:t>Qualtrics</w:t>
      </w:r>
      <w:r w:rsidRPr="00FB12E0" w:rsidR="00162DA1">
        <w:rPr>
          <w:sz w:val="24"/>
          <w:szCs w:val="24"/>
          <w:vertAlign w:val="superscript"/>
        </w:rPr>
        <w:t>XM</w:t>
      </w:r>
      <w:r w:rsidRPr="00FB12E0" w:rsidDel="00162DA1" w:rsidR="00162DA1">
        <w:rPr>
          <w:sz w:val="24"/>
          <w:szCs w:val="24"/>
        </w:rPr>
        <w:t xml:space="preserve"> </w:t>
      </w:r>
      <w:r w:rsidRPr="00FB12E0" w:rsidR="00584ABF">
        <w:t>(</w:t>
      </w:r>
      <w:hyperlink w:history="1" r:id="rId24">
        <w:r w:rsidRPr="00FB12E0" w:rsidR="00584ABF">
          <w:rPr>
            <w:rStyle w:val="Hyperlink"/>
            <w:color w:val="auto"/>
          </w:rPr>
          <w:t>Provo, UT</w:t>
        </w:r>
      </w:hyperlink>
      <w:r w:rsidRPr="00FB12E0" w:rsidR="00584ABF">
        <w:rPr>
          <w:sz w:val="24"/>
          <w:szCs w:val="24"/>
        </w:rPr>
        <w:t xml:space="preserve">, </w:t>
      </w:r>
      <w:hyperlink w:history="1" r:id="rId25">
        <w:r w:rsidRPr="00FB12E0" w:rsidR="00584ABF">
          <w:rPr>
            <w:rStyle w:val="Hyperlink"/>
            <w:color w:val="auto"/>
            <w:sz w:val="24"/>
            <w:szCs w:val="24"/>
          </w:rPr>
          <w:t>https://www.qualtrics.com</w:t>
        </w:r>
      </w:hyperlink>
      <w:r w:rsidRPr="00FB12E0" w:rsidR="00584ABF">
        <w:t>)</w:t>
      </w:r>
      <w:r w:rsidRPr="00FB12E0" w:rsidR="00817AB7">
        <w:t xml:space="preserve"> </w:t>
      </w:r>
      <w:r w:rsidRPr="00FB12E0" w:rsidR="00703618">
        <w:rPr>
          <w:sz w:val="24"/>
          <w:szCs w:val="24"/>
        </w:rPr>
        <w:t xml:space="preserve">platform can provide information regarding who has received, opened, started and completed the questionnaire. We will use this information to monitor online questionnaire uptake. We will send reminders two weeks after the initial </w:t>
      </w:r>
      <w:r w:rsidRPr="00FB12E0" w:rsidR="00162DA1">
        <w:rPr>
          <w:sz w:val="24"/>
          <w:szCs w:val="24"/>
        </w:rPr>
        <w:t>Qualtrics</w:t>
      </w:r>
      <w:r w:rsidRPr="00FB12E0" w:rsidR="00162DA1">
        <w:rPr>
          <w:sz w:val="24"/>
          <w:szCs w:val="24"/>
          <w:vertAlign w:val="superscript"/>
        </w:rPr>
        <w:t>XM</w:t>
      </w:r>
      <w:r w:rsidRPr="00FB12E0" w:rsidR="00703618">
        <w:rPr>
          <w:sz w:val="24"/>
          <w:szCs w:val="24"/>
        </w:rPr>
        <w:t xml:space="preserve"> </w:t>
      </w:r>
      <w:r w:rsidRPr="00FB12E0" w:rsidR="00584ABF">
        <w:t>(</w:t>
      </w:r>
      <w:hyperlink w:history="1" r:id="rId26">
        <w:r w:rsidRPr="00FB12E0" w:rsidR="00584ABF">
          <w:rPr>
            <w:rStyle w:val="Hyperlink"/>
            <w:color w:val="auto"/>
          </w:rPr>
          <w:t>Provo, UT</w:t>
        </w:r>
      </w:hyperlink>
      <w:r w:rsidRPr="00FB12E0" w:rsidR="00584ABF">
        <w:rPr>
          <w:sz w:val="24"/>
          <w:szCs w:val="24"/>
        </w:rPr>
        <w:t xml:space="preserve">, </w:t>
      </w:r>
      <w:hyperlink w:history="1" r:id="rId27">
        <w:r w:rsidRPr="00FB12E0" w:rsidR="00584ABF">
          <w:rPr>
            <w:rStyle w:val="Hyperlink"/>
            <w:color w:val="auto"/>
            <w:sz w:val="24"/>
            <w:szCs w:val="24"/>
          </w:rPr>
          <w:t>https://www.qualtrics.com</w:t>
        </w:r>
      </w:hyperlink>
      <w:r w:rsidRPr="00FB12E0" w:rsidR="00584ABF">
        <w:t>)</w:t>
      </w:r>
      <w:r w:rsidRPr="00FB12E0" w:rsidR="00817AB7">
        <w:t xml:space="preserve"> </w:t>
      </w:r>
      <w:r w:rsidRPr="00FB12E0" w:rsidR="00703618">
        <w:rPr>
          <w:sz w:val="24"/>
          <w:szCs w:val="24"/>
        </w:rPr>
        <w:t xml:space="preserve">link is sent out and a second reminder two weeks following that. To enhance perception of authenticity and boost response rate, we will include email and telephone contact information of the research project </w:t>
      </w:r>
      <w:r w:rsidRPr="001120EA" w:rsidR="00703618">
        <w:rPr>
          <w:sz w:val="24"/>
          <w:szCs w:val="24"/>
        </w:rPr>
        <w:t>director in all communications to targeted respondents. This will allow respondents the ability to verify authenticity if in doubt by directly contacting the research team.</w:t>
      </w:r>
    </w:p>
    <w:p w:rsidRPr="001120EA" w:rsidR="00C46FDA" w:rsidP="00E0163C" w:rsidRDefault="00C46FDA" w14:paraId="040CAE18" w14:textId="77777777"/>
    <w:p w:rsidRPr="00FB12E0" w:rsidR="00B34828" w:rsidP="00E0163C" w:rsidRDefault="00300FB9" w14:paraId="48414797" w14:textId="4E6F2B0E">
      <w:pPr>
        <w:pStyle w:val="ListParagraph"/>
        <w:numPr>
          <w:ilvl w:val="0"/>
          <w:numId w:val="32"/>
        </w:numPr>
        <w:spacing w:after="0" w:line="240" w:lineRule="auto"/>
        <w:contextualSpacing w:val="0"/>
        <w:rPr>
          <w:sz w:val="24"/>
          <w:szCs w:val="24"/>
        </w:rPr>
      </w:pPr>
      <w:r w:rsidRPr="00FB12E0">
        <w:rPr>
          <w:sz w:val="24"/>
          <w:szCs w:val="24"/>
        </w:rPr>
        <w:t>Collect and review data</w:t>
      </w:r>
      <w:r w:rsidRPr="00FB12E0" w:rsidR="00230AB9">
        <w:rPr>
          <w:sz w:val="24"/>
          <w:szCs w:val="24"/>
        </w:rPr>
        <w:t xml:space="preserve">: </w:t>
      </w:r>
      <w:r w:rsidRPr="00FB12E0" w:rsidR="00B34828">
        <w:rPr>
          <w:sz w:val="24"/>
          <w:szCs w:val="24"/>
        </w:rPr>
        <w:t xml:space="preserve">During the mid to late months of data collection, data cleaning and analysis will begin.  Incoming questionnaires will be examined for missing or inconsistent information; when needed, requests for clarification will be sent by e-mail to the contact person.  Data cleaning include checks for duplicate survey submissions, incomplete surveys, out of range values, large amounts of missing data, and skip logic inconsistencies in responses. </w:t>
      </w:r>
    </w:p>
    <w:p w:rsidRPr="00FB12E0" w:rsidR="00B956DB" w:rsidP="00E0163C" w:rsidRDefault="00B956DB" w14:paraId="66890C23" w14:textId="77777777">
      <w:pPr>
        <w:pStyle w:val="ListParagraph"/>
        <w:spacing w:after="0" w:line="240" w:lineRule="auto"/>
        <w:contextualSpacing w:val="0"/>
        <w:rPr>
          <w:sz w:val="24"/>
          <w:szCs w:val="24"/>
        </w:rPr>
      </w:pPr>
    </w:p>
    <w:p w:rsidRPr="00966BC5" w:rsidR="00A038B1" w:rsidP="00E0163C" w:rsidRDefault="00300FB9" w14:paraId="0019EE1F" w14:textId="641DD867">
      <w:pPr>
        <w:pStyle w:val="ListParagraph"/>
        <w:numPr>
          <w:ilvl w:val="0"/>
          <w:numId w:val="29"/>
        </w:numPr>
        <w:spacing w:after="0" w:line="240" w:lineRule="auto"/>
        <w:contextualSpacing w:val="0"/>
        <w:rPr>
          <w:sz w:val="24"/>
          <w:szCs w:val="24"/>
        </w:rPr>
      </w:pPr>
      <w:r w:rsidRPr="00FB12E0">
        <w:rPr>
          <w:sz w:val="24"/>
          <w:szCs w:val="24"/>
        </w:rPr>
        <w:t>Anal</w:t>
      </w:r>
      <w:r w:rsidRPr="00FB12E0" w:rsidR="005D0898">
        <w:rPr>
          <w:sz w:val="24"/>
          <w:szCs w:val="24"/>
        </w:rPr>
        <w:t>yze</w:t>
      </w:r>
      <w:r w:rsidRPr="00FB12E0">
        <w:rPr>
          <w:sz w:val="24"/>
          <w:szCs w:val="24"/>
        </w:rPr>
        <w:t xml:space="preserve"> data</w:t>
      </w:r>
      <w:r w:rsidRPr="00FB12E0" w:rsidR="00A30E4F">
        <w:rPr>
          <w:sz w:val="24"/>
          <w:szCs w:val="24"/>
        </w:rPr>
        <w:t xml:space="preserve">: </w:t>
      </w:r>
      <w:r w:rsidRPr="00FB12E0" w:rsidR="009B0BF8">
        <w:rPr>
          <w:sz w:val="24"/>
          <w:szCs w:val="24"/>
        </w:rPr>
        <w:t xml:space="preserve">After the survey implementation period, </w:t>
      </w:r>
      <w:r w:rsidRPr="00FB12E0" w:rsidR="00A038B1">
        <w:rPr>
          <w:sz w:val="24"/>
          <w:szCs w:val="24"/>
        </w:rPr>
        <w:t xml:space="preserve">preliminary analyses will include basic aggregate descriptive statistics for each question (frequencies and means etc. as appropriate).  The team will then select key questionnaire items for further examination. Using matched demographic data from the AHA dataset obtained during the sample selection process, we will stratify the data to compare frequencies and means by </w:t>
      </w:r>
      <w:r w:rsidRPr="00966BC5" w:rsidR="00A038B1">
        <w:rPr>
          <w:sz w:val="24"/>
          <w:szCs w:val="24"/>
        </w:rPr>
        <w:t xml:space="preserve">groupings of hospital characteristics such as bed size categories, teaching status and rural/urban location. </w:t>
      </w:r>
      <w:r w:rsidRPr="00966BC5" w:rsidR="00804E38">
        <w:rPr>
          <w:sz w:val="24"/>
          <w:szCs w:val="24"/>
        </w:rPr>
        <w:t xml:space="preserve">As appropriate, multivariate regression analyses will be performed to identify factors that most influence the key items.  </w:t>
      </w:r>
    </w:p>
    <w:p w:rsidRPr="00966BC5" w:rsidR="002510DC" w:rsidP="00E0163C" w:rsidRDefault="002510DC" w14:paraId="49ECE83F" w14:textId="77777777">
      <w:pPr>
        <w:pStyle w:val="ListParagraph"/>
        <w:spacing w:after="0" w:line="240" w:lineRule="auto"/>
        <w:contextualSpacing w:val="0"/>
        <w:rPr>
          <w:sz w:val="24"/>
          <w:szCs w:val="24"/>
        </w:rPr>
      </w:pPr>
    </w:p>
    <w:p w:rsidRPr="00966BC5" w:rsidR="00446CD5" w:rsidP="00E0163C" w:rsidRDefault="00446CD5" w14:paraId="52DF56F6" w14:textId="7FDFDB4C">
      <w:pPr>
        <w:pStyle w:val="ListParagraph"/>
        <w:spacing w:after="0" w:line="240" w:lineRule="auto"/>
        <w:contextualSpacing w:val="0"/>
        <w:rPr>
          <w:color w:val="00B050"/>
          <w:sz w:val="24"/>
          <w:szCs w:val="24"/>
        </w:rPr>
      </w:pPr>
      <w:r w:rsidRPr="00966BC5">
        <w:rPr>
          <w:sz w:val="24"/>
          <w:szCs w:val="24"/>
        </w:rPr>
        <w:t xml:space="preserve">All analyses will be conducted using SAS statistical software, version 9.4 (SAS Institute, Cary, North Carolina) and </w:t>
      </w:r>
      <w:r w:rsidRPr="00966BC5">
        <w:rPr>
          <w:rFonts w:eastAsia="Calibri"/>
          <w:sz w:val="24"/>
          <w:szCs w:val="24"/>
        </w:rPr>
        <w:t>R Foundation for Statistical Computing, Vienna, Austria (</w:t>
      </w:r>
      <w:r w:rsidRPr="00966BC5">
        <w:rPr>
          <w:sz w:val="24"/>
          <w:szCs w:val="24"/>
        </w:rPr>
        <w:t xml:space="preserve">R </w:t>
      </w:r>
      <w:r w:rsidRPr="00966BC5">
        <w:rPr>
          <w:sz w:val="24"/>
          <w:szCs w:val="24"/>
        </w:rPr>
        <w:lastRenderedPageBreak/>
        <w:t>Core Team (2014). R: A language and environment for statistical computing. R Foundation for Statistical Computing, Vienna, Austria. URL http://www.R-project.org/). The number of missing responses will be reported in the text whenever 10 or more responses were missing.  A 2-tailed P value of less than 0.05 will be used to indicate statistical significance</w:t>
      </w:r>
      <w:r w:rsidRPr="00966BC5">
        <w:rPr>
          <w:color w:val="00B050"/>
          <w:sz w:val="24"/>
          <w:szCs w:val="24"/>
        </w:rPr>
        <w:t>.</w:t>
      </w:r>
    </w:p>
    <w:p w:rsidRPr="00E537D3" w:rsidR="00FB12E0" w:rsidRDefault="00FB12E0" w14:paraId="23D73386" w14:textId="77777777"/>
    <w:p w:rsidR="00C1015F" w:rsidP="00E0163C" w:rsidRDefault="00C1015F" w14:paraId="1DB42EBD" w14:textId="77777777"/>
    <w:p w:rsidR="00186373" w:rsidP="00E0163C" w:rsidRDefault="00167216" w14:paraId="6C481797" w14:textId="38F87048">
      <w:r w:rsidRPr="00E537D3">
        <w:t xml:space="preserve">Sample Table: </w:t>
      </w:r>
      <w:r w:rsidRPr="00E537D3" w:rsidR="00186373">
        <w:t xml:space="preserve">Characteristics of Hospitals in the </w:t>
      </w:r>
      <w:r w:rsidR="004D4086">
        <w:t xml:space="preserve">Respondent Universe, Hospitals Invited to Participate, </w:t>
      </w:r>
      <w:r w:rsidRPr="00E537D3" w:rsidR="00186373">
        <w:t>and</w:t>
      </w:r>
      <w:r w:rsidR="00DD3D80">
        <w:t xml:space="preserve"> </w:t>
      </w:r>
      <w:r w:rsidR="004D4086">
        <w:t>Hospitals</w:t>
      </w:r>
      <w:r w:rsidR="00864201">
        <w:t xml:space="preserve"> </w:t>
      </w:r>
      <w:r w:rsidR="00C91986">
        <w:t>that Participated in the Survey</w:t>
      </w:r>
      <w:r w:rsidR="00864201">
        <w:t xml:space="preserve"> </w:t>
      </w:r>
    </w:p>
    <w:p w:rsidRPr="00E537D3" w:rsidR="00C1015F" w:rsidP="00E0163C" w:rsidRDefault="00C1015F" w14:paraId="2DF8411D" w14:textId="77777777"/>
    <w:tbl>
      <w:tblPr>
        <w:tblStyle w:val="TableGrid"/>
        <w:tblW w:w="0" w:type="auto"/>
        <w:tblLook w:val="04A0" w:firstRow="1" w:lastRow="0" w:firstColumn="1" w:lastColumn="0" w:noHBand="0" w:noVBand="1"/>
      </w:tblPr>
      <w:tblGrid>
        <w:gridCol w:w="1740"/>
        <w:gridCol w:w="1360"/>
        <w:gridCol w:w="1620"/>
        <w:gridCol w:w="1620"/>
        <w:gridCol w:w="1363"/>
        <w:gridCol w:w="1022"/>
      </w:tblGrid>
      <w:tr w:rsidRPr="00E537D3" w:rsidR="000052DE" w:rsidTr="00B13A47" w14:paraId="64C7793D" w14:textId="77777777">
        <w:trPr>
          <w:trHeight w:val="580"/>
        </w:trPr>
        <w:tc>
          <w:tcPr>
            <w:tcW w:w="1740" w:type="dxa"/>
            <w:noWrap/>
            <w:hideMark/>
          </w:tcPr>
          <w:p w:rsidRPr="00E537D3" w:rsidR="00186373" w:rsidP="00E0163C" w:rsidRDefault="00186373" w14:paraId="24BDF790" w14:textId="77777777">
            <w:r w:rsidRPr="00E537D3">
              <w:t>Characteristic</w:t>
            </w:r>
          </w:p>
        </w:tc>
        <w:tc>
          <w:tcPr>
            <w:tcW w:w="1360" w:type="dxa"/>
            <w:noWrap/>
            <w:hideMark/>
          </w:tcPr>
          <w:p w:rsidRPr="00E537D3" w:rsidR="00186373" w:rsidP="00E0163C" w:rsidRDefault="00186373" w14:paraId="26CF24F5" w14:textId="77777777">
            <w:pPr>
              <w:jc w:val="center"/>
            </w:pPr>
            <w:r w:rsidRPr="00E537D3">
              <w:t>All Hospitals *</w:t>
            </w:r>
          </w:p>
        </w:tc>
        <w:tc>
          <w:tcPr>
            <w:tcW w:w="1620" w:type="dxa"/>
            <w:noWrap/>
            <w:hideMark/>
          </w:tcPr>
          <w:p w:rsidRPr="00E537D3" w:rsidR="00186373" w:rsidP="00E0163C" w:rsidRDefault="00186373" w14:paraId="73C99614" w14:textId="43A0800F">
            <w:pPr>
              <w:jc w:val="center"/>
            </w:pPr>
            <w:r w:rsidRPr="00E537D3">
              <w:t>Hospitals Invited</w:t>
            </w:r>
          </w:p>
        </w:tc>
        <w:tc>
          <w:tcPr>
            <w:tcW w:w="1620" w:type="dxa"/>
            <w:noWrap/>
            <w:hideMark/>
          </w:tcPr>
          <w:p w:rsidRPr="00E537D3" w:rsidR="00186373" w:rsidP="00E0163C" w:rsidRDefault="00186373" w14:paraId="178F7D9F" w14:textId="77777777">
            <w:pPr>
              <w:jc w:val="center"/>
            </w:pPr>
            <w:r w:rsidRPr="00E537D3">
              <w:t>P-Value †</w:t>
            </w:r>
          </w:p>
        </w:tc>
        <w:tc>
          <w:tcPr>
            <w:tcW w:w="1363" w:type="dxa"/>
            <w:hideMark/>
          </w:tcPr>
          <w:p w:rsidRPr="00E537D3" w:rsidR="00186373" w:rsidP="00E0163C" w:rsidRDefault="000052DE" w14:paraId="76D2F614" w14:textId="42B46922">
            <w:pPr>
              <w:jc w:val="center"/>
            </w:pPr>
            <w:r>
              <w:t>Hospitals that Participated</w:t>
            </w:r>
          </w:p>
        </w:tc>
        <w:tc>
          <w:tcPr>
            <w:tcW w:w="1022" w:type="dxa"/>
            <w:noWrap/>
            <w:hideMark/>
          </w:tcPr>
          <w:p w:rsidRPr="00E537D3" w:rsidR="00186373" w:rsidP="00E0163C" w:rsidRDefault="00186373" w14:paraId="16375BBF" w14:textId="77777777">
            <w:pPr>
              <w:jc w:val="center"/>
            </w:pPr>
            <w:r w:rsidRPr="00E537D3">
              <w:t>P-Value ††</w:t>
            </w:r>
          </w:p>
        </w:tc>
      </w:tr>
      <w:tr w:rsidRPr="00E537D3" w:rsidR="000052DE" w:rsidTr="00B13A47" w14:paraId="7419279D" w14:textId="77777777">
        <w:trPr>
          <w:trHeight w:val="290"/>
        </w:trPr>
        <w:tc>
          <w:tcPr>
            <w:tcW w:w="1740" w:type="dxa"/>
            <w:noWrap/>
            <w:hideMark/>
          </w:tcPr>
          <w:p w:rsidRPr="00E537D3" w:rsidR="00186373" w:rsidP="00E0163C" w:rsidRDefault="00186373" w14:paraId="5383049B" w14:textId="77777777">
            <w:pPr>
              <w:pStyle w:val="ListParagraph"/>
              <w:spacing w:after="0" w:line="240" w:lineRule="auto"/>
              <w:contextualSpacing w:val="0"/>
              <w:rPr>
                <w:sz w:val="24"/>
                <w:szCs w:val="24"/>
              </w:rPr>
            </w:pPr>
          </w:p>
        </w:tc>
        <w:tc>
          <w:tcPr>
            <w:tcW w:w="1360" w:type="dxa"/>
            <w:noWrap/>
            <w:hideMark/>
          </w:tcPr>
          <w:p w:rsidRPr="00E537D3" w:rsidR="00186373" w:rsidP="00E0163C" w:rsidRDefault="00186373" w14:paraId="64549A47" w14:textId="77777777">
            <w:pPr>
              <w:jc w:val="center"/>
            </w:pPr>
            <w:r w:rsidRPr="00E537D3">
              <w:t>n</w:t>
            </w:r>
          </w:p>
        </w:tc>
        <w:tc>
          <w:tcPr>
            <w:tcW w:w="1620" w:type="dxa"/>
            <w:noWrap/>
            <w:hideMark/>
          </w:tcPr>
          <w:p w:rsidRPr="00E537D3" w:rsidR="00186373" w:rsidP="00E0163C" w:rsidRDefault="00186373" w14:paraId="1CAF8C2F" w14:textId="77777777">
            <w:pPr>
              <w:pStyle w:val="ListParagraph"/>
              <w:spacing w:after="0" w:line="240" w:lineRule="auto"/>
              <w:contextualSpacing w:val="0"/>
              <w:rPr>
                <w:sz w:val="24"/>
                <w:szCs w:val="24"/>
              </w:rPr>
            </w:pPr>
            <w:r w:rsidRPr="00E537D3">
              <w:rPr>
                <w:sz w:val="24"/>
                <w:szCs w:val="24"/>
              </w:rPr>
              <w:t>n (%)</w:t>
            </w:r>
          </w:p>
        </w:tc>
        <w:tc>
          <w:tcPr>
            <w:tcW w:w="1620" w:type="dxa"/>
            <w:noWrap/>
            <w:hideMark/>
          </w:tcPr>
          <w:p w:rsidRPr="00E537D3" w:rsidR="00186373" w:rsidP="00E0163C" w:rsidRDefault="00186373" w14:paraId="15A19A41" w14:textId="77777777">
            <w:pPr>
              <w:pStyle w:val="ListParagraph"/>
              <w:spacing w:after="0" w:line="240" w:lineRule="auto"/>
              <w:contextualSpacing w:val="0"/>
              <w:jc w:val="center"/>
              <w:rPr>
                <w:sz w:val="24"/>
                <w:szCs w:val="24"/>
              </w:rPr>
            </w:pPr>
          </w:p>
        </w:tc>
        <w:tc>
          <w:tcPr>
            <w:tcW w:w="1363" w:type="dxa"/>
            <w:noWrap/>
            <w:hideMark/>
          </w:tcPr>
          <w:p w:rsidRPr="00E537D3" w:rsidR="00186373" w:rsidP="00E0163C" w:rsidRDefault="00186373" w14:paraId="73A76569" w14:textId="77777777">
            <w:pPr>
              <w:jc w:val="center"/>
            </w:pPr>
            <w:r w:rsidRPr="00E537D3">
              <w:t>n (%)</w:t>
            </w:r>
          </w:p>
        </w:tc>
        <w:tc>
          <w:tcPr>
            <w:tcW w:w="1022" w:type="dxa"/>
            <w:noWrap/>
            <w:hideMark/>
          </w:tcPr>
          <w:p w:rsidRPr="00E537D3" w:rsidR="00186373" w:rsidP="00E0163C" w:rsidRDefault="00186373" w14:paraId="77EA5704" w14:textId="77777777">
            <w:pPr>
              <w:pStyle w:val="ListParagraph"/>
              <w:spacing w:after="0" w:line="240" w:lineRule="auto"/>
              <w:contextualSpacing w:val="0"/>
              <w:jc w:val="center"/>
              <w:rPr>
                <w:sz w:val="24"/>
                <w:szCs w:val="24"/>
              </w:rPr>
            </w:pPr>
          </w:p>
        </w:tc>
      </w:tr>
      <w:tr w:rsidRPr="00E537D3" w:rsidR="000052DE" w:rsidTr="00B13A47" w14:paraId="2214D1A1" w14:textId="77777777">
        <w:trPr>
          <w:trHeight w:val="290"/>
        </w:trPr>
        <w:tc>
          <w:tcPr>
            <w:tcW w:w="1740" w:type="dxa"/>
            <w:noWrap/>
            <w:hideMark/>
          </w:tcPr>
          <w:p w:rsidRPr="00E537D3" w:rsidR="00186373" w:rsidP="00E0163C" w:rsidRDefault="00186373" w14:paraId="0411B949" w14:textId="77777777">
            <w:pPr>
              <w:rPr>
                <w:b/>
              </w:rPr>
            </w:pPr>
            <w:r w:rsidRPr="00E537D3">
              <w:rPr>
                <w:b/>
              </w:rPr>
              <w:t>Location</w:t>
            </w:r>
          </w:p>
        </w:tc>
        <w:tc>
          <w:tcPr>
            <w:tcW w:w="1360" w:type="dxa"/>
            <w:noWrap/>
            <w:hideMark/>
          </w:tcPr>
          <w:p w:rsidRPr="00E537D3" w:rsidR="00186373" w:rsidP="00E0163C" w:rsidRDefault="00186373" w14:paraId="36FDD3C0"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42B1495D"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26583BBF" w14:textId="77777777">
            <w:pPr>
              <w:pStyle w:val="ListParagraph"/>
              <w:spacing w:after="0" w:line="240" w:lineRule="auto"/>
              <w:contextualSpacing w:val="0"/>
              <w:rPr>
                <w:sz w:val="24"/>
                <w:szCs w:val="24"/>
              </w:rPr>
            </w:pPr>
          </w:p>
        </w:tc>
        <w:tc>
          <w:tcPr>
            <w:tcW w:w="1363" w:type="dxa"/>
            <w:noWrap/>
            <w:hideMark/>
          </w:tcPr>
          <w:p w:rsidRPr="00E537D3" w:rsidR="00186373" w:rsidP="00E0163C" w:rsidRDefault="00186373" w14:paraId="21F8C264" w14:textId="77777777">
            <w:pPr>
              <w:pStyle w:val="ListParagraph"/>
              <w:spacing w:after="0" w:line="240" w:lineRule="auto"/>
              <w:contextualSpacing w:val="0"/>
              <w:rPr>
                <w:sz w:val="24"/>
                <w:szCs w:val="24"/>
              </w:rPr>
            </w:pPr>
          </w:p>
        </w:tc>
        <w:tc>
          <w:tcPr>
            <w:tcW w:w="1022" w:type="dxa"/>
            <w:noWrap/>
            <w:hideMark/>
          </w:tcPr>
          <w:p w:rsidRPr="00E537D3" w:rsidR="00186373" w:rsidP="00E0163C" w:rsidRDefault="00186373" w14:paraId="5F462C0D" w14:textId="77777777">
            <w:pPr>
              <w:pStyle w:val="ListParagraph"/>
              <w:spacing w:after="0" w:line="240" w:lineRule="auto"/>
              <w:contextualSpacing w:val="0"/>
              <w:rPr>
                <w:sz w:val="24"/>
                <w:szCs w:val="24"/>
              </w:rPr>
            </w:pPr>
          </w:p>
        </w:tc>
      </w:tr>
      <w:tr w:rsidRPr="00E537D3" w:rsidR="000052DE" w:rsidTr="00B13A47" w14:paraId="2062C95A" w14:textId="77777777">
        <w:trPr>
          <w:trHeight w:val="290"/>
        </w:trPr>
        <w:tc>
          <w:tcPr>
            <w:tcW w:w="1740" w:type="dxa"/>
            <w:noWrap/>
            <w:hideMark/>
          </w:tcPr>
          <w:p w:rsidRPr="00E537D3" w:rsidR="00186373" w:rsidP="00E0163C" w:rsidRDefault="00186373" w14:paraId="13BADE57" w14:textId="77777777">
            <w:r w:rsidRPr="00E537D3">
              <w:t>Urban</w:t>
            </w:r>
          </w:p>
        </w:tc>
        <w:tc>
          <w:tcPr>
            <w:tcW w:w="1360" w:type="dxa"/>
            <w:noWrap/>
            <w:hideMark/>
          </w:tcPr>
          <w:p w:rsidRPr="00E537D3" w:rsidR="00186373" w:rsidP="00E0163C" w:rsidRDefault="00186373" w14:paraId="02F062B6"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5B078EF2"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4C03C7E9" w14:textId="77777777">
            <w:pPr>
              <w:pStyle w:val="ListParagraph"/>
              <w:spacing w:after="0" w:line="240" w:lineRule="auto"/>
              <w:contextualSpacing w:val="0"/>
              <w:rPr>
                <w:sz w:val="24"/>
                <w:szCs w:val="24"/>
              </w:rPr>
            </w:pPr>
          </w:p>
        </w:tc>
        <w:tc>
          <w:tcPr>
            <w:tcW w:w="1363" w:type="dxa"/>
            <w:noWrap/>
            <w:hideMark/>
          </w:tcPr>
          <w:p w:rsidRPr="00E537D3" w:rsidR="00186373" w:rsidP="00E0163C" w:rsidRDefault="00186373" w14:paraId="48191900" w14:textId="77777777">
            <w:pPr>
              <w:pStyle w:val="ListParagraph"/>
              <w:spacing w:after="0" w:line="240" w:lineRule="auto"/>
              <w:contextualSpacing w:val="0"/>
              <w:rPr>
                <w:sz w:val="24"/>
                <w:szCs w:val="24"/>
              </w:rPr>
            </w:pPr>
          </w:p>
        </w:tc>
        <w:tc>
          <w:tcPr>
            <w:tcW w:w="1022" w:type="dxa"/>
            <w:noWrap/>
            <w:hideMark/>
          </w:tcPr>
          <w:p w:rsidRPr="00E537D3" w:rsidR="00186373" w:rsidP="00E0163C" w:rsidRDefault="00186373" w14:paraId="05E0E94C" w14:textId="77777777">
            <w:pPr>
              <w:pStyle w:val="ListParagraph"/>
              <w:spacing w:after="0" w:line="240" w:lineRule="auto"/>
              <w:contextualSpacing w:val="0"/>
              <w:rPr>
                <w:sz w:val="24"/>
                <w:szCs w:val="24"/>
              </w:rPr>
            </w:pPr>
          </w:p>
        </w:tc>
      </w:tr>
      <w:tr w:rsidRPr="00E537D3" w:rsidR="000052DE" w:rsidTr="00B13A47" w14:paraId="70EDD478" w14:textId="77777777">
        <w:trPr>
          <w:trHeight w:val="290"/>
        </w:trPr>
        <w:tc>
          <w:tcPr>
            <w:tcW w:w="1740" w:type="dxa"/>
            <w:noWrap/>
            <w:hideMark/>
          </w:tcPr>
          <w:p w:rsidRPr="00E537D3" w:rsidR="00186373" w:rsidP="00E0163C" w:rsidRDefault="00186373" w14:paraId="08D332C7" w14:textId="77777777">
            <w:r w:rsidRPr="00E537D3">
              <w:t>Rural</w:t>
            </w:r>
          </w:p>
        </w:tc>
        <w:tc>
          <w:tcPr>
            <w:tcW w:w="1360" w:type="dxa"/>
            <w:noWrap/>
            <w:hideMark/>
          </w:tcPr>
          <w:p w:rsidRPr="00E537D3" w:rsidR="00186373" w:rsidP="00E0163C" w:rsidRDefault="00186373" w14:paraId="294FAECC"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70F18BEB"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7D919EF8" w14:textId="77777777">
            <w:pPr>
              <w:pStyle w:val="ListParagraph"/>
              <w:spacing w:after="0" w:line="240" w:lineRule="auto"/>
              <w:contextualSpacing w:val="0"/>
              <w:rPr>
                <w:sz w:val="24"/>
                <w:szCs w:val="24"/>
              </w:rPr>
            </w:pPr>
          </w:p>
        </w:tc>
        <w:tc>
          <w:tcPr>
            <w:tcW w:w="1363" w:type="dxa"/>
            <w:noWrap/>
            <w:hideMark/>
          </w:tcPr>
          <w:p w:rsidRPr="00E537D3" w:rsidR="00186373" w:rsidP="00E0163C" w:rsidRDefault="00186373" w14:paraId="568C7FD0" w14:textId="77777777">
            <w:pPr>
              <w:pStyle w:val="ListParagraph"/>
              <w:spacing w:after="0" w:line="240" w:lineRule="auto"/>
              <w:contextualSpacing w:val="0"/>
              <w:rPr>
                <w:sz w:val="24"/>
                <w:szCs w:val="24"/>
              </w:rPr>
            </w:pPr>
          </w:p>
        </w:tc>
        <w:tc>
          <w:tcPr>
            <w:tcW w:w="1022" w:type="dxa"/>
            <w:noWrap/>
            <w:hideMark/>
          </w:tcPr>
          <w:p w:rsidRPr="00E537D3" w:rsidR="00186373" w:rsidP="00E0163C" w:rsidRDefault="00186373" w14:paraId="671021CE" w14:textId="77777777">
            <w:pPr>
              <w:pStyle w:val="ListParagraph"/>
              <w:spacing w:after="0" w:line="240" w:lineRule="auto"/>
              <w:contextualSpacing w:val="0"/>
              <w:rPr>
                <w:sz w:val="24"/>
                <w:szCs w:val="24"/>
              </w:rPr>
            </w:pPr>
          </w:p>
        </w:tc>
      </w:tr>
      <w:tr w:rsidRPr="00E537D3" w:rsidR="000052DE" w:rsidTr="00B13A47" w14:paraId="16F93084" w14:textId="77777777">
        <w:trPr>
          <w:trHeight w:val="290"/>
        </w:trPr>
        <w:tc>
          <w:tcPr>
            <w:tcW w:w="1740" w:type="dxa"/>
            <w:noWrap/>
            <w:hideMark/>
          </w:tcPr>
          <w:p w:rsidRPr="00E537D3" w:rsidR="00186373" w:rsidP="00E0163C" w:rsidRDefault="00186373" w14:paraId="0839C791" w14:textId="77777777">
            <w:pPr>
              <w:rPr>
                <w:b/>
              </w:rPr>
            </w:pPr>
            <w:r w:rsidRPr="00E537D3">
              <w:rPr>
                <w:b/>
              </w:rPr>
              <w:t>Bed Size</w:t>
            </w:r>
          </w:p>
        </w:tc>
        <w:tc>
          <w:tcPr>
            <w:tcW w:w="1360" w:type="dxa"/>
            <w:noWrap/>
            <w:hideMark/>
          </w:tcPr>
          <w:p w:rsidRPr="00E537D3" w:rsidR="00186373" w:rsidP="00E0163C" w:rsidRDefault="00186373" w14:paraId="2BA9B987"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293F3E32"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7A41C8F2" w14:textId="77777777">
            <w:pPr>
              <w:pStyle w:val="ListParagraph"/>
              <w:spacing w:after="0" w:line="240" w:lineRule="auto"/>
              <w:contextualSpacing w:val="0"/>
              <w:rPr>
                <w:sz w:val="24"/>
                <w:szCs w:val="24"/>
              </w:rPr>
            </w:pPr>
          </w:p>
        </w:tc>
        <w:tc>
          <w:tcPr>
            <w:tcW w:w="1363" w:type="dxa"/>
            <w:noWrap/>
            <w:hideMark/>
          </w:tcPr>
          <w:p w:rsidRPr="00E537D3" w:rsidR="00186373" w:rsidP="00E0163C" w:rsidRDefault="00186373" w14:paraId="48C6E260" w14:textId="77777777">
            <w:pPr>
              <w:pStyle w:val="ListParagraph"/>
              <w:spacing w:after="0" w:line="240" w:lineRule="auto"/>
              <w:contextualSpacing w:val="0"/>
              <w:rPr>
                <w:sz w:val="24"/>
                <w:szCs w:val="24"/>
              </w:rPr>
            </w:pPr>
          </w:p>
        </w:tc>
        <w:tc>
          <w:tcPr>
            <w:tcW w:w="1022" w:type="dxa"/>
            <w:noWrap/>
            <w:hideMark/>
          </w:tcPr>
          <w:p w:rsidRPr="00E537D3" w:rsidR="00186373" w:rsidP="00E0163C" w:rsidRDefault="00186373" w14:paraId="10E75D76" w14:textId="77777777">
            <w:pPr>
              <w:pStyle w:val="ListParagraph"/>
              <w:spacing w:after="0" w:line="240" w:lineRule="auto"/>
              <w:contextualSpacing w:val="0"/>
              <w:rPr>
                <w:sz w:val="24"/>
                <w:szCs w:val="24"/>
              </w:rPr>
            </w:pPr>
          </w:p>
        </w:tc>
      </w:tr>
      <w:tr w:rsidRPr="00E537D3" w:rsidR="000052DE" w:rsidTr="00B13A47" w14:paraId="2D3C2E0F" w14:textId="77777777">
        <w:trPr>
          <w:trHeight w:val="290"/>
        </w:trPr>
        <w:tc>
          <w:tcPr>
            <w:tcW w:w="1740" w:type="dxa"/>
            <w:noWrap/>
            <w:hideMark/>
          </w:tcPr>
          <w:p w:rsidRPr="00E537D3" w:rsidR="00186373" w:rsidP="00E0163C" w:rsidRDefault="00186373" w14:paraId="70C6F7B7" w14:textId="77777777">
            <w:r w:rsidRPr="00E537D3">
              <w:t>&lt;100</w:t>
            </w:r>
          </w:p>
        </w:tc>
        <w:tc>
          <w:tcPr>
            <w:tcW w:w="1360" w:type="dxa"/>
            <w:noWrap/>
            <w:hideMark/>
          </w:tcPr>
          <w:p w:rsidRPr="00E537D3" w:rsidR="00186373" w:rsidP="00E0163C" w:rsidRDefault="00186373" w14:paraId="1C1A176D"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30017276"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4290E5BE" w14:textId="77777777">
            <w:pPr>
              <w:pStyle w:val="ListParagraph"/>
              <w:spacing w:after="0" w:line="240" w:lineRule="auto"/>
              <w:contextualSpacing w:val="0"/>
              <w:rPr>
                <w:sz w:val="24"/>
                <w:szCs w:val="24"/>
              </w:rPr>
            </w:pPr>
          </w:p>
        </w:tc>
        <w:tc>
          <w:tcPr>
            <w:tcW w:w="1363" w:type="dxa"/>
            <w:noWrap/>
            <w:hideMark/>
          </w:tcPr>
          <w:p w:rsidRPr="00E537D3" w:rsidR="00186373" w:rsidP="00E0163C" w:rsidRDefault="00186373" w14:paraId="4BCA91CC" w14:textId="77777777">
            <w:pPr>
              <w:pStyle w:val="ListParagraph"/>
              <w:spacing w:after="0" w:line="240" w:lineRule="auto"/>
              <w:contextualSpacing w:val="0"/>
              <w:rPr>
                <w:sz w:val="24"/>
                <w:szCs w:val="24"/>
              </w:rPr>
            </w:pPr>
          </w:p>
        </w:tc>
        <w:tc>
          <w:tcPr>
            <w:tcW w:w="1022" w:type="dxa"/>
            <w:noWrap/>
            <w:hideMark/>
          </w:tcPr>
          <w:p w:rsidRPr="00E537D3" w:rsidR="00186373" w:rsidP="00E0163C" w:rsidRDefault="00186373" w14:paraId="35482EE7" w14:textId="77777777">
            <w:pPr>
              <w:pStyle w:val="ListParagraph"/>
              <w:spacing w:after="0" w:line="240" w:lineRule="auto"/>
              <w:contextualSpacing w:val="0"/>
              <w:rPr>
                <w:sz w:val="24"/>
                <w:szCs w:val="24"/>
              </w:rPr>
            </w:pPr>
          </w:p>
        </w:tc>
      </w:tr>
      <w:tr w:rsidRPr="00E537D3" w:rsidR="000052DE" w:rsidTr="00B13A47" w14:paraId="4B2AA795" w14:textId="77777777">
        <w:trPr>
          <w:trHeight w:val="290"/>
        </w:trPr>
        <w:tc>
          <w:tcPr>
            <w:tcW w:w="1740" w:type="dxa"/>
            <w:hideMark/>
          </w:tcPr>
          <w:p w:rsidRPr="00E537D3" w:rsidR="00186373" w:rsidP="00E0163C" w:rsidRDefault="00186373" w14:paraId="78BFBCA1" w14:textId="77777777">
            <w:r w:rsidRPr="00E537D3">
              <w:t>100-399</w:t>
            </w:r>
          </w:p>
        </w:tc>
        <w:tc>
          <w:tcPr>
            <w:tcW w:w="1360" w:type="dxa"/>
            <w:noWrap/>
            <w:hideMark/>
          </w:tcPr>
          <w:p w:rsidRPr="00E537D3" w:rsidR="00186373" w:rsidP="00E0163C" w:rsidRDefault="00186373" w14:paraId="6EB45BC1"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1830F147"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28A4F581" w14:textId="77777777">
            <w:pPr>
              <w:pStyle w:val="ListParagraph"/>
              <w:spacing w:after="0" w:line="240" w:lineRule="auto"/>
              <w:contextualSpacing w:val="0"/>
              <w:rPr>
                <w:sz w:val="24"/>
                <w:szCs w:val="24"/>
              </w:rPr>
            </w:pPr>
          </w:p>
        </w:tc>
        <w:tc>
          <w:tcPr>
            <w:tcW w:w="1363" w:type="dxa"/>
            <w:noWrap/>
            <w:hideMark/>
          </w:tcPr>
          <w:p w:rsidRPr="00E537D3" w:rsidR="00186373" w:rsidP="00E0163C" w:rsidRDefault="00186373" w14:paraId="5B6B1EFE" w14:textId="77777777">
            <w:pPr>
              <w:pStyle w:val="ListParagraph"/>
              <w:spacing w:after="0" w:line="240" w:lineRule="auto"/>
              <w:contextualSpacing w:val="0"/>
              <w:rPr>
                <w:sz w:val="24"/>
                <w:szCs w:val="24"/>
              </w:rPr>
            </w:pPr>
          </w:p>
        </w:tc>
        <w:tc>
          <w:tcPr>
            <w:tcW w:w="1022" w:type="dxa"/>
            <w:noWrap/>
            <w:hideMark/>
          </w:tcPr>
          <w:p w:rsidRPr="00E537D3" w:rsidR="00186373" w:rsidP="00E0163C" w:rsidRDefault="00186373" w14:paraId="3790DAE7" w14:textId="77777777">
            <w:pPr>
              <w:pStyle w:val="ListParagraph"/>
              <w:spacing w:after="0" w:line="240" w:lineRule="auto"/>
              <w:contextualSpacing w:val="0"/>
              <w:rPr>
                <w:sz w:val="24"/>
                <w:szCs w:val="24"/>
              </w:rPr>
            </w:pPr>
          </w:p>
        </w:tc>
      </w:tr>
      <w:tr w:rsidRPr="00E537D3" w:rsidR="000052DE" w:rsidTr="00B13A47" w14:paraId="210C618D" w14:textId="77777777">
        <w:trPr>
          <w:trHeight w:val="290"/>
        </w:trPr>
        <w:tc>
          <w:tcPr>
            <w:tcW w:w="1740" w:type="dxa"/>
            <w:noWrap/>
            <w:hideMark/>
          </w:tcPr>
          <w:p w:rsidRPr="00E537D3" w:rsidR="00186373" w:rsidP="00E0163C" w:rsidRDefault="004678DD" w14:paraId="3E6BECE6" w14:textId="5A82B5EF">
            <w:r w:rsidRPr="00E537D3">
              <w:t xml:space="preserve">≥ </w:t>
            </w:r>
            <w:r w:rsidRPr="00E537D3" w:rsidR="00186373">
              <w:t xml:space="preserve">400 </w:t>
            </w:r>
          </w:p>
        </w:tc>
        <w:tc>
          <w:tcPr>
            <w:tcW w:w="1360" w:type="dxa"/>
            <w:noWrap/>
            <w:hideMark/>
          </w:tcPr>
          <w:p w:rsidRPr="00E537D3" w:rsidR="00186373" w:rsidP="00E0163C" w:rsidRDefault="00186373" w14:paraId="4D6C115D"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45E30682"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317D8E62" w14:textId="77777777">
            <w:pPr>
              <w:pStyle w:val="ListParagraph"/>
              <w:spacing w:after="0" w:line="240" w:lineRule="auto"/>
              <w:contextualSpacing w:val="0"/>
              <w:rPr>
                <w:sz w:val="24"/>
                <w:szCs w:val="24"/>
              </w:rPr>
            </w:pPr>
          </w:p>
        </w:tc>
        <w:tc>
          <w:tcPr>
            <w:tcW w:w="1363" w:type="dxa"/>
            <w:noWrap/>
            <w:hideMark/>
          </w:tcPr>
          <w:p w:rsidRPr="00E537D3" w:rsidR="00186373" w:rsidP="00E0163C" w:rsidRDefault="00186373" w14:paraId="38CC0152" w14:textId="77777777">
            <w:pPr>
              <w:pStyle w:val="ListParagraph"/>
              <w:spacing w:after="0" w:line="240" w:lineRule="auto"/>
              <w:contextualSpacing w:val="0"/>
              <w:rPr>
                <w:sz w:val="24"/>
                <w:szCs w:val="24"/>
              </w:rPr>
            </w:pPr>
          </w:p>
        </w:tc>
        <w:tc>
          <w:tcPr>
            <w:tcW w:w="1022" w:type="dxa"/>
            <w:noWrap/>
            <w:hideMark/>
          </w:tcPr>
          <w:p w:rsidRPr="00E537D3" w:rsidR="00186373" w:rsidP="00E0163C" w:rsidRDefault="00186373" w14:paraId="055B77B7" w14:textId="77777777">
            <w:pPr>
              <w:pStyle w:val="ListParagraph"/>
              <w:spacing w:after="0" w:line="240" w:lineRule="auto"/>
              <w:contextualSpacing w:val="0"/>
              <w:rPr>
                <w:sz w:val="24"/>
                <w:szCs w:val="24"/>
              </w:rPr>
            </w:pPr>
          </w:p>
        </w:tc>
      </w:tr>
      <w:tr w:rsidRPr="00E537D3" w:rsidR="000052DE" w:rsidTr="00B13A47" w14:paraId="14E6C661" w14:textId="77777777">
        <w:trPr>
          <w:trHeight w:val="290"/>
        </w:trPr>
        <w:tc>
          <w:tcPr>
            <w:tcW w:w="1740" w:type="dxa"/>
            <w:noWrap/>
            <w:hideMark/>
          </w:tcPr>
          <w:p w:rsidRPr="00E537D3" w:rsidR="00186373" w:rsidP="00E0163C" w:rsidRDefault="00186373" w14:paraId="1CB1C8FE" w14:textId="77777777">
            <w:pPr>
              <w:rPr>
                <w:b/>
              </w:rPr>
            </w:pPr>
            <w:r w:rsidRPr="00E537D3">
              <w:rPr>
                <w:b/>
              </w:rPr>
              <w:t>Teaching Status</w:t>
            </w:r>
          </w:p>
        </w:tc>
        <w:tc>
          <w:tcPr>
            <w:tcW w:w="1360" w:type="dxa"/>
            <w:noWrap/>
            <w:hideMark/>
          </w:tcPr>
          <w:p w:rsidRPr="00E537D3" w:rsidR="00186373" w:rsidP="00E0163C" w:rsidRDefault="00186373" w14:paraId="6B788346"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09510DD1"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058BC84C" w14:textId="77777777">
            <w:pPr>
              <w:pStyle w:val="ListParagraph"/>
              <w:spacing w:after="0" w:line="240" w:lineRule="auto"/>
              <w:contextualSpacing w:val="0"/>
              <w:rPr>
                <w:sz w:val="24"/>
                <w:szCs w:val="24"/>
              </w:rPr>
            </w:pPr>
          </w:p>
        </w:tc>
        <w:tc>
          <w:tcPr>
            <w:tcW w:w="1363" w:type="dxa"/>
            <w:noWrap/>
            <w:hideMark/>
          </w:tcPr>
          <w:p w:rsidRPr="00E537D3" w:rsidR="00186373" w:rsidP="00E0163C" w:rsidRDefault="00186373" w14:paraId="5E8FB604" w14:textId="77777777">
            <w:pPr>
              <w:pStyle w:val="ListParagraph"/>
              <w:spacing w:after="0" w:line="240" w:lineRule="auto"/>
              <w:contextualSpacing w:val="0"/>
              <w:rPr>
                <w:sz w:val="24"/>
                <w:szCs w:val="24"/>
              </w:rPr>
            </w:pPr>
          </w:p>
        </w:tc>
        <w:tc>
          <w:tcPr>
            <w:tcW w:w="1022" w:type="dxa"/>
            <w:noWrap/>
            <w:hideMark/>
          </w:tcPr>
          <w:p w:rsidRPr="00E537D3" w:rsidR="00186373" w:rsidP="00E0163C" w:rsidRDefault="00186373" w14:paraId="4A46B050" w14:textId="77777777">
            <w:pPr>
              <w:pStyle w:val="ListParagraph"/>
              <w:spacing w:after="0" w:line="240" w:lineRule="auto"/>
              <w:contextualSpacing w:val="0"/>
              <w:rPr>
                <w:sz w:val="24"/>
                <w:szCs w:val="24"/>
              </w:rPr>
            </w:pPr>
          </w:p>
        </w:tc>
      </w:tr>
      <w:tr w:rsidRPr="00E537D3" w:rsidR="000052DE" w:rsidTr="00B13A47" w14:paraId="3A93BBA2" w14:textId="77777777">
        <w:trPr>
          <w:trHeight w:val="290"/>
        </w:trPr>
        <w:tc>
          <w:tcPr>
            <w:tcW w:w="1740" w:type="dxa"/>
            <w:noWrap/>
            <w:hideMark/>
          </w:tcPr>
          <w:p w:rsidRPr="00E537D3" w:rsidR="00186373" w:rsidP="00E0163C" w:rsidRDefault="00186373" w14:paraId="74553E7E" w14:textId="77777777">
            <w:r w:rsidRPr="00E537D3">
              <w:t>Major Teaching</w:t>
            </w:r>
          </w:p>
        </w:tc>
        <w:tc>
          <w:tcPr>
            <w:tcW w:w="1360" w:type="dxa"/>
            <w:noWrap/>
            <w:hideMark/>
          </w:tcPr>
          <w:p w:rsidRPr="00E537D3" w:rsidR="00186373" w:rsidP="00E0163C" w:rsidRDefault="00186373" w14:paraId="054B5E04"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376264D8"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54C37E72" w14:textId="77777777">
            <w:pPr>
              <w:pStyle w:val="ListParagraph"/>
              <w:spacing w:after="0" w:line="240" w:lineRule="auto"/>
              <w:contextualSpacing w:val="0"/>
              <w:rPr>
                <w:sz w:val="24"/>
                <w:szCs w:val="24"/>
              </w:rPr>
            </w:pPr>
          </w:p>
        </w:tc>
        <w:tc>
          <w:tcPr>
            <w:tcW w:w="1363" w:type="dxa"/>
            <w:noWrap/>
            <w:hideMark/>
          </w:tcPr>
          <w:p w:rsidRPr="00E537D3" w:rsidR="00186373" w:rsidP="00E0163C" w:rsidRDefault="00186373" w14:paraId="6AD6BC4B" w14:textId="77777777">
            <w:pPr>
              <w:pStyle w:val="ListParagraph"/>
              <w:spacing w:after="0" w:line="240" w:lineRule="auto"/>
              <w:contextualSpacing w:val="0"/>
              <w:rPr>
                <w:sz w:val="24"/>
                <w:szCs w:val="24"/>
              </w:rPr>
            </w:pPr>
          </w:p>
        </w:tc>
        <w:tc>
          <w:tcPr>
            <w:tcW w:w="1022" w:type="dxa"/>
            <w:noWrap/>
            <w:hideMark/>
          </w:tcPr>
          <w:p w:rsidRPr="00E537D3" w:rsidR="00186373" w:rsidP="00E0163C" w:rsidRDefault="00186373" w14:paraId="4B028421" w14:textId="77777777">
            <w:pPr>
              <w:pStyle w:val="ListParagraph"/>
              <w:spacing w:after="0" w:line="240" w:lineRule="auto"/>
              <w:contextualSpacing w:val="0"/>
              <w:rPr>
                <w:sz w:val="24"/>
                <w:szCs w:val="24"/>
              </w:rPr>
            </w:pPr>
          </w:p>
        </w:tc>
      </w:tr>
      <w:tr w:rsidRPr="00E537D3" w:rsidR="000052DE" w:rsidTr="00B13A47" w14:paraId="32D3822E" w14:textId="77777777">
        <w:trPr>
          <w:trHeight w:val="290"/>
        </w:trPr>
        <w:tc>
          <w:tcPr>
            <w:tcW w:w="1740" w:type="dxa"/>
            <w:noWrap/>
            <w:hideMark/>
          </w:tcPr>
          <w:p w:rsidRPr="00E537D3" w:rsidR="00186373" w:rsidP="00E0163C" w:rsidRDefault="00186373" w14:paraId="509200EE" w14:textId="77777777">
            <w:r w:rsidRPr="00E537D3">
              <w:t>Minor Teaching</w:t>
            </w:r>
          </w:p>
        </w:tc>
        <w:tc>
          <w:tcPr>
            <w:tcW w:w="1360" w:type="dxa"/>
            <w:noWrap/>
            <w:hideMark/>
          </w:tcPr>
          <w:p w:rsidRPr="00E537D3" w:rsidR="00186373" w:rsidP="00E0163C" w:rsidRDefault="00186373" w14:paraId="0C3A8474"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3BF80F63"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36731A1D" w14:textId="77777777">
            <w:pPr>
              <w:pStyle w:val="ListParagraph"/>
              <w:spacing w:after="0" w:line="240" w:lineRule="auto"/>
              <w:contextualSpacing w:val="0"/>
              <w:rPr>
                <w:sz w:val="24"/>
                <w:szCs w:val="24"/>
              </w:rPr>
            </w:pPr>
          </w:p>
        </w:tc>
        <w:tc>
          <w:tcPr>
            <w:tcW w:w="1363" w:type="dxa"/>
            <w:noWrap/>
            <w:hideMark/>
          </w:tcPr>
          <w:p w:rsidRPr="00E537D3" w:rsidR="00186373" w:rsidP="00E0163C" w:rsidRDefault="00186373" w14:paraId="78BD9982" w14:textId="77777777">
            <w:pPr>
              <w:pStyle w:val="ListParagraph"/>
              <w:spacing w:after="0" w:line="240" w:lineRule="auto"/>
              <w:contextualSpacing w:val="0"/>
              <w:rPr>
                <w:sz w:val="24"/>
                <w:szCs w:val="24"/>
              </w:rPr>
            </w:pPr>
          </w:p>
        </w:tc>
        <w:tc>
          <w:tcPr>
            <w:tcW w:w="1022" w:type="dxa"/>
            <w:noWrap/>
            <w:hideMark/>
          </w:tcPr>
          <w:p w:rsidRPr="00E537D3" w:rsidR="00186373" w:rsidP="00E0163C" w:rsidRDefault="00186373" w14:paraId="1CB6FB4D" w14:textId="77777777">
            <w:pPr>
              <w:pStyle w:val="ListParagraph"/>
              <w:spacing w:after="0" w:line="240" w:lineRule="auto"/>
              <w:contextualSpacing w:val="0"/>
              <w:rPr>
                <w:sz w:val="24"/>
                <w:szCs w:val="24"/>
              </w:rPr>
            </w:pPr>
          </w:p>
        </w:tc>
      </w:tr>
      <w:tr w:rsidRPr="00E537D3" w:rsidR="000052DE" w:rsidTr="00B13A47" w14:paraId="76A24AE8" w14:textId="77777777">
        <w:trPr>
          <w:trHeight w:val="290"/>
        </w:trPr>
        <w:tc>
          <w:tcPr>
            <w:tcW w:w="1740" w:type="dxa"/>
            <w:noWrap/>
            <w:hideMark/>
          </w:tcPr>
          <w:p w:rsidRPr="00E537D3" w:rsidR="00186373" w:rsidP="00E0163C" w:rsidRDefault="00186373" w14:paraId="7735E3F1" w14:textId="77777777">
            <w:r w:rsidRPr="00E537D3">
              <w:t>Non-teaching</w:t>
            </w:r>
          </w:p>
        </w:tc>
        <w:tc>
          <w:tcPr>
            <w:tcW w:w="1360" w:type="dxa"/>
            <w:noWrap/>
            <w:hideMark/>
          </w:tcPr>
          <w:p w:rsidRPr="00E537D3" w:rsidR="00186373" w:rsidP="00E0163C" w:rsidRDefault="00186373" w14:paraId="69768E75"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04440CBA" w14:textId="77777777">
            <w:pPr>
              <w:pStyle w:val="ListParagraph"/>
              <w:spacing w:after="0" w:line="240" w:lineRule="auto"/>
              <w:contextualSpacing w:val="0"/>
              <w:rPr>
                <w:sz w:val="24"/>
                <w:szCs w:val="24"/>
              </w:rPr>
            </w:pPr>
          </w:p>
        </w:tc>
        <w:tc>
          <w:tcPr>
            <w:tcW w:w="1620" w:type="dxa"/>
            <w:noWrap/>
            <w:hideMark/>
          </w:tcPr>
          <w:p w:rsidRPr="00E537D3" w:rsidR="00186373" w:rsidP="00E0163C" w:rsidRDefault="00186373" w14:paraId="41A8F677" w14:textId="77777777">
            <w:pPr>
              <w:pStyle w:val="ListParagraph"/>
              <w:spacing w:after="0" w:line="240" w:lineRule="auto"/>
              <w:contextualSpacing w:val="0"/>
              <w:rPr>
                <w:sz w:val="24"/>
                <w:szCs w:val="24"/>
              </w:rPr>
            </w:pPr>
          </w:p>
        </w:tc>
        <w:tc>
          <w:tcPr>
            <w:tcW w:w="1363" w:type="dxa"/>
            <w:noWrap/>
            <w:hideMark/>
          </w:tcPr>
          <w:p w:rsidRPr="00E537D3" w:rsidR="00186373" w:rsidP="00E0163C" w:rsidRDefault="00186373" w14:paraId="0A04043B" w14:textId="77777777">
            <w:pPr>
              <w:pStyle w:val="ListParagraph"/>
              <w:spacing w:after="0" w:line="240" w:lineRule="auto"/>
              <w:contextualSpacing w:val="0"/>
              <w:rPr>
                <w:sz w:val="24"/>
                <w:szCs w:val="24"/>
              </w:rPr>
            </w:pPr>
          </w:p>
        </w:tc>
        <w:tc>
          <w:tcPr>
            <w:tcW w:w="1022" w:type="dxa"/>
            <w:noWrap/>
            <w:hideMark/>
          </w:tcPr>
          <w:p w:rsidRPr="00E537D3" w:rsidR="00186373" w:rsidP="00E0163C" w:rsidRDefault="00186373" w14:paraId="57230C78" w14:textId="77777777">
            <w:pPr>
              <w:pStyle w:val="ListParagraph"/>
              <w:spacing w:after="0" w:line="240" w:lineRule="auto"/>
              <w:contextualSpacing w:val="0"/>
              <w:rPr>
                <w:sz w:val="24"/>
                <w:szCs w:val="24"/>
              </w:rPr>
            </w:pPr>
          </w:p>
        </w:tc>
      </w:tr>
    </w:tbl>
    <w:p w:rsidRPr="00E537D3" w:rsidR="00186373" w:rsidP="00E0163C" w:rsidRDefault="00186373" w14:paraId="3C01F301" w14:textId="404D5CEE">
      <w:pPr>
        <w:rPr>
          <w:sz w:val="18"/>
          <w:szCs w:val="18"/>
        </w:rPr>
      </w:pPr>
      <w:r w:rsidRPr="00E537D3">
        <w:rPr>
          <w:sz w:val="18"/>
          <w:szCs w:val="18"/>
        </w:rPr>
        <w:t xml:space="preserve">*   Defined as </w:t>
      </w:r>
      <w:r w:rsidR="006F779C">
        <w:rPr>
          <w:sz w:val="18"/>
          <w:szCs w:val="18"/>
        </w:rPr>
        <w:t xml:space="preserve">adult </w:t>
      </w:r>
      <w:r w:rsidR="003E2FFE">
        <w:rPr>
          <w:sz w:val="18"/>
          <w:szCs w:val="18"/>
        </w:rPr>
        <w:t xml:space="preserve">general </w:t>
      </w:r>
      <w:r w:rsidRPr="00E537D3">
        <w:rPr>
          <w:sz w:val="18"/>
          <w:szCs w:val="18"/>
        </w:rPr>
        <w:t>medical-surgical hospitals in AHA database in 2010</w:t>
      </w:r>
      <w:r w:rsidRPr="00E537D3">
        <w:rPr>
          <w:sz w:val="18"/>
          <w:szCs w:val="18"/>
        </w:rPr>
        <w:tab/>
      </w:r>
    </w:p>
    <w:p w:rsidRPr="00E537D3" w:rsidR="00186373" w:rsidP="00E0163C" w:rsidRDefault="00186373" w14:paraId="31D42F74" w14:textId="77777777">
      <w:pPr>
        <w:rPr>
          <w:sz w:val="18"/>
          <w:szCs w:val="18"/>
        </w:rPr>
      </w:pPr>
      <w:r w:rsidRPr="00E537D3">
        <w:rPr>
          <w:sz w:val="18"/>
          <w:szCs w:val="18"/>
        </w:rPr>
        <w:t>†   P value for chi-square test of proportion of population invited</w:t>
      </w:r>
      <w:r w:rsidRPr="00E537D3">
        <w:rPr>
          <w:sz w:val="18"/>
          <w:szCs w:val="18"/>
        </w:rPr>
        <w:tab/>
      </w:r>
    </w:p>
    <w:p w:rsidRPr="002C7A1E" w:rsidR="00186373" w:rsidP="00E0163C" w:rsidRDefault="00186373" w14:paraId="342D308F" w14:textId="77777777">
      <w:pPr>
        <w:rPr>
          <w:color w:val="00B050"/>
        </w:rPr>
      </w:pPr>
      <w:r w:rsidRPr="00E537D3">
        <w:rPr>
          <w:sz w:val="18"/>
          <w:szCs w:val="18"/>
        </w:rPr>
        <w:t>†† P value refers to the distribution of response rates</w:t>
      </w:r>
      <w:r w:rsidRPr="002C7A1E">
        <w:rPr>
          <w:color w:val="00B050"/>
        </w:rPr>
        <w:tab/>
      </w:r>
    </w:p>
    <w:p w:rsidR="00936EFE" w:rsidP="00E0163C" w:rsidRDefault="00936EFE" w14:paraId="714F0994" w14:textId="77777777">
      <w:pPr>
        <w:rPr>
          <w:color w:val="00B050"/>
        </w:rPr>
      </w:pPr>
    </w:p>
    <w:p w:rsidR="00C1015F" w:rsidP="00E0163C" w:rsidRDefault="00C1015F" w14:paraId="3B39F1A7" w14:textId="77777777"/>
    <w:p w:rsidR="00C627AD" w:rsidP="00E0163C" w:rsidRDefault="00936EFE" w14:paraId="1D918B48" w14:textId="27E6CFE7">
      <w:r w:rsidRPr="00E537D3">
        <w:t xml:space="preserve">Sample Table: </w:t>
      </w:r>
      <w:r w:rsidRPr="00E537D3" w:rsidR="00C627AD">
        <w:t xml:space="preserve">Weighted Prevalence of </w:t>
      </w:r>
      <w:r w:rsidRPr="00E537D3" w:rsidR="00E43E01">
        <w:t>Hospital-level VTE Prevention Practices</w:t>
      </w:r>
      <w:r w:rsidRPr="00E537D3" w:rsidR="00C627AD">
        <w:t xml:space="preserve"> and Association with Hospital </w:t>
      </w:r>
      <w:r w:rsidR="00766A96">
        <w:t>Bed Size</w:t>
      </w:r>
    </w:p>
    <w:p w:rsidRPr="00E537D3" w:rsidR="00C1015F" w:rsidP="00E0163C" w:rsidRDefault="00C1015F" w14:paraId="5CC286A4" w14:textId="77777777"/>
    <w:tbl>
      <w:tblPr>
        <w:tblStyle w:val="TableGrid"/>
        <w:tblW w:w="0" w:type="auto"/>
        <w:tblLook w:val="04A0" w:firstRow="1" w:lastRow="0" w:firstColumn="1" w:lastColumn="0" w:noHBand="0" w:noVBand="1"/>
      </w:tblPr>
      <w:tblGrid>
        <w:gridCol w:w="2654"/>
        <w:gridCol w:w="1673"/>
        <w:gridCol w:w="1161"/>
        <w:gridCol w:w="1076"/>
        <w:gridCol w:w="991"/>
        <w:gridCol w:w="1080"/>
      </w:tblGrid>
      <w:tr w:rsidRPr="00E537D3" w:rsidR="00E537D3" w:rsidTr="0055410A" w14:paraId="3676794C" w14:textId="77777777">
        <w:trPr>
          <w:trHeight w:val="580"/>
        </w:trPr>
        <w:tc>
          <w:tcPr>
            <w:tcW w:w="2654" w:type="dxa"/>
            <w:hideMark/>
          </w:tcPr>
          <w:p w:rsidRPr="00E537D3" w:rsidR="00C627AD" w:rsidP="00E0163C" w:rsidRDefault="00E43E01" w14:paraId="73990E9D" w14:textId="54D4B671">
            <w:r w:rsidRPr="00E537D3">
              <w:t>Hospital VTE Prevention Practice</w:t>
            </w:r>
          </w:p>
        </w:tc>
        <w:tc>
          <w:tcPr>
            <w:tcW w:w="1673" w:type="dxa"/>
            <w:hideMark/>
          </w:tcPr>
          <w:p w:rsidRPr="00E537D3" w:rsidR="00C627AD" w:rsidP="00E0163C" w:rsidRDefault="00C627AD" w14:paraId="51D2857C" w14:textId="77777777">
            <w:r w:rsidRPr="00E537D3">
              <w:t>Hospitals Answering Affirmatively</w:t>
            </w:r>
          </w:p>
        </w:tc>
        <w:tc>
          <w:tcPr>
            <w:tcW w:w="3228" w:type="dxa"/>
            <w:gridSpan w:val="3"/>
            <w:noWrap/>
            <w:hideMark/>
          </w:tcPr>
          <w:p w:rsidRPr="00E537D3" w:rsidR="00C627AD" w:rsidP="00E0163C" w:rsidRDefault="00C627AD" w14:paraId="1457C7FB" w14:textId="3913E7AF">
            <w:r w:rsidRPr="00E537D3">
              <w:t xml:space="preserve">Hospital </w:t>
            </w:r>
            <w:r w:rsidR="00766A96">
              <w:t>B</w:t>
            </w:r>
            <w:r w:rsidRPr="00E537D3">
              <w:t xml:space="preserve">ed </w:t>
            </w:r>
            <w:r w:rsidR="00766A96">
              <w:t>S</w:t>
            </w:r>
            <w:r w:rsidRPr="00E537D3">
              <w:t>ize (95% CI), %</w:t>
            </w:r>
          </w:p>
        </w:tc>
        <w:tc>
          <w:tcPr>
            <w:tcW w:w="1080" w:type="dxa"/>
            <w:noWrap/>
            <w:hideMark/>
          </w:tcPr>
          <w:p w:rsidRPr="00E537D3" w:rsidR="00C627AD" w:rsidP="00E0163C" w:rsidRDefault="00C627AD" w14:paraId="069FAB2C" w14:textId="4BABF5B9">
            <w:r w:rsidRPr="00E537D3">
              <w:t>P</w:t>
            </w:r>
            <w:r w:rsidR="00766A96">
              <w:t>-</w:t>
            </w:r>
            <w:r w:rsidRPr="00E537D3">
              <w:t>Value</w:t>
            </w:r>
          </w:p>
        </w:tc>
      </w:tr>
      <w:tr w:rsidRPr="00E537D3" w:rsidR="00E537D3" w:rsidTr="0055410A" w14:paraId="1244C92D" w14:textId="77777777">
        <w:trPr>
          <w:trHeight w:val="310"/>
        </w:trPr>
        <w:tc>
          <w:tcPr>
            <w:tcW w:w="2654" w:type="dxa"/>
            <w:hideMark/>
          </w:tcPr>
          <w:p w:rsidRPr="00E537D3" w:rsidR="00C627AD" w:rsidP="00E0163C" w:rsidRDefault="00C627AD" w14:paraId="7A1828EE" w14:textId="77777777">
            <w:pPr>
              <w:pStyle w:val="ListParagraph"/>
              <w:spacing w:after="0" w:line="240" w:lineRule="auto"/>
              <w:contextualSpacing w:val="0"/>
              <w:rPr>
                <w:sz w:val="24"/>
                <w:szCs w:val="24"/>
              </w:rPr>
            </w:pPr>
            <w:r w:rsidRPr="00E537D3">
              <w:rPr>
                <w:sz w:val="24"/>
                <w:szCs w:val="24"/>
              </w:rPr>
              <w:t> </w:t>
            </w:r>
          </w:p>
        </w:tc>
        <w:tc>
          <w:tcPr>
            <w:tcW w:w="1673" w:type="dxa"/>
            <w:hideMark/>
          </w:tcPr>
          <w:p w:rsidRPr="00E537D3" w:rsidR="00C627AD" w:rsidP="00E0163C" w:rsidRDefault="00C627AD" w14:paraId="0BE727E1" w14:textId="77777777">
            <w:r w:rsidRPr="00E537D3">
              <w:t>(95% CI), %</w:t>
            </w:r>
          </w:p>
        </w:tc>
        <w:tc>
          <w:tcPr>
            <w:tcW w:w="1161" w:type="dxa"/>
            <w:hideMark/>
          </w:tcPr>
          <w:p w:rsidRPr="00E537D3" w:rsidR="00C627AD" w:rsidP="00E0163C" w:rsidRDefault="00C627AD" w14:paraId="3DF18821" w14:textId="77777777">
            <w:r w:rsidRPr="00E537D3">
              <w:t>&lt;100</w:t>
            </w:r>
          </w:p>
        </w:tc>
        <w:tc>
          <w:tcPr>
            <w:tcW w:w="1076" w:type="dxa"/>
            <w:hideMark/>
          </w:tcPr>
          <w:p w:rsidRPr="00E537D3" w:rsidR="00C627AD" w:rsidP="00E0163C" w:rsidRDefault="00C627AD" w14:paraId="760025F6" w14:textId="77777777">
            <w:r w:rsidRPr="00E537D3">
              <w:t>100-399</w:t>
            </w:r>
          </w:p>
        </w:tc>
        <w:tc>
          <w:tcPr>
            <w:tcW w:w="991" w:type="dxa"/>
            <w:hideMark/>
          </w:tcPr>
          <w:p w:rsidRPr="00E537D3" w:rsidR="00C627AD" w:rsidP="00E0163C" w:rsidRDefault="00E43E01" w14:paraId="7EBD559C" w14:textId="7F67DF65">
            <w:r w:rsidRPr="00E537D3">
              <w:t>≥</w:t>
            </w:r>
            <w:r w:rsidRPr="00E537D3" w:rsidR="00C627AD">
              <w:t>400</w:t>
            </w:r>
          </w:p>
        </w:tc>
        <w:tc>
          <w:tcPr>
            <w:tcW w:w="1080" w:type="dxa"/>
            <w:noWrap/>
            <w:hideMark/>
          </w:tcPr>
          <w:p w:rsidRPr="00E537D3" w:rsidR="00C627AD" w:rsidP="00E0163C" w:rsidRDefault="00C627AD" w14:paraId="408A3CA1" w14:textId="77777777">
            <w:pPr>
              <w:pStyle w:val="ListParagraph"/>
              <w:spacing w:after="0" w:line="240" w:lineRule="auto"/>
              <w:contextualSpacing w:val="0"/>
              <w:rPr>
                <w:sz w:val="24"/>
                <w:szCs w:val="24"/>
              </w:rPr>
            </w:pPr>
            <w:r w:rsidRPr="00E537D3">
              <w:rPr>
                <w:sz w:val="24"/>
                <w:szCs w:val="24"/>
              </w:rPr>
              <w:t> </w:t>
            </w:r>
          </w:p>
        </w:tc>
      </w:tr>
      <w:tr w:rsidRPr="00E537D3" w:rsidR="00E537D3" w:rsidTr="0055410A" w14:paraId="5F0930F2" w14:textId="77777777">
        <w:trPr>
          <w:trHeight w:val="620"/>
        </w:trPr>
        <w:tc>
          <w:tcPr>
            <w:tcW w:w="2654" w:type="dxa"/>
            <w:hideMark/>
          </w:tcPr>
          <w:p w:rsidRPr="00E537D3" w:rsidR="00C627AD" w:rsidP="00E0163C" w:rsidRDefault="00C627AD" w14:paraId="73E69145" w14:textId="4EF2176F">
            <w:r w:rsidRPr="00E537D3">
              <w:t xml:space="preserve">Hospital </w:t>
            </w:r>
            <w:r w:rsidRPr="00E537D3" w:rsidR="00E562E9">
              <w:t xml:space="preserve">has a </w:t>
            </w:r>
            <w:r w:rsidRPr="00E537D3">
              <w:t xml:space="preserve">VTE prevention policy </w:t>
            </w:r>
          </w:p>
        </w:tc>
        <w:tc>
          <w:tcPr>
            <w:tcW w:w="1673" w:type="dxa"/>
            <w:hideMark/>
          </w:tcPr>
          <w:p w:rsidRPr="00E537D3" w:rsidR="00C627AD" w:rsidP="00E0163C" w:rsidRDefault="00C627AD" w14:paraId="6F6000AB" w14:textId="77777777">
            <w:pPr>
              <w:pStyle w:val="ListParagraph"/>
              <w:spacing w:after="0" w:line="240" w:lineRule="auto"/>
              <w:contextualSpacing w:val="0"/>
              <w:rPr>
                <w:sz w:val="24"/>
                <w:szCs w:val="24"/>
              </w:rPr>
            </w:pPr>
          </w:p>
        </w:tc>
        <w:tc>
          <w:tcPr>
            <w:tcW w:w="1161" w:type="dxa"/>
            <w:hideMark/>
          </w:tcPr>
          <w:p w:rsidRPr="00E537D3" w:rsidR="00C627AD" w:rsidP="00E0163C" w:rsidRDefault="00C627AD" w14:paraId="5106A305" w14:textId="77777777">
            <w:pPr>
              <w:pStyle w:val="ListParagraph"/>
              <w:spacing w:after="0" w:line="240" w:lineRule="auto"/>
              <w:contextualSpacing w:val="0"/>
              <w:rPr>
                <w:sz w:val="18"/>
                <w:szCs w:val="18"/>
              </w:rPr>
            </w:pPr>
          </w:p>
        </w:tc>
        <w:tc>
          <w:tcPr>
            <w:tcW w:w="1076" w:type="dxa"/>
            <w:hideMark/>
          </w:tcPr>
          <w:p w:rsidRPr="00E537D3" w:rsidR="00C627AD" w:rsidP="00E0163C" w:rsidRDefault="00C627AD" w14:paraId="06A8DD3F" w14:textId="77777777">
            <w:pPr>
              <w:pStyle w:val="ListParagraph"/>
              <w:spacing w:after="0" w:line="240" w:lineRule="auto"/>
              <w:contextualSpacing w:val="0"/>
              <w:rPr>
                <w:sz w:val="18"/>
                <w:szCs w:val="18"/>
              </w:rPr>
            </w:pPr>
          </w:p>
        </w:tc>
        <w:tc>
          <w:tcPr>
            <w:tcW w:w="991" w:type="dxa"/>
            <w:hideMark/>
          </w:tcPr>
          <w:p w:rsidRPr="00E537D3" w:rsidR="00C627AD" w:rsidP="00E0163C" w:rsidRDefault="00C627AD" w14:paraId="173C78FB" w14:textId="77777777">
            <w:pPr>
              <w:pStyle w:val="ListParagraph"/>
              <w:spacing w:after="0" w:line="240" w:lineRule="auto"/>
              <w:contextualSpacing w:val="0"/>
              <w:rPr>
                <w:sz w:val="18"/>
                <w:szCs w:val="18"/>
              </w:rPr>
            </w:pPr>
          </w:p>
        </w:tc>
        <w:tc>
          <w:tcPr>
            <w:tcW w:w="1080" w:type="dxa"/>
            <w:noWrap/>
            <w:hideMark/>
          </w:tcPr>
          <w:p w:rsidRPr="00E537D3" w:rsidR="00C627AD" w:rsidP="00E0163C" w:rsidRDefault="00C627AD" w14:paraId="05F9E66A" w14:textId="77777777">
            <w:pPr>
              <w:pStyle w:val="ListParagraph"/>
              <w:spacing w:after="0" w:line="240" w:lineRule="auto"/>
              <w:contextualSpacing w:val="0"/>
              <w:rPr>
                <w:sz w:val="18"/>
                <w:szCs w:val="18"/>
              </w:rPr>
            </w:pPr>
            <w:r w:rsidRPr="00E537D3">
              <w:rPr>
                <w:sz w:val="18"/>
                <w:szCs w:val="18"/>
              </w:rPr>
              <w:t> </w:t>
            </w:r>
          </w:p>
        </w:tc>
      </w:tr>
      <w:tr w:rsidRPr="00E537D3" w:rsidR="00E537D3" w:rsidTr="0055410A" w14:paraId="1BF67F76" w14:textId="77777777">
        <w:trPr>
          <w:trHeight w:val="620"/>
        </w:trPr>
        <w:tc>
          <w:tcPr>
            <w:tcW w:w="2654" w:type="dxa"/>
            <w:hideMark/>
          </w:tcPr>
          <w:p w:rsidRPr="00E537D3" w:rsidR="00C627AD" w:rsidP="00E0163C" w:rsidRDefault="00C627AD" w14:paraId="7EA795D8" w14:textId="77777777">
            <w:r w:rsidRPr="00E537D3">
              <w:t>Hospital has a VTE prevention team</w:t>
            </w:r>
          </w:p>
        </w:tc>
        <w:tc>
          <w:tcPr>
            <w:tcW w:w="1673" w:type="dxa"/>
            <w:hideMark/>
          </w:tcPr>
          <w:p w:rsidRPr="00E537D3" w:rsidR="00C627AD" w:rsidP="00E0163C" w:rsidRDefault="00C627AD" w14:paraId="7E2C68D1" w14:textId="77777777">
            <w:pPr>
              <w:pStyle w:val="ListParagraph"/>
              <w:spacing w:after="0" w:line="240" w:lineRule="auto"/>
              <w:contextualSpacing w:val="0"/>
              <w:rPr>
                <w:sz w:val="24"/>
                <w:szCs w:val="24"/>
              </w:rPr>
            </w:pPr>
          </w:p>
        </w:tc>
        <w:tc>
          <w:tcPr>
            <w:tcW w:w="1161" w:type="dxa"/>
            <w:hideMark/>
          </w:tcPr>
          <w:p w:rsidRPr="00E537D3" w:rsidR="00C627AD" w:rsidP="00E0163C" w:rsidRDefault="00C627AD" w14:paraId="08BE02C1" w14:textId="77777777">
            <w:pPr>
              <w:pStyle w:val="ListParagraph"/>
              <w:spacing w:after="0" w:line="240" w:lineRule="auto"/>
              <w:contextualSpacing w:val="0"/>
              <w:rPr>
                <w:sz w:val="18"/>
                <w:szCs w:val="18"/>
              </w:rPr>
            </w:pPr>
          </w:p>
        </w:tc>
        <w:tc>
          <w:tcPr>
            <w:tcW w:w="1076" w:type="dxa"/>
            <w:hideMark/>
          </w:tcPr>
          <w:p w:rsidRPr="00E537D3" w:rsidR="00C627AD" w:rsidP="00E0163C" w:rsidRDefault="00C627AD" w14:paraId="7C7C5E15" w14:textId="77777777">
            <w:pPr>
              <w:pStyle w:val="ListParagraph"/>
              <w:spacing w:after="0" w:line="240" w:lineRule="auto"/>
              <w:contextualSpacing w:val="0"/>
              <w:rPr>
                <w:sz w:val="18"/>
                <w:szCs w:val="18"/>
              </w:rPr>
            </w:pPr>
          </w:p>
        </w:tc>
        <w:tc>
          <w:tcPr>
            <w:tcW w:w="991" w:type="dxa"/>
            <w:hideMark/>
          </w:tcPr>
          <w:p w:rsidRPr="00E537D3" w:rsidR="00C627AD" w:rsidP="00E0163C" w:rsidRDefault="00C627AD" w14:paraId="4A323FC4" w14:textId="77777777">
            <w:pPr>
              <w:pStyle w:val="ListParagraph"/>
              <w:spacing w:after="0" w:line="240" w:lineRule="auto"/>
              <w:contextualSpacing w:val="0"/>
              <w:rPr>
                <w:sz w:val="18"/>
                <w:szCs w:val="18"/>
              </w:rPr>
            </w:pPr>
          </w:p>
        </w:tc>
        <w:tc>
          <w:tcPr>
            <w:tcW w:w="1080" w:type="dxa"/>
            <w:noWrap/>
            <w:hideMark/>
          </w:tcPr>
          <w:p w:rsidRPr="00E537D3" w:rsidR="00C627AD" w:rsidP="00E0163C" w:rsidRDefault="00C627AD" w14:paraId="04C53107" w14:textId="77777777">
            <w:pPr>
              <w:pStyle w:val="ListParagraph"/>
              <w:spacing w:after="0" w:line="240" w:lineRule="auto"/>
              <w:contextualSpacing w:val="0"/>
              <w:rPr>
                <w:sz w:val="18"/>
                <w:szCs w:val="18"/>
              </w:rPr>
            </w:pPr>
            <w:r w:rsidRPr="00E537D3">
              <w:rPr>
                <w:sz w:val="18"/>
                <w:szCs w:val="18"/>
              </w:rPr>
              <w:t> </w:t>
            </w:r>
          </w:p>
        </w:tc>
      </w:tr>
      <w:tr w:rsidRPr="00E537D3" w:rsidR="00E537D3" w:rsidTr="006825BE" w14:paraId="781906BB" w14:textId="77777777">
        <w:trPr>
          <w:trHeight w:val="872"/>
        </w:trPr>
        <w:tc>
          <w:tcPr>
            <w:tcW w:w="2654" w:type="dxa"/>
            <w:hideMark/>
          </w:tcPr>
          <w:p w:rsidRPr="00E537D3" w:rsidR="00C627AD" w:rsidP="00E0163C" w:rsidRDefault="00741275" w14:paraId="5A8481E5" w14:textId="68644595">
            <w:r w:rsidRPr="00E537D3">
              <w:lastRenderedPageBreak/>
              <w:t>Hospital reviews HA-VTE events</w:t>
            </w:r>
          </w:p>
        </w:tc>
        <w:tc>
          <w:tcPr>
            <w:tcW w:w="1673" w:type="dxa"/>
            <w:hideMark/>
          </w:tcPr>
          <w:p w:rsidRPr="00E537D3" w:rsidR="00C627AD" w:rsidP="00E0163C" w:rsidRDefault="00C627AD" w14:paraId="28781897" w14:textId="77777777">
            <w:pPr>
              <w:pStyle w:val="ListParagraph"/>
              <w:spacing w:after="0" w:line="240" w:lineRule="auto"/>
              <w:contextualSpacing w:val="0"/>
              <w:rPr>
                <w:sz w:val="24"/>
                <w:szCs w:val="24"/>
              </w:rPr>
            </w:pPr>
          </w:p>
        </w:tc>
        <w:tc>
          <w:tcPr>
            <w:tcW w:w="1161" w:type="dxa"/>
            <w:hideMark/>
          </w:tcPr>
          <w:p w:rsidRPr="00E537D3" w:rsidR="00C627AD" w:rsidP="00E0163C" w:rsidRDefault="00C627AD" w14:paraId="22543000" w14:textId="77777777">
            <w:pPr>
              <w:pStyle w:val="ListParagraph"/>
              <w:spacing w:after="0" w:line="240" w:lineRule="auto"/>
              <w:contextualSpacing w:val="0"/>
              <w:rPr>
                <w:sz w:val="18"/>
                <w:szCs w:val="18"/>
              </w:rPr>
            </w:pPr>
          </w:p>
        </w:tc>
        <w:tc>
          <w:tcPr>
            <w:tcW w:w="1076" w:type="dxa"/>
            <w:hideMark/>
          </w:tcPr>
          <w:p w:rsidRPr="00E537D3" w:rsidR="00C627AD" w:rsidP="00E0163C" w:rsidRDefault="00C627AD" w14:paraId="12C22CFF" w14:textId="77777777">
            <w:pPr>
              <w:pStyle w:val="ListParagraph"/>
              <w:spacing w:after="0" w:line="240" w:lineRule="auto"/>
              <w:contextualSpacing w:val="0"/>
              <w:rPr>
                <w:sz w:val="18"/>
                <w:szCs w:val="18"/>
              </w:rPr>
            </w:pPr>
          </w:p>
        </w:tc>
        <w:tc>
          <w:tcPr>
            <w:tcW w:w="991" w:type="dxa"/>
            <w:hideMark/>
          </w:tcPr>
          <w:p w:rsidRPr="00E537D3" w:rsidR="00C627AD" w:rsidP="00E0163C" w:rsidRDefault="00C627AD" w14:paraId="3E44E091" w14:textId="77777777">
            <w:pPr>
              <w:pStyle w:val="ListParagraph"/>
              <w:spacing w:after="0" w:line="240" w:lineRule="auto"/>
              <w:contextualSpacing w:val="0"/>
              <w:rPr>
                <w:sz w:val="18"/>
                <w:szCs w:val="18"/>
              </w:rPr>
            </w:pPr>
          </w:p>
        </w:tc>
        <w:tc>
          <w:tcPr>
            <w:tcW w:w="1080" w:type="dxa"/>
            <w:noWrap/>
            <w:hideMark/>
          </w:tcPr>
          <w:p w:rsidRPr="00E537D3" w:rsidR="00C627AD" w:rsidP="00E0163C" w:rsidRDefault="00C627AD" w14:paraId="736801C6" w14:textId="77777777">
            <w:pPr>
              <w:pStyle w:val="ListParagraph"/>
              <w:spacing w:after="0" w:line="240" w:lineRule="auto"/>
              <w:contextualSpacing w:val="0"/>
              <w:rPr>
                <w:sz w:val="18"/>
                <w:szCs w:val="18"/>
              </w:rPr>
            </w:pPr>
            <w:r w:rsidRPr="00E537D3">
              <w:rPr>
                <w:sz w:val="18"/>
                <w:szCs w:val="18"/>
              </w:rPr>
              <w:t> </w:t>
            </w:r>
          </w:p>
        </w:tc>
      </w:tr>
      <w:tr w:rsidRPr="00E537D3" w:rsidR="00C627AD" w:rsidTr="0055410A" w14:paraId="58F5A816" w14:textId="77777777">
        <w:trPr>
          <w:trHeight w:val="1240"/>
        </w:trPr>
        <w:tc>
          <w:tcPr>
            <w:tcW w:w="2654" w:type="dxa"/>
            <w:hideMark/>
          </w:tcPr>
          <w:p w:rsidRPr="00E537D3" w:rsidR="00C627AD" w:rsidP="00E0163C" w:rsidRDefault="00E562E9" w14:paraId="7324333C" w14:textId="2182203B">
            <w:r w:rsidRPr="00E537D3">
              <w:t>Hospital reviews adverse events and complications from anticoagulant prophylaxis</w:t>
            </w:r>
          </w:p>
        </w:tc>
        <w:tc>
          <w:tcPr>
            <w:tcW w:w="1673" w:type="dxa"/>
            <w:hideMark/>
          </w:tcPr>
          <w:p w:rsidRPr="00E537D3" w:rsidR="00C627AD" w:rsidP="00E0163C" w:rsidRDefault="00C627AD" w14:paraId="4ECE7603" w14:textId="77777777">
            <w:pPr>
              <w:pStyle w:val="ListParagraph"/>
              <w:spacing w:after="0" w:line="240" w:lineRule="auto"/>
              <w:contextualSpacing w:val="0"/>
              <w:rPr>
                <w:sz w:val="24"/>
                <w:szCs w:val="24"/>
              </w:rPr>
            </w:pPr>
            <w:r w:rsidRPr="00E537D3">
              <w:rPr>
                <w:sz w:val="24"/>
                <w:szCs w:val="24"/>
              </w:rPr>
              <w:t> </w:t>
            </w:r>
          </w:p>
        </w:tc>
        <w:tc>
          <w:tcPr>
            <w:tcW w:w="1161" w:type="dxa"/>
            <w:hideMark/>
          </w:tcPr>
          <w:p w:rsidRPr="00E537D3" w:rsidR="00C627AD" w:rsidP="00E0163C" w:rsidRDefault="00C627AD" w14:paraId="61923C9C" w14:textId="77777777">
            <w:pPr>
              <w:pStyle w:val="ListParagraph"/>
              <w:spacing w:after="0" w:line="240" w:lineRule="auto"/>
              <w:contextualSpacing w:val="0"/>
            </w:pPr>
            <w:r w:rsidRPr="00E537D3">
              <w:t> </w:t>
            </w:r>
          </w:p>
        </w:tc>
        <w:tc>
          <w:tcPr>
            <w:tcW w:w="1076" w:type="dxa"/>
            <w:hideMark/>
          </w:tcPr>
          <w:p w:rsidRPr="00E537D3" w:rsidR="00C627AD" w:rsidP="00E0163C" w:rsidRDefault="00C627AD" w14:paraId="422C1F9D" w14:textId="77777777">
            <w:pPr>
              <w:pStyle w:val="ListParagraph"/>
              <w:spacing w:after="0" w:line="240" w:lineRule="auto"/>
              <w:contextualSpacing w:val="0"/>
            </w:pPr>
            <w:r w:rsidRPr="00E537D3">
              <w:t> </w:t>
            </w:r>
          </w:p>
        </w:tc>
        <w:tc>
          <w:tcPr>
            <w:tcW w:w="991" w:type="dxa"/>
            <w:hideMark/>
          </w:tcPr>
          <w:p w:rsidRPr="00E537D3" w:rsidR="00C627AD" w:rsidP="00E0163C" w:rsidRDefault="00C627AD" w14:paraId="31C595F0" w14:textId="77777777">
            <w:pPr>
              <w:pStyle w:val="ListParagraph"/>
              <w:spacing w:after="0" w:line="240" w:lineRule="auto"/>
              <w:contextualSpacing w:val="0"/>
            </w:pPr>
            <w:r w:rsidRPr="00E537D3">
              <w:t> </w:t>
            </w:r>
          </w:p>
        </w:tc>
        <w:tc>
          <w:tcPr>
            <w:tcW w:w="1080" w:type="dxa"/>
            <w:noWrap/>
            <w:hideMark/>
          </w:tcPr>
          <w:p w:rsidRPr="00E537D3" w:rsidR="00C627AD" w:rsidP="00E0163C" w:rsidRDefault="00C627AD" w14:paraId="0415F21B" w14:textId="77777777">
            <w:pPr>
              <w:pStyle w:val="ListParagraph"/>
              <w:spacing w:after="0" w:line="240" w:lineRule="auto"/>
              <w:contextualSpacing w:val="0"/>
            </w:pPr>
            <w:r w:rsidRPr="00E537D3">
              <w:t> </w:t>
            </w:r>
          </w:p>
        </w:tc>
      </w:tr>
    </w:tbl>
    <w:p w:rsidR="00562564" w:rsidP="00E0163C" w:rsidRDefault="00562564" w14:paraId="210FFE9F" w14:textId="77777777"/>
    <w:p w:rsidR="00C627AD" w:rsidP="00E0163C" w:rsidRDefault="00936EFE" w14:paraId="29C8F5FC" w14:textId="2DB4247C">
      <w:r w:rsidRPr="00E537D3">
        <w:t xml:space="preserve">Sample Table: </w:t>
      </w:r>
      <w:r w:rsidRPr="00E537D3" w:rsidR="003D2883">
        <w:t xml:space="preserve">VTE </w:t>
      </w:r>
      <w:r w:rsidRPr="00E537D3" w:rsidR="00280E85">
        <w:t>Prevention Practices</w:t>
      </w:r>
      <w:r w:rsidRPr="00E537D3" w:rsidR="003D2883">
        <w:t xml:space="preserve"> by Service/Unit</w:t>
      </w:r>
    </w:p>
    <w:p w:rsidRPr="00E537D3" w:rsidR="00C1015F" w:rsidP="00E0163C" w:rsidRDefault="00C1015F" w14:paraId="72E879E4" w14:textId="77777777"/>
    <w:tbl>
      <w:tblPr>
        <w:tblStyle w:val="TableGrid"/>
        <w:tblW w:w="9355" w:type="dxa"/>
        <w:tblInd w:w="-5" w:type="dxa"/>
        <w:tblLook w:val="04A0" w:firstRow="1" w:lastRow="0" w:firstColumn="1" w:lastColumn="0" w:noHBand="0" w:noVBand="1"/>
      </w:tblPr>
      <w:tblGrid>
        <w:gridCol w:w="4988"/>
        <w:gridCol w:w="1561"/>
        <w:gridCol w:w="1551"/>
        <w:gridCol w:w="1255"/>
      </w:tblGrid>
      <w:tr w:rsidRPr="00E537D3" w:rsidR="00E537D3" w:rsidTr="006825BE" w14:paraId="2FCE6E38" w14:textId="09F1FC7A">
        <w:tc>
          <w:tcPr>
            <w:tcW w:w="4988" w:type="dxa"/>
          </w:tcPr>
          <w:p w:rsidRPr="00E537D3" w:rsidR="005B5E23" w:rsidP="00E0163C" w:rsidRDefault="005B5E23" w14:paraId="47B3B9F0" w14:textId="1F4FCA39">
            <w:pPr>
              <w:pStyle w:val="ListParagraph"/>
              <w:spacing w:after="0" w:line="240" w:lineRule="auto"/>
              <w:ind w:left="0"/>
              <w:contextualSpacing w:val="0"/>
              <w:rPr>
                <w:sz w:val="24"/>
                <w:szCs w:val="24"/>
              </w:rPr>
            </w:pPr>
            <w:r w:rsidRPr="00E537D3">
              <w:rPr>
                <w:sz w:val="24"/>
                <w:szCs w:val="24"/>
              </w:rPr>
              <w:t>VTE Prevention Practice</w:t>
            </w:r>
          </w:p>
        </w:tc>
        <w:tc>
          <w:tcPr>
            <w:tcW w:w="1561" w:type="dxa"/>
          </w:tcPr>
          <w:p w:rsidRPr="00E537D3" w:rsidR="005B5E23" w:rsidP="00E0163C" w:rsidRDefault="005A379C" w14:paraId="35BC7877" w14:textId="7F0F7DD1">
            <w:pPr>
              <w:pStyle w:val="ListParagraph"/>
              <w:spacing w:after="0" w:line="240" w:lineRule="auto"/>
              <w:ind w:left="0"/>
              <w:contextualSpacing w:val="0"/>
              <w:rPr>
                <w:sz w:val="24"/>
                <w:szCs w:val="24"/>
              </w:rPr>
            </w:pPr>
            <w:r>
              <w:rPr>
                <w:sz w:val="24"/>
                <w:szCs w:val="24"/>
              </w:rPr>
              <w:t xml:space="preserve">Adult </w:t>
            </w:r>
            <w:r w:rsidRPr="00E537D3" w:rsidR="005B5E23">
              <w:rPr>
                <w:sz w:val="24"/>
                <w:szCs w:val="24"/>
              </w:rPr>
              <w:t xml:space="preserve">General </w:t>
            </w:r>
          </w:p>
          <w:p w:rsidR="006825BE" w:rsidP="00E0163C" w:rsidRDefault="00766A96" w14:paraId="0B013448" w14:textId="1EFE892F">
            <w:pPr>
              <w:pStyle w:val="ListParagraph"/>
              <w:spacing w:after="0" w:line="240" w:lineRule="auto"/>
              <w:ind w:left="0"/>
              <w:contextualSpacing w:val="0"/>
              <w:rPr>
                <w:sz w:val="24"/>
                <w:szCs w:val="24"/>
              </w:rPr>
            </w:pPr>
            <w:r>
              <w:rPr>
                <w:sz w:val="24"/>
                <w:szCs w:val="24"/>
              </w:rPr>
              <w:t>M</w:t>
            </w:r>
            <w:r w:rsidRPr="00E537D3" w:rsidR="005B5E23">
              <w:rPr>
                <w:sz w:val="24"/>
                <w:szCs w:val="24"/>
              </w:rPr>
              <w:t xml:space="preserve">edical </w:t>
            </w:r>
          </w:p>
          <w:p w:rsidRPr="00E537D3" w:rsidR="005B5E23" w:rsidP="00E0163C" w:rsidRDefault="005B5E23" w14:paraId="54F11948" w14:textId="01EA0CFF">
            <w:pPr>
              <w:pStyle w:val="ListParagraph"/>
              <w:spacing w:after="0" w:line="240" w:lineRule="auto"/>
              <w:ind w:left="0"/>
              <w:contextualSpacing w:val="0"/>
              <w:rPr>
                <w:sz w:val="24"/>
                <w:szCs w:val="24"/>
              </w:rPr>
            </w:pPr>
            <w:r w:rsidRPr="00E537D3">
              <w:rPr>
                <w:sz w:val="24"/>
                <w:szCs w:val="24"/>
              </w:rPr>
              <w:t>(n, %)</w:t>
            </w:r>
          </w:p>
        </w:tc>
        <w:tc>
          <w:tcPr>
            <w:tcW w:w="1551" w:type="dxa"/>
          </w:tcPr>
          <w:p w:rsidR="006825BE" w:rsidP="00E0163C" w:rsidRDefault="005A379C" w14:paraId="45C4A7A9" w14:textId="25E194C9">
            <w:pPr>
              <w:pStyle w:val="ListParagraph"/>
              <w:spacing w:after="0" w:line="240" w:lineRule="auto"/>
              <w:ind w:left="0"/>
              <w:contextualSpacing w:val="0"/>
              <w:rPr>
                <w:sz w:val="24"/>
                <w:szCs w:val="24"/>
              </w:rPr>
            </w:pPr>
            <w:r>
              <w:rPr>
                <w:sz w:val="24"/>
                <w:szCs w:val="24"/>
              </w:rPr>
              <w:t xml:space="preserve">Adult </w:t>
            </w:r>
            <w:r w:rsidRPr="00E537D3" w:rsidR="005B5E23">
              <w:rPr>
                <w:sz w:val="24"/>
                <w:szCs w:val="24"/>
              </w:rPr>
              <w:t xml:space="preserve">General </w:t>
            </w:r>
            <w:r w:rsidR="00766A96">
              <w:rPr>
                <w:sz w:val="24"/>
                <w:szCs w:val="24"/>
              </w:rPr>
              <w:t>S</w:t>
            </w:r>
            <w:r w:rsidRPr="00E537D3" w:rsidR="005B5E23">
              <w:rPr>
                <w:sz w:val="24"/>
                <w:szCs w:val="24"/>
              </w:rPr>
              <w:t>urgical</w:t>
            </w:r>
          </w:p>
          <w:p w:rsidRPr="00E537D3" w:rsidR="005B5E23" w:rsidP="00E0163C" w:rsidRDefault="006825BE" w14:paraId="4F6EC145" w14:textId="483F76FD">
            <w:pPr>
              <w:pStyle w:val="ListParagraph"/>
              <w:spacing w:after="0" w:line="240" w:lineRule="auto"/>
              <w:ind w:left="0"/>
              <w:contextualSpacing w:val="0"/>
              <w:rPr>
                <w:sz w:val="24"/>
                <w:szCs w:val="24"/>
              </w:rPr>
            </w:pPr>
            <w:r>
              <w:rPr>
                <w:sz w:val="24"/>
                <w:szCs w:val="24"/>
              </w:rPr>
              <w:t xml:space="preserve"> </w:t>
            </w:r>
            <w:r w:rsidRPr="00E537D3" w:rsidR="005B5E23">
              <w:rPr>
                <w:sz w:val="24"/>
                <w:szCs w:val="24"/>
              </w:rPr>
              <w:t>(n, %)</w:t>
            </w:r>
          </w:p>
        </w:tc>
        <w:tc>
          <w:tcPr>
            <w:tcW w:w="1255" w:type="dxa"/>
          </w:tcPr>
          <w:p w:rsidRPr="00E537D3" w:rsidR="005B5E23" w:rsidP="00E0163C" w:rsidRDefault="005B5E23" w14:paraId="236F9450" w14:textId="5A15AC26">
            <w:pPr>
              <w:pStyle w:val="ListParagraph"/>
              <w:spacing w:after="0" w:line="240" w:lineRule="auto"/>
              <w:ind w:left="0"/>
              <w:contextualSpacing w:val="0"/>
              <w:rPr>
                <w:sz w:val="24"/>
                <w:szCs w:val="24"/>
              </w:rPr>
            </w:pPr>
            <w:r w:rsidRPr="00E537D3">
              <w:rPr>
                <w:sz w:val="24"/>
                <w:szCs w:val="24"/>
              </w:rPr>
              <w:t>P</w:t>
            </w:r>
            <w:r w:rsidR="00766A96">
              <w:rPr>
                <w:sz w:val="24"/>
                <w:szCs w:val="24"/>
              </w:rPr>
              <w:t>-</w:t>
            </w:r>
            <w:r w:rsidRPr="00E537D3">
              <w:rPr>
                <w:sz w:val="24"/>
                <w:szCs w:val="24"/>
              </w:rPr>
              <w:t>value</w:t>
            </w:r>
          </w:p>
        </w:tc>
      </w:tr>
      <w:tr w:rsidRPr="00E537D3" w:rsidR="00E537D3" w:rsidTr="006825BE" w14:paraId="6BAE070E" w14:textId="0A997930">
        <w:tc>
          <w:tcPr>
            <w:tcW w:w="4988" w:type="dxa"/>
          </w:tcPr>
          <w:p w:rsidRPr="00E537D3" w:rsidR="005B5E23" w:rsidP="00E0163C" w:rsidRDefault="005B5E23" w14:paraId="176EA3AC" w14:textId="68518529">
            <w:r w:rsidRPr="00E537D3">
              <w:t>Patients are routinely assessed for VTE risk</w:t>
            </w:r>
          </w:p>
        </w:tc>
        <w:tc>
          <w:tcPr>
            <w:tcW w:w="1561" w:type="dxa"/>
          </w:tcPr>
          <w:p w:rsidRPr="00E537D3" w:rsidR="005B5E23" w:rsidP="00E0163C" w:rsidRDefault="005B5E23" w14:paraId="0A89B71C" w14:textId="77777777">
            <w:pPr>
              <w:pStyle w:val="ListParagraph"/>
              <w:spacing w:after="0" w:line="240" w:lineRule="auto"/>
              <w:ind w:left="0"/>
              <w:contextualSpacing w:val="0"/>
              <w:rPr>
                <w:sz w:val="24"/>
                <w:szCs w:val="24"/>
              </w:rPr>
            </w:pPr>
          </w:p>
        </w:tc>
        <w:tc>
          <w:tcPr>
            <w:tcW w:w="1551" w:type="dxa"/>
          </w:tcPr>
          <w:p w:rsidRPr="00E537D3" w:rsidR="005B5E23" w:rsidP="00E0163C" w:rsidRDefault="005B5E23" w14:paraId="6042546F" w14:textId="77777777">
            <w:pPr>
              <w:pStyle w:val="ListParagraph"/>
              <w:spacing w:after="0" w:line="240" w:lineRule="auto"/>
              <w:ind w:left="0"/>
              <w:contextualSpacing w:val="0"/>
              <w:rPr>
                <w:sz w:val="24"/>
                <w:szCs w:val="24"/>
              </w:rPr>
            </w:pPr>
          </w:p>
        </w:tc>
        <w:tc>
          <w:tcPr>
            <w:tcW w:w="1255" w:type="dxa"/>
          </w:tcPr>
          <w:p w:rsidRPr="00E537D3" w:rsidR="005B5E23" w:rsidP="00E0163C" w:rsidRDefault="005B5E23" w14:paraId="3CCADBC9" w14:textId="77777777">
            <w:pPr>
              <w:pStyle w:val="ListParagraph"/>
              <w:spacing w:after="0" w:line="240" w:lineRule="auto"/>
              <w:ind w:left="0"/>
              <w:contextualSpacing w:val="0"/>
              <w:rPr>
                <w:sz w:val="24"/>
                <w:szCs w:val="24"/>
              </w:rPr>
            </w:pPr>
          </w:p>
        </w:tc>
      </w:tr>
      <w:tr w:rsidRPr="00E537D3" w:rsidR="00E537D3" w:rsidTr="006825BE" w14:paraId="3AB1D197" w14:textId="4D5E9472">
        <w:tc>
          <w:tcPr>
            <w:tcW w:w="4988" w:type="dxa"/>
          </w:tcPr>
          <w:p w:rsidRPr="00E537D3" w:rsidR="005B5E23" w:rsidP="00E0163C" w:rsidRDefault="005B5E23" w14:paraId="540D90B7" w14:textId="1A6E707B">
            <w:pPr>
              <w:pStyle w:val="ListParagraph"/>
              <w:spacing w:after="0" w:line="240" w:lineRule="auto"/>
              <w:ind w:left="0"/>
              <w:contextualSpacing w:val="0"/>
              <w:rPr>
                <w:sz w:val="24"/>
                <w:szCs w:val="24"/>
              </w:rPr>
            </w:pPr>
            <w:r w:rsidRPr="00E537D3">
              <w:rPr>
                <w:sz w:val="24"/>
                <w:szCs w:val="24"/>
              </w:rPr>
              <w:t>VTE risk assessment is standardized</w:t>
            </w:r>
          </w:p>
        </w:tc>
        <w:tc>
          <w:tcPr>
            <w:tcW w:w="1561" w:type="dxa"/>
          </w:tcPr>
          <w:p w:rsidRPr="00E537D3" w:rsidR="005B5E23" w:rsidP="00E0163C" w:rsidRDefault="005B5E23" w14:paraId="27759FB0" w14:textId="77777777">
            <w:pPr>
              <w:pStyle w:val="ListParagraph"/>
              <w:spacing w:after="0" w:line="240" w:lineRule="auto"/>
              <w:ind w:left="0"/>
              <w:contextualSpacing w:val="0"/>
              <w:rPr>
                <w:sz w:val="24"/>
                <w:szCs w:val="24"/>
              </w:rPr>
            </w:pPr>
          </w:p>
        </w:tc>
        <w:tc>
          <w:tcPr>
            <w:tcW w:w="1551" w:type="dxa"/>
          </w:tcPr>
          <w:p w:rsidRPr="00E537D3" w:rsidR="005B5E23" w:rsidP="00E0163C" w:rsidRDefault="005B5E23" w14:paraId="667BE94B" w14:textId="77777777">
            <w:pPr>
              <w:pStyle w:val="ListParagraph"/>
              <w:spacing w:after="0" w:line="240" w:lineRule="auto"/>
              <w:ind w:left="0"/>
              <w:contextualSpacing w:val="0"/>
              <w:rPr>
                <w:sz w:val="24"/>
                <w:szCs w:val="24"/>
              </w:rPr>
            </w:pPr>
          </w:p>
        </w:tc>
        <w:tc>
          <w:tcPr>
            <w:tcW w:w="1255" w:type="dxa"/>
          </w:tcPr>
          <w:p w:rsidRPr="00E537D3" w:rsidR="005B5E23" w:rsidP="00E0163C" w:rsidRDefault="005B5E23" w14:paraId="4071BEDE" w14:textId="77777777">
            <w:pPr>
              <w:pStyle w:val="ListParagraph"/>
              <w:spacing w:after="0" w:line="240" w:lineRule="auto"/>
              <w:ind w:left="0"/>
              <w:contextualSpacing w:val="0"/>
              <w:rPr>
                <w:sz w:val="24"/>
                <w:szCs w:val="24"/>
              </w:rPr>
            </w:pPr>
          </w:p>
        </w:tc>
      </w:tr>
      <w:tr w:rsidRPr="00E537D3" w:rsidR="00E537D3" w:rsidTr="006825BE" w14:paraId="3B224224" w14:textId="66B4223D">
        <w:tc>
          <w:tcPr>
            <w:tcW w:w="4988" w:type="dxa"/>
          </w:tcPr>
          <w:p w:rsidRPr="00E537D3" w:rsidR="005B5E23" w:rsidP="00E0163C" w:rsidRDefault="005B5E23" w14:paraId="1A2D2990" w14:textId="19DDD875">
            <w:pPr>
              <w:pStyle w:val="ListParagraph"/>
              <w:spacing w:after="0" w:line="240" w:lineRule="auto"/>
              <w:ind w:left="0"/>
              <w:contextualSpacing w:val="0"/>
              <w:rPr>
                <w:sz w:val="24"/>
                <w:szCs w:val="24"/>
              </w:rPr>
            </w:pPr>
            <w:r w:rsidRPr="00E537D3">
              <w:rPr>
                <w:sz w:val="24"/>
                <w:szCs w:val="24"/>
              </w:rPr>
              <w:t>VTE risk assessment is mandatory on admission</w:t>
            </w:r>
          </w:p>
        </w:tc>
        <w:tc>
          <w:tcPr>
            <w:tcW w:w="1561" w:type="dxa"/>
          </w:tcPr>
          <w:p w:rsidRPr="00E537D3" w:rsidR="005B5E23" w:rsidP="00E0163C" w:rsidRDefault="005B5E23" w14:paraId="51A03F85" w14:textId="77777777">
            <w:pPr>
              <w:pStyle w:val="ListParagraph"/>
              <w:spacing w:after="0" w:line="240" w:lineRule="auto"/>
              <w:ind w:left="0"/>
              <w:contextualSpacing w:val="0"/>
              <w:rPr>
                <w:sz w:val="24"/>
                <w:szCs w:val="24"/>
              </w:rPr>
            </w:pPr>
          </w:p>
        </w:tc>
        <w:tc>
          <w:tcPr>
            <w:tcW w:w="1551" w:type="dxa"/>
          </w:tcPr>
          <w:p w:rsidRPr="00E537D3" w:rsidR="005B5E23" w:rsidP="00E0163C" w:rsidRDefault="005B5E23" w14:paraId="0BB1B2BA" w14:textId="77777777">
            <w:pPr>
              <w:pStyle w:val="ListParagraph"/>
              <w:spacing w:after="0" w:line="240" w:lineRule="auto"/>
              <w:ind w:left="0"/>
              <w:contextualSpacing w:val="0"/>
              <w:rPr>
                <w:sz w:val="24"/>
                <w:szCs w:val="24"/>
              </w:rPr>
            </w:pPr>
          </w:p>
        </w:tc>
        <w:tc>
          <w:tcPr>
            <w:tcW w:w="1255" w:type="dxa"/>
          </w:tcPr>
          <w:p w:rsidRPr="00E537D3" w:rsidR="005B5E23" w:rsidP="00E0163C" w:rsidRDefault="005B5E23" w14:paraId="279264F7" w14:textId="77777777">
            <w:pPr>
              <w:pStyle w:val="ListParagraph"/>
              <w:spacing w:after="0" w:line="240" w:lineRule="auto"/>
              <w:ind w:left="0"/>
              <w:contextualSpacing w:val="0"/>
              <w:rPr>
                <w:sz w:val="24"/>
                <w:szCs w:val="24"/>
              </w:rPr>
            </w:pPr>
          </w:p>
        </w:tc>
      </w:tr>
      <w:tr w:rsidRPr="00E537D3" w:rsidR="00E537D3" w:rsidTr="006825BE" w14:paraId="15063C0E" w14:textId="3638134D">
        <w:trPr>
          <w:trHeight w:val="413"/>
        </w:trPr>
        <w:tc>
          <w:tcPr>
            <w:tcW w:w="4988" w:type="dxa"/>
          </w:tcPr>
          <w:p w:rsidRPr="00E537D3" w:rsidR="005B5E23" w:rsidP="00E0163C" w:rsidRDefault="005B5E23" w14:paraId="38112E96" w14:textId="31D892E2">
            <w:pPr>
              <w:pStyle w:val="ListParagraph"/>
              <w:spacing w:after="0" w:line="240" w:lineRule="auto"/>
              <w:ind w:left="0"/>
              <w:contextualSpacing w:val="0"/>
              <w:rPr>
                <w:sz w:val="24"/>
                <w:szCs w:val="24"/>
              </w:rPr>
            </w:pPr>
            <w:r w:rsidRPr="00E537D3">
              <w:rPr>
                <w:sz w:val="24"/>
                <w:szCs w:val="24"/>
              </w:rPr>
              <w:t>Patients are routinely assessed for bleeding risk</w:t>
            </w:r>
          </w:p>
        </w:tc>
        <w:tc>
          <w:tcPr>
            <w:tcW w:w="1561" w:type="dxa"/>
          </w:tcPr>
          <w:p w:rsidRPr="00E537D3" w:rsidR="005B5E23" w:rsidP="00E0163C" w:rsidRDefault="005B5E23" w14:paraId="06350ED5" w14:textId="77777777">
            <w:pPr>
              <w:pStyle w:val="ListParagraph"/>
              <w:spacing w:after="0" w:line="240" w:lineRule="auto"/>
              <w:ind w:left="0"/>
              <w:contextualSpacing w:val="0"/>
              <w:rPr>
                <w:sz w:val="24"/>
                <w:szCs w:val="24"/>
              </w:rPr>
            </w:pPr>
          </w:p>
        </w:tc>
        <w:tc>
          <w:tcPr>
            <w:tcW w:w="1551" w:type="dxa"/>
          </w:tcPr>
          <w:p w:rsidRPr="00E537D3" w:rsidR="005B5E23" w:rsidP="00E0163C" w:rsidRDefault="005B5E23" w14:paraId="3C86A8CB" w14:textId="77777777">
            <w:pPr>
              <w:pStyle w:val="ListParagraph"/>
              <w:spacing w:after="0" w:line="240" w:lineRule="auto"/>
              <w:ind w:left="0"/>
              <w:contextualSpacing w:val="0"/>
              <w:rPr>
                <w:sz w:val="24"/>
                <w:szCs w:val="24"/>
              </w:rPr>
            </w:pPr>
          </w:p>
        </w:tc>
        <w:tc>
          <w:tcPr>
            <w:tcW w:w="1255" w:type="dxa"/>
          </w:tcPr>
          <w:p w:rsidRPr="00E537D3" w:rsidR="005B5E23" w:rsidP="00E0163C" w:rsidRDefault="005B5E23" w14:paraId="204933F6" w14:textId="77777777">
            <w:pPr>
              <w:pStyle w:val="ListParagraph"/>
              <w:spacing w:after="0" w:line="240" w:lineRule="auto"/>
              <w:ind w:left="0"/>
              <w:contextualSpacing w:val="0"/>
              <w:rPr>
                <w:sz w:val="24"/>
                <w:szCs w:val="24"/>
              </w:rPr>
            </w:pPr>
          </w:p>
        </w:tc>
      </w:tr>
      <w:tr w:rsidRPr="00E537D3" w:rsidR="00E537D3" w:rsidTr="006825BE" w14:paraId="3A11C4B4" w14:textId="335B26AE">
        <w:tc>
          <w:tcPr>
            <w:tcW w:w="4988" w:type="dxa"/>
          </w:tcPr>
          <w:p w:rsidRPr="00E537D3" w:rsidR="005B5E23" w:rsidP="00E0163C" w:rsidRDefault="005B5E23" w14:paraId="526C23D0" w14:textId="5C87AF82">
            <w:r w:rsidRPr="00E537D3">
              <w:t>Ambulation protocol</w:t>
            </w:r>
          </w:p>
        </w:tc>
        <w:tc>
          <w:tcPr>
            <w:tcW w:w="1561" w:type="dxa"/>
          </w:tcPr>
          <w:p w:rsidRPr="00E537D3" w:rsidR="005B5E23" w:rsidP="00E0163C" w:rsidRDefault="005B5E23" w14:paraId="19A6C8C4" w14:textId="77777777">
            <w:pPr>
              <w:pStyle w:val="ListParagraph"/>
              <w:spacing w:after="0" w:line="240" w:lineRule="auto"/>
              <w:ind w:left="0"/>
              <w:contextualSpacing w:val="0"/>
              <w:rPr>
                <w:sz w:val="24"/>
                <w:szCs w:val="24"/>
              </w:rPr>
            </w:pPr>
          </w:p>
        </w:tc>
        <w:tc>
          <w:tcPr>
            <w:tcW w:w="1551" w:type="dxa"/>
          </w:tcPr>
          <w:p w:rsidRPr="00E537D3" w:rsidR="005B5E23" w:rsidP="00E0163C" w:rsidRDefault="005B5E23" w14:paraId="2E70D7C1" w14:textId="77777777">
            <w:pPr>
              <w:pStyle w:val="ListParagraph"/>
              <w:spacing w:after="0" w:line="240" w:lineRule="auto"/>
              <w:ind w:left="0"/>
              <w:contextualSpacing w:val="0"/>
              <w:rPr>
                <w:sz w:val="24"/>
                <w:szCs w:val="24"/>
              </w:rPr>
            </w:pPr>
          </w:p>
        </w:tc>
        <w:tc>
          <w:tcPr>
            <w:tcW w:w="1255" w:type="dxa"/>
          </w:tcPr>
          <w:p w:rsidRPr="00E537D3" w:rsidR="005B5E23" w:rsidP="00E0163C" w:rsidRDefault="005B5E23" w14:paraId="4AE7B189" w14:textId="77777777">
            <w:pPr>
              <w:pStyle w:val="ListParagraph"/>
              <w:spacing w:after="0" w:line="240" w:lineRule="auto"/>
              <w:ind w:left="0"/>
              <w:contextualSpacing w:val="0"/>
              <w:rPr>
                <w:sz w:val="24"/>
                <w:szCs w:val="24"/>
              </w:rPr>
            </w:pPr>
          </w:p>
        </w:tc>
      </w:tr>
      <w:tr w:rsidRPr="00E537D3" w:rsidR="00E537D3" w:rsidTr="006825BE" w14:paraId="024CF924" w14:textId="3592A3D2">
        <w:tc>
          <w:tcPr>
            <w:tcW w:w="4988" w:type="dxa"/>
          </w:tcPr>
          <w:p w:rsidRPr="00E537D3" w:rsidR="005B5E23" w:rsidP="00E0163C" w:rsidRDefault="005B5E23" w14:paraId="7011F7C9" w14:textId="5C64EC09">
            <w:r w:rsidRPr="00E537D3">
              <w:t xml:space="preserve">VTE prevention education provided to clinicians </w:t>
            </w:r>
          </w:p>
        </w:tc>
        <w:tc>
          <w:tcPr>
            <w:tcW w:w="1561" w:type="dxa"/>
          </w:tcPr>
          <w:p w:rsidRPr="00E537D3" w:rsidR="005B5E23" w:rsidP="00E0163C" w:rsidRDefault="005B5E23" w14:paraId="7C5BDF50" w14:textId="77777777">
            <w:pPr>
              <w:pStyle w:val="ListParagraph"/>
              <w:spacing w:after="0" w:line="240" w:lineRule="auto"/>
              <w:ind w:left="0"/>
              <w:contextualSpacing w:val="0"/>
              <w:rPr>
                <w:sz w:val="24"/>
                <w:szCs w:val="24"/>
              </w:rPr>
            </w:pPr>
          </w:p>
        </w:tc>
        <w:tc>
          <w:tcPr>
            <w:tcW w:w="1551" w:type="dxa"/>
          </w:tcPr>
          <w:p w:rsidRPr="00E537D3" w:rsidR="005B5E23" w:rsidP="00E0163C" w:rsidRDefault="005B5E23" w14:paraId="6B9305A8" w14:textId="77777777">
            <w:pPr>
              <w:pStyle w:val="ListParagraph"/>
              <w:spacing w:after="0" w:line="240" w:lineRule="auto"/>
              <w:ind w:left="0"/>
              <w:contextualSpacing w:val="0"/>
              <w:rPr>
                <w:sz w:val="24"/>
                <w:szCs w:val="24"/>
              </w:rPr>
            </w:pPr>
          </w:p>
        </w:tc>
        <w:tc>
          <w:tcPr>
            <w:tcW w:w="1255" w:type="dxa"/>
          </w:tcPr>
          <w:p w:rsidRPr="00E537D3" w:rsidR="005B5E23" w:rsidP="00E0163C" w:rsidRDefault="005B5E23" w14:paraId="55A37AF7" w14:textId="77777777">
            <w:pPr>
              <w:pStyle w:val="ListParagraph"/>
              <w:spacing w:after="0" w:line="240" w:lineRule="auto"/>
              <w:ind w:left="0"/>
              <w:contextualSpacing w:val="0"/>
              <w:rPr>
                <w:sz w:val="24"/>
                <w:szCs w:val="24"/>
              </w:rPr>
            </w:pPr>
          </w:p>
        </w:tc>
      </w:tr>
      <w:tr w:rsidRPr="00E537D3" w:rsidR="00E537D3" w:rsidTr="006825BE" w14:paraId="72C90DE1" w14:textId="7BB14119">
        <w:tc>
          <w:tcPr>
            <w:tcW w:w="4988" w:type="dxa"/>
          </w:tcPr>
          <w:p w:rsidRPr="00E537D3" w:rsidR="005B5E23" w:rsidP="00E0163C" w:rsidRDefault="005B5E23" w14:paraId="44FF9517" w14:textId="26BFFEFF">
            <w:pPr>
              <w:pStyle w:val="ListParagraph"/>
              <w:spacing w:after="0" w:line="240" w:lineRule="auto"/>
              <w:ind w:left="0"/>
              <w:contextualSpacing w:val="0"/>
              <w:rPr>
                <w:sz w:val="24"/>
                <w:szCs w:val="24"/>
              </w:rPr>
            </w:pPr>
            <w:r w:rsidRPr="00E537D3">
              <w:t xml:space="preserve"> VTE prevention education provided to patients</w:t>
            </w:r>
          </w:p>
        </w:tc>
        <w:tc>
          <w:tcPr>
            <w:tcW w:w="1561" w:type="dxa"/>
          </w:tcPr>
          <w:p w:rsidRPr="00E537D3" w:rsidR="005B5E23" w:rsidP="00E0163C" w:rsidRDefault="005B5E23" w14:paraId="1C0770CB" w14:textId="77777777">
            <w:pPr>
              <w:pStyle w:val="ListParagraph"/>
              <w:spacing w:after="0" w:line="240" w:lineRule="auto"/>
              <w:ind w:left="0"/>
              <w:contextualSpacing w:val="0"/>
              <w:rPr>
                <w:sz w:val="24"/>
                <w:szCs w:val="24"/>
              </w:rPr>
            </w:pPr>
          </w:p>
        </w:tc>
        <w:tc>
          <w:tcPr>
            <w:tcW w:w="1551" w:type="dxa"/>
          </w:tcPr>
          <w:p w:rsidRPr="00E537D3" w:rsidR="005B5E23" w:rsidP="00E0163C" w:rsidRDefault="005B5E23" w14:paraId="647EE2A0" w14:textId="77777777">
            <w:pPr>
              <w:pStyle w:val="ListParagraph"/>
              <w:spacing w:after="0" w:line="240" w:lineRule="auto"/>
              <w:ind w:left="0"/>
              <w:contextualSpacing w:val="0"/>
              <w:rPr>
                <w:sz w:val="24"/>
                <w:szCs w:val="24"/>
              </w:rPr>
            </w:pPr>
          </w:p>
        </w:tc>
        <w:tc>
          <w:tcPr>
            <w:tcW w:w="1255" w:type="dxa"/>
          </w:tcPr>
          <w:p w:rsidRPr="00E537D3" w:rsidR="005B5E23" w:rsidP="00E0163C" w:rsidRDefault="005B5E23" w14:paraId="5A1B6773" w14:textId="77777777">
            <w:pPr>
              <w:pStyle w:val="ListParagraph"/>
              <w:spacing w:after="0" w:line="240" w:lineRule="auto"/>
              <w:ind w:left="0"/>
              <w:contextualSpacing w:val="0"/>
              <w:rPr>
                <w:sz w:val="24"/>
                <w:szCs w:val="24"/>
              </w:rPr>
            </w:pPr>
          </w:p>
        </w:tc>
      </w:tr>
      <w:tr w:rsidRPr="00E537D3" w:rsidR="00E537D3" w:rsidTr="006825BE" w14:paraId="3870ACE9" w14:textId="685C7AEB">
        <w:tc>
          <w:tcPr>
            <w:tcW w:w="4988" w:type="dxa"/>
          </w:tcPr>
          <w:p w:rsidRPr="00E537D3" w:rsidR="005B5E23" w:rsidP="00E0163C" w:rsidRDefault="005B5E23" w14:paraId="1823598C" w14:textId="2EA63B6E">
            <w:r w:rsidRPr="00E537D3">
              <w:t>Admission order sets address VTE prophylaxis</w:t>
            </w:r>
          </w:p>
        </w:tc>
        <w:tc>
          <w:tcPr>
            <w:tcW w:w="1561" w:type="dxa"/>
          </w:tcPr>
          <w:p w:rsidRPr="00E537D3" w:rsidR="005B5E23" w:rsidP="00E0163C" w:rsidRDefault="005B5E23" w14:paraId="1F2EFCD2" w14:textId="77777777">
            <w:pPr>
              <w:pStyle w:val="ListParagraph"/>
              <w:spacing w:after="0" w:line="240" w:lineRule="auto"/>
              <w:ind w:left="0"/>
              <w:contextualSpacing w:val="0"/>
              <w:rPr>
                <w:sz w:val="24"/>
                <w:szCs w:val="24"/>
              </w:rPr>
            </w:pPr>
          </w:p>
        </w:tc>
        <w:tc>
          <w:tcPr>
            <w:tcW w:w="1551" w:type="dxa"/>
          </w:tcPr>
          <w:p w:rsidRPr="00E537D3" w:rsidR="005B5E23" w:rsidP="00E0163C" w:rsidRDefault="005B5E23" w14:paraId="68A5B72A" w14:textId="77777777">
            <w:pPr>
              <w:pStyle w:val="ListParagraph"/>
              <w:spacing w:after="0" w:line="240" w:lineRule="auto"/>
              <w:ind w:left="0"/>
              <w:contextualSpacing w:val="0"/>
              <w:rPr>
                <w:sz w:val="24"/>
                <w:szCs w:val="24"/>
              </w:rPr>
            </w:pPr>
          </w:p>
        </w:tc>
        <w:tc>
          <w:tcPr>
            <w:tcW w:w="1255" w:type="dxa"/>
          </w:tcPr>
          <w:p w:rsidRPr="00E537D3" w:rsidR="005B5E23" w:rsidP="00E0163C" w:rsidRDefault="005B5E23" w14:paraId="3EE488E6" w14:textId="77777777">
            <w:pPr>
              <w:pStyle w:val="ListParagraph"/>
              <w:spacing w:after="0" w:line="240" w:lineRule="auto"/>
              <w:ind w:left="0"/>
              <w:contextualSpacing w:val="0"/>
              <w:rPr>
                <w:sz w:val="24"/>
                <w:szCs w:val="24"/>
              </w:rPr>
            </w:pPr>
          </w:p>
        </w:tc>
      </w:tr>
      <w:tr w:rsidRPr="00E537D3" w:rsidR="00E537D3" w:rsidTr="006825BE" w14:paraId="6D8D884E" w14:textId="6064BF3D">
        <w:tc>
          <w:tcPr>
            <w:tcW w:w="4988" w:type="dxa"/>
          </w:tcPr>
          <w:p w:rsidRPr="00E537D3" w:rsidR="005B5E23" w:rsidP="00E0163C" w:rsidRDefault="005B5E23" w14:paraId="59C0EE34" w14:textId="2A013223">
            <w:pPr>
              <w:pStyle w:val="ListParagraph"/>
              <w:spacing w:after="0" w:line="240" w:lineRule="auto"/>
              <w:ind w:left="0"/>
              <w:contextualSpacing w:val="0"/>
              <w:rPr>
                <w:sz w:val="24"/>
                <w:szCs w:val="24"/>
              </w:rPr>
            </w:pPr>
            <w:r w:rsidRPr="00E537D3">
              <w:rPr>
                <w:sz w:val="24"/>
                <w:szCs w:val="24"/>
              </w:rPr>
              <w:t>Clinical decision support tools guide selection of appropriate VTE prophylaxis</w:t>
            </w:r>
          </w:p>
        </w:tc>
        <w:tc>
          <w:tcPr>
            <w:tcW w:w="1561" w:type="dxa"/>
          </w:tcPr>
          <w:p w:rsidRPr="00E537D3" w:rsidR="005B5E23" w:rsidP="00E0163C" w:rsidRDefault="005B5E23" w14:paraId="597F3926" w14:textId="77777777">
            <w:pPr>
              <w:pStyle w:val="ListParagraph"/>
              <w:spacing w:after="0" w:line="240" w:lineRule="auto"/>
              <w:ind w:left="0"/>
              <w:contextualSpacing w:val="0"/>
              <w:rPr>
                <w:sz w:val="24"/>
                <w:szCs w:val="24"/>
              </w:rPr>
            </w:pPr>
          </w:p>
        </w:tc>
        <w:tc>
          <w:tcPr>
            <w:tcW w:w="1551" w:type="dxa"/>
          </w:tcPr>
          <w:p w:rsidRPr="00E537D3" w:rsidR="005B5E23" w:rsidP="00E0163C" w:rsidRDefault="005B5E23" w14:paraId="00C0551A" w14:textId="77777777">
            <w:pPr>
              <w:pStyle w:val="ListParagraph"/>
              <w:spacing w:after="0" w:line="240" w:lineRule="auto"/>
              <w:ind w:left="0"/>
              <w:contextualSpacing w:val="0"/>
              <w:rPr>
                <w:sz w:val="24"/>
                <w:szCs w:val="24"/>
              </w:rPr>
            </w:pPr>
          </w:p>
        </w:tc>
        <w:tc>
          <w:tcPr>
            <w:tcW w:w="1255" w:type="dxa"/>
          </w:tcPr>
          <w:p w:rsidRPr="00E537D3" w:rsidR="005B5E23" w:rsidP="00E0163C" w:rsidRDefault="005B5E23" w14:paraId="14095F47" w14:textId="77777777">
            <w:pPr>
              <w:pStyle w:val="ListParagraph"/>
              <w:spacing w:after="0" w:line="240" w:lineRule="auto"/>
              <w:ind w:left="0"/>
              <w:contextualSpacing w:val="0"/>
              <w:rPr>
                <w:sz w:val="24"/>
                <w:szCs w:val="24"/>
              </w:rPr>
            </w:pPr>
          </w:p>
        </w:tc>
      </w:tr>
      <w:tr w:rsidRPr="00E537D3" w:rsidR="00E537D3" w:rsidTr="006825BE" w14:paraId="1A70F298" w14:textId="4698F1A5">
        <w:tc>
          <w:tcPr>
            <w:tcW w:w="4988" w:type="dxa"/>
          </w:tcPr>
          <w:p w:rsidRPr="00E537D3" w:rsidR="005B5E23" w:rsidP="00E0163C" w:rsidRDefault="005B5E23" w14:paraId="1F600662" w14:textId="0AED22CA">
            <w:r w:rsidRPr="00E537D3">
              <w:t>VTE prophylaxis monitoring and support are integrated into quality and safety checklists</w:t>
            </w:r>
          </w:p>
        </w:tc>
        <w:tc>
          <w:tcPr>
            <w:tcW w:w="1561" w:type="dxa"/>
          </w:tcPr>
          <w:p w:rsidRPr="00E537D3" w:rsidR="005B5E23" w:rsidP="00E0163C" w:rsidRDefault="005B5E23" w14:paraId="41E191C0" w14:textId="77777777">
            <w:pPr>
              <w:pStyle w:val="ListParagraph"/>
              <w:spacing w:after="0" w:line="240" w:lineRule="auto"/>
              <w:ind w:left="0"/>
              <w:contextualSpacing w:val="0"/>
              <w:rPr>
                <w:sz w:val="24"/>
                <w:szCs w:val="24"/>
              </w:rPr>
            </w:pPr>
          </w:p>
        </w:tc>
        <w:tc>
          <w:tcPr>
            <w:tcW w:w="1551" w:type="dxa"/>
          </w:tcPr>
          <w:p w:rsidRPr="00E537D3" w:rsidR="005B5E23" w:rsidP="00E0163C" w:rsidRDefault="005B5E23" w14:paraId="05A15CC7" w14:textId="77777777">
            <w:pPr>
              <w:pStyle w:val="ListParagraph"/>
              <w:spacing w:after="0" w:line="240" w:lineRule="auto"/>
              <w:ind w:left="0"/>
              <w:contextualSpacing w:val="0"/>
              <w:rPr>
                <w:sz w:val="24"/>
                <w:szCs w:val="24"/>
              </w:rPr>
            </w:pPr>
          </w:p>
        </w:tc>
        <w:tc>
          <w:tcPr>
            <w:tcW w:w="1255" w:type="dxa"/>
          </w:tcPr>
          <w:p w:rsidRPr="00E537D3" w:rsidR="005B5E23" w:rsidP="00E0163C" w:rsidRDefault="005B5E23" w14:paraId="747B3263" w14:textId="77777777">
            <w:pPr>
              <w:pStyle w:val="ListParagraph"/>
              <w:spacing w:after="0" w:line="240" w:lineRule="auto"/>
              <w:ind w:left="0"/>
              <w:contextualSpacing w:val="0"/>
              <w:rPr>
                <w:sz w:val="24"/>
                <w:szCs w:val="24"/>
              </w:rPr>
            </w:pPr>
          </w:p>
        </w:tc>
      </w:tr>
      <w:tr w:rsidRPr="00E537D3" w:rsidR="00E537D3" w:rsidTr="006825BE" w14:paraId="0C488BED" w14:textId="3548EBF0">
        <w:tc>
          <w:tcPr>
            <w:tcW w:w="4988" w:type="dxa"/>
          </w:tcPr>
          <w:p w:rsidRPr="00E537D3" w:rsidR="005B5E23" w:rsidP="00E0163C" w:rsidRDefault="005B5E23" w14:paraId="03D934AB" w14:textId="465C4A18">
            <w:pPr>
              <w:pStyle w:val="ListParagraph"/>
              <w:spacing w:after="0" w:line="240" w:lineRule="auto"/>
              <w:ind w:left="0"/>
              <w:contextualSpacing w:val="0"/>
              <w:rPr>
                <w:sz w:val="24"/>
                <w:szCs w:val="24"/>
              </w:rPr>
            </w:pPr>
            <w:r w:rsidRPr="00E537D3">
              <w:rPr>
                <w:sz w:val="24"/>
                <w:szCs w:val="24"/>
              </w:rPr>
              <w:t>VTE risk assessment or prophylaxis reminders/alerts</w:t>
            </w:r>
          </w:p>
        </w:tc>
        <w:tc>
          <w:tcPr>
            <w:tcW w:w="1561" w:type="dxa"/>
          </w:tcPr>
          <w:p w:rsidRPr="00E537D3" w:rsidR="005B5E23" w:rsidP="00E0163C" w:rsidRDefault="005B5E23" w14:paraId="3EC6343A" w14:textId="77777777">
            <w:pPr>
              <w:pStyle w:val="ListParagraph"/>
              <w:spacing w:after="0" w:line="240" w:lineRule="auto"/>
              <w:ind w:left="0"/>
              <w:contextualSpacing w:val="0"/>
              <w:rPr>
                <w:sz w:val="24"/>
                <w:szCs w:val="24"/>
              </w:rPr>
            </w:pPr>
          </w:p>
        </w:tc>
        <w:tc>
          <w:tcPr>
            <w:tcW w:w="1551" w:type="dxa"/>
          </w:tcPr>
          <w:p w:rsidRPr="00E537D3" w:rsidR="005B5E23" w:rsidP="00E0163C" w:rsidRDefault="005B5E23" w14:paraId="54CE6013" w14:textId="77777777">
            <w:pPr>
              <w:pStyle w:val="ListParagraph"/>
              <w:spacing w:after="0" w:line="240" w:lineRule="auto"/>
              <w:ind w:left="0"/>
              <w:contextualSpacing w:val="0"/>
              <w:rPr>
                <w:sz w:val="24"/>
                <w:szCs w:val="24"/>
              </w:rPr>
            </w:pPr>
          </w:p>
        </w:tc>
        <w:tc>
          <w:tcPr>
            <w:tcW w:w="1255" w:type="dxa"/>
          </w:tcPr>
          <w:p w:rsidRPr="00E537D3" w:rsidR="005B5E23" w:rsidP="00E0163C" w:rsidRDefault="005B5E23" w14:paraId="49902649" w14:textId="77777777">
            <w:pPr>
              <w:pStyle w:val="ListParagraph"/>
              <w:spacing w:after="0" w:line="240" w:lineRule="auto"/>
              <w:ind w:left="0"/>
              <w:contextualSpacing w:val="0"/>
              <w:rPr>
                <w:sz w:val="24"/>
                <w:szCs w:val="24"/>
              </w:rPr>
            </w:pPr>
          </w:p>
        </w:tc>
      </w:tr>
      <w:tr w:rsidRPr="00E537D3" w:rsidR="00E537D3" w:rsidTr="006825BE" w14:paraId="5F9A60FD" w14:textId="3A199F07">
        <w:tc>
          <w:tcPr>
            <w:tcW w:w="4988" w:type="dxa"/>
          </w:tcPr>
          <w:p w:rsidRPr="00E537D3" w:rsidR="005B5E23" w:rsidP="00E0163C" w:rsidRDefault="005B5E23" w14:paraId="0631FF3E" w14:textId="702A122C">
            <w:pPr>
              <w:pStyle w:val="ListParagraph"/>
              <w:spacing w:after="0" w:line="240" w:lineRule="auto"/>
              <w:ind w:left="0"/>
              <w:contextualSpacing w:val="0"/>
              <w:rPr>
                <w:sz w:val="24"/>
                <w:szCs w:val="24"/>
              </w:rPr>
            </w:pPr>
            <w:r w:rsidRPr="00E537D3">
              <w:rPr>
                <w:sz w:val="24"/>
                <w:szCs w:val="24"/>
              </w:rPr>
              <w:t>VTE prophylaxis audits and feedback</w:t>
            </w:r>
          </w:p>
        </w:tc>
        <w:tc>
          <w:tcPr>
            <w:tcW w:w="1561" w:type="dxa"/>
          </w:tcPr>
          <w:p w:rsidRPr="00E537D3" w:rsidR="005B5E23" w:rsidP="00E0163C" w:rsidRDefault="005B5E23" w14:paraId="47198E6B" w14:textId="77777777">
            <w:pPr>
              <w:pStyle w:val="ListParagraph"/>
              <w:spacing w:after="0" w:line="240" w:lineRule="auto"/>
              <w:ind w:left="0"/>
              <w:contextualSpacing w:val="0"/>
              <w:rPr>
                <w:sz w:val="24"/>
                <w:szCs w:val="24"/>
              </w:rPr>
            </w:pPr>
          </w:p>
        </w:tc>
        <w:tc>
          <w:tcPr>
            <w:tcW w:w="1551" w:type="dxa"/>
          </w:tcPr>
          <w:p w:rsidRPr="00E537D3" w:rsidR="005B5E23" w:rsidP="00E0163C" w:rsidRDefault="005B5E23" w14:paraId="3A796EBF" w14:textId="77777777">
            <w:pPr>
              <w:pStyle w:val="ListParagraph"/>
              <w:spacing w:after="0" w:line="240" w:lineRule="auto"/>
              <w:ind w:left="0"/>
              <w:contextualSpacing w:val="0"/>
              <w:rPr>
                <w:sz w:val="24"/>
                <w:szCs w:val="24"/>
              </w:rPr>
            </w:pPr>
          </w:p>
        </w:tc>
        <w:tc>
          <w:tcPr>
            <w:tcW w:w="1255" w:type="dxa"/>
          </w:tcPr>
          <w:p w:rsidRPr="00E537D3" w:rsidR="005B5E23" w:rsidP="00E0163C" w:rsidRDefault="005B5E23" w14:paraId="03F6A796" w14:textId="77777777">
            <w:pPr>
              <w:pStyle w:val="ListParagraph"/>
              <w:spacing w:after="0" w:line="240" w:lineRule="auto"/>
              <w:ind w:left="0"/>
              <w:contextualSpacing w:val="0"/>
              <w:rPr>
                <w:sz w:val="24"/>
                <w:szCs w:val="24"/>
              </w:rPr>
            </w:pPr>
          </w:p>
        </w:tc>
      </w:tr>
    </w:tbl>
    <w:p w:rsidR="006825BE" w:rsidP="00E0163C" w:rsidRDefault="006825BE" w14:paraId="30D318CD" w14:textId="77777777">
      <w:pPr>
        <w:pStyle w:val="ListParagraph"/>
        <w:spacing w:after="0" w:line="240" w:lineRule="auto"/>
        <w:contextualSpacing w:val="0"/>
        <w:rPr>
          <w:sz w:val="24"/>
          <w:szCs w:val="24"/>
        </w:rPr>
      </w:pPr>
    </w:p>
    <w:p w:rsidRPr="00E537D3" w:rsidR="00FB12E0" w:rsidP="00E0163C" w:rsidRDefault="00FB12E0" w14:paraId="747E9260" w14:textId="1E320B5B">
      <w:pPr>
        <w:pStyle w:val="ListParagraph"/>
        <w:numPr>
          <w:ilvl w:val="0"/>
          <w:numId w:val="29"/>
        </w:numPr>
        <w:spacing w:after="0" w:line="240" w:lineRule="auto"/>
        <w:contextualSpacing w:val="0"/>
        <w:rPr>
          <w:sz w:val="24"/>
          <w:szCs w:val="24"/>
        </w:rPr>
      </w:pPr>
      <w:r w:rsidRPr="00E537D3">
        <w:rPr>
          <w:sz w:val="24"/>
          <w:szCs w:val="24"/>
        </w:rPr>
        <w:t xml:space="preserve">Draft report: This report will include descriptive findings of VTE prevention practices in U.S. hospitals as reported by </w:t>
      </w:r>
      <w:r w:rsidR="00E21BFA">
        <w:rPr>
          <w:sz w:val="24"/>
          <w:szCs w:val="24"/>
        </w:rPr>
        <w:t xml:space="preserve">participating </w:t>
      </w:r>
      <w:r w:rsidRPr="00E537D3">
        <w:rPr>
          <w:sz w:val="24"/>
          <w:szCs w:val="24"/>
        </w:rPr>
        <w:t xml:space="preserve">hospitals. It will also include an analysis describing the extent to which U.S hospitals utilize standardized risk assessment and related practices in their VTE prevention activities. </w:t>
      </w:r>
    </w:p>
    <w:p w:rsidRPr="00E537D3" w:rsidR="00FB12E0" w:rsidP="00E0163C" w:rsidRDefault="00FB12E0" w14:paraId="36C265F6" w14:textId="77777777">
      <w:pPr>
        <w:pStyle w:val="ListParagraph"/>
        <w:spacing w:after="0" w:line="240" w:lineRule="auto"/>
        <w:contextualSpacing w:val="0"/>
        <w:rPr>
          <w:sz w:val="24"/>
          <w:szCs w:val="24"/>
        </w:rPr>
      </w:pPr>
    </w:p>
    <w:p w:rsidRPr="00040751" w:rsidR="00FB12E0" w:rsidP="00E0163C" w:rsidRDefault="00FB12E0" w14:paraId="5ACE5639" w14:textId="563BA017">
      <w:pPr>
        <w:pStyle w:val="ListParagraph"/>
        <w:numPr>
          <w:ilvl w:val="0"/>
          <w:numId w:val="29"/>
        </w:numPr>
        <w:spacing w:after="0" w:line="240" w:lineRule="auto"/>
        <w:contextualSpacing w:val="0"/>
        <w:rPr>
          <w:sz w:val="24"/>
          <w:szCs w:val="24"/>
        </w:rPr>
      </w:pPr>
      <w:r w:rsidRPr="00FB12E0">
        <w:rPr>
          <w:sz w:val="24"/>
          <w:szCs w:val="24"/>
        </w:rPr>
        <w:t>Final report: This report will include the background, methods, results, discussion</w:t>
      </w:r>
      <w:r w:rsidR="00577796">
        <w:rPr>
          <w:sz w:val="24"/>
          <w:szCs w:val="24"/>
        </w:rPr>
        <w:t>,</w:t>
      </w:r>
      <w:r w:rsidR="006825BE">
        <w:rPr>
          <w:sz w:val="24"/>
          <w:szCs w:val="24"/>
        </w:rPr>
        <w:t xml:space="preserve"> and </w:t>
      </w:r>
      <w:r w:rsidRPr="00FB12E0">
        <w:rPr>
          <w:sz w:val="24"/>
          <w:szCs w:val="24"/>
        </w:rPr>
        <w:t>conclusions</w:t>
      </w:r>
      <w:r w:rsidRPr="00E537D3">
        <w:t>.</w:t>
      </w:r>
    </w:p>
    <w:p w:rsidRPr="00040751" w:rsidR="00040751" w:rsidP="00040751" w:rsidRDefault="00040751" w14:paraId="487968AC" w14:textId="77777777"/>
    <w:p w:rsidRPr="001120EA" w:rsidR="00873BFC" w:rsidP="00C1015F" w:rsidRDefault="00873BFC" w14:paraId="163B021B" w14:textId="77777777">
      <w:pPr>
        <w:rPr>
          <w:b/>
          <w:i/>
          <w:u w:val="single"/>
        </w:rPr>
      </w:pPr>
      <w:r w:rsidRPr="001120EA">
        <w:rPr>
          <w:b/>
          <w:i/>
          <w:u w:val="single"/>
        </w:rPr>
        <w:t>Section A.17. Reason(s) Display of OMB Expiration Date Is Inappropriate</w:t>
      </w:r>
    </w:p>
    <w:p w:rsidRPr="001120EA" w:rsidR="00873BFC" w:rsidP="00E0163C" w:rsidRDefault="00873BFC" w14:paraId="163B021C" w14:textId="77777777">
      <w:pPr>
        <w:ind w:left="360"/>
      </w:pPr>
      <w:r w:rsidRPr="001120EA">
        <w:t xml:space="preserve"> </w:t>
      </w:r>
    </w:p>
    <w:p w:rsidRPr="00E537D3" w:rsidR="004C48B0" w:rsidP="00E0163C" w:rsidRDefault="004F21EF" w14:paraId="163B021E" w14:textId="75972DA7">
      <w:pPr>
        <w:pStyle w:val="BodyText"/>
        <w:tabs>
          <w:tab w:val="left" w:pos="0"/>
          <w:tab w:val="left" w:pos="864"/>
          <w:tab w:val="left" w:pos="1584"/>
          <w:tab w:val="left" w:pos="6192"/>
          <w:tab w:val="left" w:pos="6480"/>
          <w:tab w:val="left" w:pos="7200"/>
          <w:tab w:val="left" w:pos="7920"/>
          <w:tab w:val="left" w:pos="8640"/>
          <w:tab w:val="left" w:pos="9360"/>
        </w:tabs>
        <w:jc w:val="both"/>
      </w:pPr>
      <w:r w:rsidRPr="00E537D3">
        <w:rPr>
          <w:sz w:val="24"/>
          <w:szCs w:val="24"/>
        </w:rPr>
        <w:t xml:space="preserve">       </w:t>
      </w:r>
      <w:r w:rsidRPr="00E537D3" w:rsidR="006950D8">
        <w:t>The display of the OMB expiration date is not inappropriate</w:t>
      </w:r>
      <w:r w:rsidRPr="00E537D3" w:rsidR="00EA2313">
        <w:rPr>
          <w:sz w:val="24"/>
          <w:szCs w:val="24"/>
          <w:shd w:val="clear" w:color="auto" w:fill="FAF9F8"/>
        </w:rPr>
        <w:t xml:space="preserve">. </w:t>
      </w:r>
    </w:p>
    <w:p w:rsidR="005E0607" w:rsidP="00E0163C" w:rsidRDefault="005E0607" w14:paraId="25F3E850" w14:textId="77777777">
      <w:pPr>
        <w:ind w:left="360"/>
        <w:rPr>
          <w:b/>
          <w:i/>
          <w:u w:val="single"/>
        </w:rPr>
      </w:pPr>
    </w:p>
    <w:p w:rsidRPr="001120EA" w:rsidR="00873BFC" w:rsidP="00C1015F" w:rsidRDefault="00873BFC" w14:paraId="163B0221" w14:textId="3B0E12CC">
      <w:pPr>
        <w:rPr>
          <w:b/>
          <w:i/>
          <w:u w:val="single"/>
        </w:rPr>
      </w:pPr>
      <w:r w:rsidRPr="001120EA">
        <w:rPr>
          <w:b/>
          <w:i/>
          <w:u w:val="single"/>
        </w:rPr>
        <w:t>Section A.18. Exceptions to Certification for Paperwork Reduction Act Submissions</w:t>
      </w:r>
    </w:p>
    <w:p w:rsidRPr="001120EA" w:rsidR="00873BFC" w:rsidP="00E0163C" w:rsidRDefault="00873BFC" w14:paraId="163B0222" w14:textId="77777777"/>
    <w:p w:rsidR="009C322E" w:rsidP="00E0163C" w:rsidRDefault="00B23ED6" w14:paraId="163B0224" w14:textId="745D9CA3">
      <w:pPr>
        <w:ind w:left="360"/>
      </w:pPr>
      <w:r>
        <w:t>There are no exceptions to the certification.</w:t>
      </w:r>
    </w:p>
    <w:p w:rsidRPr="000000E3" w:rsidR="00B14872" w:rsidP="00E0163C" w:rsidRDefault="007D4F99" w14:paraId="61DEC4A7" w14:textId="18F2BC76">
      <w:pPr>
        <w:pStyle w:val="Default"/>
        <w:rPr>
          <w:b/>
          <w:bCs/>
        </w:rPr>
      </w:pPr>
      <w:r w:rsidRPr="000000E3">
        <w:rPr>
          <w:b/>
          <w:bCs/>
        </w:rPr>
        <w:lastRenderedPageBreak/>
        <w:t xml:space="preserve">References: </w:t>
      </w:r>
    </w:p>
    <w:p w:rsidRPr="00B57744" w:rsidR="00B14872" w:rsidP="00E0163C" w:rsidRDefault="00B14872" w14:paraId="3A2B26B7" w14:textId="77777777">
      <w:pPr>
        <w:pStyle w:val="ListParagraph"/>
        <w:numPr>
          <w:ilvl w:val="0"/>
          <w:numId w:val="33"/>
        </w:numPr>
        <w:spacing w:after="0" w:line="240" w:lineRule="auto"/>
        <w:contextualSpacing w:val="0"/>
        <w:rPr>
          <w:sz w:val="24"/>
          <w:szCs w:val="24"/>
        </w:rPr>
      </w:pPr>
      <w:r w:rsidRPr="00B57744">
        <w:rPr>
          <w:sz w:val="24"/>
          <w:szCs w:val="24"/>
        </w:rPr>
        <w:t xml:space="preserve">CDC (2019a). “Learn About Healthcare-Associated Venous Thromboembolism”. Retrieved on January 29, 2020 from: </w:t>
      </w:r>
      <w:hyperlink r:id="rId28">
        <w:r w:rsidRPr="00B57744">
          <w:rPr>
            <w:sz w:val="24"/>
            <w:szCs w:val="24"/>
          </w:rPr>
          <w:t>https://www.cdc.gov/ncbddd/dvt/ha-vte.html</w:t>
        </w:r>
      </w:hyperlink>
    </w:p>
    <w:p w:rsidRPr="00B57744" w:rsidR="00B14872" w:rsidP="00E0163C" w:rsidRDefault="00B14872" w14:paraId="24791179" w14:textId="77777777">
      <w:pPr>
        <w:pStyle w:val="ListParagraph"/>
        <w:numPr>
          <w:ilvl w:val="0"/>
          <w:numId w:val="33"/>
        </w:numPr>
        <w:spacing w:after="0" w:line="240" w:lineRule="auto"/>
        <w:contextualSpacing w:val="0"/>
        <w:rPr>
          <w:sz w:val="24"/>
          <w:szCs w:val="24"/>
        </w:rPr>
      </w:pPr>
      <w:r w:rsidRPr="00B57744">
        <w:rPr>
          <w:sz w:val="24"/>
          <w:szCs w:val="24"/>
        </w:rPr>
        <w:t xml:space="preserve">CDC (2019b). “Deep Vein Thrombosis &amp; Pulmonary Embolism”. Retrieved on January 29, 2020 from: </w:t>
      </w:r>
      <w:hyperlink r:id="rId29">
        <w:r w:rsidRPr="00B57744">
          <w:rPr>
            <w:sz w:val="24"/>
            <w:szCs w:val="24"/>
          </w:rPr>
          <w:t>https://wwwnc.cdc.gov/travel/yellowbook/2020/travel-by-air-land-sea/deep-vein-thrombosis-and-pulmonary-embolism</w:t>
        </w:r>
      </w:hyperlink>
    </w:p>
    <w:p w:rsidRPr="001120EA" w:rsidR="00B14872" w:rsidP="00E0163C" w:rsidRDefault="00B14872" w14:paraId="53A02460" w14:textId="77777777">
      <w:pPr>
        <w:pStyle w:val="ListParagraph"/>
        <w:numPr>
          <w:ilvl w:val="0"/>
          <w:numId w:val="33"/>
        </w:numPr>
        <w:spacing w:after="0" w:line="240" w:lineRule="auto"/>
        <w:contextualSpacing w:val="0"/>
        <w:jc w:val="both"/>
        <w:rPr>
          <w:sz w:val="24"/>
          <w:szCs w:val="24"/>
        </w:rPr>
      </w:pPr>
      <w:r w:rsidRPr="001120EA">
        <w:rPr>
          <w:sz w:val="24"/>
          <w:szCs w:val="24"/>
        </w:rPr>
        <w:t xml:space="preserve">Kahn, S.R., Morrison, D.R., Cohen, J.M., Emed J., Tagalakis, V., Roussin, A., and Geerts, W. (2013). Interventions for implementation of thromboprophylaxis in hospitalized medical and surgical patients at risk for venous thromboembolism. </w:t>
      </w:r>
      <w:r w:rsidRPr="001120EA">
        <w:rPr>
          <w:i/>
          <w:iCs/>
          <w:sz w:val="24"/>
          <w:szCs w:val="24"/>
        </w:rPr>
        <w:t>Cochrane Database of Systematic Reviews, 7</w:t>
      </w:r>
      <w:r w:rsidRPr="001120EA">
        <w:rPr>
          <w:sz w:val="24"/>
          <w:szCs w:val="24"/>
        </w:rPr>
        <w:t>(CD008201). DOI: 10. 1002/14651858.CD008201.pub2.</w:t>
      </w:r>
    </w:p>
    <w:p w:rsidR="00B14872" w:rsidP="00E0163C" w:rsidRDefault="00B14872" w14:paraId="41A05369" w14:textId="77777777">
      <w:pPr>
        <w:pStyle w:val="ListParagraph"/>
        <w:numPr>
          <w:ilvl w:val="0"/>
          <w:numId w:val="33"/>
        </w:numPr>
        <w:spacing w:after="0" w:line="240" w:lineRule="auto"/>
        <w:contextualSpacing w:val="0"/>
        <w:rPr>
          <w:sz w:val="24"/>
          <w:szCs w:val="24"/>
        </w:rPr>
      </w:pPr>
      <w:r w:rsidRPr="001120EA">
        <w:rPr>
          <w:sz w:val="24"/>
          <w:szCs w:val="24"/>
        </w:rPr>
        <w:t xml:space="preserve">Maynard G. (2016). </w:t>
      </w:r>
      <w:r w:rsidRPr="001120EA">
        <w:rPr>
          <w:i/>
          <w:iCs/>
          <w:sz w:val="24"/>
          <w:szCs w:val="24"/>
        </w:rPr>
        <w:t>Preventing hospital-associated venous thromboembolism: a guide for effective quality improvement (2</w:t>
      </w:r>
      <w:r w:rsidRPr="001120EA">
        <w:rPr>
          <w:i/>
          <w:iCs/>
          <w:sz w:val="24"/>
          <w:szCs w:val="24"/>
          <w:vertAlign w:val="superscript"/>
        </w:rPr>
        <w:t>nd</w:t>
      </w:r>
      <w:r w:rsidRPr="001120EA">
        <w:rPr>
          <w:i/>
          <w:iCs/>
          <w:sz w:val="24"/>
          <w:szCs w:val="24"/>
        </w:rPr>
        <w:t xml:space="preserve"> ed</w:t>
      </w:r>
      <w:r w:rsidRPr="001120EA">
        <w:rPr>
          <w:sz w:val="24"/>
          <w:szCs w:val="24"/>
        </w:rPr>
        <w:t xml:space="preserve">.). </w:t>
      </w:r>
      <w:r w:rsidRPr="001120EA">
        <w:rPr>
          <w:rFonts w:eastAsia="Arial"/>
          <w:sz w:val="24"/>
          <w:szCs w:val="24"/>
        </w:rPr>
        <w:t>AHRQ Publication No. 16–001-EF.</w:t>
      </w:r>
      <w:r w:rsidRPr="001120EA">
        <w:rPr>
          <w:sz w:val="24"/>
          <w:szCs w:val="24"/>
        </w:rPr>
        <w:t xml:space="preserve"> Rockville, MD: Agency for Healthcare Research and Quality.</w:t>
      </w:r>
    </w:p>
    <w:p w:rsidRPr="000000E3" w:rsidR="00320C1F" w:rsidP="000000E3" w:rsidRDefault="00B14872" w14:paraId="02EE5181" w14:textId="3689EBCC">
      <w:pPr>
        <w:pStyle w:val="ListParagraph"/>
        <w:numPr>
          <w:ilvl w:val="0"/>
          <w:numId w:val="33"/>
        </w:numPr>
        <w:spacing w:after="0" w:line="240" w:lineRule="auto"/>
        <w:contextualSpacing w:val="0"/>
        <w:rPr>
          <w:sz w:val="24"/>
          <w:szCs w:val="24"/>
        </w:rPr>
      </w:pPr>
      <w:r>
        <w:rPr>
          <w:sz w:val="24"/>
          <w:szCs w:val="24"/>
        </w:rPr>
        <w:t xml:space="preserve">ISTH Steering Committee for World Thrombosis Day (2016).  Venous thromboembolism: A call for risk assessment in all hospitalised patients. </w:t>
      </w:r>
      <w:r w:rsidRPr="009A21C1">
        <w:rPr>
          <w:i/>
          <w:iCs/>
          <w:sz w:val="24"/>
          <w:szCs w:val="24"/>
        </w:rPr>
        <w:t>Thromb Haemost</w:t>
      </w:r>
      <w:r>
        <w:rPr>
          <w:i/>
          <w:iCs/>
          <w:sz w:val="24"/>
          <w:szCs w:val="24"/>
        </w:rPr>
        <w:t>,</w:t>
      </w:r>
      <w:r w:rsidRPr="009A21C1">
        <w:rPr>
          <w:i/>
          <w:iCs/>
          <w:sz w:val="24"/>
          <w:szCs w:val="24"/>
        </w:rPr>
        <w:t xml:space="preserve"> </w:t>
      </w:r>
      <w:r>
        <w:rPr>
          <w:sz w:val="24"/>
          <w:szCs w:val="24"/>
        </w:rPr>
        <w:t>116, 777-779.</w:t>
      </w:r>
    </w:p>
    <w:p w:rsidRPr="009A44A1" w:rsidR="00B14872" w:rsidP="00E0163C" w:rsidRDefault="00B14872" w14:paraId="05BAEBA0" w14:textId="77777777">
      <w:pPr>
        <w:pStyle w:val="ListParagraph"/>
        <w:numPr>
          <w:ilvl w:val="0"/>
          <w:numId w:val="33"/>
        </w:numPr>
        <w:spacing w:after="0" w:line="240" w:lineRule="auto"/>
        <w:contextualSpacing w:val="0"/>
        <w:rPr>
          <w:sz w:val="24"/>
          <w:szCs w:val="24"/>
        </w:rPr>
      </w:pPr>
      <w:r w:rsidRPr="00026F8E">
        <w:rPr>
          <w:color w:val="212121"/>
          <w:sz w:val="24"/>
          <w:szCs w:val="24"/>
          <w:lang w:val="en"/>
        </w:rPr>
        <w:t xml:space="preserve">Office of the Surgeon General (US); National Heart, Lung, and Blood Institute (US) (2008). </w:t>
      </w:r>
      <w:r w:rsidRPr="00026F8E">
        <w:rPr>
          <w:i/>
          <w:iCs/>
          <w:color w:val="212121"/>
          <w:sz w:val="24"/>
          <w:szCs w:val="24"/>
          <w:lang w:val="en"/>
        </w:rPr>
        <w:t>The Surgeon General's Call to Action to Prevent Deep Vein Thrombosis and Pulmonary Embolism</w:t>
      </w:r>
      <w:r w:rsidRPr="00026F8E">
        <w:rPr>
          <w:color w:val="212121"/>
          <w:sz w:val="24"/>
          <w:szCs w:val="24"/>
          <w:lang w:val="en"/>
        </w:rPr>
        <w:t>. Rockville (MD): Office of the Surgeon General (US).</w:t>
      </w:r>
      <w:r>
        <w:rPr>
          <w:color w:val="212121"/>
          <w:sz w:val="24"/>
          <w:szCs w:val="24"/>
          <w:lang w:val="en"/>
        </w:rPr>
        <w:t xml:space="preserve"> </w:t>
      </w:r>
      <w:r w:rsidRPr="001A121E">
        <w:rPr>
          <w:color w:val="212121"/>
          <w:sz w:val="24"/>
          <w:szCs w:val="24"/>
          <w:lang w:val="en"/>
        </w:rPr>
        <w:t>Roberts, L., Durkin, M. and Arya, R. (2017). Annotation: Developing a national programme for VTE prevention. Br J Haematology, 178,162-170.</w:t>
      </w:r>
    </w:p>
    <w:p w:rsidRPr="00E0163C" w:rsidR="00B14872" w:rsidP="00E0163C" w:rsidRDefault="00B14872" w14:paraId="6EEE0E79" w14:textId="5694B477">
      <w:pPr>
        <w:pStyle w:val="ListParagraph"/>
        <w:numPr>
          <w:ilvl w:val="0"/>
          <w:numId w:val="33"/>
        </w:numPr>
        <w:spacing w:after="0" w:line="240" w:lineRule="auto"/>
        <w:contextualSpacing w:val="0"/>
        <w:rPr>
          <w:sz w:val="24"/>
          <w:szCs w:val="24"/>
        </w:rPr>
      </w:pPr>
      <w:r>
        <w:rPr>
          <w:sz w:val="24"/>
          <w:szCs w:val="24"/>
          <w:lang w:val="en"/>
        </w:rPr>
        <w:t xml:space="preserve">Roberts, L., </w:t>
      </w:r>
      <w:r w:rsidRPr="00B546CD">
        <w:rPr>
          <w:sz w:val="24"/>
          <w:szCs w:val="24"/>
          <w:lang w:val="en"/>
        </w:rPr>
        <w:t>Durkin, M. and Arya, R. (2017). Annotation: Developing a national programme for VTE prevention. Br J Haematology, 178,162-170.</w:t>
      </w:r>
    </w:p>
    <w:p w:rsidRPr="000000E3" w:rsidR="00320C1F" w:rsidP="000000E3" w:rsidRDefault="00320C1F" w14:paraId="21DC0D9A" w14:textId="4FEB824E">
      <w:pPr>
        <w:pStyle w:val="ListParagraph"/>
        <w:numPr>
          <w:ilvl w:val="0"/>
          <w:numId w:val="33"/>
        </w:numPr>
        <w:spacing w:after="0" w:line="240" w:lineRule="auto"/>
        <w:contextualSpacing w:val="0"/>
        <w:rPr>
          <w:bCs/>
          <w:iCs/>
          <w:sz w:val="24"/>
          <w:szCs w:val="24"/>
        </w:rPr>
      </w:pPr>
      <w:r w:rsidRPr="00B57744">
        <w:rPr>
          <w:bCs/>
          <w:iCs/>
          <w:sz w:val="24"/>
          <w:szCs w:val="24"/>
        </w:rPr>
        <w:t>Size standards.</w:t>
      </w:r>
      <w:r w:rsidRPr="00B57744">
        <w:rPr>
          <w:sz w:val="24"/>
          <w:szCs w:val="24"/>
        </w:rPr>
        <w:t xml:space="preserve"> </w:t>
      </w:r>
      <w:r w:rsidRPr="00B57744">
        <w:rPr>
          <w:bCs/>
          <w:iCs/>
          <w:sz w:val="24"/>
          <w:szCs w:val="24"/>
        </w:rPr>
        <w:t>The SBA’s size standards determine whether or not your business qualifies as small.</w:t>
      </w:r>
      <w:r w:rsidRPr="00B57744">
        <w:rPr>
          <w:bCs/>
          <w:i/>
          <w:iCs/>
          <w:sz w:val="24"/>
          <w:szCs w:val="24"/>
        </w:rPr>
        <w:t xml:space="preserve"> U.S. Small Business Administration</w:t>
      </w:r>
      <w:r w:rsidRPr="00B57744">
        <w:rPr>
          <w:bCs/>
          <w:iCs/>
          <w:sz w:val="24"/>
          <w:szCs w:val="24"/>
        </w:rPr>
        <w:t xml:space="preserve">, </w:t>
      </w:r>
      <w:r w:rsidRPr="00B57744">
        <w:rPr>
          <w:sz w:val="24"/>
          <w:szCs w:val="24"/>
        </w:rPr>
        <w:t>(</w:t>
      </w:r>
      <w:hyperlink w:history="1" w:anchor="section-header-0" r:id="rId30">
        <w:r w:rsidRPr="00B57744">
          <w:rPr>
            <w:rStyle w:val="Hyperlink"/>
            <w:sz w:val="24"/>
            <w:szCs w:val="24"/>
          </w:rPr>
          <w:t>https://www.sba.gov/federal-contracting/contracting-guide/size-standards#section-header-0</w:t>
        </w:r>
      </w:hyperlink>
      <w:r w:rsidRPr="00B57744">
        <w:rPr>
          <w:sz w:val="24"/>
          <w:szCs w:val="24"/>
        </w:rPr>
        <w:t>)</w:t>
      </w:r>
    </w:p>
    <w:p w:rsidRPr="001120EA" w:rsidR="00B14872" w:rsidP="00E0163C" w:rsidRDefault="00B14872" w14:paraId="291691A9" w14:textId="77777777">
      <w:pPr>
        <w:ind w:left="360"/>
      </w:pPr>
    </w:p>
    <w:sectPr w:rsidRPr="001120EA" w:rsidR="00B14872" w:rsidSect="00AC2BE4">
      <w:headerReference w:type="even" r:id="rId31"/>
      <w:headerReference w:type="default" r:id="rId32"/>
      <w:footerReference w:type="even" r:id="rId33"/>
      <w:footerReference w:type="default" r:id="rId34"/>
      <w:headerReference w:type="first" r:id="rId35"/>
      <w:footerReference w:type="first" r:id="rId36"/>
      <w:pgSz w:w="12240" w:h="15840"/>
      <w:pgMar w:top="1440" w:right="108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BC0E6" w14:textId="77777777" w:rsidR="005E55CA" w:rsidRDefault="005E55CA" w:rsidP="00873BFC">
      <w:r>
        <w:separator/>
      </w:r>
    </w:p>
  </w:endnote>
  <w:endnote w:type="continuationSeparator" w:id="0">
    <w:p w14:paraId="64792CAF" w14:textId="77777777" w:rsidR="005E55CA" w:rsidRDefault="005E55CA" w:rsidP="00873BFC">
      <w:r>
        <w:continuationSeparator/>
      </w:r>
    </w:p>
  </w:endnote>
  <w:endnote w:type="continuationNotice" w:id="1">
    <w:p w14:paraId="775A86A5" w14:textId="77777777" w:rsidR="005E55CA" w:rsidRDefault="005E5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DJHP B+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ITC Franklin Gothic Std Book">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2838C" w14:textId="77777777" w:rsidR="005E55CA" w:rsidRDefault="005E5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4363925"/>
      <w:docPartObj>
        <w:docPartGallery w:val="Page Numbers (Bottom of Page)"/>
        <w:docPartUnique/>
      </w:docPartObj>
    </w:sdtPr>
    <w:sdtEndPr>
      <w:rPr>
        <w:noProof/>
      </w:rPr>
    </w:sdtEndPr>
    <w:sdtContent>
      <w:p w14:paraId="22898A18" w14:textId="7A8A715F" w:rsidR="005E55CA" w:rsidRDefault="005E55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E2FD43" w14:textId="77777777" w:rsidR="005E55CA" w:rsidRDefault="005E55CA" w:rsidP="00862ED8">
    <w:pPr>
      <w:pStyle w:val="Footer"/>
      <w:tabs>
        <w:tab w:val="clear"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4C3BC" w14:textId="77777777" w:rsidR="005E55CA" w:rsidRDefault="005E5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D0E7A" w14:textId="77777777" w:rsidR="005E55CA" w:rsidRDefault="005E55CA" w:rsidP="00873BFC">
      <w:r>
        <w:separator/>
      </w:r>
    </w:p>
  </w:footnote>
  <w:footnote w:type="continuationSeparator" w:id="0">
    <w:p w14:paraId="29FC05FA" w14:textId="77777777" w:rsidR="005E55CA" w:rsidRDefault="005E55CA" w:rsidP="00873BFC">
      <w:r>
        <w:continuationSeparator/>
      </w:r>
    </w:p>
  </w:footnote>
  <w:footnote w:type="continuationNotice" w:id="1">
    <w:p w14:paraId="3299A7B4" w14:textId="77777777" w:rsidR="005E55CA" w:rsidRDefault="005E5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02C7F" w14:textId="77777777" w:rsidR="005E55CA" w:rsidRDefault="005E5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E7BC4" w14:textId="77777777" w:rsidR="005E55CA" w:rsidRDefault="005E5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FF5BB" w14:textId="77777777" w:rsidR="005E55CA" w:rsidRDefault="005E5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0"/>
    <w:name w:val="AutoList2"/>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AC00B9"/>
    <w:multiLevelType w:val="hybridMultilevel"/>
    <w:tmpl w:val="ACE20E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038706C"/>
    <w:multiLevelType w:val="hybridMultilevel"/>
    <w:tmpl w:val="17B6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F1574"/>
    <w:multiLevelType w:val="hybridMultilevel"/>
    <w:tmpl w:val="8F7E71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43C1C"/>
    <w:multiLevelType w:val="hybridMultilevel"/>
    <w:tmpl w:val="797AD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5E3C25"/>
    <w:multiLevelType w:val="hybridMultilevel"/>
    <w:tmpl w:val="5AFC06F8"/>
    <w:lvl w:ilvl="0" w:tplc="A728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636CF"/>
    <w:multiLevelType w:val="hybridMultilevel"/>
    <w:tmpl w:val="D63683E6"/>
    <w:lvl w:ilvl="0" w:tplc="6A3A98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E2CBC"/>
    <w:multiLevelType w:val="hybridMultilevel"/>
    <w:tmpl w:val="DA1C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F9D7E9D"/>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127E0"/>
    <w:multiLevelType w:val="hybridMultilevel"/>
    <w:tmpl w:val="659231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FB11BA"/>
    <w:multiLevelType w:val="hybridMultilevel"/>
    <w:tmpl w:val="6EB22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50E2A"/>
    <w:multiLevelType w:val="hybridMultilevel"/>
    <w:tmpl w:val="42005426"/>
    <w:lvl w:ilvl="0" w:tplc="A728574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C01649F"/>
    <w:multiLevelType w:val="hybridMultilevel"/>
    <w:tmpl w:val="F928059C"/>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EAF3879"/>
    <w:multiLevelType w:val="hybridMultilevel"/>
    <w:tmpl w:val="82B00DAA"/>
    <w:lvl w:ilvl="0" w:tplc="B734EB2C">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5" w15:restartNumberingAfterBreak="0">
    <w:nsid w:val="316F3F8A"/>
    <w:multiLevelType w:val="hybridMultilevel"/>
    <w:tmpl w:val="6BCCC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7" w15:restartNumberingAfterBreak="0">
    <w:nsid w:val="3E300452"/>
    <w:multiLevelType w:val="hybridMultilevel"/>
    <w:tmpl w:val="92A66A90"/>
    <w:lvl w:ilvl="0" w:tplc="B11CEAFA">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B139E4"/>
    <w:multiLevelType w:val="hybridMultilevel"/>
    <w:tmpl w:val="54C0B532"/>
    <w:lvl w:ilvl="0" w:tplc="F55C7462">
      <w:start w:val="1"/>
      <w:numFmt w:val="upp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96DEE"/>
    <w:multiLevelType w:val="hybridMultilevel"/>
    <w:tmpl w:val="7884BF14"/>
    <w:lvl w:ilvl="0" w:tplc="3370C5E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A0C9F"/>
    <w:multiLevelType w:val="hybridMultilevel"/>
    <w:tmpl w:val="BDAA9F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43943E1A"/>
    <w:multiLevelType w:val="multilevel"/>
    <w:tmpl w:val="9B161E7E"/>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642B66"/>
    <w:multiLevelType w:val="hybridMultilevel"/>
    <w:tmpl w:val="BC885E24"/>
    <w:lvl w:ilvl="0" w:tplc="A9C6A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E76AC"/>
    <w:multiLevelType w:val="hybridMultilevel"/>
    <w:tmpl w:val="59DA9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8092B"/>
    <w:multiLevelType w:val="hybridMultilevel"/>
    <w:tmpl w:val="BFCED7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6B940BB"/>
    <w:multiLevelType w:val="hybridMultilevel"/>
    <w:tmpl w:val="3414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93825"/>
    <w:multiLevelType w:val="hybridMultilevel"/>
    <w:tmpl w:val="A0A44E7E"/>
    <w:lvl w:ilvl="0" w:tplc="78A6F2A8">
      <w:start w:val="3"/>
      <w:numFmt w:val="upperLetter"/>
      <w:lvlText w:val="%1."/>
      <w:lvlJc w:val="lef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BE405DE"/>
    <w:multiLevelType w:val="hybridMultilevel"/>
    <w:tmpl w:val="ED0A3BEA"/>
    <w:lvl w:ilvl="0" w:tplc="6A76A5F8">
      <w:start w:val="1"/>
      <w:numFmt w:val="bullet"/>
      <w:lvlText w:val=""/>
      <w:lvlJc w:val="left"/>
      <w:pPr>
        <w:tabs>
          <w:tab w:val="num" w:pos="720"/>
        </w:tabs>
        <w:ind w:left="720" w:hanging="720"/>
      </w:pPr>
      <w:rPr>
        <w:rFonts w:ascii="Symbol" w:hAnsi="Symbol" w:hint="default"/>
      </w:rPr>
    </w:lvl>
    <w:lvl w:ilvl="1" w:tplc="A0ECEEC2">
      <w:start w:val="1"/>
      <w:numFmt w:val="decimal"/>
      <w:lvlText w:val="%2."/>
      <w:lvlJc w:val="left"/>
      <w:pPr>
        <w:tabs>
          <w:tab w:val="num" w:pos="1440"/>
        </w:tabs>
        <w:ind w:left="1440" w:hanging="720"/>
      </w:pPr>
    </w:lvl>
    <w:lvl w:ilvl="2" w:tplc="0BB0BEF6">
      <w:start w:val="1"/>
      <w:numFmt w:val="decimal"/>
      <w:lvlText w:val="%3."/>
      <w:lvlJc w:val="left"/>
      <w:pPr>
        <w:tabs>
          <w:tab w:val="num" w:pos="2160"/>
        </w:tabs>
        <w:ind w:left="2160" w:hanging="720"/>
      </w:pPr>
    </w:lvl>
    <w:lvl w:ilvl="3" w:tplc="80BE9698">
      <w:start w:val="1"/>
      <w:numFmt w:val="decimal"/>
      <w:lvlText w:val="%4."/>
      <w:lvlJc w:val="left"/>
      <w:pPr>
        <w:tabs>
          <w:tab w:val="num" w:pos="2880"/>
        </w:tabs>
        <w:ind w:left="2880" w:hanging="720"/>
      </w:pPr>
    </w:lvl>
    <w:lvl w:ilvl="4" w:tplc="B32E5D36">
      <w:start w:val="1"/>
      <w:numFmt w:val="decimal"/>
      <w:lvlText w:val="%5."/>
      <w:lvlJc w:val="left"/>
      <w:pPr>
        <w:tabs>
          <w:tab w:val="num" w:pos="3600"/>
        </w:tabs>
        <w:ind w:left="3600" w:hanging="720"/>
      </w:pPr>
    </w:lvl>
    <w:lvl w:ilvl="5" w:tplc="3FC4D422">
      <w:start w:val="1"/>
      <w:numFmt w:val="decimal"/>
      <w:lvlText w:val="%6."/>
      <w:lvlJc w:val="left"/>
      <w:pPr>
        <w:tabs>
          <w:tab w:val="num" w:pos="4320"/>
        </w:tabs>
        <w:ind w:left="4320" w:hanging="720"/>
      </w:pPr>
    </w:lvl>
    <w:lvl w:ilvl="6" w:tplc="A2704924">
      <w:start w:val="1"/>
      <w:numFmt w:val="decimal"/>
      <w:lvlText w:val="%7."/>
      <w:lvlJc w:val="left"/>
      <w:pPr>
        <w:tabs>
          <w:tab w:val="num" w:pos="5040"/>
        </w:tabs>
        <w:ind w:left="5040" w:hanging="720"/>
      </w:pPr>
    </w:lvl>
    <w:lvl w:ilvl="7" w:tplc="6A9EBDB0">
      <w:start w:val="1"/>
      <w:numFmt w:val="decimal"/>
      <w:lvlText w:val="%8."/>
      <w:lvlJc w:val="left"/>
      <w:pPr>
        <w:tabs>
          <w:tab w:val="num" w:pos="5760"/>
        </w:tabs>
        <w:ind w:left="5760" w:hanging="720"/>
      </w:pPr>
    </w:lvl>
    <w:lvl w:ilvl="8" w:tplc="C308950A">
      <w:start w:val="1"/>
      <w:numFmt w:val="decimal"/>
      <w:lvlText w:val="%9."/>
      <w:lvlJc w:val="left"/>
      <w:pPr>
        <w:tabs>
          <w:tab w:val="num" w:pos="6480"/>
        </w:tabs>
        <w:ind w:left="6480" w:hanging="720"/>
      </w:pPr>
    </w:lvl>
  </w:abstractNum>
  <w:abstractNum w:abstractNumId="29" w15:restartNumberingAfterBreak="0">
    <w:nsid w:val="5C933479"/>
    <w:multiLevelType w:val="hybridMultilevel"/>
    <w:tmpl w:val="89A4B9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5D7818B2"/>
    <w:multiLevelType w:val="hybridMultilevel"/>
    <w:tmpl w:val="965A64F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3472E"/>
    <w:multiLevelType w:val="hybridMultilevel"/>
    <w:tmpl w:val="CA24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12284"/>
    <w:multiLevelType w:val="hybridMultilevel"/>
    <w:tmpl w:val="3DEE4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0B2F02"/>
    <w:multiLevelType w:val="hybridMultilevel"/>
    <w:tmpl w:val="5148A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7803CAA"/>
    <w:multiLevelType w:val="multilevel"/>
    <w:tmpl w:val="3BE63BE0"/>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9A03464"/>
    <w:multiLevelType w:val="hybridMultilevel"/>
    <w:tmpl w:val="11067BC6"/>
    <w:lvl w:ilvl="0" w:tplc="70BEB7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ACA6432"/>
    <w:multiLevelType w:val="hybridMultilevel"/>
    <w:tmpl w:val="3C50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A0452"/>
    <w:multiLevelType w:val="hybridMultilevel"/>
    <w:tmpl w:val="4F6C4736"/>
    <w:lvl w:ilvl="0" w:tplc="6C56C0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0E1330"/>
    <w:multiLevelType w:val="hybridMultilevel"/>
    <w:tmpl w:val="24C4D8C4"/>
    <w:lvl w:ilvl="0" w:tplc="576E945C">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6"/>
  </w:num>
  <w:num w:numId="2">
    <w:abstractNumId w:val="8"/>
  </w:num>
  <w:num w:numId="3">
    <w:abstractNumId w:val="22"/>
  </w:num>
  <w:num w:numId="4">
    <w:abstractNumId w:val="17"/>
  </w:num>
  <w:num w:numId="5">
    <w:abstractNumId w:val="9"/>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7"/>
  </w:num>
  <w:num w:numId="9">
    <w:abstractNumId w:val="24"/>
  </w:num>
  <w:num w:numId="10">
    <w:abstractNumId w:val="10"/>
  </w:num>
  <w:num w:numId="11">
    <w:abstractNumId w:val="28"/>
  </w:num>
  <w:num w:numId="12">
    <w:abstractNumId w:val="28"/>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35"/>
  </w:num>
  <w:num w:numId="21">
    <w:abstractNumId w:val="38"/>
  </w:num>
  <w:num w:numId="22">
    <w:abstractNumId w:val="19"/>
  </w:num>
  <w:num w:numId="23">
    <w:abstractNumId w:val="34"/>
  </w:num>
  <w:num w:numId="24">
    <w:abstractNumId w:val="27"/>
  </w:num>
  <w:num w:numId="25">
    <w:abstractNumId w:val="20"/>
  </w:num>
  <w:num w:numId="26">
    <w:abstractNumId w:val="21"/>
  </w:num>
  <w:num w:numId="27">
    <w:abstractNumId w:val="6"/>
  </w:num>
  <w:num w:numId="28">
    <w:abstractNumId w:val="18"/>
  </w:num>
  <w:num w:numId="29">
    <w:abstractNumId w:val="2"/>
  </w:num>
  <w:num w:numId="30">
    <w:abstractNumId w:val="26"/>
  </w:num>
  <w:num w:numId="31">
    <w:abstractNumId w:val="31"/>
  </w:num>
  <w:num w:numId="32">
    <w:abstractNumId w:val="2"/>
  </w:num>
  <w:num w:numId="33">
    <w:abstractNumId w:val="11"/>
  </w:num>
  <w:num w:numId="34">
    <w:abstractNumId w:val="3"/>
  </w:num>
  <w:num w:numId="35">
    <w:abstractNumId w:val="23"/>
  </w:num>
  <w:num w:numId="36">
    <w:abstractNumId w:val="15"/>
  </w:num>
  <w:num w:numId="37">
    <w:abstractNumId w:val="1"/>
  </w:num>
  <w:num w:numId="38">
    <w:abstractNumId w:val="13"/>
    <w:lvlOverride w:ilvl="0">
      <w:startOverride w:val="1"/>
    </w:lvlOverride>
    <w:lvlOverride w:ilvl="1"/>
    <w:lvlOverride w:ilvl="2"/>
    <w:lvlOverride w:ilvl="3"/>
    <w:lvlOverride w:ilvl="4"/>
    <w:lvlOverride w:ilvl="5"/>
    <w:lvlOverride w:ilvl="6"/>
    <w:lvlOverride w:ilvl="7"/>
    <w:lvlOverride w:ilvl="8"/>
  </w:num>
  <w:num w:numId="39">
    <w:abstractNumId w:val="14"/>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12"/>
  </w:num>
  <w:num w:numId="43">
    <w:abstractNumId w:val="37"/>
  </w:num>
  <w:num w:numId="44">
    <w:abstractNumId w:val="4"/>
  </w:num>
  <w:num w:numId="45">
    <w:abstractNumId w:val="32"/>
  </w:num>
  <w:num w:numId="46">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FC"/>
    <w:rsid w:val="000000E3"/>
    <w:rsid w:val="0000033A"/>
    <w:rsid w:val="00001405"/>
    <w:rsid w:val="0000183E"/>
    <w:rsid w:val="00001B3E"/>
    <w:rsid w:val="000024F2"/>
    <w:rsid w:val="00002BCF"/>
    <w:rsid w:val="00002C4B"/>
    <w:rsid w:val="00003977"/>
    <w:rsid w:val="000052DE"/>
    <w:rsid w:val="00010ED5"/>
    <w:rsid w:val="0001172D"/>
    <w:rsid w:val="000117F7"/>
    <w:rsid w:val="00011D26"/>
    <w:rsid w:val="0001211E"/>
    <w:rsid w:val="00012E32"/>
    <w:rsid w:val="00012E57"/>
    <w:rsid w:val="00012E93"/>
    <w:rsid w:val="000145D7"/>
    <w:rsid w:val="00015757"/>
    <w:rsid w:val="00015DB0"/>
    <w:rsid w:val="00016912"/>
    <w:rsid w:val="00017143"/>
    <w:rsid w:val="00017256"/>
    <w:rsid w:val="0002016C"/>
    <w:rsid w:val="00020895"/>
    <w:rsid w:val="00020C9E"/>
    <w:rsid w:val="000216FB"/>
    <w:rsid w:val="00021A8D"/>
    <w:rsid w:val="00022D33"/>
    <w:rsid w:val="00023585"/>
    <w:rsid w:val="0002505F"/>
    <w:rsid w:val="000257F9"/>
    <w:rsid w:val="00025F42"/>
    <w:rsid w:val="00026E72"/>
    <w:rsid w:val="00026F8E"/>
    <w:rsid w:val="00030097"/>
    <w:rsid w:val="000303ED"/>
    <w:rsid w:val="00031333"/>
    <w:rsid w:val="00031BDF"/>
    <w:rsid w:val="00031C5A"/>
    <w:rsid w:val="000323F4"/>
    <w:rsid w:val="00033231"/>
    <w:rsid w:val="00033BBA"/>
    <w:rsid w:val="00034CAD"/>
    <w:rsid w:val="00034DF3"/>
    <w:rsid w:val="00037052"/>
    <w:rsid w:val="00037133"/>
    <w:rsid w:val="00037EB8"/>
    <w:rsid w:val="00040751"/>
    <w:rsid w:val="00040E07"/>
    <w:rsid w:val="00042485"/>
    <w:rsid w:val="00042867"/>
    <w:rsid w:val="0004323D"/>
    <w:rsid w:val="000434B3"/>
    <w:rsid w:val="0004392E"/>
    <w:rsid w:val="00044933"/>
    <w:rsid w:val="00046898"/>
    <w:rsid w:val="00047F9D"/>
    <w:rsid w:val="000508F6"/>
    <w:rsid w:val="000524A0"/>
    <w:rsid w:val="000528E0"/>
    <w:rsid w:val="000530CC"/>
    <w:rsid w:val="00053502"/>
    <w:rsid w:val="00055857"/>
    <w:rsid w:val="00055D61"/>
    <w:rsid w:val="000564C5"/>
    <w:rsid w:val="00056714"/>
    <w:rsid w:val="000569A2"/>
    <w:rsid w:val="0005773B"/>
    <w:rsid w:val="00060565"/>
    <w:rsid w:val="00060B0D"/>
    <w:rsid w:val="000612A6"/>
    <w:rsid w:val="0006240C"/>
    <w:rsid w:val="00062BC2"/>
    <w:rsid w:val="000636E0"/>
    <w:rsid w:val="000644BC"/>
    <w:rsid w:val="00065256"/>
    <w:rsid w:val="00065302"/>
    <w:rsid w:val="00065904"/>
    <w:rsid w:val="00067D66"/>
    <w:rsid w:val="00067F04"/>
    <w:rsid w:val="00072A4B"/>
    <w:rsid w:val="000736F1"/>
    <w:rsid w:val="00073A7A"/>
    <w:rsid w:val="00073E10"/>
    <w:rsid w:val="00074C0D"/>
    <w:rsid w:val="000750DB"/>
    <w:rsid w:val="000763DC"/>
    <w:rsid w:val="00076E76"/>
    <w:rsid w:val="0008111D"/>
    <w:rsid w:val="000815A0"/>
    <w:rsid w:val="00081997"/>
    <w:rsid w:val="00081FAF"/>
    <w:rsid w:val="00082B98"/>
    <w:rsid w:val="0009025D"/>
    <w:rsid w:val="0009111B"/>
    <w:rsid w:val="000919D9"/>
    <w:rsid w:val="00092953"/>
    <w:rsid w:val="0009312F"/>
    <w:rsid w:val="00093E13"/>
    <w:rsid w:val="00094894"/>
    <w:rsid w:val="00095CEC"/>
    <w:rsid w:val="000973AD"/>
    <w:rsid w:val="0009775D"/>
    <w:rsid w:val="0009792B"/>
    <w:rsid w:val="000A09C3"/>
    <w:rsid w:val="000A3241"/>
    <w:rsid w:val="000A423E"/>
    <w:rsid w:val="000A6218"/>
    <w:rsid w:val="000B0000"/>
    <w:rsid w:val="000B091F"/>
    <w:rsid w:val="000B0AD8"/>
    <w:rsid w:val="000B0D5F"/>
    <w:rsid w:val="000B10DE"/>
    <w:rsid w:val="000B14D9"/>
    <w:rsid w:val="000B16BD"/>
    <w:rsid w:val="000B3EFF"/>
    <w:rsid w:val="000B528E"/>
    <w:rsid w:val="000B56FD"/>
    <w:rsid w:val="000B69B7"/>
    <w:rsid w:val="000B70D1"/>
    <w:rsid w:val="000C0060"/>
    <w:rsid w:val="000C02C9"/>
    <w:rsid w:val="000C2C79"/>
    <w:rsid w:val="000C342A"/>
    <w:rsid w:val="000C449B"/>
    <w:rsid w:val="000C5CBD"/>
    <w:rsid w:val="000C629B"/>
    <w:rsid w:val="000C62C2"/>
    <w:rsid w:val="000C6817"/>
    <w:rsid w:val="000C6AF2"/>
    <w:rsid w:val="000C6D57"/>
    <w:rsid w:val="000C7D6D"/>
    <w:rsid w:val="000D242F"/>
    <w:rsid w:val="000D3006"/>
    <w:rsid w:val="000D3F5E"/>
    <w:rsid w:val="000D41D5"/>
    <w:rsid w:val="000D4D44"/>
    <w:rsid w:val="000D51EF"/>
    <w:rsid w:val="000D54A8"/>
    <w:rsid w:val="000D5EEB"/>
    <w:rsid w:val="000D5FE9"/>
    <w:rsid w:val="000D6353"/>
    <w:rsid w:val="000D643F"/>
    <w:rsid w:val="000D6DA1"/>
    <w:rsid w:val="000D7676"/>
    <w:rsid w:val="000E0336"/>
    <w:rsid w:val="000E0F1D"/>
    <w:rsid w:val="000E1214"/>
    <w:rsid w:val="000E1399"/>
    <w:rsid w:val="000E1495"/>
    <w:rsid w:val="000E1D35"/>
    <w:rsid w:val="000E27CC"/>
    <w:rsid w:val="000E5C00"/>
    <w:rsid w:val="000E658C"/>
    <w:rsid w:val="000E7E41"/>
    <w:rsid w:val="000F104A"/>
    <w:rsid w:val="000F1EF1"/>
    <w:rsid w:val="000F2EAA"/>
    <w:rsid w:val="000F35D9"/>
    <w:rsid w:val="000F39C0"/>
    <w:rsid w:val="000F47CB"/>
    <w:rsid w:val="000F4804"/>
    <w:rsid w:val="000F50DE"/>
    <w:rsid w:val="000F5B1F"/>
    <w:rsid w:val="000F61B4"/>
    <w:rsid w:val="000F7958"/>
    <w:rsid w:val="0010033A"/>
    <w:rsid w:val="001005B4"/>
    <w:rsid w:val="00101A8B"/>
    <w:rsid w:val="001020EF"/>
    <w:rsid w:val="001025E6"/>
    <w:rsid w:val="00105F4E"/>
    <w:rsid w:val="00106D31"/>
    <w:rsid w:val="0011042F"/>
    <w:rsid w:val="0011060B"/>
    <w:rsid w:val="00111028"/>
    <w:rsid w:val="00111A35"/>
    <w:rsid w:val="00111E81"/>
    <w:rsid w:val="001120EA"/>
    <w:rsid w:val="00112142"/>
    <w:rsid w:val="0011280C"/>
    <w:rsid w:val="001131C3"/>
    <w:rsid w:val="001133A5"/>
    <w:rsid w:val="001137A0"/>
    <w:rsid w:val="0011416C"/>
    <w:rsid w:val="00114E81"/>
    <w:rsid w:val="00114E9E"/>
    <w:rsid w:val="0011737C"/>
    <w:rsid w:val="001200D9"/>
    <w:rsid w:val="00122610"/>
    <w:rsid w:val="00122D8A"/>
    <w:rsid w:val="00122F52"/>
    <w:rsid w:val="0012467C"/>
    <w:rsid w:val="00124D14"/>
    <w:rsid w:val="00124F1F"/>
    <w:rsid w:val="00125CFD"/>
    <w:rsid w:val="00125EFB"/>
    <w:rsid w:val="00130109"/>
    <w:rsid w:val="00131A41"/>
    <w:rsid w:val="00131D1E"/>
    <w:rsid w:val="00131DD2"/>
    <w:rsid w:val="00132032"/>
    <w:rsid w:val="001325A0"/>
    <w:rsid w:val="001333A3"/>
    <w:rsid w:val="001346F7"/>
    <w:rsid w:val="001357BA"/>
    <w:rsid w:val="00136139"/>
    <w:rsid w:val="001366E3"/>
    <w:rsid w:val="00136A8B"/>
    <w:rsid w:val="001370D8"/>
    <w:rsid w:val="001375AE"/>
    <w:rsid w:val="00140581"/>
    <w:rsid w:val="00140D7A"/>
    <w:rsid w:val="00140D85"/>
    <w:rsid w:val="00142BFB"/>
    <w:rsid w:val="00142D2E"/>
    <w:rsid w:val="001438AD"/>
    <w:rsid w:val="00143C4F"/>
    <w:rsid w:val="001444C6"/>
    <w:rsid w:val="0014451D"/>
    <w:rsid w:val="0014499B"/>
    <w:rsid w:val="00144D04"/>
    <w:rsid w:val="001450BC"/>
    <w:rsid w:val="00145969"/>
    <w:rsid w:val="0014611D"/>
    <w:rsid w:val="001470F3"/>
    <w:rsid w:val="00147458"/>
    <w:rsid w:val="001478A3"/>
    <w:rsid w:val="00147E0F"/>
    <w:rsid w:val="001516A6"/>
    <w:rsid w:val="00152D85"/>
    <w:rsid w:val="00153928"/>
    <w:rsid w:val="00154CD0"/>
    <w:rsid w:val="0015557F"/>
    <w:rsid w:val="00156276"/>
    <w:rsid w:val="00160696"/>
    <w:rsid w:val="00160ABD"/>
    <w:rsid w:val="001621CB"/>
    <w:rsid w:val="001627E9"/>
    <w:rsid w:val="0016283D"/>
    <w:rsid w:val="00162DA1"/>
    <w:rsid w:val="00162F72"/>
    <w:rsid w:val="001635A1"/>
    <w:rsid w:val="001638E3"/>
    <w:rsid w:val="00164435"/>
    <w:rsid w:val="001661E0"/>
    <w:rsid w:val="001666CA"/>
    <w:rsid w:val="00167216"/>
    <w:rsid w:val="0017030E"/>
    <w:rsid w:val="00170AD3"/>
    <w:rsid w:val="00170CAA"/>
    <w:rsid w:val="00170F90"/>
    <w:rsid w:val="00171BF4"/>
    <w:rsid w:val="00172830"/>
    <w:rsid w:val="00172927"/>
    <w:rsid w:val="00172BB0"/>
    <w:rsid w:val="00173A6B"/>
    <w:rsid w:val="00174CCC"/>
    <w:rsid w:val="00175EA8"/>
    <w:rsid w:val="00176524"/>
    <w:rsid w:val="00177C64"/>
    <w:rsid w:val="00182D4A"/>
    <w:rsid w:val="00183A02"/>
    <w:rsid w:val="00183C5C"/>
    <w:rsid w:val="001854B9"/>
    <w:rsid w:val="00185672"/>
    <w:rsid w:val="00186373"/>
    <w:rsid w:val="001866CE"/>
    <w:rsid w:val="00187EA9"/>
    <w:rsid w:val="00191DC4"/>
    <w:rsid w:val="00195008"/>
    <w:rsid w:val="00195EF9"/>
    <w:rsid w:val="001960D4"/>
    <w:rsid w:val="00196FEF"/>
    <w:rsid w:val="001972C1"/>
    <w:rsid w:val="0019764D"/>
    <w:rsid w:val="001A02F1"/>
    <w:rsid w:val="001A1039"/>
    <w:rsid w:val="001A121E"/>
    <w:rsid w:val="001A2319"/>
    <w:rsid w:val="001A2373"/>
    <w:rsid w:val="001A26F3"/>
    <w:rsid w:val="001A49E0"/>
    <w:rsid w:val="001A5ED3"/>
    <w:rsid w:val="001A6B64"/>
    <w:rsid w:val="001A6B8A"/>
    <w:rsid w:val="001A6D40"/>
    <w:rsid w:val="001A7A61"/>
    <w:rsid w:val="001A7BC6"/>
    <w:rsid w:val="001A7D5F"/>
    <w:rsid w:val="001B124D"/>
    <w:rsid w:val="001B2D81"/>
    <w:rsid w:val="001B2E0F"/>
    <w:rsid w:val="001B3182"/>
    <w:rsid w:val="001B4535"/>
    <w:rsid w:val="001B4A40"/>
    <w:rsid w:val="001B5850"/>
    <w:rsid w:val="001B5C91"/>
    <w:rsid w:val="001B6DE2"/>
    <w:rsid w:val="001B7842"/>
    <w:rsid w:val="001C2228"/>
    <w:rsid w:val="001C2531"/>
    <w:rsid w:val="001C25FE"/>
    <w:rsid w:val="001C2D50"/>
    <w:rsid w:val="001C3E9A"/>
    <w:rsid w:val="001C3FD0"/>
    <w:rsid w:val="001C3FDF"/>
    <w:rsid w:val="001C65A1"/>
    <w:rsid w:val="001C6BE2"/>
    <w:rsid w:val="001C77BA"/>
    <w:rsid w:val="001D0604"/>
    <w:rsid w:val="001D54BE"/>
    <w:rsid w:val="001D57F4"/>
    <w:rsid w:val="001D612F"/>
    <w:rsid w:val="001D61BC"/>
    <w:rsid w:val="001D6284"/>
    <w:rsid w:val="001D7047"/>
    <w:rsid w:val="001D743C"/>
    <w:rsid w:val="001D795A"/>
    <w:rsid w:val="001D796E"/>
    <w:rsid w:val="001E09BF"/>
    <w:rsid w:val="001E09D8"/>
    <w:rsid w:val="001E0F6B"/>
    <w:rsid w:val="001E1C06"/>
    <w:rsid w:val="001E270D"/>
    <w:rsid w:val="001E27F8"/>
    <w:rsid w:val="001E33AD"/>
    <w:rsid w:val="001E342C"/>
    <w:rsid w:val="001E370E"/>
    <w:rsid w:val="001E494F"/>
    <w:rsid w:val="001E49AF"/>
    <w:rsid w:val="001E4EA5"/>
    <w:rsid w:val="001E5955"/>
    <w:rsid w:val="001E5E91"/>
    <w:rsid w:val="001E640A"/>
    <w:rsid w:val="001F0C1E"/>
    <w:rsid w:val="001F0CFE"/>
    <w:rsid w:val="001F0F12"/>
    <w:rsid w:val="001F1FCA"/>
    <w:rsid w:val="001F2676"/>
    <w:rsid w:val="001F269E"/>
    <w:rsid w:val="001F26FF"/>
    <w:rsid w:val="001F2FF5"/>
    <w:rsid w:val="001F4425"/>
    <w:rsid w:val="001F4AE3"/>
    <w:rsid w:val="001F76E9"/>
    <w:rsid w:val="001F7D49"/>
    <w:rsid w:val="00200021"/>
    <w:rsid w:val="00200E97"/>
    <w:rsid w:val="00200FE3"/>
    <w:rsid w:val="00202089"/>
    <w:rsid w:val="00203B1B"/>
    <w:rsid w:val="00203FFC"/>
    <w:rsid w:val="002045F7"/>
    <w:rsid w:val="002047A8"/>
    <w:rsid w:val="0020495F"/>
    <w:rsid w:val="00205E59"/>
    <w:rsid w:val="00207C38"/>
    <w:rsid w:val="00211AC9"/>
    <w:rsid w:val="0021287B"/>
    <w:rsid w:val="00212D05"/>
    <w:rsid w:val="00212E22"/>
    <w:rsid w:val="00213116"/>
    <w:rsid w:val="0021363E"/>
    <w:rsid w:val="002144EA"/>
    <w:rsid w:val="002146FA"/>
    <w:rsid w:val="00214852"/>
    <w:rsid w:val="00215138"/>
    <w:rsid w:val="00215EDE"/>
    <w:rsid w:val="00221161"/>
    <w:rsid w:val="00223705"/>
    <w:rsid w:val="0022380B"/>
    <w:rsid w:val="00224C0F"/>
    <w:rsid w:val="0022511D"/>
    <w:rsid w:val="002252AD"/>
    <w:rsid w:val="00225328"/>
    <w:rsid w:val="00225C0F"/>
    <w:rsid w:val="002260AC"/>
    <w:rsid w:val="00226B1C"/>
    <w:rsid w:val="00230AB9"/>
    <w:rsid w:val="00231D55"/>
    <w:rsid w:val="00232006"/>
    <w:rsid w:val="002324C0"/>
    <w:rsid w:val="0023336E"/>
    <w:rsid w:val="00234CE1"/>
    <w:rsid w:val="00234E6A"/>
    <w:rsid w:val="00235DA1"/>
    <w:rsid w:val="002363CF"/>
    <w:rsid w:val="002374B6"/>
    <w:rsid w:val="00237528"/>
    <w:rsid w:val="00237C89"/>
    <w:rsid w:val="00237EE7"/>
    <w:rsid w:val="00240508"/>
    <w:rsid w:val="00240A33"/>
    <w:rsid w:val="002416D3"/>
    <w:rsid w:val="00242B8E"/>
    <w:rsid w:val="002442FE"/>
    <w:rsid w:val="002445AF"/>
    <w:rsid w:val="002450A7"/>
    <w:rsid w:val="002454CB"/>
    <w:rsid w:val="00245B0E"/>
    <w:rsid w:val="00245E1A"/>
    <w:rsid w:val="0024601E"/>
    <w:rsid w:val="00247A8F"/>
    <w:rsid w:val="00247B4F"/>
    <w:rsid w:val="002510DC"/>
    <w:rsid w:val="0025112E"/>
    <w:rsid w:val="002531C8"/>
    <w:rsid w:val="002538CC"/>
    <w:rsid w:val="00253C0B"/>
    <w:rsid w:val="00254175"/>
    <w:rsid w:val="002547C1"/>
    <w:rsid w:val="00254B3B"/>
    <w:rsid w:val="00254EBF"/>
    <w:rsid w:val="002558DC"/>
    <w:rsid w:val="0025719F"/>
    <w:rsid w:val="002602AE"/>
    <w:rsid w:val="00260435"/>
    <w:rsid w:val="00260F28"/>
    <w:rsid w:val="00261233"/>
    <w:rsid w:val="00261447"/>
    <w:rsid w:val="0026282B"/>
    <w:rsid w:val="00262CCF"/>
    <w:rsid w:val="00263CB0"/>
    <w:rsid w:val="00264325"/>
    <w:rsid w:val="0026646B"/>
    <w:rsid w:val="0026684A"/>
    <w:rsid w:val="0027006A"/>
    <w:rsid w:val="00270C33"/>
    <w:rsid w:val="00271675"/>
    <w:rsid w:val="00271E3D"/>
    <w:rsid w:val="00272EFB"/>
    <w:rsid w:val="00273855"/>
    <w:rsid w:val="002747F4"/>
    <w:rsid w:val="00275AF3"/>
    <w:rsid w:val="00276372"/>
    <w:rsid w:val="00280268"/>
    <w:rsid w:val="0028067C"/>
    <w:rsid w:val="0028082F"/>
    <w:rsid w:val="00280C2C"/>
    <w:rsid w:val="00280E85"/>
    <w:rsid w:val="002816AD"/>
    <w:rsid w:val="002829D8"/>
    <w:rsid w:val="00283251"/>
    <w:rsid w:val="0028338A"/>
    <w:rsid w:val="00283B3B"/>
    <w:rsid w:val="00284030"/>
    <w:rsid w:val="0028442C"/>
    <w:rsid w:val="002849D2"/>
    <w:rsid w:val="00284A33"/>
    <w:rsid w:val="00285127"/>
    <w:rsid w:val="00285DCA"/>
    <w:rsid w:val="00286208"/>
    <w:rsid w:val="00286237"/>
    <w:rsid w:val="0028675C"/>
    <w:rsid w:val="00287EEB"/>
    <w:rsid w:val="002907F9"/>
    <w:rsid w:val="00290B87"/>
    <w:rsid w:val="00291E0C"/>
    <w:rsid w:val="0029372D"/>
    <w:rsid w:val="00293CE3"/>
    <w:rsid w:val="00294497"/>
    <w:rsid w:val="00295B38"/>
    <w:rsid w:val="00295FD8"/>
    <w:rsid w:val="00297571"/>
    <w:rsid w:val="002A001C"/>
    <w:rsid w:val="002A04A2"/>
    <w:rsid w:val="002A0835"/>
    <w:rsid w:val="002A1275"/>
    <w:rsid w:val="002A135F"/>
    <w:rsid w:val="002A1514"/>
    <w:rsid w:val="002A3A19"/>
    <w:rsid w:val="002A4D52"/>
    <w:rsid w:val="002A6173"/>
    <w:rsid w:val="002A66AA"/>
    <w:rsid w:val="002A6E55"/>
    <w:rsid w:val="002A7A8C"/>
    <w:rsid w:val="002B11E5"/>
    <w:rsid w:val="002B2C5F"/>
    <w:rsid w:val="002B45CE"/>
    <w:rsid w:val="002B47B6"/>
    <w:rsid w:val="002B69EE"/>
    <w:rsid w:val="002B6E15"/>
    <w:rsid w:val="002B76C0"/>
    <w:rsid w:val="002B7890"/>
    <w:rsid w:val="002C12D7"/>
    <w:rsid w:val="002C1378"/>
    <w:rsid w:val="002C2129"/>
    <w:rsid w:val="002C2BA2"/>
    <w:rsid w:val="002C3FA9"/>
    <w:rsid w:val="002C40C2"/>
    <w:rsid w:val="002C4C53"/>
    <w:rsid w:val="002C5318"/>
    <w:rsid w:val="002C5452"/>
    <w:rsid w:val="002C54E3"/>
    <w:rsid w:val="002C5959"/>
    <w:rsid w:val="002C67A1"/>
    <w:rsid w:val="002C7A1E"/>
    <w:rsid w:val="002D0A04"/>
    <w:rsid w:val="002D1226"/>
    <w:rsid w:val="002D16DB"/>
    <w:rsid w:val="002D2076"/>
    <w:rsid w:val="002D2EC7"/>
    <w:rsid w:val="002D3061"/>
    <w:rsid w:val="002D3178"/>
    <w:rsid w:val="002D37E5"/>
    <w:rsid w:val="002D3887"/>
    <w:rsid w:val="002D391D"/>
    <w:rsid w:val="002D5363"/>
    <w:rsid w:val="002D646E"/>
    <w:rsid w:val="002D6AC7"/>
    <w:rsid w:val="002D7674"/>
    <w:rsid w:val="002E3168"/>
    <w:rsid w:val="002E3B40"/>
    <w:rsid w:val="002E4771"/>
    <w:rsid w:val="002E5BA6"/>
    <w:rsid w:val="002E6396"/>
    <w:rsid w:val="002E7116"/>
    <w:rsid w:val="002E7990"/>
    <w:rsid w:val="002E7D98"/>
    <w:rsid w:val="002F038E"/>
    <w:rsid w:val="002F058F"/>
    <w:rsid w:val="002F12E0"/>
    <w:rsid w:val="002F1AF4"/>
    <w:rsid w:val="002F26CB"/>
    <w:rsid w:val="002F2DB1"/>
    <w:rsid w:val="002F30A6"/>
    <w:rsid w:val="002F50D1"/>
    <w:rsid w:val="002F50E5"/>
    <w:rsid w:val="002F635D"/>
    <w:rsid w:val="002F7992"/>
    <w:rsid w:val="002F79E9"/>
    <w:rsid w:val="002F7F1E"/>
    <w:rsid w:val="00300FB9"/>
    <w:rsid w:val="00301E51"/>
    <w:rsid w:val="0030266A"/>
    <w:rsid w:val="003034DC"/>
    <w:rsid w:val="003039FE"/>
    <w:rsid w:val="003076F6"/>
    <w:rsid w:val="003104E5"/>
    <w:rsid w:val="00310A15"/>
    <w:rsid w:val="0031172F"/>
    <w:rsid w:val="00311AE4"/>
    <w:rsid w:val="00312D48"/>
    <w:rsid w:val="003152F8"/>
    <w:rsid w:val="0031555C"/>
    <w:rsid w:val="00316359"/>
    <w:rsid w:val="003170D9"/>
    <w:rsid w:val="003176FB"/>
    <w:rsid w:val="003177DE"/>
    <w:rsid w:val="00320C18"/>
    <w:rsid w:val="00320C1F"/>
    <w:rsid w:val="00321330"/>
    <w:rsid w:val="00321928"/>
    <w:rsid w:val="00322FFB"/>
    <w:rsid w:val="00323544"/>
    <w:rsid w:val="00323D48"/>
    <w:rsid w:val="003248E3"/>
    <w:rsid w:val="0032589F"/>
    <w:rsid w:val="00326763"/>
    <w:rsid w:val="00331ADE"/>
    <w:rsid w:val="00334F99"/>
    <w:rsid w:val="00335491"/>
    <w:rsid w:val="00336138"/>
    <w:rsid w:val="0033731D"/>
    <w:rsid w:val="003379B0"/>
    <w:rsid w:val="003406F5"/>
    <w:rsid w:val="00341850"/>
    <w:rsid w:val="00341969"/>
    <w:rsid w:val="00341990"/>
    <w:rsid w:val="00341996"/>
    <w:rsid w:val="003423A8"/>
    <w:rsid w:val="003424C4"/>
    <w:rsid w:val="00342ED2"/>
    <w:rsid w:val="003431B6"/>
    <w:rsid w:val="0034389E"/>
    <w:rsid w:val="003440ED"/>
    <w:rsid w:val="0034569F"/>
    <w:rsid w:val="003456B3"/>
    <w:rsid w:val="00345CC9"/>
    <w:rsid w:val="0034613E"/>
    <w:rsid w:val="00346867"/>
    <w:rsid w:val="00347676"/>
    <w:rsid w:val="0034788A"/>
    <w:rsid w:val="0035212F"/>
    <w:rsid w:val="003524D7"/>
    <w:rsid w:val="0035261F"/>
    <w:rsid w:val="00354E3E"/>
    <w:rsid w:val="003551D7"/>
    <w:rsid w:val="003559C4"/>
    <w:rsid w:val="00355C9C"/>
    <w:rsid w:val="00356B8A"/>
    <w:rsid w:val="00360B64"/>
    <w:rsid w:val="00361619"/>
    <w:rsid w:val="003624C8"/>
    <w:rsid w:val="00362B47"/>
    <w:rsid w:val="0036433C"/>
    <w:rsid w:val="00365D30"/>
    <w:rsid w:val="00365D40"/>
    <w:rsid w:val="00366A29"/>
    <w:rsid w:val="00367B1F"/>
    <w:rsid w:val="0037034D"/>
    <w:rsid w:val="0037122C"/>
    <w:rsid w:val="00372486"/>
    <w:rsid w:val="00372917"/>
    <w:rsid w:val="003742FA"/>
    <w:rsid w:val="00375DAC"/>
    <w:rsid w:val="003778B0"/>
    <w:rsid w:val="00377E5E"/>
    <w:rsid w:val="00381CC8"/>
    <w:rsid w:val="003822A1"/>
    <w:rsid w:val="00382595"/>
    <w:rsid w:val="0038287D"/>
    <w:rsid w:val="00382AC4"/>
    <w:rsid w:val="00382BC3"/>
    <w:rsid w:val="003841C7"/>
    <w:rsid w:val="00384569"/>
    <w:rsid w:val="00385791"/>
    <w:rsid w:val="00385C5E"/>
    <w:rsid w:val="003861AA"/>
    <w:rsid w:val="0038620F"/>
    <w:rsid w:val="0038654B"/>
    <w:rsid w:val="0038687E"/>
    <w:rsid w:val="0038780A"/>
    <w:rsid w:val="00387C4A"/>
    <w:rsid w:val="00391353"/>
    <w:rsid w:val="003915E4"/>
    <w:rsid w:val="00391EA3"/>
    <w:rsid w:val="00391F62"/>
    <w:rsid w:val="0039214D"/>
    <w:rsid w:val="003923C0"/>
    <w:rsid w:val="00392893"/>
    <w:rsid w:val="003950E3"/>
    <w:rsid w:val="003950FD"/>
    <w:rsid w:val="003952E7"/>
    <w:rsid w:val="00397438"/>
    <w:rsid w:val="003A07F5"/>
    <w:rsid w:val="003A1ED1"/>
    <w:rsid w:val="003A41BF"/>
    <w:rsid w:val="003A43A9"/>
    <w:rsid w:val="003A501B"/>
    <w:rsid w:val="003A5032"/>
    <w:rsid w:val="003A5CB7"/>
    <w:rsid w:val="003A6768"/>
    <w:rsid w:val="003A67E2"/>
    <w:rsid w:val="003A7227"/>
    <w:rsid w:val="003A7762"/>
    <w:rsid w:val="003A7994"/>
    <w:rsid w:val="003B098B"/>
    <w:rsid w:val="003B1548"/>
    <w:rsid w:val="003B1FC4"/>
    <w:rsid w:val="003B2533"/>
    <w:rsid w:val="003B30F9"/>
    <w:rsid w:val="003B3137"/>
    <w:rsid w:val="003B3856"/>
    <w:rsid w:val="003B4A2E"/>
    <w:rsid w:val="003B4D76"/>
    <w:rsid w:val="003B515B"/>
    <w:rsid w:val="003B5663"/>
    <w:rsid w:val="003B5F2E"/>
    <w:rsid w:val="003B6731"/>
    <w:rsid w:val="003B6B00"/>
    <w:rsid w:val="003C20F3"/>
    <w:rsid w:val="003C2570"/>
    <w:rsid w:val="003C3FE0"/>
    <w:rsid w:val="003C585F"/>
    <w:rsid w:val="003C5BE4"/>
    <w:rsid w:val="003C603A"/>
    <w:rsid w:val="003C75D8"/>
    <w:rsid w:val="003C760B"/>
    <w:rsid w:val="003D116D"/>
    <w:rsid w:val="003D12FF"/>
    <w:rsid w:val="003D1536"/>
    <w:rsid w:val="003D161B"/>
    <w:rsid w:val="003D18E5"/>
    <w:rsid w:val="003D1FF3"/>
    <w:rsid w:val="003D2124"/>
    <w:rsid w:val="003D2883"/>
    <w:rsid w:val="003D3B09"/>
    <w:rsid w:val="003D4002"/>
    <w:rsid w:val="003D408F"/>
    <w:rsid w:val="003D4721"/>
    <w:rsid w:val="003D50E7"/>
    <w:rsid w:val="003D5160"/>
    <w:rsid w:val="003D53FE"/>
    <w:rsid w:val="003D541C"/>
    <w:rsid w:val="003D5BE6"/>
    <w:rsid w:val="003D62A3"/>
    <w:rsid w:val="003D678D"/>
    <w:rsid w:val="003D6A54"/>
    <w:rsid w:val="003D7B1D"/>
    <w:rsid w:val="003E04F9"/>
    <w:rsid w:val="003E1335"/>
    <w:rsid w:val="003E1780"/>
    <w:rsid w:val="003E217E"/>
    <w:rsid w:val="003E281A"/>
    <w:rsid w:val="003E2E82"/>
    <w:rsid w:val="003E2FFE"/>
    <w:rsid w:val="003E5B18"/>
    <w:rsid w:val="003E5BAF"/>
    <w:rsid w:val="003E60E5"/>
    <w:rsid w:val="003E66E0"/>
    <w:rsid w:val="003E680F"/>
    <w:rsid w:val="003E6A9D"/>
    <w:rsid w:val="003E6D16"/>
    <w:rsid w:val="003F05FC"/>
    <w:rsid w:val="003F1885"/>
    <w:rsid w:val="003F30F9"/>
    <w:rsid w:val="003F3354"/>
    <w:rsid w:val="003F47E0"/>
    <w:rsid w:val="003F4852"/>
    <w:rsid w:val="003F4B82"/>
    <w:rsid w:val="003F5EB0"/>
    <w:rsid w:val="003F64DB"/>
    <w:rsid w:val="003F6FEF"/>
    <w:rsid w:val="003F7BC8"/>
    <w:rsid w:val="003F7F34"/>
    <w:rsid w:val="00400250"/>
    <w:rsid w:val="00400A23"/>
    <w:rsid w:val="00400EE7"/>
    <w:rsid w:val="00402BA7"/>
    <w:rsid w:val="00402DD6"/>
    <w:rsid w:val="00404ACB"/>
    <w:rsid w:val="00404E82"/>
    <w:rsid w:val="004050AA"/>
    <w:rsid w:val="00405858"/>
    <w:rsid w:val="00405D78"/>
    <w:rsid w:val="00407A5D"/>
    <w:rsid w:val="00407E13"/>
    <w:rsid w:val="004101CC"/>
    <w:rsid w:val="004116E7"/>
    <w:rsid w:val="00411723"/>
    <w:rsid w:val="00411921"/>
    <w:rsid w:val="00411E9D"/>
    <w:rsid w:val="00412EB3"/>
    <w:rsid w:val="004140AE"/>
    <w:rsid w:val="0041506E"/>
    <w:rsid w:val="004154AE"/>
    <w:rsid w:val="00415CFD"/>
    <w:rsid w:val="004168AD"/>
    <w:rsid w:val="00416F78"/>
    <w:rsid w:val="00420153"/>
    <w:rsid w:val="00420558"/>
    <w:rsid w:val="0042191C"/>
    <w:rsid w:val="00424316"/>
    <w:rsid w:val="00426574"/>
    <w:rsid w:val="00426CED"/>
    <w:rsid w:val="0042764A"/>
    <w:rsid w:val="00427E2E"/>
    <w:rsid w:val="00430FAA"/>
    <w:rsid w:val="0043138B"/>
    <w:rsid w:val="00431868"/>
    <w:rsid w:val="00431EDA"/>
    <w:rsid w:val="004324B3"/>
    <w:rsid w:val="00433449"/>
    <w:rsid w:val="0043375C"/>
    <w:rsid w:val="004345EA"/>
    <w:rsid w:val="00434DD7"/>
    <w:rsid w:val="00435943"/>
    <w:rsid w:val="00435CE6"/>
    <w:rsid w:val="00436252"/>
    <w:rsid w:val="00437D4D"/>
    <w:rsid w:val="00441A20"/>
    <w:rsid w:val="00441B92"/>
    <w:rsid w:val="00443311"/>
    <w:rsid w:val="004436B9"/>
    <w:rsid w:val="00443E18"/>
    <w:rsid w:val="00446316"/>
    <w:rsid w:val="00446CD5"/>
    <w:rsid w:val="004500F0"/>
    <w:rsid w:val="00450DEB"/>
    <w:rsid w:val="00451C6F"/>
    <w:rsid w:val="004522A7"/>
    <w:rsid w:val="00452AFB"/>
    <w:rsid w:val="00452D1E"/>
    <w:rsid w:val="004555B2"/>
    <w:rsid w:val="004555E6"/>
    <w:rsid w:val="00455C21"/>
    <w:rsid w:val="00455C73"/>
    <w:rsid w:val="00455DE9"/>
    <w:rsid w:val="004566AC"/>
    <w:rsid w:val="004567E0"/>
    <w:rsid w:val="00456CE6"/>
    <w:rsid w:val="00460664"/>
    <w:rsid w:val="00460F53"/>
    <w:rsid w:val="004632A6"/>
    <w:rsid w:val="00464983"/>
    <w:rsid w:val="00464990"/>
    <w:rsid w:val="00464BA6"/>
    <w:rsid w:val="00464C54"/>
    <w:rsid w:val="004652CD"/>
    <w:rsid w:val="004657D2"/>
    <w:rsid w:val="00466075"/>
    <w:rsid w:val="004676A1"/>
    <w:rsid w:val="004678DD"/>
    <w:rsid w:val="00470406"/>
    <w:rsid w:val="00470C5B"/>
    <w:rsid w:val="00470F26"/>
    <w:rsid w:val="00472626"/>
    <w:rsid w:val="00472BFB"/>
    <w:rsid w:val="0047328E"/>
    <w:rsid w:val="00473B8B"/>
    <w:rsid w:val="004740C2"/>
    <w:rsid w:val="00475F2F"/>
    <w:rsid w:val="004767AD"/>
    <w:rsid w:val="00476B0D"/>
    <w:rsid w:val="00476BDE"/>
    <w:rsid w:val="00477319"/>
    <w:rsid w:val="00477921"/>
    <w:rsid w:val="00477F14"/>
    <w:rsid w:val="004802A9"/>
    <w:rsid w:val="00480913"/>
    <w:rsid w:val="004812E9"/>
    <w:rsid w:val="00482338"/>
    <w:rsid w:val="0048274C"/>
    <w:rsid w:val="00484259"/>
    <w:rsid w:val="00484A58"/>
    <w:rsid w:val="00486BE5"/>
    <w:rsid w:val="004904C1"/>
    <w:rsid w:val="00490C52"/>
    <w:rsid w:val="00491D41"/>
    <w:rsid w:val="004921AC"/>
    <w:rsid w:val="004921CA"/>
    <w:rsid w:val="00493953"/>
    <w:rsid w:val="004955E7"/>
    <w:rsid w:val="00495E17"/>
    <w:rsid w:val="00497D48"/>
    <w:rsid w:val="004A05B8"/>
    <w:rsid w:val="004A174F"/>
    <w:rsid w:val="004A18CD"/>
    <w:rsid w:val="004A1972"/>
    <w:rsid w:val="004A1A4F"/>
    <w:rsid w:val="004A26C6"/>
    <w:rsid w:val="004A471C"/>
    <w:rsid w:val="004A491C"/>
    <w:rsid w:val="004A50DD"/>
    <w:rsid w:val="004A5214"/>
    <w:rsid w:val="004A5415"/>
    <w:rsid w:val="004A5DC5"/>
    <w:rsid w:val="004A6B4F"/>
    <w:rsid w:val="004A7436"/>
    <w:rsid w:val="004A7853"/>
    <w:rsid w:val="004B068A"/>
    <w:rsid w:val="004B0E74"/>
    <w:rsid w:val="004B2089"/>
    <w:rsid w:val="004B226F"/>
    <w:rsid w:val="004B2EE8"/>
    <w:rsid w:val="004B3345"/>
    <w:rsid w:val="004B435F"/>
    <w:rsid w:val="004B5120"/>
    <w:rsid w:val="004B5474"/>
    <w:rsid w:val="004B5656"/>
    <w:rsid w:val="004B720E"/>
    <w:rsid w:val="004B73AB"/>
    <w:rsid w:val="004C1F46"/>
    <w:rsid w:val="004C2642"/>
    <w:rsid w:val="004C279B"/>
    <w:rsid w:val="004C2D54"/>
    <w:rsid w:val="004C2EBF"/>
    <w:rsid w:val="004C3C0C"/>
    <w:rsid w:val="004C42E1"/>
    <w:rsid w:val="004C48B0"/>
    <w:rsid w:val="004C5832"/>
    <w:rsid w:val="004C59EA"/>
    <w:rsid w:val="004C6817"/>
    <w:rsid w:val="004D0799"/>
    <w:rsid w:val="004D11A6"/>
    <w:rsid w:val="004D17CB"/>
    <w:rsid w:val="004D2358"/>
    <w:rsid w:val="004D3EFA"/>
    <w:rsid w:val="004D4086"/>
    <w:rsid w:val="004D459E"/>
    <w:rsid w:val="004DB4D8"/>
    <w:rsid w:val="004E025B"/>
    <w:rsid w:val="004E0D1B"/>
    <w:rsid w:val="004E0FB2"/>
    <w:rsid w:val="004E109C"/>
    <w:rsid w:val="004E2A19"/>
    <w:rsid w:val="004E37CC"/>
    <w:rsid w:val="004E3E62"/>
    <w:rsid w:val="004E3F15"/>
    <w:rsid w:val="004E4441"/>
    <w:rsid w:val="004E482B"/>
    <w:rsid w:val="004E5E38"/>
    <w:rsid w:val="004E5F86"/>
    <w:rsid w:val="004E6D36"/>
    <w:rsid w:val="004E6E13"/>
    <w:rsid w:val="004E7052"/>
    <w:rsid w:val="004E7B54"/>
    <w:rsid w:val="004F1F02"/>
    <w:rsid w:val="004F21EF"/>
    <w:rsid w:val="004F2DF0"/>
    <w:rsid w:val="004F32B1"/>
    <w:rsid w:val="004F37BD"/>
    <w:rsid w:val="004F3A4B"/>
    <w:rsid w:val="004F3B1C"/>
    <w:rsid w:val="004F3EF3"/>
    <w:rsid w:val="004F5031"/>
    <w:rsid w:val="004F5380"/>
    <w:rsid w:val="004F711B"/>
    <w:rsid w:val="005000E8"/>
    <w:rsid w:val="005009BC"/>
    <w:rsid w:val="00500ECD"/>
    <w:rsid w:val="00500F9F"/>
    <w:rsid w:val="00500FD4"/>
    <w:rsid w:val="0050203E"/>
    <w:rsid w:val="00502137"/>
    <w:rsid w:val="005024FD"/>
    <w:rsid w:val="00504668"/>
    <w:rsid w:val="00506058"/>
    <w:rsid w:val="005064EC"/>
    <w:rsid w:val="005067F5"/>
    <w:rsid w:val="00506B8A"/>
    <w:rsid w:val="0051032A"/>
    <w:rsid w:val="00510EC8"/>
    <w:rsid w:val="00510F87"/>
    <w:rsid w:val="005116A3"/>
    <w:rsid w:val="0051182F"/>
    <w:rsid w:val="00513B43"/>
    <w:rsid w:val="00513E6B"/>
    <w:rsid w:val="00514CBE"/>
    <w:rsid w:val="00515A5B"/>
    <w:rsid w:val="005173D6"/>
    <w:rsid w:val="00517701"/>
    <w:rsid w:val="0051784A"/>
    <w:rsid w:val="00517BEE"/>
    <w:rsid w:val="0052120F"/>
    <w:rsid w:val="005250C4"/>
    <w:rsid w:val="00526001"/>
    <w:rsid w:val="00526863"/>
    <w:rsid w:val="00526D34"/>
    <w:rsid w:val="005270FA"/>
    <w:rsid w:val="00527D44"/>
    <w:rsid w:val="0053104F"/>
    <w:rsid w:val="00533097"/>
    <w:rsid w:val="00533D3A"/>
    <w:rsid w:val="00536A36"/>
    <w:rsid w:val="00537A23"/>
    <w:rsid w:val="00540FE1"/>
    <w:rsid w:val="00542921"/>
    <w:rsid w:val="00542C90"/>
    <w:rsid w:val="00542FD1"/>
    <w:rsid w:val="00545163"/>
    <w:rsid w:val="0054566C"/>
    <w:rsid w:val="00545BCC"/>
    <w:rsid w:val="00546476"/>
    <w:rsid w:val="0054758C"/>
    <w:rsid w:val="00547A00"/>
    <w:rsid w:val="00550751"/>
    <w:rsid w:val="005508A4"/>
    <w:rsid w:val="00551044"/>
    <w:rsid w:val="005514CB"/>
    <w:rsid w:val="00552304"/>
    <w:rsid w:val="00552979"/>
    <w:rsid w:val="00552E06"/>
    <w:rsid w:val="0055410A"/>
    <w:rsid w:val="00555853"/>
    <w:rsid w:val="005564BC"/>
    <w:rsid w:val="00556A46"/>
    <w:rsid w:val="00557B8B"/>
    <w:rsid w:val="00560280"/>
    <w:rsid w:val="00560342"/>
    <w:rsid w:val="00560EA2"/>
    <w:rsid w:val="00562564"/>
    <w:rsid w:val="005654F7"/>
    <w:rsid w:val="005661E8"/>
    <w:rsid w:val="005678D2"/>
    <w:rsid w:val="00570301"/>
    <w:rsid w:val="00570D89"/>
    <w:rsid w:val="00572164"/>
    <w:rsid w:val="00572F2C"/>
    <w:rsid w:val="005736AA"/>
    <w:rsid w:val="00573907"/>
    <w:rsid w:val="005766BC"/>
    <w:rsid w:val="00576F7D"/>
    <w:rsid w:val="00577796"/>
    <w:rsid w:val="00581B2E"/>
    <w:rsid w:val="005826B8"/>
    <w:rsid w:val="00583555"/>
    <w:rsid w:val="00583DEA"/>
    <w:rsid w:val="00584ABF"/>
    <w:rsid w:val="00585345"/>
    <w:rsid w:val="00586119"/>
    <w:rsid w:val="0058750B"/>
    <w:rsid w:val="00590A0C"/>
    <w:rsid w:val="00591C7B"/>
    <w:rsid w:val="00592D77"/>
    <w:rsid w:val="005930A7"/>
    <w:rsid w:val="0059316B"/>
    <w:rsid w:val="0059388E"/>
    <w:rsid w:val="00594099"/>
    <w:rsid w:val="00595D1B"/>
    <w:rsid w:val="005A01AA"/>
    <w:rsid w:val="005A050B"/>
    <w:rsid w:val="005A0B09"/>
    <w:rsid w:val="005A180D"/>
    <w:rsid w:val="005A2BC8"/>
    <w:rsid w:val="005A36E2"/>
    <w:rsid w:val="005A379C"/>
    <w:rsid w:val="005A4898"/>
    <w:rsid w:val="005A5E07"/>
    <w:rsid w:val="005A62B6"/>
    <w:rsid w:val="005A6520"/>
    <w:rsid w:val="005A693C"/>
    <w:rsid w:val="005A6F11"/>
    <w:rsid w:val="005A70BC"/>
    <w:rsid w:val="005B0225"/>
    <w:rsid w:val="005B088E"/>
    <w:rsid w:val="005B156E"/>
    <w:rsid w:val="005B3444"/>
    <w:rsid w:val="005B373B"/>
    <w:rsid w:val="005B3D51"/>
    <w:rsid w:val="005B3F10"/>
    <w:rsid w:val="005B4A7A"/>
    <w:rsid w:val="005B5E23"/>
    <w:rsid w:val="005B6DD3"/>
    <w:rsid w:val="005B6F93"/>
    <w:rsid w:val="005B7DB0"/>
    <w:rsid w:val="005C12E1"/>
    <w:rsid w:val="005C46E6"/>
    <w:rsid w:val="005C6452"/>
    <w:rsid w:val="005C6477"/>
    <w:rsid w:val="005C7756"/>
    <w:rsid w:val="005C78AF"/>
    <w:rsid w:val="005D02C5"/>
    <w:rsid w:val="005D0898"/>
    <w:rsid w:val="005D1322"/>
    <w:rsid w:val="005D176A"/>
    <w:rsid w:val="005D2C5E"/>
    <w:rsid w:val="005D2E67"/>
    <w:rsid w:val="005D3800"/>
    <w:rsid w:val="005D4AB6"/>
    <w:rsid w:val="005D51C0"/>
    <w:rsid w:val="005D5407"/>
    <w:rsid w:val="005D567A"/>
    <w:rsid w:val="005D7271"/>
    <w:rsid w:val="005D7AF9"/>
    <w:rsid w:val="005E0607"/>
    <w:rsid w:val="005E0659"/>
    <w:rsid w:val="005E1AC1"/>
    <w:rsid w:val="005E1BA2"/>
    <w:rsid w:val="005E271C"/>
    <w:rsid w:val="005E36E8"/>
    <w:rsid w:val="005E4579"/>
    <w:rsid w:val="005E48E0"/>
    <w:rsid w:val="005E514C"/>
    <w:rsid w:val="005E55CA"/>
    <w:rsid w:val="005E5EFF"/>
    <w:rsid w:val="005E72EB"/>
    <w:rsid w:val="005E7B3E"/>
    <w:rsid w:val="005F0303"/>
    <w:rsid w:val="005F23B6"/>
    <w:rsid w:val="005F3063"/>
    <w:rsid w:val="005F35EA"/>
    <w:rsid w:val="005F399D"/>
    <w:rsid w:val="005F3BA1"/>
    <w:rsid w:val="005F3EA6"/>
    <w:rsid w:val="005F4819"/>
    <w:rsid w:val="005F64F7"/>
    <w:rsid w:val="005F680E"/>
    <w:rsid w:val="00600497"/>
    <w:rsid w:val="0060100F"/>
    <w:rsid w:val="006010D6"/>
    <w:rsid w:val="00601B82"/>
    <w:rsid w:val="00602701"/>
    <w:rsid w:val="00605510"/>
    <w:rsid w:val="00605F42"/>
    <w:rsid w:val="00606F2B"/>
    <w:rsid w:val="006100FC"/>
    <w:rsid w:val="006127FE"/>
    <w:rsid w:val="00612D52"/>
    <w:rsid w:val="00612FB1"/>
    <w:rsid w:val="00614190"/>
    <w:rsid w:val="00616804"/>
    <w:rsid w:val="00616E0A"/>
    <w:rsid w:val="006211D3"/>
    <w:rsid w:val="0062170F"/>
    <w:rsid w:val="006219C9"/>
    <w:rsid w:val="0062266B"/>
    <w:rsid w:val="00622912"/>
    <w:rsid w:val="00622D4A"/>
    <w:rsid w:val="00622FE0"/>
    <w:rsid w:val="00623804"/>
    <w:rsid w:val="00623B52"/>
    <w:rsid w:val="006254C0"/>
    <w:rsid w:val="00625F43"/>
    <w:rsid w:val="0062625E"/>
    <w:rsid w:val="00626D22"/>
    <w:rsid w:val="006305F7"/>
    <w:rsid w:val="00630BD4"/>
    <w:rsid w:val="00631BA6"/>
    <w:rsid w:val="006338AD"/>
    <w:rsid w:val="00634443"/>
    <w:rsid w:val="00635A14"/>
    <w:rsid w:val="00636DF1"/>
    <w:rsid w:val="00640672"/>
    <w:rsid w:val="006409A7"/>
    <w:rsid w:val="00641687"/>
    <w:rsid w:val="00642832"/>
    <w:rsid w:val="0064285F"/>
    <w:rsid w:val="00642AD2"/>
    <w:rsid w:val="00643070"/>
    <w:rsid w:val="00643FBE"/>
    <w:rsid w:val="00644B74"/>
    <w:rsid w:val="00644FA0"/>
    <w:rsid w:val="006454BA"/>
    <w:rsid w:val="00645E70"/>
    <w:rsid w:val="006462E1"/>
    <w:rsid w:val="00646974"/>
    <w:rsid w:val="00646E73"/>
    <w:rsid w:val="00650279"/>
    <w:rsid w:val="00650433"/>
    <w:rsid w:val="006507C9"/>
    <w:rsid w:val="00651887"/>
    <w:rsid w:val="00652273"/>
    <w:rsid w:val="00653020"/>
    <w:rsid w:val="00653594"/>
    <w:rsid w:val="00654FBA"/>
    <w:rsid w:val="00655494"/>
    <w:rsid w:val="006562BF"/>
    <w:rsid w:val="006574EE"/>
    <w:rsid w:val="006578B6"/>
    <w:rsid w:val="0066193F"/>
    <w:rsid w:val="006623BE"/>
    <w:rsid w:val="00662D7D"/>
    <w:rsid w:val="00666F7B"/>
    <w:rsid w:val="00667EED"/>
    <w:rsid w:val="00670646"/>
    <w:rsid w:val="00670E35"/>
    <w:rsid w:val="0067283E"/>
    <w:rsid w:val="00672AB9"/>
    <w:rsid w:val="00674839"/>
    <w:rsid w:val="00675D65"/>
    <w:rsid w:val="00676B73"/>
    <w:rsid w:val="006773A8"/>
    <w:rsid w:val="006778C1"/>
    <w:rsid w:val="00677AEC"/>
    <w:rsid w:val="00681011"/>
    <w:rsid w:val="006811C8"/>
    <w:rsid w:val="006825BE"/>
    <w:rsid w:val="006840EA"/>
    <w:rsid w:val="0068429D"/>
    <w:rsid w:val="00684585"/>
    <w:rsid w:val="006848A9"/>
    <w:rsid w:val="00686E5D"/>
    <w:rsid w:val="00687407"/>
    <w:rsid w:val="00687C26"/>
    <w:rsid w:val="00690392"/>
    <w:rsid w:val="006903A8"/>
    <w:rsid w:val="00690C80"/>
    <w:rsid w:val="00693984"/>
    <w:rsid w:val="006950D8"/>
    <w:rsid w:val="0069591B"/>
    <w:rsid w:val="00695986"/>
    <w:rsid w:val="00696320"/>
    <w:rsid w:val="00696EB2"/>
    <w:rsid w:val="006A03CB"/>
    <w:rsid w:val="006A09A9"/>
    <w:rsid w:val="006A0F5F"/>
    <w:rsid w:val="006A11AD"/>
    <w:rsid w:val="006A19E9"/>
    <w:rsid w:val="006A2811"/>
    <w:rsid w:val="006A2845"/>
    <w:rsid w:val="006A4FD1"/>
    <w:rsid w:val="006A628E"/>
    <w:rsid w:val="006A6BCB"/>
    <w:rsid w:val="006A734D"/>
    <w:rsid w:val="006A75EE"/>
    <w:rsid w:val="006B0209"/>
    <w:rsid w:val="006B0274"/>
    <w:rsid w:val="006B0F17"/>
    <w:rsid w:val="006B1D19"/>
    <w:rsid w:val="006B273B"/>
    <w:rsid w:val="006B30C9"/>
    <w:rsid w:val="006B3882"/>
    <w:rsid w:val="006B39D5"/>
    <w:rsid w:val="006B3E5A"/>
    <w:rsid w:val="006B5EA0"/>
    <w:rsid w:val="006B7474"/>
    <w:rsid w:val="006C146A"/>
    <w:rsid w:val="006C19EB"/>
    <w:rsid w:val="006C1C1C"/>
    <w:rsid w:val="006C3588"/>
    <w:rsid w:val="006C35E3"/>
    <w:rsid w:val="006C372E"/>
    <w:rsid w:val="006C4191"/>
    <w:rsid w:val="006C49AD"/>
    <w:rsid w:val="006C510C"/>
    <w:rsid w:val="006C54EB"/>
    <w:rsid w:val="006C5971"/>
    <w:rsid w:val="006C67F6"/>
    <w:rsid w:val="006C7214"/>
    <w:rsid w:val="006C7ED8"/>
    <w:rsid w:val="006D0D18"/>
    <w:rsid w:val="006D11E2"/>
    <w:rsid w:val="006D1DD5"/>
    <w:rsid w:val="006D2227"/>
    <w:rsid w:val="006D3FF1"/>
    <w:rsid w:val="006D4779"/>
    <w:rsid w:val="006D4826"/>
    <w:rsid w:val="006D4B72"/>
    <w:rsid w:val="006D4E70"/>
    <w:rsid w:val="006D6ED3"/>
    <w:rsid w:val="006D705E"/>
    <w:rsid w:val="006D7F9B"/>
    <w:rsid w:val="006E0FB0"/>
    <w:rsid w:val="006E1507"/>
    <w:rsid w:val="006E1632"/>
    <w:rsid w:val="006E1DC6"/>
    <w:rsid w:val="006E1F4C"/>
    <w:rsid w:val="006E2FEF"/>
    <w:rsid w:val="006E3677"/>
    <w:rsid w:val="006E3C97"/>
    <w:rsid w:val="006E4754"/>
    <w:rsid w:val="006E6115"/>
    <w:rsid w:val="006E627C"/>
    <w:rsid w:val="006E7778"/>
    <w:rsid w:val="006F097E"/>
    <w:rsid w:val="006F15BC"/>
    <w:rsid w:val="006F164E"/>
    <w:rsid w:val="006F22AD"/>
    <w:rsid w:val="006F3881"/>
    <w:rsid w:val="006F3A80"/>
    <w:rsid w:val="006F5804"/>
    <w:rsid w:val="006F779C"/>
    <w:rsid w:val="007001CE"/>
    <w:rsid w:val="0070112F"/>
    <w:rsid w:val="007015B0"/>
    <w:rsid w:val="00702693"/>
    <w:rsid w:val="00702A62"/>
    <w:rsid w:val="00702B59"/>
    <w:rsid w:val="00703618"/>
    <w:rsid w:val="00704E5E"/>
    <w:rsid w:val="00704F03"/>
    <w:rsid w:val="00705378"/>
    <w:rsid w:val="00710D36"/>
    <w:rsid w:val="00710E7E"/>
    <w:rsid w:val="00712230"/>
    <w:rsid w:val="00712775"/>
    <w:rsid w:val="00712813"/>
    <w:rsid w:val="007149B0"/>
    <w:rsid w:val="00714A3B"/>
    <w:rsid w:val="00715425"/>
    <w:rsid w:val="007161E5"/>
    <w:rsid w:val="0071716B"/>
    <w:rsid w:val="00717A33"/>
    <w:rsid w:val="00717B28"/>
    <w:rsid w:val="0072051D"/>
    <w:rsid w:val="0072105D"/>
    <w:rsid w:val="007212FF"/>
    <w:rsid w:val="00721CDA"/>
    <w:rsid w:val="007228D3"/>
    <w:rsid w:val="007240FD"/>
    <w:rsid w:val="0072585D"/>
    <w:rsid w:val="00726CC8"/>
    <w:rsid w:val="00727604"/>
    <w:rsid w:val="00733DC1"/>
    <w:rsid w:val="00733FFA"/>
    <w:rsid w:val="0073411E"/>
    <w:rsid w:val="007347B7"/>
    <w:rsid w:val="00734FF7"/>
    <w:rsid w:val="0073523C"/>
    <w:rsid w:val="0073611E"/>
    <w:rsid w:val="00741275"/>
    <w:rsid w:val="00741D67"/>
    <w:rsid w:val="00743598"/>
    <w:rsid w:val="00743C76"/>
    <w:rsid w:val="00743E2A"/>
    <w:rsid w:val="00744A08"/>
    <w:rsid w:val="007455E4"/>
    <w:rsid w:val="007460CF"/>
    <w:rsid w:val="00746502"/>
    <w:rsid w:val="00746ECF"/>
    <w:rsid w:val="007473BE"/>
    <w:rsid w:val="00747A99"/>
    <w:rsid w:val="00747C28"/>
    <w:rsid w:val="00750CBA"/>
    <w:rsid w:val="0075163B"/>
    <w:rsid w:val="00751AF1"/>
    <w:rsid w:val="00751EED"/>
    <w:rsid w:val="00752E44"/>
    <w:rsid w:val="007545A0"/>
    <w:rsid w:val="00754816"/>
    <w:rsid w:val="00754F1C"/>
    <w:rsid w:val="00755316"/>
    <w:rsid w:val="00755576"/>
    <w:rsid w:val="00756E8C"/>
    <w:rsid w:val="007609D2"/>
    <w:rsid w:val="00761E5E"/>
    <w:rsid w:val="00761EE4"/>
    <w:rsid w:val="00762647"/>
    <w:rsid w:val="007640A7"/>
    <w:rsid w:val="007641E7"/>
    <w:rsid w:val="00764430"/>
    <w:rsid w:val="007644C4"/>
    <w:rsid w:val="00764642"/>
    <w:rsid w:val="00764859"/>
    <w:rsid w:val="00765325"/>
    <w:rsid w:val="007661C2"/>
    <w:rsid w:val="007665BF"/>
    <w:rsid w:val="00766A0F"/>
    <w:rsid w:val="00766A96"/>
    <w:rsid w:val="00766FCE"/>
    <w:rsid w:val="0076745C"/>
    <w:rsid w:val="0077035E"/>
    <w:rsid w:val="00770F28"/>
    <w:rsid w:val="007713CB"/>
    <w:rsid w:val="0077180E"/>
    <w:rsid w:val="00771FB6"/>
    <w:rsid w:val="0077318E"/>
    <w:rsid w:val="00773407"/>
    <w:rsid w:val="00773586"/>
    <w:rsid w:val="007737B4"/>
    <w:rsid w:val="00774D10"/>
    <w:rsid w:val="00775A6B"/>
    <w:rsid w:val="00775F51"/>
    <w:rsid w:val="0077758E"/>
    <w:rsid w:val="00777D4B"/>
    <w:rsid w:val="007806ED"/>
    <w:rsid w:val="00781B95"/>
    <w:rsid w:val="007826C2"/>
    <w:rsid w:val="00782B98"/>
    <w:rsid w:val="00782EB0"/>
    <w:rsid w:val="0078308D"/>
    <w:rsid w:val="0078397E"/>
    <w:rsid w:val="00784274"/>
    <w:rsid w:val="0078439E"/>
    <w:rsid w:val="00784A26"/>
    <w:rsid w:val="00784A69"/>
    <w:rsid w:val="0078541D"/>
    <w:rsid w:val="00785AD1"/>
    <w:rsid w:val="00785C26"/>
    <w:rsid w:val="007867C9"/>
    <w:rsid w:val="007870EB"/>
    <w:rsid w:val="007917D7"/>
    <w:rsid w:val="00791A99"/>
    <w:rsid w:val="00793BD6"/>
    <w:rsid w:val="00793ED2"/>
    <w:rsid w:val="00794999"/>
    <w:rsid w:val="00794C78"/>
    <w:rsid w:val="007950BF"/>
    <w:rsid w:val="007A0673"/>
    <w:rsid w:val="007A1722"/>
    <w:rsid w:val="007A2B1E"/>
    <w:rsid w:val="007A348A"/>
    <w:rsid w:val="007A5A2D"/>
    <w:rsid w:val="007A6A23"/>
    <w:rsid w:val="007A7662"/>
    <w:rsid w:val="007B0F57"/>
    <w:rsid w:val="007B225E"/>
    <w:rsid w:val="007B2B57"/>
    <w:rsid w:val="007B3008"/>
    <w:rsid w:val="007B4865"/>
    <w:rsid w:val="007B5483"/>
    <w:rsid w:val="007B5D16"/>
    <w:rsid w:val="007B6E4D"/>
    <w:rsid w:val="007C26EA"/>
    <w:rsid w:val="007C3761"/>
    <w:rsid w:val="007C41C6"/>
    <w:rsid w:val="007C5745"/>
    <w:rsid w:val="007C5E20"/>
    <w:rsid w:val="007C6B06"/>
    <w:rsid w:val="007C712B"/>
    <w:rsid w:val="007D046F"/>
    <w:rsid w:val="007D125D"/>
    <w:rsid w:val="007D13FB"/>
    <w:rsid w:val="007D2A75"/>
    <w:rsid w:val="007D4A54"/>
    <w:rsid w:val="007D4F99"/>
    <w:rsid w:val="007D6558"/>
    <w:rsid w:val="007D667B"/>
    <w:rsid w:val="007D7656"/>
    <w:rsid w:val="007D7793"/>
    <w:rsid w:val="007E1FED"/>
    <w:rsid w:val="007E2685"/>
    <w:rsid w:val="007E313B"/>
    <w:rsid w:val="007E5015"/>
    <w:rsid w:val="007E5125"/>
    <w:rsid w:val="007E5A7B"/>
    <w:rsid w:val="007F05BB"/>
    <w:rsid w:val="007F0FE6"/>
    <w:rsid w:val="007F0FF4"/>
    <w:rsid w:val="007F180B"/>
    <w:rsid w:val="007F1B13"/>
    <w:rsid w:val="007F1BED"/>
    <w:rsid w:val="007F240A"/>
    <w:rsid w:val="007F26B5"/>
    <w:rsid w:val="007F27EB"/>
    <w:rsid w:val="007F4162"/>
    <w:rsid w:val="007F4A92"/>
    <w:rsid w:val="007F54A6"/>
    <w:rsid w:val="007F64C5"/>
    <w:rsid w:val="007F6A96"/>
    <w:rsid w:val="007F74CD"/>
    <w:rsid w:val="007F76B0"/>
    <w:rsid w:val="00800C05"/>
    <w:rsid w:val="00801B4A"/>
    <w:rsid w:val="00802766"/>
    <w:rsid w:val="008034C5"/>
    <w:rsid w:val="0080379C"/>
    <w:rsid w:val="00803B03"/>
    <w:rsid w:val="00804A0E"/>
    <w:rsid w:val="00804E38"/>
    <w:rsid w:val="00805553"/>
    <w:rsid w:val="008055E9"/>
    <w:rsid w:val="008070CE"/>
    <w:rsid w:val="00807CB3"/>
    <w:rsid w:val="00810C3B"/>
    <w:rsid w:val="0081156F"/>
    <w:rsid w:val="008117F9"/>
    <w:rsid w:val="00814356"/>
    <w:rsid w:val="00814399"/>
    <w:rsid w:val="0081458F"/>
    <w:rsid w:val="008179DA"/>
    <w:rsid w:val="00817AB7"/>
    <w:rsid w:val="00820BF3"/>
    <w:rsid w:val="0082222E"/>
    <w:rsid w:val="00822862"/>
    <w:rsid w:val="008235E2"/>
    <w:rsid w:val="00823850"/>
    <w:rsid w:val="00823A0A"/>
    <w:rsid w:val="00823DA0"/>
    <w:rsid w:val="008255EF"/>
    <w:rsid w:val="00827508"/>
    <w:rsid w:val="00827A8E"/>
    <w:rsid w:val="00827CCB"/>
    <w:rsid w:val="00830B4A"/>
    <w:rsid w:val="008324F2"/>
    <w:rsid w:val="0083256F"/>
    <w:rsid w:val="00832C5C"/>
    <w:rsid w:val="00833637"/>
    <w:rsid w:val="008347F5"/>
    <w:rsid w:val="00834E2C"/>
    <w:rsid w:val="00835220"/>
    <w:rsid w:val="008354D7"/>
    <w:rsid w:val="00835E6F"/>
    <w:rsid w:val="008362F2"/>
    <w:rsid w:val="00836790"/>
    <w:rsid w:val="00836EE5"/>
    <w:rsid w:val="00837047"/>
    <w:rsid w:val="00841B1A"/>
    <w:rsid w:val="00841BB1"/>
    <w:rsid w:val="00844900"/>
    <w:rsid w:val="00845DAD"/>
    <w:rsid w:val="008472BD"/>
    <w:rsid w:val="008472D5"/>
    <w:rsid w:val="00847534"/>
    <w:rsid w:val="00853C7B"/>
    <w:rsid w:val="00856A97"/>
    <w:rsid w:val="0085709A"/>
    <w:rsid w:val="008611F4"/>
    <w:rsid w:val="00861305"/>
    <w:rsid w:val="00861C4F"/>
    <w:rsid w:val="008620D2"/>
    <w:rsid w:val="00862555"/>
    <w:rsid w:val="0086291E"/>
    <w:rsid w:val="00862ED8"/>
    <w:rsid w:val="008631BD"/>
    <w:rsid w:val="00864201"/>
    <w:rsid w:val="008665DA"/>
    <w:rsid w:val="008666CB"/>
    <w:rsid w:val="00866B21"/>
    <w:rsid w:val="00866B7F"/>
    <w:rsid w:val="00867DFA"/>
    <w:rsid w:val="00872407"/>
    <w:rsid w:val="008726B6"/>
    <w:rsid w:val="00872F15"/>
    <w:rsid w:val="00873BFC"/>
    <w:rsid w:val="00874162"/>
    <w:rsid w:val="00875D80"/>
    <w:rsid w:val="0087640A"/>
    <w:rsid w:val="008768BA"/>
    <w:rsid w:val="00880039"/>
    <w:rsid w:val="00880180"/>
    <w:rsid w:val="0088127B"/>
    <w:rsid w:val="00882E89"/>
    <w:rsid w:val="00883030"/>
    <w:rsid w:val="008839AB"/>
    <w:rsid w:val="00883A00"/>
    <w:rsid w:val="00884748"/>
    <w:rsid w:val="008859FE"/>
    <w:rsid w:val="008860BF"/>
    <w:rsid w:val="0088664F"/>
    <w:rsid w:val="008903D3"/>
    <w:rsid w:val="008928C0"/>
    <w:rsid w:val="00892D0F"/>
    <w:rsid w:val="008930DB"/>
    <w:rsid w:val="00893628"/>
    <w:rsid w:val="00894022"/>
    <w:rsid w:val="00894A83"/>
    <w:rsid w:val="00894DEB"/>
    <w:rsid w:val="0089546E"/>
    <w:rsid w:val="00896DD0"/>
    <w:rsid w:val="00897FE4"/>
    <w:rsid w:val="008A19CC"/>
    <w:rsid w:val="008A333F"/>
    <w:rsid w:val="008A363F"/>
    <w:rsid w:val="008A3A5D"/>
    <w:rsid w:val="008A441D"/>
    <w:rsid w:val="008A464B"/>
    <w:rsid w:val="008A4FBF"/>
    <w:rsid w:val="008A5181"/>
    <w:rsid w:val="008A58CC"/>
    <w:rsid w:val="008A5BE5"/>
    <w:rsid w:val="008A608C"/>
    <w:rsid w:val="008A64A6"/>
    <w:rsid w:val="008A754D"/>
    <w:rsid w:val="008B001F"/>
    <w:rsid w:val="008B07F2"/>
    <w:rsid w:val="008B106A"/>
    <w:rsid w:val="008B1733"/>
    <w:rsid w:val="008B1B07"/>
    <w:rsid w:val="008B1F6E"/>
    <w:rsid w:val="008B2512"/>
    <w:rsid w:val="008B2DFB"/>
    <w:rsid w:val="008B39FA"/>
    <w:rsid w:val="008B3A82"/>
    <w:rsid w:val="008B71BE"/>
    <w:rsid w:val="008C0C3B"/>
    <w:rsid w:val="008C15FA"/>
    <w:rsid w:val="008C19DD"/>
    <w:rsid w:val="008C2EBD"/>
    <w:rsid w:val="008C3B06"/>
    <w:rsid w:val="008C43D9"/>
    <w:rsid w:val="008C45A5"/>
    <w:rsid w:val="008C53FD"/>
    <w:rsid w:val="008C5661"/>
    <w:rsid w:val="008C5D15"/>
    <w:rsid w:val="008C70A0"/>
    <w:rsid w:val="008C74D4"/>
    <w:rsid w:val="008C78AD"/>
    <w:rsid w:val="008D1A3A"/>
    <w:rsid w:val="008D335D"/>
    <w:rsid w:val="008D341B"/>
    <w:rsid w:val="008D37B1"/>
    <w:rsid w:val="008D3EC4"/>
    <w:rsid w:val="008D40B6"/>
    <w:rsid w:val="008D5182"/>
    <w:rsid w:val="008D530F"/>
    <w:rsid w:val="008D5441"/>
    <w:rsid w:val="008D6991"/>
    <w:rsid w:val="008D7445"/>
    <w:rsid w:val="008D793A"/>
    <w:rsid w:val="008D7D41"/>
    <w:rsid w:val="008D7F05"/>
    <w:rsid w:val="008E0B03"/>
    <w:rsid w:val="008E15E9"/>
    <w:rsid w:val="008E1CE1"/>
    <w:rsid w:val="008E20BE"/>
    <w:rsid w:val="008E2C37"/>
    <w:rsid w:val="008E4AD6"/>
    <w:rsid w:val="008E4C3D"/>
    <w:rsid w:val="008E533E"/>
    <w:rsid w:val="008E6366"/>
    <w:rsid w:val="008E6A61"/>
    <w:rsid w:val="008E6F3D"/>
    <w:rsid w:val="008E7FC2"/>
    <w:rsid w:val="008F05E5"/>
    <w:rsid w:val="008F0E4F"/>
    <w:rsid w:val="008F1EF2"/>
    <w:rsid w:val="008F25A4"/>
    <w:rsid w:val="008F2BC9"/>
    <w:rsid w:val="008F6A91"/>
    <w:rsid w:val="008F6F2C"/>
    <w:rsid w:val="008F7A62"/>
    <w:rsid w:val="009008DF"/>
    <w:rsid w:val="00901D64"/>
    <w:rsid w:val="009020FD"/>
    <w:rsid w:val="00902458"/>
    <w:rsid w:val="00902DE3"/>
    <w:rsid w:val="0090355D"/>
    <w:rsid w:val="009040F8"/>
    <w:rsid w:val="00904CDC"/>
    <w:rsid w:val="00904E31"/>
    <w:rsid w:val="00905832"/>
    <w:rsid w:val="00906507"/>
    <w:rsid w:val="009070B2"/>
    <w:rsid w:val="009113A5"/>
    <w:rsid w:val="009126FD"/>
    <w:rsid w:val="00913CA4"/>
    <w:rsid w:val="00914C5E"/>
    <w:rsid w:val="00915A1D"/>
    <w:rsid w:val="00915B08"/>
    <w:rsid w:val="0091658C"/>
    <w:rsid w:val="009166F9"/>
    <w:rsid w:val="00920C89"/>
    <w:rsid w:val="009212E2"/>
    <w:rsid w:val="00921310"/>
    <w:rsid w:val="00923CE6"/>
    <w:rsid w:val="00923DAC"/>
    <w:rsid w:val="009241ED"/>
    <w:rsid w:val="00924466"/>
    <w:rsid w:val="00924D13"/>
    <w:rsid w:val="00926091"/>
    <w:rsid w:val="0092681E"/>
    <w:rsid w:val="00926FF7"/>
    <w:rsid w:val="0092704D"/>
    <w:rsid w:val="00927F8C"/>
    <w:rsid w:val="00930C65"/>
    <w:rsid w:val="0093114A"/>
    <w:rsid w:val="009312C7"/>
    <w:rsid w:val="009316B3"/>
    <w:rsid w:val="009336B1"/>
    <w:rsid w:val="00933DB7"/>
    <w:rsid w:val="0093491B"/>
    <w:rsid w:val="00935E1B"/>
    <w:rsid w:val="00936C96"/>
    <w:rsid w:val="00936EFE"/>
    <w:rsid w:val="00937E5A"/>
    <w:rsid w:val="00940928"/>
    <w:rsid w:val="009416B4"/>
    <w:rsid w:val="00944768"/>
    <w:rsid w:val="009448A6"/>
    <w:rsid w:val="00945908"/>
    <w:rsid w:val="00945DE1"/>
    <w:rsid w:val="009462E8"/>
    <w:rsid w:val="00946386"/>
    <w:rsid w:val="00946F88"/>
    <w:rsid w:val="009473F5"/>
    <w:rsid w:val="009514CB"/>
    <w:rsid w:val="009539A3"/>
    <w:rsid w:val="00953B54"/>
    <w:rsid w:val="00953D94"/>
    <w:rsid w:val="00953F96"/>
    <w:rsid w:val="009545B0"/>
    <w:rsid w:val="009545E2"/>
    <w:rsid w:val="009548D8"/>
    <w:rsid w:val="00955033"/>
    <w:rsid w:val="00955852"/>
    <w:rsid w:val="00956AF5"/>
    <w:rsid w:val="00956ED6"/>
    <w:rsid w:val="00960108"/>
    <w:rsid w:val="00960419"/>
    <w:rsid w:val="0096141C"/>
    <w:rsid w:val="00962910"/>
    <w:rsid w:val="00963715"/>
    <w:rsid w:val="009638C0"/>
    <w:rsid w:val="00964FD3"/>
    <w:rsid w:val="009651D5"/>
    <w:rsid w:val="009667F2"/>
    <w:rsid w:val="00966A6D"/>
    <w:rsid w:val="00966BC5"/>
    <w:rsid w:val="00967E04"/>
    <w:rsid w:val="00970497"/>
    <w:rsid w:val="0097070E"/>
    <w:rsid w:val="00970EEE"/>
    <w:rsid w:val="00970FFA"/>
    <w:rsid w:val="00971002"/>
    <w:rsid w:val="0097102B"/>
    <w:rsid w:val="00971926"/>
    <w:rsid w:val="00971A44"/>
    <w:rsid w:val="009743D4"/>
    <w:rsid w:val="00974F1F"/>
    <w:rsid w:val="00976649"/>
    <w:rsid w:val="00976774"/>
    <w:rsid w:val="009768FC"/>
    <w:rsid w:val="009776C3"/>
    <w:rsid w:val="00980F27"/>
    <w:rsid w:val="0098182C"/>
    <w:rsid w:val="0098254B"/>
    <w:rsid w:val="00982F3E"/>
    <w:rsid w:val="0098381C"/>
    <w:rsid w:val="009839C8"/>
    <w:rsid w:val="00983BAD"/>
    <w:rsid w:val="0098457D"/>
    <w:rsid w:val="009858A4"/>
    <w:rsid w:val="009860DE"/>
    <w:rsid w:val="00990B75"/>
    <w:rsid w:val="00991050"/>
    <w:rsid w:val="009912B8"/>
    <w:rsid w:val="00994528"/>
    <w:rsid w:val="009949CA"/>
    <w:rsid w:val="00994EB9"/>
    <w:rsid w:val="009955BA"/>
    <w:rsid w:val="00995725"/>
    <w:rsid w:val="00996B64"/>
    <w:rsid w:val="00997C3F"/>
    <w:rsid w:val="009A0474"/>
    <w:rsid w:val="009A10BD"/>
    <w:rsid w:val="009A1BC2"/>
    <w:rsid w:val="009A1E43"/>
    <w:rsid w:val="009A1F78"/>
    <w:rsid w:val="009A21C1"/>
    <w:rsid w:val="009A3AC5"/>
    <w:rsid w:val="009A4042"/>
    <w:rsid w:val="009A44A1"/>
    <w:rsid w:val="009A4FE5"/>
    <w:rsid w:val="009A5FF4"/>
    <w:rsid w:val="009A709A"/>
    <w:rsid w:val="009B0595"/>
    <w:rsid w:val="009B0BF8"/>
    <w:rsid w:val="009B0DB8"/>
    <w:rsid w:val="009B2062"/>
    <w:rsid w:val="009B2D43"/>
    <w:rsid w:val="009B31B3"/>
    <w:rsid w:val="009B3B55"/>
    <w:rsid w:val="009B3E79"/>
    <w:rsid w:val="009B4F9A"/>
    <w:rsid w:val="009B5458"/>
    <w:rsid w:val="009B7BB4"/>
    <w:rsid w:val="009C00F7"/>
    <w:rsid w:val="009C0728"/>
    <w:rsid w:val="009C0B37"/>
    <w:rsid w:val="009C0CDB"/>
    <w:rsid w:val="009C1E81"/>
    <w:rsid w:val="009C322E"/>
    <w:rsid w:val="009C4BD0"/>
    <w:rsid w:val="009C5AD0"/>
    <w:rsid w:val="009C612E"/>
    <w:rsid w:val="009C6203"/>
    <w:rsid w:val="009C6B76"/>
    <w:rsid w:val="009C774C"/>
    <w:rsid w:val="009D099C"/>
    <w:rsid w:val="009D2052"/>
    <w:rsid w:val="009D2208"/>
    <w:rsid w:val="009D2AC1"/>
    <w:rsid w:val="009D3C68"/>
    <w:rsid w:val="009D47CC"/>
    <w:rsid w:val="009D5441"/>
    <w:rsid w:val="009D547F"/>
    <w:rsid w:val="009D568E"/>
    <w:rsid w:val="009D5768"/>
    <w:rsid w:val="009E097F"/>
    <w:rsid w:val="009E4621"/>
    <w:rsid w:val="009E4A75"/>
    <w:rsid w:val="009E5212"/>
    <w:rsid w:val="009E5ED1"/>
    <w:rsid w:val="009E5F31"/>
    <w:rsid w:val="009E60EE"/>
    <w:rsid w:val="009F0565"/>
    <w:rsid w:val="009F0ED7"/>
    <w:rsid w:val="009F2272"/>
    <w:rsid w:val="009F29BD"/>
    <w:rsid w:val="009F2BFE"/>
    <w:rsid w:val="009F2DDA"/>
    <w:rsid w:val="009F38CE"/>
    <w:rsid w:val="009F4C48"/>
    <w:rsid w:val="009F667F"/>
    <w:rsid w:val="009F6DFB"/>
    <w:rsid w:val="00A01856"/>
    <w:rsid w:val="00A01C43"/>
    <w:rsid w:val="00A0286D"/>
    <w:rsid w:val="00A02DAB"/>
    <w:rsid w:val="00A038B1"/>
    <w:rsid w:val="00A03A6C"/>
    <w:rsid w:val="00A03FC1"/>
    <w:rsid w:val="00A05AF4"/>
    <w:rsid w:val="00A06220"/>
    <w:rsid w:val="00A06445"/>
    <w:rsid w:val="00A06752"/>
    <w:rsid w:val="00A07A4E"/>
    <w:rsid w:val="00A111FF"/>
    <w:rsid w:val="00A11707"/>
    <w:rsid w:val="00A124D6"/>
    <w:rsid w:val="00A13EA5"/>
    <w:rsid w:val="00A1501F"/>
    <w:rsid w:val="00A15562"/>
    <w:rsid w:val="00A15765"/>
    <w:rsid w:val="00A15A33"/>
    <w:rsid w:val="00A15D35"/>
    <w:rsid w:val="00A16127"/>
    <w:rsid w:val="00A1620E"/>
    <w:rsid w:val="00A1674F"/>
    <w:rsid w:val="00A16DE8"/>
    <w:rsid w:val="00A2045E"/>
    <w:rsid w:val="00A2295B"/>
    <w:rsid w:val="00A237F6"/>
    <w:rsid w:val="00A240F7"/>
    <w:rsid w:val="00A25B42"/>
    <w:rsid w:val="00A260AB"/>
    <w:rsid w:val="00A26EB3"/>
    <w:rsid w:val="00A274FD"/>
    <w:rsid w:val="00A30082"/>
    <w:rsid w:val="00A30294"/>
    <w:rsid w:val="00A304F3"/>
    <w:rsid w:val="00A3057A"/>
    <w:rsid w:val="00A305EF"/>
    <w:rsid w:val="00A30C12"/>
    <w:rsid w:val="00A30D1B"/>
    <w:rsid w:val="00A30E4F"/>
    <w:rsid w:val="00A324A0"/>
    <w:rsid w:val="00A326F0"/>
    <w:rsid w:val="00A32BC5"/>
    <w:rsid w:val="00A32CFD"/>
    <w:rsid w:val="00A330A6"/>
    <w:rsid w:val="00A34659"/>
    <w:rsid w:val="00A35431"/>
    <w:rsid w:val="00A36DD7"/>
    <w:rsid w:val="00A374F4"/>
    <w:rsid w:val="00A41610"/>
    <w:rsid w:val="00A4528B"/>
    <w:rsid w:val="00A459B6"/>
    <w:rsid w:val="00A475EF"/>
    <w:rsid w:val="00A47720"/>
    <w:rsid w:val="00A51DAC"/>
    <w:rsid w:val="00A51E70"/>
    <w:rsid w:val="00A52253"/>
    <w:rsid w:val="00A5342F"/>
    <w:rsid w:val="00A53481"/>
    <w:rsid w:val="00A54415"/>
    <w:rsid w:val="00A55B5D"/>
    <w:rsid w:val="00A567A1"/>
    <w:rsid w:val="00A60484"/>
    <w:rsid w:val="00A60DE1"/>
    <w:rsid w:val="00A61C6B"/>
    <w:rsid w:val="00A63994"/>
    <w:rsid w:val="00A64058"/>
    <w:rsid w:val="00A64471"/>
    <w:rsid w:val="00A649CE"/>
    <w:rsid w:val="00A65235"/>
    <w:rsid w:val="00A6585B"/>
    <w:rsid w:val="00A71D38"/>
    <w:rsid w:val="00A7325C"/>
    <w:rsid w:val="00A7452E"/>
    <w:rsid w:val="00A76FA6"/>
    <w:rsid w:val="00A7793C"/>
    <w:rsid w:val="00A8134E"/>
    <w:rsid w:val="00A815EB"/>
    <w:rsid w:val="00A81DDF"/>
    <w:rsid w:val="00A8362F"/>
    <w:rsid w:val="00A84069"/>
    <w:rsid w:val="00A8475B"/>
    <w:rsid w:val="00A84888"/>
    <w:rsid w:val="00A84E4B"/>
    <w:rsid w:val="00A8585E"/>
    <w:rsid w:val="00A90C0A"/>
    <w:rsid w:val="00A91A9A"/>
    <w:rsid w:val="00A91BC0"/>
    <w:rsid w:val="00A91FE6"/>
    <w:rsid w:val="00A93DB5"/>
    <w:rsid w:val="00A943C8"/>
    <w:rsid w:val="00A94A31"/>
    <w:rsid w:val="00A9501D"/>
    <w:rsid w:val="00A95AE7"/>
    <w:rsid w:val="00A95B70"/>
    <w:rsid w:val="00A95F98"/>
    <w:rsid w:val="00A97334"/>
    <w:rsid w:val="00AA0147"/>
    <w:rsid w:val="00AA0C81"/>
    <w:rsid w:val="00AA112A"/>
    <w:rsid w:val="00AA1216"/>
    <w:rsid w:val="00AA13F6"/>
    <w:rsid w:val="00AA165A"/>
    <w:rsid w:val="00AA189D"/>
    <w:rsid w:val="00AA1B0E"/>
    <w:rsid w:val="00AA33F2"/>
    <w:rsid w:val="00AA3794"/>
    <w:rsid w:val="00AA49C8"/>
    <w:rsid w:val="00AA562D"/>
    <w:rsid w:val="00AA58C6"/>
    <w:rsid w:val="00AA5DFE"/>
    <w:rsid w:val="00AA6E3E"/>
    <w:rsid w:val="00AB0476"/>
    <w:rsid w:val="00AB05DB"/>
    <w:rsid w:val="00AB0828"/>
    <w:rsid w:val="00AB156A"/>
    <w:rsid w:val="00AB1582"/>
    <w:rsid w:val="00AB21E0"/>
    <w:rsid w:val="00AB29A0"/>
    <w:rsid w:val="00AB55D7"/>
    <w:rsid w:val="00AB5CE3"/>
    <w:rsid w:val="00AB5E44"/>
    <w:rsid w:val="00AB65C1"/>
    <w:rsid w:val="00AB744B"/>
    <w:rsid w:val="00AB7AF7"/>
    <w:rsid w:val="00AB7D32"/>
    <w:rsid w:val="00AC069C"/>
    <w:rsid w:val="00AC07DF"/>
    <w:rsid w:val="00AC16FA"/>
    <w:rsid w:val="00AC1D3B"/>
    <w:rsid w:val="00AC23B2"/>
    <w:rsid w:val="00AC269D"/>
    <w:rsid w:val="00AC2BE4"/>
    <w:rsid w:val="00AC3862"/>
    <w:rsid w:val="00AC4D2A"/>
    <w:rsid w:val="00AC70E8"/>
    <w:rsid w:val="00AC767F"/>
    <w:rsid w:val="00AD074E"/>
    <w:rsid w:val="00AD1391"/>
    <w:rsid w:val="00AD24B9"/>
    <w:rsid w:val="00AD2D81"/>
    <w:rsid w:val="00AD2DB4"/>
    <w:rsid w:val="00AD337E"/>
    <w:rsid w:val="00AD3446"/>
    <w:rsid w:val="00AD34AA"/>
    <w:rsid w:val="00AD3EE2"/>
    <w:rsid w:val="00AD4169"/>
    <w:rsid w:val="00AD489F"/>
    <w:rsid w:val="00AD4B52"/>
    <w:rsid w:val="00AD52DA"/>
    <w:rsid w:val="00AD5A88"/>
    <w:rsid w:val="00AD5F6B"/>
    <w:rsid w:val="00AE0662"/>
    <w:rsid w:val="00AE1432"/>
    <w:rsid w:val="00AE17BF"/>
    <w:rsid w:val="00AE3514"/>
    <w:rsid w:val="00AE3EAD"/>
    <w:rsid w:val="00AE41DB"/>
    <w:rsid w:val="00AE4375"/>
    <w:rsid w:val="00AE63A5"/>
    <w:rsid w:val="00AE6AD9"/>
    <w:rsid w:val="00AE6FD2"/>
    <w:rsid w:val="00AE7E54"/>
    <w:rsid w:val="00AF1571"/>
    <w:rsid w:val="00AF3B99"/>
    <w:rsid w:val="00AF435F"/>
    <w:rsid w:val="00AF7398"/>
    <w:rsid w:val="00AF75B6"/>
    <w:rsid w:val="00AF7731"/>
    <w:rsid w:val="00B0123B"/>
    <w:rsid w:val="00B01542"/>
    <w:rsid w:val="00B01701"/>
    <w:rsid w:val="00B02513"/>
    <w:rsid w:val="00B02C2E"/>
    <w:rsid w:val="00B02D30"/>
    <w:rsid w:val="00B02F3C"/>
    <w:rsid w:val="00B0317A"/>
    <w:rsid w:val="00B031A7"/>
    <w:rsid w:val="00B035F2"/>
    <w:rsid w:val="00B03A64"/>
    <w:rsid w:val="00B03EA6"/>
    <w:rsid w:val="00B04CF1"/>
    <w:rsid w:val="00B06710"/>
    <w:rsid w:val="00B06C92"/>
    <w:rsid w:val="00B06E0E"/>
    <w:rsid w:val="00B077CE"/>
    <w:rsid w:val="00B1026A"/>
    <w:rsid w:val="00B10582"/>
    <w:rsid w:val="00B11FED"/>
    <w:rsid w:val="00B1205D"/>
    <w:rsid w:val="00B127CF"/>
    <w:rsid w:val="00B13A47"/>
    <w:rsid w:val="00B141E5"/>
    <w:rsid w:val="00B144E1"/>
    <w:rsid w:val="00B14872"/>
    <w:rsid w:val="00B15CF0"/>
    <w:rsid w:val="00B17999"/>
    <w:rsid w:val="00B206CB"/>
    <w:rsid w:val="00B23385"/>
    <w:rsid w:val="00B23ED6"/>
    <w:rsid w:val="00B25B65"/>
    <w:rsid w:val="00B265EE"/>
    <w:rsid w:val="00B26A38"/>
    <w:rsid w:val="00B272FD"/>
    <w:rsid w:val="00B27DFC"/>
    <w:rsid w:val="00B3000B"/>
    <w:rsid w:val="00B30B92"/>
    <w:rsid w:val="00B30EF7"/>
    <w:rsid w:val="00B32D2B"/>
    <w:rsid w:val="00B33B1E"/>
    <w:rsid w:val="00B34828"/>
    <w:rsid w:val="00B34B21"/>
    <w:rsid w:val="00B34E98"/>
    <w:rsid w:val="00B37CB5"/>
    <w:rsid w:val="00B40590"/>
    <w:rsid w:val="00B40F06"/>
    <w:rsid w:val="00B4119F"/>
    <w:rsid w:val="00B41451"/>
    <w:rsid w:val="00B41FB8"/>
    <w:rsid w:val="00B42FD5"/>
    <w:rsid w:val="00B431B8"/>
    <w:rsid w:val="00B435E5"/>
    <w:rsid w:val="00B44BB8"/>
    <w:rsid w:val="00B451A3"/>
    <w:rsid w:val="00B4628D"/>
    <w:rsid w:val="00B46CB1"/>
    <w:rsid w:val="00B472B6"/>
    <w:rsid w:val="00B479FE"/>
    <w:rsid w:val="00B47B27"/>
    <w:rsid w:val="00B51BE2"/>
    <w:rsid w:val="00B52449"/>
    <w:rsid w:val="00B532E9"/>
    <w:rsid w:val="00B5426B"/>
    <w:rsid w:val="00B554D8"/>
    <w:rsid w:val="00B55537"/>
    <w:rsid w:val="00B563AE"/>
    <w:rsid w:val="00B565DA"/>
    <w:rsid w:val="00B5693C"/>
    <w:rsid w:val="00B57744"/>
    <w:rsid w:val="00B57E4F"/>
    <w:rsid w:val="00B60561"/>
    <w:rsid w:val="00B60A2F"/>
    <w:rsid w:val="00B6104A"/>
    <w:rsid w:val="00B6271A"/>
    <w:rsid w:val="00B651FF"/>
    <w:rsid w:val="00B65231"/>
    <w:rsid w:val="00B65295"/>
    <w:rsid w:val="00B658DD"/>
    <w:rsid w:val="00B663C8"/>
    <w:rsid w:val="00B66CAD"/>
    <w:rsid w:val="00B67AA9"/>
    <w:rsid w:val="00B67D76"/>
    <w:rsid w:val="00B709C0"/>
    <w:rsid w:val="00B71F2F"/>
    <w:rsid w:val="00B7296F"/>
    <w:rsid w:val="00B729C3"/>
    <w:rsid w:val="00B73A5F"/>
    <w:rsid w:val="00B73BE0"/>
    <w:rsid w:val="00B73D8D"/>
    <w:rsid w:val="00B73DA3"/>
    <w:rsid w:val="00B73EFC"/>
    <w:rsid w:val="00B744DD"/>
    <w:rsid w:val="00B750B8"/>
    <w:rsid w:val="00B759CB"/>
    <w:rsid w:val="00B75EF0"/>
    <w:rsid w:val="00B7620C"/>
    <w:rsid w:val="00B76551"/>
    <w:rsid w:val="00B771F2"/>
    <w:rsid w:val="00B77302"/>
    <w:rsid w:val="00B777B3"/>
    <w:rsid w:val="00B77DA6"/>
    <w:rsid w:val="00B807CE"/>
    <w:rsid w:val="00B8150A"/>
    <w:rsid w:val="00B82012"/>
    <w:rsid w:val="00B82A0E"/>
    <w:rsid w:val="00B84176"/>
    <w:rsid w:val="00B84A8F"/>
    <w:rsid w:val="00B84B02"/>
    <w:rsid w:val="00B84FEF"/>
    <w:rsid w:val="00B85367"/>
    <w:rsid w:val="00B87130"/>
    <w:rsid w:val="00B87EA1"/>
    <w:rsid w:val="00B9054C"/>
    <w:rsid w:val="00B92022"/>
    <w:rsid w:val="00B92957"/>
    <w:rsid w:val="00B9340C"/>
    <w:rsid w:val="00B95508"/>
    <w:rsid w:val="00B956D6"/>
    <w:rsid w:val="00B956DB"/>
    <w:rsid w:val="00B95815"/>
    <w:rsid w:val="00B95EC7"/>
    <w:rsid w:val="00B96A2A"/>
    <w:rsid w:val="00B96AD8"/>
    <w:rsid w:val="00B9719C"/>
    <w:rsid w:val="00BA026D"/>
    <w:rsid w:val="00BA0CF5"/>
    <w:rsid w:val="00BA153C"/>
    <w:rsid w:val="00BA2B9A"/>
    <w:rsid w:val="00BA43D2"/>
    <w:rsid w:val="00BA43E2"/>
    <w:rsid w:val="00BA43ED"/>
    <w:rsid w:val="00BA5158"/>
    <w:rsid w:val="00BA5299"/>
    <w:rsid w:val="00BA6076"/>
    <w:rsid w:val="00BB06EB"/>
    <w:rsid w:val="00BB0AAB"/>
    <w:rsid w:val="00BB1042"/>
    <w:rsid w:val="00BB1D62"/>
    <w:rsid w:val="00BB24A2"/>
    <w:rsid w:val="00BB28AA"/>
    <w:rsid w:val="00BB32CA"/>
    <w:rsid w:val="00BB4189"/>
    <w:rsid w:val="00BB5663"/>
    <w:rsid w:val="00BB57BB"/>
    <w:rsid w:val="00BB7282"/>
    <w:rsid w:val="00BC1344"/>
    <w:rsid w:val="00BC2BA4"/>
    <w:rsid w:val="00BC2D05"/>
    <w:rsid w:val="00BC337E"/>
    <w:rsid w:val="00BC44B8"/>
    <w:rsid w:val="00BC640E"/>
    <w:rsid w:val="00BD12BE"/>
    <w:rsid w:val="00BD1785"/>
    <w:rsid w:val="00BD3E77"/>
    <w:rsid w:val="00BD4A32"/>
    <w:rsid w:val="00BD4E07"/>
    <w:rsid w:val="00BD66B2"/>
    <w:rsid w:val="00BD6792"/>
    <w:rsid w:val="00BD776F"/>
    <w:rsid w:val="00BE0C45"/>
    <w:rsid w:val="00BE2472"/>
    <w:rsid w:val="00BE33B3"/>
    <w:rsid w:val="00BE39BF"/>
    <w:rsid w:val="00BE3FA1"/>
    <w:rsid w:val="00BE5CDC"/>
    <w:rsid w:val="00BE5EA7"/>
    <w:rsid w:val="00BE6BD8"/>
    <w:rsid w:val="00BE7FFC"/>
    <w:rsid w:val="00BF0E54"/>
    <w:rsid w:val="00BF14C5"/>
    <w:rsid w:val="00BF16A2"/>
    <w:rsid w:val="00BF18C5"/>
    <w:rsid w:val="00BF1ECB"/>
    <w:rsid w:val="00BF24F0"/>
    <w:rsid w:val="00BF427E"/>
    <w:rsid w:val="00BF451F"/>
    <w:rsid w:val="00BF59B8"/>
    <w:rsid w:val="00BF6079"/>
    <w:rsid w:val="00BF67F8"/>
    <w:rsid w:val="00BFB626"/>
    <w:rsid w:val="00C00EFA"/>
    <w:rsid w:val="00C02636"/>
    <w:rsid w:val="00C0275D"/>
    <w:rsid w:val="00C03A6E"/>
    <w:rsid w:val="00C03AC6"/>
    <w:rsid w:val="00C04C14"/>
    <w:rsid w:val="00C04D89"/>
    <w:rsid w:val="00C05695"/>
    <w:rsid w:val="00C063E1"/>
    <w:rsid w:val="00C06AC5"/>
    <w:rsid w:val="00C06EE9"/>
    <w:rsid w:val="00C077FF"/>
    <w:rsid w:val="00C07CC5"/>
    <w:rsid w:val="00C1015F"/>
    <w:rsid w:val="00C10550"/>
    <w:rsid w:val="00C10B72"/>
    <w:rsid w:val="00C10DA4"/>
    <w:rsid w:val="00C10E5B"/>
    <w:rsid w:val="00C10E8C"/>
    <w:rsid w:val="00C11742"/>
    <w:rsid w:val="00C1176A"/>
    <w:rsid w:val="00C12F94"/>
    <w:rsid w:val="00C13295"/>
    <w:rsid w:val="00C13AC0"/>
    <w:rsid w:val="00C13B10"/>
    <w:rsid w:val="00C14ABB"/>
    <w:rsid w:val="00C1553C"/>
    <w:rsid w:val="00C164D2"/>
    <w:rsid w:val="00C16E67"/>
    <w:rsid w:val="00C17189"/>
    <w:rsid w:val="00C1772B"/>
    <w:rsid w:val="00C17B1B"/>
    <w:rsid w:val="00C2122F"/>
    <w:rsid w:val="00C22F16"/>
    <w:rsid w:val="00C2374F"/>
    <w:rsid w:val="00C25330"/>
    <w:rsid w:val="00C25E4B"/>
    <w:rsid w:val="00C263DB"/>
    <w:rsid w:val="00C26A58"/>
    <w:rsid w:val="00C2724E"/>
    <w:rsid w:val="00C3011E"/>
    <w:rsid w:val="00C306A5"/>
    <w:rsid w:val="00C31CA5"/>
    <w:rsid w:val="00C335B6"/>
    <w:rsid w:val="00C33D29"/>
    <w:rsid w:val="00C34744"/>
    <w:rsid w:val="00C34C07"/>
    <w:rsid w:val="00C35267"/>
    <w:rsid w:val="00C37F0F"/>
    <w:rsid w:val="00C37F92"/>
    <w:rsid w:val="00C4040A"/>
    <w:rsid w:val="00C40908"/>
    <w:rsid w:val="00C40FE5"/>
    <w:rsid w:val="00C4109D"/>
    <w:rsid w:val="00C413C6"/>
    <w:rsid w:val="00C41748"/>
    <w:rsid w:val="00C41860"/>
    <w:rsid w:val="00C418E2"/>
    <w:rsid w:val="00C41E97"/>
    <w:rsid w:val="00C44356"/>
    <w:rsid w:val="00C4594C"/>
    <w:rsid w:val="00C45E91"/>
    <w:rsid w:val="00C46328"/>
    <w:rsid w:val="00C46AF3"/>
    <w:rsid w:val="00C46FDA"/>
    <w:rsid w:val="00C47E55"/>
    <w:rsid w:val="00C5176B"/>
    <w:rsid w:val="00C51856"/>
    <w:rsid w:val="00C51F2C"/>
    <w:rsid w:val="00C52019"/>
    <w:rsid w:val="00C52FCD"/>
    <w:rsid w:val="00C54D70"/>
    <w:rsid w:val="00C54DF9"/>
    <w:rsid w:val="00C54E79"/>
    <w:rsid w:val="00C613F1"/>
    <w:rsid w:val="00C61DB4"/>
    <w:rsid w:val="00C627AD"/>
    <w:rsid w:val="00C63FEC"/>
    <w:rsid w:val="00C649E2"/>
    <w:rsid w:val="00C65875"/>
    <w:rsid w:val="00C6620F"/>
    <w:rsid w:val="00C666F6"/>
    <w:rsid w:val="00C67B75"/>
    <w:rsid w:val="00C67D4F"/>
    <w:rsid w:val="00C712EF"/>
    <w:rsid w:val="00C71A48"/>
    <w:rsid w:val="00C730B8"/>
    <w:rsid w:val="00C744AF"/>
    <w:rsid w:val="00C7A87D"/>
    <w:rsid w:val="00C80A47"/>
    <w:rsid w:val="00C820DF"/>
    <w:rsid w:val="00C83551"/>
    <w:rsid w:val="00C83934"/>
    <w:rsid w:val="00C84957"/>
    <w:rsid w:val="00C84E2B"/>
    <w:rsid w:val="00C8516D"/>
    <w:rsid w:val="00C857F9"/>
    <w:rsid w:val="00C85C50"/>
    <w:rsid w:val="00C8719B"/>
    <w:rsid w:val="00C87316"/>
    <w:rsid w:val="00C8746D"/>
    <w:rsid w:val="00C877BD"/>
    <w:rsid w:val="00C878AF"/>
    <w:rsid w:val="00C900A2"/>
    <w:rsid w:val="00C90ABD"/>
    <w:rsid w:val="00C91986"/>
    <w:rsid w:val="00C91F05"/>
    <w:rsid w:val="00C91F88"/>
    <w:rsid w:val="00C92334"/>
    <w:rsid w:val="00C936CF"/>
    <w:rsid w:val="00C96BD0"/>
    <w:rsid w:val="00C97554"/>
    <w:rsid w:val="00C97B63"/>
    <w:rsid w:val="00C97F9B"/>
    <w:rsid w:val="00CA030A"/>
    <w:rsid w:val="00CA199A"/>
    <w:rsid w:val="00CA1B26"/>
    <w:rsid w:val="00CA343D"/>
    <w:rsid w:val="00CA3510"/>
    <w:rsid w:val="00CA37E0"/>
    <w:rsid w:val="00CA49FA"/>
    <w:rsid w:val="00CA5053"/>
    <w:rsid w:val="00CA54CA"/>
    <w:rsid w:val="00CA54D9"/>
    <w:rsid w:val="00CA5DD3"/>
    <w:rsid w:val="00CA61E2"/>
    <w:rsid w:val="00CA6395"/>
    <w:rsid w:val="00CA73DB"/>
    <w:rsid w:val="00CB1AA6"/>
    <w:rsid w:val="00CB280C"/>
    <w:rsid w:val="00CB2911"/>
    <w:rsid w:val="00CB5530"/>
    <w:rsid w:val="00CB6155"/>
    <w:rsid w:val="00CB6CB0"/>
    <w:rsid w:val="00CB6F5F"/>
    <w:rsid w:val="00CB7302"/>
    <w:rsid w:val="00CB7F3B"/>
    <w:rsid w:val="00CC1997"/>
    <w:rsid w:val="00CC2FA9"/>
    <w:rsid w:val="00CC3DA4"/>
    <w:rsid w:val="00CC3E06"/>
    <w:rsid w:val="00CC4302"/>
    <w:rsid w:val="00CC468E"/>
    <w:rsid w:val="00CC4A0A"/>
    <w:rsid w:val="00CC5151"/>
    <w:rsid w:val="00CC5A5B"/>
    <w:rsid w:val="00CC5DC3"/>
    <w:rsid w:val="00CC675B"/>
    <w:rsid w:val="00CC7121"/>
    <w:rsid w:val="00CD0854"/>
    <w:rsid w:val="00CD137C"/>
    <w:rsid w:val="00CD1BAF"/>
    <w:rsid w:val="00CD3379"/>
    <w:rsid w:val="00CD3524"/>
    <w:rsid w:val="00CD497C"/>
    <w:rsid w:val="00CD4ECC"/>
    <w:rsid w:val="00CD5E8E"/>
    <w:rsid w:val="00CD66A6"/>
    <w:rsid w:val="00CD6BC9"/>
    <w:rsid w:val="00CE00E7"/>
    <w:rsid w:val="00CE0294"/>
    <w:rsid w:val="00CE077C"/>
    <w:rsid w:val="00CE2968"/>
    <w:rsid w:val="00CE503E"/>
    <w:rsid w:val="00CE5923"/>
    <w:rsid w:val="00CF0305"/>
    <w:rsid w:val="00CF057B"/>
    <w:rsid w:val="00CF0B1E"/>
    <w:rsid w:val="00CF21B4"/>
    <w:rsid w:val="00CF258A"/>
    <w:rsid w:val="00CF3285"/>
    <w:rsid w:val="00CF710B"/>
    <w:rsid w:val="00D00003"/>
    <w:rsid w:val="00D011FF"/>
    <w:rsid w:val="00D01375"/>
    <w:rsid w:val="00D016CD"/>
    <w:rsid w:val="00D01DAA"/>
    <w:rsid w:val="00D01EA2"/>
    <w:rsid w:val="00D02CDB"/>
    <w:rsid w:val="00D02E34"/>
    <w:rsid w:val="00D056AF"/>
    <w:rsid w:val="00D0609E"/>
    <w:rsid w:val="00D067C5"/>
    <w:rsid w:val="00D069B1"/>
    <w:rsid w:val="00D074E9"/>
    <w:rsid w:val="00D10EDD"/>
    <w:rsid w:val="00D11460"/>
    <w:rsid w:val="00D1372E"/>
    <w:rsid w:val="00D144F2"/>
    <w:rsid w:val="00D14510"/>
    <w:rsid w:val="00D16DC6"/>
    <w:rsid w:val="00D217AF"/>
    <w:rsid w:val="00D226B9"/>
    <w:rsid w:val="00D22907"/>
    <w:rsid w:val="00D22A93"/>
    <w:rsid w:val="00D22CF1"/>
    <w:rsid w:val="00D22E95"/>
    <w:rsid w:val="00D23A30"/>
    <w:rsid w:val="00D23CCE"/>
    <w:rsid w:val="00D23DC1"/>
    <w:rsid w:val="00D2559F"/>
    <w:rsid w:val="00D27350"/>
    <w:rsid w:val="00D30FF5"/>
    <w:rsid w:val="00D31EDE"/>
    <w:rsid w:val="00D334E5"/>
    <w:rsid w:val="00D33F55"/>
    <w:rsid w:val="00D35375"/>
    <w:rsid w:val="00D361E2"/>
    <w:rsid w:val="00D36391"/>
    <w:rsid w:val="00D3668B"/>
    <w:rsid w:val="00D376AA"/>
    <w:rsid w:val="00D37D1E"/>
    <w:rsid w:val="00D402C8"/>
    <w:rsid w:val="00D42354"/>
    <w:rsid w:val="00D445BE"/>
    <w:rsid w:val="00D46DB8"/>
    <w:rsid w:val="00D4729A"/>
    <w:rsid w:val="00D47B22"/>
    <w:rsid w:val="00D504BF"/>
    <w:rsid w:val="00D537DA"/>
    <w:rsid w:val="00D549EB"/>
    <w:rsid w:val="00D55C9D"/>
    <w:rsid w:val="00D55FA3"/>
    <w:rsid w:val="00D570E2"/>
    <w:rsid w:val="00D5710A"/>
    <w:rsid w:val="00D57461"/>
    <w:rsid w:val="00D611A9"/>
    <w:rsid w:val="00D6189A"/>
    <w:rsid w:val="00D62791"/>
    <w:rsid w:val="00D62DD6"/>
    <w:rsid w:val="00D62F81"/>
    <w:rsid w:val="00D636DB"/>
    <w:rsid w:val="00D6485E"/>
    <w:rsid w:val="00D6530A"/>
    <w:rsid w:val="00D65446"/>
    <w:rsid w:val="00D6547A"/>
    <w:rsid w:val="00D65D4E"/>
    <w:rsid w:val="00D671EB"/>
    <w:rsid w:val="00D67A13"/>
    <w:rsid w:val="00D7006C"/>
    <w:rsid w:val="00D70448"/>
    <w:rsid w:val="00D71935"/>
    <w:rsid w:val="00D71F7D"/>
    <w:rsid w:val="00D73756"/>
    <w:rsid w:val="00D74904"/>
    <w:rsid w:val="00D74ED0"/>
    <w:rsid w:val="00D77C86"/>
    <w:rsid w:val="00D77DD0"/>
    <w:rsid w:val="00D804A6"/>
    <w:rsid w:val="00D81690"/>
    <w:rsid w:val="00D81C6F"/>
    <w:rsid w:val="00D84575"/>
    <w:rsid w:val="00D84D56"/>
    <w:rsid w:val="00D8574D"/>
    <w:rsid w:val="00D86262"/>
    <w:rsid w:val="00D900A8"/>
    <w:rsid w:val="00D90C19"/>
    <w:rsid w:val="00D9148E"/>
    <w:rsid w:val="00D925EF"/>
    <w:rsid w:val="00D92E6D"/>
    <w:rsid w:val="00D94C5F"/>
    <w:rsid w:val="00D9674A"/>
    <w:rsid w:val="00DA3551"/>
    <w:rsid w:val="00DA44B2"/>
    <w:rsid w:val="00DA4F2E"/>
    <w:rsid w:val="00DA56E1"/>
    <w:rsid w:val="00DA70F8"/>
    <w:rsid w:val="00DA7B99"/>
    <w:rsid w:val="00DA7D31"/>
    <w:rsid w:val="00DA7FC7"/>
    <w:rsid w:val="00DB071D"/>
    <w:rsid w:val="00DB072F"/>
    <w:rsid w:val="00DB1E2D"/>
    <w:rsid w:val="00DB3612"/>
    <w:rsid w:val="00DB5519"/>
    <w:rsid w:val="00DB571A"/>
    <w:rsid w:val="00DB6241"/>
    <w:rsid w:val="00DB6511"/>
    <w:rsid w:val="00DB68F3"/>
    <w:rsid w:val="00DB6CD8"/>
    <w:rsid w:val="00DB6F56"/>
    <w:rsid w:val="00DB7503"/>
    <w:rsid w:val="00DC13B8"/>
    <w:rsid w:val="00DC1517"/>
    <w:rsid w:val="00DC25A8"/>
    <w:rsid w:val="00DC25D4"/>
    <w:rsid w:val="00DC300A"/>
    <w:rsid w:val="00DC3C97"/>
    <w:rsid w:val="00DC46D0"/>
    <w:rsid w:val="00DC4C9B"/>
    <w:rsid w:val="00DC5319"/>
    <w:rsid w:val="00DC5A14"/>
    <w:rsid w:val="00DC5BF6"/>
    <w:rsid w:val="00DC5CFC"/>
    <w:rsid w:val="00DC6823"/>
    <w:rsid w:val="00DC6E9F"/>
    <w:rsid w:val="00DC7895"/>
    <w:rsid w:val="00DD1479"/>
    <w:rsid w:val="00DD1A64"/>
    <w:rsid w:val="00DD2427"/>
    <w:rsid w:val="00DD33D1"/>
    <w:rsid w:val="00DD3D80"/>
    <w:rsid w:val="00DD4EE3"/>
    <w:rsid w:val="00DD65C1"/>
    <w:rsid w:val="00DD7534"/>
    <w:rsid w:val="00DE12B0"/>
    <w:rsid w:val="00DE1E12"/>
    <w:rsid w:val="00DE5485"/>
    <w:rsid w:val="00DE5F26"/>
    <w:rsid w:val="00DE64DB"/>
    <w:rsid w:val="00DE722E"/>
    <w:rsid w:val="00DF0646"/>
    <w:rsid w:val="00DF0CE9"/>
    <w:rsid w:val="00DF0DD6"/>
    <w:rsid w:val="00DF1108"/>
    <w:rsid w:val="00DF1521"/>
    <w:rsid w:val="00DF1B1D"/>
    <w:rsid w:val="00DF24A9"/>
    <w:rsid w:val="00DF5CBD"/>
    <w:rsid w:val="00DF66CE"/>
    <w:rsid w:val="00DF6EB8"/>
    <w:rsid w:val="00DF7742"/>
    <w:rsid w:val="00E0001D"/>
    <w:rsid w:val="00E004E4"/>
    <w:rsid w:val="00E00514"/>
    <w:rsid w:val="00E00B08"/>
    <w:rsid w:val="00E010C8"/>
    <w:rsid w:val="00E01488"/>
    <w:rsid w:val="00E0163C"/>
    <w:rsid w:val="00E01CF2"/>
    <w:rsid w:val="00E0407F"/>
    <w:rsid w:val="00E0431A"/>
    <w:rsid w:val="00E04471"/>
    <w:rsid w:val="00E04CB9"/>
    <w:rsid w:val="00E057FE"/>
    <w:rsid w:val="00E065CE"/>
    <w:rsid w:val="00E06BAA"/>
    <w:rsid w:val="00E06CE4"/>
    <w:rsid w:val="00E070EB"/>
    <w:rsid w:val="00E10CCF"/>
    <w:rsid w:val="00E112D8"/>
    <w:rsid w:val="00E12296"/>
    <w:rsid w:val="00E1235B"/>
    <w:rsid w:val="00E124EF"/>
    <w:rsid w:val="00E13045"/>
    <w:rsid w:val="00E13527"/>
    <w:rsid w:val="00E14DE8"/>
    <w:rsid w:val="00E14EB0"/>
    <w:rsid w:val="00E15785"/>
    <w:rsid w:val="00E20E9B"/>
    <w:rsid w:val="00E21BFA"/>
    <w:rsid w:val="00E22DC1"/>
    <w:rsid w:val="00E2383D"/>
    <w:rsid w:val="00E243F8"/>
    <w:rsid w:val="00E249D8"/>
    <w:rsid w:val="00E25549"/>
    <w:rsid w:val="00E25CB1"/>
    <w:rsid w:val="00E25DC6"/>
    <w:rsid w:val="00E26A39"/>
    <w:rsid w:val="00E2798A"/>
    <w:rsid w:val="00E309F1"/>
    <w:rsid w:val="00E315ED"/>
    <w:rsid w:val="00E32767"/>
    <w:rsid w:val="00E3276A"/>
    <w:rsid w:val="00E333A0"/>
    <w:rsid w:val="00E3713B"/>
    <w:rsid w:val="00E40620"/>
    <w:rsid w:val="00E406CC"/>
    <w:rsid w:val="00E42A29"/>
    <w:rsid w:val="00E43B72"/>
    <w:rsid w:val="00E43E01"/>
    <w:rsid w:val="00E43EBC"/>
    <w:rsid w:val="00E458B5"/>
    <w:rsid w:val="00E46104"/>
    <w:rsid w:val="00E46796"/>
    <w:rsid w:val="00E47B32"/>
    <w:rsid w:val="00E51E4C"/>
    <w:rsid w:val="00E537D3"/>
    <w:rsid w:val="00E53C2D"/>
    <w:rsid w:val="00E53DA9"/>
    <w:rsid w:val="00E54E50"/>
    <w:rsid w:val="00E5560A"/>
    <w:rsid w:val="00E558A7"/>
    <w:rsid w:val="00E562E9"/>
    <w:rsid w:val="00E56AE9"/>
    <w:rsid w:val="00E5721A"/>
    <w:rsid w:val="00E573CA"/>
    <w:rsid w:val="00E57BF9"/>
    <w:rsid w:val="00E60C14"/>
    <w:rsid w:val="00E6168A"/>
    <w:rsid w:val="00E651C5"/>
    <w:rsid w:val="00E659D9"/>
    <w:rsid w:val="00E6697B"/>
    <w:rsid w:val="00E67B1D"/>
    <w:rsid w:val="00E70917"/>
    <w:rsid w:val="00E7102B"/>
    <w:rsid w:val="00E71557"/>
    <w:rsid w:val="00E7400B"/>
    <w:rsid w:val="00E7466B"/>
    <w:rsid w:val="00E74AC9"/>
    <w:rsid w:val="00E75AE7"/>
    <w:rsid w:val="00E7712C"/>
    <w:rsid w:val="00E77AB9"/>
    <w:rsid w:val="00E804CB"/>
    <w:rsid w:val="00E8194C"/>
    <w:rsid w:val="00E81FF0"/>
    <w:rsid w:val="00E83852"/>
    <w:rsid w:val="00E85A2B"/>
    <w:rsid w:val="00E87403"/>
    <w:rsid w:val="00E92DAC"/>
    <w:rsid w:val="00E94DBD"/>
    <w:rsid w:val="00E96D60"/>
    <w:rsid w:val="00E9725D"/>
    <w:rsid w:val="00E9757C"/>
    <w:rsid w:val="00E97E12"/>
    <w:rsid w:val="00EA06D5"/>
    <w:rsid w:val="00EA1A5E"/>
    <w:rsid w:val="00EA1B59"/>
    <w:rsid w:val="00EA2313"/>
    <w:rsid w:val="00EA2F28"/>
    <w:rsid w:val="00EA3738"/>
    <w:rsid w:val="00EA3C60"/>
    <w:rsid w:val="00EA4998"/>
    <w:rsid w:val="00EA6614"/>
    <w:rsid w:val="00EA6E2E"/>
    <w:rsid w:val="00EB022C"/>
    <w:rsid w:val="00EB0C3B"/>
    <w:rsid w:val="00EB1A6B"/>
    <w:rsid w:val="00EB33BB"/>
    <w:rsid w:val="00EB4C14"/>
    <w:rsid w:val="00EB5639"/>
    <w:rsid w:val="00EB74E3"/>
    <w:rsid w:val="00EB7CF7"/>
    <w:rsid w:val="00EC0888"/>
    <w:rsid w:val="00EC1D3A"/>
    <w:rsid w:val="00EC2CF3"/>
    <w:rsid w:val="00EC2E16"/>
    <w:rsid w:val="00EC384D"/>
    <w:rsid w:val="00EC4224"/>
    <w:rsid w:val="00EC437E"/>
    <w:rsid w:val="00EC468C"/>
    <w:rsid w:val="00EC49DA"/>
    <w:rsid w:val="00EC535E"/>
    <w:rsid w:val="00EC5AA0"/>
    <w:rsid w:val="00EC670A"/>
    <w:rsid w:val="00EC7101"/>
    <w:rsid w:val="00EC7F7E"/>
    <w:rsid w:val="00ED030F"/>
    <w:rsid w:val="00ED03DE"/>
    <w:rsid w:val="00ED08E8"/>
    <w:rsid w:val="00ED1BEA"/>
    <w:rsid w:val="00ED2C30"/>
    <w:rsid w:val="00ED412C"/>
    <w:rsid w:val="00ED503A"/>
    <w:rsid w:val="00ED63D0"/>
    <w:rsid w:val="00EE0E18"/>
    <w:rsid w:val="00EE17C5"/>
    <w:rsid w:val="00EE2A72"/>
    <w:rsid w:val="00EE2C04"/>
    <w:rsid w:val="00EE3B63"/>
    <w:rsid w:val="00EE3BB2"/>
    <w:rsid w:val="00EE44F2"/>
    <w:rsid w:val="00EE798B"/>
    <w:rsid w:val="00EF0D44"/>
    <w:rsid w:val="00EF1289"/>
    <w:rsid w:val="00EF297B"/>
    <w:rsid w:val="00EF3C3A"/>
    <w:rsid w:val="00EF63F2"/>
    <w:rsid w:val="00EF6FBB"/>
    <w:rsid w:val="00F00216"/>
    <w:rsid w:val="00F005EB"/>
    <w:rsid w:val="00F0119B"/>
    <w:rsid w:val="00F01839"/>
    <w:rsid w:val="00F01C17"/>
    <w:rsid w:val="00F02613"/>
    <w:rsid w:val="00F02C18"/>
    <w:rsid w:val="00F03333"/>
    <w:rsid w:val="00F03A9A"/>
    <w:rsid w:val="00F047FB"/>
    <w:rsid w:val="00F04801"/>
    <w:rsid w:val="00F052A9"/>
    <w:rsid w:val="00F05645"/>
    <w:rsid w:val="00F0634E"/>
    <w:rsid w:val="00F06C8C"/>
    <w:rsid w:val="00F07165"/>
    <w:rsid w:val="00F10716"/>
    <w:rsid w:val="00F1082F"/>
    <w:rsid w:val="00F11186"/>
    <w:rsid w:val="00F11394"/>
    <w:rsid w:val="00F12064"/>
    <w:rsid w:val="00F13714"/>
    <w:rsid w:val="00F145FE"/>
    <w:rsid w:val="00F14BA3"/>
    <w:rsid w:val="00F152AE"/>
    <w:rsid w:val="00F159A1"/>
    <w:rsid w:val="00F16A3B"/>
    <w:rsid w:val="00F17F2E"/>
    <w:rsid w:val="00F2005D"/>
    <w:rsid w:val="00F20370"/>
    <w:rsid w:val="00F21704"/>
    <w:rsid w:val="00F227CE"/>
    <w:rsid w:val="00F2313E"/>
    <w:rsid w:val="00F23FB3"/>
    <w:rsid w:val="00F2430C"/>
    <w:rsid w:val="00F25B2E"/>
    <w:rsid w:val="00F269DB"/>
    <w:rsid w:val="00F271DA"/>
    <w:rsid w:val="00F27FC8"/>
    <w:rsid w:val="00F27FFE"/>
    <w:rsid w:val="00F31A95"/>
    <w:rsid w:val="00F35AB8"/>
    <w:rsid w:val="00F363B7"/>
    <w:rsid w:val="00F370BF"/>
    <w:rsid w:val="00F4064B"/>
    <w:rsid w:val="00F40A79"/>
    <w:rsid w:val="00F40FCC"/>
    <w:rsid w:val="00F41103"/>
    <w:rsid w:val="00F41816"/>
    <w:rsid w:val="00F41864"/>
    <w:rsid w:val="00F41BFA"/>
    <w:rsid w:val="00F4401E"/>
    <w:rsid w:val="00F4441A"/>
    <w:rsid w:val="00F448A0"/>
    <w:rsid w:val="00F45228"/>
    <w:rsid w:val="00F45962"/>
    <w:rsid w:val="00F46AD1"/>
    <w:rsid w:val="00F5035A"/>
    <w:rsid w:val="00F50E9D"/>
    <w:rsid w:val="00F50EA3"/>
    <w:rsid w:val="00F52D1A"/>
    <w:rsid w:val="00F531B7"/>
    <w:rsid w:val="00F53E32"/>
    <w:rsid w:val="00F53F65"/>
    <w:rsid w:val="00F548E7"/>
    <w:rsid w:val="00F557ED"/>
    <w:rsid w:val="00F560A7"/>
    <w:rsid w:val="00F57735"/>
    <w:rsid w:val="00F579C0"/>
    <w:rsid w:val="00F57B37"/>
    <w:rsid w:val="00F57C7B"/>
    <w:rsid w:val="00F615EC"/>
    <w:rsid w:val="00F61803"/>
    <w:rsid w:val="00F61BC4"/>
    <w:rsid w:val="00F62337"/>
    <w:rsid w:val="00F62ACF"/>
    <w:rsid w:val="00F62C97"/>
    <w:rsid w:val="00F6391E"/>
    <w:rsid w:val="00F649B7"/>
    <w:rsid w:val="00F64D4B"/>
    <w:rsid w:val="00F718D9"/>
    <w:rsid w:val="00F71C48"/>
    <w:rsid w:val="00F7246B"/>
    <w:rsid w:val="00F72FC9"/>
    <w:rsid w:val="00F7418A"/>
    <w:rsid w:val="00F747C8"/>
    <w:rsid w:val="00F75A21"/>
    <w:rsid w:val="00F763E5"/>
    <w:rsid w:val="00F76CBA"/>
    <w:rsid w:val="00F7714E"/>
    <w:rsid w:val="00F77692"/>
    <w:rsid w:val="00F776E2"/>
    <w:rsid w:val="00F77CFD"/>
    <w:rsid w:val="00F80021"/>
    <w:rsid w:val="00F8029E"/>
    <w:rsid w:val="00F808C0"/>
    <w:rsid w:val="00F80FB3"/>
    <w:rsid w:val="00F81C91"/>
    <w:rsid w:val="00F82B7A"/>
    <w:rsid w:val="00F833AC"/>
    <w:rsid w:val="00F83A86"/>
    <w:rsid w:val="00F84752"/>
    <w:rsid w:val="00F84A63"/>
    <w:rsid w:val="00F84F85"/>
    <w:rsid w:val="00F874E4"/>
    <w:rsid w:val="00F87538"/>
    <w:rsid w:val="00F879C1"/>
    <w:rsid w:val="00F90E8D"/>
    <w:rsid w:val="00F91529"/>
    <w:rsid w:val="00F915AD"/>
    <w:rsid w:val="00F92222"/>
    <w:rsid w:val="00F92D0A"/>
    <w:rsid w:val="00F92FD3"/>
    <w:rsid w:val="00F93C08"/>
    <w:rsid w:val="00F95D11"/>
    <w:rsid w:val="00F96337"/>
    <w:rsid w:val="00F967B1"/>
    <w:rsid w:val="00F96867"/>
    <w:rsid w:val="00F96910"/>
    <w:rsid w:val="00F9728E"/>
    <w:rsid w:val="00FA00EE"/>
    <w:rsid w:val="00FA018D"/>
    <w:rsid w:val="00FA070C"/>
    <w:rsid w:val="00FA0AD1"/>
    <w:rsid w:val="00FA0DC0"/>
    <w:rsid w:val="00FA13D0"/>
    <w:rsid w:val="00FA1C6D"/>
    <w:rsid w:val="00FA319B"/>
    <w:rsid w:val="00FA3BCA"/>
    <w:rsid w:val="00FA4F4F"/>
    <w:rsid w:val="00FA500F"/>
    <w:rsid w:val="00FA5874"/>
    <w:rsid w:val="00FA6719"/>
    <w:rsid w:val="00FA6A1E"/>
    <w:rsid w:val="00FA776D"/>
    <w:rsid w:val="00FB0715"/>
    <w:rsid w:val="00FB0BC1"/>
    <w:rsid w:val="00FB0D95"/>
    <w:rsid w:val="00FB12E0"/>
    <w:rsid w:val="00FB1A83"/>
    <w:rsid w:val="00FB1EC2"/>
    <w:rsid w:val="00FB3511"/>
    <w:rsid w:val="00FB357D"/>
    <w:rsid w:val="00FB3906"/>
    <w:rsid w:val="00FB3A98"/>
    <w:rsid w:val="00FB42D6"/>
    <w:rsid w:val="00FB5C82"/>
    <w:rsid w:val="00FB6FD7"/>
    <w:rsid w:val="00FC088F"/>
    <w:rsid w:val="00FC0C73"/>
    <w:rsid w:val="00FC27C6"/>
    <w:rsid w:val="00FC2E12"/>
    <w:rsid w:val="00FC2FDA"/>
    <w:rsid w:val="00FC3355"/>
    <w:rsid w:val="00FC509D"/>
    <w:rsid w:val="00FC6342"/>
    <w:rsid w:val="00FC646D"/>
    <w:rsid w:val="00FC65E8"/>
    <w:rsid w:val="00FC67FE"/>
    <w:rsid w:val="00FD14E8"/>
    <w:rsid w:val="00FD29AE"/>
    <w:rsid w:val="00FD6004"/>
    <w:rsid w:val="00FD69CC"/>
    <w:rsid w:val="00FE0BD3"/>
    <w:rsid w:val="00FE0DDF"/>
    <w:rsid w:val="00FE11AC"/>
    <w:rsid w:val="00FE2FD9"/>
    <w:rsid w:val="00FE3B32"/>
    <w:rsid w:val="00FE4869"/>
    <w:rsid w:val="00FE5019"/>
    <w:rsid w:val="00FE5B40"/>
    <w:rsid w:val="00FE75BA"/>
    <w:rsid w:val="00FE7A1D"/>
    <w:rsid w:val="00FF0065"/>
    <w:rsid w:val="00FF00C5"/>
    <w:rsid w:val="00FF020A"/>
    <w:rsid w:val="00FF0FD2"/>
    <w:rsid w:val="00FF12CB"/>
    <w:rsid w:val="00FF13C3"/>
    <w:rsid w:val="00FF1DB6"/>
    <w:rsid w:val="00FF1E4F"/>
    <w:rsid w:val="00FF2B83"/>
    <w:rsid w:val="00FF2E67"/>
    <w:rsid w:val="00FF40A6"/>
    <w:rsid w:val="00FF4EBB"/>
    <w:rsid w:val="00FF6624"/>
    <w:rsid w:val="00FF72AB"/>
    <w:rsid w:val="00FF789F"/>
    <w:rsid w:val="01F147B6"/>
    <w:rsid w:val="02584674"/>
    <w:rsid w:val="02BFC282"/>
    <w:rsid w:val="0355B8FF"/>
    <w:rsid w:val="055CB46D"/>
    <w:rsid w:val="066DF46D"/>
    <w:rsid w:val="071D9080"/>
    <w:rsid w:val="08D75052"/>
    <w:rsid w:val="08EF5D7B"/>
    <w:rsid w:val="09330D89"/>
    <w:rsid w:val="0BB03D6E"/>
    <w:rsid w:val="0C1C5146"/>
    <w:rsid w:val="0D0CF488"/>
    <w:rsid w:val="0D2520E1"/>
    <w:rsid w:val="0DA789BF"/>
    <w:rsid w:val="0DCA88E6"/>
    <w:rsid w:val="0F60DBD9"/>
    <w:rsid w:val="0FFEDEA3"/>
    <w:rsid w:val="11B59438"/>
    <w:rsid w:val="121E7488"/>
    <w:rsid w:val="124CDA76"/>
    <w:rsid w:val="1268317A"/>
    <w:rsid w:val="143B9979"/>
    <w:rsid w:val="148D5FF1"/>
    <w:rsid w:val="156EA783"/>
    <w:rsid w:val="15A2AD86"/>
    <w:rsid w:val="16F93CF5"/>
    <w:rsid w:val="17F77FDE"/>
    <w:rsid w:val="19E86E08"/>
    <w:rsid w:val="1A1968C5"/>
    <w:rsid w:val="1A9E9AB2"/>
    <w:rsid w:val="1BB5F4AB"/>
    <w:rsid w:val="1CAF0275"/>
    <w:rsid w:val="1D03C9B0"/>
    <w:rsid w:val="1D2EF618"/>
    <w:rsid w:val="1DF479C5"/>
    <w:rsid w:val="1EA30A03"/>
    <w:rsid w:val="1EC034F9"/>
    <w:rsid w:val="20D1CFB5"/>
    <w:rsid w:val="21AD08C2"/>
    <w:rsid w:val="21CFBF63"/>
    <w:rsid w:val="270D02DF"/>
    <w:rsid w:val="2724C300"/>
    <w:rsid w:val="27528F58"/>
    <w:rsid w:val="27E86DF3"/>
    <w:rsid w:val="28EF9CE2"/>
    <w:rsid w:val="299B7E21"/>
    <w:rsid w:val="2A1E4E29"/>
    <w:rsid w:val="2A5B2C7C"/>
    <w:rsid w:val="2A68B381"/>
    <w:rsid w:val="2B13C69D"/>
    <w:rsid w:val="2BB734CB"/>
    <w:rsid w:val="2DBE845E"/>
    <w:rsid w:val="2E5AD6EF"/>
    <w:rsid w:val="30B99ED5"/>
    <w:rsid w:val="311CE976"/>
    <w:rsid w:val="31A1C2BE"/>
    <w:rsid w:val="320973FC"/>
    <w:rsid w:val="325B1F8A"/>
    <w:rsid w:val="32A3D81A"/>
    <w:rsid w:val="334757E2"/>
    <w:rsid w:val="335F6004"/>
    <w:rsid w:val="33BCB507"/>
    <w:rsid w:val="3A0774CF"/>
    <w:rsid w:val="3A520A1C"/>
    <w:rsid w:val="3BCFD578"/>
    <w:rsid w:val="3C181578"/>
    <w:rsid w:val="3DCB1E24"/>
    <w:rsid w:val="3F6D56FF"/>
    <w:rsid w:val="41320AA6"/>
    <w:rsid w:val="423F6995"/>
    <w:rsid w:val="4295CC27"/>
    <w:rsid w:val="42EAE52B"/>
    <w:rsid w:val="436A267F"/>
    <w:rsid w:val="436EB008"/>
    <w:rsid w:val="43D02A5A"/>
    <w:rsid w:val="44632D73"/>
    <w:rsid w:val="44F4A9B0"/>
    <w:rsid w:val="45057F5D"/>
    <w:rsid w:val="46966AFC"/>
    <w:rsid w:val="47632F95"/>
    <w:rsid w:val="4949F075"/>
    <w:rsid w:val="49D61EEA"/>
    <w:rsid w:val="4AFB5E7D"/>
    <w:rsid w:val="4D271109"/>
    <w:rsid w:val="4DE08187"/>
    <w:rsid w:val="4EAAC0BF"/>
    <w:rsid w:val="4EB6A2DE"/>
    <w:rsid w:val="4EEA1D70"/>
    <w:rsid w:val="4F8B6A2D"/>
    <w:rsid w:val="5051762B"/>
    <w:rsid w:val="508FBEFC"/>
    <w:rsid w:val="50ECBAA0"/>
    <w:rsid w:val="514F35D0"/>
    <w:rsid w:val="5150F7C2"/>
    <w:rsid w:val="5322A347"/>
    <w:rsid w:val="5359B3F8"/>
    <w:rsid w:val="543530CC"/>
    <w:rsid w:val="54EED674"/>
    <w:rsid w:val="5512A832"/>
    <w:rsid w:val="552ED600"/>
    <w:rsid w:val="55C6009B"/>
    <w:rsid w:val="5609D6D7"/>
    <w:rsid w:val="56B08F3B"/>
    <w:rsid w:val="56E2005D"/>
    <w:rsid w:val="574D75FF"/>
    <w:rsid w:val="5906A9F1"/>
    <w:rsid w:val="59D1966C"/>
    <w:rsid w:val="5A515649"/>
    <w:rsid w:val="5DEDE2EA"/>
    <w:rsid w:val="5DFAB475"/>
    <w:rsid w:val="5F0C176A"/>
    <w:rsid w:val="61AA4786"/>
    <w:rsid w:val="61F99E10"/>
    <w:rsid w:val="6499AD85"/>
    <w:rsid w:val="654E7451"/>
    <w:rsid w:val="65A9687C"/>
    <w:rsid w:val="6639BB9E"/>
    <w:rsid w:val="668789E8"/>
    <w:rsid w:val="6837DB6B"/>
    <w:rsid w:val="688D6F3E"/>
    <w:rsid w:val="698A4B91"/>
    <w:rsid w:val="6AB51040"/>
    <w:rsid w:val="6B9286F5"/>
    <w:rsid w:val="6BB3E073"/>
    <w:rsid w:val="6C531A7E"/>
    <w:rsid w:val="6C906861"/>
    <w:rsid w:val="6D98ABCA"/>
    <w:rsid w:val="6E5D5669"/>
    <w:rsid w:val="6F58CB42"/>
    <w:rsid w:val="7081ABB7"/>
    <w:rsid w:val="7126ED37"/>
    <w:rsid w:val="72813328"/>
    <w:rsid w:val="72F389B2"/>
    <w:rsid w:val="73957E3A"/>
    <w:rsid w:val="73F0A114"/>
    <w:rsid w:val="76795EBE"/>
    <w:rsid w:val="77C242B2"/>
    <w:rsid w:val="796EF701"/>
    <w:rsid w:val="7ABD4074"/>
    <w:rsid w:val="7BDB2662"/>
    <w:rsid w:val="7CA10563"/>
    <w:rsid w:val="7CCBF320"/>
    <w:rsid w:val="7D544838"/>
    <w:rsid w:val="7E54B2F5"/>
    <w:rsid w:val="7EC16E9E"/>
    <w:rsid w:val="7F30C59F"/>
    <w:rsid w:val="7FD1E4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3B009D"/>
  <w15:docId w15:val="{C29F9CF5-1522-4099-8C2A-01FB2988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D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uiPriority w:val="34"/>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unhideWhenUsed/>
    <w:rsid w:val="00873BFC"/>
    <w:rPr>
      <w:sz w:val="20"/>
      <w:szCs w:val="20"/>
    </w:rPr>
  </w:style>
  <w:style w:type="character" w:customStyle="1" w:styleId="CommentTextChar">
    <w:name w:val="Comment Text Char"/>
    <w:basedOn w:val="DefaultParagraphFont"/>
    <w:link w:val="CommentText"/>
    <w:uiPriority w:val="99"/>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3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873BFC"/>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 w:type="character" w:styleId="UnresolvedMention">
    <w:name w:val="Unresolved Mention"/>
    <w:basedOn w:val="DefaultParagraphFont"/>
    <w:uiPriority w:val="99"/>
    <w:semiHidden/>
    <w:unhideWhenUsed/>
    <w:rsid w:val="00A41610"/>
    <w:rPr>
      <w:color w:val="605E5C"/>
      <w:shd w:val="clear" w:color="auto" w:fill="E1DFDD"/>
    </w:rPr>
  </w:style>
  <w:style w:type="paragraph" w:styleId="TOC2">
    <w:name w:val="toc 2"/>
    <w:basedOn w:val="Normal"/>
    <w:next w:val="Normal"/>
    <w:autoRedefine/>
    <w:uiPriority w:val="39"/>
    <w:rsid w:val="00341990"/>
    <w:pPr>
      <w:widowControl w:val="0"/>
      <w:tabs>
        <w:tab w:val="left" w:pos="0"/>
        <w:tab w:val="left" w:pos="1100"/>
        <w:tab w:val="right" w:leader="dot" w:pos="9350"/>
      </w:tabs>
      <w:autoSpaceDE w:val="0"/>
      <w:autoSpaceDN w:val="0"/>
      <w:adjustRightInd w:val="0"/>
      <w:spacing w:after="100"/>
    </w:pPr>
    <w:rPr>
      <w:rFonts w:ascii="Courier New" w:hAnsi="Courier New" w:cs="Courier New"/>
      <w:noProof/>
    </w:rPr>
  </w:style>
  <w:style w:type="paragraph" w:styleId="PlainText">
    <w:name w:val="Plain Text"/>
    <w:basedOn w:val="Normal"/>
    <w:link w:val="PlainTextChar"/>
    <w:uiPriority w:val="99"/>
    <w:unhideWhenUsed/>
    <w:rsid w:val="003D1536"/>
    <w:rPr>
      <w:rFonts w:ascii="Calibri" w:hAnsi="Calibri" w:cs="Consolas"/>
      <w:sz w:val="22"/>
      <w:szCs w:val="21"/>
    </w:rPr>
  </w:style>
  <w:style w:type="character" w:customStyle="1" w:styleId="PlainTextChar">
    <w:name w:val="Plain Text Char"/>
    <w:basedOn w:val="DefaultParagraphFont"/>
    <w:link w:val="PlainText"/>
    <w:uiPriority w:val="99"/>
    <w:rsid w:val="003D1536"/>
    <w:rPr>
      <w:rFonts w:ascii="Calibri" w:eastAsia="Times New Roman" w:hAnsi="Calibri" w:cs="Consolas"/>
      <w:szCs w:val="21"/>
    </w:rPr>
  </w:style>
  <w:style w:type="character" w:customStyle="1" w:styleId="normaltextrun">
    <w:name w:val="normaltextrun"/>
    <w:basedOn w:val="DefaultParagraphFont"/>
    <w:rsid w:val="00B46CB1"/>
  </w:style>
  <w:style w:type="paragraph" w:customStyle="1" w:styleId="Level1">
    <w:name w:val="Level 1"/>
    <w:basedOn w:val="Normal"/>
    <w:rsid w:val="002A6E55"/>
    <w:pPr>
      <w:widowControl w:val="0"/>
      <w:autoSpaceDE w:val="0"/>
      <w:autoSpaceDN w:val="0"/>
      <w:adjustRightInd w:val="0"/>
      <w:ind w:left="720" w:hanging="720"/>
      <w:outlineLvl w:val="0"/>
    </w:pPr>
  </w:style>
  <w:style w:type="paragraph" w:customStyle="1" w:styleId="Pa0">
    <w:name w:val="Pa0"/>
    <w:basedOn w:val="Default"/>
    <w:next w:val="Default"/>
    <w:uiPriority w:val="99"/>
    <w:rsid w:val="0009025D"/>
    <w:pPr>
      <w:spacing w:line="221" w:lineRule="atLeast"/>
    </w:pPr>
    <w:rPr>
      <w:rFonts w:ascii="ITC Franklin Gothic Std Book" w:eastAsiaTheme="minorHAnsi" w:hAnsi="ITC Franklin Gothic Std Book" w:cstheme="minorBidi"/>
      <w:color w:val="auto"/>
    </w:rPr>
  </w:style>
  <w:style w:type="character" w:styleId="HTMLCite">
    <w:name w:val="HTML Cite"/>
    <w:basedOn w:val="DefaultParagraphFont"/>
    <w:uiPriority w:val="99"/>
    <w:semiHidden/>
    <w:unhideWhenUsed/>
    <w:rsid w:val="001405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5915">
      <w:bodyDiv w:val="1"/>
      <w:marLeft w:val="0"/>
      <w:marRight w:val="0"/>
      <w:marTop w:val="0"/>
      <w:marBottom w:val="0"/>
      <w:divBdr>
        <w:top w:val="none" w:sz="0" w:space="0" w:color="auto"/>
        <w:left w:val="none" w:sz="0" w:space="0" w:color="auto"/>
        <w:bottom w:val="none" w:sz="0" w:space="0" w:color="auto"/>
        <w:right w:val="none" w:sz="0" w:space="0" w:color="auto"/>
      </w:divBdr>
    </w:div>
    <w:div w:id="336271121">
      <w:bodyDiv w:val="1"/>
      <w:marLeft w:val="0"/>
      <w:marRight w:val="0"/>
      <w:marTop w:val="0"/>
      <w:marBottom w:val="0"/>
      <w:divBdr>
        <w:top w:val="none" w:sz="0" w:space="0" w:color="auto"/>
        <w:left w:val="none" w:sz="0" w:space="0" w:color="auto"/>
        <w:bottom w:val="none" w:sz="0" w:space="0" w:color="auto"/>
        <w:right w:val="none" w:sz="0" w:space="0" w:color="auto"/>
      </w:divBdr>
    </w:div>
    <w:div w:id="437524256">
      <w:bodyDiv w:val="1"/>
      <w:marLeft w:val="0"/>
      <w:marRight w:val="0"/>
      <w:marTop w:val="0"/>
      <w:marBottom w:val="0"/>
      <w:divBdr>
        <w:top w:val="none" w:sz="0" w:space="0" w:color="auto"/>
        <w:left w:val="none" w:sz="0" w:space="0" w:color="auto"/>
        <w:bottom w:val="none" w:sz="0" w:space="0" w:color="auto"/>
        <w:right w:val="none" w:sz="0" w:space="0" w:color="auto"/>
      </w:divBdr>
    </w:div>
    <w:div w:id="673410962">
      <w:bodyDiv w:val="1"/>
      <w:marLeft w:val="0"/>
      <w:marRight w:val="0"/>
      <w:marTop w:val="0"/>
      <w:marBottom w:val="0"/>
      <w:divBdr>
        <w:top w:val="none" w:sz="0" w:space="0" w:color="auto"/>
        <w:left w:val="none" w:sz="0" w:space="0" w:color="auto"/>
        <w:bottom w:val="none" w:sz="0" w:space="0" w:color="auto"/>
        <w:right w:val="none" w:sz="0" w:space="0" w:color="auto"/>
      </w:divBdr>
    </w:div>
    <w:div w:id="735592821">
      <w:bodyDiv w:val="1"/>
      <w:marLeft w:val="0"/>
      <w:marRight w:val="0"/>
      <w:marTop w:val="0"/>
      <w:marBottom w:val="0"/>
      <w:divBdr>
        <w:top w:val="none" w:sz="0" w:space="0" w:color="auto"/>
        <w:left w:val="none" w:sz="0" w:space="0" w:color="auto"/>
        <w:bottom w:val="none" w:sz="0" w:space="0" w:color="auto"/>
        <w:right w:val="none" w:sz="0" w:space="0" w:color="auto"/>
      </w:divBdr>
    </w:div>
    <w:div w:id="786001699">
      <w:bodyDiv w:val="1"/>
      <w:marLeft w:val="0"/>
      <w:marRight w:val="0"/>
      <w:marTop w:val="0"/>
      <w:marBottom w:val="0"/>
      <w:divBdr>
        <w:top w:val="none" w:sz="0" w:space="0" w:color="auto"/>
        <w:left w:val="none" w:sz="0" w:space="0" w:color="auto"/>
        <w:bottom w:val="none" w:sz="0" w:space="0" w:color="auto"/>
        <w:right w:val="none" w:sz="0" w:space="0" w:color="auto"/>
      </w:divBdr>
    </w:div>
    <w:div w:id="800806645">
      <w:bodyDiv w:val="1"/>
      <w:marLeft w:val="0"/>
      <w:marRight w:val="0"/>
      <w:marTop w:val="0"/>
      <w:marBottom w:val="0"/>
      <w:divBdr>
        <w:top w:val="none" w:sz="0" w:space="0" w:color="auto"/>
        <w:left w:val="none" w:sz="0" w:space="0" w:color="auto"/>
        <w:bottom w:val="none" w:sz="0" w:space="0" w:color="auto"/>
        <w:right w:val="none" w:sz="0" w:space="0" w:color="auto"/>
      </w:divBdr>
    </w:div>
    <w:div w:id="846167424">
      <w:bodyDiv w:val="1"/>
      <w:marLeft w:val="0"/>
      <w:marRight w:val="0"/>
      <w:marTop w:val="0"/>
      <w:marBottom w:val="0"/>
      <w:divBdr>
        <w:top w:val="none" w:sz="0" w:space="0" w:color="auto"/>
        <w:left w:val="none" w:sz="0" w:space="0" w:color="auto"/>
        <w:bottom w:val="none" w:sz="0" w:space="0" w:color="auto"/>
        <w:right w:val="none" w:sz="0" w:space="0" w:color="auto"/>
      </w:divBdr>
    </w:div>
    <w:div w:id="1051270789">
      <w:bodyDiv w:val="1"/>
      <w:marLeft w:val="0"/>
      <w:marRight w:val="0"/>
      <w:marTop w:val="0"/>
      <w:marBottom w:val="0"/>
      <w:divBdr>
        <w:top w:val="none" w:sz="0" w:space="0" w:color="auto"/>
        <w:left w:val="none" w:sz="0" w:space="0" w:color="auto"/>
        <w:bottom w:val="none" w:sz="0" w:space="0" w:color="auto"/>
        <w:right w:val="none" w:sz="0" w:space="0" w:color="auto"/>
      </w:divBdr>
    </w:div>
    <w:div w:id="1186594919">
      <w:bodyDiv w:val="1"/>
      <w:marLeft w:val="0"/>
      <w:marRight w:val="0"/>
      <w:marTop w:val="0"/>
      <w:marBottom w:val="0"/>
      <w:divBdr>
        <w:top w:val="none" w:sz="0" w:space="0" w:color="auto"/>
        <w:left w:val="none" w:sz="0" w:space="0" w:color="auto"/>
        <w:bottom w:val="none" w:sz="0" w:space="0" w:color="auto"/>
        <w:right w:val="none" w:sz="0" w:space="0" w:color="auto"/>
      </w:divBdr>
      <w:divsChild>
        <w:div w:id="1526096624">
          <w:marLeft w:val="0"/>
          <w:marRight w:val="0"/>
          <w:marTop w:val="0"/>
          <w:marBottom w:val="15"/>
          <w:divBdr>
            <w:top w:val="none" w:sz="0" w:space="0" w:color="auto"/>
            <w:left w:val="none" w:sz="0" w:space="0" w:color="auto"/>
            <w:bottom w:val="none" w:sz="0" w:space="0" w:color="auto"/>
            <w:right w:val="none" w:sz="0" w:space="0" w:color="auto"/>
          </w:divBdr>
        </w:div>
      </w:divsChild>
    </w:div>
    <w:div w:id="1224834626">
      <w:bodyDiv w:val="1"/>
      <w:marLeft w:val="0"/>
      <w:marRight w:val="0"/>
      <w:marTop w:val="0"/>
      <w:marBottom w:val="0"/>
      <w:divBdr>
        <w:top w:val="none" w:sz="0" w:space="0" w:color="auto"/>
        <w:left w:val="none" w:sz="0" w:space="0" w:color="auto"/>
        <w:bottom w:val="none" w:sz="0" w:space="0" w:color="auto"/>
        <w:right w:val="none" w:sz="0" w:space="0" w:color="auto"/>
      </w:divBdr>
    </w:div>
    <w:div w:id="1237282587">
      <w:bodyDiv w:val="1"/>
      <w:marLeft w:val="0"/>
      <w:marRight w:val="0"/>
      <w:marTop w:val="0"/>
      <w:marBottom w:val="0"/>
      <w:divBdr>
        <w:top w:val="none" w:sz="0" w:space="0" w:color="auto"/>
        <w:left w:val="none" w:sz="0" w:space="0" w:color="auto"/>
        <w:bottom w:val="none" w:sz="0" w:space="0" w:color="auto"/>
        <w:right w:val="none" w:sz="0" w:space="0" w:color="auto"/>
      </w:divBdr>
    </w:div>
    <w:div w:id="1283148682">
      <w:bodyDiv w:val="1"/>
      <w:marLeft w:val="0"/>
      <w:marRight w:val="0"/>
      <w:marTop w:val="0"/>
      <w:marBottom w:val="0"/>
      <w:divBdr>
        <w:top w:val="none" w:sz="0" w:space="0" w:color="auto"/>
        <w:left w:val="none" w:sz="0" w:space="0" w:color="auto"/>
        <w:bottom w:val="none" w:sz="0" w:space="0" w:color="auto"/>
        <w:right w:val="none" w:sz="0" w:space="0" w:color="auto"/>
      </w:divBdr>
      <w:divsChild>
        <w:div w:id="537621971">
          <w:marLeft w:val="0"/>
          <w:marRight w:val="0"/>
          <w:marTop w:val="0"/>
          <w:marBottom w:val="0"/>
          <w:divBdr>
            <w:top w:val="none" w:sz="0" w:space="0" w:color="auto"/>
            <w:left w:val="none" w:sz="0" w:space="0" w:color="auto"/>
            <w:bottom w:val="none" w:sz="0" w:space="0" w:color="auto"/>
            <w:right w:val="none" w:sz="0" w:space="0" w:color="auto"/>
          </w:divBdr>
        </w:div>
        <w:div w:id="1343314325">
          <w:marLeft w:val="0"/>
          <w:marRight w:val="0"/>
          <w:marTop w:val="0"/>
          <w:marBottom w:val="0"/>
          <w:divBdr>
            <w:top w:val="none" w:sz="0" w:space="0" w:color="auto"/>
            <w:left w:val="none" w:sz="0" w:space="0" w:color="auto"/>
            <w:bottom w:val="none" w:sz="0" w:space="0" w:color="auto"/>
            <w:right w:val="none" w:sz="0" w:space="0" w:color="auto"/>
          </w:divBdr>
          <w:divsChild>
            <w:div w:id="1851483479">
              <w:marLeft w:val="0"/>
              <w:marRight w:val="0"/>
              <w:marTop w:val="0"/>
              <w:marBottom w:val="0"/>
              <w:divBdr>
                <w:top w:val="none" w:sz="0" w:space="0" w:color="auto"/>
                <w:left w:val="none" w:sz="0" w:space="0" w:color="auto"/>
                <w:bottom w:val="none" w:sz="0" w:space="0" w:color="auto"/>
                <w:right w:val="none" w:sz="0" w:space="0" w:color="auto"/>
              </w:divBdr>
              <w:divsChild>
                <w:div w:id="26766092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35187954">
      <w:bodyDiv w:val="1"/>
      <w:marLeft w:val="0"/>
      <w:marRight w:val="0"/>
      <w:marTop w:val="0"/>
      <w:marBottom w:val="0"/>
      <w:divBdr>
        <w:top w:val="none" w:sz="0" w:space="0" w:color="auto"/>
        <w:left w:val="none" w:sz="0" w:space="0" w:color="auto"/>
        <w:bottom w:val="none" w:sz="0" w:space="0" w:color="auto"/>
        <w:right w:val="none" w:sz="0" w:space="0" w:color="auto"/>
      </w:divBdr>
    </w:div>
    <w:div w:id="1363939630">
      <w:bodyDiv w:val="1"/>
      <w:marLeft w:val="0"/>
      <w:marRight w:val="0"/>
      <w:marTop w:val="0"/>
      <w:marBottom w:val="0"/>
      <w:divBdr>
        <w:top w:val="none" w:sz="0" w:space="0" w:color="auto"/>
        <w:left w:val="none" w:sz="0" w:space="0" w:color="auto"/>
        <w:bottom w:val="none" w:sz="0" w:space="0" w:color="auto"/>
        <w:right w:val="none" w:sz="0" w:space="0" w:color="auto"/>
      </w:divBdr>
    </w:div>
    <w:div w:id="1461267865">
      <w:bodyDiv w:val="1"/>
      <w:marLeft w:val="0"/>
      <w:marRight w:val="0"/>
      <w:marTop w:val="0"/>
      <w:marBottom w:val="0"/>
      <w:divBdr>
        <w:top w:val="none" w:sz="0" w:space="0" w:color="auto"/>
        <w:left w:val="none" w:sz="0" w:space="0" w:color="auto"/>
        <w:bottom w:val="none" w:sz="0" w:space="0" w:color="auto"/>
        <w:right w:val="none" w:sz="0" w:space="0" w:color="auto"/>
      </w:divBdr>
    </w:div>
    <w:div w:id="1606498240">
      <w:bodyDiv w:val="1"/>
      <w:marLeft w:val="0"/>
      <w:marRight w:val="0"/>
      <w:marTop w:val="0"/>
      <w:marBottom w:val="0"/>
      <w:divBdr>
        <w:top w:val="none" w:sz="0" w:space="0" w:color="auto"/>
        <w:left w:val="none" w:sz="0" w:space="0" w:color="auto"/>
        <w:bottom w:val="none" w:sz="0" w:space="0" w:color="auto"/>
        <w:right w:val="none" w:sz="0" w:space="0" w:color="auto"/>
      </w:divBdr>
    </w:div>
    <w:div w:id="1610309340">
      <w:bodyDiv w:val="1"/>
      <w:marLeft w:val="0"/>
      <w:marRight w:val="0"/>
      <w:marTop w:val="0"/>
      <w:marBottom w:val="0"/>
      <w:divBdr>
        <w:top w:val="none" w:sz="0" w:space="0" w:color="auto"/>
        <w:left w:val="none" w:sz="0" w:space="0" w:color="auto"/>
        <w:bottom w:val="none" w:sz="0" w:space="0" w:color="auto"/>
        <w:right w:val="none" w:sz="0" w:space="0" w:color="auto"/>
      </w:divBdr>
    </w:div>
    <w:div w:id="1672021334">
      <w:bodyDiv w:val="1"/>
      <w:marLeft w:val="0"/>
      <w:marRight w:val="0"/>
      <w:marTop w:val="0"/>
      <w:marBottom w:val="0"/>
      <w:divBdr>
        <w:top w:val="none" w:sz="0" w:space="0" w:color="auto"/>
        <w:left w:val="none" w:sz="0" w:space="0" w:color="auto"/>
        <w:bottom w:val="none" w:sz="0" w:space="0" w:color="auto"/>
        <w:right w:val="none" w:sz="0" w:space="0" w:color="auto"/>
      </w:divBdr>
    </w:div>
    <w:div w:id="1776167924">
      <w:bodyDiv w:val="1"/>
      <w:marLeft w:val="0"/>
      <w:marRight w:val="0"/>
      <w:marTop w:val="0"/>
      <w:marBottom w:val="0"/>
      <w:divBdr>
        <w:top w:val="none" w:sz="0" w:space="0" w:color="auto"/>
        <w:left w:val="none" w:sz="0" w:space="0" w:color="auto"/>
        <w:bottom w:val="none" w:sz="0" w:space="0" w:color="auto"/>
        <w:right w:val="none" w:sz="0" w:space="0" w:color="auto"/>
      </w:divBdr>
    </w:div>
    <w:div w:id="1835224472">
      <w:bodyDiv w:val="1"/>
      <w:marLeft w:val="0"/>
      <w:marRight w:val="0"/>
      <w:marTop w:val="0"/>
      <w:marBottom w:val="0"/>
      <w:divBdr>
        <w:top w:val="none" w:sz="0" w:space="0" w:color="auto"/>
        <w:left w:val="none" w:sz="0" w:space="0" w:color="auto"/>
        <w:bottom w:val="none" w:sz="0" w:space="0" w:color="auto"/>
        <w:right w:val="none" w:sz="0" w:space="0" w:color="auto"/>
      </w:divBdr>
    </w:div>
    <w:div w:id="1842086052">
      <w:bodyDiv w:val="1"/>
      <w:marLeft w:val="0"/>
      <w:marRight w:val="0"/>
      <w:marTop w:val="0"/>
      <w:marBottom w:val="0"/>
      <w:divBdr>
        <w:top w:val="none" w:sz="0" w:space="0" w:color="auto"/>
        <w:left w:val="none" w:sz="0" w:space="0" w:color="auto"/>
        <w:bottom w:val="none" w:sz="0" w:space="0" w:color="auto"/>
        <w:right w:val="none" w:sz="0" w:space="0" w:color="auto"/>
      </w:divBdr>
    </w:div>
    <w:div w:id="1947273218">
      <w:bodyDiv w:val="1"/>
      <w:marLeft w:val="0"/>
      <w:marRight w:val="0"/>
      <w:marTop w:val="0"/>
      <w:marBottom w:val="0"/>
      <w:divBdr>
        <w:top w:val="none" w:sz="0" w:space="0" w:color="auto"/>
        <w:left w:val="none" w:sz="0" w:space="0" w:color="auto"/>
        <w:bottom w:val="none" w:sz="0" w:space="0" w:color="auto"/>
        <w:right w:val="none" w:sz="0" w:space="0" w:color="auto"/>
      </w:divBdr>
    </w:div>
    <w:div w:id="195147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qualtrics.com" TargetMode="External"/><Relationship Id="rId18" Type="http://schemas.openxmlformats.org/officeDocument/2006/relationships/hyperlink" Target="https://www.bls.gov/ooh/management/medical-and-health-services-managers.htm" TargetMode="External"/><Relationship Id="rId26" Type="http://schemas.openxmlformats.org/officeDocument/2006/relationships/hyperlink" Target="file:///C:/Users/schmalts/AppData/Local/Microsoft/Windows/INetCache/Content.Outlook/2GLPGOYZ/Provo,%20UT" TargetMode="External"/><Relationship Id="rId21" Type="http://schemas.openxmlformats.org/officeDocument/2006/relationships/hyperlink" Target="https://www.qualtrics.co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schmalts/AppData/Local/Microsoft/Windows/INetCache/Content.Outlook/2GLPGOYZ/Provo,%20UT" TargetMode="External"/><Relationship Id="rId17" Type="http://schemas.openxmlformats.org/officeDocument/2006/relationships/hyperlink" Target="https://www.qualtrics.com" TargetMode="External"/><Relationship Id="rId25" Type="http://schemas.openxmlformats.org/officeDocument/2006/relationships/hyperlink" Target="https://www.qualtrics.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schmalts/AppData/Local/Microsoft/Windows/INetCache/Content.Outlook/2GLPGOYZ/Provo,%20UT" TargetMode="External"/><Relationship Id="rId20" Type="http://schemas.openxmlformats.org/officeDocument/2006/relationships/hyperlink" Target="file:///C:/Users/schmalts/AppData/Local/Microsoft/Windows/INetCache/Content.Outlook/2GLPGOYZ/Provo,%20UT" TargetMode="External"/><Relationship Id="rId29" Type="http://schemas.openxmlformats.org/officeDocument/2006/relationships/hyperlink" Target="https://wwwnc.cdc.gov/travel/yellowbook/2020/travel-by-air-land-sea/deep-vein-thrombosis-and-pulmonary-embolis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Reyes@cdc.gov" TargetMode="External"/><Relationship Id="rId24" Type="http://schemas.openxmlformats.org/officeDocument/2006/relationships/hyperlink" Target="file:///C:/Users/schmalts/AppData/Local/Microsoft/Windows/INetCache/Content.Outlook/2GLPGOYZ/Provo,%20U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finitivehc.com" TargetMode="External"/><Relationship Id="rId23" Type="http://schemas.openxmlformats.org/officeDocument/2006/relationships/hyperlink" Target="https://www.qualtrics.com" TargetMode="External"/><Relationship Id="rId28" Type="http://schemas.openxmlformats.org/officeDocument/2006/relationships/hyperlink" Target="https://www.cdc.gov/ncbddd/dvt/ha-vte.html"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definitivehc.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a.gov/federal-contracting/contracting-guide/size-standards" TargetMode="External"/><Relationship Id="rId22" Type="http://schemas.openxmlformats.org/officeDocument/2006/relationships/hyperlink" Target="file:///C:/Users/schmalts/AppData/Local/Microsoft/Windows/INetCache/Content.Outlook/2GLPGOYZ/Provo,%20UT" TargetMode="External"/><Relationship Id="rId27" Type="http://schemas.openxmlformats.org/officeDocument/2006/relationships/hyperlink" Target="https://www.qualtrics.com" TargetMode="External"/><Relationship Id="rId30" Type="http://schemas.openxmlformats.org/officeDocument/2006/relationships/hyperlink" Target="https://www.sba.gov/federal-contracting/contracting-guide/size-standard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Documents" ma:contentTypeID="0x010100D14BCD0F663D8E4194E27DF1F2E21DA101160006C11ACC8EDDEE4294AF16AAF48D3F71" ma:contentTypeVersion="4" ma:contentTypeDescription="" ma:contentTypeScope="" ma:versionID="9d9611bee33965272b91a37174dbd76c">
  <xsd:schema xmlns:xsd="http://www.w3.org/2001/XMLSchema" xmlns:xs="http://www.w3.org/2001/XMLSchema" xmlns:p="http://schemas.microsoft.com/office/2006/metadata/properties" xmlns:ns2="5f889c01-6895-43f5-8a5e-b173dc02010d" targetNamespace="http://schemas.microsoft.com/office/2006/metadata/properties" ma:root="true" ma:fieldsID="1840ffaf9646a29070613bc175f09735" ns2:_="">
    <xsd:import namespace="5f889c01-6895-43f5-8a5e-b173dc02010d"/>
    <xsd:element name="properties">
      <xsd:complexType>
        <xsd:sequence>
          <xsd:element name="documentManagement">
            <xsd:complexType>
              <xsd:all>
                <xsd:element ref="ns2:Confidential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89c01-6895-43f5-8a5e-b173dc02010d" elementFormDefault="qualified">
    <xsd:import namespace="http://schemas.microsoft.com/office/2006/documentManagement/types"/>
    <xsd:import namespace="http://schemas.microsoft.com/office/infopath/2007/PartnerControls"/>
    <xsd:element name="Confidential1" ma:index="8" nillable="true" ma:displayName="Confidential" ma:default="0" ma:internalName="Confidential1">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nfidential1 xmlns="5f889c01-6895-43f5-8a5e-b173dc02010d">false</Confidential1>
  </documentManagement>
</p:properties>
</file>

<file path=customXml/itemProps1.xml><?xml version="1.0" encoding="utf-8"?>
<ds:datastoreItem xmlns:ds="http://schemas.openxmlformats.org/officeDocument/2006/customXml" ds:itemID="{4814D7AD-3DD3-400F-B06B-29A35403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89c01-6895-43f5-8a5e-b173dc020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16858-ABF7-45B7-A1E6-6E806B227345}">
  <ds:schemaRefs>
    <ds:schemaRef ds:uri="http://schemas.microsoft.com/sharepoint/v3/contenttype/forms"/>
  </ds:schemaRefs>
</ds:datastoreItem>
</file>

<file path=customXml/itemProps3.xml><?xml version="1.0" encoding="utf-8"?>
<ds:datastoreItem xmlns:ds="http://schemas.openxmlformats.org/officeDocument/2006/customXml" ds:itemID="{45EDD872-41D3-4A6B-93F6-E9E569C1A120}">
  <ds:schemaRefs>
    <ds:schemaRef ds:uri="http://schemas.openxmlformats.org/officeDocument/2006/bibliography"/>
  </ds:schemaRefs>
</ds:datastoreItem>
</file>

<file path=customXml/itemProps4.xml><?xml version="1.0" encoding="utf-8"?>
<ds:datastoreItem xmlns:ds="http://schemas.openxmlformats.org/officeDocument/2006/customXml" ds:itemID="{51E8E38A-D8F1-4BD2-B8E1-E06A2D080030}">
  <ds:schemaRefs>
    <ds:schemaRef ds:uri="http://schemas.microsoft.com/office/2006/metadata/properties"/>
    <ds:schemaRef ds:uri="http://schemas.microsoft.com/office/infopath/2007/PartnerControls"/>
    <ds:schemaRef ds:uri="5f889c01-6895-43f5-8a5e-b173dc02010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5458</Words>
  <Characters>31117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sic3</dc:creator>
  <cp:keywords/>
  <cp:lastModifiedBy>Reyes, Nimia (CDC/DDNID/NCBDDD/DBD)</cp:lastModifiedBy>
  <cp:revision>11</cp:revision>
  <cp:lastPrinted>2020-09-09T16:10:00Z</cp:lastPrinted>
  <dcterms:created xsi:type="dcterms:W3CDTF">2021-02-09T00:34:00Z</dcterms:created>
  <dcterms:modified xsi:type="dcterms:W3CDTF">2021-02-09T21:13:00Z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0x010100D14BCD0F663D8E4194E27DF1F2E21DA101160006C11ACC8EDDEE4294AF16AAF48D3F71</vt:lpwstr>
  </property>
  <property fmtid="{D5CDD505-2E9C-101B-9397-08002B2CF9AE}" pid="3" name="_ip_UnifiedCompliancePolicyProperties">
    <vt:lpwstr/>
  </property>
  <property fmtid="{D5CDD505-2E9C-101B-9397-08002B2CF9AE}" pid="4" name="_ip_UnifiedCompliancePolicyUIAction">
    <vt:lpwstr/>
  </property>
  <property fmtid="{D5CDD505-2E9C-101B-9397-08002B2CF9AE}" pid="5" name="MSIP_Label_7b94a7b8-f06c-4dfe-bdcc-9b548fd58c31_Enabled">
    <vt:lpwstr>true</vt:lpwstr>
  </property>
  <property fmtid="{D5CDD505-2E9C-101B-9397-08002B2CF9AE}" pid="6" name="MSIP_Label_7b94a7b8-f06c-4dfe-bdcc-9b548fd58c31_SetDate">
    <vt:lpwstr>2021-01-23T00:59:06Z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9163ea1a-a127-48a5-a596-6fe2b81c4a6d</vt:lpwstr>
  </property>
  <property fmtid="{D5CDD505-2E9C-101B-9397-08002B2CF9AE}" pid="11" name="MSIP_Label_7b94a7b8-f06c-4dfe-bdcc-9b548fd58c31_ContentBits">
    <vt:lpwstr>0</vt:lpwstr>
  </property>
</Properties>
</file>