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30D71" w:rsidR="00ED0FFA" w:rsidP="00C17223" w:rsidRDefault="00ED0FFA" w14:paraId="30E73347" w14:textId="77777777">
      <w:pPr>
        <w:tabs>
          <w:tab w:val="left" w:pos="9360"/>
        </w:tabs>
        <w:rPr>
          <w:rFonts w:ascii="Courier New" w:hAnsi="Courier New" w:cs="Courier New"/>
          <w:b/>
        </w:rPr>
      </w:pPr>
      <w:bookmarkStart w:name="_GoBack" w:id="0"/>
      <w:bookmarkEnd w:id="0"/>
    </w:p>
    <w:p w:rsidRPr="00C30D71" w:rsidR="00ED0FFA" w:rsidP="00A868DA" w:rsidRDefault="00ED0FFA" w14:paraId="30E73348" w14:textId="77777777">
      <w:pPr>
        <w:rPr>
          <w:rFonts w:ascii="Courier New" w:hAnsi="Courier New" w:cs="Courier New"/>
          <w:b/>
        </w:rPr>
      </w:pPr>
    </w:p>
    <w:p w:rsidRPr="00C30D71" w:rsidR="00ED0FFA" w:rsidP="00ED0FFA" w:rsidRDefault="00ED0FFA" w14:paraId="30E7334D" w14:textId="77777777">
      <w:pPr>
        <w:ind w:left="720"/>
        <w:rPr>
          <w:rFonts w:ascii="Courier New" w:hAnsi="Courier New" w:cs="Courier New"/>
          <w:b/>
        </w:rPr>
      </w:pPr>
    </w:p>
    <w:p w:rsidRPr="00483B0E" w:rsidR="00360628" w:rsidP="00360628" w:rsidRDefault="00360628" w14:paraId="1B052752" w14:textId="77777777">
      <w:pPr>
        <w:jc w:val="center"/>
        <w:rPr>
          <w:b/>
        </w:rPr>
      </w:pPr>
      <w:r w:rsidRPr="00483B0E">
        <w:rPr>
          <w:b/>
        </w:rPr>
        <w:t xml:space="preserve">Evaluation of Venous Thromboembolism Prevention Practices in U.S. Hospitals </w:t>
      </w:r>
    </w:p>
    <w:p w:rsidRPr="00483B0E" w:rsidR="00ED0FFA" w:rsidP="00ED0FFA" w:rsidRDefault="00ED0FFA" w14:paraId="30E7334F" w14:textId="77777777">
      <w:pPr>
        <w:rPr>
          <w:b/>
        </w:rPr>
      </w:pPr>
    </w:p>
    <w:p w:rsidRPr="00483B0E" w:rsidR="00FD2974" w:rsidP="00FD2974" w:rsidRDefault="00FD2974" w14:paraId="5ADBE988" w14:textId="77777777">
      <w:pPr>
        <w:jc w:val="center"/>
        <w:rPr>
          <w:b/>
        </w:rPr>
      </w:pPr>
      <w:r w:rsidRPr="002008E2">
        <w:rPr>
          <w:b/>
        </w:rPr>
        <w:t>OMB/agency number assigned (if applicable)</w:t>
      </w:r>
    </w:p>
    <w:p w:rsidRPr="00483B0E" w:rsidR="00ED0FFA" w:rsidP="00ED0FFA" w:rsidRDefault="00ED0FFA" w14:paraId="30E73350" w14:textId="77777777">
      <w:pPr>
        <w:rPr>
          <w:b/>
        </w:rPr>
      </w:pPr>
    </w:p>
    <w:p w:rsidRPr="00483B0E" w:rsidR="00ED0FFA" w:rsidP="00DF7468" w:rsidRDefault="00DF7468" w14:paraId="30E73351" w14:textId="2FB1CD3F">
      <w:pPr>
        <w:ind w:left="720"/>
        <w:jc w:val="center"/>
        <w:rPr>
          <w:b/>
        </w:rPr>
      </w:pPr>
      <w:r w:rsidRPr="00483B0E">
        <w:rPr>
          <w:b/>
        </w:rPr>
        <w:t>Supporting Statement B-</w:t>
      </w:r>
      <w:r w:rsidRPr="00483B0E" w:rsidR="00D134BE">
        <w:rPr>
          <w:b/>
        </w:rPr>
        <w:t>New</w:t>
      </w:r>
      <w:r w:rsidRPr="00483B0E">
        <w:rPr>
          <w:b/>
        </w:rPr>
        <w:t xml:space="preserve"> </w:t>
      </w:r>
    </w:p>
    <w:p w:rsidRPr="00483B0E" w:rsidR="00ED0FFA" w:rsidP="00ED0FFA" w:rsidRDefault="00ED0FFA" w14:paraId="30E73352" w14:textId="77777777">
      <w:pPr>
        <w:rPr>
          <w:b/>
        </w:rPr>
      </w:pPr>
    </w:p>
    <w:p w:rsidRPr="00483B0E" w:rsidR="00ED0FFA" w:rsidP="00ED0FFA" w:rsidRDefault="00ED0FFA" w14:paraId="30E73353" w14:textId="77777777">
      <w:pPr>
        <w:rPr>
          <w:b/>
        </w:rPr>
      </w:pPr>
    </w:p>
    <w:p w:rsidRPr="00483B0E" w:rsidR="00ED0FFA" w:rsidP="00ED0FFA" w:rsidRDefault="00ED0FFA" w14:paraId="30E73354" w14:textId="77777777">
      <w:pPr>
        <w:rPr>
          <w:b/>
        </w:rPr>
      </w:pPr>
    </w:p>
    <w:p w:rsidRPr="00483B0E" w:rsidR="00D134BE" w:rsidP="00D134BE" w:rsidRDefault="00D134BE" w14:paraId="3780F399" w14:textId="77777777">
      <w:pPr>
        <w:jc w:val="center"/>
      </w:pPr>
      <w:r w:rsidRPr="00483B0E">
        <w:t>Nimia L. Reyes, MD, MPH</w:t>
      </w:r>
      <w:r w:rsidRPr="00483B0E">
        <w:br/>
        <w:t>Medical Officer</w:t>
      </w:r>
    </w:p>
    <w:p w:rsidRPr="00483B0E" w:rsidR="00D134BE" w:rsidP="00D134BE" w:rsidRDefault="00D134BE" w14:paraId="690E18D5" w14:textId="77777777">
      <w:pPr>
        <w:jc w:val="center"/>
        <w:rPr>
          <w:b/>
        </w:rPr>
      </w:pPr>
      <w:r w:rsidRPr="00483B0E">
        <w:t>Centers for Disease Control and Prevention (CDC)</w:t>
      </w:r>
    </w:p>
    <w:p w:rsidRPr="00483B0E" w:rsidR="00D134BE" w:rsidP="00D134BE" w:rsidRDefault="00D134BE" w14:paraId="5CDBA4EE" w14:textId="77777777">
      <w:pPr>
        <w:jc w:val="center"/>
      </w:pPr>
      <w:r w:rsidRPr="00483B0E">
        <w:t>National Center on Birth Defects and Developmental Disabilities (NCBDDD)</w:t>
      </w:r>
    </w:p>
    <w:p w:rsidRPr="00483B0E" w:rsidR="00D134BE" w:rsidP="00D134BE" w:rsidRDefault="00D134BE" w14:paraId="71531A78" w14:textId="77777777">
      <w:pPr>
        <w:jc w:val="center"/>
      </w:pPr>
      <w:r w:rsidRPr="00483B0E">
        <w:t>Division of Blood Disorders</w:t>
      </w:r>
      <w:r w:rsidRPr="00483B0E">
        <w:br/>
        <w:t>Phone: (404) 498-6733</w:t>
      </w:r>
    </w:p>
    <w:p w:rsidRPr="00483B0E" w:rsidR="00D134BE" w:rsidP="00D134BE" w:rsidRDefault="00D134BE" w14:paraId="1C2B6FE6" w14:textId="77777777">
      <w:pPr>
        <w:jc w:val="center"/>
        <w:rPr>
          <w:b/>
        </w:rPr>
      </w:pPr>
      <w:r w:rsidRPr="00483B0E">
        <w:t xml:space="preserve"> Fax: (404) 498-6798</w:t>
      </w:r>
      <w:r w:rsidRPr="00483B0E">
        <w:br/>
        <w:t xml:space="preserve">Email: </w:t>
      </w:r>
      <w:hyperlink w:history="1" r:id="rId11">
        <w:r w:rsidRPr="00483B0E">
          <w:rPr>
            <w:rStyle w:val="Hyperlink"/>
          </w:rPr>
          <w:t>NReyes@cdc.gov</w:t>
        </w:r>
      </w:hyperlink>
    </w:p>
    <w:p w:rsidRPr="00483B0E" w:rsidR="004E63C4" w:rsidP="00A868DA" w:rsidRDefault="004E63C4" w14:paraId="30E7335F" w14:textId="77777777">
      <w:pPr>
        <w:rPr>
          <w:noProof/>
          <w:color w:val="FF0000"/>
        </w:rPr>
      </w:pPr>
    </w:p>
    <w:p w:rsidRPr="00483B0E" w:rsidR="004E63C4" w:rsidP="00A868DA" w:rsidRDefault="004E63C4" w14:paraId="30E73360" w14:textId="77777777">
      <w:pPr>
        <w:rPr>
          <w:noProof/>
          <w:color w:val="FF0000"/>
        </w:rPr>
      </w:pPr>
    </w:p>
    <w:p w:rsidRPr="00483B0E" w:rsidR="004E63C4" w:rsidP="00A868DA" w:rsidRDefault="004E63C4" w14:paraId="30E73361" w14:textId="77777777">
      <w:pPr>
        <w:rPr>
          <w:noProof/>
          <w:color w:val="FF0000"/>
        </w:rPr>
      </w:pPr>
    </w:p>
    <w:p w:rsidRPr="00483B0E" w:rsidR="004E63C4" w:rsidP="00A868DA" w:rsidRDefault="004E63C4" w14:paraId="30E73362" w14:textId="77777777">
      <w:pPr>
        <w:rPr>
          <w:noProof/>
          <w:color w:val="FF0000"/>
        </w:rPr>
      </w:pPr>
    </w:p>
    <w:p w:rsidRPr="00483B0E" w:rsidR="004E63C4" w:rsidP="00A868DA" w:rsidRDefault="004E63C4" w14:paraId="30E73363" w14:textId="77777777">
      <w:pPr>
        <w:rPr>
          <w:color w:val="FF0000"/>
        </w:rPr>
      </w:pPr>
    </w:p>
    <w:p w:rsidRPr="00483B0E" w:rsidR="00D67038" w:rsidP="00D134BE" w:rsidRDefault="00D67038" w14:paraId="79C48208" w14:textId="77777777">
      <w:pPr>
        <w:ind w:left="3600" w:firstLine="720"/>
      </w:pPr>
    </w:p>
    <w:p w:rsidRPr="00483B0E" w:rsidR="00D67038" w:rsidP="00D134BE" w:rsidRDefault="00D67038" w14:paraId="39574E2D" w14:textId="77777777">
      <w:pPr>
        <w:ind w:left="3600" w:firstLine="720"/>
      </w:pPr>
    </w:p>
    <w:p w:rsidRPr="00483B0E" w:rsidR="00D67038" w:rsidP="00D134BE" w:rsidRDefault="00D67038" w14:paraId="05747529" w14:textId="77777777">
      <w:pPr>
        <w:ind w:left="3600" w:firstLine="720"/>
      </w:pPr>
    </w:p>
    <w:p w:rsidRPr="00483B0E" w:rsidR="00D67038" w:rsidP="00D134BE" w:rsidRDefault="00D67038" w14:paraId="4A7E2710" w14:textId="77777777">
      <w:pPr>
        <w:ind w:left="3600" w:firstLine="720"/>
      </w:pPr>
    </w:p>
    <w:p w:rsidRPr="00483B0E" w:rsidR="00D67038" w:rsidP="00D134BE" w:rsidRDefault="007D2922" w14:paraId="6D17CC5F" w14:textId="2F1202B7">
      <w:pPr>
        <w:ind w:left="3600" w:firstLine="720"/>
      </w:pPr>
      <w:r>
        <w:t xml:space="preserve">September </w:t>
      </w:r>
      <w:r w:rsidR="008D1905">
        <w:t>17</w:t>
      </w:r>
      <w:r>
        <w:t xml:space="preserve">, 2020 </w:t>
      </w:r>
    </w:p>
    <w:p w:rsidRPr="00483B0E" w:rsidR="00D67038" w:rsidP="00D134BE" w:rsidRDefault="00D67038" w14:paraId="68B99ED5" w14:textId="77777777">
      <w:pPr>
        <w:ind w:left="3600" w:firstLine="720"/>
      </w:pPr>
    </w:p>
    <w:p w:rsidRPr="00483B0E" w:rsidR="00D67038" w:rsidP="00D134BE" w:rsidRDefault="00D67038" w14:paraId="4A26F965" w14:textId="77777777">
      <w:pPr>
        <w:ind w:left="3600" w:firstLine="720"/>
      </w:pPr>
    </w:p>
    <w:p w:rsidRPr="00483B0E" w:rsidR="00D67038" w:rsidP="00D134BE" w:rsidRDefault="00D67038" w14:paraId="63D1412B" w14:textId="77777777">
      <w:pPr>
        <w:ind w:left="3600" w:firstLine="720"/>
      </w:pPr>
    </w:p>
    <w:p w:rsidRPr="00483B0E" w:rsidR="00D67038" w:rsidP="00D134BE" w:rsidRDefault="00D67038" w14:paraId="2B5A93B8" w14:textId="77777777">
      <w:pPr>
        <w:ind w:left="3600" w:firstLine="720"/>
      </w:pPr>
    </w:p>
    <w:p w:rsidRPr="00483B0E" w:rsidR="00D67038" w:rsidP="00D134BE" w:rsidRDefault="00D67038" w14:paraId="0CC2466D" w14:textId="77777777">
      <w:pPr>
        <w:ind w:left="3600" w:firstLine="720"/>
      </w:pPr>
    </w:p>
    <w:p w:rsidRPr="00483B0E" w:rsidR="00D67038" w:rsidP="00D134BE" w:rsidRDefault="00D67038" w14:paraId="6EB33662" w14:textId="77777777">
      <w:pPr>
        <w:ind w:left="3600" w:firstLine="720"/>
      </w:pPr>
    </w:p>
    <w:p w:rsidRPr="00483B0E" w:rsidR="00D67038" w:rsidP="00D134BE" w:rsidRDefault="00D67038" w14:paraId="1382ACB1" w14:textId="77777777">
      <w:pPr>
        <w:ind w:left="3600" w:firstLine="720"/>
      </w:pPr>
    </w:p>
    <w:p w:rsidRPr="00483B0E" w:rsidR="00D67038" w:rsidP="00D134BE" w:rsidRDefault="00D67038" w14:paraId="68057584" w14:textId="77777777">
      <w:pPr>
        <w:ind w:left="3600" w:firstLine="720"/>
      </w:pPr>
    </w:p>
    <w:p w:rsidRPr="00483B0E" w:rsidR="00D67038" w:rsidP="00D134BE" w:rsidRDefault="00D67038" w14:paraId="50D42688" w14:textId="77777777">
      <w:pPr>
        <w:ind w:left="3600" w:firstLine="720"/>
      </w:pPr>
    </w:p>
    <w:p w:rsidRPr="00483B0E" w:rsidR="00D67038" w:rsidP="00D134BE" w:rsidRDefault="00D67038" w14:paraId="57BDEE36" w14:textId="77777777">
      <w:pPr>
        <w:ind w:left="3600" w:firstLine="720"/>
      </w:pPr>
    </w:p>
    <w:p w:rsidRPr="00483B0E" w:rsidR="00D67038" w:rsidP="00D134BE" w:rsidRDefault="00D67038" w14:paraId="3BF9C951" w14:textId="77777777">
      <w:pPr>
        <w:ind w:left="3600" w:firstLine="720"/>
      </w:pPr>
    </w:p>
    <w:p w:rsidRPr="00483B0E" w:rsidR="00D67038" w:rsidP="00D134BE" w:rsidRDefault="00D67038" w14:paraId="1CEFA266" w14:textId="77777777">
      <w:pPr>
        <w:ind w:left="3600" w:firstLine="720"/>
      </w:pPr>
    </w:p>
    <w:p w:rsidRPr="00483B0E" w:rsidR="00D67038" w:rsidP="00D134BE" w:rsidRDefault="00D67038" w14:paraId="1FBB4B51" w14:textId="77777777">
      <w:pPr>
        <w:ind w:left="3600" w:firstLine="720"/>
      </w:pPr>
    </w:p>
    <w:p w:rsidRPr="00483B0E" w:rsidR="00D67038" w:rsidP="00D134BE" w:rsidRDefault="00D67038" w14:paraId="4BF82777" w14:textId="77777777">
      <w:pPr>
        <w:ind w:left="3600" w:firstLine="720"/>
      </w:pPr>
    </w:p>
    <w:p w:rsidRPr="00483B0E" w:rsidR="00D67038" w:rsidP="00D134BE" w:rsidRDefault="00D67038" w14:paraId="75D3C197" w14:textId="77777777">
      <w:pPr>
        <w:ind w:left="3600" w:firstLine="720"/>
      </w:pPr>
    </w:p>
    <w:p w:rsidRPr="00483B0E" w:rsidR="00D67038" w:rsidP="00D134BE" w:rsidRDefault="00D67038" w14:paraId="156FFC30" w14:textId="77777777">
      <w:pPr>
        <w:ind w:left="3600" w:firstLine="720"/>
      </w:pPr>
    </w:p>
    <w:p w:rsidR="00D67038" w:rsidP="00D134BE" w:rsidRDefault="00D67038" w14:paraId="6A9C79CA" w14:textId="77717227">
      <w:pPr>
        <w:ind w:left="3600" w:firstLine="720"/>
      </w:pPr>
    </w:p>
    <w:p w:rsidRPr="00483B0E" w:rsidR="007D2922" w:rsidP="00D134BE" w:rsidRDefault="007D2922" w14:paraId="5635455E" w14:textId="77777777">
      <w:pPr>
        <w:ind w:left="3600" w:firstLine="720"/>
      </w:pPr>
    </w:p>
    <w:p w:rsidRPr="00483B0E" w:rsidR="00D67038" w:rsidP="00D134BE" w:rsidRDefault="00D67038" w14:paraId="66B10504" w14:textId="77777777">
      <w:pPr>
        <w:ind w:left="3600" w:firstLine="720"/>
      </w:pPr>
    </w:p>
    <w:p w:rsidR="00F73FDC" w:rsidP="00D67038" w:rsidRDefault="00F73FDC" w14:paraId="702C826B" w14:textId="77777777">
      <w:pPr>
        <w:rPr>
          <w:b/>
        </w:rPr>
      </w:pPr>
    </w:p>
    <w:p w:rsidRPr="00483B0E" w:rsidR="00D67038" w:rsidP="00D67038" w:rsidRDefault="00D67038" w14:paraId="46BA39E1" w14:textId="211650F5">
      <w:pPr>
        <w:rPr>
          <w:b/>
        </w:rPr>
      </w:pPr>
      <w:r w:rsidRPr="00483B0E">
        <w:rPr>
          <w:b/>
        </w:rPr>
        <w:lastRenderedPageBreak/>
        <w:t xml:space="preserve">Table of Contents </w:t>
      </w:r>
    </w:p>
    <w:p w:rsidRPr="00483B0E" w:rsidR="00D67038" w:rsidP="00464636" w:rsidRDefault="00D67038" w14:paraId="714B5975" w14:textId="77777777">
      <w:pPr>
        <w:pStyle w:val="TOC2"/>
        <w:rPr>
          <w:rFonts w:eastAsiaTheme="minorEastAsia"/>
        </w:rPr>
      </w:pPr>
    </w:p>
    <w:p w:rsidRPr="00483B0E" w:rsidR="00D67038" w:rsidP="00464636" w:rsidRDefault="00F2396F" w14:paraId="72B3CCD8" w14:textId="034C5318">
      <w:pPr>
        <w:pStyle w:val="TOC2"/>
        <w:rPr>
          <w:rFonts w:eastAsiaTheme="minorEastAsia"/>
        </w:rPr>
      </w:pPr>
      <w:hyperlink w:history="1" w:anchor="_Toc15926284">
        <w:r w:rsidRPr="00483B0E" w:rsidR="00D67038">
          <w:rPr>
            <w:rStyle w:val="Hyperlink"/>
            <w:color w:val="auto"/>
            <w:u w:val="none"/>
          </w:rPr>
          <w:t xml:space="preserve">B.1. </w:t>
        </w:r>
        <w:r w:rsidRPr="00483B0E" w:rsidR="00E333B8">
          <w:rPr>
            <w:rStyle w:val="Hyperlink"/>
            <w:color w:val="auto"/>
            <w:u w:val="none"/>
          </w:rPr>
          <w:t xml:space="preserve"> </w:t>
        </w:r>
        <w:r w:rsidRPr="00483B0E" w:rsidR="00E333B8">
          <w:rPr>
            <w:rStyle w:val="Hyperlink"/>
            <w:u w:val="none"/>
          </w:rPr>
          <w:t xml:space="preserve">     </w:t>
        </w:r>
        <w:r w:rsidRPr="00483B0E" w:rsidR="00E333B8">
          <w:t>Respondent Universe and Sampling Methods</w:t>
        </w:r>
        <w:r w:rsidRPr="00483B0E" w:rsidR="00D67038">
          <w:rPr>
            <w:webHidden/>
          </w:rPr>
          <w:tab/>
        </w:r>
      </w:hyperlink>
      <w:r w:rsidRPr="00483B0E" w:rsidR="009C40FF">
        <w:t>3</w:t>
      </w:r>
    </w:p>
    <w:p w:rsidRPr="00483B0E" w:rsidR="00D67038" w:rsidP="00464636" w:rsidRDefault="00F2396F" w14:paraId="76C677AC" w14:textId="4D332354">
      <w:pPr>
        <w:pStyle w:val="TOC2"/>
        <w:rPr>
          <w:rFonts w:eastAsiaTheme="minorEastAsia"/>
        </w:rPr>
      </w:pPr>
      <w:hyperlink w:history="1" w:anchor="_Toc15926285">
        <w:r w:rsidRPr="00483B0E" w:rsidR="00D67038">
          <w:rPr>
            <w:rStyle w:val="Hyperlink"/>
            <w:color w:val="auto"/>
            <w:u w:val="none"/>
          </w:rPr>
          <w:t>B.2.</w:t>
        </w:r>
        <w:r w:rsidRPr="00483B0E" w:rsidR="00D67038">
          <w:rPr>
            <w:rFonts w:eastAsiaTheme="minorEastAsia"/>
          </w:rPr>
          <w:tab/>
        </w:r>
        <w:r w:rsidRPr="00483B0E" w:rsidR="00E333B8">
          <w:t>Procedures for the Collection of Information</w:t>
        </w:r>
        <w:r w:rsidRPr="00483B0E" w:rsidR="00D67038">
          <w:rPr>
            <w:webHidden/>
          </w:rPr>
          <w:tab/>
        </w:r>
      </w:hyperlink>
      <w:r w:rsidR="00DC2803">
        <w:t>5</w:t>
      </w:r>
    </w:p>
    <w:p w:rsidRPr="00483B0E" w:rsidR="00D67038" w:rsidP="00464636" w:rsidRDefault="00F2396F" w14:paraId="36E9EF68" w14:textId="383CF9F8">
      <w:pPr>
        <w:pStyle w:val="TOC2"/>
        <w:rPr>
          <w:rFonts w:eastAsiaTheme="minorEastAsia"/>
        </w:rPr>
      </w:pPr>
      <w:hyperlink w:history="1" w:anchor="_Toc15926286">
        <w:r w:rsidRPr="00483B0E" w:rsidR="00D67038">
          <w:rPr>
            <w:rStyle w:val="Hyperlink"/>
            <w:color w:val="auto"/>
            <w:u w:val="none"/>
          </w:rPr>
          <w:t>B.3.</w:t>
        </w:r>
        <w:r w:rsidRPr="00483B0E" w:rsidR="00D67038">
          <w:rPr>
            <w:rFonts w:eastAsiaTheme="minorEastAsia"/>
          </w:rPr>
          <w:tab/>
        </w:r>
        <w:r w:rsidRPr="00483B0E" w:rsidR="00E333B8">
          <w:t>Methods to Maximize Response Rates and Deal with No</w:t>
        </w:r>
        <w:r w:rsidRPr="00483B0E" w:rsidR="00EA26D2">
          <w:t xml:space="preserve"> R</w:t>
        </w:r>
        <w:r w:rsidRPr="00483B0E" w:rsidR="00E333B8">
          <w:t>esponse</w:t>
        </w:r>
        <w:r w:rsidRPr="00483B0E" w:rsidR="00D67038">
          <w:rPr>
            <w:webHidden/>
          </w:rPr>
          <w:tab/>
        </w:r>
      </w:hyperlink>
      <w:r w:rsidR="00DC2803">
        <w:t>5</w:t>
      </w:r>
    </w:p>
    <w:p w:rsidRPr="00483B0E" w:rsidR="00E333B8" w:rsidP="00464636" w:rsidRDefault="00F2396F" w14:paraId="4DBB02C5" w14:textId="59549396">
      <w:pPr>
        <w:pStyle w:val="TOC2"/>
      </w:pPr>
      <w:hyperlink w:history="1" w:anchor="_Toc15926286">
        <w:r w:rsidRPr="00483B0E" w:rsidR="00E333B8">
          <w:rPr>
            <w:rStyle w:val="Hyperlink"/>
            <w:color w:val="auto"/>
            <w:u w:val="none"/>
          </w:rPr>
          <w:t>B.4.</w:t>
        </w:r>
        <w:r w:rsidRPr="00483B0E" w:rsidR="00E333B8">
          <w:rPr>
            <w:rFonts w:eastAsiaTheme="minorEastAsia"/>
          </w:rPr>
          <w:tab/>
        </w:r>
        <w:r w:rsidRPr="00483B0E" w:rsidR="00E333B8">
          <w:t>Tests of Procedures or Methods to be Undertaken</w:t>
        </w:r>
        <w:r w:rsidRPr="00483B0E" w:rsidR="00E333B8">
          <w:rPr>
            <w:webHidden/>
          </w:rPr>
          <w:tab/>
        </w:r>
      </w:hyperlink>
      <w:r w:rsidR="00DC2803">
        <w:t>7</w:t>
      </w:r>
    </w:p>
    <w:p w:rsidRPr="00483B0E" w:rsidR="00E333B8" w:rsidP="00464636" w:rsidRDefault="00F2396F" w14:paraId="7B35DF84" w14:textId="6089FD3B">
      <w:pPr>
        <w:pStyle w:val="TOC2"/>
        <w:rPr>
          <w:rFonts w:eastAsiaTheme="minorEastAsia"/>
        </w:rPr>
      </w:pPr>
      <w:hyperlink w:history="1" w:anchor="_Toc15926293">
        <w:r w:rsidRPr="00483B0E" w:rsidR="00E333B8">
          <w:rPr>
            <w:rStyle w:val="Hyperlink"/>
            <w:color w:val="auto"/>
            <w:u w:val="none"/>
          </w:rPr>
          <w:t>B.5.</w:t>
        </w:r>
        <w:r w:rsidRPr="00483B0E" w:rsidR="00E333B8">
          <w:rPr>
            <w:rFonts w:eastAsiaTheme="minorEastAsia"/>
          </w:rPr>
          <w:tab/>
        </w:r>
        <w:r w:rsidRPr="00483B0E" w:rsidR="00E333B8">
          <w:rPr>
            <w:rStyle w:val="Hyperlink"/>
            <w:color w:val="auto"/>
            <w:u w:val="none"/>
          </w:rPr>
          <w:t xml:space="preserve">Individuals Consulted on Statistical Aspects and Individuals Collecting and/or                         </w:t>
        </w:r>
        <w:r w:rsidR="00CA7F22">
          <w:rPr>
            <w:rStyle w:val="Hyperlink"/>
            <w:color w:val="auto"/>
            <w:u w:val="none"/>
          </w:rPr>
          <w:t xml:space="preserve">  </w:t>
        </w:r>
        <w:r w:rsidR="00464636">
          <w:rPr>
            <w:rStyle w:val="Hyperlink"/>
            <w:color w:val="auto"/>
            <w:u w:val="none"/>
          </w:rPr>
          <w:t xml:space="preserve">    </w:t>
        </w:r>
        <w:r w:rsidRPr="00483B0E" w:rsidR="00E333B8">
          <w:rPr>
            <w:rStyle w:val="Hyperlink"/>
            <w:color w:val="auto"/>
            <w:u w:val="none"/>
          </w:rPr>
          <w:t>Analyzing Data</w:t>
        </w:r>
      </w:hyperlink>
      <w:r w:rsidR="00464636">
        <w:tab/>
      </w:r>
      <w:r w:rsidR="00DC2803">
        <w:t>9</w:t>
      </w:r>
    </w:p>
    <w:p w:rsidRPr="00483B0E" w:rsidR="00E333B8" w:rsidP="00D67038" w:rsidRDefault="00E333B8" w14:paraId="139B7DD5" w14:textId="6AEE6E1E">
      <w:pPr>
        <w:rPr>
          <w:b/>
        </w:rPr>
      </w:pPr>
    </w:p>
    <w:p w:rsidRPr="00483B0E" w:rsidR="00E333B8" w:rsidP="00D67038" w:rsidRDefault="00E333B8" w14:paraId="5803575A" w14:textId="133B0B9D">
      <w:pPr>
        <w:rPr>
          <w:b/>
        </w:rPr>
      </w:pPr>
    </w:p>
    <w:p w:rsidRPr="00483B0E" w:rsidR="00E333B8" w:rsidP="00D67038" w:rsidRDefault="00E333B8" w14:paraId="5B39396F" w14:textId="3D5D4864">
      <w:pPr>
        <w:rPr>
          <w:b/>
        </w:rPr>
      </w:pPr>
    </w:p>
    <w:p w:rsidRPr="00483B0E" w:rsidR="00E333B8" w:rsidP="00D67038" w:rsidRDefault="00E333B8" w14:paraId="3EAF01D7" w14:textId="5AE662F4">
      <w:pPr>
        <w:rPr>
          <w:b/>
        </w:rPr>
      </w:pPr>
    </w:p>
    <w:p w:rsidRPr="00483B0E" w:rsidR="00E333B8" w:rsidP="00D67038" w:rsidRDefault="00E333B8" w14:paraId="536F2047" w14:textId="69362460">
      <w:pPr>
        <w:rPr>
          <w:b/>
        </w:rPr>
      </w:pPr>
    </w:p>
    <w:p w:rsidRPr="00483B0E" w:rsidR="00E333B8" w:rsidP="00D67038" w:rsidRDefault="00E333B8" w14:paraId="5D1E55E2" w14:textId="6FD1A53A">
      <w:pPr>
        <w:rPr>
          <w:b/>
        </w:rPr>
      </w:pPr>
    </w:p>
    <w:p w:rsidRPr="00483B0E" w:rsidR="00E333B8" w:rsidP="00D67038" w:rsidRDefault="00E333B8" w14:paraId="58BC9203" w14:textId="553A6550">
      <w:pPr>
        <w:rPr>
          <w:b/>
        </w:rPr>
      </w:pPr>
    </w:p>
    <w:p w:rsidRPr="00483B0E" w:rsidR="00E333B8" w:rsidP="00D67038" w:rsidRDefault="00E333B8" w14:paraId="3C4DA14E" w14:textId="0931EEC1">
      <w:pPr>
        <w:rPr>
          <w:b/>
        </w:rPr>
      </w:pPr>
    </w:p>
    <w:p w:rsidRPr="00483B0E" w:rsidR="00E333B8" w:rsidP="00D67038" w:rsidRDefault="00E333B8" w14:paraId="5BA1052E" w14:textId="4B508FD9">
      <w:pPr>
        <w:rPr>
          <w:b/>
        </w:rPr>
      </w:pPr>
    </w:p>
    <w:p w:rsidRPr="00483B0E" w:rsidR="00E333B8" w:rsidP="00D67038" w:rsidRDefault="00E333B8" w14:paraId="6CAB6560" w14:textId="065D0326">
      <w:pPr>
        <w:rPr>
          <w:b/>
        </w:rPr>
      </w:pPr>
    </w:p>
    <w:p w:rsidRPr="00483B0E" w:rsidR="00E333B8" w:rsidP="00D67038" w:rsidRDefault="00E333B8" w14:paraId="394E723E" w14:textId="11817929">
      <w:pPr>
        <w:rPr>
          <w:b/>
        </w:rPr>
      </w:pPr>
    </w:p>
    <w:p w:rsidRPr="00483B0E" w:rsidR="00E333B8" w:rsidP="00D67038" w:rsidRDefault="00E333B8" w14:paraId="2F11DC0F" w14:textId="5B33EDD6">
      <w:pPr>
        <w:rPr>
          <w:b/>
        </w:rPr>
      </w:pPr>
    </w:p>
    <w:p w:rsidRPr="00483B0E" w:rsidR="00E333B8" w:rsidP="00D67038" w:rsidRDefault="00E333B8" w14:paraId="72380208" w14:textId="69B2DE32">
      <w:pPr>
        <w:rPr>
          <w:b/>
        </w:rPr>
      </w:pPr>
    </w:p>
    <w:p w:rsidRPr="00483B0E" w:rsidR="00E333B8" w:rsidP="00D67038" w:rsidRDefault="00E333B8" w14:paraId="0E031695" w14:textId="2786139E">
      <w:pPr>
        <w:rPr>
          <w:b/>
        </w:rPr>
      </w:pPr>
    </w:p>
    <w:p w:rsidRPr="00483B0E" w:rsidR="00E333B8" w:rsidP="00D67038" w:rsidRDefault="00E333B8" w14:paraId="5DAB64CC" w14:textId="1346BC21">
      <w:pPr>
        <w:rPr>
          <w:b/>
        </w:rPr>
      </w:pPr>
    </w:p>
    <w:p w:rsidRPr="00483B0E" w:rsidR="00E333B8" w:rsidP="00D67038" w:rsidRDefault="00E333B8" w14:paraId="1BAC058C" w14:textId="315D913F">
      <w:pPr>
        <w:rPr>
          <w:b/>
        </w:rPr>
      </w:pPr>
    </w:p>
    <w:p w:rsidRPr="00483B0E" w:rsidR="00E333B8" w:rsidP="00D67038" w:rsidRDefault="00E333B8" w14:paraId="6D99D901" w14:textId="4226E144">
      <w:pPr>
        <w:rPr>
          <w:b/>
        </w:rPr>
      </w:pPr>
    </w:p>
    <w:p w:rsidRPr="00483B0E" w:rsidR="00E333B8" w:rsidP="00D67038" w:rsidRDefault="00E333B8" w14:paraId="689CC8BD" w14:textId="61CDEF19">
      <w:pPr>
        <w:rPr>
          <w:b/>
        </w:rPr>
      </w:pPr>
    </w:p>
    <w:p w:rsidRPr="00483B0E" w:rsidR="00E333B8" w:rsidP="00D67038" w:rsidRDefault="00E333B8" w14:paraId="345A7643" w14:textId="0D77BC90">
      <w:pPr>
        <w:rPr>
          <w:b/>
        </w:rPr>
      </w:pPr>
    </w:p>
    <w:p w:rsidRPr="00483B0E" w:rsidR="00E333B8" w:rsidP="00D67038" w:rsidRDefault="00E333B8" w14:paraId="45899A15" w14:textId="4AE8F331">
      <w:pPr>
        <w:rPr>
          <w:b/>
        </w:rPr>
      </w:pPr>
    </w:p>
    <w:p w:rsidRPr="00483B0E" w:rsidR="00E333B8" w:rsidP="00D67038" w:rsidRDefault="00E333B8" w14:paraId="65C6774A" w14:textId="09DB3F95">
      <w:pPr>
        <w:rPr>
          <w:b/>
        </w:rPr>
      </w:pPr>
    </w:p>
    <w:p w:rsidRPr="00483B0E" w:rsidR="00E333B8" w:rsidP="00D67038" w:rsidRDefault="00E333B8" w14:paraId="3B22E79C" w14:textId="451C1327">
      <w:pPr>
        <w:rPr>
          <w:b/>
        </w:rPr>
      </w:pPr>
    </w:p>
    <w:p w:rsidRPr="00483B0E" w:rsidR="00E333B8" w:rsidP="00D67038" w:rsidRDefault="00E333B8" w14:paraId="6117A3F2" w14:textId="62F96084">
      <w:pPr>
        <w:rPr>
          <w:b/>
        </w:rPr>
      </w:pPr>
    </w:p>
    <w:p w:rsidRPr="00483B0E" w:rsidR="00E333B8" w:rsidP="00D67038" w:rsidRDefault="00E333B8" w14:paraId="13F88D7C" w14:textId="4158863E">
      <w:pPr>
        <w:rPr>
          <w:b/>
        </w:rPr>
      </w:pPr>
    </w:p>
    <w:p w:rsidRPr="00483B0E" w:rsidR="00E333B8" w:rsidP="00D67038" w:rsidRDefault="00E333B8" w14:paraId="7C22DB33" w14:textId="60403C32">
      <w:pPr>
        <w:rPr>
          <w:b/>
        </w:rPr>
      </w:pPr>
    </w:p>
    <w:p w:rsidRPr="00483B0E" w:rsidR="00E333B8" w:rsidP="00D67038" w:rsidRDefault="00E333B8" w14:paraId="1B522FFF" w14:textId="3B07F758">
      <w:pPr>
        <w:rPr>
          <w:b/>
        </w:rPr>
      </w:pPr>
    </w:p>
    <w:p w:rsidRPr="00483B0E" w:rsidR="00E333B8" w:rsidP="00D67038" w:rsidRDefault="00E333B8" w14:paraId="3BA8BD2A" w14:textId="536DD810">
      <w:pPr>
        <w:rPr>
          <w:b/>
        </w:rPr>
      </w:pPr>
    </w:p>
    <w:p w:rsidRPr="00483B0E" w:rsidR="00E333B8" w:rsidP="00D67038" w:rsidRDefault="00E333B8" w14:paraId="3806B58E" w14:textId="746FD6F5">
      <w:pPr>
        <w:rPr>
          <w:b/>
        </w:rPr>
      </w:pPr>
    </w:p>
    <w:p w:rsidRPr="00483B0E" w:rsidR="00E333B8" w:rsidP="00D67038" w:rsidRDefault="00E333B8" w14:paraId="0196750F" w14:textId="04158443">
      <w:pPr>
        <w:rPr>
          <w:b/>
        </w:rPr>
      </w:pPr>
    </w:p>
    <w:p w:rsidRPr="00483B0E" w:rsidR="00E333B8" w:rsidP="00D67038" w:rsidRDefault="00E333B8" w14:paraId="487FC094" w14:textId="680BC29D">
      <w:pPr>
        <w:rPr>
          <w:b/>
        </w:rPr>
      </w:pPr>
    </w:p>
    <w:p w:rsidRPr="00483B0E" w:rsidR="00E333B8" w:rsidP="00D67038" w:rsidRDefault="00E333B8" w14:paraId="2636019D" w14:textId="00E8B231">
      <w:pPr>
        <w:rPr>
          <w:b/>
        </w:rPr>
      </w:pPr>
    </w:p>
    <w:p w:rsidRPr="00483B0E" w:rsidR="00E333B8" w:rsidP="00D67038" w:rsidRDefault="00E333B8" w14:paraId="7A08A038" w14:textId="37F77ACF">
      <w:pPr>
        <w:rPr>
          <w:b/>
        </w:rPr>
      </w:pPr>
    </w:p>
    <w:p w:rsidRPr="00483B0E" w:rsidR="00E333B8" w:rsidP="00D67038" w:rsidRDefault="00E333B8" w14:paraId="2C2F1CF6" w14:textId="2676C0F7">
      <w:pPr>
        <w:rPr>
          <w:b/>
        </w:rPr>
      </w:pPr>
    </w:p>
    <w:p w:rsidRPr="00483B0E" w:rsidR="00E333B8" w:rsidP="00D67038" w:rsidRDefault="00E333B8" w14:paraId="34D59507" w14:textId="00C30A75">
      <w:pPr>
        <w:rPr>
          <w:b/>
        </w:rPr>
      </w:pPr>
    </w:p>
    <w:p w:rsidR="00F73FDC" w:rsidP="00FF3480" w:rsidRDefault="00F73FDC" w14:paraId="5452C513" w14:textId="77777777">
      <w:pPr>
        <w:spacing w:line="360" w:lineRule="auto"/>
        <w:rPr>
          <w:b/>
        </w:rPr>
      </w:pPr>
    </w:p>
    <w:p w:rsidR="00F73FDC" w:rsidP="00FF3480" w:rsidRDefault="00F73FDC" w14:paraId="12996076" w14:textId="77777777">
      <w:pPr>
        <w:spacing w:line="360" w:lineRule="auto"/>
        <w:rPr>
          <w:b/>
        </w:rPr>
      </w:pPr>
    </w:p>
    <w:p w:rsidRPr="0046306E" w:rsidR="00A868DA" w:rsidP="00FF3480" w:rsidRDefault="00A868DA" w14:paraId="30E73365" w14:textId="065F5700">
      <w:pPr>
        <w:spacing w:line="360" w:lineRule="auto"/>
        <w:rPr>
          <w:b/>
        </w:rPr>
      </w:pPr>
      <w:r w:rsidRPr="0046306E">
        <w:rPr>
          <w:b/>
        </w:rPr>
        <w:t>B.  Collections of Information Employing Statistical Methods</w:t>
      </w:r>
    </w:p>
    <w:p w:rsidRPr="0046306E" w:rsidR="00A868DA" w:rsidP="00FF3480" w:rsidRDefault="00A868DA" w14:paraId="30E73366" w14:textId="77777777">
      <w:pPr>
        <w:spacing w:line="360" w:lineRule="auto"/>
        <w:rPr>
          <w:b/>
        </w:rPr>
      </w:pPr>
    </w:p>
    <w:p w:rsidRPr="0046306E" w:rsidR="00A868DA" w:rsidP="00FF3480" w:rsidRDefault="00A868DA" w14:paraId="30E73367" w14:textId="77777777">
      <w:pPr>
        <w:pStyle w:val="Heading2"/>
        <w:spacing w:before="0" w:after="0" w:line="360" w:lineRule="auto"/>
        <w:rPr>
          <w:rFonts w:ascii="Times New Roman" w:hAnsi="Times New Roman"/>
          <w:i w:val="0"/>
          <w:sz w:val="24"/>
          <w:szCs w:val="24"/>
        </w:rPr>
      </w:pPr>
      <w:r w:rsidRPr="0046306E">
        <w:rPr>
          <w:rFonts w:ascii="Times New Roman" w:hAnsi="Times New Roman"/>
          <w:i w:val="0"/>
          <w:sz w:val="24"/>
          <w:szCs w:val="24"/>
        </w:rPr>
        <w:t>B.1. Respondent Universe and Sampling Methods</w:t>
      </w:r>
    </w:p>
    <w:p w:rsidRPr="0046306E" w:rsidR="00181F4E" w:rsidP="00FF3480" w:rsidRDefault="00181F4E" w14:paraId="32045234" w14:textId="30E96503">
      <w:pPr>
        <w:keepNext/>
        <w:keepLines/>
        <w:spacing w:line="360" w:lineRule="auto"/>
      </w:pPr>
    </w:p>
    <w:p w:rsidRPr="0046306E" w:rsidR="005204BE" w:rsidP="00FF3480" w:rsidRDefault="00B672A0" w14:paraId="0F825921" w14:textId="2C4B5A6E">
      <w:pPr>
        <w:spacing w:line="360" w:lineRule="auto"/>
      </w:pPr>
      <w:r w:rsidRPr="0046306E">
        <w:t xml:space="preserve">The universe </w:t>
      </w:r>
      <w:r w:rsidRPr="0046306E" w:rsidR="00B91F60">
        <w:t xml:space="preserve">of eligible hospitals </w:t>
      </w:r>
      <w:r w:rsidRPr="0046306E" w:rsidR="00A37A93">
        <w:t>(</w:t>
      </w:r>
      <w:r w:rsidRPr="0046306E" w:rsidR="009F2975">
        <w:t xml:space="preserve">aka </w:t>
      </w:r>
      <w:r w:rsidRPr="0046306E" w:rsidR="00E4168F">
        <w:t>respondent universe</w:t>
      </w:r>
      <w:r w:rsidRPr="0046306E" w:rsidR="00A37A93">
        <w:t>)</w:t>
      </w:r>
      <w:r w:rsidRPr="0046306E" w:rsidR="00B91F60">
        <w:t xml:space="preserve"> comprises all </w:t>
      </w:r>
      <w:r w:rsidRPr="0046306E" w:rsidR="004354C0">
        <w:t xml:space="preserve">adult </w:t>
      </w:r>
      <w:r w:rsidRPr="0046306E" w:rsidR="00B91F60">
        <w:t xml:space="preserve">general medical </w:t>
      </w:r>
      <w:r w:rsidRPr="0046306E" w:rsidR="00084A0E">
        <w:t xml:space="preserve">and </w:t>
      </w:r>
      <w:r w:rsidRPr="0046306E" w:rsidR="00B91F60">
        <w:t>surgical hospitals in the U</w:t>
      </w:r>
      <w:r w:rsidRPr="0046306E" w:rsidR="006C18BF">
        <w:t xml:space="preserve">nited </w:t>
      </w:r>
      <w:r w:rsidRPr="0046306E" w:rsidR="00B91F60">
        <w:t>S</w:t>
      </w:r>
      <w:r w:rsidRPr="0046306E" w:rsidR="006C18BF">
        <w:t>tates</w:t>
      </w:r>
      <w:r w:rsidRPr="0046306E" w:rsidR="009A5B7E">
        <w:t xml:space="preserve"> and District of Columbia</w:t>
      </w:r>
      <w:r w:rsidRPr="0046306E" w:rsidR="00BB655A">
        <w:t xml:space="preserve">, </w:t>
      </w:r>
      <w:proofErr w:type="gramStart"/>
      <w:r w:rsidRPr="0046306E" w:rsidR="00BB655A">
        <w:t>with the exception of</w:t>
      </w:r>
      <w:proofErr w:type="gramEnd"/>
      <w:r w:rsidRPr="0046306E" w:rsidR="00BB655A">
        <w:t xml:space="preserve"> those </w:t>
      </w:r>
      <w:r w:rsidRPr="0046306E" w:rsidR="009F2975">
        <w:t xml:space="preserve">hospitals located </w:t>
      </w:r>
      <w:r w:rsidRPr="0046306E" w:rsidR="00BB655A">
        <w:t>in U.S. ter</w:t>
      </w:r>
      <w:r w:rsidRPr="0046306E" w:rsidR="00D94AAE">
        <w:t>ritories</w:t>
      </w:r>
      <w:r w:rsidRPr="0046306E" w:rsidR="0059191F">
        <w:t xml:space="preserve"> and overseas</w:t>
      </w:r>
      <w:r w:rsidRPr="0046306E" w:rsidR="002E1CB0">
        <w:t xml:space="preserve"> (n=4605)</w:t>
      </w:r>
      <w:r w:rsidRPr="0046306E" w:rsidR="003D0DDB">
        <w:t>.</w:t>
      </w:r>
      <w:r w:rsidRPr="0046306E" w:rsidR="00E4168F">
        <w:t xml:space="preserve"> </w:t>
      </w:r>
      <w:r w:rsidRPr="0046306E" w:rsidR="003D0DDB">
        <w:t xml:space="preserve"> </w:t>
      </w:r>
      <w:r w:rsidRPr="0046306E" w:rsidR="00E4168F">
        <w:t xml:space="preserve">A representative sample of eligible hospitals will be identified using the American Hospital Association (AHA) database as the sampling frame.  </w:t>
      </w:r>
    </w:p>
    <w:p w:rsidR="005204BE" w:rsidP="004E1CF8" w:rsidRDefault="005204BE" w14:paraId="42010A55" w14:textId="7DE21556">
      <w:pPr>
        <w:pStyle w:val="Heading3"/>
        <w:spacing w:before="100" w:beforeAutospacing="1" w:line="360" w:lineRule="auto"/>
        <w:rPr>
          <w:rFonts w:ascii="Times New Roman" w:hAnsi="Times New Roman" w:cs="Times New Roman"/>
          <w:color w:val="auto"/>
        </w:rPr>
      </w:pPr>
      <w:bookmarkStart w:name="_Toc30766161" w:id="1"/>
      <w:r w:rsidRPr="00483B0E">
        <w:rPr>
          <w:rFonts w:ascii="Times New Roman" w:hAnsi="Times New Roman" w:cs="Times New Roman"/>
          <w:i/>
          <w:color w:val="auto"/>
        </w:rPr>
        <w:t>Characteristics of hospitals eligible for inclusion (sampling</w:t>
      </w:r>
      <w:bookmarkEnd w:id="1"/>
      <w:r w:rsidRPr="00483B0E">
        <w:rPr>
          <w:rFonts w:ascii="Times New Roman" w:hAnsi="Times New Roman" w:cs="Times New Roman"/>
          <w:i/>
          <w:color w:val="auto"/>
        </w:rPr>
        <w:t xml:space="preserve"> frame)</w:t>
      </w:r>
      <w:r w:rsidRPr="00483B0E" w:rsidR="00FA3631">
        <w:rPr>
          <w:rFonts w:ascii="Times New Roman" w:hAnsi="Times New Roman" w:cs="Times New Roman"/>
          <w:i/>
          <w:color w:val="auto"/>
        </w:rPr>
        <w:t>:</w:t>
      </w:r>
      <w:r w:rsidRPr="00483B0E" w:rsidR="005C3E68">
        <w:rPr>
          <w:rFonts w:ascii="Times New Roman" w:hAnsi="Times New Roman" w:cs="Times New Roman"/>
          <w:color w:val="auto"/>
        </w:rPr>
        <w:t xml:space="preserve"> </w:t>
      </w:r>
      <w:r w:rsidRPr="00483B0E">
        <w:rPr>
          <w:rFonts w:ascii="Times New Roman" w:hAnsi="Times New Roman" w:cs="Times New Roman"/>
          <w:color w:val="auto"/>
        </w:rPr>
        <w:t xml:space="preserve">The </w:t>
      </w:r>
      <w:r w:rsidR="005523C2">
        <w:rPr>
          <w:rFonts w:ascii="Times New Roman" w:hAnsi="Times New Roman" w:cs="Times New Roman"/>
          <w:color w:val="auto"/>
        </w:rPr>
        <w:t xml:space="preserve">Joint Commission </w:t>
      </w:r>
      <w:r w:rsidRPr="00483B0E">
        <w:rPr>
          <w:rFonts w:ascii="Times New Roman" w:hAnsi="Times New Roman" w:cs="Times New Roman"/>
          <w:color w:val="auto"/>
        </w:rPr>
        <w:t xml:space="preserve">senior biostatistician has direct access to the most recent version of the AHA data set, which is continually updated over time.  As of February 20, 2020, the data set contained 4605 </w:t>
      </w:r>
      <w:r w:rsidR="00E71D8B">
        <w:rPr>
          <w:rFonts w:ascii="Times New Roman" w:hAnsi="Times New Roman" w:cs="Times New Roman"/>
          <w:color w:val="auto"/>
        </w:rPr>
        <w:t xml:space="preserve">adult </w:t>
      </w:r>
      <w:r w:rsidRPr="00483B0E">
        <w:rPr>
          <w:rFonts w:ascii="Times New Roman" w:hAnsi="Times New Roman" w:cs="Times New Roman"/>
          <w:color w:val="auto"/>
        </w:rPr>
        <w:t>general med</w:t>
      </w:r>
      <w:r w:rsidRPr="00483B0E" w:rsidR="00D500A4">
        <w:rPr>
          <w:rFonts w:ascii="Times New Roman" w:hAnsi="Times New Roman" w:cs="Times New Roman"/>
          <w:color w:val="auto"/>
        </w:rPr>
        <w:t>ical</w:t>
      </w:r>
      <w:r w:rsidRPr="00483B0E">
        <w:rPr>
          <w:rFonts w:ascii="Times New Roman" w:hAnsi="Times New Roman" w:cs="Times New Roman"/>
          <w:color w:val="auto"/>
        </w:rPr>
        <w:t>/surg</w:t>
      </w:r>
      <w:r w:rsidRPr="00483B0E" w:rsidR="00D500A4">
        <w:rPr>
          <w:rFonts w:ascii="Times New Roman" w:hAnsi="Times New Roman" w:cs="Times New Roman"/>
          <w:color w:val="auto"/>
        </w:rPr>
        <w:t>ical</w:t>
      </w:r>
      <w:r w:rsidRPr="00483B0E">
        <w:rPr>
          <w:rFonts w:ascii="Times New Roman" w:hAnsi="Times New Roman" w:cs="Times New Roman"/>
          <w:color w:val="auto"/>
        </w:rPr>
        <w:t xml:space="preserve"> hospitals.  Using the AHA categories for bed size, </w:t>
      </w:r>
      <w:r w:rsidR="006033D6">
        <w:rPr>
          <w:rFonts w:ascii="Times New Roman" w:hAnsi="Times New Roman" w:cs="Times New Roman"/>
          <w:color w:val="auto"/>
        </w:rPr>
        <w:t>T</w:t>
      </w:r>
      <w:r w:rsidRPr="00483B0E">
        <w:rPr>
          <w:rFonts w:ascii="Times New Roman" w:hAnsi="Times New Roman" w:cs="Times New Roman"/>
          <w:color w:val="auto"/>
        </w:rPr>
        <w:t>able</w:t>
      </w:r>
      <w:r w:rsidR="006033D6">
        <w:rPr>
          <w:rFonts w:ascii="Times New Roman" w:hAnsi="Times New Roman" w:cs="Times New Roman"/>
          <w:color w:val="auto"/>
        </w:rPr>
        <w:t xml:space="preserve"> 1</w:t>
      </w:r>
      <w:r w:rsidRPr="00483B0E">
        <w:rPr>
          <w:rFonts w:ascii="Times New Roman" w:hAnsi="Times New Roman" w:cs="Times New Roman"/>
          <w:color w:val="auto"/>
        </w:rPr>
        <w:t xml:space="preserve"> below describes the characteristics of eligible hospitals.</w:t>
      </w:r>
      <w:bookmarkStart w:name="_Toc30766164" w:id="2"/>
    </w:p>
    <w:p w:rsidRPr="00483B0E" w:rsidR="000B7140" w:rsidP="005204BE" w:rsidRDefault="000B7140" w14:paraId="7E9F55E9" w14:textId="77777777"/>
    <w:p w:rsidRPr="00EE5B47" w:rsidR="0012243E" w:rsidP="002F5F9C" w:rsidRDefault="005204BE" w14:paraId="64A22090" w14:textId="461F2BAF">
      <w:pPr>
        <w:pStyle w:val="CommentText"/>
        <w:spacing w:line="360" w:lineRule="auto"/>
        <w:rPr>
          <w:sz w:val="24"/>
          <w:szCs w:val="24"/>
        </w:rPr>
      </w:pPr>
      <w:r w:rsidRPr="0080546B">
        <w:rPr>
          <w:i/>
          <w:sz w:val="24"/>
          <w:szCs w:val="24"/>
        </w:rPr>
        <w:t>Sample size</w:t>
      </w:r>
      <w:bookmarkEnd w:id="2"/>
      <w:r w:rsidRPr="0080546B">
        <w:rPr>
          <w:i/>
          <w:sz w:val="24"/>
          <w:szCs w:val="24"/>
        </w:rPr>
        <w:t xml:space="preserve"> estimates</w:t>
      </w:r>
      <w:r w:rsidRPr="0080546B" w:rsidR="00181F4E">
        <w:rPr>
          <w:sz w:val="24"/>
          <w:szCs w:val="24"/>
        </w:rPr>
        <w:t>:</w:t>
      </w:r>
      <w:r w:rsidRPr="0080546B" w:rsidR="000B7140">
        <w:rPr>
          <w:sz w:val="24"/>
          <w:szCs w:val="24"/>
        </w:rPr>
        <w:t xml:space="preserve"> </w:t>
      </w:r>
      <w:r w:rsidRPr="00EE5B47">
        <w:rPr>
          <w:sz w:val="24"/>
          <w:szCs w:val="24"/>
        </w:rPr>
        <w:t xml:space="preserve">Using the most conservative approach to estimate the sample size, and using an anticipated proportion of 0.50, a confidence level of 95%, and an absolute precision of 5 percentage points, the estimated </w:t>
      </w:r>
      <w:r w:rsidRPr="00EE5B47" w:rsidR="00664558">
        <w:rPr>
          <w:sz w:val="24"/>
          <w:szCs w:val="24"/>
        </w:rPr>
        <w:t xml:space="preserve">desired </w:t>
      </w:r>
      <w:r w:rsidRPr="00EE5B47" w:rsidR="006F356F">
        <w:rPr>
          <w:sz w:val="24"/>
          <w:szCs w:val="24"/>
        </w:rPr>
        <w:t xml:space="preserve">total number of respondents </w:t>
      </w:r>
      <w:r w:rsidRPr="00EE5B47">
        <w:rPr>
          <w:sz w:val="24"/>
          <w:szCs w:val="24"/>
        </w:rPr>
        <w:t>is 384.</w:t>
      </w:r>
    </w:p>
    <w:p w:rsidR="0012243E" w:rsidP="002F5F9C" w:rsidRDefault="0012243E" w14:paraId="28A87645" w14:textId="77777777">
      <w:pPr>
        <w:pStyle w:val="CommentText"/>
        <w:spacing w:line="360" w:lineRule="auto"/>
        <w:rPr>
          <w:sz w:val="24"/>
          <w:szCs w:val="24"/>
        </w:rPr>
      </w:pPr>
    </w:p>
    <w:p w:rsidRPr="00EE5B47" w:rsidR="000B7140" w:rsidP="002F5F9C" w:rsidRDefault="009004E8" w14:paraId="3AD2D35E" w14:textId="034641E5">
      <w:pPr>
        <w:pStyle w:val="CommentText"/>
        <w:spacing w:line="360" w:lineRule="auto"/>
      </w:pPr>
      <w:r w:rsidRPr="00EE5B47">
        <w:rPr>
          <w:sz w:val="24"/>
          <w:szCs w:val="24"/>
        </w:rPr>
        <w:t xml:space="preserve">Based on an anticipated </w:t>
      </w:r>
      <w:r w:rsidRPr="00EE5B47" w:rsidR="006F2993">
        <w:rPr>
          <w:sz w:val="24"/>
          <w:szCs w:val="24"/>
        </w:rPr>
        <w:t xml:space="preserve">30% response rate, </w:t>
      </w:r>
      <w:r w:rsidRPr="00EE5B47">
        <w:rPr>
          <w:sz w:val="24"/>
          <w:szCs w:val="24"/>
        </w:rPr>
        <w:t xml:space="preserve">one would need to invite a total of 1280 hospitals (384 divided by 0.30) </w:t>
      </w:r>
      <w:r w:rsidRPr="00EE5B47" w:rsidR="006F2993">
        <w:rPr>
          <w:sz w:val="24"/>
          <w:szCs w:val="24"/>
        </w:rPr>
        <w:t>in order to achieve the desired sample size of 384 respondents</w:t>
      </w:r>
      <w:r w:rsidRPr="00EE5B47" w:rsidR="00F0787F">
        <w:rPr>
          <w:sz w:val="24"/>
          <w:szCs w:val="24"/>
        </w:rPr>
        <w:t>.</w:t>
      </w:r>
      <w:r w:rsidRPr="00EE5B47" w:rsidR="006F2993">
        <w:rPr>
          <w:sz w:val="24"/>
          <w:szCs w:val="24"/>
        </w:rPr>
        <w:t xml:space="preserve">  However, if the anticipated response rate is lower (e.g., </w:t>
      </w:r>
      <w:r w:rsidRPr="00EE5B47" w:rsidR="003C0D00">
        <w:rPr>
          <w:sz w:val="24"/>
          <w:szCs w:val="24"/>
        </w:rPr>
        <w:t>25</w:t>
      </w:r>
      <w:r w:rsidRPr="00EE5B47" w:rsidR="006F2993">
        <w:rPr>
          <w:sz w:val="24"/>
          <w:szCs w:val="24"/>
        </w:rPr>
        <w:t>%</w:t>
      </w:r>
      <w:r w:rsidR="00784C76">
        <w:rPr>
          <w:sz w:val="24"/>
          <w:szCs w:val="24"/>
        </w:rPr>
        <w:t xml:space="preserve"> due to continued impact of COVID-19 on hospital </w:t>
      </w:r>
      <w:r w:rsidR="00504D79">
        <w:rPr>
          <w:sz w:val="24"/>
          <w:szCs w:val="24"/>
        </w:rPr>
        <w:t>participation rate</w:t>
      </w:r>
      <w:r w:rsidRPr="00EE5B47" w:rsidR="006F2993">
        <w:rPr>
          <w:sz w:val="24"/>
          <w:szCs w:val="24"/>
        </w:rPr>
        <w:t xml:space="preserve">), the total </w:t>
      </w:r>
      <w:r w:rsidRPr="00EE5B47" w:rsidR="00300411">
        <w:rPr>
          <w:sz w:val="24"/>
          <w:szCs w:val="24"/>
        </w:rPr>
        <w:t>number of invited hospitals</w:t>
      </w:r>
      <w:r w:rsidRPr="00EE5B47" w:rsidR="006F2993">
        <w:rPr>
          <w:sz w:val="24"/>
          <w:szCs w:val="24"/>
        </w:rPr>
        <w:t xml:space="preserve"> </w:t>
      </w:r>
      <w:r w:rsidRPr="00EE5B47" w:rsidR="00F0787F">
        <w:rPr>
          <w:sz w:val="24"/>
          <w:szCs w:val="24"/>
        </w:rPr>
        <w:t xml:space="preserve">increases </w:t>
      </w:r>
      <w:r w:rsidRPr="00EE5B47" w:rsidR="006F2993">
        <w:rPr>
          <w:sz w:val="24"/>
          <w:szCs w:val="24"/>
        </w:rPr>
        <w:t xml:space="preserve">to </w:t>
      </w:r>
      <w:r w:rsidRPr="00EE5B47" w:rsidR="003E61F3">
        <w:rPr>
          <w:sz w:val="24"/>
          <w:szCs w:val="24"/>
        </w:rPr>
        <w:t>1536</w:t>
      </w:r>
      <w:r w:rsidRPr="00EE5B47" w:rsidR="00F0787F">
        <w:rPr>
          <w:sz w:val="24"/>
          <w:szCs w:val="24"/>
        </w:rPr>
        <w:t>. I</w:t>
      </w:r>
      <w:r w:rsidRPr="00EE5B47" w:rsidR="006F2993">
        <w:rPr>
          <w:sz w:val="24"/>
          <w:szCs w:val="24"/>
        </w:rPr>
        <w:t xml:space="preserve">f the anticipated response rate is higher (e.g., </w:t>
      </w:r>
      <w:r w:rsidRPr="00EE5B47" w:rsidR="003E61F3">
        <w:rPr>
          <w:sz w:val="24"/>
          <w:szCs w:val="24"/>
        </w:rPr>
        <w:t>50</w:t>
      </w:r>
      <w:r w:rsidRPr="00EE5B47" w:rsidR="006F2993">
        <w:rPr>
          <w:sz w:val="24"/>
          <w:szCs w:val="24"/>
        </w:rPr>
        <w:t>%),</w:t>
      </w:r>
      <w:r w:rsidRPr="00EE5B47" w:rsidR="00351026">
        <w:rPr>
          <w:sz w:val="24"/>
          <w:szCs w:val="24"/>
        </w:rPr>
        <w:t xml:space="preserve"> </w:t>
      </w:r>
      <w:r w:rsidRPr="00EE5B47" w:rsidR="006F2993">
        <w:rPr>
          <w:sz w:val="24"/>
          <w:szCs w:val="24"/>
        </w:rPr>
        <w:t>the total</w:t>
      </w:r>
      <w:r w:rsidRPr="00EE5B47" w:rsidR="00F61FA0">
        <w:rPr>
          <w:sz w:val="24"/>
          <w:szCs w:val="24"/>
        </w:rPr>
        <w:t xml:space="preserve"> number of invited hospitals </w:t>
      </w:r>
      <w:r w:rsidRPr="00EE5B47" w:rsidR="00F0787F">
        <w:rPr>
          <w:sz w:val="24"/>
          <w:szCs w:val="24"/>
        </w:rPr>
        <w:t xml:space="preserve">decreases </w:t>
      </w:r>
      <w:r w:rsidRPr="00EE5B47" w:rsidR="006F2993">
        <w:rPr>
          <w:sz w:val="24"/>
          <w:szCs w:val="24"/>
        </w:rPr>
        <w:t xml:space="preserve">to </w:t>
      </w:r>
      <w:r w:rsidRPr="00EE5B47" w:rsidR="001377D0">
        <w:rPr>
          <w:sz w:val="24"/>
          <w:szCs w:val="24"/>
        </w:rPr>
        <w:t>768</w:t>
      </w:r>
      <w:r w:rsidRPr="00EE5B47" w:rsidR="006F2993">
        <w:rPr>
          <w:sz w:val="24"/>
          <w:szCs w:val="24"/>
        </w:rPr>
        <w:t>.</w:t>
      </w:r>
    </w:p>
    <w:p w:rsidRPr="00EE5B47" w:rsidR="008F0B5E" w:rsidP="002F5F9C" w:rsidRDefault="008F0B5E" w14:paraId="0ED73FB1" w14:textId="49319E84">
      <w:pPr>
        <w:pStyle w:val="CommentText"/>
        <w:spacing w:line="360" w:lineRule="auto"/>
      </w:pPr>
    </w:p>
    <w:p w:rsidRPr="00EE5B47" w:rsidR="008F0B5E" w:rsidP="002F5F9C" w:rsidRDefault="006923AC" w14:paraId="0F9B16EE" w14:textId="2AD87ABA">
      <w:pPr>
        <w:pStyle w:val="CommentText"/>
        <w:spacing w:line="360" w:lineRule="auto"/>
        <w:rPr>
          <w:sz w:val="24"/>
          <w:szCs w:val="24"/>
        </w:rPr>
      </w:pPr>
      <w:r w:rsidRPr="00EE5B47">
        <w:rPr>
          <w:sz w:val="24"/>
          <w:szCs w:val="24"/>
        </w:rPr>
        <w:t xml:space="preserve">In order to have </w:t>
      </w:r>
      <w:r w:rsidRPr="00EE5B47" w:rsidR="00E42E44">
        <w:rPr>
          <w:sz w:val="24"/>
          <w:szCs w:val="24"/>
        </w:rPr>
        <w:t>the same level of precision in each of the size categories</w:t>
      </w:r>
      <w:r w:rsidRPr="00EE5B47" w:rsidR="0094721F">
        <w:rPr>
          <w:sz w:val="24"/>
          <w:szCs w:val="24"/>
        </w:rPr>
        <w:t xml:space="preserve"> (equal number of respondents in each size</w:t>
      </w:r>
      <w:r w:rsidRPr="00EE5B47" w:rsidR="00E42E44">
        <w:rPr>
          <w:sz w:val="24"/>
          <w:szCs w:val="24"/>
        </w:rPr>
        <w:t xml:space="preserve"> when us</w:t>
      </w:r>
      <w:r w:rsidRPr="00EE5B47" w:rsidR="000D0E51">
        <w:rPr>
          <w:sz w:val="24"/>
          <w:szCs w:val="24"/>
        </w:rPr>
        <w:t>ing</w:t>
      </w:r>
      <w:r w:rsidRPr="00EE5B47" w:rsidR="00E42E44">
        <w:rPr>
          <w:sz w:val="24"/>
          <w:szCs w:val="24"/>
        </w:rPr>
        <w:t xml:space="preserve"> a </w:t>
      </w:r>
      <w:r w:rsidRPr="00EE5B47" w:rsidR="00A14FF5">
        <w:rPr>
          <w:sz w:val="24"/>
          <w:szCs w:val="24"/>
        </w:rPr>
        <w:t>30% response rate estimate</w:t>
      </w:r>
      <w:r w:rsidRPr="00EE5B47" w:rsidR="009B1790">
        <w:rPr>
          <w:sz w:val="24"/>
          <w:szCs w:val="24"/>
        </w:rPr>
        <w:t>)</w:t>
      </w:r>
      <w:r w:rsidRPr="00EE5B47" w:rsidR="002753AE">
        <w:rPr>
          <w:sz w:val="24"/>
          <w:szCs w:val="24"/>
        </w:rPr>
        <w:t xml:space="preserve">, </w:t>
      </w:r>
      <w:r w:rsidRPr="00EE5B47" w:rsidR="00FE7A3D">
        <w:rPr>
          <w:sz w:val="24"/>
          <w:szCs w:val="24"/>
        </w:rPr>
        <w:t>the total number of invited</w:t>
      </w:r>
      <w:r w:rsidRPr="00EE5B47" w:rsidR="005D7602">
        <w:rPr>
          <w:sz w:val="24"/>
          <w:szCs w:val="24"/>
        </w:rPr>
        <w:t xml:space="preserve"> hospital (1280)</w:t>
      </w:r>
      <w:r w:rsidRPr="00EE5B47" w:rsidR="00FE7A3D">
        <w:rPr>
          <w:sz w:val="24"/>
          <w:szCs w:val="24"/>
        </w:rPr>
        <w:t xml:space="preserve"> is</w:t>
      </w:r>
      <w:r w:rsidRPr="00EE5B47" w:rsidR="00A14FF5">
        <w:rPr>
          <w:sz w:val="24"/>
          <w:szCs w:val="24"/>
        </w:rPr>
        <w:t xml:space="preserve"> divide</w:t>
      </w:r>
      <w:r w:rsidRPr="00EE5B47" w:rsidR="00FE7A3D">
        <w:rPr>
          <w:sz w:val="24"/>
          <w:szCs w:val="24"/>
        </w:rPr>
        <w:t>d</w:t>
      </w:r>
      <w:r w:rsidRPr="00EE5B47" w:rsidR="00A14FF5">
        <w:rPr>
          <w:sz w:val="24"/>
          <w:szCs w:val="24"/>
        </w:rPr>
        <w:t xml:space="preserve"> by </w:t>
      </w:r>
      <w:r w:rsidRPr="00EE5B47" w:rsidR="00C91630">
        <w:rPr>
          <w:sz w:val="24"/>
          <w:szCs w:val="24"/>
        </w:rPr>
        <w:t>3</w:t>
      </w:r>
      <w:r w:rsidRPr="00EE5B47" w:rsidR="00FE7A3D">
        <w:rPr>
          <w:sz w:val="24"/>
          <w:szCs w:val="24"/>
        </w:rPr>
        <w:t>. This</w:t>
      </w:r>
      <w:r w:rsidRPr="00EE5B47" w:rsidR="00C91630">
        <w:rPr>
          <w:sz w:val="24"/>
          <w:szCs w:val="24"/>
        </w:rPr>
        <w:t xml:space="preserve"> </w:t>
      </w:r>
      <w:r w:rsidRPr="00EE5B47" w:rsidR="00747D2F">
        <w:rPr>
          <w:sz w:val="24"/>
          <w:szCs w:val="24"/>
        </w:rPr>
        <w:t>equals</w:t>
      </w:r>
      <w:r w:rsidRPr="00EE5B47" w:rsidR="00C91630">
        <w:rPr>
          <w:sz w:val="24"/>
          <w:szCs w:val="24"/>
        </w:rPr>
        <w:t xml:space="preserve"> 427</w:t>
      </w:r>
      <w:r w:rsidRPr="00EE5B47" w:rsidR="00141F09">
        <w:rPr>
          <w:sz w:val="24"/>
          <w:szCs w:val="24"/>
        </w:rPr>
        <w:t xml:space="preserve"> hospitals</w:t>
      </w:r>
      <w:r w:rsidRPr="00EE5B47" w:rsidR="00C91630">
        <w:rPr>
          <w:sz w:val="24"/>
          <w:szCs w:val="24"/>
        </w:rPr>
        <w:t xml:space="preserve"> in eac</w:t>
      </w:r>
      <w:r w:rsidRPr="00EE5B47" w:rsidR="007A6140">
        <w:rPr>
          <w:sz w:val="24"/>
          <w:szCs w:val="24"/>
        </w:rPr>
        <w:t>h size strata</w:t>
      </w:r>
      <w:r w:rsidRPr="00EE5B47" w:rsidR="00141F09">
        <w:rPr>
          <w:sz w:val="24"/>
          <w:szCs w:val="24"/>
        </w:rPr>
        <w:t>,</w:t>
      </w:r>
      <w:r w:rsidRPr="00EE5B47" w:rsidR="007A6140">
        <w:rPr>
          <w:sz w:val="24"/>
          <w:szCs w:val="24"/>
        </w:rPr>
        <w:t xml:space="preserve"> which w</w:t>
      </w:r>
      <w:r w:rsidRPr="00EE5B47" w:rsidR="00FE7A3D">
        <w:rPr>
          <w:sz w:val="24"/>
          <w:szCs w:val="24"/>
        </w:rPr>
        <w:t xml:space="preserve">as </w:t>
      </w:r>
      <w:r w:rsidRPr="00EE5B47" w:rsidR="007A6140">
        <w:rPr>
          <w:sz w:val="24"/>
          <w:szCs w:val="24"/>
        </w:rPr>
        <w:t xml:space="preserve">rounded to 430 </w:t>
      </w:r>
      <w:r w:rsidRPr="00EE5B47" w:rsidR="00E62233">
        <w:rPr>
          <w:sz w:val="24"/>
          <w:szCs w:val="24"/>
        </w:rPr>
        <w:t xml:space="preserve">for sample selection as shown </w:t>
      </w:r>
      <w:r w:rsidRPr="00EE5B47" w:rsidR="007A6140">
        <w:rPr>
          <w:sz w:val="24"/>
          <w:szCs w:val="24"/>
        </w:rPr>
        <w:t xml:space="preserve">in </w:t>
      </w:r>
      <w:r w:rsidRPr="00EE5B47" w:rsidR="00E62233">
        <w:rPr>
          <w:sz w:val="24"/>
          <w:szCs w:val="24"/>
        </w:rPr>
        <w:t>Table 1.</w:t>
      </w:r>
      <w:r w:rsidRPr="00EE5B47" w:rsidR="007A6140">
        <w:rPr>
          <w:sz w:val="24"/>
          <w:szCs w:val="24"/>
        </w:rPr>
        <w:t xml:space="preserve"> </w:t>
      </w:r>
    </w:p>
    <w:p w:rsidRPr="00EE5B47" w:rsidR="00D25430" w:rsidP="00D25430" w:rsidRDefault="00D25430" w14:paraId="6A8629B9" w14:textId="77777777">
      <w:pPr>
        <w:pStyle w:val="CommentText"/>
        <w:spacing w:line="360" w:lineRule="auto"/>
        <w:rPr>
          <w:sz w:val="24"/>
          <w:szCs w:val="24"/>
        </w:rPr>
      </w:pPr>
    </w:p>
    <w:p w:rsidRPr="00483B0E" w:rsidR="005204BE" w:rsidP="00CF31EE" w:rsidRDefault="005204BE" w14:paraId="7685051D" w14:textId="72B7CDC6">
      <w:pPr>
        <w:pStyle w:val="Heading3"/>
        <w:spacing w:before="0" w:line="360" w:lineRule="auto"/>
        <w:rPr>
          <w:rFonts w:ascii="Times New Roman" w:hAnsi="Times New Roman" w:cs="Times New Roman"/>
          <w:color w:val="auto"/>
        </w:rPr>
      </w:pPr>
      <w:bookmarkStart w:name="_Toc30766165" w:id="3"/>
      <w:r w:rsidRPr="00483B0E">
        <w:rPr>
          <w:rFonts w:ascii="Times New Roman" w:hAnsi="Times New Roman" w:cs="Times New Roman"/>
          <w:i/>
          <w:color w:val="auto"/>
        </w:rPr>
        <w:lastRenderedPageBreak/>
        <w:t xml:space="preserve">Key strata and sample </w:t>
      </w:r>
      <w:r w:rsidRPr="00EE5B47">
        <w:rPr>
          <w:rFonts w:ascii="Times New Roman" w:hAnsi="Times New Roman" w:cs="Times New Roman"/>
          <w:i/>
          <w:color w:val="auto"/>
        </w:rPr>
        <w:t>distribution</w:t>
      </w:r>
      <w:bookmarkEnd w:id="3"/>
      <w:r w:rsidRPr="00EE5B47" w:rsidR="000B7140">
        <w:rPr>
          <w:rFonts w:ascii="Times New Roman" w:hAnsi="Times New Roman" w:cs="Times New Roman"/>
          <w:color w:val="auto"/>
        </w:rPr>
        <w:t xml:space="preserve">: </w:t>
      </w:r>
      <w:r w:rsidRPr="00EE5B47">
        <w:rPr>
          <w:rFonts w:ascii="Times New Roman" w:hAnsi="Times New Roman" w:cs="Times New Roman"/>
          <w:color w:val="auto"/>
        </w:rPr>
        <w:t>The key stratum for sampling is hospital size categorized within three groups &lt;100; 100-399; ≥400. The</w:t>
      </w:r>
      <w:r w:rsidRPr="00EE5B47" w:rsidR="002D7FC7">
        <w:rPr>
          <w:rFonts w:ascii="Times New Roman" w:hAnsi="Times New Roman" w:cs="Times New Roman"/>
          <w:color w:val="auto"/>
        </w:rPr>
        <w:t xml:space="preserve"> </w:t>
      </w:r>
      <w:r w:rsidRPr="00EE5B47" w:rsidR="00180DE3">
        <w:rPr>
          <w:rFonts w:ascii="Times New Roman" w:hAnsi="Times New Roman" w:cs="Times New Roman"/>
          <w:color w:val="auto"/>
        </w:rPr>
        <w:t>respondent universe</w:t>
      </w:r>
      <w:r w:rsidRPr="00EE5B47" w:rsidR="002D7FC7">
        <w:rPr>
          <w:rFonts w:ascii="Times New Roman" w:hAnsi="Times New Roman" w:cs="Times New Roman"/>
          <w:color w:val="auto"/>
        </w:rPr>
        <w:t xml:space="preserve"> above yields the following numbers in each stratum:</w:t>
      </w:r>
      <w:r w:rsidRPr="00EE5B47">
        <w:rPr>
          <w:rFonts w:ascii="Times New Roman" w:hAnsi="Times New Roman" w:cs="Times New Roman"/>
          <w:color w:val="auto"/>
        </w:rPr>
        <w:t xml:space="preserve"> small (n=2331), medium (n=1802) and large (n=472).</w:t>
      </w:r>
      <w:r w:rsidRPr="00EE5B47" w:rsidR="00C34B96">
        <w:rPr>
          <w:rFonts w:ascii="Times New Roman" w:hAnsi="Times New Roman" w:cs="Times New Roman"/>
          <w:color w:val="auto"/>
        </w:rPr>
        <w:t xml:space="preserve"> </w:t>
      </w:r>
      <w:r w:rsidRPr="00EE5B47">
        <w:rPr>
          <w:rFonts w:ascii="Times New Roman" w:hAnsi="Times New Roman" w:cs="Times New Roman"/>
          <w:color w:val="auto"/>
        </w:rPr>
        <w:t>We are also capturing data related to teaching status, location, ownership</w:t>
      </w:r>
      <w:r w:rsidRPr="00EE5B47" w:rsidR="00274CDB">
        <w:rPr>
          <w:rFonts w:ascii="Times New Roman" w:hAnsi="Times New Roman" w:cs="Times New Roman"/>
          <w:color w:val="auto"/>
        </w:rPr>
        <w:t xml:space="preserve"> </w:t>
      </w:r>
      <w:r w:rsidRPr="00EE5B47">
        <w:rPr>
          <w:rFonts w:ascii="Times New Roman" w:hAnsi="Times New Roman" w:cs="Times New Roman"/>
          <w:color w:val="auto"/>
        </w:rPr>
        <w:t xml:space="preserve">and other AHA hospital characteristics that may </w:t>
      </w:r>
      <w:r w:rsidRPr="00483B0E">
        <w:rPr>
          <w:rFonts w:ascii="Times New Roman" w:hAnsi="Times New Roman" w:cs="Times New Roman"/>
          <w:color w:val="auto"/>
        </w:rPr>
        <w:t xml:space="preserve">be needed for later analysis. </w:t>
      </w:r>
    </w:p>
    <w:p w:rsidRPr="00483B0E" w:rsidR="005204BE" w:rsidP="008E3410" w:rsidRDefault="005204BE" w14:paraId="68222FF4" w14:textId="77777777">
      <w:pPr>
        <w:spacing w:line="360" w:lineRule="auto"/>
        <w:rPr>
          <w:color w:val="365F91" w:themeColor="accent1" w:themeShade="BF"/>
        </w:rPr>
      </w:pPr>
    </w:p>
    <w:p w:rsidRPr="00483B0E" w:rsidR="005204BE" w:rsidP="008E3410" w:rsidRDefault="00664558" w14:paraId="6754EFEF" w14:textId="6580D6B1">
      <w:pPr>
        <w:spacing w:line="360" w:lineRule="auto"/>
      </w:pPr>
      <w:r w:rsidRPr="00274CDB">
        <w:rPr>
          <w:i/>
        </w:rPr>
        <w:t>Method use</w:t>
      </w:r>
      <w:r w:rsidRPr="00274CDB" w:rsidR="005A2F98">
        <w:rPr>
          <w:i/>
        </w:rPr>
        <w:t>d</w:t>
      </w:r>
      <w:r w:rsidRPr="00274CDB">
        <w:rPr>
          <w:i/>
        </w:rPr>
        <w:t xml:space="preserve"> to select the s</w:t>
      </w:r>
      <w:r w:rsidRPr="00274CDB" w:rsidR="005204BE">
        <w:rPr>
          <w:i/>
        </w:rPr>
        <w:t xml:space="preserve">tratified </w:t>
      </w:r>
      <w:r w:rsidRPr="00483B0E" w:rsidR="005204BE">
        <w:rPr>
          <w:i/>
        </w:rPr>
        <w:t>random sample</w:t>
      </w:r>
      <w:r w:rsidR="003D0DDB">
        <w:rPr>
          <w:i/>
        </w:rPr>
        <w:t>:</w:t>
      </w:r>
      <w:r w:rsidRPr="00483B0E" w:rsidR="005204BE">
        <w:rPr>
          <w:i/>
        </w:rPr>
        <w:t xml:space="preserve"> </w:t>
      </w:r>
      <w:r w:rsidRPr="00483B0E" w:rsidR="005204BE">
        <w:t xml:space="preserve">The </w:t>
      </w:r>
      <w:r w:rsidR="00AC3DA1">
        <w:t>respondent universe</w:t>
      </w:r>
      <w:r w:rsidRPr="00483B0E" w:rsidR="005204BE">
        <w:t xml:space="preserve">, all </w:t>
      </w:r>
      <w:r w:rsidR="00274CDB">
        <w:t xml:space="preserve">adult </w:t>
      </w:r>
      <w:r w:rsidRPr="00483B0E" w:rsidR="005204BE">
        <w:t>general medical and surgical hospitals</w:t>
      </w:r>
      <w:r w:rsidR="00AC3DA1">
        <w:t>,</w:t>
      </w:r>
      <w:r w:rsidRPr="00483B0E" w:rsidR="005204BE">
        <w:t xml:space="preserve"> and all relevant variables/characteristics (i.e., location, ownership, teaching status, etc.) were pulled from the AHA database. To obtain </w:t>
      </w:r>
      <w:r w:rsidR="0009245C">
        <w:t>the</w:t>
      </w:r>
      <w:r w:rsidRPr="00483B0E" w:rsidR="005204BE">
        <w:t xml:space="preserve"> sample, a stratified sampling method </w:t>
      </w:r>
      <w:r w:rsidR="0009245C">
        <w:t xml:space="preserve">was used </w:t>
      </w:r>
      <w:r w:rsidRPr="00483B0E" w:rsidR="005204BE">
        <w:t xml:space="preserve">in order to ensure that our sample best represents our </w:t>
      </w:r>
      <w:r w:rsidR="00DE6B99">
        <w:t>respondent universe</w:t>
      </w:r>
      <w:r w:rsidRPr="00483B0E" w:rsidR="005204BE">
        <w:t xml:space="preserve">. This method </w:t>
      </w:r>
      <w:r w:rsidRPr="00483B0E" w:rsidR="008F0FD1">
        <w:t xml:space="preserve">helps to </w:t>
      </w:r>
      <w:r w:rsidRPr="00483B0E" w:rsidR="005204BE">
        <w:t xml:space="preserve">ensure that all subgroups of interest are equally accounted for in the sample. </w:t>
      </w:r>
    </w:p>
    <w:p w:rsidRPr="00483B0E" w:rsidR="005204BE" w:rsidP="005204BE" w:rsidRDefault="005204BE" w14:paraId="408588E8" w14:textId="77777777"/>
    <w:p w:rsidRPr="00483B0E" w:rsidR="005204BE" w:rsidP="008E3410" w:rsidRDefault="005204BE" w14:paraId="5DE1F808" w14:textId="77777777">
      <w:pPr>
        <w:spacing w:line="360" w:lineRule="auto"/>
      </w:pPr>
      <w:r w:rsidRPr="00483B0E">
        <w:t>The stratified random sample was pulled using the following process:</w:t>
      </w:r>
    </w:p>
    <w:p w:rsidRPr="00483B0E" w:rsidR="005204BE" w:rsidP="008E3410" w:rsidRDefault="008A57FB" w14:paraId="40F53D3F" w14:textId="449EF480">
      <w:pPr>
        <w:pStyle w:val="ListParagraph"/>
        <w:numPr>
          <w:ilvl w:val="0"/>
          <w:numId w:val="6"/>
        </w:numPr>
        <w:spacing w:after="0" w:line="360" w:lineRule="auto"/>
        <w:rPr>
          <w:sz w:val="24"/>
          <w:szCs w:val="24"/>
        </w:rPr>
      </w:pPr>
      <w:r w:rsidRPr="00483B0E">
        <w:rPr>
          <w:sz w:val="24"/>
          <w:szCs w:val="24"/>
        </w:rPr>
        <w:t>In E</w:t>
      </w:r>
      <w:r w:rsidRPr="00483B0E" w:rsidR="005204BE">
        <w:rPr>
          <w:sz w:val="24"/>
          <w:szCs w:val="24"/>
        </w:rPr>
        <w:t>xcel</w:t>
      </w:r>
      <w:r w:rsidRPr="00483B0E" w:rsidR="00B7150C">
        <w:rPr>
          <w:sz w:val="24"/>
          <w:szCs w:val="24"/>
        </w:rPr>
        <w:t>,</w:t>
      </w:r>
      <w:r w:rsidRPr="00483B0E" w:rsidR="00392DA3">
        <w:rPr>
          <w:sz w:val="24"/>
          <w:szCs w:val="24"/>
        </w:rPr>
        <w:t xml:space="preserve"> </w:t>
      </w:r>
      <w:r w:rsidRPr="00483B0E" w:rsidR="005204BE">
        <w:rPr>
          <w:sz w:val="24"/>
          <w:szCs w:val="24"/>
        </w:rPr>
        <w:t xml:space="preserve">a random number (using the Rand function) was assigned to each organization in the entire </w:t>
      </w:r>
      <w:r w:rsidR="00363786">
        <w:rPr>
          <w:sz w:val="24"/>
          <w:szCs w:val="24"/>
        </w:rPr>
        <w:t>respondent universe</w:t>
      </w:r>
      <w:r w:rsidRPr="00483B0E" w:rsidR="005204BE">
        <w:rPr>
          <w:sz w:val="24"/>
          <w:szCs w:val="24"/>
        </w:rPr>
        <w:t>.</w:t>
      </w:r>
    </w:p>
    <w:p w:rsidRPr="00483B0E" w:rsidR="005204BE" w:rsidP="008E3410" w:rsidRDefault="005204BE" w14:paraId="1B3B7AC6" w14:textId="2116BCC0">
      <w:pPr>
        <w:pStyle w:val="ListParagraph"/>
        <w:numPr>
          <w:ilvl w:val="0"/>
          <w:numId w:val="6"/>
        </w:numPr>
        <w:spacing w:after="0" w:line="360" w:lineRule="auto"/>
        <w:rPr>
          <w:sz w:val="24"/>
          <w:szCs w:val="24"/>
        </w:rPr>
      </w:pPr>
      <w:r w:rsidRPr="00483B0E">
        <w:rPr>
          <w:sz w:val="24"/>
          <w:szCs w:val="24"/>
        </w:rPr>
        <w:t xml:space="preserve">The </w:t>
      </w:r>
      <w:r w:rsidR="00363786">
        <w:rPr>
          <w:sz w:val="24"/>
          <w:szCs w:val="24"/>
        </w:rPr>
        <w:t>respondent universe</w:t>
      </w:r>
      <w:r w:rsidRPr="00483B0E">
        <w:rPr>
          <w:sz w:val="24"/>
          <w:szCs w:val="24"/>
        </w:rPr>
        <w:t xml:space="preserve"> was then divided into the three strata (small, medium, and large). </w:t>
      </w:r>
    </w:p>
    <w:p w:rsidR="005204BE" w:rsidP="00CE0B2E" w:rsidRDefault="005204BE" w14:paraId="53E1AC16" w14:textId="5DCED282">
      <w:pPr>
        <w:pStyle w:val="ListParagraph"/>
        <w:numPr>
          <w:ilvl w:val="0"/>
          <w:numId w:val="6"/>
        </w:numPr>
        <w:spacing w:after="0" w:line="360" w:lineRule="auto"/>
        <w:rPr>
          <w:sz w:val="24"/>
          <w:szCs w:val="24"/>
        </w:rPr>
      </w:pPr>
      <w:r w:rsidRPr="00483B0E">
        <w:rPr>
          <w:sz w:val="24"/>
          <w:szCs w:val="24"/>
        </w:rPr>
        <w:t xml:space="preserve">For each stratum, the assigned random number was sorted in ascending order </w:t>
      </w:r>
    </w:p>
    <w:p w:rsidR="00BC7C53" w:rsidP="00BC7C53" w:rsidRDefault="00BC7C53" w14:paraId="6DFB80D1" w14:textId="77777777">
      <w:pPr>
        <w:contextualSpacing/>
      </w:pPr>
    </w:p>
    <w:p w:rsidRPr="00EE5B47" w:rsidR="00610AF8" w:rsidP="00BC7C53" w:rsidRDefault="009A2C48" w14:paraId="1148AF8A" w14:textId="4374AC1C">
      <w:pPr>
        <w:contextualSpacing/>
      </w:pPr>
      <w:r w:rsidRPr="00EE5B47">
        <w:t>T</w:t>
      </w:r>
      <w:r w:rsidRPr="00EE5B47" w:rsidR="00104173">
        <w:t>he first 430 hospitals from each stratum</w:t>
      </w:r>
      <w:r w:rsidRPr="00EE5B47">
        <w:t xml:space="preserve"> were included in </w:t>
      </w:r>
      <w:r w:rsidRPr="00EE5B47" w:rsidR="00104173">
        <w:t>the sample.  A description of the hospitals that were included in the final sample are in the table below.</w:t>
      </w:r>
    </w:p>
    <w:tbl>
      <w:tblPr>
        <w:tblpPr w:leftFromText="180" w:rightFromText="180" w:vertAnchor="text" w:horzAnchor="margin" w:tblpY="333"/>
        <w:tblW w:w="10685" w:type="dxa"/>
        <w:tblLook w:val="04A0" w:firstRow="1" w:lastRow="0" w:firstColumn="1" w:lastColumn="0" w:noHBand="0" w:noVBand="1"/>
      </w:tblPr>
      <w:tblGrid>
        <w:gridCol w:w="2593"/>
        <w:gridCol w:w="1343"/>
        <w:gridCol w:w="1416"/>
        <w:gridCol w:w="1488"/>
        <w:gridCol w:w="1167"/>
        <w:gridCol w:w="1397"/>
        <w:gridCol w:w="1281"/>
      </w:tblGrid>
      <w:tr w:rsidRPr="00EE5B47" w:rsidR="00EE5B47" w:rsidTr="003A4B84" w14:paraId="4C8C2094" w14:textId="77777777">
        <w:trPr>
          <w:trHeight w:val="337"/>
        </w:trPr>
        <w:tc>
          <w:tcPr>
            <w:tcW w:w="10685" w:type="dxa"/>
            <w:gridSpan w:val="7"/>
            <w:tcBorders>
              <w:top w:val="nil"/>
              <w:left w:val="nil"/>
              <w:bottom w:val="single" w:color="auto" w:sz="8" w:space="0"/>
              <w:right w:val="nil"/>
            </w:tcBorders>
            <w:shd w:val="clear" w:color="auto" w:fill="auto"/>
            <w:noWrap/>
            <w:vAlign w:val="bottom"/>
            <w:hideMark/>
          </w:tcPr>
          <w:p w:rsidRPr="00EE5B47" w:rsidR="001556F2" w:rsidP="00BC7C53" w:rsidRDefault="001556F2" w14:paraId="7D8E0614" w14:textId="0F547D2D">
            <w:pPr>
              <w:spacing w:line="360" w:lineRule="auto"/>
              <w:rPr>
                <w:b/>
                <w:bCs/>
                <w:sz w:val="20"/>
                <w:szCs w:val="20"/>
              </w:rPr>
            </w:pPr>
            <w:r w:rsidRPr="00EE5B47">
              <w:rPr>
                <w:b/>
                <w:bCs/>
                <w:sz w:val="20"/>
                <w:szCs w:val="20"/>
              </w:rPr>
              <w:t>Table 1. Distribution of Adult General Medical and Surgical Hospita</w:t>
            </w:r>
            <w:r w:rsidRPr="00EE5B47" w:rsidR="00E074FC">
              <w:rPr>
                <w:b/>
                <w:bCs/>
                <w:sz w:val="20"/>
                <w:szCs w:val="20"/>
              </w:rPr>
              <w:t>l</w:t>
            </w:r>
            <w:r w:rsidRPr="00EE5B47">
              <w:rPr>
                <w:b/>
                <w:bCs/>
                <w:sz w:val="20"/>
                <w:szCs w:val="20"/>
              </w:rPr>
              <w:t xml:space="preserve">s in AHA Database Compared to Sample </w:t>
            </w:r>
          </w:p>
        </w:tc>
      </w:tr>
      <w:tr w:rsidRPr="00EE5B47" w:rsidR="00EE5B47" w:rsidTr="003A4B84" w14:paraId="3F4C5267" w14:textId="77777777">
        <w:trPr>
          <w:trHeight w:val="242"/>
        </w:trPr>
        <w:tc>
          <w:tcPr>
            <w:tcW w:w="2593" w:type="dxa"/>
            <w:tcBorders>
              <w:top w:val="nil"/>
              <w:left w:val="nil"/>
              <w:bottom w:val="single" w:color="auto" w:sz="4" w:space="0"/>
              <w:right w:val="single" w:color="auto" w:sz="4" w:space="0"/>
            </w:tcBorders>
            <w:shd w:val="clear" w:color="auto" w:fill="auto"/>
            <w:noWrap/>
            <w:vAlign w:val="bottom"/>
            <w:hideMark/>
          </w:tcPr>
          <w:p w:rsidRPr="00EE5B47" w:rsidR="001556F2" w:rsidP="001556F2" w:rsidRDefault="001556F2" w14:paraId="36CABC96" w14:textId="77777777">
            <w:pPr>
              <w:rPr>
                <w:rFonts w:ascii="Calibri" w:hAnsi="Calibri" w:cs="Calibri"/>
                <w:sz w:val="20"/>
                <w:szCs w:val="20"/>
              </w:rPr>
            </w:pPr>
            <w:r w:rsidRPr="00EE5B47">
              <w:rPr>
                <w:rFonts w:ascii="Calibri" w:hAnsi="Calibri" w:cs="Calibri"/>
                <w:sz w:val="20"/>
                <w:szCs w:val="20"/>
              </w:rPr>
              <w:t> </w:t>
            </w:r>
          </w:p>
        </w:tc>
        <w:tc>
          <w:tcPr>
            <w:tcW w:w="4247" w:type="dxa"/>
            <w:gridSpan w:val="3"/>
            <w:tcBorders>
              <w:top w:val="single" w:color="auto" w:sz="8" w:space="0"/>
              <w:left w:val="nil"/>
              <w:bottom w:val="single" w:color="auto" w:sz="4" w:space="0"/>
              <w:right w:val="single" w:color="000000" w:sz="4" w:space="0"/>
            </w:tcBorders>
            <w:shd w:val="clear" w:color="auto" w:fill="auto"/>
            <w:noWrap/>
            <w:vAlign w:val="bottom"/>
            <w:hideMark/>
          </w:tcPr>
          <w:p w:rsidRPr="00EE5B47" w:rsidR="001556F2" w:rsidP="00CF31EE" w:rsidRDefault="001556F2" w14:paraId="1AB192C6" w14:textId="77777777">
            <w:pPr>
              <w:jc w:val="center"/>
              <w:rPr>
                <w:b/>
                <w:bCs/>
                <w:sz w:val="20"/>
                <w:szCs w:val="20"/>
              </w:rPr>
            </w:pPr>
            <w:r w:rsidRPr="00EE5B47">
              <w:rPr>
                <w:b/>
                <w:bCs/>
                <w:sz w:val="20"/>
                <w:szCs w:val="20"/>
              </w:rPr>
              <w:t>Adult General Medical/Surgical Hospitals (n=4605)</w:t>
            </w:r>
          </w:p>
        </w:tc>
        <w:tc>
          <w:tcPr>
            <w:tcW w:w="3844" w:type="dxa"/>
            <w:gridSpan w:val="3"/>
            <w:tcBorders>
              <w:top w:val="single" w:color="auto" w:sz="8" w:space="0"/>
              <w:left w:val="nil"/>
              <w:bottom w:val="single" w:color="auto" w:sz="4" w:space="0"/>
              <w:right w:val="nil"/>
            </w:tcBorders>
            <w:shd w:val="clear" w:color="auto" w:fill="auto"/>
            <w:noWrap/>
            <w:vAlign w:val="bottom"/>
            <w:hideMark/>
          </w:tcPr>
          <w:p w:rsidRPr="00EE5B47" w:rsidR="00143042" w:rsidP="001556F2" w:rsidRDefault="001556F2" w14:paraId="7297F377" w14:textId="77777777">
            <w:pPr>
              <w:jc w:val="center"/>
              <w:rPr>
                <w:b/>
                <w:bCs/>
                <w:sz w:val="20"/>
                <w:szCs w:val="20"/>
              </w:rPr>
            </w:pPr>
            <w:r w:rsidRPr="00EE5B47">
              <w:rPr>
                <w:b/>
                <w:bCs/>
                <w:sz w:val="20"/>
                <w:szCs w:val="20"/>
              </w:rPr>
              <w:t>Sample</w:t>
            </w:r>
          </w:p>
          <w:p w:rsidRPr="00EE5B47" w:rsidR="001556F2" w:rsidP="001556F2" w:rsidRDefault="001556F2" w14:paraId="295865F6" w14:textId="16C08416">
            <w:pPr>
              <w:jc w:val="center"/>
              <w:rPr>
                <w:b/>
                <w:bCs/>
                <w:sz w:val="20"/>
                <w:szCs w:val="20"/>
              </w:rPr>
            </w:pPr>
            <w:r w:rsidRPr="00EE5B47">
              <w:rPr>
                <w:b/>
                <w:bCs/>
                <w:sz w:val="20"/>
                <w:szCs w:val="20"/>
              </w:rPr>
              <w:t xml:space="preserve"> (n=1290)</w:t>
            </w:r>
          </w:p>
        </w:tc>
      </w:tr>
      <w:tr w:rsidRPr="00EE5B47" w:rsidR="00EE5B47" w:rsidTr="003A4B84" w14:paraId="39A5547A" w14:textId="77777777">
        <w:trPr>
          <w:trHeight w:val="608"/>
        </w:trPr>
        <w:tc>
          <w:tcPr>
            <w:tcW w:w="2593" w:type="dxa"/>
            <w:tcBorders>
              <w:top w:val="nil"/>
              <w:left w:val="nil"/>
              <w:bottom w:val="single" w:color="auto" w:sz="4" w:space="0"/>
              <w:right w:val="single" w:color="auto" w:sz="4" w:space="0"/>
            </w:tcBorders>
            <w:shd w:val="clear" w:color="auto" w:fill="auto"/>
            <w:vAlign w:val="bottom"/>
            <w:hideMark/>
          </w:tcPr>
          <w:p w:rsidRPr="00EE5B47" w:rsidR="001556F2" w:rsidP="001556F2" w:rsidRDefault="001556F2" w14:paraId="6E02108F" w14:textId="77777777">
            <w:pPr>
              <w:rPr>
                <w:b/>
                <w:bCs/>
                <w:sz w:val="20"/>
                <w:szCs w:val="20"/>
              </w:rPr>
            </w:pPr>
            <w:r w:rsidRPr="00EE5B47">
              <w:rPr>
                <w:b/>
                <w:bCs/>
                <w:sz w:val="20"/>
                <w:szCs w:val="20"/>
              </w:rPr>
              <w:t>Hospital Bed Size (AHA bed count)</w:t>
            </w:r>
          </w:p>
        </w:tc>
        <w:tc>
          <w:tcPr>
            <w:tcW w:w="1343" w:type="dxa"/>
            <w:tcBorders>
              <w:top w:val="nil"/>
              <w:left w:val="nil"/>
              <w:bottom w:val="single" w:color="auto" w:sz="4" w:space="0"/>
              <w:right w:val="nil"/>
            </w:tcBorders>
            <w:shd w:val="clear" w:color="auto" w:fill="auto"/>
            <w:vAlign w:val="bottom"/>
            <w:hideMark/>
          </w:tcPr>
          <w:p w:rsidRPr="00EE5B47" w:rsidR="001556F2" w:rsidP="001556F2" w:rsidRDefault="001556F2" w14:paraId="6042214D" w14:textId="77777777">
            <w:pPr>
              <w:jc w:val="center"/>
              <w:rPr>
                <w:b/>
                <w:bCs/>
                <w:sz w:val="20"/>
                <w:szCs w:val="20"/>
              </w:rPr>
            </w:pPr>
            <w:r w:rsidRPr="00EE5B47">
              <w:rPr>
                <w:b/>
                <w:bCs/>
                <w:sz w:val="20"/>
                <w:szCs w:val="20"/>
              </w:rPr>
              <w:t xml:space="preserve">Small </w:t>
            </w:r>
            <w:r w:rsidRPr="00EE5B47">
              <w:rPr>
                <w:b/>
                <w:bCs/>
                <w:sz w:val="20"/>
                <w:szCs w:val="20"/>
              </w:rPr>
              <w:br/>
              <w:t>(&lt;100)</w:t>
            </w:r>
          </w:p>
        </w:tc>
        <w:tc>
          <w:tcPr>
            <w:tcW w:w="1416" w:type="dxa"/>
            <w:tcBorders>
              <w:top w:val="nil"/>
              <w:left w:val="nil"/>
              <w:bottom w:val="single" w:color="auto" w:sz="4" w:space="0"/>
              <w:right w:val="nil"/>
            </w:tcBorders>
            <w:shd w:val="clear" w:color="auto" w:fill="auto"/>
            <w:vAlign w:val="bottom"/>
            <w:hideMark/>
          </w:tcPr>
          <w:p w:rsidRPr="00EE5B47" w:rsidR="001556F2" w:rsidP="001556F2" w:rsidRDefault="001556F2" w14:paraId="640481C7" w14:textId="77777777">
            <w:pPr>
              <w:jc w:val="center"/>
              <w:rPr>
                <w:b/>
                <w:bCs/>
                <w:sz w:val="20"/>
                <w:szCs w:val="20"/>
              </w:rPr>
            </w:pPr>
            <w:r w:rsidRPr="00EE5B47">
              <w:rPr>
                <w:b/>
                <w:bCs/>
                <w:sz w:val="20"/>
                <w:szCs w:val="20"/>
              </w:rPr>
              <w:t xml:space="preserve">Medium </w:t>
            </w:r>
            <w:r w:rsidRPr="00EE5B47">
              <w:rPr>
                <w:b/>
                <w:bCs/>
                <w:sz w:val="20"/>
                <w:szCs w:val="20"/>
              </w:rPr>
              <w:br/>
              <w:t>(100-399)</w:t>
            </w:r>
          </w:p>
        </w:tc>
        <w:tc>
          <w:tcPr>
            <w:tcW w:w="1487" w:type="dxa"/>
            <w:tcBorders>
              <w:top w:val="nil"/>
              <w:left w:val="nil"/>
              <w:bottom w:val="single" w:color="auto" w:sz="4" w:space="0"/>
              <w:right w:val="single" w:color="auto" w:sz="4" w:space="0"/>
            </w:tcBorders>
            <w:shd w:val="clear" w:color="auto" w:fill="auto"/>
            <w:vAlign w:val="bottom"/>
            <w:hideMark/>
          </w:tcPr>
          <w:p w:rsidRPr="00EE5B47" w:rsidR="001556F2" w:rsidP="001556F2" w:rsidRDefault="001556F2" w14:paraId="1BF3A455" w14:textId="77777777">
            <w:pPr>
              <w:jc w:val="center"/>
              <w:rPr>
                <w:b/>
                <w:bCs/>
                <w:sz w:val="20"/>
                <w:szCs w:val="20"/>
              </w:rPr>
            </w:pPr>
            <w:r w:rsidRPr="00EE5B47">
              <w:rPr>
                <w:b/>
                <w:bCs/>
                <w:sz w:val="20"/>
                <w:szCs w:val="20"/>
              </w:rPr>
              <w:t xml:space="preserve">Large </w:t>
            </w:r>
            <w:r w:rsidRPr="00EE5B47">
              <w:rPr>
                <w:b/>
                <w:bCs/>
                <w:sz w:val="20"/>
                <w:szCs w:val="20"/>
              </w:rPr>
              <w:br/>
              <w:t>(≥400)</w:t>
            </w:r>
          </w:p>
        </w:tc>
        <w:tc>
          <w:tcPr>
            <w:tcW w:w="1167" w:type="dxa"/>
            <w:tcBorders>
              <w:top w:val="nil"/>
              <w:left w:val="nil"/>
              <w:bottom w:val="single" w:color="auto" w:sz="4" w:space="0"/>
              <w:right w:val="nil"/>
            </w:tcBorders>
            <w:shd w:val="clear" w:color="auto" w:fill="auto"/>
            <w:vAlign w:val="bottom"/>
            <w:hideMark/>
          </w:tcPr>
          <w:p w:rsidRPr="00EE5B47" w:rsidR="001556F2" w:rsidP="001556F2" w:rsidRDefault="001556F2" w14:paraId="6CF42013" w14:textId="77777777">
            <w:pPr>
              <w:jc w:val="center"/>
              <w:rPr>
                <w:b/>
                <w:bCs/>
                <w:sz w:val="20"/>
                <w:szCs w:val="20"/>
              </w:rPr>
            </w:pPr>
            <w:r w:rsidRPr="00EE5B47">
              <w:rPr>
                <w:b/>
                <w:bCs/>
                <w:sz w:val="20"/>
                <w:szCs w:val="20"/>
              </w:rPr>
              <w:t>Small</w:t>
            </w:r>
            <w:r w:rsidRPr="00EE5B47">
              <w:rPr>
                <w:b/>
                <w:bCs/>
                <w:sz w:val="20"/>
                <w:szCs w:val="20"/>
              </w:rPr>
              <w:br/>
              <w:t xml:space="preserve"> (&lt;100)</w:t>
            </w:r>
          </w:p>
        </w:tc>
        <w:tc>
          <w:tcPr>
            <w:tcW w:w="1397" w:type="dxa"/>
            <w:tcBorders>
              <w:top w:val="nil"/>
              <w:left w:val="nil"/>
              <w:bottom w:val="single" w:color="auto" w:sz="4" w:space="0"/>
              <w:right w:val="nil"/>
            </w:tcBorders>
            <w:shd w:val="clear" w:color="auto" w:fill="auto"/>
            <w:vAlign w:val="bottom"/>
            <w:hideMark/>
          </w:tcPr>
          <w:p w:rsidRPr="00EE5B47" w:rsidR="001556F2" w:rsidP="001556F2" w:rsidRDefault="001556F2" w14:paraId="6C7F78E1" w14:textId="77777777">
            <w:pPr>
              <w:jc w:val="center"/>
              <w:rPr>
                <w:b/>
                <w:bCs/>
                <w:sz w:val="20"/>
                <w:szCs w:val="20"/>
              </w:rPr>
            </w:pPr>
            <w:r w:rsidRPr="00EE5B47">
              <w:rPr>
                <w:b/>
                <w:bCs/>
                <w:sz w:val="20"/>
                <w:szCs w:val="20"/>
              </w:rPr>
              <w:t xml:space="preserve">Medium </w:t>
            </w:r>
            <w:r w:rsidRPr="00EE5B47">
              <w:rPr>
                <w:b/>
                <w:bCs/>
                <w:sz w:val="20"/>
                <w:szCs w:val="20"/>
              </w:rPr>
              <w:br/>
              <w:t>(100-399)</w:t>
            </w:r>
          </w:p>
        </w:tc>
        <w:tc>
          <w:tcPr>
            <w:tcW w:w="1280" w:type="dxa"/>
            <w:tcBorders>
              <w:top w:val="nil"/>
              <w:left w:val="nil"/>
              <w:bottom w:val="single" w:color="auto" w:sz="4" w:space="0"/>
              <w:right w:val="nil"/>
            </w:tcBorders>
            <w:shd w:val="clear" w:color="auto" w:fill="auto"/>
            <w:vAlign w:val="bottom"/>
            <w:hideMark/>
          </w:tcPr>
          <w:p w:rsidRPr="00EE5B47" w:rsidR="001556F2" w:rsidP="001556F2" w:rsidRDefault="001556F2" w14:paraId="714D32DE" w14:textId="77777777">
            <w:pPr>
              <w:jc w:val="center"/>
              <w:rPr>
                <w:b/>
                <w:bCs/>
                <w:sz w:val="20"/>
                <w:szCs w:val="20"/>
              </w:rPr>
            </w:pPr>
            <w:r w:rsidRPr="00EE5B47">
              <w:rPr>
                <w:b/>
                <w:bCs/>
                <w:sz w:val="20"/>
                <w:szCs w:val="20"/>
              </w:rPr>
              <w:t>Large</w:t>
            </w:r>
            <w:r w:rsidRPr="00EE5B47">
              <w:rPr>
                <w:b/>
                <w:bCs/>
                <w:sz w:val="20"/>
                <w:szCs w:val="20"/>
              </w:rPr>
              <w:br/>
              <w:t xml:space="preserve"> (≥400)</w:t>
            </w:r>
          </w:p>
        </w:tc>
      </w:tr>
      <w:tr w:rsidRPr="00EE5B47" w:rsidR="00EE5B47" w:rsidTr="003A4B84" w14:paraId="7FBB1F9C" w14:textId="77777777">
        <w:trPr>
          <w:trHeight w:val="280"/>
        </w:trPr>
        <w:tc>
          <w:tcPr>
            <w:tcW w:w="2593" w:type="dxa"/>
            <w:tcBorders>
              <w:top w:val="nil"/>
              <w:left w:val="nil"/>
              <w:bottom w:val="nil"/>
              <w:right w:val="single" w:color="auto" w:sz="4" w:space="0"/>
            </w:tcBorders>
            <w:shd w:val="clear" w:color="auto" w:fill="auto"/>
            <w:vAlign w:val="bottom"/>
            <w:hideMark/>
          </w:tcPr>
          <w:p w:rsidRPr="00EE5B47" w:rsidR="001556F2" w:rsidP="001556F2" w:rsidRDefault="001556F2" w14:paraId="16A6A078" w14:textId="77777777">
            <w:pPr>
              <w:rPr>
                <w:b/>
                <w:bCs/>
                <w:sz w:val="20"/>
                <w:szCs w:val="20"/>
              </w:rPr>
            </w:pPr>
            <w:r w:rsidRPr="00EE5B47">
              <w:rPr>
                <w:b/>
                <w:bCs/>
                <w:sz w:val="20"/>
                <w:szCs w:val="20"/>
              </w:rPr>
              <w:t>Respondent Universe, n (%)</w:t>
            </w:r>
          </w:p>
        </w:tc>
        <w:tc>
          <w:tcPr>
            <w:tcW w:w="1343" w:type="dxa"/>
            <w:tcBorders>
              <w:top w:val="nil"/>
              <w:left w:val="nil"/>
              <w:bottom w:val="nil"/>
              <w:right w:val="nil"/>
            </w:tcBorders>
            <w:shd w:val="clear" w:color="auto" w:fill="auto"/>
            <w:vAlign w:val="bottom"/>
            <w:hideMark/>
          </w:tcPr>
          <w:p w:rsidRPr="00EE5B47" w:rsidR="001556F2" w:rsidP="001556F2" w:rsidRDefault="001556F2" w14:paraId="1166CE66" w14:textId="77777777">
            <w:pPr>
              <w:jc w:val="center"/>
              <w:rPr>
                <w:sz w:val="20"/>
                <w:szCs w:val="20"/>
              </w:rPr>
            </w:pPr>
            <w:r w:rsidRPr="00EE5B47">
              <w:rPr>
                <w:sz w:val="20"/>
                <w:szCs w:val="20"/>
              </w:rPr>
              <w:t>2331 (50.6)</w:t>
            </w:r>
          </w:p>
        </w:tc>
        <w:tc>
          <w:tcPr>
            <w:tcW w:w="1416" w:type="dxa"/>
            <w:tcBorders>
              <w:top w:val="nil"/>
              <w:left w:val="nil"/>
              <w:bottom w:val="nil"/>
              <w:right w:val="nil"/>
            </w:tcBorders>
            <w:shd w:val="clear" w:color="auto" w:fill="auto"/>
            <w:noWrap/>
            <w:vAlign w:val="bottom"/>
            <w:hideMark/>
          </w:tcPr>
          <w:p w:rsidRPr="00EE5B47" w:rsidR="001556F2" w:rsidP="001556F2" w:rsidRDefault="001556F2" w14:paraId="3008D860" w14:textId="77777777">
            <w:pPr>
              <w:jc w:val="center"/>
              <w:rPr>
                <w:sz w:val="20"/>
                <w:szCs w:val="20"/>
              </w:rPr>
            </w:pPr>
            <w:r w:rsidRPr="00EE5B47">
              <w:rPr>
                <w:sz w:val="20"/>
                <w:szCs w:val="20"/>
              </w:rPr>
              <w:t>1802 (39.1)</w:t>
            </w:r>
          </w:p>
        </w:tc>
        <w:tc>
          <w:tcPr>
            <w:tcW w:w="1487" w:type="dxa"/>
            <w:tcBorders>
              <w:top w:val="nil"/>
              <w:left w:val="nil"/>
              <w:bottom w:val="nil"/>
              <w:right w:val="single" w:color="auto" w:sz="4" w:space="0"/>
            </w:tcBorders>
            <w:shd w:val="clear" w:color="auto" w:fill="auto"/>
            <w:noWrap/>
            <w:vAlign w:val="bottom"/>
            <w:hideMark/>
          </w:tcPr>
          <w:p w:rsidRPr="00EE5B47" w:rsidR="001556F2" w:rsidP="001556F2" w:rsidRDefault="001556F2" w14:paraId="5E61B2FD" w14:textId="77777777">
            <w:pPr>
              <w:jc w:val="center"/>
              <w:rPr>
                <w:sz w:val="20"/>
                <w:szCs w:val="20"/>
              </w:rPr>
            </w:pPr>
            <w:r w:rsidRPr="00EE5B47">
              <w:rPr>
                <w:sz w:val="20"/>
                <w:szCs w:val="20"/>
              </w:rPr>
              <w:t>472 (10.2)</w:t>
            </w:r>
          </w:p>
        </w:tc>
        <w:tc>
          <w:tcPr>
            <w:tcW w:w="1167" w:type="dxa"/>
            <w:tcBorders>
              <w:top w:val="nil"/>
              <w:left w:val="nil"/>
              <w:bottom w:val="nil"/>
              <w:right w:val="nil"/>
            </w:tcBorders>
            <w:shd w:val="clear" w:color="auto" w:fill="auto"/>
            <w:noWrap/>
            <w:vAlign w:val="bottom"/>
            <w:hideMark/>
          </w:tcPr>
          <w:p w:rsidRPr="00EE5B47" w:rsidR="001556F2" w:rsidP="001556F2" w:rsidRDefault="001556F2" w14:paraId="651C8520" w14:textId="77777777">
            <w:pPr>
              <w:jc w:val="center"/>
              <w:rPr>
                <w:sz w:val="20"/>
                <w:szCs w:val="20"/>
              </w:rPr>
            </w:pPr>
            <w:r w:rsidRPr="00EE5B47">
              <w:rPr>
                <w:sz w:val="20"/>
                <w:szCs w:val="20"/>
              </w:rPr>
              <w:t>430 (33.3)</w:t>
            </w:r>
          </w:p>
        </w:tc>
        <w:tc>
          <w:tcPr>
            <w:tcW w:w="1397" w:type="dxa"/>
            <w:tcBorders>
              <w:top w:val="nil"/>
              <w:left w:val="nil"/>
              <w:bottom w:val="nil"/>
              <w:right w:val="nil"/>
            </w:tcBorders>
            <w:shd w:val="clear" w:color="auto" w:fill="auto"/>
            <w:noWrap/>
            <w:vAlign w:val="bottom"/>
            <w:hideMark/>
          </w:tcPr>
          <w:p w:rsidRPr="00EE5B47" w:rsidR="001556F2" w:rsidP="001556F2" w:rsidRDefault="001556F2" w14:paraId="122C0813" w14:textId="77777777">
            <w:pPr>
              <w:jc w:val="center"/>
              <w:rPr>
                <w:sz w:val="20"/>
                <w:szCs w:val="20"/>
              </w:rPr>
            </w:pPr>
            <w:r w:rsidRPr="00EE5B47">
              <w:rPr>
                <w:sz w:val="20"/>
                <w:szCs w:val="20"/>
              </w:rPr>
              <w:t>430 (33.3)</w:t>
            </w:r>
          </w:p>
        </w:tc>
        <w:tc>
          <w:tcPr>
            <w:tcW w:w="1280" w:type="dxa"/>
            <w:tcBorders>
              <w:top w:val="nil"/>
              <w:left w:val="nil"/>
              <w:bottom w:val="nil"/>
              <w:right w:val="nil"/>
            </w:tcBorders>
            <w:shd w:val="clear" w:color="auto" w:fill="auto"/>
            <w:noWrap/>
            <w:vAlign w:val="bottom"/>
            <w:hideMark/>
          </w:tcPr>
          <w:p w:rsidRPr="00EE5B47" w:rsidR="001556F2" w:rsidP="001556F2" w:rsidRDefault="001556F2" w14:paraId="3E3E8683" w14:textId="77777777">
            <w:pPr>
              <w:jc w:val="center"/>
              <w:rPr>
                <w:sz w:val="20"/>
                <w:szCs w:val="20"/>
              </w:rPr>
            </w:pPr>
            <w:r w:rsidRPr="00EE5B47">
              <w:rPr>
                <w:sz w:val="20"/>
                <w:szCs w:val="20"/>
              </w:rPr>
              <w:t>430 (33.3)</w:t>
            </w:r>
          </w:p>
        </w:tc>
      </w:tr>
      <w:tr w:rsidRPr="00EE5B47" w:rsidR="00EE5B47" w:rsidTr="003A4B84" w14:paraId="544C4DC3" w14:textId="77777777">
        <w:trPr>
          <w:trHeight w:val="280"/>
        </w:trPr>
        <w:tc>
          <w:tcPr>
            <w:tcW w:w="2593" w:type="dxa"/>
            <w:tcBorders>
              <w:top w:val="nil"/>
              <w:left w:val="nil"/>
              <w:bottom w:val="nil"/>
              <w:right w:val="single" w:color="auto" w:sz="4" w:space="0"/>
            </w:tcBorders>
            <w:shd w:val="clear" w:color="auto" w:fill="auto"/>
            <w:vAlign w:val="bottom"/>
            <w:hideMark/>
          </w:tcPr>
          <w:p w:rsidRPr="00EE5B47" w:rsidR="001556F2" w:rsidP="001556F2" w:rsidRDefault="001556F2" w14:paraId="48B8A393" w14:textId="77777777">
            <w:pPr>
              <w:rPr>
                <w:b/>
                <w:bCs/>
                <w:sz w:val="20"/>
                <w:szCs w:val="20"/>
              </w:rPr>
            </w:pPr>
            <w:r w:rsidRPr="00EE5B47">
              <w:rPr>
                <w:b/>
                <w:bCs/>
                <w:sz w:val="20"/>
                <w:szCs w:val="20"/>
              </w:rPr>
              <w:t>Teaching Status, n (%)</w:t>
            </w:r>
          </w:p>
        </w:tc>
        <w:tc>
          <w:tcPr>
            <w:tcW w:w="1343" w:type="dxa"/>
            <w:tcBorders>
              <w:top w:val="nil"/>
              <w:left w:val="nil"/>
              <w:bottom w:val="nil"/>
              <w:right w:val="nil"/>
            </w:tcBorders>
            <w:shd w:val="clear" w:color="auto" w:fill="auto"/>
            <w:vAlign w:val="bottom"/>
            <w:hideMark/>
          </w:tcPr>
          <w:p w:rsidRPr="00EE5B47" w:rsidR="001556F2" w:rsidP="001556F2" w:rsidRDefault="001556F2" w14:paraId="6E681AA3" w14:textId="77777777">
            <w:pPr>
              <w:jc w:val="center"/>
              <w:rPr>
                <w:sz w:val="20"/>
                <w:szCs w:val="20"/>
              </w:rPr>
            </w:pPr>
            <w:r w:rsidRPr="00EE5B47">
              <w:rPr>
                <w:sz w:val="20"/>
                <w:szCs w:val="20"/>
              </w:rPr>
              <w:t> </w:t>
            </w:r>
          </w:p>
        </w:tc>
        <w:tc>
          <w:tcPr>
            <w:tcW w:w="1416" w:type="dxa"/>
            <w:tcBorders>
              <w:top w:val="nil"/>
              <w:left w:val="nil"/>
              <w:bottom w:val="nil"/>
              <w:right w:val="nil"/>
            </w:tcBorders>
            <w:shd w:val="clear" w:color="auto" w:fill="auto"/>
            <w:noWrap/>
            <w:vAlign w:val="bottom"/>
            <w:hideMark/>
          </w:tcPr>
          <w:p w:rsidRPr="00EE5B47" w:rsidR="001556F2" w:rsidP="001556F2" w:rsidRDefault="001556F2" w14:paraId="2AD2D00F" w14:textId="77777777">
            <w:pPr>
              <w:jc w:val="center"/>
              <w:rPr>
                <w:sz w:val="20"/>
                <w:szCs w:val="20"/>
              </w:rPr>
            </w:pPr>
          </w:p>
        </w:tc>
        <w:tc>
          <w:tcPr>
            <w:tcW w:w="1487" w:type="dxa"/>
            <w:tcBorders>
              <w:top w:val="nil"/>
              <w:left w:val="nil"/>
              <w:bottom w:val="nil"/>
              <w:right w:val="single" w:color="auto" w:sz="4" w:space="0"/>
            </w:tcBorders>
            <w:shd w:val="clear" w:color="auto" w:fill="auto"/>
            <w:noWrap/>
            <w:vAlign w:val="bottom"/>
            <w:hideMark/>
          </w:tcPr>
          <w:p w:rsidRPr="00EE5B47" w:rsidR="001556F2" w:rsidP="001556F2" w:rsidRDefault="001556F2" w14:paraId="74849834" w14:textId="77777777">
            <w:pPr>
              <w:jc w:val="center"/>
              <w:rPr>
                <w:sz w:val="20"/>
                <w:szCs w:val="20"/>
              </w:rPr>
            </w:pPr>
            <w:r w:rsidRPr="00EE5B47">
              <w:rPr>
                <w:sz w:val="20"/>
                <w:szCs w:val="20"/>
              </w:rPr>
              <w:t> </w:t>
            </w:r>
          </w:p>
        </w:tc>
        <w:tc>
          <w:tcPr>
            <w:tcW w:w="1167" w:type="dxa"/>
            <w:tcBorders>
              <w:top w:val="nil"/>
              <w:left w:val="nil"/>
              <w:bottom w:val="nil"/>
              <w:right w:val="nil"/>
            </w:tcBorders>
            <w:shd w:val="clear" w:color="auto" w:fill="auto"/>
            <w:noWrap/>
            <w:vAlign w:val="bottom"/>
            <w:hideMark/>
          </w:tcPr>
          <w:p w:rsidRPr="00EE5B47" w:rsidR="001556F2" w:rsidP="001556F2" w:rsidRDefault="001556F2" w14:paraId="1DCFEB0B" w14:textId="77777777">
            <w:pPr>
              <w:jc w:val="center"/>
              <w:rPr>
                <w:sz w:val="20"/>
                <w:szCs w:val="20"/>
              </w:rPr>
            </w:pPr>
          </w:p>
        </w:tc>
        <w:tc>
          <w:tcPr>
            <w:tcW w:w="1397" w:type="dxa"/>
            <w:tcBorders>
              <w:top w:val="nil"/>
              <w:left w:val="nil"/>
              <w:bottom w:val="nil"/>
              <w:right w:val="nil"/>
            </w:tcBorders>
            <w:shd w:val="clear" w:color="auto" w:fill="auto"/>
            <w:noWrap/>
            <w:vAlign w:val="bottom"/>
            <w:hideMark/>
          </w:tcPr>
          <w:p w:rsidRPr="00EE5B47" w:rsidR="001556F2" w:rsidP="001556F2" w:rsidRDefault="001556F2" w14:paraId="4C78CB0E" w14:textId="77777777">
            <w:pPr>
              <w:jc w:val="center"/>
              <w:rPr>
                <w:sz w:val="20"/>
                <w:szCs w:val="20"/>
              </w:rPr>
            </w:pPr>
          </w:p>
        </w:tc>
        <w:tc>
          <w:tcPr>
            <w:tcW w:w="1280" w:type="dxa"/>
            <w:tcBorders>
              <w:top w:val="nil"/>
              <w:left w:val="nil"/>
              <w:bottom w:val="nil"/>
              <w:right w:val="nil"/>
            </w:tcBorders>
            <w:shd w:val="clear" w:color="auto" w:fill="auto"/>
            <w:noWrap/>
            <w:vAlign w:val="bottom"/>
            <w:hideMark/>
          </w:tcPr>
          <w:p w:rsidRPr="00EE5B47" w:rsidR="001556F2" w:rsidP="001556F2" w:rsidRDefault="001556F2" w14:paraId="5112AB8E" w14:textId="77777777">
            <w:pPr>
              <w:jc w:val="center"/>
              <w:rPr>
                <w:sz w:val="20"/>
                <w:szCs w:val="20"/>
              </w:rPr>
            </w:pPr>
          </w:p>
        </w:tc>
      </w:tr>
      <w:tr w:rsidRPr="00EE5B47" w:rsidR="00EE5B47" w:rsidTr="003A4B84" w14:paraId="51D808FD" w14:textId="77777777">
        <w:trPr>
          <w:trHeight w:val="280"/>
        </w:trPr>
        <w:tc>
          <w:tcPr>
            <w:tcW w:w="2593" w:type="dxa"/>
            <w:tcBorders>
              <w:top w:val="nil"/>
              <w:left w:val="nil"/>
              <w:bottom w:val="nil"/>
              <w:right w:val="single" w:color="auto" w:sz="4" w:space="0"/>
            </w:tcBorders>
            <w:shd w:val="clear" w:color="auto" w:fill="auto"/>
            <w:vAlign w:val="bottom"/>
            <w:hideMark/>
          </w:tcPr>
          <w:p w:rsidRPr="00EE5B47" w:rsidR="001556F2" w:rsidP="001556F2" w:rsidRDefault="001556F2" w14:paraId="0E501041" w14:textId="77777777">
            <w:pPr>
              <w:rPr>
                <w:sz w:val="20"/>
                <w:szCs w:val="20"/>
              </w:rPr>
            </w:pPr>
            <w:r w:rsidRPr="00EE5B47">
              <w:rPr>
                <w:sz w:val="20"/>
                <w:szCs w:val="20"/>
              </w:rPr>
              <w:t>Teaching</w:t>
            </w:r>
          </w:p>
        </w:tc>
        <w:tc>
          <w:tcPr>
            <w:tcW w:w="1343" w:type="dxa"/>
            <w:tcBorders>
              <w:top w:val="nil"/>
              <w:left w:val="nil"/>
              <w:bottom w:val="nil"/>
              <w:right w:val="nil"/>
            </w:tcBorders>
            <w:shd w:val="clear" w:color="auto" w:fill="auto"/>
            <w:vAlign w:val="bottom"/>
            <w:hideMark/>
          </w:tcPr>
          <w:p w:rsidRPr="00EE5B47" w:rsidR="001556F2" w:rsidP="001556F2" w:rsidRDefault="001556F2" w14:paraId="308C3BFF" w14:textId="77777777">
            <w:pPr>
              <w:jc w:val="center"/>
              <w:rPr>
                <w:sz w:val="20"/>
                <w:szCs w:val="20"/>
              </w:rPr>
            </w:pPr>
            <w:r w:rsidRPr="00EE5B47">
              <w:rPr>
                <w:sz w:val="20"/>
                <w:szCs w:val="20"/>
              </w:rPr>
              <w:t>401 (17.2)</w:t>
            </w:r>
          </w:p>
        </w:tc>
        <w:tc>
          <w:tcPr>
            <w:tcW w:w="1416" w:type="dxa"/>
            <w:tcBorders>
              <w:top w:val="nil"/>
              <w:left w:val="nil"/>
              <w:bottom w:val="nil"/>
              <w:right w:val="nil"/>
            </w:tcBorders>
            <w:shd w:val="clear" w:color="auto" w:fill="auto"/>
            <w:noWrap/>
            <w:vAlign w:val="bottom"/>
            <w:hideMark/>
          </w:tcPr>
          <w:p w:rsidRPr="00EE5B47" w:rsidR="001556F2" w:rsidP="001556F2" w:rsidRDefault="001556F2" w14:paraId="0EE669D3" w14:textId="77777777">
            <w:pPr>
              <w:jc w:val="center"/>
              <w:rPr>
                <w:sz w:val="20"/>
                <w:szCs w:val="20"/>
              </w:rPr>
            </w:pPr>
            <w:r w:rsidRPr="00EE5B47">
              <w:rPr>
                <w:sz w:val="20"/>
                <w:szCs w:val="20"/>
              </w:rPr>
              <w:t>1099 (61.0)</w:t>
            </w:r>
          </w:p>
        </w:tc>
        <w:tc>
          <w:tcPr>
            <w:tcW w:w="1487" w:type="dxa"/>
            <w:tcBorders>
              <w:top w:val="nil"/>
              <w:left w:val="nil"/>
              <w:bottom w:val="nil"/>
              <w:right w:val="single" w:color="auto" w:sz="4" w:space="0"/>
            </w:tcBorders>
            <w:shd w:val="clear" w:color="auto" w:fill="auto"/>
            <w:noWrap/>
            <w:vAlign w:val="bottom"/>
            <w:hideMark/>
          </w:tcPr>
          <w:p w:rsidRPr="00EE5B47" w:rsidR="001556F2" w:rsidP="001556F2" w:rsidRDefault="001556F2" w14:paraId="3876825E" w14:textId="77777777">
            <w:pPr>
              <w:jc w:val="center"/>
              <w:rPr>
                <w:sz w:val="20"/>
                <w:szCs w:val="20"/>
              </w:rPr>
            </w:pPr>
            <w:r w:rsidRPr="00EE5B47">
              <w:rPr>
                <w:sz w:val="20"/>
                <w:szCs w:val="20"/>
              </w:rPr>
              <w:t>451 (95.6)</w:t>
            </w:r>
          </w:p>
        </w:tc>
        <w:tc>
          <w:tcPr>
            <w:tcW w:w="1167" w:type="dxa"/>
            <w:tcBorders>
              <w:top w:val="nil"/>
              <w:left w:val="nil"/>
              <w:bottom w:val="nil"/>
              <w:right w:val="nil"/>
            </w:tcBorders>
            <w:shd w:val="clear" w:color="auto" w:fill="auto"/>
            <w:noWrap/>
            <w:vAlign w:val="bottom"/>
            <w:hideMark/>
          </w:tcPr>
          <w:p w:rsidRPr="00EE5B47" w:rsidR="001556F2" w:rsidP="001556F2" w:rsidRDefault="001556F2" w14:paraId="35742B43" w14:textId="77777777">
            <w:pPr>
              <w:jc w:val="center"/>
              <w:rPr>
                <w:sz w:val="20"/>
                <w:szCs w:val="20"/>
              </w:rPr>
            </w:pPr>
            <w:r w:rsidRPr="00EE5B47">
              <w:rPr>
                <w:sz w:val="20"/>
                <w:szCs w:val="20"/>
              </w:rPr>
              <w:t>69 (16.0)</w:t>
            </w:r>
          </w:p>
        </w:tc>
        <w:tc>
          <w:tcPr>
            <w:tcW w:w="1397" w:type="dxa"/>
            <w:tcBorders>
              <w:top w:val="nil"/>
              <w:left w:val="nil"/>
              <w:bottom w:val="nil"/>
              <w:right w:val="nil"/>
            </w:tcBorders>
            <w:shd w:val="clear" w:color="auto" w:fill="auto"/>
            <w:noWrap/>
            <w:vAlign w:val="bottom"/>
            <w:hideMark/>
          </w:tcPr>
          <w:p w:rsidRPr="00EE5B47" w:rsidR="001556F2" w:rsidP="001556F2" w:rsidRDefault="001556F2" w14:paraId="44AC7E62" w14:textId="77777777">
            <w:pPr>
              <w:jc w:val="center"/>
              <w:rPr>
                <w:sz w:val="20"/>
                <w:szCs w:val="20"/>
              </w:rPr>
            </w:pPr>
            <w:r w:rsidRPr="00EE5B47">
              <w:rPr>
                <w:sz w:val="20"/>
                <w:szCs w:val="20"/>
              </w:rPr>
              <w:t>271 (63.0)</w:t>
            </w:r>
          </w:p>
        </w:tc>
        <w:tc>
          <w:tcPr>
            <w:tcW w:w="1280" w:type="dxa"/>
            <w:tcBorders>
              <w:top w:val="nil"/>
              <w:left w:val="nil"/>
              <w:bottom w:val="nil"/>
              <w:right w:val="nil"/>
            </w:tcBorders>
            <w:shd w:val="clear" w:color="auto" w:fill="auto"/>
            <w:noWrap/>
            <w:vAlign w:val="bottom"/>
            <w:hideMark/>
          </w:tcPr>
          <w:p w:rsidRPr="00EE5B47" w:rsidR="001556F2" w:rsidP="001556F2" w:rsidRDefault="001556F2" w14:paraId="287955A9" w14:textId="77777777">
            <w:pPr>
              <w:jc w:val="center"/>
              <w:rPr>
                <w:sz w:val="20"/>
                <w:szCs w:val="20"/>
              </w:rPr>
            </w:pPr>
            <w:r w:rsidRPr="00EE5B47">
              <w:rPr>
                <w:sz w:val="20"/>
                <w:szCs w:val="20"/>
              </w:rPr>
              <w:t>410 (95.3)</w:t>
            </w:r>
          </w:p>
        </w:tc>
      </w:tr>
      <w:tr w:rsidRPr="00EE5B47" w:rsidR="00EE5B47" w:rsidTr="003A4B84" w14:paraId="40638250" w14:textId="77777777">
        <w:trPr>
          <w:trHeight w:val="280"/>
        </w:trPr>
        <w:tc>
          <w:tcPr>
            <w:tcW w:w="2593" w:type="dxa"/>
            <w:tcBorders>
              <w:top w:val="nil"/>
              <w:left w:val="nil"/>
              <w:bottom w:val="nil"/>
              <w:right w:val="single" w:color="auto" w:sz="4" w:space="0"/>
            </w:tcBorders>
            <w:shd w:val="clear" w:color="auto" w:fill="auto"/>
            <w:vAlign w:val="bottom"/>
            <w:hideMark/>
          </w:tcPr>
          <w:p w:rsidRPr="00EE5B47" w:rsidR="001556F2" w:rsidP="001556F2" w:rsidRDefault="001556F2" w14:paraId="67DDAE85" w14:textId="77777777">
            <w:pPr>
              <w:rPr>
                <w:sz w:val="20"/>
                <w:szCs w:val="20"/>
              </w:rPr>
            </w:pPr>
            <w:r w:rsidRPr="00EE5B47">
              <w:rPr>
                <w:sz w:val="20"/>
                <w:szCs w:val="20"/>
              </w:rPr>
              <w:t>Non-teaching</w:t>
            </w:r>
          </w:p>
        </w:tc>
        <w:tc>
          <w:tcPr>
            <w:tcW w:w="1343" w:type="dxa"/>
            <w:tcBorders>
              <w:top w:val="nil"/>
              <w:left w:val="nil"/>
              <w:bottom w:val="nil"/>
              <w:right w:val="nil"/>
            </w:tcBorders>
            <w:shd w:val="clear" w:color="auto" w:fill="auto"/>
            <w:vAlign w:val="bottom"/>
            <w:hideMark/>
          </w:tcPr>
          <w:p w:rsidRPr="00EE5B47" w:rsidR="001556F2" w:rsidP="001556F2" w:rsidRDefault="001556F2" w14:paraId="3E7D11A3" w14:textId="77777777">
            <w:pPr>
              <w:jc w:val="center"/>
              <w:rPr>
                <w:sz w:val="20"/>
                <w:szCs w:val="20"/>
              </w:rPr>
            </w:pPr>
            <w:r w:rsidRPr="00EE5B47">
              <w:rPr>
                <w:sz w:val="20"/>
                <w:szCs w:val="20"/>
              </w:rPr>
              <w:t>1930 (82.8)</w:t>
            </w:r>
          </w:p>
        </w:tc>
        <w:tc>
          <w:tcPr>
            <w:tcW w:w="1416" w:type="dxa"/>
            <w:tcBorders>
              <w:top w:val="nil"/>
              <w:left w:val="nil"/>
              <w:bottom w:val="nil"/>
              <w:right w:val="nil"/>
            </w:tcBorders>
            <w:shd w:val="clear" w:color="auto" w:fill="auto"/>
            <w:noWrap/>
            <w:vAlign w:val="bottom"/>
            <w:hideMark/>
          </w:tcPr>
          <w:p w:rsidRPr="00EE5B47" w:rsidR="001556F2" w:rsidP="001556F2" w:rsidRDefault="001556F2" w14:paraId="5F1A7494" w14:textId="77777777">
            <w:pPr>
              <w:jc w:val="center"/>
              <w:rPr>
                <w:sz w:val="20"/>
                <w:szCs w:val="20"/>
              </w:rPr>
            </w:pPr>
            <w:r w:rsidRPr="00EE5B47">
              <w:rPr>
                <w:sz w:val="20"/>
                <w:szCs w:val="20"/>
              </w:rPr>
              <w:t>703 (39.0)</w:t>
            </w:r>
          </w:p>
        </w:tc>
        <w:tc>
          <w:tcPr>
            <w:tcW w:w="1487" w:type="dxa"/>
            <w:tcBorders>
              <w:top w:val="nil"/>
              <w:left w:val="nil"/>
              <w:bottom w:val="nil"/>
              <w:right w:val="single" w:color="auto" w:sz="4" w:space="0"/>
            </w:tcBorders>
            <w:shd w:val="clear" w:color="auto" w:fill="auto"/>
            <w:noWrap/>
            <w:vAlign w:val="bottom"/>
            <w:hideMark/>
          </w:tcPr>
          <w:p w:rsidRPr="00EE5B47" w:rsidR="001556F2" w:rsidP="001556F2" w:rsidRDefault="001556F2" w14:paraId="14F72DDB" w14:textId="77777777">
            <w:pPr>
              <w:jc w:val="center"/>
              <w:rPr>
                <w:sz w:val="20"/>
                <w:szCs w:val="20"/>
              </w:rPr>
            </w:pPr>
            <w:r w:rsidRPr="00EE5B47">
              <w:rPr>
                <w:sz w:val="20"/>
                <w:szCs w:val="20"/>
              </w:rPr>
              <w:t>21 (4.4)</w:t>
            </w:r>
          </w:p>
        </w:tc>
        <w:tc>
          <w:tcPr>
            <w:tcW w:w="1167" w:type="dxa"/>
            <w:tcBorders>
              <w:top w:val="nil"/>
              <w:left w:val="nil"/>
              <w:bottom w:val="nil"/>
              <w:right w:val="nil"/>
            </w:tcBorders>
            <w:shd w:val="clear" w:color="auto" w:fill="auto"/>
            <w:noWrap/>
            <w:vAlign w:val="bottom"/>
            <w:hideMark/>
          </w:tcPr>
          <w:p w:rsidRPr="00EE5B47" w:rsidR="001556F2" w:rsidP="001556F2" w:rsidRDefault="001556F2" w14:paraId="69A6E719" w14:textId="77777777">
            <w:pPr>
              <w:jc w:val="center"/>
              <w:rPr>
                <w:sz w:val="20"/>
                <w:szCs w:val="20"/>
              </w:rPr>
            </w:pPr>
            <w:r w:rsidRPr="00EE5B47">
              <w:rPr>
                <w:sz w:val="20"/>
                <w:szCs w:val="20"/>
              </w:rPr>
              <w:t>361 (84.0)</w:t>
            </w:r>
          </w:p>
        </w:tc>
        <w:tc>
          <w:tcPr>
            <w:tcW w:w="1397" w:type="dxa"/>
            <w:tcBorders>
              <w:top w:val="nil"/>
              <w:left w:val="nil"/>
              <w:bottom w:val="nil"/>
              <w:right w:val="nil"/>
            </w:tcBorders>
            <w:shd w:val="clear" w:color="auto" w:fill="auto"/>
            <w:noWrap/>
            <w:vAlign w:val="bottom"/>
            <w:hideMark/>
          </w:tcPr>
          <w:p w:rsidRPr="00EE5B47" w:rsidR="001556F2" w:rsidP="001556F2" w:rsidRDefault="001556F2" w14:paraId="42FCA14B" w14:textId="77777777">
            <w:pPr>
              <w:jc w:val="center"/>
              <w:rPr>
                <w:sz w:val="20"/>
                <w:szCs w:val="20"/>
              </w:rPr>
            </w:pPr>
            <w:r w:rsidRPr="00EE5B47">
              <w:rPr>
                <w:sz w:val="20"/>
                <w:szCs w:val="20"/>
              </w:rPr>
              <w:t>159 (37.0)</w:t>
            </w:r>
          </w:p>
        </w:tc>
        <w:tc>
          <w:tcPr>
            <w:tcW w:w="1280" w:type="dxa"/>
            <w:tcBorders>
              <w:top w:val="nil"/>
              <w:left w:val="nil"/>
              <w:bottom w:val="nil"/>
              <w:right w:val="nil"/>
            </w:tcBorders>
            <w:shd w:val="clear" w:color="auto" w:fill="auto"/>
            <w:noWrap/>
            <w:vAlign w:val="bottom"/>
            <w:hideMark/>
          </w:tcPr>
          <w:p w:rsidRPr="00EE5B47" w:rsidR="001556F2" w:rsidP="001556F2" w:rsidRDefault="001556F2" w14:paraId="70C493B5" w14:textId="77777777">
            <w:pPr>
              <w:jc w:val="center"/>
              <w:rPr>
                <w:sz w:val="20"/>
                <w:szCs w:val="20"/>
              </w:rPr>
            </w:pPr>
            <w:r w:rsidRPr="00EE5B47">
              <w:rPr>
                <w:sz w:val="20"/>
                <w:szCs w:val="20"/>
              </w:rPr>
              <w:t>20 (4.7)</w:t>
            </w:r>
          </w:p>
        </w:tc>
      </w:tr>
      <w:tr w:rsidRPr="00EE5B47" w:rsidR="00EE5B47" w:rsidTr="003A4B84" w14:paraId="4F87ABBA" w14:textId="77777777">
        <w:trPr>
          <w:trHeight w:val="280"/>
        </w:trPr>
        <w:tc>
          <w:tcPr>
            <w:tcW w:w="2593" w:type="dxa"/>
            <w:tcBorders>
              <w:top w:val="nil"/>
              <w:left w:val="nil"/>
              <w:bottom w:val="nil"/>
              <w:right w:val="single" w:color="auto" w:sz="4" w:space="0"/>
            </w:tcBorders>
            <w:shd w:val="clear" w:color="auto" w:fill="auto"/>
            <w:vAlign w:val="bottom"/>
            <w:hideMark/>
          </w:tcPr>
          <w:p w:rsidRPr="00EE5B47" w:rsidR="001556F2" w:rsidP="001556F2" w:rsidRDefault="001556F2" w14:paraId="448AFEC5" w14:textId="77777777">
            <w:pPr>
              <w:rPr>
                <w:b/>
                <w:bCs/>
                <w:sz w:val="20"/>
                <w:szCs w:val="20"/>
              </w:rPr>
            </w:pPr>
            <w:r w:rsidRPr="00EE5B47">
              <w:rPr>
                <w:b/>
                <w:bCs/>
                <w:sz w:val="20"/>
                <w:szCs w:val="20"/>
              </w:rPr>
              <w:t>Location*, n (%)</w:t>
            </w:r>
          </w:p>
        </w:tc>
        <w:tc>
          <w:tcPr>
            <w:tcW w:w="1343" w:type="dxa"/>
            <w:tcBorders>
              <w:top w:val="nil"/>
              <w:left w:val="nil"/>
              <w:bottom w:val="nil"/>
              <w:right w:val="nil"/>
            </w:tcBorders>
            <w:shd w:val="clear" w:color="auto" w:fill="auto"/>
            <w:vAlign w:val="bottom"/>
            <w:hideMark/>
          </w:tcPr>
          <w:p w:rsidRPr="00EE5B47" w:rsidR="001556F2" w:rsidP="001556F2" w:rsidRDefault="001556F2" w14:paraId="235C9EE4" w14:textId="77777777">
            <w:pPr>
              <w:jc w:val="center"/>
              <w:rPr>
                <w:sz w:val="20"/>
                <w:szCs w:val="20"/>
              </w:rPr>
            </w:pPr>
            <w:r w:rsidRPr="00EE5B47">
              <w:rPr>
                <w:sz w:val="20"/>
                <w:szCs w:val="20"/>
              </w:rPr>
              <w:t> </w:t>
            </w:r>
          </w:p>
        </w:tc>
        <w:tc>
          <w:tcPr>
            <w:tcW w:w="1416" w:type="dxa"/>
            <w:tcBorders>
              <w:top w:val="nil"/>
              <w:left w:val="nil"/>
              <w:bottom w:val="nil"/>
              <w:right w:val="nil"/>
            </w:tcBorders>
            <w:shd w:val="clear" w:color="auto" w:fill="auto"/>
            <w:noWrap/>
            <w:vAlign w:val="bottom"/>
            <w:hideMark/>
          </w:tcPr>
          <w:p w:rsidRPr="00EE5B47" w:rsidR="001556F2" w:rsidP="001556F2" w:rsidRDefault="001556F2" w14:paraId="334843B5" w14:textId="77777777">
            <w:pPr>
              <w:jc w:val="center"/>
              <w:rPr>
                <w:sz w:val="20"/>
                <w:szCs w:val="20"/>
              </w:rPr>
            </w:pPr>
          </w:p>
        </w:tc>
        <w:tc>
          <w:tcPr>
            <w:tcW w:w="1487" w:type="dxa"/>
            <w:tcBorders>
              <w:top w:val="nil"/>
              <w:left w:val="nil"/>
              <w:bottom w:val="nil"/>
              <w:right w:val="single" w:color="auto" w:sz="4" w:space="0"/>
            </w:tcBorders>
            <w:shd w:val="clear" w:color="auto" w:fill="auto"/>
            <w:noWrap/>
            <w:vAlign w:val="bottom"/>
            <w:hideMark/>
          </w:tcPr>
          <w:p w:rsidRPr="00EE5B47" w:rsidR="001556F2" w:rsidP="001556F2" w:rsidRDefault="001556F2" w14:paraId="765A370A" w14:textId="77777777">
            <w:pPr>
              <w:jc w:val="center"/>
              <w:rPr>
                <w:sz w:val="20"/>
                <w:szCs w:val="20"/>
              </w:rPr>
            </w:pPr>
            <w:r w:rsidRPr="00EE5B47">
              <w:rPr>
                <w:sz w:val="20"/>
                <w:szCs w:val="20"/>
              </w:rPr>
              <w:t> </w:t>
            </w:r>
          </w:p>
        </w:tc>
        <w:tc>
          <w:tcPr>
            <w:tcW w:w="1167" w:type="dxa"/>
            <w:tcBorders>
              <w:top w:val="nil"/>
              <w:left w:val="nil"/>
              <w:bottom w:val="nil"/>
              <w:right w:val="nil"/>
            </w:tcBorders>
            <w:shd w:val="clear" w:color="auto" w:fill="auto"/>
            <w:noWrap/>
            <w:vAlign w:val="bottom"/>
            <w:hideMark/>
          </w:tcPr>
          <w:p w:rsidRPr="00EE5B47" w:rsidR="001556F2" w:rsidP="001556F2" w:rsidRDefault="001556F2" w14:paraId="7DFE74FD" w14:textId="77777777">
            <w:pPr>
              <w:jc w:val="center"/>
              <w:rPr>
                <w:sz w:val="20"/>
                <w:szCs w:val="20"/>
              </w:rPr>
            </w:pPr>
          </w:p>
        </w:tc>
        <w:tc>
          <w:tcPr>
            <w:tcW w:w="1397" w:type="dxa"/>
            <w:tcBorders>
              <w:top w:val="nil"/>
              <w:left w:val="nil"/>
              <w:bottom w:val="nil"/>
              <w:right w:val="nil"/>
            </w:tcBorders>
            <w:shd w:val="clear" w:color="auto" w:fill="auto"/>
            <w:noWrap/>
            <w:vAlign w:val="bottom"/>
            <w:hideMark/>
          </w:tcPr>
          <w:p w:rsidRPr="00EE5B47" w:rsidR="001556F2" w:rsidP="001556F2" w:rsidRDefault="001556F2" w14:paraId="25DAFF94" w14:textId="77777777">
            <w:pPr>
              <w:jc w:val="center"/>
              <w:rPr>
                <w:sz w:val="20"/>
                <w:szCs w:val="20"/>
              </w:rPr>
            </w:pPr>
          </w:p>
        </w:tc>
        <w:tc>
          <w:tcPr>
            <w:tcW w:w="1280" w:type="dxa"/>
            <w:tcBorders>
              <w:top w:val="nil"/>
              <w:left w:val="nil"/>
              <w:bottom w:val="nil"/>
              <w:right w:val="nil"/>
            </w:tcBorders>
            <w:shd w:val="clear" w:color="auto" w:fill="auto"/>
            <w:noWrap/>
            <w:vAlign w:val="bottom"/>
            <w:hideMark/>
          </w:tcPr>
          <w:p w:rsidRPr="00EE5B47" w:rsidR="001556F2" w:rsidP="001556F2" w:rsidRDefault="001556F2" w14:paraId="5D8B995F" w14:textId="77777777">
            <w:pPr>
              <w:jc w:val="center"/>
              <w:rPr>
                <w:sz w:val="20"/>
                <w:szCs w:val="20"/>
              </w:rPr>
            </w:pPr>
          </w:p>
        </w:tc>
      </w:tr>
      <w:tr w:rsidRPr="00EE5B47" w:rsidR="00EE5B47" w:rsidTr="003A4B84" w14:paraId="5D0BF503" w14:textId="77777777">
        <w:trPr>
          <w:trHeight w:val="280"/>
        </w:trPr>
        <w:tc>
          <w:tcPr>
            <w:tcW w:w="2593" w:type="dxa"/>
            <w:tcBorders>
              <w:top w:val="nil"/>
              <w:left w:val="nil"/>
              <w:bottom w:val="nil"/>
              <w:right w:val="single" w:color="auto" w:sz="4" w:space="0"/>
            </w:tcBorders>
            <w:shd w:val="clear" w:color="auto" w:fill="auto"/>
            <w:vAlign w:val="bottom"/>
            <w:hideMark/>
          </w:tcPr>
          <w:p w:rsidRPr="00EE5B47" w:rsidR="001556F2" w:rsidP="001556F2" w:rsidRDefault="001556F2" w14:paraId="22D3CCB9" w14:textId="77777777">
            <w:pPr>
              <w:rPr>
                <w:sz w:val="20"/>
                <w:szCs w:val="20"/>
              </w:rPr>
            </w:pPr>
            <w:r w:rsidRPr="00EE5B47">
              <w:rPr>
                <w:sz w:val="20"/>
                <w:szCs w:val="20"/>
              </w:rPr>
              <w:t>Rural</w:t>
            </w:r>
          </w:p>
        </w:tc>
        <w:tc>
          <w:tcPr>
            <w:tcW w:w="1343" w:type="dxa"/>
            <w:tcBorders>
              <w:top w:val="nil"/>
              <w:left w:val="nil"/>
              <w:bottom w:val="nil"/>
              <w:right w:val="nil"/>
            </w:tcBorders>
            <w:shd w:val="clear" w:color="auto" w:fill="auto"/>
            <w:vAlign w:val="bottom"/>
            <w:hideMark/>
          </w:tcPr>
          <w:p w:rsidRPr="00EE5B47" w:rsidR="001556F2" w:rsidP="001556F2" w:rsidRDefault="001556F2" w14:paraId="326199FE" w14:textId="77777777">
            <w:pPr>
              <w:jc w:val="center"/>
              <w:rPr>
                <w:sz w:val="20"/>
                <w:szCs w:val="20"/>
              </w:rPr>
            </w:pPr>
            <w:r w:rsidRPr="00EE5B47">
              <w:rPr>
                <w:sz w:val="20"/>
                <w:szCs w:val="20"/>
              </w:rPr>
              <w:t>1527 (65.5)</w:t>
            </w:r>
          </w:p>
        </w:tc>
        <w:tc>
          <w:tcPr>
            <w:tcW w:w="1416" w:type="dxa"/>
            <w:tcBorders>
              <w:top w:val="nil"/>
              <w:left w:val="nil"/>
              <w:bottom w:val="nil"/>
              <w:right w:val="nil"/>
            </w:tcBorders>
            <w:shd w:val="clear" w:color="auto" w:fill="auto"/>
            <w:noWrap/>
            <w:vAlign w:val="bottom"/>
            <w:hideMark/>
          </w:tcPr>
          <w:p w:rsidRPr="00EE5B47" w:rsidR="001556F2" w:rsidP="001556F2" w:rsidRDefault="001556F2" w14:paraId="655D755F" w14:textId="77777777">
            <w:pPr>
              <w:jc w:val="center"/>
              <w:rPr>
                <w:sz w:val="20"/>
                <w:szCs w:val="20"/>
              </w:rPr>
            </w:pPr>
            <w:r w:rsidRPr="00EE5B47">
              <w:rPr>
                <w:sz w:val="20"/>
                <w:szCs w:val="20"/>
              </w:rPr>
              <w:t>310 (17.2)</w:t>
            </w:r>
          </w:p>
        </w:tc>
        <w:tc>
          <w:tcPr>
            <w:tcW w:w="1487" w:type="dxa"/>
            <w:tcBorders>
              <w:top w:val="nil"/>
              <w:left w:val="nil"/>
              <w:bottom w:val="nil"/>
              <w:right w:val="single" w:color="auto" w:sz="4" w:space="0"/>
            </w:tcBorders>
            <w:shd w:val="clear" w:color="auto" w:fill="auto"/>
            <w:noWrap/>
            <w:vAlign w:val="bottom"/>
            <w:hideMark/>
          </w:tcPr>
          <w:p w:rsidRPr="00EE5B47" w:rsidR="001556F2" w:rsidP="001556F2" w:rsidRDefault="001556F2" w14:paraId="4D6C9E05" w14:textId="77777777">
            <w:pPr>
              <w:jc w:val="center"/>
              <w:rPr>
                <w:sz w:val="20"/>
                <w:szCs w:val="20"/>
              </w:rPr>
            </w:pPr>
            <w:r w:rsidRPr="00EE5B47">
              <w:rPr>
                <w:sz w:val="20"/>
                <w:szCs w:val="20"/>
              </w:rPr>
              <w:t>6 (1.3)</w:t>
            </w:r>
          </w:p>
        </w:tc>
        <w:tc>
          <w:tcPr>
            <w:tcW w:w="1167" w:type="dxa"/>
            <w:tcBorders>
              <w:top w:val="nil"/>
              <w:left w:val="nil"/>
              <w:bottom w:val="nil"/>
              <w:right w:val="nil"/>
            </w:tcBorders>
            <w:shd w:val="clear" w:color="auto" w:fill="auto"/>
            <w:noWrap/>
            <w:vAlign w:val="bottom"/>
            <w:hideMark/>
          </w:tcPr>
          <w:p w:rsidRPr="00EE5B47" w:rsidR="001556F2" w:rsidP="001556F2" w:rsidRDefault="001556F2" w14:paraId="5AF6FDDB" w14:textId="77777777">
            <w:pPr>
              <w:jc w:val="center"/>
              <w:rPr>
                <w:sz w:val="20"/>
                <w:szCs w:val="20"/>
              </w:rPr>
            </w:pPr>
            <w:r w:rsidRPr="00EE5B47">
              <w:rPr>
                <w:sz w:val="20"/>
                <w:szCs w:val="20"/>
              </w:rPr>
              <w:t>273 (63.5)</w:t>
            </w:r>
          </w:p>
        </w:tc>
        <w:tc>
          <w:tcPr>
            <w:tcW w:w="1397" w:type="dxa"/>
            <w:tcBorders>
              <w:top w:val="nil"/>
              <w:left w:val="nil"/>
              <w:bottom w:val="nil"/>
              <w:right w:val="nil"/>
            </w:tcBorders>
            <w:shd w:val="clear" w:color="auto" w:fill="auto"/>
            <w:noWrap/>
            <w:vAlign w:val="bottom"/>
            <w:hideMark/>
          </w:tcPr>
          <w:p w:rsidRPr="00EE5B47" w:rsidR="001556F2" w:rsidP="001556F2" w:rsidRDefault="001556F2" w14:paraId="5075A4CE" w14:textId="77777777">
            <w:pPr>
              <w:jc w:val="center"/>
              <w:rPr>
                <w:sz w:val="20"/>
                <w:szCs w:val="20"/>
              </w:rPr>
            </w:pPr>
            <w:r w:rsidRPr="00EE5B47">
              <w:rPr>
                <w:sz w:val="20"/>
                <w:szCs w:val="20"/>
              </w:rPr>
              <w:t>64 (15.0)</w:t>
            </w:r>
          </w:p>
        </w:tc>
        <w:tc>
          <w:tcPr>
            <w:tcW w:w="1280" w:type="dxa"/>
            <w:tcBorders>
              <w:top w:val="nil"/>
              <w:left w:val="nil"/>
              <w:bottom w:val="nil"/>
              <w:right w:val="nil"/>
            </w:tcBorders>
            <w:shd w:val="clear" w:color="auto" w:fill="auto"/>
            <w:noWrap/>
            <w:vAlign w:val="bottom"/>
            <w:hideMark/>
          </w:tcPr>
          <w:p w:rsidRPr="00EE5B47" w:rsidR="001556F2" w:rsidP="001556F2" w:rsidRDefault="001556F2" w14:paraId="4C406267" w14:textId="77777777">
            <w:pPr>
              <w:jc w:val="center"/>
              <w:rPr>
                <w:sz w:val="20"/>
                <w:szCs w:val="20"/>
              </w:rPr>
            </w:pPr>
            <w:r w:rsidRPr="00EE5B47">
              <w:rPr>
                <w:sz w:val="20"/>
                <w:szCs w:val="20"/>
              </w:rPr>
              <w:t>6 (1.2)</w:t>
            </w:r>
          </w:p>
        </w:tc>
      </w:tr>
      <w:tr w:rsidRPr="00EE5B47" w:rsidR="00EE5B47" w:rsidTr="003A4B84" w14:paraId="083CDEC3" w14:textId="77777777">
        <w:trPr>
          <w:trHeight w:val="242"/>
        </w:trPr>
        <w:tc>
          <w:tcPr>
            <w:tcW w:w="2593" w:type="dxa"/>
            <w:tcBorders>
              <w:top w:val="nil"/>
              <w:left w:val="nil"/>
              <w:bottom w:val="nil"/>
              <w:right w:val="single" w:color="auto" w:sz="4" w:space="0"/>
            </w:tcBorders>
            <w:shd w:val="clear" w:color="auto" w:fill="auto"/>
            <w:vAlign w:val="bottom"/>
            <w:hideMark/>
          </w:tcPr>
          <w:p w:rsidRPr="00EE5B47" w:rsidR="001556F2" w:rsidP="001556F2" w:rsidRDefault="001556F2" w14:paraId="2EC36E00" w14:textId="77777777">
            <w:pPr>
              <w:rPr>
                <w:sz w:val="20"/>
                <w:szCs w:val="20"/>
              </w:rPr>
            </w:pPr>
            <w:r w:rsidRPr="00EE5B47">
              <w:rPr>
                <w:sz w:val="20"/>
                <w:szCs w:val="20"/>
              </w:rPr>
              <w:t>Urban</w:t>
            </w:r>
          </w:p>
        </w:tc>
        <w:tc>
          <w:tcPr>
            <w:tcW w:w="1343" w:type="dxa"/>
            <w:tcBorders>
              <w:top w:val="nil"/>
              <w:left w:val="nil"/>
              <w:bottom w:val="nil"/>
              <w:right w:val="nil"/>
            </w:tcBorders>
            <w:shd w:val="clear" w:color="auto" w:fill="auto"/>
            <w:vAlign w:val="bottom"/>
            <w:hideMark/>
          </w:tcPr>
          <w:p w:rsidRPr="00EE5B47" w:rsidR="001556F2" w:rsidP="001556F2" w:rsidRDefault="001556F2" w14:paraId="1A5FBDC9" w14:textId="77777777">
            <w:pPr>
              <w:jc w:val="center"/>
              <w:rPr>
                <w:sz w:val="20"/>
                <w:szCs w:val="20"/>
              </w:rPr>
            </w:pPr>
            <w:r w:rsidRPr="00EE5B47">
              <w:rPr>
                <w:sz w:val="20"/>
                <w:szCs w:val="20"/>
              </w:rPr>
              <w:t>783 (33.6)</w:t>
            </w:r>
          </w:p>
        </w:tc>
        <w:tc>
          <w:tcPr>
            <w:tcW w:w="1416" w:type="dxa"/>
            <w:tcBorders>
              <w:top w:val="nil"/>
              <w:left w:val="nil"/>
              <w:bottom w:val="nil"/>
              <w:right w:val="nil"/>
            </w:tcBorders>
            <w:shd w:val="clear" w:color="auto" w:fill="auto"/>
            <w:noWrap/>
            <w:vAlign w:val="bottom"/>
            <w:hideMark/>
          </w:tcPr>
          <w:p w:rsidRPr="00EE5B47" w:rsidR="001556F2" w:rsidP="001556F2" w:rsidRDefault="001556F2" w14:paraId="66007BF1" w14:textId="77777777">
            <w:pPr>
              <w:jc w:val="center"/>
              <w:rPr>
                <w:sz w:val="20"/>
                <w:szCs w:val="20"/>
              </w:rPr>
            </w:pPr>
            <w:r w:rsidRPr="00EE5B47">
              <w:rPr>
                <w:sz w:val="20"/>
                <w:szCs w:val="20"/>
              </w:rPr>
              <w:t>1488 (82.6)</w:t>
            </w:r>
          </w:p>
        </w:tc>
        <w:tc>
          <w:tcPr>
            <w:tcW w:w="1487" w:type="dxa"/>
            <w:tcBorders>
              <w:top w:val="nil"/>
              <w:left w:val="nil"/>
              <w:bottom w:val="nil"/>
              <w:right w:val="single" w:color="auto" w:sz="4" w:space="0"/>
            </w:tcBorders>
            <w:shd w:val="clear" w:color="auto" w:fill="auto"/>
            <w:noWrap/>
            <w:vAlign w:val="bottom"/>
            <w:hideMark/>
          </w:tcPr>
          <w:p w:rsidRPr="00EE5B47" w:rsidR="001556F2" w:rsidP="001556F2" w:rsidRDefault="001556F2" w14:paraId="3B9FC808" w14:textId="77777777">
            <w:pPr>
              <w:jc w:val="center"/>
              <w:rPr>
                <w:sz w:val="20"/>
                <w:szCs w:val="20"/>
              </w:rPr>
            </w:pPr>
            <w:r w:rsidRPr="00EE5B47">
              <w:rPr>
                <w:sz w:val="20"/>
                <w:szCs w:val="20"/>
              </w:rPr>
              <w:t>466 (98.7)</w:t>
            </w:r>
          </w:p>
        </w:tc>
        <w:tc>
          <w:tcPr>
            <w:tcW w:w="1167" w:type="dxa"/>
            <w:tcBorders>
              <w:top w:val="nil"/>
              <w:left w:val="nil"/>
              <w:bottom w:val="nil"/>
              <w:right w:val="nil"/>
            </w:tcBorders>
            <w:shd w:val="clear" w:color="auto" w:fill="auto"/>
            <w:noWrap/>
            <w:vAlign w:val="bottom"/>
            <w:hideMark/>
          </w:tcPr>
          <w:p w:rsidRPr="00EE5B47" w:rsidR="001556F2" w:rsidP="001556F2" w:rsidRDefault="001556F2" w14:paraId="7BC9C1EE" w14:textId="77777777">
            <w:pPr>
              <w:jc w:val="center"/>
              <w:rPr>
                <w:sz w:val="20"/>
                <w:szCs w:val="20"/>
              </w:rPr>
            </w:pPr>
            <w:r w:rsidRPr="00EE5B47">
              <w:rPr>
                <w:sz w:val="20"/>
                <w:szCs w:val="20"/>
              </w:rPr>
              <w:t>151 (35.1)</w:t>
            </w:r>
          </w:p>
        </w:tc>
        <w:tc>
          <w:tcPr>
            <w:tcW w:w="1397" w:type="dxa"/>
            <w:tcBorders>
              <w:top w:val="nil"/>
              <w:left w:val="nil"/>
              <w:bottom w:val="nil"/>
              <w:right w:val="nil"/>
            </w:tcBorders>
            <w:shd w:val="clear" w:color="auto" w:fill="auto"/>
            <w:noWrap/>
            <w:vAlign w:val="bottom"/>
            <w:hideMark/>
          </w:tcPr>
          <w:p w:rsidRPr="00EE5B47" w:rsidR="001556F2" w:rsidP="001556F2" w:rsidRDefault="001556F2" w14:paraId="0621BE4D" w14:textId="77777777">
            <w:pPr>
              <w:jc w:val="center"/>
              <w:rPr>
                <w:sz w:val="20"/>
                <w:szCs w:val="20"/>
              </w:rPr>
            </w:pPr>
            <w:r w:rsidRPr="00EE5B47">
              <w:rPr>
                <w:sz w:val="20"/>
                <w:szCs w:val="20"/>
              </w:rPr>
              <w:t>365 (85.0)</w:t>
            </w:r>
          </w:p>
        </w:tc>
        <w:tc>
          <w:tcPr>
            <w:tcW w:w="1280" w:type="dxa"/>
            <w:tcBorders>
              <w:top w:val="nil"/>
              <w:left w:val="nil"/>
              <w:bottom w:val="nil"/>
              <w:right w:val="nil"/>
            </w:tcBorders>
            <w:shd w:val="clear" w:color="auto" w:fill="auto"/>
            <w:noWrap/>
            <w:vAlign w:val="bottom"/>
            <w:hideMark/>
          </w:tcPr>
          <w:p w:rsidRPr="00EE5B47" w:rsidR="001556F2" w:rsidP="001556F2" w:rsidRDefault="001556F2" w14:paraId="578E46BE" w14:textId="77777777">
            <w:pPr>
              <w:jc w:val="center"/>
              <w:rPr>
                <w:sz w:val="20"/>
                <w:szCs w:val="20"/>
              </w:rPr>
            </w:pPr>
            <w:r w:rsidRPr="00EE5B47">
              <w:rPr>
                <w:sz w:val="20"/>
                <w:szCs w:val="20"/>
              </w:rPr>
              <w:t>424 (98.6)</w:t>
            </w:r>
          </w:p>
        </w:tc>
      </w:tr>
      <w:tr w:rsidRPr="00EE5B47" w:rsidR="00EE5B47" w:rsidTr="003A4B84" w14:paraId="2E32513A" w14:textId="77777777">
        <w:trPr>
          <w:trHeight w:val="270"/>
        </w:trPr>
        <w:tc>
          <w:tcPr>
            <w:tcW w:w="2593" w:type="dxa"/>
            <w:tcBorders>
              <w:top w:val="nil"/>
              <w:left w:val="nil"/>
              <w:bottom w:val="nil"/>
              <w:right w:val="single" w:color="auto" w:sz="4" w:space="0"/>
            </w:tcBorders>
            <w:shd w:val="clear" w:color="auto" w:fill="auto"/>
            <w:vAlign w:val="bottom"/>
            <w:hideMark/>
          </w:tcPr>
          <w:p w:rsidRPr="00EE5B47" w:rsidR="001556F2" w:rsidP="001556F2" w:rsidRDefault="001556F2" w14:paraId="223A9C5C" w14:textId="77777777">
            <w:pPr>
              <w:rPr>
                <w:b/>
                <w:bCs/>
                <w:sz w:val="20"/>
                <w:szCs w:val="20"/>
              </w:rPr>
            </w:pPr>
            <w:r w:rsidRPr="00EE5B47">
              <w:rPr>
                <w:b/>
                <w:bCs/>
                <w:sz w:val="20"/>
                <w:szCs w:val="20"/>
              </w:rPr>
              <w:t>Ownership, n (%)</w:t>
            </w:r>
          </w:p>
        </w:tc>
        <w:tc>
          <w:tcPr>
            <w:tcW w:w="1343" w:type="dxa"/>
            <w:tcBorders>
              <w:top w:val="nil"/>
              <w:left w:val="nil"/>
              <w:bottom w:val="nil"/>
              <w:right w:val="nil"/>
            </w:tcBorders>
            <w:shd w:val="clear" w:color="auto" w:fill="auto"/>
            <w:vAlign w:val="bottom"/>
            <w:hideMark/>
          </w:tcPr>
          <w:p w:rsidRPr="00EE5B47" w:rsidR="001556F2" w:rsidP="001556F2" w:rsidRDefault="001556F2" w14:paraId="3D8D2DC5" w14:textId="77777777">
            <w:pPr>
              <w:jc w:val="center"/>
              <w:rPr>
                <w:sz w:val="20"/>
                <w:szCs w:val="20"/>
              </w:rPr>
            </w:pPr>
            <w:r w:rsidRPr="00EE5B47">
              <w:rPr>
                <w:sz w:val="20"/>
                <w:szCs w:val="20"/>
              </w:rPr>
              <w:t> </w:t>
            </w:r>
          </w:p>
        </w:tc>
        <w:tc>
          <w:tcPr>
            <w:tcW w:w="1416" w:type="dxa"/>
            <w:tcBorders>
              <w:top w:val="nil"/>
              <w:left w:val="nil"/>
              <w:bottom w:val="nil"/>
              <w:right w:val="nil"/>
            </w:tcBorders>
            <w:shd w:val="clear" w:color="auto" w:fill="auto"/>
            <w:noWrap/>
            <w:vAlign w:val="bottom"/>
            <w:hideMark/>
          </w:tcPr>
          <w:p w:rsidRPr="00EE5B47" w:rsidR="001556F2" w:rsidP="001556F2" w:rsidRDefault="001556F2" w14:paraId="6C21A8D1" w14:textId="77777777">
            <w:pPr>
              <w:jc w:val="center"/>
              <w:rPr>
                <w:sz w:val="20"/>
                <w:szCs w:val="20"/>
              </w:rPr>
            </w:pPr>
          </w:p>
        </w:tc>
        <w:tc>
          <w:tcPr>
            <w:tcW w:w="1487" w:type="dxa"/>
            <w:tcBorders>
              <w:top w:val="nil"/>
              <w:left w:val="nil"/>
              <w:bottom w:val="nil"/>
              <w:right w:val="single" w:color="auto" w:sz="4" w:space="0"/>
            </w:tcBorders>
            <w:shd w:val="clear" w:color="auto" w:fill="auto"/>
            <w:noWrap/>
            <w:vAlign w:val="bottom"/>
            <w:hideMark/>
          </w:tcPr>
          <w:p w:rsidRPr="00EE5B47" w:rsidR="001556F2" w:rsidP="001556F2" w:rsidRDefault="001556F2" w14:paraId="62565A5A" w14:textId="77777777">
            <w:pPr>
              <w:jc w:val="center"/>
              <w:rPr>
                <w:sz w:val="20"/>
                <w:szCs w:val="20"/>
              </w:rPr>
            </w:pPr>
            <w:r w:rsidRPr="00EE5B47">
              <w:rPr>
                <w:sz w:val="20"/>
                <w:szCs w:val="20"/>
              </w:rPr>
              <w:t> </w:t>
            </w:r>
          </w:p>
        </w:tc>
        <w:tc>
          <w:tcPr>
            <w:tcW w:w="1167" w:type="dxa"/>
            <w:tcBorders>
              <w:top w:val="nil"/>
              <w:left w:val="nil"/>
              <w:bottom w:val="nil"/>
              <w:right w:val="nil"/>
            </w:tcBorders>
            <w:shd w:val="clear" w:color="auto" w:fill="auto"/>
            <w:noWrap/>
            <w:vAlign w:val="bottom"/>
            <w:hideMark/>
          </w:tcPr>
          <w:p w:rsidRPr="00EE5B47" w:rsidR="001556F2" w:rsidP="001556F2" w:rsidRDefault="001556F2" w14:paraId="25D5156D" w14:textId="77777777">
            <w:pPr>
              <w:jc w:val="center"/>
              <w:rPr>
                <w:sz w:val="20"/>
                <w:szCs w:val="20"/>
              </w:rPr>
            </w:pPr>
          </w:p>
        </w:tc>
        <w:tc>
          <w:tcPr>
            <w:tcW w:w="1397" w:type="dxa"/>
            <w:tcBorders>
              <w:top w:val="nil"/>
              <w:left w:val="nil"/>
              <w:bottom w:val="nil"/>
              <w:right w:val="nil"/>
            </w:tcBorders>
            <w:shd w:val="clear" w:color="auto" w:fill="auto"/>
            <w:noWrap/>
            <w:vAlign w:val="bottom"/>
            <w:hideMark/>
          </w:tcPr>
          <w:p w:rsidRPr="00EE5B47" w:rsidR="001556F2" w:rsidP="001556F2" w:rsidRDefault="001556F2" w14:paraId="7AA3AB32" w14:textId="77777777">
            <w:pPr>
              <w:jc w:val="center"/>
              <w:rPr>
                <w:sz w:val="20"/>
                <w:szCs w:val="20"/>
              </w:rPr>
            </w:pPr>
          </w:p>
        </w:tc>
        <w:tc>
          <w:tcPr>
            <w:tcW w:w="1280" w:type="dxa"/>
            <w:tcBorders>
              <w:top w:val="nil"/>
              <w:left w:val="nil"/>
              <w:bottom w:val="nil"/>
              <w:right w:val="nil"/>
            </w:tcBorders>
            <w:shd w:val="clear" w:color="auto" w:fill="auto"/>
            <w:noWrap/>
            <w:vAlign w:val="bottom"/>
            <w:hideMark/>
          </w:tcPr>
          <w:p w:rsidRPr="00EE5B47" w:rsidR="001556F2" w:rsidP="001556F2" w:rsidRDefault="001556F2" w14:paraId="73EB8AA2" w14:textId="77777777">
            <w:pPr>
              <w:jc w:val="center"/>
              <w:rPr>
                <w:sz w:val="20"/>
                <w:szCs w:val="20"/>
              </w:rPr>
            </w:pPr>
          </w:p>
        </w:tc>
      </w:tr>
      <w:tr w:rsidRPr="00EE5B47" w:rsidR="00EE5B47" w:rsidTr="003A4B84" w14:paraId="4A8BB6D0" w14:textId="77777777">
        <w:trPr>
          <w:trHeight w:val="270"/>
        </w:trPr>
        <w:tc>
          <w:tcPr>
            <w:tcW w:w="2593" w:type="dxa"/>
            <w:tcBorders>
              <w:top w:val="nil"/>
              <w:left w:val="nil"/>
              <w:bottom w:val="nil"/>
              <w:right w:val="single" w:color="auto" w:sz="4" w:space="0"/>
            </w:tcBorders>
            <w:shd w:val="clear" w:color="auto" w:fill="auto"/>
            <w:vAlign w:val="bottom"/>
            <w:hideMark/>
          </w:tcPr>
          <w:p w:rsidRPr="00EE5B47" w:rsidR="001556F2" w:rsidP="001556F2" w:rsidRDefault="006B2C55" w14:paraId="5B62F8F5" w14:textId="39FA58E9">
            <w:pPr>
              <w:rPr>
                <w:sz w:val="20"/>
                <w:szCs w:val="20"/>
              </w:rPr>
            </w:pPr>
            <w:r w:rsidRPr="00EE5B47">
              <w:rPr>
                <w:sz w:val="20"/>
                <w:szCs w:val="20"/>
              </w:rPr>
              <w:t>Government</w:t>
            </w:r>
          </w:p>
        </w:tc>
        <w:tc>
          <w:tcPr>
            <w:tcW w:w="1343" w:type="dxa"/>
            <w:tcBorders>
              <w:top w:val="nil"/>
              <w:left w:val="nil"/>
              <w:bottom w:val="nil"/>
              <w:right w:val="nil"/>
            </w:tcBorders>
            <w:shd w:val="clear" w:color="auto" w:fill="auto"/>
            <w:vAlign w:val="bottom"/>
            <w:hideMark/>
          </w:tcPr>
          <w:p w:rsidRPr="00EE5B47" w:rsidR="001556F2" w:rsidP="001556F2" w:rsidRDefault="001556F2" w14:paraId="7EF5B581" w14:textId="77777777">
            <w:pPr>
              <w:jc w:val="center"/>
              <w:rPr>
                <w:sz w:val="20"/>
                <w:szCs w:val="20"/>
              </w:rPr>
            </w:pPr>
            <w:r w:rsidRPr="00EE5B47">
              <w:rPr>
                <w:sz w:val="20"/>
                <w:szCs w:val="20"/>
              </w:rPr>
              <w:t>822 (35.3)</w:t>
            </w:r>
          </w:p>
        </w:tc>
        <w:tc>
          <w:tcPr>
            <w:tcW w:w="1416" w:type="dxa"/>
            <w:tcBorders>
              <w:top w:val="nil"/>
              <w:left w:val="nil"/>
              <w:bottom w:val="nil"/>
              <w:right w:val="nil"/>
            </w:tcBorders>
            <w:shd w:val="clear" w:color="auto" w:fill="auto"/>
            <w:noWrap/>
            <w:vAlign w:val="bottom"/>
            <w:hideMark/>
          </w:tcPr>
          <w:p w:rsidRPr="00EE5B47" w:rsidR="001556F2" w:rsidP="001556F2" w:rsidRDefault="001556F2" w14:paraId="33410249" w14:textId="77777777">
            <w:pPr>
              <w:jc w:val="center"/>
              <w:rPr>
                <w:sz w:val="20"/>
                <w:szCs w:val="20"/>
              </w:rPr>
            </w:pPr>
            <w:r w:rsidRPr="00EE5B47">
              <w:rPr>
                <w:sz w:val="20"/>
                <w:szCs w:val="20"/>
              </w:rPr>
              <w:t>290 (16.1)</w:t>
            </w:r>
          </w:p>
        </w:tc>
        <w:tc>
          <w:tcPr>
            <w:tcW w:w="1487" w:type="dxa"/>
            <w:tcBorders>
              <w:top w:val="nil"/>
              <w:left w:val="nil"/>
              <w:bottom w:val="nil"/>
              <w:right w:val="single" w:color="auto" w:sz="4" w:space="0"/>
            </w:tcBorders>
            <w:shd w:val="clear" w:color="auto" w:fill="auto"/>
            <w:noWrap/>
            <w:vAlign w:val="bottom"/>
            <w:hideMark/>
          </w:tcPr>
          <w:p w:rsidRPr="00EE5B47" w:rsidR="001556F2" w:rsidP="001556F2" w:rsidRDefault="001556F2" w14:paraId="60017E10" w14:textId="77777777">
            <w:pPr>
              <w:jc w:val="center"/>
              <w:rPr>
                <w:sz w:val="20"/>
                <w:szCs w:val="20"/>
              </w:rPr>
            </w:pPr>
            <w:r w:rsidRPr="00EE5B47">
              <w:rPr>
                <w:sz w:val="20"/>
                <w:szCs w:val="20"/>
              </w:rPr>
              <w:t>99 (21.0)</w:t>
            </w:r>
          </w:p>
        </w:tc>
        <w:tc>
          <w:tcPr>
            <w:tcW w:w="1167" w:type="dxa"/>
            <w:tcBorders>
              <w:top w:val="nil"/>
              <w:left w:val="nil"/>
              <w:bottom w:val="nil"/>
              <w:right w:val="nil"/>
            </w:tcBorders>
            <w:shd w:val="clear" w:color="auto" w:fill="auto"/>
            <w:noWrap/>
            <w:vAlign w:val="bottom"/>
            <w:hideMark/>
          </w:tcPr>
          <w:p w:rsidRPr="00EE5B47" w:rsidR="001556F2" w:rsidP="001556F2" w:rsidRDefault="001556F2" w14:paraId="344E19F5" w14:textId="77777777">
            <w:pPr>
              <w:jc w:val="center"/>
              <w:rPr>
                <w:sz w:val="20"/>
                <w:szCs w:val="20"/>
              </w:rPr>
            </w:pPr>
            <w:r w:rsidRPr="00EE5B47">
              <w:rPr>
                <w:sz w:val="20"/>
                <w:szCs w:val="20"/>
              </w:rPr>
              <w:t>140 (32.6)</w:t>
            </w:r>
          </w:p>
        </w:tc>
        <w:tc>
          <w:tcPr>
            <w:tcW w:w="1397" w:type="dxa"/>
            <w:tcBorders>
              <w:top w:val="nil"/>
              <w:left w:val="nil"/>
              <w:bottom w:val="nil"/>
              <w:right w:val="nil"/>
            </w:tcBorders>
            <w:shd w:val="clear" w:color="auto" w:fill="auto"/>
            <w:noWrap/>
            <w:vAlign w:val="bottom"/>
            <w:hideMark/>
          </w:tcPr>
          <w:p w:rsidRPr="00EE5B47" w:rsidR="001556F2" w:rsidP="001556F2" w:rsidRDefault="001556F2" w14:paraId="3346A64B" w14:textId="77777777">
            <w:pPr>
              <w:jc w:val="center"/>
              <w:rPr>
                <w:sz w:val="20"/>
                <w:szCs w:val="20"/>
              </w:rPr>
            </w:pPr>
            <w:r w:rsidRPr="00EE5B47">
              <w:rPr>
                <w:sz w:val="20"/>
                <w:szCs w:val="20"/>
              </w:rPr>
              <w:t xml:space="preserve">70 (16.3) </w:t>
            </w:r>
          </w:p>
        </w:tc>
        <w:tc>
          <w:tcPr>
            <w:tcW w:w="1280" w:type="dxa"/>
            <w:tcBorders>
              <w:top w:val="nil"/>
              <w:left w:val="nil"/>
              <w:bottom w:val="nil"/>
              <w:right w:val="nil"/>
            </w:tcBorders>
            <w:shd w:val="clear" w:color="auto" w:fill="auto"/>
            <w:noWrap/>
            <w:vAlign w:val="bottom"/>
            <w:hideMark/>
          </w:tcPr>
          <w:p w:rsidRPr="00EE5B47" w:rsidR="001556F2" w:rsidP="001556F2" w:rsidRDefault="001556F2" w14:paraId="3866605E" w14:textId="77777777">
            <w:pPr>
              <w:jc w:val="center"/>
              <w:rPr>
                <w:sz w:val="20"/>
                <w:szCs w:val="20"/>
              </w:rPr>
            </w:pPr>
            <w:r w:rsidRPr="00EE5B47">
              <w:rPr>
                <w:sz w:val="20"/>
                <w:szCs w:val="20"/>
              </w:rPr>
              <w:t>87 (20.2)</w:t>
            </w:r>
          </w:p>
        </w:tc>
      </w:tr>
      <w:tr w:rsidRPr="00EE5B47" w:rsidR="00EE5B47" w:rsidTr="003A4B84" w14:paraId="11D0D8F3" w14:textId="77777777">
        <w:trPr>
          <w:trHeight w:val="270"/>
        </w:trPr>
        <w:tc>
          <w:tcPr>
            <w:tcW w:w="2593" w:type="dxa"/>
            <w:tcBorders>
              <w:top w:val="nil"/>
              <w:left w:val="nil"/>
              <w:bottom w:val="nil"/>
              <w:right w:val="single" w:color="auto" w:sz="4" w:space="0"/>
            </w:tcBorders>
            <w:shd w:val="clear" w:color="auto" w:fill="auto"/>
            <w:vAlign w:val="bottom"/>
            <w:hideMark/>
          </w:tcPr>
          <w:p w:rsidRPr="00EE5B47" w:rsidR="001556F2" w:rsidP="001556F2" w:rsidRDefault="001556F2" w14:paraId="6CF11A08" w14:textId="7056E7BE">
            <w:pPr>
              <w:rPr>
                <w:sz w:val="20"/>
                <w:szCs w:val="20"/>
              </w:rPr>
            </w:pPr>
            <w:r w:rsidRPr="00EE5B47">
              <w:rPr>
                <w:sz w:val="20"/>
                <w:szCs w:val="20"/>
              </w:rPr>
              <w:t>Non-</w:t>
            </w:r>
            <w:r w:rsidRPr="00EE5B47" w:rsidR="006B2C55">
              <w:rPr>
                <w:sz w:val="20"/>
                <w:szCs w:val="20"/>
              </w:rPr>
              <w:t>g</w:t>
            </w:r>
            <w:r w:rsidRPr="00EE5B47">
              <w:rPr>
                <w:sz w:val="20"/>
                <w:szCs w:val="20"/>
              </w:rPr>
              <w:t>ov</w:t>
            </w:r>
            <w:r w:rsidRPr="00EE5B47" w:rsidR="006B2C55">
              <w:rPr>
                <w:sz w:val="20"/>
                <w:szCs w:val="20"/>
              </w:rPr>
              <w:t>ernment</w:t>
            </w:r>
          </w:p>
        </w:tc>
        <w:tc>
          <w:tcPr>
            <w:tcW w:w="1343" w:type="dxa"/>
            <w:tcBorders>
              <w:top w:val="nil"/>
              <w:left w:val="nil"/>
              <w:bottom w:val="nil"/>
              <w:right w:val="nil"/>
            </w:tcBorders>
            <w:shd w:val="clear" w:color="auto" w:fill="auto"/>
            <w:vAlign w:val="bottom"/>
            <w:hideMark/>
          </w:tcPr>
          <w:p w:rsidRPr="00EE5B47" w:rsidR="001556F2" w:rsidP="001556F2" w:rsidRDefault="001556F2" w14:paraId="7880A841" w14:textId="77777777">
            <w:pPr>
              <w:jc w:val="center"/>
              <w:rPr>
                <w:sz w:val="20"/>
                <w:szCs w:val="20"/>
              </w:rPr>
            </w:pPr>
            <w:r w:rsidRPr="00EE5B47">
              <w:rPr>
                <w:sz w:val="20"/>
                <w:szCs w:val="20"/>
              </w:rPr>
              <w:t>1226 (52.6)</w:t>
            </w:r>
          </w:p>
        </w:tc>
        <w:tc>
          <w:tcPr>
            <w:tcW w:w="1416" w:type="dxa"/>
            <w:tcBorders>
              <w:top w:val="nil"/>
              <w:left w:val="nil"/>
              <w:bottom w:val="nil"/>
              <w:right w:val="nil"/>
            </w:tcBorders>
            <w:shd w:val="clear" w:color="auto" w:fill="auto"/>
            <w:noWrap/>
            <w:vAlign w:val="bottom"/>
            <w:hideMark/>
          </w:tcPr>
          <w:p w:rsidRPr="00EE5B47" w:rsidR="001556F2" w:rsidP="001556F2" w:rsidRDefault="001556F2" w14:paraId="7AC3AF7C" w14:textId="77777777">
            <w:pPr>
              <w:jc w:val="center"/>
              <w:rPr>
                <w:sz w:val="20"/>
                <w:szCs w:val="20"/>
              </w:rPr>
            </w:pPr>
            <w:r w:rsidRPr="00EE5B47">
              <w:rPr>
                <w:sz w:val="20"/>
                <w:szCs w:val="20"/>
              </w:rPr>
              <w:t>1161 (64.4)</w:t>
            </w:r>
          </w:p>
        </w:tc>
        <w:tc>
          <w:tcPr>
            <w:tcW w:w="1487" w:type="dxa"/>
            <w:tcBorders>
              <w:top w:val="nil"/>
              <w:left w:val="nil"/>
              <w:bottom w:val="nil"/>
              <w:right w:val="single" w:color="auto" w:sz="4" w:space="0"/>
            </w:tcBorders>
            <w:shd w:val="clear" w:color="auto" w:fill="auto"/>
            <w:noWrap/>
            <w:vAlign w:val="bottom"/>
            <w:hideMark/>
          </w:tcPr>
          <w:p w:rsidRPr="00EE5B47" w:rsidR="001556F2" w:rsidP="001556F2" w:rsidRDefault="001556F2" w14:paraId="40301B36" w14:textId="77777777">
            <w:pPr>
              <w:jc w:val="center"/>
              <w:rPr>
                <w:sz w:val="20"/>
                <w:szCs w:val="20"/>
              </w:rPr>
            </w:pPr>
            <w:r w:rsidRPr="00EE5B47">
              <w:rPr>
                <w:sz w:val="20"/>
                <w:szCs w:val="20"/>
              </w:rPr>
              <w:t>332 (70.3)</w:t>
            </w:r>
          </w:p>
        </w:tc>
        <w:tc>
          <w:tcPr>
            <w:tcW w:w="1167" w:type="dxa"/>
            <w:tcBorders>
              <w:top w:val="nil"/>
              <w:left w:val="nil"/>
              <w:bottom w:val="nil"/>
              <w:right w:val="nil"/>
            </w:tcBorders>
            <w:shd w:val="clear" w:color="auto" w:fill="auto"/>
            <w:noWrap/>
            <w:vAlign w:val="bottom"/>
            <w:hideMark/>
          </w:tcPr>
          <w:p w:rsidRPr="00EE5B47" w:rsidR="001556F2" w:rsidP="001556F2" w:rsidRDefault="001556F2" w14:paraId="1090C781" w14:textId="77777777">
            <w:pPr>
              <w:jc w:val="center"/>
              <w:rPr>
                <w:sz w:val="20"/>
                <w:szCs w:val="20"/>
              </w:rPr>
            </w:pPr>
            <w:r w:rsidRPr="00EE5B47">
              <w:rPr>
                <w:sz w:val="20"/>
                <w:szCs w:val="20"/>
              </w:rPr>
              <w:t>231 (53.7)</w:t>
            </w:r>
          </w:p>
        </w:tc>
        <w:tc>
          <w:tcPr>
            <w:tcW w:w="1397" w:type="dxa"/>
            <w:tcBorders>
              <w:top w:val="nil"/>
              <w:left w:val="nil"/>
              <w:bottom w:val="nil"/>
              <w:right w:val="nil"/>
            </w:tcBorders>
            <w:shd w:val="clear" w:color="auto" w:fill="auto"/>
            <w:noWrap/>
            <w:vAlign w:val="bottom"/>
            <w:hideMark/>
          </w:tcPr>
          <w:p w:rsidRPr="00EE5B47" w:rsidR="001556F2" w:rsidP="001556F2" w:rsidRDefault="001556F2" w14:paraId="1D424E06" w14:textId="77777777">
            <w:pPr>
              <w:jc w:val="center"/>
              <w:rPr>
                <w:sz w:val="20"/>
                <w:szCs w:val="20"/>
              </w:rPr>
            </w:pPr>
            <w:r w:rsidRPr="00EE5B47">
              <w:rPr>
                <w:sz w:val="20"/>
                <w:szCs w:val="20"/>
              </w:rPr>
              <w:t>274 (63.7)</w:t>
            </w:r>
          </w:p>
        </w:tc>
        <w:tc>
          <w:tcPr>
            <w:tcW w:w="1280" w:type="dxa"/>
            <w:tcBorders>
              <w:top w:val="nil"/>
              <w:left w:val="nil"/>
              <w:bottom w:val="nil"/>
              <w:right w:val="nil"/>
            </w:tcBorders>
            <w:shd w:val="clear" w:color="auto" w:fill="auto"/>
            <w:noWrap/>
            <w:vAlign w:val="bottom"/>
            <w:hideMark/>
          </w:tcPr>
          <w:p w:rsidRPr="00EE5B47" w:rsidR="001556F2" w:rsidP="001556F2" w:rsidRDefault="001556F2" w14:paraId="13B7EB76" w14:textId="77777777">
            <w:pPr>
              <w:jc w:val="center"/>
              <w:rPr>
                <w:sz w:val="20"/>
                <w:szCs w:val="20"/>
              </w:rPr>
            </w:pPr>
            <w:r w:rsidRPr="00EE5B47">
              <w:rPr>
                <w:sz w:val="20"/>
                <w:szCs w:val="20"/>
              </w:rPr>
              <w:t>307 (71.4)</w:t>
            </w:r>
          </w:p>
        </w:tc>
      </w:tr>
      <w:tr w:rsidRPr="00EE5B47" w:rsidR="00EE5B47" w:rsidTr="003A4B84" w14:paraId="1F5D6A96" w14:textId="77777777">
        <w:trPr>
          <w:trHeight w:val="270"/>
        </w:trPr>
        <w:tc>
          <w:tcPr>
            <w:tcW w:w="2593" w:type="dxa"/>
            <w:tcBorders>
              <w:top w:val="nil"/>
              <w:left w:val="nil"/>
              <w:bottom w:val="single" w:color="auto" w:sz="8" w:space="0"/>
              <w:right w:val="single" w:color="auto" w:sz="4" w:space="0"/>
            </w:tcBorders>
            <w:shd w:val="clear" w:color="auto" w:fill="auto"/>
            <w:vAlign w:val="bottom"/>
            <w:hideMark/>
          </w:tcPr>
          <w:p w:rsidRPr="00EE5B47" w:rsidR="001556F2" w:rsidP="001556F2" w:rsidRDefault="001556F2" w14:paraId="141F95E8" w14:textId="77777777">
            <w:pPr>
              <w:rPr>
                <w:sz w:val="20"/>
                <w:szCs w:val="20"/>
              </w:rPr>
            </w:pPr>
            <w:r w:rsidRPr="00EE5B47">
              <w:rPr>
                <w:sz w:val="20"/>
                <w:szCs w:val="20"/>
              </w:rPr>
              <w:t>Investor</w:t>
            </w:r>
          </w:p>
        </w:tc>
        <w:tc>
          <w:tcPr>
            <w:tcW w:w="1343" w:type="dxa"/>
            <w:tcBorders>
              <w:top w:val="nil"/>
              <w:left w:val="nil"/>
              <w:bottom w:val="single" w:color="auto" w:sz="8" w:space="0"/>
              <w:right w:val="nil"/>
            </w:tcBorders>
            <w:shd w:val="clear" w:color="auto" w:fill="auto"/>
            <w:vAlign w:val="bottom"/>
            <w:hideMark/>
          </w:tcPr>
          <w:p w:rsidRPr="00EE5B47" w:rsidR="001556F2" w:rsidP="001556F2" w:rsidRDefault="001556F2" w14:paraId="1AC69E87" w14:textId="77777777">
            <w:pPr>
              <w:jc w:val="center"/>
              <w:rPr>
                <w:sz w:val="20"/>
                <w:szCs w:val="20"/>
              </w:rPr>
            </w:pPr>
            <w:r w:rsidRPr="00EE5B47">
              <w:rPr>
                <w:sz w:val="20"/>
                <w:szCs w:val="20"/>
              </w:rPr>
              <w:t>283 (12.1)</w:t>
            </w:r>
          </w:p>
        </w:tc>
        <w:tc>
          <w:tcPr>
            <w:tcW w:w="1416" w:type="dxa"/>
            <w:tcBorders>
              <w:top w:val="nil"/>
              <w:left w:val="nil"/>
              <w:bottom w:val="single" w:color="auto" w:sz="8" w:space="0"/>
              <w:right w:val="nil"/>
            </w:tcBorders>
            <w:shd w:val="clear" w:color="auto" w:fill="auto"/>
            <w:noWrap/>
            <w:vAlign w:val="bottom"/>
            <w:hideMark/>
          </w:tcPr>
          <w:p w:rsidRPr="00EE5B47" w:rsidR="001556F2" w:rsidP="001556F2" w:rsidRDefault="001556F2" w14:paraId="50BC7231" w14:textId="77777777">
            <w:pPr>
              <w:jc w:val="center"/>
              <w:rPr>
                <w:sz w:val="20"/>
                <w:szCs w:val="20"/>
              </w:rPr>
            </w:pPr>
            <w:r w:rsidRPr="00EE5B47">
              <w:rPr>
                <w:sz w:val="20"/>
                <w:szCs w:val="20"/>
              </w:rPr>
              <w:t>351 (19.5)</w:t>
            </w:r>
          </w:p>
        </w:tc>
        <w:tc>
          <w:tcPr>
            <w:tcW w:w="1487" w:type="dxa"/>
            <w:tcBorders>
              <w:top w:val="nil"/>
              <w:left w:val="nil"/>
              <w:bottom w:val="single" w:color="auto" w:sz="8" w:space="0"/>
              <w:right w:val="single" w:color="auto" w:sz="4" w:space="0"/>
            </w:tcBorders>
            <w:shd w:val="clear" w:color="auto" w:fill="auto"/>
            <w:noWrap/>
            <w:vAlign w:val="bottom"/>
            <w:hideMark/>
          </w:tcPr>
          <w:p w:rsidRPr="00EE5B47" w:rsidR="001556F2" w:rsidP="001556F2" w:rsidRDefault="001556F2" w14:paraId="687590C6" w14:textId="77777777">
            <w:pPr>
              <w:jc w:val="center"/>
              <w:rPr>
                <w:sz w:val="20"/>
                <w:szCs w:val="20"/>
              </w:rPr>
            </w:pPr>
            <w:r w:rsidRPr="00EE5B47">
              <w:rPr>
                <w:sz w:val="20"/>
                <w:szCs w:val="20"/>
              </w:rPr>
              <w:t>41 (9.7)</w:t>
            </w:r>
          </w:p>
        </w:tc>
        <w:tc>
          <w:tcPr>
            <w:tcW w:w="1167" w:type="dxa"/>
            <w:tcBorders>
              <w:top w:val="nil"/>
              <w:left w:val="nil"/>
              <w:bottom w:val="single" w:color="auto" w:sz="8" w:space="0"/>
              <w:right w:val="nil"/>
            </w:tcBorders>
            <w:shd w:val="clear" w:color="auto" w:fill="auto"/>
            <w:noWrap/>
            <w:vAlign w:val="bottom"/>
            <w:hideMark/>
          </w:tcPr>
          <w:p w:rsidRPr="00EE5B47" w:rsidR="001556F2" w:rsidP="001556F2" w:rsidRDefault="001556F2" w14:paraId="013FE702" w14:textId="77777777">
            <w:pPr>
              <w:jc w:val="center"/>
              <w:rPr>
                <w:sz w:val="20"/>
                <w:szCs w:val="20"/>
              </w:rPr>
            </w:pPr>
            <w:r w:rsidRPr="00EE5B47">
              <w:rPr>
                <w:sz w:val="20"/>
                <w:szCs w:val="20"/>
              </w:rPr>
              <w:t>59 (13.7)</w:t>
            </w:r>
          </w:p>
        </w:tc>
        <w:tc>
          <w:tcPr>
            <w:tcW w:w="1397" w:type="dxa"/>
            <w:tcBorders>
              <w:top w:val="nil"/>
              <w:left w:val="nil"/>
              <w:bottom w:val="single" w:color="auto" w:sz="8" w:space="0"/>
              <w:right w:val="nil"/>
            </w:tcBorders>
            <w:shd w:val="clear" w:color="auto" w:fill="auto"/>
            <w:noWrap/>
            <w:vAlign w:val="bottom"/>
            <w:hideMark/>
          </w:tcPr>
          <w:p w:rsidRPr="00EE5B47" w:rsidR="001556F2" w:rsidP="001556F2" w:rsidRDefault="001556F2" w14:paraId="0B8DDA7F" w14:textId="77777777">
            <w:pPr>
              <w:jc w:val="center"/>
              <w:rPr>
                <w:sz w:val="20"/>
                <w:szCs w:val="20"/>
              </w:rPr>
            </w:pPr>
            <w:r w:rsidRPr="00EE5B47">
              <w:rPr>
                <w:sz w:val="20"/>
                <w:szCs w:val="20"/>
              </w:rPr>
              <w:t>86 (20.0)</w:t>
            </w:r>
          </w:p>
        </w:tc>
        <w:tc>
          <w:tcPr>
            <w:tcW w:w="1280" w:type="dxa"/>
            <w:tcBorders>
              <w:top w:val="nil"/>
              <w:left w:val="nil"/>
              <w:bottom w:val="single" w:color="auto" w:sz="8" w:space="0"/>
              <w:right w:val="nil"/>
            </w:tcBorders>
            <w:shd w:val="clear" w:color="auto" w:fill="auto"/>
            <w:noWrap/>
            <w:vAlign w:val="bottom"/>
            <w:hideMark/>
          </w:tcPr>
          <w:p w:rsidRPr="00EE5B47" w:rsidR="001556F2" w:rsidP="001556F2" w:rsidRDefault="001556F2" w14:paraId="5C03F867" w14:textId="77777777">
            <w:pPr>
              <w:jc w:val="center"/>
              <w:rPr>
                <w:sz w:val="20"/>
                <w:szCs w:val="20"/>
              </w:rPr>
            </w:pPr>
            <w:r w:rsidRPr="00EE5B47">
              <w:rPr>
                <w:sz w:val="20"/>
                <w:szCs w:val="20"/>
              </w:rPr>
              <w:t>36 (8.4)</w:t>
            </w:r>
          </w:p>
        </w:tc>
      </w:tr>
    </w:tbl>
    <w:p w:rsidRPr="00EE5B47" w:rsidR="00610AF8" w:rsidP="00B825FA" w:rsidRDefault="00610AF8" w14:paraId="364DDD96" w14:textId="77777777">
      <w:pPr>
        <w:rPr>
          <w:sz w:val="20"/>
          <w:szCs w:val="20"/>
        </w:rPr>
      </w:pPr>
    </w:p>
    <w:p w:rsidRPr="00EE5B47" w:rsidR="00B825FA" w:rsidP="00B825FA" w:rsidRDefault="00B825FA" w14:paraId="2346F02C" w14:textId="2C82F06A">
      <w:pPr>
        <w:rPr>
          <w:sz w:val="20"/>
          <w:szCs w:val="20"/>
        </w:rPr>
      </w:pPr>
      <w:r w:rsidRPr="00EE5B47">
        <w:rPr>
          <w:sz w:val="20"/>
          <w:szCs w:val="20"/>
        </w:rPr>
        <w:t xml:space="preserve">*Nine hospitals </w:t>
      </w:r>
      <w:r w:rsidRPr="00EE5B47" w:rsidR="00D055E4">
        <w:rPr>
          <w:sz w:val="20"/>
          <w:szCs w:val="20"/>
        </w:rPr>
        <w:t xml:space="preserve">in the population </w:t>
      </w:r>
      <w:r w:rsidRPr="00EE5B47">
        <w:rPr>
          <w:sz w:val="20"/>
          <w:szCs w:val="20"/>
        </w:rPr>
        <w:t>have no location identified</w:t>
      </w:r>
      <w:r w:rsidRPr="00EE5B47" w:rsidR="00D055E4">
        <w:rPr>
          <w:sz w:val="20"/>
          <w:szCs w:val="20"/>
        </w:rPr>
        <w:t>; s</w:t>
      </w:r>
      <w:r w:rsidRPr="00EE5B47">
        <w:rPr>
          <w:sz w:val="20"/>
          <w:szCs w:val="20"/>
        </w:rPr>
        <w:t xml:space="preserve">ix small hospitals and one medium hospital </w:t>
      </w:r>
      <w:r w:rsidRPr="00EE5B47" w:rsidR="00D055E4">
        <w:rPr>
          <w:sz w:val="20"/>
          <w:szCs w:val="20"/>
        </w:rPr>
        <w:t xml:space="preserve">in the sample </w:t>
      </w:r>
      <w:r w:rsidRPr="00EE5B47">
        <w:rPr>
          <w:sz w:val="20"/>
          <w:szCs w:val="20"/>
        </w:rPr>
        <w:t>have no location identified</w:t>
      </w:r>
    </w:p>
    <w:p w:rsidR="005A2F98" w:rsidP="00457DF2" w:rsidRDefault="00453A2B" w14:paraId="002A8FD9" w14:textId="06D715D7">
      <w:pPr>
        <w:pStyle w:val="Heading2"/>
        <w:spacing w:before="0" w:after="0" w:line="360" w:lineRule="auto"/>
        <w:rPr>
          <w:rFonts w:ascii="Times New Roman" w:hAnsi="Times New Roman"/>
          <w:b w:val="0"/>
          <w:i w:val="0"/>
          <w:sz w:val="24"/>
          <w:szCs w:val="24"/>
        </w:rPr>
      </w:pPr>
      <w:r w:rsidRPr="00EE5B47">
        <w:rPr>
          <w:rFonts w:ascii="Times New Roman" w:hAnsi="Times New Roman"/>
          <w:b w:val="0"/>
          <w:i w:val="0"/>
          <w:sz w:val="24"/>
          <w:szCs w:val="24"/>
        </w:rPr>
        <w:lastRenderedPageBreak/>
        <w:t xml:space="preserve">When one compares the </w:t>
      </w:r>
      <w:r w:rsidRPr="00EE5B47" w:rsidR="00CD3434">
        <w:rPr>
          <w:rFonts w:ascii="Times New Roman" w:hAnsi="Times New Roman"/>
          <w:b w:val="0"/>
          <w:i w:val="0"/>
          <w:sz w:val="24"/>
          <w:szCs w:val="24"/>
        </w:rPr>
        <w:t xml:space="preserve">proportion of hospitals by </w:t>
      </w:r>
      <w:r w:rsidRPr="00EE5B47">
        <w:rPr>
          <w:rFonts w:ascii="Times New Roman" w:hAnsi="Times New Roman"/>
          <w:b w:val="0"/>
          <w:i w:val="0"/>
          <w:sz w:val="24"/>
          <w:szCs w:val="24"/>
        </w:rPr>
        <w:t xml:space="preserve">demographic </w:t>
      </w:r>
      <w:r w:rsidRPr="00D965AE">
        <w:rPr>
          <w:rFonts w:ascii="Times New Roman" w:hAnsi="Times New Roman"/>
          <w:b w:val="0"/>
          <w:i w:val="0"/>
          <w:sz w:val="24"/>
          <w:szCs w:val="24"/>
        </w:rPr>
        <w:t xml:space="preserve">characteristics in each </w:t>
      </w:r>
      <w:r w:rsidRPr="00D965AE" w:rsidR="002125F6">
        <w:rPr>
          <w:rFonts w:ascii="Times New Roman" w:hAnsi="Times New Roman"/>
          <w:b w:val="0"/>
          <w:i w:val="0"/>
          <w:sz w:val="24"/>
          <w:szCs w:val="24"/>
        </w:rPr>
        <w:t>bed size</w:t>
      </w:r>
      <w:r w:rsidRPr="00D965AE">
        <w:rPr>
          <w:rFonts w:ascii="Times New Roman" w:hAnsi="Times New Roman"/>
          <w:b w:val="0"/>
          <w:i w:val="0"/>
          <w:sz w:val="24"/>
          <w:szCs w:val="24"/>
        </w:rPr>
        <w:t xml:space="preserve"> for the selected sample</w:t>
      </w:r>
      <w:r w:rsidR="00104173">
        <w:rPr>
          <w:rFonts w:ascii="Times New Roman" w:hAnsi="Times New Roman"/>
          <w:b w:val="0"/>
          <w:i w:val="0"/>
          <w:sz w:val="24"/>
          <w:szCs w:val="24"/>
        </w:rPr>
        <w:t xml:space="preserve"> </w:t>
      </w:r>
      <w:r w:rsidRPr="00D965AE">
        <w:rPr>
          <w:rFonts w:ascii="Times New Roman" w:hAnsi="Times New Roman"/>
          <w:b w:val="0"/>
          <w:i w:val="0"/>
          <w:sz w:val="24"/>
          <w:szCs w:val="24"/>
        </w:rPr>
        <w:t xml:space="preserve">with the </w:t>
      </w:r>
      <w:r w:rsidRPr="00D965AE" w:rsidR="00CD3434">
        <w:rPr>
          <w:rFonts w:ascii="Times New Roman" w:hAnsi="Times New Roman"/>
          <w:b w:val="0"/>
          <w:i w:val="0"/>
          <w:sz w:val="24"/>
          <w:szCs w:val="24"/>
        </w:rPr>
        <w:t xml:space="preserve">demographic characteristics of the </w:t>
      </w:r>
      <w:r w:rsidRPr="00D965AE" w:rsidR="009D4A66">
        <w:rPr>
          <w:rFonts w:ascii="Times New Roman" w:hAnsi="Times New Roman"/>
          <w:b w:val="0"/>
          <w:i w:val="0"/>
          <w:sz w:val="24"/>
          <w:szCs w:val="24"/>
        </w:rPr>
        <w:t xml:space="preserve">respondent universe </w:t>
      </w:r>
      <w:r w:rsidRPr="00D965AE">
        <w:rPr>
          <w:rFonts w:ascii="Times New Roman" w:hAnsi="Times New Roman"/>
          <w:b w:val="0"/>
          <w:i w:val="0"/>
          <w:sz w:val="24"/>
          <w:szCs w:val="24"/>
        </w:rPr>
        <w:t xml:space="preserve">(Table </w:t>
      </w:r>
      <w:r w:rsidR="00F037FF">
        <w:rPr>
          <w:rFonts w:ascii="Times New Roman" w:hAnsi="Times New Roman"/>
          <w:b w:val="0"/>
          <w:i w:val="0"/>
          <w:sz w:val="24"/>
          <w:szCs w:val="24"/>
        </w:rPr>
        <w:t>1</w:t>
      </w:r>
      <w:r w:rsidRPr="00D965AE">
        <w:rPr>
          <w:rFonts w:ascii="Times New Roman" w:hAnsi="Times New Roman"/>
          <w:b w:val="0"/>
          <w:i w:val="0"/>
          <w:sz w:val="24"/>
          <w:szCs w:val="24"/>
        </w:rPr>
        <w:t xml:space="preserve">), </w:t>
      </w:r>
      <w:r w:rsidRPr="00D965AE" w:rsidR="00CD3434">
        <w:rPr>
          <w:rFonts w:ascii="Times New Roman" w:hAnsi="Times New Roman"/>
          <w:b w:val="0"/>
          <w:i w:val="0"/>
          <w:sz w:val="24"/>
          <w:szCs w:val="24"/>
        </w:rPr>
        <w:t xml:space="preserve">they are quite similar which suggests the sample should be representative of the </w:t>
      </w:r>
      <w:r w:rsidRPr="00D965AE" w:rsidR="009D4A66">
        <w:rPr>
          <w:rFonts w:ascii="Times New Roman" w:hAnsi="Times New Roman"/>
          <w:b w:val="0"/>
          <w:i w:val="0"/>
          <w:sz w:val="24"/>
          <w:szCs w:val="24"/>
        </w:rPr>
        <w:t>respondent universe</w:t>
      </w:r>
      <w:r w:rsidRPr="00D965AE" w:rsidR="00CD3434">
        <w:rPr>
          <w:rFonts w:ascii="Times New Roman" w:hAnsi="Times New Roman"/>
          <w:b w:val="0"/>
          <w:i w:val="0"/>
          <w:sz w:val="24"/>
          <w:szCs w:val="24"/>
        </w:rPr>
        <w:t xml:space="preserve">.  </w:t>
      </w:r>
      <w:r w:rsidR="00857A21">
        <w:rPr>
          <w:rFonts w:ascii="Times New Roman" w:hAnsi="Times New Roman"/>
          <w:b w:val="0"/>
          <w:i w:val="0"/>
          <w:sz w:val="24"/>
          <w:szCs w:val="24"/>
        </w:rPr>
        <w:t>I</w:t>
      </w:r>
      <w:r w:rsidRPr="00D965AE" w:rsidR="00CD3434">
        <w:rPr>
          <w:rFonts w:ascii="Times New Roman" w:hAnsi="Times New Roman"/>
          <w:b w:val="0"/>
          <w:i w:val="0"/>
          <w:sz w:val="24"/>
          <w:szCs w:val="24"/>
        </w:rPr>
        <w:t>f response bias by demographic characteristics is a problem, weighting will be used to adjust estimates as needed.</w:t>
      </w:r>
    </w:p>
    <w:p w:rsidRPr="00CD6246" w:rsidR="00CD6246" w:rsidP="00CD6246" w:rsidRDefault="00CD6246" w14:paraId="046D8564" w14:textId="77777777"/>
    <w:p w:rsidRPr="00483B0E" w:rsidR="00A868DA" w:rsidP="00457DF2" w:rsidRDefault="00A868DA" w14:paraId="30E7336C" w14:textId="3AF26572">
      <w:pPr>
        <w:pStyle w:val="Heading2"/>
        <w:spacing w:before="0" w:after="0" w:line="360" w:lineRule="auto"/>
        <w:rPr>
          <w:rFonts w:ascii="Times New Roman" w:hAnsi="Times New Roman"/>
          <w:i w:val="0"/>
          <w:sz w:val="24"/>
          <w:szCs w:val="24"/>
        </w:rPr>
      </w:pPr>
      <w:r w:rsidRPr="00483B0E">
        <w:rPr>
          <w:rFonts w:ascii="Times New Roman" w:hAnsi="Times New Roman"/>
          <w:i w:val="0"/>
          <w:sz w:val="24"/>
          <w:szCs w:val="24"/>
        </w:rPr>
        <w:t>B.2. Procedures for the Collection of Information</w:t>
      </w:r>
    </w:p>
    <w:p w:rsidRPr="00483B0E" w:rsidR="00317EC5" w:rsidP="00457DF2" w:rsidRDefault="00317EC5" w14:paraId="24012DC9" w14:textId="77777777">
      <w:pPr>
        <w:spacing w:line="360" w:lineRule="auto"/>
      </w:pPr>
    </w:p>
    <w:p w:rsidRPr="00483B0E" w:rsidR="008858DB" w:rsidP="008858DB" w:rsidRDefault="00E115BD" w14:paraId="3ACC9C30" w14:textId="6DFF1683">
      <w:pPr>
        <w:spacing w:line="360" w:lineRule="auto"/>
      </w:pPr>
      <w:r w:rsidRPr="00483B0E">
        <w:t xml:space="preserve">The participants in the project will complete a questionnaire that is administered electronically through the </w:t>
      </w:r>
      <w:proofErr w:type="spellStart"/>
      <w:r w:rsidRPr="00483B0E">
        <w:t>Qualtrics</w:t>
      </w:r>
      <w:r w:rsidRPr="00483B0E">
        <w:rPr>
          <w:vertAlign w:val="superscript"/>
        </w:rPr>
        <w:t>XM</w:t>
      </w:r>
      <w:proofErr w:type="spellEnd"/>
      <w:r w:rsidRPr="00483B0E">
        <w:t xml:space="preserve"> </w:t>
      </w:r>
      <w:r w:rsidRPr="00A036C9" w:rsidR="00E30A98">
        <w:t>(</w:t>
      </w:r>
      <w:hyperlink w:history="1" r:id="rId12">
        <w:r w:rsidRPr="00A036C9" w:rsidR="00E30A98">
          <w:rPr>
            <w:rStyle w:val="Hyperlink"/>
            <w:color w:val="auto"/>
          </w:rPr>
          <w:t>Provo, UT</w:t>
        </w:r>
      </w:hyperlink>
      <w:r w:rsidRPr="00A036C9" w:rsidR="00E30A98">
        <w:t xml:space="preserve">, https://www.qualtrics.com) </w:t>
      </w:r>
      <w:r w:rsidRPr="00A036C9">
        <w:t>platform. There will be no face to face interaction.</w:t>
      </w:r>
      <w:r w:rsidRPr="00A036C9" w:rsidR="00392DA3">
        <w:t xml:space="preserve"> </w:t>
      </w:r>
      <w:r w:rsidRPr="00483B0E" w:rsidR="008858DB">
        <w:t>An implementation email (</w:t>
      </w:r>
      <w:r w:rsidRPr="00483B0E" w:rsidR="008858DB">
        <w:rPr>
          <w:b/>
          <w:bCs/>
        </w:rPr>
        <w:t>Attachment</w:t>
      </w:r>
      <w:r w:rsidRPr="00483B0E" w:rsidR="00FE0B6A">
        <w:rPr>
          <w:b/>
          <w:bCs/>
        </w:rPr>
        <w:t xml:space="preserve"> </w:t>
      </w:r>
      <w:r w:rsidRPr="00483B0E" w:rsidR="008C4494">
        <w:rPr>
          <w:b/>
          <w:bCs/>
        </w:rPr>
        <w:t>5</w:t>
      </w:r>
      <w:r w:rsidRPr="00483B0E" w:rsidR="008858DB">
        <w:t>) will be sent to each eligible participant. The email includes a hyperlink to the Project Information Sheet (</w:t>
      </w:r>
      <w:r w:rsidRPr="00483B0E" w:rsidR="008858DB">
        <w:rPr>
          <w:b/>
          <w:bCs/>
        </w:rPr>
        <w:t>Attachment</w:t>
      </w:r>
      <w:r w:rsidRPr="00483B0E" w:rsidR="00FE0B6A">
        <w:rPr>
          <w:b/>
          <w:bCs/>
        </w:rPr>
        <w:t xml:space="preserve"> </w:t>
      </w:r>
      <w:r w:rsidR="00213AAA">
        <w:rPr>
          <w:b/>
          <w:bCs/>
        </w:rPr>
        <w:t>5</w:t>
      </w:r>
      <w:r w:rsidRPr="00483B0E" w:rsidR="008858DB">
        <w:t xml:space="preserve">) that describes in more detail what the project entails and why it is important, as well as a hyperlink to a pdf of the questionnaire. The information sheet includes the elements needed for online survey consent. </w:t>
      </w:r>
    </w:p>
    <w:p w:rsidRPr="00483B0E" w:rsidR="00A31809" w:rsidP="00A31809" w:rsidRDefault="00A31809" w14:paraId="72E26747" w14:textId="524A3DBD">
      <w:pPr>
        <w:spacing w:line="360" w:lineRule="auto"/>
      </w:pPr>
    </w:p>
    <w:p w:rsidRPr="00483B0E" w:rsidR="00FD1D09" w:rsidP="0D5AD8BD" w:rsidRDefault="00951A92" w14:paraId="30E73370" w14:textId="5F06F89A">
      <w:pPr>
        <w:spacing w:line="360" w:lineRule="auto"/>
      </w:pPr>
      <w:r w:rsidRPr="00483B0E">
        <w:rPr>
          <w:i/>
        </w:rPr>
        <w:t xml:space="preserve">How respondents </w:t>
      </w:r>
      <w:r w:rsidR="00A12E27">
        <w:rPr>
          <w:i/>
        </w:rPr>
        <w:t xml:space="preserve">are </w:t>
      </w:r>
      <w:r w:rsidRPr="00483B0E">
        <w:rPr>
          <w:i/>
        </w:rPr>
        <w:t>chosen</w:t>
      </w:r>
      <w:r w:rsidRPr="00483B0E">
        <w:t xml:space="preserve">: We used a stratified sampling method in order to ensure that our sample best represents our </w:t>
      </w:r>
      <w:r w:rsidR="00AA44C6">
        <w:t>respondent universe</w:t>
      </w:r>
      <w:r w:rsidRPr="00483B0E">
        <w:t xml:space="preserve">. This method allows us to ensure that all subgroups of interest are equally accounted for in the sample. </w:t>
      </w:r>
      <w:r w:rsidRPr="00483B0E" w:rsidR="00ED54B0">
        <w:t xml:space="preserve"> Through pilot testing, we identified the target respondent </w:t>
      </w:r>
      <w:r w:rsidR="00F429DB">
        <w:t>as</w:t>
      </w:r>
      <w:r w:rsidRPr="00483B0E" w:rsidR="00ED54B0">
        <w:t xml:space="preserve"> </w:t>
      </w:r>
      <w:r w:rsidRPr="00483B0E" w:rsidR="00D72918">
        <w:t xml:space="preserve">the </w:t>
      </w:r>
      <w:r w:rsidRPr="00483B0E" w:rsidR="003C2BB6">
        <w:t xml:space="preserve">Director of Quality and Safety (or equivalent title) at each hospital.  </w:t>
      </w:r>
    </w:p>
    <w:p w:rsidR="00171CF8" w:rsidP="00A868DA" w:rsidRDefault="00171CF8" w14:paraId="2054F08E" w14:textId="77777777">
      <w:pPr>
        <w:pStyle w:val="Heading2"/>
        <w:spacing w:before="0" w:after="0"/>
        <w:rPr>
          <w:rFonts w:ascii="Times New Roman" w:hAnsi="Times New Roman"/>
          <w:i w:val="0"/>
          <w:sz w:val="24"/>
          <w:szCs w:val="24"/>
        </w:rPr>
      </w:pPr>
    </w:p>
    <w:p w:rsidRPr="00483B0E" w:rsidR="00A868DA" w:rsidP="00A868DA" w:rsidRDefault="00A868DA" w14:paraId="30E73371" w14:textId="1CC3D87D">
      <w:pPr>
        <w:pStyle w:val="Heading2"/>
        <w:spacing w:before="0" w:after="0"/>
        <w:rPr>
          <w:rFonts w:ascii="Times New Roman" w:hAnsi="Times New Roman"/>
          <w:i w:val="0"/>
          <w:sz w:val="24"/>
          <w:szCs w:val="24"/>
        </w:rPr>
      </w:pPr>
      <w:r w:rsidRPr="00483B0E">
        <w:rPr>
          <w:rFonts w:ascii="Times New Roman" w:hAnsi="Times New Roman"/>
          <w:i w:val="0"/>
          <w:sz w:val="24"/>
          <w:szCs w:val="24"/>
        </w:rPr>
        <w:t>B.3. Methods to Maximize Response Rates and Deal with No</w:t>
      </w:r>
      <w:r w:rsidRPr="00483B0E" w:rsidR="00C8148B">
        <w:rPr>
          <w:rFonts w:ascii="Times New Roman" w:hAnsi="Times New Roman"/>
          <w:i w:val="0"/>
          <w:sz w:val="24"/>
          <w:szCs w:val="24"/>
        </w:rPr>
        <w:t xml:space="preserve"> R</w:t>
      </w:r>
      <w:r w:rsidRPr="00483B0E">
        <w:rPr>
          <w:rFonts w:ascii="Times New Roman" w:hAnsi="Times New Roman"/>
          <w:i w:val="0"/>
          <w:sz w:val="24"/>
          <w:szCs w:val="24"/>
        </w:rPr>
        <w:t>esponse</w:t>
      </w:r>
    </w:p>
    <w:p w:rsidRPr="00576C25" w:rsidR="00A92FA2" w:rsidP="00A77966" w:rsidRDefault="00A92FA2" w14:paraId="4A719C7B" w14:textId="77777777">
      <w:pPr>
        <w:spacing w:line="360" w:lineRule="auto"/>
      </w:pPr>
    </w:p>
    <w:p w:rsidRPr="00483B0E" w:rsidR="00A77966" w:rsidP="04E5BEF2" w:rsidRDefault="1166FAA8" w14:paraId="24206EB4" w14:textId="151ECE49">
      <w:pPr>
        <w:spacing w:line="360" w:lineRule="auto"/>
        <w:rPr>
          <w:highlight w:val="yellow"/>
        </w:rPr>
      </w:pPr>
      <w:r w:rsidRPr="00576C25">
        <w:t xml:space="preserve">Several methods will be used to maximize response rates.  </w:t>
      </w:r>
      <w:r w:rsidRPr="00576C25" w:rsidR="00576C25">
        <w:t>The study team will</w:t>
      </w:r>
      <w:r w:rsidRPr="00576C25">
        <w:t xml:space="preserve"> </w:t>
      </w:r>
      <w:r w:rsidRPr="00576C25" w:rsidR="72B2B366">
        <w:t>reach out directly to the target respondent</w:t>
      </w:r>
      <w:r w:rsidRPr="00576C25" w:rsidR="01F267A9">
        <w:t xml:space="preserve"> </w:t>
      </w:r>
      <w:r w:rsidRPr="00576C25" w:rsidR="00576C25">
        <w:t xml:space="preserve">using </w:t>
      </w:r>
      <w:r w:rsidRPr="00576C25" w:rsidR="01F267A9">
        <w:t>accurate contact information</w:t>
      </w:r>
      <w:r w:rsidRPr="00576C25" w:rsidR="72B2B366">
        <w:t xml:space="preserve">.  Because titles for the target respondent </w:t>
      </w:r>
      <w:r w:rsidRPr="00576C25" w:rsidR="00546D59">
        <w:t>vary across hospitals, we will ut</w:t>
      </w:r>
      <w:r w:rsidRPr="00576C25" w:rsidR="5F6677D0">
        <w:t>ilize a vendor with whom we already have established relationships to obtain the name a</w:t>
      </w:r>
      <w:r w:rsidRPr="00576C25" w:rsidR="72B2B366">
        <w:t xml:space="preserve">nd </w:t>
      </w:r>
      <w:r w:rsidRPr="00576C25" w:rsidR="5F6677D0">
        <w:t>email address for the person serving the rol</w:t>
      </w:r>
      <w:r w:rsidRPr="00576C25" w:rsidR="3BAB10C8">
        <w:t>e of Director of Quality and Safety.  T</w:t>
      </w:r>
      <w:r w:rsidRPr="00576C25" w:rsidR="001974C6">
        <w:t xml:space="preserve">his vendor is </w:t>
      </w:r>
      <w:r w:rsidRPr="00576C25" w:rsidR="00A77966">
        <w:t xml:space="preserve">Definitive Healthcare </w:t>
      </w:r>
      <w:r w:rsidRPr="00576C25" w:rsidR="00A51B0C">
        <w:t>(</w:t>
      </w:r>
      <w:r w:rsidRPr="00576C25" w:rsidR="00CA3871">
        <w:t xml:space="preserve">Framingham, MA. URL </w:t>
      </w:r>
      <w:r w:rsidRPr="00576C25" w:rsidR="00CA3871">
        <w:rPr>
          <w:rStyle w:val="HTMLCite"/>
        </w:rPr>
        <w:t>https://</w:t>
      </w:r>
      <w:hyperlink w:history="1" r:id="rId13">
        <w:r w:rsidRPr="00576C25" w:rsidR="00CA3871">
          <w:rPr>
            <w:rStyle w:val="Hyperlink"/>
            <w:color w:val="auto"/>
          </w:rPr>
          <w:t>www.definitivehc.com</w:t>
        </w:r>
      </w:hyperlink>
      <w:r w:rsidRPr="00576C25" w:rsidR="00A51B0C">
        <w:rPr>
          <w:rStyle w:val="HTMLCite"/>
          <w:i w:val="0"/>
        </w:rPr>
        <w:t>)</w:t>
      </w:r>
      <w:r w:rsidRPr="00576C25" w:rsidR="00A51B0C">
        <w:t>.</w:t>
      </w:r>
      <w:r w:rsidRPr="00576C25" w:rsidR="00A51B0C">
        <w:rPr>
          <w:b/>
          <w:shd w:val="clear" w:color="auto" w:fill="FFFFFF"/>
        </w:rPr>
        <w:t xml:space="preserve"> </w:t>
      </w:r>
      <w:r w:rsidRPr="00576C25" w:rsidR="00A51B0C">
        <w:rPr>
          <w:shd w:val="clear" w:color="auto" w:fill="FFFFFF"/>
        </w:rPr>
        <w:t xml:space="preserve">This company provides </w:t>
      </w:r>
      <w:r w:rsidRPr="00576C25" w:rsidR="001F61C9">
        <w:rPr>
          <w:shd w:val="clear" w:color="auto" w:fill="FFFFFF"/>
        </w:rPr>
        <w:t>detailed up</w:t>
      </w:r>
      <w:r w:rsidRPr="00576C25" w:rsidR="007E70F5">
        <w:rPr>
          <w:shd w:val="clear" w:color="auto" w:fill="FFFFFF"/>
        </w:rPr>
        <w:t>-</w:t>
      </w:r>
      <w:r w:rsidRPr="00576C25" w:rsidR="001F61C9">
        <w:rPr>
          <w:shd w:val="clear" w:color="auto" w:fill="FFFFFF"/>
        </w:rPr>
        <w:t>to</w:t>
      </w:r>
      <w:r w:rsidRPr="00576C25" w:rsidR="007E70F5">
        <w:rPr>
          <w:shd w:val="clear" w:color="auto" w:fill="FFFFFF"/>
        </w:rPr>
        <w:t>-</w:t>
      </w:r>
      <w:r w:rsidRPr="00576C25" w:rsidR="001F61C9">
        <w:rPr>
          <w:shd w:val="clear" w:color="auto" w:fill="FFFFFF"/>
        </w:rPr>
        <w:t xml:space="preserve">date information </w:t>
      </w:r>
      <w:r w:rsidRPr="00576C25" w:rsidR="00A51B0C">
        <w:rPr>
          <w:shd w:val="clear" w:color="auto" w:fill="FFFFFF"/>
        </w:rPr>
        <w:t xml:space="preserve">on </w:t>
      </w:r>
      <w:r w:rsidRPr="00576C25" w:rsidR="001F61C9">
        <w:rPr>
          <w:shd w:val="clear" w:color="auto" w:fill="FFFFFF"/>
        </w:rPr>
        <w:t>healthcare providers</w:t>
      </w:r>
      <w:r w:rsidRPr="00576C25" w:rsidR="740A8148">
        <w:rPr>
          <w:shd w:val="clear" w:color="auto" w:fill="FFFFFF"/>
        </w:rPr>
        <w:t xml:space="preserve"> at several leadership levels including of department heads</w:t>
      </w:r>
      <w:r w:rsidRPr="00576C25" w:rsidR="001F61C9">
        <w:rPr>
          <w:shd w:val="clear" w:color="auto" w:fill="FFFFFF"/>
        </w:rPr>
        <w:t xml:space="preserve">. </w:t>
      </w:r>
      <w:r w:rsidRPr="00576C25" w:rsidR="00A51B0C">
        <w:rPr>
          <w:shd w:val="clear" w:color="auto" w:fill="FFFFFF"/>
        </w:rPr>
        <w:t xml:space="preserve">The </w:t>
      </w:r>
      <w:r w:rsidRPr="00483B0E" w:rsidR="00A51B0C">
        <w:t>representative sample from the AHA database will be matched with Definitive Healthcare’s database which includes</w:t>
      </w:r>
      <w:r w:rsidR="001B6787">
        <w:t xml:space="preserve"> </w:t>
      </w:r>
      <w:r w:rsidR="009366B1">
        <w:t xml:space="preserve">email addresses </w:t>
      </w:r>
      <w:r w:rsidRPr="00483B0E" w:rsidR="001F61C9">
        <w:t xml:space="preserve">for the target </w:t>
      </w:r>
      <w:r w:rsidRPr="00483B0E" w:rsidR="00A51B0C">
        <w:t xml:space="preserve">respondent. </w:t>
      </w:r>
    </w:p>
    <w:p w:rsidR="001974C6" w:rsidP="34A7C827" w:rsidRDefault="001974C6" w14:paraId="3E1516FB" w14:textId="77777777">
      <w:pPr>
        <w:spacing w:line="360" w:lineRule="auto"/>
        <w:rPr>
          <w:color w:val="00B050"/>
        </w:rPr>
      </w:pPr>
    </w:p>
    <w:p w:rsidR="003F7CEF" w:rsidP="00F543B8" w:rsidRDefault="3769CBD4" w14:paraId="2F037B1A" w14:textId="79800A7A">
      <w:pPr>
        <w:spacing w:line="360" w:lineRule="auto"/>
        <w:rPr>
          <w:highlight w:val="yellow"/>
        </w:rPr>
      </w:pPr>
      <w:r w:rsidRPr="009E41DE">
        <w:t xml:space="preserve">With regard to tracking respondents, </w:t>
      </w:r>
      <w:r w:rsidRPr="009E41DE" w:rsidR="6CFB5927">
        <w:t>t</w:t>
      </w:r>
      <w:r w:rsidRPr="009E41DE" w:rsidR="00A77966">
        <w:t xml:space="preserve">he </w:t>
      </w:r>
      <w:proofErr w:type="spellStart"/>
      <w:r w:rsidRPr="009E41DE" w:rsidR="00A77966">
        <w:t>Qualtrics</w:t>
      </w:r>
      <w:r w:rsidRPr="009E41DE" w:rsidR="00A77966">
        <w:rPr>
          <w:vertAlign w:val="superscript"/>
        </w:rPr>
        <w:t>XM</w:t>
      </w:r>
      <w:proofErr w:type="spellEnd"/>
      <w:r w:rsidRPr="009E41DE" w:rsidR="00A77966">
        <w:t xml:space="preserve"> </w:t>
      </w:r>
      <w:r w:rsidRPr="009E41DE" w:rsidR="00E30A98">
        <w:t>(</w:t>
      </w:r>
      <w:hyperlink w:history="1" r:id="rId14">
        <w:r w:rsidRPr="009E41DE" w:rsidR="00E30A98">
          <w:rPr>
            <w:rStyle w:val="Hyperlink"/>
            <w:color w:val="auto"/>
          </w:rPr>
          <w:t>Provo, UT</w:t>
        </w:r>
      </w:hyperlink>
      <w:r w:rsidRPr="009E41DE" w:rsidR="00E30A98">
        <w:t xml:space="preserve">, </w:t>
      </w:r>
      <w:hyperlink w:history="1" r:id="rId15">
        <w:r w:rsidRPr="009E41DE" w:rsidR="00E30A98">
          <w:rPr>
            <w:rStyle w:val="Hyperlink"/>
            <w:color w:val="auto"/>
          </w:rPr>
          <w:t>https://www.qualtrics.com</w:t>
        </w:r>
      </w:hyperlink>
      <w:r w:rsidRPr="009E41DE" w:rsidR="00E30A98">
        <w:t xml:space="preserve">) </w:t>
      </w:r>
      <w:r w:rsidRPr="009E41DE" w:rsidR="00A77966">
        <w:t xml:space="preserve">platform can provide information </w:t>
      </w:r>
      <w:r w:rsidRPr="009E41DE" w:rsidR="1BE895B3">
        <w:t>on</w:t>
      </w:r>
      <w:r w:rsidRPr="009E41DE" w:rsidR="009366B1">
        <w:t xml:space="preserve"> </w:t>
      </w:r>
      <w:r w:rsidRPr="009E41DE" w:rsidR="008162BA">
        <w:t xml:space="preserve">the number of </w:t>
      </w:r>
      <w:r w:rsidRPr="009E41DE" w:rsidR="1B429626">
        <w:t xml:space="preserve">target </w:t>
      </w:r>
      <w:r w:rsidRPr="009E41DE" w:rsidR="008162BA">
        <w:t xml:space="preserve">respondents that </w:t>
      </w:r>
      <w:r w:rsidRPr="009E41DE" w:rsidR="00A77966">
        <w:t>ha</w:t>
      </w:r>
      <w:r w:rsidRPr="009E41DE" w:rsidR="00995CB0">
        <w:t>ve</w:t>
      </w:r>
      <w:r w:rsidRPr="009E41DE" w:rsidR="00A77966">
        <w:t xml:space="preserve"> rec</w:t>
      </w:r>
      <w:r w:rsidRPr="009E41DE" w:rsidR="00E6459D">
        <w:t>e</w:t>
      </w:r>
      <w:r w:rsidRPr="009E41DE" w:rsidR="00A77966">
        <w:t xml:space="preserve">ived, opened, started and completed the questionnaire. We will use this information to monitor online questionnaire uptake. We </w:t>
      </w:r>
      <w:r w:rsidRPr="009E41DE" w:rsidR="00A77966">
        <w:lastRenderedPageBreak/>
        <w:t xml:space="preserve">will send </w:t>
      </w:r>
      <w:r w:rsidRPr="009E41DE" w:rsidR="001F61C9">
        <w:t xml:space="preserve">a </w:t>
      </w:r>
      <w:r w:rsidRPr="009E41DE" w:rsidR="00A77966">
        <w:t xml:space="preserve">reminder two weeks after the initial </w:t>
      </w:r>
      <w:proofErr w:type="spellStart"/>
      <w:r w:rsidRPr="009E41DE" w:rsidR="00A77966">
        <w:t>Qualtrics</w:t>
      </w:r>
      <w:r w:rsidRPr="009E41DE" w:rsidR="00A77966">
        <w:rPr>
          <w:vertAlign w:val="superscript"/>
        </w:rPr>
        <w:t>XM</w:t>
      </w:r>
      <w:proofErr w:type="spellEnd"/>
      <w:r w:rsidRPr="009E41DE" w:rsidR="00A77966">
        <w:t xml:space="preserve"> </w:t>
      </w:r>
      <w:r w:rsidRPr="009E41DE" w:rsidR="00E30A98">
        <w:t>(</w:t>
      </w:r>
      <w:hyperlink w:history="1" r:id="rId16">
        <w:r w:rsidRPr="009E41DE" w:rsidR="00E30A98">
          <w:rPr>
            <w:rStyle w:val="Hyperlink"/>
            <w:color w:val="auto"/>
          </w:rPr>
          <w:t>Provo, UT</w:t>
        </w:r>
      </w:hyperlink>
      <w:r w:rsidRPr="009E41DE" w:rsidR="00E30A98">
        <w:t xml:space="preserve">, </w:t>
      </w:r>
      <w:hyperlink w:history="1" r:id="rId17">
        <w:r w:rsidRPr="009E41DE" w:rsidR="00E30A98">
          <w:rPr>
            <w:rStyle w:val="Hyperlink"/>
            <w:color w:val="auto"/>
          </w:rPr>
          <w:t>https://www.qualtrics.com</w:t>
        </w:r>
      </w:hyperlink>
      <w:r w:rsidRPr="009E41DE" w:rsidR="00E30A98">
        <w:t xml:space="preserve">) </w:t>
      </w:r>
      <w:r w:rsidRPr="009E41DE" w:rsidR="00A77966">
        <w:t xml:space="preserve">link </w:t>
      </w:r>
      <w:r w:rsidRPr="00483B0E" w:rsidR="00A77966">
        <w:t xml:space="preserve">is sent out and a second reminder two weeks following that. </w:t>
      </w:r>
      <w:r w:rsidRPr="00483B0E" w:rsidR="00547B28">
        <w:t>The team will continually monitor uptake to inform decisions on the need or nature of subsequent reminders. For example</w:t>
      </w:r>
      <w:r w:rsidRPr="00483B0E" w:rsidR="00750023">
        <w:t>,</w:t>
      </w:r>
      <w:r w:rsidRPr="00483B0E" w:rsidR="00547B28">
        <w:t xml:space="preserve"> follow-up with respondents who have started but not completed the questionnaire may be prioritized in reminders sent later in the implementation process.</w:t>
      </w:r>
    </w:p>
    <w:p w:rsidRPr="00F543B8" w:rsidR="00F543B8" w:rsidP="00F543B8" w:rsidRDefault="00F543B8" w14:paraId="401EDE3C" w14:textId="77777777">
      <w:pPr>
        <w:spacing w:line="360" w:lineRule="auto"/>
        <w:rPr>
          <w:highlight w:val="yellow"/>
        </w:rPr>
      </w:pPr>
    </w:p>
    <w:p w:rsidR="00246E7E" w:rsidP="005930DD" w:rsidRDefault="00A77966" w14:paraId="1CEB370D" w14:textId="51F5C799">
      <w:pPr>
        <w:spacing w:line="360" w:lineRule="auto"/>
        <w:rPr>
          <w:shd w:val="clear" w:color="auto" w:fill="FAF9F8"/>
        </w:rPr>
      </w:pPr>
      <w:r w:rsidRPr="00483B0E">
        <w:t xml:space="preserve">To enhance </w:t>
      </w:r>
      <w:r w:rsidR="00F543B8">
        <w:t xml:space="preserve">the </w:t>
      </w:r>
      <w:r w:rsidRPr="00483B0E">
        <w:t xml:space="preserve">perception of authenticity and boost response rate, we will include email and telephone contact information of the research project director in all communications to targeted respondents. This will allow respondents the ability to verify authenticity if in doubt by directly contacting the research team. </w:t>
      </w:r>
      <w:r w:rsidRPr="00483B0E" w:rsidR="000B74CB">
        <w:t xml:space="preserve"> We will also </w:t>
      </w:r>
      <w:r w:rsidRPr="00483B0E" w:rsidR="003C33A8">
        <w:t xml:space="preserve">announce the project </w:t>
      </w:r>
      <w:r w:rsidRPr="00483B0E" w:rsidR="006253CF">
        <w:t>through our Dep</w:t>
      </w:r>
      <w:r w:rsidRPr="00483B0E" w:rsidR="00784479">
        <w:t>ar</w:t>
      </w:r>
      <w:r w:rsidRPr="00483B0E" w:rsidR="006253CF">
        <w:t>t</w:t>
      </w:r>
      <w:r w:rsidRPr="00483B0E" w:rsidR="00784479">
        <w:t>ment</w:t>
      </w:r>
      <w:r w:rsidRPr="00483B0E" w:rsidR="006253CF">
        <w:t xml:space="preserve"> of Communications to alert hospitals that they may be invited to participate.</w:t>
      </w:r>
      <w:r w:rsidRPr="00483B0E" w:rsidR="000D460F">
        <w:t xml:space="preserve"> </w:t>
      </w:r>
    </w:p>
    <w:p w:rsidR="00246E7E" w:rsidP="005930DD" w:rsidRDefault="00246E7E" w14:paraId="03287E20" w14:textId="77777777">
      <w:pPr>
        <w:spacing w:line="360" w:lineRule="auto"/>
        <w:rPr>
          <w:shd w:val="clear" w:color="auto" w:fill="FAF9F8"/>
        </w:rPr>
      </w:pPr>
    </w:p>
    <w:p w:rsidRPr="002B6103" w:rsidR="008A434B" w:rsidP="00ED08B4" w:rsidRDefault="001E324F" w14:paraId="43BB1F6A" w14:textId="234E0847">
      <w:pPr>
        <w:spacing w:line="360" w:lineRule="auto"/>
      </w:pPr>
      <w:r w:rsidRPr="002B6103">
        <w:t xml:space="preserve">The possibility of response bias will be thoroughly examined </w:t>
      </w:r>
      <w:r w:rsidRPr="002B6103" w:rsidR="008A434B">
        <w:t xml:space="preserve">during data analysis. After the survey implementation period, preliminary analyses will include basic aggregate descriptive statistics for each question (frequencies and means etc. as appropriate).  The team will then select key questionnaire items for further examination. Using matched demographic data from the AHA dataset obtained during the sample selection process, we will stratify the data to compare frequencies and means by groupings of hospital characteristics such as bed size categories, teaching status and rural/urban location. As appropriate, multivariate regression analyses will be performed to identify factors that most influence the key items.  </w:t>
      </w:r>
    </w:p>
    <w:p w:rsidRPr="002B6103" w:rsidR="008A434B" w:rsidP="008A434B" w:rsidRDefault="008A434B" w14:paraId="7CB11094" w14:textId="77777777">
      <w:pPr>
        <w:pStyle w:val="ListParagraph"/>
        <w:spacing w:after="0" w:line="360" w:lineRule="auto"/>
      </w:pPr>
    </w:p>
    <w:p w:rsidRPr="002B6103" w:rsidR="008A434B" w:rsidP="008A434B" w:rsidRDefault="008A434B" w14:paraId="2FD5ED43" w14:textId="77777777">
      <w:pPr>
        <w:pStyle w:val="ListParagraph"/>
        <w:spacing w:after="0" w:line="360" w:lineRule="auto"/>
        <w:ind w:left="0"/>
        <w:rPr>
          <w:sz w:val="24"/>
          <w:szCs w:val="24"/>
        </w:rPr>
      </w:pPr>
      <w:r w:rsidRPr="002B6103">
        <w:rPr>
          <w:sz w:val="24"/>
          <w:szCs w:val="24"/>
        </w:rPr>
        <w:t xml:space="preserve">All analyses will be conducted using SAS statistical software, version 9.4 (SAS Institute, Cary, North Carolina) and </w:t>
      </w:r>
      <w:r w:rsidRPr="002B6103">
        <w:rPr>
          <w:rFonts w:eastAsia="Calibri"/>
          <w:sz w:val="24"/>
          <w:szCs w:val="24"/>
        </w:rPr>
        <w:t>R Foundation for Statistical Computing, Vienna, Austria (</w:t>
      </w:r>
      <w:r w:rsidRPr="002B6103">
        <w:rPr>
          <w:sz w:val="24"/>
          <w:szCs w:val="24"/>
        </w:rPr>
        <w:t>R Core Team (2014). R: A language and environment for statistical computing. R Foundation for Statistical Computing, Vienna, Austria. URL http://www.R-project.org/). The number of missing responses will be reported in the text whenever 10 or more responses were missing.  A 2-tailed P value of less than 0.05 will be used to indicate statistical significance.</w:t>
      </w:r>
    </w:p>
    <w:p w:rsidRPr="002B6103" w:rsidR="008A434B" w:rsidP="004D1986" w:rsidRDefault="008A434B" w14:paraId="46EA1A02" w14:textId="77777777">
      <w:pPr>
        <w:spacing w:line="360" w:lineRule="auto"/>
      </w:pPr>
    </w:p>
    <w:p w:rsidRPr="002B6103" w:rsidR="00FD2C74" w:rsidP="008A434B" w:rsidRDefault="001E324F" w14:paraId="1E00093A" w14:textId="19FC89D4">
      <w:pPr>
        <w:spacing w:line="360" w:lineRule="auto"/>
      </w:pPr>
      <w:r w:rsidRPr="002B6103">
        <w:t xml:space="preserve"> </w:t>
      </w:r>
      <w:r w:rsidRPr="002B6103" w:rsidR="00246E7E">
        <w:t>To examine the possibility of response bias, we will compare respondents and non-respondents from the original sample on demographic characteristics.  If response rates differ by hospital size or other important demographic characteristics, statistical adjustments will be made to enhance the external validity of the findings.  Sampling weights will be used to adjust the results for nonresponse</w:t>
      </w:r>
      <w:r w:rsidRPr="002B6103" w:rsidR="041CD6E2">
        <w:t xml:space="preserve">. </w:t>
      </w:r>
      <w:r w:rsidRPr="002B6103">
        <w:rPr>
          <w:i/>
        </w:rPr>
        <w:t xml:space="preserve"> </w:t>
      </w:r>
    </w:p>
    <w:p w:rsidRPr="002B6103" w:rsidR="00FD2C74" w:rsidP="00FD2C74" w:rsidRDefault="00FD2C74" w14:paraId="026EB1CB" w14:textId="77777777">
      <w:pPr>
        <w:pStyle w:val="ListParagraph"/>
        <w:spacing w:line="360" w:lineRule="auto"/>
        <w:rPr>
          <w:sz w:val="24"/>
          <w:szCs w:val="24"/>
        </w:rPr>
      </w:pPr>
    </w:p>
    <w:p w:rsidRPr="002B6103" w:rsidR="00FD2C74" w:rsidP="00ED08B4" w:rsidRDefault="00FD2C74" w14:paraId="3B35CDBD" w14:textId="77777777">
      <w:pPr>
        <w:spacing w:line="360" w:lineRule="auto"/>
      </w:pPr>
      <w:r w:rsidRPr="002B6103">
        <w:lastRenderedPageBreak/>
        <w:t>To determine the weights, we will use logistic regression to estimate the probability that a sampled hospital had completed the survey as a function of bed size, location (urban or rural), or other key hospital demographic variables.  The estimated response probabilities from this regression will then be grouped into 12 weighted adjustment classes so that the number of responses within each class was at least 20 and the units within each class are as similar as possible, based on the estimated probabilities. The inverse of the average predicted probability of response within each weighted adjustment class will then be used as the weight. The means and 95% confidence intervals (</w:t>
      </w:r>
      <w:proofErr w:type="spellStart"/>
      <w:r w:rsidRPr="002B6103">
        <w:t>Cls</w:t>
      </w:r>
      <w:proofErr w:type="spellEnd"/>
      <w:r w:rsidRPr="002B6103">
        <w:t xml:space="preserve">) for each item, both overall and stratified by the demographic characteristics, will then be calculated by using these sampling weights. The association of the key items with each of the demographic characteristics will be determined by using weighted chi-square tests (in these weighted analyses, PROC SURVEYFREQ and PROC SURVEY MEANS statements will be used). </w:t>
      </w:r>
    </w:p>
    <w:p w:rsidRPr="00483B0E" w:rsidR="00A1073B" w:rsidP="00A868DA" w:rsidRDefault="00A1073B" w14:paraId="30E73373" w14:textId="77777777"/>
    <w:p w:rsidRPr="00483B0E" w:rsidR="00A868DA" w:rsidP="00D06F02" w:rsidRDefault="00A868DA" w14:paraId="30E73374" w14:textId="77777777">
      <w:pPr>
        <w:pStyle w:val="Heading2"/>
        <w:spacing w:before="0" w:after="0" w:line="360" w:lineRule="auto"/>
        <w:rPr>
          <w:rFonts w:ascii="Times New Roman" w:hAnsi="Times New Roman"/>
          <w:i w:val="0"/>
          <w:sz w:val="24"/>
          <w:szCs w:val="24"/>
        </w:rPr>
      </w:pPr>
      <w:r w:rsidRPr="00483B0E">
        <w:rPr>
          <w:rFonts w:ascii="Times New Roman" w:hAnsi="Times New Roman"/>
          <w:i w:val="0"/>
          <w:sz w:val="24"/>
          <w:szCs w:val="24"/>
        </w:rPr>
        <w:t>B.4. Tests of Procedures or Methods to be Undertaken</w:t>
      </w:r>
    </w:p>
    <w:p w:rsidRPr="00EE5B47" w:rsidR="00A868DA" w:rsidP="00D06F02" w:rsidRDefault="00A868DA" w14:paraId="30E73375" w14:textId="77777777">
      <w:pPr>
        <w:keepNext/>
        <w:keepLines/>
        <w:spacing w:line="360" w:lineRule="auto"/>
      </w:pPr>
    </w:p>
    <w:p w:rsidRPr="00EE5B47" w:rsidR="00F84039" w:rsidP="00C54953" w:rsidRDefault="008E3BDD" w14:paraId="43676FAF" w14:textId="6E0FA45C">
      <w:pPr>
        <w:tabs>
          <w:tab w:val="left" w:pos="3240"/>
        </w:tabs>
        <w:spacing w:line="360" w:lineRule="auto"/>
      </w:pPr>
      <w:r w:rsidRPr="00EE5B47">
        <w:t>We conducted a formal pilot test during</w:t>
      </w:r>
      <w:r w:rsidRPr="00EE5B47" w:rsidR="008210B0">
        <w:t xml:space="preserve"> April</w:t>
      </w:r>
      <w:r w:rsidRPr="00EE5B47" w:rsidR="00C54953">
        <w:t xml:space="preserve"> </w:t>
      </w:r>
      <w:r w:rsidRPr="00EE5B47" w:rsidR="00392DA3">
        <w:t>through July</w:t>
      </w:r>
      <w:r w:rsidRPr="00EE5B47">
        <w:t xml:space="preserve"> 2020. </w:t>
      </w:r>
      <w:r w:rsidRPr="00EE5B47" w:rsidR="009D55D2">
        <w:t xml:space="preserve">The pilot sites were not randomly selected because recruitment </w:t>
      </w:r>
      <w:r w:rsidRPr="00EE5B47" w:rsidR="00A357D7">
        <w:t>began</w:t>
      </w:r>
      <w:r w:rsidRPr="00EE5B47" w:rsidR="009D55D2">
        <w:t xml:space="preserve"> </w:t>
      </w:r>
      <w:r w:rsidRPr="00EE5B47" w:rsidR="00A357D7">
        <w:t xml:space="preserve">during the early months of the COVID-19 outbreak.  </w:t>
      </w:r>
      <w:r w:rsidRPr="00EE5B47" w:rsidR="003140B2">
        <w:t xml:space="preserve">The recruitment process ran from April 28, 2020 to June 3, 2020 and </w:t>
      </w:r>
      <w:r w:rsidRPr="00EE5B47" w:rsidR="00C57400">
        <w:t>9</w:t>
      </w:r>
      <w:r w:rsidRPr="00EE5B47" w:rsidR="003140B2">
        <w:t xml:space="preserve"> hospitals expressed interest and agreed to pilot test an electronic data collection instrument for this study (</w:t>
      </w:r>
      <w:r w:rsidRPr="00EE5B47" w:rsidR="003140B2">
        <w:rPr>
          <w:b/>
        </w:rPr>
        <w:t xml:space="preserve">Attachment </w:t>
      </w:r>
      <w:r w:rsidR="009779AF">
        <w:rPr>
          <w:b/>
        </w:rPr>
        <w:t>6</w:t>
      </w:r>
      <w:r w:rsidRPr="00EE5B47" w:rsidR="003140B2">
        <w:t xml:space="preserve">). </w:t>
      </w:r>
      <w:r w:rsidRPr="00EE5B47">
        <w:t xml:space="preserve"> </w:t>
      </w:r>
      <w:r w:rsidRPr="00EE5B47" w:rsidR="00FC79FD">
        <w:t xml:space="preserve">The recruitment plan for pilot testing included the following steps: </w:t>
      </w:r>
    </w:p>
    <w:p w:rsidRPr="00483B0E" w:rsidR="00CB4DA7" w:rsidP="00D06F02" w:rsidRDefault="0045767F" w14:paraId="6B96D5A4" w14:textId="112EB6A8">
      <w:pPr>
        <w:pStyle w:val="ListParagraph"/>
        <w:numPr>
          <w:ilvl w:val="0"/>
          <w:numId w:val="7"/>
        </w:numPr>
        <w:spacing w:line="360" w:lineRule="auto"/>
        <w:rPr>
          <w:sz w:val="24"/>
          <w:szCs w:val="24"/>
        </w:rPr>
      </w:pPr>
      <w:r w:rsidRPr="00EE5B47">
        <w:rPr>
          <w:sz w:val="24"/>
          <w:szCs w:val="24"/>
        </w:rPr>
        <w:t xml:space="preserve">We </w:t>
      </w:r>
      <w:r w:rsidRPr="00EE5B47" w:rsidR="00ED66C1">
        <w:rPr>
          <w:sz w:val="24"/>
          <w:szCs w:val="24"/>
        </w:rPr>
        <w:t>created a</w:t>
      </w:r>
      <w:r w:rsidRPr="00EE5B47" w:rsidR="007D1B00">
        <w:rPr>
          <w:sz w:val="24"/>
          <w:szCs w:val="24"/>
        </w:rPr>
        <w:t xml:space="preserve"> </w:t>
      </w:r>
      <w:r w:rsidRPr="00EE5B47" w:rsidR="00CB4DA7">
        <w:rPr>
          <w:sz w:val="24"/>
          <w:szCs w:val="24"/>
        </w:rPr>
        <w:t xml:space="preserve">list of candidates </w:t>
      </w:r>
      <w:r w:rsidRPr="00EE5B47" w:rsidR="00CE3719">
        <w:rPr>
          <w:sz w:val="24"/>
          <w:szCs w:val="24"/>
        </w:rPr>
        <w:t>that</w:t>
      </w:r>
      <w:r w:rsidRPr="00EE5B47" w:rsidR="00CB4DA7">
        <w:rPr>
          <w:sz w:val="24"/>
          <w:szCs w:val="24"/>
        </w:rPr>
        <w:t xml:space="preserve"> comprised people</w:t>
      </w:r>
      <w:r w:rsidRPr="00EE5B47" w:rsidR="007D1B00">
        <w:rPr>
          <w:sz w:val="24"/>
          <w:szCs w:val="24"/>
        </w:rPr>
        <w:t>,</w:t>
      </w:r>
      <w:r w:rsidRPr="00EE5B47" w:rsidR="00CB4DA7">
        <w:rPr>
          <w:sz w:val="24"/>
          <w:szCs w:val="24"/>
        </w:rPr>
        <w:t xml:space="preserve"> at eligible hospitals</w:t>
      </w:r>
      <w:r w:rsidRPr="00483B0E" w:rsidR="007D1B00">
        <w:rPr>
          <w:sz w:val="24"/>
          <w:szCs w:val="24"/>
        </w:rPr>
        <w:t xml:space="preserve">, </w:t>
      </w:r>
      <w:r w:rsidRPr="00483B0E" w:rsidR="00CB4DA7">
        <w:rPr>
          <w:sz w:val="24"/>
          <w:szCs w:val="24"/>
        </w:rPr>
        <w:t xml:space="preserve">that the research team knew from previous projects. </w:t>
      </w:r>
      <w:r w:rsidRPr="00483B0E" w:rsidR="003264B5">
        <w:rPr>
          <w:sz w:val="24"/>
          <w:szCs w:val="24"/>
        </w:rPr>
        <w:t xml:space="preserve"> </w:t>
      </w:r>
    </w:p>
    <w:p w:rsidRPr="00483B0E" w:rsidR="00CB4DA7" w:rsidP="00D06F02" w:rsidRDefault="0045767F" w14:paraId="148EE07A" w14:textId="69215887">
      <w:pPr>
        <w:pStyle w:val="ListParagraph"/>
        <w:numPr>
          <w:ilvl w:val="0"/>
          <w:numId w:val="11"/>
        </w:numPr>
        <w:spacing w:line="360" w:lineRule="auto"/>
        <w:rPr>
          <w:sz w:val="24"/>
          <w:szCs w:val="24"/>
        </w:rPr>
      </w:pPr>
      <w:r w:rsidRPr="00483B0E">
        <w:rPr>
          <w:color w:val="000000"/>
          <w:sz w:val="24"/>
          <w:szCs w:val="24"/>
        </w:rPr>
        <w:t>We</w:t>
      </w:r>
      <w:r w:rsidRPr="00483B0E" w:rsidR="00CB4DA7">
        <w:rPr>
          <w:color w:val="000000"/>
          <w:sz w:val="24"/>
          <w:szCs w:val="24"/>
        </w:rPr>
        <w:t xml:space="preserve"> </w:t>
      </w:r>
      <w:r w:rsidRPr="00483B0E" w:rsidR="00A90ADE">
        <w:rPr>
          <w:color w:val="000000"/>
          <w:sz w:val="24"/>
          <w:szCs w:val="24"/>
        </w:rPr>
        <w:t xml:space="preserve">wrote </w:t>
      </w:r>
      <w:r w:rsidRPr="00483B0E" w:rsidR="00CB4DA7">
        <w:rPr>
          <w:color w:val="000000"/>
          <w:sz w:val="24"/>
          <w:szCs w:val="24"/>
        </w:rPr>
        <w:t xml:space="preserve">an article for the Joint Commission </w:t>
      </w:r>
      <w:r w:rsidRPr="00483B0E" w:rsidR="00CB4DA7">
        <w:rPr>
          <w:i/>
          <w:color w:val="000000"/>
          <w:sz w:val="24"/>
          <w:szCs w:val="24"/>
        </w:rPr>
        <w:t>Perspectives</w:t>
      </w:r>
      <w:r w:rsidRPr="00483B0E" w:rsidR="00CB4DA7">
        <w:rPr>
          <w:color w:val="000000"/>
          <w:sz w:val="24"/>
          <w:szCs w:val="24"/>
        </w:rPr>
        <w:t xml:space="preserve"> May </w:t>
      </w:r>
      <w:r w:rsidRPr="00483B0E" w:rsidR="00CB4DA7">
        <w:rPr>
          <w:sz w:val="24"/>
          <w:szCs w:val="24"/>
        </w:rPr>
        <w:t>edition</w:t>
      </w:r>
      <w:r w:rsidRPr="00483B0E" w:rsidR="003264B5">
        <w:rPr>
          <w:sz w:val="24"/>
          <w:szCs w:val="24"/>
        </w:rPr>
        <w:t xml:space="preserve"> (</w:t>
      </w:r>
      <w:r w:rsidRPr="00483B0E" w:rsidR="003264B5">
        <w:rPr>
          <w:b/>
          <w:bCs/>
          <w:sz w:val="24"/>
          <w:szCs w:val="24"/>
        </w:rPr>
        <w:t>Attachment</w:t>
      </w:r>
      <w:r w:rsidRPr="00483B0E" w:rsidR="001B1C2B">
        <w:rPr>
          <w:b/>
          <w:bCs/>
          <w:sz w:val="24"/>
          <w:szCs w:val="24"/>
        </w:rPr>
        <w:t xml:space="preserve"> </w:t>
      </w:r>
      <w:r w:rsidR="009779AF">
        <w:rPr>
          <w:b/>
          <w:bCs/>
          <w:sz w:val="24"/>
          <w:szCs w:val="24"/>
        </w:rPr>
        <w:t>7</w:t>
      </w:r>
      <w:r w:rsidRPr="00483B0E" w:rsidR="002A47CA">
        <w:rPr>
          <w:sz w:val="24"/>
          <w:szCs w:val="24"/>
        </w:rPr>
        <w:t>)</w:t>
      </w:r>
      <w:r w:rsidR="001A4535">
        <w:rPr>
          <w:sz w:val="24"/>
          <w:szCs w:val="24"/>
        </w:rPr>
        <w:t xml:space="preserve">, </w:t>
      </w:r>
      <w:r w:rsidRPr="00483B0E" w:rsidR="00CB4DA7">
        <w:rPr>
          <w:sz w:val="24"/>
          <w:szCs w:val="24"/>
        </w:rPr>
        <w:t>released on April 28, 2020</w:t>
      </w:r>
      <w:r w:rsidR="001A4535">
        <w:rPr>
          <w:sz w:val="24"/>
          <w:szCs w:val="24"/>
        </w:rPr>
        <w:t>,</w:t>
      </w:r>
      <w:r w:rsidRPr="00483B0E" w:rsidR="00CB4DA7">
        <w:rPr>
          <w:sz w:val="24"/>
          <w:szCs w:val="24"/>
        </w:rPr>
        <w:t xml:space="preserve"> informing hospitals about the project and requesting pilot site volunteers.  </w:t>
      </w:r>
      <w:r w:rsidRPr="00483B0E" w:rsidR="007D1B00">
        <w:rPr>
          <w:sz w:val="24"/>
          <w:szCs w:val="24"/>
        </w:rPr>
        <w:t>This communication resulted in t</w:t>
      </w:r>
      <w:r w:rsidRPr="00483B0E" w:rsidR="00CB4DA7">
        <w:rPr>
          <w:sz w:val="24"/>
          <w:szCs w:val="24"/>
        </w:rPr>
        <w:t>wo hospitals express</w:t>
      </w:r>
      <w:r w:rsidRPr="00483B0E" w:rsidR="00ED66C1">
        <w:rPr>
          <w:sz w:val="24"/>
          <w:szCs w:val="24"/>
        </w:rPr>
        <w:t>ing</w:t>
      </w:r>
      <w:r w:rsidRPr="00483B0E" w:rsidR="00CB4DA7">
        <w:rPr>
          <w:sz w:val="24"/>
          <w:szCs w:val="24"/>
        </w:rPr>
        <w:t xml:space="preserve"> interest</w:t>
      </w:r>
      <w:r w:rsidRPr="00483B0E" w:rsidR="007D1B00">
        <w:rPr>
          <w:sz w:val="24"/>
          <w:szCs w:val="24"/>
        </w:rPr>
        <w:t xml:space="preserve">. </w:t>
      </w:r>
    </w:p>
    <w:p w:rsidRPr="00483B0E" w:rsidR="00CB4DA7" w:rsidP="00D06F02" w:rsidRDefault="0045767F" w14:paraId="48467160" w14:textId="3F4E1DAB">
      <w:pPr>
        <w:pStyle w:val="ListParagraph"/>
        <w:numPr>
          <w:ilvl w:val="0"/>
          <w:numId w:val="11"/>
        </w:numPr>
        <w:spacing w:line="360" w:lineRule="auto"/>
        <w:rPr>
          <w:sz w:val="24"/>
          <w:szCs w:val="24"/>
        </w:rPr>
      </w:pPr>
      <w:r w:rsidRPr="00483B0E">
        <w:rPr>
          <w:sz w:val="24"/>
          <w:szCs w:val="24"/>
        </w:rPr>
        <w:t>We</w:t>
      </w:r>
      <w:r w:rsidRPr="00483B0E" w:rsidR="006C5B1B">
        <w:rPr>
          <w:sz w:val="24"/>
          <w:szCs w:val="24"/>
        </w:rPr>
        <w:t xml:space="preserve"> </w:t>
      </w:r>
      <w:r w:rsidRPr="00483B0E" w:rsidR="00CB4DA7">
        <w:rPr>
          <w:sz w:val="24"/>
          <w:szCs w:val="24"/>
        </w:rPr>
        <w:t xml:space="preserve">also put a notification in the </w:t>
      </w:r>
      <w:r w:rsidRPr="00483B0E" w:rsidR="00CB4DA7">
        <w:rPr>
          <w:i/>
          <w:sz w:val="24"/>
          <w:szCs w:val="24"/>
        </w:rPr>
        <w:t>JC Online</w:t>
      </w:r>
      <w:r w:rsidRPr="00483B0E" w:rsidR="00CB4DA7">
        <w:rPr>
          <w:sz w:val="24"/>
          <w:szCs w:val="24"/>
        </w:rPr>
        <w:t xml:space="preserve"> communication</w:t>
      </w:r>
      <w:r w:rsidRPr="00483B0E" w:rsidR="003264B5">
        <w:rPr>
          <w:sz w:val="24"/>
          <w:szCs w:val="24"/>
        </w:rPr>
        <w:t xml:space="preserve"> (</w:t>
      </w:r>
      <w:r w:rsidRPr="00483B0E" w:rsidR="003264B5">
        <w:rPr>
          <w:b/>
          <w:bCs/>
          <w:sz w:val="24"/>
          <w:szCs w:val="24"/>
        </w:rPr>
        <w:t>Attachment</w:t>
      </w:r>
      <w:r w:rsidRPr="00483B0E" w:rsidR="001B1C2B">
        <w:rPr>
          <w:b/>
          <w:bCs/>
          <w:sz w:val="24"/>
          <w:szCs w:val="24"/>
        </w:rPr>
        <w:t xml:space="preserve"> </w:t>
      </w:r>
      <w:r w:rsidR="009779AF">
        <w:rPr>
          <w:b/>
          <w:bCs/>
          <w:sz w:val="24"/>
          <w:szCs w:val="24"/>
        </w:rPr>
        <w:t>7</w:t>
      </w:r>
      <w:r w:rsidRPr="00483B0E" w:rsidR="003264B5">
        <w:rPr>
          <w:sz w:val="24"/>
          <w:szCs w:val="24"/>
        </w:rPr>
        <w:t xml:space="preserve">) </w:t>
      </w:r>
      <w:r w:rsidRPr="00483B0E" w:rsidR="00CB4DA7">
        <w:rPr>
          <w:sz w:val="24"/>
          <w:szCs w:val="24"/>
        </w:rPr>
        <w:t>on May 20, 2020, informing hospitals about the project and requesting pilot site volunteers.</w:t>
      </w:r>
      <w:r w:rsidRPr="00483B0E" w:rsidR="007D1B00">
        <w:rPr>
          <w:sz w:val="24"/>
          <w:szCs w:val="24"/>
        </w:rPr>
        <w:t xml:space="preserve"> This communication resulted in</w:t>
      </w:r>
      <w:r w:rsidRPr="00483B0E" w:rsidR="00CB4DA7">
        <w:rPr>
          <w:color w:val="FF0000"/>
          <w:sz w:val="24"/>
          <w:szCs w:val="24"/>
        </w:rPr>
        <w:t xml:space="preserve"> </w:t>
      </w:r>
      <w:r w:rsidRPr="00483B0E" w:rsidR="00785554">
        <w:rPr>
          <w:sz w:val="24"/>
          <w:szCs w:val="24"/>
        </w:rPr>
        <w:t>f</w:t>
      </w:r>
      <w:r w:rsidRPr="00483B0E" w:rsidR="00CB4DA7">
        <w:rPr>
          <w:sz w:val="24"/>
          <w:szCs w:val="24"/>
        </w:rPr>
        <w:t>ive hospitals express</w:t>
      </w:r>
      <w:r w:rsidRPr="00483B0E" w:rsidR="00ED66C1">
        <w:rPr>
          <w:sz w:val="24"/>
          <w:szCs w:val="24"/>
        </w:rPr>
        <w:t>ing</w:t>
      </w:r>
      <w:r w:rsidRPr="00483B0E" w:rsidR="00CB4DA7">
        <w:rPr>
          <w:sz w:val="24"/>
          <w:szCs w:val="24"/>
        </w:rPr>
        <w:t xml:space="preserve"> interest. </w:t>
      </w:r>
    </w:p>
    <w:p w:rsidRPr="00483B0E" w:rsidR="00CB4DA7" w:rsidP="00D06F02" w:rsidRDefault="00CB4DA7" w14:paraId="51784D89" w14:textId="32D4EECE">
      <w:pPr>
        <w:pStyle w:val="ListParagraph"/>
        <w:numPr>
          <w:ilvl w:val="0"/>
          <w:numId w:val="11"/>
        </w:numPr>
        <w:spacing w:line="360" w:lineRule="auto"/>
        <w:rPr>
          <w:color w:val="000000"/>
          <w:sz w:val="24"/>
          <w:szCs w:val="24"/>
        </w:rPr>
      </w:pPr>
      <w:r w:rsidRPr="00483B0E">
        <w:rPr>
          <w:color w:val="000000"/>
          <w:sz w:val="24"/>
          <w:szCs w:val="24"/>
        </w:rPr>
        <w:t>For those that expressed an interest, we sent an email that included the project information sheet</w:t>
      </w:r>
      <w:r w:rsidRPr="00483B0E" w:rsidR="003264B5">
        <w:rPr>
          <w:color w:val="000000"/>
          <w:sz w:val="24"/>
          <w:szCs w:val="24"/>
        </w:rPr>
        <w:t xml:space="preserve"> </w:t>
      </w:r>
      <w:r w:rsidRPr="00483B0E" w:rsidR="003264B5">
        <w:rPr>
          <w:sz w:val="24"/>
          <w:szCs w:val="24"/>
        </w:rPr>
        <w:t>(</w:t>
      </w:r>
      <w:r w:rsidRPr="00483B0E" w:rsidR="003264B5">
        <w:rPr>
          <w:b/>
          <w:bCs/>
          <w:sz w:val="24"/>
          <w:szCs w:val="24"/>
        </w:rPr>
        <w:t>Attachment</w:t>
      </w:r>
      <w:r w:rsidRPr="00483B0E" w:rsidR="001B1C2B">
        <w:rPr>
          <w:b/>
          <w:bCs/>
          <w:sz w:val="24"/>
          <w:szCs w:val="24"/>
        </w:rPr>
        <w:t xml:space="preserve"> </w:t>
      </w:r>
      <w:r w:rsidR="009779AF">
        <w:rPr>
          <w:b/>
          <w:bCs/>
          <w:sz w:val="24"/>
          <w:szCs w:val="24"/>
        </w:rPr>
        <w:t>5</w:t>
      </w:r>
      <w:r w:rsidRPr="00483B0E" w:rsidR="003264B5">
        <w:rPr>
          <w:color w:val="000000"/>
          <w:sz w:val="24"/>
          <w:szCs w:val="24"/>
        </w:rPr>
        <w:t>)</w:t>
      </w:r>
      <w:r w:rsidRPr="00483B0E">
        <w:rPr>
          <w:color w:val="000000"/>
          <w:sz w:val="24"/>
          <w:szCs w:val="24"/>
        </w:rPr>
        <w:t xml:space="preserve">. </w:t>
      </w:r>
    </w:p>
    <w:p w:rsidRPr="0046306E" w:rsidR="00CB4DA7" w:rsidP="00D06F02" w:rsidRDefault="003264B5" w14:paraId="0F435C8F" w14:textId="30077EB2">
      <w:pPr>
        <w:pStyle w:val="ListParagraph"/>
        <w:numPr>
          <w:ilvl w:val="0"/>
          <w:numId w:val="11"/>
        </w:numPr>
        <w:spacing w:line="360" w:lineRule="auto"/>
        <w:rPr>
          <w:color w:val="000000"/>
          <w:sz w:val="24"/>
          <w:szCs w:val="24"/>
        </w:rPr>
      </w:pPr>
      <w:r w:rsidRPr="00483B0E">
        <w:rPr>
          <w:color w:val="000000"/>
          <w:sz w:val="24"/>
          <w:szCs w:val="24"/>
        </w:rPr>
        <w:t>When</w:t>
      </w:r>
      <w:r w:rsidRPr="00483B0E" w:rsidR="00CB4DA7">
        <w:rPr>
          <w:color w:val="000000"/>
          <w:sz w:val="24"/>
          <w:szCs w:val="24"/>
        </w:rPr>
        <w:t xml:space="preserve"> a site agreed to participate, they were sent another email with the link to the questionnaire, a </w:t>
      </w:r>
      <w:r w:rsidRPr="00483B0E" w:rsidR="008E3BDD">
        <w:rPr>
          <w:color w:val="000000"/>
          <w:sz w:val="24"/>
          <w:szCs w:val="24"/>
        </w:rPr>
        <w:t xml:space="preserve">PDF </w:t>
      </w:r>
      <w:r w:rsidRPr="00483B0E" w:rsidR="00CB4DA7">
        <w:rPr>
          <w:color w:val="000000"/>
          <w:sz w:val="24"/>
          <w:szCs w:val="24"/>
        </w:rPr>
        <w:t xml:space="preserve">version of the questionnaire and questions that we </w:t>
      </w:r>
      <w:r w:rsidRPr="00483B0E" w:rsidR="00141D2E">
        <w:rPr>
          <w:color w:val="000000"/>
          <w:sz w:val="24"/>
          <w:szCs w:val="24"/>
        </w:rPr>
        <w:t>wanted feedback</w:t>
      </w:r>
      <w:r w:rsidRPr="00483B0E" w:rsidR="00CB4DA7">
        <w:rPr>
          <w:color w:val="000000"/>
          <w:sz w:val="24"/>
          <w:szCs w:val="24"/>
        </w:rPr>
        <w:t xml:space="preserve"> on in order to </w:t>
      </w:r>
      <w:r w:rsidRPr="0046306E" w:rsidR="00CB4DA7">
        <w:rPr>
          <w:color w:val="000000"/>
          <w:sz w:val="24"/>
          <w:szCs w:val="24"/>
        </w:rPr>
        <w:t xml:space="preserve">improve the questionnaire. </w:t>
      </w:r>
    </w:p>
    <w:p w:rsidRPr="0046306E" w:rsidR="003D7FEE" w:rsidP="00FC79FD" w:rsidRDefault="00785554" w14:paraId="3E947760" w14:textId="2A94472F">
      <w:pPr>
        <w:pStyle w:val="ListParagraph"/>
        <w:numPr>
          <w:ilvl w:val="0"/>
          <w:numId w:val="11"/>
        </w:numPr>
        <w:spacing w:line="360" w:lineRule="auto"/>
        <w:rPr>
          <w:color w:val="000000"/>
          <w:sz w:val="24"/>
          <w:szCs w:val="24"/>
        </w:rPr>
      </w:pPr>
      <w:r w:rsidRPr="0046306E">
        <w:rPr>
          <w:color w:val="000000"/>
          <w:sz w:val="24"/>
          <w:szCs w:val="24"/>
        </w:rPr>
        <w:lastRenderedPageBreak/>
        <w:t>The questions we sought</w:t>
      </w:r>
      <w:r w:rsidRPr="0046306E" w:rsidR="003D7FEE">
        <w:rPr>
          <w:color w:val="000000"/>
          <w:sz w:val="24"/>
          <w:szCs w:val="24"/>
        </w:rPr>
        <w:t xml:space="preserve"> feedback on </w:t>
      </w:r>
      <w:r w:rsidRPr="0046306E">
        <w:rPr>
          <w:color w:val="000000"/>
          <w:sz w:val="24"/>
          <w:szCs w:val="24"/>
        </w:rPr>
        <w:t>included</w:t>
      </w:r>
      <w:r w:rsidRPr="0046306E" w:rsidR="008E3BDD">
        <w:rPr>
          <w:color w:val="000000"/>
          <w:sz w:val="24"/>
          <w:szCs w:val="24"/>
        </w:rPr>
        <w:t>:</w:t>
      </w:r>
      <w:r w:rsidRPr="0046306E">
        <w:rPr>
          <w:color w:val="000000"/>
          <w:sz w:val="24"/>
          <w:szCs w:val="24"/>
        </w:rPr>
        <w:t xml:space="preserve"> </w:t>
      </w:r>
      <w:r w:rsidRPr="0046306E" w:rsidR="003D7FEE">
        <w:rPr>
          <w:color w:val="000000"/>
          <w:sz w:val="24"/>
          <w:szCs w:val="24"/>
        </w:rPr>
        <w:t>the time required</w:t>
      </w:r>
      <w:r w:rsidRPr="0046306E">
        <w:rPr>
          <w:color w:val="000000"/>
          <w:sz w:val="24"/>
          <w:szCs w:val="24"/>
        </w:rPr>
        <w:t xml:space="preserve"> to complete the questionnaire</w:t>
      </w:r>
      <w:r w:rsidRPr="0046306E" w:rsidR="003D7FEE">
        <w:rPr>
          <w:color w:val="000000"/>
          <w:sz w:val="24"/>
          <w:szCs w:val="24"/>
        </w:rPr>
        <w:t xml:space="preserve">, </w:t>
      </w:r>
      <w:r w:rsidRPr="0046306E" w:rsidR="003264B5">
        <w:rPr>
          <w:color w:val="000000"/>
          <w:sz w:val="24"/>
          <w:szCs w:val="24"/>
        </w:rPr>
        <w:t>whether</w:t>
      </w:r>
      <w:r w:rsidRPr="0046306E">
        <w:rPr>
          <w:color w:val="000000"/>
          <w:sz w:val="24"/>
          <w:szCs w:val="24"/>
        </w:rPr>
        <w:t xml:space="preserve"> the </w:t>
      </w:r>
      <w:r w:rsidRPr="0046306E" w:rsidR="003D7FEE">
        <w:rPr>
          <w:color w:val="000000"/>
          <w:sz w:val="24"/>
          <w:szCs w:val="24"/>
        </w:rPr>
        <w:t>questions and response categories</w:t>
      </w:r>
      <w:r w:rsidRPr="0046306E">
        <w:rPr>
          <w:color w:val="000000"/>
          <w:sz w:val="24"/>
          <w:szCs w:val="24"/>
        </w:rPr>
        <w:t xml:space="preserve"> were appropriate</w:t>
      </w:r>
      <w:r w:rsidRPr="0046306E" w:rsidR="003D7FEE">
        <w:rPr>
          <w:color w:val="000000"/>
          <w:sz w:val="24"/>
          <w:szCs w:val="24"/>
        </w:rPr>
        <w:t>, ease of completion with electronic platform and</w:t>
      </w:r>
      <w:r w:rsidRPr="0046306E">
        <w:rPr>
          <w:color w:val="000000"/>
          <w:sz w:val="24"/>
          <w:szCs w:val="24"/>
        </w:rPr>
        <w:t xml:space="preserve"> </w:t>
      </w:r>
      <w:r w:rsidRPr="0046306E" w:rsidR="003D7FEE">
        <w:rPr>
          <w:color w:val="000000"/>
          <w:sz w:val="24"/>
          <w:szCs w:val="24"/>
        </w:rPr>
        <w:t>opportunities for improvement.</w:t>
      </w:r>
    </w:p>
    <w:p w:rsidRPr="0046306E" w:rsidR="003F2DE5" w:rsidP="00FC79FD" w:rsidRDefault="003F2DE5" w14:paraId="1843B84D" w14:textId="52BB15C8">
      <w:pPr>
        <w:pStyle w:val="ListParagraph"/>
        <w:numPr>
          <w:ilvl w:val="0"/>
          <w:numId w:val="11"/>
        </w:numPr>
        <w:spacing w:line="360" w:lineRule="auto"/>
        <w:rPr>
          <w:sz w:val="24"/>
          <w:szCs w:val="24"/>
        </w:rPr>
      </w:pPr>
      <w:r w:rsidRPr="0046306E">
        <w:rPr>
          <w:color w:val="000000"/>
          <w:sz w:val="24"/>
          <w:szCs w:val="24"/>
        </w:rPr>
        <w:t xml:space="preserve">If needed, follow-up emails were sent to the pilot sites as a reminder to submit their responses via </w:t>
      </w:r>
      <w:proofErr w:type="spellStart"/>
      <w:r w:rsidRPr="0046306E">
        <w:rPr>
          <w:sz w:val="24"/>
          <w:szCs w:val="24"/>
        </w:rPr>
        <w:t>Qualtrics</w:t>
      </w:r>
      <w:r w:rsidRPr="0046306E">
        <w:rPr>
          <w:sz w:val="24"/>
          <w:szCs w:val="24"/>
          <w:vertAlign w:val="superscript"/>
        </w:rPr>
        <w:t>XM</w:t>
      </w:r>
      <w:proofErr w:type="spellEnd"/>
      <w:r w:rsidRPr="0046306E">
        <w:rPr>
          <w:sz w:val="24"/>
          <w:szCs w:val="24"/>
        </w:rPr>
        <w:t xml:space="preserve"> </w:t>
      </w:r>
      <w:r w:rsidRPr="0046306E" w:rsidR="00E30A98">
        <w:rPr>
          <w:sz w:val="24"/>
          <w:szCs w:val="24"/>
        </w:rPr>
        <w:t>(</w:t>
      </w:r>
      <w:hyperlink w:history="1" r:id="rId18">
        <w:r w:rsidRPr="0046306E" w:rsidR="00E30A98">
          <w:rPr>
            <w:rStyle w:val="Hyperlink"/>
            <w:color w:val="auto"/>
            <w:sz w:val="24"/>
            <w:szCs w:val="24"/>
          </w:rPr>
          <w:t>Provo, UT</w:t>
        </w:r>
      </w:hyperlink>
      <w:r w:rsidRPr="0046306E" w:rsidR="00E30A98">
        <w:rPr>
          <w:sz w:val="24"/>
          <w:szCs w:val="24"/>
        </w:rPr>
        <w:t xml:space="preserve">, </w:t>
      </w:r>
      <w:hyperlink w:history="1" r:id="rId19">
        <w:r w:rsidRPr="0046306E" w:rsidR="00E30A98">
          <w:rPr>
            <w:rStyle w:val="Hyperlink"/>
            <w:color w:val="auto"/>
            <w:sz w:val="24"/>
            <w:szCs w:val="24"/>
          </w:rPr>
          <w:t>https://www.qualtrics.com</w:t>
        </w:r>
      </w:hyperlink>
      <w:r w:rsidRPr="0046306E" w:rsidR="00E30A98">
        <w:rPr>
          <w:sz w:val="24"/>
          <w:szCs w:val="24"/>
        </w:rPr>
        <w:t xml:space="preserve">) </w:t>
      </w:r>
      <w:r w:rsidRPr="0046306E">
        <w:rPr>
          <w:sz w:val="24"/>
          <w:szCs w:val="24"/>
        </w:rPr>
        <w:t>and to provide feedback on the structure/content of the questionnaire. Three sites requested phone calls to discuss their feedback</w:t>
      </w:r>
      <w:r w:rsidRPr="0046306E" w:rsidR="00CE3719">
        <w:rPr>
          <w:sz w:val="24"/>
          <w:szCs w:val="24"/>
        </w:rPr>
        <w:t>.</w:t>
      </w:r>
    </w:p>
    <w:p w:rsidRPr="00A357D7" w:rsidR="00911727" w:rsidP="00542D0E" w:rsidRDefault="00141D2E" w14:paraId="0142DD35" w14:textId="29F3CE49">
      <w:pPr>
        <w:suppressLineNumbers/>
        <w:spacing w:line="360" w:lineRule="auto"/>
      </w:pPr>
      <w:r w:rsidRPr="00A357D7">
        <w:t xml:space="preserve">Pilot testing the draft </w:t>
      </w:r>
      <w:r w:rsidRPr="00A357D7" w:rsidR="000274A1">
        <w:t xml:space="preserve">questionnaire in </w:t>
      </w:r>
      <w:proofErr w:type="spellStart"/>
      <w:r w:rsidRPr="00A357D7">
        <w:t>Qualtrics</w:t>
      </w:r>
      <w:r w:rsidRPr="00A357D7">
        <w:rPr>
          <w:vertAlign w:val="superscript"/>
        </w:rPr>
        <w:t>XM</w:t>
      </w:r>
      <w:proofErr w:type="spellEnd"/>
      <w:r w:rsidRPr="00A357D7" w:rsidR="000274A1">
        <w:t xml:space="preserve"> </w:t>
      </w:r>
      <w:r w:rsidRPr="00A357D7" w:rsidR="00E30A98">
        <w:t>(</w:t>
      </w:r>
      <w:hyperlink>
        <w:r w:rsidRPr="00A357D7" w:rsidR="00E30A98">
          <w:rPr>
            <w:rStyle w:val="Hyperlink"/>
            <w:color w:val="auto"/>
          </w:rPr>
          <w:t>Provo, UT</w:t>
        </w:r>
      </w:hyperlink>
      <w:r w:rsidRPr="00A357D7" w:rsidR="00E30A98">
        <w:t xml:space="preserve">, </w:t>
      </w:r>
      <w:hyperlink r:id="rId20">
        <w:r w:rsidRPr="00A357D7" w:rsidR="00E30A98">
          <w:rPr>
            <w:rStyle w:val="Hyperlink"/>
            <w:color w:val="auto"/>
          </w:rPr>
          <w:t>https://www.qualtrics.com</w:t>
        </w:r>
      </w:hyperlink>
      <w:r w:rsidRPr="00A357D7" w:rsidR="00E30A98">
        <w:t xml:space="preserve">) </w:t>
      </w:r>
      <w:r w:rsidRPr="00A357D7" w:rsidR="003264B5">
        <w:t xml:space="preserve">was </w:t>
      </w:r>
      <w:r w:rsidRPr="00A357D7">
        <w:t>completed</w:t>
      </w:r>
      <w:r w:rsidRPr="00A357D7" w:rsidR="003264B5">
        <w:t xml:space="preserve"> </w:t>
      </w:r>
      <w:r w:rsidRPr="00A357D7" w:rsidR="0AE86E98">
        <w:t>by 9 sites of various sizes and locations</w:t>
      </w:r>
      <w:r w:rsidRPr="00A357D7" w:rsidR="003264B5">
        <w:t xml:space="preserve"> on </w:t>
      </w:r>
      <w:r w:rsidRPr="00A357D7" w:rsidR="009A0BB6">
        <w:t>July 10, 2020</w:t>
      </w:r>
      <w:r w:rsidRPr="00A357D7" w:rsidR="000274A1">
        <w:t xml:space="preserve">. </w:t>
      </w:r>
      <w:r w:rsidRPr="00A357D7" w:rsidR="00911727">
        <w:t xml:space="preserve">The pilot sites completed the online questionnaire and provided feedback on the following: identify the title or role of the person who should be the primary respondent, describe other staff needed to complete questionnaire, estimate the time required to complete the questionnaire, identify unclear questions and missing or overlapping response categories, identify if there is a need to add an “Unknown” response category to additional questions, identify any questions that are unnecessary, determine if the flow of the questionnaire is easy to navigate, and provide general suggestions for improvement. </w:t>
      </w:r>
    </w:p>
    <w:p w:rsidRPr="00542D0E" w:rsidR="00911727" w:rsidP="52DED0C4" w:rsidRDefault="00911727" w14:paraId="6F918701" w14:textId="7AF2BDD7">
      <w:pPr>
        <w:suppressLineNumbers/>
        <w:spacing w:line="360" w:lineRule="auto"/>
        <w:rPr>
          <w:color w:val="00B050"/>
        </w:rPr>
      </w:pPr>
    </w:p>
    <w:p w:rsidRPr="00A357D7" w:rsidR="00911727" w:rsidP="00542D0E" w:rsidRDefault="007B7A4C" w14:paraId="019D0E6A" w14:textId="338601E8">
      <w:pPr>
        <w:suppressLineNumbers/>
        <w:spacing w:line="360" w:lineRule="auto"/>
      </w:pPr>
      <w:r w:rsidRPr="00A357D7">
        <w:t xml:space="preserve">We also learned information about the accuracy and reliability of the questions during pilot testing. We had three calls with pilot sites to follow-up on unclear responses and for feedback and revised questions accordingly.  </w:t>
      </w:r>
      <w:r w:rsidRPr="00A357D7" w:rsidR="00911727">
        <w:t xml:space="preserve">Improvements were made to the questionnaire following the feedback that was provided and after reviewing the responses on the draft questionnaire. </w:t>
      </w:r>
    </w:p>
    <w:p w:rsidRPr="00483B0E" w:rsidR="000274A1" w:rsidP="00D06F02" w:rsidRDefault="000274A1" w14:paraId="76B96B34" w14:textId="77777777">
      <w:pPr>
        <w:tabs>
          <w:tab w:val="left" w:pos="3240"/>
        </w:tabs>
        <w:spacing w:line="360" w:lineRule="auto"/>
      </w:pPr>
    </w:p>
    <w:p w:rsidRPr="00A357D7" w:rsidR="003432B2" w:rsidP="003432B2" w:rsidRDefault="00FF4991" w14:paraId="50FAA20A" w14:textId="3CAC8898">
      <w:pPr>
        <w:suppressLineNumbers/>
        <w:spacing w:line="360" w:lineRule="auto"/>
      </w:pPr>
      <w:r w:rsidRPr="00A357D7">
        <w:t>Based on the pilot test of the electronic questionnaire (N=</w:t>
      </w:r>
      <w:r w:rsidRPr="00A357D7" w:rsidR="006C1798">
        <w:t xml:space="preserve">9) </w:t>
      </w:r>
      <w:r w:rsidRPr="00A357D7">
        <w:t xml:space="preserve">the average time to complete the questionnaire was </w:t>
      </w:r>
      <w:r w:rsidRPr="00A357D7" w:rsidR="00392DA3">
        <w:t>6</w:t>
      </w:r>
      <w:r w:rsidRPr="00A357D7" w:rsidR="003B11F7">
        <w:t>1</w:t>
      </w:r>
      <w:r w:rsidRPr="00A357D7" w:rsidR="006C1798">
        <w:t xml:space="preserve"> </w:t>
      </w:r>
      <w:r w:rsidRPr="00A357D7">
        <w:t>minutes (min=</w:t>
      </w:r>
      <w:r w:rsidRPr="00A357D7" w:rsidR="00392DA3">
        <w:t>20</w:t>
      </w:r>
      <w:r w:rsidRPr="00A357D7">
        <w:t>; max=150, median=</w:t>
      </w:r>
      <w:r w:rsidRPr="00A357D7" w:rsidR="00392DA3">
        <w:t>60</w:t>
      </w:r>
      <w:r w:rsidRPr="00A357D7">
        <w:t>, range</w:t>
      </w:r>
      <w:r w:rsidRPr="00A357D7" w:rsidR="00B36FBC">
        <w:t>=</w:t>
      </w:r>
      <w:r w:rsidRPr="00A357D7" w:rsidR="00392DA3">
        <w:t>130</w:t>
      </w:r>
      <w:r w:rsidRPr="00A357D7">
        <w:t>, standard deviation=</w:t>
      </w:r>
      <w:r w:rsidRPr="00A357D7" w:rsidR="00392DA3">
        <w:t>3</w:t>
      </w:r>
      <w:r w:rsidRPr="00A357D7" w:rsidR="003B11F7">
        <w:t>7</w:t>
      </w:r>
      <w:r w:rsidR="008C4FDE">
        <w:t>)</w:t>
      </w:r>
      <w:r w:rsidRPr="00A357D7" w:rsidR="007C7DBC">
        <w:t>.</w:t>
      </w:r>
      <w:r w:rsidRPr="00A357D7" w:rsidR="00446C20">
        <w:t xml:space="preserve"> </w:t>
      </w:r>
      <w:r w:rsidRPr="00A357D7" w:rsidR="001170EC">
        <w:t>We learned that the reason</w:t>
      </w:r>
      <w:r w:rsidRPr="00A357D7" w:rsidR="001015DF">
        <w:t>s</w:t>
      </w:r>
      <w:r w:rsidRPr="00A357D7" w:rsidR="001170EC">
        <w:t xml:space="preserve"> </w:t>
      </w:r>
      <w:r w:rsidRPr="00A357D7" w:rsidR="004310EA">
        <w:t>why</w:t>
      </w:r>
      <w:r w:rsidRPr="00A357D7" w:rsidR="001170EC">
        <w:t xml:space="preserve"> the</w:t>
      </w:r>
      <w:r w:rsidRPr="00A357D7" w:rsidR="0018626F">
        <w:t xml:space="preserve"> participant </w:t>
      </w:r>
      <w:r w:rsidRPr="00A357D7" w:rsidR="004310EA">
        <w:t xml:space="preserve">had </w:t>
      </w:r>
      <w:r w:rsidRPr="00A357D7" w:rsidR="0018626F">
        <w:t xml:space="preserve">a </w:t>
      </w:r>
      <w:r w:rsidRPr="00A357D7" w:rsidR="008E6E12">
        <w:t xml:space="preserve">maximum time </w:t>
      </w:r>
      <w:r w:rsidRPr="00A357D7" w:rsidR="0018626F">
        <w:t xml:space="preserve">of </w:t>
      </w:r>
      <w:r w:rsidRPr="00A357D7" w:rsidR="008E6E12">
        <w:t>150</w:t>
      </w:r>
      <w:r w:rsidRPr="00A357D7" w:rsidR="0018626F">
        <w:t xml:space="preserve"> </w:t>
      </w:r>
      <w:r w:rsidRPr="00A357D7" w:rsidR="008E6E12">
        <w:t>minutes</w:t>
      </w:r>
      <w:r w:rsidRPr="00A357D7" w:rsidR="00971DED">
        <w:t xml:space="preserve"> was related to </w:t>
      </w:r>
      <w:r w:rsidRPr="00A357D7" w:rsidR="0018626F">
        <w:t xml:space="preserve">the </w:t>
      </w:r>
      <w:r w:rsidRPr="00A357D7" w:rsidR="00971DED">
        <w:t xml:space="preserve">process </w:t>
      </w:r>
      <w:r w:rsidRPr="00A357D7" w:rsidR="0018626F">
        <w:t>they used to</w:t>
      </w:r>
      <w:r w:rsidRPr="00A357D7" w:rsidR="00971DED">
        <w:t xml:space="preserve"> complet</w:t>
      </w:r>
      <w:r w:rsidRPr="00A357D7" w:rsidR="0018626F">
        <w:t xml:space="preserve">e the questionnaire. </w:t>
      </w:r>
      <w:r w:rsidRPr="00A357D7" w:rsidR="004310EA">
        <w:t>T</w:t>
      </w:r>
      <w:r w:rsidRPr="00A357D7" w:rsidR="00D0441C">
        <w:t xml:space="preserve">he person who received the questionnaire was not involved in the day </w:t>
      </w:r>
      <w:r w:rsidRPr="00A357D7" w:rsidR="004310EA">
        <w:t>to</w:t>
      </w:r>
      <w:r w:rsidRPr="00A357D7" w:rsidR="00D0441C">
        <w:t xml:space="preserve"> day </w:t>
      </w:r>
      <w:r w:rsidRPr="00A357D7" w:rsidR="006F4FB1">
        <w:t>VTE practices</w:t>
      </w:r>
      <w:r w:rsidRPr="00A357D7" w:rsidR="004310EA">
        <w:t>. T</w:t>
      </w:r>
      <w:r w:rsidRPr="00A357D7" w:rsidR="0018626F">
        <w:t>he</w:t>
      </w:r>
      <w:r w:rsidRPr="00A357D7" w:rsidR="00446C20">
        <w:t>y completed</w:t>
      </w:r>
      <w:r w:rsidRPr="00A357D7" w:rsidR="0018626F">
        <w:t xml:space="preserve"> the </w:t>
      </w:r>
      <w:r w:rsidRPr="00A357D7" w:rsidR="00971DED">
        <w:t>paper version</w:t>
      </w:r>
      <w:r w:rsidRPr="00A357D7" w:rsidR="0018626F">
        <w:t xml:space="preserve"> first which </w:t>
      </w:r>
      <w:r w:rsidRPr="00A357D7" w:rsidR="0060120F">
        <w:t xml:space="preserve">included </w:t>
      </w:r>
      <w:r w:rsidRPr="00A357D7" w:rsidR="00971DED">
        <w:t xml:space="preserve">conference calls, research, and talk to other team members to fill </w:t>
      </w:r>
      <w:r w:rsidRPr="00A357D7" w:rsidR="0018626F">
        <w:t>help answer questions.</w:t>
      </w:r>
      <w:r w:rsidRPr="00A357D7" w:rsidR="0060120F">
        <w:t xml:space="preserve"> </w:t>
      </w:r>
      <w:r w:rsidRPr="00A357D7" w:rsidR="00D0441C">
        <w:t xml:space="preserve">The participant </w:t>
      </w:r>
      <w:r w:rsidRPr="00A357D7" w:rsidR="006F4FB1">
        <w:t xml:space="preserve">who took the </w:t>
      </w:r>
      <w:r w:rsidRPr="00A357D7" w:rsidR="004310EA">
        <w:t>minimum</w:t>
      </w:r>
      <w:r w:rsidRPr="00A357D7" w:rsidR="006F4FB1">
        <w:t xml:space="preserve"> amount of time</w:t>
      </w:r>
      <w:r w:rsidRPr="00A357D7" w:rsidR="004310EA">
        <w:t xml:space="preserve"> (20 minutes) was involved in the daily VTE activities and </w:t>
      </w:r>
      <w:r w:rsidRPr="00A357D7" w:rsidR="007C09AC">
        <w:t xml:space="preserve">needed </w:t>
      </w:r>
      <w:r w:rsidRPr="00A357D7" w:rsidR="009D0147">
        <w:t>very little</w:t>
      </w:r>
      <w:r w:rsidRPr="00A357D7" w:rsidR="00B75AB2">
        <w:t xml:space="preserve"> input </w:t>
      </w:r>
      <w:r w:rsidRPr="00A357D7" w:rsidR="009D0147">
        <w:t xml:space="preserve">from other staff </w:t>
      </w:r>
      <w:r w:rsidRPr="00A357D7" w:rsidR="00B75AB2">
        <w:t xml:space="preserve">to complete the questionnaire. </w:t>
      </w:r>
      <w:r w:rsidRPr="00A357D7" w:rsidR="004310EA">
        <w:t xml:space="preserve"> </w:t>
      </w:r>
      <w:r w:rsidRPr="00A357D7" w:rsidR="75AC138E">
        <w:t xml:space="preserve"> </w:t>
      </w:r>
    </w:p>
    <w:p w:rsidRPr="00A357D7" w:rsidR="3F6441AE" w:rsidP="3F6441AE" w:rsidRDefault="3F6441AE" w14:paraId="29BBB183" w14:textId="4F9A612B">
      <w:pPr>
        <w:spacing w:line="360" w:lineRule="auto"/>
      </w:pPr>
    </w:p>
    <w:p w:rsidRPr="00A357D7" w:rsidR="75AC138E" w:rsidP="38C0CAD8" w:rsidRDefault="75AC138E" w14:paraId="118D0D3E" w14:textId="0392F350">
      <w:pPr>
        <w:spacing w:line="360" w:lineRule="auto"/>
      </w:pPr>
      <w:r w:rsidRPr="00A357D7">
        <w:t xml:space="preserve">We also examined the responses to other questions and found good </w:t>
      </w:r>
      <w:r w:rsidRPr="00A357D7" w:rsidR="153215BD">
        <w:t>variability across the pilot sites.</w:t>
      </w:r>
      <w:r w:rsidRPr="00A357D7" w:rsidR="6E4082C7">
        <w:t xml:space="preserve">  Additional detail</w:t>
      </w:r>
      <w:r w:rsidRPr="00A357D7" w:rsidR="00A402AB">
        <w:t>s</w:t>
      </w:r>
      <w:r w:rsidRPr="00A357D7" w:rsidR="6E4082C7">
        <w:t xml:space="preserve"> </w:t>
      </w:r>
      <w:r w:rsidRPr="00A357D7" w:rsidR="380E1493">
        <w:t xml:space="preserve">and aggregate findings </w:t>
      </w:r>
      <w:r w:rsidRPr="00A357D7" w:rsidR="6E4082C7">
        <w:t xml:space="preserve">from pilot testing </w:t>
      </w:r>
      <w:r w:rsidRPr="00A357D7" w:rsidR="00A402AB">
        <w:t xml:space="preserve">are </w:t>
      </w:r>
      <w:r w:rsidRPr="00A357D7" w:rsidR="6E4082C7">
        <w:t>available upon request.</w:t>
      </w:r>
    </w:p>
    <w:p w:rsidRPr="00483B0E" w:rsidR="00F84039" w:rsidP="00D06F02" w:rsidRDefault="00F84039" w14:paraId="58CC7F2D" w14:textId="72D8A044">
      <w:pPr>
        <w:suppressLineNumbers/>
        <w:spacing w:line="360" w:lineRule="auto"/>
        <w:rPr>
          <w:bCs/>
        </w:rPr>
      </w:pPr>
    </w:p>
    <w:p w:rsidR="00A868DA" w:rsidP="00D06F02" w:rsidRDefault="00A868DA" w14:paraId="30E73378" w14:textId="10A34A0E">
      <w:pPr>
        <w:pStyle w:val="Heading2"/>
        <w:spacing w:before="0" w:after="0" w:line="360" w:lineRule="auto"/>
        <w:rPr>
          <w:rFonts w:ascii="Times New Roman" w:hAnsi="Times New Roman"/>
          <w:i w:val="0"/>
          <w:sz w:val="24"/>
          <w:szCs w:val="24"/>
        </w:rPr>
      </w:pPr>
      <w:r w:rsidRPr="00483B0E">
        <w:rPr>
          <w:rFonts w:ascii="Times New Roman" w:hAnsi="Times New Roman"/>
          <w:i w:val="0"/>
          <w:sz w:val="24"/>
          <w:szCs w:val="24"/>
        </w:rPr>
        <w:lastRenderedPageBreak/>
        <w:t>B.5. Individuals Consulted on Statistical Aspects and Individuals Collecting and/or Analyzing Data</w:t>
      </w:r>
    </w:p>
    <w:p w:rsidRPr="007618DB" w:rsidR="0074781F" w:rsidP="007618DB" w:rsidRDefault="0074781F" w14:paraId="635CBCCC" w14:textId="77777777"/>
    <w:p w:rsidRPr="00FC268D" w:rsidR="00CD14BE" w:rsidP="00CD14BE" w:rsidRDefault="00345D49" w14:paraId="562F7DDB" w14:textId="56CB249C">
      <w:r w:rsidRPr="00FC268D">
        <w:t xml:space="preserve">Individual </w:t>
      </w:r>
      <w:r w:rsidRPr="00FC268D" w:rsidR="00006CB7">
        <w:t xml:space="preserve">consulted on </w:t>
      </w:r>
      <w:r w:rsidRPr="00FC268D" w:rsidR="00F43F15">
        <w:t>statistical aspects of the design:</w:t>
      </w:r>
    </w:p>
    <w:p w:rsidRPr="00FC268D" w:rsidR="00CB05F5" w:rsidP="00CD14BE" w:rsidRDefault="00CB05F5" w14:paraId="3F704D68" w14:textId="52565B48"/>
    <w:p w:rsidRPr="00FC268D" w:rsidR="00C5643B" w:rsidP="00C5643B" w:rsidRDefault="00C5643B" w14:paraId="4F0F6F8E" w14:textId="77777777">
      <w:r w:rsidRPr="00FC268D">
        <w:t>Stephen Schmaltz</w:t>
      </w:r>
      <w:r>
        <w:t>, PhD</w:t>
      </w:r>
    </w:p>
    <w:p w:rsidRPr="00FC268D" w:rsidR="00C5643B" w:rsidP="00C5643B" w:rsidRDefault="00C5643B" w14:paraId="1E376BD0" w14:textId="77777777">
      <w:r w:rsidRPr="00FC268D">
        <w:t>Associate Director, Senior Biostatistician</w:t>
      </w:r>
    </w:p>
    <w:p w:rsidRPr="00FC268D" w:rsidR="00C5643B" w:rsidP="00C5643B" w:rsidRDefault="00C5643B" w14:paraId="4F2FBA24" w14:textId="77777777">
      <w:r w:rsidRPr="00FC268D">
        <w:t>Division of Healthcare Quality Evaluation</w:t>
      </w:r>
    </w:p>
    <w:p w:rsidRPr="00FC268D" w:rsidR="00C5643B" w:rsidP="00C5643B" w:rsidRDefault="00C5643B" w14:paraId="7504DE07" w14:textId="77777777">
      <w:r w:rsidRPr="00FC268D">
        <w:t>The Joint Commission</w:t>
      </w:r>
    </w:p>
    <w:p w:rsidRPr="00FC268D" w:rsidR="00C5643B" w:rsidP="00C5643B" w:rsidRDefault="00C5643B" w14:paraId="56C6A269" w14:textId="77777777">
      <w:r w:rsidRPr="00FC268D">
        <w:t>One Renaissance Blvd</w:t>
      </w:r>
    </w:p>
    <w:p w:rsidRPr="00FC268D" w:rsidR="00C5643B" w:rsidP="00C5643B" w:rsidRDefault="00C5643B" w14:paraId="1D517754" w14:textId="77777777">
      <w:r w:rsidRPr="00FC268D">
        <w:t>Oakbrook Terrace IL 60181</w:t>
      </w:r>
    </w:p>
    <w:p w:rsidRPr="00FC268D" w:rsidR="00C5643B" w:rsidP="00C5643B" w:rsidRDefault="00C5643B" w14:paraId="595B9B8B" w14:textId="77777777">
      <w:r w:rsidRPr="00FC268D">
        <w:t>Phone: 630-792-5243</w:t>
      </w:r>
    </w:p>
    <w:p w:rsidRPr="00FC268D" w:rsidR="00C5643B" w:rsidP="00C5643B" w:rsidRDefault="00F2396F" w14:paraId="2A6B0F05" w14:textId="77777777">
      <w:hyperlink w:history="1" r:id="rId21">
        <w:r w:rsidRPr="00FC268D" w:rsidR="00C5643B">
          <w:rPr>
            <w:rStyle w:val="Hyperlink"/>
            <w:color w:val="auto"/>
          </w:rPr>
          <w:t>SSchmaltz@jointcommission.org</w:t>
        </w:r>
      </w:hyperlink>
    </w:p>
    <w:p w:rsidR="00F35CCE" w:rsidP="00C2736B" w:rsidRDefault="00F35CCE" w14:paraId="50784EBF" w14:textId="77777777"/>
    <w:p w:rsidRPr="00FC268D" w:rsidR="00F83E1F" w:rsidP="00C2736B" w:rsidRDefault="00442AC7" w14:paraId="02B0AB66" w14:textId="4511A1C8">
      <w:r w:rsidRPr="00FC268D">
        <w:t xml:space="preserve">Individuals </w:t>
      </w:r>
      <w:r w:rsidRPr="00FC268D" w:rsidR="007B7A4C">
        <w:t xml:space="preserve">from The Department of Research at the Joint Commission </w:t>
      </w:r>
      <w:r w:rsidRPr="00FC268D">
        <w:t>who</w:t>
      </w:r>
      <w:r w:rsidRPr="00FC268D" w:rsidR="00CD14BE">
        <w:t xml:space="preserve"> </w:t>
      </w:r>
      <w:r w:rsidRPr="00FC268D">
        <w:t>w</w:t>
      </w:r>
      <w:r w:rsidRPr="00FC268D" w:rsidR="00CD14BE">
        <w:t xml:space="preserve">ill </w:t>
      </w:r>
      <w:r w:rsidRPr="00FC268D" w:rsidR="00BE7BDC">
        <w:t xml:space="preserve">be involved with </w:t>
      </w:r>
      <w:r w:rsidRPr="00FC268D" w:rsidR="00CD14BE">
        <w:t>collect</w:t>
      </w:r>
      <w:r w:rsidRPr="00FC268D" w:rsidR="00BE7BDC">
        <w:t>ing</w:t>
      </w:r>
      <w:r w:rsidRPr="00FC268D" w:rsidR="00CD14BE">
        <w:t xml:space="preserve"> the data</w:t>
      </w:r>
      <w:r w:rsidRPr="00FC268D" w:rsidR="007B7A4C">
        <w:t>:</w:t>
      </w:r>
      <w:r w:rsidRPr="00FC268D" w:rsidR="0091716A">
        <w:t xml:space="preserve"> </w:t>
      </w:r>
    </w:p>
    <w:p w:rsidRPr="00FC268D" w:rsidR="00955CBA" w:rsidP="008A1C0A" w:rsidRDefault="00955CBA" w14:paraId="7EC0F519" w14:textId="77777777"/>
    <w:p w:rsidRPr="00FC268D" w:rsidR="008A1C0A" w:rsidP="008A1C0A" w:rsidRDefault="008A1C0A" w14:paraId="6DA55336" w14:textId="4C62A0D5">
      <w:r w:rsidRPr="00FC268D">
        <w:t>Barbara I Braun, PhD</w:t>
      </w:r>
    </w:p>
    <w:p w:rsidRPr="00FC268D" w:rsidR="008A1C0A" w:rsidP="008A1C0A" w:rsidRDefault="008A1C0A" w14:paraId="7A761E26" w14:textId="3D38DE23">
      <w:r w:rsidRPr="00FC268D">
        <w:t>Associate Director</w:t>
      </w:r>
    </w:p>
    <w:p w:rsidRPr="00FC268D" w:rsidR="008A1C0A" w:rsidP="008A1C0A" w:rsidRDefault="008A1C0A" w14:paraId="206F886D" w14:textId="77777777">
      <w:r w:rsidRPr="00FC268D">
        <w:t>Division of Healthcare Quality Evaluation</w:t>
      </w:r>
    </w:p>
    <w:p w:rsidRPr="00FC268D" w:rsidR="008A1C0A" w:rsidP="008A1C0A" w:rsidRDefault="008A1C0A" w14:paraId="71D1715F" w14:textId="77777777">
      <w:r w:rsidRPr="00FC268D">
        <w:t>The Joint Commission</w:t>
      </w:r>
    </w:p>
    <w:p w:rsidRPr="00FC268D" w:rsidR="008A1C0A" w:rsidP="008A1C0A" w:rsidRDefault="008A1C0A" w14:paraId="0AF7370F" w14:textId="77777777">
      <w:r w:rsidRPr="00FC268D">
        <w:t>One Renaissance Blvd</w:t>
      </w:r>
    </w:p>
    <w:p w:rsidRPr="00FC268D" w:rsidR="008A1C0A" w:rsidP="008A1C0A" w:rsidRDefault="008A1C0A" w14:paraId="49080381" w14:textId="77777777">
      <w:r w:rsidRPr="00FC268D">
        <w:t>Oakbrook Terrace IL 60181</w:t>
      </w:r>
    </w:p>
    <w:p w:rsidRPr="00FC268D" w:rsidR="008A1C0A" w:rsidP="008A1C0A" w:rsidRDefault="0001610B" w14:paraId="537B4986" w14:textId="29172901">
      <w:r w:rsidRPr="00FC268D">
        <w:t xml:space="preserve">Phone: </w:t>
      </w:r>
      <w:r w:rsidRPr="00FC268D" w:rsidR="008A1C0A">
        <w:t>630-792-5928 </w:t>
      </w:r>
    </w:p>
    <w:p w:rsidRPr="00FC268D" w:rsidR="008A1C0A" w:rsidP="008A1C0A" w:rsidRDefault="00F2396F" w14:paraId="3BC07578" w14:textId="731FFCB3">
      <w:pPr>
        <w:rPr>
          <w:rStyle w:val="Hyperlink"/>
          <w:color w:val="auto"/>
        </w:rPr>
      </w:pPr>
      <w:hyperlink w:history="1" r:id="rId22">
        <w:r w:rsidRPr="00FC268D" w:rsidR="008A1C0A">
          <w:rPr>
            <w:rStyle w:val="Hyperlink"/>
            <w:color w:val="auto"/>
          </w:rPr>
          <w:t>bbraun@jointcommission.org</w:t>
        </w:r>
      </w:hyperlink>
    </w:p>
    <w:p w:rsidRPr="00FC268D" w:rsidR="005452C7" w:rsidP="008A1C0A" w:rsidRDefault="005452C7" w14:paraId="2D2E60BB" w14:textId="6458DDB2">
      <w:pPr>
        <w:rPr>
          <w:rStyle w:val="Hyperlink"/>
          <w:color w:val="auto"/>
        </w:rPr>
      </w:pPr>
    </w:p>
    <w:p w:rsidRPr="00FC268D" w:rsidR="005452C7" w:rsidP="008A1C0A" w:rsidRDefault="005452C7" w14:paraId="403DEE73" w14:textId="21845F20">
      <w:pPr>
        <w:rPr>
          <w:rStyle w:val="Hyperlink"/>
          <w:color w:val="auto"/>
          <w:u w:val="none"/>
        </w:rPr>
      </w:pPr>
      <w:r w:rsidRPr="00FC268D">
        <w:rPr>
          <w:rStyle w:val="Hyperlink"/>
          <w:color w:val="auto"/>
          <w:u w:val="none"/>
        </w:rPr>
        <w:t>Michel</w:t>
      </w:r>
      <w:r w:rsidR="00C36DE1">
        <w:rPr>
          <w:rStyle w:val="Hyperlink"/>
          <w:color w:val="auto"/>
          <w:u w:val="none"/>
        </w:rPr>
        <w:t>e</w:t>
      </w:r>
      <w:r w:rsidRPr="00FC268D">
        <w:rPr>
          <w:rStyle w:val="Hyperlink"/>
          <w:color w:val="auto"/>
          <w:u w:val="none"/>
        </w:rPr>
        <w:t xml:space="preserve"> Bozikis</w:t>
      </w:r>
      <w:r w:rsidRPr="00FC268D" w:rsidR="00846F1E">
        <w:rPr>
          <w:rStyle w:val="Hyperlink"/>
          <w:color w:val="auto"/>
          <w:u w:val="none"/>
        </w:rPr>
        <w:t>, MPH</w:t>
      </w:r>
      <w:r w:rsidRPr="00FC268D">
        <w:rPr>
          <w:rStyle w:val="Hyperlink"/>
          <w:color w:val="auto"/>
          <w:u w:val="none"/>
        </w:rPr>
        <w:t xml:space="preserve"> </w:t>
      </w:r>
    </w:p>
    <w:p w:rsidRPr="00FC268D" w:rsidR="00846F1E" w:rsidP="008A1C0A" w:rsidRDefault="00846F1E" w14:paraId="4A6E34DF" w14:textId="3AF47BC8">
      <w:pPr>
        <w:rPr>
          <w:rStyle w:val="Hyperlink"/>
          <w:color w:val="auto"/>
          <w:u w:val="none"/>
        </w:rPr>
      </w:pPr>
      <w:r w:rsidRPr="00FC268D">
        <w:rPr>
          <w:rStyle w:val="Hyperlink"/>
          <w:color w:val="auto"/>
          <w:u w:val="none"/>
        </w:rPr>
        <w:t>Project Manager</w:t>
      </w:r>
    </w:p>
    <w:p w:rsidRPr="00FC268D" w:rsidR="00846F1E" w:rsidP="00846F1E" w:rsidRDefault="00846F1E" w14:paraId="640AC662" w14:textId="77777777">
      <w:r w:rsidRPr="00FC268D">
        <w:t>Division of Healthcare Quality Evaluation</w:t>
      </w:r>
    </w:p>
    <w:p w:rsidRPr="00FC268D" w:rsidR="00846F1E" w:rsidP="00846F1E" w:rsidRDefault="00846F1E" w14:paraId="0C6984B5" w14:textId="77777777">
      <w:r w:rsidRPr="00FC268D">
        <w:t>The Joint Commission</w:t>
      </w:r>
    </w:p>
    <w:p w:rsidRPr="00FC268D" w:rsidR="00846F1E" w:rsidP="00846F1E" w:rsidRDefault="00846F1E" w14:paraId="4714C4D5" w14:textId="77777777">
      <w:r w:rsidRPr="00FC268D">
        <w:t>One Renaissance Blvd</w:t>
      </w:r>
    </w:p>
    <w:p w:rsidRPr="00FC268D" w:rsidR="00846F1E" w:rsidP="00846F1E" w:rsidRDefault="00846F1E" w14:paraId="02CFF83F" w14:textId="77777777">
      <w:r w:rsidRPr="00FC268D">
        <w:t>Oakbrook Terrace IL 60181</w:t>
      </w:r>
    </w:p>
    <w:p w:rsidRPr="00FC268D" w:rsidR="00846F1E" w:rsidP="008A1C0A" w:rsidRDefault="00846F1E" w14:paraId="503D8B03" w14:textId="6CB157C1">
      <w:r w:rsidRPr="00FC268D">
        <w:t>Phone:</w:t>
      </w:r>
      <w:r w:rsidRPr="00FC268D" w:rsidR="00E31157">
        <w:rPr>
          <w:rFonts w:eastAsiaTheme="minorEastAsia"/>
          <w:noProof/>
        </w:rPr>
        <w:t xml:space="preserve"> 630-268-2660</w:t>
      </w:r>
    </w:p>
    <w:p w:rsidRPr="00FC268D" w:rsidR="00651169" w:rsidP="00D06F02" w:rsidRDefault="00F2396F" w14:paraId="488674BD" w14:textId="5D950DA5">
      <w:pPr>
        <w:spacing w:line="360" w:lineRule="auto"/>
      </w:pPr>
      <w:hyperlink w:history="1" r:id="rId23">
        <w:r w:rsidRPr="00FC268D" w:rsidR="00C640E9">
          <w:rPr>
            <w:rStyle w:val="Hyperlink"/>
            <w:color w:val="auto"/>
          </w:rPr>
          <w:t>mbozikis@jcrinc.com</w:t>
        </w:r>
      </w:hyperlink>
    </w:p>
    <w:p w:rsidRPr="00FC268D" w:rsidR="00C640E9" w:rsidP="004019D2" w:rsidRDefault="00C640E9" w14:paraId="5492ED27" w14:textId="77777777"/>
    <w:p w:rsidRPr="00FC268D" w:rsidR="004019D2" w:rsidP="004019D2" w:rsidRDefault="00651169" w14:paraId="18E7AD69" w14:textId="5F3D7A8A">
      <w:r w:rsidRPr="00FC268D">
        <w:t>Salome Chitavi</w:t>
      </w:r>
      <w:r w:rsidRPr="00FC268D" w:rsidR="004019D2">
        <w:t>, PhD</w:t>
      </w:r>
    </w:p>
    <w:p w:rsidRPr="00FC268D" w:rsidR="004019D2" w:rsidP="004019D2" w:rsidRDefault="0001610B" w14:paraId="554250FF" w14:textId="40856D97">
      <w:r w:rsidRPr="00FC268D">
        <w:t>Project Director</w:t>
      </w:r>
    </w:p>
    <w:p w:rsidRPr="00FC268D" w:rsidR="004019D2" w:rsidP="004019D2" w:rsidRDefault="004019D2" w14:paraId="70A300A7" w14:textId="431344C7">
      <w:r w:rsidRPr="00FC268D">
        <w:t>Division of Healthcare Quality Evaluation</w:t>
      </w:r>
    </w:p>
    <w:p w:rsidRPr="00FC268D" w:rsidR="004019D2" w:rsidP="004019D2" w:rsidRDefault="004019D2" w14:paraId="7F9D1FDA" w14:textId="77777777">
      <w:r w:rsidRPr="00FC268D">
        <w:t>The Joint Commission</w:t>
      </w:r>
    </w:p>
    <w:p w:rsidRPr="00FC268D" w:rsidR="004019D2" w:rsidP="004019D2" w:rsidRDefault="004019D2" w14:paraId="49DBD7EB" w14:textId="77777777">
      <w:r w:rsidRPr="00FC268D">
        <w:t>One Renaissance Blvd</w:t>
      </w:r>
    </w:p>
    <w:p w:rsidRPr="00FC268D" w:rsidR="004019D2" w:rsidP="004019D2" w:rsidRDefault="004019D2" w14:paraId="11F7379A" w14:textId="77777777">
      <w:r w:rsidRPr="00FC268D">
        <w:t>Oakbrook Terrace IL 60181</w:t>
      </w:r>
    </w:p>
    <w:p w:rsidRPr="00FC268D" w:rsidR="00651169" w:rsidP="00955CBA" w:rsidRDefault="0001610B" w14:paraId="32E36C69" w14:textId="084B7086">
      <w:r w:rsidRPr="00FC268D">
        <w:t>Phone: 630</w:t>
      </w:r>
      <w:r w:rsidRPr="00FC268D" w:rsidR="0024033C">
        <w:t>.792.5977</w:t>
      </w:r>
    </w:p>
    <w:p w:rsidRPr="00FC268D" w:rsidR="00955CBA" w:rsidP="00955CBA" w:rsidRDefault="00955CBA" w14:paraId="51288651" w14:textId="4724999E">
      <w:pPr>
        <w:rPr>
          <w:u w:val="single"/>
        </w:rPr>
      </w:pPr>
      <w:r w:rsidRPr="00FC268D">
        <w:rPr>
          <w:u w:val="single"/>
        </w:rPr>
        <w:t>SChitavi@jointcommission.org</w:t>
      </w:r>
    </w:p>
    <w:p w:rsidRPr="00FC268D" w:rsidR="00B43115" w:rsidP="00B43115" w:rsidRDefault="00B43115" w14:paraId="2DCD2329" w14:textId="77777777"/>
    <w:p w:rsidRPr="00FC268D" w:rsidR="00B43115" w:rsidP="00B43115" w:rsidRDefault="00B43115" w14:paraId="5DC3CC2B" w14:textId="14697C2A">
      <w:r w:rsidRPr="00FC268D">
        <w:t>Karen Kolbusz, RN, BSN, MBA</w:t>
      </w:r>
    </w:p>
    <w:p w:rsidRPr="00FC268D" w:rsidR="00B43115" w:rsidP="00B43115" w:rsidRDefault="00B43115" w14:paraId="3B7C6FB4" w14:textId="77777777">
      <w:r w:rsidRPr="00FC268D">
        <w:t>Associate Project Director</w:t>
      </w:r>
    </w:p>
    <w:p w:rsidRPr="00FC268D" w:rsidR="00B43115" w:rsidP="00B43115" w:rsidRDefault="00B43115" w14:paraId="442F667F" w14:textId="77777777">
      <w:r w:rsidRPr="00FC268D">
        <w:t>Division of Healthcare Quality Evaluation</w:t>
      </w:r>
    </w:p>
    <w:p w:rsidRPr="00FC268D" w:rsidR="00B43115" w:rsidP="00B43115" w:rsidRDefault="00B43115" w14:paraId="697BE735" w14:textId="77777777">
      <w:r w:rsidRPr="00FC268D">
        <w:lastRenderedPageBreak/>
        <w:t>The Joint Commission</w:t>
      </w:r>
    </w:p>
    <w:p w:rsidRPr="00FC268D" w:rsidR="004019D2" w:rsidP="004019D2" w:rsidRDefault="004019D2" w14:paraId="29FF4C45" w14:textId="77777777">
      <w:r w:rsidRPr="00FC268D">
        <w:t>One Renaissance Boulevard</w:t>
      </w:r>
    </w:p>
    <w:p w:rsidRPr="00FC268D" w:rsidR="004019D2" w:rsidP="004019D2" w:rsidRDefault="004019D2" w14:paraId="421DCE41" w14:textId="77777777">
      <w:r w:rsidRPr="00FC268D">
        <w:t>Oakbrook Terrace, IL 60181</w:t>
      </w:r>
    </w:p>
    <w:p w:rsidRPr="00FC268D" w:rsidR="004019D2" w:rsidP="004019D2" w:rsidRDefault="0001610B" w14:paraId="0C7E6FA1" w14:textId="67E53056">
      <w:r w:rsidRPr="00FC268D">
        <w:t>Phone</w:t>
      </w:r>
      <w:r w:rsidRPr="00FC268D" w:rsidR="004019D2">
        <w:t>: 630.792.5931</w:t>
      </w:r>
    </w:p>
    <w:p w:rsidRPr="00FC268D" w:rsidR="004019D2" w:rsidP="004019D2" w:rsidRDefault="00F2396F" w14:paraId="698D290F" w14:textId="77777777">
      <w:hyperlink w:history="1" r:id="rId24">
        <w:r w:rsidRPr="00FC268D" w:rsidR="004019D2">
          <w:rPr>
            <w:rStyle w:val="Hyperlink"/>
            <w:color w:val="auto"/>
          </w:rPr>
          <w:t>kkolbusz@jointcommission.org</w:t>
        </w:r>
      </w:hyperlink>
    </w:p>
    <w:p w:rsidRPr="00FC268D" w:rsidR="00442AC7" w:rsidP="00442AC7" w:rsidRDefault="00442AC7" w14:paraId="68FA6A3D" w14:textId="77777777">
      <w:pPr>
        <w:spacing w:line="360" w:lineRule="auto"/>
        <w:rPr>
          <w:rFonts w:ascii="Segoe UI Symbol" w:hAnsi="Segoe UI Symbol" w:cs="Segoe UI Symbol"/>
        </w:rPr>
      </w:pPr>
    </w:p>
    <w:p w:rsidRPr="00FC268D" w:rsidR="00442AC7" w:rsidP="00442AC7" w:rsidRDefault="00345D49" w14:paraId="46208539" w14:textId="4CC126FC">
      <w:pPr>
        <w:spacing w:line="360" w:lineRule="auto"/>
      </w:pPr>
      <w:r w:rsidRPr="00FC268D">
        <w:t>I</w:t>
      </w:r>
      <w:r w:rsidRPr="00FC268D" w:rsidR="00442AC7">
        <w:t xml:space="preserve">ndividuals </w:t>
      </w:r>
      <w:r w:rsidRPr="00FC268D" w:rsidR="00BE7BDC">
        <w:t>from The Joint Commission</w:t>
      </w:r>
      <w:r w:rsidRPr="00FC268D" w:rsidR="00BF0678">
        <w:t xml:space="preserve"> and CDC</w:t>
      </w:r>
      <w:r w:rsidRPr="00FC268D" w:rsidR="00BE7BDC">
        <w:t xml:space="preserve"> </w:t>
      </w:r>
      <w:r w:rsidRPr="00FC268D" w:rsidR="00442AC7">
        <w:t xml:space="preserve">who will </w:t>
      </w:r>
      <w:r w:rsidRPr="00FC268D" w:rsidR="00BE7BDC">
        <w:t xml:space="preserve">be involved with </w:t>
      </w:r>
      <w:r w:rsidRPr="00FC268D" w:rsidR="00442AC7">
        <w:t>analyz</w:t>
      </w:r>
      <w:r w:rsidRPr="00FC268D" w:rsidR="00BE7BDC">
        <w:t>ing</w:t>
      </w:r>
      <w:r w:rsidRPr="00FC268D" w:rsidR="00442AC7">
        <w:t xml:space="preserve"> the data:</w:t>
      </w:r>
    </w:p>
    <w:p w:rsidRPr="00FC268D" w:rsidR="00DB46A9" w:rsidP="00DB46A9" w:rsidRDefault="00DB46A9" w14:paraId="4F096EB2" w14:textId="77777777">
      <w:r w:rsidRPr="00FC268D">
        <w:t>Barbara I Braun, PhD</w:t>
      </w:r>
    </w:p>
    <w:p w:rsidRPr="00FC268D" w:rsidR="00DB46A9" w:rsidP="00DB46A9" w:rsidRDefault="00DB46A9" w14:paraId="37E892FB" w14:textId="77777777">
      <w:r w:rsidRPr="00FC268D">
        <w:t>Associate Director</w:t>
      </w:r>
    </w:p>
    <w:p w:rsidRPr="00FC268D" w:rsidR="00DB46A9" w:rsidP="00DB46A9" w:rsidRDefault="00DB46A9" w14:paraId="705B8BBC" w14:textId="77777777">
      <w:r w:rsidRPr="00FC268D">
        <w:t>Division of Healthcare Quality Evaluation</w:t>
      </w:r>
    </w:p>
    <w:p w:rsidRPr="00FC268D" w:rsidR="00DB46A9" w:rsidP="00DB46A9" w:rsidRDefault="00DB46A9" w14:paraId="030CA25D" w14:textId="77777777">
      <w:r w:rsidRPr="00FC268D">
        <w:t>The Joint Commission</w:t>
      </w:r>
    </w:p>
    <w:p w:rsidRPr="00FC268D" w:rsidR="00DB46A9" w:rsidP="00DB46A9" w:rsidRDefault="00DB46A9" w14:paraId="16BD6F07" w14:textId="77777777">
      <w:r w:rsidRPr="00FC268D">
        <w:t>One Renaissance Blvd</w:t>
      </w:r>
    </w:p>
    <w:p w:rsidRPr="00FC268D" w:rsidR="00DB46A9" w:rsidP="00DB46A9" w:rsidRDefault="00DB46A9" w14:paraId="7C591D95" w14:textId="77777777">
      <w:r w:rsidRPr="00FC268D">
        <w:t>Oakbrook Terrace IL 60181</w:t>
      </w:r>
    </w:p>
    <w:p w:rsidRPr="00FC268D" w:rsidR="00DB46A9" w:rsidP="00DB46A9" w:rsidRDefault="00DB46A9" w14:paraId="01D0DD43" w14:textId="77777777">
      <w:r w:rsidRPr="00FC268D">
        <w:t>Phone: 630-792-5928 </w:t>
      </w:r>
    </w:p>
    <w:p w:rsidRPr="00FC268D" w:rsidR="00DB46A9" w:rsidP="00DB46A9" w:rsidRDefault="00F2396F" w14:paraId="44C4F7D4" w14:textId="77777777">
      <w:pPr>
        <w:rPr>
          <w:rStyle w:val="Hyperlink"/>
          <w:color w:val="auto"/>
        </w:rPr>
      </w:pPr>
      <w:hyperlink w:history="1" r:id="rId25">
        <w:r w:rsidRPr="00FC268D" w:rsidR="00DB46A9">
          <w:rPr>
            <w:rStyle w:val="Hyperlink"/>
            <w:color w:val="auto"/>
          </w:rPr>
          <w:t>bbraun@jointcommission.org</w:t>
        </w:r>
      </w:hyperlink>
    </w:p>
    <w:p w:rsidR="00DB46A9" w:rsidP="00442AC7" w:rsidRDefault="00DB46A9" w14:paraId="4E7B90D7" w14:textId="77777777"/>
    <w:p w:rsidRPr="00FC268D" w:rsidR="00442AC7" w:rsidP="00442AC7" w:rsidRDefault="00442AC7" w14:paraId="030BB44B" w14:textId="53646B77">
      <w:r w:rsidRPr="00FC268D">
        <w:t>Salome Chitavi, PhD</w:t>
      </w:r>
    </w:p>
    <w:p w:rsidRPr="00FC268D" w:rsidR="00442AC7" w:rsidP="00442AC7" w:rsidRDefault="00442AC7" w14:paraId="731061D5" w14:textId="77777777">
      <w:r w:rsidRPr="00FC268D">
        <w:t>Project Director</w:t>
      </w:r>
    </w:p>
    <w:p w:rsidRPr="00FC268D" w:rsidR="00442AC7" w:rsidP="00442AC7" w:rsidRDefault="00442AC7" w14:paraId="56861840" w14:textId="77777777">
      <w:r w:rsidRPr="00FC268D">
        <w:t>Division of Healthcare Quality Evaluation</w:t>
      </w:r>
    </w:p>
    <w:p w:rsidRPr="00FC268D" w:rsidR="00442AC7" w:rsidP="00442AC7" w:rsidRDefault="00442AC7" w14:paraId="715D20FE" w14:textId="77777777">
      <w:bookmarkStart w:name="_Hlk48816052" w:id="4"/>
      <w:r w:rsidRPr="00FC268D">
        <w:t>The Joint Commission</w:t>
      </w:r>
    </w:p>
    <w:p w:rsidRPr="00FC268D" w:rsidR="00442AC7" w:rsidP="00442AC7" w:rsidRDefault="00442AC7" w14:paraId="1CC7B6FF" w14:textId="77777777">
      <w:r w:rsidRPr="00FC268D">
        <w:t>One Renaissance Blvd</w:t>
      </w:r>
    </w:p>
    <w:p w:rsidRPr="00FC268D" w:rsidR="00442AC7" w:rsidP="00442AC7" w:rsidRDefault="00442AC7" w14:paraId="34C41EE4" w14:textId="77777777">
      <w:r w:rsidRPr="00FC268D">
        <w:t>Oakbrook Terrace IL 60181</w:t>
      </w:r>
    </w:p>
    <w:bookmarkEnd w:id="4"/>
    <w:p w:rsidRPr="00FC268D" w:rsidR="00442AC7" w:rsidP="00442AC7" w:rsidRDefault="00442AC7" w14:paraId="62E1EAE4" w14:textId="77777777">
      <w:r w:rsidRPr="00FC268D">
        <w:t>Phone: 630.792.5977</w:t>
      </w:r>
    </w:p>
    <w:p w:rsidRPr="00FC268D" w:rsidR="00442AC7" w:rsidP="00442AC7" w:rsidRDefault="00442AC7" w14:paraId="0FFD1369" w14:textId="77777777">
      <w:pPr>
        <w:rPr>
          <w:u w:val="single"/>
        </w:rPr>
      </w:pPr>
      <w:r w:rsidRPr="00FC268D">
        <w:rPr>
          <w:u w:val="single"/>
        </w:rPr>
        <w:t>SChitavi@jointcommission.org</w:t>
      </w:r>
    </w:p>
    <w:p w:rsidRPr="00FC268D" w:rsidR="00D06F02" w:rsidP="00D06F02" w:rsidRDefault="00D06F02" w14:paraId="0AE8F56E" w14:textId="77777777">
      <w:pPr>
        <w:spacing w:line="360" w:lineRule="auto"/>
      </w:pPr>
    </w:p>
    <w:p w:rsidRPr="00FC268D" w:rsidR="006B744E" w:rsidP="00DF6DB2" w:rsidRDefault="006B744E" w14:paraId="7AF7574F" w14:textId="5BE8FD4D">
      <w:r w:rsidRPr="00FC268D">
        <w:t>Stephen Schmaltz</w:t>
      </w:r>
      <w:r w:rsidR="00622C58">
        <w:t>, PhD</w:t>
      </w:r>
    </w:p>
    <w:p w:rsidRPr="00FC268D" w:rsidR="006B744E" w:rsidP="00DF6DB2" w:rsidRDefault="00DC2690" w14:paraId="5A422FAB" w14:textId="60D6C6ED">
      <w:r w:rsidRPr="00FC268D">
        <w:t>A</w:t>
      </w:r>
      <w:r w:rsidRPr="00FC268D" w:rsidR="00004F44">
        <w:t>ssociate Director, Senior</w:t>
      </w:r>
      <w:r w:rsidRPr="00FC268D">
        <w:t xml:space="preserve"> Biostatistician</w:t>
      </w:r>
    </w:p>
    <w:p w:rsidRPr="00FC268D" w:rsidR="005147BD" w:rsidP="005147BD" w:rsidRDefault="005147BD" w14:paraId="6B026979" w14:textId="645D939B">
      <w:r w:rsidRPr="00FC268D">
        <w:t>Division of Healthcare Quality Evaluation</w:t>
      </w:r>
    </w:p>
    <w:p w:rsidRPr="00FC268D" w:rsidR="003230DA" w:rsidP="003230DA" w:rsidRDefault="003230DA" w14:paraId="633EE5CD" w14:textId="77777777">
      <w:r w:rsidRPr="00FC268D">
        <w:t>The Joint Commission</w:t>
      </w:r>
    </w:p>
    <w:p w:rsidRPr="00FC268D" w:rsidR="003230DA" w:rsidP="003230DA" w:rsidRDefault="003230DA" w14:paraId="7F02D4FE" w14:textId="77777777">
      <w:r w:rsidRPr="00FC268D">
        <w:t>One Renaissance Blvd</w:t>
      </w:r>
    </w:p>
    <w:p w:rsidRPr="00FC268D" w:rsidR="003230DA" w:rsidP="003230DA" w:rsidRDefault="003230DA" w14:paraId="2AB20737" w14:textId="77777777">
      <w:r w:rsidRPr="00FC268D">
        <w:t>Oakbrook Terrace IL 60181</w:t>
      </w:r>
    </w:p>
    <w:p w:rsidRPr="00FC268D" w:rsidR="008C7C36" w:rsidP="00DF6DB2" w:rsidRDefault="00AC4B71" w14:paraId="4664C536" w14:textId="244F7C0E">
      <w:r w:rsidRPr="00FC268D">
        <w:t xml:space="preserve">Phone: </w:t>
      </w:r>
      <w:r w:rsidRPr="00FC268D" w:rsidR="008C7C36">
        <w:t>630-792-5243</w:t>
      </w:r>
    </w:p>
    <w:p w:rsidRPr="00FC268D" w:rsidR="006B744E" w:rsidP="00DF6DB2" w:rsidRDefault="00F2396F" w14:paraId="7ABFE00B" w14:textId="04DF996E">
      <w:hyperlink w:history="1" r:id="rId26">
        <w:r w:rsidRPr="00FC268D" w:rsidR="00E333B8">
          <w:rPr>
            <w:rStyle w:val="Hyperlink"/>
            <w:color w:val="auto"/>
          </w:rPr>
          <w:t>SSchmaltz@jointcommission.org</w:t>
        </w:r>
      </w:hyperlink>
    </w:p>
    <w:p w:rsidRPr="00FC268D" w:rsidR="00D8266F" w:rsidP="00D06F02" w:rsidRDefault="00D8266F" w14:paraId="522EFEE7" w14:textId="77777777">
      <w:pPr>
        <w:spacing w:line="360" w:lineRule="auto"/>
      </w:pPr>
    </w:p>
    <w:p w:rsidRPr="00FC268D" w:rsidR="006B744E" w:rsidP="00DF6DB2" w:rsidRDefault="006B744E" w14:paraId="443FCDCA" w14:textId="2258BD7A">
      <w:r w:rsidRPr="00FC268D">
        <w:t xml:space="preserve">Cheedah </w:t>
      </w:r>
      <w:r w:rsidRPr="00FC268D" w:rsidR="001C02A3">
        <w:t>Phoutharath</w:t>
      </w:r>
      <w:r w:rsidR="00622C58">
        <w:t>, MPH</w:t>
      </w:r>
    </w:p>
    <w:p w:rsidRPr="00FC268D" w:rsidR="00A54B10" w:rsidP="00DF6DB2" w:rsidRDefault="00E4666F" w14:paraId="5BC6B480" w14:textId="59D90BE2">
      <w:r w:rsidRPr="00FC268D">
        <w:t>Clinical Data Analyst</w:t>
      </w:r>
    </w:p>
    <w:p w:rsidRPr="00FC268D" w:rsidR="005147BD" w:rsidP="005147BD" w:rsidRDefault="005147BD" w14:paraId="56952DAF" w14:textId="0ACB9509">
      <w:r w:rsidRPr="00FC268D">
        <w:t>Division of Healthcare Quality Evaluation</w:t>
      </w:r>
    </w:p>
    <w:p w:rsidRPr="00FC268D" w:rsidR="003230DA" w:rsidP="003230DA" w:rsidRDefault="003230DA" w14:paraId="78FE51DF" w14:textId="77777777">
      <w:r w:rsidRPr="00FC268D">
        <w:t>The Joint Commission</w:t>
      </w:r>
    </w:p>
    <w:p w:rsidRPr="00FC268D" w:rsidR="003230DA" w:rsidP="003230DA" w:rsidRDefault="003230DA" w14:paraId="4F97D464" w14:textId="77777777">
      <w:r w:rsidRPr="00FC268D">
        <w:t>One Renaissance Blvd</w:t>
      </w:r>
    </w:p>
    <w:p w:rsidRPr="00FC268D" w:rsidR="003230DA" w:rsidP="003230DA" w:rsidRDefault="003230DA" w14:paraId="0EBBEE40" w14:textId="77777777">
      <w:r w:rsidRPr="00FC268D">
        <w:t>Oakbrook Terrace IL 60181</w:t>
      </w:r>
    </w:p>
    <w:p w:rsidRPr="00FC268D" w:rsidR="002F1CA7" w:rsidP="00DF6DB2" w:rsidRDefault="00AC4B71" w14:paraId="76A9D13D" w14:textId="7A1B2BDC">
      <w:r w:rsidRPr="00FC268D">
        <w:t xml:space="preserve">Phone: </w:t>
      </w:r>
      <w:r w:rsidRPr="00FC268D" w:rsidR="002F1CA7">
        <w:t>630-792-5954</w:t>
      </w:r>
    </w:p>
    <w:p w:rsidRPr="00FC268D" w:rsidR="00E4666F" w:rsidP="00DF6DB2" w:rsidRDefault="00F2396F" w14:paraId="04731C59" w14:textId="5A2FC6AE">
      <w:pPr>
        <w:rPr>
          <w:rStyle w:val="Hyperlink"/>
          <w:color w:val="auto"/>
        </w:rPr>
      </w:pPr>
      <w:hyperlink w:history="1" r:id="rId27">
        <w:r w:rsidRPr="00FC268D" w:rsidR="00E4666F">
          <w:rPr>
            <w:rStyle w:val="Hyperlink"/>
            <w:color w:val="auto"/>
          </w:rPr>
          <w:t>CPhoutharath@jointcommission.org</w:t>
        </w:r>
      </w:hyperlink>
    </w:p>
    <w:p w:rsidRPr="00FC268D" w:rsidR="00BF0678" w:rsidP="00DF6DB2" w:rsidRDefault="00BF0678" w14:paraId="75E5D760" w14:textId="0D8479BC">
      <w:pPr>
        <w:rPr>
          <w:rStyle w:val="Hyperlink"/>
          <w:color w:val="auto"/>
        </w:rPr>
      </w:pPr>
    </w:p>
    <w:p w:rsidRPr="00FC268D" w:rsidR="00BF0678" w:rsidP="00BF0678" w:rsidRDefault="00BF0678" w14:paraId="4350050C" w14:textId="77777777"/>
    <w:p w:rsidRPr="00FC268D" w:rsidR="00BF0678" w:rsidP="00BF0678" w:rsidRDefault="00BF0678" w14:paraId="3CEB30CA" w14:textId="7351CC99">
      <w:r w:rsidRPr="00FC268D">
        <w:t>Nimia L. Reyes, MD, MPH (</w:t>
      </w:r>
      <w:r w:rsidRPr="00FC268D" w:rsidR="0046170C">
        <w:t xml:space="preserve">CDC </w:t>
      </w:r>
      <w:r w:rsidRPr="00FC268D">
        <w:t>Project Officer)</w:t>
      </w:r>
      <w:r w:rsidRPr="00FC268D">
        <w:br/>
        <w:t>Medical Officer</w:t>
      </w:r>
    </w:p>
    <w:p w:rsidRPr="00FC268D" w:rsidR="00BF0678" w:rsidP="00BF0678" w:rsidRDefault="00BF0678" w14:paraId="25BB901F" w14:textId="77777777">
      <w:r w:rsidRPr="00FC268D">
        <w:lastRenderedPageBreak/>
        <w:t>Centers for Disease Control and Prevention (CDC)</w:t>
      </w:r>
    </w:p>
    <w:p w:rsidRPr="00FC268D" w:rsidR="00BF0678" w:rsidP="00BF0678" w:rsidRDefault="00BF0678" w14:paraId="2794CDD4" w14:textId="77777777">
      <w:r w:rsidRPr="00FC268D">
        <w:t>National Center on Birth Defects and Developmental Disabilities</w:t>
      </w:r>
      <w:r w:rsidRPr="00FC268D">
        <w:br/>
        <w:t>Division of Blood Disorders</w:t>
      </w:r>
      <w:r w:rsidRPr="00FC268D">
        <w:br/>
        <w:t>1600 Clifton Road (MS S106-3)</w:t>
      </w:r>
      <w:r w:rsidRPr="00FC268D">
        <w:br/>
        <w:t xml:space="preserve">Atlanta, GA 30333 </w:t>
      </w:r>
      <w:r w:rsidRPr="00FC268D">
        <w:br/>
        <w:t xml:space="preserve">Phone: 404-498-6733 </w:t>
      </w:r>
    </w:p>
    <w:p w:rsidRPr="00FC268D" w:rsidR="00BF0678" w:rsidP="00BF0678" w:rsidRDefault="00F2396F" w14:paraId="12A90C52" w14:textId="77777777">
      <w:hyperlink w:history="1" r:id="rId28">
        <w:r w:rsidRPr="00FC268D" w:rsidR="00BF0678">
          <w:rPr>
            <w:rStyle w:val="Hyperlink"/>
            <w:color w:val="auto"/>
          </w:rPr>
          <w:t>NReyes@cdc.gov</w:t>
        </w:r>
      </w:hyperlink>
      <w:r w:rsidRPr="00FC268D" w:rsidR="00BF0678">
        <w:t xml:space="preserve"> </w:t>
      </w:r>
    </w:p>
    <w:p w:rsidRPr="00FC268D" w:rsidR="00BF0678" w:rsidP="00BF0678" w:rsidRDefault="00BF0678" w14:paraId="7A4A5225" w14:textId="77777777"/>
    <w:p w:rsidRPr="00FC268D" w:rsidR="00BF0678" w:rsidP="00BF0678" w:rsidRDefault="00BF0678" w14:paraId="103E43AA" w14:textId="6A1F8597">
      <w:r w:rsidRPr="00FC268D">
        <w:t>Karon Abe, PhD (</w:t>
      </w:r>
      <w:r w:rsidRPr="00FC268D" w:rsidR="0046170C">
        <w:t xml:space="preserve">CDC </w:t>
      </w:r>
      <w:r w:rsidRPr="00FC268D">
        <w:t>Co-</w:t>
      </w:r>
      <w:r w:rsidRPr="00FC268D" w:rsidR="0046170C">
        <w:t>Principal Investigator)</w:t>
      </w:r>
      <w:r w:rsidRPr="00FC268D">
        <w:br/>
        <w:t>Centers for Disease Control and Prevention (CDC)</w:t>
      </w:r>
    </w:p>
    <w:p w:rsidRPr="00FC268D" w:rsidR="00BF0678" w:rsidP="00BF0678" w:rsidRDefault="00BF0678" w14:paraId="3FB68BBA" w14:textId="77777777">
      <w:r w:rsidRPr="00FC268D">
        <w:t>National Center on Birth Defects and Developmental Disabilities</w:t>
      </w:r>
      <w:r w:rsidRPr="00FC268D">
        <w:br/>
        <w:t>Division of Blood Disorders</w:t>
      </w:r>
      <w:r w:rsidRPr="00FC268D">
        <w:br/>
        <w:t xml:space="preserve">1600 Clifton Road </w:t>
      </w:r>
      <w:r w:rsidRPr="00FC268D">
        <w:br/>
        <w:t xml:space="preserve">Atlanta, GA 30333 </w:t>
      </w:r>
      <w:r w:rsidRPr="00FC268D">
        <w:br/>
        <w:t>Phone: 404-498-2498</w:t>
      </w:r>
    </w:p>
    <w:p w:rsidRPr="00FC268D" w:rsidR="00BF0678" w:rsidP="00BF0678" w:rsidRDefault="00F2396F" w14:paraId="591B3689" w14:textId="77777777">
      <w:hyperlink w:history="1" r:id="rId29">
        <w:r w:rsidRPr="00FC268D" w:rsidR="00BF0678">
          <w:rPr>
            <w:rStyle w:val="Hyperlink"/>
            <w:color w:val="auto"/>
          </w:rPr>
          <w:t>kga4@cdc.gov</w:t>
        </w:r>
      </w:hyperlink>
    </w:p>
    <w:p w:rsidR="00BF0678" w:rsidP="00DF6DB2" w:rsidRDefault="00BF0678" w14:paraId="2E3EDE84" w14:textId="73045316"/>
    <w:p w:rsidR="0016285A" w:rsidP="00DF6DB2" w:rsidRDefault="0016285A" w14:paraId="07F473DF" w14:textId="480DF5AC"/>
    <w:p w:rsidR="0016285A" w:rsidP="0016285A" w:rsidRDefault="0016285A" w14:paraId="4D0FD1B0" w14:textId="77777777">
      <w:pPr>
        <w:rPr>
          <w:b/>
          <w:bCs/>
        </w:rPr>
      </w:pPr>
    </w:p>
    <w:p w:rsidRPr="0016285A" w:rsidR="0016285A" w:rsidP="0016285A" w:rsidRDefault="0016285A" w14:paraId="64270AD6" w14:textId="4BB72B95">
      <w:pPr>
        <w:rPr>
          <w:b/>
          <w:bCs/>
        </w:rPr>
      </w:pPr>
      <w:r w:rsidRPr="0016285A">
        <w:rPr>
          <w:b/>
          <w:bCs/>
        </w:rPr>
        <w:t xml:space="preserve">Reference: </w:t>
      </w:r>
    </w:p>
    <w:p w:rsidRPr="00D965AE" w:rsidR="0016285A" w:rsidP="0016285A" w:rsidRDefault="0016285A" w14:paraId="48D7AC74" w14:textId="77777777"/>
    <w:p w:rsidRPr="00D965AE" w:rsidR="0016285A" w:rsidP="0016285A" w:rsidRDefault="0016285A" w14:paraId="14FFA985" w14:textId="77777777">
      <w:pPr>
        <w:pStyle w:val="ListParagraph"/>
        <w:numPr>
          <w:ilvl w:val="0"/>
          <w:numId w:val="13"/>
        </w:numPr>
        <w:spacing w:line="240" w:lineRule="auto"/>
        <w:rPr>
          <w:sz w:val="24"/>
          <w:szCs w:val="24"/>
        </w:rPr>
      </w:pPr>
      <w:r w:rsidRPr="00D965AE">
        <w:rPr>
          <w:sz w:val="24"/>
          <w:szCs w:val="24"/>
        </w:rPr>
        <w:t>(2019). AHA Hospital Statistics: A comprehensive reference for analysis and comparison of hospital trends (2019 ed.). American Hospital Association.</w:t>
      </w:r>
    </w:p>
    <w:p w:rsidRPr="00FC268D" w:rsidR="0016285A" w:rsidP="00DF6DB2" w:rsidRDefault="0016285A" w14:paraId="5A96A225" w14:textId="77777777"/>
    <w:sectPr w:rsidRPr="00FC268D" w:rsidR="0016285A" w:rsidSect="000D15B7">
      <w:footerReference w:type="default" r:id="rId30"/>
      <w:pgSz w:w="12240" w:h="15840"/>
      <w:pgMar w:top="1080" w:right="1080" w:bottom="1080" w:left="108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E2788D" w16cex:dateUtc="2020-08-20T19: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AA3A5" w14:textId="77777777" w:rsidR="009E0E26" w:rsidRDefault="009E0E26" w:rsidP="00A868DA">
      <w:r>
        <w:separator/>
      </w:r>
    </w:p>
  </w:endnote>
  <w:endnote w:type="continuationSeparator" w:id="0">
    <w:p w14:paraId="3A385BFA" w14:textId="77777777" w:rsidR="009E0E26" w:rsidRDefault="009E0E26" w:rsidP="00A868DA">
      <w:r>
        <w:continuationSeparator/>
      </w:r>
    </w:p>
  </w:endnote>
  <w:endnote w:type="continuationNotice" w:id="1">
    <w:p w14:paraId="2AA788F9" w14:textId="77777777" w:rsidR="009E0E26" w:rsidRDefault="009E0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580250"/>
      <w:docPartObj>
        <w:docPartGallery w:val="Page Numbers (Bottom of Page)"/>
        <w:docPartUnique/>
      </w:docPartObj>
    </w:sdtPr>
    <w:sdtEndPr>
      <w:rPr>
        <w:noProof/>
      </w:rPr>
    </w:sdtEndPr>
    <w:sdtContent>
      <w:p w14:paraId="2F924FDA" w14:textId="08B70368" w:rsidR="007A2501" w:rsidRDefault="007A25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E7337F" w14:textId="1AB67C07" w:rsidR="007A2501" w:rsidRPr="00F008DF" w:rsidRDefault="007A2501" w:rsidP="00023201">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AD9A5" w14:textId="77777777" w:rsidR="009E0E26" w:rsidRDefault="009E0E26" w:rsidP="00A868DA">
      <w:r>
        <w:separator/>
      </w:r>
    </w:p>
  </w:footnote>
  <w:footnote w:type="continuationSeparator" w:id="0">
    <w:p w14:paraId="4DFD3E78" w14:textId="77777777" w:rsidR="009E0E26" w:rsidRDefault="009E0E26" w:rsidP="00A868DA">
      <w:r>
        <w:continuationSeparator/>
      </w:r>
    </w:p>
  </w:footnote>
  <w:footnote w:type="continuationNotice" w:id="1">
    <w:p w14:paraId="7D0928D0" w14:textId="77777777" w:rsidR="009E0E26" w:rsidRDefault="009E0E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706C"/>
    <w:multiLevelType w:val="hybridMultilevel"/>
    <w:tmpl w:val="48F2F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6798F"/>
    <w:multiLevelType w:val="hybridMultilevel"/>
    <w:tmpl w:val="7BE46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D4390"/>
    <w:multiLevelType w:val="hybridMultilevel"/>
    <w:tmpl w:val="FE4082F4"/>
    <w:lvl w:ilvl="0" w:tplc="99280370">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5" w15:restartNumberingAfterBreak="0">
    <w:nsid w:val="3FB139E4"/>
    <w:multiLevelType w:val="hybridMultilevel"/>
    <w:tmpl w:val="56F8F9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B2AB5"/>
    <w:multiLevelType w:val="hybridMultilevel"/>
    <w:tmpl w:val="24D4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515F95"/>
    <w:multiLevelType w:val="hybridMultilevel"/>
    <w:tmpl w:val="0E48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A95BA0"/>
    <w:multiLevelType w:val="hybridMultilevel"/>
    <w:tmpl w:val="4D0C322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1"/>
  </w:num>
  <w:num w:numId="4">
    <w:abstractNumId w:val="2"/>
  </w:num>
  <w:num w:numId="5">
    <w:abstractNumId w:val="6"/>
  </w:num>
  <w:num w:numId="6">
    <w:abstractNumId w:val="10"/>
  </w:num>
  <w:num w:numId="7">
    <w:abstractNumId w:val="0"/>
  </w:num>
  <w:num w:numId="8">
    <w:abstractNumId w:val="0"/>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8DA"/>
    <w:rsid w:val="00004594"/>
    <w:rsid w:val="00004F44"/>
    <w:rsid w:val="00006CB7"/>
    <w:rsid w:val="00007BF9"/>
    <w:rsid w:val="0001295F"/>
    <w:rsid w:val="00012B9C"/>
    <w:rsid w:val="00014653"/>
    <w:rsid w:val="0001610B"/>
    <w:rsid w:val="00016BC2"/>
    <w:rsid w:val="00016C34"/>
    <w:rsid w:val="00023201"/>
    <w:rsid w:val="000274A1"/>
    <w:rsid w:val="0002753A"/>
    <w:rsid w:val="00031852"/>
    <w:rsid w:val="000352D8"/>
    <w:rsid w:val="00040815"/>
    <w:rsid w:val="00040DA1"/>
    <w:rsid w:val="0004646F"/>
    <w:rsid w:val="000501CD"/>
    <w:rsid w:val="000535C0"/>
    <w:rsid w:val="00053872"/>
    <w:rsid w:val="00054C6A"/>
    <w:rsid w:val="00054DBE"/>
    <w:rsid w:val="00055DCD"/>
    <w:rsid w:val="000565EC"/>
    <w:rsid w:val="000566CB"/>
    <w:rsid w:val="00062646"/>
    <w:rsid w:val="00070A43"/>
    <w:rsid w:val="00084A0E"/>
    <w:rsid w:val="0008646C"/>
    <w:rsid w:val="0009245C"/>
    <w:rsid w:val="00095EEC"/>
    <w:rsid w:val="00096487"/>
    <w:rsid w:val="000A0984"/>
    <w:rsid w:val="000A47E3"/>
    <w:rsid w:val="000B22ED"/>
    <w:rsid w:val="000B7140"/>
    <w:rsid w:val="000B74CB"/>
    <w:rsid w:val="000B7A11"/>
    <w:rsid w:val="000C712C"/>
    <w:rsid w:val="000C7539"/>
    <w:rsid w:val="000D0E51"/>
    <w:rsid w:val="000D10C5"/>
    <w:rsid w:val="000D15B7"/>
    <w:rsid w:val="000D460F"/>
    <w:rsid w:val="000D5AB8"/>
    <w:rsid w:val="000D79BB"/>
    <w:rsid w:val="000E3E67"/>
    <w:rsid w:val="000E43CC"/>
    <w:rsid w:val="000E6880"/>
    <w:rsid w:val="000E6D2E"/>
    <w:rsid w:val="001015DF"/>
    <w:rsid w:val="00102C4C"/>
    <w:rsid w:val="00104173"/>
    <w:rsid w:val="00110CEA"/>
    <w:rsid w:val="001170EC"/>
    <w:rsid w:val="0012243E"/>
    <w:rsid w:val="001250D1"/>
    <w:rsid w:val="00126020"/>
    <w:rsid w:val="001333C9"/>
    <w:rsid w:val="00136BD7"/>
    <w:rsid w:val="001377D0"/>
    <w:rsid w:val="00141D2E"/>
    <w:rsid w:val="00141F09"/>
    <w:rsid w:val="00143042"/>
    <w:rsid w:val="00143FAA"/>
    <w:rsid w:val="001556F2"/>
    <w:rsid w:val="001607D3"/>
    <w:rsid w:val="0016285A"/>
    <w:rsid w:val="00171CF8"/>
    <w:rsid w:val="001771DE"/>
    <w:rsid w:val="0017766F"/>
    <w:rsid w:val="00177B3A"/>
    <w:rsid w:val="00180DE3"/>
    <w:rsid w:val="001819D9"/>
    <w:rsid w:val="00181F4E"/>
    <w:rsid w:val="0018301A"/>
    <w:rsid w:val="0018626F"/>
    <w:rsid w:val="001864AE"/>
    <w:rsid w:val="001904EB"/>
    <w:rsid w:val="00195F82"/>
    <w:rsid w:val="001974C6"/>
    <w:rsid w:val="00197E89"/>
    <w:rsid w:val="001A2C8E"/>
    <w:rsid w:val="001A4535"/>
    <w:rsid w:val="001A74EA"/>
    <w:rsid w:val="001B10EE"/>
    <w:rsid w:val="001B1C2B"/>
    <w:rsid w:val="001B1C37"/>
    <w:rsid w:val="001B57C2"/>
    <w:rsid w:val="001B6787"/>
    <w:rsid w:val="001C02A3"/>
    <w:rsid w:val="001C42B0"/>
    <w:rsid w:val="001C65F5"/>
    <w:rsid w:val="001D6210"/>
    <w:rsid w:val="001E2CD6"/>
    <w:rsid w:val="001E324F"/>
    <w:rsid w:val="001E7A74"/>
    <w:rsid w:val="001F61C9"/>
    <w:rsid w:val="001F75B7"/>
    <w:rsid w:val="002008E2"/>
    <w:rsid w:val="002013A6"/>
    <w:rsid w:val="00211ACD"/>
    <w:rsid w:val="002125F6"/>
    <w:rsid w:val="00213AAA"/>
    <w:rsid w:val="0021414E"/>
    <w:rsid w:val="00221A7D"/>
    <w:rsid w:val="002249E9"/>
    <w:rsid w:val="002263BF"/>
    <w:rsid w:val="002267A9"/>
    <w:rsid w:val="0023476F"/>
    <w:rsid w:val="002348D5"/>
    <w:rsid w:val="00237A38"/>
    <w:rsid w:val="0024033C"/>
    <w:rsid w:val="0024183E"/>
    <w:rsid w:val="00246E7E"/>
    <w:rsid w:val="00247863"/>
    <w:rsid w:val="002558D4"/>
    <w:rsid w:val="00255C6E"/>
    <w:rsid w:val="00256CAC"/>
    <w:rsid w:val="00262340"/>
    <w:rsid w:val="002731BC"/>
    <w:rsid w:val="00274CDB"/>
    <w:rsid w:val="002753AE"/>
    <w:rsid w:val="002759C6"/>
    <w:rsid w:val="00280AA5"/>
    <w:rsid w:val="00281D12"/>
    <w:rsid w:val="002852C8"/>
    <w:rsid w:val="00285D16"/>
    <w:rsid w:val="00285FB8"/>
    <w:rsid w:val="00291C75"/>
    <w:rsid w:val="00296E29"/>
    <w:rsid w:val="002A2625"/>
    <w:rsid w:val="002A47CA"/>
    <w:rsid w:val="002A4E0D"/>
    <w:rsid w:val="002A5771"/>
    <w:rsid w:val="002A73CD"/>
    <w:rsid w:val="002A7939"/>
    <w:rsid w:val="002B0A3C"/>
    <w:rsid w:val="002B1F40"/>
    <w:rsid w:val="002B6103"/>
    <w:rsid w:val="002C0CAB"/>
    <w:rsid w:val="002D3BAA"/>
    <w:rsid w:val="002D51B4"/>
    <w:rsid w:val="002D67F9"/>
    <w:rsid w:val="002D7FC7"/>
    <w:rsid w:val="002E1CB0"/>
    <w:rsid w:val="002F0123"/>
    <w:rsid w:val="002F1CA7"/>
    <w:rsid w:val="002F3CB5"/>
    <w:rsid w:val="002F5F9C"/>
    <w:rsid w:val="00300411"/>
    <w:rsid w:val="00303595"/>
    <w:rsid w:val="00303911"/>
    <w:rsid w:val="00305E78"/>
    <w:rsid w:val="00306B01"/>
    <w:rsid w:val="00307F8E"/>
    <w:rsid w:val="003140B2"/>
    <w:rsid w:val="00317EC5"/>
    <w:rsid w:val="0032253D"/>
    <w:rsid w:val="003230DA"/>
    <w:rsid w:val="003264B5"/>
    <w:rsid w:val="00326540"/>
    <w:rsid w:val="00326E9F"/>
    <w:rsid w:val="00326EA5"/>
    <w:rsid w:val="003276C0"/>
    <w:rsid w:val="003303E1"/>
    <w:rsid w:val="003323C5"/>
    <w:rsid w:val="003366B0"/>
    <w:rsid w:val="003432B2"/>
    <w:rsid w:val="00345B90"/>
    <w:rsid w:val="00345BED"/>
    <w:rsid w:val="00345D49"/>
    <w:rsid w:val="00347D64"/>
    <w:rsid w:val="00351026"/>
    <w:rsid w:val="00351E3D"/>
    <w:rsid w:val="00356863"/>
    <w:rsid w:val="00360628"/>
    <w:rsid w:val="00362353"/>
    <w:rsid w:val="00363786"/>
    <w:rsid w:val="00365E11"/>
    <w:rsid w:val="0037063D"/>
    <w:rsid w:val="00376180"/>
    <w:rsid w:val="00376E07"/>
    <w:rsid w:val="00377FF6"/>
    <w:rsid w:val="00386E10"/>
    <w:rsid w:val="00392DA3"/>
    <w:rsid w:val="00395EEE"/>
    <w:rsid w:val="003A4B84"/>
    <w:rsid w:val="003B11F7"/>
    <w:rsid w:val="003B1435"/>
    <w:rsid w:val="003B1EB0"/>
    <w:rsid w:val="003B4363"/>
    <w:rsid w:val="003C0D00"/>
    <w:rsid w:val="003C2BB6"/>
    <w:rsid w:val="003C33A8"/>
    <w:rsid w:val="003D0DDB"/>
    <w:rsid w:val="003D5CCB"/>
    <w:rsid w:val="003D7FEE"/>
    <w:rsid w:val="003E61F3"/>
    <w:rsid w:val="003E6812"/>
    <w:rsid w:val="003F0936"/>
    <w:rsid w:val="003F2194"/>
    <w:rsid w:val="003F2DE5"/>
    <w:rsid w:val="003F2F1C"/>
    <w:rsid w:val="003F4192"/>
    <w:rsid w:val="003F7CEF"/>
    <w:rsid w:val="00400710"/>
    <w:rsid w:val="0040148F"/>
    <w:rsid w:val="004019D2"/>
    <w:rsid w:val="004034BA"/>
    <w:rsid w:val="00403974"/>
    <w:rsid w:val="004118E3"/>
    <w:rsid w:val="00421035"/>
    <w:rsid w:val="00423AB4"/>
    <w:rsid w:val="00424A97"/>
    <w:rsid w:val="004310EA"/>
    <w:rsid w:val="0043413A"/>
    <w:rsid w:val="004354C0"/>
    <w:rsid w:val="00442AC7"/>
    <w:rsid w:val="00443B78"/>
    <w:rsid w:val="00446C20"/>
    <w:rsid w:val="0045150C"/>
    <w:rsid w:val="00453A2B"/>
    <w:rsid w:val="00453B5B"/>
    <w:rsid w:val="004569A4"/>
    <w:rsid w:val="00456DE9"/>
    <w:rsid w:val="0045767F"/>
    <w:rsid w:val="00457DF2"/>
    <w:rsid w:val="0046170C"/>
    <w:rsid w:val="004618D7"/>
    <w:rsid w:val="00462941"/>
    <w:rsid w:val="0046306E"/>
    <w:rsid w:val="00464636"/>
    <w:rsid w:val="00464EA0"/>
    <w:rsid w:val="00466326"/>
    <w:rsid w:val="00466AE4"/>
    <w:rsid w:val="00473069"/>
    <w:rsid w:val="00475AAD"/>
    <w:rsid w:val="004805A5"/>
    <w:rsid w:val="00480C38"/>
    <w:rsid w:val="00482C00"/>
    <w:rsid w:val="00483B0E"/>
    <w:rsid w:val="00483CE2"/>
    <w:rsid w:val="00485DA0"/>
    <w:rsid w:val="004874E1"/>
    <w:rsid w:val="00490ABF"/>
    <w:rsid w:val="004A14A8"/>
    <w:rsid w:val="004A3203"/>
    <w:rsid w:val="004C195D"/>
    <w:rsid w:val="004D1986"/>
    <w:rsid w:val="004D742A"/>
    <w:rsid w:val="004E1CF8"/>
    <w:rsid w:val="004E3859"/>
    <w:rsid w:val="004E63C4"/>
    <w:rsid w:val="004F1568"/>
    <w:rsid w:val="004F3014"/>
    <w:rsid w:val="004F4348"/>
    <w:rsid w:val="004F710A"/>
    <w:rsid w:val="00500AFB"/>
    <w:rsid w:val="00504D79"/>
    <w:rsid w:val="0050597F"/>
    <w:rsid w:val="0051357A"/>
    <w:rsid w:val="005147BD"/>
    <w:rsid w:val="005204BE"/>
    <w:rsid w:val="00522BAC"/>
    <w:rsid w:val="00526EE3"/>
    <w:rsid w:val="00535FB6"/>
    <w:rsid w:val="00542D0E"/>
    <w:rsid w:val="00542FC0"/>
    <w:rsid w:val="005452C7"/>
    <w:rsid w:val="00546D59"/>
    <w:rsid w:val="00547B28"/>
    <w:rsid w:val="005523C2"/>
    <w:rsid w:val="00554283"/>
    <w:rsid w:val="00557A49"/>
    <w:rsid w:val="005634F5"/>
    <w:rsid w:val="00563CB5"/>
    <w:rsid w:val="005725DF"/>
    <w:rsid w:val="00576C25"/>
    <w:rsid w:val="00580A1C"/>
    <w:rsid w:val="00580EA8"/>
    <w:rsid w:val="00585C7B"/>
    <w:rsid w:val="0059191F"/>
    <w:rsid w:val="005930DD"/>
    <w:rsid w:val="0059348B"/>
    <w:rsid w:val="0059693C"/>
    <w:rsid w:val="00596D79"/>
    <w:rsid w:val="005A2F98"/>
    <w:rsid w:val="005A416D"/>
    <w:rsid w:val="005B04E5"/>
    <w:rsid w:val="005B1083"/>
    <w:rsid w:val="005C18B2"/>
    <w:rsid w:val="005C22C6"/>
    <w:rsid w:val="005C3E68"/>
    <w:rsid w:val="005C470E"/>
    <w:rsid w:val="005C7EDF"/>
    <w:rsid w:val="005D270A"/>
    <w:rsid w:val="005D40C6"/>
    <w:rsid w:val="005D7602"/>
    <w:rsid w:val="005E578B"/>
    <w:rsid w:val="005E79E7"/>
    <w:rsid w:val="005F268E"/>
    <w:rsid w:val="005F432E"/>
    <w:rsid w:val="005F5E65"/>
    <w:rsid w:val="005F6830"/>
    <w:rsid w:val="005F75F0"/>
    <w:rsid w:val="00600799"/>
    <w:rsid w:val="0060120F"/>
    <w:rsid w:val="006026F4"/>
    <w:rsid w:val="00602E66"/>
    <w:rsid w:val="006033D6"/>
    <w:rsid w:val="00610AF8"/>
    <w:rsid w:val="00620735"/>
    <w:rsid w:val="00622C58"/>
    <w:rsid w:val="006253CF"/>
    <w:rsid w:val="0062599B"/>
    <w:rsid w:val="0062619E"/>
    <w:rsid w:val="00626A52"/>
    <w:rsid w:val="00630610"/>
    <w:rsid w:val="0063266B"/>
    <w:rsid w:val="00633AF0"/>
    <w:rsid w:val="00634278"/>
    <w:rsid w:val="006411C8"/>
    <w:rsid w:val="00643049"/>
    <w:rsid w:val="006447DE"/>
    <w:rsid w:val="006478C1"/>
    <w:rsid w:val="00651169"/>
    <w:rsid w:val="006514C7"/>
    <w:rsid w:val="006542B3"/>
    <w:rsid w:val="00655AB7"/>
    <w:rsid w:val="00656CE1"/>
    <w:rsid w:val="00660B30"/>
    <w:rsid w:val="00661F89"/>
    <w:rsid w:val="006641A7"/>
    <w:rsid w:val="00664558"/>
    <w:rsid w:val="00666993"/>
    <w:rsid w:val="00667315"/>
    <w:rsid w:val="00674E95"/>
    <w:rsid w:val="00676A44"/>
    <w:rsid w:val="00677EAC"/>
    <w:rsid w:val="0068300F"/>
    <w:rsid w:val="00685892"/>
    <w:rsid w:val="00687CF6"/>
    <w:rsid w:val="00691446"/>
    <w:rsid w:val="006923AC"/>
    <w:rsid w:val="006A1045"/>
    <w:rsid w:val="006A54FB"/>
    <w:rsid w:val="006A5F84"/>
    <w:rsid w:val="006B2C55"/>
    <w:rsid w:val="006B728D"/>
    <w:rsid w:val="006B744E"/>
    <w:rsid w:val="006C0FE5"/>
    <w:rsid w:val="006C1534"/>
    <w:rsid w:val="006C1798"/>
    <w:rsid w:val="006C18BF"/>
    <w:rsid w:val="006C5B1B"/>
    <w:rsid w:val="006C6614"/>
    <w:rsid w:val="006D1DD3"/>
    <w:rsid w:val="006D481C"/>
    <w:rsid w:val="006D6A74"/>
    <w:rsid w:val="006D7609"/>
    <w:rsid w:val="006E1D36"/>
    <w:rsid w:val="006E3B74"/>
    <w:rsid w:val="006E3B9C"/>
    <w:rsid w:val="006F1D65"/>
    <w:rsid w:val="006F221A"/>
    <w:rsid w:val="006F2993"/>
    <w:rsid w:val="006F356F"/>
    <w:rsid w:val="006F3940"/>
    <w:rsid w:val="006F4FB1"/>
    <w:rsid w:val="006F73ED"/>
    <w:rsid w:val="006F7CA5"/>
    <w:rsid w:val="0070122C"/>
    <w:rsid w:val="0070267A"/>
    <w:rsid w:val="00704013"/>
    <w:rsid w:val="00704402"/>
    <w:rsid w:val="007101C7"/>
    <w:rsid w:val="00710FE4"/>
    <w:rsid w:val="00714345"/>
    <w:rsid w:val="007146F7"/>
    <w:rsid w:val="00715F7F"/>
    <w:rsid w:val="007302CC"/>
    <w:rsid w:val="007317E9"/>
    <w:rsid w:val="007434FA"/>
    <w:rsid w:val="007440EA"/>
    <w:rsid w:val="00744971"/>
    <w:rsid w:val="0074781F"/>
    <w:rsid w:val="00747D2F"/>
    <w:rsid w:val="00750023"/>
    <w:rsid w:val="00751317"/>
    <w:rsid w:val="007618DB"/>
    <w:rsid w:val="00762232"/>
    <w:rsid w:val="00765D59"/>
    <w:rsid w:val="00775AB9"/>
    <w:rsid w:val="00781394"/>
    <w:rsid w:val="00781D8B"/>
    <w:rsid w:val="00784479"/>
    <w:rsid w:val="00784C76"/>
    <w:rsid w:val="00785554"/>
    <w:rsid w:val="00787148"/>
    <w:rsid w:val="007875C5"/>
    <w:rsid w:val="00792EE2"/>
    <w:rsid w:val="00793198"/>
    <w:rsid w:val="007949BF"/>
    <w:rsid w:val="00795D79"/>
    <w:rsid w:val="007A00A5"/>
    <w:rsid w:val="007A129D"/>
    <w:rsid w:val="007A15B1"/>
    <w:rsid w:val="007A2501"/>
    <w:rsid w:val="007A6140"/>
    <w:rsid w:val="007A6A3A"/>
    <w:rsid w:val="007B1BF5"/>
    <w:rsid w:val="007B7A4C"/>
    <w:rsid w:val="007C09AC"/>
    <w:rsid w:val="007C2A04"/>
    <w:rsid w:val="007C727A"/>
    <w:rsid w:val="007C7DBC"/>
    <w:rsid w:val="007D10DE"/>
    <w:rsid w:val="007D1B00"/>
    <w:rsid w:val="007D251D"/>
    <w:rsid w:val="007D2922"/>
    <w:rsid w:val="007D6B01"/>
    <w:rsid w:val="007E35C3"/>
    <w:rsid w:val="007E6B23"/>
    <w:rsid w:val="007E70F5"/>
    <w:rsid w:val="007E75F8"/>
    <w:rsid w:val="007F2152"/>
    <w:rsid w:val="00804946"/>
    <w:rsid w:val="00805141"/>
    <w:rsid w:val="0080546B"/>
    <w:rsid w:val="008078AA"/>
    <w:rsid w:val="00810026"/>
    <w:rsid w:val="008138D7"/>
    <w:rsid w:val="008162BA"/>
    <w:rsid w:val="008210B0"/>
    <w:rsid w:val="00823202"/>
    <w:rsid w:val="00824535"/>
    <w:rsid w:val="0082496B"/>
    <w:rsid w:val="00832E79"/>
    <w:rsid w:val="0084383C"/>
    <w:rsid w:val="00844F24"/>
    <w:rsid w:val="008453C0"/>
    <w:rsid w:val="0084580D"/>
    <w:rsid w:val="00846F1E"/>
    <w:rsid w:val="008569C4"/>
    <w:rsid w:val="00857A21"/>
    <w:rsid w:val="00857F6B"/>
    <w:rsid w:val="00862A8A"/>
    <w:rsid w:val="00862F64"/>
    <w:rsid w:val="00865B58"/>
    <w:rsid w:val="0087378A"/>
    <w:rsid w:val="00873800"/>
    <w:rsid w:val="00884EB3"/>
    <w:rsid w:val="008858DB"/>
    <w:rsid w:val="00892F7A"/>
    <w:rsid w:val="008A1333"/>
    <w:rsid w:val="008A1C0A"/>
    <w:rsid w:val="008A434B"/>
    <w:rsid w:val="008A57FB"/>
    <w:rsid w:val="008B05C4"/>
    <w:rsid w:val="008B4B41"/>
    <w:rsid w:val="008C0785"/>
    <w:rsid w:val="008C4494"/>
    <w:rsid w:val="008C4FDE"/>
    <w:rsid w:val="008C7A5B"/>
    <w:rsid w:val="008C7C36"/>
    <w:rsid w:val="008D1905"/>
    <w:rsid w:val="008E196C"/>
    <w:rsid w:val="008E3410"/>
    <w:rsid w:val="008E3BDD"/>
    <w:rsid w:val="008E6711"/>
    <w:rsid w:val="008E6E12"/>
    <w:rsid w:val="008E7D2C"/>
    <w:rsid w:val="008F0B5E"/>
    <w:rsid w:val="008F0FD1"/>
    <w:rsid w:val="008F15C4"/>
    <w:rsid w:val="008F219B"/>
    <w:rsid w:val="009004E8"/>
    <w:rsid w:val="00906208"/>
    <w:rsid w:val="00911727"/>
    <w:rsid w:val="0091716A"/>
    <w:rsid w:val="009247AE"/>
    <w:rsid w:val="00927A20"/>
    <w:rsid w:val="00930259"/>
    <w:rsid w:val="009345B3"/>
    <w:rsid w:val="00935823"/>
    <w:rsid w:val="009366B1"/>
    <w:rsid w:val="0093688C"/>
    <w:rsid w:val="0094721F"/>
    <w:rsid w:val="00951A92"/>
    <w:rsid w:val="00955CBA"/>
    <w:rsid w:val="009573B3"/>
    <w:rsid w:val="009631EA"/>
    <w:rsid w:val="00963CD0"/>
    <w:rsid w:val="00966880"/>
    <w:rsid w:val="00971DED"/>
    <w:rsid w:val="0097407B"/>
    <w:rsid w:val="00976306"/>
    <w:rsid w:val="0097639A"/>
    <w:rsid w:val="009779AF"/>
    <w:rsid w:val="0098072C"/>
    <w:rsid w:val="009809E5"/>
    <w:rsid w:val="009832AA"/>
    <w:rsid w:val="0098401D"/>
    <w:rsid w:val="00985D9C"/>
    <w:rsid w:val="00994829"/>
    <w:rsid w:val="00994E9E"/>
    <w:rsid w:val="00995CB0"/>
    <w:rsid w:val="009961D0"/>
    <w:rsid w:val="009A0BB6"/>
    <w:rsid w:val="009A111F"/>
    <w:rsid w:val="009A2C48"/>
    <w:rsid w:val="009A46EC"/>
    <w:rsid w:val="009A51C4"/>
    <w:rsid w:val="009A5B7E"/>
    <w:rsid w:val="009B1790"/>
    <w:rsid w:val="009B479C"/>
    <w:rsid w:val="009B4CD1"/>
    <w:rsid w:val="009C17A2"/>
    <w:rsid w:val="009C40FF"/>
    <w:rsid w:val="009C6793"/>
    <w:rsid w:val="009D0147"/>
    <w:rsid w:val="009D4A66"/>
    <w:rsid w:val="009D55D2"/>
    <w:rsid w:val="009E0E26"/>
    <w:rsid w:val="009E2754"/>
    <w:rsid w:val="009E35EE"/>
    <w:rsid w:val="009E41DE"/>
    <w:rsid w:val="009F277A"/>
    <w:rsid w:val="009F2975"/>
    <w:rsid w:val="009F2C3E"/>
    <w:rsid w:val="009F62EF"/>
    <w:rsid w:val="00A01B38"/>
    <w:rsid w:val="00A036C9"/>
    <w:rsid w:val="00A0459C"/>
    <w:rsid w:val="00A0716B"/>
    <w:rsid w:val="00A105AC"/>
    <w:rsid w:val="00A1073B"/>
    <w:rsid w:val="00A12E27"/>
    <w:rsid w:val="00A142FA"/>
    <w:rsid w:val="00A14FF5"/>
    <w:rsid w:val="00A2215C"/>
    <w:rsid w:val="00A2476B"/>
    <w:rsid w:val="00A262FD"/>
    <w:rsid w:val="00A31809"/>
    <w:rsid w:val="00A339D9"/>
    <w:rsid w:val="00A357D7"/>
    <w:rsid w:val="00A37A93"/>
    <w:rsid w:val="00A402AB"/>
    <w:rsid w:val="00A4196A"/>
    <w:rsid w:val="00A446BA"/>
    <w:rsid w:val="00A51AF5"/>
    <w:rsid w:val="00A51B0C"/>
    <w:rsid w:val="00A54B10"/>
    <w:rsid w:val="00A61F8B"/>
    <w:rsid w:val="00A7172A"/>
    <w:rsid w:val="00A71750"/>
    <w:rsid w:val="00A71E39"/>
    <w:rsid w:val="00A77966"/>
    <w:rsid w:val="00A77F61"/>
    <w:rsid w:val="00A803B1"/>
    <w:rsid w:val="00A80E9C"/>
    <w:rsid w:val="00A832EA"/>
    <w:rsid w:val="00A849AE"/>
    <w:rsid w:val="00A868DA"/>
    <w:rsid w:val="00A90ADE"/>
    <w:rsid w:val="00A91E2A"/>
    <w:rsid w:val="00A92FA2"/>
    <w:rsid w:val="00A93E5C"/>
    <w:rsid w:val="00A9582C"/>
    <w:rsid w:val="00A95F7C"/>
    <w:rsid w:val="00AA1C3A"/>
    <w:rsid w:val="00AA3561"/>
    <w:rsid w:val="00AA44C6"/>
    <w:rsid w:val="00AA5747"/>
    <w:rsid w:val="00AA7B7C"/>
    <w:rsid w:val="00AA7F00"/>
    <w:rsid w:val="00AB1B15"/>
    <w:rsid w:val="00AB2CD1"/>
    <w:rsid w:val="00AB31B7"/>
    <w:rsid w:val="00AB5694"/>
    <w:rsid w:val="00AB749A"/>
    <w:rsid w:val="00AC00CB"/>
    <w:rsid w:val="00AC1D1D"/>
    <w:rsid w:val="00AC3DA1"/>
    <w:rsid w:val="00AC4B71"/>
    <w:rsid w:val="00AC7F81"/>
    <w:rsid w:val="00AD07A5"/>
    <w:rsid w:val="00AD14B8"/>
    <w:rsid w:val="00AD1913"/>
    <w:rsid w:val="00AD578D"/>
    <w:rsid w:val="00AE3F4B"/>
    <w:rsid w:val="00AE59A7"/>
    <w:rsid w:val="00AE7564"/>
    <w:rsid w:val="00AE7DDD"/>
    <w:rsid w:val="00AF20DA"/>
    <w:rsid w:val="00AF36B5"/>
    <w:rsid w:val="00AF5578"/>
    <w:rsid w:val="00AF63AD"/>
    <w:rsid w:val="00B12E99"/>
    <w:rsid w:val="00B25317"/>
    <w:rsid w:val="00B32BED"/>
    <w:rsid w:val="00B3345F"/>
    <w:rsid w:val="00B35A9B"/>
    <w:rsid w:val="00B36FBC"/>
    <w:rsid w:val="00B43115"/>
    <w:rsid w:val="00B44544"/>
    <w:rsid w:val="00B457B5"/>
    <w:rsid w:val="00B51FA5"/>
    <w:rsid w:val="00B53A65"/>
    <w:rsid w:val="00B54EF1"/>
    <w:rsid w:val="00B613A9"/>
    <w:rsid w:val="00B63CE6"/>
    <w:rsid w:val="00B672A0"/>
    <w:rsid w:val="00B7150C"/>
    <w:rsid w:val="00B7263A"/>
    <w:rsid w:val="00B744EF"/>
    <w:rsid w:val="00B75048"/>
    <w:rsid w:val="00B75AB2"/>
    <w:rsid w:val="00B77166"/>
    <w:rsid w:val="00B8082E"/>
    <w:rsid w:val="00B825FA"/>
    <w:rsid w:val="00B855A6"/>
    <w:rsid w:val="00B91F60"/>
    <w:rsid w:val="00B97C89"/>
    <w:rsid w:val="00BA2C90"/>
    <w:rsid w:val="00BA4F68"/>
    <w:rsid w:val="00BA4F8E"/>
    <w:rsid w:val="00BA552B"/>
    <w:rsid w:val="00BB0B15"/>
    <w:rsid w:val="00BB655A"/>
    <w:rsid w:val="00BC28FB"/>
    <w:rsid w:val="00BC34F6"/>
    <w:rsid w:val="00BC7C53"/>
    <w:rsid w:val="00BC7FC4"/>
    <w:rsid w:val="00BD0E22"/>
    <w:rsid w:val="00BD7A93"/>
    <w:rsid w:val="00BE0284"/>
    <w:rsid w:val="00BE4260"/>
    <w:rsid w:val="00BE4C07"/>
    <w:rsid w:val="00BE7BDC"/>
    <w:rsid w:val="00BF0678"/>
    <w:rsid w:val="00BF0845"/>
    <w:rsid w:val="00BF2B1B"/>
    <w:rsid w:val="00BF48DF"/>
    <w:rsid w:val="00BF612B"/>
    <w:rsid w:val="00C0401C"/>
    <w:rsid w:val="00C11A07"/>
    <w:rsid w:val="00C132F2"/>
    <w:rsid w:val="00C13A25"/>
    <w:rsid w:val="00C17223"/>
    <w:rsid w:val="00C17620"/>
    <w:rsid w:val="00C23589"/>
    <w:rsid w:val="00C25F30"/>
    <w:rsid w:val="00C2736B"/>
    <w:rsid w:val="00C275D1"/>
    <w:rsid w:val="00C27BC5"/>
    <w:rsid w:val="00C27C25"/>
    <w:rsid w:val="00C30D71"/>
    <w:rsid w:val="00C318FA"/>
    <w:rsid w:val="00C31AEB"/>
    <w:rsid w:val="00C34906"/>
    <w:rsid w:val="00C34B96"/>
    <w:rsid w:val="00C36DE1"/>
    <w:rsid w:val="00C5384C"/>
    <w:rsid w:val="00C54953"/>
    <w:rsid w:val="00C5643B"/>
    <w:rsid w:val="00C57400"/>
    <w:rsid w:val="00C62482"/>
    <w:rsid w:val="00C640E9"/>
    <w:rsid w:val="00C73AD4"/>
    <w:rsid w:val="00C748D1"/>
    <w:rsid w:val="00C768AE"/>
    <w:rsid w:val="00C775AA"/>
    <w:rsid w:val="00C77601"/>
    <w:rsid w:val="00C77614"/>
    <w:rsid w:val="00C77E3A"/>
    <w:rsid w:val="00C8148B"/>
    <w:rsid w:val="00C818D1"/>
    <w:rsid w:val="00C844FC"/>
    <w:rsid w:val="00C91630"/>
    <w:rsid w:val="00C97FC6"/>
    <w:rsid w:val="00CA3871"/>
    <w:rsid w:val="00CA612B"/>
    <w:rsid w:val="00CA759E"/>
    <w:rsid w:val="00CA7F22"/>
    <w:rsid w:val="00CB05F5"/>
    <w:rsid w:val="00CB19EF"/>
    <w:rsid w:val="00CB2CC1"/>
    <w:rsid w:val="00CB4DA7"/>
    <w:rsid w:val="00CB4EBD"/>
    <w:rsid w:val="00CD14BE"/>
    <w:rsid w:val="00CD1997"/>
    <w:rsid w:val="00CD3434"/>
    <w:rsid w:val="00CD6246"/>
    <w:rsid w:val="00CE0B2E"/>
    <w:rsid w:val="00CE3719"/>
    <w:rsid w:val="00CE7946"/>
    <w:rsid w:val="00CF30DD"/>
    <w:rsid w:val="00CF31EE"/>
    <w:rsid w:val="00D00FE3"/>
    <w:rsid w:val="00D0422B"/>
    <w:rsid w:val="00D0441C"/>
    <w:rsid w:val="00D055E4"/>
    <w:rsid w:val="00D05938"/>
    <w:rsid w:val="00D06F02"/>
    <w:rsid w:val="00D10992"/>
    <w:rsid w:val="00D134BE"/>
    <w:rsid w:val="00D167C9"/>
    <w:rsid w:val="00D220D7"/>
    <w:rsid w:val="00D24485"/>
    <w:rsid w:val="00D25430"/>
    <w:rsid w:val="00D256D3"/>
    <w:rsid w:val="00D25E70"/>
    <w:rsid w:val="00D26B4A"/>
    <w:rsid w:val="00D32182"/>
    <w:rsid w:val="00D32254"/>
    <w:rsid w:val="00D33EE6"/>
    <w:rsid w:val="00D34C71"/>
    <w:rsid w:val="00D34ECE"/>
    <w:rsid w:val="00D370E5"/>
    <w:rsid w:val="00D37E2C"/>
    <w:rsid w:val="00D42117"/>
    <w:rsid w:val="00D451C7"/>
    <w:rsid w:val="00D500A4"/>
    <w:rsid w:val="00D50664"/>
    <w:rsid w:val="00D50B68"/>
    <w:rsid w:val="00D51EDA"/>
    <w:rsid w:val="00D5476F"/>
    <w:rsid w:val="00D5607C"/>
    <w:rsid w:val="00D56210"/>
    <w:rsid w:val="00D6225E"/>
    <w:rsid w:val="00D63E2B"/>
    <w:rsid w:val="00D65A3D"/>
    <w:rsid w:val="00D67038"/>
    <w:rsid w:val="00D67E8C"/>
    <w:rsid w:val="00D72918"/>
    <w:rsid w:val="00D72A75"/>
    <w:rsid w:val="00D76998"/>
    <w:rsid w:val="00D8266F"/>
    <w:rsid w:val="00D84907"/>
    <w:rsid w:val="00D8566E"/>
    <w:rsid w:val="00D86FD9"/>
    <w:rsid w:val="00D90041"/>
    <w:rsid w:val="00D93A04"/>
    <w:rsid w:val="00D94AAE"/>
    <w:rsid w:val="00D9631F"/>
    <w:rsid w:val="00D965AE"/>
    <w:rsid w:val="00DB2B74"/>
    <w:rsid w:val="00DB430A"/>
    <w:rsid w:val="00DB46A9"/>
    <w:rsid w:val="00DB4E94"/>
    <w:rsid w:val="00DC151D"/>
    <w:rsid w:val="00DC1755"/>
    <w:rsid w:val="00DC202D"/>
    <w:rsid w:val="00DC2690"/>
    <w:rsid w:val="00DC2803"/>
    <w:rsid w:val="00DC6E44"/>
    <w:rsid w:val="00DD03C3"/>
    <w:rsid w:val="00DD2A44"/>
    <w:rsid w:val="00DD567C"/>
    <w:rsid w:val="00DE2FAF"/>
    <w:rsid w:val="00DE6B99"/>
    <w:rsid w:val="00DE7600"/>
    <w:rsid w:val="00DE7703"/>
    <w:rsid w:val="00DE7D17"/>
    <w:rsid w:val="00DF260E"/>
    <w:rsid w:val="00DF3DC1"/>
    <w:rsid w:val="00DF4C24"/>
    <w:rsid w:val="00DF6DB2"/>
    <w:rsid w:val="00DF7468"/>
    <w:rsid w:val="00DF7FC1"/>
    <w:rsid w:val="00E00EE9"/>
    <w:rsid w:val="00E01EE3"/>
    <w:rsid w:val="00E02E60"/>
    <w:rsid w:val="00E03DA9"/>
    <w:rsid w:val="00E05C51"/>
    <w:rsid w:val="00E070F2"/>
    <w:rsid w:val="00E07222"/>
    <w:rsid w:val="00E074FC"/>
    <w:rsid w:val="00E10954"/>
    <w:rsid w:val="00E10B76"/>
    <w:rsid w:val="00E115BD"/>
    <w:rsid w:val="00E16187"/>
    <w:rsid w:val="00E20010"/>
    <w:rsid w:val="00E20838"/>
    <w:rsid w:val="00E30A98"/>
    <w:rsid w:val="00E31157"/>
    <w:rsid w:val="00E333B8"/>
    <w:rsid w:val="00E33DCA"/>
    <w:rsid w:val="00E35F5C"/>
    <w:rsid w:val="00E4168F"/>
    <w:rsid w:val="00E42E44"/>
    <w:rsid w:val="00E43EA9"/>
    <w:rsid w:val="00E4666F"/>
    <w:rsid w:val="00E5019C"/>
    <w:rsid w:val="00E518B6"/>
    <w:rsid w:val="00E55AED"/>
    <w:rsid w:val="00E62233"/>
    <w:rsid w:val="00E6459D"/>
    <w:rsid w:val="00E71D8B"/>
    <w:rsid w:val="00E729F8"/>
    <w:rsid w:val="00E867DE"/>
    <w:rsid w:val="00E91277"/>
    <w:rsid w:val="00E91E67"/>
    <w:rsid w:val="00EA26D2"/>
    <w:rsid w:val="00EA513B"/>
    <w:rsid w:val="00EA69C2"/>
    <w:rsid w:val="00EB14E2"/>
    <w:rsid w:val="00EB444C"/>
    <w:rsid w:val="00EB551D"/>
    <w:rsid w:val="00EC056B"/>
    <w:rsid w:val="00EC35FB"/>
    <w:rsid w:val="00EC5B1B"/>
    <w:rsid w:val="00ED08B4"/>
    <w:rsid w:val="00ED0FFA"/>
    <w:rsid w:val="00ED1532"/>
    <w:rsid w:val="00ED1A41"/>
    <w:rsid w:val="00ED25EE"/>
    <w:rsid w:val="00ED363B"/>
    <w:rsid w:val="00ED54B0"/>
    <w:rsid w:val="00ED66C1"/>
    <w:rsid w:val="00ED7AA6"/>
    <w:rsid w:val="00EE20FE"/>
    <w:rsid w:val="00EE5B47"/>
    <w:rsid w:val="00EF18B1"/>
    <w:rsid w:val="00EF421F"/>
    <w:rsid w:val="00EF4992"/>
    <w:rsid w:val="00F01A02"/>
    <w:rsid w:val="00F037FF"/>
    <w:rsid w:val="00F0787F"/>
    <w:rsid w:val="00F12525"/>
    <w:rsid w:val="00F12E10"/>
    <w:rsid w:val="00F23217"/>
    <w:rsid w:val="00F2396F"/>
    <w:rsid w:val="00F24A8A"/>
    <w:rsid w:val="00F336DD"/>
    <w:rsid w:val="00F35BBB"/>
    <w:rsid w:val="00F35C38"/>
    <w:rsid w:val="00F35CCE"/>
    <w:rsid w:val="00F3713B"/>
    <w:rsid w:val="00F408C6"/>
    <w:rsid w:val="00F429DB"/>
    <w:rsid w:val="00F43F15"/>
    <w:rsid w:val="00F451F6"/>
    <w:rsid w:val="00F53554"/>
    <w:rsid w:val="00F5403E"/>
    <w:rsid w:val="00F543B8"/>
    <w:rsid w:val="00F61FA0"/>
    <w:rsid w:val="00F6279F"/>
    <w:rsid w:val="00F6409A"/>
    <w:rsid w:val="00F66C9D"/>
    <w:rsid w:val="00F67D41"/>
    <w:rsid w:val="00F67F71"/>
    <w:rsid w:val="00F73FDC"/>
    <w:rsid w:val="00F80A91"/>
    <w:rsid w:val="00F83E1F"/>
    <w:rsid w:val="00F84039"/>
    <w:rsid w:val="00F87DBA"/>
    <w:rsid w:val="00F90BD9"/>
    <w:rsid w:val="00F91D15"/>
    <w:rsid w:val="00F93FE6"/>
    <w:rsid w:val="00F96D85"/>
    <w:rsid w:val="00F979DD"/>
    <w:rsid w:val="00FA2F93"/>
    <w:rsid w:val="00FA3631"/>
    <w:rsid w:val="00FA4256"/>
    <w:rsid w:val="00FA5CBE"/>
    <w:rsid w:val="00FA6968"/>
    <w:rsid w:val="00FB0B96"/>
    <w:rsid w:val="00FB3009"/>
    <w:rsid w:val="00FB5793"/>
    <w:rsid w:val="00FB769C"/>
    <w:rsid w:val="00FC268D"/>
    <w:rsid w:val="00FC2BDD"/>
    <w:rsid w:val="00FC3DA3"/>
    <w:rsid w:val="00FC79FD"/>
    <w:rsid w:val="00FD0459"/>
    <w:rsid w:val="00FD1D09"/>
    <w:rsid w:val="00FD2974"/>
    <w:rsid w:val="00FD2C74"/>
    <w:rsid w:val="00FD63E9"/>
    <w:rsid w:val="00FE0B6A"/>
    <w:rsid w:val="00FE0C35"/>
    <w:rsid w:val="00FE149C"/>
    <w:rsid w:val="00FE3660"/>
    <w:rsid w:val="00FE7A3D"/>
    <w:rsid w:val="00FF3480"/>
    <w:rsid w:val="00FF3D49"/>
    <w:rsid w:val="00FF4584"/>
    <w:rsid w:val="00FF46B4"/>
    <w:rsid w:val="00FF4991"/>
    <w:rsid w:val="00FF7B03"/>
    <w:rsid w:val="019DAAD2"/>
    <w:rsid w:val="01F267A9"/>
    <w:rsid w:val="03680F1C"/>
    <w:rsid w:val="041CD6E2"/>
    <w:rsid w:val="04E5BEF2"/>
    <w:rsid w:val="06105A21"/>
    <w:rsid w:val="06F521F3"/>
    <w:rsid w:val="0850D5B7"/>
    <w:rsid w:val="0AE86E98"/>
    <w:rsid w:val="0C4ED059"/>
    <w:rsid w:val="0C6D3300"/>
    <w:rsid w:val="0C938FCE"/>
    <w:rsid w:val="0D5AD8BD"/>
    <w:rsid w:val="0E4A209C"/>
    <w:rsid w:val="0EA26905"/>
    <w:rsid w:val="0FDC5918"/>
    <w:rsid w:val="1059748C"/>
    <w:rsid w:val="109A2AE9"/>
    <w:rsid w:val="1166FAA8"/>
    <w:rsid w:val="153215BD"/>
    <w:rsid w:val="1573C192"/>
    <w:rsid w:val="1698FC3F"/>
    <w:rsid w:val="16FB1FBB"/>
    <w:rsid w:val="1730204F"/>
    <w:rsid w:val="17A93859"/>
    <w:rsid w:val="181C4648"/>
    <w:rsid w:val="1B36385E"/>
    <w:rsid w:val="1B429626"/>
    <w:rsid w:val="1B5A4E10"/>
    <w:rsid w:val="1BDA5B6F"/>
    <w:rsid w:val="1BE895B3"/>
    <w:rsid w:val="1E0FE492"/>
    <w:rsid w:val="201DE522"/>
    <w:rsid w:val="21065D58"/>
    <w:rsid w:val="246EE75E"/>
    <w:rsid w:val="24BB18F1"/>
    <w:rsid w:val="26E2C1EF"/>
    <w:rsid w:val="2A6C8FBC"/>
    <w:rsid w:val="2ABA788A"/>
    <w:rsid w:val="2D3101E6"/>
    <w:rsid w:val="2E26495F"/>
    <w:rsid w:val="2F26E5D4"/>
    <w:rsid w:val="2F636AF5"/>
    <w:rsid w:val="3229A27B"/>
    <w:rsid w:val="34A7C827"/>
    <w:rsid w:val="35A54257"/>
    <w:rsid w:val="3769CBD4"/>
    <w:rsid w:val="380E1493"/>
    <w:rsid w:val="3846A3B0"/>
    <w:rsid w:val="38C0CAD8"/>
    <w:rsid w:val="3BAB10C8"/>
    <w:rsid w:val="3DF25189"/>
    <w:rsid w:val="3F6441AE"/>
    <w:rsid w:val="3FB7B1E8"/>
    <w:rsid w:val="401E68BC"/>
    <w:rsid w:val="415FA6A1"/>
    <w:rsid w:val="41A650B4"/>
    <w:rsid w:val="4637D9E9"/>
    <w:rsid w:val="472099DA"/>
    <w:rsid w:val="47BC3808"/>
    <w:rsid w:val="47D93E0D"/>
    <w:rsid w:val="4E2AEBFC"/>
    <w:rsid w:val="4E9D085B"/>
    <w:rsid w:val="50EDF03B"/>
    <w:rsid w:val="52DED0C4"/>
    <w:rsid w:val="55A814A4"/>
    <w:rsid w:val="578AD52D"/>
    <w:rsid w:val="57B4F382"/>
    <w:rsid w:val="59983E45"/>
    <w:rsid w:val="59DFE219"/>
    <w:rsid w:val="5B805BA3"/>
    <w:rsid w:val="5F6677D0"/>
    <w:rsid w:val="612E9932"/>
    <w:rsid w:val="65384040"/>
    <w:rsid w:val="66155897"/>
    <w:rsid w:val="6CFB5927"/>
    <w:rsid w:val="6D936E0F"/>
    <w:rsid w:val="6E2B3CC5"/>
    <w:rsid w:val="6E4082C7"/>
    <w:rsid w:val="6E6F1107"/>
    <w:rsid w:val="6F1B5E68"/>
    <w:rsid w:val="70C187C2"/>
    <w:rsid w:val="7215FFA9"/>
    <w:rsid w:val="72788A2D"/>
    <w:rsid w:val="72B2B366"/>
    <w:rsid w:val="740A8148"/>
    <w:rsid w:val="75AC138E"/>
    <w:rsid w:val="775410DA"/>
    <w:rsid w:val="79E2C298"/>
    <w:rsid w:val="79F1ABC1"/>
    <w:rsid w:val="7AA6A94E"/>
    <w:rsid w:val="7CEEFC29"/>
    <w:rsid w:val="7FA8AB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E73347"/>
  <w15:docId w15:val="{153E0EB7-D649-45EF-95A5-7F2345FF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DA"/>
    <w:pPr>
      <w:spacing w:after="0" w:line="240" w:lineRule="auto"/>
    </w:pPr>
    <w:rPr>
      <w:rFonts w:ascii="Times New Roman" w:eastAsia="Times New Roman" w:hAnsi="Times New Roman" w:cs="Times New Roman"/>
      <w:sz w:val="24"/>
      <w:szCs w:val="24"/>
    </w:rPr>
  </w:style>
  <w:style w:type="paragraph" w:styleId="Heading2">
    <w:name w:val="heading 2"/>
    <w:basedOn w:val="ListParagraph"/>
    <w:next w:val="Normal"/>
    <w:link w:val="Heading2Char"/>
    <w:qFormat/>
    <w:rsid w:val="00A868DA"/>
    <w:pPr>
      <w:spacing w:before="120" w:after="120"/>
      <w:ind w:left="0"/>
      <w:outlineLvl w:val="1"/>
    </w:pPr>
    <w:rPr>
      <w:rFonts w:ascii="Cambria" w:hAnsi="Cambria"/>
      <w:b/>
      <w:i/>
    </w:rPr>
  </w:style>
  <w:style w:type="paragraph" w:styleId="Heading3">
    <w:name w:val="heading 3"/>
    <w:basedOn w:val="Normal"/>
    <w:next w:val="Normal"/>
    <w:link w:val="Heading3Char"/>
    <w:uiPriority w:val="9"/>
    <w:unhideWhenUsed/>
    <w:qFormat/>
    <w:rsid w:val="005204BE"/>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68DA"/>
    <w:rPr>
      <w:rFonts w:ascii="Cambria" w:eastAsia="Times New Roman" w:hAnsi="Cambria" w:cs="Times New Roman"/>
      <w:b/>
      <w:i/>
    </w:rPr>
  </w:style>
  <w:style w:type="paragraph" w:styleId="ListParagraph">
    <w:name w:val="List Paragraph"/>
    <w:basedOn w:val="Normal"/>
    <w:link w:val="ListParagraphChar"/>
    <w:uiPriority w:val="34"/>
    <w:qFormat/>
    <w:rsid w:val="00A868DA"/>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rsid w:val="00A868DA"/>
    <w:rPr>
      <w:rFonts w:ascii="Times New Roman" w:eastAsia="Times New Roman" w:hAnsi="Times New Roman" w:cs="Times New Roman"/>
    </w:rPr>
  </w:style>
  <w:style w:type="paragraph" w:styleId="ListBullet">
    <w:name w:val="List Bullet"/>
    <w:basedOn w:val="Normal"/>
    <w:rsid w:val="00A868DA"/>
    <w:pPr>
      <w:numPr>
        <w:numId w:val="1"/>
      </w:numPr>
      <w:overflowPunct w:val="0"/>
      <w:autoSpaceDE w:val="0"/>
      <w:autoSpaceDN w:val="0"/>
      <w:adjustRightInd w:val="0"/>
      <w:textAlignment w:val="baseline"/>
    </w:pPr>
    <w:rPr>
      <w:kern w:val="24"/>
      <w:sz w:val="22"/>
      <w:szCs w:val="22"/>
    </w:rPr>
  </w:style>
  <w:style w:type="paragraph" w:styleId="Footer">
    <w:name w:val="footer"/>
    <w:basedOn w:val="Normal"/>
    <w:link w:val="FooterChar"/>
    <w:uiPriority w:val="99"/>
    <w:unhideWhenUsed/>
    <w:rsid w:val="00A868DA"/>
    <w:pPr>
      <w:tabs>
        <w:tab w:val="center" w:pos="4680"/>
        <w:tab w:val="right" w:pos="9360"/>
      </w:tabs>
    </w:pPr>
  </w:style>
  <w:style w:type="character" w:customStyle="1" w:styleId="FooterChar">
    <w:name w:val="Footer Char"/>
    <w:basedOn w:val="DefaultParagraphFont"/>
    <w:link w:val="Footer"/>
    <w:uiPriority w:val="99"/>
    <w:rsid w:val="00A868D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68DA"/>
    <w:rPr>
      <w:color w:val="0000FF"/>
      <w:u w:val="single"/>
    </w:rPr>
  </w:style>
  <w:style w:type="paragraph" w:styleId="FootnoteText">
    <w:name w:val="footnote text"/>
    <w:basedOn w:val="Normal"/>
    <w:link w:val="FootnoteTextChar"/>
    <w:uiPriority w:val="99"/>
    <w:semiHidden/>
    <w:unhideWhenUsed/>
    <w:rsid w:val="00A868DA"/>
    <w:rPr>
      <w:sz w:val="20"/>
      <w:szCs w:val="20"/>
    </w:rPr>
  </w:style>
  <w:style w:type="character" w:customStyle="1" w:styleId="FootnoteTextChar">
    <w:name w:val="Footnote Text Char"/>
    <w:basedOn w:val="DefaultParagraphFont"/>
    <w:link w:val="FootnoteText"/>
    <w:uiPriority w:val="99"/>
    <w:semiHidden/>
    <w:rsid w:val="00A868D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868DA"/>
    <w:rPr>
      <w:vertAlign w:val="superscript"/>
    </w:rPr>
  </w:style>
  <w:style w:type="paragraph" w:customStyle="1" w:styleId="PTableHeading">
    <w:name w:val="P.Table Heading"/>
    <w:uiPriority w:val="99"/>
    <w:rsid w:val="00A868DA"/>
    <w:pPr>
      <w:spacing w:after="0" w:line="240" w:lineRule="auto"/>
      <w:jc w:val="center"/>
    </w:pPr>
    <w:rPr>
      <w:rFonts w:ascii="Arial" w:eastAsia="Times New Roman" w:hAnsi="Arial" w:cs="Arial"/>
      <w:b/>
      <w:bCs/>
      <w:color w:val="FFFFFF"/>
      <w:sz w:val="20"/>
      <w:szCs w:val="20"/>
    </w:rPr>
  </w:style>
  <w:style w:type="paragraph" w:customStyle="1" w:styleId="PTableText">
    <w:name w:val="P.Table Text"/>
    <w:uiPriority w:val="99"/>
    <w:rsid w:val="00A868DA"/>
    <w:pPr>
      <w:spacing w:after="40" w:line="240" w:lineRule="auto"/>
    </w:pPr>
    <w:rPr>
      <w:rFonts w:ascii="Arial" w:eastAsia="Times New Roman" w:hAnsi="Arial" w:cs="Arial"/>
      <w:sz w:val="16"/>
      <w:szCs w:val="20"/>
    </w:rPr>
  </w:style>
  <w:style w:type="paragraph" w:customStyle="1" w:styleId="PBodyText">
    <w:name w:val="P.Body Text"/>
    <w:qFormat/>
    <w:rsid w:val="00A868DA"/>
    <w:pPr>
      <w:spacing w:after="120" w:line="240" w:lineRule="auto"/>
    </w:pPr>
    <w:rPr>
      <w:rFonts w:ascii="Times New Roman" w:eastAsia="Times New Roman" w:hAnsi="Times New Roman" w:cs="Times"/>
      <w:noProof/>
      <w:sz w:val="24"/>
      <w:szCs w:val="24"/>
    </w:rPr>
  </w:style>
  <w:style w:type="paragraph" w:styleId="BalloonText">
    <w:name w:val="Balloon Text"/>
    <w:basedOn w:val="Normal"/>
    <w:link w:val="BalloonTextChar"/>
    <w:uiPriority w:val="99"/>
    <w:semiHidden/>
    <w:unhideWhenUsed/>
    <w:rsid w:val="00976306"/>
    <w:rPr>
      <w:rFonts w:ascii="Tahoma" w:hAnsi="Tahoma" w:cs="Tahoma"/>
      <w:sz w:val="16"/>
      <w:szCs w:val="16"/>
    </w:rPr>
  </w:style>
  <w:style w:type="character" w:customStyle="1" w:styleId="BalloonTextChar">
    <w:name w:val="Balloon Text Char"/>
    <w:basedOn w:val="DefaultParagraphFont"/>
    <w:link w:val="BalloonText"/>
    <w:uiPriority w:val="99"/>
    <w:semiHidden/>
    <w:rsid w:val="00976306"/>
    <w:rPr>
      <w:rFonts w:ascii="Tahoma" w:eastAsia="Times New Roman" w:hAnsi="Tahoma" w:cs="Tahoma"/>
      <w:sz w:val="16"/>
      <w:szCs w:val="16"/>
    </w:rPr>
  </w:style>
  <w:style w:type="character" w:customStyle="1" w:styleId="Heading3Char">
    <w:name w:val="Heading 3 Char"/>
    <w:basedOn w:val="DefaultParagraphFont"/>
    <w:link w:val="Heading3"/>
    <w:uiPriority w:val="9"/>
    <w:rsid w:val="005204BE"/>
    <w:rPr>
      <w:rFonts w:asciiTheme="majorHAnsi" w:eastAsiaTheme="majorEastAsia" w:hAnsiTheme="majorHAnsi" w:cstheme="majorBidi"/>
      <w:color w:val="243F60" w:themeColor="accent1" w:themeShade="7F"/>
      <w:sz w:val="24"/>
      <w:szCs w:val="24"/>
    </w:rPr>
  </w:style>
  <w:style w:type="table" w:styleId="GridTable4-Accent5">
    <w:name w:val="Grid Table 4 Accent 5"/>
    <w:basedOn w:val="TableNormal"/>
    <w:uiPriority w:val="49"/>
    <w:rsid w:val="005204BE"/>
    <w:pPr>
      <w:spacing w:after="0" w:line="240" w:lineRule="auto"/>
    </w:p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
    <w:name w:val="Unresolved Mention"/>
    <w:basedOn w:val="DefaultParagraphFont"/>
    <w:uiPriority w:val="99"/>
    <w:semiHidden/>
    <w:unhideWhenUsed/>
    <w:rsid w:val="00D8266F"/>
    <w:rPr>
      <w:color w:val="605E5C"/>
      <w:shd w:val="clear" w:color="auto" w:fill="E1DFDD"/>
    </w:rPr>
  </w:style>
  <w:style w:type="character" w:customStyle="1" w:styleId="baec5a81-e4d6-4674-97f3-e9220f0136c1">
    <w:name w:val="baec5a81-e4d6-4674-97f3-e9220f0136c1"/>
    <w:basedOn w:val="DefaultParagraphFont"/>
    <w:rsid w:val="0091716A"/>
  </w:style>
  <w:style w:type="character" w:styleId="CommentReference">
    <w:name w:val="annotation reference"/>
    <w:basedOn w:val="DefaultParagraphFont"/>
    <w:uiPriority w:val="99"/>
    <w:semiHidden/>
    <w:unhideWhenUsed/>
    <w:rsid w:val="00D500A4"/>
    <w:rPr>
      <w:sz w:val="16"/>
      <w:szCs w:val="16"/>
    </w:rPr>
  </w:style>
  <w:style w:type="paragraph" w:styleId="CommentText">
    <w:name w:val="annotation text"/>
    <w:basedOn w:val="Normal"/>
    <w:link w:val="CommentTextChar"/>
    <w:uiPriority w:val="99"/>
    <w:unhideWhenUsed/>
    <w:rsid w:val="00D500A4"/>
    <w:rPr>
      <w:sz w:val="20"/>
      <w:szCs w:val="20"/>
    </w:rPr>
  </w:style>
  <w:style w:type="character" w:customStyle="1" w:styleId="CommentTextChar">
    <w:name w:val="Comment Text Char"/>
    <w:basedOn w:val="DefaultParagraphFont"/>
    <w:link w:val="CommentText"/>
    <w:uiPriority w:val="99"/>
    <w:rsid w:val="00D500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00A4"/>
    <w:rPr>
      <w:b/>
      <w:bCs/>
    </w:rPr>
  </w:style>
  <w:style w:type="character" w:customStyle="1" w:styleId="CommentSubjectChar">
    <w:name w:val="Comment Subject Char"/>
    <w:basedOn w:val="CommentTextChar"/>
    <w:link w:val="CommentSubject"/>
    <w:uiPriority w:val="99"/>
    <w:semiHidden/>
    <w:rsid w:val="00D500A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A0BB6"/>
    <w:pPr>
      <w:tabs>
        <w:tab w:val="center" w:pos="4680"/>
        <w:tab w:val="right" w:pos="9360"/>
      </w:tabs>
    </w:pPr>
  </w:style>
  <w:style w:type="character" w:customStyle="1" w:styleId="HeaderChar">
    <w:name w:val="Header Char"/>
    <w:basedOn w:val="DefaultParagraphFont"/>
    <w:link w:val="Header"/>
    <w:uiPriority w:val="99"/>
    <w:rsid w:val="009A0BB6"/>
    <w:rPr>
      <w:rFonts w:ascii="Times New Roman" w:eastAsia="Times New Roman" w:hAnsi="Times New Roman" w:cs="Times New Roman"/>
      <w:sz w:val="24"/>
      <w:szCs w:val="24"/>
    </w:rPr>
  </w:style>
  <w:style w:type="paragraph" w:styleId="TOC2">
    <w:name w:val="toc 2"/>
    <w:basedOn w:val="Normal"/>
    <w:next w:val="Normal"/>
    <w:autoRedefine/>
    <w:uiPriority w:val="39"/>
    <w:rsid w:val="00464636"/>
    <w:pPr>
      <w:widowControl w:val="0"/>
      <w:tabs>
        <w:tab w:val="left" w:pos="1080"/>
        <w:tab w:val="right" w:leader="dot" w:pos="9350"/>
      </w:tabs>
      <w:autoSpaceDE w:val="0"/>
      <w:autoSpaceDN w:val="0"/>
      <w:adjustRightInd w:val="0"/>
      <w:spacing w:after="100" w:line="360" w:lineRule="auto"/>
      <w:ind w:left="1100" w:hanging="855"/>
    </w:pPr>
    <w:rPr>
      <w:noProof/>
    </w:rPr>
  </w:style>
  <w:style w:type="character" w:styleId="FollowedHyperlink">
    <w:name w:val="FollowedHyperlink"/>
    <w:basedOn w:val="DefaultParagraphFont"/>
    <w:uiPriority w:val="99"/>
    <w:semiHidden/>
    <w:unhideWhenUsed/>
    <w:rsid w:val="00E333B8"/>
    <w:rPr>
      <w:color w:val="800080" w:themeColor="followedHyperlink"/>
      <w:u w:val="single"/>
    </w:rPr>
  </w:style>
  <w:style w:type="character" w:styleId="HTMLCite">
    <w:name w:val="HTML Cite"/>
    <w:basedOn w:val="DefaultParagraphFont"/>
    <w:uiPriority w:val="99"/>
    <w:semiHidden/>
    <w:unhideWhenUsed/>
    <w:rsid w:val="00A51B0C"/>
    <w:rPr>
      <w:i/>
      <w:iCs/>
    </w:rPr>
  </w:style>
  <w:style w:type="character" w:styleId="Strong">
    <w:name w:val="Strong"/>
    <w:basedOn w:val="DefaultParagraphFont"/>
    <w:uiPriority w:val="22"/>
    <w:qFormat/>
    <w:rsid w:val="00A51B0C"/>
    <w:rPr>
      <w:b/>
      <w:bCs/>
    </w:rPr>
  </w:style>
  <w:style w:type="paragraph" w:customStyle="1" w:styleId="ListBullet1">
    <w:name w:val="List Bullet 1"/>
    <w:basedOn w:val="Normal"/>
    <w:qFormat/>
    <w:rsid w:val="00FD2C74"/>
    <w:pPr>
      <w:numPr>
        <w:numId w:val="14"/>
      </w:numPr>
      <w:tabs>
        <w:tab w:val="left" w:pos="1080"/>
      </w:tabs>
      <w:spacing w:before="120"/>
      <w:outlineLvl w:val="0"/>
    </w:pPr>
    <w:rPr>
      <w:bCs/>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31720">
      <w:bodyDiv w:val="1"/>
      <w:marLeft w:val="0"/>
      <w:marRight w:val="0"/>
      <w:marTop w:val="0"/>
      <w:marBottom w:val="0"/>
      <w:divBdr>
        <w:top w:val="none" w:sz="0" w:space="0" w:color="auto"/>
        <w:left w:val="none" w:sz="0" w:space="0" w:color="auto"/>
        <w:bottom w:val="none" w:sz="0" w:space="0" w:color="auto"/>
        <w:right w:val="none" w:sz="0" w:space="0" w:color="auto"/>
      </w:divBdr>
    </w:div>
    <w:div w:id="395858806">
      <w:bodyDiv w:val="1"/>
      <w:marLeft w:val="0"/>
      <w:marRight w:val="0"/>
      <w:marTop w:val="0"/>
      <w:marBottom w:val="0"/>
      <w:divBdr>
        <w:top w:val="none" w:sz="0" w:space="0" w:color="auto"/>
        <w:left w:val="none" w:sz="0" w:space="0" w:color="auto"/>
        <w:bottom w:val="none" w:sz="0" w:space="0" w:color="auto"/>
        <w:right w:val="none" w:sz="0" w:space="0" w:color="auto"/>
      </w:divBdr>
    </w:div>
    <w:div w:id="470364782">
      <w:bodyDiv w:val="1"/>
      <w:marLeft w:val="0"/>
      <w:marRight w:val="0"/>
      <w:marTop w:val="0"/>
      <w:marBottom w:val="0"/>
      <w:divBdr>
        <w:top w:val="none" w:sz="0" w:space="0" w:color="auto"/>
        <w:left w:val="none" w:sz="0" w:space="0" w:color="auto"/>
        <w:bottom w:val="none" w:sz="0" w:space="0" w:color="auto"/>
        <w:right w:val="none" w:sz="0" w:space="0" w:color="auto"/>
      </w:divBdr>
    </w:div>
    <w:div w:id="643970416">
      <w:bodyDiv w:val="1"/>
      <w:marLeft w:val="0"/>
      <w:marRight w:val="0"/>
      <w:marTop w:val="0"/>
      <w:marBottom w:val="0"/>
      <w:divBdr>
        <w:top w:val="none" w:sz="0" w:space="0" w:color="auto"/>
        <w:left w:val="none" w:sz="0" w:space="0" w:color="auto"/>
        <w:bottom w:val="none" w:sz="0" w:space="0" w:color="auto"/>
        <w:right w:val="none" w:sz="0" w:space="0" w:color="auto"/>
      </w:divBdr>
    </w:div>
    <w:div w:id="667706949">
      <w:bodyDiv w:val="1"/>
      <w:marLeft w:val="0"/>
      <w:marRight w:val="0"/>
      <w:marTop w:val="0"/>
      <w:marBottom w:val="0"/>
      <w:divBdr>
        <w:top w:val="none" w:sz="0" w:space="0" w:color="auto"/>
        <w:left w:val="none" w:sz="0" w:space="0" w:color="auto"/>
        <w:bottom w:val="none" w:sz="0" w:space="0" w:color="auto"/>
        <w:right w:val="none" w:sz="0" w:space="0" w:color="auto"/>
      </w:divBdr>
    </w:div>
    <w:div w:id="1227104467">
      <w:bodyDiv w:val="1"/>
      <w:marLeft w:val="0"/>
      <w:marRight w:val="0"/>
      <w:marTop w:val="0"/>
      <w:marBottom w:val="0"/>
      <w:divBdr>
        <w:top w:val="none" w:sz="0" w:space="0" w:color="auto"/>
        <w:left w:val="none" w:sz="0" w:space="0" w:color="auto"/>
        <w:bottom w:val="none" w:sz="0" w:space="0" w:color="auto"/>
        <w:right w:val="none" w:sz="0" w:space="0" w:color="auto"/>
      </w:divBdr>
    </w:div>
    <w:div w:id="1400009834">
      <w:bodyDiv w:val="1"/>
      <w:marLeft w:val="0"/>
      <w:marRight w:val="0"/>
      <w:marTop w:val="0"/>
      <w:marBottom w:val="0"/>
      <w:divBdr>
        <w:top w:val="none" w:sz="0" w:space="0" w:color="auto"/>
        <w:left w:val="none" w:sz="0" w:space="0" w:color="auto"/>
        <w:bottom w:val="none" w:sz="0" w:space="0" w:color="auto"/>
        <w:right w:val="none" w:sz="0" w:space="0" w:color="auto"/>
      </w:divBdr>
    </w:div>
    <w:div w:id="1475101429">
      <w:bodyDiv w:val="1"/>
      <w:marLeft w:val="0"/>
      <w:marRight w:val="0"/>
      <w:marTop w:val="0"/>
      <w:marBottom w:val="0"/>
      <w:divBdr>
        <w:top w:val="none" w:sz="0" w:space="0" w:color="auto"/>
        <w:left w:val="none" w:sz="0" w:space="0" w:color="auto"/>
        <w:bottom w:val="none" w:sz="0" w:space="0" w:color="auto"/>
        <w:right w:val="none" w:sz="0" w:space="0" w:color="auto"/>
      </w:divBdr>
    </w:div>
    <w:div w:id="1686008335">
      <w:bodyDiv w:val="1"/>
      <w:marLeft w:val="0"/>
      <w:marRight w:val="0"/>
      <w:marTop w:val="0"/>
      <w:marBottom w:val="0"/>
      <w:divBdr>
        <w:top w:val="none" w:sz="0" w:space="0" w:color="auto"/>
        <w:left w:val="none" w:sz="0" w:space="0" w:color="auto"/>
        <w:bottom w:val="none" w:sz="0" w:space="0" w:color="auto"/>
        <w:right w:val="none" w:sz="0" w:space="0" w:color="auto"/>
      </w:divBdr>
    </w:div>
    <w:div w:id="1694065075">
      <w:bodyDiv w:val="1"/>
      <w:marLeft w:val="0"/>
      <w:marRight w:val="0"/>
      <w:marTop w:val="0"/>
      <w:marBottom w:val="0"/>
      <w:divBdr>
        <w:top w:val="none" w:sz="0" w:space="0" w:color="auto"/>
        <w:left w:val="none" w:sz="0" w:space="0" w:color="auto"/>
        <w:bottom w:val="none" w:sz="0" w:space="0" w:color="auto"/>
        <w:right w:val="none" w:sz="0" w:space="0" w:color="auto"/>
      </w:divBdr>
    </w:div>
    <w:div w:id="1799108841">
      <w:bodyDiv w:val="1"/>
      <w:marLeft w:val="0"/>
      <w:marRight w:val="0"/>
      <w:marTop w:val="0"/>
      <w:marBottom w:val="0"/>
      <w:divBdr>
        <w:top w:val="none" w:sz="0" w:space="0" w:color="auto"/>
        <w:left w:val="none" w:sz="0" w:space="0" w:color="auto"/>
        <w:bottom w:val="none" w:sz="0" w:space="0" w:color="auto"/>
        <w:right w:val="none" w:sz="0" w:space="0" w:color="auto"/>
      </w:divBdr>
    </w:div>
    <w:div w:id="1818299878">
      <w:bodyDiv w:val="1"/>
      <w:marLeft w:val="0"/>
      <w:marRight w:val="0"/>
      <w:marTop w:val="0"/>
      <w:marBottom w:val="0"/>
      <w:divBdr>
        <w:top w:val="none" w:sz="0" w:space="0" w:color="auto"/>
        <w:left w:val="none" w:sz="0" w:space="0" w:color="auto"/>
        <w:bottom w:val="none" w:sz="0" w:space="0" w:color="auto"/>
        <w:right w:val="none" w:sz="0" w:space="0" w:color="auto"/>
      </w:divBdr>
    </w:div>
    <w:div w:id="18976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finitivehc.com" TargetMode="External"/><Relationship Id="rId18" Type="http://schemas.openxmlformats.org/officeDocument/2006/relationships/hyperlink" Target="file://cdc/private/M102/nfr2/THROMBOSIS/RAMs,%20Karna/RAM%20survey/OMB/OMB%20-%20TJC%20materials/60-day%20FRN%20package%208-21-20/Provo,%20UT" TargetMode="External"/><Relationship Id="rId26" Type="http://schemas.openxmlformats.org/officeDocument/2006/relationships/hyperlink" Target="mailto:SSchmaltz@jointcommission.org" TargetMode="External"/><Relationship Id="rId3" Type="http://schemas.openxmlformats.org/officeDocument/2006/relationships/customXml" Target="../customXml/item3.xml"/><Relationship Id="rId21" Type="http://schemas.openxmlformats.org/officeDocument/2006/relationships/hyperlink" Target="mailto:SSchmaltz@jointcommission.org" TargetMode="External"/><Relationship Id="rId7" Type="http://schemas.openxmlformats.org/officeDocument/2006/relationships/settings" Target="settings.xml"/><Relationship Id="rId12" Type="http://schemas.openxmlformats.org/officeDocument/2006/relationships/hyperlink" Target="file://cdc/private/M102/nfr2/THROMBOSIS/RAMs,%20Karna/RAM%20survey/OMB/OMB%20-%20TJC%20materials/60-day%20FRN%20package%208-21-20/Provo,%20UT" TargetMode="External"/><Relationship Id="rId17" Type="http://schemas.openxmlformats.org/officeDocument/2006/relationships/hyperlink" Target="https://www.qualtrics.com" TargetMode="External"/><Relationship Id="rId25" Type="http://schemas.openxmlformats.org/officeDocument/2006/relationships/hyperlink" Target="mailto:bbraun@jointcommission.org"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file://cdc/private/M102/nfr2/THROMBOSIS/RAMs,%20Karna/RAM%20survey/OMB/OMB%20-%20TJC%20materials/60-day%20FRN%20package%208-21-20/Provo,%20UT" TargetMode="External"/><Relationship Id="rId20" Type="http://schemas.openxmlformats.org/officeDocument/2006/relationships/hyperlink" Target="https://www.qualtrics.com" TargetMode="External"/><Relationship Id="rId29" Type="http://schemas.openxmlformats.org/officeDocument/2006/relationships/hyperlink" Target="mailto:kga4@c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Reyes@cdc.gov" TargetMode="External"/><Relationship Id="rId24" Type="http://schemas.openxmlformats.org/officeDocument/2006/relationships/hyperlink" Target="mailto:kkolbusz@jointcommission.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qualtrics.com" TargetMode="External"/><Relationship Id="rId23" Type="http://schemas.openxmlformats.org/officeDocument/2006/relationships/hyperlink" Target="mailto:mbozikis@jcrinc.com" TargetMode="External"/><Relationship Id="rId28" Type="http://schemas.openxmlformats.org/officeDocument/2006/relationships/hyperlink" Target="mailto:NReyes@cdc.gov" TargetMode="External"/><Relationship Id="rId10" Type="http://schemas.openxmlformats.org/officeDocument/2006/relationships/endnotes" Target="endnotes.xml"/><Relationship Id="rId19" Type="http://schemas.openxmlformats.org/officeDocument/2006/relationships/hyperlink" Target="https://www.qualtrics.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c/private/M102/nfr2/THROMBOSIS/RAMs,%20Karna/RAM%20survey/OMB/OMB%20-%20TJC%20materials/60-day%20FRN%20package%208-21-20/Provo,%20UT" TargetMode="External"/><Relationship Id="rId22" Type="http://schemas.openxmlformats.org/officeDocument/2006/relationships/hyperlink" Target="mailto:bbraun@jointcommission.org" TargetMode="External"/><Relationship Id="rId27" Type="http://schemas.openxmlformats.org/officeDocument/2006/relationships/hyperlink" Target="mailto:CPhoutharath@jointcommission.org"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fidential1 xmlns="5f889c01-6895-43f5-8a5e-b173dc02010d">false</Confidential1>
    <Superseded_x0020_Date xmlns="5f889c01-6895-43f5-8a5e-b173dc0201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Reference and Resource Documents" ma:contentTypeID="0x010100D14BCD0F663D8E4194E27DF1F2E21DA1010F000E2B47096F2FE547A710A89D38B8F772" ma:contentTypeVersion="7" ma:contentTypeDescription="" ma:contentTypeScope="" ma:versionID="a04bf24563119428d33a8ec75563ce7e">
  <xsd:schema xmlns:xsd="http://www.w3.org/2001/XMLSchema" xmlns:xs="http://www.w3.org/2001/XMLSchema" xmlns:p="http://schemas.microsoft.com/office/2006/metadata/properties" xmlns:ns2="5f889c01-6895-43f5-8a5e-b173dc02010d" targetNamespace="http://schemas.microsoft.com/office/2006/metadata/properties" ma:root="true" ma:fieldsID="66340f849c248ed31af69036f593440d" ns2:_="">
    <xsd:import namespace="5f889c01-6895-43f5-8a5e-b173dc02010d"/>
    <xsd:element name="properties">
      <xsd:complexType>
        <xsd:sequence>
          <xsd:element name="documentManagement">
            <xsd:complexType>
              <xsd:all>
                <xsd:element ref="ns2:Confidential1" minOccurs="0"/>
                <xsd:element ref="ns2:Supersede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89c01-6895-43f5-8a5e-b173dc02010d" elementFormDefault="qualified">
    <xsd:import namespace="http://schemas.microsoft.com/office/2006/documentManagement/types"/>
    <xsd:import namespace="http://schemas.microsoft.com/office/infopath/2007/PartnerControls"/>
    <xsd:element name="Confidential1" ma:index="8" nillable="true" ma:displayName="Confidential" ma:default="0" ma:internalName="Confidential1">
      <xsd:simpleType>
        <xsd:restriction base="dms:Boolean"/>
      </xsd:simpleType>
    </xsd:element>
    <xsd:element name="Superseded_x0020_Date" ma:index="9" nillable="true" ma:displayName="Superseded Date" ma:format="DateOnly" ma:internalName="Superseded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B4513-FE29-41A7-8172-8C9CF1AACB26}">
  <ds:schemaRef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http://purl.org/dc/elements/1.1/"/>
    <ds:schemaRef ds:uri="http://purl.org/dc/terms/"/>
    <ds:schemaRef ds:uri="5f889c01-6895-43f5-8a5e-b173dc02010d"/>
    <ds:schemaRef ds:uri="http://schemas.microsoft.com/office/2006/metadata/properties"/>
  </ds:schemaRefs>
</ds:datastoreItem>
</file>

<file path=customXml/itemProps2.xml><?xml version="1.0" encoding="utf-8"?>
<ds:datastoreItem xmlns:ds="http://schemas.openxmlformats.org/officeDocument/2006/customXml" ds:itemID="{7456EE3D-59A3-4C83-AF72-DDC834C4A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89c01-6895-43f5-8a5e-b173dc020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FE2AD-C341-4A2C-BA7D-062B197D6C8C}">
  <ds:schemaRefs>
    <ds:schemaRef ds:uri="http://schemas.microsoft.com/sharepoint/v3/contenttype/forms"/>
  </ds:schemaRefs>
</ds:datastoreItem>
</file>

<file path=customXml/itemProps4.xml><?xml version="1.0" encoding="utf-8"?>
<ds:datastoreItem xmlns:ds="http://schemas.openxmlformats.org/officeDocument/2006/customXml" ds:itemID="{54BCB365-938A-43CE-BE10-0DFC69A52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3021</Words>
  <Characters>17223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fvs1</dc:creator>
  <cp:keywords/>
  <cp:lastModifiedBy>Herron, Adrienne R. (CDC/DDNID/NCBDDD/OD)</cp:lastModifiedBy>
  <cp:revision>10</cp:revision>
  <cp:lastPrinted>2020-09-09T16:12:00Z</cp:lastPrinted>
  <dcterms:created xsi:type="dcterms:W3CDTF">2020-09-29T16:48:00Z</dcterms:created>
  <dcterms:modified xsi:type="dcterms:W3CDTF">2020-10-08T13:56:00Z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0x010100D14BCD0F663D8E4194E27DF1F2E21DA1010F000E2B47096F2FE547A710A89D38B8F772</vt:lpwstr>
  </property>
</Properties>
</file>