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37A" w:rsidP="00E1237A" w:rsidRDefault="00E1237A" w14:paraId="1345681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 xml:space="preserve">: </w:t>
      </w:r>
      <w:r w:rsidRPr="00650B38">
        <w:t xml:space="preserve">0925-0648 </w:t>
      </w:r>
      <w:r>
        <w:t xml:space="preserve">Exp. </w:t>
      </w:r>
      <w:r w:rsidRPr="00D30F9D">
        <w:t>Date: 05/31/2021</w:t>
      </w:r>
      <w:r w:rsidRPr="00D30F9D">
        <w:rPr>
          <w:sz w:val="28"/>
        </w:rPr>
        <w:t>)</w:t>
      </w:r>
    </w:p>
    <w:p w:rsidRPr="009239AA" w:rsidR="00E50293" w:rsidP="00434E33" w:rsidRDefault="002D74EF" w14:paraId="68B6C704" w14:textId="7F1898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40FD985" wp14:anchorId="1CAE3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6AB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9239AA" w:rsidR="00662230" w:rsidP="00662230" w:rsidRDefault="00662230" w14:paraId="46FDD90B" w14:textId="77777777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2020 NLM PRS Tutorials Feedback Survey</w:t>
      </w:r>
    </w:p>
    <w:p w:rsidR="00662230" w:rsidRDefault="00662230" w14:paraId="137C46C0" w14:textId="77777777"/>
    <w:p w:rsidR="001B0AAA" w:rsidRDefault="00F15956" w14:paraId="21B2FFB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620EE" w:rsidP="007620EE" w:rsidRDefault="007620EE" w14:paraId="6B096373" w14:textId="77777777">
      <w:r w:rsidRPr="00C22626">
        <w:t xml:space="preserve">The goal of this </w:t>
      </w:r>
      <w:r w:rsidR="00DB79AC">
        <w:t xml:space="preserve">National Library of Medicine (NLM) </w:t>
      </w:r>
      <w:r w:rsidRPr="00C22626">
        <w:t xml:space="preserve">survey is to collect qualitative feedback from users of the </w:t>
      </w:r>
      <w:r>
        <w:t>ClinicalTrials.gov Protocol Registration and Results System (PRS) on their experience using the PRS Guided Tutorials.</w:t>
      </w:r>
      <w:r w:rsidRPr="00C22626">
        <w:t xml:space="preserve"> The survey consists of a short list of questions </w:t>
      </w:r>
      <w:r>
        <w:t>about how they rate the usability, u</w:t>
      </w:r>
      <w:r w:rsidR="001B6C92">
        <w:t>tility</w:t>
      </w:r>
      <w:r>
        <w:t xml:space="preserve">, and </w:t>
      </w:r>
      <w:r w:rsidR="001B6C92">
        <w:t>satisfaction</w:t>
      </w:r>
      <w:r>
        <w:t xml:space="preserve"> of the tutorials</w:t>
      </w:r>
      <w:r w:rsidR="00DB79AC">
        <w:t xml:space="preserve">. </w:t>
      </w:r>
      <w:r w:rsidRPr="00C22626">
        <w:t xml:space="preserve">The information from this survey will be used to improve the </w:t>
      </w:r>
      <w:r>
        <w:t>information and user experience of the PRS Guided Tutorials</w:t>
      </w:r>
      <w:r w:rsidRPr="00C22626">
        <w:t>.</w:t>
      </w:r>
      <w:r>
        <w:t xml:space="preserve">  </w:t>
      </w:r>
    </w:p>
    <w:p w:rsidR="00C8488C" w:rsidP="00434E33" w:rsidRDefault="00C8488C" w14:paraId="62392D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699820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7256D2" w:rsidR="007256D2" w:rsidP="007256D2" w:rsidRDefault="007620EE" w14:paraId="0A1E84B7" w14:textId="77777777">
      <w:r w:rsidRPr="00142F01">
        <w:t>Respondents will be individual</w:t>
      </w:r>
      <w:r>
        <w:t>s who voluntarily cho</w:t>
      </w:r>
      <w:r w:rsidR="007256D2">
        <w:t>o</w:t>
      </w:r>
      <w:r>
        <w:t>se to participate in the survey.</w:t>
      </w:r>
      <w:r w:rsidR="003E2F5C">
        <w:t xml:space="preserve"> The survey will be accessible through a link </w:t>
      </w:r>
      <w:r w:rsidR="001B6C92">
        <w:t>on</w:t>
      </w:r>
      <w:r w:rsidR="003E2F5C">
        <w:t xml:space="preserve"> the ClinicalTrials.gov PRS Guided Tutorials webpage.</w:t>
      </w:r>
      <w:r w:rsidR="00A40262">
        <w:t xml:space="preserve">  </w:t>
      </w:r>
    </w:p>
    <w:p w:rsidR="00E26329" w:rsidRDefault="00E26329" w14:paraId="4FD6141B" w14:textId="77777777">
      <w:pPr>
        <w:rPr>
          <w:b/>
        </w:rPr>
      </w:pPr>
    </w:p>
    <w:p w:rsidRPr="00F06866" w:rsidR="00F06866" w:rsidRDefault="00F06866" w14:paraId="62CE2F6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AFDED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A7AA7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A7E4C">
        <w:rPr>
          <w:bCs/>
          <w:sz w:val="24"/>
        </w:rPr>
        <w:t>[</w:t>
      </w:r>
      <w:r w:rsidR="00CA7E4C">
        <w:rPr>
          <w:bCs/>
          <w:sz w:val="24"/>
        </w:rPr>
        <w:t xml:space="preserve"> </w:t>
      </w:r>
      <w:r w:rsidRPr="00CA7E4C">
        <w:rPr>
          <w:bCs/>
          <w:sz w:val="24"/>
        </w:rPr>
        <w:t xml:space="preserve">] </w:t>
      </w:r>
      <w:r w:rsidRPr="00CA7E4C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27E3F">
        <w:rPr>
          <w:bCs/>
          <w:sz w:val="24"/>
        </w:rPr>
        <w:t>[</w:t>
      </w:r>
      <w:r w:rsidRPr="00727E3F" w:rsidR="00CA7E4C">
        <w:rPr>
          <w:bCs/>
          <w:sz w:val="24"/>
        </w:rPr>
        <w:t>X</w:t>
      </w:r>
      <w:r w:rsidRPr="00727E3F">
        <w:rPr>
          <w:bCs/>
          <w:sz w:val="24"/>
        </w:rPr>
        <w:t xml:space="preserve">] </w:t>
      </w:r>
      <w:r w:rsidRPr="00727E3F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E83DB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386E0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8648B7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447C55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6AD541" w14:textId="77777777">
      <w:pPr>
        <w:rPr>
          <w:sz w:val="16"/>
          <w:szCs w:val="16"/>
        </w:rPr>
      </w:pPr>
    </w:p>
    <w:p w:rsidRPr="009C13B9" w:rsidR="008101A5" w:rsidP="008101A5" w:rsidRDefault="008101A5" w14:paraId="6D83E3FF" w14:textId="77777777">
      <w:r>
        <w:t xml:space="preserve">I certify the following to be true: </w:t>
      </w:r>
    </w:p>
    <w:p w:rsidR="008101A5" w:rsidP="008101A5" w:rsidRDefault="008101A5" w14:paraId="77CE8F1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A5557E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7190E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4C6F6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A5B890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4A4C8F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0BF0D31" w14:textId="77777777"/>
    <w:p w:rsidR="009C13B9" w:rsidP="009C13B9" w:rsidRDefault="009C13B9" w14:paraId="5C69D9A1" w14:textId="77777777">
      <w:r>
        <w:t>Name</w:t>
      </w:r>
      <w:r w:rsidR="00101CF4">
        <w:t xml:space="preserve">: </w:t>
      </w:r>
      <w:r w:rsidRPr="007620EE" w:rsidR="007620EE">
        <w:rPr>
          <w:u w:val="single"/>
        </w:rPr>
        <w:t>Anna Fine, PharmD</w:t>
      </w:r>
      <w:r w:rsidRPr="007620EE">
        <w:rPr>
          <w:u w:val="single"/>
        </w:rPr>
        <w:t>_______________________________________________</w:t>
      </w:r>
    </w:p>
    <w:p w:rsidR="009C13B9" w:rsidP="009C13B9" w:rsidRDefault="009C13B9" w14:paraId="63CEE49B" w14:textId="77777777">
      <w:pPr>
        <w:pStyle w:val="ListParagraph"/>
        <w:ind w:left="360"/>
      </w:pPr>
    </w:p>
    <w:p w:rsidR="009C13B9" w:rsidP="009C13B9" w:rsidRDefault="009C13B9" w14:paraId="1324F676" w14:textId="77777777">
      <w:r>
        <w:t>To assist review, please provide answers to the following question:</w:t>
      </w:r>
    </w:p>
    <w:p w:rsidR="009C13B9" w:rsidP="009C13B9" w:rsidRDefault="009C13B9" w14:paraId="0C0FD2C7" w14:textId="77777777">
      <w:pPr>
        <w:pStyle w:val="ListParagraph"/>
        <w:ind w:left="360"/>
      </w:pPr>
    </w:p>
    <w:p w:rsidRPr="00C86E91" w:rsidR="009C13B9" w:rsidP="00C86E91" w:rsidRDefault="00C86E91" w14:paraId="5615E1D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0854B1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Pr="00727E3F" w:rsidR="009239AA">
        <w:t>[</w:t>
      </w:r>
      <w:r w:rsidRPr="00727E3F" w:rsidR="007620EE">
        <w:t>X</w:t>
      </w:r>
      <w:r w:rsidRPr="00727E3F" w:rsidR="009239AA">
        <w:t>]  No</w:t>
      </w:r>
      <w:r w:rsidR="009239AA">
        <w:t xml:space="preserve"> </w:t>
      </w:r>
    </w:p>
    <w:p w:rsidR="00C86E91" w:rsidP="00C86E91" w:rsidRDefault="009C13B9" w14:paraId="349DCF3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</w:t>
      </w:r>
      <w:r w:rsidRPr="00727E3F" w:rsidR="009239AA">
        <w:t>[</w:t>
      </w:r>
      <w:r w:rsidRPr="00727E3F" w:rsidR="007620EE">
        <w:t>X</w:t>
      </w:r>
      <w:r w:rsidRPr="00727E3F" w:rsidR="009239AA">
        <w:t>] No</w:t>
      </w:r>
      <w:r w:rsidR="00C86E91">
        <w:t xml:space="preserve">   </w:t>
      </w:r>
    </w:p>
    <w:p w:rsidR="00C86E91" w:rsidP="00C86E91" w:rsidRDefault="00C86E91" w14:paraId="2522B35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F5271B">
        <w:t xml:space="preserve"> </w:t>
      </w:r>
      <w:r w:rsidRPr="00727E3F" w:rsidR="00F5271B">
        <w:t>N/A</w:t>
      </w:r>
    </w:p>
    <w:p w:rsidR="00CF6542" w:rsidP="00C86E91" w:rsidRDefault="00CF6542" w14:paraId="3F45F175" w14:textId="77777777">
      <w:pPr>
        <w:pStyle w:val="ListParagraph"/>
        <w:ind w:left="0"/>
        <w:rPr>
          <w:b/>
        </w:rPr>
      </w:pPr>
    </w:p>
    <w:p w:rsidR="001B2B59" w:rsidP="00C86E91" w:rsidRDefault="001B2B59" w14:paraId="794CF6D5" w14:textId="77777777">
      <w:pPr>
        <w:pStyle w:val="ListParagraph"/>
        <w:ind w:left="0"/>
        <w:rPr>
          <w:b/>
        </w:rPr>
      </w:pPr>
    </w:p>
    <w:p w:rsidR="00525994" w:rsidP="00C86E91" w:rsidRDefault="00525994" w14:paraId="18A647B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E19CE2F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F07BC55" w14:textId="77777777">
      <w:r>
        <w:t xml:space="preserve">Is an incentive (e.g., money or reimbursement of expenses, token of appreciation) provided to participants?  [  ] Yes </w:t>
      </w:r>
      <w:r w:rsidRPr="00727E3F">
        <w:t>[</w:t>
      </w:r>
      <w:r w:rsidRPr="00727E3F" w:rsidR="00F5271B">
        <w:t>X</w:t>
      </w:r>
      <w:r w:rsidRPr="00727E3F">
        <w:t>] No</w:t>
      </w:r>
      <w:r>
        <w:t xml:space="preserve">  </w:t>
      </w:r>
    </w:p>
    <w:p w:rsidR="004D6E14" w:rsidRDefault="004D6E14" w14:paraId="66D11238" w14:textId="77777777">
      <w:pPr>
        <w:rPr>
          <w:b/>
        </w:rPr>
      </w:pPr>
    </w:p>
    <w:p w:rsidRPr="00BC4D33" w:rsidR="00F5271B" w:rsidP="00F5271B" w:rsidRDefault="00F5271B" w14:paraId="7DB4EC98" w14:textId="77777777">
      <w:pPr>
        <w:rPr>
          <w:i/>
          <w:color w:val="FF0000"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  <w:r>
        <w:rPr>
          <w:b/>
        </w:rPr>
        <w:t xml:space="preserve"> </w:t>
      </w:r>
    </w:p>
    <w:p w:rsidRPr="00BC4D33" w:rsidR="00F5271B" w:rsidP="00F5271B" w:rsidRDefault="00F5271B" w14:paraId="20E585E5" w14:textId="77777777">
      <w:pPr>
        <w:keepNext/>
        <w:keepLines/>
      </w:pPr>
    </w:p>
    <w:tbl>
      <w:tblPr>
        <w:tblW w:w="951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559"/>
        <w:gridCol w:w="2109"/>
        <w:gridCol w:w="1632"/>
        <w:gridCol w:w="1372"/>
      </w:tblGrid>
      <w:tr w:rsidR="00F5271B" w:rsidTr="005C13FA" w14:paraId="1CDDB68E" w14:textId="77777777">
        <w:trPr>
          <w:trHeight w:val="864"/>
        </w:trPr>
        <w:tc>
          <w:tcPr>
            <w:tcW w:w="2843" w:type="dxa"/>
          </w:tcPr>
          <w:p w:rsidRPr="002D26E2" w:rsidR="00F5271B" w:rsidP="005D5D77" w:rsidRDefault="00F5271B" w14:paraId="204E73A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59" w:type="dxa"/>
          </w:tcPr>
          <w:p w:rsidRPr="002D26E2" w:rsidR="00F5271B" w:rsidP="005D5D77" w:rsidRDefault="00F5271B" w14:paraId="7CB71F0F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09" w:type="dxa"/>
          </w:tcPr>
          <w:p w:rsidRPr="002D26E2" w:rsidR="00F5271B" w:rsidP="005D5D77" w:rsidRDefault="00F5271B" w14:paraId="182F836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32" w:type="dxa"/>
          </w:tcPr>
          <w:p w:rsidR="00F5271B" w:rsidP="005D5D77" w:rsidRDefault="00F5271B" w14:paraId="71D0D11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F5271B" w:rsidP="005D5D77" w:rsidRDefault="00F5271B" w14:paraId="72F36FC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F5271B" w:rsidP="005D5D77" w:rsidRDefault="00F5271B" w14:paraId="0013CCC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2" w:type="dxa"/>
          </w:tcPr>
          <w:p w:rsidR="00F5271B" w:rsidP="005D5D77" w:rsidRDefault="00F5271B" w14:paraId="12A3E40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F5271B" w:rsidP="005D5D77" w:rsidRDefault="00F5271B" w14:paraId="346EE1E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F5271B" w:rsidTr="005C13FA" w14:paraId="5D5CF846" w14:textId="77777777">
        <w:trPr>
          <w:trHeight w:val="252"/>
        </w:trPr>
        <w:tc>
          <w:tcPr>
            <w:tcW w:w="2843" w:type="dxa"/>
          </w:tcPr>
          <w:p w:rsidR="00F5271B" w:rsidP="005D5D77" w:rsidRDefault="00F5271B" w14:paraId="00B1201C" w14:textId="77777777">
            <w:r>
              <w:t>Individuals or Households</w:t>
            </w:r>
          </w:p>
        </w:tc>
        <w:tc>
          <w:tcPr>
            <w:tcW w:w="1559" w:type="dxa"/>
          </w:tcPr>
          <w:p w:rsidR="00F5271B" w:rsidP="00F8466A" w:rsidRDefault="00F5271B" w14:paraId="26298054" w14:textId="77777777">
            <w:r>
              <w:t xml:space="preserve">  </w:t>
            </w:r>
            <w:r w:rsidR="005C13FA">
              <w:t xml:space="preserve"> </w:t>
            </w:r>
            <w:r>
              <w:t xml:space="preserve"> 3550</w:t>
            </w:r>
          </w:p>
        </w:tc>
        <w:tc>
          <w:tcPr>
            <w:tcW w:w="2109" w:type="dxa"/>
          </w:tcPr>
          <w:p w:rsidR="00F5271B" w:rsidP="00F8466A" w:rsidRDefault="00F5271B" w14:paraId="212CEC29" w14:textId="77777777">
            <w:r>
              <w:t xml:space="preserve">    </w:t>
            </w:r>
            <w:r w:rsidR="00F8466A">
              <w:t xml:space="preserve"> </w:t>
            </w:r>
            <w:r>
              <w:t xml:space="preserve">     1</w:t>
            </w:r>
          </w:p>
        </w:tc>
        <w:tc>
          <w:tcPr>
            <w:tcW w:w="1632" w:type="dxa"/>
          </w:tcPr>
          <w:p w:rsidR="00F5271B" w:rsidP="00F8466A" w:rsidRDefault="00F5271B" w14:paraId="536CB779" w14:textId="77777777">
            <w:r>
              <w:t xml:space="preserve">    4/60</w:t>
            </w:r>
          </w:p>
        </w:tc>
        <w:tc>
          <w:tcPr>
            <w:tcW w:w="1372" w:type="dxa"/>
          </w:tcPr>
          <w:p w:rsidR="00F5271B" w:rsidP="00F8466A" w:rsidRDefault="00F5271B" w14:paraId="0CC78599" w14:textId="77777777">
            <w:r>
              <w:t xml:space="preserve">   </w:t>
            </w:r>
            <w:r w:rsidR="0061154D">
              <w:t xml:space="preserve"> </w:t>
            </w:r>
            <w:r>
              <w:t>23</w:t>
            </w:r>
            <w:r w:rsidR="000B102A">
              <w:t>7</w:t>
            </w:r>
          </w:p>
        </w:tc>
      </w:tr>
      <w:tr w:rsidR="00F5271B" w:rsidTr="005C13FA" w14:paraId="6C182887" w14:textId="77777777">
        <w:trPr>
          <w:trHeight w:val="266"/>
        </w:trPr>
        <w:tc>
          <w:tcPr>
            <w:tcW w:w="2843" w:type="dxa"/>
          </w:tcPr>
          <w:p w:rsidR="00F5271B" w:rsidP="005D5D77" w:rsidRDefault="00F5271B" w14:paraId="52AD9063" w14:textId="77777777"/>
        </w:tc>
        <w:tc>
          <w:tcPr>
            <w:tcW w:w="1559" w:type="dxa"/>
          </w:tcPr>
          <w:p w:rsidR="00F5271B" w:rsidP="005D5D77" w:rsidRDefault="00F5271B" w14:paraId="67890293" w14:textId="77777777"/>
        </w:tc>
        <w:tc>
          <w:tcPr>
            <w:tcW w:w="2109" w:type="dxa"/>
          </w:tcPr>
          <w:p w:rsidR="00F5271B" w:rsidP="005D5D77" w:rsidRDefault="00F5271B" w14:paraId="0E34AEBA" w14:textId="77777777"/>
        </w:tc>
        <w:tc>
          <w:tcPr>
            <w:tcW w:w="1632" w:type="dxa"/>
          </w:tcPr>
          <w:p w:rsidR="00F5271B" w:rsidP="005D5D77" w:rsidRDefault="00F5271B" w14:paraId="161FC993" w14:textId="77777777"/>
        </w:tc>
        <w:tc>
          <w:tcPr>
            <w:tcW w:w="1372" w:type="dxa"/>
          </w:tcPr>
          <w:p w:rsidR="00F5271B" w:rsidP="005D5D77" w:rsidRDefault="00F5271B" w14:paraId="5C84C220" w14:textId="77777777"/>
        </w:tc>
      </w:tr>
      <w:tr w:rsidR="00F5271B" w:rsidTr="005C13FA" w14:paraId="25942F2C" w14:textId="77777777">
        <w:trPr>
          <w:trHeight w:val="280"/>
        </w:trPr>
        <w:tc>
          <w:tcPr>
            <w:tcW w:w="2843" w:type="dxa"/>
          </w:tcPr>
          <w:p w:rsidRPr="002D26E2" w:rsidR="00F5271B" w:rsidP="005D5D77" w:rsidRDefault="00F5271B" w14:paraId="75D7BA4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59" w:type="dxa"/>
          </w:tcPr>
          <w:p w:rsidRPr="002D26E2" w:rsidR="00F5271B" w:rsidP="005D5D77" w:rsidRDefault="00F5271B" w14:paraId="70112926" w14:textId="6D2FE60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bookmarkStart w:name="_GoBack" w:id="0"/>
            <w:bookmarkEnd w:id="0"/>
          </w:p>
        </w:tc>
        <w:tc>
          <w:tcPr>
            <w:tcW w:w="2109" w:type="dxa"/>
          </w:tcPr>
          <w:p w:rsidR="00F5271B" w:rsidP="005D5D77" w:rsidRDefault="00F5271B" w14:paraId="5D649967" w14:textId="77777777">
            <w:r>
              <w:t xml:space="preserve">   </w:t>
            </w:r>
            <w:r w:rsidR="00F8466A">
              <w:t xml:space="preserve">   </w:t>
            </w:r>
            <w:r>
              <w:t xml:space="preserve"> </w:t>
            </w:r>
            <w:r w:rsidR="001B6C92">
              <w:t>3550</w:t>
            </w:r>
          </w:p>
        </w:tc>
        <w:tc>
          <w:tcPr>
            <w:tcW w:w="1632" w:type="dxa"/>
          </w:tcPr>
          <w:p w:rsidR="00F5271B" w:rsidP="005D5D77" w:rsidRDefault="00F5271B" w14:paraId="775DF555" w14:textId="77777777"/>
        </w:tc>
        <w:tc>
          <w:tcPr>
            <w:tcW w:w="1372" w:type="dxa"/>
          </w:tcPr>
          <w:p w:rsidRPr="002D26E2" w:rsidR="00F5271B" w:rsidP="005D5D77" w:rsidRDefault="00F5271B" w14:paraId="6A99B3D0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8466A">
              <w:rPr>
                <w:b/>
              </w:rPr>
              <w:t xml:space="preserve">  </w:t>
            </w:r>
            <w:r>
              <w:rPr>
                <w:b/>
              </w:rPr>
              <w:t>23</w:t>
            </w:r>
            <w:r w:rsidR="000B102A">
              <w:rPr>
                <w:b/>
              </w:rPr>
              <w:t xml:space="preserve">7 </w:t>
            </w:r>
          </w:p>
        </w:tc>
      </w:tr>
    </w:tbl>
    <w:p w:rsidR="00F5271B" w:rsidP="00F5271B" w:rsidRDefault="00F5271B" w14:paraId="40E26115" w14:textId="77777777"/>
    <w:p w:rsidRPr="009A036B" w:rsidR="00F5271B" w:rsidP="00F5271B" w:rsidRDefault="00F5271B" w14:paraId="47B34203" w14:textId="77777777">
      <w:pPr>
        <w:rPr>
          <w:b/>
        </w:rPr>
      </w:pPr>
    </w:p>
    <w:tbl>
      <w:tblPr>
        <w:tblW w:w="956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345"/>
        <w:gridCol w:w="2626"/>
        <w:gridCol w:w="1688"/>
      </w:tblGrid>
      <w:tr w:rsidRPr="009A036B" w:rsidR="00F5271B" w:rsidTr="005C13FA" w14:paraId="31D5278F" w14:textId="77777777">
        <w:trPr>
          <w:trHeight w:val="288"/>
        </w:trPr>
        <w:tc>
          <w:tcPr>
            <w:tcW w:w="2908" w:type="dxa"/>
          </w:tcPr>
          <w:p w:rsidRPr="009A036B" w:rsidR="00F5271B" w:rsidP="005D5D77" w:rsidRDefault="00F5271B" w14:paraId="42F84FB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F5271B" w:rsidP="005D5D77" w:rsidRDefault="00F5271B" w14:paraId="4B163B00" w14:textId="77777777">
            <w:pPr>
              <w:rPr>
                <w:b/>
              </w:rPr>
            </w:pPr>
          </w:p>
        </w:tc>
        <w:tc>
          <w:tcPr>
            <w:tcW w:w="2345" w:type="dxa"/>
          </w:tcPr>
          <w:p w:rsidRPr="00CA2010" w:rsidR="00F5271B" w:rsidP="005D5D77" w:rsidRDefault="00F5271B" w14:paraId="2EE258F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F5271B" w:rsidP="005D5D77" w:rsidRDefault="00F5271B" w14:paraId="3C7B35F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626" w:type="dxa"/>
          </w:tcPr>
          <w:p w:rsidRPr="009A036B" w:rsidR="00F5271B" w:rsidP="005D5D77" w:rsidRDefault="00F5271B" w14:paraId="5DD2672C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88" w:type="dxa"/>
          </w:tcPr>
          <w:p w:rsidRPr="009A036B" w:rsidR="00F5271B" w:rsidP="005D5D77" w:rsidRDefault="00F5271B" w14:paraId="6BCCFB6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5C3A7D" w:rsidR="00F5271B" w:rsidTr="005C13FA" w14:paraId="3A32F69C" w14:textId="77777777">
        <w:trPr>
          <w:trHeight w:val="274"/>
        </w:trPr>
        <w:tc>
          <w:tcPr>
            <w:tcW w:w="2908" w:type="dxa"/>
          </w:tcPr>
          <w:p w:rsidRPr="005C3A7D" w:rsidR="00F5271B" w:rsidP="005D5D77" w:rsidRDefault="00F5271B" w14:paraId="595B7915" w14:textId="77777777">
            <w:r w:rsidRPr="005C3A7D">
              <w:t>Individuals or Households</w:t>
            </w:r>
          </w:p>
        </w:tc>
        <w:tc>
          <w:tcPr>
            <w:tcW w:w="2345" w:type="dxa"/>
          </w:tcPr>
          <w:p w:rsidRPr="005C3A7D" w:rsidR="00F5271B" w:rsidP="005D5D77" w:rsidRDefault="00F5271B" w14:paraId="2540F631" w14:textId="77777777">
            <w:r w:rsidRPr="005C3A7D">
              <w:t xml:space="preserve">  </w:t>
            </w:r>
            <w:r w:rsidR="005C13FA">
              <w:t xml:space="preserve">     </w:t>
            </w:r>
            <w:r w:rsidRPr="005C3A7D">
              <w:t>23</w:t>
            </w:r>
            <w:r w:rsidRPr="005C3A7D" w:rsidR="001B6C92">
              <w:t>7</w:t>
            </w:r>
          </w:p>
        </w:tc>
        <w:tc>
          <w:tcPr>
            <w:tcW w:w="2626" w:type="dxa"/>
          </w:tcPr>
          <w:p w:rsidRPr="005C3A7D" w:rsidR="00F5271B" w:rsidP="005D5D77" w:rsidRDefault="00F5271B" w14:paraId="48318E4A" w14:textId="77777777">
            <w:r w:rsidRPr="005C3A7D">
              <w:t xml:space="preserve">   $</w:t>
            </w:r>
            <w:r w:rsidRPr="005C3A7D" w:rsidR="000924DD">
              <w:t>25</w:t>
            </w:r>
            <w:r w:rsidRPr="005C3A7D">
              <w:t>.</w:t>
            </w:r>
            <w:r w:rsidRPr="005C3A7D" w:rsidR="000924DD">
              <w:t>72</w:t>
            </w:r>
          </w:p>
        </w:tc>
        <w:tc>
          <w:tcPr>
            <w:tcW w:w="1688" w:type="dxa"/>
          </w:tcPr>
          <w:p w:rsidRPr="005C3A7D" w:rsidR="00F5271B" w:rsidP="00662230" w:rsidRDefault="00F5271B" w14:paraId="302C9A94" w14:textId="77777777">
            <w:pPr>
              <w:jc w:val="center"/>
            </w:pPr>
            <w:r w:rsidRPr="005C3A7D">
              <w:t>$</w:t>
            </w:r>
            <w:r w:rsidRPr="005C3A7D" w:rsidR="000924DD">
              <w:t>6095.64</w:t>
            </w:r>
          </w:p>
        </w:tc>
      </w:tr>
      <w:tr w:rsidRPr="005C3A7D" w:rsidR="00F5271B" w:rsidTr="005C13FA" w14:paraId="603A693E" w14:textId="77777777">
        <w:trPr>
          <w:trHeight w:val="288"/>
        </w:trPr>
        <w:tc>
          <w:tcPr>
            <w:tcW w:w="2908" w:type="dxa"/>
          </w:tcPr>
          <w:p w:rsidRPr="005C3A7D" w:rsidR="00F5271B" w:rsidP="005D5D77" w:rsidRDefault="00F5271B" w14:paraId="502B8627" w14:textId="77777777"/>
        </w:tc>
        <w:tc>
          <w:tcPr>
            <w:tcW w:w="2345" w:type="dxa"/>
          </w:tcPr>
          <w:p w:rsidRPr="005C3A7D" w:rsidR="00F5271B" w:rsidP="005D5D77" w:rsidRDefault="00F5271B" w14:paraId="30C66AF3" w14:textId="77777777">
            <w:r w:rsidRPr="005C3A7D">
              <w:t xml:space="preserve">   </w:t>
            </w:r>
          </w:p>
        </w:tc>
        <w:tc>
          <w:tcPr>
            <w:tcW w:w="2626" w:type="dxa"/>
          </w:tcPr>
          <w:p w:rsidRPr="005C3A7D" w:rsidR="00F5271B" w:rsidP="005D5D77" w:rsidRDefault="00F5271B" w14:paraId="4701AB84" w14:textId="77777777"/>
        </w:tc>
        <w:tc>
          <w:tcPr>
            <w:tcW w:w="1688" w:type="dxa"/>
          </w:tcPr>
          <w:p w:rsidRPr="005C3A7D" w:rsidR="00F5271B" w:rsidP="005D5D77" w:rsidRDefault="00F5271B" w14:paraId="261DCC7C" w14:textId="77777777">
            <w:pPr>
              <w:jc w:val="right"/>
            </w:pPr>
          </w:p>
        </w:tc>
      </w:tr>
      <w:tr w:rsidRPr="005C3A7D" w:rsidR="00F5271B" w:rsidTr="005C13FA" w14:paraId="7F7BE429" w14:textId="77777777">
        <w:trPr>
          <w:trHeight w:val="305"/>
        </w:trPr>
        <w:tc>
          <w:tcPr>
            <w:tcW w:w="2908" w:type="dxa"/>
          </w:tcPr>
          <w:p w:rsidRPr="005C3A7D" w:rsidR="00F5271B" w:rsidP="005D5D77" w:rsidRDefault="00F5271B" w14:paraId="3BE45234" w14:textId="77777777">
            <w:pPr>
              <w:rPr>
                <w:b/>
              </w:rPr>
            </w:pPr>
            <w:r w:rsidRPr="005C3A7D">
              <w:rPr>
                <w:b/>
              </w:rPr>
              <w:t>Totals</w:t>
            </w:r>
          </w:p>
        </w:tc>
        <w:tc>
          <w:tcPr>
            <w:tcW w:w="2345" w:type="dxa"/>
          </w:tcPr>
          <w:p w:rsidRPr="005C3A7D" w:rsidR="00F5271B" w:rsidP="005D5D77" w:rsidRDefault="005C13FA" w14:paraId="41327732" w14:textId="777777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C3A7D" w:rsidR="00F5271B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5C3A7D" w:rsidR="00F5271B">
              <w:t>23</w:t>
            </w:r>
            <w:r w:rsidRPr="005C3A7D" w:rsidR="001B6C92">
              <w:t>7</w:t>
            </w:r>
          </w:p>
        </w:tc>
        <w:tc>
          <w:tcPr>
            <w:tcW w:w="2626" w:type="dxa"/>
          </w:tcPr>
          <w:p w:rsidRPr="005C3A7D" w:rsidR="00F5271B" w:rsidP="005D5D77" w:rsidRDefault="00F8466A" w14:paraId="48139EFE" w14:textId="77777777">
            <w:r w:rsidRPr="005C3A7D">
              <w:t xml:space="preserve">   </w:t>
            </w:r>
          </w:p>
        </w:tc>
        <w:tc>
          <w:tcPr>
            <w:tcW w:w="1688" w:type="dxa"/>
          </w:tcPr>
          <w:p w:rsidRPr="005C3A7D" w:rsidR="00F5271B" w:rsidP="005D5D77" w:rsidRDefault="00F5271B" w14:paraId="33C74A58" w14:textId="77777777">
            <w:pPr>
              <w:rPr>
                <w:color w:val="FF0000"/>
              </w:rPr>
            </w:pPr>
            <w:r w:rsidRPr="005C3A7D">
              <w:t xml:space="preserve"> </w:t>
            </w:r>
            <w:r w:rsidRPr="005C3A7D" w:rsidR="00F8466A">
              <w:t xml:space="preserve">    </w:t>
            </w:r>
            <w:r w:rsidRPr="005C3A7D">
              <w:t>$</w:t>
            </w:r>
            <w:r w:rsidRPr="005C3A7D" w:rsidR="000924DD">
              <w:t>6095.64</w:t>
            </w:r>
          </w:p>
        </w:tc>
      </w:tr>
    </w:tbl>
    <w:p w:rsidRPr="005C3A7D" w:rsidR="00C13E98" w:rsidRDefault="00C13E98" w14:paraId="4EED0310" w14:textId="77777777">
      <w:pPr>
        <w:rPr>
          <w:sz w:val="20"/>
          <w:szCs w:val="20"/>
        </w:rPr>
      </w:pPr>
    </w:p>
    <w:p w:rsidRPr="00C13E98" w:rsidR="00C86E91" w:rsidRDefault="001B6C92" w14:paraId="759B548D" w14:textId="77777777">
      <w:pPr>
        <w:rPr>
          <w:sz w:val="20"/>
          <w:szCs w:val="20"/>
        </w:rPr>
      </w:pPr>
      <w:r w:rsidRPr="005C3A7D">
        <w:rPr>
          <w:sz w:val="20"/>
          <w:szCs w:val="20"/>
        </w:rPr>
        <w:t xml:space="preserve">*The General Public wage rate was obtained from </w:t>
      </w:r>
      <w:hyperlink w:history="1" w:anchor="00-0000" r:id="rId7">
        <w:r w:rsidRPr="005C3A7D" w:rsidR="000924DD">
          <w:rPr>
            <w:rStyle w:val="Hyperlink"/>
            <w:sz w:val="20"/>
            <w:szCs w:val="20"/>
          </w:rPr>
          <w:t>https://www.bls.gov/oes/2019/may/oes_nat.htm#00-0000</w:t>
        </w:r>
      </w:hyperlink>
    </w:p>
    <w:p w:rsidR="00F3170F" w:rsidP="00F3170F" w:rsidRDefault="00F3170F" w14:paraId="630799F6" w14:textId="77777777"/>
    <w:p w:rsidR="00ED6492" w:rsidRDefault="001C39F7" w14:paraId="35AA4C35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065DE6" w:rsidR="00C13E98">
        <w:t>:  $</w:t>
      </w:r>
      <w:r w:rsidRPr="00065DE6" w:rsidR="00065DE6">
        <w:rPr>
          <w:u w:val="single"/>
        </w:rPr>
        <w:t>1060.85</w:t>
      </w:r>
    </w:p>
    <w:p w:rsidR="00C13E98" w:rsidRDefault="00C13E98" w14:paraId="613A5EED" w14:textId="77777777">
      <w:pPr>
        <w:rPr>
          <w:b/>
          <w:bCs/>
          <w:u w:val="single"/>
        </w:rPr>
      </w:pPr>
    </w:p>
    <w:tbl>
      <w:tblPr>
        <w:tblW w:w="95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F5271B" w:rsidTr="001B6C92" w14:paraId="3A8C028E" w14:textId="77777777">
        <w:trPr>
          <w:trHeight w:val="900"/>
          <w:jc w:val="center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175883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F5271B" w:rsidP="005D5D77" w:rsidRDefault="00F5271B" w14:paraId="39B920A3" w14:textId="77777777">
            <w:pPr>
              <w:rPr>
                <w:b/>
                <w:bCs/>
              </w:rPr>
            </w:pPr>
          </w:p>
          <w:p w:rsidRPr="009A036B" w:rsidR="00F5271B" w:rsidP="005D5D77" w:rsidRDefault="00F5271B" w14:paraId="0E25D8F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5D016E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B6C92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1AE889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F5271B" w:rsidP="005D5D77" w:rsidRDefault="00F5271B" w14:paraId="65ECC8C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F5271B" w:rsidP="005D5D77" w:rsidRDefault="00F5271B" w14:paraId="47DE69C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F5271B" w:rsidTr="00D12170" w14:paraId="1BC259FC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284ADB9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5AD6760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707A22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18804D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</w:tcPr>
          <w:p w:rsidRPr="009A036B" w:rsidR="00F5271B" w:rsidP="005D5D77" w:rsidRDefault="00F5271B" w14:paraId="0D1BFC9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05B56A79" w14:textId="77777777"/>
        </w:tc>
      </w:tr>
      <w:tr w:rsidRPr="00065DE6" w:rsidR="00F5271B" w:rsidTr="00D12170" w14:paraId="107191E7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0A02CA9A" w14:textId="77777777">
            <w:r>
              <w:t>Customer Outreach Service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065DE6" w:rsidR="00F5271B" w:rsidP="005D5D77" w:rsidRDefault="00C13E98" w14:paraId="2823364F" w14:textId="77777777">
            <w:r w:rsidRPr="00065DE6">
              <w:t xml:space="preserve">    </w:t>
            </w:r>
            <w:r w:rsidRPr="00065DE6" w:rsidR="00F5271B">
              <w:t>GS</w:t>
            </w:r>
            <w:r w:rsidR="00C8150A">
              <w:t xml:space="preserve"> </w:t>
            </w:r>
            <w:r w:rsidRPr="00065DE6" w:rsidR="00F5271B">
              <w:t>13-2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5DE6" w:rsidR="00F5271B" w:rsidP="005D5D77" w:rsidRDefault="00F5271B" w14:paraId="69E74FA9" w14:textId="77777777">
            <w:r w:rsidRPr="00065DE6">
              <w:t>$</w:t>
            </w:r>
            <w:r w:rsidRPr="00065DE6" w:rsidR="00CA7E4C">
              <w:t>10</w:t>
            </w:r>
            <w:r w:rsidRPr="00065DE6" w:rsidR="00C51687">
              <w:t>6</w:t>
            </w:r>
            <w:r w:rsidRPr="00065DE6" w:rsidR="00CA7E4C">
              <w:t>,</w:t>
            </w:r>
            <w:r w:rsidRPr="00065DE6" w:rsidR="00C51687">
              <w:t>085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5DE6" w:rsidR="00F5271B" w:rsidP="005D5D77" w:rsidRDefault="00C13E98" w14:paraId="69E7F3DD" w14:textId="77777777">
            <w:r w:rsidRPr="00065DE6">
              <w:t xml:space="preserve">    </w:t>
            </w:r>
            <w:r w:rsidRPr="00065DE6" w:rsidR="00F5271B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vAlign w:val="bottom"/>
          </w:tcPr>
          <w:p w:rsidRPr="00065DE6" w:rsidR="00F5271B" w:rsidP="005D5D77" w:rsidRDefault="00F5271B" w14:paraId="02834D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065DE6" w:rsidR="00F5271B" w:rsidP="005D5D77" w:rsidRDefault="00F5271B" w14:paraId="02444757" w14:textId="77777777">
            <w:r w:rsidRPr="00065DE6">
              <w:t xml:space="preserve">    $10</w:t>
            </w:r>
            <w:r w:rsidRPr="00065DE6" w:rsidR="00C51687">
              <w:t>60</w:t>
            </w:r>
            <w:r w:rsidRPr="00065DE6">
              <w:t>.</w:t>
            </w:r>
            <w:r w:rsidRPr="00065DE6" w:rsidR="00C51687">
              <w:t>85</w:t>
            </w:r>
          </w:p>
        </w:tc>
      </w:tr>
      <w:tr w:rsidRPr="009A036B" w:rsidR="00F5271B" w:rsidTr="00D12170" w14:paraId="22619FBF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B6C92" w:rsidR="00F5271B" w:rsidP="005D5D77" w:rsidRDefault="000B69C1" w14:paraId="6FF7055B" w14:textId="77777777">
            <w:pPr>
              <w:rPr>
                <w:b/>
              </w:rPr>
            </w:pPr>
            <w:r w:rsidRPr="001B6C92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</w:tcPr>
          <w:p w:rsidRPr="009A036B" w:rsidR="00F5271B" w:rsidP="005D5D77" w:rsidRDefault="00F5271B" w14:paraId="7295605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679E1A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376BE7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</w:tcPr>
          <w:p w:rsidRPr="009A036B" w:rsidR="00F5271B" w:rsidP="005D5D77" w:rsidRDefault="00F5271B" w14:paraId="41ABB03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1B6C92" w:rsidR="00F5271B" w:rsidP="005D5D77" w:rsidRDefault="001B6C92" w14:paraId="72939254" w14:textId="77777777">
            <w:r>
              <w:t xml:space="preserve">       </w:t>
            </w:r>
            <w:r w:rsidRPr="001B6C92" w:rsidR="000B69C1">
              <w:t>N/A</w:t>
            </w:r>
          </w:p>
        </w:tc>
      </w:tr>
      <w:tr w:rsidRPr="009A036B" w:rsidR="00F5271B" w:rsidTr="001B6C92" w14:paraId="46E8DCCF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163A265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4FDDF48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10F9E05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5D203D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F5271B" w:rsidP="005D5D77" w:rsidRDefault="00F5271B" w14:paraId="38E528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F5271B" w:rsidP="005D5D77" w:rsidRDefault="00F5271B" w14:paraId="4A47FE05" w14:textId="77777777"/>
        </w:tc>
      </w:tr>
      <w:tr w:rsidRPr="009A036B" w:rsidR="001B6C92" w:rsidTr="001B6C92" w14:paraId="265C8A7B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B6C92" w:rsidP="001B6C92" w:rsidRDefault="001B6C92" w14:paraId="6E6BC69D" w14:textId="77777777">
            <w:pPr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B6C92" w:rsidP="001B6C92" w:rsidRDefault="001B6C92" w14:paraId="37AF77F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B6C92" w:rsidP="001B6C92" w:rsidRDefault="001B6C92" w14:paraId="6198F2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B6C92" w:rsidP="001B6C92" w:rsidRDefault="001B6C92" w14:paraId="439266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B6C92" w:rsidP="001B6C92" w:rsidRDefault="001B6C92" w14:paraId="627ADE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1B6C92" w:rsidP="001B6C92" w:rsidRDefault="001B6C92" w14:paraId="1EC929FD" w14:textId="77777777">
            <w:r>
              <w:t xml:space="preserve">       N/A</w:t>
            </w:r>
          </w:p>
        </w:tc>
      </w:tr>
      <w:tr w:rsidRPr="009A036B" w:rsidR="00F5271B" w:rsidTr="00D12170" w14:paraId="42E06039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473953AB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</w:tcPr>
          <w:p w:rsidRPr="009A036B" w:rsidR="00F5271B" w:rsidP="005D5D77" w:rsidRDefault="00F5271B" w14:paraId="7D4BAF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5BA3F5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3C0B72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/>
          </w:tcPr>
          <w:p w:rsidRPr="009A036B" w:rsidR="00F5271B" w:rsidP="005D5D77" w:rsidRDefault="00F5271B" w14:paraId="1E2F98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F5271B" w:rsidP="005D5D77" w:rsidRDefault="00F5271B" w14:paraId="22FC4499" w14:textId="77777777">
            <w:r>
              <w:t xml:space="preserve">      </w:t>
            </w:r>
            <w:r w:rsidR="00AF5F0A">
              <w:t xml:space="preserve"> </w:t>
            </w:r>
            <w:r>
              <w:t>N/A</w:t>
            </w:r>
          </w:p>
        </w:tc>
      </w:tr>
      <w:tr w:rsidRPr="009A036B" w:rsidR="00F5271B" w:rsidTr="001B6C92" w14:paraId="2F366E2E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34D83ED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 w14:paraId="66F00A5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21CA4B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5271B" w:rsidP="005D5D77" w:rsidRDefault="00F5271B" w14:paraId="68B022E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5271B" w:rsidP="005D5D77" w:rsidRDefault="00F5271B" w14:paraId="4838A8F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40B65DBA" w14:textId="77777777">
            <w:pPr>
              <w:rPr>
                <w:b/>
              </w:rPr>
            </w:pPr>
          </w:p>
        </w:tc>
      </w:tr>
      <w:tr w:rsidRPr="00AF5F0A" w:rsidR="00F5271B" w:rsidTr="001B6C92" w14:paraId="669EE5C7" w14:textId="77777777">
        <w:trPr>
          <w:trHeight w:val="300"/>
          <w:jc w:val="center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562DAABC" w14:textId="77777777">
            <w:bookmarkStart w:name="_Hlk37393933" w:id="1"/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30FBC7D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462E38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5271B" w:rsidP="005D5D77" w:rsidRDefault="00F5271B" w14:paraId="7649DF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5271B" w:rsidP="005D5D77" w:rsidRDefault="00F5271B" w14:paraId="0B1B3B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F5F0A" w:rsidR="00F5271B" w:rsidP="005D5D77" w:rsidRDefault="00F5271B" w14:paraId="2EC56ACC" w14:textId="77777777">
            <w:pPr>
              <w:rPr>
                <w:b/>
                <w:bCs/>
              </w:rPr>
            </w:pPr>
            <w:r w:rsidRPr="00AF5F0A">
              <w:rPr>
                <w:b/>
                <w:bCs/>
              </w:rPr>
              <w:t xml:space="preserve"> </w:t>
            </w:r>
            <w:r w:rsidRPr="00AF5F0A" w:rsidR="00065DE6">
              <w:rPr>
                <w:b/>
                <w:bCs/>
              </w:rPr>
              <w:t xml:space="preserve">  </w:t>
            </w:r>
            <w:r w:rsidRPr="00AF5F0A">
              <w:rPr>
                <w:b/>
                <w:bCs/>
              </w:rPr>
              <w:t xml:space="preserve"> </w:t>
            </w:r>
            <w:r w:rsidRPr="00AF5F0A" w:rsidR="00065DE6">
              <w:rPr>
                <w:b/>
                <w:bCs/>
              </w:rPr>
              <w:t>$</w:t>
            </w:r>
            <w:r w:rsidRPr="00AF5F0A" w:rsidR="001B6C92">
              <w:rPr>
                <w:b/>
                <w:bCs/>
              </w:rPr>
              <w:t>10</w:t>
            </w:r>
            <w:r w:rsidRPr="00AF5F0A" w:rsidR="00C51687">
              <w:rPr>
                <w:b/>
                <w:bCs/>
              </w:rPr>
              <w:t>60</w:t>
            </w:r>
            <w:r w:rsidRPr="00AF5F0A" w:rsidR="001B6C92">
              <w:rPr>
                <w:b/>
                <w:bCs/>
              </w:rPr>
              <w:t>.</w:t>
            </w:r>
            <w:r w:rsidRPr="00AF5F0A" w:rsidR="00C51687">
              <w:rPr>
                <w:b/>
                <w:bCs/>
              </w:rPr>
              <w:t>85</w:t>
            </w:r>
          </w:p>
        </w:tc>
      </w:tr>
      <w:bookmarkEnd w:id="1"/>
    </w:tbl>
    <w:p w:rsidR="00F5271B" w:rsidP="00F5271B" w:rsidRDefault="00F5271B" w14:paraId="78E2030B" w14:textId="77777777">
      <w:pPr>
        <w:rPr>
          <w:rFonts w:eastAsia="Calibri"/>
          <w:bCs/>
          <w:color w:val="000000"/>
          <w:sz w:val="22"/>
          <w:szCs w:val="22"/>
          <w:highlight w:val="yellow"/>
        </w:rPr>
      </w:pPr>
    </w:p>
    <w:p w:rsidRPr="001B6C92" w:rsidR="001B6C92" w:rsidP="001B6C92" w:rsidRDefault="001B6C92" w14:paraId="119BB196" w14:textId="77777777">
      <w:pPr>
        <w:rPr>
          <w:rFonts w:eastAsia="Calibri"/>
          <w:bCs/>
          <w:color w:val="000000"/>
          <w:sz w:val="20"/>
          <w:szCs w:val="20"/>
        </w:rPr>
      </w:pPr>
      <w:r w:rsidRPr="001B6C92">
        <w:rPr>
          <w:rFonts w:eastAsia="Calibri"/>
          <w:bCs/>
          <w:color w:val="000000"/>
          <w:sz w:val="20"/>
          <w:szCs w:val="20"/>
        </w:rPr>
        <w:t xml:space="preserve">**The Salary in table above is cited from </w:t>
      </w:r>
      <w:hyperlink w:history="1" r:id="rId8">
        <w:r w:rsidR="00C51687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https://www.opm.gov/policy-data-oversight/pay-leave/salaries-wages/salary-tables/20Tables/html/DCB.aspx</w:t>
        </w:r>
      </w:hyperlink>
    </w:p>
    <w:p w:rsidR="00F5271B" w:rsidP="00F5271B" w:rsidRDefault="00F5271B" w14:paraId="1CF8933F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A75B80" w:rsidR="00C13E98" w:rsidP="00F5271B" w:rsidRDefault="00C13E98" w14:paraId="0735A3DE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9403B" w:rsidP="00F06866" w:rsidRDefault="00ED6492" w14:paraId="2FDC362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E16E424" w14:textId="77777777">
      <w:pPr>
        <w:rPr>
          <w:b/>
        </w:rPr>
      </w:pPr>
    </w:p>
    <w:p w:rsidR="00F06866" w:rsidP="00F06866" w:rsidRDefault="00636621" w14:paraId="3F3B0EB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7B09A49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727E3F">
        <w:t>[</w:t>
      </w:r>
      <w:r w:rsidRPr="00727E3F" w:rsidR="00F5271B">
        <w:t>X</w:t>
      </w:r>
      <w:r w:rsidRPr="00727E3F">
        <w:t>] No</w:t>
      </w:r>
    </w:p>
    <w:p w:rsidR="00636621" w:rsidP="00636621" w:rsidRDefault="00636621" w14:paraId="2D1BBC83" w14:textId="77777777">
      <w:pPr>
        <w:pStyle w:val="ListParagraph"/>
      </w:pPr>
    </w:p>
    <w:p w:rsidR="00A403BB" w:rsidP="00727E3F" w:rsidRDefault="00636621" w14:paraId="1C1BA6D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B2B59" w:rsidP="00727E3F" w:rsidRDefault="001B2B59" w14:paraId="6BDC30E3" w14:textId="77777777"/>
    <w:p w:rsidR="004D6E14" w:rsidP="00A403BB" w:rsidRDefault="00A40262" w14:paraId="794C69CD" w14:textId="77777777">
      <w:r w:rsidRPr="00A40262">
        <w:t xml:space="preserve">The survey will be </w:t>
      </w:r>
      <w:r w:rsidR="00727E3F">
        <w:t xml:space="preserve">publicly </w:t>
      </w:r>
      <w:r w:rsidRPr="00A40262">
        <w:t xml:space="preserve">accessible through a link on the ClinicalTrials.gov PRS Guided Tutorials webpage. </w:t>
      </w:r>
    </w:p>
    <w:p w:rsidR="001B2B59" w:rsidP="00A403BB" w:rsidRDefault="001B2B59" w14:paraId="0383C8B3" w14:textId="77777777">
      <w:pPr>
        <w:rPr>
          <w:b/>
        </w:rPr>
      </w:pPr>
    </w:p>
    <w:p w:rsidR="00A403BB" w:rsidP="00A403BB" w:rsidRDefault="00A403BB" w14:paraId="71B72BC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B18613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556940" w14:textId="77777777">
      <w:pPr>
        <w:ind w:left="720"/>
      </w:pPr>
      <w:r w:rsidRPr="00727E3F">
        <w:t>[</w:t>
      </w:r>
      <w:r w:rsidRPr="00727E3F" w:rsidR="00F5271B">
        <w:t>X</w:t>
      </w:r>
      <w:r w:rsidRPr="00727E3F">
        <w:t>] Web-based</w:t>
      </w:r>
      <w:r w:rsidRPr="00727E3F" w:rsidR="001B0AAA">
        <w:t xml:space="preserve"> or other forms of Social Media</w:t>
      </w:r>
      <w:r w:rsidR="001B0AAA">
        <w:t xml:space="preserve"> </w:t>
      </w:r>
    </w:p>
    <w:p w:rsidR="001B0AAA" w:rsidP="001B0AAA" w:rsidRDefault="00A403BB" w14:paraId="14B3649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125B78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EFDF63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FDB0C0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169019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727E3F">
        <w:t>[</w:t>
      </w:r>
      <w:r w:rsidRPr="00727E3F" w:rsidR="00F5271B">
        <w:t>X</w:t>
      </w:r>
      <w:r w:rsidRPr="00727E3F">
        <w:t>] No</w:t>
      </w:r>
    </w:p>
    <w:p w:rsidR="00F24CFC" w:rsidP="00F24CFC" w:rsidRDefault="00F24CFC" w14:paraId="546E0B24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6B6D" w14:textId="77777777" w:rsidR="007708B3" w:rsidRDefault="007708B3">
      <w:r>
        <w:separator/>
      </w:r>
    </w:p>
  </w:endnote>
  <w:endnote w:type="continuationSeparator" w:id="0">
    <w:p w14:paraId="54FDB06A" w14:textId="77777777" w:rsidR="007708B3" w:rsidRDefault="0077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EB95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FE456" w14:textId="77777777" w:rsidR="007708B3" w:rsidRDefault="007708B3">
      <w:r>
        <w:separator/>
      </w:r>
    </w:p>
  </w:footnote>
  <w:footnote w:type="continuationSeparator" w:id="0">
    <w:p w14:paraId="6BFB6E71" w14:textId="77777777" w:rsidR="007708B3" w:rsidRDefault="0077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8E1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031E"/>
    <w:rsid w:val="00045B7A"/>
    <w:rsid w:val="00047A64"/>
    <w:rsid w:val="00065DE6"/>
    <w:rsid w:val="00067329"/>
    <w:rsid w:val="000924DD"/>
    <w:rsid w:val="000A62A6"/>
    <w:rsid w:val="000B102A"/>
    <w:rsid w:val="000B2838"/>
    <w:rsid w:val="000B69C1"/>
    <w:rsid w:val="000D430E"/>
    <w:rsid w:val="000D44CA"/>
    <w:rsid w:val="000E200B"/>
    <w:rsid w:val="000F68BE"/>
    <w:rsid w:val="00101CF4"/>
    <w:rsid w:val="001927A4"/>
    <w:rsid w:val="00194AC6"/>
    <w:rsid w:val="001A23B0"/>
    <w:rsid w:val="001A25CC"/>
    <w:rsid w:val="001B0AAA"/>
    <w:rsid w:val="001B2B59"/>
    <w:rsid w:val="001B6C92"/>
    <w:rsid w:val="001C39F7"/>
    <w:rsid w:val="00237B48"/>
    <w:rsid w:val="0024521E"/>
    <w:rsid w:val="00263C3D"/>
    <w:rsid w:val="00274D0B"/>
    <w:rsid w:val="002A2942"/>
    <w:rsid w:val="002B052D"/>
    <w:rsid w:val="002B34CD"/>
    <w:rsid w:val="002B3C95"/>
    <w:rsid w:val="002D0B92"/>
    <w:rsid w:val="002D74EF"/>
    <w:rsid w:val="003D5BBE"/>
    <w:rsid w:val="003E2F5C"/>
    <w:rsid w:val="003E3298"/>
    <w:rsid w:val="003E3C61"/>
    <w:rsid w:val="003F1C5B"/>
    <w:rsid w:val="0041242E"/>
    <w:rsid w:val="00434E33"/>
    <w:rsid w:val="00441434"/>
    <w:rsid w:val="0045264C"/>
    <w:rsid w:val="004876EC"/>
    <w:rsid w:val="004D2CFD"/>
    <w:rsid w:val="004D2D33"/>
    <w:rsid w:val="004D6E14"/>
    <w:rsid w:val="005009B0"/>
    <w:rsid w:val="00525994"/>
    <w:rsid w:val="005A1006"/>
    <w:rsid w:val="005C13FA"/>
    <w:rsid w:val="005C3A7D"/>
    <w:rsid w:val="005D5D77"/>
    <w:rsid w:val="005E714A"/>
    <w:rsid w:val="005F693D"/>
    <w:rsid w:val="0061154D"/>
    <w:rsid w:val="006140A0"/>
    <w:rsid w:val="00636621"/>
    <w:rsid w:val="00642B49"/>
    <w:rsid w:val="00662230"/>
    <w:rsid w:val="006832D9"/>
    <w:rsid w:val="0069403B"/>
    <w:rsid w:val="006C435B"/>
    <w:rsid w:val="006F3DDE"/>
    <w:rsid w:val="00704678"/>
    <w:rsid w:val="007256D2"/>
    <w:rsid w:val="00727E3F"/>
    <w:rsid w:val="007425E7"/>
    <w:rsid w:val="007620EE"/>
    <w:rsid w:val="007708B3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3D3"/>
    <w:rsid w:val="009239AA"/>
    <w:rsid w:val="00935ADA"/>
    <w:rsid w:val="00946B6C"/>
    <w:rsid w:val="00955A71"/>
    <w:rsid w:val="0096108F"/>
    <w:rsid w:val="0098404E"/>
    <w:rsid w:val="009C13B9"/>
    <w:rsid w:val="009D01A2"/>
    <w:rsid w:val="009E363E"/>
    <w:rsid w:val="009F5923"/>
    <w:rsid w:val="00A40262"/>
    <w:rsid w:val="00A403BB"/>
    <w:rsid w:val="00A64D9A"/>
    <w:rsid w:val="00A674DF"/>
    <w:rsid w:val="00A83AA6"/>
    <w:rsid w:val="00A934D6"/>
    <w:rsid w:val="00AB759F"/>
    <w:rsid w:val="00AE1809"/>
    <w:rsid w:val="00AF5F0A"/>
    <w:rsid w:val="00B132CE"/>
    <w:rsid w:val="00B80D76"/>
    <w:rsid w:val="00B824F4"/>
    <w:rsid w:val="00BA2105"/>
    <w:rsid w:val="00BA7E06"/>
    <w:rsid w:val="00BB43B5"/>
    <w:rsid w:val="00BB6219"/>
    <w:rsid w:val="00BD290F"/>
    <w:rsid w:val="00BD78CA"/>
    <w:rsid w:val="00C13E98"/>
    <w:rsid w:val="00C14CC4"/>
    <w:rsid w:val="00C33C52"/>
    <w:rsid w:val="00C40D8B"/>
    <w:rsid w:val="00C51687"/>
    <w:rsid w:val="00C8150A"/>
    <w:rsid w:val="00C8407A"/>
    <w:rsid w:val="00C8488C"/>
    <w:rsid w:val="00C86E91"/>
    <w:rsid w:val="00CA2650"/>
    <w:rsid w:val="00CA7E4C"/>
    <w:rsid w:val="00CB1078"/>
    <w:rsid w:val="00CC6FAF"/>
    <w:rsid w:val="00CE4B10"/>
    <w:rsid w:val="00CF6542"/>
    <w:rsid w:val="00D12170"/>
    <w:rsid w:val="00D24698"/>
    <w:rsid w:val="00D6383F"/>
    <w:rsid w:val="00D719FF"/>
    <w:rsid w:val="00DA3E64"/>
    <w:rsid w:val="00DB59D0"/>
    <w:rsid w:val="00DB79AC"/>
    <w:rsid w:val="00DC33D3"/>
    <w:rsid w:val="00E1237A"/>
    <w:rsid w:val="00E26329"/>
    <w:rsid w:val="00E33B45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6281"/>
    <w:rsid w:val="00F06866"/>
    <w:rsid w:val="00F15956"/>
    <w:rsid w:val="00F24CFC"/>
    <w:rsid w:val="00F3170F"/>
    <w:rsid w:val="00F51AC7"/>
    <w:rsid w:val="00F5271B"/>
    <w:rsid w:val="00F8466A"/>
    <w:rsid w:val="00F976B0"/>
    <w:rsid w:val="00FA6DE7"/>
    <w:rsid w:val="00FC0A8E"/>
    <w:rsid w:val="00FE2FA6"/>
    <w:rsid w:val="00FE3DF2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D969A"/>
  <w15:chartTrackingRefBased/>
  <w15:docId w15:val="{991A3A86-BD55-4DFF-9575-19C3A1DF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B6C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B6C92"/>
    <w:rPr>
      <w:color w:val="605E5C"/>
      <w:shd w:val="clear" w:color="auto" w:fill="E1DFDD"/>
    </w:rPr>
  </w:style>
  <w:style w:type="character" w:styleId="FollowedHyperlink">
    <w:name w:val="FollowedHyperlink"/>
    <w:rsid w:val="005C3A7D"/>
    <w:rPr>
      <w:color w:val="954F72"/>
      <w:u w:val="single"/>
    </w:rPr>
  </w:style>
  <w:style w:type="character" w:customStyle="1" w:styleId="Heading2Char">
    <w:name w:val="Heading 2 Char"/>
    <w:link w:val="Heading2"/>
    <w:rsid w:val="00E1237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2019/may/oes_na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4702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Abdelmouti, Tawanda (NIH/OD) [E]</cp:lastModifiedBy>
  <cp:revision>2</cp:revision>
  <cp:lastPrinted>2010-10-04T15:59:00Z</cp:lastPrinted>
  <dcterms:created xsi:type="dcterms:W3CDTF">2020-04-13T18:50:00Z</dcterms:created>
  <dcterms:modified xsi:type="dcterms:W3CDTF">2020-04-13T18:50:00Z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