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E714A" w:rsidP="00F06866" w:rsidRDefault="00F06866" w14:paraId="268AF5B7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</w:t>
      </w:r>
      <w:r w:rsidR="00686301">
        <w:t>OMB#</w:t>
      </w:r>
      <w:r w:rsidRPr="00686301">
        <w:t xml:space="preserve">: </w:t>
      </w:r>
      <w:r w:rsidRPr="00650B38" w:rsidR="00650B38">
        <w:t xml:space="preserve">0925-0648 </w:t>
      </w:r>
      <w:r w:rsidR="00650B38">
        <w:t>Exp. Date: 0</w:t>
      </w:r>
      <w:r w:rsidR="005B1EA2">
        <w:t>5</w:t>
      </w:r>
      <w:r w:rsidR="00650B38">
        <w:t>/31/20</w:t>
      </w:r>
      <w:r w:rsidR="005B1EA2">
        <w:t>21</w:t>
      </w:r>
      <w:r>
        <w:rPr>
          <w:sz w:val="28"/>
        </w:rPr>
        <w:t>)</w:t>
      </w:r>
    </w:p>
    <w:p w:rsidR="00764429" w:rsidP="00724B89" w:rsidRDefault="00284110" w14:paraId="3C012C45" w14:textId="77777777">
      <w:r>
        <w:rPr>
          <w:b/>
          <w:noProof/>
        </w:rPr>
        <w:pict w14:anchorId="110EE34F">
          <v:line id="_x0000_s1027" style="position:absolute;z-index:251657728" o:allowincell="f" strokeweight="1.5pt" from="0,0" to="468pt,0"/>
        </w:pict>
      </w:r>
      <w:r w:rsidR="005E714A">
        <w:t xml:space="preserve"> </w:t>
      </w:r>
      <w:r w:rsidRPr="00434E33" w:rsidR="00764429">
        <w:rPr>
          <w:b/>
        </w:rPr>
        <w:t>TITLE OF INFORMATION COLLECTION:</w:t>
      </w:r>
      <w:r w:rsidR="00764429">
        <w:t xml:space="preserve">  </w:t>
      </w:r>
      <w:r w:rsidR="009C5FAC">
        <w:rPr>
          <w:rFonts w:ascii="TimesNewRomanPSMT" w:cs="TimesNewRomanPSMT"/>
        </w:rPr>
        <w:t>2021</w:t>
      </w:r>
      <w:r w:rsidR="00FB0F57">
        <w:rPr>
          <w:rFonts w:ascii="TimesNewRomanPSMT" w:cs="TimesNewRomanPSMT"/>
        </w:rPr>
        <w:t xml:space="preserve"> </w:t>
      </w:r>
      <w:r w:rsidR="00F31622">
        <w:rPr>
          <w:rFonts w:ascii="TimesNewRomanPSMT" w:cs="TimesNewRomanPSMT"/>
        </w:rPr>
        <w:t>ClinicalTrials.gov</w:t>
      </w:r>
      <w:r w:rsidR="00F22AAB">
        <w:rPr>
          <w:rFonts w:ascii="TimesNewRomanPSMT" w:cs="TimesNewRomanPSMT"/>
        </w:rPr>
        <w:t xml:space="preserve"> </w:t>
      </w:r>
      <w:r w:rsidR="004D4A9A">
        <w:rPr>
          <w:rFonts w:ascii="TimesNewRomanPSMT" w:cs="TimesNewRomanPSMT"/>
        </w:rPr>
        <w:t>Us</w:t>
      </w:r>
      <w:r w:rsidR="009C5FAC">
        <w:rPr>
          <w:rFonts w:ascii="TimesNewRomanPSMT" w:cs="TimesNewRomanPSMT"/>
        </w:rPr>
        <w:t>ability Feedback Study</w:t>
      </w:r>
      <w:r w:rsidR="00FB0F57">
        <w:rPr>
          <w:rFonts w:ascii="TimesNewRomanPSMT" w:cs="TimesNewRomanPSMT"/>
        </w:rPr>
        <w:t xml:space="preserve"> (NLM)</w:t>
      </w:r>
    </w:p>
    <w:p w:rsidR="00764429" w:rsidRDefault="00764429" w14:paraId="140C3527" w14:textId="77777777"/>
    <w:p w:rsidR="00B527AD" w:rsidP="00EA75E1" w:rsidRDefault="00F15956" w14:paraId="335FC3BA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Pr="00B527AD" w:rsidR="00C8488C" w:rsidP="00EA75E1" w:rsidRDefault="00B527AD" w14:paraId="7BE49700" w14:textId="77777777">
      <w:r w:rsidRPr="00B527AD">
        <w:t>The goal of this National Library of Medicine (NLM) survey is to collect qualitative customer service delivery feedback from users of the National Center for Biotechnology Information (NCBI) ClinicalTrials.gov</w:t>
      </w:r>
      <w:r w:rsidR="002267E5">
        <w:t xml:space="preserve"> (CTG)</w:t>
      </w:r>
      <w:r w:rsidRPr="00B527AD">
        <w:t xml:space="preserve"> website.</w:t>
      </w:r>
      <w:r>
        <w:t xml:space="preserve"> T</w:t>
      </w:r>
      <w:r w:rsidR="00147969">
        <w:t>he databank</w:t>
      </w:r>
      <w:r w:rsidR="00075925">
        <w:t xml:space="preserve"> </w:t>
      </w:r>
      <w:r w:rsidR="00B0518E">
        <w:t>website</w:t>
      </w:r>
      <w:r>
        <w:t xml:space="preserve"> </w:t>
      </w:r>
      <w:r w:rsidR="00147969">
        <w:t>is the NIH’s c</w:t>
      </w:r>
      <w:r w:rsidRPr="006329FE" w:rsidR="006329FE">
        <w:t xml:space="preserve">omprehensive, up-to-date database of clinical studies. This </w:t>
      </w:r>
      <w:r w:rsidR="00075925">
        <w:t>invaluable public r</w:t>
      </w:r>
      <w:r w:rsidRPr="006329FE" w:rsidR="006329FE">
        <w:t xml:space="preserve">esource is </w:t>
      </w:r>
      <w:r w:rsidR="00075925">
        <w:t>being modernized</w:t>
      </w:r>
      <w:r w:rsidRPr="006329FE" w:rsidR="006329FE">
        <w:t xml:space="preserve"> to deliver an improved user experience will accommodate growth and enhance efficiency. </w:t>
      </w:r>
      <w:r w:rsidRPr="00B0518E" w:rsidR="00B0518E">
        <w:t>The usability data collection will solicit the public’s level of satisfaction with the ongoing CTG website redesign efforts.</w:t>
      </w:r>
      <w:r w:rsidR="00B0518E">
        <w:t xml:space="preserve"> U</w:t>
      </w:r>
      <w:r w:rsidR="006329FE">
        <w:t xml:space="preserve">sers participating </w:t>
      </w:r>
      <w:r w:rsidR="00B0518E">
        <w:t>in the testing study will be asked to provide</w:t>
      </w:r>
      <w:r w:rsidR="006329FE">
        <w:t xml:space="preserve"> feedback on</w:t>
      </w:r>
      <w:r w:rsidRPr="006329FE" w:rsidR="006329FE">
        <w:rPr>
          <w:rFonts w:ascii="Avenir Book" w:hAnsi="Avenir Book" w:cs="Calibri"/>
        </w:rPr>
        <w:t xml:space="preserve"> </w:t>
      </w:r>
      <w:r w:rsidRPr="006329FE" w:rsidR="006329FE">
        <w:t>features offered</w:t>
      </w:r>
      <w:r w:rsidR="002121FB">
        <w:t xml:space="preserve">, </w:t>
      </w:r>
      <w:r w:rsidRPr="006329FE" w:rsidR="006329FE">
        <w:t xml:space="preserve">what users expect to see, and </w:t>
      </w:r>
      <w:r w:rsidR="00E66F6F">
        <w:t xml:space="preserve">their comments on </w:t>
      </w:r>
      <w:r w:rsidR="0058547E">
        <w:t xml:space="preserve">the </w:t>
      </w:r>
      <w:r w:rsidRPr="006329FE" w:rsidR="006329FE">
        <w:t>web</w:t>
      </w:r>
      <w:r w:rsidR="0058547E">
        <w:t>site</w:t>
      </w:r>
      <w:r w:rsidR="00E66F6F">
        <w:t>.</w:t>
      </w:r>
      <w:r w:rsidR="00EA75E1">
        <w:t xml:space="preserve"> </w:t>
      </w:r>
    </w:p>
    <w:p w:rsidR="00C8488C" w:rsidP="00434E33" w:rsidRDefault="00C8488C" w14:paraId="0B81D270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434E33" w:rsidR="00434E33" w:rsidP="00434E33" w:rsidRDefault="00434E33" w14:paraId="0E72DAD9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Pr="002659FB" w:rsidR="002659FB" w:rsidP="002659FB" w:rsidRDefault="00F31622" w14:paraId="6742673C" w14:textId="77777777">
      <w:r w:rsidRPr="001068E3">
        <w:t>The respondent</w:t>
      </w:r>
      <w:r>
        <w:t>s</w:t>
      </w:r>
      <w:r w:rsidRPr="001068E3">
        <w:t xml:space="preserve"> will be</w:t>
      </w:r>
      <w:r w:rsidRPr="0099568A" w:rsidR="0099568A">
        <w:t xml:space="preserve"> </w:t>
      </w:r>
      <w:r w:rsidR="00967B17">
        <w:t>members of the public</w:t>
      </w:r>
      <w:r w:rsidRPr="001068E3">
        <w:t xml:space="preserve"> who </w:t>
      </w:r>
      <w:r w:rsidR="006C3CD6">
        <w:t>are interested in</w:t>
      </w:r>
      <w:r w:rsidR="009B64FB">
        <w:t xml:space="preserve"> voluntarily testing the useability of </w:t>
      </w:r>
      <w:r w:rsidR="006C3CD6">
        <w:t xml:space="preserve">the </w:t>
      </w:r>
      <w:r w:rsidR="00932926">
        <w:t xml:space="preserve">proposed enhancements to the </w:t>
      </w:r>
      <w:r w:rsidRPr="001068E3">
        <w:t xml:space="preserve">ClinicalTrials.gov </w:t>
      </w:r>
      <w:r w:rsidR="009B64FB">
        <w:t>website</w:t>
      </w:r>
      <w:r w:rsidR="00066195">
        <w:t>.</w:t>
      </w:r>
    </w:p>
    <w:p w:rsidR="00E26329" w:rsidRDefault="00E26329" w14:paraId="797F4FAC" w14:textId="77777777">
      <w:pPr>
        <w:rPr>
          <w:b/>
        </w:rPr>
      </w:pPr>
    </w:p>
    <w:p w:rsidRPr="00F06866" w:rsidR="00F06866" w:rsidRDefault="00F06866" w14:paraId="24206263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F06866" w:rsidR="00F06866" w:rsidP="0096108F" w:rsidRDefault="0096108F" w14:paraId="096B2ED5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</w:r>
      <w:r w:rsidRPr="003B1738">
        <w:rPr>
          <w:bCs/>
          <w:sz w:val="24"/>
        </w:rPr>
        <w:t>[</w:t>
      </w:r>
      <w:r w:rsidR="002659FB">
        <w:rPr>
          <w:b/>
          <w:bCs/>
          <w:sz w:val="24"/>
        </w:rPr>
        <w:t xml:space="preserve"> </w:t>
      </w:r>
      <w:r w:rsidRPr="003B1738">
        <w:rPr>
          <w:bCs/>
          <w:sz w:val="24"/>
        </w:rPr>
        <w:t xml:space="preserve">] </w:t>
      </w:r>
      <w:r w:rsidRPr="003B1738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6FF06410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</w:t>
      </w:r>
      <w:r w:rsidR="006C3CD6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982F98">
        <w:rPr>
          <w:bCs/>
          <w:sz w:val="24"/>
        </w:rPr>
        <w:t>)</w:t>
      </w:r>
      <w:r w:rsidR="00F06866">
        <w:rPr>
          <w:bCs/>
          <w:sz w:val="24"/>
        </w:rPr>
        <w:tab/>
      </w:r>
      <w:proofErr w:type="gramStart"/>
      <w:r w:rsidR="00F06866">
        <w:rPr>
          <w:bCs/>
          <w:sz w:val="24"/>
        </w:rPr>
        <w:t>[ ]</w:t>
      </w:r>
      <w:proofErr w:type="gramEnd"/>
      <w:r w:rsidR="00F06866">
        <w:rPr>
          <w:bCs/>
          <w:sz w:val="24"/>
        </w:rPr>
        <w:t xml:space="preserve"> Small Discussion Group</w:t>
      </w:r>
    </w:p>
    <w:p w:rsidRPr="00F06866" w:rsidR="00F06866" w:rsidP="0096108F" w:rsidRDefault="00935ADA" w14:paraId="743BACF9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>
        <w:rPr>
          <w:bCs/>
          <w:sz w:val="24"/>
        </w:rPr>
        <w:t>[</w:t>
      </w:r>
      <w:r w:rsidR="00B90641">
        <w:rPr>
          <w:bCs/>
          <w:sz w:val="24"/>
        </w:rPr>
        <w:t xml:space="preserve"> </w:t>
      </w:r>
      <w:r w:rsidR="006D5F47">
        <w:rPr>
          <w:bCs/>
          <w:sz w:val="24"/>
        </w:rPr>
        <w:t>]</w:t>
      </w:r>
      <w:proofErr w:type="gramEnd"/>
      <w:r w:rsidR="006D5F47">
        <w:rPr>
          <w:bCs/>
          <w:sz w:val="24"/>
        </w:rPr>
        <w:t xml:space="preserve">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E272A9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724B89">
        <w:rPr>
          <w:bCs/>
          <w:sz w:val="24"/>
          <w:u w:val="single"/>
        </w:rPr>
        <w:t xml:space="preserve"> </w:t>
      </w:r>
    </w:p>
    <w:p w:rsidR="00434E33" w:rsidRDefault="00434E33" w14:paraId="3067D3B4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1A3174FD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7661C428" w14:textId="77777777">
      <w:pPr>
        <w:rPr>
          <w:sz w:val="16"/>
          <w:szCs w:val="16"/>
        </w:rPr>
      </w:pPr>
    </w:p>
    <w:p w:rsidRPr="009C13B9" w:rsidR="008101A5" w:rsidP="008101A5" w:rsidRDefault="008101A5" w14:paraId="1FAF1FDB" w14:textId="77777777">
      <w:r>
        <w:t xml:space="preserve">I certify the following to be true: </w:t>
      </w:r>
    </w:p>
    <w:p w:rsidR="008101A5" w:rsidP="008101A5" w:rsidRDefault="008101A5" w14:paraId="1C65C8A3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07CED1E9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proofErr w:type="gramStart"/>
      <w:r w:rsidRPr="00C14CC4">
        <w:t>low-burden</w:t>
      </w:r>
      <w:proofErr w:type="gramEnd"/>
      <w:r w:rsidRPr="00C14CC4">
        <w:t xml:space="preserve"> for respondents and low-cost for the Federal Government</w:t>
      </w:r>
      <w:r>
        <w:t>.</w:t>
      </w:r>
    </w:p>
    <w:p w:rsidR="008101A5" w:rsidP="008101A5" w:rsidRDefault="008101A5" w14:paraId="24579011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4E3EAD66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558EF7FF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Pr="003B1738" w:rsidR="008101A5" w:rsidP="008101A5" w:rsidRDefault="008101A5" w14:paraId="68CCD896" w14:textId="77777777">
      <w:pPr>
        <w:pStyle w:val="ListParagraph"/>
        <w:numPr>
          <w:ilvl w:val="0"/>
          <w:numId w:val="14"/>
        </w:numPr>
      </w:pPr>
      <w:r w:rsidRPr="003B1738">
        <w:t xml:space="preserve">The collection is targeted to the solicitation of opinions from respondents who have experience with the </w:t>
      </w:r>
      <w:r w:rsidR="002659FB">
        <w:t xml:space="preserve">ClinicalTrials.gov </w:t>
      </w:r>
      <w:r w:rsidRPr="003B1738" w:rsidR="00181DDA">
        <w:t>program</w:t>
      </w:r>
      <w:r w:rsidRPr="003B1738" w:rsidR="005220E4">
        <w:t xml:space="preserve"> </w:t>
      </w:r>
      <w:r w:rsidRPr="003B1738">
        <w:t xml:space="preserve">or may have </w:t>
      </w:r>
      <w:r w:rsidR="002659FB">
        <w:t xml:space="preserve">with our website </w:t>
      </w:r>
      <w:r w:rsidRPr="003B1738">
        <w:t>in the future.</w:t>
      </w:r>
    </w:p>
    <w:p w:rsidR="009C13B9" w:rsidP="009C13B9" w:rsidRDefault="009C13B9" w14:paraId="159DE25D" w14:textId="77777777"/>
    <w:p w:rsidR="009C13B9" w:rsidP="009C13B9" w:rsidRDefault="009C13B9" w14:paraId="6501C487" w14:textId="77777777">
      <w:r>
        <w:t>Name:</w:t>
      </w:r>
      <w:r w:rsidR="00D123B8">
        <w:t xml:space="preserve"> </w:t>
      </w:r>
      <w:r w:rsidRPr="00E6624A" w:rsidR="0099568A">
        <w:rPr>
          <w:u w:val="single"/>
        </w:rPr>
        <w:t>Anna Fin</w:t>
      </w:r>
      <w:r w:rsidRPr="00E6624A" w:rsidR="00181DDA">
        <w:rPr>
          <w:u w:val="single"/>
        </w:rPr>
        <w:t>e, PharmD</w:t>
      </w:r>
    </w:p>
    <w:p w:rsidR="00764429" w:rsidP="009C13B9" w:rsidRDefault="00764429" w14:paraId="0FDD5878" w14:textId="77777777"/>
    <w:p w:rsidR="009C13B9" w:rsidP="009C13B9" w:rsidRDefault="009C13B9" w14:paraId="3997BCE0" w14:textId="77777777">
      <w:r>
        <w:t>To assist review, please provide answers to the following question:</w:t>
      </w:r>
    </w:p>
    <w:p w:rsidR="009C13B9" w:rsidP="009C13B9" w:rsidRDefault="009C13B9" w14:paraId="0D35A995" w14:textId="77777777">
      <w:pPr>
        <w:pStyle w:val="ListParagraph"/>
        <w:ind w:left="360"/>
      </w:pPr>
    </w:p>
    <w:p w:rsidRPr="00C86E91" w:rsidR="009C13B9" w:rsidP="00C86E91" w:rsidRDefault="00C86E91" w14:paraId="5EB76230" w14:textId="77777777">
      <w:pPr>
        <w:rPr>
          <w:b/>
        </w:rPr>
      </w:pPr>
      <w:proofErr w:type="gramStart"/>
      <w:r w:rsidRPr="00D44F04">
        <w:rPr>
          <w:b/>
        </w:rPr>
        <w:t>Personally</w:t>
      </w:r>
      <w:proofErr w:type="gramEnd"/>
      <w:r w:rsidRPr="00D44F04">
        <w:rPr>
          <w:b/>
        </w:rPr>
        <w:t xml:space="preserve"> Identifiable Information</w:t>
      </w:r>
      <w:r w:rsidRPr="00C86E91">
        <w:rPr>
          <w:b/>
        </w:rPr>
        <w:t>:</w:t>
      </w:r>
    </w:p>
    <w:p w:rsidR="00C86E91" w:rsidP="00C86E91" w:rsidRDefault="009C13B9" w14:paraId="3C3EB9F5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proofErr w:type="gramStart"/>
      <w:r w:rsidR="009239AA">
        <w:t>[  ]</w:t>
      </w:r>
      <w:proofErr w:type="gramEnd"/>
      <w:r w:rsidR="009239AA">
        <w:t xml:space="preserve"> Yes  </w:t>
      </w:r>
      <w:r w:rsidRPr="003B1738" w:rsidR="009239AA">
        <w:t>[</w:t>
      </w:r>
      <w:r w:rsidR="00D44F04">
        <w:t>X</w:t>
      </w:r>
      <w:r w:rsidRPr="003B1738" w:rsidR="009239AA">
        <w:t>]  No</w:t>
      </w:r>
      <w:r w:rsidR="009239AA">
        <w:t xml:space="preserve"> </w:t>
      </w:r>
    </w:p>
    <w:p w:rsidR="00C86E91" w:rsidP="00C86E91" w:rsidRDefault="009C13B9" w14:paraId="4D70C2C5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 xml:space="preserve">is the information that will be collected included in records that are subject to the Privacy Act of 1974?   </w:t>
      </w:r>
      <w:proofErr w:type="gramStart"/>
      <w:r w:rsidR="009239AA">
        <w:t>[  ]</w:t>
      </w:r>
      <w:proofErr w:type="gramEnd"/>
      <w:r w:rsidR="009239AA">
        <w:t xml:space="preserve"> Yes [  ] No</w:t>
      </w:r>
      <w:r w:rsidR="00C86E91">
        <w:t xml:space="preserve">   </w:t>
      </w:r>
    </w:p>
    <w:p w:rsidR="00C86E91" w:rsidP="00C86E91" w:rsidRDefault="00C86E91" w14:paraId="79ECE671" w14:textId="77777777">
      <w:pPr>
        <w:pStyle w:val="ListParagraph"/>
        <w:numPr>
          <w:ilvl w:val="0"/>
          <w:numId w:val="18"/>
        </w:numPr>
      </w:pPr>
      <w:r>
        <w:t xml:space="preserve">If Applicable, has a System or Records Notice been published?  </w:t>
      </w:r>
      <w:proofErr w:type="gramStart"/>
      <w:r>
        <w:t>[  ]</w:t>
      </w:r>
      <w:proofErr w:type="gramEnd"/>
      <w:r>
        <w:t xml:space="preserve"> Yes  [  ] No</w:t>
      </w:r>
    </w:p>
    <w:p w:rsidR="00633F74" w:rsidP="00633F74" w:rsidRDefault="00633F74" w14:paraId="105165F4" w14:textId="77777777">
      <w:pPr>
        <w:pStyle w:val="ListParagraph"/>
        <w:ind w:left="360"/>
      </w:pPr>
    </w:p>
    <w:p w:rsidRPr="00C86E91" w:rsidR="00C86E91" w:rsidP="00C86E91" w:rsidRDefault="00CB1078" w14:paraId="1DC10082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 w14:paraId="103D3DEA" w14:textId="77777777">
      <w:r>
        <w:lastRenderedPageBreak/>
        <w:t xml:space="preserve">Is an incentive (e.g., money or reimbursement of expenses, token of appreciation) provided to participants?  </w:t>
      </w:r>
      <w:proofErr w:type="gramStart"/>
      <w:r>
        <w:t>[  ]</w:t>
      </w:r>
      <w:proofErr w:type="gramEnd"/>
      <w:r>
        <w:t xml:space="preserve"> Yes </w:t>
      </w:r>
      <w:r w:rsidRPr="003B1738">
        <w:t>[</w:t>
      </w:r>
      <w:r w:rsidRPr="003B1738" w:rsidR="00F57ECB">
        <w:rPr>
          <w:b/>
        </w:rPr>
        <w:t>X</w:t>
      </w:r>
      <w:r w:rsidRPr="003B1738">
        <w:t>] No</w:t>
      </w:r>
      <w:r>
        <w:t xml:space="preserve">  </w:t>
      </w:r>
    </w:p>
    <w:p w:rsidR="00F24CFC" w:rsidRDefault="00F24CFC" w14:paraId="187D06D0" w14:textId="77777777">
      <w:pPr>
        <w:rPr>
          <w:b/>
        </w:rPr>
      </w:pPr>
    </w:p>
    <w:p w:rsidR="006832D9" w:rsidP="00F3170F" w:rsidRDefault="006832D9" w14:paraId="0F7B1403" w14:textId="77777777">
      <w:pPr>
        <w:keepNext/>
        <w:keepLines/>
        <w:rPr>
          <w:b/>
        </w:rPr>
      </w:pPr>
      <w:bookmarkStart w:name="_Hlk515970773" w:id="0"/>
    </w:p>
    <w:p w:rsidRPr="00851F63" w:rsidR="00851F63" w:rsidP="00851F63" w:rsidRDefault="00851F63" w14:paraId="7FBB5E46" w14:textId="77777777">
      <w:pPr>
        <w:rPr>
          <w:b/>
          <w:i/>
        </w:rPr>
      </w:pPr>
      <w:r w:rsidRPr="00851F63">
        <w:rPr>
          <w:b/>
        </w:rPr>
        <w:t>ESTIMATED BURDEN HOURS and COSTS</w:t>
      </w:r>
    </w:p>
    <w:p w:rsidRPr="00851F63" w:rsidR="00851F63" w:rsidP="00851F63" w:rsidRDefault="00851F63" w14:paraId="521CA38E" w14:textId="77777777">
      <w:pPr>
        <w:keepNext/>
        <w:keepLines/>
        <w:rPr>
          <w:b/>
        </w:rPr>
      </w:pPr>
    </w:p>
    <w:tbl>
      <w:tblPr>
        <w:tblW w:w="10170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788"/>
        <w:gridCol w:w="2250"/>
        <w:gridCol w:w="1982"/>
        <w:gridCol w:w="1890"/>
        <w:gridCol w:w="1260"/>
      </w:tblGrid>
      <w:tr w:rsidRPr="00851F63" w:rsidR="00851F63" w:rsidTr="00200283" w14:paraId="279669E6" w14:textId="77777777">
        <w:trPr>
          <w:trHeight w:val="274"/>
        </w:trPr>
        <w:tc>
          <w:tcPr>
            <w:tcW w:w="2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51F63" w:rsidR="00851F63" w:rsidP="00851F63" w:rsidRDefault="00851F63" w14:paraId="2FBB6FCE" w14:textId="77777777">
            <w:pPr>
              <w:rPr>
                <w:b/>
              </w:rPr>
            </w:pPr>
            <w:r w:rsidRPr="00851F63">
              <w:rPr>
                <w:b/>
              </w:rPr>
              <w:t xml:space="preserve">Category of Respondent 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51F63" w:rsidR="00851F63" w:rsidP="00851F63" w:rsidRDefault="00851F63" w14:paraId="44BCF6EB" w14:textId="77777777">
            <w:pPr>
              <w:rPr>
                <w:b/>
              </w:rPr>
            </w:pPr>
            <w:r w:rsidRPr="00851F63">
              <w:rPr>
                <w:b/>
              </w:rPr>
              <w:t>No. of Respondents</w:t>
            </w:r>
          </w:p>
        </w:tc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51F63" w:rsidR="00851F63" w:rsidP="00851F63" w:rsidRDefault="00851F63" w14:paraId="20598158" w14:textId="77777777">
            <w:pPr>
              <w:rPr>
                <w:b/>
              </w:rPr>
            </w:pPr>
            <w:r w:rsidRPr="00851F63">
              <w:rPr>
                <w:b/>
              </w:rPr>
              <w:t xml:space="preserve">No. of Responses per Respondent 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51F63" w:rsidR="00851F63" w:rsidP="00851F63" w:rsidRDefault="00851F63" w14:paraId="24C3DCFF" w14:textId="77777777">
            <w:pPr>
              <w:rPr>
                <w:b/>
              </w:rPr>
            </w:pPr>
            <w:r w:rsidRPr="00851F63">
              <w:rPr>
                <w:b/>
              </w:rPr>
              <w:t xml:space="preserve">Time per </w:t>
            </w:r>
          </w:p>
          <w:p w:rsidRPr="00851F63" w:rsidR="00851F63" w:rsidP="00851F63" w:rsidRDefault="00851F63" w14:paraId="0901D5D1" w14:textId="77777777">
            <w:pPr>
              <w:rPr>
                <w:b/>
              </w:rPr>
            </w:pPr>
            <w:r w:rsidRPr="00851F63">
              <w:rPr>
                <w:b/>
              </w:rPr>
              <w:t xml:space="preserve">Response </w:t>
            </w:r>
          </w:p>
          <w:p w:rsidRPr="00851F63" w:rsidR="00851F63" w:rsidP="00851F63" w:rsidRDefault="00851F63" w14:paraId="267468BA" w14:textId="77777777">
            <w:pPr>
              <w:rPr>
                <w:b/>
              </w:rPr>
            </w:pPr>
            <w:r w:rsidRPr="00851F63">
              <w:rPr>
                <w:b/>
              </w:rPr>
              <w:t xml:space="preserve">(in hours) 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51F63" w:rsidR="00851F63" w:rsidP="00851F63" w:rsidRDefault="00851F63" w14:paraId="5AE26B14" w14:textId="77777777">
            <w:pPr>
              <w:rPr>
                <w:b/>
              </w:rPr>
            </w:pPr>
            <w:r w:rsidRPr="00851F63">
              <w:rPr>
                <w:b/>
              </w:rPr>
              <w:t>Total Burden</w:t>
            </w:r>
          </w:p>
          <w:p w:rsidRPr="00851F63" w:rsidR="00851F63" w:rsidP="00851F63" w:rsidRDefault="00851F63" w14:paraId="3B32D15B" w14:textId="77777777">
            <w:pPr>
              <w:rPr>
                <w:b/>
              </w:rPr>
            </w:pPr>
            <w:r w:rsidRPr="00851F63">
              <w:rPr>
                <w:b/>
              </w:rPr>
              <w:t xml:space="preserve">Hours </w:t>
            </w:r>
          </w:p>
        </w:tc>
      </w:tr>
      <w:tr w:rsidRPr="00851F63" w:rsidR="00851F63" w:rsidTr="00200283" w14:paraId="4CF4D746" w14:textId="77777777">
        <w:trPr>
          <w:trHeight w:val="274"/>
        </w:trPr>
        <w:tc>
          <w:tcPr>
            <w:tcW w:w="2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851F63" w:rsidP="00851F63" w:rsidRDefault="00851F63" w14:paraId="50696E3A" w14:textId="77777777">
            <w:r>
              <w:t>Individuals or Households</w:t>
            </w:r>
          </w:p>
          <w:p w:rsidRPr="00851F63" w:rsidR="00851F63" w:rsidP="00851F63" w:rsidRDefault="00851F63" w14:paraId="77B68075" w14:textId="77777777"/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51F63" w:rsidR="00851F63" w:rsidP="00851F63" w:rsidRDefault="00851F63" w14:paraId="2F6AFD18" w14:textId="77777777">
            <w:pPr>
              <w:jc w:val="center"/>
            </w:pPr>
            <w:r>
              <w:t>1</w:t>
            </w:r>
            <w:r w:rsidR="00081A14">
              <w:t>40</w:t>
            </w:r>
          </w:p>
        </w:tc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51F63" w:rsidR="00851F63" w:rsidP="00851F63" w:rsidRDefault="00851F63" w14:paraId="367C4D79" w14:textId="77777777">
            <w:pPr>
              <w:jc w:val="center"/>
            </w:pPr>
            <w:r>
              <w:t>1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51F63" w:rsidR="00851F63" w:rsidP="00851F63" w:rsidRDefault="00851F63" w14:paraId="59B4E6EF" w14:textId="77777777">
            <w:pPr>
              <w:jc w:val="center"/>
            </w:pPr>
            <w:r>
              <w:t>1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51F63" w:rsidR="00851F63" w:rsidP="00851F63" w:rsidRDefault="00851F63" w14:paraId="0C0C3FB6" w14:textId="77777777">
            <w:pPr>
              <w:jc w:val="center"/>
            </w:pPr>
            <w:r>
              <w:t>1</w:t>
            </w:r>
            <w:r w:rsidR="00081A14">
              <w:t>40</w:t>
            </w:r>
          </w:p>
        </w:tc>
      </w:tr>
      <w:tr w:rsidRPr="00851F63" w:rsidR="00851F63" w:rsidTr="00200283" w14:paraId="3CE8044F" w14:textId="77777777">
        <w:trPr>
          <w:trHeight w:val="289"/>
        </w:trPr>
        <w:tc>
          <w:tcPr>
            <w:tcW w:w="2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51F63" w:rsidR="00851F63" w:rsidP="00851F63" w:rsidRDefault="00851F63" w14:paraId="67F36E12" w14:textId="77777777">
            <w:pPr>
              <w:rPr>
                <w:b/>
              </w:rPr>
            </w:pPr>
            <w:r w:rsidRPr="00851F63">
              <w:rPr>
                <w:b/>
              </w:rPr>
              <w:t>Totals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51F63" w:rsidR="00851F63" w:rsidP="00851F63" w:rsidRDefault="00851F63" w14:paraId="00D299FC" w14:textId="77777777">
            <w:pPr>
              <w:jc w:val="center"/>
              <w:rPr>
                <w:b/>
              </w:rPr>
            </w:pPr>
          </w:p>
        </w:tc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51F63" w:rsidR="00851F63" w:rsidP="00851F63" w:rsidRDefault="00081A14" w14:paraId="2A6A0C2D" w14:textId="77777777">
            <w:pPr>
              <w:jc w:val="center"/>
            </w:pPr>
            <w:r>
              <w:t>140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51F63" w:rsidR="00851F63" w:rsidP="00851F63" w:rsidRDefault="00851F63" w14:paraId="4161D398" w14:textId="77777777">
            <w:pPr>
              <w:jc w:val="center"/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81A14" w:rsidR="00851F63" w:rsidP="00851F63" w:rsidRDefault="00081A14" w14:paraId="60FF4ADE" w14:textId="77777777">
            <w:pPr>
              <w:jc w:val="center"/>
              <w:rPr>
                <w:b/>
              </w:rPr>
            </w:pPr>
            <w:r w:rsidRPr="00081A14">
              <w:rPr>
                <w:b/>
              </w:rPr>
              <w:t>140</w:t>
            </w:r>
          </w:p>
        </w:tc>
      </w:tr>
    </w:tbl>
    <w:p w:rsidR="00851F63" w:rsidP="00851F63" w:rsidRDefault="00851F63" w14:paraId="2BFA267D" w14:textId="77777777"/>
    <w:p w:rsidR="00851F63" w:rsidP="00851F63" w:rsidRDefault="00851F63" w14:paraId="36A35071" w14:textId="77777777">
      <w:pPr>
        <w:rPr>
          <w:b/>
        </w:rPr>
      </w:pPr>
    </w:p>
    <w:p w:rsidR="008B5091" w:rsidP="00851F63" w:rsidRDefault="008B5091" w14:paraId="3251E062" w14:textId="77777777">
      <w:pPr>
        <w:rPr>
          <w:b/>
        </w:rPr>
      </w:pPr>
      <w:r>
        <w:rPr>
          <w:b/>
        </w:rPr>
        <w:t>COST TO RESPONDENT</w:t>
      </w:r>
    </w:p>
    <w:p w:rsidRPr="00851F63" w:rsidR="008B5091" w:rsidP="00851F63" w:rsidRDefault="008B5091" w14:paraId="0A19E792" w14:textId="77777777">
      <w:pPr>
        <w:rPr>
          <w:b/>
        </w:rPr>
      </w:pPr>
    </w:p>
    <w:tbl>
      <w:tblPr>
        <w:tblW w:w="9900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2230"/>
        <w:gridCol w:w="2520"/>
        <w:gridCol w:w="1890"/>
      </w:tblGrid>
      <w:tr w:rsidRPr="00851F63" w:rsidR="00851F63" w:rsidTr="00200283" w14:paraId="494ACDD0" w14:textId="77777777">
        <w:trPr>
          <w:trHeight w:val="288"/>
        </w:trPr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51F63" w:rsidR="00851F63" w:rsidP="00851F63" w:rsidRDefault="00851F63" w14:paraId="1ED588F5" w14:textId="77777777">
            <w:pPr>
              <w:rPr>
                <w:b/>
              </w:rPr>
            </w:pPr>
            <w:r w:rsidRPr="00851F63">
              <w:rPr>
                <w:b/>
              </w:rPr>
              <w:t xml:space="preserve"> Category of Respondent</w:t>
            </w:r>
          </w:p>
          <w:p w:rsidRPr="00851F63" w:rsidR="00851F63" w:rsidP="00851F63" w:rsidRDefault="00851F63" w14:paraId="00F3EC56" w14:textId="77777777">
            <w:pPr>
              <w:rPr>
                <w:b/>
              </w:rPr>
            </w:pPr>
          </w:p>
        </w:tc>
        <w:tc>
          <w:tcPr>
            <w:tcW w:w="2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51F63" w:rsidR="00851F63" w:rsidP="00851F63" w:rsidRDefault="00851F63" w14:paraId="28BE3DBD" w14:textId="77777777">
            <w:pPr>
              <w:rPr>
                <w:b/>
              </w:rPr>
            </w:pPr>
            <w:r w:rsidRPr="00851F63">
              <w:rPr>
                <w:b/>
              </w:rPr>
              <w:t>Total Burden</w:t>
            </w:r>
          </w:p>
          <w:p w:rsidRPr="00851F63" w:rsidR="00851F63" w:rsidP="00851F63" w:rsidRDefault="00851F63" w14:paraId="255352BB" w14:textId="77777777">
            <w:pPr>
              <w:rPr>
                <w:b/>
              </w:rPr>
            </w:pPr>
            <w:r w:rsidRPr="00851F63">
              <w:rPr>
                <w:b/>
              </w:rPr>
              <w:t>Hours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51F63" w:rsidR="00851F63" w:rsidP="00851F63" w:rsidRDefault="00851F63" w14:paraId="08999176" w14:textId="77777777">
            <w:pPr>
              <w:rPr>
                <w:b/>
              </w:rPr>
            </w:pPr>
            <w:r w:rsidRPr="00851F63">
              <w:rPr>
                <w:b/>
              </w:rPr>
              <w:t>Wage Rate*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51F63" w:rsidR="00851F63" w:rsidP="00851F63" w:rsidRDefault="00851F63" w14:paraId="066E1C92" w14:textId="77777777">
            <w:pPr>
              <w:rPr>
                <w:b/>
              </w:rPr>
            </w:pPr>
            <w:r w:rsidRPr="00851F63">
              <w:rPr>
                <w:b/>
              </w:rPr>
              <w:t xml:space="preserve">Total Burden Cost </w:t>
            </w:r>
          </w:p>
        </w:tc>
      </w:tr>
      <w:tr w:rsidRPr="00851F63" w:rsidR="00851F63" w:rsidTr="00200283" w14:paraId="6BEA5AFF" w14:textId="77777777">
        <w:trPr>
          <w:trHeight w:val="288"/>
        </w:trPr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51F63" w:rsidR="00851F63" w:rsidP="00851F63" w:rsidRDefault="00851F63" w14:paraId="55C692AB" w14:textId="77777777">
            <w:r w:rsidRPr="00851F63">
              <w:t>Individuals or Households f</w:t>
            </w:r>
            <w:r w:rsidR="00200283">
              <w:t>ro</w:t>
            </w:r>
            <w:r w:rsidRPr="00851F63">
              <w:t>m the General Public</w:t>
            </w:r>
          </w:p>
        </w:tc>
        <w:tc>
          <w:tcPr>
            <w:tcW w:w="2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128B5" w:rsidR="00851F63" w:rsidP="00851F63" w:rsidRDefault="009128B5" w14:paraId="3DF59412" w14:textId="77777777">
            <w:r>
              <w:rPr>
                <w:color w:val="FF0000"/>
              </w:rPr>
              <w:t xml:space="preserve">   </w:t>
            </w:r>
            <w:r w:rsidRPr="009128B5">
              <w:t>140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51F63" w:rsidR="00851F63" w:rsidP="00851F63" w:rsidRDefault="003E0A53" w14:paraId="113E4A3D" w14:textId="77777777">
            <w:r>
              <w:t xml:space="preserve">    </w:t>
            </w:r>
            <w:r w:rsidRPr="00851F63" w:rsidR="00851F63">
              <w:t>$25.72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51F63" w:rsidR="00851F63" w:rsidP="00851F63" w:rsidRDefault="00851F63" w14:paraId="1DB2B584" w14:textId="77777777">
            <w:bookmarkStart w:name="_Hlk534285615" w:id="1"/>
            <w:r w:rsidRPr="00851F63">
              <w:t>$</w:t>
            </w:r>
            <w:bookmarkEnd w:id="1"/>
            <w:r w:rsidR="00D96576">
              <w:t>3,600.80</w:t>
            </w:r>
          </w:p>
        </w:tc>
      </w:tr>
      <w:tr w:rsidRPr="00851F63" w:rsidR="00851F63" w:rsidTr="00200283" w14:paraId="33F3B0D1" w14:textId="77777777">
        <w:trPr>
          <w:trHeight w:val="586"/>
        </w:trPr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51F63" w:rsidR="00851F63" w:rsidP="00851F63" w:rsidRDefault="00851F63" w14:paraId="18B1E4DF" w14:textId="77777777">
            <w:pPr>
              <w:rPr>
                <w:b/>
              </w:rPr>
            </w:pPr>
            <w:r w:rsidRPr="00851F63">
              <w:rPr>
                <w:b/>
              </w:rPr>
              <w:t>Totals</w:t>
            </w:r>
          </w:p>
        </w:tc>
        <w:tc>
          <w:tcPr>
            <w:tcW w:w="2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51F63" w:rsidR="00851F63" w:rsidP="00851F63" w:rsidRDefault="009128B5" w14:paraId="7BA5F8C7" w14:textId="77777777">
            <w:pPr>
              <w:rPr>
                <w:b/>
              </w:rPr>
            </w:pPr>
            <w:r>
              <w:rPr>
                <w:b/>
              </w:rPr>
              <w:t xml:space="preserve">  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51F63" w:rsidR="00851F63" w:rsidP="00851F63" w:rsidRDefault="00851F63" w14:paraId="2945EC38" w14:textId="77777777"/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96576" w:rsidR="00851F63" w:rsidP="00851F63" w:rsidRDefault="00D96576" w14:paraId="7A83F8FB" w14:textId="77777777">
            <w:pPr>
              <w:rPr>
                <w:b/>
                <w:bCs/>
              </w:rPr>
            </w:pPr>
            <w:r w:rsidRPr="00D96576">
              <w:rPr>
                <w:b/>
                <w:bCs/>
              </w:rPr>
              <w:t>$3,600.80</w:t>
            </w:r>
          </w:p>
        </w:tc>
      </w:tr>
    </w:tbl>
    <w:p w:rsidRPr="00851F63" w:rsidR="00851F63" w:rsidP="00851F63" w:rsidRDefault="00851F63" w14:paraId="26D310AD" w14:textId="77777777">
      <w:r w:rsidRPr="00851F63">
        <w:t>*</w:t>
      </w:r>
      <w:r w:rsidRPr="00851F63">
        <w:rPr>
          <w:sz w:val="22"/>
          <w:szCs w:val="22"/>
        </w:rPr>
        <w:t xml:space="preserve"> BLS May 2019 National Occupational Employment and Wage Estimates, United States</w:t>
      </w:r>
    </w:p>
    <w:p w:rsidRPr="00851F63" w:rsidR="00851F63" w:rsidP="00851F63" w:rsidRDefault="00851F63" w14:paraId="0A339305" w14:textId="77777777">
      <w:hyperlink w:history="1" w:anchor="00-0000" r:id="rId8">
        <w:r w:rsidRPr="00851F63">
          <w:rPr>
            <w:color w:val="0563C1"/>
            <w:u w:val="single"/>
          </w:rPr>
          <w:t>https://www.bls.gov/oes/current/oes_nat.htm#00-0000</w:t>
        </w:r>
      </w:hyperlink>
    </w:p>
    <w:p w:rsidR="00441A16" w:rsidP="00441A16" w:rsidRDefault="00441A16" w14:paraId="779BD5F1" w14:textId="77777777"/>
    <w:p w:rsidRPr="00441A16" w:rsidR="00441A16" w:rsidP="00441A16" w:rsidRDefault="00441A16" w14:paraId="306B886C" w14:textId="77777777">
      <w:pPr>
        <w:rPr>
          <w:u w:val="single"/>
        </w:rPr>
      </w:pPr>
      <w:bookmarkStart w:name="_Hlk62622353" w:id="2"/>
      <w:r>
        <w:rPr>
          <w:b/>
        </w:rPr>
        <w:t xml:space="preserve">FEDERAL COST:  </w:t>
      </w:r>
      <w:r>
        <w:t xml:space="preserve">The estimated annual cost to the Federal government is: </w:t>
      </w:r>
      <w:r w:rsidRPr="00CF40BB">
        <w:rPr>
          <w:b/>
          <w:bCs/>
          <w:u w:val="single"/>
        </w:rPr>
        <w:t>$14,892</w:t>
      </w:r>
      <w:r w:rsidR="00CF40BB">
        <w:rPr>
          <w:b/>
          <w:bCs/>
          <w:u w:val="single"/>
        </w:rPr>
        <w:t>.00</w:t>
      </w:r>
    </w:p>
    <w:p w:rsidRPr="00851F63" w:rsidR="00851F63" w:rsidP="00851F63" w:rsidRDefault="00851F63" w14:paraId="285D531B" w14:textId="77777777">
      <w:r w:rsidRPr="00851F63">
        <w:rPr>
          <w:b/>
        </w:rPr>
        <w:t xml:space="preserve">                         </w:t>
      </w:r>
    </w:p>
    <w:tbl>
      <w:tblPr>
        <w:tblW w:w="95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3"/>
        <w:gridCol w:w="1440"/>
        <w:gridCol w:w="1260"/>
        <w:gridCol w:w="1363"/>
        <w:gridCol w:w="1363"/>
        <w:gridCol w:w="1363"/>
      </w:tblGrid>
      <w:tr w:rsidRPr="00851F63" w:rsidR="00851F63" w:rsidTr="00851F63" w14:paraId="33AADA3E" w14:textId="77777777">
        <w:trPr>
          <w:trHeight w:val="900"/>
        </w:trPr>
        <w:tc>
          <w:tcPr>
            <w:tcW w:w="2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851F63" w:rsidR="00851F63" w:rsidP="00851F63" w:rsidRDefault="00851F63" w14:paraId="1F49EB4F" w14:textId="77777777">
            <w:pPr>
              <w:rPr>
                <w:b/>
                <w:bCs/>
              </w:rPr>
            </w:pPr>
            <w:r w:rsidRPr="00851F63">
              <w:rPr>
                <w:i/>
              </w:rPr>
              <w:t xml:space="preserve"> </w:t>
            </w:r>
            <w:r w:rsidRPr="00851F63">
              <w:rPr>
                <w:b/>
                <w:bCs/>
              </w:rPr>
              <w:t>Staff</w:t>
            </w: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bottom"/>
          </w:tcPr>
          <w:p w:rsidRPr="00851F63" w:rsidR="00851F63" w:rsidP="00851F63" w:rsidRDefault="00851F63" w14:paraId="71D4E786" w14:textId="77777777">
            <w:pPr>
              <w:rPr>
                <w:b/>
                <w:bCs/>
              </w:rPr>
            </w:pPr>
          </w:p>
          <w:p w:rsidRPr="00851F63" w:rsidR="00851F63" w:rsidP="00851F63" w:rsidRDefault="00851F63" w14:paraId="0FC2F7DE" w14:textId="77777777">
            <w:pPr>
              <w:rPr>
                <w:b/>
                <w:bCs/>
              </w:rPr>
            </w:pPr>
            <w:r w:rsidRPr="00851F63">
              <w:rPr>
                <w:b/>
                <w:bCs/>
              </w:rPr>
              <w:t>Grade/Step</w:t>
            </w: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851F63" w:rsidR="00851F63" w:rsidP="00851F63" w:rsidRDefault="00851F63" w14:paraId="45ABC09C" w14:textId="77777777">
            <w:pPr>
              <w:rPr>
                <w:b/>
                <w:bCs/>
              </w:rPr>
            </w:pPr>
            <w:r w:rsidRPr="00851F63">
              <w:rPr>
                <w:b/>
                <w:bCs/>
              </w:rPr>
              <w:t>Salary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851F63" w:rsidR="00851F63" w:rsidP="00851F63" w:rsidRDefault="00851F63" w14:paraId="69090D04" w14:textId="77777777">
            <w:pPr>
              <w:rPr>
                <w:b/>
                <w:bCs/>
              </w:rPr>
            </w:pPr>
            <w:r w:rsidRPr="00851F63">
              <w:rPr>
                <w:b/>
                <w:bCs/>
              </w:rPr>
              <w:t>% of Effort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hideMark/>
          </w:tcPr>
          <w:p w:rsidRPr="00851F63" w:rsidR="00851F63" w:rsidP="00851F63" w:rsidRDefault="00851F63" w14:paraId="1B454552" w14:textId="77777777">
            <w:pPr>
              <w:rPr>
                <w:b/>
                <w:bCs/>
              </w:rPr>
            </w:pPr>
            <w:r w:rsidRPr="00851F63">
              <w:rPr>
                <w:b/>
                <w:bCs/>
              </w:rPr>
              <w:t>Fringe (if applicable)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hideMark/>
          </w:tcPr>
          <w:p w:rsidRPr="00851F63" w:rsidR="00851F63" w:rsidP="00851F63" w:rsidRDefault="00851F63" w14:paraId="4B811FB9" w14:textId="77777777">
            <w:pPr>
              <w:rPr>
                <w:b/>
                <w:bCs/>
              </w:rPr>
            </w:pPr>
            <w:r w:rsidRPr="00851F63">
              <w:rPr>
                <w:b/>
                <w:bCs/>
              </w:rPr>
              <w:t>Total Cost to Gov’t</w:t>
            </w:r>
          </w:p>
        </w:tc>
      </w:tr>
      <w:tr w:rsidRPr="00851F63" w:rsidR="00851F63" w:rsidTr="00851F63" w14:paraId="2C6F4416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851F63" w:rsidR="00851F63" w:rsidP="00851F63" w:rsidRDefault="00851F63" w14:paraId="3C8354CA" w14:textId="77777777">
            <w:pPr>
              <w:rPr>
                <w:b/>
              </w:rPr>
            </w:pPr>
            <w:r w:rsidRPr="00851F63">
              <w:rPr>
                <w:b/>
              </w:rPr>
              <w:t>Federal Oversight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851F63" w:rsidR="00851F63" w:rsidP="00851F63" w:rsidRDefault="00851F63" w14:paraId="1558A22D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851F63" w:rsidR="00851F63" w:rsidP="00851F63" w:rsidRDefault="00851F63" w14:paraId="04525532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851F63" w:rsidR="00851F63" w:rsidP="00851F63" w:rsidRDefault="00851F63" w14:paraId="659AFF28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851F63" w:rsidR="00851F63" w:rsidP="00851F63" w:rsidRDefault="00851F63" w14:paraId="063B90E1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851F63" w:rsidR="00851F63" w:rsidP="00851F63" w:rsidRDefault="00851F63" w14:paraId="3631B811" w14:textId="77777777"/>
        </w:tc>
      </w:tr>
      <w:tr w:rsidRPr="00851F63" w:rsidR="00851F63" w:rsidTr="00851F63" w14:paraId="39293682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851F63" w:rsidR="00851F63" w:rsidP="00851F63" w:rsidRDefault="00851F63" w14:paraId="4393C6A6" w14:textId="77777777">
            <w:r w:rsidRPr="00851F63">
              <w:t>Staff Scientist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hideMark/>
          </w:tcPr>
          <w:p w:rsidRPr="00851F63" w:rsidR="00851F63" w:rsidP="00F20F8E" w:rsidRDefault="00851F63" w14:paraId="1738B329" w14:textId="77777777">
            <w:pPr>
              <w:jc w:val="center"/>
            </w:pPr>
            <w:r w:rsidRPr="00F20F8E">
              <w:t>T42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851F63" w:rsidR="00851F63" w:rsidP="00851F63" w:rsidRDefault="00851F63" w14:paraId="753DF219" w14:textId="77777777">
            <w:r w:rsidRPr="00851F63">
              <w:t>$142,000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851F63" w:rsidR="00851F63" w:rsidP="00851F63" w:rsidRDefault="00325759" w14:paraId="647DB0DA" w14:textId="77777777">
            <w:r>
              <w:t xml:space="preserve">    </w:t>
            </w:r>
            <w:r w:rsidR="00200283">
              <w:t>2</w:t>
            </w:r>
            <w:r w:rsidRPr="00851F63" w:rsidR="00851F63">
              <w:t>%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851F63" w:rsidR="00851F63" w:rsidP="00851F63" w:rsidRDefault="00851F63" w14:paraId="44F67A21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hideMark/>
          </w:tcPr>
          <w:p w:rsidRPr="00851F63" w:rsidR="00851F63" w:rsidP="00851F63" w:rsidRDefault="00CF40BB" w14:paraId="3EB82326" w14:textId="77777777">
            <w:r>
              <w:t xml:space="preserve">  </w:t>
            </w:r>
            <w:r w:rsidR="00EF7F42">
              <w:t xml:space="preserve"> </w:t>
            </w:r>
            <w:r>
              <w:t xml:space="preserve"> </w:t>
            </w:r>
            <w:r w:rsidRPr="00851F63" w:rsidR="00851F63">
              <w:t>$</w:t>
            </w:r>
            <w:r w:rsidR="00200283">
              <w:t>2</w:t>
            </w:r>
            <w:r w:rsidRPr="00851F63" w:rsidR="00851F63">
              <w:t>,</w:t>
            </w:r>
            <w:r w:rsidR="00200283">
              <w:t>84</w:t>
            </w:r>
            <w:r w:rsidRPr="00851F63" w:rsidR="00851F63">
              <w:t>0</w:t>
            </w:r>
            <w:r>
              <w:t>.00</w:t>
            </w:r>
          </w:p>
        </w:tc>
      </w:tr>
      <w:tr w:rsidRPr="00851F63" w:rsidR="00851F63" w:rsidTr="00851F63" w14:paraId="0C18F9C5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851F63" w:rsidR="00851F63" w:rsidP="00851F63" w:rsidRDefault="00851F63" w14:paraId="7D1CDA90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851F63" w:rsidR="00851F63" w:rsidP="00851F63" w:rsidRDefault="00851F63" w14:paraId="56F9AF23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851F63" w:rsidR="00851F63" w:rsidP="00851F63" w:rsidRDefault="00851F63" w14:paraId="43C0B00D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851F63" w:rsidR="00851F63" w:rsidP="00851F63" w:rsidRDefault="00851F63" w14:paraId="522EB07F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851F63" w:rsidR="00851F63" w:rsidP="00851F63" w:rsidRDefault="00851F63" w14:paraId="6435E6CE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851F63" w:rsidR="00851F63" w:rsidP="00851F63" w:rsidRDefault="00851F63" w14:paraId="02E4518B" w14:textId="77777777"/>
        </w:tc>
      </w:tr>
      <w:tr w:rsidRPr="00851F63" w:rsidR="00851F63" w:rsidTr="00851F63" w14:paraId="675678BC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851F63" w:rsidR="00851F63" w:rsidP="00851F63" w:rsidRDefault="00851F63" w14:paraId="3532BDDB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851F63" w:rsidR="00851F63" w:rsidP="00851F63" w:rsidRDefault="00851F63" w14:paraId="76AA495F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851F63" w:rsidR="00851F63" w:rsidP="00851F63" w:rsidRDefault="00851F63" w14:paraId="7DCDB5C2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851F63" w:rsidR="00851F63" w:rsidP="00851F63" w:rsidRDefault="00851F63" w14:paraId="57C2DFD1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851F63" w:rsidR="00851F63" w:rsidP="00851F63" w:rsidRDefault="00851F63" w14:paraId="6A113701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851F63" w:rsidR="00851F63" w:rsidP="00851F63" w:rsidRDefault="00851F63" w14:paraId="317818A6" w14:textId="77777777"/>
        </w:tc>
      </w:tr>
      <w:tr w:rsidRPr="00851F63" w:rsidR="00851F63" w:rsidTr="00851F63" w14:paraId="54C53E0B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851F63" w:rsidR="00851F63" w:rsidP="00851F63" w:rsidRDefault="00851F63" w14:paraId="7B62BBBB" w14:textId="77777777">
            <w:pPr>
              <w:rPr>
                <w:b/>
              </w:rPr>
            </w:pPr>
            <w:r w:rsidRPr="00851F63">
              <w:rPr>
                <w:b/>
              </w:rPr>
              <w:t>Contractor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851F63" w:rsidR="00851F63" w:rsidP="00851F63" w:rsidRDefault="00851F63" w14:paraId="15C8E34E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851F63" w:rsidR="00851F63" w:rsidP="00851F63" w:rsidRDefault="00851F63" w14:paraId="56C4F03D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851F63" w:rsidR="00851F63" w:rsidP="00851F63" w:rsidRDefault="00851F63" w14:paraId="5C414A3F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851F63" w:rsidR="00851F63" w:rsidP="00851F63" w:rsidRDefault="00851F63" w14:paraId="4FCA36EA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hideMark/>
          </w:tcPr>
          <w:p w:rsidRPr="00851F63" w:rsidR="00851F63" w:rsidP="00851F63" w:rsidRDefault="00CF40BB" w14:paraId="1BA99BA8" w14:textId="77777777">
            <w:r>
              <w:t xml:space="preserve">      </w:t>
            </w:r>
            <w:r w:rsidRPr="00851F63" w:rsidR="00851F63">
              <w:t>N/A</w:t>
            </w:r>
          </w:p>
        </w:tc>
      </w:tr>
      <w:tr w:rsidRPr="00851F63" w:rsidR="00851F63" w:rsidTr="00851F63" w14:paraId="1CA73C28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851F63" w:rsidR="00851F63" w:rsidP="00851F63" w:rsidRDefault="00851F63" w14:paraId="2DEA06D0" w14:textId="77777777">
            <w:r w:rsidRPr="00851F63">
              <w:t>Moderator/Facilitator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851F63" w:rsidR="00851F63" w:rsidP="00851F63" w:rsidRDefault="00851F63" w14:paraId="061412BD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851F63" w:rsidR="00851F63" w:rsidP="00851F63" w:rsidRDefault="00851F63" w14:paraId="4B1F807A" w14:textId="77777777">
            <w:r w:rsidRPr="00851F63">
              <w:t>$86,000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851F63" w:rsidR="00851F63" w:rsidP="00851F63" w:rsidRDefault="00325759" w14:paraId="12909B6B" w14:textId="77777777">
            <w:r>
              <w:t xml:space="preserve">  </w:t>
            </w:r>
            <w:r w:rsidR="00200283">
              <w:t>8</w:t>
            </w:r>
            <w:r w:rsidRPr="00851F63" w:rsidR="00851F63">
              <w:t>.</w:t>
            </w:r>
            <w:r w:rsidR="00200283">
              <w:t>2</w:t>
            </w:r>
            <w:r w:rsidRPr="00851F63" w:rsidR="00851F63">
              <w:t>%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851F63" w:rsidR="00851F63" w:rsidP="00851F63" w:rsidRDefault="00851F63" w14:paraId="50A71C34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hideMark/>
          </w:tcPr>
          <w:p w:rsidRPr="00851F63" w:rsidR="00851F63" w:rsidP="00851F63" w:rsidRDefault="00851F63" w14:paraId="35F1E9E8" w14:textId="77777777">
            <w:r w:rsidRPr="00851F63">
              <w:t xml:space="preserve"> </w:t>
            </w:r>
            <w:r w:rsidR="00CF40BB">
              <w:t xml:space="preserve">   </w:t>
            </w:r>
            <w:r w:rsidRPr="00851F63">
              <w:t>$</w:t>
            </w:r>
            <w:r w:rsidR="00200283">
              <w:t>7</w:t>
            </w:r>
            <w:r w:rsidRPr="00851F63">
              <w:t>,</w:t>
            </w:r>
            <w:r w:rsidR="00200283">
              <w:t>052</w:t>
            </w:r>
            <w:r w:rsidR="00CF40BB">
              <w:t>.00</w:t>
            </w:r>
          </w:p>
        </w:tc>
      </w:tr>
      <w:tr w:rsidRPr="00851F63" w:rsidR="00851F63" w:rsidTr="00851F63" w14:paraId="1679BE4E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851F63" w:rsidR="00851F63" w:rsidP="00851F63" w:rsidRDefault="00851F63" w14:paraId="56BB79F6" w14:textId="77777777">
            <w:r w:rsidRPr="00851F63">
              <w:t>Note-taker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851F63" w:rsidR="00851F63" w:rsidP="00851F63" w:rsidRDefault="00851F63" w14:paraId="7142AB61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851F63" w:rsidR="00851F63" w:rsidP="00851F63" w:rsidRDefault="00851F63" w14:paraId="25B5A05A" w14:textId="77777777">
            <w:r w:rsidRPr="00851F63">
              <w:t>$50,000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851F63" w:rsidR="00851F63" w:rsidP="00851F63" w:rsidRDefault="00325759" w14:paraId="43D556C4" w14:textId="77777777">
            <w:r>
              <w:t xml:space="preserve">  </w:t>
            </w:r>
            <w:r w:rsidR="00200283">
              <w:t>10</w:t>
            </w:r>
            <w:r w:rsidRPr="00851F63" w:rsidR="00851F63">
              <w:t xml:space="preserve"> %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851F63" w:rsidR="00851F63" w:rsidP="00851F63" w:rsidRDefault="00851F63" w14:paraId="6A6E6E46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hideMark/>
          </w:tcPr>
          <w:p w:rsidRPr="00851F63" w:rsidR="00851F63" w:rsidP="00851F63" w:rsidRDefault="00851F63" w14:paraId="298961CD" w14:textId="77777777">
            <w:r w:rsidRPr="00851F63">
              <w:t xml:space="preserve"> </w:t>
            </w:r>
            <w:r w:rsidR="00CF40BB">
              <w:t xml:space="preserve">   </w:t>
            </w:r>
            <w:r w:rsidRPr="00851F63">
              <w:t>$</w:t>
            </w:r>
            <w:r w:rsidR="00200283">
              <w:t>5,000</w:t>
            </w:r>
            <w:r w:rsidR="00CF40BB">
              <w:t>.00</w:t>
            </w:r>
          </w:p>
        </w:tc>
      </w:tr>
      <w:tr w:rsidRPr="00851F63" w:rsidR="00851F63" w:rsidTr="00851F63" w14:paraId="3201896D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851F63" w:rsidR="00851F63" w:rsidP="00851F63" w:rsidRDefault="00851F63" w14:paraId="57867F17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851F63" w:rsidR="00851F63" w:rsidP="00851F63" w:rsidRDefault="00851F63" w14:paraId="5DC67D81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851F63" w:rsidR="00851F63" w:rsidP="00851F63" w:rsidRDefault="00851F63" w14:paraId="22C9AA23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851F63" w:rsidR="00851F63" w:rsidP="00851F63" w:rsidRDefault="00851F63" w14:paraId="2D90C640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851F63" w:rsidR="00851F63" w:rsidP="00851F63" w:rsidRDefault="00851F63" w14:paraId="26124E4F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851F63" w:rsidR="00851F63" w:rsidP="00851F63" w:rsidRDefault="00851F63" w14:paraId="2752E400" w14:textId="77777777">
            <w:pPr>
              <w:rPr>
                <w:b/>
              </w:rPr>
            </w:pPr>
          </w:p>
        </w:tc>
      </w:tr>
      <w:tr w:rsidRPr="00851F63" w:rsidR="00851F63" w:rsidTr="00851F63" w14:paraId="359C75ED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851F63" w:rsidR="00851F63" w:rsidP="00851F63" w:rsidRDefault="00851F63" w14:paraId="0001E1A2" w14:textId="77777777">
            <w:pPr>
              <w:rPr>
                <w:b/>
              </w:rPr>
            </w:pPr>
            <w:r w:rsidRPr="00851F63">
              <w:rPr>
                <w:b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851F63" w:rsidR="00851F63" w:rsidP="00851F63" w:rsidRDefault="00851F63" w14:paraId="6339BED1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851F63" w:rsidR="00851F63" w:rsidP="00851F63" w:rsidRDefault="00851F63" w14:paraId="395A5642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851F63" w:rsidR="00851F63" w:rsidP="00851F63" w:rsidRDefault="00851F63" w14:paraId="59ABECC1" w14:textId="77777777">
            <w:pPr>
              <w:rPr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851F63" w:rsidR="00851F63" w:rsidP="00851F63" w:rsidRDefault="00851F63" w14:paraId="33A68C98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hideMark/>
          </w:tcPr>
          <w:p w:rsidRPr="00CF40BB" w:rsidR="00851F63" w:rsidP="00851F63" w:rsidRDefault="00CF40BB" w14:paraId="176C6CF3" w14:textId="77777777">
            <w:pPr>
              <w:rPr>
                <w:b/>
                <w:bCs/>
              </w:rPr>
            </w:pPr>
            <w:r>
              <w:t xml:space="preserve">   </w:t>
            </w:r>
            <w:r w:rsidRPr="00CF40BB" w:rsidR="00851F63">
              <w:rPr>
                <w:b/>
                <w:bCs/>
              </w:rPr>
              <w:t>$</w:t>
            </w:r>
            <w:r w:rsidRPr="00CF40BB" w:rsidR="00200283">
              <w:rPr>
                <w:b/>
                <w:bCs/>
              </w:rPr>
              <w:t>14</w:t>
            </w:r>
            <w:r w:rsidRPr="00CF40BB" w:rsidR="00851F63">
              <w:rPr>
                <w:b/>
                <w:bCs/>
              </w:rPr>
              <w:t>,</w:t>
            </w:r>
            <w:r w:rsidRPr="00CF40BB" w:rsidR="00200283">
              <w:rPr>
                <w:b/>
                <w:bCs/>
              </w:rPr>
              <w:t>892</w:t>
            </w:r>
            <w:r>
              <w:rPr>
                <w:b/>
                <w:bCs/>
              </w:rPr>
              <w:t>.00</w:t>
            </w:r>
          </w:p>
        </w:tc>
      </w:tr>
    </w:tbl>
    <w:p w:rsidRPr="00171EF4" w:rsidR="00F20F8E" w:rsidP="00F20F8E" w:rsidRDefault="00F20F8E" w14:paraId="4E64E228" w14:textId="77777777">
      <w:pPr>
        <w:rPr>
          <w:sz w:val="20"/>
          <w:szCs w:val="20"/>
        </w:rPr>
      </w:pPr>
      <w:r w:rsidRPr="001958EC">
        <w:rPr>
          <w:rFonts w:eastAsia="Calibri"/>
          <w:bCs/>
          <w:color w:val="000000"/>
          <w:sz w:val="22"/>
          <w:szCs w:val="22"/>
        </w:rPr>
        <w:t>*</w:t>
      </w:r>
      <w:r>
        <w:rPr>
          <w:rFonts w:eastAsia="Calibri"/>
          <w:bCs/>
          <w:color w:val="000000"/>
          <w:sz w:val="22"/>
          <w:szCs w:val="22"/>
        </w:rPr>
        <w:t xml:space="preserve"> C</w:t>
      </w:r>
      <w:r w:rsidRPr="001958EC">
        <w:rPr>
          <w:rFonts w:eastAsia="Calibri"/>
          <w:bCs/>
          <w:color w:val="000000"/>
          <w:sz w:val="20"/>
          <w:szCs w:val="20"/>
        </w:rPr>
        <w:t>ited from</w:t>
      </w:r>
      <w:r w:rsidRPr="00A75B80">
        <w:rPr>
          <w:rFonts w:eastAsia="Calibri"/>
          <w:color w:val="000000"/>
          <w:sz w:val="20"/>
          <w:szCs w:val="20"/>
        </w:rPr>
        <w:t xml:space="preserve"> </w:t>
      </w:r>
      <w:hyperlink w:history="1" r:id="rId9">
        <w:r w:rsidRPr="00171EF4">
          <w:rPr>
            <w:rStyle w:val="Hyperlink"/>
            <w:sz w:val="20"/>
            <w:szCs w:val="20"/>
          </w:rPr>
          <w:t>https://ohr.od.nih.gov/intrahr/Documents/title42/NIH_TITLE_42_PAY_MODEL_RANGES.pdf</w:t>
        </w:r>
      </w:hyperlink>
    </w:p>
    <w:p w:rsidRPr="00851F63" w:rsidR="00851F63" w:rsidP="00851F63" w:rsidRDefault="00851F63" w14:paraId="0F45094D" w14:textId="77777777">
      <w:pPr>
        <w:rPr>
          <w:b/>
        </w:rPr>
      </w:pPr>
    </w:p>
    <w:bookmarkEnd w:id="0"/>
    <w:bookmarkEnd w:id="2"/>
    <w:p w:rsidRPr="009A036B" w:rsidR="009A036B" w:rsidP="009A036B" w:rsidRDefault="009A036B" w14:paraId="6682909C" w14:textId="77777777">
      <w:r>
        <w:rPr>
          <w:b/>
        </w:rPr>
        <w:t xml:space="preserve">                </w:t>
      </w:r>
    </w:p>
    <w:p w:rsidR="0069403B" w:rsidP="00F06866" w:rsidRDefault="00ED6492" w14:paraId="39F28F02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P="00F06866" w:rsidRDefault="0069403B" w14:paraId="29650D81" w14:textId="77777777">
      <w:pPr>
        <w:rPr>
          <w:b/>
        </w:rPr>
      </w:pPr>
    </w:p>
    <w:p w:rsidR="00F06866" w:rsidP="00F06866" w:rsidRDefault="00636621" w14:paraId="24C3D62C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07FC1454" w14:textId="77777777">
      <w:pPr>
        <w:pStyle w:val="ListParagraph"/>
        <w:numPr>
          <w:ilvl w:val="0"/>
          <w:numId w:val="15"/>
        </w:numPr>
      </w:pPr>
      <w:r>
        <w:lastRenderedPageBreak/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[] Yes</w:t>
      </w:r>
      <w:r>
        <w:tab/>
      </w:r>
      <w:r w:rsidRPr="003B1738">
        <w:t>[</w:t>
      </w:r>
      <w:r w:rsidR="00F325DC">
        <w:t>X</w:t>
      </w:r>
      <w:r w:rsidRPr="003B1738">
        <w:t>] No</w:t>
      </w:r>
    </w:p>
    <w:p w:rsidR="00636621" w:rsidP="00636621" w:rsidRDefault="00636621" w14:paraId="6CA492C9" w14:textId="77777777">
      <w:pPr>
        <w:pStyle w:val="ListParagraph"/>
      </w:pPr>
    </w:p>
    <w:p w:rsidR="00636621" w:rsidP="001B0AAA" w:rsidRDefault="00636621" w14:paraId="00A012AC" w14:textId="77777777">
      <w:r w:rsidRPr="00636621">
        <w:t xml:space="preserve">If the answer is yes, </w:t>
      </w:r>
      <w:r>
        <w:t xml:space="preserve">please </w:t>
      </w:r>
      <w:proofErr w:type="gramStart"/>
      <w:r>
        <w:t>provide</w:t>
      </w:r>
      <w:proofErr w:type="gramEnd"/>
      <w:r>
        <w:t xml:space="preserve">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F57ECB" w:rsidP="001B0AAA" w:rsidRDefault="00F57ECB" w14:paraId="17F90875" w14:textId="77777777"/>
    <w:p w:rsidR="006669F3" w:rsidP="006669F3" w:rsidRDefault="006669F3" w14:paraId="47C63E48" w14:textId="77777777">
      <w:pPr>
        <w:pStyle w:val="ListParagraph"/>
        <w:ind w:left="0"/>
      </w:pPr>
      <w:r>
        <w:t xml:space="preserve">Respondents will be users </w:t>
      </w:r>
      <w:proofErr w:type="gramStart"/>
      <w:r>
        <w:t>of  the</w:t>
      </w:r>
      <w:proofErr w:type="gramEnd"/>
      <w:r>
        <w:t xml:space="preserve"> ClinicalTrials.gov website who click on the provided survey link and </w:t>
      </w:r>
      <w:r w:rsidRPr="00DD7A6C">
        <w:t xml:space="preserve">dial in via their home internet network </w:t>
      </w:r>
      <w:r>
        <w:t>to p</w:t>
      </w:r>
      <w:r w:rsidRPr="00DD7A6C">
        <w:t>articipa</w:t>
      </w:r>
      <w:r>
        <w:t xml:space="preserve">te in </w:t>
      </w:r>
      <w:r w:rsidRPr="00DD7A6C">
        <w:t xml:space="preserve">the </w:t>
      </w:r>
      <w:r>
        <w:t xml:space="preserve">online usability testing and </w:t>
      </w:r>
      <w:r w:rsidRPr="00DD7A6C">
        <w:t>virtual call</w:t>
      </w:r>
      <w:r>
        <w:t>.</w:t>
      </w:r>
    </w:p>
    <w:p w:rsidR="00A403BB" w:rsidP="00A403BB" w:rsidRDefault="00A403BB" w14:paraId="1B5023F7" w14:textId="77777777"/>
    <w:p w:rsidR="00A403BB" w:rsidP="00A403BB" w:rsidRDefault="00A403BB" w14:paraId="6C8087C1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19E4ECD4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 w14:paraId="7E5E4246" w14:textId="77777777">
      <w:pPr>
        <w:ind w:left="720"/>
      </w:pPr>
      <w:r w:rsidRPr="003B1738">
        <w:t>[</w:t>
      </w:r>
      <w:r w:rsidRPr="003B1738" w:rsidR="00F57ECB">
        <w:rPr>
          <w:b/>
        </w:rPr>
        <w:t>X</w:t>
      </w:r>
      <w:r w:rsidRPr="003B1738">
        <w:t>] Web-based</w:t>
      </w:r>
      <w:r w:rsidRPr="003B1738" w:rsidR="001B0AAA">
        <w:t xml:space="preserve"> or other forms of Social Media</w:t>
      </w:r>
      <w:r w:rsidR="001B0AAA">
        <w:t xml:space="preserve"> </w:t>
      </w:r>
    </w:p>
    <w:p w:rsidR="001B0AAA" w:rsidP="001B0AAA" w:rsidRDefault="00A403BB" w14:paraId="01217FA7" w14:textId="77777777">
      <w:pPr>
        <w:ind w:left="720"/>
      </w:pPr>
      <w:r>
        <w:t>[</w:t>
      </w:r>
      <w:r w:rsidR="00DF6CAC">
        <w:rPr>
          <w:b/>
        </w:rPr>
        <w:t xml:space="preserve"> </w:t>
      </w:r>
      <w:r w:rsidR="001268C8">
        <w:rPr>
          <w:b/>
        </w:rPr>
        <w:t>_</w:t>
      </w:r>
      <w:r>
        <w:t>] Telephone</w:t>
      </w:r>
      <w:r>
        <w:tab/>
      </w:r>
    </w:p>
    <w:p w:rsidR="001B0AAA" w:rsidP="001B0AAA" w:rsidRDefault="00A403BB" w14:paraId="7D2AE5D5" w14:textId="77777777">
      <w:pPr>
        <w:ind w:left="720"/>
      </w:pPr>
      <w:proofErr w:type="gramStart"/>
      <w:r>
        <w:t>[</w:t>
      </w:r>
      <w:r w:rsidR="001B0AAA">
        <w:t xml:space="preserve"> </w:t>
      </w:r>
      <w:r>
        <w:t xml:space="preserve"> ]</w:t>
      </w:r>
      <w:proofErr w:type="gramEnd"/>
      <w:r>
        <w:t xml:space="preserve"> In-person</w:t>
      </w:r>
      <w:r>
        <w:tab/>
      </w:r>
    </w:p>
    <w:p w:rsidR="001B0AAA" w:rsidP="001B0AAA" w:rsidRDefault="00A403BB" w14:paraId="71C0171C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Mail</w:t>
      </w:r>
      <w:r w:rsidR="001B0AAA">
        <w:t xml:space="preserve"> </w:t>
      </w:r>
    </w:p>
    <w:p w:rsidR="001B0AAA" w:rsidP="001B0AAA" w:rsidRDefault="00A403BB" w14:paraId="714386C7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Other, Explain</w:t>
      </w:r>
    </w:p>
    <w:p w:rsidR="00F57ECB" w:rsidP="001B0AAA" w:rsidRDefault="00F57ECB" w14:paraId="46967901" w14:textId="77777777">
      <w:pPr>
        <w:ind w:left="720"/>
      </w:pPr>
    </w:p>
    <w:p w:rsidR="00F24CFC" w:rsidP="00F24CFC" w:rsidRDefault="00F24CFC" w14:paraId="15ACE6D2" w14:textId="77777777">
      <w:pPr>
        <w:pStyle w:val="ListParagraph"/>
        <w:numPr>
          <w:ilvl w:val="0"/>
          <w:numId w:val="17"/>
        </w:numPr>
      </w:pPr>
      <w:r>
        <w:t>Will interviewers or facilitators be used?  [</w:t>
      </w:r>
      <w:r w:rsidR="001268C8">
        <w:t>X]</w:t>
      </w:r>
      <w:r>
        <w:t xml:space="preserve"> Yes </w:t>
      </w:r>
      <w:proofErr w:type="gramStart"/>
      <w:r w:rsidRPr="003B1738">
        <w:t>[</w:t>
      </w:r>
      <w:r w:rsidR="001268C8">
        <w:rPr>
          <w:b/>
        </w:rPr>
        <w:t xml:space="preserve"> </w:t>
      </w:r>
      <w:r w:rsidRPr="003B1738" w:rsidR="00CB5DB1">
        <w:t>]</w:t>
      </w:r>
      <w:proofErr w:type="gramEnd"/>
      <w:r w:rsidRPr="003B1738">
        <w:t xml:space="preserve"> No</w:t>
      </w:r>
    </w:p>
    <w:p w:rsidR="00F24CFC" w:rsidP="00F24CFC" w:rsidRDefault="00F24CFC" w14:paraId="251FB665" w14:textId="77777777">
      <w:pPr>
        <w:pStyle w:val="ListParagraph"/>
        <w:ind w:left="360"/>
      </w:pPr>
      <w:r>
        <w:t xml:space="preserve"> </w:t>
      </w:r>
    </w:p>
    <w:p w:rsidRPr="00AE14B1" w:rsidR="00E8127E" w:rsidP="00AE14B1" w:rsidRDefault="00E8127E" w14:paraId="4CA50BB2" w14:textId="77777777"/>
    <w:p w:rsidR="005E714A" w:rsidP="00F24CFC" w:rsidRDefault="005E714A" w14:paraId="72BE7EAF" w14:textId="77777777">
      <w:pPr>
        <w:tabs>
          <w:tab w:val="left" w:pos="5670"/>
        </w:tabs>
        <w:suppressAutoHyphens/>
      </w:pPr>
    </w:p>
    <w:sectPr w:rsidR="005E714A" w:rsidSect="00194AC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9EE375" w14:textId="77777777" w:rsidR="004F7A99" w:rsidRDefault="004F7A99">
      <w:r>
        <w:separator/>
      </w:r>
    </w:p>
  </w:endnote>
  <w:endnote w:type="continuationSeparator" w:id="0">
    <w:p w14:paraId="27EDD15B" w14:textId="77777777" w:rsidR="004F7A99" w:rsidRDefault="004F7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6F7E89" w14:textId="77777777" w:rsidR="00AD3AD0" w:rsidRDefault="00AD3A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FDD48D" w14:textId="77777777"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0F4416">
      <w:rPr>
        <w:rStyle w:val="PageNumber"/>
        <w:noProof/>
        <w:sz w:val="20"/>
        <w:szCs w:val="20"/>
      </w:rPr>
      <w:t>3</w:t>
    </w:r>
    <w:r>
      <w:rPr>
        <w:rStyle w:val="PageNumber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66F611" w14:textId="77777777" w:rsidR="00AD3AD0" w:rsidRDefault="00AD3A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32F830" w14:textId="77777777" w:rsidR="004F7A99" w:rsidRDefault="004F7A99">
      <w:r>
        <w:separator/>
      </w:r>
    </w:p>
  </w:footnote>
  <w:footnote w:type="continuationSeparator" w:id="0">
    <w:p w14:paraId="11500F55" w14:textId="77777777" w:rsidR="004F7A99" w:rsidRDefault="004F7A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D7FE43" w14:textId="77777777" w:rsidR="00AD3AD0" w:rsidRDefault="00AD3A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1F23F4" w14:textId="77777777" w:rsidR="003668D6" w:rsidRDefault="003668D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A72F6F" w14:textId="77777777" w:rsidR="00AD3AD0" w:rsidRDefault="00AD3A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B021A1"/>
    <w:multiLevelType w:val="hybridMultilevel"/>
    <w:tmpl w:val="143C9932"/>
    <w:lvl w:ilvl="0" w:tplc="85324D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6F2043"/>
    <w:multiLevelType w:val="hybridMultilevel"/>
    <w:tmpl w:val="370AF19A"/>
    <w:lvl w:ilvl="0" w:tplc="718201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1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A62A18"/>
    <w:multiLevelType w:val="hybridMultilevel"/>
    <w:tmpl w:val="AEFA54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0F5E9D"/>
    <w:multiLevelType w:val="hybridMultilevel"/>
    <w:tmpl w:val="71ECDB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A1464E"/>
    <w:multiLevelType w:val="hybridMultilevel"/>
    <w:tmpl w:val="A48C2A7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3DB0D13"/>
    <w:multiLevelType w:val="hybridMultilevel"/>
    <w:tmpl w:val="BE7C303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9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1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2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1"/>
  </w:num>
  <w:num w:numId="3">
    <w:abstractNumId w:val="20"/>
  </w:num>
  <w:num w:numId="4">
    <w:abstractNumId w:val="22"/>
  </w:num>
  <w:num w:numId="5">
    <w:abstractNumId w:val="3"/>
  </w:num>
  <w:num w:numId="6">
    <w:abstractNumId w:val="1"/>
  </w:num>
  <w:num w:numId="7">
    <w:abstractNumId w:val="10"/>
  </w:num>
  <w:num w:numId="8">
    <w:abstractNumId w:val="18"/>
  </w:num>
  <w:num w:numId="9">
    <w:abstractNumId w:val="11"/>
  </w:num>
  <w:num w:numId="10">
    <w:abstractNumId w:val="2"/>
  </w:num>
  <w:num w:numId="11">
    <w:abstractNumId w:val="7"/>
  </w:num>
  <w:num w:numId="12">
    <w:abstractNumId w:val="9"/>
  </w:num>
  <w:num w:numId="13">
    <w:abstractNumId w:val="0"/>
  </w:num>
  <w:num w:numId="14">
    <w:abstractNumId w:val="19"/>
  </w:num>
  <w:num w:numId="15">
    <w:abstractNumId w:val="17"/>
  </w:num>
  <w:num w:numId="16">
    <w:abstractNumId w:val="13"/>
  </w:num>
  <w:num w:numId="17">
    <w:abstractNumId w:val="4"/>
  </w:num>
  <w:num w:numId="18">
    <w:abstractNumId w:val="5"/>
  </w:num>
  <w:num w:numId="19">
    <w:abstractNumId w:val="14"/>
  </w:num>
  <w:num w:numId="20">
    <w:abstractNumId w:val="15"/>
  </w:num>
  <w:num w:numId="21">
    <w:abstractNumId w:val="16"/>
  </w:num>
  <w:num w:numId="22">
    <w:abstractNumId w:val="8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6383F"/>
    <w:rsid w:val="00023A57"/>
    <w:rsid w:val="00031469"/>
    <w:rsid w:val="00040953"/>
    <w:rsid w:val="000471F3"/>
    <w:rsid w:val="00047A64"/>
    <w:rsid w:val="00066195"/>
    <w:rsid w:val="00067329"/>
    <w:rsid w:val="00070277"/>
    <w:rsid w:val="000722CE"/>
    <w:rsid w:val="00075925"/>
    <w:rsid w:val="00081A14"/>
    <w:rsid w:val="000913EC"/>
    <w:rsid w:val="000A135A"/>
    <w:rsid w:val="000B2838"/>
    <w:rsid w:val="000C5A03"/>
    <w:rsid w:val="000D44CA"/>
    <w:rsid w:val="000E200B"/>
    <w:rsid w:val="000E421E"/>
    <w:rsid w:val="000F202F"/>
    <w:rsid w:val="000F4416"/>
    <w:rsid w:val="000F68BE"/>
    <w:rsid w:val="001268C8"/>
    <w:rsid w:val="00147969"/>
    <w:rsid w:val="00162F83"/>
    <w:rsid w:val="0017172E"/>
    <w:rsid w:val="00181DDA"/>
    <w:rsid w:val="001855D1"/>
    <w:rsid w:val="0019052F"/>
    <w:rsid w:val="001927A4"/>
    <w:rsid w:val="00194AC6"/>
    <w:rsid w:val="001976F5"/>
    <w:rsid w:val="00197ADD"/>
    <w:rsid w:val="001A23B0"/>
    <w:rsid w:val="001A25CC"/>
    <w:rsid w:val="001A34D2"/>
    <w:rsid w:val="001B0AAA"/>
    <w:rsid w:val="001C39F7"/>
    <w:rsid w:val="001D4DE7"/>
    <w:rsid w:val="001E393E"/>
    <w:rsid w:val="001E495E"/>
    <w:rsid w:val="00200283"/>
    <w:rsid w:val="002121FB"/>
    <w:rsid w:val="002134A0"/>
    <w:rsid w:val="002267E5"/>
    <w:rsid w:val="002357D0"/>
    <w:rsid w:val="00235FC3"/>
    <w:rsid w:val="00237B48"/>
    <w:rsid w:val="0024521E"/>
    <w:rsid w:val="00252A85"/>
    <w:rsid w:val="00256BCD"/>
    <w:rsid w:val="00263C3D"/>
    <w:rsid w:val="002659FB"/>
    <w:rsid w:val="00273267"/>
    <w:rsid w:val="00274D0B"/>
    <w:rsid w:val="00281A52"/>
    <w:rsid w:val="00284110"/>
    <w:rsid w:val="002A2651"/>
    <w:rsid w:val="002B3C95"/>
    <w:rsid w:val="002D0B92"/>
    <w:rsid w:val="002D26E2"/>
    <w:rsid w:val="002F20B8"/>
    <w:rsid w:val="00301BDB"/>
    <w:rsid w:val="00305881"/>
    <w:rsid w:val="00305E98"/>
    <w:rsid w:val="00312F1F"/>
    <w:rsid w:val="0032019F"/>
    <w:rsid w:val="00325759"/>
    <w:rsid w:val="0034486D"/>
    <w:rsid w:val="0036096D"/>
    <w:rsid w:val="003668D6"/>
    <w:rsid w:val="00373988"/>
    <w:rsid w:val="00393E2C"/>
    <w:rsid w:val="00393F82"/>
    <w:rsid w:val="003979BF"/>
    <w:rsid w:val="003A4F15"/>
    <w:rsid w:val="003A7074"/>
    <w:rsid w:val="003B1738"/>
    <w:rsid w:val="003C18A4"/>
    <w:rsid w:val="003D122F"/>
    <w:rsid w:val="003D5BBE"/>
    <w:rsid w:val="003E0A53"/>
    <w:rsid w:val="003E3676"/>
    <w:rsid w:val="003E3C61"/>
    <w:rsid w:val="003F1C5B"/>
    <w:rsid w:val="004031CC"/>
    <w:rsid w:val="00425FCD"/>
    <w:rsid w:val="00431EB1"/>
    <w:rsid w:val="00434E33"/>
    <w:rsid w:val="00441434"/>
    <w:rsid w:val="00441A16"/>
    <w:rsid w:val="0044301E"/>
    <w:rsid w:val="0045264C"/>
    <w:rsid w:val="004876EC"/>
    <w:rsid w:val="004D132C"/>
    <w:rsid w:val="004D4A9A"/>
    <w:rsid w:val="004D6E14"/>
    <w:rsid w:val="004F7A99"/>
    <w:rsid w:val="005009B0"/>
    <w:rsid w:val="00500ABB"/>
    <w:rsid w:val="005220E4"/>
    <w:rsid w:val="0057071A"/>
    <w:rsid w:val="0058547E"/>
    <w:rsid w:val="005960F4"/>
    <w:rsid w:val="005A1006"/>
    <w:rsid w:val="005A772A"/>
    <w:rsid w:val="005B1EA2"/>
    <w:rsid w:val="005C25E4"/>
    <w:rsid w:val="005D4155"/>
    <w:rsid w:val="005D55F1"/>
    <w:rsid w:val="005D7B44"/>
    <w:rsid w:val="005E714A"/>
    <w:rsid w:val="006051F7"/>
    <w:rsid w:val="00611E19"/>
    <w:rsid w:val="006122C4"/>
    <w:rsid w:val="006140A0"/>
    <w:rsid w:val="00624104"/>
    <w:rsid w:val="006329FE"/>
    <w:rsid w:val="00633F74"/>
    <w:rsid w:val="00634EF9"/>
    <w:rsid w:val="00636621"/>
    <w:rsid w:val="00641A1B"/>
    <w:rsid w:val="00642B49"/>
    <w:rsid w:val="00650B38"/>
    <w:rsid w:val="006664CD"/>
    <w:rsid w:val="006669F3"/>
    <w:rsid w:val="006832D9"/>
    <w:rsid w:val="00686301"/>
    <w:rsid w:val="0069403B"/>
    <w:rsid w:val="006A1CFF"/>
    <w:rsid w:val="006B582A"/>
    <w:rsid w:val="006C3CD6"/>
    <w:rsid w:val="006C5D52"/>
    <w:rsid w:val="006D5F47"/>
    <w:rsid w:val="006F3DDE"/>
    <w:rsid w:val="006F64E7"/>
    <w:rsid w:val="007039EF"/>
    <w:rsid w:val="00704678"/>
    <w:rsid w:val="007224E2"/>
    <w:rsid w:val="00724AAD"/>
    <w:rsid w:val="00724B89"/>
    <w:rsid w:val="007425E7"/>
    <w:rsid w:val="00751B2A"/>
    <w:rsid w:val="00764429"/>
    <w:rsid w:val="00766D95"/>
    <w:rsid w:val="0077703F"/>
    <w:rsid w:val="00791050"/>
    <w:rsid w:val="00791CCE"/>
    <w:rsid w:val="007E291E"/>
    <w:rsid w:val="0080073D"/>
    <w:rsid w:val="00802607"/>
    <w:rsid w:val="00805985"/>
    <w:rsid w:val="008101A5"/>
    <w:rsid w:val="0081504C"/>
    <w:rsid w:val="00822664"/>
    <w:rsid w:val="0082643D"/>
    <w:rsid w:val="008435F0"/>
    <w:rsid w:val="00843796"/>
    <w:rsid w:val="00844313"/>
    <w:rsid w:val="00851F63"/>
    <w:rsid w:val="00864BF1"/>
    <w:rsid w:val="00876219"/>
    <w:rsid w:val="00895229"/>
    <w:rsid w:val="008B5091"/>
    <w:rsid w:val="008F0203"/>
    <w:rsid w:val="008F3135"/>
    <w:rsid w:val="008F50D4"/>
    <w:rsid w:val="009009D5"/>
    <w:rsid w:val="009128B5"/>
    <w:rsid w:val="009239AA"/>
    <w:rsid w:val="00932288"/>
    <w:rsid w:val="00932926"/>
    <w:rsid w:val="00935ADA"/>
    <w:rsid w:val="009401F7"/>
    <w:rsid w:val="00946B6C"/>
    <w:rsid w:val="00955A71"/>
    <w:rsid w:val="0096108F"/>
    <w:rsid w:val="00963CD3"/>
    <w:rsid w:val="00967B17"/>
    <w:rsid w:val="00982D43"/>
    <w:rsid w:val="00982F98"/>
    <w:rsid w:val="00983D3B"/>
    <w:rsid w:val="00991435"/>
    <w:rsid w:val="0099568A"/>
    <w:rsid w:val="009A036B"/>
    <w:rsid w:val="009B64FB"/>
    <w:rsid w:val="009B683A"/>
    <w:rsid w:val="009C13B9"/>
    <w:rsid w:val="009C5FAC"/>
    <w:rsid w:val="009D01A2"/>
    <w:rsid w:val="009E277B"/>
    <w:rsid w:val="009F1DBB"/>
    <w:rsid w:val="009F5923"/>
    <w:rsid w:val="00A141AF"/>
    <w:rsid w:val="00A14ECD"/>
    <w:rsid w:val="00A228E9"/>
    <w:rsid w:val="00A229F1"/>
    <w:rsid w:val="00A23330"/>
    <w:rsid w:val="00A27CDC"/>
    <w:rsid w:val="00A33992"/>
    <w:rsid w:val="00A403BB"/>
    <w:rsid w:val="00A674DF"/>
    <w:rsid w:val="00A83AA6"/>
    <w:rsid w:val="00AA022C"/>
    <w:rsid w:val="00AC0CA5"/>
    <w:rsid w:val="00AC60E8"/>
    <w:rsid w:val="00AD2F3B"/>
    <w:rsid w:val="00AD3AD0"/>
    <w:rsid w:val="00AD7435"/>
    <w:rsid w:val="00AE14B1"/>
    <w:rsid w:val="00AE1809"/>
    <w:rsid w:val="00B015B7"/>
    <w:rsid w:val="00B02491"/>
    <w:rsid w:val="00B0518E"/>
    <w:rsid w:val="00B26572"/>
    <w:rsid w:val="00B527AD"/>
    <w:rsid w:val="00B71372"/>
    <w:rsid w:val="00B7397E"/>
    <w:rsid w:val="00B80D76"/>
    <w:rsid w:val="00B82F95"/>
    <w:rsid w:val="00B90641"/>
    <w:rsid w:val="00BA2105"/>
    <w:rsid w:val="00BA7E06"/>
    <w:rsid w:val="00BB43B5"/>
    <w:rsid w:val="00BB5606"/>
    <w:rsid w:val="00BB6219"/>
    <w:rsid w:val="00BC0312"/>
    <w:rsid w:val="00BC676D"/>
    <w:rsid w:val="00BD290F"/>
    <w:rsid w:val="00BD39B3"/>
    <w:rsid w:val="00BF5AC8"/>
    <w:rsid w:val="00C14CC4"/>
    <w:rsid w:val="00C33C52"/>
    <w:rsid w:val="00C40D8B"/>
    <w:rsid w:val="00C54F81"/>
    <w:rsid w:val="00C663D5"/>
    <w:rsid w:val="00C811B1"/>
    <w:rsid w:val="00C8407A"/>
    <w:rsid w:val="00C8488C"/>
    <w:rsid w:val="00C86E91"/>
    <w:rsid w:val="00CA19A3"/>
    <w:rsid w:val="00CA2010"/>
    <w:rsid w:val="00CA2650"/>
    <w:rsid w:val="00CB1078"/>
    <w:rsid w:val="00CB5DB1"/>
    <w:rsid w:val="00CC6FAF"/>
    <w:rsid w:val="00CF40BB"/>
    <w:rsid w:val="00CF4B92"/>
    <w:rsid w:val="00CF5416"/>
    <w:rsid w:val="00D123B8"/>
    <w:rsid w:val="00D2088C"/>
    <w:rsid w:val="00D219DF"/>
    <w:rsid w:val="00D24698"/>
    <w:rsid w:val="00D317C7"/>
    <w:rsid w:val="00D44F04"/>
    <w:rsid w:val="00D6383F"/>
    <w:rsid w:val="00D66EDB"/>
    <w:rsid w:val="00D7068B"/>
    <w:rsid w:val="00D96576"/>
    <w:rsid w:val="00DA1D63"/>
    <w:rsid w:val="00DB4A58"/>
    <w:rsid w:val="00DB59D0"/>
    <w:rsid w:val="00DC33D3"/>
    <w:rsid w:val="00DF0003"/>
    <w:rsid w:val="00DF4025"/>
    <w:rsid w:val="00DF6CAC"/>
    <w:rsid w:val="00E10175"/>
    <w:rsid w:val="00E12B6D"/>
    <w:rsid w:val="00E17A3B"/>
    <w:rsid w:val="00E26329"/>
    <w:rsid w:val="00E272A9"/>
    <w:rsid w:val="00E40B50"/>
    <w:rsid w:val="00E50293"/>
    <w:rsid w:val="00E65FFC"/>
    <w:rsid w:val="00E6624A"/>
    <w:rsid w:val="00E66F6F"/>
    <w:rsid w:val="00E80951"/>
    <w:rsid w:val="00E8127E"/>
    <w:rsid w:val="00E86CC6"/>
    <w:rsid w:val="00E931B9"/>
    <w:rsid w:val="00EA75E1"/>
    <w:rsid w:val="00EB56B3"/>
    <w:rsid w:val="00ED6492"/>
    <w:rsid w:val="00EF2095"/>
    <w:rsid w:val="00EF7F42"/>
    <w:rsid w:val="00F01040"/>
    <w:rsid w:val="00F0397E"/>
    <w:rsid w:val="00F03EE1"/>
    <w:rsid w:val="00F06866"/>
    <w:rsid w:val="00F07F1D"/>
    <w:rsid w:val="00F10ACC"/>
    <w:rsid w:val="00F15956"/>
    <w:rsid w:val="00F1730E"/>
    <w:rsid w:val="00F20F8E"/>
    <w:rsid w:val="00F22AAB"/>
    <w:rsid w:val="00F24CFC"/>
    <w:rsid w:val="00F31622"/>
    <w:rsid w:val="00F3170F"/>
    <w:rsid w:val="00F325DC"/>
    <w:rsid w:val="00F57ECB"/>
    <w:rsid w:val="00F62407"/>
    <w:rsid w:val="00F80632"/>
    <w:rsid w:val="00F945EF"/>
    <w:rsid w:val="00F976B0"/>
    <w:rsid w:val="00FA6DE7"/>
    <w:rsid w:val="00FA76A0"/>
    <w:rsid w:val="00FB0F57"/>
    <w:rsid w:val="00FC0A8E"/>
    <w:rsid w:val="00FE2FA6"/>
    <w:rsid w:val="00FE340A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00CA9C2E"/>
  <w15:chartTrackingRefBased/>
  <w15:docId w15:val="{EA3156BC-9E42-49E3-81E1-0681A93EC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customStyle="1" w:styleId="HeaderChar">
    <w:name w:val="Header Char"/>
    <w:link w:val="Header"/>
    <w:uiPriority w:val="99"/>
    <w:rsid w:val="00D219DF"/>
    <w:rPr>
      <w:snapToGrid w:val="0"/>
      <w:sz w:val="24"/>
      <w:szCs w:val="24"/>
    </w:rPr>
  </w:style>
  <w:style w:type="character" w:styleId="Hyperlink">
    <w:name w:val="Hyperlink"/>
    <w:rsid w:val="00C54F81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C54F81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17172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4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ls.gov/oes/current/oes_nat.ht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ohr.od.nih.gov/intrahr/Documents/title42/NIH_TITLE_42_PAY_MODEL_RANGES.pdf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34E8D7-1593-4538-BF2F-F5666EE72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742</Words>
  <Characters>4234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4967</CharactersWithSpaces>
  <SharedDoc>false</SharedDoc>
  <HLinks>
    <vt:vector size="12" baseType="variant">
      <vt:variant>
        <vt:i4>655483</vt:i4>
      </vt:variant>
      <vt:variant>
        <vt:i4>3</vt:i4>
      </vt:variant>
      <vt:variant>
        <vt:i4>0</vt:i4>
      </vt:variant>
      <vt:variant>
        <vt:i4>5</vt:i4>
      </vt:variant>
      <vt:variant>
        <vt:lpwstr>https://ohr.od.nih.gov/intrahr/Documents/title42/NIH_TITLE_42_PAY_MODEL_RANGES.pdf</vt:lpwstr>
      </vt:variant>
      <vt:variant>
        <vt:lpwstr/>
      </vt:variant>
      <vt:variant>
        <vt:i4>7798815</vt:i4>
      </vt:variant>
      <vt:variant>
        <vt:i4>0</vt:i4>
      </vt:variant>
      <vt:variant>
        <vt:i4>0</vt:i4>
      </vt:variant>
      <vt:variant>
        <vt:i4>5</vt:i4>
      </vt:variant>
      <vt:variant>
        <vt:lpwstr>https://www.bls.gov/oes/current/oes_nat.htm</vt:lpwstr>
      </vt:variant>
      <vt:variant>
        <vt:lpwstr>00-0000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Abdelmouti, Tawanda (NIH/OD) [E]</cp:lastModifiedBy>
  <cp:revision>2</cp:revision>
  <cp:lastPrinted>2010-10-04T16:59:00Z</cp:lastPrinted>
  <dcterms:created xsi:type="dcterms:W3CDTF">2021-02-02T23:09:00Z</dcterms:created>
  <dcterms:modified xsi:type="dcterms:W3CDTF">2021-02-02T23:09:00Z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