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F7526" w:rsidR="00E304A2" w:rsidP="00BF7526" w:rsidRDefault="00BF7526" w14:paraId="7D916585" w14:textId="090E9C36">
      <w:pPr>
        <w:jc w:val="center"/>
        <w:rPr>
          <w:b/>
          <w:sz w:val="24"/>
          <w:szCs w:val="24"/>
        </w:rPr>
      </w:pPr>
      <w:r w:rsidRPr="00BF7526">
        <w:rPr>
          <w:b/>
          <w:sz w:val="24"/>
          <w:szCs w:val="24"/>
        </w:rPr>
        <w:t xml:space="preserve">Supporting Justification for the OMB New Request for Clearance of the </w:t>
      </w:r>
      <w:r w:rsidR="001B00FD">
        <w:rPr>
          <w:b/>
          <w:sz w:val="24"/>
          <w:szCs w:val="24"/>
        </w:rPr>
        <w:t>“</w:t>
      </w:r>
      <w:r w:rsidRPr="001B00FD" w:rsidR="001B00FD">
        <w:rPr>
          <w:b/>
          <w:sz w:val="24"/>
          <w:szCs w:val="24"/>
        </w:rPr>
        <w:t>Advancing the Response to COVI</w:t>
      </w:r>
      <w:r w:rsidR="000D3F8A">
        <w:rPr>
          <w:b/>
          <w:sz w:val="24"/>
          <w:szCs w:val="24"/>
        </w:rPr>
        <w:t>D-19 Learning Community Measure</w:t>
      </w:r>
      <w:r w:rsidR="001B00FD">
        <w:rPr>
          <w:b/>
          <w:sz w:val="24"/>
          <w:szCs w:val="24"/>
        </w:rPr>
        <w:t>”</w:t>
      </w:r>
    </w:p>
    <w:p w:rsidRPr="00BF7526" w:rsidR="00E304A2" w:rsidP="00BF7526" w:rsidRDefault="00E304A2" w14:paraId="4DF09208" w14:textId="77777777">
      <w:pPr>
        <w:jc w:val="center"/>
        <w:rPr>
          <w:sz w:val="24"/>
          <w:szCs w:val="24"/>
        </w:rPr>
      </w:pPr>
    </w:p>
    <w:p w:rsidRPr="00EB5D6D" w:rsidR="00E304A2" w:rsidP="00BF7526" w:rsidRDefault="00E304A2" w14:paraId="211F1A58" w14:textId="77777777">
      <w:pPr>
        <w:jc w:val="center"/>
      </w:pPr>
    </w:p>
    <w:p w:rsidR="00E304A2" w:rsidP="00BF7526" w:rsidRDefault="00E304A2" w14:paraId="414268DA" w14:textId="77777777">
      <w:pPr>
        <w:spacing w:line="276" w:lineRule="auto"/>
        <w:jc w:val="center"/>
        <w:rPr>
          <w:rStyle w:val="CharacterStyle5"/>
          <w:bCs w:val="0"/>
          <w:spacing w:val="-5"/>
          <w:szCs w:val="32"/>
        </w:rPr>
      </w:pPr>
    </w:p>
    <w:p w:rsidR="00E304A2" w:rsidP="00E304A2" w:rsidRDefault="00E304A2" w14:paraId="2BBD4698" w14:textId="77777777">
      <w:pPr>
        <w:spacing w:line="276" w:lineRule="auto"/>
        <w:jc w:val="center"/>
        <w:rPr>
          <w:rStyle w:val="CharacterStyle5"/>
          <w:bCs w:val="0"/>
          <w:spacing w:val="-5"/>
          <w:szCs w:val="32"/>
        </w:rPr>
      </w:pPr>
    </w:p>
    <w:p w:rsidR="00E304A2" w:rsidP="00E304A2" w:rsidRDefault="00E304A2" w14:paraId="1749EF11" w14:textId="77777777">
      <w:pPr>
        <w:spacing w:line="276" w:lineRule="auto"/>
        <w:jc w:val="center"/>
        <w:rPr>
          <w:rStyle w:val="CharacterStyle5"/>
          <w:bCs w:val="0"/>
          <w:spacing w:val="-5"/>
          <w:szCs w:val="32"/>
        </w:rPr>
      </w:pPr>
    </w:p>
    <w:p w:rsidRPr="00BF7526" w:rsidR="00E304A2" w:rsidP="00E304A2" w:rsidRDefault="00E304A2" w14:paraId="0A651B59" w14:textId="77777777">
      <w:pPr>
        <w:spacing w:line="276" w:lineRule="auto"/>
        <w:jc w:val="center"/>
        <w:rPr>
          <w:rStyle w:val="CharacterStyle5"/>
          <w:b w:val="0"/>
          <w:bCs w:val="0"/>
          <w:i/>
          <w:spacing w:val="42"/>
          <w:sz w:val="32"/>
          <w:szCs w:val="32"/>
        </w:rPr>
      </w:pPr>
      <w:r w:rsidRPr="00CD4DD3">
        <w:rPr>
          <w:rStyle w:val="CharacterStyle5"/>
          <w:bCs w:val="0"/>
          <w:i/>
          <w:spacing w:val="-5"/>
          <w:sz w:val="32"/>
          <w:szCs w:val="32"/>
        </w:rPr>
        <w:t>Supporting Statement</w:t>
      </w:r>
      <w:r>
        <w:rPr>
          <w:rStyle w:val="CharacterStyle5"/>
          <w:bCs w:val="0"/>
          <w:i/>
          <w:spacing w:val="-5"/>
          <w:sz w:val="32"/>
          <w:szCs w:val="32"/>
        </w:rPr>
        <w:t xml:space="preserve"> A</w:t>
      </w:r>
      <w:r w:rsidR="00BF7526">
        <w:rPr>
          <w:rStyle w:val="CharacterStyle5"/>
          <w:bCs w:val="0"/>
          <w:i/>
          <w:spacing w:val="-5"/>
          <w:sz w:val="32"/>
          <w:szCs w:val="32"/>
        </w:rPr>
        <w:t xml:space="preserve">: </w:t>
      </w:r>
      <w:r w:rsidRPr="00BF7526" w:rsidR="00BF7526">
        <w:rPr>
          <w:rStyle w:val="CharacterStyle5"/>
          <w:bCs w:val="0"/>
          <w:i/>
          <w:spacing w:val="-5"/>
          <w:sz w:val="32"/>
          <w:szCs w:val="32"/>
        </w:rPr>
        <w:t>Justification for the Collection of the Data</w:t>
      </w:r>
    </w:p>
    <w:p w:rsidRPr="00EB5D6D" w:rsidR="00E304A2" w:rsidP="00E304A2" w:rsidRDefault="00E304A2" w14:paraId="63D6D356" w14:textId="77777777">
      <w:pPr>
        <w:spacing w:line="276" w:lineRule="auto"/>
        <w:jc w:val="center"/>
        <w:rPr>
          <w:rStyle w:val="CharacterStyle5"/>
          <w:bCs w:val="0"/>
          <w:spacing w:val="42"/>
          <w:sz w:val="32"/>
          <w:szCs w:val="32"/>
        </w:rPr>
      </w:pPr>
      <w:r w:rsidRPr="00EB5D6D">
        <w:rPr>
          <w:rStyle w:val="CharacterStyle5"/>
          <w:bCs w:val="0"/>
          <w:spacing w:val="42"/>
          <w:sz w:val="32"/>
          <w:szCs w:val="32"/>
        </w:rPr>
        <w:br/>
      </w:r>
    </w:p>
    <w:p w:rsidRPr="00EB5D6D" w:rsidR="00E304A2" w:rsidP="00E304A2" w:rsidRDefault="00E304A2" w14:paraId="43767850" w14:textId="77777777">
      <w:pPr>
        <w:jc w:val="center"/>
        <w:rPr>
          <w:rStyle w:val="CharacterStyle5"/>
          <w:b w:val="0"/>
          <w:bCs w:val="0"/>
          <w:i/>
          <w:iCs/>
          <w:spacing w:val="61"/>
          <w:sz w:val="30"/>
          <w:szCs w:val="30"/>
        </w:rPr>
      </w:pPr>
    </w:p>
    <w:p w:rsidRPr="00EB5D6D" w:rsidR="00E304A2" w:rsidP="00E304A2" w:rsidRDefault="00E304A2" w14:paraId="32F26862" w14:textId="77777777">
      <w:pPr>
        <w:jc w:val="center"/>
      </w:pPr>
    </w:p>
    <w:p w:rsidRPr="00EB5D6D" w:rsidR="00E304A2" w:rsidP="00E304A2" w:rsidRDefault="00E304A2" w14:paraId="189B50D8" w14:textId="77777777">
      <w:pPr>
        <w:jc w:val="center"/>
        <w:rPr>
          <w:sz w:val="28"/>
          <w:szCs w:val="28"/>
        </w:rPr>
      </w:pPr>
    </w:p>
    <w:p w:rsidRPr="00EB5D6D" w:rsidR="00E304A2" w:rsidP="00E304A2" w:rsidRDefault="00E304A2" w14:paraId="19792EC3" w14:textId="77777777">
      <w:pPr>
        <w:jc w:val="center"/>
        <w:rPr>
          <w:sz w:val="28"/>
          <w:szCs w:val="28"/>
        </w:rPr>
      </w:pPr>
    </w:p>
    <w:p w:rsidRPr="005A2274" w:rsidR="00DA732D" w:rsidP="005A2274" w:rsidRDefault="005A2274" w14:paraId="7E7F87FF" w14:textId="1952980A">
      <w:pPr>
        <w:widowControl/>
        <w:autoSpaceDE/>
        <w:autoSpaceDN/>
        <w:adjustRightInd/>
        <w:spacing w:after="160" w:line="259" w:lineRule="auto"/>
        <w:jc w:val="center"/>
        <w:rPr>
          <w:sz w:val="24"/>
          <w:szCs w:val="24"/>
        </w:rPr>
      </w:pPr>
      <w:r w:rsidRPr="005A2274">
        <w:rPr>
          <w:sz w:val="24"/>
          <w:szCs w:val="24"/>
        </w:rPr>
        <w:t>2/19/2021</w:t>
      </w:r>
    </w:p>
    <w:p w:rsidR="00DA732D" w:rsidRDefault="00DA732D" w14:paraId="7D913F70" w14:textId="77777777">
      <w:pPr>
        <w:widowControl/>
        <w:autoSpaceDE/>
        <w:autoSpaceDN/>
        <w:adjustRightInd/>
        <w:spacing w:after="160" w:line="259" w:lineRule="auto"/>
      </w:pPr>
    </w:p>
    <w:p w:rsidR="00DA732D" w:rsidRDefault="00DA732D" w14:paraId="483BAAFE" w14:textId="77777777">
      <w:pPr>
        <w:widowControl/>
        <w:autoSpaceDE/>
        <w:autoSpaceDN/>
        <w:adjustRightInd/>
        <w:spacing w:after="160" w:line="259" w:lineRule="auto"/>
      </w:pPr>
    </w:p>
    <w:p w:rsidRPr="00EB5D6D" w:rsidR="00DA732D" w:rsidP="00DA732D" w:rsidRDefault="00DA732D" w14:paraId="341B9D21" w14:textId="77777777">
      <w:pPr>
        <w:jc w:val="center"/>
        <w:rPr>
          <w:sz w:val="28"/>
          <w:szCs w:val="28"/>
        </w:rPr>
      </w:pPr>
      <w:r w:rsidRPr="00EB5D6D">
        <w:rPr>
          <w:sz w:val="28"/>
          <w:szCs w:val="28"/>
        </w:rPr>
        <w:t>Submitted by:</w:t>
      </w:r>
    </w:p>
    <w:p w:rsidRPr="00EB5D6D" w:rsidR="00DA732D" w:rsidP="00DA732D" w:rsidRDefault="00DA732D" w14:paraId="2267C013" w14:textId="77777777">
      <w:pPr>
        <w:jc w:val="center"/>
        <w:rPr>
          <w:sz w:val="28"/>
          <w:szCs w:val="28"/>
        </w:rPr>
      </w:pPr>
    </w:p>
    <w:p w:rsidR="00DA732D" w:rsidP="00DA732D" w:rsidRDefault="00DA732D" w14:paraId="01405E84" w14:textId="77777777">
      <w:pPr>
        <w:jc w:val="center"/>
        <w:rPr>
          <w:sz w:val="28"/>
          <w:szCs w:val="28"/>
        </w:rPr>
      </w:pPr>
      <w:r>
        <w:rPr>
          <w:sz w:val="28"/>
          <w:szCs w:val="28"/>
        </w:rPr>
        <w:t>US Department of Health and Human Services (HHS)</w:t>
      </w:r>
    </w:p>
    <w:p w:rsidR="00DA732D" w:rsidP="00DA732D" w:rsidRDefault="00DA732D" w14:paraId="1D76979E" w14:textId="77777777">
      <w:pPr>
        <w:jc w:val="center"/>
        <w:rPr>
          <w:sz w:val="28"/>
          <w:szCs w:val="28"/>
        </w:rPr>
      </w:pPr>
      <w:r>
        <w:rPr>
          <w:sz w:val="28"/>
          <w:szCs w:val="28"/>
        </w:rPr>
        <w:t>Office of the Assistant Secretary (OASH)</w:t>
      </w:r>
    </w:p>
    <w:p w:rsidRPr="00EB5D6D" w:rsidR="00DA732D" w:rsidP="00DA732D" w:rsidRDefault="00DA732D" w14:paraId="69A33B93" w14:textId="77777777">
      <w:pPr>
        <w:jc w:val="center"/>
        <w:rPr>
          <w:sz w:val="28"/>
          <w:szCs w:val="28"/>
        </w:rPr>
      </w:pPr>
      <w:r w:rsidRPr="00EB5D6D">
        <w:rPr>
          <w:sz w:val="28"/>
          <w:szCs w:val="28"/>
        </w:rPr>
        <w:t>Office of Minority Health</w:t>
      </w:r>
      <w:r>
        <w:rPr>
          <w:sz w:val="28"/>
          <w:szCs w:val="28"/>
        </w:rPr>
        <w:t xml:space="preserve"> (OMH)</w:t>
      </w:r>
    </w:p>
    <w:p w:rsidRPr="00EB5D6D" w:rsidR="00DA732D" w:rsidP="00DA732D" w:rsidRDefault="00DA732D" w14:paraId="36315E11" w14:textId="77777777">
      <w:pPr>
        <w:jc w:val="center"/>
        <w:rPr>
          <w:noProof/>
          <w:sz w:val="28"/>
          <w:szCs w:val="28"/>
        </w:rPr>
      </w:pPr>
      <w:r w:rsidRPr="00EB5D6D">
        <w:rPr>
          <w:noProof/>
          <w:sz w:val="28"/>
          <w:szCs w:val="28"/>
        </w:rPr>
        <w:t>1101 Woot</w:t>
      </w:r>
      <w:r>
        <w:rPr>
          <w:noProof/>
          <w:sz w:val="28"/>
          <w:szCs w:val="28"/>
        </w:rPr>
        <w:t>t</w:t>
      </w:r>
      <w:r w:rsidRPr="00EB5D6D">
        <w:rPr>
          <w:noProof/>
          <w:sz w:val="28"/>
          <w:szCs w:val="28"/>
        </w:rPr>
        <w:t>on Parkway, Suite 600</w:t>
      </w:r>
    </w:p>
    <w:p w:rsidRPr="00EB5D6D" w:rsidR="00DA732D" w:rsidP="00DA732D" w:rsidRDefault="00DA732D" w14:paraId="1EF2844D" w14:textId="77777777">
      <w:pPr>
        <w:jc w:val="center"/>
        <w:rPr>
          <w:noProof/>
          <w:sz w:val="28"/>
          <w:szCs w:val="28"/>
        </w:rPr>
      </w:pPr>
      <w:smartTag w:uri="urn:schemas-microsoft-com:office:smarttags" w:element="place">
        <w:smartTag w:uri="urn:schemas-microsoft-com:office:smarttags" w:element="City">
          <w:r w:rsidRPr="00EB5D6D">
            <w:rPr>
              <w:noProof/>
              <w:sz w:val="28"/>
              <w:szCs w:val="28"/>
            </w:rPr>
            <w:t>Rockville</w:t>
          </w:r>
        </w:smartTag>
        <w:r w:rsidRPr="00EB5D6D">
          <w:rPr>
            <w:noProof/>
            <w:sz w:val="28"/>
            <w:szCs w:val="28"/>
          </w:rPr>
          <w:t xml:space="preserve">, </w:t>
        </w:r>
        <w:smartTag w:uri="urn:schemas-microsoft-com:office:smarttags" w:element="State">
          <w:r w:rsidRPr="00EB5D6D">
            <w:rPr>
              <w:noProof/>
              <w:sz w:val="28"/>
              <w:szCs w:val="28"/>
            </w:rPr>
            <w:t>MD</w:t>
          </w:r>
        </w:smartTag>
        <w:r w:rsidRPr="00EB5D6D">
          <w:rPr>
            <w:noProof/>
            <w:sz w:val="28"/>
            <w:szCs w:val="28"/>
          </w:rPr>
          <w:t xml:space="preserve"> </w:t>
        </w:r>
        <w:smartTag w:uri="urn:schemas-microsoft-com:office:smarttags" w:element="PostalCode">
          <w:r w:rsidRPr="00EB5D6D">
            <w:rPr>
              <w:noProof/>
              <w:sz w:val="28"/>
              <w:szCs w:val="28"/>
            </w:rPr>
            <w:t>20852</w:t>
          </w:r>
        </w:smartTag>
      </w:smartTag>
    </w:p>
    <w:p w:rsidR="00BF7526" w:rsidP="00BF7526" w:rsidRDefault="00BF7526" w14:paraId="58CA3472" w14:textId="77777777">
      <w:pPr>
        <w:widowControl/>
        <w:autoSpaceDE/>
        <w:autoSpaceDN/>
        <w:adjustRightInd/>
        <w:spacing w:after="160" w:line="259" w:lineRule="auto"/>
        <w:jc w:val="right"/>
      </w:pPr>
    </w:p>
    <w:p w:rsidR="00BF7526" w:rsidP="00BF7526" w:rsidRDefault="00BF7526" w14:paraId="604AD546" w14:textId="77777777">
      <w:pPr>
        <w:widowControl/>
        <w:autoSpaceDE/>
        <w:autoSpaceDN/>
        <w:adjustRightInd/>
        <w:spacing w:after="160" w:line="259" w:lineRule="auto"/>
        <w:jc w:val="right"/>
      </w:pPr>
    </w:p>
    <w:p w:rsidRPr="00727E85" w:rsidR="00BF7526" w:rsidP="00BF7526" w:rsidRDefault="00BF7526" w14:paraId="31E4D2CB" w14:textId="77777777">
      <w:pPr>
        <w:widowControl/>
        <w:autoSpaceDE/>
        <w:autoSpaceDN/>
        <w:adjustRightInd/>
        <w:spacing w:after="160" w:line="259" w:lineRule="auto"/>
        <w:jc w:val="center"/>
      </w:pPr>
      <w:r>
        <w:t>Project Officer: Dianne Rucinski, PhD</w:t>
      </w:r>
      <w:r w:rsidR="007F678A">
        <w:br w:type="page"/>
      </w:r>
    </w:p>
    <w:p w:rsidRPr="00BF7526" w:rsidR="00BF7526" w:rsidRDefault="00BF7526" w14:paraId="327792F5" w14:textId="77777777">
      <w:pPr>
        <w:widowControl/>
        <w:autoSpaceDE/>
        <w:autoSpaceDN/>
        <w:adjustRightInd/>
        <w:spacing w:after="160" w:line="259" w:lineRule="auto"/>
      </w:pPr>
    </w:p>
    <w:p w:rsidR="00DA732D" w:rsidRDefault="00DA732D" w14:paraId="304D9958" w14:textId="77777777">
      <w:pPr>
        <w:widowControl/>
        <w:autoSpaceDE/>
        <w:autoSpaceDN/>
        <w:adjustRightInd/>
        <w:spacing w:after="160" w:line="259" w:lineRule="auto"/>
      </w:pPr>
    </w:p>
    <w:p w:rsidRPr="00CC6B56" w:rsidR="007F678A" w:rsidP="007F678A" w:rsidRDefault="007F678A" w14:paraId="2C00A4BB" w14:textId="77777777">
      <w:pPr>
        <w:pStyle w:val="TOCHeading"/>
        <w:jc w:val="center"/>
        <w:rPr>
          <w:rFonts w:ascii="Times New Roman" w:hAnsi="Times New Roman"/>
          <w:color w:val="auto"/>
          <w:sz w:val="36"/>
          <w:szCs w:val="36"/>
        </w:rPr>
      </w:pPr>
      <w:r w:rsidRPr="00CC6B56">
        <w:rPr>
          <w:rFonts w:ascii="Times New Roman" w:hAnsi="Times New Roman"/>
          <w:color w:val="auto"/>
          <w:sz w:val="36"/>
          <w:szCs w:val="36"/>
        </w:rPr>
        <w:t>Table of Contents</w:t>
      </w:r>
    </w:p>
    <w:p w:rsidR="007F678A" w:rsidP="007F678A" w:rsidRDefault="007F678A" w14:paraId="2FBC52A8" w14:textId="77777777"/>
    <w:p w:rsidRPr="00EC07F1" w:rsidR="007F678A" w:rsidP="007F678A" w:rsidRDefault="007F678A" w14:paraId="66BBBDC3" w14:textId="77777777">
      <w:pPr>
        <w:pStyle w:val="TOC1"/>
      </w:pPr>
      <w:r>
        <w:t>A.</w:t>
      </w:r>
      <w:r>
        <w:tab/>
      </w:r>
      <w:r w:rsidRPr="00EC07F1">
        <w:t>Justification</w:t>
      </w:r>
    </w:p>
    <w:p w:rsidRPr="00EC07F1" w:rsidR="007F678A" w:rsidP="007F678A" w:rsidRDefault="007F678A" w14:paraId="4B6BCDA9" w14:textId="77777777">
      <w:pPr>
        <w:ind w:left="1800" w:hanging="720"/>
        <w:rPr>
          <w:sz w:val="24"/>
          <w:szCs w:val="24"/>
        </w:rPr>
      </w:pPr>
      <w:r w:rsidRPr="00EC07F1">
        <w:rPr>
          <w:sz w:val="24"/>
          <w:szCs w:val="24"/>
        </w:rPr>
        <w:t>A.1</w:t>
      </w:r>
      <w:r w:rsidRPr="00EC07F1">
        <w:rPr>
          <w:sz w:val="24"/>
          <w:szCs w:val="24"/>
        </w:rPr>
        <w:tab/>
      </w:r>
      <w:r>
        <w:rPr>
          <w:sz w:val="24"/>
          <w:szCs w:val="24"/>
        </w:rPr>
        <w:t>Circumstances Making the Collection of Information Necessary</w:t>
      </w:r>
    </w:p>
    <w:p w:rsidRPr="00EC07F1" w:rsidR="007F678A" w:rsidP="007F678A" w:rsidRDefault="007F678A" w14:paraId="01BDB4D9" w14:textId="77777777">
      <w:pPr>
        <w:ind w:left="1800" w:hanging="720"/>
        <w:rPr>
          <w:bCs/>
          <w:sz w:val="24"/>
          <w:szCs w:val="24"/>
        </w:rPr>
      </w:pPr>
      <w:r w:rsidRPr="00EC07F1">
        <w:rPr>
          <w:sz w:val="24"/>
          <w:szCs w:val="24"/>
        </w:rPr>
        <w:t>A.2</w:t>
      </w:r>
      <w:r w:rsidRPr="00EC07F1">
        <w:rPr>
          <w:sz w:val="24"/>
          <w:szCs w:val="24"/>
        </w:rPr>
        <w:tab/>
      </w:r>
      <w:r>
        <w:rPr>
          <w:sz w:val="24"/>
          <w:szCs w:val="24"/>
        </w:rPr>
        <w:t>Purpose and Use of Information Collection</w:t>
      </w:r>
    </w:p>
    <w:p w:rsidRPr="00EC07F1" w:rsidR="007F678A" w:rsidP="007F678A" w:rsidRDefault="007F678A" w14:paraId="65CFA440" w14:textId="77777777">
      <w:pPr>
        <w:tabs>
          <w:tab w:val="left" w:pos="1800"/>
        </w:tabs>
        <w:ind w:left="1800" w:hanging="720"/>
        <w:rPr>
          <w:sz w:val="24"/>
          <w:szCs w:val="24"/>
        </w:rPr>
      </w:pPr>
      <w:r w:rsidRPr="00EC07F1">
        <w:rPr>
          <w:sz w:val="24"/>
          <w:szCs w:val="24"/>
        </w:rPr>
        <w:t>A.3</w:t>
      </w:r>
      <w:r w:rsidRPr="00EC07F1">
        <w:rPr>
          <w:sz w:val="24"/>
          <w:szCs w:val="24"/>
        </w:rPr>
        <w:tab/>
      </w:r>
      <w:r>
        <w:rPr>
          <w:sz w:val="24"/>
          <w:szCs w:val="24"/>
        </w:rPr>
        <w:t>Use of Improved Information Technology and Burden Reduction</w:t>
      </w:r>
    </w:p>
    <w:p w:rsidRPr="00EC07F1" w:rsidR="007F678A" w:rsidP="007F678A" w:rsidRDefault="007F678A" w14:paraId="69DD06AA" w14:textId="77777777">
      <w:pPr>
        <w:tabs>
          <w:tab w:val="left" w:pos="1800"/>
        </w:tabs>
        <w:ind w:left="1800" w:hanging="720"/>
        <w:rPr>
          <w:sz w:val="24"/>
          <w:szCs w:val="24"/>
        </w:rPr>
      </w:pPr>
      <w:r w:rsidRPr="00EC07F1">
        <w:rPr>
          <w:sz w:val="24"/>
          <w:szCs w:val="24"/>
        </w:rPr>
        <w:t>A.4</w:t>
      </w:r>
      <w:r w:rsidRPr="00EC07F1">
        <w:rPr>
          <w:sz w:val="24"/>
          <w:szCs w:val="24"/>
        </w:rPr>
        <w:tab/>
      </w:r>
      <w:r>
        <w:rPr>
          <w:sz w:val="24"/>
          <w:szCs w:val="24"/>
        </w:rPr>
        <w:t>Efforts to Identify Duplication and Use of Similar Information</w:t>
      </w:r>
    </w:p>
    <w:p w:rsidRPr="00EC07F1" w:rsidR="007F678A" w:rsidP="007F678A" w:rsidRDefault="007F678A" w14:paraId="5F558950" w14:textId="77777777">
      <w:pPr>
        <w:tabs>
          <w:tab w:val="left" w:pos="1800"/>
        </w:tabs>
        <w:ind w:left="1800" w:hanging="720"/>
        <w:rPr>
          <w:sz w:val="24"/>
          <w:szCs w:val="24"/>
        </w:rPr>
      </w:pPr>
      <w:r w:rsidRPr="00EC07F1">
        <w:rPr>
          <w:sz w:val="24"/>
          <w:szCs w:val="24"/>
        </w:rPr>
        <w:t>A.5</w:t>
      </w:r>
      <w:r w:rsidRPr="00EC07F1">
        <w:rPr>
          <w:sz w:val="24"/>
          <w:szCs w:val="24"/>
        </w:rPr>
        <w:tab/>
      </w:r>
      <w:r>
        <w:rPr>
          <w:sz w:val="24"/>
          <w:szCs w:val="24"/>
        </w:rPr>
        <w:t>Impact on Small Businesses or Other Small Entities</w:t>
      </w:r>
    </w:p>
    <w:p w:rsidRPr="00EC07F1" w:rsidR="007F678A" w:rsidP="007F678A" w:rsidRDefault="007F678A" w14:paraId="6F81AEEE" w14:textId="77777777">
      <w:pPr>
        <w:tabs>
          <w:tab w:val="left" w:pos="1800"/>
        </w:tabs>
        <w:ind w:left="1800" w:hanging="720"/>
        <w:rPr>
          <w:sz w:val="24"/>
          <w:szCs w:val="24"/>
        </w:rPr>
      </w:pPr>
      <w:r w:rsidRPr="00EC07F1">
        <w:rPr>
          <w:sz w:val="24"/>
          <w:szCs w:val="24"/>
        </w:rPr>
        <w:t>A.6</w:t>
      </w:r>
      <w:r w:rsidRPr="00EC07F1">
        <w:rPr>
          <w:sz w:val="24"/>
          <w:szCs w:val="24"/>
        </w:rPr>
        <w:tab/>
      </w:r>
      <w:r>
        <w:rPr>
          <w:sz w:val="24"/>
          <w:szCs w:val="24"/>
        </w:rPr>
        <w:t>Consequences of Collecting the Information Less Frequently</w:t>
      </w:r>
    </w:p>
    <w:p w:rsidRPr="00EC07F1" w:rsidR="007F678A" w:rsidP="007F678A" w:rsidRDefault="007F678A" w14:paraId="5D20DDBD" w14:textId="77777777">
      <w:pPr>
        <w:tabs>
          <w:tab w:val="left" w:pos="1800"/>
        </w:tabs>
        <w:ind w:left="1800" w:hanging="720"/>
        <w:rPr>
          <w:sz w:val="24"/>
          <w:szCs w:val="24"/>
        </w:rPr>
      </w:pPr>
      <w:r w:rsidRPr="00EC07F1">
        <w:rPr>
          <w:sz w:val="24"/>
          <w:szCs w:val="24"/>
        </w:rPr>
        <w:t>A.7</w:t>
      </w:r>
      <w:r w:rsidRPr="00EC07F1">
        <w:rPr>
          <w:sz w:val="24"/>
          <w:szCs w:val="24"/>
        </w:rPr>
        <w:tab/>
        <w:t>Special Circumstances</w:t>
      </w:r>
      <w:r>
        <w:rPr>
          <w:sz w:val="24"/>
          <w:szCs w:val="24"/>
        </w:rPr>
        <w:t xml:space="preserve"> Relating to the Guidelines of 5 CFR 1320.5</w:t>
      </w:r>
    </w:p>
    <w:p w:rsidRPr="00EC07F1" w:rsidR="007F678A" w:rsidP="007F678A" w:rsidRDefault="007F678A" w14:paraId="50E79079" w14:textId="77777777">
      <w:pPr>
        <w:tabs>
          <w:tab w:val="left" w:pos="1800"/>
        </w:tabs>
        <w:ind w:left="1800" w:hanging="720"/>
        <w:rPr>
          <w:sz w:val="24"/>
          <w:szCs w:val="24"/>
        </w:rPr>
      </w:pPr>
      <w:r w:rsidRPr="00EC07F1">
        <w:rPr>
          <w:sz w:val="24"/>
          <w:szCs w:val="24"/>
        </w:rPr>
        <w:t>A.8</w:t>
      </w:r>
      <w:r w:rsidRPr="00EC07F1">
        <w:rPr>
          <w:sz w:val="24"/>
          <w:szCs w:val="24"/>
        </w:rPr>
        <w:tab/>
      </w:r>
      <w:r w:rsidRPr="00084317">
        <w:rPr>
          <w:sz w:val="24"/>
          <w:szCs w:val="24"/>
        </w:rPr>
        <w:t>Comments in Response to the Federal Register Notice/Outside Consultation</w:t>
      </w:r>
    </w:p>
    <w:p w:rsidRPr="00EC07F1" w:rsidR="007F678A" w:rsidP="007F678A" w:rsidRDefault="007F678A" w14:paraId="5E9E529D" w14:textId="77777777">
      <w:pPr>
        <w:tabs>
          <w:tab w:val="left" w:pos="1800"/>
        </w:tabs>
        <w:ind w:left="1800" w:hanging="720"/>
        <w:rPr>
          <w:sz w:val="24"/>
          <w:szCs w:val="24"/>
        </w:rPr>
      </w:pPr>
      <w:r w:rsidRPr="00EC07F1">
        <w:rPr>
          <w:sz w:val="24"/>
          <w:szCs w:val="24"/>
        </w:rPr>
        <w:t>A.9</w:t>
      </w:r>
      <w:r w:rsidRPr="00EC07F1">
        <w:rPr>
          <w:sz w:val="24"/>
          <w:szCs w:val="24"/>
        </w:rPr>
        <w:tab/>
      </w:r>
      <w:r>
        <w:rPr>
          <w:sz w:val="24"/>
          <w:szCs w:val="24"/>
        </w:rPr>
        <w:t xml:space="preserve">Explanation of any </w:t>
      </w:r>
      <w:r w:rsidRPr="00EC07F1">
        <w:rPr>
          <w:sz w:val="24"/>
          <w:szCs w:val="24"/>
        </w:rPr>
        <w:t>Payment/Gift to Respondents</w:t>
      </w:r>
    </w:p>
    <w:p w:rsidRPr="00EC07F1" w:rsidR="007F678A" w:rsidP="007F678A" w:rsidRDefault="007F678A" w14:paraId="7AD43702" w14:textId="77777777">
      <w:pPr>
        <w:tabs>
          <w:tab w:val="left" w:pos="1800"/>
        </w:tabs>
        <w:ind w:left="1800" w:hanging="720"/>
        <w:rPr>
          <w:sz w:val="24"/>
          <w:szCs w:val="24"/>
        </w:rPr>
      </w:pPr>
      <w:r w:rsidRPr="00EC07F1">
        <w:rPr>
          <w:sz w:val="24"/>
          <w:szCs w:val="24"/>
        </w:rPr>
        <w:t>A.10</w:t>
      </w:r>
      <w:r w:rsidRPr="00EC07F1">
        <w:rPr>
          <w:sz w:val="24"/>
          <w:szCs w:val="24"/>
        </w:rPr>
        <w:tab/>
      </w:r>
      <w:r>
        <w:rPr>
          <w:sz w:val="24"/>
          <w:szCs w:val="24"/>
        </w:rPr>
        <w:t xml:space="preserve">Assurance of </w:t>
      </w:r>
      <w:r w:rsidRPr="00EC07F1">
        <w:rPr>
          <w:sz w:val="24"/>
          <w:szCs w:val="24"/>
        </w:rPr>
        <w:t>Confidentiality</w:t>
      </w:r>
      <w:r>
        <w:rPr>
          <w:sz w:val="24"/>
          <w:szCs w:val="24"/>
        </w:rPr>
        <w:t xml:space="preserve"> Provided to Respondents</w:t>
      </w:r>
    </w:p>
    <w:p w:rsidRPr="00EC07F1" w:rsidR="007F678A" w:rsidP="007F678A" w:rsidRDefault="007F678A" w14:paraId="3A4F5019" w14:textId="77777777">
      <w:pPr>
        <w:tabs>
          <w:tab w:val="left" w:pos="1800"/>
        </w:tabs>
        <w:ind w:left="1800" w:hanging="720"/>
        <w:rPr>
          <w:sz w:val="24"/>
          <w:szCs w:val="24"/>
        </w:rPr>
      </w:pPr>
      <w:r w:rsidRPr="00EC07F1">
        <w:rPr>
          <w:sz w:val="24"/>
          <w:szCs w:val="24"/>
        </w:rPr>
        <w:t xml:space="preserve">A.11 </w:t>
      </w:r>
      <w:r w:rsidRPr="00EC07F1">
        <w:rPr>
          <w:sz w:val="24"/>
          <w:szCs w:val="24"/>
        </w:rPr>
        <w:tab/>
      </w:r>
      <w:r>
        <w:rPr>
          <w:sz w:val="24"/>
          <w:szCs w:val="24"/>
        </w:rPr>
        <w:t>Justification for Sensitive Questions</w:t>
      </w:r>
    </w:p>
    <w:p w:rsidRPr="00EC07F1" w:rsidR="007F678A" w:rsidP="007F678A" w:rsidRDefault="007F678A" w14:paraId="0FC0990A" w14:textId="77777777">
      <w:pPr>
        <w:tabs>
          <w:tab w:val="left" w:pos="1800"/>
        </w:tabs>
        <w:ind w:left="1800" w:hanging="720"/>
        <w:rPr>
          <w:sz w:val="24"/>
          <w:szCs w:val="24"/>
        </w:rPr>
      </w:pPr>
      <w:r w:rsidRPr="00EC07F1">
        <w:rPr>
          <w:sz w:val="24"/>
          <w:szCs w:val="24"/>
        </w:rPr>
        <w:t>A.12</w:t>
      </w:r>
      <w:r w:rsidRPr="00EC07F1">
        <w:rPr>
          <w:sz w:val="24"/>
          <w:szCs w:val="24"/>
        </w:rPr>
        <w:tab/>
      </w:r>
      <w:r>
        <w:rPr>
          <w:sz w:val="24"/>
          <w:szCs w:val="24"/>
        </w:rPr>
        <w:t>Estimates of Annualized Hour and Cost Burden</w:t>
      </w:r>
    </w:p>
    <w:p w:rsidRPr="00EC07F1" w:rsidR="007F678A" w:rsidP="007F678A" w:rsidRDefault="007F678A" w14:paraId="6ABBD2D2" w14:textId="77777777">
      <w:pPr>
        <w:tabs>
          <w:tab w:val="left" w:pos="1800"/>
        </w:tabs>
        <w:ind w:left="1800" w:hanging="720"/>
        <w:rPr>
          <w:sz w:val="24"/>
          <w:szCs w:val="24"/>
        </w:rPr>
      </w:pPr>
      <w:r w:rsidRPr="00EC07F1">
        <w:rPr>
          <w:sz w:val="24"/>
          <w:szCs w:val="24"/>
        </w:rPr>
        <w:t>A.13</w:t>
      </w:r>
      <w:r w:rsidRPr="00EC07F1">
        <w:rPr>
          <w:sz w:val="24"/>
          <w:szCs w:val="24"/>
        </w:rPr>
        <w:tab/>
      </w:r>
      <w:r>
        <w:rPr>
          <w:sz w:val="24"/>
          <w:szCs w:val="24"/>
        </w:rPr>
        <w:t>Estimates of other Total Annual Cost Burden to Respondents or Recordkeepers/Capital Costs</w:t>
      </w:r>
      <w:r w:rsidRPr="00EC07F1">
        <w:rPr>
          <w:sz w:val="24"/>
          <w:szCs w:val="24"/>
        </w:rPr>
        <w:t>)</w:t>
      </w:r>
    </w:p>
    <w:p w:rsidRPr="00EC07F1" w:rsidR="007F678A" w:rsidP="007F678A" w:rsidRDefault="007F678A" w14:paraId="4293B95A" w14:textId="77777777">
      <w:pPr>
        <w:tabs>
          <w:tab w:val="left" w:pos="1800"/>
        </w:tabs>
        <w:ind w:left="1800" w:hanging="720"/>
        <w:rPr>
          <w:sz w:val="24"/>
          <w:szCs w:val="24"/>
        </w:rPr>
      </w:pPr>
      <w:r w:rsidRPr="00EC07F1">
        <w:rPr>
          <w:sz w:val="24"/>
          <w:szCs w:val="24"/>
        </w:rPr>
        <w:t>A.14</w:t>
      </w:r>
      <w:r w:rsidRPr="00EC07F1">
        <w:rPr>
          <w:sz w:val="24"/>
          <w:szCs w:val="24"/>
        </w:rPr>
        <w:tab/>
      </w:r>
      <w:r>
        <w:rPr>
          <w:sz w:val="24"/>
          <w:szCs w:val="24"/>
        </w:rPr>
        <w:t xml:space="preserve">Annualized </w:t>
      </w:r>
      <w:r w:rsidRPr="00EC07F1">
        <w:rPr>
          <w:sz w:val="24"/>
          <w:szCs w:val="24"/>
        </w:rPr>
        <w:t>Cost to Federal Government</w:t>
      </w:r>
    </w:p>
    <w:p w:rsidRPr="00EC07F1" w:rsidR="007F678A" w:rsidP="007F678A" w:rsidRDefault="007F678A" w14:paraId="383A7D39" w14:textId="77777777">
      <w:pPr>
        <w:tabs>
          <w:tab w:val="left" w:pos="1800"/>
        </w:tabs>
        <w:ind w:left="1800" w:hanging="720"/>
        <w:rPr>
          <w:sz w:val="24"/>
          <w:szCs w:val="24"/>
        </w:rPr>
      </w:pPr>
      <w:r w:rsidRPr="00EC07F1">
        <w:rPr>
          <w:sz w:val="24"/>
          <w:szCs w:val="24"/>
        </w:rPr>
        <w:t>A.15</w:t>
      </w:r>
      <w:r w:rsidRPr="00EC07F1">
        <w:rPr>
          <w:sz w:val="24"/>
          <w:szCs w:val="24"/>
        </w:rPr>
        <w:tab/>
      </w:r>
      <w:r>
        <w:rPr>
          <w:sz w:val="24"/>
          <w:szCs w:val="24"/>
        </w:rPr>
        <w:t xml:space="preserve">Explanation for </w:t>
      </w:r>
      <w:r w:rsidRPr="00EC07F1">
        <w:rPr>
          <w:sz w:val="24"/>
          <w:szCs w:val="24"/>
        </w:rPr>
        <w:t xml:space="preserve">Program </w:t>
      </w:r>
      <w:r>
        <w:rPr>
          <w:sz w:val="24"/>
          <w:szCs w:val="24"/>
        </w:rPr>
        <w:t xml:space="preserve">Changes </w:t>
      </w:r>
      <w:r w:rsidRPr="00EC07F1">
        <w:rPr>
          <w:sz w:val="24"/>
          <w:szCs w:val="24"/>
        </w:rPr>
        <w:t xml:space="preserve">or </w:t>
      </w:r>
      <w:r>
        <w:rPr>
          <w:sz w:val="24"/>
          <w:szCs w:val="24"/>
        </w:rPr>
        <w:t>Adjustments</w:t>
      </w:r>
    </w:p>
    <w:p w:rsidRPr="00EC07F1" w:rsidR="007F678A" w:rsidP="007F678A" w:rsidRDefault="007F678A" w14:paraId="36E2D125" w14:textId="77777777">
      <w:pPr>
        <w:tabs>
          <w:tab w:val="left" w:pos="1800"/>
        </w:tabs>
        <w:ind w:left="1800" w:hanging="720"/>
        <w:rPr>
          <w:sz w:val="24"/>
          <w:szCs w:val="24"/>
        </w:rPr>
      </w:pPr>
      <w:r w:rsidRPr="00EC07F1">
        <w:rPr>
          <w:sz w:val="24"/>
          <w:szCs w:val="24"/>
        </w:rPr>
        <w:t>A.16</w:t>
      </w:r>
      <w:r w:rsidRPr="00EC07F1">
        <w:rPr>
          <w:sz w:val="24"/>
          <w:szCs w:val="24"/>
        </w:rPr>
        <w:tab/>
      </w:r>
      <w:r>
        <w:rPr>
          <w:sz w:val="24"/>
          <w:szCs w:val="24"/>
        </w:rPr>
        <w:t>Plans for Tabulation and Publication and Project Time Schedule</w:t>
      </w:r>
    </w:p>
    <w:p w:rsidRPr="00EC07F1" w:rsidR="007F678A" w:rsidP="007F678A" w:rsidRDefault="007F678A" w14:paraId="367E3F53" w14:textId="77777777">
      <w:pPr>
        <w:tabs>
          <w:tab w:val="left" w:pos="1800"/>
        </w:tabs>
        <w:ind w:left="1800" w:hanging="720"/>
        <w:rPr>
          <w:sz w:val="24"/>
          <w:szCs w:val="24"/>
        </w:rPr>
      </w:pPr>
      <w:r w:rsidRPr="00EC07F1">
        <w:rPr>
          <w:sz w:val="24"/>
          <w:szCs w:val="24"/>
        </w:rPr>
        <w:t>A.17</w:t>
      </w:r>
      <w:r w:rsidRPr="00EC07F1">
        <w:rPr>
          <w:sz w:val="24"/>
          <w:szCs w:val="24"/>
        </w:rPr>
        <w:tab/>
      </w:r>
      <w:r>
        <w:rPr>
          <w:sz w:val="24"/>
          <w:szCs w:val="24"/>
        </w:rPr>
        <w:t>Reason(s) Display of OMB Expiration Date is Inappropriate</w:t>
      </w:r>
    </w:p>
    <w:p w:rsidRPr="00EC07F1" w:rsidR="007F678A" w:rsidP="007F678A" w:rsidRDefault="007F678A" w14:paraId="2450268D" w14:textId="77777777">
      <w:pPr>
        <w:tabs>
          <w:tab w:val="left" w:pos="1800"/>
        </w:tabs>
        <w:ind w:left="1800" w:hanging="720"/>
        <w:rPr>
          <w:sz w:val="24"/>
          <w:szCs w:val="24"/>
        </w:rPr>
      </w:pPr>
      <w:r w:rsidRPr="00EC07F1">
        <w:rPr>
          <w:sz w:val="24"/>
          <w:szCs w:val="24"/>
        </w:rPr>
        <w:t>A.18</w:t>
      </w:r>
      <w:r w:rsidRPr="00EC07F1">
        <w:rPr>
          <w:sz w:val="24"/>
          <w:szCs w:val="24"/>
        </w:rPr>
        <w:tab/>
      </w:r>
      <w:r>
        <w:rPr>
          <w:sz w:val="24"/>
          <w:szCs w:val="24"/>
        </w:rPr>
        <w:t xml:space="preserve">Exceptions for </w:t>
      </w:r>
      <w:r w:rsidRPr="00EC07F1">
        <w:rPr>
          <w:sz w:val="24"/>
          <w:szCs w:val="24"/>
        </w:rPr>
        <w:t xml:space="preserve">Certification </w:t>
      </w:r>
      <w:r>
        <w:rPr>
          <w:sz w:val="24"/>
          <w:szCs w:val="24"/>
        </w:rPr>
        <w:t>for Paperwork Reduction Act Submissions</w:t>
      </w:r>
    </w:p>
    <w:p w:rsidR="00AC3B11" w:rsidP="00E304A2" w:rsidRDefault="00AC3B11" w14:paraId="31E3A912" w14:textId="77777777"/>
    <w:p w:rsidR="007F678A" w:rsidP="00E304A2" w:rsidRDefault="007F678A" w14:paraId="05D9D3B6" w14:textId="77777777"/>
    <w:p w:rsidRPr="007F678A" w:rsidR="007F678A" w:rsidP="007F678A" w:rsidRDefault="007F678A" w14:paraId="109B9B20" w14:textId="77777777">
      <w:pPr>
        <w:widowControl/>
        <w:tabs>
          <w:tab w:val="left" w:pos="720"/>
          <w:tab w:val="right" w:leader="dot" w:pos="9350"/>
        </w:tabs>
        <w:autoSpaceDE/>
        <w:autoSpaceDN/>
        <w:adjustRightInd/>
        <w:spacing w:before="180"/>
        <w:rPr>
          <w:b/>
          <w:sz w:val="24"/>
          <w:szCs w:val="24"/>
        </w:rPr>
      </w:pPr>
      <w:r w:rsidRPr="007F678A">
        <w:rPr>
          <w:b/>
          <w:noProof/>
          <w:sz w:val="24"/>
          <w:szCs w:val="24"/>
        </w:rPr>
        <w:t>Exhibits</w:t>
      </w:r>
    </w:p>
    <w:p w:rsidRPr="007F678A" w:rsidR="007F678A" w:rsidP="007F678A" w:rsidRDefault="007F678A" w14:paraId="1CE9AA34" w14:textId="77777777">
      <w:pPr>
        <w:pStyle w:val="ListParagraph"/>
        <w:widowControl/>
        <w:numPr>
          <w:ilvl w:val="0"/>
          <w:numId w:val="4"/>
        </w:numPr>
        <w:autoSpaceDE/>
        <w:autoSpaceDN/>
        <w:adjustRightInd/>
        <w:rPr>
          <w:sz w:val="24"/>
          <w:szCs w:val="24"/>
        </w:rPr>
      </w:pPr>
      <w:r w:rsidRPr="007F678A">
        <w:rPr>
          <w:bCs/>
          <w:sz w:val="24"/>
          <w:szCs w:val="24"/>
        </w:rPr>
        <w:t>Estimated Annualized Burden Hours</w:t>
      </w:r>
    </w:p>
    <w:p w:rsidR="007F678A" w:rsidP="007F678A" w:rsidRDefault="007F678A" w14:paraId="4B333FC4" w14:textId="77777777">
      <w:pPr>
        <w:pStyle w:val="ListParagraph"/>
        <w:widowControl/>
        <w:numPr>
          <w:ilvl w:val="0"/>
          <w:numId w:val="4"/>
        </w:numPr>
        <w:autoSpaceDE/>
        <w:autoSpaceDN/>
        <w:adjustRightInd/>
        <w:rPr>
          <w:bCs/>
          <w:sz w:val="24"/>
          <w:szCs w:val="24"/>
        </w:rPr>
      </w:pPr>
      <w:r w:rsidRPr="007F678A">
        <w:rPr>
          <w:bCs/>
          <w:sz w:val="24"/>
          <w:szCs w:val="24"/>
        </w:rPr>
        <w:t>Costs to the Federal Government</w:t>
      </w:r>
    </w:p>
    <w:p w:rsidR="007F678A" w:rsidRDefault="007F678A" w14:paraId="082228DC" w14:textId="77777777">
      <w:pPr>
        <w:widowControl/>
        <w:autoSpaceDE/>
        <w:autoSpaceDN/>
        <w:adjustRightInd/>
        <w:spacing w:after="160" w:line="259" w:lineRule="auto"/>
        <w:rPr>
          <w:bCs/>
          <w:sz w:val="24"/>
          <w:szCs w:val="24"/>
        </w:rPr>
      </w:pPr>
      <w:r>
        <w:rPr>
          <w:bCs/>
          <w:sz w:val="24"/>
          <w:szCs w:val="24"/>
        </w:rPr>
        <w:br w:type="page"/>
      </w:r>
    </w:p>
    <w:p w:rsidRPr="00C20D61" w:rsidR="00BF7526" w:rsidP="00C20D61" w:rsidRDefault="00492D4E" w14:paraId="338E6BD1" w14:textId="2183F14A">
      <w:pPr>
        <w:keepNext/>
        <w:widowControl/>
        <w:autoSpaceDE/>
        <w:autoSpaceDN/>
        <w:adjustRightInd/>
        <w:spacing w:after="180"/>
        <w:jc w:val="center"/>
        <w:outlineLvl w:val="0"/>
        <w:rPr>
          <w:b/>
          <w:bCs/>
          <w:kern w:val="32"/>
          <w:sz w:val="28"/>
          <w:szCs w:val="28"/>
          <w:lang w:eastAsia="x-none"/>
        </w:rPr>
      </w:pPr>
      <w:r w:rsidRPr="00492D4E">
        <w:rPr>
          <w:b/>
          <w:bCs/>
          <w:kern w:val="32"/>
          <w:sz w:val="28"/>
          <w:szCs w:val="28"/>
          <w:lang w:val="x-none" w:eastAsia="x-none"/>
        </w:rPr>
        <w:t>Supp</w:t>
      </w:r>
      <w:r w:rsidR="00BF7526">
        <w:rPr>
          <w:b/>
          <w:bCs/>
          <w:kern w:val="32"/>
          <w:sz w:val="28"/>
          <w:szCs w:val="28"/>
          <w:lang w:val="x-none" w:eastAsia="x-none"/>
        </w:rPr>
        <w:t xml:space="preserve">orting Statement for the </w:t>
      </w:r>
      <w:r w:rsidRPr="00C20D61" w:rsidR="00C20D61">
        <w:rPr>
          <w:b/>
          <w:bCs/>
          <w:kern w:val="32"/>
          <w:sz w:val="28"/>
          <w:szCs w:val="28"/>
          <w:lang w:val="x-none" w:eastAsia="x-none"/>
        </w:rPr>
        <w:t>Advancing the Response to COVID-19</w:t>
      </w:r>
      <w:r w:rsidR="00C20D61">
        <w:rPr>
          <w:b/>
          <w:bCs/>
          <w:kern w:val="32"/>
          <w:sz w:val="28"/>
          <w:szCs w:val="28"/>
          <w:lang w:eastAsia="x-none"/>
        </w:rPr>
        <w:t xml:space="preserve"> Learning Community Measures</w:t>
      </w:r>
    </w:p>
    <w:p w:rsidR="00CE1DCA" w:rsidP="00BF7526" w:rsidRDefault="00CA24E5" w14:paraId="79CAF27C" w14:textId="0DA00388">
      <w:pPr>
        <w:widowControl/>
        <w:autoSpaceDE/>
        <w:autoSpaceDN/>
        <w:adjustRightInd/>
        <w:spacing w:after="240"/>
        <w:rPr>
          <w:sz w:val="24"/>
          <w:szCs w:val="24"/>
        </w:rPr>
      </w:pPr>
      <w:r w:rsidRPr="00CA24E5">
        <w:rPr>
          <w:sz w:val="24"/>
          <w:szCs w:val="24"/>
        </w:rPr>
        <w:t xml:space="preserve">The COVID-19 Learning Community was created in response the Advancing the Response to COVID-19 Symposium in September 2020. The COVID-19 Learning Community is intended to share best practices, create a network of individuals working with AI/AN people and racial and ethnic minorities, and facilitate networking and peer-to-peer information sharing of promising practices, programs, and/or policy.  </w:t>
      </w:r>
    </w:p>
    <w:p w:rsidR="001F1CA0" w:rsidP="00827F69" w:rsidRDefault="00CA24E5" w14:paraId="19949DA9" w14:textId="0FA36FC6">
      <w:pPr>
        <w:widowControl/>
        <w:autoSpaceDE/>
        <w:autoSpaceDN/>
        <w:adjustRightInd/>
        <w:spacing w:after="240"/>
        <w:rPr>
          <w:sz w:val="24"/>
          <w:szCs w:val="24"/>
        </w:rPr>
      </w:pPr>
      <w:r w:rsidRPr="00CA24E5">
        <w:rPr>
          <w:sz w:val="24"/>
          <w:szCs w:val="24"/>
        </w:rPr>
        <w:t>The OMH plan</w:t>
      </w:r>
      <w:r w:rsidR="000260BB">
        <w:rPr>
          <w:sz w:val="24"/>
          <w:szCs w:val="24"/>
        </w:rPr>
        <w:t>s</w:t>
      </w:r>
      <w:r w:rsidRPr="00CA24E5">
        <w:rPr>
          <w:sz w:val="24"/>
          <w:szCs w:val="24"/>
        </w:rPr>
        <w:t xml:space="preserve"> to use </w:t>
      </w:r>
      <w:r w:rsidR="000260BB">
        <w:rPr>
          <w:sz w:val="24"/>
          <w:szCs w:val="24"/>
        </w:rPr>
        <w:t xml:space="preserve">a set </w:t>
      </w:r>
      <w:r w:rsidRPr="00CA24E5">
        <w:rPr>
          <w:sz w:val="24"/>
          <w:szCs w:val="24"/>
        </w:rPr>
        <w:t xml:space="preserve">performance and outcome measures to gather information </w:t>
      </w:r>
      <w:r w:rsidR="000260BB">
        <w:rPr>
          <w:sz w:val="24"/>
          <w:szCs w:val="24"/>
        </w:rPr>
        <w:t xml:space="preserve">from Learning Community participants on their self-reported learning about and implementation of </w:t>
      </w:r>
      <w:r w:rsidRPr="000260BB" w:rsidR="000260BB">
        <w:rPr>
          <w:sz w:val="24"/>
          <w:szCs w:val="24"/>
        </w:rPr>
        <w:t>promising practice</w:t>
      </w:r>
      <w:r w:rsidR="000260BB">
        <w:rPr>
          <w:sz w:val="24"/>
          <w:szCs w:val="24"/>
        </w:rPr>
        <w:t>s</w:t>
      </w:r>
      <w:r w:rsidRPr="000260BB" w:rsidR="000260BB">
        <w:rPr>
          <w:sz w:val="24"/>
          <w:szCs w:val="24"/>
        </w:rPr>
        <w:t>, program</w:t>
      </w:r>
      <w:r w:rsidR="000260BB">
        <w:rPr>
          <w:sz w:val="24"/>
          <w:szCs w:val="24"/>
        </w:rPr>
        <w:t xml:space="preserve">s and/or policies </w:t>
      </w:r>
      <w:r w:rsidRPr="000260BB" w:rsidR="000260BB">
        <w:rPr>
          <w:sz w:val="24"/>
          <w:szCs w:val="24"/>
        </w:rPr>
        <w:t>designed to address the impacts of COVID-19 in racial and ethnic minority and American Indian and Alaska Native populations</w:t>
      </w:r>
      <w:r w:rsidR="000260BB">
        <w:rPr>
          <w:sz w:val="24"/>
          <w:szCs w:val="24"/>
        </w:rPr>
        <w:t xml:space="preserve">. </w:t>
      </w:r>
      <w:r w:rsidRPr="00CA24E5">
        <w:rPr>
          <w:sz w:val="24"/>
          <w:szCs w:val="24"/>
        </w:rPr>
        <w:t>The collection of measures from its members is critical to OMH because it provides the agency with data to both effectively manage the COVID-19 Learning Community and to provide measureable outcomes from the Learning Community. Data will help OMH make continuous quality improvements in programming and inform future learning communities.</w:t>
      </w:r>
    </w:p>
    <w:p w:rsidRPr="00827F69" w:rsidR="00827F69" w:rsidP="00827F69" w:rsidRDefault="00827F69" w14:paraId="2850B057" w14:textId="3D95F5C7">
      <w:pPr>
        <w:widowControl/>
        <w:autoSpaceDE/>
        <w:autoSpaceDN/>
        <w:adjustRightInd/>
        <w:spacing w:after="240"/>
        <w:rPr>
          <w:sz w:val="24"/>
          <w:szCs w:val="24"/>
        </w:rPr>
      </w:pPr>
      <w:r w:rsidRPr="00827F69">
        <w:rPr>
          <w:sz w:val="24"/>
          <w:szCs w:val="24"/>
        </w:rPr>
        <w:t>The performanc</w:t>
      </w:r>
      <w:r w:rsidR="000D3F8A">
        <w:rPr>
          <w:sz w:val="24"/>
          <w:szCs w:val="24"/>
        </w:rPr>
        <w:t>e measure</w:t>
      </w:r>
      <w:r>
        <w:rPr>
          <w:sz w:val="24"/>
          <w:szCs w:val="24"/>
        </w:rPr>
        <w:t xml:space="preserve"> to be reported to OMH</w:t>
      </w:r>
      <w:r w:rsidR="000D3F8A">
        <w:rPr>
          <w:sz w:val="24"/>
          <w:szCs w:val="24"/>
        </w:rPr>
        <w:t xml:space="preserve"> </w:t>
      </w:r>
      <w:r w:rsidRPr="00827F69">
        <w:rPr>
          <w:sz w:val="24"/>
          <w:szCs w:val="24"/>
        </w:rPr>
        <w:t xml:space="preserve">are summarized in Exhibit 1. </w:t>
      </w:r>
    </w:p>
    <w:p w:rsidRPr="007F678A" w:rsidR="007F678A" w:rsidP="007F678A" w:rsidRDefault="007F678A" w14:paraId="3A89CF8D" w14:textId="77777777">
      <w:pPr>
        <w:widowControl/>
        <w:tabs>
          <w:tab w:val="num" w:pos="540"/>
        </w:tabs>
        <w:autoSpaceDE/>
        <w:autoSpaceDN/>
        <w:adjustRightInd/>
        <w:ind w:left="540" w:hanging="540"/>
        <w:jc w:val="both"/>
        <w:rPr>
          <w:b/>
          <w:sz w:val="22"/>
          <w:szCs w:val="22"/>
        </w:rPr>
      </w:pPr>
      <w:r w:rsidRPr="007F678A">
        <w:rPr>
          <w:b/>
          <w:sz w:val="28"/>
          <w:szCs w:val="28"/>
        </w:rPr>
        <w:t>A.</w:t>
      </w:r>
      <w:r w:rsidRPr="007F678A">
        <w:rPr>
          <w:b/>
          <w:sz w:val="22"/>
          <w:szCs w:val="22"/>
        </w:rPr>
        <w:tab/>
      </w:r>
      <w:r w:rsidRPr="007F678A">
        <w:rPr>
          <w:b/>
          <w:sz w:val="28"/>
          <w:szCs w:val="28"/>
        </w:rPr>
        <w:t>JUSTIFICATION</w:t>
      </w:r>
    </w:p>
    <w:p w:rsidRPr="007F678A" w:rsidR="007F678A" w:rsidP="007F678A" w:rsidRDefault="007F678A" w14:paraId="53EC14CF" w14:textId="77777777">
      <w:pPr>
        <w:pStyle w:val="Listheader"/>
      </w:pPr>
      <w:r w:rsidRPr="007F678A">
        <w:t>Circumstances Making the Collection of Information Necessary</w:t>
      </w:r>
    </w:p>
    <w:p w:rsidRPr="007F678A" w:rsidR="007F678A" w:rsidP="007F678A" w:rsidRDefault="007F678A" w14:paraId="22E73912" w14:textId="4046AE39">
      <w:pPr>
        <w:rPr>
          <w:sz w:val="24"/>
          <w:szCs w:val="24"/>
        </w:rPr>
      </w:pPr>
      <w:r w:rsidRPr="007F678A">
        <w:rPr>
          <w:sz w:val="24"/>
          <w:szCs w:val="24"/>
        </w:rPr>
        <w:t>In 1985, the Report of the Secretary</w:t>
      </w:r>
      <w:smartTag w:uri="urn:schemas-microsoft-com:office:smarttags" w:element="PersonName">
        <w:r w:rsidRPr="007F678A">
          <w:rPr>
            <w:sz w:val="24"/>
            <w:szCs w:val="24"/>
          </w:rPr>
          <w:t>'</w:t>
        </w:r>
      </w:smartTag>
      <w:r w:rsidRPr="007F678A">
        <w:rPr>
          <w:sz w:val="24"/>
          <w:szCs w:val="24"/>
        </w:rPr>
        <w:t>s Task Force on Black and Minority Health, the first comprehensive national racial and ethnic minority health study published by the HHS, documented the wide disparity in health status between ra</w:t>
      </w:r>
      <w:r w:rsidR="00F82323">
        <w:rPr>
          <w:sz w:val="24"/>
          <w:szCs w:val="24"/>
        </w:rPr>
        <w:t>cial and ethnic minorities and w</w:t>
      </w:r>
      <w:r w:rsidRPr="007F678A">
        <w:rPr>
          <w:sz w:val="24"/>
          <w:szCs w:val="24"/>
        </w:rPr>
        <w:t>hites. Although the health of all Americans has continued to improve over two and a half decades since the Report was issued, racial and ethnic health disparities persist and, in some cases, are increasing. The persistence of</w:t>
      </w:r>
      <w:r w:rsidR="00F82323">
        <w:rPr>
          <w:sz w:val="24"/>
          <w:szCs w:val="24"/>
        </w:rPr>
        <w:t xml:space="preserve"> such disparities suggests </w:t>
      </w:r>
      <w:r w:rsidRPr="007F678A">
        <w:rPr>
          <w:sz w:val="24"/>
          <w:szCs w:val="24"/>
        </w:rPr>
        <w:t>current approaches and strategies are not producing the kinds of results needed to ensure that all Americans are able to achieve the same quality and years of healthy life, regardless of their demographic characteristics.</w:t>
      </w:r>
    </w:p>
    <w:p w:rsidRPr="007F678A" w:rsidR="007F678A" w:rsidP="007F678A" w:rsidRDefault="007F678A" w14:paraId="1B852249" w14:textId="77777777">
      <w:pPr>
        <w:rPr>
          <w:sz w:val="24"/>
          <w:szCs w:val="24"/>
        </w:rPr>
      </w:pPr>
    </w:p>
    <w:p w:rsidR="007F678A" w:rsidP="007F678A" w:rsidRDefault="007F678A" w14:paraId="5D810D94" w14:textId="6B68A787">
      <w:pPr>
        <w:rPr>
          <w:sz w:val="24"/>
          <w:szCs w:val="24"/>
        </w:rPr>
      </w:pPr>
      <w:r w:rsidRPr="007F678A">
        <w:rPr>
          <w:sz w:val="24"/>
          <w:szCs w:val="24"/>
        </w:rPr>
        <w:t xml:space="preserve">Since its inception in 1985, OMH has been the organizational entity within HHS that coordinates Federal efforts to improve the health status of racial and ethnic minority populations. The office was established with the passage of the Disadvantaged Minority Health Improvement Act (P.L. 101-527, at </w:t>
      </w:r>
      <w:hyperlink w:history="1" r:id="rId11">
        <w:r w:rsidRPr="007F678A">
          <w:rPr>
            <w:color w:val="0000FF"/>
            <w:sz w:val="24"/>
            <w:szCs w:val="24"/>
            <w:u w:val="single"/>
          </w:rPr>
          <w:t>http://thomas.loc.gov/cgi-bin/bdquery/z?d101:HR05702:/TOM:/bss/d101query.html</w:t>
        </w:r>
      </w:hyperlink>
      <w:r w:rsidRPr="007F678A">
        <w:rPr>
          <w:sz w:val="24"/>
          <w:szCs w:val="24"/>
        </w:rPr>
        <w:t>) and given a broad mandate to advance efforts to improve minority health and address racial</w:t>
      </w:r>
      <w:r w:rsidR="00C20D61">
        <w:rPr>
          <w:sz w:val="24"/>
          <w:szCs w:val="24"/>
        </w:rPr>
        <w:t xml:space="preserve">/ethnic disparities in health. </w:t>
      </w:r>
      <w:r w:rsidRPr="007F678A">
        <w:rPr>
          <w:sz w:val="24"/>
          <w:szCs w:val="24"/>
        </w:rPr>
        <w:t xml:space="preserve"> OMH supports research, demonstrations and evaluations of new and innovative programs, and strategies and interventions that increase understanding of ways to improve the health of racial and ethnic minority communities and reduce the burden of disease, disability, and premature death that disparately impacts them.</w:t>
      </w:r>
      <w:r w:rsidR="00C20D61">
        <w:rPr>
          <w:sz w:val="24"/>
          <w:szCs w:val="24"/>
        </w:rPr>
        <w:t xml:space="preserve">  </w:t>
      </w:r>
      <w:r w:rsidR="0008615D">
        <w:rPr>
          <w:sz w:val="24"/>
          <w:szCs w:val="24"/>
        </w:rPr>
        <w:t xml:space="preserve">The COVID-19 epidemic has further highlighted the disparities among </w:t>
      </w:r>
      <w:r w:rsidRPr="00745A0D" w:rsidR="00745A0D">
        <w:rPr>
          <w:sz w:val="24"/>
          <w:szCs w:val="24"/>
        </w:rPr>
        <w:t xml:space="preserve">American Indian and Alaska Native </w:t>
      </w:r>
      <w:r w:rsidR="0008615D">
        <w:rPr>
          <w:sz w:val="24"/>
          <w:szCs w:val="24"/>
        </w:rPr>
        <w:t xml:space="preserve">people and racial and ethnic minorities.  The COVID-19 Learning Community </w:t>
      </w:r>
      <w:r w:rsidR="00F82323">
        <w:rPr>
          <w:sz w:val="24"/>
          <w:szCs w:val="24"/>
        </w:rPr>
        <w:t xml:space="preserve">will </w:t>
      </w:r>
      <w:r w:rsidR="0008615D">
        <w:rPr>
          <w:sz w:val="24"/>
          <w:szCs w:val="24"/>
        </w:rPr>
        <w:t>create a</w:t>
      </w:r>
      <w:r w:rsidRPr="0008615D" w:rsidR="0008615D">
        <w:rPr>
          <w:sz w:val="24"/>
          <w:szCs w:val="24"/>
        </w:rPr>
        <w:t xml:space="preserve"> group of people who learn from each other a</w:t>
      </w:r>
      <w:r w:rsidR="0008615D">
        <w:rPr>
          <w:sz w:val="24"/>
          <w:szCs w:val="24"/>
        </w:rPr>
        <w:t xml:space="preserve">nd share with each other regarding COVID-19 and </w:t>
      </w:r>
      <w:r w:rsidR="00A1013B">
        <w:rPr>
          <w:sz w:val="24"/>
          <w:szCs w:val="24"/>
        </w:rPr>
        <w:t>it</w:t>
      </w:r>
      <w:r w:rsidR="006B56AD">
        <w:rPr>
          <w:sz w:val="24"/>
          <w:szCs w:val="24"/>
        </w:rPr>
        <w:t>s</w:t>
      </w:r>
      <w:r w:rsidR="00A1013B">
        <w:rPr>
          <w:sz w:val="24"/>
          <w:szCs w:val="24"/>
        </w:rPr>
        <w:t xml:space="preserve"> disproportionate effects among </w:t>
      </w:r>
      <w:r w:rsidRPr="00745A0D" w:rsidR="00745A0D">
        <w:rPr>
          <w:sz w:val="24"/>
          <w:szCs w:val="24"/>
        </w:rPr>
        <w:t xml:space="preserve">American Indian and Alaska Native </w:t>
      </w:r>
      <w:r w:rsidR="00A1013B">
        <w:rPr>
          <w:sz w:val="24"/>
          <w:szCs w:val="24"/>
        </w:rPr>
        <w:t>people and racial and ethnic minorities.</w:t>
      </w:r>
    </w:p>
    <w:p w:rsidR="006B7CDA" w:rsidP="007F678A" w:rsidRDefault="006B7CDA" w14:paraId="73F36D5D" w14:textId="60FE2FA1">
      <w:pPr>
        <w:rPr>
          <w:sz w:val="24"/>
          <w:szCs w:val="24"/>
        </w:rPr>
      </w:pPr>
    </w:p>
    <w:p w:rsidRPr="007F678A" w:rsidR="007F678A" w:rsidP="007F678A" w:rsidRDefault="007F678A" w14:paraId="66E441A1" w14:textId="13EA4761">
      <w:pPr>
        <w:pStyle w:val="Listheader"/>
      </w:pPr>
      <w:r w:rsidRPr="007F678A">
        <w:t>Purpose and Use of Information Collection</w:t>
      </w:r>
    </w:p>
    <w:p w:rsidRPr="007F678A" w:rsidR="007F678A" w:rsidP="007F678A" w:rsidRDefault="00A522DC" w14:paraId="15699E39" w14:textId="23003795">
      <w:pPr>
        <w:widowControl/>
        <w:autoSpaceDE/>
        <w:autoSpaceDN/>
        <w:adjustRightInd/>
        <w:spacing w:after="240"/>
        <w:rPr>
          <w:sz w:val="24"/>
          <w:szCs w:val="24"/>
        </w:rPr>
      </w:pPr>
      <w:r w:rsidRPr="00A522DC">
        <w:rPr>
          <w:sz w:val="24"/>
          <w:szCs w:val="24"/>
        </w:rPr>
        <w:t>The</w:t>
      </w:r>
      <w:r w:rsidR="0031405F">
        <w:rPr>
          <w:sz w:val="24"/>
          <w:szCs w:val="24"/>
        </w:rPr>
        <w:t xml:space="preserve"> </w:t>
      </w:r>
      <w:r w:rsidR="00F82323">
        <w:rPr>
          <w:sz w:val="24"/>
          <w:szCs w:val="24"/>
        </w:rPr>
        <w:t>performance measure</w:t>
      </w:r>
      <w:r w:rsidRPr="00A522DC">
        <w:rPr>
          <w:sz w:val="24"/>
          <w:szCs w:val="24"/>
        </w:rPr>
        <w:t xml:space="preserve"> data collect</w:t>
      </w:r>
      <w:r>
        <w:rPr>
          <w:sz w:val="24"/>
          <w:szCs w:val="24"/>
        </w:rPr>
        <w:t>ion provides information to OMH</w:t>
      </w:r>
      <w:r w:rsidR="0010621A">
        <w:rPr>
          <w:sz w:val="24"/>
          <w:szCs w:val="24"/>
        </w:rPr>
        <w:t xml:space="preserve"> </w:t>
      </w:r>
      <w:r w:rsidRPr="00A522DC">
        <w:rPr>
          <w:sz w:val="24"/>
          <w:szCs w:val="24"/>
        </w:rPr>
        <w:t>leadership</w:t>
      </w:r>
      <w:r w:rsidR="00F82323">
        <w:rPr>
          <w:sz w:val="24"/>
          <w:szCs w:val="24"/>
        </w:rPr>
        <w:t xml:space="preserve"> to</w:t>
      </w:r>
      <w:r w:rsidR="0031405F">
        <w:rPr>
          <w:sz w:val="24"/>
          <w:szCs w:val="24"/>
        </w:rPr>
        <w:t xml:space="preserve"> measure if the COVID-19 Learning Community was successful</w:t>
      </w:r>
      <w:r w:rsidR="006B56AD">
        <w:rPr>
          <w:sz w:val="24"/>
          <w:szCs w:val="24"/>
        </w:rPr>
        <w:t xml:space="preserve"> in meeting its objectives of sharing best practices, creating </w:t>
      </w:r>
      <w:r w:rsidRPr="00CA24E5" w:rsidR="006B56AD">
        <w:rPr>
          <w:sz w:val="24"/>
          <w:szCs w:val="24"/>
        </w:rPr>
        <w:t>a network of individuals working with AI/AN people and racial and e</w:t>
      </w:r>
      <w:r w:rsidR="006B56AD">
        <w:rPr>
          <w:sz w:val="24"/>
          <w:szCs w:val="24"/>
        </w:rPr>
        <w:t>thnic minorities, and facilitating</w:t>
      </w:r>
      <w:r w:rsidRPr="00CA24E5" w:rsidR="006B56AD">
        <w:rPr>
          <w:sz w:val="24"/>
          <w:szCs w:val="24"/>
        </w:rPr>
        <w:t xml:space="preserve"> networking and peer-to-peer information sharing of promising practices, programs, and/or polic</w:t>
      </w:r>
      <w:r w:rsidR="006B56AD">
        <w:rPr>
          <w:sz w:val="24"/>
          <w:szCs w:val="24"/>
        </w:rPr>
        <w:t>ies</w:t>
      </w:r>
      <w:r w:rsidR="0031405F">
        <w:rPr>
          <w:sz w:val="24"/>
          <w:szCs w:val="24"/>
        </w:rPr>
        <w:t xml:space="preserve">. </w:t>
      </w:r>
      <w:r w:rsidRPr="00A522DC">
        <w:rPr>
          <w:sz w:val="24"/>
          <w:szCs w:val="24"/>
        </w:rPr>
        <w:t xml:space="preserve"> </w:t>
      </w:r>
      <w:r w:rsidR="0031405F">
        <w:rPr>
          <w:sz w:val="24"/>
          <w:szCs w:val="24"/>
        </w:rPr>
        <w:t xml:space="preserve">We anticipate </w:t>
      </w:r>
      <w:r w:rsidRPr="00A522DC">
        <w:rPr>
          <w:sz w:val="24"/>
          <w:szCs w:val="24"/>
        </w:rPr>
        <w:t xml:space="preserve">the </w:t>
      </w:r>
      <w:r w:rsidR="00E51E0A">
        <w:rPr>
          <w:sz w:val="24"/>
          <w:szCs w:val="24"/>
        </w:rPr>
        <w:t xml:space="preserve">results of the </w:t>
      </w:r>
      <w:r w:rsidR="0031405F">
        <w:rPr>
          <w:sz w:val="24"/>
          <w:szCs w:val="24"/>
        </w:rPr>
        <w:t>COVID-19 Learning Community</w:t>
      </w:r>
      <w:r w:rsidR="00E51E0A">
        <w:rPr>
          <w:sz w:val="24"/>
          <w:szCs w:val="24"/>
        </w:rPr>
        <w:t xml:space="preserve"> </w:t>
      </w:r>
      <w:r w:rsidRPr="00A522DC">
        <w:rPr>
          <w:sz w:val="24"/>
          <w:szCs w:val="24"/>
        </w:rPr>
        <w:t xml:space="preserve">will </w:t>
      </w:r>
      <w:r w:rsidR="0031405F">
        <w:rPr>
          <w:sz w:val="24"/>
          <w:szCs w:val="24"/>
        </w:rPr>
        <w:t>be summarized and shared with OMH leadership, Feder</w:t>
      </w:r>
      <w:r w:rsidR="00745A0D">
        <w:rPr>
          <w:sz w:val="24"/>
          <w:szCs w:val="24"/>
        </w:rPr>
        <w:t>al partners,  Learning Communty</w:t>
      </w:r>
      <w:r w:rsidR="0031405F">
        <w:rPr>
          <w:sz w:val="24"/>
          <w:szCs w:val="24"/>
        </w:rPr>
        <w:t xml:space="preserve"> members, and the public at large. Use of this</w:t>
      </w:r>
      <w:r w:rsidRPr="00A522DC">
        <w:rPr>
          <w:sz w:val="24"/>
          <w:szCs w:val="24"/>
        </w:rPr>
        <w:t xml:space="preserve"> data is vital for ensuring </w:t>
      </w:r>
      <w:r>
        <w:rPr>
          <w:sz w:val="24"/>
          <w:szCs w:val="24"/>
        </w:rPr>
        <w:t>on-</w:t>
      </w:r>
      <w:r w:rsidR="0031405F">
        <w:rPr>
          <w:sz w:val="24"/>
          <w:szCs w:val="24"/>
        </w:rPr>
        <w:t>going improvement of OMH learning communities and partnership efforts across the nation.</w:t>
      </w:r>
      <w:r w:rsidR="00C24C73">
        <w:rPr>
          <w:sz w:val="24"/>
          <w:szCs w:val="24"/>
        </w:rPr>
        <w:t xml:space="preserve"> </w:t>
      </w:r>
    </w:p>
    <w:p w:rsidRPr="007F678A" w:rsidR="007F678A" w:rsidP="007F678A" w:rsidRDefault="007F678A" w14:paraId="0FE7AFF3" w14:textId="77777777">
      <w:pPr>
        <w:pStyle w:val="Listheader"/>
      </w:pPr>
      <w:r w:rsidRPr="007F678A">
        <w:t>Use of Improved Information Technology and Burden Reduction</w:t>
      </w:r>
    </w:p>
    <w:p w:rsidRPr="007F678A" w:rsidR="007F678A" w:rsidP="007F678A" w:rsidRDefault="007F678A" w14:paraId="4655BC71" w14:textId="7C5DC581">
      <w:pPr>
        <w:widowControl/>
        <w:autoSpaceDE/>
        <w:autoSpaceDN/>
        <w:adjustRightInd/>
        <w:spacing w:after="240"/>
        <w:rPr>
          <w:sz w:val="24"/>
          <w:szCs w:val="24"/>
        </w:rPr>
      </w:pPr>
      <w:r w:rsidRPr="007F678A">
        <w:rPr>
          <w:sz w:val="24"/>
          <w:szCs w:val="24"/>
        </w:rPr>
        <w:t>As noted above in Section 2 (Purpose and Use of Information Collection), the purpose</w:t>
      </w:r>
      <w:r w:rsidR="00781DD4">
        <w:rPr>
          <w:sz w:val="24"/>
          <w:szCs w:val="24"/>
        </w:rPr>
        <w:t xml:space="preserve"> of this data collection </w:t>
      </w:r>
      <w:r w:rsidRPr="007F678A">
        <w:rPr>
          <w:sz w:val="24"/>
          <w:szCs w:val="24"/>
        </w:rPr>
        <w:t>is to</w:t>
      </w:r>
      <w:r w:rsidR="0042512B">
        <w:rPr>
          <w:sz w:val="24"/>
          <w:szCs w:val="24"/>
        </w:rPr>
        <w:t xml:space="preserve"> provide OMH with</w:t>
      </w:r>
      <w:r w:rsidR="00546624">
        <w:rPr>
          <w:sz w:val="24"/>
          <w:szCs w:val="24"/>
        </w:rPr>
        <w:t xml:space="preserve"> performance data</w:t>
      </w:r>
      <w:r w:rsidR="00546624">
        <w:rPr>
          <w:spacing w:val="-1"/>
          <w:sz w:val="24"/>
          <w:szCs w:val="24"/>
        </w:rPr>
        <w:t xml:space="preserve"> to be shared with OMH staff and the public regarding the COVID-19 Learning Community.</w:t>
      </w:r>
      <w:r w:rsidRPr="007F678A">
        <w:rPr>
          <w:spacing w:val="-1"/>
          <w:sz w:val="24"/>
          <w:szCs w:val="24"/>
        </w:rPr>
        <w:t xml:space="preserve"> </w:t>
      </w:r>
    </w:p>
    <w:p w:rsidRPr="007F678A" w:rsidR="007F678A" w:rsidP="00E2111A" w:rsidRDefault="009A3260" w14:paraId="622B199C" w14:textId="6DBD32AB">
      <w:pPr>
        <w:widowControl/>
        <w:autoSpaceDE/>
        <w:autoSpaceDN/>
        <w:adjustRightInd/>
        <w:rPr>
          <w:sz w:val="24"/>
          <w:szCs w:val="24"/>
          <w:lang w:eastAsia="x-none"/>
        </w:rPr>
      </w:pPr>
      <w:r>
        <w:rPr>
          <w:sz w:val="24"/>
          <w:szCs w:val="24"/>
          <w:lang w:eastAsia="x-none"/>
        </w:rPr>
        <w:t>Using electronic reporting of the small set of</w:t>
      </w:r>
      <w:r w:rsidR="00A75CAD">
        <w:rPr>
          <w:sz w:val="24"/>
          <w:szCs w:val="24"/>
          <w:lang w:eastAsia="x-none"/>
        </w:rPr>
        <w:t xml:space="preserve"> </w:t>
      </w:r>
      <w:r w:rsidR="00756BAB">
        <w:rPr>
          <w:sz w:val="24"/>
          <w:szCs w:val="24"/>
          <w:lang w:eastAsia="x-none"/>
        </w:rPr>
        <w:t>outcome</w:t>
      </w:r>
      <w:r w:rsidR="00A75CAD">
        <w:rPr>
          <w:sz w:val="24"/>
          <w:szCs w:val="24"/>
          <w:lang w:eastAsia="x-none"/>
        </w:rPr>
        <w:t xml:space="preserve"> and impact results </w:t>
      </w:r>
      <w:r>
        <w:rPr>
          <w:sz w:val="24"/>
          <w:szCs w:val="24"/>
          <w:lang w:eastAsia="x-none"/>
        </w:rPr>
        <w:t xml:space="preserve">necessary for adequate monitoring and assessment </w:t>
      </w:r>
      <w:r w:rsidR="00756BAB">
        <w:rPr>
          <w:sz w:val="24"/>
          <w:szCs w:val="24"/>
          <w:lang w:eastAsia="x-none"/>
        </w:rPr>
        <w:t xml:space="preserve">in </w:t>
      </w:r>
      <w:r>
        <w:rPr>
          <w:sz w:val="24"/>
          <w:szCs w:val="24"/>
          <w:lang w:eastAsia="x-none"/>
        </w:rPr>
        <w:t xml:space="preserve">commercially available software will minimize </w:t>
      </w:r>
      <w:r>
        <w:rPr>
          <w:sz w:val="24"/>
          <w:szCs w:val="24"/>
          <w:lang w:val="x-none" w:eastAsia="x-none"/>
        </w:rPr>
        <w:t xml:space="preserve">reporting burden </w:t>
      </w:r>
      <w:r w:rsidR="00546624">
        <w:rPr>
          <w:sz w:val="24"/>
          <w:szCs w:val="24"/>
          <w:lang w:eastAsia="x-none"/>
        </w:rPr>
        <w:t xml:space="preserve">on OMH. </w:t>
      </w:r>
      <w:r>
        <w:rPr>
          <w:sz w:val="24"/>
          <w:szCs w:val="24"/>
          <w:lang w:val="x-none" w:eastAsia="x-none"/>
        </w:rPr>
        <w:t xml:space="preserve"> </w:t>
      </w:r>
    </w:p>
    <w:p w:rsidRPr="007F678A" w:rsidR="007F678A" w:rsidP="007F678A" w:rsidRDefault="007F678A" w14:paraId="2A82585B" w14:textId="77777777">
      <w:pPr>
        <w:keepLines/>
        <w:widowControl/>
        <w:autoSpaceDE/>
        <w:autoSpaceDN/>
        <w:adjustRightInd/>
        <w:spacing w:after="240"/>
        <w:rPr>
          <w:sz w:val="24"/>
          <w:szCs w:val="24"/>
        </w:rPr>
      </w:pPr>
      <w:r w:rsidRPr="007F678A">
        <w:rPr>
          <w:sz w:val="24"/>
          <w:szCs w:val="24"/>
        </w:rPr>
        <w:t xml:space="preserve">   </w:t>
      </w:r>
    </w:p>
    <w:p w:rsidRPr="007F678A" w:rsidR="007F678A" w:rsidP="007F678A" w:rsidRDefault="007F678A" w14:paraId="65845700" w14:textId="77777777">
      <w:pPr>
        <w:pStyle w:val="Listheader"/>
      </w:pPr>
      <w:r w:rsidRPr="007F678A">
        <w:t>Efforts to Identify Duplication and Use of Similar Information</w:t>
      </w:r>
    </w:p>
    <w:p w:rsidRPr="00362BD0" w:rsidR="007F678A" w:rsidP="007F678A" w:rsidRDefault="007F678A" w14:paraId="210A80D4" w14:textId="52FD1A47">
      <w:pPr>
        <w:widowControl/>
        <w:autoSpaceDE/>
        <w:autoSpaceDN/>
        <w:adjustRightInd/>
        <w:spacing w:before="280" w:after="120"/>
        <w:outlineLvl w:val="1"/>
        <w:rPr>
          <w:rFonts w:cs="Arial"/>
          <w:b/>
          <w:bCs/>
          <w:iCs/>
          <w:sz w:val="28"/>
          <w:szCs w:val="28"/>
        </w:rPr>
      </w:pPr>
      <w:r w:rsidRPr="007F678A">
        <w:rPr>
          <w:spacing w:val="-2"/>
          <w:sz w:val="24"/>
          <w:szCs w:val="24"/>
        </w:rPr>
        <w:t xml:space="preserve">Data collection </w:t>
      </w:r>
      <w:r w:rsidR="009A3260">
        <w:rPr>
          <w:spacing w:val="-2"/>
          <w:sz w:val="24"/>
          <w:szCs w:val="24"/>
        </w:rPr>
        <w:t xml:space="preserve">for </w:t>
      </w:r>
      <w:r w:rsidR="00362BD0">
        <w:rPr>
          <w:sz w:val="24"/>
          <w:szCs w:val="24"/>
        </w:rPr>
        <w:t>the COVID-19 Learning Community</w:t>
      </w:r>
      <w:r w:rsidR="009A3260">
        <w:rPr>
          <w:sz w:val="24"/>
          <w:szCs w:val="24"/>
        </w:rPr>
        <w:t xml:space="preserve"> </w:t>
      </w:r>
      <w:r w:rsidRPr="007F678A">
        <w:rPr>
          <w:spacing w:val="-2"/>
          <w:sz w:val="24"/>
          <w:szCs w:val="24"/>
        </w:rPr>
        <w:t xml:space="preserve">does not duplicate other data collection efforts.  Data elements </w:t>
      </w:r>
      <w:r w:rsidR="009A3260">
        <w:rPr>
          <w:spacing w:val="-2"/>
          <w:sz w:val="24"/>
          <w:szCs w:val="24"/>
        </w:rPr>
        <w:t xml:space="preserve">for the </w:t>
      </w:r>
      <w:r w:rsidR="00362BD0">
        <w:rPr>
          <w:sz w:val="24"/>
          <w:szCs w:val="24"/>
        </w:rPr>
        <w:t>COVID-19 Learning Community</w:t>
      </w:r>
      <w:r w:rsidR="009A3260">
        <w:rPr>
          <w:sz w:val="24"/>
          <w:szCs w:val="24"/>
        </w:rPr>
        <w:t xml:space="preserve"> </w:t>
      </w:r>
      <w:r w:rsidRPr="007F678A">
        <w:rPr>
          <w:spacing w:val="-2"/>
          <w:sz w:val="24"/>
          <w:szCs w:val="24"/>
        </w:rPr>
        <w:t xml:space="preserve">are specific </w:t>
      </w:r>
      <w:r w:rsidR="00362BD0">
        <w:rPr>
          <w:spacing w:val="-2"/>
          <w:sz w:val="24"/>
          <w:szCs w:val="24"/>
        </w:rPr>
        <w:t>to the learning community goals and outcomes and</w:t>
      </w:r>
      <w:r w:rsidRPr="007F678A">
        <w:rPr>
          <w:spacing w:val="-2"/>
          <w:sz w:val="24"/>
          <w:szCs w:val="24"/>
        </w:rPr>
        <w:t xml:space="preserve"> are not available elsewhere.  </w:t>
      </w:r>
      <w:r w:rsidR="00713DF5">
        <w:rPr>
          <w:spacing w:val="-2"/>
          <w:sz w:val="24"/>
          <w:szCs w:val="24"/>
        </w:rPr>
        <w:t xml:space="preserve">OMH </w:t>
      </w:r>
      <w:r w:rsidR="00362BD0">
        <w:rPr>
          <w:spacing w:val="-2"/>
          <w:sz w:val="24"/>
          <w:szCs w:val="24"/>
        </w:rPr>
        <w:t>does not</w:t>
      </w:r>
      <w:r w:rsidR="00745A0D">
        <w:rPr>
          <w:spacing w:val="-2"/>
          <w:sz w:val="24"/>
          <w:szCs w:val="24"/>
        </w:rPr>
        <w:t xml:space="preserve"> have</w:t>
      </w:r>
      <w:r w:rsidR="00713DF5">
        <w:rPr>
          <w:spacing w:val="-2"/>
          <w:sz w:val="24"/>
          <w:szCs w:val="24"/>
        </w:rPr>
        <w:t xml:space="preserve"> any</w:t>
      </w:r>
      <w:r w:rsidRPr="007F678A">
        <w:rPr>
          <w:spacing w:val="-2"/>
          <w:sz w:val="24"/>
          <w:szCs w:val="24"/>
        </w:rPr>
        <w:t xml:space="preserve"> other system for the collection of standardized </w:t>
      </w:r>
      <w:r w:rsidR="00362BD0">
        <w:rPr>
          <w:spacing w:val="-2"/>
          <w:sz w:val="24"/>
          <w:szCs w:val="24"/>
        </w:rPr>
        <w:t xml:space="preserve">process and performance information for the COVID-19 Learning Community. </w:t>
      </w:r>
    </w:p>
    <w:p w:rsidRPr="007F678A" w:rsidR="007F678A" w:rsidP="007F678A" w:rsidRDefault="007F678A" w14:paraId="2AFD1916" w14:textId="77777777">
      <w:pPr>
        <w:pStyle w:val="Listheader"/>
      </w:pPr>
      <w:r w:rsidRPr="007F678A">
        <w:t>Impact on Small Businesses or Other Small Entities</w:t>
      </w:r>
    </w:p>
    <w:p w:rsidRPr="007F678A" w:rsidR="007F678A" w:rsidP="007F678A" w:rsidRDefault="007F678A" w14:paraId="4AB83330" w14:textId="62106CD8">
      <w:pPr>
        <w:widowControl/>
        <w:autoSpaceDE/>
        <w:autoSpaceDN/>
        <w:adjustRightInd/>
        <w:spacing w:after="240"/>
        <w:rPr>
          <w:sz w:val="24"/>
          <w:szCs w:val="24"/>
        </w:rPr>
      </w:pPr>
      <w:r w:rsidRPr="007F678A">
        <w:rPr>
          <w:spacing w:val="-2"/>
          <w:sz w:val="24"/>
          <w:szCs w:val="24"/>
        </w:rPr>
        <w:t>The impact of this data collec</w:t>
      </w:r>
      <w:r w:rsidR="00362BD0">
        <w:rPr>
          <w:spacing w:val="-2"/>
          <w:sz w:val="24"/>
          <w:szCs w:val="24"/>
        </w:rPr>
        <w:t>tion will be negligible at best because all Learning Community members are entering the Learning Community voluntarily to obtain additional information, shar</w:t>
      </w:r>
      <w:r w:rsidR="00745A0D">
        <w:rPr>
          <w:spacing w:val="-2"/>
          <w:sz w:val="24"/>
          <w:szCs w:val="24"/>
        </w:rPr>
        <w:t>e best practices, and learn fro</w:t>
      </w:r>
      <w:r w:rsidR="00362BD0">
        <w:rPr>
          <w:spacing w:val="-2"/>
          <w:sz w:val="24"/>
          <w:szCs w:val="24"/>
        </w:rPr>
        <w:t xml:space="preserve">m one another. </w:t>
      </w:r>
      <w:r w:rsidRPr="007F678A">
        <w:rPr>
          <w:sz w:val="24"/>
          <w:szCs w:val="24"/>
        </w:rPr>
        <w:t xml:space="preserve">The </w:t>
      </w:r>
      <w:r w:rsidR="000B76B1">
        <w:rPr>
          <w:sz w:val="24"/>
          <w:szCs w:val="24"/>
        </w:rPr>
        <w:t>outcome measures proposed in this data collection effort represent</w:t>
      </w:r>
      <w:r w:rsidRPr="007F678A">
        <w:rPr>
          <w:sz w:val="24"/>
          <w:szCs w:val="24"/>
        </w:rPr>
        <w:t xml:space="preserve"> the minimum data needed to be useful </w:t>
      </w:r>
      <w:r w:rsidR="00362BD0">
        <w:rPr>
          <w:sz w:val="24"/>
          <w:szCs w:val="24"/>
        </w:rPr>
        <w:t>to measure success of the Learning Community and inform future learning communities.</w:t>
      </w:r>
      <w:r w:rsidRPr="007F678A">
        <w:rPr>
          <w:sz w:val="24"/>
          <w:szCs w:val="24"/>
        </w:rPr>
        <w:t xml:space="preserve"> </w:t>
      </w:r>
    </w:p>
    <w:p w:rsidRPr="007F678A" w:rsidR="007F678A" w:rsidP="007F678A" w:rsidRDefault="007F678A" w14:paraId="17909C3F" w14:textId="77777777">
      <w:pPr>
        <w:pStyle w:val="Listheader"/>
      </w:pPr>
      <w:r w:rsidRPr="007F678A">
        <w:t>Consequences of Collecting the Information Less Frequently</w:t>
      </w:r>
    </w:p>
    <w:p w:rsidRPr="007F678A" w:rsidR="007F678A" w:rsidP="007F678A" w:rsidRDefault="000A05BD" w14:paraId="21C6CE44" w14:textId="2DD0DC11">
      <w:pPr>
        <w:widowControl/>
        <w:autoSpaceDE/>
        <w:autoSpaceDN/>
        <w:adjustRightInd/>
        <w:spacing w:after="240"/>
        <w:rPr>
          <w:sz w:val="24"/>
          <w:szCs w:val="24"/>
        </w:rPr>
      </w:pPr>
      <w:r>
        <w:rPr>
          <w:sz w:val="24"/>
          <w:szCs w:val="24"/>
        </w:rPr>
        <w:t>COVID-19 Learning Community</w:t>
      </w:r>
      <w:r w:rsidR="000B76B1">
        <w:rPr>
          <w:sz w:val="24"/>
          <w:szCs w:val="24"/>
        </w:rPr>
        <w:t xml:space="preserve"> </w:t>
      </w:r>
      <w:r w:rsidRPr="007F678A" w:rsidR="007F678A">
        <w:rPr>
          <w:spacing w:val="-1"/>
          <w:sz w:val="24"/>
          <w:szCs w:val="24"/>
        </w:rPr>
        <w:t xml:space="preserve">data are </w:t>
      </w:r>
      <w:r w:rsidR="000B76B1">
        <w:rPr>
          <w:spacing w:val="-1"/>
          <w:sz w:val="24"/>
          <w:szCs w:val="24"/>
        </w:rPr>
        <w:t xml:space="preserve">proposed to be </w:t>
      </w:r>
      <w:r w:rsidR="007E1511">
        <w:rPr>
          <w:spacing w:val="-1"/>
          <w:sz w:val="24"/>
          <w:szCs w:val="24"/>
        </w:rPr>
        <w:t xml:space="preserve">collected </w:t>
      </w:r>
      <w:r w:rsidR="00F82323">
        <w:rPr>
          <w:sz w:val="24"/>
          <w:szCs w:val="24"/>
        </w:rPr>
        <w:t>1 time</w:t>
      </w:r>
      <w:r w:rsidR="007E1511">
        <w:rPr>
          <w:sz w:val="24"/>
          <w:szCs w:val="24"/>
        </w:rPr>
        <w:t xml:space="preserve"> </w:t>
      </w:r>
      <w:r w:rsidR="00F82323">
        <w:rPr>
          <w:sz w:val="24"/>
          <w:szCs w:val="24"/>
        </w:rPr>
        <w:t xml:space="preserve">over a one year period and will be </w:t>
      </w:r>
      <w:r>
        <w:rPr>
          <w:sz w:val="24"/>
          <w:szCs w:val="24"/>
        </w:rPr>
        <w:t>a post survey after the learning community concludes.</w:t>
      </w:r>
      <w:r w:rsidR="00745A0D">
        <w:rPr>
          <w:sz w:val="24"/>
          <w:szCs w:val="24"/>
        </w:rPr>
        <w:t xml:space="preserve"> </w:t>
      </w:r>
      <w:r w:rsidRPr="007F678A" w:rsidR="007F678A">
        <w:rPr>
          <w:spacing w:val="-1"/>
          <w:sz w:val="24"/>
          <w:szCs w:val="24"/>
        </w:rPr>
        <w:t xml:space="preserve">Less frequent collections pose challenges to obtaining </w:t>
      </w:r>
      <w:r w:rsidR="00F82323">
        <w:rPr>
          <w:spacing w:val="-1"/>
          <w:sz w:val="24"/>
          <w:szCs w:val="24"/>
        </w:rPr>
        <w:t xml:space="preserve">any </w:t>
      </w:r>
      <w:r w:rsidRPr="007F678A" w:rsidR="007F678A">
        <w:rPr>
          <w:spacing w:val="-1"/>
          <w:sz w:val="24"/>
          <w:szCs w:val="24"/>
        </w:rPr>
        <w:t>data</w:t>
      </w:r>
      <w:r>
        <w:rPr>
          <w:spacing w:val="-1"/>
          <w:sz w:val="24"/>
          <w:szCs w:val="24"/>
        </w:rPr>
        <w:t xml:space="preserve"> </w:t>
      </w:r>
      <w:r w:rsidR="00F82323">
        <w:rPr>
          <w:spacing w:val="-1"/>
          <w:sz w:val="24"/>
          <w:szCs w:val="24"/>
        </w:rPr>
        <w:t>regarding the effectiveness of the COVID-19 Learning Community.</w:t>
      </w:r>
    </w:p>
    <w:p w:rsidRPr="009F6141" w:rsidR="007F678A" w:rsidP="007F678A" w:rsidRDefault="007F678A" w14:paraId="62E3D514" w14:textId="77777777">
      <w:pPr>
        <w:pStyle w:val="Listheader"/>
      </w:pPr>
      <w:r w:rsidRPr="009F6141">
        <w:t>Special Circumstances Relating to the Guidelines of 5 CFR 1320.5</w:t>
      </w:r>
    </w:p>
    <w:p w:rsidRPr="009F6141" w:rsidR="007F678A" w:rsidP="007F678A" w:rsidRDefault="007F678A" w14:paraId="597239F4" w14:textId="77777777">
      <w:pPr>
        <w:widowControl/>
        <w:autoSpaceDE/>
        <w:autoSpaceDN/>
        <w:adjustRightInd/>
        <w:spacing w:after="240"/>
        <w:rPr>
          <w:sz w:val="24"/>
          <w:szCs w:val="24"/>
        </w:rPr>
      </w:pPr>
      <w:r w:rsidRPr="009F6141">
        <w:rPr>
          <w:sz w:val="24"/>
          <w:szCs w:val="24"/>
        </w:rPr>
        <w:t xml:space="preserve">No special circumstances apply.  This request complies with the information collection guidelines of 5 CFR 1320.5(d)(2).    </w:t>
      </w:r>
    </w:p>
    <w:p w:rsidRPr="007F678A" w:rsidR="007F678A" w:rsidP="007F678A" w:rsidRDefault="007F678A" w14:paraId="0E262FBE" w14:textId="77777777">
      <w:pPr>
        <w:pStyle w:val="Listheader"/>
      </w:pPr>
      <w:r w:rsidRPr="007F678A">
        <w:t>Comments in Response to the Federal Register Notice/Outside Consultation</w:t>
      </w:r>
    </w:p>
    <w:p w:rsidR="007F678A" w:rsidP="007F678A" w:rsidRDefault="000354F1" w14:paraId="6A02474A" w14:textId="455B148D">
      <w:pPr>
        <w:widowControl/>
        <w:autoSpaceDE/>
        <w:autoSpaceDN/>
        <w:adjustRightInd/>
        <w:spacing w:after="240"/>
        <w:rPr>
          <w:sz w:val="24"/>
          <w:szCs w:val="24"/>
        </w:rPr>
      </w:pPr>
      <w:r>
        <w:rPr>
          <w:sz w:val="24"/>
          <w:szCs w:val="24"/>
        </w:rPr>
        <w:t>I</w:t>
      </w:r>
      <w:r w:rsidRPr="007F678A" w:rsidR="007F678A">
        <w:rPr>
          <w:sz w:val="24"/>
          <w:szCs w:val="24"/>
        </w:rPr>
        <w:t xml:space="preserve">n accordance with the Paperwork Reduction Act of 1995, </w:t>
      </w:r>
      <w:r w:rsidR="00FA2F0F">
        <w:rPr>
          <w:sz w:val="24"/>
          <w:szCs w:val="24"/>
        </w:rPr>
        <w:t xml:space="preserve">OMH </w:t>
      </w:r>
      <w:r w:rsidRPr="007F678A" w:rsidR="007F678A">
        <w:rPr>
          <w:sz w:val="24"/>
          <w:szCs w:val="24"/>
        </w:rPr>
        <w:t xml:space="preserve">published a notice in the Federal Register announcing the agency’s intention to request an OMB review of data collection activities.  </w:t>
      </w:r>
      <w:r w:rsidRPr="00F600E5" w:rsidR="007F678A">
        <w:rPr>
          <w:sz w:val="24"/>
          <w:szCs w:val="24"/>
        </w:rPr>
        <w:t xml:space="preserve">The 60-day notice for </w:t>
      </w:r>
      <w:r w:rsidRPr="00F600E5" w:rsidR="002F748E">
        <w:rPr>
          <w:sz w:val="24"/>
          <w:szCs w:val="24"/>
        </w:rPr>
        <w:t xml:space="preserve">public comment was published </w:t>
      </w:r>
      <w:r w:rsidRPr="00F600E5" w:rsidR="00FA2F0F">
        <w:rPr>
          <w:sz w:val="24"/>
          <w:szCs w:val="24"/>
        </w:rPr>
        <w:t xml:space="preserve">on </w:t>
      </w:r>
      <w:r w:rsidR="00F600E5">
        <w:rPr>
          <w:sz w:val="24"/>
          <w:szCs w:val="24"/>
        </w:rPr>
        <w:t xml:space="preserve">February 24, 2021 </w:t>
      </w:r>
      <w:r w:rsidRPr="00F600E5" w:rsidR="007F678A">
        <w:rPr>
          <w:sz w:val="24"/>
          <w:szCs w:val="24"/>
        </w:rPr>
        <w:t>in volum</w:t>
      </w:r>
      <w:r w:rsidRPr="00F600E5" w:rsidR="002F748E">
        <w:rPr>
          <w:sz w:val="24"/>
          <w:szCs w:val="24"/>
        </w:rPr>
        <w:t xml:space="preserve">e </w:t>
      </w:r>
      <w:r w:rsidR="00F600E5">
        <w:rPr>
          <w:sz w:val="24"/>
          <w:szCs w:val="24"/>
        </w:rPr>
        <w:t xml:space="preserve">86, no. 35, </w:t>
      </w:r>
      <w:r w:rsidRPr="00F600E5" w:rsidR="002F748E">
        <w:rPr>
          <w:sz w:val="24"/>
          <w:szCs w:val="24"/>
        </w:rPr>
        <w:t>on page</w:t>
      </w:r>
      <w:r w:rsidRPr="00F600E5" w:rsidR="00AA6911">
        <w:rPr>
          <w:sz w:val="24"/>
          <w:szCs w:val="24"/>
        </w:rPr>
        <w:t>s</w:t>
      </w:r>
      <w:r w:rsidRPr="00F600E5" w:rsidR="002F748E">
        <w:rPr>
          <w:sz w:val="24"/>
          <w:szCs w:val="24"/>
        </w:rPr>
        <w:t xml:space="preserve"> </w:t>
      </w:r>
      <w:r w:rsidR="00F600E5">
        <w:rPr>
          <w:sz w:val="24"/>
          <w:szCs w:val="24"/>
        </w:rPr>
        <w:t>11306-11307.</w:t>
      </w:r>
    </w:p>
    <w:p w:rsidR="00BA475E" w:rsidP="00BA475E" w:rsidRDefault="00BA475E" w14:paraId="288D2511" w14:textId="3C52FC63">
      <w:pPr>
        <w:spacing w:after="240"/>
        <w:rPr>
          <w:sz w:val="24"/>
          <w:szCs w:val="24"/>
        </w:rPr>
      </w:pPr>
      <w:r>
        <w:rPr>
          <w:sz w:val="24"/>
          <w:szCs w:val="24"/>
        </w:rPr>
        <w:t>A member of the public representing the</w:t>
      </w:r>
      <w:r>
        <w:rPr>
          <w:color w:val="1F497D"/>
        </w:rPr>
        <w:t xml:space="preserve"> </w:t>
      </w:r>
      <w:r>
        <w:rPr>
          <w:sz w:val="24"/>
          <w:szCs w:val="24"/>
        </w:rPr>
        <w:t xml:space="preserve">National Indian Health Board requested information on the definition of OMH’s COVID-19 Learning Community, including the goals of the COVID-19 Learning Community and whether the Learning Community is relevant for Tribes or Native Americans.  In its response to the query, OMH described that the COVID-19 Learning Community was created in response to Advancing the Response to COVID-19 Virtual Symposium held in September 2020.  The goals of the learning community are to connect, engage, and share knowledge with COVID-19 Learning Community members and learn about and adopt promising practices, programs and policies designed to address the impacts of COVID-19 in racial and ethnic minority and American Indian and Alaska Native populations.  This will be done through Learning Sessions held through the course of 2021 that will present best practices based on Learning Community Member needs and allow for peer-to-peer resource sharing.  The response closed with directions about how to sign-up to be a participant of the Learning Community. </w:t>
      </w:r>
    </w:p>
    <w:p w:rsidRPr="007F678A" w:rsidR="007F678A" w:rsidP="007F678A" w:rsidRDefault="007F678A" w14:paraId="7475D5B8" w14:textId="77777777">
      <w:pPr>
        <w:pStyle w:val="Listheader"/>
      </w:pPr>
      <w:r w:rsidRPr="007F678A">
        <w:t>Explanation of any Payment/Gift to Respondents</w:t>
      </w:r>
    </w:p>
    <w:p w:rsidRPr="007F678A" w:rsidR="007F678A" w:rsidP="007F678A" w:rsidRDefault="00FA2F0F" w14:paraId="6794ED00" w14:textId="485B02F7">
      <w:pPr>
        <w:widowControl/>
        <w:autoSpaceDE/>
        <w:autoSpaceDN/>
        <w:adjustRightInd/>
        <w:spacing w:after="240"/>
        <w:rPr>
          <w:sz w:val="24"/>
          <w:szCs w:val="24"/>
        </w:rPr>
      </w:pPr>
      <w:r>
        <w:rPr>
          <w:sz w:val="24"/>
          <w:szCs w:val="24"/>
        </w:rPr>
        <w:t>There will be no payment/gift to respondents.</w:t>
      </w:r>
      <w:r w:rsidRPr="007F678A" w:rsidR="007F678A">
        <w:rPr>
          <w:sz w:val="24"/>
          <w:szCs w:val="24"/>
        </w:rPr>
        <w:t xml:space="preserve"> </w:t>
      </w:r>
    </w:p>
    <w:p w:rsidRPr="007F678A" w:rsidR="007F678A" w:rsidP="007F678A" w:rsidRDefault="007F678A" w14:paraId="57550E43" w14:textId="77777777">
      <w:pPr>
        <w:pStyle w:val="Listheader"/>
      </w:pPr>
      <w:r w:rsidRPr="007F678A">
        <w:t>Assurance of Confidentiality Provided to Respondents</w:t>
      </w:r>
    </w:p>
    <w:p w:rsidRPr="00EA7723" w:rsidR="009E4EB1" w:rsidP="00EA7723" w:rsidRDefault="009E4EB1" w14:paraId="74C02E09" w14:textId="03E2513E">
      <w:pPr>
        <w:widowControl/>
        <w:autoSpaceDE/>
        <w:autoSpaceDN/>
        <w:adjustRightInd/>
        <w:spacing w:after="240"/>
        <w:rPr>
          <w:sz w:val="24"/>
          <w:szCs w:val="24"/>
        </w:rPr>
      </w:pPr>
      <w:r>
        <w:rPr>
          <w:sz w:val="24"/>
          <w:szCs w:val="24"/>
        </w:rPr>
        <w:t xml:space="preserve">The information collected </w:t>
      </w:r>
      <w:r w:rsidR="00BE70C2">
        <w:rPr>
          <w:sz w:val="24"/>
          <w:szCs w:val="24"/>
        </w:rPr>
        <w:t xml:space="preserve">will </w:t>
      </w:r>
      <w:r w:rsidR="00C92C7A">
        <w:rPr>
          <w:sz w:val="24"/>
          <w:szCs w:val="24"/>
        </w:rPr>
        <w:t xml:space="preserve">include personally identifiable information (PII) but will </w:t>
      </w:r>
      <w:r w:rsidR="009E50A5">
        <w:rPr>
          <w:sz w:val="24"/>
          <w:szCs w:val="24"/>
        </w:rPr>
        <w:t>constitute privacy act rcords. (</w:t>
      </w:r>
      <w:r>
        <w:rPr>
          <w:sz w:val="24"/>
          <w:szCs w:val="24"/>
        </w:rPr>
        <w:t xml:space="preserve">The PII will include only one personal identifier, or possible personal identifier, i.e., </w:t>
      </w:r>
      <w:r w:rsidR="009E50A5">
        <w:rPr>
          <w:sz w:val="24"/>
          <w:szCs w:val="24"/>
        </w:rPr>
        <w:t>email address</w:t>
      </w:r>
      <w:r>
        <w:rPr>
          <w:sz w:val="24"/>
          <w:szCs w:val="24"/>
        </w:rPr>
        <w:t xml:space="preserve">, which </w:t>
      </w:r>
      <w:r w:rsidR="009E50A5">
        <w:rPr>
          <w:sz w:val="24"/>
          <w:szCs w:val="24"/>
        </w:rPr>
        <w:t>will be used by OMH’s contractor to push the survey out to potential respondents who are members of OMH’s COVID-19 Learning Community.  T</w:t>
      </w:r>
      <w:r w:rsidRPr="009E50A5" w:rsidR="009E50A5">
        <w:rPr>
          <w:sz w:val="24"/>
          <w:szCs w:val="24"/>
        </w:rPr>
        <w:t xml:space="preserve">he survey responses </w:t>
      </w:r>
      <w:r w:rsidR="009E50A5">
        <w:rPr>
          <w:sz w:val="24"/>
          <w:szCs w:val="24"/>
        </w:rPr>
        <w:t>will not contain</w:t>
      </w:r>
      <w:r w:rsidRPr="009E50A5" w:rsidR="009E50A5">
        <w:rPr>
          <w:sz w:val="24"/>
          <w:szCs w:val="24"/>
        </w:rPr>
        <w:t xml:space="preserve">, or otherwise be associated with, the respondents’ email addresses, so the contractor </w:t>
      </w:r>
      <w:r w:rsidR="009E50A5">
        <w:rPr>
          <w:sz w:val="24"/>
          <w:szCs w:val="24"/>
        </w:rPr>
        <w:t xml:space="preserve">will not </w:t>
      </w:r>
      <w:r w:rsidRPr="009E50A5" w:rsidR="009E50A5">
        <w:rPr>
          <w:sz w:val="24"/>
          <w:szCs w:val="24"/>
        </w:rPr>
        <w:t>able to use the email address for</w:t>
      </w:r>
      <w:r>
        <w:rPr>
          <w:sz w:val="24"/>
          <w:szCs w:val="24"/>
        </w:rPr>
        <w:t xml:space="preserve"> record retrieval or </w:t>
      </w:r>
      <w:r w:rsidRPr="009E50A5" w:rsidR="009E50A5">
        <w:rPr>
          <w:sz w:val="24"/>
          <w:szCs w:val="24"/>
        </w:rPr>
        <w:t>any other purposes, such as to contact a respondent to clarify his/her response or to do a follow-up survey</w:t>
      </w:r>
      <w:r w:rsidR="009E50A5">
        <w:rPr>
          <w:sz w:val="24"/>
          <w:szCs w:val="24"/>
        </w:rPr>
        <w:t xml:space="preserve">. </w:t>
      </w:r>
      <w:r w:rsidRPr="00D00232" w:rsidR="00EA7723">
        <w:rPr>
          <w:sz w:val="24"/>
          <w:szCs w:val="24"/>
        </w:rPr>
        <w:t xml:space="preserve">OMH </w:t>
      </w:r>
      <w:r w:rsidRPr="00D00232" w:rsidR="007B04F6">
        <w:rPr>
          <w:sz w:val="24"/>
          <w:szCs w:val="24"/>
        </w:rPr>
        <w:t xml:space="preserve">will ensure all participant data </w:t>
      </w:r>
      <w:r>
        <w:rPr>
          <w:sz w:val="24"/>
          <w:szCs w:val="24"/>
        </w:rPr>
        <w:t xml:space="preserve">is </w:t>
      </w:r>
      <w:r w:rsidRPr="00D00232" w:rsidR="007B04F6">
        <w:rPr>
          <w:sz w:val="24"/>
          <w:szCs w:val="24"/>
        </w:rPr>
        <w:t>encrypted and password protected</w:t>
      </w:r>
      <w:r>
        <w:rPr>
          <w:sz w:val="24"/>
          <w:szCs w:val="24"/>
        </w:rPr>
        <w:t xml:space="preserve"> and kept private to the extent allowed by law</w:t>
      </w:r>
      <w:r w:rsidRPr="00D00232" w:rsidR="007B04F6">
        <w:rPr>
          <w:sz w:val="24"/>
          <w:szCs w:val="24"/>
        </w:rPr>
        <w:t>.</w:t>
      </w:r>
      <w:r w:rsidRPr="00D00232" w:rsidR="00BE70C2">
        <w:rPr>
          <w:sz w:val="24"/>
          <w:szCs w:val="24"/>
        </w:rPr>
        <w:t xml:space="preserve">  De-identified </w:t>
      </w:r>
      <w:r w:rsidRPr="00D00232" w:rsidR="00707FB1">
        <w:rPr>
          <w:sz w:val="24"/>
          <w:szCs w:val="24"/>
        </w:rPr>
        <w:t xml:space="preserve">participant information </w:t>
      </w:r>
      <w:r w:rsidRPr="00D00232" w:rsidR="001609F5">
        <w:rPr>
          <w:sz w:val="24"/>
          <w:szCs w:val="24"/>
        </w:rPr>
        <w:t xml:space="preserve">will be maintained and used by </w:t>
      </w:r>
      <w:r w:rsidRPr="00D00232" w:rsidR="00EA7723">
        <w:rPr>
          <w:sz w:val="24"/>
          <w:szCs w:val="24"/>
        </w:rPr>
        <w:t>OMH to report</w:t>
      </w:r>
      <w:r w:rsidRPr="00D00232" w:rsidR="00952C33">
        <w:rPr>
          <w:sz w:val="24"/>
          <w:szCs w:val="24"/>
        </w:rPr>
        <w:t xml:space="preserve"> </w:t>
      </w:r>
      <w:r w:rsidRPr="00D00232" w:rsidR="00BE70C2">
        <w:rPr>
          <w:sz w:val="24"/>
          <w:szCs w:val="24"/>
        </w:rPr>
        <w:t xml:space="preserve">process </w:t>
      </w:r>
      <w:r w:rsidRPr="00D00232" w:rsidR="00C25D4F">
        <w:rPr>
          <w:sz w:val="24"/>
          <w:szCs w:val="24"/>
        </w:rPr>
        <w:t>data</w:t>
      </w:r>
      <w:r w:rsidRPr="00D00232" w:rsidR="008E0E63">
        <w:rPr>
          <w:sz w:val="24"/>
          <w:szCs w:val="24"/>
        </w:rPr>
        <w:t xml:space="preserve"> </w:t>
      </w:r>
      <w:r w:rsidRPr="00D00232" w:rsidR="00952C33">
        <w:rPr>
          <w:sz w:val="24"/>
          <w:szCs w:val="24"/>
        </w:rPr>
        <w:t xml:space="preserve">(i.e., program participation </w:t>
      </w:r>
      <w:r w:rsidRPr="00D00232" w:rsidR="00C8705C">
        <w:rPr>
          <w:sz w:val="24"/>
          <w:szCs w:val="24"/>
        </w:rPr>
        <w:t>rate) and</w:t>
      </w:r>
      <w:r w:rsidRPr="00D00232" w:rsidR="00952C33">
        <w:rPr>
          <w:sz w:val="24"/>
          <w:szCs w:val="24"/>
        </w:rPr>
        <w:t xml:space="preserve"> </w:t>
      </w:r>
      <w:r w:rsidRPr="00D00232" w:rsidR="00BE70C2">
        <w:rPr>
          <w:sz w:val="24"/>
          <w:szCs w:val="24"/>
        </w:rPr>
        <w:t xml:space="preserve">outcome data (i.e., number of </w:t>
      </w:r>
      <w:r w:rsidRPr="00D00232" w:rsidR="00EA7723">
        <w:rPr>
          <w:sz w:val="24"/>
          <w:szCs w:val="24"/>
        </w:rPr>
        <w:t>learning sessions attended</w:t>
      </w:r>
      <w:r w:rsidRPr="00D00232" w:rsidR="00BD338A">
        <w:rPr>
          <w:sz w:val="24"/>
          <w:szCs w:val="24"/>
        </w:rPr>
        <w:t>)</w:t>
      </w:r>
      <w:r w:rsidRPr="00D00232" w:rsidR="00952C33">
        <w:rPr>
          <w:sz w:val="24"/>
          <w:szCs w:val="24"/>
        </w:rPr>
        <w:t xml:space="preserve">. </w:t>
      </w:r>
      <w:bookmarkStart w:name="_GoBack" w:id="0"/>
      <w:bookmarkEnd w:id="0"/>
    </w:p>
    <w:p w:rsidRPr="007F678A" w:rsidR="007F678A" w:rsidP="004379E1" w:rsidRDefault="007F678A" w14:paraId="28E456AB" w14:textId="77777777">
      <w:pPr>
        <w:pStyle w:val="Listheader"/>
      </w:pPr>
      <w:r w:rsidRPr="007F678A">
        <w:t>Justification for Sensitive Questions</w:t>
      </w:r>
    </w:p>
    <w:p w:rsidRPr="00044D84" w:rsidR="00044D84" w:rsidP="00044D84" w:rsidRDefault="00687B91" w14:paraId="3B736115" w14:textId="5A435DF3">
      <w:pPr>
        <w:widowControl/>
        <w:autoSpaceDE/>
        <w:autoSpaceDN/>
        <w:adjustRightInd/>
        <w:spacing w:after="240"/>
        <w:rPr>
          <w:sz w:val="24"/>
          <w:szCs w:val="24"/>
        </w:rPr>
      </w:pPr>
      <w:r>
        <w:rPr>
          <w:sz w:val="24"/>
          <w:szCs w:val="24"/>
        </w:rPr>
        <w:t>The COVID-19 Learning Community will not collect member information about an idnividual’s</w:t>
      </w:r>
      <w:r w:rsidR="008C17C3">
        <w:rPr>
          <w:sz w:val="24"/>
          <w:szCs w:val="24"/>
        </w:rPr>
        <w:t xml:space="preserve"> race, Hispanic </w:t>
      </w:r>
      <w:r w:rsidRPr="00044D84" w:rsidR="00044D84">
        <w:rPr>
          <w:sz w:val="24"/>
          <w:szCs w:val="24"/>
        </w:rPr>
        <w:t>ethnicity</w:t>
      </w:r>
      <w:r w:rsidR="008C17C3">
        <w:rPr>
          <w:sz w:val="24"/>
          <w:szCs w:val="24"/>
        </w:rPr>
        <w:t xml:space="preserve"> and sex</w:t>
      </w:r>
      <w:r w:rsidR="008E0E63">
        <w:rPr>
          <w:sz w:val="24"/>
          <w:szCs w:val="24"/>
        </w:rPr>
        <w:t xml:space="preserve"> (gender)</w:t>
      </w:r>
      <w:r w:rsidR="008C17C3">
        <w:rPr>
          <w:sz w:val="24"/>
          <w:szCs w:val="24"/>
        </w:rPr>
        <w:t xml:space="preserve">. </w:t>
      </w:r>
      <w:r>
        <w:rPr>
          <w:sz w:val="24"/>
          <w:szCs w:val="24"/>
        </w:rPr>
        <w:t>The COVID-19 Learning Community will collect geographic</w:t>
      </w:r>
      <w:r w:rsidR="00351710">
        <w:rPr>
          <w:sz w:val="24"/>
          <w:szCs w:val="24"/>
        </w:rPr>
        <w:t xml:space="preserve"> work location, work area, </w:t>
      </w:r>
      <w:r>
        <w:rPr>
          <w:sz w:val="24"/>
          <w:szCs w:val="24"/>
        </w:rPr>
        <w:t xml:space="preserve">work interests, and populations served.  This information will serve </w:t>
      </w:r>
      <w:r w:rsidR="000C184F">
        <w:rPr>
          <w:sz w:val="24"/>
          <w:szCs w:val="24"/>
        </w:rPr>
        <w:t>to summarize the interests of the Learning Community members.</w:t>
      </w:r>
      <w:r>
        <w:rPr>
          <w:sz w:val="24"/>
          <w:szCs w:val="24"/>
        </w:rPr>
        <w:t xml:space="preserve"> </w:t>
      </w:r>
      <w:r w:rsidR="008C17C3">
        <w:rPr>
          <w:sz w:val="24"/>
          <w:szCs w:val="24"/>
        </w:rPr>
        <w:t>As t</w:t>
      </w:r>
      <w:r w:rsidRPr="008C17C3" w:rsidR="008C17C3">
        <w:rPr>
          <w:sz w:val="24"/>
          <w:szCs w:val="24"/>
        </w:rPr>
        <w:t>he Office of Minority Health</w:t>
      </w:r>
      <w:r w:rsidR="008C17C3">
        <w:rPr>
          <w:sz w:val="24"/>
          <w:szCs w:val="24"/>
        </w:rPr>
        <w:t xml:space="preserve">’s mission is </w:t>
      </w:r>
      <w:r w:rsidR="008E0E63">
        <w:rPr>
          <w:sz w:val="24"/>
          <w:szCs w:val="24"/>
        </w:rPr>
        <w:t xml:space="preserve">to </w:t>
      </w:r>
      <w:r w:rsidRPr="008C17C3" w:rsidR="008C17C3">
        <w:rPr>
          <w:sz w:val="24"/>
          <w:szCs w:val="24"/>
        </w:rPr>
        <w:t>improve the health status of racial and ethnic minorities</w:t>
      </w:r>
      <w:r w:rsidR="008C17C3">
        <w:rPr>
          <w:sz w:val="24"/>
          <w:szCs w:val="24"/>
        </w:rPr>
        <w:t xml:space="preserve">, </w:t>
      </w:r>
      <w:r w:rsidR="003A36C3">
        <w:rPr>
          <w:sz w:val="24"/>
          <w:szCs w:val="24"/>
        </w:rPr>
        <w:t>it is necessary to collect participant information</w:t>
      </w:r>
      <w:r>
        <w:rPr>
          <w:sz w:val="24"/>
          <w:szCs w:val="24"/>
        </w:rPr>
        <w:t xml:space="preserve"> regarding their geographic</w:t>
      </w:r>
      <w:r w:rsidR="00351710">
        <w:rPr>
          <w:sz w:val="24"/>
          <w:szCs w:val="24"/>
        </w:rPr>
        <w:t xml:space="preserve"> work</w:t>
      </w:r>
      <w:r>
        <w:rPr>
          <w:sz w:val="24"/>
          <w:szCs w:val="24"/>
        </w:rPr>
        <w:t xml:space="preserve"> location, work area, work interests, and populations served. </w:t>
      </w:r>
    </w:p>
    <w:p w:rsidRPr="007F678A" w:rsidR="007F678A" w:rsidP="00044D84" w:rsidRDefault="00044D84" w14:paraId="5ADD9C16" w14:textId="0485D3EC">
      <w:pPr>
        <w:widowControl/>
        <w:autoSpaceDE/>
        <w:autoSpaceDN/>
        <w:adjustRightInd/>
        <w:spacing w:after="240"/>
        <w:rPr>
          <w:sz w:val="24"/>
          <w:szCs w:val="24"/>
        </w:rPr>
      </w:pPr>
      <w:r w:rsidRPr="00044D84">
        <w:rPr>
          <w:sz w:val="24"/>
          <w:szCs w:val="24"/>
        </w:rPr>
        <w:t>All of the performance measu</w:t>
      </w:r>
      <w:r w:rsidR="0099041E">
        <w:rPr>
          <w:sz w:val="24"/>
          <w:szCs w:val="24"/>
        </w:rPr>
        <w:t>res data will be reported to OMH</w:t>
      </w:r>
      <w:r w:rsidRPr="00044D84">
        <w:rPr>
          <w:sz w:val="24"/>
          <w:szCs w:val="24"/>
        </w:rPr>
        <w:t xml:space="preserve"> </w:t>
      </w:r>
      <w:r w:rsidR="008E0E63">
        <w:rPr>
          <w:sz w:val="24"/>
          <w:szCs w:val="24"/>
        </w:rPr>
        <w:t xml:space="preserve">in </w:t>
      </w:r>
      <w:r w:rsidRPr="00044D84">
        <w:rPr>
          <w:sz w:val="24"/>
          <w:szCs w:val="24"/>
        </w:rPr>
        <w:t>de-identified</w:t>
      </w:r>
      <w:r w:rsidR="008E0E63">
        <w:rPr>
          <w:sz w:val="24"/>
          <w:szCs w:val="24"/>
        </w:rPr>
        <w:t xml:space="preserve"> form</w:t>
      </w:r>
      <w:r w:rsidRPr="00044D84">
        <w:rPr>
          <w:sz w:val="24"/>
          <w:szCs w:val="24"/>
        </w:rPr>
        <w:t>, and there will be no means to id</w:t>
      </w:r>
      <w:r w:rsidR="0099041E">
        <w:rPr>
          <w:sz w:val="24"/>
          <w:szCs w:val="24"/>
        </w:rPr>
        <w:t>entify responses by individuals</w:t>
      </w:r>
      <w:r w:rsidRPr="007F678A" w:rsidR="007F678A">
        <w:rPr>
          <w:sz w:val="24"/>
          <w:szCs w:val="24"/>
        </w:rPr>
        <w:t>.</w:t>
      </w:r>
    </w:p>
    <w:p w:rsidRPr="007F678A" w:rsidR="007F678A" w:rsidP="007F678A" w:rsidRDefault="007F678A" w14:paraId="02B9DA27" w14:textId="77777777">
      <w:pPr>
        <w:pStyle w:val="Listheader"/>
      </w:pPr>
      <w:r w:rsidRPr="007F678A">
        <w:t xml:space="preserve">Estimates of Annualized Hour and Cost Burden  </w:t>
      </w:r>
    </w:p>
    <w:p w:rsidR="007F678A" w:rsidP="007F678A" w:rsidRDefault="007F678A" w14:paraId="2EF2BBB2" w14:textId="09B3AEC4">
      <w:pPr>
        <w:widowControl/>
        <w:autoSpaceDE/>
        <w:autoSpaceDN/>
        <w:adjustRightInd/>
        <w:spacing w:after="240"/>
        <w:rPr>
          <w:sz w:val="24"/>
          <w:szCs w:val="24"/>
        </w:rPr>
      </w:pPr>
      <w:r w:rsidRPr="007F678A">
        <w:rPr>
          <w:spacing w:val="-1"/>
          <w:sz w:val="24"/>
          <w:szCs w:val="24"/>
        </w:rPr>
        <w:t xml:space="preserve"> </w:t>
      </w:r>
      <w:r w:rsidRPr="007F678A">
        <w:rPr>
          <w:sz w:val="24"/>
          <w:szCs w:val="24"/>
        </w:rPr>
        <w:t xml:space="preserve"> </w:t>
      </w:r>
    </w:p>
    <w:p w:rsidRPr="00C607E2" w:rsidR="00C607E2" w:rsidP="00C607E2" w:rsidRDefault="00C607E2" w14:paraId="2F0B5DF4" w14:textId="23E54FA5">
      <w:pPr>
        <w:rPr>
          <w:b/>
        </w:rPr>
      </w:pPr>
      <w:r>
        <w:rPr>
          <w:bCs/>
        </w:rPr>
        <w:t xml:space="preserve"> </w:t>
      </w:r>
      <w:r w:rsidRPr="00C607E2">
        <w:rPr>
          <w:b/>
          <w:bCs/>
        </w:rPr>
        <w:t xml:space="preserve">Exhibit 1: Annualized Burden Hour Table </w:t>
      </w:r>
    </w:p>
    <w:tbl>
      <w:tblPr>
        <w:tblW w:w="957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36"/>
        <w:gridCol w:w="1583"/>
        <w:gridCol w:w="1570"/>
        <w:gridCol w:w="1588"/>
        <w:gridCol w:w="1562"/>
        <w:gridCol w:w="1537"/>
      </w:tblGrid>
      <w:tr w:rsidRPr="00C71296" w:rsidR="0000017A" w:rsidTr="0000017A" w14:paraId="292A06F9" w14:textId="77777777">
        <w:trPr>
          <w:trHeight w:val="285"/>
        </w:trPr>
        <w:tc>
          <w:tcPr>
            <w:tcW w:w="1736" w:type="dxa"/>
            <w:shd w:val="clear" w:color="auto" w:fill="auto"/>
          </w:tcPr>
          <w:p w:rsidR="0000017A" w:rsidP="00FA54B9" w:rsidRDefault="0000017A" w14:paraId="283EB9CE" w14:textId="77777777">
            <w:r>
              <w:t xml:space="preserve">Forms </w:t>
            </w:r>
          </w:p>
          <w:p w:rsidRPr="00C71296" w:rsidR="0000017A" w:rsidP="00FA54B9" w:rsidRDefault="0000017A" w14:paraId="096AD10E" w14:textId="77777777">
            <w:r>
              <w:t xml:space="preserve">(If necessary) </w:t>
            </w:r>
          </w:p>
        </w:tc>
        <w:tc>
          <w:tcPr>
            <w:tcW w:w="1583" w:type="dxa"/>
            <w:shd w:val="clear" w:color="auto" w:fill="auto"/>
          </w:tcPr>
          <w:p w:rsidR="0000017A" w:rsidP="00FA54B9" w:rsidRDefault="0000017A" w14:paraId="61E2C8EC" w14:textId="77777777">
            <w:r>
              <w:t>Respondents</w:t>
            </w:r>
          </w:p>
          <w:p w:rsidRPr="00C71296" w:rsidR="0000017A" w:rsidP="00FA54B9" w:rsidRDefault="0000017A" w14:paraId="5442E079" w14:textId="77777777">
            <w:r>
              <w:t>(If necessary)</w:t>
            </w:r>
          </w:p>
        </w:tc>
        <w:tc>
          <w:tcPr>
            <w:tcW w:w="1570" w:type="dxa"/>
            <w:shd w:val="clear" w:color="auto" w:fill="auto"/>
          </w:tcPr>
          <w:p w:rsidRPr="000155E4" w:rsidR="0000017A" w:rsidP="00FA54B9" w:rsidRDefault="0000017A" w14:paraId="24AA5A86" w14:textId="77777777">
            <w:r>
              <w:t xml:space="preserve">Estimated Number of </w:t>
            </w:r>
            <w:r w:rsidRPr="000155E4">
              <w:t xml:space="preserve"> Respon</w:t>
            </w:r>
            <w:r>
              <w:t xml:space="preserve">dents </w:t>
            </w:r>
            <w:r w:rsidRPr="000155E4">
              <w:t xml:space="preserve">  </w:t>
            </w:r>
          </w:p>
        </w:tc>
        <w:tc>
          <w:tcPr>
            <w:tcW w:w="1588" w:type="dxa"/>
            <w:shd w:val="clear" w:color="auto" w:fill="auto"/>
          </w:tcPr>
          <w:p w:rsidRPr="000155E4" w:rsidR="0000017A" w:rsidP="00FA54B9" w:rsidRDefault="0000017A" w14:paraId="365F94FB" w14:textId="77777777">
            <w:r w:rsidRPr="000155E4">
              <w:t>Number of</w:t>
            </w:r>
            <w:r>
              <w:t xml:space="preserve"> Responses per </w:t>
            </w:r>
            <w:r w:rsidRPr="000155E4">
              <w:t xml:space="preserve"> Respondents  </w:t>
            </w:r>
          </w:p>
        </w:tc>
        <w:tc>
          <w:tcPr>
            <w:tcW w:w="1562" w:type="dxa"/>
            <w:shd w:val="clear" w:color="auto" w:fill="auto"/>
          </w:tcPr>
          <w:p w:rsidRPr="000155E4" w:rsidR="0000017A" w:rsidP="00FA54B9" w:rsidRDefault="0000017A" w14:paraId="0BE333E8" w14:textId="77777777">
            <w:r w:rsidRPr="000155E4">
              <w:t xml:space="preserve">Average Burden per Response </w:t>
            </w:r>
            <w:r w:rsidRPr="00CE0D30">
              <w:rPr>
                <w:bCs/>
              </w:rPr>
              <w:t xml:space="preserve"> </w:t>
            </w:r>
          </w:p>
        </w:tc>
        <w:tc>
          <w:tcPr>
            <w:tcW w:w="1537" w:type="dxa"/>
            <w:shd w:val="clear" w:color="auto" w:fill="auto"/>
          </w:tcPr>
          <w:p w:rsidRPr="000155E4" w:rsidR="0000017A" w:rsidP="00FA54B9" w:rsidRDefault="0000017A" w14:paraId="264B1324" w14:textId="77777777">
            <w:r w:rsidRPr="000155E4">
              <w:t xml:space="preserve">Total </w:t>
            </w:r>
            <w:r>
              <w:t xml:space="preserve">Burden Hours </w:t>
            </w:r>
          </w:p>
        </w:tc>
      </w:tr>
      <w:tr w:rsidRPr="00C71296" w:rsidR="0000017A" w:rsidTr="0000017A" w14:paraId="6D5D1FCA" w14:textId="77777777">
        <w:trPr>
          <w:trHeight w:val="285"/>
        </w:trPr>
        <w:tc>
          <w:tcPr>
            <w:tcW w:w="1736" w:type="dxa"/>
            <w:shd w:val="clear" w:color="auto" w:fill="auto"/>
          </w:tcPr>
          <w:p w:rsidRPr="00CE0D30" w:rsidR="0000017A" w:rsidP="00FA54B9" w:rsidRDefault="0000017A" w14:paraId="725B4735" w14:textId="77777777">
            <w:pPr>
              <w:rPr>
                <w:u w:val="single"/>
              </w:rPr>
            </w:pPr>
            <w:r>
              <w:rPr>
                <w:u w:val="single"/>
              </w:rPr>
              <w:t>Post COVID-19 Learning Community Survey</w:t>
            </w:r>
          </w:p>
        </w:tc>
        <w:tc>
          <w:tcPr>
            <w:tcW w:w="1583" w:type="dxa"/>
            <w:tcBorders>
              <w:bottom w:val="single" w:color="auto" w:sz="4" w:space="0"/>
            </w:tcBorders>
            <w:shd w:val="clear" w:color="auto" w:fill="auto"/>
          </w:tcPr>
          <w:p w:rsidRPr="00587FDD" w:rsidR="0000017A" w:rsidP="00FA54B9" w:rsidRDefault="0000017A" w14:paraId="32C7A65A" w14:textId="77777777">
            <w:r>
              <w:t>COVID-19 Learning Community Members</w:t>
            </w:r>
            <w:r w:rsidRPr="00587FDD">
              <w:t xml:space="preserve"> </w:t>
            </w:r>
          </w:p>
        </w:tc>
        <w:tc>
          <w:tcPr>
            <w:tcW w:w="1570" w:type="dxa"/>
            <w:tcBorders>
              <w:bottom w:val="single" w:color="auto" w:sz="4" w:space="0"/>
            </w:tcBorders>
            <w:shd w:val="clear" w:color="auto" w:fill="auto"/>
          </w:tcPr>
          <w:p w:rsidRPr="00587FDD" w:rsidR="0000017A" w:rsidP="00FA54B9" w:rsidRDefault="002A2A2E" w14:paraId="3045AC54" w14:textId="08CC2591">
            <w:pPr>
              <w:spacing w:line="480" w:lineRule="auto"/>
            </w:pPr>
            <w:r>
              <w:t>200</w:t>
            </w:r>
          </w:p>
        </w:tc>
        <w:tc>
          <w:tcPr>
            <w:tcW w:w="1588" w:type="dxa"/>
            <w:tcBorders>
              <w:bottom w:val="single" w:color="auto" w:sz="4" w:space="0"/>
            </w:tcBorders>
            <w:shd w:val="clear" w:color="auto" w:fill="auto"/>
          </w:tcPr>
          <w:p w:rsidRPr="00587FDD" w:rsidR="0000017A" w:rsidP="00FA54B9" w:rsidRDefault="0000017A" w14:paraId="7BF0DFFD" w14:textId="77777777">
            <w:pPr>
              <w:spacing w:line="480" w:lineRule="auto"/>
            </w:pPr>
            <w:r>
              <w:t>1</w:t>
            </w:r>
          </w:p>
        </w:tc>
        <w:tc>
          <w:tcPr>
            <w:tcW w:w="1562" w:type="dxa"/>
            <w:tcBorders>
              <w:bottom w:val="single" w:color="auto" w:sz="4" w:space="0"/>
            </w:tcBorders>
            <w:shd w:val="clear" w:color="auto" w:fill="auto"/>
          </w:tcPr>
          <w:p w:rsidRPr="00587FDD" w:rsidR="0000017A" w:rsidP="00FA54B9" w:rsidRDefault="0000017A" w14:paraId="62CDE611" w14:textId="77777777">
            <w:pPr>
              <w:spacing w:line="480" w:lineRule="auto"/>
            </w:pPr>
            <w:r>
              <w:t>5/60</w:t>
            </w:r>
          </w:p>
        </w:tc>
        <w:tc>
          <w:tcPr>
            <w:tcW w:w="1537" w:type="dxa"/>
            <w:shd w:val="clear" w:color="auto" w:fill="auto"/>
          </w:tcPr>
          <w:p w:rsidRPr="00587FDD" w:rsidR="0000017A" w:rsidP="00FA54B9" w:rsidRDefault="002A2A2E" w14:paraId="10000F71" w14:textId="3E0FB492">
            <w:pPr>
              <w:spacing w:line="480" w:lineRule="auto"/>
            </w:pPr>
            <w:r>
              <w:t>17</w:t>
            </w:r>
          </w:p>
        </w:tc>
      </w:tr>
      <w:tr w:rsidRPr="00C71296" w:rsidR="0000017A" w:rsidTr="0000017A" w14:paraId="1979F0C9" w14:textId="77777777">
        <w:trPr>
          <w:trHeight w:val="285"/>
        </w:trPr>
        <w:tc>
          <w:tcPr>
            <w:tcW w:w="1736" w:type="dxa"/>
            <w:shd w:val="clear" w:color="auto" w:fill="auto"/>
          </w:tcPr>
          <w:p w:rsidRPr="000155E4" w:rsidR="0000017A" w:rsidP="00FA54B9" w:rsidRDefault="0000017A" w14:paraId="28997C00" w14:textId="77777777">
            <w:pPr>
              <w:spacing w:line="480" w:lineRule="auto"/>
            </w:pPr>
            <w:r w:rsidRPr="000155E4">
              <w:t>Total</w:t>
            </w:r>
          </w:p>
        </w:tc>
        <w:tc>
          <w:tcPr>
            <w:tcW w:w="1583" w:type="dxa"/>
            <w:shd w:val="clear" w:color="auto" w:fill="A6A6A6"/>
          </w:tcPr>
          <w:p w:rsidRPr="00CE0D30" w:rsidR="0000017A" w:rsidP="00FA54B9" w:rsidRDefault="0000017A" w14:paraId="2336C9F8" w14:textId="77777777">
            <w:pPr>
              <w:spacing w:line="480" w:lineRule="auto"/>
              <w:rPr>
                <w:u w:val="single"/>
              </w:rPr>
            </w:pPr>
          </w:p>
        </w:tc>
        <w:tc>
          <w:tcPr>
            <w:tcW w:w="1570" w:type="dxa"/>
            <w:shd w:val="clear" w:color="auto" w:fill="A6A6A6"/>
          </w:tcPr>
          <w:p w:rsidRPr="00CE0D30" w:rsidR="0000017A" w:rsidP="00FA54B9" w:rsidRDefault="0000017A" w14:paraId="07EEEAE4" w14:textId="77777777">
            <w:pPr>
              <w:spacing w:line="480" w:lineRule="auto"/>
              <w:rPr>
                <w:u w:val="single"/>
              </w:rPr>
            </w:pPr>
          </w:p>
        </w:tc>
        <w:tc>
          <w:tcPr>
            <w:tcW w:w="1588" w:type="dxa"/>
            <w:shd w:val="clear" w:color="auto" w:fill="auto"/>
          </w:tcPr>
          <w:p w:rsidRPr="00CE0D30" w:rsidR="0000017A" w:rsidP="00FA54B9" w:rsidRDefault="0000017A" w14:paraId="73B5DE5A" w14:textId="77777777">
            <w:pPr>
              <w:spacing w:line="480" w:lineRule="auto"/>
              <w:rPr>
                <w:u w:val="single"/>
              </w:rPr>
            </w:pPr>
          </w:p>
        </w:tc>
        <w:tc>
          <w:tcPr>
            <w:tcW w:w="1562" w:type="dxa"/>
            <w:shd w:val="clear" w:color="auto" w:fill="A0A0A0"/>
          </w:tcPr>
          <w:p w:rsidRPr="00CE0D30" w:rsidR="0000017A" w:rsidP="00FA54B9" w:rsidRDefault="0000017A" w14:paraId="2320255F" w14:textId="77777777">
            <w:pPr>
              <w:spacing w:line="480" w:lineRule="auto"/>
              <w:rPr>
                <w:u w:val="single"/>
              </w:rPr>
            </w:pPr>
          </w:p>
        </w:tc>
        <w:tc>
          <w:tcPr>
            <w:tcW w:w="1537" w:type="dxa"/>
            <w:shd w:val="clear" w:color="auto" w:fill="auto"/>
          </w:tcPr>
          <w:p w:rsidR="0000017A" w:rsidP="00FA54B9" w:rsidRDefault="000C184F" w14:paraId="23467EF6" w14:textId="50413C58">
            <w:pPr>
              <w:spacing w:line="480" w:lineRule="auto"/>
              <w:rPr>
                <w:u w:val="single"/>
              </w:rPr>
            </w:pPr>
            <w:r>
              <w:rPr>
                <w:u w:val="single"/>
              </w:rPr>
              <w:t>17</w:t>
            </w:r>
          </w:p>
          <w:p w:rsidRPr="00CE0D30" w:rsidR="0000017A" w:rsidP="00FA54B9" w:rsidRDefault="0000017A" w14:paraId="628167DA" w14:textId="77777777">
            <w:pPr>
              <w:spacing w:line="480" w:lineRule="auto"/>
              <w:rPr>
                <w:u w:val="single"/>
              </w:rPr>
            </w:pPr>
          </w:p>
        </w:tc>
      </w:tr>
    </w:tbl>
    <w:p w:rsidRPr="007F678A" w:rsidR="007F678A" w:rsidP="007F678A" w:rsidRDefault="007F678A" w14:paraId="471052D6" w14:textId="77777777">
      <w:pPr>
        <w:jc w:val="both"/>
        <w:rPr>
          <w:sz w:val="24"/>
          <w:szCs w:val="24"/>
        </w:rPr>
      </w:pPr>
    </w:p>
    <w:p w:rsidRPr="00AA74D4" w:rsidR="007F678A" w:rsidP="007F678A" w:rsidRDefault="007F678A" w14:paraId="5846B5F4" w14:textId="089499D1">
      <w:pPr>
        <w:jc w:val="both"/>
        <w:rPr>
          <w:b/>
          <w:bCs/>
          <w:sz w:val="24"/>
          <w:szCs w:val="24"/>
        </w:rPr>
      </w:pPr>
      <w:r w:rsidRPr="00AA74D4">
        <w:rPr>
          <w:b/>
          <w:sz w:val="24"/>
          <w:szCs w:val="24"/>
        </w:rPr>
        <w:t>Exhibit 2</w:t>
      </w:r>
      <w:r w:rsidRPr="00AA74D4">
        <w:rPr>
          <w:b/>
          <w:bCs/>
          <w:sz w:val="24"/>
          <w:szCs w:val="24"/>
        </w:rPr>
        <w:t>:</w:t>
      </w:r>
      <w:r w:rsidRPr="00AA74D4">
        <w:rPr>
          <w:b/>
          <w:sz w:val="24"/>
          <w:szCs w:val="24"/>
        </w:rPr>
        <w:t xml:space="preserve"> </w:t>
      </w:r>
      <w:bookmarkStart w:name="Exhibit4" w:id="1"/>
      <w:r w:rsidRPr="00AA74D4">
        <w:rPr>
          <w:b/>
          <w:sz w:val="24"/>
          <w:szCs w:val="24"/>
        </w:rPr>
        <w:t>Estimated A</w:t>
      </w:r>
      <w:r w:rsidRPr="00AA74D4" w:rsidR="009D23AD">
        <w:rPr>
          <w:b/>
          <w:bCs/>
          <w:sz w:val="24"/>
          <w:szCs w:val="24"/>
        </w:rPr>
        <w:t>nnualized Respondent</w:t>
      </w:r>
      <w:r w:rsidRPr="00AA74D4">
        <w:rPr>
          <w:b/>
          <w:bCs/>
          <w:sz w:val="24"/>
          <w:szCs w:val="24"/>
        </w:rPr>
        <w:t xml:space="preserve"> Costs</w:t>
      </w:r>
      <w:bookmarkEnd w:id="1"/>
    </w:p>
    <w:tbl>
      <w:tblPr>
        <w:tblW w:w="8199" w:type="dxa"/>
        <w:tblLayout w:type="fixed"/>
        <w:tblCellMar>
          <w:left w:w="115" w:type="dxa"/>
          <w:right w:w="115" w:type="dxa"/>
        </w:tblCellMar>
        <w:tblLook w:val="0000" w:firstRow="0" w:lastRow="0" w:firstColumn="0" w:lastColumn="0" w:noHBand="0" w:noVBand="0"/>
      </w:tblPr>
      <w:tblGrid>
        <w:gridCol w:w="3422"/>
        <w:gridCol w:w="1440"/>
        <w:gridCol w:w="1438"/>
        <w:gridCol w:w="1899"/>
      </w:tblGrid>
      <w:tr w:rsidRPr="00AA74D4" w:rsidR="00AA74D4" w:rsidTr="00201707" w14:paraId="41562C1F" w14:textId="77777777">
        <w:trPr>
          <w:trHeight w:val="20"/>
        </w:trPr>
        <w:tc>
          <w:tcPr>
            <w:tcW w:w="3422" w:type="dxa"/>
            <w:tcBorders>
              <w:top w:val="single" w:color="auto" w:sz="4" w:space="0"/>
              <w:left w:val="single" w:color="auto" w:sz="4" w:space="0"/>
              <w:bottom w:val="single" w:color="auto" w:sz="4" w:space="0"/>
              <w:right w:val="single" w:color="auto" w:sz="4" w:space="0"/>
            </w:tcBorders>
            <w:vAlign w:val="center"/>
          </w:tcPr>
          <w:p w:rsidRPr="00AA74D4" w:rsidR="007F678A" w:rsidP="007F678A" w:rsidRDefault="007F678A" w14:paraId="2BBF4628" w14:textId="77777777">
            <w:pPr>
              <w:adjustRightInd/>
              <w:jc w:val="center"/>
              <w:rPr>
                <w:b/>
                <w:bCs/>
                <w:spacing w:val="-4"/>
              </w:rPr>
            </w:pPr>
            <w:r w:rsidRPr="00AA74D4">
              <w:rPr>
                <w:b/>
                <w:spacing w:val="-4"/>
              </w:rPr>
              <w:t xml:space="preserve">Type </w:t>
            </w:r>
            <w:r w:rsidRPr="00AA74D4">
              <w:rPr>
                <w:b/>
                <w:bCs/>
                <w:spacing w:val="-4"/>
              </w:rPr>
              <w:t>of Respondent</w:t>
            </w:r>
          </w:p>
        </w:tc>
        <w:tc>
          <w:tcPr>
            <w:tcW w:w="1440" w:type="dxa"/>
            <w:tcBorders>
              <w:top w:val="single" w:color="auto" w:sz="4" w:space="0"/>
              <w:left w:val="single" w:color="auto" w:sz="4" w:space="0"/>
              <w:bottom w:val="single" w:color="auto" w:sz="4" w:space="0"/>
              <w:right w:val="single" w:color="auto" w:sz="4" w:space="0"/>
            </w:tcBorders>
            <w:vAlign w:val="center"/>
          </w:tcPr>
          <w:p w:rsidRPr="00AA74D4" w:rsidR="007F678A" w:rsidP="007F678A" w:rsidRDefault="007F678A" w14:paraId="63F33150" w14:textId="77777777">
            <w:pPr>
              <w:adjustRightInd/>
              <w:jc w:val="center"/>
              <w:rPr>
                <w:b/>
                <w:bCs/>
                <w:spacing w:val="-4"/>
              </w:rPr>
            </w:pPr>
            <w:r w:rsidRPr="00AA74D4">
              <w:rPr>
                <w:b/>
                <w:bCs/>
                <w:spacing w:val="-4"/>
              </w:rPr>
              <w:t>Total Burden</w:t>
            </w:r>
          </w:p>
          <w:p w:rsidRPr="00AA74D4" w:rsidR="007F678A" w:rsidP="007F678A" w:rsidRDefault="007F678A" w14:paraId="03B7C087" w14:textId="77777777">
            <w:pPr>
              <w:adjustRightInd/>
              <w:jc w:val="center"/>
              <w:rPr>
                <w:b/>
                <w:bCs/>
                <w:spacing w:val="-4"/>
              </w:rPr>
            </w:pPr>
            <w:r w:rsidRPr="00AA74D4">
              <w:rPr>
                <w:b/>
                <w:bCs/>
                <w:spacing w:val="-4"/>
              </w:rPr>
              <w:t>Hours</w:t>
            </w:r>
          </w:p>
        </w:tc>
        <w:tc>
          <w:tcPr>
            <w:tcW w:w="1438" w:type="dxa"/>
            <w:tcBorders>
              <w:top w:val="single" w:color="auto" w:sz="4" w:space="0"/>
              <w:left w:val="single" w:color="auto" w:sz="4" w:space="0"/>
              <w:bottom w:val="single" w:color="auto" w:sz="4" w:space="0"/>
              <w:right w:val="single" w:color="auto" w:sz="4" w:space="0"/>
            </w:tcBorders>
            <w:vAlign w:val="center"/>
          </w:tcPr>
          <w:p w:rsidRPr="00AA74D4" w:rsidR="007F678A" w:rsidP="007F678A" w:rsidRDefault="007F678A" w14:paraId="3B61B530" w14:textId="77777777">
            <w:pPr>
              <w:adjustRightInd/>
              <w:jc w:val="center"/>
              <w:rPr>
                <w:b/>
                <w:spacing w:val="-4"/>
              </w:rPr>
            </w:pPr>
            <w:r w:rsidRPr="00AA74D4">
              <w:rPr>
                <w:b/>
                <w:spacing w:val="-4"/>
              </w:rPr>
              <w:t>Hourly</w:t>
            </w:r>
          </w:p>
          <w:p w:rsidRPr="00AA74D4" w:rsidR="007F678A" w:rsidP="007F678A" w:rsidRDefault="007F678A" w14:paraId="2E70CA7B" w14:textId="77777777">
            <w:pPr>
              <w:adjustRightInd/>
              <w:jc w:val="center"/>
              <w:rPr>
                <w:b/>
                <w:bCs/>
                <w:spacing w:val="-4"/>
              </w:rPr>
            </w:pPr>
            <w:r w:rsidRPr="00AA74D4">
              <w:rPr>
                <w:b/>
                <w:spacing w:val="-4"/>
              </w:rPr>
              <w:t xml:space="preserve">Wage </w:t>
            </w:r>
            <w:r w:rsidRPr="00AA74D4">
              <w:rPr>
                <w:b/>
                <w:bCs/>
                <w:spacing w:val="-4"/>
              </w:rPr>
              <w:t>Rate</w:t>
            </w:r>
          </w:p>
        </w:tc>
        <w:tc>
          <w:tcPr>
            <w:tcW w:w="1899" w:type="dxa"/>
            <w:tcBorders>
              <w:top w:val="single" w:color="auto" w:sz="4" w:space="0"/>
              <w:left w:val="single" w:color="auto" w:sz="4" w:space="0"/>
              <w:bottom w:val="single" w:color="auto" w:sz="4" w:space="0"/>
              <w:right w:val="single" w:color="auto" w:sz="4" w:space="0"/>
            </w:tcBorders>
            <w:vAlign w:val="center"/>
          </w:tcPr>
          <w:p w:rsidRPr="00AA74D4" w:rsidR="007F678A" w:rsidP="007F678A" w:rsidRDefault="007F678A" w14:paraId="38149492" w14:textId="77777777">
            <w:pPr>
              <w:adjustRightInd/>
              <w:jc w:val="center"/>
              <w:rPr>
                <w:b/>
                <w:bCs/>
                <w:spacing w:val="-4"/>
              </w:rPr>
            </w:pPr>
            <w:r w:rsidRPr="00AA74D4">
              <w:rPr>
                <w:b/>
                <w:bCs/>
                <w:spacing w:val="-4"/>
              </w:rPr>
              <w:t>Total Respondent</w:t>
            </w:r>
          </w:p>
          <w:p w:rsidRPr="00AA74D4" w:rsidR="007F678A" w:rsidP="007F678A" w:rsidRDefault="007F678A" w14:paraId="08946E3F" w14:textId="77777777">
            <w:pPr>
              <w:adjustRightInd/>
              <w:jc w:val="center"/>
              <w:rPr>
                <w:b/>
                <w:spacing w:val="-4"/>
              </w:rPr>
            </w:pPr>
            <w:r w:rsidRPr="00AA74D4">
              <w:rPr>
                <w:b/>
                <w:spacing w:val="-4"/>
              </w:rPr>
              <w:t>Costs</w:t>
            </w:r>
          </w:p>
        </w:tc>
      </w:tr>
      <w:tr w:rsidRPr="00AA74D4" w:rsidR="00AA74D4" w:rsidTr="00201707" w14:paraId="7E5A5A16" w14:textId="77777777">
        <w:trPr>
          <w:trHeight w:val="20"/>
        </w:trPr>
        <w:tc>
          <w:tcPr>
            <w:tcW w:w="3422" w:type="dxa"/>
            <w:tcBorders>
              <w:top w:val="single" w:color="auto" w:sz="4" w:space="0"/>
              <w:left w:val="single" w:color="auto" w:sz="4" w:space="0"/>
              <w:bottom w:val="single" w:color="auto" w:sz="4" w:space="0"/>
              <w:right w:val="single" w:color="auto" w:sz="4" w:space="0"/>
            </w:tcBorders>
            <w:vAlign w:val="center"/>
          </w:tcPr>
          <w:p w:rsidRPr="00AA74D4" w:rsidR="00854A68" w:rsidP="00B33D55" w:rsidRDefault="009F6141" w14:paraId="13E8E1DC" w14:textId="1E77B557">
            <w:pPr>
              <w:adjustRightInd/>
              <w:jc w:val="center"/>
              <w:rPr>
                <w:spacing w:val="-4"/>
              </w:rPr>
            </w:pPr>
            <w:r w:rsidRPr="00AA74D4">
              <w:rPr>
                <w:spacing w:val="-4"/>
              </w:rPr>
              <w:t>Learning Community Member (Learning Community Post Survey)</w:t>
            </w:r>
          </w:p>
        </w:tc>
        <w:tc>
          <w:tcPr>
            <w:tcW w:w="1440" w:type="dxa"/>
            <w:tcBorders>
              <w:top w:val="single" w:color="auto" w:sz="4" w:space="0"/>
              <w:left w:val="single" w:color="auto" w:sz="4" w:space="0"/>
              <w:bottom w:val="single" w:color="auto" w:sz="4" w:space="0"/>
              <w:right w:val="single" w:color="auto" w:sz="4" w:space="0"/>
            </w:tcBorders>
            <w:vAlign w:val="center"/>
          </w:tcPr>
          <w:p w:rsidRPr="00AA74D4" w:rsidR="00854A68" w:rsidP="007F678A" w:rsidRDefault="002A2A2E" w14:paraId="682D75E2" w14:textId="341580C4">
            <w:pPr>
              <w:adjustRightInd/>
              <w:jc w:val="center"/>
              <w:rPr>
                <w:spacing w:val="-4"/>
              </w:rPr>
            </w:pPr>
            <w:r>
              <w:rPr>
                <w:spacing w:val="-4"/>
              </w:rPr>
              <w:t>17</w:t>
            </w:r>
          </w:p>
        </w:tc>
        <w:tc>
          <w:tcPr>
            <w:tcW w:w="1438" w:type="dxa"/>
            <w:tcBorders>
              <w:top w:val="single" w:color="auto" w:sz="4" w:space="0"/>
              <w:left w:val="single" w:color="auto" w:sz="4" w:space="0"/>
              <w:bottom w:val="single" w:color="auto" w:sz="4" w:space="0"/>
              <w:right w:val="single" w:color="auto" w:sz="4" w:space="0"/>
            </w:tcBorders>
            <w:vAlign w:val="center"/>
          </w:tcPr>
          <w:p w:rsidRPr="00AA74D4" w:rsidR="00854A68" w:rsidP="007F678A" w:rsidRDefault="00AA74D4" w14:paraId="33104B73" w14:textId="2D257DD5">
            <w:pPr>
              <w:adjustRightInd/>
              <w:jc w:val="center"/>
              <w:rPr>
                <w:spacing w:val="-4"/>
              </w:rPr>
            </w:pPr>
            <w:r w:rsidRPr="00AA74D4">
              <w:rPr>
                <w:spacing w:val="-4"/>
              </w:rPr>
              <w:t>$26.54</w:t>
            </w:r>
          </w:p>
        </w:tc>
        <w:tc>
          <w:tcPr>
            <w:tcW w:w="1899" w:type="dxa"/>
            <w:tcBorders>
              <w:top w:val="single" w:color="auto" w:sz="4" w:space="0"/>
              <w:left w:val="single" w:color="auto" w:sz="4" w:space="0"/>
              <w:bottom w:val="single" w:color="auto" w:sz="4" w:space="0"/>
              <w:right w:val="single" w:color="auto" w:sz="4" w:space="0"/>
            </w:tcBorders>
            <w:vAlign w:val="center"/>
          </w:tcPr>
          <w:p w:rsidRPr="00AA74D4" w:rsidR="00854A68" w:rsidP="002A2A2E" w:rsidRDefault="00B33D55" w14:paraId="132B4748" w14:textId="04FFC1CB">
            <w:pPr>
              <w:adjustRightInd/>
              <w:jc w:val="center"/>
              <w:rPr>
                <w:spacing w:val="-4"/>
              </w:rPr>
            </w:pPr>
            <w:r w:rsidRPr="00AA74D4">
              <w:rPr>
                <w:spacing w:val="-4"/>
              </w:rPr>
              <w:t>$</w:t>
            </w:r>
            <w:r w:rsidR="002A2A2E">
              <w:rPr>
                <w:spacing w:val="-4"/>
              </w:rPr>
              <w:t>451.18</w:t>
            </w:r>
          </w:p>
        </w:tc>
      </w:tr>
      <w:tr w:rsidRPr="00AA74D4" w:rsidR="00AA74D4" w:rsidTr="00201707" w14:paraId="656BCA0C" w14:textId="77777777">
        <w:trPr>
          <w:trHeight w:val="20"/>
        </w:trPr>
        <w:tc>
          <w:tcPr>
            <w:tcW w:w="3422" w:type="dxa"/>
            <w:tcBorders>
              <w:top w:val="single" w:color="auto" w:sz="4" w:space="0"/>
              <w:left w:val="single" w:color="auto" w:sz="4" w:space="0"/>
              <w:bottom w:val="single" w:color="auto" w:sz="4" w:space="0"/>
              <w:right w:val="single" w:color="auto" w:sz="4" w:space="0"/>
            </w:tcBorders>
            <w:vAlign w:val="center"/>
          </w:tcPr>
          <w:p w:rsidRPr="00AA74D4" w:rsidR="00C607E2" w:rsidP="007F678A" w:rsidRDefault="00FB708D" w14:paraId="0DBEA18D" w14:textId="1DC1F861">
            <w:pPr>
              <w:adjustRightInd/>
              <w:jc w:val="center"/>
              <w:rPr>
                <w:spacing w:val="-4"/>
              </w:rPr>
            </w:pPr>
            <w:r w:rsidRPr="00AA74D4">
              <w:rPr>
                <w:spacing w:val="-4"/>
              </w:rPr>
              <w:t>TOTAL</w:t>
            </w:r>
          </w:p>
        </w:tc>
        <w:tc>
          <w:tcPr>
            <w:tcW w:w="1440" w:type="dxa"/>
            <w:tcBorders>
              <w:top w:val="single" w:color="auto" w:sz="4" w:space="0"/>
              <w:left w:val="single" w:color="auto" w:sz="4" w:space="0"/>
              <w:bottom w:val="single" w:color="auto" w:sz="4" w:space="0"/>
              <w:right w:val="single" w:color="auto" w:sz="4" w:space="0"/>
            </w:tcBorders>
            <w:vAlign w:val="center"/>
          </w:tcPr>
          <w:p w:rsidRPr="00AA74D4" w:rsidR="00C607E2" w:rsidP="007F678A" w:rsidRDefault="00C607E2" w14:paraId="65484B07" w14:textId="4B1D843A">
            <w:pPr>
              <w:adjustRightInd/>
              <w:jc w:val="center"/>
              <w:rPr>
                <w:spacing w:val="-4"/>
              </w:rPr>
            </w:pPr>
          </w:p>
        </w:tc>
        <w:tc>
          <w:tcPr>
            <w:tcW w:w="1438" w:type="dxa"/>
            <w:tcBorders>
              <w:top w:val="single" w:color="auto" w:sz="4" w:space="0"/>
              <w:left w:val="single" w:color="auto" w:sz="4" w:space="0"/>
              <w:bottom w:val="single" w:color="auto" w:sz="4" w:space="0"/>
              <w:right w:val="single" w:color="auto" w:sz="4" w:space="0"/>
            </w:tcBorders>
            <w:vAlign w:val="center"/>
          </w:tcPr>
          <w:p w:rsidRPr="00AA74D4" w:rsidR="00C607E2" w:rsidP="007F678A" w:rsidRDefault="00C607E2" w14:paraId="21733D36" w14:textId="77777777">
            <w:pPr>
              <w:adjustRightInd/>
              <w:jc w:val="center"/>
              <w:rPr>
                <w:spacing w:val="-4"/>
              </w:rPr>
            </w:pPr>
          </w:p>
        </w:tc>
        <w:tc>
          <w:tcPr>
            <w:tcW w:w="1899" w:type="dxa"/>
            <w:tcBorders>
              <w:top w:val="single" w:color="auto" w:sz="4" w:space="0"/>
              <w:left w:val="single" w:color="auto" w:sz="4" w:space="0"/>
              <w:bottom w:val="single" w:color="auto" w:sz="4" w:space="0"/>
              <w:right w:val="single" w:color="auto" w:sz="4" w:space="0"/>
            </w:tcBorders>
            <w:vAlign w:val="center"/>
          </w:tcPr>
          <w:p w:rsidRPr="00AA74D4" w:rsidR="00C607E2" w:rsidP="00C8705C" w:rsidRDefault="000C184F" w14:paraId="5D000925" w14:textId="571823A8">
            <w:pPr>
              <w:adjustRightInd/>
              <w:jc w:val="center"/>
              <w:rPr>
                <w:spacing w:val="-4"/>
              </w:rPr>
            </w:pPr>
            <w:r w:rsidRPr="00AA74D4">
              <w:rPr>
                <w:spacing w:val="-4"/>
              </w:rPr>
              <w:t>$</w:t>
            </w:r>
            <w:r>
              <w:rPr>
                <w:spacing w:val="-4"/>
              </w:rPr>
              <w:t>451.18</w:t>
            </w:r>
          </w:p>
        </w:tc>
      </w:tr>
    </w:tbl>
    <w:p w:rsidRPr="007F678A" w:rsidR="007F678A" w:rsidP="007F678A" w:rsidRDefault="007F678A" w14:paraId="432E1002" w14:textId="77777777">
      <w:pPr>
        <w:jc w:val="both"/>
        <w:rPr>
          <w:rFonts w:ascii="Garamond" w:hAnsi="Garamond"/>
        </w:rPr>
      </w:pPr>
    </w:p>
    <w:p w:rsidRPr="007F678A" w:rsidR="007F678A" w:rsidP="007F678A" w:rsidRDefault="007F678A" w14:paraId="592900AE" w14:textId="77777777">
      <w:pPr>
        <w:pStyle w:val="Listheader"/>
      </w:pPr>
      <w:r w:rsidRPr="007F678A">
        <w:t>Estimates of other Total Annual Cost Burden to Respondents or Recordkeepers/Capital Costs</w:t>
      </w:r>
    </w:p>
    <w:p w:rsidRPr="007F678A" w:rsidR="007F678A" w:rsidP="007F678A" w:rsidRDefault="00383942" w14:paraId="150BF8E4" w14:textId="52EC3D41">
      <w:pPr>
        <w:widowControl/>
        <w:autoSpaceDE/>
        <w:autoSpaceDN/>
        <w:adjustRightInd/>
        <w:spacing w:after="240"/>
        <w:rPr>
          <w:sz w:val="24"/>
          <w:szCs w:val="24"/>
        </w:rPr>
      </w:pPr>
      <w:r w:rsidRPr="00383942">
        <w:rPr>
          <w:sz w:val="24"/>
          <w:szCs w:val="24"/>
        </w:rPr>
        <w:t xml:space="preserve">Respondents will include </w:t>
      </w:r>
      <w:r w:rsidR="00D9718A">
        <w:rPr>
          <w:sz w:val="24"/>
          <w:szCs w:val="24"/>
        </w:rPr>
        <w:t>COVID-19 Learning Community members.</w:t>
      </w:r>
      <w:r>
        <w:rPr>
          <w:sz w:val="24"/>
          <w:szCs w:val="24"/>
        </w:rPr>
        <w:t xml:space="preserve"> </w:t>
      </w:r>
      <w:r w:rsidRPr="00383942">
        <w:rPr>
          <w:sz w:val="24"/>
          <w:szCs w:val="24"/>
        </w:rPr>
        <w:t>There will be no cost to part</w:t>
      </w:r>
      <w:r w:rsidR="00D27933">
        <w:rPr>
          <w:sz w:val="24"/>
          <w:szCs w:val="24"/>
        </w:rPr>
        <w:t>icipants other than their time</w:t>
      </w:r>
      <w:r w:rsidR="00D9718A">
        <w:rPr>
          <w:sz w:val="24"/>
          <w:szCs w:val="24"/>
        </w:rPr>
        <w:t xml:space="preserve">. </w:t>
      </w:r>
      <w:r w:rsidRPr="007F678A" w:rsidR="007F678A">
        <w:rPr>
          <w:sz w:val="24"/>
          <w:szCs w:val="24"/>
        </w:rPr>
        <w:t>No additional materials or equipment are needed to</w:t>
      </w:r>
      <w:r w:rsidR="00C607E2">
        <w:rPr>
          <w:sz w:val="24"/>
          <w:szCs w:val="24"/>
        </w:rPr>
        <w:t xml:space="preserve"> generate a report</w:t>
      </w:r>
      <w:r w:rsidRPr="007F678A" w:rsidR="007F678A">
        <w:rPr>
          <w:sz w:val="24"/>
          <w:szCs w:val="24"/>
        </w:rPr>
        <w:t>.</w:t>
      </w:r>
    </w:p>
    <w:p w:rsidRPr="00A90D76" w:rsidR="007F678A" w:rsidP="007F678A" w:rsidRDefault="007F678A" w14:paraId="075808F7" w14:textId="77777777">
      <w:pPr>
        <w:pStyle w:val="Listheader"/>
      </w:pPr>
      <w:r w:rsidRPr="00A90D76">
        <w:t>Annualized Cost to Federal Government</w:t>
      </w:r>
    </w:p>
    <w:p w:rsidRPr="00D9718A" w:rsidR="007F678A" w:rsidP="007F678A" w:rsidRDefault="007F678A" w14:paraId="575C9FCE" w14:textId="498CEEA6">
      <w:pPr>
        <w:widowControl/>
        <w:autoSpaceDE/>
        <w:autoSpaceDN/>
        <w:adjustRightInd/>
        <w:spacing w:after="240"/>
        <w:rPr>
          <w:color w:val="FF0000"/>
          <w:sz w:val="24"/>
          <w:szCs w:val="24"/>
        </w:rPr>
      </w:pPr>
      <w:r w:rsidRPr="00A90D76">
        <w:rPr>
          <w:spacing w:val="-1"/>
          <w:sz w:val="24"/>
          <w:szCs w:val="24"/>
        </w:rPr>
        <w:t xml:space="preserve">The overall annual cost to the Federal government for </w:t>
      </w:r>
      <w:r w:rsidRPr="00A90D76" w:rsidR="00FB708D">
        <w:rPr>
          <w:spacing w:val="-1"/>
          <w:sz w:val="24"/>
          <w:szCs w:val="24"/>
        </w:rPr>
        <w:t xml:space="preserve">compiling data from the </w:t>
      </w:r>
      <w:r w:rsidRPr="00A90D76" w:rsidR="00A90D76">
        <w:rPr>
          <w:spacing w:val="-1"/>
          <w:sz w:val="24"/>
          <w:szCs w:val="24"/>
        </w:rPr>
        <w:t>COVID-19 Learning Community</w:t>
      </w:r>
      <w:r w:rsidRPr="00A90D76" w:rsidR="00FB708D">
        <w:rPr>
          <w:spacing w:val="-1"/>
          <w:sz w:val="24"/>
          <w:szCs w:val="24"/>
        </w:rPr>
        <w:t xml:space="preserve"> is </w:t>
      </w:r>
      <w:r w:rsidRPr="00A90D76">
        <w:rPr>
          <w:sz w:val="24"/>
          <w:szCs w:val="24"/>
        </w:rPr>
        <w:t>$</w:t>
      </w:r>
      <w:r w:rsidR="000C184F">
        <w:rPr>
          <w:sz w:val="24"/>
          <w:szCs w:val="24"/>
        </w:rPr>
        <w:t>40,400</w:t>
      </w:r>
      <w:r w:rsidRPr="00A90D76" w:rsidR="002024A3">
        <w:rPr>
          <w:sz w:val="24"/>
          <w:szCs w:val="24"/>
        </w:rPr>
        <w:t>.00</w:t>
      </w:r>
      <w:r w:rsidRPr="00A90D76">
        <w:rPr>
          <w:sz w:val="24"/>
          <w:szCs w:val="24"/>
        </w:rPr>
        <w:t xml:space="preserve">. This total includes time to </w:t>
      </w:r>
      <w:r w:rsidRPr="00A90D76" w:rsidR="004379E1">
        <w:rPr>
          <w:sz w:val="24"/>
          <w:szCs w:val="24"/>
        </w:rPr>
        <w:t xml:space="preserve">design the reporting template, provide </w:t>
      </w:r>
      <w:r w:rsidRPr="00A90D76" w:rsidR="002024A3">
        <w:rPr>
          <w:sz w:val="24"/>
          <w:szCs w:val="24"/>
        </w:rPr>
        <w:t xml:space="preserve">ongoing </w:t>
      </w:r>
      <w:r w:rsidRPr="00A90D76" w:rsidR="00A90D76">
        <w:rPr>
          <w:sz w:val="24"/>
          <w:szCs w:val="24"/>
        </w:rPr>
        <w:t>technical support</w:t>
      </w:r>
      <w:r w:rsidRPr="00A90D76" w:rsidR="00FB708D">
        <w:rPr>
          <w:sz w:val="24"/>
          <w:szCs w:val="24"/>
        </w:rPr>
        <w:t xml:space="preserve">, </w:t>
      </w:r>
      <w:r w:rsidR="000C184F">
        <w:rPr>
          <w:sz w:val="24"/>
          <w:szCs w:val="24"/>
        </w:rPr>
        <w:t xml:space="preserve">and develop </w:t>
      </w:r>
      <w:r w:rsidRPr="00A90D76" w:rsidR="00A90D76">
        <w:rPr>
          <w:sz w:val="24"/>
          <w:szCs w:val="24"/>
        </w:rPr>
        <w:t xml:space="preserve">the learning sessions. </w:t>
      </w:r>
      <w:r w:rsidRPr="00AC67B5">
        <w:rPr>
          <w:color w:val="000000" w:themeColor="text1"/>
          <w:sz w:val="24"/>
          <w:szCs w:val="24"/>
        </w:rPr>
        <w:t>Exhibit 3 presents total costs to the Federal government for making and implementing enhancements and modifications.</w:t>
      </w:r>
    </w:p>
    <w:p w:rsidRPr="00A90D76" w:rsidR="007F678A" w:rsidP="007F678A" w:rsidRDefault="007F678A" w14:paraId="176B84E5" w14:textId="77777777">
      <w:pPr>
        <w:rPr>
          <w:b/>
          <w:sz w:val="24"/>
          <w:szCs w:val="24"/>
        </w:rPr>
      </w:pPr>
      <w:r w:rsidRPr="00A90D76">
        <w:rPr>
          <w:b/>
          <w:sz w:val="24"/>
          <w:szCs w:val="24"/>
        </w:rPr>
        <w:t>Exhibit 3:</w:t>
      </w:r>
      <w:r w:rsidRPr="00A90D76">
        <w:rPr>
          <w:b/>
        </w:rPr>
        <w:t xml:space="preserve"> </w:t>
      </w:r>
      <w:bookmarkStart w:name="Exhibit5" w:id="2"/>
      <w:r w:rsidRPr="00A90D76">
        <w:rPr>
          <w:b/>
          <w:sz w:val="24"/>
          <w:szCs w:val="24"/>
        </w:rPr>
        <w:t>Costs to the Federal Government</w:t>
      </w:r>
      <w:bookmarkEnd w:id="2"/>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69"/>
        <w:gridCol w:w="1210"/>
      </w:tblGrid>
      <w:tr w:rsidRPr="00A90D76" w:rsidR="00A90D76" w:rsidTr="00A90D76" w14:paraId="652756EB" w14:textId="77777777">
        <w:trPr>
          <w:trHeight w:val="21"/>
          <w:jc w:val="center"/>
        </w:trPr>
        <w:tc>
          <w:tcPr>
            <w:tcW w:w="7169" w:type="dxa"/>
            <w:vAlign w:val="center"/>
          </w:tcPr>
          <w:p w:rsidRPr="00A90D76" w:rsidR="007F678A" w:rsidP="007F678A" w:rsidRDefault="007F678A" w14:paraId="12D5FD9E" w14:textId="77777777">
            <w:pPr>
              <w:jc w:val="center"/>
              <w:rPr>
                <w:b/>
              </w:rPr>
            </w:pPr>
            <w:r w:rsidRPr="00A90D76">
              <w:rPr>
                <w:b/>
              </w:rPr>
              <w:t>Category</w:t>
            </w:r>
          </w:p>
        </w:tc>
        <w:tc>
          <w:tcPr>
            <w:tcW w:w="1210" w:type="dxa"/>
            <w:shd w:val="clear" w:color="auto" w:fill="auto"/>
            <w:vAlign w:val="center"/>
          </w:tcPr>
          <w:p w:rsidRPr="00A90D76" w:rsidR="007F678A" w:rsidP="007F678A" w:rsidRDefault="007F678A" w14:paraId="366F4142" w14:textId="77777777">
            <w:pPr>
              <w:jc w:val="center"/>
              <w:rPr>
                <w:b/>
              </w:rPr>
            </w:pPr>
            <w:r w:rsidRPr="00A90D76">
              <w:rPr>
                <w:b/>
              </w:rPr>
              <w:t>Cost</w:t>
            </w:r>
          </w:p>
        </w:tc>
      </w:tr>
      <w:tr w:rsidRPr="00A90D76" w:rsidR="00A90D76" w:rsidTr="00A90D76" w14:paraId="09A7FF24" w14:textId="77777777">
        <w:trPr>
          <w:trHeight w:val="21"/>
          <w:jc w:val="center"/>
        </w:trPr>
        <w:tc>
          <w:tcPr>
            <w:tcW w:w="7169" w:type="dxa"/>
            <w:vAlign w:val="center"/>
          </w:tcPr>
          <w:p w:rsidRPr="00A90D76" w:rsidR="007F678A" w:rsidP="007F678A" w:rsidRDefault="007F678A" w14:paraId="313E5C53" w14:textId="77777777">
            <w:r w:rsidRPr="00A90D76">
              <w:t>Personnel</w:t>
            </w:r>
          </w:p>
        </w:tc>
        <w:tc>
          <w:tcPr>
            <w:tcW w:w="1210" w:type="dxa"/>
            <w:shd w:val="clear" w:color="auto" w:fill="auto"/>
            <w:vAlign w:val="center"/>
          </w:tcPr>
          <w:p w:rsidRPr="00A90D76" w:rsidR="007F678A" w:rsidP="00FB708D" w:rsidRDefault="007F678A" w14:paraId="4068A5A8" w14:textId="2B3B8F18">
            <w:r w:rsidRPr="00A90D76">
              <w:t>$</w:t>
            </w:r>
            <w:r w:rsidRPr="00A90D76" w:rsidR="00A90D76">
              <w:t>40,000</w:t>
            </w:r>
            <w:r w:rsidRPr="00A90D76" w:rsidR="002024A3">
              <w:t>.00</w:t>
            </w:r>
          </w:p>
        </w:tc>
      </w:tr>
      <w:tr w:rsidRPr="00A90D76" w:rsidR="00A90D76" w:rsidTr="00A90D76" w14:paraId="40D2AEA0" w14:textId="77777777">
        <w:trPr>
          <w:trHeight w:val="21"/>
          <w:jc w:val="center"/>
        </w:trPr>
        <w:tc>
          <w:tcPr>
            <w:tcW w:w="7169" w:type="dxa"/>
            <w:vAlign w:val="center"/>
          </w:tcPr>
          <w:p w:rsidRPr="00A90D76" w:rsidR="007F678A" w:rsidP="007F678A" w:rsidRDefault="00A90D76" w14:paraId="0CF3CB24" w14:textId="5BB17DE7">
            <w:r w:rsidRPr="00A90D76">
              <w:t>Other Direct Costs (platform and survey tool</w:t>
            </w:r>
            <w:r w:rsidRPr="00A90D76" w:rsidR="007F678A">
              <w:t>)</w:t>
            </w:r>
          </w:p>
        </w:tc>
        <w:tc>
          <w:tcPr>
            <w:tcW w:w="1210" w:type="dxa"/>
            <w:shd w:val="clear" w:color="auto" w:fill="auto"/>
            <w:vAlign w:val="center"/>
          </w:tcPr>
          <w:p w:rsidRPr="00A90D76" w:rsidR="007F678A" w:rsidP="00A90D76" w:rsidRDefault="002024A3" w14:paraId="7FC4ED5B" w14:textId="2DC5417F">
            <w:r w:rsidRPr="00A90D76">
              <w:t>$</w:t>
            </w:r>
            <w:r w:rsidRPr="00A90D76" w:rsidR="00A90D76">
              <w:t>400.00</w:t>
            </w:r>
          </w:p>
        </w:tc>
      </w:tr>
      <w:tr w:rsidRPr="00A90D76" w:rsidR="00A90D76" w:rsidTr="00A90D76" w14:paraId="229DA5E6" w14:textId="77777777">
        <w:trPr>
          <w:trHeight w:val="21"/>
          <w:jc w:val="center"/>
        </w:trPr>
        <w:tc>
          <w:tcPr>
            <w:tcW w:w="7169" w:type="dxa"/>
            <w:vAlign w:val="center"/>
          </w:tcPr>
          <w:p w:rsidRPr="00A90D76" w:rsidR="007F678A" w:rsidP="007F678A" w:rsidRDefault="007F678A" w14:paraId="6D81FF9F" w14:textId="77777777">
            <w:pPr>
              <w:rPr>
                <w:b/>
              </w:rPr>
            </w:pPr>
            <w:r w:rsidRPr="00A90D76">
              <w:rPr>
                <w:b/>
              </w:rPr>
              <w:t>Total</w:t>
            </w:r>
          </w:p>
        </w:tc>
        <w:tc>
          <w:tcPr>
            <w:tcW w:w="1210" w:type="dxa"/>
            <w:shd w:val="clear" w:color="auto" w:fill="auto"/>
            <w:vAlign w:val="center"/>
          </w:tcPr>
          <w:p w:rsidRPr="00A90D76" w:rsidR="007F678A" w:rsidP="00A90D76" w:rsidRDefault="007F678A" w14:paraId="2F386C40" w14:textId="541D8B9D">
            <w:r w:rsidRPr="00A90D76">
              <w:t>$</w:t>
            </w:r>
            <w:r w:rsidRPr="00A90D76" w:rsidR="00A90D76">
              <w:t>4</w:t>
            </w:r>
            <w:r w:rsidR="000C184F">
              <w:t>0</w:t>
            </w:r>
            <w:r w:rsidRPr="00A90D76" w:rsidR="00A90D76">
              <w:t>,400</w:t>
            </w:r>
            <w:r w:rsidRPr="00A90D76" w:rsidR="002024A3">
              <w:t>.00</w:t>
            </w:r>
          </w:p>
        </w:tc>
      </w:tr>
    </w:tbl>
    <w:p w:rsidRPr="00A90D76" w:rsidR="007F678A" w:rsidP="007F678A" w:rsidRDefault="007F678A" w14:paraId="292CB96E" w14:textId="77777777">
      <w:pPr>
        <w:pStyle w:val="Listheader"/>
      </w:pPr>
      <w:r w:rsidRPr="00A90D76">
        <w:t>Explanation for Program Changes or Adjustments</w:t>
      </w:r>
    </w:p>
    <w:p w:rsidRPr="007F678A" w:rsidR="007F678A" w:rsidP="007F678A" w:rsidRDefault="00F74AF7" w14:paraId="33D28196" w14:textId="266AEECF">
      <w:pPr>
        <w:widowControl/>
        <w:autoSpaceDE/>
        <w:autoSpaceDN/>
        <w:adjustRightInd/>
        <w:spacing w:after="240"/>
        <w:rPr>
          <w:sz w:val="24"/>
          <w:szCs w:val="24"/>
        </w:rPr>
      </w:pPr>
      <w:r>
        <w:rPr>
          <w:sz w:val="24"/>
          <w:szCs w:val="24"/>
        </w:rPr>
        <w:t>This is a new request.</w:t>
      </w:r>
    </w:p>
    <w:p w:rsidRPr="007F678A" w:rsidR="007F678A" w:rsidP="007F678A" w:rsidRDefault="007F678A" w14:paraId="2DC21C0E" w14:textId="77777777">
      <w:pPr>
        <w:pStyle w:val="Listheader"/>
      </w:pPr>
      <w:r w:rsidRPr="007F678A">
        <w:t>Plans for Tabulation and Publication and Project Time Schedule</w:t>
      </w:r>
    </w:p>
    <w:p w:rsidR="007C46AC" w:rsidP="007F678A" w:rsidRDefault="007F678A" w14:paraId="196A1579" w14:textId="02056836">
      <w:pPr>
        <w:widowControl/>
        <w:autoSpaceDE/>
        <w:autoSpaceDN/>
        <w:adjustRightInd/>
        <w:spacing w:after="240"/>
        <w:rPr>
          <w:sz w:val="24"/>
          <w:szCs w:val="24"/>
        </w:rPr>
      </w:pPr>
      <w:r w:rsidRPr="007F678A">
        <w:rPr>
          <w:sz w:val="24"/>
          <w:szCs w:val="24"/>
        </w:rPr>
        <w:t xml:space="preserve">Data reported as part of </w:t>
      </w:r>
      <w:r w:rsidR="00EB45AF">
        <w:rPr>
          <w:spacing w:val="-1"/>
          <w:sz w:val="24"/>
          <w:szCs w:val="24"/>
        </w:rPr>
        <w:t>COVID-19 Learning Community</w:t>
      </w:r>
      <w:r w:rsidR="000C184F">
        <w:rPr>
          <w:spacing w:val="-1"/>
          <w:sz w:val="24"/>
          <w:szCs w:val="24"/>
        </w:rPr>
        <w:t xml:space="preserve"> Measure</w:t>
      </w:r>
      <w:r w:rsidRPr="007F678A" w:rsidR="00FB708D">
        <w:rPr>
          <w:spacing w:val="-2"/>
          <w:sz w:val="24"/>
          <w:szCs w:val="24"/>
        </w:rPr>
        <w:t xml:space="preserve"> </w:t>
      </w:r>
      <w:r w:rsidR="00FB708D">
        <w:rPr>
          <w:spacing w:val="-2"/>
          <w:sz w:val="24"/>
          <w:szCs w:val="24"/>
        </w:rPr>
        <w:t xml:space="preserve">will be </w:t>
      </w:r>
      <w:r w:rsidRPr="007F678A">
        <w:rPr>
          <w:spacing w:val="-2"/>
          <w:sz w:val="24"/>
          <w:szCs w:val="24"/>
        </w:rPr>
        <w:t>used for</w:t>
      </w:r>
      <w:r w:rsidR="00EB45AF">
        <w:rPr>
          <w:spacing w:val="-2"/>
          <w:sz w:val="24"/>
          <w:szCs w:val="24"/>
        </w:rPr>
        <w:t xml:space="preserve"> overall</w:t>
      </w:r>
      <w:r w:rsidRPr="007F678A">
        <w:rPr>
          <w:spacing w:val="-2"/>
          <w:sz w:val="24"/>
          <w:szCs w:val="24"/>
        </w:rPr>
        <w:t xml:space="preserve"> </w:t>
      </w:r>
      <w:r w:rsidR="00EB45AF">
        <w:rPr>
          <w:spacing w:val="-2"/>
          <w:sz w:val="24"/>
          <w:szCs w:val="24"/>
        </w:rPr>
        <w:t xml:space="preserve">evaluation, </w:t>
      </w:r>
      <w:r w:rsidRPr="007F678A">
        <w:rPr>
          <w:spacing w:val="-2"/>
          <w:sz w:val="24"/>
          <w:szCs w:val="24"/>
        </w:rPr>
        <w:t xml:space="preserve">assessment of </w:t>
      </w:r>
      <w:r w:rsidRPr="007F678A">
        <w:rPr>
          <w:spacing w:val="-1"/>
          <w:sz w:val="24"/>
          <w:szCs w:val="24"/>
        </w:rPr>
        <w:t xml:space="preserve">results, and for </w:t>
      </w:r>
      <w:r w:rsidR="00EB45AF">
        <w:rPr>
          <w:spacing w:val="-1"/>
          <w:sz w:val="24"/>
          <w:szCs w:val="24"/>
        </w:rPr>
        <w:t>reporting</w:t>
      </w:r>
      <w:r w:rsidRPr="007F678A">
        <w:rPr>
          <w:spacing w:val="-1"/>
          <w:sz w:val="24"/>
          <w:szCs w:val="24"/>
        </w:rPr>
        <w:t xml:space="preserve"> purposes in support of </w:t>
      </w:r>
      <w:r w:rsidRPr="007F678A">
        <w:rPr>
          <w:sz w:val="24"/>
          <w:szCs w:val="24"/>
        </w:rPr>
        <w:t xml:space="preserve">OMH </w:t>
      </w:r>
      <w:r w:rsidR="00EB45AF">
        <w:rPr>
          <w:sz w:val="24"/>
          <w:szCs w:val="24"/>
        </w:rPr>
        <w:t xml:space="preserve">strategic </w:t>
      </w:r>
      <w:r w:rsidRPr="007F678A">
        <w:rPr>
          <w:sz w:val="24"/>
          <w:szCs w:val="24"/>
        </w:rPr>
        <w:t>priorities, objectives, and goals.</w:t>
      </w:r>
      <w:r w:rsidR="007C46AC">
        <w:rPr>
          <w:sz w:val="24"/>
          <w:szCs w:val="24"/>
        </w:rPr>
        <w:t xml:space="preserve">  To be of maximum utility, data collection </w:t>
      </w:r>
      <w:r w:rsidR="00EB45AF">
        <w:rPr>
          <w:sz w:val="24"/>
          <w:szCs w:val="24"/>
        </w:rPr>
        <w:t xml:space="preserve">will begin </w:t>
      </w:r>
      <w:r w:rsidR="000C184F">
        <w:rPr>
          <w:sz w:val="24"/>
          <w:szCs w:val="24"/>
        </w:rPr>
        <w:t>after the last learning session (estimated October-December, 2021).</w:t>
      </w:r>
    </w:p>
    <w:p w:rsidR="007F678A" w:rsidP="007F678A" w:rsidRDefault="00EB45AF" w14:paraId="0ABB0048" w14:textId="392B527B">
      <w:pPr>
        <w:widowControl/>
        <w:autoSpaceDE/>
        <w:autoSpaceDN/>
        <w:adjustRightInd/>
        <w:spacing w:after="240"/>
        <w:rPr>
          <w:sz w:val="24"/>
          <w:szCs w:val="24"/>
        </w:rPr>
      </w:pPr>
      <w:r>
        <w:rPr>
          <w:sz w:val="24"/>
          <w:szCs w:val="24"/>
        </w:rPr>
        <w:t>Available d</w:t>
      </w:r>
      <w:r w:rsidR="000C184F">
        <w:rPr>
          <w:sz w:val="24"/>
          <w:szCs w:val="24"/>
        </w:rPr>
        <w:t>ata will be tabulated on an</w:t>
      </w:r>
      <w:r w:rsidR="003545F2">
        <w:rPr>
          <w:sz w:val="24"/>
          <w:szCs w:val="24"/>
        </w:rPr>
        <w:t xml:space="preserve"> annual basis.</w:t>
      </w:r>
      <w:r w:rsidRPr="007F678A" w:rsidR="007F678A">
        <w:rPr>
          <w:sz w:val="24"/>
          <w:szCs w:val="24"/>
        </w:rPr>
        <w:t xml:space="preserve"> </w:t>
      </w:r>
      <w:r w:rsidRPr="007F678A" w:rsidR="007F678A">
        <w:rPr>
          <w:b/>
          <w:bCs/>
          <w:i/>
          <w:iCs/>
          <w:sz w:val="24"/>
          <w:szCs w:val="24"/>
        </w:rPr>
        <w:t xml:space="preserve"> </w:t>
      </w:r>
      <w:r w:rsidRPr="007F678A" w:rsidR="007F678A">
        <w:rPr>
          <w:sz w:val="24"/>
          <w:szCs w:val="24"/>
        </w:rPr>
        <w:t xml:space="preserve">In addition, aggregate </w:t>
      </w:r>
      <w:r w:rsidRPr="007F678A" w:rsidR="007F678A">
        <w:rPr>
          <w:spacing w:val="-2"/>
          <w:sz w:val="24"/>
          <w:szCs w:val="24"/>
        </w:rPr>
        <w:t xml:space="preserve">program data are also </w:t>
      </w:r>
      <w:r>
        <w:rPr>
          <w:spacing w:val="-2"/>
          <w:sz w:val="24"/>
          <w:szCs w:val="24"/>
        </w:rPr>
        <w:t xml:space="preserve">used in periodic reports to OMH </w:t>
      </w:r>
      <w:r w:rsidRPr="007F678A" w:rsidR="007F678A">
        <w:rPr>
          <w:sz w:val="24"/>
          <w:szCs w:val="24"/>
        </w:rPr>
        <w:t>as needed and appropriate.</w:t>
      </w:r>
    </w:p>
    <w:p w:rsidRPr="007F678A" w:rsidR="003545F2" w:rsidP="007F678A" w:rsidRDefault="00EB45AF" w14:paraId="57874283" w14:textId="458E8B29">
      <w:pPr>
        <w:widowControl/>
        <w:autoSpaceDE/>
        <w:autoSpaceDN/>
        <w:adjustRightInd/>
        <w:spacing w:after="240"/>
        <w:rPr>
          <w:sz w:val="24"/>
          <w:szCs w:val="24"/>
        </w:rPr>
      </w:pPr>
      <w:r>
        <w:rPr>
          <w:sz w:val="24"/>
          <w:szCs w:val="24"/>
        </w:rPr>
        <w:t>Learning community</w:t>
      </w:r>
      <w:r w:rsidRPr="003545F2" w:rsidR="003545F2">
        <w:rPr>
          <w:sz w:val="24"/>
          <w:szCs w:val="24"/>
        </w:rPr>
        <w:t xml:space="preserve"> findings will be</w:t>
      </w:r>
      <w:r w:rsidR="003545F2">
        <w:rPr>
          <w:sz w:val="24"/>
          <w:szCs w:val="24"/>
        </w:rPr>
        <w:t xml:space="preserve"> summarized in a</w:t>
      </w:r>
      <w:r>
        <w:rPr>
          <w:sz w:val="24"/>
          <w:szCs w:val="24"/>
        </w:rPr>
        <w:t xml:space="preserve"> summary</w:t>
      </w:r>
      <w:r w:rsidR="003545F2">
        <w:rPr>
          <w:sz w:val="24"/>
          <w:szCs w:val="24"/>
        </w:rPr>
        <w:t xml:space="preserve"> r</w:t>
      </w:r>
      <w:r w:rsidRPr="003545F2" w:rsidR="003545F2">
        <w:rPr>
          <w:sz w:val="24"/>
          <w:szCs w:val="24"/>
        </w:rPr>
        <w:t xml:space="preserve">eport developed by </w:t>
      </w:r>
      <w:r w:rsidR="00B93FF3">
        <w:rPr>
          <w:sz w:val="24"/>
          <w:szCs w:val="24"/>
        </w:rPr>
        <w:t xml:space="preserve">the </w:t>
      </w:r>
      <w:r w:rsidR="000C184F">
        <w:rPr>
          <w:sz w:val="24"/>
          <w:szCs w:val="24"/>
        </w:rPr>
        <w:t>COVID-19 Learning</w:t>
      </w:r>
      <w:r>
        <w:rPr>
          <w:sz w:val="24"/>
          <w:szCs w:val="24"/>
        </w:rPr>
        <w:t>Community Planning Committee</w:t>
      </w:r>
      <w:r w:rsidR="003545F2">
        <w:rPr>
          <w:sz w:val="24"/>
          <w:szCs w:val="24"/>
        </w:rPr>
        <w:t xml:space="preserve">. </w:t>
      </w:r>
      <w:r w:rsidRPr="003545F2" w:rsidR="003545F2">
        <w:rPr>
          <w:sz w:val="24"/>
          <w:szCs w:val="24"/>
        </w:rPr>
        <w:t xml:space="preserve">The findings from this assessment </w:t>
      </w:r>
      <w:r w:rsidR="00702E9A">
        <w:rPr>
          <w:sz w:val="24"/>
          <w:szCs w:val="24"/>
        </w:rPr>
        <w:t xml:space="preserve">may be shared with </w:t>
      </w:r>
      <w:r w:rsidRPr="003545F2" w:rsidR="003545F2">
        <w:rPr>
          <w:sz w:val="24"/>
          <w:szCs w:val="24"/>
        </w:rPr>
        <w:t>additional staff at the HHS Office of the Assistant Secretary for Health.</w:t>
      </w:r>
      <w:r w:rsidR="007C46AC">
        <w:rPr>
          <w:sz w:val="24"/>
          <w:szCs w:val="24"/>
        </w:rPr>
        <w:t xml:space="preserve">  </w:t>
      </w:r>
    </w:p>
    <w:p w:rsidRPr="007F678A" w:rsidR="007F678A" w:rsidP="007F678A" w:rsidRDefault="007F678A" w14:paraId="6DE8A0AC" w14:textId="77777777">
      <w:pPr>
        <w:pStyle w:val="Listheader"/>
      </w:pPr>
      <w:r w:rsidRPr="007F678A">
        <w:t>Reason(s) Display of OMB Expiration Date is Inappropriate</w:t>
      </w:r>
    </w:p>
    <w:p w:rsidRPr="007F678A" w:rsidR="007F678A" w:rsidP="007F678A" w:rsidRDefault="007F678A" w14:paraId="1068DB4D" w14:textId="77777777">
      <w:pPr>
        <w:widowControl/>
        <w:autoSpaceDE/>
        <w:autoSpaceDN/>
        <w:adjustRightInd/>
        <w:spacing w:after="240"/>
        <w:rPr>
          <w:sz w:val="24"/>
          <w:szCs w:val="24"/>
        </w:rPr>
      </w:pPr>
      <w:r w:rsidRPr="007F678A">
        <w:rPr>
          <w:sz w:val="24"/>
          <w:szCs w:val="24"/>
        </w:rPr>
        <w:t>This collection of information does not seek approval to exclude the expiration date for OMB approval from any data collection instruments.</w:t>
      </w:r>
    </w:p>
    <w:p w:rsidRPr="007F678A" w:rsidR="007F678A" w:rsidP="007F678A" w:rsidRDefault="007F678A" w14:paraId="21B1D358" w14:textId="77777777">
      <w:pPr>
        <w:pStyle w:val="Listheader"/>
      </w:pPr>
      <w:r w:rsidRPr="007F678A">
        <w:t>Exceptions to Certification for Paperwork Reduction Act Submissions</w:t>
      </w:r>
    </w:p>
    <w:p w:rsidRPr="007F678A" w:rsidR="007F678A" w:rsidP="007F678A" w:rsidRDefault="007F678A" w14:paraId="3E059D8D" w14:textId="77777777">
      <w:pPr>
        <w:widowControl/>
        <w:autoSpaceDE/>
        <w:autoSpaceDN/>
        <w:adjustRightInd/>
        <w:spacing w:after="240"/>
        <w:rPr>
          <w:sz w:val="22"/>
          <w:szCs w:val="22"/>
        </w:rPr>
      </w:pPr>
      <w:r w:rsidRPr="007F678A">
        <w:rPr>
          <w:sz w:val="24"/>
          <w:szCs w:val="24"/>
        </w:rPr>
        <w:t>This collection of information involves no exception to the Certification of Paperwork Reduction Act Submissions.</w:t>
      </w:r>
    </w:p>
    <w:p w:rsidRPr="007F678A" w:rsidR="007F678A" w:rsidP="007F678A" w:rsidRDefault="007F678A" w14:paraId="787A081B" w14:textId="77777777">
      <w:pPr>
        <w:widowControl/>
        <w:autoSpaceDE/>
        <w:autoSpaceDN/>
        <w:adjustRightInd/>
        <w:rPr>
          <w:bCs/>
          <w:sz w:val="24"/>
          <w:szCs w:val="24"/>
        </w:rPr>
      </w:pPr>
    </w:p>
    <w:p w:rsidRPr="00E304A2" w:rsidR="007F678A" w:rsidP="00E304A2" w:rsidRDefault="007F678A" w14:paraId="7C95E47F" w14:textId="77777777"/>
    <w:sectPr w:rsidRPr="00E304A2" w:rsidR="007F678A" w:rsidSect="00CE5098">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D0820" w14:textId="77777777" w:rsidR="00064187" w:rsidRDefault="00064187" w:rsidP="00CE5098">
      <w:r>
        <w:separator/>
      </w:r>
    </w:p>
  </w:endnote>
  <w:endnote w:type="continuationSeparator" w:id="0">
    <w:p w14:paraId="7A252861" w14:textId="77777777" w:rsidR="00064187" w:rsidRDefault="00064187" w:rsidP="00CE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627102"/>
      <w:docPartObj>
        <w:docPartGallery w:val="Page Numbers (Bottom of Page)"/>
        <w:docPartUnique/>
      </w:docPartObj>
    </w:sdtPr>
    <w:sdtEndPr>
      <w:rPr>
        <w:noProof/>
      </w:rPr>
    </w:sdtEndPr>
    <w:sdtContent>
      <w:p w14:paraId="5FBAEF98" w14:textId="5C997F10" w:rsidR="00CE5098" w:rsidRDefault="00CE5098">
        <w:pPr>
          <w:pStyle w:val="Footer"/>
          <w:jc w:val="right"/>
        </w:pPr>
        <w:r>
          <w:fldChar w:fldCharType="begin"/>
        </w:r>
        <w:r>
          <w:instrText xml:space="preserve"> PAGE   \* MERGEFORMAT </w:instrText>
        </w:r>
        <w:r>
          <w:fldChar w:fldCharType="separate"/>
        </w:r>
        <w:r w:rsidR="009E4EB1">
          <w:rPr>
            <w:noProof/>
          </w:rPr>
          <w:t>6</w:t>
        </w:r>
        <w:r>
          <w:rPr>
            <w:noProof/>
          </w:rPr>
          <w:fldChar w:fldCharType="end"/>
        </w:r>
      </w:p>
    </w:sdtContent>
  </w:sdt>
  <w:p w14:paraId="21867BED" w14:textId="77777777" w:rsidR="00CE5098" w:rsidRDefault="00CE5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8D2692" w14:textId="77777777" w:rsidR="00064187" w:rsidRDefault="00064187" w:rsidP="00CE5098">
      <w:r>
        <w:separator/>
      </w:r>
    </w:p>
  </w:footnote>
  <w:footnote w:type="continuationSeparator" w:id="0">
    <w:p w14:paraId="12DFF247" w14:textId="77777777" w:rsidR="00064187" w:rsidRDefault="00064187" w:rsidP="00CE5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598A"/>
    <w:multiLevelType w:val="hybridMultilevel"/>
    <w:tmpl w:val="74765B84"/>
    <w:lvl w:ilvl="0" w:tplc="B01CBDBA">
      <w:start w:val="1"/>
      <w:numFmt w:val="decimal"/>
      <w:pStyle w:val="List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2171E"/>
    <w:multiLevelType w:val="hybridMultilevel"/>
    <w:tmpl w:val="22C2EED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73192"/>
    <w:multiLevelType w:val="hybridMultilevel"/>
    <w:tmpl w:val="9E86F9E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21D25"/>
    <w:multiLevelType w:val="hybridMultilevel"/>
    <w:tmpl w:val="824E8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A5085A"/>
    <w:multiLevelType w:val="hybridMultilevel"/>
    <w:tmpl w:val="4400335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DA7D3D"/>
    <w:multiLevelType w:val="hybridMultilevel"/>
    <w:tmpl w:val="A3AEE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4A2"/>
    <w:rsid w:val="0000017A"/>
    <w:rsid w:val="00003FFB"/>
    <w:rsid w:val="000260BB"/>
    <w:rsid w:val="000354F1"/>
    <w:rsid w:val="00044D84"/>
    <w:rsid w:val="00050626"/>
    <w:rsid w:val="00064187"/>
    <w:rsid w:val="0008615D"/>
    <w:rsid w:val="000A05BD"/>
    <w:rsid w:val="000A5C4B"/>
    <w:rsid w:val="000B76B1"/>
    <w:rsid w:val="000C184F"/>
    <w:rsid w:val="000D09A5"/>
    <w:rsid w:val="000D3F8A"/>
    <w:rsid w:val="000D57CC"/>
    <w:rsid w:val="000F4DFB"/>
    <w:rsid w:val="0010621A"/>
    <w:rsid w:val="00110DA3"/>
    <w:rsid w:val="001323E4"/>
    <w:rsid w:val="001400D3"/>
    <w:rsid w:val="001609F5"/>
    <w:rsid w:val="00165941"/>
    <w:rsid w:val="00190AE8"/>
    <w:rsid w:val="0019210C"/>
    <w:rsid w:val="00193B81"/>
    <w:rsid w:val="001A46FD"/>
    <w:rsid w:val="001B00FD"/>
    <w:rsid w:val="001C0B98"/>
    <w:rsid w:val="001F1CA0"/>
    <w:rsid w:val="001F4C0B"/>
    <w:rsid w:val="00202296"/>
    <w:rsid w:val="002024A3"/>
    <w:rsid w:val="002027DE"/>
    <w:rsid w:val="0024634C"/>
    <w:rsid w:val="002A2A2E"/>
    <w:rsid w:val="002B6D1C"/>
    <w:rsid w:val="002C03B1"/>
    <w:rsid w:val="002C49DF"/>
    <w:rsid w:val="002F748E"/>
    <w:rsid w:val="00307770"/>
    <w:rsid w:val="0031405F"/>
    <w:rsid w:val="00317992"/>
    <w:rsid w:val="00322951"/>
    <w:rsid w:val="00341AF0"/>
    <w:rsid w:val="00351710"/>
    <w:rsid w:val="003545F2"/>
    <w:rsid w:val="00362BD0"/>
    <w:rsid w:val="00383942"/>
    <w:rsid w:val="00386E8F"/>
    <w:rsid w:val="003A36C3"/>
    <w:rsid w:val="003E0D68"/>
    <w:rsid w:val="003E3AC3"/>
    <w:rsid w:val="0042512B"/>
    <w:rsid w:val="00427155"/>
    <w:rsid w:val="004379E1"/>
    <w:rsid w:val="00456E3D"/>
    <w:rsid w:val="00492D4E"/>
    <w:rsid w:val="004B3CF2"/>
    <w:rsid w:val="004C57AD"/>
    <w:rsid w:val="004D7C20"/>
    <w:rsid w:val="004E047B"/>
    <w:rsid w:val="0051080C"/>
    <w:rsid w:val="00546624"/>
    <w:rsid w:val="005654F8"/>
    <w:rsid w:val="005A2274"/>
    <w:rsid w:val="005B1B38"/>
    <w:rsid w:val="005D0978"/>
    <w:rsid w:val="00665F9B"/>
    <w:rsid w:val="0067006E"/>
    <w:rsid w:val="00687B91"/>
    <w:rsid w:val="006B2AB5"/>
    <w:rsid w:val="006B2DBD"/>
    <w:rsid w:val="006B56AD"/>
    <w:rsid w:val="006B7CDA"/>
    <w:rsid w:val="006D2A8F"/>
    <w:rsid w:val="00701BC8"/>
    <w:rsid w:val="00702E9A"/>
    <w:rsid w:val="00703849"/>
    <w:rsid w:val="00707FB1"/>
    <w:rsid w:val="00713DF5"/>
    <w:rsid w:val="007323B2"/>
    <w:rsid w:val="00743CF2"/>
    <w:rsid w:val="00745A0D"/>
    <w:rsid w:val="00756BAB"/>
    <w:rsid w:val="00762C9F"/>
    <w:rsid w:val="00774B54"/>
    <w:rsid w:val="007771B8"/>
    <w:rsid w:val="00781DD4"/>
    <w:rsid w:val="00787C7E"/>
    <w:rsid w:val="007930DE"/>
    <w:rsid w:val="007B04F6"/>
    <w:rsid w:val="007C46AC"/>
    <w:rsid w:val="007E1511"/>
    <w:rsid w:val="007F1B0B"/>
    <w:rsid w:val="007F678A"/>
    <w:rsid w:val="0080091E"/>
    <w:rsid w:val="00803177"/>
    <w:rsid w:val="0082478F"/>
    <w:rsid w:val="00827F69"/>
    <w:rsid w:val="00831E55"/>
    <w:rsid w:val="00854A68"/>
    <w:rsid w:val="008C17C3"/>
    <w:rsid w:val="008C57F6"/>
    <w:rsid w:val="008D46B1"/>
    <w:rsid w:val="008E0E63"/>
    <w:rsid w:val="00913A7A"/>
    <w:rsid w:val="00930C13"/>
    <w:rsid w:val="00952C33"/>
    <w:rsid w:val="00977308"/>
    <w:rsid w:val="0099041E"/>
    <w:rsid w:val="00993BF1"/>
    <w:rsid w:val="009A3260"/>
    <w:rsid w:val="009C67C1"/>
    <w:rsid w:val="009D23AD"/>
    <w:rsid w:val="009E4EB1"/>
    <w:rsid w:val="009E50A5"/>
    <w:rsid w:val="009E7C04"/>
    <w:rsid w:val="009F6141"/>
    <w:rsid w:val="00A1013B"/>
    <w:rsid w:val="00A522DC"/>
    <w:rsid w:val="00A63A56"/>
    <w:rsid w:val="00A75516"/>
    <w:rsid w:val="00A75CAD"/>
    <w:rsid w:val="00A90D76"/>
    <w:rsid w:val="00AA6911"/>
    <w:rsid w:val="00AA74D4"/>
    <w:rsid w:val="00AC3B11"/>
    <w:rsid w:val="00AC67B5"/>
    <w:rsid w:val="00B01FE2"/>
    <w:rsid w:val="00B16CA3"/>
    <w:rsid w:val="00B33D55"/>
    <w:rsid w:val="00B37599"/>
    <w:rsid w:val="00B93129"/>
    <w:rsid w:val="00B93FF3"/>
    <w:rsid w:val="00BA475E"/>
    <w:rsid w:val="00BD32EE"/>
    <w:rsid w:val="00BD338A"/>
    <w:rsid w:val="00BE70C2"/>
    <w:rsid w:val="00BF4674"/>
    <w:rsid w:val="00BF7526"/>
    <w:rsid w:val="00C050F0"/>
    <w:rsid w:val="00C20D61"/>
    <w:rsid w:val="00C24C73"/>
    <w:rsid w:val="00C25D4F"/>
    <w:rsid w:val="00C607E2"/>
    <w:rsid w:val="00C8705C"/>
    <w:rsid w:val="00C90619"/>
    <w:rsid w:val="00C92C7A"/>
    <w:rsid w:val="00CA24E5"/>
    <w:rsid w:val="00CA7D7D"/>
    <w:rsid w:val="00CE1DCA"/>
    <w:rsid w:val="00CE5098"/>
    <w:rsid w:val="00CF121A"/>
    <w:rsid w:val="00D00232"/>
    <w:rsid w:val="00D27933"/>
    <w:rsid w:val="00D50926"/>
    <w:rsid w:val="00D9718A"/>
    <w:rsid w:val="00DA732D"/>
    <w:rsid w:val="00DB7EAB"/>
    <w:rsid w:val="00E07C60"/>
    <w:rsid w:val="00E2111A"/>
    <w:rsid w:val="00E27BC5"/>
    <w:rsid w:val="00E304A2"/>
    <w:rsid w:val="00E471F9"/>
    <w:rsid w:val="00E51E0A"/>
    <w:rsid w:val="00E74940"/>
    <w:rsid w:val="00EA7723"/>
    <w:rsid w:val="00EB45AF"/>
    <w:rsid w:val="00F351F6"/>
    <w:rsid w:val="00F600E5"/>
    <w:rsid w:val="00F63FF9"/>
    <w:rsid w:val="00F64967"/>
    <w:rsid w:val="00F74AF7"/>
    <w:rsid w:val="00F822F0"/>
    <w:rsid w:val="00F82323"/>
    <w:rsid w:val="00FA2F0F"/>
    <w:rsid w:val="00FB708D"/>
    <w:rsid w:val="00FB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1236DB0"/>
  <w15:docId w15:val="{FA36682B-DD6C-4E89-9B5D-6444F26B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78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75516"/>
    <w:pPr>
      <w:keepNext/>
      <w:keepLines/>
      <w:spacing w:before="20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75516"/>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75516"/>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44"/>
      <w:szCs w:val="52"/>
    </w:rPr>
  </w:style>
  <w:style w:type="character" w:customStyle="1" w:styleId="TitleChar">
    <w:name w:val="Title Char"/>
    <w:basedOn w:val="DefaultParagraphFont"/>
    <w:link w:val="Title"/>
    <w:uiPriority w:val="10"/>
    <w:rsid w:val="00A75516"/>
    <w:rPr>
      <w:rFonts w:asciiTheme="majorHAnsi" w:eastAsiaTheme="majorEastAsia" w:hAnsiTheme="majorHAnsi" w:cstheme="majorBidi"/>
      <w:color w:val="323E4F" w:themeColor="text2" w:themeShade="BF"/>
      <w:spacing w:val="5"/>
      <w:sz w:val="44"/>
      <w:szCs w:val="52"/>
    </w:rPr>
  </w:style>
  <w:style w:type="paragraph" w:styleId="Subtitle">
    <w:name w:val="Subtitle"/>
    <w:basedOn w:val="Normal"/>
    <w:next w:val="Normal"/>
    <w:link w:val="SubtitleChar"/>
    <w:uiPriority w:val="11"/>
    <w:qFormat/>
    <w:rsid w:val="00A75516"/>
    <w:pPr>
      <w:numPr>
        <w:ilvl w:val="1"/>
      </w:numPr>
      <w:spacing w:after="80" w:line="276" w:lineRule="auto"/>
    </w:pPr>
    <w:rPr>
      <w:rFonts w:asciiTheme="majorHAnsi" w:eastAsiaTheme="majorEastAsia" w:hAnsiTheme="majorHAnsi" w:cstheme="majorBidi"/>
      <w:i/>
      <w:iCs/>
      <w:color w:val="5B9BD5" w:themeColor="accent1"/>
      <w:spacing w:val="15"/>
      <w:sz w:val="28"/>
      <w:szCs w:val="24"/>
    </w:rPr>
  </w:style>
  <w:style w:type="character" w:customStyle="1" w:styleId="SubtitleChar">
    <w:name w:val="Subtitle Char"/>
    <w:basedOn w:val="DefaultParagraphFont"/>
    <w:link w:val="Subtitle"/>
    <w:uiPriority w:val="11"/>
    <w:rsid w:val="00A75516"/>
    <w:rPr>
      <w:rFonts w:asciiTheme="majorHAnsi" w:eastAsiaTheme="majorEastAsia" w:hAnsiTheme="majorHAnsi" w:cstheme="majorBidi"/>
      <w:i/>
      <w:iCs/>
      <w:color w:val="5B9BD5" w:themeColor="accent1"/>
      <w:spacing w:val="15"/>
      <w:sz w:val="28"/>
      <w:szCs w:val="24"/>
    </w:rPr>
  </w:style>
  <w:style w:type="character" w:customStyle="1" w:styleId="Heading1Char">
    <w:name w:val="Heading 1 Char"/>
    <w:basedOn w:val="DefaultParagraphFont"/>
    <w:link w:val="Heading1"/>
    <w:uiPriority w:val="9"/>
    <w:rsid w:val="00A755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75516"/>
    <w:rPr>
      <w:rFonts w:asciiTheme="majorHAnsi" w:eastAsiaTheme="majorEastAsia" w:hAnsiTheme="majorHAnsi" w:cstheme="majorBidi"/>
      <w:color w:val="2E74B5" w:themeColor="accent1" w:themeShade="BF"/>
      <w:szCs w:val="26"/>
    </w:rPr>
  </w:style>
  <w:style w:type="character" w:customStyle="1" w:styleId="CharacterStyle5">
    <w:name w:val="Character Style 5"/>
    <w:uiPriority w:val="99"/>
    <w:rsid w:val="00E304A2"/>
    <w:rPr>
      <w:rFonts w:ascii="Garamond" w:hAnsi="Garamond" w:cs="Garamond"/>
      <w:b/>
      <w:bCs/>
      <w:sz w:val="28"/>
      <w:szCs w:val="28"/>
    </w:rPr>
  </w:style>
  <w:style w:type="paragraph" w:styleId="TOCHeading">
    <w:name w:val="TOC Heading"/>
    <w:basedOn w:val="Heading1"/>
    <w:next w:val="Normal"/>
    <w:uiPriority w:val="39"/>
    <w:qFormat/>
    <w:rsid w:val="007F678A"/>
    <w:pPr>
      <w:spacing w:before="480"/>
      <w:outlineLvl w:val="9"/>
    </w:pPr>
    <w:rPr>
      <w:rFonts w:ascii="Cambria" w:eastAsia="Times New Roman" w:hAnsi="Cambria" w:cs="Times New Roman"/>
      <w:color w:val="365F91"/>
      <w:lang w:val="x-none" w:eastAsia="x-none"/>
    </w:rPr>
  </w:style>
  <w:style w:type="paragraph" w:styleId="TOC1">
    <w:name w:val="toc 1"/>
    <w:basedOn w:val="Normal"/>
    <w:next w:val="Normal"/>
    <w:uiPriority w:val="39"/>
    <w:rsid w:val="007F678A"/>
    <w:pPr>
      <w:widowControl/>
      <w:tabs>
        <w:tab w:val="left" w:pos="720"/>
        <w:tab w:val="right" w:leader="dot" w:pos="9360"/>
      </w:tabs>
      <w:autoSpaceDE/>
      <w:autoSpaceDN/>
      <w:adjustRightInd/>
      <w:spacing w:before="180"/>
    </w:pPr>
    <w:rPr>
      <w:b/>
      <w:sz w:val="24"/>
      <w:szCs w:val="24"/>
    </w:rPr>
  </w:style>
  <w:style w:type="paragraph" w:styleId="ListParagraph">
    <w:name w:val="List Paragraph"/>
    <w:basedOn w:val="Normal"/>
    <w:uiPriority w:val="34"/>
    <w:qFormat/>
    <w:rsid w:val="007F678A"/>
    <w:pPr>
      <w:ind w:left="720"/>
      <w:contextualSpacing/>
    </w:pPr>
  </w:style>
  <w:style w:type="paragraph" w:customStyle="1" w:styleId="Listheader">
    <w:name w:val="List header"/>
    <w:basedOn w:val="Normal"/>
    <w:qFormat/>
    <w:rsid w:val="007F678A"/>
    <w:pPr>
      <w:keepNext/>
      <w:widowControl/>
      <w:numPr>
        <w:numId w:val="5"/>
      </w:numPr>
      <w:autoSpaceDE/>
      <w:autoSpaceDN/>
      <w:adjustRightInd/>
      <w:spacing w:before="280" w:after="120"/>
      <w:ind w:left="360"/>
      <w:outlineLvl w:val="1"/>
    </w:pPr>
    <w:rPr>
      <w:rFonts w:cs="Arial"/>
      <w:b/>
      <w:bCs/>
      <w:iCs/>
      <w:sz w:val="24"/>
      <w:szCs w:val="24"/>
      <w:u w:val="single"/>
    </w:rPr>
  </w:style>
  <w:style w:type="paragraph" w:styleId="Revision">
    <w:name w:val="Revision"/>
    <w:hidden/>
    <w:uiPriority w:val="99"/>
    <w:semiHidden/>
    <w:rsid w:val="00DB7EA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E5098"/>
    <w:pPr>
      <w:tabs>
        <w:tab w:val="center" w:pos="4680"/>
        <w:tab w:val="right" w:pos="9360"/>
      </w:tabs>
    </w:pPr>
  </w:style>
  <w:style w:type="character" w:customStyle="1" w:styleId="HeaderChar">
    <w:name w:val="Header Char"/>
    <w:basedOn w:val="DefaultParagraphFont"/>
    <w:link w:val="Header"/>
    <w:uiPriority w:val="99"/>
    <w:rsid w:val="00CE509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E5098"/>
    <w:pPr>
      <w:tabs>
        <w:tab w:val="center" w:pos="4680"/>
        <w:tab w:val="right" w:pos="9360"/>
      </w:tabs>
    </w:pPr>
  </w:style>
  <w:style w:type="character" w:customStyle="1" w:styleId="FooterChar">
    <w:name w:val="Footer Char"/>
    <w:basedOn w:val="DefaultParagraphFont"/>
    <w:link w:val="Footer"/>
    <w:uiPriority w:val="99"/>
    <w:rsid w:val="00CE509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2111A"/>
    <w:rPr>
      <w:rFonts w:ascii="Tahoma" w:hAnsi="Tahoma" w:cs="Tahoma"/>
      <w:sz w:val="16"/>
      <w:szCs w:val="16"/>
    </w:rPr>
  </w:style>
  <w:style w:type="character" w:customStyle="1" w:styleId="BalloonTextChar">
    <w:name w:val="Balloon Text Char"/>
    <w:basedOn w:val="DefaultParagraphFont"/>
    <w:link w:val="BalloonText"/>
    <w:uiPriority w:val="99"/>
    <w:semiHidden/>
    <w:rsid w:val="00E2111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63FF9"/>
    <w:rPr>
      <w:sz w:val="16"/>
      <w:szCs w:val="16"/>
    </w:rPr>
  </w:style>
  <w:style w:type="paragraph" w:styleId="CommentText">
    <w:name w:val="annotation text"/>
    <w:basedOn w:val="Normal"/>
    <w:link w:val="CommentTextChar"/>
    <w:uiPriority w:val="99"/>
    <w:semiHidden/>
    <w:unhideWhenUsed/>
    <w:rsid w:val="00F63FF9"/>
  </w:style>
  <w:style w:type="character" w:customStyle="1" w:styleId="CommentTextChar">
    <w:name w:val="Comment Text Char"/>
    <w:basedOn w:val="DefaultParagraphFont"/>
    <w:link w:val="CommentText"/>
    <w:uiPriority w:val="99"/>
    <w:semiHidden/>
    <w:rsid w:val="00F63F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3FF9"/>
    <w:rPr>
      <w:b/>
      <w:bCs/>
    </w:rPr>
  </w:style>
  <w:style w:type="character" w:customStyle="1" w:styleId="CommentSubjectChar">
    <w:name w:val="Comment Subject Char"/>
    <w:basedOn w:val="CommentTextChar"/>
    <w:link w:val="CommentSubject"/>
    <w:uiPriority w:val="99"/>
    <w:semiHidden/>
    <w:rsid w:val="00F63FF9"/>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2024A3"/>
  </w:style>
  <w:style w:type="character" w:customStyle="1" w:styleId="FootnoteTextChar">
    <w:name w:val="Footnote Text Char"/>
    <w:basedOn w:val="DefaultParagraphFont"/>
    <w:link w:val="FootnoteText"/>
    <w:uiPriority w:val="99"/>
    <w:semiHidden/>
    <w:rsid w:val="002024A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024A3"/>
    <w:rPr>
      <w:vertAlign w:val="superscript"/>
    </w:rPr>
  </w:style>
  <w:style w:type="character" w:styleId="Hyperlink">
    <w:name w:val="Hyperlink"/>
    <w:basedOn w:val="DefaultParagraphFont"/>
    <w:uiPriority w:val="99"/>
    <w:unhideWhenUsed/>
    <w:rsid w:val="00165941"/>
    <w:rPr>
      <w:color w:val="0000FF"/>
      <w:u w:val="single"/>
    </w:rPr>
  </w:style>
  <w:style w:type="paragraph" w:customStyle="1" w:styleId="Default">
    <w:name w:val="Default"/>
    <w:rsid w:val="002C49D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3019">
      <w:bodyDiv w:val="1"/>
      <w:marLeft w:val="0"/>
      <w:marRight w:val="0"/>
      <w:marTop w:val="0"/>
      <w:marBottom w:val="0"/>
      <w:divBdr>
        <w:top w:val="none" w:sz="0" w:space="0" w:color="auto"/>
        <w:left w:val="none" w:sz="0" w:space="0" w:color="auto"/>
        <w:bottom w:val="none" w:sz="0" w:space="0" w:color="auto"/>
        <w:right w:val="none" w:sz="0" w:space="0" w:color="auto"/>
      </w:divBdr>
    </w:div>
    <w:div w:id="207500235">
      <w:bodyDiv w:val="1"/>
      <w:marLeft w:val="0"/>
      <w:marRight w:val="0"/>
      <w:marTop w:val="0"/>
      <w:marBottom w:val="0"/>
      <w:divBdr>
        <w:top w:val="none" w:sz="0" w:space="0" w:color="auto"/>
        <w:left w:val="none" w:sz="0" w:space="0" w:color="auto"/>
        <w:bottom w:val="none" w:sz="0" w:space="0" w:color="auto"/>
        <w:right w:val="none" w:sz="0" w:space="0" w:color="auto"/>
      </w:divBdr>
    </w:div>
    <w:div w:id="611325893">
      <w:bodyDiv w:val="1"/>
      <w:marLeft w:val="0"/>
      <w:marRight w:val="0"/>
      <w:marTop w:val="0"/>
      <w:marBottom w:val="0"/>
      <w:divBdr>
        <w:top w:val="none" w:sz="0" w:space="0" w:color="auto"/>
        <w:left w:val="none" w:sz="0" w:space="0" w:color="auto"/>
        <w:bottom w:val="none" w:sz="0" w:space="0" w:color="auto"/>
        <w:right w:val="none" w:sz="0" w:space="0" w:color="auto"/>
      </w:divBdr>
    </w:div>
    <w:div w:id="708260386">
      <w:bodyDiv w:val="1"/>
      <w:marLeft w:val="0"/>
      <w:marRight w:val="0"/>
      <w:marTop w:val="0"/>
      <w:marBottom w:val="0"/>
      <w:divBdr>
        <w:top w:val="none" w:sz="0" w:space="0" w:color="auto"/>
        <w:left w:val="none" w:sz="0" w:space="0" w:color="auto"/>
        <w:bottom w:val="none" w:sz="0" w:space="0" w:color="auto"/>
        <w:right w:val="none" w:sz="0" w:space="0" w:color="auto"/>
      </w:divBdr>
    </w:div>
    <w:div w:id="774592189">
      <w:bodyDiv w:val="1"/>
      <w:marLeft w:val="0"/>
      <w:marRight w:val="0"/>
      <w:marTop w:val="0"/>
      <w:marBottom w:val="0"/>
      <w:divBdr>
        <w:top w:val="none" w:sz="0" w:space="0" w:color="auto"/>
        <w:left w:val="none" w:sz="0" w:space="0" w:color="auto"/>
        <w:bottom w:val="none" w:sz="0" w:space="0" w:color="auto"/>
        <w:right w:val="none" w:sz="0" w:space="0" w:color="auto"/>
      </w:divBdr>
    </w:div>
    <w:div w:id="1047414336">
      <w:bodyDiv w:val="1"/>
      <w:marLeft w:val="0"/>
      <w:marRight w:val="0"/>
      <w:marTop w:val="0"/>
      <w:marBottom w:val="0"/>
      <w:divBdr>
        <w:top w:val="none" w:sz="0" w:space="0" w:color="auto"/>
        <w:left w:val="none" w:sz="0" w:space="0" w:color="auto"/>
        <w:bottom w:val="none" w:sz="0" w:space="0" w:color="auto"/>
        <w:right w:val="none" w:sz="0" w:space="0" w:color="auto"/>
      </w:divBdr>
    </w:div>
    <w:div w:id="1088844038">
      <w:bodyDiv w:val="1"/>
      <w:marLeft w:val="0"/>
      <w:marRight w:val="0"/>
      <w:marTop w:val="0"/>
      <w:marBottom w:val="0"/>
      <w:divBdr>
        <w:top w:val="none" w:sz="0" w:space="0" w:color="auto"/>
        <w:left w:val="none" w:sz="0" w:space="0" w:color="auto"/>
        <w:bottom w:val="none" w:sz="0" w:space="0" w:color="auto"/>
        <w:right w:val="none" w:sz="0" w:space="0" w:color="auto"/>
      </w:divBdr>
    </w:div>
    <w:div w:id="1328362835">
      <w:bodyDiv w:val="1"/>
      <w:marLeft w:val="0"/>
      <w:marRight w:val="0"/>
      <w:marTop w:val="0"/>
      <w:marBottom w:val="0"/>
      <w:divBdr>
        <w:top w:val="none" w:sz="0" w:space="0" w:color="auto"/>
        <w:left w:val="none" w:sz="0" w:space="0" w:color="auto"/>
        <w:bottom w:val="none" w:sz="0" w:space="0" w:color="auto"/>
        <w:right w:val="none" w:sz="0" w:space="0" w:color="auto"/>
      </w:divBdr>
    </w:div>
    <w:div w:id="1387293214">
      <w:bodyDiv w:val="1"/>
      <w:marLeft w:val="0"/>
      <w:marRight w:val="0"/>
      <w:marTop w:val="0"/>
      <w:marBottom w:val="0"/>
      <w:divBdr>
        <w:top w:val="none" w:sz="0" w:space="0" w:color="auto"/>
        <w:left w:val="none" w:sz="0" w:space="0" w:color="auto"/>
        <w:bottom w:val="none" w:sz="0" w:space="0" w:color="auto"/>
        <w:right w:val="none" w:sz="0" w:space="0" w:color="auto"/>
      </w:divBdr>
    </w:div>
    <w:div w:id="1657034312">
      <w:bodyDiv w:val="1"/>
      <w:marLeft w:val="0"/>
      <w:marRight w:val="0"/>
      <w:marTop w:val="0"/>
      <w:marBottom w:val="0"/>
      <w:divBdr>
        <w:top w:val="none" w:sz="0" w:space="0" w:color="auto"/>
        <w:left w:val="none" w:sz="0" w:space="0" w:color="auto"/>
        <w:bottom w:val="none" w:sz="0" w:space="0" w:color="auto"/>
        <w:right w:val="none" w:sz="0" w:space="0" w:color="auto"/>
      </w:divBdr>
    </w:div>
    <w:div w:id="1761675452">
      <w:bodyDiv w:val="1"/>
      <w:marLeft w:val="0"/>
      <w:marRight w:val="0"/>
      <w:marTop w:val="0"/>
      <w:marBottom w:val="0"/>
      <w:divBdr>
        <w:top w:val="none" w:sz="0" w:space="0" w:color="auto"/>
        <w:left w:val="none" w:sz="0" w:space="0" w:color="auto"/>
        <w:bottom w:val="none" w:sz="0" w:space="0" w:color="auto"/>
        <w:right w:val="none" w:sz="0" w:space="0" w:color="auto"/>
      </w:divBdr>
    </w:div>
    <w:div w:id="1834105129">
      <w:bodyDiv w:val="1"/>
      <w:marLeft w:val="0"/>
      <w:marRight w:val="0"/>
      <w:marTop w:val="0"/>
      <w:marBottom w:val="0"/>
      <w:divBdr>
        <w:top w:val="none" w:sz="0" w:space="0" w:color="auto"/>
        <w:left w:val="none" w:sz="0" w:space="0" w:color="auto"/>
        <w:bottom w:val="none" w:sz="0" w:space="0" w:color="auto"/>
        <w:right w:val="none" w:sz="0" w:space="0" w:color="auto"/>
      </w:divBdr>
    </w:div>
    <w:div w:id="199375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homas.loc.gov/cgi-bin/bdquery/z?d101:HR05702:/TOM:/bss/d101query.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7FB27D95C7A48B03DA9530B7374B0" ma:contentTypeVersion="4" ma:contentTypeDescription="Create a new document." ma:contentTypeScope="" ma:versionID="8cdc580cdf9713e3eb3eaae003366d0d">
  <xsd:schema xmlns:xsd="http://www.w3.org/2001/XMLSchema" xmlns:xs="http://www.w3.org/2001/XMLSchema" xmlns:p="http://schemas.microsoft.com/office/2006/metadata/properties" xmlns:ns1="http://schemas.microsoft.com/sharepoint/v3" xmlns:ns3="0f7e61d9-3ac9-4484-81ca-a9f9ebdfeb48" targetNamespace="http://schemas.microsoft.com/office/2006/metadata/properties" ma:root="true" ma:fieldsID="0cb0295c3ce8c9b5f75ac823577076cb" ns1:_="" ns3:_="">
    <xsd:import namespace="http://schemas.microsoft.com/sharepoint/v3"/>
    <xsd:import namespace="0f7e61d9-3ac9-4484-81ca-a9f9ebdfeb48"/>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e61d9-3ac9-4484-81ca-a9f9ebdfeb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DBAE6-7C28-4B4A-81A2-0BF60ABCB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7e61d9-3ac9-4484-81ca-a9f9ebdfe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5C58F-F56E-4E3B-ADA0-DD7C66B6B670}">
  <ds:schemaRefs>
    <ds:schemaRef ds:uri="http://schemas.microsoft.com/sharepoint/v3/contenttype/forms"/>
  </ds:schemaRefs>
</ds:datastoreItem>
</file>

<file path=customXml/itemProps3.xml><?xml version="1.0" encoding="utf-8"?>
<ds:datastoreItem xmlns:ds="http://schemas.openxmlformats.org/officeDocument/2006/customXml" ds:itemID="{A11851E1-6336-416E-B257-B44283E4306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EA2C6D2-B1D3-44E6-9A0D-2BAB8CC6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Noelle Miesfeld</dc:creator>
  <cp:lastModifiedBy>Rucinski, Dianne (OS/OASH)</cp:lastModifiedBy>
  <cp:revision>2</cp:revision>
  <cp:lastPrinted>2018-10-15T17:14:00Z</cp:lastPrinted>
  <dcterms:created xsi:type="dcterms:W3CDTF">2021-05-13T21:51:00Z</dcterms:created>
  <dcterms:modified xsi:type="dcterms:W3CDTF">2021-05-13T21:51:00Z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0x01010071D7FB27D95C7A48B03DA9530B7374B0</vt:lpwstr>
  </property>
  <property fmtid="{D5CDD505-2E9C-101B-9397-08002B2CF9AE}" pid="3" name="_dlc_DocIdItemGuid">
    <vt:lpwstr>efd4a695-ec8a-46b3-afd2-51dc0c870960</vt:lpwstr>
  </property>
</Properties>
</file>