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47" w:rsidP="002E47DF" w:rsidRDefault="00AD3F47" w14:paraId="30DE5F1F" w14:textId="77777777">
      <w:pPr>
        <w:jc w:val="center"/>
        <w:rPr>
          <w:sz w:val="24"/>
        </w:rPr>
      </w:pPr>
      <w:r>
        <w:rPr>
          <w:sz w:val="24"/>
        </w:rPr>
        <w:t>Supporting Statement Part A</w:t>
      </w:r>
    </w:p>
    <w:p w:rsidR="00867D6E" w:rsidP="002E47DF" w:rsidRDefault="00965935" w14:paraId="36216137" w14:textId="77777777">
      <w:pPr>
        <w:jc w:val="center"/>
        <w:rPr>
          <w:sz w:val="24"/>
        </w:rPr>
      </w:pPr>
      <w:r w:rsidRPr="00406821">
        <w:rPr>
          <w:sz w:val="24"/>
        </w:rPr>
        <w:t>Limitations on Provider Related Donations and Health Care Related Taxes</w:t>
      </w:r>
      <w:r w:rsidRPr="00406821" w:rsidR="002921FE">
        <w:rPr>
          <w:sz w:val="24"/>
        </w:rPr>
        <w:t>,</w:t>
      </w:r>
      <w:r w:rsidRPr="00406821">
        <w:rPr>
          <w:sz w:val="24"/>
        </w:rPr>
        <w:t xml:space="preserve"> Medicaid</w:t>
      </w:r>
      <w:r w:rsidRPr="00406821" w:rsidR="00C33177">
        <w:rPr>
          <w:sz w:val="24"/>
        </w:rPr>
        <w:t xml:space="preserve"> and</w:t>
      </w:r>
      <w:r w:rsidR="00867D6E">
        <w:rPr>
          <w:sz w:val="24"/>
        </w:rPr>
        <w:t xml:space="preserve"> </w:t>
      </w:r>
      <w:r w:rsidRPr="00965935">
        <w:rPr>
          <w:sz w:val="24"/>
        </w:rPr>
        <w:t>Supporting Regulations in</w:t>
      </w:r>
    </w:p>
    <w:p w:rsidR="00965935" w:rsidP="002E47DF" w:rsidRDefault="00965935" w14:paraId="7132FCF5" w14:textId="30C5ABFC">
      <w:pPr>
        <w:jc w:val="center"/>
        <w:rPr>
          <w:sz w:val="24"/>
        </w:rPr>
      </w:pPr>
      <w:r w:rsidRPr="00965935">
        <w:rPr>
          <w:sz w:val="24"/>
        </w:rPr>
        <w:t>42 CFR 433.68</w:t>
      </w:r>
      <w:r w:rsidR="005675F4">
        <w:rPr>
          <w:sz w:val="24"/>
        </w:rPr>
        <w:t xml:space="preserve"> </w:t>
      </w:r>
      <w:r w:rsidR="00C427B3">
        <w:rPr>
          <w:sz w:val="24"/>
        </w:rPr>
        <w:t>through</w:t>
      </w:r>
      <w:r w:rsidR="005675F4">
        <w:rPr>
          <w:sz w:val="24"/>
        </w:rPr>
        <w:t xml:space="preserve"> </w:t>
      </w:r>
      <w:r w:rsidRPr="00965935">
        <w:rPr>
          <w:sz w:val="24"/>
        </w:rPr>
        <w:t>433.74</w:t>
      </w:r>
    </w:p>
    <w:p w:rsidR="00D30A79" w:rsidP="002E47DF" w:rsidRDefault="004320A4" w14:paraId="4C1F2C5A" w14:textId="77777777">
      <w:pPr>
        <w:jc w:val="center"/>
        <w:rPr>
          <w:sz w:val="24"/>
        </w:rPr>
      </w:pPr>
      <w:r>
        <w:rPr>
          <w:sz w:val="24"/>
        </w:rPr>
        <w:t>CMS-R-148</w:t>
      </w:r>
      <w:r w:rsidR="00664854">
        <w:rPr>
          <w:sz w:val="24"/>
        </w:rPr>
        <w:t xml:space="preserve"> (OMB 0938-</w:t>
      </w:r>
      <w:r w:rsidR="007079C4">
        <w:rPr>
          <w:sz w:val="24"/>
        </w:rPr>
        <w:t>0618)</w:t>
      </w:r>
    </w:p>
    <w:p w:rsidRPr="00231884" w:rsidR="005F23BC" w:rsidP="005F23BC" w:rsidRDefault="005F23BC" w14:paraId="7AAB0993" w14:textId="77777777">
      <w:pPr>
        <w:tabs>
          <w:tab w:val="left" w:pos="-1440"/>
        </w:tabs>
        <w:rPr>
          <w:sz w:val="24"/>
        </w:rPr>
      </w:pPr>
    </w:p>
    <w:p w:rsidRPr="00D744D4" w:rsidR="004A0120" w:rsidP="005F23BC" w:rsidRDefault="00D30A79" w14:paraId="3A1CF137" w14:textId="77777777">
      <w:pPr>
        <w:tabs>
          <w:tab w:val="left" w:pos="-1440"/>
        </w:tabs>
        <w:rPr>
          <w:b/>
          <w:sz w:val="24"/>
        </w:rPr>
      </w:pPr>
      <w:r w:rsidRPr="00D744D4">
        <w:rPr>
          <w:b/>
          <w:sz w:val="24"/>
        </w:rPr>
        <w:t>BACKGROUND</w:t>
      </w:r>
    </w:p>
    <w:p w:rsidR="00D30A79" w:rsidP="005F23BC" w:rsidRDefault="00D30A79" w14:paraId="035EA905" w14:textId="77777777">
      <w:pPr>
        <w:rPr>
          <w:sz w:val="24"/>
        </w:rPr>
      </w:pPr>
    </w:p>
    <w:p w:rsidR="00D30A79" w:rsidP="005F23BC" w:rsidRDefault="006D7D01" w14:paraId="6186D6B8" w14:textId="7591D0EE">
      <w:pPr>
        <w:rPr>
          <w:sz w:val="24"/>
        </w:rPr>
      </w:pPr>
      <w:r>
        <w:rPr>
          <w:sz w:val="24"/>
        </w:rPr>
        <w:t xml:space="preserve">The </w:t>
      </w:r>
      <w:r w:rsidR="00E94464">
        <w:rPr>
          <w:sz w:val="24"/>
        </w:rPr>
        <w:t>Centers for Medicare and Medicaid Services (</w:t>
      </w:r>
      <w:r w:rsidR="00D30A79">
        <w:rPr>
          <w:sz w:val="24"/>
        </w:rPr>
        <w:t>CMS</w:t>
      </w:r>
      <w:r w:rsidR="00E94464">
        <w:rPr>
          <w:sz w:val="24"/>
        </w:rPr>
        <w:t>)</w:t>
      </w:r>
      <w:r w:rsidR="00D30A79">
        <w:rPr>
          <w:sz w:val="24"/>
        </w:rPr>
        <w:t xml:space="preserve"> is requesting Office of Management and Budget approval</w:t>
      </w:r>
      <w:r w:rsidR="00C7610A">
        <w:rPr>
          <w:sz w:val="24"/>
        </w:rPr>
        <w:t>,</w:t>
      </w:r>
      <w:r w:rsidR="00D30A79">
        <w:rPr>
          <w:sz w:val="24"/>
        </w:rPr>
        <w:t xml:space="preserve"> under the Paperwork Reduction Act of 1995</w:t>
      </w:r>
      <w:r w:rsidR="00C7610A">
        <w:rPr>
          <w:sz w:val="24"/>
        </w:rPr>
        <w:t>,</w:t>
      </w:r>
      <w:r w:rsidR="00D30A79">
        <w:rPr>
          <w:sz w:val="24"/>
        </w:rPr>
        <w:t xml:space="preserve"> of </w:t>
      </w:r>
      <w:r w:rsidR="005675F4">
        <w:rPr>
          <w:sz w:val="24"/>
        </w:rPr>
        <w:t xml:space="preserve">the following </w:t>
      </w:r>
      <w:r w:rsidR="00D30A79">
        <w:rPr>
          <w:sz w:val="24"/>
        </w:rPr>
        <w:t xml:space="preserve">information collection requirements contained at 42 CFR </w:t>
      </w:r>
      <w:r w:rsidR="00FB4356">
        <w:rPr>
          <w:sz w:val="24"/>
        </w:rPr>
        <w:t xml:space="preserve">part </w:t>
      </w:r>
      <w:r w:rsidR="00D30A79">
        <w:rPr>
          <w:sz w:val="24"/>
        </w:rPr>
        <w:t xml:space="preserve">433 as required </w:t>
      </w:r>
      <w:r w:rsidR="00AA3641">
        <w:rPr>
          <w:sz w:val="24"/>
        </w:rPr>
        <w:t xml:space="preserve">by </w:t>
      </w:r>
      <w:r w:rsidR="00D30A79">
        <w:rPr>
          <w:sz w:val="24"/>
        </w:rPr>
        <w:t>Public Law 102-234</w:t>
      </w:r>
      <w:r w:rsidR="009E5CCC">
        <w:rPr>
          <w:sz w:val="24"/>
        </w:rPr>
        <w:t xml:space="preserve"> (hereinafter, “</w:t>
      </w:r>
      <w:r w:rsidRPr="00CB7235" w:rsidR="009E5CCC">
        <w:rPr>
          <w:sz w:val="24"/>
        </w:rPr>
        <w:t>Pub. L</w:t>
      </w:r>
      <w:r w:rsidR="009E5CCC">
        <w:rPr>
          <w:sz w:val="24"/>
        </w:rPr>
        <w:t>.”)</w:t>
      </w:r>
      <w:r w:rsidR="00D30A79">
        <w:rPr>
          <w:sz w:val="24"/>
        </w:rPr>
        <w:t xml:space="preserve">, </w:t>
      </w:r>
      <w:r w:rsidR="005675F4">
        <w:rPr>
          <w:sz w:val="24"/>
        </w:rPr>
        <w:t>t</w:t>
      </w:r>
      <w:r w:rsidR="00D30A79">
        <w:rPr>
          <w:sz w:val="24"/>
        </w:rPr>
        <w:t xml:space="preserve">he </w:t>
      </w:r>
      <w:r w:rsidR="005675F4">
        <w:rPr>
          <w:sz w:val="24"/>
        </w:rPr>
        <w:t>“</w:t>
      </w:r>
      <w:r w:rsidR="00D30A79">
        <w:rPr>
          <w:sz w:val="24"/>
        </w:rPr>
        <w:t>Medicaid Voluntary Contribution and Provider</w:t>
      </w:r>
      <w:r w:rsidR="00234861">
        <w:rPr>
          <w:sz w:val="24"/>
        </w:rPr>
        <w:t>-</w:t>
      </w:r>
      <w:r w:rsidR="00D30A79">
        <w:rPr>
          <w:sz w:val="24"/>
        </w:rPr>
        <w:t>Specific Tax Amendments of 1991</w:t>
      </w:r>
      <w:r w:rsidR="005675F4">
        <w:rPr>
          <w:sz w:val="24"/>
        </w:rPr>
        <w:t xml:space="preserve">” </w:t>
      </w:r>
      <w:r w:rsidR="00AA3641">
        <w:rPr>
          <w:sz w:val="24"/>
        </w:rPr>
        <w:t xml:space="preserve">under </w:t>
      </w:r>
      <w:r w:rsidR="005675F4">
        <w:rPr>
          <w:sz w:val="24"/>
        </w:rPr>
        <w:t>section 4 “Reporting Requirements</w:t>
      </w:r>
      <w:r w:rsidR="00AA3641">
        <w:rPr>
          <w:sz w:val="24"/>
        </w:rPr>
        <w:t>.</w:t>
      </w:r>
      <w:r w:rsidR="005675F4">
        <w:rPr>
          <w:sz w:val="24"/>
        </w:rPr>
        <w:t>”</w:t>
      </w:r>
    </w:p>
    <w:p w:rsidR="005F23BC" w:rsidP="005F23BC" w:rsidRDefault="005F23BC" w14:paraId="0CE829A3" w14:textId="77777777">
      <w:pPr>
        <w:rPr>
          <w:sz w:val="24"/>
        </w:rPr>
      </w:pPr>
    </w:p>
    <w:p w:rsidRPr="00FA0C5B" w:rsidR="008A787C" w:rsidP="008A787C" w:rsidRDefault="009E5CCC" w14:paraId="48D0CF13" w14:textId="040F7540">
      <w:pPr>
        <w:rPr>
          <w:sz w:val="24"/>
        </w:rPr>
      </w:pPr>
      <w:bookmarkStart w:name="_GoBack" w:id="0"/>
      <w:bookmarkEnd w:id="0"/>
      <w:r w:rsidRPr="00FA0C5B">
        <w:rPr>
          <w:sz w:val="24"/>
        </w:rPr>
        <w:t>T</w:t>
      </w:r>
      <w:r w:rsidRPr="00FA0C5B" w:rsidR="00AC5304">
        <w:rPr>
          <w:sz w:val="24"/>
        </w:rPr>
        <w:t>his 20</w:t>
      </w:r>
      <w:r w:rsidRPr="00FA0C5B">
        <w:rPr>
          <w:sz w:val="24"/>
        </w:rPr>
        <w:t>20</w:t>
      </w:r>
      <w:r w:rsidR="00857932">
        <w:rPr>
          <w:sz w:val="24"/>
        </w:rPr>
        <w:t>/2021</w:t>
      </w:r>
      <w:r w:rsidRPr="00FA0C5B" w:rsidR="00AC5304">
        <w:rPr>
          <w:sz w:val="24"/>
        </w:rPr>
        <w:t xml:space="preserve"> iteration is an Extension; it does not propose any program/burden changes.</w:t>
      </w:r>
      <w:r w:rsidRPr="00FA0C5B" w:rsidR="008A787C">
        <w:rPr>
          <w:sz w:val="24"/>
        </w:rPr>
        <w:t xml:space="preserve"> </w:t>
      </w:r>
      <w:r w:rsidR="00302FC5">
        <w:rPr>
          <w:sz w:val="24"/>
        </w:rPr>
        <w:t>However, w</w:t>
      </w:r>
      <w:r w:rsidRPr="00FA0C5B" w:rsidR="008A787C">
        <w:rPr>
          <w:sz w:val="24"/>
        </w:rPr>
        <w:t xml:space="preserve">e are adjusting our cost estimates </w:t>
      </w:r>
      <w:r w:rsidR="006F71D8">
        <w:rPr>
          <w:sz w:val="24"/>
        </w:rPr>
        <w:t xml:space="preserve">(an increase of </w:t>
      </w:r>
      <w:r w:rsidRPr="006F71D8" w:rsidR="006F71D8">
        <w:rPr>
          <w:sz w:val="24"/>
        </w:rPr>
        <w:t>$8,256</w:t>
      </w:r>
      <w:r w:rsidR="006F71D8">
        <w:rPr>
          <w:sz w:val="24"/>
        </w:rPr>
        <w:t xml:space="preserve">) </w:t>
      </w:r>
      <w:r w:rsidRPr="00FA0C5B" w:rsidR="008A787C">
        <w:rPr>
          <w:sz w:val="24"/>
        </w:rPr>
        <w:t>based on current BLS wage data.</w:t>
      </w:r>
    </w:p>
    <w:p w:rsidR="00FD2757" w:rsidP="005F23BC" w:rsidRDefault="00FD2757" w14:paraId="26C7CFCE" w14:textId="77777777">
      <w:pPr>
        <w:rPr>
          <w:sz w:val="24"/>
        </w:rPr>
      </w:pPr>
    </w:p>
    <w:p w:rsidRPr="00D744D4" w:rsidR="00D30A79" w:rsidP="005F23BC" w:rsidRDefault="00FB4356" w14:paraId="2C1F662E" w14:textId="77777777">
      <w:pPr>
        <w:tabs>
          <w:tab w:val="left" w:pos="-1440"/>
        </w:tabs>
        <w:rPr>
          <w:b/>
          <w:sz w:val="24"/>
        </w:rPr>
      </w:pPr>
      <w:r w:rsidRPr="00D744D4">
        <w:rPr>
          <w:b/>
          <w:sz w:val="24"/>
        </w:rPr>
        <w:t>A</w:t>
      </w:r>
      <w:r w:rsidRPr="00D744D4" w:rsidR="00D30A79">
        <w:rPr>
          <w:b/>
          <w:sz w:val="24"/>
        </w:rPr>
        <w:tab/>
        <w:t>JUSTIFICATION</w:t>
      </w:r>
    </w:p>
    <w:p w:rsidR="00FB4356" w:rsidP="005F23BC" w:rsidRDefault="00FB4356" w14:paraId="4B9FC967" w14:textId="77777777">
      <w:pPr>
        <w:tabs>
          <w:tab w:val="left" w:pos="-1440"/>
        </w:tabs>
        <w:rPr>
          <w:sz w:val="24"/>
        </w:rPr>
      </w:pPr>
    </w:p>
    <w:p w:rsidR="00D30A79" w:rsidP="005F23BC" w:rsidRDefault="00D30A79" w14:paraId="4BFE5453" w14:textId="77777777">
      <w:pPr>
        <w:rPr>
          <w:sz w:val="24"/>
        </w:rPr>
      </w:pPr>
      <w:r>
        <w:rPr>
          <w:sz w:val="24"/>
        </w:rPr>
        <w:t xml:space="preserve">1. </w:t>
      </w:r>
      <w:r>
        <w:rPr>
          <w:sz w:val="24"/>
          <w:u w:val="single"/>
        </w:rPr>
        <w:t>Need and Legal Basis</w:t>
      </w:r>
    </w:p>
    <w:p w:rsidR="00D30A79" w:rsidP="005F23BC" w:rsidRDefault="00D30A79" w14:paraId="76F5E12C" w14:textId="77777777">
      <w:pPr>
        <w:rPr>
          <w:sz w:val="24"/>
        </w:rPr>
      </w:pPr>
    </w:p>
    <w:p w:rsidR="00D30A79" w:rsidP="005F23BC" w:rsidRDefault="00D30A79" w14:paraId="51CC39D6" w14:textId="77777777">
      <w:pPr>
        <w:rPr>
          <w:sz w:val="24"/>
        </w:rPr>
      </w:pPr>
      <w:r>
        <w:rPr>
          <w:sz w:val="24"/>
        </w:rPr>
        <w:t xml:space="preserve">Pub. L. 102-234 amended section 1903 of the Social Security Act (the Act) to specify limitations on the amount of Federal financial participation (FFP) available for medical assistance expenditures in a fiscal year when States receive funds donated from providers and </w:t>
      </w:r>
      <w:r w:rsidR="003C43CD">
        <w:rPr>
          <w:sz w:val="24"/>
        </w:rPr>
        <w:t xml:space="preserve">when </w:t>
      </w:r>
      <w:r>
        <w:rPr>
          <w:sz w:val="24"/>
        </w:rPr>
        <w:t>revenues</w:t>
      </w:r>
      <w:r w:rsidR="003C43CD">
        <w:rPr>
          <w:sz w:val="24"/>
        </w:rPr>
        <w:t xml:space="preserve"> are</w:t>
      </w:r>
      <w:r>
        <w:rPr>
          <w:sz w:val="24"/>
        </w:rPr>
        <w:t xml:space="preserve"> generated by certain health care related taxes</w:t>
      </w:r>
      <w:r w:rsidR="003C43CD">
        <w:rPr>
          <w:sz w:val="24"/>
        </w:rPr>
        <w:t xml:space="preserve">.  </w:t>
      </w:r>
    </w:p>
    <w:p w:rsidR="00D30A79" w:rsidP="005F23BC" w:rsidRDefault="00D30A79" w14:paraId="22D3B377" w14:textId="77777777">
      <w:pPr>
        <w:rPr>
          <w:sz w:val="24"/>
        </w:rPr>
      </w:pPr>
    </w:p>
    <w:p w:rsidR="00D30A79" w:rsidP="005F23BC" w:rsidRDefault="00D30A79" w14:paraId="2E98A536" w14:textId="1200B38D">
      <w:pPr>
        <w:rPr>
          <w:sz w:val="24"/>
        </w:rPr>
      </w:pPr>
      <w:r>
        <w:rPr>
          <w:sz w:val="24"/>
        </w:rPr>
        <w:t>Section 2(a)</w:t>
      </w:r>
      <w:r w:rsidR="00F554F6">
        <w:rPr>
          <w:sz w:val="24"/>
        </w:rPr>
        <w:t xml:space="preserve"> </w:t>
      </w:r>
      <w:r>
        <w:rPr>
          <w:sz w:val="24"/>
        </w:rPr>
        <w:t>of Pub.</w:t>
      </w:r>
      <w:r w:rsidR="00442F0C">
        <w:rPr>
          <w:sz w:val="24"/>
        </w:rPr>
        <w:t xml:space="preserve"> </w:t>
      </w:r>
      <w:r>
        <w:rPr>
          <w:sz w:val="24"/>
        </w:rPr>
        <w:t>L. 102-234 added a subsection (w) to section 1903 of the Act.  In general, under section 1903(w), a reduction in FFP will occur in most circumstances if States receive donations made by, or on behalf of, health care providers.  The law also defin</w:t>
      </w:r>
      <w:r w:rsidR="00DD4107">
        <w:rPr>
          <w:sz w:val="24"/>
        </w:rPr>
        <w:t>es</w:t>
      </w:r>
      <w:r>
        <w:rPr>
          <w:sz w:val="24"/>
        </w:rPr>
        <w:t xml:space="preserve"> the types of health care related tax revenues States are permitted to receive, without </w:t>
      </w:r>
      <w:r w:rsidR="00C7610A">
        <w:rPr>
          <w:sz w:val="24"/>
        </w:rPr>
        <w:t xml:space="preserve">inducing </w:t>
      </w:r>
      <w:r>
        <w:rPr>
          <w:sz w:val="24"/>
        </w:rPr>
        <w:t xml:space="preserve">a reduction in FFP.  Such taxes are broad based taxes which </w:t>
      </w:r>
      <w:r w:rsidR="00E94464">
        <w:rPr>
          <w:sz w:val="24"/>
        </w:rPr>
        <w:t xml:space="preserve">uniformly </w:t>
      </w:r>
      <w:r>
        <w:rPr>
          <w:sz w:val="24"/>
        </w:rPr>
        <w:t xml:space="preserve">apply to all health care items and services in a given class, and which do not hold taxpayers harmless for their tax costs.  </w:t>
      </w:r>
    </w:p>
    <w:p w:rsidR="00D30A79" w:rsidP="005F23BC" w:rsidRDefault="00D30A79" w14:paraId="3106DF4F" w14:textId="77777777">
      <w:pPr>
        <w:rPr>
          <w:sz w:val="24"/>
        </w:rPr>
      </w:pPr>
    </w:p>
    <w:p w:rsidR="00D30A79" w:rsidP="005F23BC" w:rsidRDefault="00D30A79" w14:paraId="6FB1B99B" w14:textId="77777777">
      <w:pPr>
        <w:rPr>
          <w:sz w:val="24"/>
        </w:rPr>
      </w:pPr>
      <w:r w:rsidRPr="00EA2147">
        <w:rPr>
          <w:sz w:val="24"/>
        </w:rPr>
        <w:t>The law also provides in section 1903(w)(3)(E)(i) of the Act</w:t>
      </w:r>
      <w:r w:rsidRPr="00EA2147" w:rsidR="00E94464">
        <w:rPr>
          <w:sz w:val="24"/>
        </w:rPr>
        <w:t>,</w:t>
      </w:r>
      <w:r w:rsidRPr="00EA2147">
        <w:rPr>
          <w:sz w:val="24"/>
        </w:rPr>
        <w:t xml:space="preserve"> that a State may submit to CMS a request for a waiver of either or both the broad based and uniformity requirements as defined in the statute.  In order for CMS to approve such a request, a State must demonstrate that</w:t>
      </w:r>
      <w:r w:rsidRPr="00EA2147" w:rsidR="00B47944">
        <w:rPr>
          <w:sz w:val="24"/>
        </w:rPr>
        <w:t xml:space="preserve"> the amount of the tax is not directly correlated to medical assistance payments, that</w:t>
      </w:r>
      <w:r w:rsidRPr="00EA2147">
        <w:rPr>
          <w:sz w:val="24"/>
        </w:rPr>
        <w:t xml:space="preserve"> its tax program</w:t>
      </w:r>
      <w:r>
        <w:rPr>
          <w:sz w:val="24"/>
        </w:rPr>
        <w:t xml:space="preserve"> is generally redistributive in nature</w:t>
      </w:r>
      <w:r w:rsidR="005B3D63">
        <w:rPr>
          <w:sz w:val="24"/>
        </w:rPr>
        <w:t>,</w:t>
      </w:r>
      <w:r>
        <w:rPr>
          <w:sz w:val="24"/>
        </w:rPr>
        <w:t xml:space="preserve"> and </w:t>
      </w:r>
      <w:r w:rsidR="005B3D63">
        <w:rPr>
          <w:sz w:val="24"/>
        </w:rPr>
        <w:t xml:space="preserve">that </w:t>
      </w:r>
      <w:r w:rsidR="00A01734">
        <w:rPr>
          <w:sz w:val="24"/>
        </w:rPr>
        <w:t>the program also</w:t>
      </w:r>
      <w:r w:rsidR="005B3D63">
        <w:rPr>
          <w:sz w:val="24"/>
        </w:rPr>
        <w:t xml:space="preserve"> </w:t>
      </w:r>
      <w:r>
        <w:rPr>
          <w:sz w:val="24"/>
        </w:rPr>
        <w:t xml:space="preserve">meets the hold harmless provisions contained in the law.    </w:t>
      </w:r>
    </w:p>
    <w:p w:rsidR="00D30A79" w:rsidP="005F23BC" w:rsidRDefault="00D30A79" w14:paraId="102A5C55" w14:textId="77777777">
      <w:pPr>
        <w:rPr>
          <w:sz w:val="24"/>
        </w:rPr>
      </w:pPr>
    </w:p>
    <w:p w:rsidR="006236AE" w:rsidP="005F23BC" w:rsidRDefault="00D30A79" w14:paraId="4424E772" w14:textId="77777777">
      <w:pPr>
        <w:pStyle w:val="NormalWeb"/>
        <w:spacing w:before="0" w:beforeAutospacing="0" w:after="0" w:afterAutospacing="0"/>
      </w:pPr>
      <w:r>
        <w:t>Section 1903(w)(4) of the Act, as added by Pub. L.102-234, specifies three conditions under which a State or local government is determined to hold taxpayers harmless for their tax costs.</w:t>
      </w:r>
      <w:r w:rsidR="006236AE">
        <w:t xml:space="preserve"> A taxpayer will be considered to be held harmless under a tax program if any of the following conditions applies:</w:t>
      </w:r>
    </w:p>
    <w:p w:rsidR="00146256" w:rsidP="005F23BC" w:rsidRDefault="00146256" w14:paraId="56CFCD97" w14:textId="77777777">
      <w:pPr>
        <w:pStyle w:val="NormalWeb"/>
        <w:spacing w:before="0" w:beforeAutospacing="0" w:after="0" w:afterAutospacing="0"/>
      </w:pPr>
    </w:p>
    <w:p w:rsidR="006236AE" w:rsidP="005F23BC" w:rsidRDefault="006236AE" w14:paraId="7D0EF723" w14:textId="77777777">
      <w:pPr>
        <w:pStyle w:val="NormalWeb"/>
        <w:spacing w:before="0" w:beforeAutospacing="0" w:after="0" w:afterAutospacing="0"/>
      </w:pPr>
      <w:r>
        <w:t xml:space="preserve">(1) The State (or other unit of government) imposing the tax provides directly or indirectly for a non-Medicaid payment to those providers or others paying the tax and the amount of the </w:t>
      </w:r>
      <w:r>
        <w:lastRenderedPageBreak/>
        <w:t>payment is positively correlated to either the amount of the tax or to the difference between the Medicaid payment and the total tax cost.</w:t>
      </w:r>
    </w:p>
    <w:p w:rsidR="00146256" w:rsidP="005F23BC" w:rsidRDefault="00146256" w14:paraId="422BFF63" w14:textId="77777777">
      <w:pPr>
        <w:pStyle w:val="NormalWeb"/>
        <w:spacing w:before="0" w:beforeAutospacing="0" w:after="0" w:afterAutospacing="0"/>
      </w:pPr>
    </w:p>
    <w:p w:rsidR="006236AE" w:rsidP="005F23BC" w:rsidRDefault="006236AE" w14:paraId="2CF1549B" w14:textId="77777777">
      <w:pPr>
        <w:pStyle w:val="NormalWeb"/>
        <w:spacing w:before="0" w:beforeAutospacing="0" w:after="0" w:afterAutospacing="0"/>
      </w:pPr>
      <w:r>
        <w:t>(2) All or any portion of the Medicaid payment to the taxpayer varies based only on the amount of the total tax payment.</w:t>
      </w:r>
    </w:p>
    <w:p w:rsidR="00146256" w:rsidP="005F23BC" w:rsidRDefault="00146256" w14:paraId="41477767" w14:textId="77777777">
      <w:pPr>
        <w:pStyle w:val="NormalWeb"/>
        <w:spacing w:before="0" w:beforeAutospacing="0" w:after="0" w:afterAutospacing="0"/>
      </w:pPr>
    </w:p>
    <w:p w:rsidR="006236AE" w:rsidP="005F23BC" w:rsidRDefault="006236AE" w14:paraId="6DBC93FD" w14:textId="77777777">
      <w:pPr>
        <w:pStyle w:val="NormalWeb"/>
        <w:spacing w:before="0" w:beforeAutospacing="0" w:after="0" w:afterAutospacing="0"/>
      </w:pPr>
      <w:r>
        <w:t>(3) The State (or other unit of local government) imposing the tax provides, directly or indirectly, for any payment, offset, or waiver that guarantees to hold taxpayers harmless for all or a portion of the tax.</w:t>
      </w:r>
    </w:p>
    <w:p w:rsidR="00146256" w:rsidP="005F23BC" w:rsidRDefault="00146256" w14:paraId="76864E7D" w14:textId="77777777">
      <w:pPr>
        <w:rPr>
          <w:sz w:val="24"/>
        </w:rPr>
      </w:pPr>
    </w:p>
    <w:p w:rsidR="00D30A79" w:rsidP="005F23BC" w:rsidRDefault="00D30A79" w14:paraId="197DFBBC" w14:textId="6D42A2EA">
      <w:pPr>
        <w:rPr>
          <w:sz w:val="24"/>
        </w:rPr>
      </w:pPr>
      <w:r>
        <w:rPr>
          <w:sz w:val="24"/>
        </w:rPr>
        <w:t xml:space="preserve">It is the responsibility of each State to </w:t>
      </w:r>
      <w:r w:rsidR="0022212A">
        <w:rPr>
          <w:sz w:val="24"/>
        </w:rPr>
        <w:t xml:space="preserve">ensure </w:t>
      </w:r>
      <w:r>
        <w:rPr>
          <w:sz w:val="24"/>
        </w:rPr>
        <w:t>that every tax program enacted after November 22, 1991, does not meet any of the three statutory conditions.</w:t>
      </w:r>
    </w:p>
    <w:p w:rsidR="00D30A79" w:rsidP="005F23BC" w:rsidRDefault="00D30A79" w14:paraId="112F2B8C" w14:textId="77777777">
      <w:pPr>
        <w:rPr>
          <w:sz w:val="24"/>
        </w:rPr>
      </w:pPr>
    </w:p>
    <w:p w:rsidR="00D30A79" w:rsidP="005F23BC" w:rsidRDefault="00D30A79" w14:paraId="59A661F0" w14:textId="77777777">
      <w:pPr>
        <w:rPr>
          <w:sz w:val="24"/>
        </w:rPr>
      </w:pPr>
      <w:r>
        <w:rPr>
          <w:sz w:val="24"/>
        </w:rPr>
        <w:t>The provisions of the law affecting taxes</w:t>
      </w:r>
      <w:r w:rsidR="00F148CC">
        <w:rPr>
          <w:sz w:val="24"/>
        </w:rPr>
        <w:t xml:space="preserve"> and</w:t>
      </w:r>
      <w:r>
        <w:rPr>
          <w:sz w:val="24"/>
        </w:rPr>
        <w:t xml:space="preserve"> donations</w:t>
      </w:r>
      <w:r w:rsidR="008C74B3">
        <w:rPr>
          <w:sz w:val="24"/>
        </w:rPr>
        <w:t>,</w:t>
      </w:r>
      <w:r>
        <w:rPr>
          <w:sz w:val="24"/>
        </w:rPr>
        <w:t xml:space="preserve"> apply to all 50 States and the District of Columbia</w:t>
      </w:r>
      <w:r w:rsidR="008173FD">
        <w:rPr>
          <w:sz w:val="24"/>
        </w:rPr>
        <w:t>.</w:t>
      </w:r>
    </w:p>
    <w:p w:rsidR="00D30A79" w:rsidP="005F23BC" w:rsidRDefault="00D30A79" w14:paraId="5F082A59" w14:textId="77777777">
      <w:pPr>
        <w:rPr>
          <w:sz w:val="24"/>
        </w:rPr>
      </w:pPr>
    </w:p>
    <w:p w:rsidR="00D30A79" w:rsidP="005F23BC" w:rsidRDefault="00D30A79" w14:paraId="574D8354" w14:textId="77777777">
      <w:pPr>
        <w:rPr>
          <w:sz w:val="24"/>
        </w:rPr>
      </w:pPr>
      <w:r w:rsidRPr="00EA2147">
        <w:rPr>
          <w:sz w:val="24"/>
        </w:rPr>
        <w:t>Section 4 of Pub. L. 102-234 amended section 1903(d) of the Act to require each State to provide information relating to provider related donations made to the State or units of local government and health care related taxes collected by the State or such units.</w:t>
      </w:r>
      <w:r>
        <w:rPr>
          <w:sz w:val="24"/>
        </w:rPr>
        <w:t xml:space="preserve"> </w:t>
      </w:r>
    </w:p>
    <w:p w:rsidR="00D30A79" w:rsidP="005F23BC" w:rsidRDefault="00D30A79" w14:paraId="53B4160A" w14:textId="77777777">
      <w:pPr>
        <w:rPr>
          <w:sz w:val="24"/>
        </w:rPr>
      </w:pPr>
    </w:p>
    <w:p w:rsidR="00D30A79" w:rsidP="005F23BC" w:rsidRDefault="00D30A79" w14:paraId="3EBE6662" w14:textId="0C25BFD4">
      <w:pPr>
        <w:rPr>
          <w:sz w:val="24"/>
        </w:rPr>
      </w:pPr>
      <w:r>
        <w:rPr>
          <w:sz w:val="24"/>
        </w:rPr>
        <w:t>42 CFR 433</w:t>
      </w:r>
      <w:r w:rsidR="009E13F9">
        <w:rPr>
          <w:sz w:val="24"/>
        </w:rPr>
        <w:t xml:space="preserve">.68 </w:t>
      </w:r>
      <w:r w:rsidRPr="00FE7643" w:rsidR="009E13F9">
        <w:rPr>
          <w:sz w:val="24"/>
        </w:rPr>
        <w:t>through</w:t>
      </w:r>
      <w:r w:rsidR="009E13F9">
        <w:rPr>
          <w:sz w:val="24"/>
        </w:rPr>
        <w:t xml:space="preserve"> 433.74</w:t>
      </w:r>
      <w:r>
        <w:rPr>
          <w:sz w:val="24"/>
        </w:rPr>
        <w:t xml:space="preserve"> implement</w:t>
      </w:r>
      <w:r w:rsidR="00034256">
        <w:rPr>
          <w:sz w:val="24"/>
        </w:rPr>
        <w:t>s</w:t>
      </w:r>
      <w:r>
        <w:rPr>
          <w:sz w:val="24"/>
        </w:rPr>
        <w:t xml:space="preserve"> these provisions.</w:t>
      </w:r>
    </w:p>
    <w:p w:rsidR="00D30A79" w:rsidP="005F23BC" w:rsidRDefault="00D30A79" w14:paraId="296A94E5" w14:textId="77777777">
      <w:pPr>
        <w:rPr>
          <w:sz w:val="24"/>
        </w:rPr>
      </w:pPr>
    </w:p>
    <w:p w:rsidR="00D30A79" w:rsidP="005F23BC" w:rsidRDefault="00D30A79" w14:paraId="78DEE01E" w14:textId="77777777">
      <w:pPr>
        <w:rPr>
          <w:sz w:val="24"/>
        </w:rPr>
      </w:pPr>
      <w:r>
        <w:rPr>
          <w:sz w:val="24"/>
        </w:rPr>
        <w:t xml:space="preserve">2.  </w:t>
      </w:r>
      <w:r>
        <w:rPr>
          <w:sz w:val="24"/>
          <w:u w:val="single"/>
        </w:rPr>
        <w:t>Information Users</w:t>
      </w:r>
    </w:p>
    <w:p w:rsidR="00D30A79" w:rsidP="005F23BC" w:rsidRDefault="00D30A79" w14:paraId="1948D151" w14:textId="05663C7C">
      <w:pPr>
        <w:rPr>
          <w:sz w:val="24"/>
        </w:rPr>
      </w:pPr>
    </w:p>
    <w:p w:rsidRPr="00C878C9" w:rsidR="00C878C9" w:rsidP="00C878C9" w:rsidRDefault="00C878C9" w14:paraId="2752A160" w14:textId="4ED24B50">
      <w:pPr>
        <w:rPr>
          <w:sz w:val="24"/>
        </w:rPr>
      </w:pPr>
      <w:r w:rsidRPr="00C878C9">
        <w:rPr>
          <w:sz w:val="24"/>
        </w:rPr>
        <w:t>Employees at the state Medicaid agency collect tax information from various sources including the Medicare cost report</w:t>
      </w:r>
      <w:r w:rsidR="00BF7AB3">
        <w:rPr>
          <w:sz w:val="24"/>
        </w:rPr>
        <w:t>s</w:t>
      </w:r>
      <w:r w:rsidRPr="00C878C9">
        <w:rPr>
          <w:sz w:val="24"/>
        </w:rPr>
        <w:t xml:space="preserve"> from each hospital, in addition to other state budget</w:t>
      </w:r>
      <w:r w:rsidR="00BF7AB3">
        <w:rPr>
          <w:sz w:val="24"/>
        </w:rPr>
        <w:t>ary</w:t>
      </w:r>
      <w:r w:rsidRPr="00C878C9">
        <w:rPr>
          <w:sz w:val="24"/>
        </w:rPr>
        <w:t xml:space="preserve"> and financial reports. This information is collected and compiled in a format that </w:t>
      </w:r>
      <w:r w:rsidR="00BF7AB3">
        <w:rPr>
          <w:sz w:val="24"/>
        </w:rPr>
        <w:t xml:space="preserve">may be readily </w:t>
      </w:r>
      <w:r w:rsidRPr="00C878C9">
        <w:rPr>
          <w:sz w:val="24"/>
        </w:rPr>
        <w:t>furnished to CMS</w:t>
      </w:r>
      <w:r w:rsidR="00BF7AB3">
        <w:rPr>
          <w:sz w:val="24"/>
        </w:rPr>
        <w:t>, including but not limited to Excel format, in order</w:t>
      </w:r>
      <w:r w:rsidRPr="00C878C9">
        <w:rPr>
          <w:sz w:val="24"/>
        </w:rPr>
        <w:t xml:space="preserve"> to </w:t>
      </w:r>
      <w:r w:rsidR="00BF7AB3">
        <w:rPr>
          <w:sz w:val="24"/>
        </w:rPr>
        <w:t xml:space="preserve">provide </w:t>
      </w:r>
      <w:r w:rsidRPr="00C878C9">
        <w:rPr>
          <w:sz w:val="24"/>
        </w:rPr>
        <w:t xml:space="preserve">support that its tax program complies with federal statute and regulations. </w:t>
      </w:r>
    </w:p>
    <w:p w:rsidR="00D30A79" w:rsidP="005F23BC" w:rsidRDefault="00D30A79" w14:paraId="36876D3C" w14:textId="77777777">
      <w:pPr>
        <w:rPr>
          <w:sz w:val="24"/>
        </w:rPr>
      </w:pPr>
    </w:p>
    <w:p w:rsidR="00D30A79" w:rsidP="005F23BC" w:rsidRDefault="00D30A79" w14:paraId="047658AA" w14:textId="77777777">
      <w:pPr>
        <w:rPr>
          <w:sz w:val="24"/>
        </w:rPr>
      </w:pPr>
      <w:r>
        <w:rPr>
          <w:sz w:val="24"/>
        </w:rPr>
        <w:t xml:space="preserve">3.  </w:t>
      </w:r>
      <w:r>
        <w:rPr>
          <w:sz w:val="24"/>
          <w:u w:val="single"/>
        </w:rPr>
        <w:t>Improved Information Technology</w:t>
      </w:r>
    </w:p>
    <w:p w:rsidR="00D30A79" w:rsidP="005F23BC" w:rsidRDefault="00D30A79" w14:paraId="4B341845" w14:textId="77777777">
      <w:pPr>
        <w:rPr>
          <w:sz w:val="24"/>
        </w:rPr>
      </w:pPr>
    </w:p>
    <w:p w:rsidR="00D30A79" w:rsidP="005F23BC" w:rsidRDefault="00D30A79" w14:paraId="2893F6D8" w14:textId="648BC9A5">
      <w:pPr>
        <w:rPr>
          <w:sz w:val="24"/>
        </w:rPr>
      </w:pPr>
      <w:r w:rsidRPr="001B6822">
        <w:rPr>
          <w:sz w:val="24"/>
        </w:rPr>
        <w:t xml:space="preserve">The information can be submitted electronically, via e-mail.  Whether it is or not depends on State capabilities.  It is not practical to develop software for </w:t>
      </w:r>
      <w:r w:rsidRPr="001B6822" w:rsidR="00F148CC">
        <w:rPr>
          <w:sz w:val="24"/>
        </w:rPr>
        <w:t>so few submissions</w:t>
      </w:r>
      <w:r w:rsidRPr="001B6822" w:rsidR="001B6822">
        <w:rPr>
          <w:sz w:val="24"/>
        </w:rPr>
        <w:t xml:space="preserve"> </w:t>
      </w:r>
      <w:r w:rsidRPr="001B6822" w:rsidR="00F148CC">
        <w:rPr>
          <w:sz w:val="24"/>
        </w:rPr>
        <w:t>(</w:t>
      </w:r>
      <w:r w:rsidRPr="001B6822" w:rsidR="001B6822">
        <w:rPr>
          <w:sz w:val="24"/>
        </w:rPr>
        <w:t>a</w:t>
      </w:r>
      <w:r w:rsidRPr="001B6822" w:rsidR="00D50114">
        <w:rPr>
          <w:sz w:val="24"/>
        </w:rPr>
        <w:t>pproximately</w:t>
      </w:r>
      <w:r w:rsidRPr="001B6822" w:rsidR="00F148CC">
        <w:rPr>
          <w:sz w:val="24"/>
        </w:rPr>
        <w:t xml:space="preserve"> 32 submissions</w:t>
      </w:r>
      <w:r w:rsidRPr="001B6822" w:rsidR="001B6822">
        <w:rPr>
          <w:sz w:val="24"/>
        </w:rPr>
        <w:t xml:space="preserve"> </w:t>
      </w:r>
      <w:r w:rsidR="001E7891">
        <w:rPr>
          <w:sz w:val="24"/>
        </w:rPr>
        <w:t xml:space="preserve">per year </w:t>
      </w:r>
      <w:r w:rsidRPr="001B6822" w:rsidR="001B6822">
        <w:rPr>
          <w:sz w:val="24"/>
        </w:rPr>
        <w:t>among all respondents</w:t>
      </w:r>
      <w:r w:rsidRPr="001B6822" w:rsidR="00F148CC">
        <w:rPr>
          <w:sz w:val="24"/>
        </w:rPr>
        <w:t>).</w:t>
      </w:r>
    </w:p>
    <w:p w:rsidR="00D30A79" w:rsidP="005F23BC" w:rsidRDefault="00D30A79" w14:paraId="4F7185E6" w14:textId="77777777">
      <w:pPr>
        <w:rPr>
          <w:sz w:val="24"/>
        </w:rPr>
      </w:pPr>
    </w:p>
    <w:p w:rsidR="00D30A79" w:rsidP="005F23BC" w:rsidRDefault="00D30A79" w14:paraId="512AA2B1" w14:textId="77777777">
      <w:pPr>
        <w:tabs>
          <w:tab w:val="left" w:pos="-1440"/>
        </w:tabs>
        <w:rPr>
          <w:sz w:val="24"/>
        </w:rPr>
      </w:pPr>
      <w:r>
        <w:rPr>
          <w:sz w:val="24"/>
        </w:rPr>
        <w:t xml:space="preserve">4.  </w:t>
      </w:r>
      <w:r>
        <w:rPr>
          <w:sz w:val="24"/>
          <w:u w:val="single"/>
        </w:rPr>
        <w:t>Duplication of Similar Information</w:t>
      </w:r>
    </w:p>
    <w:p w:rsidR="00D30A79" w:rsidP="005F23BC" w:rsidRDefault="00D30A79" w14:paraId="6BB04DD8" w14:textId="77777777">
      <w:pPr>
        <w:rPr>
          <w:sz w:val="24"/>
        </w:rPr>
      </w:pPr>
    </w:p>
    <w:p w:rsidR="00D30A79" w:rsidP="005F23BC" w:rsidRDefault="00D30A79" w14:paraId="65A746BC" w14:textId="77777777">
      <w:pPr>
        <w:rPr>
          <w:sz w:val="24"/>
        </w:rPr>
      </w:pPr>
      <w:r>
        <w:rPr>
          <w:sz w:val="24"/>
        </w:rPr>
        <w:t>The information collected does not duplicate any other collected information.</w:t>
      </w:r>
      <w:r w:rsidR="00E2148E">
        <w:rPr>
          <w:sz w:val="24"/>
        </w:rPr>
        <w:t xml:space="preserve"> </w:t>
      </w:r>
      <w:r w:rsidR="0022212A">
        <w:rPr>
          <w:sz w:val="24"/>
        </w:rPr>
        <w:t xml:space="preserve"> The subject regulatory requirements are</w:t>
      </w:r>
      <w:r w:rsidR="00E2148E">
        <w:rPr>
          <w:sz w:val="24"/>
        </w:rPr>
        <w:t xml:space="preserve"> the only place in </w:t>
      </w:r>
      <w:r w:rsidR="0022212A">
        <w:rPr>
          <w:sz w:val="24"/>
        </w:rPr>
        <w:t>regulation</w:t>
      </w:r>
      <w:r w:rsidR="00E2148E">
        <w:rPr>
          <w:sz w:val="24"/>
        </w:rPr>
        <w:t xml:space="preserve"> that addresses waiver and hold harmless requirements.</w:t>
      </w:r>
    </w:p>
    <w:p w:rsidR="00D30A79" w:rsidP="005F23BC" w:rsidRDefault="00D30A79" w14:paraId="5D519075" w14:textId="77777777">
      <w:pPr>
        <w:rPr>
          <w:sz w:val="24"/>
        </w:rPr>
      </w:pPr>
    </w:p>
    <w:p w:rsidR="00D30A79" w:rsidP="005F23BC" w:rsidRDefault="00D30A79" w14:paraId="1D1FC381" w14:textId="77777777">
      <w:pPr>
        <w:rPr>
          <w:sz w:val="24"/>
        </w:rPr>
      </w:pPr>
      <w:r>
        <w:rPr>
          <w:sz w:val="24"/>
        </w:rPr>
        <w:t xml:space="preserve">5.  </w:t>
      </w:r>
      <w:r>
        <w:rPr>
          <w:sz w:val="24"/>
          <w:u w:val="single"/>
        </w:rPr>
        <w:t>Small Business</w:t>
      </w:r>
    </w:p>
    <w:p w:rsidR="00D30A79" w:rsidP="005F23BC" w:rsidRDefault="00D30A79" w14:paraId="669BEE06" w14:textId="77777777">
      <w:pPr>
        <w:rPr>
          <w:sz w:val="24"/>
        </w:rPr>
      </w:pPr>
    </w:p>
    <w:p w:rsidR="00D30A79" w:rsidP="005F23BC" w:rsidRDefault="00D30A79" w14:paraId="070744EF" w14:textId="77777777">
      <w:pPr>
        <w:rPr>
          <w:sz w:val="24"/>
        </w:rPr>
      </w:pPr>
      <w:r>
        <w:rPr>
          <w:sz w:val="24"/>
        </w:rPr>
        <w:t>There is no significant impact on small businesses.</w:t>
      </w:r>
    </w:p>
    <w:p w:rsidR="00D30A79" w:rsidP="005F23BC" w:rsidRDefault="00D30A79" w14:paraId="3CEC35C1" w14:textId="77777777">
      <w:pPr>
        <w:rPr>
          <w:sz w:val="24"/>
        </w:rPr>
      </w:pPr>
    </w:p>
    <w:p w:rsidR="00D30A79" w:rsidP="005F23BC" w:rsidRDefault="00D30A79" w14:paraId="4CD6F80B" w14:textId="77777777">
      <w:pPr>
        <w:rPr>
          <w:sz w:val="24"/>
        </w:rPr>
      </w:pPr>
      <w:r>
        <w:rPr>
          <w:sz w:val="24"/>
        </w:rPr>
        <w:lastRenderedPageBreak/>
        <w:t xml:space="preserve">6.  </w:t>
      </w:r>
      <w:r>
        <w:rPr>
          <w:sz w:val="24"/>
          <w:u w:val="single"/>
        </w:rPr>
        <w:t>Less Frequent Collection</w:t>
      </w:r>
    </w:p>
    <w:p w:rsidR="00D30A79" w:rsidP="005F23BC" w:rsidRDefault="00D30A79" w14:paraId="6DF68A0C" w14:textId="77777777">
      <w:pPr>
        <w:rPr>
          <w:sz w:val="24"/>
        </w:rPr>
      </w:pPr>
    </w:p>
    <w:p w:rsidRPr="005D2C78" w:rsidR="00D30A79" w:rsidP="005F23BC" w:rsidRDefault="00D30A79" w14:paraId="261AD636" w14:textId="77777777">
      <w:pPr>
        <w:rPr>
          <w:sz w:val="24"/>
        </w:rPr>
      </w:pPr>
      <w:r w:rsidRPr="005D2C78">
        <w:rPr>
          <w:sz w:val="24"/>
        </w:rPr>
        <w:t>Evaluation of the hold harmless requirements for a tax program may either be elect</w:t>
      </w:r>
      <w:r w:rsidRPr="005D2C78" w:rsidR="0020536A">
        <w:rPr>
          <w:sz w:val="24"/>
        </w:rPr>
        <w:t>ed</w:t>
      </w:r>
      <w:r w:rsidRPr="005D2C78">
        <w:rPr>
          <w:sz w:val="24"/>
        </w:rPr>
        <w:t xml:space="preserve"> by the State or initiated by CMS as a result of a spectrum review which identifies a problem. Therefore, States will submit documentation for both waiver requests and hold harmless on an as-needed basis.  </w:t>
      </w:r>
    </w:p>
    <w:p w:rsidRPr="005D2C78" w:rsidR="00D30A79" w:rsidP="005F23BC" w:rsidRDefault="00D30A79" w14:paraId="6E98A62A" w14:textId="77777777">
      <w:pPr>
        <w:rPr>
          <w:sz w:val="24"/>
        </w:rPr>
      </w:pPr>
    </w:p>
    <w:p w:rsidR="00D30A79" w:rsidP="005F23BC" w:rsidRDefault="00D30A79" w14:paraId="712B7D36" w14:textId="77777777">
      <w:pPr>
        <w:rPr>
          <w:sz w:val="24"/>
        </w:rPr>
      </w:pPr>
      <w:r w:rsidRPr="005D2C78">
        <w:rPr>
          <w:sz w:val="24"/>
        </w:rPr>
        <w:t>Failure to collect the funding data on a quarterly basis may result in Federal funds not being returned promptly and properly to the Federal Government.  States could misspend large sums of Federal funds undetected with no immediate mechanism of recovery.  Conversely, there are</w:t>
      </w:r>
      <w:r>
        <w:rPr>
          <w:sz w:val="24"/>
        </w:rPr>
        <w:t xml:space="preserve"> instances where States are due Federal funds and delays in reimbursing States could cause financial hardships on a State and adversely impact the operation of the Medicaid program.</w:t>
      </w:r>
    </w:p>
    <w:p w:rsidR="00D30A79" w:rsidP="005F23BC" w:rsidRDefault="00D30A79" w14:paraId="2C6F6672" w14:textId="77777777">
      <w:pPr>
        <w:rPr>
          <w:sz w:val="24"/>
        </w:rPr>
      </w:pPr>
    </w:p>
    <w:p w:rsidR="00D30A79" w:rsidP="005F23BC" w:rsidRDefault="00D30A79" w14:paraId="48B9F78F" w14:textId="77777777">
      <w:pPr>
        <w:rPr>
          <w:sz w:val="24"/>
        </w:rPr>
      </w:pPr>
      <w:r>
        <w:rPr>
          <w:sz w:val="24"/>
        </w:rPr>
        <w:t xml:space="preserve">7.  </w:t>
      </w:r>
      <w:r>
        <w:rPr>
          <w:sz w:val="24"/>
          <w:u w:val="single"/>
        </w:rPr>
        <w:t>Special Circumstances</w:t>
      </w:r>
    </w:p>
    <w:p w:rsidR="00D30A79" w:rsidP="005F23BC" w:rsidRDefault="00D30A79" w14:paraId="215B021E" w14:textId="77777777">
      <w:pPr>
        <w:rPr>
          <w:sz w:val="24"/>
        </w:rPr>
      </w:pPr>
    </w:p>
    <w:p w:rsidRPr="00F24ED4" w:rsidR="000B1125" w:rsidP="000B1125" w:rsidRDefault="000B1125" w14:paraId="3B6CF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F24ED4">
        <w:rPr>
          <w:sz w:val="24"/>
        </w:rPr>
        <w:t>There are no special circumstances that would require an information collection to be conducted in a manner that requires respondents to:</w:t>
      </w:r>
    </w:p>
    <w:p w:rsidRPr="00F24ED4" w:rsidR="000B1125" w:rsidP="000B1125" w:rsidRDefault="000B1125" w14:paraId="5D952675"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Report information to the agency more often than quarterly;</w:t>
      </w:r>
    </w:p>
    <w:p w:rsidRPr="00F24ED4" w:rsidR="000B1125" w:rsidP="000B1125" w:rsidRDefault="000B1125" w14:paraId="3DF147B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 xml:space="preserve">Prepare a written response to a collection of information in fewer than 30 days after receipt of it; </w:t>
      </w:r>
    </w:p>
    <w:p w:rsidRPr="00F24ED4" w:rsidR="000B1125" w:rsidP="000B1125" w:rsidRDefault="000B1125" w14:paraId="6C59494A"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more than an original and two copies of any document;</w:t>
      </w:r>
    </w:p>
    <w:p w:rsidRPr="00F24ED4" w:rsidR="000B1125" w:rsidP="000B1125" w:rsidRDefault="000B1125" w14:paraId="385D87D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Retain records, other than health, medical, government contract, grant-in-aid, or tax records for more than three years;</w:t>
      </w:r>
    </w:p>
    <w:p w:rsidRPr="00F24ED4" w:rsidR="000B1125" w:rsidP="000B1125" w:rsidRDefault="000B1125" w14:paraId="7731ACA7"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Collect data in connection with a statistical survey that is not designed to produce valid and reliable results that can be generalized to the universe of study,</w:t>
      </w:r>
    </w:p>
    <w:p w:rsidRPr="00F24ED4" w:rsidR="000B1125" w:rsidP="000B1125" w:rsidRDefault="000B1125" w14:paraId="47B9898A"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Use a statistical data classification that has not been reviewed and approved by OMB;</w:t>
      </w:r>
    </w:p>
    <w:p w:rsidRPr="00F24ED4" w:rsidR="000B1125" w:rsidP="000B1125" w:rsidRDefault="000B1125" w14:paraId="33DE4B2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24ED4" w:rsidR="000B1125" w:rsidP="000B1125" w:rsidRDefault="000B1125" w14:paraId="71F6C13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proprietary trade secret, or other confidential information unless the agency can demonstrate that it has instituted procedures to protect the information's confidentiality to the extent permitted by law.</w:t>
      </w:r>
    </w:p>
    <w:p w:rsidR="000B1125" w:rsidP="005F23BC" w:rsidRDefault="000B1125" w14:paraId="225FE401" w14:textId="77777777">
      <w:pPr>
        <w:rPr>
          <w:sz w:val="24"/>
        </w:rPr>
      </w:pPr>
    </w:p>
    <w:p w:rsidR="00D30A79" w:rsidP="005F23BC" w:rsidRDefault="00D30A79" w14:paraId="53BABFAC" w14:textId="77777777">
      <w:pPr>
        <w:rPr>
          <w:sz w:val="24"/>
        </w:rPr>
      </w:pPr>
      <w:r>
        <w:rPr>
          <w:sz w:val="24"/>
        </w:rPr>
        <w:t xml:space="preserve">8.  </w:t>
      </w:r>
      <w:r>
        <w:rPr>
          <w:sz w:val="24"/>
          <w:u w:val="single"/>
        </w:rPr>
        <w:t>Federal Register Notice/Outside Consultation</w:t>
      </w:r>
    </w:p>
    <w:p w:rsidR="00D30A79" w:rsidP="005F23BC" w:rsidRDefault="00D30A79" w14:paraId="3E580400" w14:textId="77777777">
      <w:pPr>
        <w:rPr>
          <w:sz w:val="24"/>
        </w:rPr>
      </w:pPr>
    </w:p>
    <w:p w:rsidRPr="00FA1684" w:rsidR="00D73BB9" w:rsidP="00D73BB9" w:rsidRDefault="00194C0B" w14:paraId="74167AE3" w14:textId="77777777">
      <w:pPr>
        <w:contextualSpacing/>
      </w:pPr>
      <w:r w:rsidRPr="00FA1684">
        <w:rPr>
          <w:sz w:val="24"/>
        </w:rPr>
        <w:t xml:space="preserve">The </w:t>
      </w:r>
      <w:r w:rsidRPr="00FA1684" w:rsidR="00E15C76">
        <w:rPr>
          <w:sz w:val="24"/>
        </w:rPr>
        <w:t xml:space="preserve">60-day </w:t>
      </w:r>
      <w:r w:rsidRPr="00FA1684" w:rsidR="004454E9">
        <w:rPr>
          <w:sz w:val="24"/>
        </w:rPr>
        <w:t xml:space="preserve">notice </w:t>
      </w:r>
      <w:r w:rsidRPr="00FA1684" w:rsidR="00E15C76">
        <w:rPr>
          <w:sz w:val="24"/>
        </w:rPr>
        <w:t xml:space="preserve">published </w:t>
      </w:r>
      <w:r w:rsidRPr="00FA1684" w:rsidR="004454E9">
        <w:rPr>
          <w:sz w:val="24"/>
        </w:rPr>
        <w:t xml:space="preserve">in the Federal Register </w:t>
      </w:r>
      <w:r w:rsidRPr="00FA1684" w:rsidR="00E15C76">
        <w:rPr>
          <w:sz w:val="24"/>
        </w:rPr>
        <w:t xml:space="preserve">on </w:t>
      </w:r>
      <w:r w:rsidRPr="00FA1684" w:rsidR="00472BC6">
        <w:rPr>
          <w:sz w:val="24"/>
        </w:rPr>
        <w:t>October 23, 2020</w:t>
      </w:r>
      <w:r w:rsidRPr="00FA1684" w:rsidR="00D45C6C">
        <w:rPr>
          <w:sz w:val="24"/>
        </w:rPr>
        <w:t xml:space="preserve"> (</w:t>
      </w:r>
      <w:r w:rsidRPr="00FA1684" w:rsidR="00881A72">
        <w:rPr>
          <w:sz w:val="24"/>
        </w:rPr>
        <w:t>85</w:t>
      </w:r>
      <w:r w:rsidRPr="00FA1684" w:rsidR="00D45C6C">
        <w:rPr>
          <w:sz w:val="24"/>
        </w:rPr>
        <w:t xml:space="preserve"> FR </w:t>
      </w:r>
      <w:r w:rsidRPr="00FA1684" w:rsidR="00F4633F">
        <w:rPr>
          <w:sz w:val="24"/>
        </w:rPr>
        <w:t>67546</w:t>
      </w:r>
      <w:r w:rsidRPr="00FA1684" w:rsidR="00D45C6C">
        <w:rPr>
          <w:sz w:val="24"/>
        </w:rPr>
        <w:t>).</w:t>
      </w:r>
      <w:r w:rsidRPr="00FA1684" w:rsidR="00FA0C5B">
        <w:rPr>
          <w:sz w:val="24"/>
        </w:rPr>
        <w:t xml:space="preserve"> </w:t>
      </w:r>
      <w:r w:rsidRPr="00FA1684" w:rsidR="00D73BB9">
        <w:t>We did not receive any comments.</w:t>
      </w:r>
    </w:p>
    <w:p w:rsidRPr="00FA1684" w:rsidR="00D30A79" w:rsidP="005F23BC" w:rsidRDefault="00D30A79" w14:paraId="3DCA290F" w14:textId="6BDB6DA9">
      <w:pPr>
        <w:rPr>
          <w:sz w:val="24"/>
        </w:rPr>
      </w:pPr>
    </w:p>
    <w:p w:rsidR="00867D6E" w:rsidP="005F23BC" w:rsidRDefault="00867D6E" w14:paraId="5C0AEB66" w14:textId="2574B9F7">
      <w:pPr>
        <w:rPr>
          <w:sz w:val="24"/>
        </w:rPr>
      </w:pPr>
      <w:r w:rsidRPr="00FA1684">
        <w:rPr>
          <w:sz w:val="24"/>
        </w:rPr>
        <w:t>The 30-day notice published in the Federal Register on February 8</w:t>
      </w:r>
      <w:r w:rsidRPr="00FA1684" w:rsidR="00E606AC">
        <w:rPr>
          <w:sz w:val="24"/>
        </w:rPr>
        <w:t>, 2021 (86 FR 8650</w:t>
      </w:r>
      <w:r w:rsidRPr="00FA1684">
        <w:rPr>
          <w:sz w:val="24"/>
        </w:rPr>
        <w:t xml:space="preserve">). Comments are due on/by March </w:t>
      </w:r>
      <w:r w:rsidRPr="00FA1684" w:rsidR="00E606AC">
        <w:rPr>
          <w:sz w:val="24"/>
        </w:rPr>
        <w:t>10</w:t>
      </w:r>
      <w:r w:rsidRPr="00FA1684">
        <w:rPr>
          <w:sz w:val="24"/>
        </w:rPr>
        <w:t>, 2021.</w:t>
      </w:r>
    </w:p>
    <w:p w:rsidR="00867D6E" w:rsidP="005F23BC" w:rsidRDefault="00867D6E" w14:paraId="3169276D" w14:textId="77777777">
      <w:pPr>
        <w:rPr>
          <w:sz w:val="24"/>
        </w:rPr>
      </w:pPr>
    </w:p>
    <w:p w:rsidR="00D30A79" w:rsidP="005F23BC" w:rsidRDefault="00D30A79" w14:paraId="184A5701" w14:textId="77777777">
      <w:pPr>
        <w:tabs>
          <w:tab w:val="left" w:pos="-1440"/>
        </w:tabs>
        <w:rPr>
          <w:sz w:val="24"/>
        </w:rPr>
      </w:pPr>
      <w:r>
        <w:rPr>
          <w:sz w:val="24"/>
        </w:rPr>
        <w:t xml:space="preserve">9.  </w:t>
      </w:r>
      <w:r>
        <w:rPr>
          <w:sz w:val="24"/>
          <w:u w:val="single"/>
        </w:rPr>
        <w:t>Payment/Gift to Respondent</w:t>
      </w:r>
    </w:p>
    <w:p w:rsidR="00D30A79" w:rsidP="005F23BC" w:rsidRDefault="00D30A79" w14:paraId="76F88CBD" w14:textId="77777777">
      <w:pPr>
        <w:rPr>
          <w:sz w:val="24"/>
        </w:rPr>
      </w:pPr>
    </w:p>
    <w:p w:rsidR="00D30A79" w:rsidP="005F23BC" w:rsidRDefault="00D30A79" w14:paraId="383C2486" w14:textId="77777777">
      <w:pPr>
        <w:rPr>
          <w:sz w:val="24"/>
        </w:rPr>
      </w:pPr>
      <w:r>
        <w:rPr>
          <w:sz w:val="24"/>
        </w:rPr>
        <w:t>There is no provision for payment or gift to States for their responses.</w:t>
      </w:r>
    </w:p>
    <w:p w:rsidR="00D30A79" w:rsidP="005F23BC" w:rsidRDefault="00D30A79" w14:paraId="7651F7E0" w14:textId="77777777">
      <w:pPr>
        <w:rPr>
          <w:sz w:val="24"/>
        </w:rPr>
      </w:pPr>
    </w:p>
    <w:p w:rsidR="00D30A79" w:rsidP="005F23BC" w:rsidRDefault="00D30A79" w14:paraId="419F4C5A" w14:textId="77777777">
      <w:pPr>
        <w:rPr>
          <w:sz w:val="24"/>
        </w:rPr>
      </w:pPr>
      <w:r>
        <w:rPr>
          <w:sz w:val="24"/>
        </w:rPr>
        <w:t xml:space="preserve">10.  </w:t>
      </w:r>
      <w:r>
        <w:rPr>
          <w:sz w:val="24"/>
          <w:u w:val="single"/>
        </w:rPr>
        <w:t>Confidentiality</w:t>
      </w:r>
    </w:p>
    <w:p w:rsidR="00D30A79" w:rsidP="005F23BC" w:rsidRDefault="00D30A79" w14:paraId="1740FBD4" w14:textId="77777777">
      <w:pPr>
        <w:rPr>
          <w:sz w:val="24"/>
        </w:rPr>
      </w:pPr>
    </w:p>
    <w:p w:rsidR="002303EB" w:rsidP="005F23BC" w:rsidRDefault="00D30A79" w14:paraId="4B2FB2FC" w14:textId="31931D9E">
      <w:pPr>
        <w:rPr>
          <w:sz w:val="24"/>
        </w:rPr>
      </w:pPr>
      <w:r>
        <w:rPr>
          <w:sz w:val="24"/>
        </w:rPr>
        <w:t>None of the information submitted by a State will be of a proprietary nature.  If any information of a truly proprietary nature were submitted, it would be treated confidentially, if it were so identified by the State.</w:t>
      </w:r>
      <w:r w:rsidR="002303EB">
        <w:rPr>
          <w:sz w:val="24"/>
        </w:rPr>
        <w:t xml:space="preserve"> </w:t>
      </w:r>
      <w:r w:rsidRPr="002303EB" w:rsidR="002303EB">
        <w:rPr>
          <w:sz w:val="24"/>
        </w:rPr>
        <w:t>Under the Privacy Act of 1974</w:t>
      </w:r>
      <w:r w:rsidR="003A7E47">
        <w:rPr>
          <w:sz w:val="24"/>
        </w:rPr>
        <w:t>,</w:t>
      </w:r>
      <w:r w:rsidRPr="002303EB" w:rsidR="002303EB">
        <w:rPr>
          <w:sz w:val="24"/>
        </w:rPr>
        <w:t xml:space="preserve"> any personally identifying information obtained will be kept private to the extent of the law.</w:t>
      </w:r>
    </w:p>
    <w:p w:rsidR="00D30A79" w:rsidP="005F23BC" w:rsidRDefault="00D30A79" w14:paraId="163469E3" w14:textId="77777777">
      <w:pPr>
        <w:rPr>
          <w:sz w:val="24"/>
        </w:rPr>
      </w:pPr>
    </w:p>
    <w:p w:rsidR="00D30A79" w:rsidP="005F23BC" w:rsidRDefault="00D30A79" w14:paraId="73CED96B" w14:textId="77777777">
      <w:pPr>
        <w:rPr>
          <w:sz w:val="24"/>
        </w:rPr>
      </w:pPr>
      <w:r>
        <w:rPr>
          <w:sz w:val="24"/>
        </w:rPr>
        <w:t xml:space="preserve">11.  </w:t>
      </w:r>
      <w:r>
        <w:rPr>
          <w:sz w:val="24"/>
          <w:u w:val="single"/>
        </w:rPr>
        <w:t>Sensitive Questions</w:t>
      </w:r>
    </w:p>
    <w:p w:rsidR="00D30A79" w:rsidP="005F23BC" w:rsidRDefault="00D30A79" w14:paraId="6177C14D" w14:textId="77777777">
      <w:pPr>
        <w:rPr>
          <w:sz w:val="24"/>
        </w:rPr>
      </w:pPr>
    </w:p>
    <w:p w:rsidRPr="00F24ED4" w:rsidR="002F4CD5" w:rsidP="002F4CD5" w:rsidRDefault="002F4CD5" w14:paraId="4A3F82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AC5967" w:rsidP="005F23BC" w:rsidRDefault="00AC5967" w14:paraId="0176FAA7" w14:textId="77777777">
      <w:pPr>
        <w:rPr>
          <w:sz w:val="24"/>
        </w:rPr>
      </w:pPr>
    </w:p>
    <w:p w:rsidR="00D30A79" w:rsidP="005F23BC" w:rsidRDefault="00D30A79" w14:paraId="4C7A8600" w14:textId="455C02AF">
      <w:pPr>
        <w:rPr>
          <w:sz w:val="24"/>
        </w:rPr>
      </w:pPr>
      <w:r>
        <w:rPr>
          <w:sz w:val="24"/>
        </w:rPr>
        <w:t xml:space="preserve">12.  </w:t>
      </w:r>
      <w:r w:rsidR="00612161">
        <w:rPr>
          <w:sz w:val="24"/>
        </w:rPr>
        <w:t xml:space="preserve">Requirements and Associated </w:t>
      </w:r>
      <w:r>
        <w:rPr>
          <w:sz w:val="24"/>
          <w:u w:val="single"/>
        </w:rPr>
        <w:t>Burden Estimate</w:t>
      </w:r>
      <w:r w:rsidR="00612161">
        <w:rPr>
          <w:sz w:val="24"/>
          <w:u w:val="single"/>
        </w:rPr>
        <w:t>s</w:t>
      </w:r>
    </w:p>
    <w:p w:rsidR="00D30A79" w:rsidP="005F23BC" w:rsidRDefault="00D30A79" w14:paraId="137383B9" w14:textId="77777777">
      <w:pPr>
        <w:rPr>
          <w:sz w:val="24"/>
        </w:rPr>
      </w:pPr>
    </w:p>
    <w:p w:rsidRPr="00822624" w:rsidR="007176B1" w:rsidP="007176B1" w:rsidRDefault="007176B1" w14:paraId="5191075A" w14:textId="44F50E9B">
      <w:pPr>
        <w:pStyle w:val="Body2"/>
        <w:rPr>
          <w:rFonts w:ascii="Times New Roman" w:hAnsi="Times New Roman" w:cs="Times New Roman"/>
          <w:i/>
        </w:rPr>
      </w:pPr>
      <w:r w:rsidRPr="00822624">
        <w:rPr>
          <w:rFonts w:ascii="Times New Roman" w:hAnsi="Times New Roman" w:cs="Times New Roman"/>
          <w:i/>
        </w:rPr>
        <w:t>Wage</w:t>
      </w:r>
      <w:r w:rsidR="00FE5487">
        <w:rPr>
          <w:rFonts w:ascii="Times New Roman" w:hAnsi="Times New Roman" w:cs="Times New Roman"/>
          <w:i/>
        </w:rPr>
        <w:t xml:space="preserve"> Estimates</w:t>
      </w:r>
    </w:p>
    <w:p w:rsidRPr="00F24ED4" w:rsidR="007176B1" w:rsidP="007176B1" w:rsidRDefault="007176B1" w14:paraId="43D3FBE9" w14:textId="77777777">
      <w:pPr>
        <w:pStyle w:val="Body2"/>
        <w:rPr>
          <w:rFonts w:ascii="Times New Roman" w:hAnsi="Times New Roman" w:cs="Times New Roman"/>
          <w:i/>
        </w:rPr>
      </w:pPr>
    </w:p>
    <w:p w:rsidRPr="00F24ED4" w:rsidR="007176B1" w:rsidP="007176B1" w:rsidRDefault="007176B1" w14:paraId="3673E8EB" w14:textId="6FA1522E">
      <w:pPr>
        <w:rPr>
          <w:sz w:val="24"/>
        </w:rPr>
      </w:pPr>
      <w:r w:rsidRPr="0075685E">
        <w:rPr>
          <w:sz w:val="24"/>
        </w:rPr>
        <w:t xml:space="preserve">To derive average costs, we used data from the U.S. Bureau of Labor Statistics’ May </w:t>
      </w:r>
      <w:r w:rsidR="00FE5487">
        <w:rPr>
          <w:sz w:val="24"/>
        </w:rPr>
        <w:t>2019</w:t>
      </w:r>
      <w:r w:rsidRPr="0075685E" w:rsidR="0075685E">
        <w:rPr>
          <w:sz w:val="24"/>
        </w:rPr>
        <w:t xml:space="preserve"> </w:t>
      </w:r>
      <w:r w:rsidRPr="0075685E">
        <w:rPr>
          <w:sz w:val="24"/>
        </w:rPr>
        <w:t>National Occupational Employment and Wage Estimates for all salary estimates (</w:t>
      </w:r>
      <w:hyperlink w:tooltip="http://www.bls.gov/oes/current/oes_nat.htm" w:history="1" r:id="rId8">
        <w:r w:rsidRPr="0075685E">
          <w:rPr>
            <w:rStyle w:val="Hyperlink"/>
            <w:sz w:val="24"/>
          </w:rPr>
          <w:t>http://www.bls.gov/oes/current/oes_nat.htm</w:t>
        </w:r>
      </w:hyperlink>
      <w:r w:rsidRPr="0075685E">
        <w:rPr>
          <w:sz w:val="24"/>
        </w:rPr>
        <w:t xml:space="preserve">). In this regard, the following table presents the mean hourly wage, the cost of fringe benefits </w:t>
      </w:r>
      <w:r w:rsidR="0075685E">
        <w:rPr>
          <w:sz w:val="24"/>
        </w:rPr>
        <w:t xml:space="preserve">and overhead </w:t>
      </w:r>
      <w:r w:rsidRPr="0075685E">
        <w:rPr>
          <w:sz w:val="24"/>
        </w:rPr>
        <w:t>(calculated at 100 percent of salary), and the adjusted hourly wage.</w:t>
      </w:r>
    </w:p>
    <w:p w:rsidR="007176B1" w:rsidP="007176B1" w:rsidRDefault="007176B1" w14:paraId="17BB5FF5" w14:textId="77777777">
      <w:pPr>
        <w:ind w:firstLine="720"/>
        <w:rPr>
          <w:sz w:val="24"/>
        </w:rPr>
      </w:pPr>
    </w:p>
    <w:tbl>
      <w:tblPr>
        <w:tblStyle w:val="TableGrid"/>
        <w:tblW w:w="0" w:type="auto"/>
        <w:tblLook w:val="04A0" w:firstRow="1" w:lastRow="0" w:firstColumn="1" w:lastColumn="0" w:noHBand="0" w:noVBand="1"/>
        <w:tblCaption w:val="Wage Table"/>
        <w:tblDescription w:val="Wage Table"/>
      </w:tblPr>
      <w:tblGrid>
        <w:gridCol w:w="1818"/>
        <w:gridCol w:w="1800"/>
        <w:gridCol w:w="1710"/>
        <w:gridCol w:w="1800"/>
        <w:gridCol w:w="1710"/>
      </w:tblGrid>
      <w:tr w:rsidRPr="00FE5487" w:rsidR="001664A0" w:rsidTr="001664A0" w14:paraId="5BF42C6B" w14:textId="77777777">
        <w:trPr>
          <w:tblHeader/>
        </w:trPr>
        <w:tc>
          <w:tcPr>
            <w:tcW w:w="1818" w:type="dxa"/>
          </w:tcPr>
          <w:p w:rsidRPr="00FE5487" w:rsidR="001664A0" w:rsidP="007176B1" w:rsidRDefault="001664A0" w14:paraId="0A5CF2A7" w14:textId="77777777">
            <w:pPr>
              <w:rPr>
                <w:szCs w:val="20"/>
              </w:rPr>
            </w:pPr>
            <w:r w:rsidRPr="00FE5487">
              <w:rPr>
                <w:szCs w:val="20"/>
              </w:rPr>
              <w:t>Occupation Title</w:t>
            </w:r>
          </w:p>
        </w:tc>
        <w:tc>
          <w:tcPr>
            <w:tcW w:w="1800" w:type="dxa"/>
          </w:tcPr>
          <w:p w:rsidRPr="00FE5487" w:rsidR="001664A0" w:rsidP="007176B1" w:rsidRDefault="001664A0" w14:paraId="2AD5B06F" w14:textId="77777777">
            <w:pPr>
              <w:rPr>
                <w:szCs w:val="20"/>
              </w:rPr>
            </w:pPr>
            <w:r w:rsidRPr="00FE5487">
              <w:rPr>
                <w:szCs w:val="20"/>
              </w:rPr>
              <w:t>Occupation Code</w:t>
            </w:r>
          </w:p>
        </w:tc>
        <w:tc>
          <w:tcPr>
            <w:tcW w:w="1710" w:type="dxa"/>
          </w:tcPr>
          <w:p w:rsidRPr="00FE5487" w:rsidR="001664A0" w:rsidP="007176B1" w:rsidRDefault="001664A0" w14:paraId="62DE5BE7" w14:textId="77777777">
            <w:pPr>
              <w:rPr>
                <w:szCs w:val="20"/>
              </w:rPr>
            </w:pPr>
            <w:r w:rsidRPr="00FE5487">
              <w:rPr>
                <w:szCs w:val="20"/>
              </w:rPr>
              <w:t>Mean Hourly Wage ($/hr)</w:t>
            </w:r>
          </w:p>
        </w:tc>
        <w:tc>
          <w:tcPr>
            <w:tcW w:w="1800" w:type="dxa"/>
          </w:tcPr>
          <w:p w:rsidRPr="00FE5487" w:rsidR="001664A0" w:rsidP="0075685E" w:rsidRDefault="001664A0" w14:paraId="077894FF" w14:textId="65EA138E">
            <w:pPr>
              <w:rPr>
                <w:szCs w:val="20"/>
              </w:rPr>
            </w:pPr>
            <w:r w:rsidRPr="00FE5487">
              <w:rPr>
                <w:szCs w:val="20"/>
              </w:rPr>
              <w:t>Fringe Benefit</w:t>
            </w:r>
            <w:r w:rsidRPr="00FE5487" w:rsidR="0075685E">
              <w:rPr>
                <w:szCs w:val="20"/>
              </w:rPr>
              <w:t>s and Overhead</w:t>
            </w:r>
            <w:r w:rsidRPr="00FE5487">
              <w:rPr>
                <w:szCs w:val="20"/>
              </w:rPr>
              <w:t xml:space="preserve"> ($/hr)</w:t>
            </w:r>
          </w:p>
        </w:tc>
        <w:tc>
          <w:tcPr>
            <w:tcW w:w="1710" w:type="dxa"/>
          </w:tcPr>
          <w:p w:rsidRPr="00FE5487" w:rsidR="001664A0" w:rsidP="007176B1" w:rsidRDefault="001664A0" w14:paraId="37F8B994" w14:textId="77777777">
            <w:pPr>
              <w:rPr>
                <w:szCs w:val="20"/>
              </w:rPr>
            </w:pPr>
            <w:r w:rsidRPr="00FE5487">
              <w:rPr>
                <w:szCs w:val="20"/>
              </w:rPr>
              <w:t>Adjusted Hourly Wage ($/hr)</w:t>
            </w:r>
          </w:p>
        </w:tc>
      </w:tr>
      <w:tr w:rsidRPr="00FE5487" w:rsidR="001664A0" w:rsidTr="001664A0" w14:paraId="3EEFC205" w14:textId="77777777">
        <w:tc>
          <w:tcPr>
            <w:tcW w:w="1818" w:type="dxa"/>
          </w:tcPr>
          <w:p w:rsidRPr="00FE5487" w:rsidR="001664A0" w:rsidP="007176B1" w:rsidRDefault="001664A0" w14:paraId="4158F3EA" w14:textId="77777777">
            <w:pPr>
              <w:rPr>
                <w:szCs w:val="20"/>
              </w:rPr>
            </w:pPr>
            <w:r w:rsidRPr="00FE5487">
              <w:rPr>
                <w:szCs w:val="20"/>
              </w:rPr>
              <w:t>Healthcare Support Worker</w:t>
            </w:r>
          </w:p>
        </w:tc>
        <w:tc>
          <w:tcPr>
            <w:tcW w:w="1800" w:type="dxa"/>
          </w:tcPr>
          <w:p w:rsidRPr="00FE5487" w:rsidR="001664A0" w:rsidP="007176B1" w:rsidRDefault="001664A0" w14:paraId="0C923931" w14:textId="77777777">
            <w:pPr>
              <w:rPr>
                <w:szCs w:val="20"/>
              </w:rPr>
            </w:pPr>
            <w:r w:rsidRPr="00FE5487">
              <w:rPr>
                <w:szCs w:val="20"/>
              </w:rPr>
              <w:t>31-9099</w:t>
            </w:r>
          </w:p>
        </w:tc>
        <w:tc>
          <w:tcPr>
            <w:tcW w:w="1710" w:type="dxa"/>
          </w:tcPr>
          <w:p w:rsidRPr="00FE5487" w:rsidR="001664A0" w:rsidP="0075685E" w:rsidRDefault="00EA6FEF" w14:paraId="60A8D6D4" w14:textId="41107E27">
            <w:pPr>
              <w:rPr>
                <w:szCs w:val="20"/>
              </w:rPr>
            </w:pPr>
            <w:r>
              <w:rPr>
                <w:szCs w:val="20"/>
              </w:rPr>
              <w:t>19.24</w:t>
            </w:r>
          </w:p>
        </w:tc>
        <w:tc>
          <w:tcPr>
            <w:tcW w:w="1800" w:type="dxa"/>
          </w:tcPr>
          <w:p w:rsidRPr="00FE5487" w:rsidR="001664A0" w:rsidP="00EA6FEF" w:rsidRDefault="00EA6FEF" w14:paraId="48466E8A" w14:textId="4489B581">
            <w:pPr>
              <w:rPr>
                <w:szCs w:val="20"/>
              </w:rPr>
            </w:pPr>
            <w:r>
              <w:rPr>
                <w:szCs w:val="20"/>
              </w:rPr>
              <w:t>19.24</w:t>
            </w:r>
          </w:p>
        </w:tc>
        <w:tc>
          <w:tcPr>
            <w:tcW w:w="1710" w:type="dxa"/>
          </w:tcPr>
          <w:p w:rsidRPr="00FE5487" w:rsidR="001664A0" w:rsidP="00EA6FEF" w:rsidRDefault="00EA6FEF" w14:paraId="510B70B5" w14:textId="100DFE37">
            <w:pPr>
              <w:rPr>
                <w:szCs w:val="20"/>
              </w:rPr>
            </w:pPr>
            <w:r>
              <w:rPr>
                <w:szCs w:val="20"/>
              </w:rPr>
              <w:t>38.84</w:t>
            </w:r>
          </w:p>
        </w:tc>
      </w:tr>
    </w:tbl>
    <w:p w:rsidRPr="00F24ED4" w:rsidR="007176B1" w:rsidP="007176B1" w:rsidRDefault="007176B1" w14:paraId="0EF313B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F24ED4" w:rsidR="007176B1" w:rsidP="007176B1" w:rsidRDefault="007176B1" w14:paraId="1E48C593" w14:textId="7751F6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F24ED4" w:rsidR="007176B1" w:rsidP="007176B1" w:rsidRDefault="007176B1" w14:paraId="68D06D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22624" w:rsidR="007176B1" w:rsidP="007176B1" w:rsidRDefault="00612161" w14:paraId="1F0C2E16" w14:textId="4D86EF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Collection of Information Requirements and Associated </w:t>
      </w:r>
      <w:r w:rsidRPr="00822624" w:rsidR="007176B1">
        <w:rPr>
          <w:i/>
          <w:sz w:val="24"/>
        </w:rPr>
        <w:t>Burden Estimates</w:t>
      </w:r>
    </w:p>
    <w:p w:rsidR="00F51B77" w:rsidP="005F23BC" w:rsidRDefault="00F51B77" w14:paraId="3150CA39" w14:textId="77777777">
      <w:pPr>
        <w:rPr>
          <w:sz w:val="24"/>
        </w:rPr>
      </w:pPr>
    </w:p>
    <w:p w:rsidRPr="00E80BDB" w:rsidR="006C4089" w:rsidP="005F23BC" w:rsidRDefault="00735E94" w14:paraId="036ACA72" w14:textId="1934910A">
      <w:pPr>
        <w:rPr>
          <w:sz w:val="24"/>
          <w:u w:val="single"/>
        </w:rPr>
      </w:pPr>
      <w:r w:rsidRPr="00646633">
        <w:rPr>
          <w:sz w:val="24"/>
          <w:u w:val="single"/>
        </w:rPr>
        <w:t>Waiver Documentation</w:t>
      </w:r>
      <w:r w:rsidRPr="00646633" w:rsidR="00744ED4">
        <w:rPr>
          <w:sz w:val="24"/>
          <w:u w:val="single"/>
        </w:rPr>
        <w:t xml:space="preserve"> (</w:t>
      </w:r>
      <w:r w:rsidR="004C698D">
        <w:rPr>
          <w:sz w:val="24"/>
          <w:u w:val="single"/>
        </w:rPr>
        <w:t xml:space="preserve">§ </w:t>
      </w:r>
      <w:r w:rsidRPr="00646633" w:rsidR="00B55A5B">
        <w:rPr>
          <w:sz w:val="24"/>
          <w:u w:val="single"/>
        </w:rPr>
        <w:t>433.68</w:t>
      </w:r>
      <w:r w:rsidRPr="00646633" w:rsidR="003143B6">
        <w:rPr>
          <w:sz w:val="24"/>
          <w:u w:val="single"/>
        </w:rPr>
        <w:t>)</w:t>
      </w:r>
    </w:p>
    <w:p w:rsidR="006C4089" w:rsidP="005F23BC" w:rsidRDefault="006C4089" w14:paraId="32E533CF" w14:textId="7588A500">
      <w:pPr>
        <w:rPr>
          <w:sz w:val="24"/>
        </w:rPr>
      </w:pPr>
    </w:p>
    <w:p w:rsidR="0027585E" w:rsidP="005F23BC" w:rsidRDefault="003A3726" w14:paraId="5FF0958D" w14:textId="39A8A59B">
      <w:pPr>
        <w:rPr>
          <w:sz w:val="24"/>
        </w:rPr>
      </w:pPr>
      <w:r w:rsidRPr="003A3726">
        <w:rPr>
          <w:sz w:val="24"/>
        </w:rPr>
        <w:t xml:space="preserve">Section 433.68 </w:t>
      </w:r>
      <w:r>
        <w:rPr>
          <w:sz w:val="24"/>
        </w:rPr>
        <w:t xml:space="preserve">specifies that </w:t>
      </w:r>
      <w:r w:rsidRPr="003A3726">
        <w:rPr>
          <w:sz w:val="24"/>
        </w:rPr>
        <w:t>States may request a waiver of either or both the broad based and uniformity tax program requirements.</w:t>
      </w:r>
      <w:r>
        <w:rPr>
          <w:sz w:val="24"/>
        </w:rPr>
        <w:t xml:space="preserve"> </w:t>
      </w:r>
      <w:r w:rsidRPr="0027585E">
        <w:rPr>
          <w:sz w:val="24"/>
        </w:rPr>
        <w:t>A State may elect to submit a waiver to CMS for either or both the broad based and uniformity requirements for any health care related tax program which does not conform to the broad based and uniformity requirements.</w:t>
      </w:r>
      <w:r>
        <w:rPr>
          <w:sz w:val="24"/>
        </w:rPr>
        <w:t xml:space="preserve"> </w:t>
      </w:r>
      <w:r w:rsidRPr="0027585E" w:rsidR="0027585E">
        <w:rPr>
          <w:sz w:val="24"/>
        </w:rPr>
        <w:t xml:space="preserve">Specific quantitative standards must be met for the waiver(s) to be approved.  </w:t>
      </w:r>
    </w:p>
    <w:p w:rsidR="0027585E" w:rsidP="005F23BC" w:rsidRDefault="0027585E" w14:paraId="72D2E6FB" w14:textId="79C2E267">
      <w:pPr>
        <w:rPr>
          <w:sz w:val="24"/>
        </w:rPr>
      </w:pPr>
    </w:p>
    <w:p w:rsidR="008E0809" w:rsidP="005F23BC" w:rsidRDefault="008E0809" w14:paraId="44749396" w14:textId="1AADE5AB">
      <w:pPr>
        <w:rPr>
          <w:sz w:val="24"/>
        </w:rPr>
      </w:pPr>
      <w:r w:rsidRPr="0027585E">
        <w:rPr>
          <w:sz w:val="24"/>
        </w:rPr>
        <w:t>It is also the responsibility of each State to be able to demonstrate that its tax program(s) do not violate the hold harmless provision</w:t>
      </w:r>
      <w:r>
        <w:rPr>
          <w:sz w:val="24"/>
        </w:rPr>
        <w:t xml:space="preserve"> (see below)</w:t>
      </w:r>
      <w:r w:rsidRPr="0027585E">
        <w:rPr>
          <w:sz w:val="24"/>
        </w:rPr>
        <w:t>.  For a waiver to be approved and a determination that the hold harmless provision is not violated, States must submit written documentation to CMS which satisfies the regulatory requirements.  Without this information, the amount of FFP payable to a State can</w:t>
      </w:r>
      <w:r w:rsidR="003C330F">
        <w:rPr>
          <w:sz w:val="24"/>
        </w:rPr>
        <w:t>not be correctly determined.</w:t>
      </w:r>
    </w:p>
    <w:p w:rsidR="008E0809" w:rsidP="005F23BC" w:rsidRDefault="008E0809" w14:paraId="25C04675" w14:textId="77777777">
      <w:pPr>
        <w:rPr>
          <w:sz w:val="24"/>
        </w:rPr>
      </w:pPr>
    </w:p>
    <w:p w:rsidR="0027585E" w:rsidP="005F23BC" w:rsidRDefault="0027585E" w14:paraId="0960F7DD" w14:textId="4546EE5D">
      <w:pPr>
        <w:rPr>
          <w:sz w:val="24"/>
        </w:rPr>
      </w:pPr>
      <w:r w:rsidRPr="0027585E">
        <w:rPr>
          <w:i/>
          <w:sz w:val="24"/>
        </w:rPr>
        <w:t>Broad Based Requirements Waiver:</w:t>
      </w:r>
      <w:r w:rsidRPr="0027585E">
        <w:rPr>
          <w:sz w:val="24"/>
        </w:rPr>
        <w:t xml:space="preserve"> </w:t>
      </w:r>
      <w:r w:rsidR="00C561A4">
        <w:rPr>
          <w:sz w:val="24"/>
        </w:rPr>
        <w:t>T</w:t>
      </w:r>
      <w:r w:rsidRPr="0027585E">
        <w:rPr>
          <w:sz w:val="24"/>
        </w:rPr>
        <w:t xml:space="preserve">he State must calculate the proportion of the tax revenue applicable to Medicaid if the tax were broad based and applied to all providers within the class (called P1), then calculate the proportion of the tax revenue applicable to Medicaid under the tax program that is seeking the waiver (called P2). If the State demonstrates that the value of the P1/P2 ratio is at least </w:t>
      </w:r>
      <w:r>
        <w:rPr>
          <w:sz w:val="24"/>
        </w:rPr>
        <w:t>1.0</w:t>
      </w:r>
      <w:r w:rsidR="00C561A4">
        <w:rPr>
          <w:sz w:val="24"/>
        </w:rPr>
        <w:t>,</w:t>
      </w:r>
      <w:r>
        <w:rPr>
          <w:sz w:val="24"/>
        </w:rPr>
        <w:t xml:space="preserve"> </w:t>
      </w:r>
      <w:r w:rsidRPr="0027585E">
        <w:rPr>
          <w:sz w:val="24"/>
        </w:rPr>
        <w:t xml:space="preserve">CMS will approve the tax.  </w:t>
      </w:r>
    </w:p>
    <w:p w:rsidR="0027585E" w:rsidP="005F23BC" w:rsidRDefault="0027585E" w14:paraId="668D7C9C" w14:textId="77777777">
      <w:pPr>
        <w:rPr>
          <w:sz w:val="24"/>
        </w:rPr>
      </w:pPr>
    </w:p>
    <w:p w:rsidR="0027585E" w:rsidP="005F23BC" w:rsidRDefault="0027585E" w14:paraId="7881D33F" w14:textId="1901325B">
      <w:pPr>
        <w:rPr>
          <w:sz w:val="24"/>
        </w:rPr>
      </w:pPr>
      <w:r w:rsidRPr="0027585E">
        <w:rPr>
          <w:i/>
          <w:sz w:val="24"/>
        </w:rPr>
        <w:t>Uniformity Requirements Waiver:</w:t>
      </w:r>
      <w:r w:rsidRPr="0027585E">
        <w:rPr>
          <w:sz w:val="24"/>
        </w:rPr>
        <w:t xml:space="preserve"> </w:t>
      </w:r>
      <w:r w:rsidR="00C561A4">
        <w:rPr>
          <w:sz w:val="24"/>
        </w:rPr>
        <w:t>T</w:t>
      </w:r>
      <w:r w:rsidRPr="0027585E">
        <w:rPr>
          <w:sz w:val="24"/>
        </w:rPr>
        <w:t>he State must demonstrate that its plan is generally redistributive by calculating the slope of two linear regressions resulting in a value of at least 1</w:t>
      </w:r>
      <w:r>
        <w:rPr>
          <w:sz w:val="24"/>
        </w:rPr>
        <w:t>.0</w:t>
      </w:r>
      <w:r w:rsidRPr="0027585E">
        <w:rPr>
          <w:sz w:val="24"/>
        </w:rPr>
        <w:t xml:space="preserve">.  </w:t>
      </w:r>
    </w:p>
    <w:p w:rsidR="0027585E" w:rsidP="005F23BC" w:rsidRDefault="0027585E" w14:paraId="09CE564A" w14:textId="77777777">
      <w:pPr>
        <w:rPr>
          <w:sz w:val="24"/>
        </w:rPr>
      </w:pPr>
    </w:p>
    <w:p w:rsidR="00302FC5" w:rsidP="005F23BC" w:rsidRDefault="002C2219" w14:paraId="7D590C16" w14:textId="2AC9C3BF">
      <w:pPr>
        <w:rPr>
          <w:sz w:val="24"/>
        </w:rPr>
      </w:pPr>
      <w:r>
        <w:rPr>
          <w:sz w:val="24"/>
        </w:rPr>
        <w:t>Although there is no requirement for the intervals related to when states must s</w:t>
      </w:r>
      <w:r w:rsidR="008E55F9">
        <w:rPr>
          <w:sz w:val="24"/>
        </w:rPr>
        <w:t>ubmit waiver requests to CMS, b</w:t>
      </w:r>
      <w:r w:rsidR="00EE27C3">
        <w:rPr>
          <w:sz w:val="24"/>
        </w:rPr>
        <w:t>ased on previous responses w</w:t>
      </w:r>
      <w:r w:rsidR="00D30A79">
        <w:rPr>
          <w:sz w:val="24"/>
        </w:rPr>
        <w:t xml:space="preserve">e </w:t>
      </w:r>
      <w:r w:rsidR="00EE27C3">
        <w:rPr>
          <w:sz w:val="24"/>
        </w:rPr>
        <w:t xml:space="preserve">continue to </w:t>
      </w:r>
      <w:r w:rsidR="00D30A79">
        <w:rPr>
          <w:sz w:val="24"/>
        </w:rPr>
        <w:t>estimate that CMS will receive approximately 8 waiver requests per quarter (32 annually)</w:t>
      </w:r>
      <w:r w:rsidR="008E55F9">
        <w:rPr>
          <w:sz w:val="24"/>
        </w:rPr>
        <w:t>. We estimate that this will require approximately 80 hours (per response) as performed by a healthcare support w</w:t>
      </w:r>
      <w:r w:rsidRPr="00EE27C3" w:rsidR="008E55F9">
        <w:rPr>
          <w:sz w:val="24"/>
        </w:rPr>
        <w:t>orker</w:t>
      </w:r>
      <w:r w:rsidR="008E55F9">
        <w:rPr>
          <w:sz w:val="24"/>
        </w:rPr>
        <w:t>. We note that once states have an approved tax structure in place under an approved waiver, states are only required to submit an updated waiver requests when making changes to the approved tax structure.</w:t>
      </w:r>
      <w:r w:rsidR="00D30A79">
        <w:rPr>
          <w:sz w:val="24"/>
        </w:rPr>
        <w:t xml:space="preserve">  </w:t>
      </w:r>
    </w:p>
    <w:p w:rsidR="00302FC5" w:rsidP="005F23BC" w:rsidRDefault="00302FC5" w14:paraId="4D69681B" w14:textId="77777777">
      <w:pPr>
        <w:rPr>
          <w:sz w:val="24"/>
        </w:rPr>
      </w:pPr>
    </w:p>
    <w:p w:rsidR="00D30A79" w:rsidP="005F23BC" w:rsidRDefault="002D4FA9" w14:paraId="1E014F1D" w14:textId="0EE674EB">
      <w:pPr>
        <w:rPr>
          <w:sz w:val="24"/>
        </w:rPr>
      </w:pPr>
      <w:r>
        <w:rPr>
          <w:sz w:val="24"/>
        </w:rPr>
        <w:t xml:space="preserve">Our </w:t>
      </w:r>
      <w:r w:rsidR="00EE27C3">
        <w:rPr>
          <w:sz w:val="24"/>
        </w:rPr>
        <w:t xml:space="preserve">annual </w:t>
      </w:r>
      <w:r>
        <w:rPr>
          <w:sz w:val="24"/>
        </w:rPr>
        <w:t xml:space="preserve">burden </w:t>
      </w:r>
      <w:r w:rsidR="00D30A79">
        <w:rPr>
          <w:sz w:val="24"/>
        </w:rPr>
        <w:t>estimate</w:t>
      </w:r>
      <w:r w:rsidR="00302FC5">
        <w:rPr>
          <w:sz w:val="24"/>
        </w:rPr>
        <w:t>s follow</w:t>
      </w:r>
      <w:r w:rsidR="00D30A79">
        <w:rPr>
          <w:sz w:val="24"/>
        </w:rPr>
        <w:t>:</w:t>
      </w:r>
    </w:p>
    <w:p w:rsidR="00D30A79" w:rsidP="005F23BC" w:rsidRDefault="00D30A79" w14:paraId="3344C6E1" w14:textId="77777777">
      <w:pPr>
        <w:rPr>
          <w:sz w:val="24"/>
        </w:rPr>
      </w:pPr>
    </w:p>
    <w:p w:rsidR="006C4089" w:rsidP="005F23BC" w:rsidRDefault="006C4089" w14:paraId="708E7A2E" w14:textId="462AADBC">
      <w:pPr>
        <w:rPr>
          <w:sz w:val="24"/>
        </w:rPr>
      </w:pPr>
      <w:r>
        <w:rPr>
          <w:sz w:val="24"/>
        </w:rPr>
        <w:t xml:space="preserve">Time: </w:t>
      </w:r>
      <w:r w:rsidR="00CC29E9">
        <w:rPr>
          <w:sz w:val="24"/>
        </w:rPr>
        <w:t xml:space="preserve"> </w:t>
      </w:r>
      <w:r w:rsidR="002D4FA9">
        <w:rPr>
          <w:sz w:val="24"/>
        </w:rPr>
        <w:t xml:space="preserve">2,560 hours = </w:t>
      </w:r>
      <w:r>
        <w:rPr>
          <w:sz w:val="24"/>
        </w:rPr>
        <w:t>80 hours x 8 waivers x 4 quarters</w:t>
      </w:r>
    </w:p>
    <w:p w:rsidR="00D30A79" w:rsidP="005F23BC" w:rsidRDefault="006C4089" w14:paraId="24F22BC0" w14:textId="44FB4299">
      <w:pPr>
        <w:rPr>
          <w:sz w:val="24"/>
        </w:rPr>
      </w:pPr>
      <w:r>
        <w:rPr>
          <w:sz w:val="24"/>
        </w:rPr>
        <w:t xml:space="preserve">Cost: </w:t>
      </w:r>
      <w:r w:rsidR="00CC29E9">
        <w:rPr>
          <w:sz w:val="24"/>
        </w:rPr>
        <w:t xml:space="preserve">  </w:t>
      </w:r>
      <w:r w:rsidR="002D4FA9">
        <w:rPr>
          <w:sz w:val="24"/>
        </w:rPr>
        <w:t>$</w:t>
      </w:r>
      <w:r w:rsidR="00355D23">
        <w:rPr>
          <w:sz w:val="24"/>
        </w:rPr>
        <w:t>99,43</w:t>
      </w:r>
      <w:r w:rsidR="00F31080">
        <w:rPr>
          <w:sz w:val="24"/>
        </w:rPr>
        <w:t>0</w:t>
      </w:r>
      <w:r w:rsidR="002D4FA9">
        <w:rPr>
          <w:sz w:val="24"/>
        </w:rPr>
        <w:t xml:space="preserve"> = 2,560 hours</w:t>
      </w:r>
      <w:r w:rsidR="00CC29E9">
        <w:rPr>
          <w:sz w:val="24"/>
        </w:rPr>
        <w:t xml:space="preserve"> x $38.84/hr</w:t>
      </w:r>
    </w:p>
    <w:p w:rsidR="00D30A79" w:rsidP="005F23BC" w:rsidRDefault="00D30A79" w14:paraId="79853419" w14:textId="77777777">
      <w:pPr>
        <w:rPr>
          <w:sz w:val="24"/>
        </w:rPr>
      </w:pPr>
    </w:p>
    <w:p w:rsidRPr="00E80BDB" w:rsidR="00735E94" w:rsidP="005F23BC" w:rsidRDefault="00735E94" w14:paraId="062C8AA3" w14:textId="48CB1EDC">
      <w:pPr>
        <w:rPr>
          <w:sz w:val="24"/>
          <w:u w:val="single"/>
        </w:rPr>
      </w:pPr>
      <w:r w:rsidRPr="004C698D">
        <w:rPr>
          <w:sz w:val="24"/>
          <w:u w:val="single"/>
        </w:rPr>
        <w:t>Hold Harmless Requirements</w:t>
      </w:r>
      <w:r w:rsidRPr="004C698D" w:rsidR="00744ED4">
        <w:rPr>
          <w:sz w:val="24"/>
          <w:u w:val="single"/>
        </w:rPr>
        <w:t xml:space="preserve"> (</w:t>
      </w:r>
      <w:r w:rsidR="004C698D">
        <w:rPr>
          <w:sz w:val="24"/>
          <w:u w:val="single"/>
        </w:rPr>
        <w:t>§</w:t>
      </w:r>
      <w:r w:rsidRPr="004C698D" w:rsidR="00744ED4">
        <w:rPr>
          <w:sz w:val="24"/>
          <w:u w:val="single"/>
        </w:rPr>
        <w:t xml:space="preserve"> </w:t>
      </w:r>
      <w:r w:rsidRPr="004C698D" w:rsidR="000B6945">
        <w:rPr>
          <w:sz w:val="24"/>
          <w:u w:val="single"/>
        </w:rPr>
        <w:t>433.74</w:t>
      </w:r>
      <w:r w:rsidRPr="004C698D" w:rsidR="009E13F9">
        <w:rPr>
          <w:sz w:val="24"/>
          <w:u w:val="single"/>
        </w:rPr>
        <w:t>(a)</w:t>
      </w:r>
      <w:r w:rsidRPr="004C698D" w:rsidR="00947F42">
        <w:rPr>
          <w:sz w:val="24"/>
          <w:u w:val="single"/>
        </w:rPr>
        <w:t xml:space="preserve"> through </w:t>
      </w:r>
      <w:r w:rsidRPr="004C698D" w:rsidR="009E13F9">
        <w:rPr>
          <w:sz w:val="24"/>
          <w:u w:val="single"/>
        </w:rPr>
        <w:t>(d)</w:t>
      </w:r>
      <w:r w:rsidRPr="004C698D" w:rsidR="00C22D3E">
        <w:rPr>
          <w:sz w:val="24"/>
          <w:u w:val="single"/>
        </w:rPr>
        <w:t>)</w:t>
      </w:r>
    </w:p>
    <w:p w:rsidR="00735E94" w:rsidP="005F23BC" w:rsidRDefault="00735E94" w14:paraId="75CF43E3" w14:textId="77777777">
      <w:pPr>
        <w:rPr>
          <w:sz w:val="24"/>
        </w:rPr>
      </w:pPr>
    </w:p>
    <w:p w:rsidR="00C471E6" w:rsidP="00C471E6" w:rsidRDefault="00C471E6" w14:paraId="13F79AA7" w14:textId="7B1AAC76">
      <w:pPr>
        <w:rPr>
          <w:sz w:val="24"/>
        </w:rPr>
      </w:pPr>
      <w:r>
        <w:rPr>
          <w:sz w:val="24"/>
        </w:rPr>
        <w:t xml:space="preserve">Section 433.74 requires </w:t>
      </w:r>
      <w:r w:rsidR="00C561A4">
        <w:rPr>
          <w:sz w:val="24"/>
        </w:rPr>
        <w:t xml:space="preserve">that </w:t>
      </w:r>
      <w:r>
        <w:rPr>
          <w:sz w:val="24"/>
        </w:rPr>
        <w:t>State Medicaid agencies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C471E6" w:rsidP="005F23BC" w:rsidRDefault="00C471E6" w14:paraId="05E3A99F" w14:textId="77777777">
      <w:pPr>
        <w:rPr>
          <w:sz w:val="24"/>
        </w:rPr>
      </w:pPr>
    </w:p>
    <w:p w:rsidR="009C280C" w:rsidP="005F23BC" w:rsidRDefault="00D30A79" w14:paraId="73271BD0" w14:textId="75ABD3C1">
      <w:pPr>
        <w:rPr>
          <w:sz w:val="24"/>
        </w:rPr>
      </w:pPr>
      <w:r>
        <w:rPr>
          <w:sz w:val="24"/>
        </w:rPr>
        <w:t xml:space="preserve">Based on previous responses, we </w:t>
      </w:r>
      <w:r w:rsidR="00EE27C3">
        <w:rPr>
          <w:sz w:val="24"/>
        </w:rPr>
        <w:t xml:space="preserve">continue to estimate that </w:t>
      </w:r>
      <w:r>
        <w:rPr>
          <w:sz w:val="24"/>
        </w:rPr>
        <w:t>CMS will receive information from approximately two States per quarter regarding the hold harmless provision</w:t>
      </w:r>
      <w:r w:rsidR="00107FFB">
        <w:rPr>
          <w:sz w:val="24"/>
        </w:rPr>
        <w:t>.</w:t>
      </w:r>
      <w:r>
        <w:rPr>
          <w:sz w:val="24"/>
        </w:rPr>
        <w:t xml:space="preserve">  </w:t>
      </w:r>
      <w:r w:rsidR="00437401">
        <w:rPr>
          <w:sz w:val="24"/>
        </w:rPr>
        <w:t xml:space="preserve">We also estimate that it </w:t>
      </w:r>
      <w:r w:rsidR="00920143">
        <w:rPr>
          <w:sz w:val="24"/>
        </w:rPr>
        <w:t xml:space="preserve">takes </w:t>
      </w:r>
      <w:r w:rsidRPr="00437401" w:rsidR="00437401">
        <w:rPr>
          <w:sz w:val="24"/>
        </w:rPr>
        <w:t xml:space="preserve">approximately 80 hours </w:t>
      </w:r>
      <w:r w:rsidR="00920143">
        <w:rPr>
          <w:sz w:val="24"/>
        </w:rPr>
        <w:t>for a</w:t>
      </w:r>
      <w:r w:rsidRPr="00437401" w:rsidR="00437401">
        <w:rPr>
          <w:sz w:val="24"/>
        </w:rPr>
        <w:t xml:space="preserve"> healthcare support worker</w:t>
      </w:r>
      <w:r w:rsidR="00920143">
        <w:rPr>
          <w:sz w:val="24"/>
        </w:rPr>
        <w:t xml:space="preserve"> to prepare and submit each report</w:t>
      </w:r>
      <w:r w:rsidRPr="00437401" w:rsidR="00437401">
        <w:rPr>
          <w:sz w:val="24"/>
        </w:rPr>
        <w:t>.</w:t>
      </w:r>
    </w:p>
    <w:p w:rsidR="009C280C" w:rsidP="005F23BC" w:rsidRDefault="009C280C" w14:paraId="35CEE1F4" w14:textId="77777777">
      <w:pPr>
        <w:rPr>
          <w:sz w:val="24"/>
        </w:rPr>
      </w:pPr>
    </w:p>
    <w:p w:rsidR="009C280C" w:rsidP="009C280C" w:rsidRDefault="009C280C" w14:paraId="46DEA13B" w14:textId="77777777">
      <w:pPr>
        <w:rPr>
          <w:sz w:val="24"/>
        </w:rPr>
      </w:pPr>
      <w:r>
        <w:rPr>
          <w:sz w:val="24"/>
        </w:rPr>
        <w:t>Our annual burden estimates follow:</w:t>
      </w:r>
    </w:p>
    <w:p w:rsidR="00D30A79" w:rsidP="005F23BC" w:rsidRDefault="00D30A79" w14:paraId="7542353E" w14:textId="77777777">
      <w:pPr>
        <w:rPr>
          <w:sz w:val="24"/>
        </w:rPr>
      </w:pPr>
    </w:p>
    <w:p w:rsidR="00735E94" w:rsidP="005F23BC" w:rsidRDefault="00735E94" w14:paraId="0801940C" w14:textId="5F234AF4">
      <w:pPr>
        <w:rPr>
          <w:sz w:val="24"/>
        </w:rPr>
      </w:pPr>
      <w:r>
        <w:rPr>
          <w:sz w:val="24"/>
        </w:rPr>
        <w:t xml:space="preserve">Time: </w:t>
      </w:r>
      <w:r w:rsidR="00A05D7C">
        <w:rPr>
          <w:sz w:val="24"/>
        </w:rPr>
        <w:t xml:space="preserve"> </w:t>
      </w:r>
      <w:r w:rsidR="00CA1007">
        <w:rPr>
          <w:sz w:val="24"/>
        </w:rPr>
        <w:t xml:space="preserve">640 hours = </w:t>
      </w:r>
      <w:r>
        <w:rPr>
          <w:sz w:val="24"/>
        </w:rPr>
        <w:t>80 hours x 2 responses</w:t>
      </w:r>
      <w:r w:rsidR="009C280C">
        <w:rPr>
          <w:sz w:val="24"/>
        </w:rPr>
        <w:t>/quarter</w:t>
      </w:r>
      <w:r>
        <w:rPr>
          <w:sz w:val="24"/>
        </w:rPr>
        <w:t xml:space="preserve"> x 4 quarters </w:t>
      </w:r>
    </w:p>
    <w:p w:rsidR="00D30A79" w:rsidP="005F23BC" w:rsidRDefault="00735E94" w14:paraId="3F99420A" w14:textId="3284E736">
      <w:pPr>
        <w:rPr>
          <w:sz w:val="24"/>
        </w:rPr>
      </w:pPr>
      <w:r>
        <w:rPr>
          <w:sz w:val="24"/>
        </w:rPr>
        <w:t xml:space="preserve">Cost: </w:t>
      </w:r>
      <w:r w:rsidR="00A05D7C">
        <w:rPr>
          <w:sz w:val="24"/>
        </w:rPr>
        <w:t xml:space="preserve">  </w:t>
      </w:r>
      <w:r w:rsidR="00CC7398">
        <w:rPr>
          <w:sz w:val="24"/>
        </w:rPr>
        <w:t>$</w:t>
      </w:r>
      <w:r w:rsidR="00A05D7C">
        <w:rPr>
          <w:sz w:val="24"/>
        </w:rPr>
        <w:t>24,858</w:t>
      </w:r>
      <w:r w:rsidR="00CC7398">
        <w:rPr>
          <w:sz w:val="24"/>
        </w:rPr>
        <w:t xml:space="preserve"> = </w:t>
      </w:r>
      <w:r w:rsidR="00773EF8">
        <w:rPr>
          <w:sz w:val="24"/>
        </w:rPr>
        <w:t>640</w:t>
      </w:r>
      <w:r w:rsidR="00D30A79">
        <w:rPr>
          <w:sz w:val="24"/>
        </w:rPr>
        <w:t xml:space="preserve"> hours</w:t>
      </w:r>
      <w:r w:rsidR="00A05D7C">
        <w:rPr>
          <w:sz w:val="24"/>
        </w:rPr>
        <w:t xml:space="preserve"> x $38.84/hr</w:t>
      </w:r>
    </w:p>
    <w:p w:rsidR="00D30A79" w:rsidP="005F23BC" w:rsidRDefault="00D30A79" w14:paraId="75873D84" w14:textId="77777777">
      <w:pPr>
        <w:rPr>
          <w:sz w:val="24"/>
        </w:rPr>
      </w:pPr>
    </w:p>
    <w:p w:rsidRPr="00262B2E" w:rsidR="00BD159F" w:rsidP="005F23BC" w:rsidRDefault="00BD159F" w14:paraId="28F13354" w14:textId="1CB7A494">
      <w:pPr>
        <w:rPr>
          <w:i/>
          <w:sz w:val="24"/>
        </w:rPr>
      </w:pPr>
      <w:r w:rsidRPr="00262B2E">
        <w:rPr>
          <w:i/>
          <w:sz w:val="24"/>
        </w:rPr>
        <w:t>Burden Summary</w:t>
      </w:r>
    </w:p>
    <w:p w:rsidR="00BD159F" w:rsidP="005F23BC" w:rsidRDefault="00BD159F" w14:paraId="1303E08D" w14:textId="77777777">
      <w:pPr>
        <w:rPr>
          <w:sz w:val="24"/>
        </w:rPr>
      </w:pPr>
    </w:p>
    <w:p w:rsidR="00D30A79" w:rsidP="005F23BC" w:rsidRDefault="00BD159F" w14:paraId="604FE085" w14:textId="570430F4">
      <w:pPr>
        <w:rPr>
          <w:sz w:val="24"/>
        </w:rPr>
      </w:pPr>
      <w:r>
        <w:rPr>
          <w:sz w:val="24"/>
        </w:rPr>
        <w:t xml:space="preserve">We estimate a </w:t>
      </w:r>
      <w:r w:rsidR="00D30A79">
        <w:rPr>
          <w:sz w:val="24"/>
        </w:rPr>
        <w:t xml:space="preserve">total </w:t>
      </w:r>
      <w:r w:rsidR="00823A25">
        <w:rPr>
          <w:sz w:val="24"/>
        </w:rPr>
        <w:t>time</w:t>
      </w:r>
      <w:r w:rsidR="00D30A79">
        <w:rPr>
          <w:sz w:val="24"/>
        </w:rPr>
        <w:t xml:space="preserve"> </w:t>
      </w:r>
      <w:r>
        <w:rPr>
          <w:sz w:val="24"/>
        </w:rPr>
        <w:t xml:space="preserve">of </w:t>
      </w:r>
      <w:r w:rsidR="00D30A79">
        <w:rPr>
          <w:sz w:val="24"/>
        </w:rPr>
        <w:t xml:space="preserve">3,200 hours (2,560 </w:t>
      </w:r>
      <w:r>
        <w:rPr>
          <w:sz w:val="24"/>
        </w:rPr>
        <w:t xml:space="preserve">hr </w:t>
      </w:r>
      <w:r w:rsidR="00D30A79">
        <w:rPr>
          <w:sz w:val="24"/>
        </w:rPr>
        <w:t>+ 640</w:t>
      </w:r>
      <w:r>
        <w:rPr>
          <w:sz w:val="24"/>
        </w:rPr>
        <w:t xml:space="preserve"> hr</w:t>
      </w:r>
      <w:r w:rsidR="00D30A79">
        <w:rPr>
          <w:sz w:val="24"/>
        </w:rPr>
        <w:t>)</w:t>
      </w:r>
    </w:p>
    <w:p w:rsidR="00823A25" w:rsidP="005F23BC" w:rsidRDefault="00BD159F" w14:paraId="736539FC" w14:textId="174F019C">
      <w:pPr>
        <w:rPr>
          <w:sz w:val="24"/>
        </w:rPr>
      </w:pPr>
      <w:r>
        <w:rPr>
          <w:sz w:val="24"/>
        </w:rPr>
        <w:t xml:space="preserve">We estimate a </w:t>
      </w:r>
      <w:r w:rsidR="00823A25">
        <w:rPr>
          <w:sz w:val="24"/>
        </w:rPr>
        <w:t xml:space="preserve">total cost </w:t>
      </w:r>
      <w:r>
        <w:rPr>
          <w:sz w:val="24"/>
        </w:rPr>
        <w:t>of</w:t>
      </w:r>
      <w:r w:rsidR="00823A25">
        <w:rPr>
          <w:sz w:val="24"/>
        </w:rPr>
        <w:t xml:space="preserve"> $</w:t>
      </w:r>
      <w:r w:rsidR="001E4648">
        <w:rPr>
          <w:sz w:val="24"/>
        </w:rPr>
        <w:t>124,288</w:t>
      </w:r>
      <w:r w:rsidR="00823A25">
        <w:rPr>
          <w:sz w:val="24"/>
        </w:rPr>
        <w:t xml:space="preserve"> ($</w:t>
      </w:r>
      <w:r w:rsidRPr="006D7282" w:rsidR="006D7282">
        <w:rPr>
          <w:sz w:val="24"/>
        </w:rPr>
        <w:t>99,430</w:t>
      </w:r>
      <w:r w:rsidR="00823A25">
        <w:rPr>
          <w:sz w:val="24"/>
        </w:rPr>
        <w:t xml:space="preserve"> + $</w:t>
      </w:r>
      <w:r w:rsidR="006D7282">
        <w:rPr>
          <w:sz w:val="24"/>
        </w:rPr>
        <w:t>24,858</w:t>
      </w:r>
      <w:r w:rsidR="00823A25">
        <w:rPr>
          <w:sz w:val="24"/>
        </w:rPr>
        <w:t>)</w:t>
      </w:r>
    </w:p>
    <w:p w:rsidR="00363DF5" w:rsidP="005F23BC" w:rsidRDefault="00363DF5" w14:paraId="3DC1B5C5" w14:textId="2C3D7A04">
      <w:pPr>
        <w:rPr>
          <w:sz w:val="24"/>
        </w:rPr>
      </w:pPr>
    </w:p>
    <w:p w:rsidRPr="009839EE" w:rsidR="005C7F3A" w:rsidP="009839EE" w:rsidRDefault="005C7F3A" w14:paraId="4D7EC18C" w14:textId="4731B4CC">
      <w:pPr>
        <w:rPr>
          <w:sz w:val="24"/>
        </w:rPr>
      </w:pPr>
      <w:r w:rsidRPr="009839EE">
        <w:rPr>
          <w:i/>
          <w:sz w:val="24"/>
        </w:rPr>
        <w:t>Collection of Information Instruments and Instruction/Guidance Documents</w:t>
      </w:r>
    </w:p>
    <w:p w:rsidRPr="009839EE" w:rsidR="005C7F3A" w:rsidP="009839EE" w:rsidRDefault="005C7F3A" w14:paraId="4F44E88E" w14:textId="4732A3F6">
      <w:pPr>
        <w:rPr>
          <w:sz w:val="24"/>
        </w:rPr>
      </w:pPr>
    </w:p>
    <w:p w:rsidRPr="009839EE" w:rsidR="00A438A8" w:rsidP="009839EE" w:rsidRDefault="00A438A8" w14:paraId="643F208A" w14:textId="7069CF26">
      <w:pPr>
        <w:pStyle w:val="ListParagraph"/>
        <w:numPr>
          <w:ilvl w:val="2"/>
          <w:numId w:val="1"/>
        </w:numPr>
        <w:spacing w:after="0"/>
        <w:ind w:left="360"/>
        <w:contextualSpacing w:val="0"/>
        <w:rPr>
          <w:szCs w:val="24"/>
        </w:rPr>
      </w:pPr>
      <w:r w:rsidRPr="009839EE">
        <w:rPr>
          <w:szCs w:val="24"/>
        </w:rPr>
        <w:t>Waiver Documentation: The State waiver submission does not have a waiver form or template.</w:t>
      </w:r>
    </w:p>
    <w:p w:rsidRPr="009839EE" w:rsidR="00A438A8" w:rsidP="009839EE" w:rsidRDefault="00A438A8" w14:paraId="263CCA2F" w14:textId="77777777">
      <w:pPr>
        <w:rPr>
          <w:sz w:val="24"/>
        </w:rPr>
      </w:pPr>
    </w:p>
    <w:p w:rsidRPr="009839EE" w:rsidR="00A438A8" w:rsidP="009839EE" w:rsidRDefault="00A438A8" w14:paraId="64D02A4B" w14:textId="77777777">
      <w:pPr>
        <w:pStyle w:val="ListParagraph"/>
        <w:numPr>
          <w:ilvl w:val="2"/>
          <w:numId w:val="1"/>
        </w:numPr>
        <w:spacing w:after="0"/>
        <w:ind w:left="360"/>
        <w:contextualSpacing w:val="0"/>
        <w:rPr>
          <w:szCs w:val="24"/>
        </w:rPr>
      </w:pPr>
      <w:r w:rsidRPr="009839EE">
        <w:rPr>
          <w:szCs w:val="24"/>
        </w:rPr>
        <w:t>Hold Harmless Requirements:  There is no form or template. The burden is associated with the State submitting their waiver request. Their submission takes time to make sure that there is no hold harmless.</w:t>
      </w:r>
    </w:p>
    <w:p w:rsidRPr="009839EE" w:rsidR="005C7F3A" w:rsidP="009839EE" w:rsidRDefault="005C7F3A" w14:paraId="5B43273B" w14:textId="77777777">
      <w:pPr>
        <w:rPr>
          <w:sz w:val="24"/>
        </w:rPr>
      </w:pPr>
    </w:p>
    <w:p w:rsidR="00D30A79" w:rsidP="005F23BC" w:rsidRDefault="00D30A79" w14:paraId="4B6718EA" w14:textId="77777777">
      <w:pPr>
        <w:rPr>
          <w:sz w:val="24"/>
        </w:rPr>
      </w:pPr>
      <w:r>
        <w:rPr>
          <w:sz w:val="24"/>
        </w:rPr>
        <w:t xml:space="preserve">13.  </w:t>
      </w:r>
      <w:r>
        <w:rPr>
          <w:sz w:val="24"/>
          <w:u w:val="single"/>
        </w:rPr>
        <w:t>Capital Costs</w:t>
      </w:r>
    </w:p>
    <w:p w:rsidR="00D30A79" w:rsidP="005F23BC" w:rsidRDefault="00D30A79" w14:paraId="4D339463" w14:textId="77777777">
      <w:pPr>
        <w:rPr>
          <w:sz w:val="24"/>
        </w:rPr>
      </w:pPr>
    </w:p>
    <w:p w:rsidR="00D30A79" w:rsidP="005F23BC" w:rsidRDefault="00D30A79" w14:paraId="4ED06977" w14:textId="77777777">
      <w:pPr>
        <w:tabs>
          <w:tab w:val="left" w:pos="-1440"/>
        </w:tabs>
        <w:rPr>
          <w:sz w:val="24"/>
        </w:rPr>
      </w:pPr>
      <w:r>
        <w:rPr>
          <w:sz w:val="24"/>
        </w:rPr>
        <w:t>There are no capital costs associated with this information collection.</w:t>
      </w:r>
    </w:p>
    <w:p w:rsidR="00D30A79" w:rsidP="005F23BC" w:rsidRDefault="00D30A79" w14:paraId="2C6AC95B" w14:textId="77777777">
      <w:pPr>
        <w:rPr>
          <w:sz w:val="24"/>
        </w:rPr>
      </w:pPr>
    </w:p>
    <w:p w:rsidR="00D30A79" w:rsidP="005F23BC" w:rsidRDefault="00D30A79" w14:paraId="17BB7AB5" w14:textId="77777777">
      <w:pPr>
        <w:rPr>
          <w:sz w:val="24"/>
        </w:rPr>
      </w:pPr>
      <w:r>
        <w:rPr>
          <w:sz w:val="24"/>
        </w:rPr>
        <w:t>14.</w:t>
      </w:r>
      <w:r>
        <w:rPr>
          <w:b/>
          <w:bCs/>
          <w:sz w:val="24"/>
        </w:rPr>
        <w:t xml:space="preserve">  </w:t>
      </w:r>
      <w:r>
        <w:rPr>
          <w:sz w:val="24"/>
          <w:u w:val="single"/>
        </w:rPr>
        <w:t>Cost to Federal Government</w:t>
      </w:r>
    </w:p>
    <w:p w:rsidR="00D30A79" w:rsidP="005F23BC" w:rsidRDefault="00D30A79" w14:paraId="0E5F32A5" w14:textId="77777777">
      <w:pPr>
        <w:rPr>
          <w:sz w:val="24"/>
        </w:rPr>
      </w:pPr>
    </w:p>
    <w:p w:rsidR="00D30A79" w:rsidP="005F23BC" w:rsidRDefault="00D30A79" w14:paraId="7526A2F4" w14:textId="77777777">
      <w:pPr>
        <w:rPr>
          <w:sz w:val="24"/>
        </w:rPr>
      </w:pPr>
      <w:r>
        <w:rPr>
          <w:sz w:val="24"/>
        </w:rPr>
        <w:t>There will be no additional costs incurred by the Federal government</w:t>
      </w:r>
      <w:r w:rsidR="00E2148E">
        <w:rPr>
          <w:sz w:val="24"/>
        </w:rPr>
        <w:t xml:space="preserve"> as this review is part of regular operations</w:t>
      </w:r>
      <w:r>
        <w:rPr>
          <w:sz w:val="24"/>
        </w:rPr>
        <w:t xml:space="preserve">.  </w:t>
      </w:r>
    </w:p>
    <w:p w:rsidR="00D30A79" w:rsidP="005F23BC" w:rsidRDefault="00D30A79" w14:paraId="664661A0" w14:textId="77777777">
      <w:pPr>
        <w:rPr>
          <w:sz w:val="24"/>
        </w:rPr>
      </w:pPr>
    </w:p>
    <w:p w:rsidR="00D30A79" w:rsidP="005F23BC" w:rsidRDefault="00D30A79" w14:paraId="351C220C" w14:textId="77777777">
      <w:pPr>
        <w:rPr>
          <w:sz w:val="24"/>
        </w:rPr>
      </w:pPr>
      <w:r>
        <w:rPr>
          <w:sz w:val="24"/>
        </w:rPr>
        <w:t xml:space="preserve">15. </w:t>
      </w:r>
      <w:r>
        <w:rPr>
          <w:sz w:val="24"/>
          <w:u w:val="single"/>
        </w:rPr>
        <w:t>Program or Burden Changes</w:t>
      </w:r>
    </w:p>
    <w:p w:rsidR="00402442" w:rsidP="005F23BC" w:rsidRDefault="00402442" w14:paraId="135307EB" w14:textId="78C76C7B">
      <w:pPr>
        <w:rPr>
          <w:sz w:val="24"/>
        </w:rPr>
      </w:pPr>
    </w:p>
    <w:p w:rsidR="00AA3641" w:rsidP="005F23BC" w:rsidRDefault="00AA3641" w14:paraId="15999DED" w14:textId="4EB27626">
      <w:pPr>
        <w:rPr>
          <w:sz w:val="24"/>
        </w:rPr>
      </w:pPr>
      <w:r w:rsidRPr="00FA0C5B">
        <w:rPr>
          <w:sz w:val="24"/>
        </w:rPr>
        <w:t>This 2020</w:t>
      </w:r>
      <w:r w:rsidR="00857932">
        <w:rPr>
          <w:sz w:val="24"/>
        </w:rPr>
        <w:t>/2021</w:t>
      </w:r>
      <w:r w:rsidRPr="00FA0C5B">
        <w:rPr>
          <w:sz w:val="24"/>
        </w:rPr>
        <w:t xml:space="preserve"> iteration is an Extension; it does not propose any program/burden changes.</w:t>
      </w:r>
    </w:p>
    <w:p w:rsidR="00AA3641" w:rsidP="005F23BC" w:rsidRDefault="00AA3641" w14:paraId="2D28855A" w14:textId="77777777">
      <w:pPr>
        <w:rPr>
          <w:sz w:val="24"/>
        </w:rPr>
      </w:pPr>
    </w:p>
    <w:p w:rsidRPr="00121FC1" w:rsidR="00461DA0" w:rsidP="00461DA0" w:rsidRDefault="00461DA0" w14:paraId="1DD3B396" w14:textId="14B0FB55">
      <w:pPr>
        <w:rPr>
          <w:sz w:val="24"/>
        </w:rPr>
      </w:pPr>
      <w:r w:rsidRPr="00821CBE">
        <w:rPr>
          <w:sz w:val="24"/>
        </w:rPr>
        <w:t>We have</w:t>
      </w:r>
      <w:r w:rsidRPr="00821CBE" w:rsidR="00AA3641">
        <w:rPr>
          <w:sz w:val="24"/>
        </w:rPr>
        <w:t xml:space="preserve">, however, adjusted </w:t>
      </w:r>
      <w:r w:rsidRPr="00821CBE">
        <w:rPr>
          <w:sz w:val="24"/>
        </w:rPr>
        <w:t>our cost estimates by $</w:t>
      </w:r>
      <w:r w:rsidR="00821CBE">
        <w:rPr>
          <w:sz w:val="24"/>
        </w:rPr>
        <w:t>8</w:t>
      </w:r>
      <w:r w:rsidRPr="00821CBE">
        <w:rPr>
          <w:sz w:val="24"/>
        </w:rPr>
        <w:t>,</w:t>
      </w:r>
      <w:r w:rsidR="00821CBE">
        <w:rPr>
          <w:sz w:val="24"/>
        </w:rPr>
        <w:t>256</w:t>
      </w:r>
      <w:r w:rsidRPr="00821CBE">
        <w:rPr>
          <w:sz w:val="24"/>
        </w:rPr>
        <w:t xml:space="preserve"> (from $116,032 to $</w:t>
      </w:r>
      <w:r w:rsidRPr="00821CBE" w:rsidR="00821CBE">
        <w:rPr>
          <w:sz w:val="24"/>
        </w:rPr>
        <w:t>124,288</w:t>
      </w:r>
      <w:r w:rsidRPr="00821CBE">
        <w:rPr>
          <w:sz w:val="24"/>
        </w:rPr>
        <w:t>) by using more recent BLS wage data (+$2.</w:t>
      </w:r>
      <w:r w:rsidR="00563768">
        <w:rPr>
          <w:sz w:val="24"/>
        </w:rPr>
        <w:t>58</w:t>
      </w:r>
      <w:r w:rsidRPr="00821CBE">
        <w:rPr>
          <w:sz w:val="24"/>
        </w:rPr>
        <w:t>/hr from $36.26/hr to $38.84/hr)</w:t>
      </w:r>
      <w:r w:rsidRPr="00821CBE" w:rsidR="00AA3641">
        <w:rPr>
          <w:sz w:val="24"/>
        </w:rPr>
        <w:t>.</w:t>
      </w:r>
    </w:p>
    <w:p w:rsidR="00461DA0" w:rsidP="005F23BC" w:rsidRDefault="00461DA0" w14:paraId="23FA5748" w14:textId="77777777">
      <w:pPr>
        <w:rPr>
          <w:sz w:val="24"/>
        </w:rPr>
      </w:pPr>
    </w:p>
    <w:p w:rsidR="00D30A79" w:rsidP="005F23BC" w:rsidRDefault="00D30A79" w14:paraId="70B1597B" w14:textId="77777777">
      <w:pPr>
        <w:rPr>
          <w:sz w:val="24"/>
        </w:rPr>
      </w:pPr>
      <w:r>
        <w:rPr>
          <w:sz w:val="24"/>
        </w:rPr>
        <w:t xml:space="preserve">16.  </w:t>
      </w:r>
      <w:r>
        <w:rPr>
          <w:sz w:val="24"/>
          <w:u w:val="single"/>
        </w:rPr>
        <w:t>Publication and Tabulation Dates</w:t>
      </w:r>
    </w:p>
    <w:p w:rsidR="00D30A79" w:rsidP="005F23BC" w:rsidRDefault="00D30A79" w14:paraId="5EC2A457" w14:textId="77777777">
      <w:pPr>
        <w:rPr>
          <w:sz w:val="24"/>
        </w:rPr>
      </w:pPr>
    </w:p>
    <w:p w:rsidR="00D30A79" w:rsidP="005F23BC" w:rsidRDefault="00D30A79" w14:paraId="6C2783BB" w14:textId="77777777">
      <w:pPr>
        <w:rPr>
          <w:sz w:val="24"/>
        </w:rPr>
      </w:pPr>
      <w:r>
        <w:rPr>
          <w:sz w:val="24"/>
        </w:rPr>
        <w:t>The information submitted by States is not published or tabulated.</w:t>
      </w:r>
    </w:p>
    <w:p w:rsidR="00D30A79" w:rsidP="005F23BC" w:rsidRDefault="00D30A79" w14:paraId="42F58CE0" w14:textId="77777777">
      <w:pPr>
        <w:rPr>
          <w:sz w:val="24"/>
        </w:rPr>
      </w:pPr>
    </w:p>
    <w:p w:rsidR="00D30A79" w:rsidP="005F23BC" w:rsidRDefault="00D30A79" w14:paraId="612A5599" w14:textId="77777777">
      <w:pPr>
        <w:rPr>
          <w:sz w:val="24"/>
        </w:rPr>
      </w:pPr>
      <w:r>
        <w:rPr>
          <w:sz w:val="24"/>
        </w:rPr>
        <w:t xml:space="preserve">17.  </w:t>
      </w:r>
      <w:r>
        <w:rPr>
          <w:sz w:val="24"/>
          <w:u w:val="single"/>
        </w:rPr>
        <w:t>Expiration Date</w:t>
      </w:r>
    </w:p>
    <w:p w:rsidR="00D30A79" w:rsidP="005F23BC" w:rsidRDefault="00D30A79" w14:paraId="3022C1D3" w14:textId="77777777">
      <w:pPr>
        <w:rPr>
          <w:sz w:val="24"/>
        </w:rPr>
      </w:pPr>
    </w:p>
    <w:p w:rsidR="00D30A79" w:rsidP="005F23BC" w:rsidRDefault="008410C8" w14:paraId="40727D11" w14:textId="42B5E04B">
      <w:pPr>
        <w:rPr>
          <w:sz w:val="24"/>
        </w:rPr>
      </w:pPr>
      <w:r>
        <w:rPr>
          <w:sz w:val="24"/>
        </w:rPr>
        <w:t>We will display the expiration date.</w:t>
      </w:r>
    </w:p>
    <w:p w:rsidR="00D30A79" w:rsidP="005F23BC" w:rsidRDefault="00D30A79" w14:paraId="0334BE9C" w14:textId="77777777">
      <w:pPr>
        <w:rPr>
          <w:sz w:val="24"/>
        </w:rPr>
      </w:pPr>
    </w:p>
    <w:p w:rsidR="00D30A79" w:rsidP="005F23BC" w:rsidRDefault="00D30A79" w14:paraId="19811A73" w14:textId="77777777">
      <w:pPr>
        <w:rPr>
          <w:sz w:val="24"/>
        </w:rPr>
      </w:pPr>
      <w:r>
        <w:rPr>
          <w:sz w:val="24"/>
        </w:rPr>
        <w:t xml:space="preserve">18.  </w:t>
      </w:r>
      <w:r>
        <w:rPr>
          <w:sz w:val="24"/>
          <w:u w:val="single"/>
        </w:rPr>
        <w:t>Certification Statement</w:t>
      </w:r>
    </w:p>
    <w:p w:rsidR="00D30A79" w:rsidP="005F23BC" w:rsidRDefault="00D30A79" w14:paraId="08E074F7" w14:textId="77777777">
      <w:pPr>
        <w:rPr>
          <w:sz w:val="24"/>
        </w:rPr>
      </w:pPr>
    </w:p>
    <w:p w:rsidR="00D30A79" w:rsidP="005F23BC" w:rsidRDefault="00D30A79" w14:paraId="25F3E147" w14:textId="77777777">
      <w:pPr>
        <w:rPr>
          <w:sz w:val="24"/>
        </w:rPr>
      </w:pPr>
      <w:r>
        <w:rPr>
          <w:sz w:val="24"/>
        </w:rPr>
        <w:t>There are no exceptions to the certification statement.</w:t>
      </w:r>
    </w:p>
    <w:p w:rsidR="00D30A79" w:rsidP="005F23BC" w:rsidRDefault="00D30A79" w14:paraId="18162774" w14:textId="77777777">
      <w:pPr>
        <w:rPr>
          <w:sz w:val="24"/>
        </w:rPr>
      </w:pPr>
    </w:p>
    <w:p w:rsidRPr="00D744D4" w:rsidR="00D30A79" w:rsidP="005F23BC" w:rsidRDefault="00E11AB0" w14:paraId="24F44BA2" w14:textId="77777777">
      <w:pPr>
        <w:tabs>
          <w:tab w:val="left" w:pos="-1440"/>
        </w:tabs>
        <w:rPr>
          <w:b/>
          <w:sz w:val="24"/>
        </w:rPr>
      </w:pPr>
      <w:r w:rsidRPr="00D744D4">
        <w:rPr>
          <w:b/>
          <w:sz w:val="24"/>
        </w:rPr>
        <w:t>B.</w:t>
      </w:r>
      <w:r w:rsidRPr="00D744D4" w:rsidR="00D30A79">
        <w:rPr>
          <w:b/>
          <w:sz w:val="24"/>
        </w:rPr>
        <w:tab/>
      </w:r>
      <w:r w:rsidRPr="00D744D4" w:rsidR="003367FB">
        <w:rPr>
          <w:b/>
          <w:sz w:val="24"/>
        </w:rPr>
        <w:t>COLLECTION OF INFORMATION EMPLOYING STATISTICAL METHODS</w:t>
      </w:r>
    </w:p>
    <w:p w:rsidR="00D30A79" w:rsidP="005F23BC" w:rsidRDefault="00D30A79" w14:paraId="4B064C0F" w14:textId="77777777">
      <w:pPr>
        <w:rPr>
          <w:sz w:val="24"/>
        </w:rPr>
      </w:pPr>
    </w:p>
    <w:p w:rsidR="00D30A79" w:rsidP="005F23BC" w:rsidRDefault="00D30A79" w14:paraId="4BA0BCDB" w14:textId="77777777">
      <w:pPr>
        <w:rPr>
          <w:sz w:val="24"/>
        </w:rPr>
      </w:pPr>
      <w:r>
        <w:rPr>
          <w:sz w:val="24"/>
        </w:rPr>
        <w:t>There are no statistical methods.</w:t>
      </w:r>
    </w:p>
    <w:p w:rsidR="004F5B43" w:rsidP="002E47DF" w:rsidRDefault="004F5B43" w14:paraId="7079FC7D" w14:textId="77777777">
      <w:pPr>
        <w:ind w:firstLine="720"/>
        <w:rPr>
          <w:sz w:val="24"/>
        </w:rPr>
      </w:pPr>
    </w:p>
    <w:sectPr w:rsidR="004F5B43" w:rsidSect="00427E4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FEDD" w14:textId="77777777" w:rsidR="00720C52" w:rsidRDefault="00720C52">
      <w:r>
        <w:separator/>
      </w:r>
    </w:p>
  </w:endnote>
  <w:endnote w:type="continuationSeparator" w:id="0">
    <w:p w14:paraId="3C2873FF" w14:textId="77777777" w:rsidR="00720C52" w:rsidRDefault="0072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924C1" w14:textId="1909FBB6" w:rsidR="004320A4" w:rsidRPr="00ED2547" w:rsidRDefault="00797031" w:rsidP="000359E0">
    <w:pPr>
      <w:pStyle w:val="Footer"/>
      <w:jc w:val="center"/>
    </w:pPr>
    <w:r>
      <w:fldChar w:fldCharType="begin"/>
    </w:r>
    <w:r>
      <w:instrText xml:space="preserve"> PAGE   \* MERGEFORMAT </w:instrText>
    </w:r>
    <w:r>
      <w:fldChar w:fldCharType="separate"/>
    </w:r>
    <w:r w:rsidR="0085793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A9EC" w14:textId="77777777" w:rsidR="00720C52" w:rsidRDefault="00720C52">
      <w:r>
        <w:separator/>
      </w:r>
    </w:p>
  </w:footnote>
  <w:footnote w:type="continuationSeparator" w:id="0">
    <w:p w14:paraId="552EF2F8" w14:textId="77777777" w:rsidR="00720C52" w:rsidRDefault="0072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5B"/>
    <w:rsid w:val="000024FA"/>
    <w:rsid w:val="00013745"/>
    <w:rsid w:val="00014683"/>
    <w:rsid w:val="00027A84"/>
    <w:rsid w:val="00034256"/>
    <w:rsid w:val="000359E0"/>
    <w:rsid w:val="000535DA"/>
    <w:rsid w:val="0006365B"/>
    <w:rsid w:val="00086C73"/>
    <w:rsid w:val="000875C4"/>
    <w:rsid w:val="00087FD9"/>
    <w:rsid w:val="000A151F"/>
    <w:rsid w:val="000A490C"/>
    <w:rsid w:val="000B1125"/>
    <w:rsid w:val="000B6945"/>
    <w:rsid w:val="000B704E"/>
    <w:rsid w:val="000B77F5"/>
    <w:rsid w:val="000D151E"/>
    <w:rsid w:val="000E7361"/>
    <w:rsid w:val="000F61EA"/>
    <w:rsid w:val="00107FFB"/>
    <w:rsid w:val="00115321"/>
    <w:rsid w:val="00124AAA"/>
    <w:rsid w:val="00146256"/>
    <w:rsid w:val="001664A0"/>
    <w:rsid w:val="0016662E"/>
    <w:rsid w:val="00175245"/>
    <w:rsid w:val="00194175"/>
    <w:rsid w:val="00194C0B"/>
    <w:rsid w:val="001A0F24"/>
    <w:rsid w:val="001B6822"/>
    <w:rsid w:val="001B6972"/>
    <w:rsid w:val="001C14AB"/>
    <w:rsid w:val="001D1690"/>
    <w:rsid w:val="001E4648"/>
    <w:rsid w:val="001E7891"/>
    <w:rsid w:val="001F3A9D"/>
    <w:rsid w:val="0020536A"/>
    <w:rsid w:val="00214861"/>
    <w:rsid w:val="002216F2"/>
    <w:rsid w:val="0022212A"/>
    <w:rsid w:val="002303EB"/>
    <w:rsid w:val="00231884"/>
    <w:rsid w:val="00234861"/>
    <w:rsid w:val="00262B2E"/>
    <w:rsid w:val="0026410D"/>
    <w:rsid w:val="00271A09"/>
    <w:rsid w:val="0027261F"/>
    <w:rsid w:val="00273EBC"/>
    <w:rsid w:val="0027585E"/>
    <w:rsid w:val="00277575"/>
    <w:rsid w:val="00284E4E"/>
    <w:rsid w:val="002921FE"/>
    <w:rsid w:val="002C0728"/>
    <w:rsid w:val="002C2219"/>
    <w:rsid w:val="002D084C"/>
    <w:rsid w:val="002D4FA9"/>
    <w:rsid w:val="002E47DF"/>
    <w:rsid w:val="002F0705"/>
    <w:rsid w:val="002F4CD5"/>
    <w:rsid w:val="00302FC5"/>
    <w:rsid w:val="00313B85"/>
    <w:rsid w:val="003143B6"/>
    <w:rsid w:val="003168DD"/>
    <w:rsid w:val="00322B1B"/>
    <w:rsid w:val="003367FB"/>
    <w:rsid w:val="00355D23"/>
    <w:rsid w:val="00363DF5"/>
    <w:rsid w:val="003715BA"/>
    <w:rsid w:val="0038125F"/>
    <w:rsid w:val="0039250E"/>
    <w:rsid w:val="003A3726"/>
    <w:rsid w:val="003A7E47"/>
    <w:rsid w:val="003B6FD3"/>
    <w:rsid w:val="003C2ED5"/>
    <w:rsid w:val="003C330F"/>
    <w:rsid w:val="003C3AA3"/>
    <w:rsid w:val="003C43CD"/>
    <w:rsid w:val="003D531B"/>
    <w:rsid w:val="003E195F"/>
    <w:rsid w:val="003F1224"/>
    <w:rsid w:val="00402442"/>
    <w:rsid w:val="00406821"/>
    <w:rsid w:val="004215BA"/>
    <w:rsid w:val="00427E4D"/>
    <w:rsid w:val="004320A4"/>
    <w:rsid w:val="00437401"/>
    <w:rsid w:val="00442F0C"/>
    <w:rsid w:val="004454E9"/>
    <w:rsid w:val="00445717"/>
    <w:rsid w:val="00461DA0"/>
    <w:rsid w:val="00463036"/>
    <w:rsid w:val="00472BC6"/>
    <w:rsid w:val="00482267"/>
    <w:rsid w:val="00496777"/>
    <w:rsid w:val="00497940"/>
    <w:rsid w:val="004A0120"/>
    <w:rsid w:val="004A67C3"/>
    <w:rsid w:val="004B3B98"/>
    <w:rsid w:val="004C585A"/>
    <w:rsid w:val="004C698D"/>
    <w:rsid w:val="004D5A38"/>
    <w:rsid w:val="004F1517"/>
    <w:rsid w:val="004F385D"/>
    <w:rsid w:val="004F3B26"/>
    <w:rsid w:val="004F5B43"/>
    <w:rsid w:val="004F7E20"/>
    <w:rsid w:val="00524EB5"/>
    <w:rsid w:val="00526665"/>
    <w:rsid w:val="005406C7"/>
    <w:rsid w:val="00543486"/>
    <w:rsid w:val="005618F9"/>
    <w:rsid w:val="00563768"/>
    <w:rsid w:val="00566829"/>
    <w:rsid w:val="005675F4"/>
    <w:rsid w:val="00573B43"/>
    <w:rsid w:val="00580CD3"/>
    <w:rsid w:val="00591A5F"/>
    <w:rsid w:val="005A167B"/>
    <w:rsid w:val="005A22BB"/>
    <w:rsid w:val="005B3D63"/>
    <w:rsid w:val="005C161A"/>
    <w:rsid w:val="005C2613"/>
    <w:rsid w:val="005C7F3A"/>
    <w:rsid w:val="005D0A3C"/>
    <w:rsid w:val="005D2C78"/>
    <w:rsid w:val="005E2B42"/>
    <w:rsid w:val="005F23BC"/>
    <w:rsid w:val="0060054D"/>
    <w:rsid w:val="00603C91"/>
    <w:rsid w:val="00612161"/>
    <w:rsid w:val="006236AE"/>
    <w:rsid w:val="00646633"/>
    <w:rsid w:val="00650C0F"/>
    <w:rsid w:val="00651815"/>
    <w:rsid w:val="00654606"/>
    <w:rsid w:val="00655945"/>
    <w:rsid w:val="006627E6"/>
    <w:rsid w:val="00664854"/>
    <w:rsid w:val="0068766B"/>
    <w:rsid w:val="00691CB0"/>
    <w:rsid w:val="006A393F"/>
    <w:rsid w:val="006A5EF9"/>
    <w:rsid w:val="006A6C1A"/>
    <w:rsid w:val="006B6E82"/>
    <w:rsid w:val="006C00C4"/>
    <w:rsid w:val="006C0B59"/>
    <w:rsid w:val="006C4089"/>
    <w:rsid w:val="006D28F1"/>
    <w:rsid w:val="006D7282"/>
    <w:rsid w:val="006D7D01"/>
    <w:rsid w:val="006F1DE8"/>
    <w:rsid w:val="006F71D8"/>
    <w:rsid w:val="006F79C5"/>
    <w:rsid w:val="00706B36"/>
    <w:rsid w:val="007079C4"/>
    <w:rsid w:val="00716F24"/>
    <w:rsid w:val="007172BA"/>
    <w:rsid w:val="007176B1"/>
    <w:rsid w:val="007178BD"/>
    <w:rsid w:val="00720C52"/>
    <w:rsid w:val="00735E94"/>
    <w:rsid w:val="00744ED4"/>
    <w:rsid w:val="00745EF3"/>
    <w:rsid w:val="00750DAC"/>
    <w:rsid w:val="00752012"/>
    <w:rsid w:val="0075685E"/>
    <w:rsid w:val="00773EE2"/>
    <w:rsid w:val="00773EF8"/>
    <w:rsid w:val="007959B4"/>
    <w:rsid w:val="00797031"/>
    <w:rsid w:val="007A6CC2"/>
    <w:rsid w:val="007B5422"/>
    <w:rsid w:val="007B7380"/>
    <w:rsid w:val="007C6CFB"/>
    <w:rsid w:val="007D4889"/>
    <w:rsid w:val="007D5C94"/>
    <w:rsid w:val="007F433E"/>
    <w:rsid w:val="0080122E"/>
    <w:rsid w:val="00803FDE"/>
    <w:rsid w:val="008057EB"/>
    <w:rsid w:val="008173FD"/>
    <w:rsid w:val="00821CBE"/>
    <w:rsid w:val="00822624"/>
    <w:rsid w:val="00823A25"/>
    <w:rsid w:val="00824880"/>
    <w:rsid w:val="008410C8"/>
    <w:rsid w:val="00850926"/>
    <w:rsid w:val="00856912"/>
    <w:rsid w:val="00857932"/>
    <w:rsid w:val="00862AD9"/>
    <w:rsid w:val="00867D6E"/>
    <w:rsid w:val="008704E0"/>
    <w:rsid w:val="00876532"/>
    <w:rsid w:val="00880398"/>
    <w:rsid w:val="00881A72"/>
    <w:rsid w:val="008A5CF3"/>
    <w:rsid w:val="008A787C"/>
    <w:rsid w:val="008B4A29"/>
    <w:rsid w:val="008C74B3"/>
    <w:rsid w:val="008E0809"/>
    <w:rsid w:val="008E55F9"/>
    <w:rsid w:val="008E6F64"/>
    <w:rsid w:val="008F7583"/>
    <w:rsid w:val="00911C3C"/>
    <w:rsid w:val="00915C9D"/>
    <w:rsid w:val="00920143"/>
    <w:rsid w:val="00921826"/>
    <w:rsid w:val="00926382"/>
    <w:rsid w:val="009350BE"/>
    <w:rsid w:val="00935A29"/>
    <w:rsid w:val="00945B8E"/>
    <w:rsid w:val="00946C7F"/>
    <w:rsid w:val="00947F42"/>
    <w:rsid w:val="00954D59"/>
    <w:rsid w:val="00965935"/>
    <w:rsid w:val="0096638D"/>
    <w:rsid w:val="00967413"/>
    <w:rsid w:val="009839EE"/>
    <w:rsid w:val="00986F68"/>
    <w:rsid w:val="009938B9"/>
    <w:rsid w:val="009A1AF3"/>
    <w:rsid w:val="009B431F"/>
    <w:rsid w:val="009C280C"/>
    <w:rsid w:val="009E13F9"/>
    <w:rsid w:val="009E5CCC"/>
    <w:rsid w:val="009E6ADD"/>
    <w:rsid w:val="009F067A"/>
    <w:rsid w:val="009F2117"/>
    <w:rsid w:val="00A01734"/>
    <w:rsid w:val="00A05D7C"/>
    <w:rsid w:val="00A10E8A"/>
    <w:rsid w:val="00A11ABD"/>
    <w:rsid w:val="00A16113"/>
    <w:rsid w:val="00A201C1"/>
    <w:rsid w:val="00A2552E"/>
    <w:rsid w:val="00A37B01"/>
    <w:rsid w:val="00A41983"/>
    <w:rsid w:val="00A42179"/>
    <w:rsid w:val="00A438A8"/>
    <w:rsid w:val="00A43977"/>
    <w:rsid w:val="00A70D8E"/>
    <w:rsid w:val="00A85BDB"/>
    <w:rsid w:val="00A90BB7"/>
    <w:rsid w:val="00AA0E5E"/>
    <w:rsid w:val="00AA28DC"/>
    <w:rsid w:val="00AA3641"/>
    <w:rsid w:val="00AC5304"/>
    <w:rsid w:val="00AC586D"/>
    <w:rsid w:val="00AC5967"/>
    <w:rsid w:val="00AC6D9E"/>
    <w:rsid w:val="00AD3F47"/>
    <w:rsid w:val="00AE2227"/>
    <w:rsid w:val="00AF5A7B"/>
    <w:rsid w:val="00B06556"/>
    <w:rsid w:val="00B065C4"/>
    <w:rsid w:val="00B27C42"/>
    <w:rsid w:val="00B47944"/>
    <w:rsid w:val="00B52259"/>
    <w:rsid w:val="00B55A5B"/>
    <w:rsid w:val="00B61060"/>
    <w:rsid w:val="00B678FE"/>
    <w:rsid w:val="00B75E94"/>
    <w:rsid w:val="00B845F5"/>
    <w:rsid w:val="00B93629"/>
    <w:rsid w:val="00BA09C9"/>
    <w:rsid w:val="00BD159F"/>
    <w:rsid w:val="00BD5392"/>
    <w:rsid w:val="00BD55D7"/>
    <w:rsid w:val="00BE625E"/>
    <w:rsid w:val="00BE70B4"/>
    <w:rsid w:val="00BF7AB3"/>
    <w:rsid w:val="00C049FE"/>
    <w:rsid w:val="00C05E7F"/>
    <w:rsid w:val="00C22D3E"/>
    <w:rsid w:val="00C247DC"/>
    <w:rsid w:val="00C2733B"/>
    <w:rsid w:val="00C33177"/>
    <w:rsid w:val="00C3787C"/>
    <w:rsid w:val="00C427B3"/>
    <w:rsid w:val="00C471E6"/>
    <w:rsid w:val="00C55B21"/>
    <w:rsid w:val="00C561A4"/>
    <w:rsid w:val="00C5623C"/>
    <w:rsid w:val="00C671A8"/>
    <w:rsid w:val="00C7610A"/>
    <w:rsid w:val="00C77968"/>
    <w:rsid w:val="00C878C9"/>
    <w:rsid w:val="00CA1007"/>
    <w:rsid w:val="00CA6FC2"/>
    <w:rsid w:val="00CB2644"/>
    <w:rsid w:val="00CC1F8A"/>
    <w:rsid w:val="00CC29E9"/>
    <w:rsid w:val="00CC7398"/>
    <w:rsid w:val="00D142CE"/>
    <w:rsid w:val="00D1453A"/>
    <w:rsid w:val="00D14EAC"/>
    <w:rsid w:val="00D175B6"/>
    <w:rsid w:val="00D30A79"/>
    <w:rsid w:val="00D42285"/>
    <w:rsid w:val="00D45C6C"/>
    <w:rsid w:val="00D45EEA"/>
    <w:rsid w:val="00D50114"/>
    <w:rsid w:val="00D50DFB"/>
    <w:rsid w:val="00D63187"/>
    <w:rsid w:val="00D66C6C"/>
    <w:rsid w:val="00D73BB9"/>
    <w:rsid w:val="00D744D4"/>
    <w:rsid w:val="00DA2CBB"/>
    <w:rsid w:val="00DA59CB"/>
    <w:rsid w:val="00DB249E"/>
    <w:rsid w:val="00DC4C69"/>
    <w:rsid w:val="00DD4107"/>
    <w:rsid w:val="00DE12DD"/>
    <w:rsid w:val="00E003E0"/>
    <w:rsid w:val="00E01902"/>
    <w:rsid w:val="00E03B9B"/>
    <w:rsid w:val="00E11AB0"/>
    <w:rsid w:val="00E15C76"/>
    <w:rsid w:val="00E16C49"/>
    <w:rsid w:val="00E2148E"/>
    <w:rsid w:val="00E45F85"/>
    <w:rsid w:val="00E51668"/>
    <w:rsid w:val="00E606AC"/>
    <w:rsid w:val="00E73C13"/>
    <w:rsid w:val="00E80BDB"/>
    <w:rsid w:val="00E94464"/>
    <w:rsid w:val="00EA2147"/>
    <w:rsid w:val="00EA6FD3"/>
    <w:rsid w:val="00EA6FEF"/>
    <w:rsid w:val="00EC1974"/>
    <w:rsid w:val="00EC52DE"/>
    <w:rsid w:val="00ED062C"/>
    <w:rsid w:val="00ED2547"/>
    <w:rsid w:val="00EE1447"/>
    <w:rsid w:val="00EE27C3"/>
    <w:rsid w:val="00EE2FAA"/>
    <w:rsid w:val="00EF0A4B"/>
    <w:rsid w:val="00F148CC"/>
    <w:rsid w:val="00F17405"/>
    <w:rsid w:val="00F31080"/>
    <w:rsid w:val="00F43B1B"/>
    <w:rsid w:val="00F4633F"/>
    <w:rsid w:val="00F51B77"/>
    <w:rsid w:val="00F5211F"/>
    <w:rsid w:val="00F554F6"/>
    <w:rsid w:val="00F573C9"/>
    <w:rsid w:val="00F60182"/>
    <w:rsid w:val="00F723CC"/>
    <w:rsid w:val="00F90168"/>
    <w:rsid w:val="00F9459F"/>
    <w:rsid w:val="00FA086D"/>
    <w:rsid w:val="00FA0C5B"/>
    <w:rsid w:val="00FA1684"/>
    <w:rsid w:val="00FB4356"/>
    <w:rsid w:val="00FB5658"/>
    <w:rsid w:val="00FB714C"/>
    <w:rsid w:val="00FD2757"/>
    <w:rsid w:val="00FD2DD8"/>
    <w:rsid w:val="00FE470C"/>
    <w:rsid w:val="00FE5487"/>
    <w:rsid w:val="00FE7643"/>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77"/>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1C3C"/>
    <w:rPr>
      <w:rFonts w:cs="Times New Roman"/>
    </w:rPr>
  </w:style>
  <w:style w:type="paragraph" w:styleId="BalloonText">
    <w:name w:val="Balloon Text"/>
    <w:basedOn w:val="Normal"/>
    <w:link w:val="BalloonTextChar"/>
    <w:autoRedefine/>
    <w:uiPriority w:val="99"/>
    <w:semiHidden/>
    <w:qFormat/>
    <w:rsid w:val="00A43977"/>
    <w:rPr>
      <w:rFonts w:ascii="Arial" w:hAnsi="Arial"/>
      <w:sz w:val="16"/>
      <w:szCs w:val="20"/>
      <w:lang w:val="x-none" w:eastAsia="x-none"/>
    </w:rPr>
  </w:style>
  <w:style w:type="character" w:customStyle="1" w:styleId="BalloonTextChar">
    <w:name w:val="Balloon Text Char"/>
    <w:link w:val="BalloonText"/>
    <w:uiPriority w:val="99"/>
    <w:semiHidden/>
    <w:locked/>
    <w:rsid w:val="00A43977"/>
    <w:rPr>
      <w:rFonts w:ascii="Arial" w:hAnsi="Arial"/>
      <w:sz w:val="16"/>
    </w:rPr>
  </w:style>
  <w:style w:type="character" w:styleId="CommentReference">
    <w:name w:val="annotation reference"/>
    <w:uiPriority w:val="99"/>
    <w:rsid w:val="003C43CD"/>
    <w:rPr>
      <w:sz w:val="16"/>
      <w:szCs w:val="16"/>
    </w:rPr>
  </w:style>
  <w:style w:type="paragraph" w:styleId="CommentText">
    <w:name w:val="annotation text"/>
    <w:basedOn w:val="Normal"/>
    <w:link w:val="CommentTextChar"/>
    <w:rsid w:val="003C43CD"/>
    <w:rPr>
      <w:szCs w:val="20"/>
    </w:rPr>
  </w:style>
  <w:style w:type="character" w:customStyle="1" w:styleId="CommentTextChar">
    <w:name w:val="Comment Text Char"/>
    <w:basedOn w:val="DefaultParagraphFont"/>
    <w:link w:val="CommentText"/>
    <w:rsid w:val="003C43CD"/>
  </w:style>
  <w:style w:type="paragraph" w:styleId="CommentSubject">
    <w:name w:val="annotation subject"/>
    <w:basedOn w:val="CommentText"/>
    <w:next w:val="CommentText"/>
    <w:link w:val="CommentSubjectChar"/>
    <w:rsid w:val="003C43CD"/>
    <w:rPr>
      <w:b/>
      <w:bCs/>
      <w:lang w:val="x-none" w:eastAsia="x-none"/>
    </w:rPr>
  </w:style>
  <w:style w:type="character" w:customStyle="1" w:styleId="CommentSubjectChar">
    <w:name w:val="Comment Subject Char"/>
    <w:link w:val="CommentSubject"/>
    <w:rsid w:val="003C43CD"/>
    <w:rPr>
      <w:b/>
      <w:bCs/>
    </w:rPr>
  </w:style>
  <w:style w:type="paragraph" w:styleId="Revision">
    <w:name w:val="Revision"/>
    <w:hidden/>
    <w:uiPriority w:val="99"/>
    <w:semiHidden/>
    <w:rsid w:val="000E7361"/>
    <w:rPr>
      <w:szCs w:val="24"/>
    </w:rPr>
  </w:style>
  <w:style w:type="paragraph" w:styleId="Header">
    <w:name w:val="header"/>
    <w:basedOn w:val="Normal"/>
    <w:link w:val="HeaderChar"/>
    <w:uiPriority w:val="99"/>
    <w:rsid w:val="00B75E94"/>
    <w:pPr>
      <w:tabs>
        <w:tab w:val="center" w:pos="4680"/>
        <w:tab w:val="right" w:pos="9360"/>
      </w:tabs>
    </w:pPr>
    <w:rPr>
      <w:lang w:val="x-none" w:eastAsia="x-none"/>
    </w:rPr>
  </w:style>
  <w:style w:type="character" w:customStyle="1" w:styleId="HeaderChar">
    <w:name w:val="Header Char"/>
    <w:link w:val="Header"/>
    <w:uiPriority w:val="99"/>
    <w:rsid w:val="00B75E94"/>
    <w:rPr>
      <w:szCs w:val="24"/>
    </w:rPr>
  </w:style>
  <w:style w:type="paragraph" w:styleId="Footer">
    <w:name w:val="footer"/>
    <w:basedOn w:val="Normal"/>
    <w:link w:val="FooterChar"/>
    <w:uiPriority w:val="99"/>
    <w:rsid w:val="00B75E94"/>
    <w:pPr>
      <w:tabs>
        <w:tab w:val="center" w:pos="4680"/>
        <w:tab w:val="right" w:pos="9360"/>
      </w:tabs>
    </w:pPr>
    <w:rPr>
      <w:lang w:val="x-none" w:eastAsia="x-none"/>
    </w:rPr>
  </w:style>
  <w:style w:type="character" w:customStyle="1" w:styleId="FooterChar">
    <w:name w:val="Footer Char"/>
    <w:link w:val="Footer"/>
    <w:uiPriority w:val="99"/>
    <w:rsid w:val="00B75E94"/>
    <w:rPr>
      <w:szCs w:val="24"/>
    </w:rPr>
  </w:style>
  <w:style w:type="paragraph" w:styleId="NormalWeb">
    <w:name w:val="Normal (Web)"/>
    <w:basedOn w:val="Normal"/>
    <w:uiPriority w:val="99"/>
    <w:unhideWhenUsed/>
    <w:rsid w:val="006236AE"/>
    <w:pPr>
      <w:widowControl/>
      <w:autoSpaceDE/>
      <w:autoSpaceDN/>
      <w:adjustRightInd/>
      <w:spacing w:before="100" w:beforeAutospacing="1" w:after="100" w:afterAutospacing="1"/>
    </w:pPr>
    <w:rPr>
      <w:sz w:val="24"/>
    </w:rPr>
  </w:style>
  <w:style w:type="paragraph" w:customStyle="1" w:styleId="Body2">
    <w:name w:val="Body2"/>
    <w:basedOn w:val="Normal"/>
    <w:qFormat/>
    <w:rsid w:val="007176B1"/>
    <w:pPr>
      <w:widowControl/>
      <w:autoSpaceDE/>
      <w:autoSpaceDN/>
      <w:adjustRightInd/>
    </w:pPr>
    <w:rPr>
      <w:rFonts w:ascii="Century Gothic" w:hAnsi="Century Gothic" w:cs="Shruti"/>
      <w:sz w:val="24"/>
    </w:rPr>
  </w:style>
  <w:style w:type="paragraph" w:customStyle="1" w:styleId="Body1">
    <w:name w:val="Body 1"/>
    <w:basedOn w:val="Normal"/>
    <w:qFormat/>
    <w:rsid w:val="00402442"/>
    <w:pPr>
      <w:widowControl/>
      <w:autoSpaceDE/>
      <w:autoSpaceDN/>
      <w:adjustRightInd/>
    </w:pPr>
    <w:rPr>
      <w:rFonts w:cs="Arial"/>
      <w:sz w:val="24"/>
    </w:rPr>
  </w:style>
  <w:style w:type="table" w:styleId="TableGrid">
    <w:name w:val="Table Grid"/>
    <w:basedOn w:val="TableNormal"/>
    <w:rsid w:val="0016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64A0"/>
    <w:rPr>
      <w:color w:val="0563C1" w:themeColor="hyperlink"/>
      <w:u w:val="single"/>
    </w:rPr>
  </w:style>
  <w:style w:type="character" w:styleId="FollowedHyperlink">
    <w:name w:val="FollowedHyperlink"/>
    <w:basedOn w:val="DefaultParagraphFont"/>
    <w:rsid w:val="0075685E"/>
    <w:rPr>
      <w:color w:val="954F72" w:themeColor="followedHyperlink"/>
      <w:u w:val="single"/>
    </w:rPr>
  </w:style>
  <w:style w:type="paragraph" w:styleId="BodyTextIndent3">
    <w:name w:val="Body Text Indent 3"/>
    <w:basedOn w:val="Normal"/>
    <w:link w:val="BodyTextIndent3Char"/>
    <w:rsid w:val="00935A29"/>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564"/>
    </w:pPr>
    <w:rPr>
      <w:snapToGrid w:val="0"/>
      <w:sz w:val="26"/>
      <w:szCs w:val="20"/>
    </w:rPr>
  </w:style>
  <w:style w:type="character" w:customStyle="1" w:styleId="BodyTextIndent3Char">
    <w:name w:val="Body Text Indent 3 Char"/>
    <w:basedOn w:val="DefaultParagraphFont"/>
    <w:link w:val="BodyTextIndent3"/>
    <w:rsid w:val="00935A29"/>
    <w:rPr>
      <w:snapToGrid w:val="0"/>
      <w:sz w:val="26"/>
    </w:rPr>
  </w:style>
  <w:style w:type="paragraph" w:styleId="ListParagraph">
    <w:name w:val="List Paragraph"/>
    <w:basedOn w:val="Normal"/>
    <w:uiPriority w:val="34"/>
    <w:qFormat/>
    <w:rsid w:val="00BA09C9"/>
    <w:pPr>
      <w:widowControl/>
      <w:autoSpaceDE/>
      <w:autoSpaceDN/>
      <w:adjustRightInd/>
      <w:spacing w:after="240"/>
      <w:ind w:left="720"/>
      <w:contextualSpacing/>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116476">
      <w:bodyDiv w:val="1"/>
      <w:marLeft w:val="0"/>
      <w:marRight w:val="0"/>
      <w:marTop w:val="0"/>
      <w:marBottom w:val="0"/>
      <w:divBdr>
        <w:top w:val="none" w:sz="0" w:space="0" w:color="auto"/>
        <w:left w:val="none" w:sz="0" w:space="0" w:color="auto"/>
        <w:bottom w:val="none" w:sz="0" w:space="0" w:color="auto"/>
        <w:right w:val="none" w:sz="0" w:space="0" w:color="auto"/>
      </w:divBdr>
      <w:divsChild>
        <w:div w:id="1361665144">
          <w:marLeft w:val="0"/>
          <w:marRight w:val="0"/>
          <w:marTop w:val="0"/>
          <w:marBottom w:val="0"/>
          <w:divBdr>
            <w:top w:val="none" w:sz="0" w:space="0" w:color="auto"/>
            <w:left w:val="none" w:sz="0" w:space="0" w:color="auto"/>
            <w:bottom w:val="none" w:sz="0" w:space="0" w:color="auto"/>
            <w:right w:val="none" w:sz="0" w:space="0" w:color="auto"/>
          </w:divBdr>
          <w:divsChild>
            <w:div w:id="430198098">
              <w:marLeft w:val="0"/>
              <w:marRight w:val="0"/>
              <w:marTop w:val="0"/>
              <w:marBottom w:val="0"/>
              <w:divBdr>
                <w:top w:val="none" w:sz="0" w:space="0" w:color="auto"/>
                <w:left w:val="none" w:sz="0" w:space="0" w:color="auto"/>
                <w:bottom w:val="none" w:sz="0" w:space="0" w:color="auto"/>
                <w:right w:val="none" w:sz="0" w:space="0" w:color="auto"/>
              </w:divBdr>
              <w:divsChild>
                <w:div w:id="1599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B2BC-747C-4F8E-A821-F2E6B67C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2020-10-19T16:50:00Z</dcterms:created>
  <dcterms:modified xsi:type="dcterms:W3CDTF">2021-02-09T14:41:00Z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