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90B" w:rsidRDefault="00727E5B">
      <w:pPr>
        <w:spacing w:after="0" w:line="259" w:lineRule="auto"/>
        <w:ind w:left="104" w:firstLine="0"/>
        <w:jc w:val="center"/>
      </w:pPr>
      <w:r>
        <w:rPr>
          <w:b/>
          <w:sz w:val="24"/>
          <w:u w:val="single" w:color="000000"/>
        </w:rPr>
        <w:t>Supporting Statement A</w:t>
      </w:r>
      <w:r>
        <w:rPr>
          <w:b/>
          <w:sz w:val="24"/>
        </w:rPr>
        <w:t xml:space="preserve"> </w:t>
      </w:r>
    </w:p>
    <w:p w:rsidR="00AA390B" w:rsidRDefault="00727E5B">
      <w:pPr>
        <w:spacing w:after="0" w:line="259" w:lineRule="auto"/>
        <w:ind w:left="166" w:firstLine="0"/>
        <w:jc w:val="center"/>
      </w:pPr>
      <w:r>
        <w:rPr>
          <w:b/>
          <w:sz w:val="24"/>
        </w:rPr>
        <w:t xml:space="preserve"> </w:t>
      </w:r>
    </w:p>
    <w:p w:rsidR="00AA390B" w:rsidRDefault="00727E5B">
      <w:pPr>
        <w:spacing w:after="0" w:line="259" w:lineRule="auto"/>
        <w:ind w:left="117" w:right="5"/>
        <w:jc w:val="center"/>
      </w:pPr>
      <w:r>
        <w:rPr>
          <w:b/>
          <w:sz w:val="24"/>
        </w:rPr>
        <w:t xml:space="preserve">Data Management Plan Self-Attestation Questionnaire (DMP SAQ) </w:t>
      </w:r>
    </w:p>
    <w:p w:rsidR="00AA390B" w:rsidRDefault="00727E5B">
      <w:pPr>
        <w:spacing w:after="0" w:line="259" w:lineRule="auto"/>
        <w:ind w:left="117"/>
        <w:jc w:val="center"/>
      </w:pPr>
      <w:r>
        <w:rPr>
          <w:b/>
          <w:sz w:val="24"/>
        </w:rPr>
        <w:t xml:space="preserve">(CMS-10773, OMB 0938-New) </w:t>
      </w:r>
    </w:p>
    <w:p w:rsidR="00AA390B" w:rsidRDefault="00727E5B">
      <w:pPr>
        <w:spacing w:after="17" w:line="259" w:lineRule="auto"/>
        <w:ind w:left="0" w:firstLine="0"/>
      </w:pPr>
      <w:r>
        <w:rPr>
          <w:sz w:val="20"/>
        </w:rPr>
        <w:t xml:space="preserve"> </w:t>
      </w:r>
    </w:p>
    <w:p w:rsidR="00AA390B" w:rsidRDefault="00727E5B">
      <w:pPr>
        <w:spacing w:after="0" w:line="259" w:lineRule="auto"/>
        <w:ind w:left="108" w:firstLine="0"/>
      </w:pPr>
      <w:r>
        <w:rPr>
          <w:sz w:val="24"/>
        </w:rPr>
        <w:t xml:space="preserve"> </w:t>
      </w:r>
    </w:p>
    <w:p w:rsidR="00AA390B" w:rsidRDefault="00727E5B">
      <w:pPr>
        <w:spacing w:after="0" w:line="259" w:lineRule="auto"/>
        <w:ind w:left="103"/>
      </w:pPr>
      <w:r>
        <w:rPr>
          <w:b/>
          <w:sz w:val="24"/>
          <w:u w:val="single" w:color="000000"/>
        </w:rPr>
        <w:t>Background</w:t>
      </w:r>
      <w:r>
        <w:rPr>
          <w:sz w:val="24"/>
        </w:rPr>
        <w:t xml:space="preserve"> </w:t>
      </w:r>
    </w:p>
    <w:p w:rsidR="00AA390B" w:rsidRDefault="00727E5B">
      <w:pPr>
        <w:spacing w:after="0" w:line="259" w:lineRule="auto"/>
        <w:ind w:left="108" w:firstLine="0"/>
      </w:pPr>
      <w:r>
        <w:rPr>
          <w:sz w:val="24"/>
        </w:rPr>
        <w:t xml:space="preserve"> </w:t>
      </w:r>
    </w:p>
    <w:p w:rsidR="00AA390B" w:rsidRDefault="00727E5B">
      <w:pPr>
        <w:ind w:left="103"/>
      </w:pPr>
      <w:r>
        <w:t xml:space="preserve">The Privacy Act of 1974, §552a requires the Centers for Medicare &amp; Medicaid Services (CMS) to track all disclosures of the agency’s Personally Identifiable Information (PII). CMS is also required by the Health Insurance Portability and Accountability Act (HIPAA) of 1996 and the Federal Information Security Management Act (FISMA) of 2002 to properly protect all PHI data maintained by the agency and account for the disclosure of PHI. When entities, such as academic, federal or state agency researchers or CMS contractors request CMS PII/PHI data, they enter into a </w:t>
      </w:r>
      <w:r>
        <w:rPr>
          <w:b/>
        </w:rPr>
        <w:t>Data Use Agreement</w:t>
      </w:r>
      <w:r>
        <w:t xml:space="preserve"> (DUA) (OMB# 0938-0734) with CMS. The DUA stipulates that the recipient of CMS data must properly protect the data according to all applicable data security standards and also provide for its appropriate destruction at the completion of the project/study or the expiration date of the DUA.  </w:t>
      </w:r>
    </w:p>
    <w:p w:rsidR="00AA390B" w:rsidRDefault="00727E5B">
      <w:pPr>
        <w:spacing w:after="0" w:line="259" w:lineRule="auto"/>
        <w:ind w:left="108" w:firstLine="0"/>
      </w:pPr>
      <w:r>
        <w:t xml:space="preserve"> </w:t>
      </w:r>
    </w:p>
    <w:p w:rsidR="00AA390B" w:rsidRDefault="00727E5B">
      <w:pPr>
        <w:ind w:left="103"/>
      </w:pPr>
      <w:r>
        <w:t xml:space="preserve">This request is for the </w:t>
      </w:r>
      <w:r>
        <w:rPr>
          <w:b/>
        </w:rPr>
        <w:t>Data Management Plan Self-Attestation Questionnaire (DMP SAQ)</w:t>
      </w:r>
      <w:r>
        <w:t xml:space="preserve"> form that will be required of DUA requesting organizations.  </w:t>
      </w:r>
    </w:p>
    <w:p w:rsidR="00AA390B" w:rsidRDefault="00727E5B">
      <w:pPr>
        <w:spacing w:line="259" w:lineRule="auto"/>
        <w:ind w:left="108" w:firstLine="0"/>
      </w:pPr>
      <w:r>
        <w:rPr>
          <w:b/>
          <w:sz w:val="20"/>
        </w:rPr>
        <w:t xml:space="preserve"> </w:t>
      </w:r>
    </w:p>
    <w:p w:rsidR="00AA390B" w:rsidRDefault="00727E5B">
      <w:pPr>
        <w:ind w:left="103"/>
      </w:pPr>
      <w:r>
        <w:t xml:space="preserve">The CMS is permitted to disclose CMS data for research purposes to organizations that have been approved through the research data request process. To qualify to receive CMS data, requesting organizations must compile a data request packet. The data request packet's primary components are the Data Use Agreement (DUA) and the Data Management Plan Self-Attestation Questionnaire (DMP SAQ).  </w:t>
      </w:r>
    </w:p>
    <w:p w:rsidR="00AA390B" w:rsidRDefault="00727E5B">
      <w:pPr>
        <w:spacing w:after="0" w:line="259" w:lineRule="auto"/>
        <w:ind w:left="108" w:firstLine="0"/>
      </w:pPr>
      <w:r>
        <w:t xml:space="preserve"> </w:t>
      </w:r>
    </w:p>
    <w:p w:rsidR="00AA390B" w:rsidRDefault="00727E5B">
      <w:pPr>
        <w:ind w:left="103"/>
      </w:pPr>
      <w:r>
        <w:t xml:space="preserve">As per the DUA, pg. 5, the DUA legally binds the user to the Agreement's terms. The user must agree to all the terms and sign off on them prior to the release or access to data files containing protected health information, and individual identifiers. The DMP SAQ is a technical, </w:t>
      </w:r>
      <w:r w:rsidR="00E24A3A">
        <w:t>evidence based</w:t>
      </w:r>
      <w:r>
        <w:t xml:space="preserve"> questionnaire that DUA users must complete as part of the data request packet. The DMP SAQ will enable CMS to evaluate researcher data systems to ensure that CMS data are adequately secured and appropriately protected, as per the Privacy Act and the HIPAA Privacy Rule. The DMP SAQ also allows CMS to measure compliance through the implementation of security and privacy controls as outlined in the National Institute of Standards and Technology (NIST) Special Publication 800-53 and the Centers for Medicare &amp; Medicaid Services (CMS) Information Security and Acceptable Risk Safeguards (ARS). The second component of the DMP SAQ is to provide ongoing oversight. All organizations will be subject to routine audits of the environments used to store and process CMS data, as described in their organizational-level DMP SAQ.   </w:t>
      </w:r>
    </w:p>
    <w:p w:rsidR="00AA390B" w:rsidRDefault="00727E5B">
      <w:pPr>
        <w:spacing w:after="0" w:line="259" w:lineRule="auto"/>
        <w:ind w:left="108" w:firstLine="0"/>
      </w:pPr>
      <w:r>
        <w:t xml:space="preserve"> </w:t>
      </w:r>
    </w:p>
    <w:p w:rsidR="00AA390B" w:rsidRDefault="00727E5B">
      <w:pPr>
        <w:ind w:left="103"/>
      </w:pPr>
      <w:r>
        <w:t xml:space="preserve">A DMP SAQ is required each time a DUA is established. Both the DUA and the DMP SAQ forms are valid for one year from the date of approval and are renewable at expiry. If the environment </w:t>
      </w:r>
      <w:r>
        <w:lastRenderedPageBreak/>
        <w:t xml:space="preserve">described in a DMP SAQ is the same for multiple DUAs from a single organization, the same DMP SAQ can be used across the DUAs, provided it has not expired.  </w:t>
      </w:r>
    </w:p>
    <w:p w:rsidR="00AA390B" w:rsidRDefault="00727E5B">
      <w:pPr>
        <w:spacing w:after="0" w:line="259" w:lineRule="auto"/>
        <w:ind w:left="108" w:firstLine="0"/>
      </w:pPr>
      <w:r>
        <w:t xml:space="preserve"> </w:t>
      </w:r>
    </w:p>
    <w:p w:rsidR="00AA390B" w:rsidRDefault="00727E5B">
      <w:pPr>
        <w:spacing w:after="0" w:line="259" w:lineRule="auto"/>
        <w:ind w:left="108" w:firstLine="0"/>
      </w:pPr>
      <w:r>
        <w:t xml:space="preserve"> </w:t>
      </w:r>
    </w:p>
    <w:p w:rsidR="00AA390B" w:rsidRDefault="00727E5B">
      <w:pPr>
        <w:spacing w:after="0" w:line="259" w:lineRule="auto"/>
        <w:ind w:left="478"/>
      </w:pPr>
      <w:r>
        <w:rPr>
          <w:sz w:val="24"/>
        </w:rPr>
        <w:t>A.</w:t>
      </w:r>
      <w:r>
        <w:rPr>
          <w:rFonts w:ascii="Arial" w:hAnsi="Arial" w:eastAsia="Arial" w:cs="Arial"/>
          <w:sz w:val="24"/>
        </w:rPr>
        <w:t xml:space="preserve"> </w:t>
      </w:r>
      <w:r>
        <w:rPr>
          <w:b/>
          <w:sz w:val="24"/>
          <w:u w:val="single" w:color="000000"/>
        </w:rPr>
        <w:t>Justification</w:t>
      </w:r>
      <w:r>
        <w:rPr>
          <w:sz w:val="24"/>
        </w:rPr>
        <w:t xml:space="preserve"> </w:t>
      </w:r>
    </w:p>
    <w:p w:rsidR="00AA390B" w:rsidRDefault="00727E5B">
      <w:pPr>
        <w:spacing w:after="0" w:line="259" w:lineRule="auto"/>
        <w:ind w:left="108" w:firstLine="0"/>
      </w:pPr>
      <w:r>
        <w:rPr>
          <w:sz w:val="24"/>
        </w:rPr>
        <w:t xml:space="preserve"> </w:t>
      </w:r>
    </w:p>
    <w:p w:rsidR="00AA390B" w:rsidRDefault="00727E5B">
      <w:pPr>
        <w:numPr>
          <w:ilvl w:val="0"/>
          <w:numId w:val="1"/>
        </w:numPr>
        <w:spacing w:after="0" w:line="259" w:lineRule="auto"/>
        <w:ind w:hanging="360"/>
      </w:pPr>
      <w:r>
        <w:rPr>
          <w:sz w:val="24"/>
          <w:u w:val="single" w:color="000000"/>
        </w:rPr>
        <w:t>Need and Legal Basis</w:t>
      </w:r>
      <w:r>
        <w:rPr>
          <w:sz w:val="24"/>
        </w:rPr>
        <w:t xml:space="preserve"> </w:t>
      </w:r>
    </w:p>
    <w:p w:rsidR="00AA390B" w:rsidRDefault="00727E5B">
      <w:pPr>
        <w:spacing w:after="0" w:line="259" w:lineRule="auto"/>
        <w:ind w:left="108" w:firstLine="0"/>
      </w:pPr>
      <w:r>
        <w:rPr>
          <w:sz w:val="24"/>
        </w:rPr>
        <w:t xml:space="preserve"> </w:t>
      </w:r>
    </w:p>
    <w:p w:rsidR="00AA390B" w:rsidRDefault="00727E5B">
      <w:pPr>
        <w:ind w:left="103"/>
      </w:pPr>
      <w:r>
        <w:t xml:space="preserve">The Privacy Act of 1974 allows for discretionary releases of data maintained in Privacy Act protected systems of records under §552a(b) (Conditions of Disclosure). The mandate to account for disclosures of data under the Privacy Act is found at §552a(c)(Accounting of Certain Disclosures). This section states that certain information must be maintained regarding disclosures made by each agency. This information is: Date, Nature, Purpose, and Name/Address of Recipient. Section 552a(e) sets the overall Agency Requirements that each agency must meet in order to maintain records under the Privacy Act. The Data Use Agreement (DUA) form is needed as part of the review of each CMS data request to ensure compliance with the requirements of the Privacy Act for disclosures that contain PII.  </w:t>
      </w:r>
    </w:p>
    <w:p w:rsidR="00AA390B" w:rsidRDefault="00727E5B">
      <w:pPr>
        <w:spacing w:after="0" w:line="259" w:lineRule="auto"/>
        <w:ind w:left="108" w:firstLine="0"/>
      </w:pPr>
      <w:r>
        <w:t xml:space="preserve"> </w:t>
      </w:r>
    </w:p>
    <w:p w:rsidR="00AA390B" w:rsidRDefault="00727E5B">
      <w:pPr>
        <w:ind w:left="103"/>
      </w:pPr>
      <w:r>
        <w:t xml:space="preserve">The DUA form also provides data requestors and custodians with a formal means to agree to the data protection and destruction statutory and regulatory requirements of CMS’ PII data. The Health Insurance Portability and Accountability Act (HIPAA) of 1996, §1173(d) (Security Standards for </w:t>
      </w:r>
    </w:p>
    <w:p w:rsidR="00AA390B" w:rsidRDefault="00727E5B">
      <w:pPr>
        <w:ind w:left="103"/>
      </w:pPr>
      <w:r>
        <w:t xml:space="preserve">Health Information) requires CMS to protect Protected Health Information (PHI). Additionally, Federal Information Security Management Act (FISMA), 44 U.S.C. § 3541-3549, as amended by the Federal Information Security Modernization Act of 2014 (Pub. L. 113-283) also requires CMS to develop policies and procedures for the protection and destruction of sensitive data to include PII. </w:t>
      </w:r>
    </w:p>
    <w:p w:rsidR="00AA390B" w:rsidRDefault="00727E5B">
      <w:pPr>
        <w:spacing w:after="0" w:line="259" w:lineRule="auto"/>
        <w:ind w:left="108" w:firstLine="0"/>
      </w:pPr>
      <w:r>
        <w:t xml:space="preserve"> </w:t>
      </w:r>
    </w:p>
    <w:p w:rsidR="00AA390B" w:rsidRDefault="00727E5B">
      <w:pPr>
        <w:numPr>
          <w:ilvl w:val="0"/>
          <w:numId w:val="1"/>
        </w:numPr>
        <w:spacing w:after="0" w:line="259" w:lineRule="auto"/>
        <w:ind w:hanging="360"/>
      </w:pPr>
      <w:r>
        <w:rPr>
          <w:sz w:val="24"/>
          <w:u w:val="single" w:color="000000"/>
        </w:rPr>
        <w:t>Information Users</w:t>
      </w:r>
      <w:r>
        <w:rPr>
          <w:sz w:val="24"/>
        </w:rPr>
        <w:t xml:space="preserve"> </w:t>
      </w:r>
    </w:p>
    <w:p w:rsidR="00AA390B" w:rsidRDefault="00727E5B">
      <w:pPr>
        <w:spacing w:after="0" w:line="259" w:lineRule="auto"/>
        <w:ind w:left="108" w:firstLine="0"/>
      </w:pPr>
      <w:r>
        <w:rPr>
          <w:sz w:val="24"/>
        </w:rPr>
        <w:t xml:space="preserve"> </w:t>
      </w:r>
    </w:p>
    <w:p w:rsidR="00AA390B" w:rsidRDefault="00727E5B">
      <w:pPr>
        <w:ind w:left="103"/>
      </w:pPr>
      <w:r>
        <w:t xml:space="preserve">The information collected by the DMP SAQ form is used by CMS to conduct reviews and audits to ensure that research organization’s computing environments have security and privacy controls in place to protect CMS data to comply with NIST SP 800-53, Rev. 4 and CMS ARS 3.1.  </w:t>
      </w:r>
    </w:p>
    <w:p w:rsidR="00AA390B" w:rsidRDefault="00727E5B">
      <w:pPr>
        <w:spacing w:after="0" w:line="259" w:lineRule="auto"/>
        <w:ind w:left="108" w:firstLine="0"/>
      </w:pPr>
      <w:r>
        <w:rPr>
          <w:sz w:val="24"/>
        </w:rPr>
        <w:t xml:space="preserve"> </w:t>
      </w:r>
    </w:p>
    <w:p w:rsidR="00AA390B" w:rsidRDefault="00727E5B">
      <w:pPr>
        <w:numPr>
          <w:ilvl w:val="0"/>
          <w:numId w:val="1"/>
        </w:numPr>
        <w:spacing w:after="0" w:line="259" w:lineRule="auto"/>
        <w:ind w:hanging="360"/>
      </w:pPr>
      <w:r>
        <w:rPr>
          <w:sz w:val="24"/>
          <w:u w:val="single" w:color="000000"/>
        </w:rPr>
        <w:t>Use of Information Technology</w:t>
      </w:r>
      <w:r>
        <w:rPr>
          <w:sz w:val="24"/>
        </w:rPr>
        <w:t xml:space="preserve"> </w:t>
      </w:r>
    </w:p>
    <w:p w:rsidR="00AA390B" w:rsidRDefault="00727E5B">
      <w:pPr>
        <w:spacing w:after="0" w:line="259" w:lineRule="auto"/>
        <w:ind w:left="108" w:firstLine="0"/>
      </w:pPr>
      <w:r>
        <w:rPr>
          <w:sz w:val="24"/>
        </w:rPr>
        <w:t xml:space="preserve"> </w:t>
      </w:r>
    </w:p>
    <w:p w:rsidR="00AA390B" w:rsidRDefault="00727E5B">
      <w:pPr>
        <w:spacing w:after="0" w:line="249" w:lineRule="auto"/>
        <w:ind w:left="103"/>
      </w:pPr>
      <w:r>
        <w:t xml:space="preserve">The DMP SAQ form is filled out and submitted via email to the CMS Research Data Assistance Center. </w:t>
      </w:r>
      <w:r>
        <w:rPr>
          <w:sz w:val="24"/>
        </w:rPr>
        <w:t>The form will be downloadable from the CMS website, and well as provided by the Research Data Assistance Center. The form collects organization and environment information, followed by 97 Security protection questions and 16 Privacy protection questions.</w:t>
      </w:r>
      <w:r>
        <w:t xml:space="preserve"> </w:t>
      </w:r>
    </w:p>
    <w:p w:rsidR="00AA390B" w:rsidRDefault="00727E5B">
      <w:pPr>
        <w:ind w:left="103"/>
      </w:pPr>
      <w:r>
        <w:t xml:space="preserve">The questions in the form ensure that users of CMS data are in compliance with security and privacy controls identified by the following frameworks: </w:t>
      </w:r>
    </w:p>
    <w:p w:rsidR="00AA390B" w:rsidRDefault="00727E5B">
      <w:pPr>
        <w:numPr>
          <w:ilvl w:val="0"/>
          <w:numId w:val="2"/>
        </w:numPr>
        <w:ind w:hanging="360"/>
      </w:pPr>
      <w:r>
        <w:t>CMS</w:t>
      </w:r>
      <w:hyperlink r:id="rId7">
        <w:r>
          <w:rPr>
            <w:i/>
          </w:rPr>
          <w:t xml:space="preserve"> </w:t>
        </w:r>
      </w:hyperlink>
      <w:hyperlink r:id="rId8">
        <w:r>
          <w:rPr>
            <w:i/>
            <w:color w:val="0562C1"/>
            <w:u w:val="single" w:color="0562C1"/>
          </w:rPr>
          <w:t xml:space="preserve">Acceptable Risk Safeguards </w:t>
        </w:r>
      </w:hyperlink>
      <w:hyperlink r:id="rId9">
        <w:r>
          <w:t>(</w:t>
        </w:r>
      </w:hyperlink>
      <w:r>
        <w:t xml:space="preserve">ARS),Version 3.1, and </w:t>
      </w:r>
    </w:p>
    <w:p w:rsidR="00AA390B" w:rsidRDefault="00727E5B">
      <w:pPr>
        <w:numPr>
          <w:ilvl w:val="0"/>
          <w:numId w:val="2"/>
        </w:numPr>
        <w:ind w:hanging="360"/>
      </w:pPr>
      <w:r>
        <w:t xml:space="preserve">National Institute of Standards of Technology (NIST) Special Publication (SP) 800-53 Revision 4, </w:t>
      </w:r>
      <w:hyperlink r:id="rId10">
        <w:r>
          <w:rPr>
            <w:i/>
            <w:color w:val="0562C1"/>
            <w:u w:val="single" w:color="0562C1"/>
          </w:rPr>
          <w:t>Security and Privacy Controls for Federal Information Systems and</w:t>
        </w:r>
      </w:hyperlink>
      <w:hyperlink r:id="rId11">
        <w:r>
          <w:rPr>
            <w:i/>
            <w:color w:val="0562C1"/>
          </w:rPr>
          <w:t xml:space="preserve"> </w:t>
        </w:r>
      </w:hyperlink>
      <w:hyperlink r:id="rId12">
        <w:r>
          <w:rPr>
            <w:i/>
            <w:color w:val="0562C1"/>
            <w:u w:val="single" w:color="0562C1"/>
          </w:rPr>
          <w:t>Organizations</w:t>
        </w:r>
      </w:hyperlink>
      <w:hyperlink r:id="rId13">
        <w:r>
          <w:t>.</w:t>
        </w:r>
      </w:hyperlink>
      <w:r>
        <w:t xml:space="preserve"> </w:t>
      </w:r>
    </w:p>
    <w:p w:rsidR="00AA390B" w:rsidRDefault="00727E5B">
      <w:pPr>
        <w:ind w:left="103"/>
      </w:pPr>
      <w:r>
        <w:lastRenderedPageBreak/>
        <w:t xml:space="preserve">CMS accepts digital signatures on the form. </w:t>
      </w:r>
    </w:p>
    <w:p w:rsidR="00AA390B" w:rsidRDefault="00727E5B">
      <w:pPr>
        <w:spacing w:after="0" w:line="259" w:lineRule="auto"/>
        <w:ind w:left="108" w:firstLine="0"/>
      </w:pPr>
      <w:r>
        <w:t xml:space="preserve"> </w:t>
      </w:r>
    </w:p>
    <w:p w:rsidR="00AA390B" w:rsidRDefault="00727E5B">
      <w:pPr>
        <w:numPr>
          <w:ilvl w:val="0"/>
          <w:numId w:val="1"/>
        </w:numPr>
        <w:spacing w:after="0" w:line="259" w:lineRule="auto"/>
        <w:ind w:hanging="360"/>
      </w:pPr>
      <w:r>
        <w:rPr>
          <w:sz w:val="24"/>
          <w:u w:val="single" w:color="000000"/>
        </w:rPr>
        <w:t>Duplication of Efforts</w:t>
      </w:r>
      <w:r>
        <w:rPr>
          <w:sz w:val="24"/>
        </w:rPr>
        <w:t xml:space="preserve"> </w:t>
      </w:r>
    </w:p>
    <w:p w:rsidR="00AA390B" w:rsidRDefault="00727E5B">
      <w:pPr>
        <w:spacing w:after="0" w:line="259" w:lineRule="auto"/>
        <w:ind w:left="108" w:firstLine="0"/>
      </w:pPr>
      <w:r>
        <w:rPr>
          <w:sz w:val="24"/>
        </w:rPr>
        <w:t xml:space="preserve"> </w:t>
      </w:r>
    </w:p>
    <w:p w:rsidR="00AA390B" w:rsidRDefault="00727E5B">
      <w:pPr>
        <w:ind w:left="103"/>
      </w:pPr>
      <w:r>
        <w:t xml:space="preserve">This information collection does not duplicate any other effort and the information cannot </w:t>
      </w:r>
      <w:r w:rsidR="00C813C2">
        <w:t>be obtained</w:t>
      </w:r>
      <w:r>
        <w:t xml:space="preserve"> from any other source </w:t>
      </w:r>
    </w:p>
    <w:p w:rsidR="00AA390B" w:rsidRDefault="00727E5B">
      <w:pPr>
        <w:spacing w:after="0" w:line="259" w:lineRule="auto"/>
        <w:ind w:left="108" w:firstLine="0"/>
      </w:pPr>
      <w:r>
        <w:t xml:space="preserve"> </w:t>
      </w:r>
    </w:p>
    <w:p w:rsidR="00AA390B" w:rsidRDefault="00727E5B">
      <w:pPr>
        <w:numPr>
          <w:ilvl w:val="0"/>
          <w:numId w:val="1"/>
        </w:numPr>
        <w:spacing w:after="0" w:line="259" w:lineRule="auto"/>
        <w:ind w:hanging="360"/>
      </w:pPr>
      <w:r>
        <w:rPr>
          <w:sz w:val="24"/>
          <w:u w:val="single" w:color="000000"/>
        </w:rPr>
        <w:t>Small Businesses</w:t>
      </w:r>
      <w:r>
        <w:rPr>
          <w:sz w:val="24"/>
        </w:rPr>
        <w:t xml:space="preserve"> </w:t>
      </w:r>
    </w:p>
    <w:p w:rsidR="00AA390B" w:rsidRDefault="00727E5B">
      <w:pPr>
        <w:spacing w:after="0" w:line="259" w:lineRule="auto"/>
        <w:ind w:left="108" w:firstLine="0"/>
      </w:pPr>
      <w:r>
        <w:rPr>
          <w:sz w:val="24"/>
        </w:rPr>
        <w:t xml:space="preserve"> </w:t>
      </w:r>
    </w:p>
    <w:p w:rsidR="00AA390B" w:rsidRDefault="00727E5B">
      <w:pPr>
        <w:ind w:left="103"/>
      </w:pPr>
      <w:r>
        <w:t xml:space="preserve">No special considerations are given to small businesses; however, the burden to any User/Requestor of data is minimal. </w:t>
      </w:r>
    </w:p>
    <w:p w:rsidR="00AA390B" w:rsidRDefault="00727E5B">
      <w:pPr>
        <w:spacing w:after="0" w:line="259" w:lineRule="auto"/>
        <w:ind w:left="108" w:firstLine="0"/>
      </w:pPr>
      <w:r>
        <w:rPr>
          <w:sz w:val="24"/>
        </w:rPr>
        <w:t xml:space="preserve"> </w:t>
      </w:r>
    </w:p>
    <w:p w:rsidR="00AA390B" w:rsidRDefault="00727E5B">
      <w:pPr>
        <w:numPr>
          <w:ilvl w:val="0"/>
          <w:numId w:val="1"/>
        </w:numPr>
        <w:spacing w:after="0" w:line="259" w:lineRule="auto"/>
        <w:ind w:hanging="360"/>
      </w:pPr>
      <w:r>
        <w:rPr>
          <w:sz w:val="24"/>
          <w:u w:val="single" w:color="000000"/>
        </w:rPr>
        <w:t>Less Frequent Collection</w:t>
      </w:r>
      <w:r>
        <w:rPr>
          <w:sz w:val="24"/>
        </w:rPr>
        <w:t xml:space="preserve"> </w:t>
      </w:r>
    </w:p>
    <w:p w:rsidR="00AA390B" w:rsidRDefault="00727E5B">
      <w:pPr>
        <w:spacing w:after="0" w:line="259" w:lineRule="auto"/>
        <w:ind w:left="108" w:firstLine="0"/>
      </w:pPr>
      <w:r>
        <w:rPr>
          <w:sz w:val="24"/>
        </w:rPr>
        <w:t xml:space="preserve"> </w:t>
      </w:r>
    </w:p>
    <w:p w:rsidR="00AA390B" w:rsidRDefault="00727E5B">
      <w:pPr>
        <w:ind w:left="103"/>
      </w:pPr>
      <w:r>
        <w:t xml:space="preserve">Data is collected only once at the onset of the study/project and then only again if there are changes initiated by the Requestor. There are no additional means for reducing the data collection burden and still be compliant with all applicable statutory and regulatory requirements, as well as CMS policies/procedures. Yearly, the organization will attest that there are no changes via email. </w:t>
      </w:r>
    </w:p>
    <w:p w:rsidR="00AA390B" w:rsidRDefault="00727E5B">
      <w:pPr>
        <w:spacing w:after="0" w:line="259" w:lineRule="auto"/>
        <w:ind w:left="108" w:firstLine="0"/>
      </w:pPr>
      <w:r>
        <w:t xml:space="preserve"> </w:t>
      </w:r>
    </w:p>
    <w:p w:rsidR="00AA390B" w:rsidRDefault="00727E5B">
      <w:pPr>
        <w:numPr>
          <w:ilvl w:val="0"/>
          <w:numId w:val="1"/>
        </w:numPr>
        <w:spacing w:after="0" w:line="259" w:lineRule="auto"/>
        <w:ind w:hanging="360"/>
      </w:pPr>
      <w:r>
        <w:rPr>
          <w:sz w:val="24"/>
          <w:u w:val="single" w:color="000000"/>
        </w:rPr>
        <w:t>Special Circumstances</w:t>
      </w:r>
      <w:r>
        <w:rPr>
          <w:sz w:val="24"/>
        </w:rPr>
        <w:t xml:space="preserve"> </w:t>
      </w:r>
    </w:p>
    <w:p w:rsidR="00AA390B" w:rsidRDefault="00727E5B">
      <w:pPr>
        <w:spacing w:after="0" w:line="259" w:lineRule="auto"/>
        <w:ind w:left="108" w:firstLine="0"/>
      </w:pPr>
      <w:r>
        <w:rPr>
          <w:sz w:val="24"/>
        </w:rPr>
        <w:t xml:space="preserve"> </w:t>
      </w:r>
    </w:p>
    <w:p w:rsidR="00AA390B" w:rsidRDefault="00727E5B">
      <w:pPr>
        <w:ind w:left="103"/>
      </w:pPr>
      <w:r>
        <w:t xml:space="preserve">There are no special circumstances that would require an information collection to be conducted in a manner that requires respondents to: </w:t>
      </w:r>
    </w:p>
    <w:p w:rsidR="00AA390B" w:rsidRDefault="00727E5B">
      <w:pPr>
        <w:spacing w:after="0" w:line="259" w:lineRule="auto"/>
        <w:ind w:left="108" w:firstLine="0"/>
      </w:pPr>
      <w:r>
        <w:t xml:space="preserve"> </w:t>
      </w:r>
    </w:p>
    <w:p w:rsidR="00AA390B" w:rsidRDefault="00727E5B">
      <w:pPr>
        <w:numPr>
          <w:ilvl w:val="0"/>
          <w:numId w:val="3"/>
        </w:numPr>
        <w:ind w:hanging="432"/>
      </w:pPr>
      <w:r>
        <w:t xml:space="preserve">Report information to the agency more often than quarterly; </w:t>
      </w:r>
    </w:p>
    <w:p w:rsidR="00AA390B" w:rsidRDefault="00727E5B">
      <w:pPr>
        <w:numPr>
          <w:ilvl w:val="0"/>
          <w:numId w:val="3"/>
        </w:numPr>
        <w:ind w:hanging="432"/>
      </w:pPr>
      <w:r>
        <w:t xml:space="preserve">Prepare a written response to a collection of information in fewer than 30 days after receipt of it;  </w:t>
      </w:r>
    </w:p>
    <w:p w:rsidR="00AA390B" w:rsidRDefault="00727E5B">
      <w:pPr>
        <w:numPr>
          <w:ilvl w:val="0"/>
          <w:numId w:val="3"/>
        </w:numPr>
        <w:ind w:hanging="432"/>
      </w:pPr>
      <w:r>
        <w:t xml:space="preserve">Submit more than an original and two copies of any document; </w:t>
      </w:r>
    </w:p>
    <w:p w:rsidR="00AA390B" w:rsidRDefault="00727E5B">
      <w:pPr>
        <w:numPr>
          <w:ilvl w:val="0"/>
          <w:numId w:val="3"/>
        </w:numPr>
        <w:ind w:hanging="432"/>
      </w:pPr>
      <w:r>
        <w:t xml:space="preserve">Retain records, other than health, medical, government contract, grant-in-aid, or tax records for more than three years; </w:t>
      </w:r>
    </w:p>
    <w:p w:rsidR="00AA390B" w:rsidRDefault="00727E5B">
      <w:pPr>
        <w:numPr>
          <w:ilvl w:val="0"/>
          <w:numId w:val="3"/>
        </w:numPr>
        <w:ind w:hanging="432"/>
      </w:pPr>
      <w:r>
        <w:t xml:space="preserve">Collect data in connection with a statistical survey that is not designed to produce valid and reliable results that can be generalized to the universe of study, </w:t>
      </w:r>
    </w:p>
    <w:p w:rsidR="00AA390B" w:rsidRDefault="00727E5B">
      <w:pPr>
        <w:numPr>
          <w:ilvl w:val="0"/>
          <w:numId w:val="3"/>
        </w:numPr>
        <w:ind w:hanging="432"/>
      </w:pPr>
      <w:r>
        <w:t xml:space="preserve">Use a statistical data classification that has not been reviewed and approved by OMB; </w:t>
      </w:r>
    </w:p>
    <w:p w:rsidR="00AA390B" w:rsidRDefault="00727E5B">
      <w:pPr>
        <w:numPr>
          <w:ilvl w:val="0"/>
          <w:numId w:val="3"/>
        </w:numPr>
        <w:ind w:hanging="432"/>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AA390B" w:rsidRDefault="00727E5B">
      <w:pPr>
        <w:numPr>
          <w:ilvl w:val="0"/>
          <w:numId w:val="3"/>
        </w:numPr>
        <w:ind w:hanging="432"/>
      </w:pPr>
      <w:r>
        <w:t>Submit proprietary trade secret, or other confidential information unless the agency can demonstrate that it has instituted procedures to protect the information's confidentiality to the extent permitted by law.</w:t>
      </w:r>
      <w:r>
        <w:rPr>
          <w:sz w:val="24"/>
        </w:rPr>
        <w:t xml:space="preserve"> </w:t>
      </w:r>
    </w:p>
    <w:p w:rsidR="00AA390B" w:rsidRDefault="00727E5B">
      <w:pPr>
        <w:spacing w:after="0" w:line="259" w:lineRule="auto"/>
        <w:ind w:left="108" w:firstLine="0"/>
      </w:pPr>
      <w:r>
        <w:rPr>
          <w:sz w:val="24"/>
        </w:rPr>
        <w:t xml:space="preserve"> </w:t>
      </w:r>
    </w:p>
    <w:p w:rsidR="00AA390B" w:rsidRDefault="00727E5B">
      <w:pPr>
        <w:spacing w:after="0" w:line="259" w:lineRule="auto"/>
        <w:ind w:left="463"/>
      </w:pPr>
      <w:r>
        <w:rPr>
          <w:sz w:val="24"/>
        </w:rPr>
        <w:t>8.</w:t>
      </w:r>
      <w:r>
        <w:rPr>
          <w:rFonts w:ascii="Arial" w:hAnsi="Arial" w:eastAsia="Arial" w:cs="Arial"/>
          <w:sz w:val="24"/>
        </w:rPr>
        <w:t xml:space="preserve"> </w:t>
      </w:r>
      <w:r>
        <w:rPr>
          <w:sz w:val="24"/>
          <w:u w:val="single" w:color="000000"/>
        </w:rPr>
        <w:t>Federal Register/Outside Consultation</w:t>
      </w:r>
      <w:r>
        <w:rPr>
          <w:sz w:val="24"/>
        </w:rPr>
        <w:t xml:space="preserve"> </w:t>
      </w:r>
    </w:p>
    <w:p w:rsidR="00AA390B" w:rsidRDefault="00727E5B">
      <w:pPr>
        <w:spacing w:after="0" w:line="259" w:lineRule="auto"/>
        <w:ind w:left="108" w:firstLine="0"/>
      </w:pPr>
      <w:r>
        <w:t xml:space="preserve"> </w:t>
      </w:r>
    </w:p>
    <w:p w:rsidR="00C813C2" w:rsidP="00C813C2" w:rsidRDefault="00727E5B">
      <w:pPr>
        <w:ind w:left="103"/>
      </w:pPr>
      <w:r>
        <w:t xml:space="preserve">The 60-day Federal Register notice published in the Federal Register </w:t>
      </w:r>
      <w:r w:rsidRPr="00E24A3A" w:rsidR="00E24A3A">
        <w:t>12/07/2020</w:t>
      </w:r>
      <w:r>
        <w:t xml:space="preserve"> (</w:t>
      </w:r>
      <w:r w:rsidRPr="00C813C2" w:rsidR="00C813C2">
        <w:t>85 FR 78855</w:t>
      </w:r>
      <w:r>
        <w:t xml:space="preserve">). </w:t>
      </w:r>
    </w:p>
    <w:p w:rsidR="00C813C2" w:rsidP="00C813C2" w:rsidRDefault="00C813C2">
      <w:pPr>
        <w:ind w:left="103"/>
      </w:pPr>
      <w:r>
        <w:t xml:space="preserve">No comments were received during the comment period. </w:t>
      </w:r>
    </w:p>
    <w:p w:rsidR="00C813C2" w:rsidP="00C813C2" w:rsidRDefault="00C813C2">
      <w:pPr>
        <w:ind w:left="103"/>
      </w:pPr>
    </w:p>
    <w:p w:rsidR="00C813C2" w:rsidP="00C813C2" w:rsidRDefault="00C813C2">
      <w:pPr>
        <w:ind w:left="103"/>
      </w:pPr>
      <w:r>
        <w:t xml:space="preserve">The 30-day Federal Register notice published in the Federal Register </w:t>
      </w:r>
      <w:r w:rsidR="00905F2E">
        <w:t>2/18/2021</w:t>
      </w:r>
      <w:r>
        <w:t xml:space="preserve"> (</w:t>
      </w:r>
      <w:r w:rsidRPr="00905F2E" w:rsidR="00905F2E">
        <w:t>86 FR 10106</w:t>
      </w:r>
      <w:r>
        <w:t xml:space="preserve">). </w:t>
      </w:r>
    </w:p>
    <w:p w:rsidR="00C813C2" w:rsidRDefault="00C813C2">
      <w:pPr>
        <w:ind w:left="103"/>
      </w:pPr>
    </w:p>
    <w:p w:rsidR="00AA390B" w:rsidRDefault="00727E5B">
      <w:pPr>
        <w:spacing w:after="0" w:line="259" w:lineRule="auto"/>
        <w:ind w:left="108" w:firstLine="0"/>
      </w:pPr>
      <w:r>
        <w:rPr>
          <w:sz w:val="24"/>
        </w:rPr>
        <w:t xml:space="preserve"> </w:t>
      </w:r>
    </w:p>
    <w:p w:rsidR="00AA390B" w:rsidRDefault="00727E5B">
      <w:pPr>
        <w:spacing w:after="0" w:line="259" w:lineRule="auto"/>
        <w:ind w:left="108" w:firstLine="0"/>
      </w:pPr>
      <w:r>
        <w:rPr>
          <w:i/>
          <w:sz w:val="24"/>
          <w:u w:val="single" w:color="000000"/>
        </w:rPr>
        <w:t>Outside Consultation</w:t>
      </w:r>
      <w:r>
        <w:rPr>
          <w:i/>
          <w:sz w:val="24"/>
        </w:rPr>
        <w:t xml:space="preserve"> </w:t>
      </w:r>
    </w:p>
    <w:p w:rsidR="00AA390B" w:rsidRDefault="00727E5B">
      <w:pPr>
        <w:spacing w:after="0" w:line="259" w:lineRule="auto"/>
        <w:ind w:left="108" w:firstLine="0"/>
      </w:pPr>
      <w:r>
        <w:rPr>
          <w:i/>
          <w:sz w:val="24"/>
        </w:rPr>
        <w:t xml:space="preserve"> </w:t>
      </w:r>
    </w:p>
    <w:p w:rsidR="00AA390B" w:rsidP="00C813C2" w:rsidRDefault="00727E5B">
      <w:pPr>
        <w:spacing w:after="0" w:line="259" w:lineRule="auto"/>
        <w:ind w:left="108" w:firstLine="0"/>
      </w:pPr>
      <w:r>
        <w:t xml:space="preserve">A DMP SAQ pilot was conducted to test the new security and privacy requirements associated with the use of data for research purposes. Six organizations completed the pilot program. During the process, CMS solicited feedback from the participating organizations on two occasions — midway through the pilot and at the end, after each DMP SAQ was completed and submitted for review. The primary takeaway from both surveys was a need to enhance the user-friendliness. CMS took into account that the DMP SAQ form is technical and would require input from the organization’s IT staff members. As a result, the form was updated to speak to an audience of both researchers and IT staff, enhance readability, streamline questions to limit redundancy, and to consolidate document requirements.   </w:t>
      </w:r>
    </w:p>
    <w:p w:rsidR="00AA390B" w:rsidRDefault="00727E5B">
      <w:pPr>
        <w:spacing w:after="0" w:line="259" w:lineRule="auto"/>
        <w:ind w:left="108" w:firstLine="0"/>
      </w:pPr>
      <w:r>
        <w:rPr>
          <w:i/>
          <w:sz w:val="24"/>
        </w:rPr>
        <w:t xml:space="preserve"> </w:t>
      </w:r>
    </w:p>
    <w:p w:rsidR="00AA390B" w:rsidRDefault="00727E5B">
      <w:pPr>
        <w:numPr>
          <w:ilvl w:val="0"/>
          <w:numId w:val="4"/>
        </w:numPr>
        <w:spacing w:after="0" w:line="259" w:lineRule="auto"/>
        <w:ind w:hanging="360"/>
      </w:pPr>
      <w:r>
        <w:rPr>
          <w:sz w:val="24"/>
          <w:u w:val="single" w:color="000000"/>
        </w:rPr>
        <w:t>Payments/Gifts to Respondents</w:t>
      </w:r>
      <w:r>
        <w:rPr>
          <w:sz w:val="24"/>
        </w:rPr>
        <w:t xml:space="preserve"> </w:t>
      </w:r>
    </w:p>
    <w:p w:rsidR="00AA390B" w:rsidRDefault="00727E5B">
      <w:pPr>
        <w:spacing w:after="0" w:line="259" w:lineRule="auto"/>
        <w:ind w:left="108" w:firstLine="0"/>
      </w:pPr>
      <w:r>
        <w:rPr>
          <w:sz w:val="24"/>
        </w:rPr>
        <w:t xml:space="preserve"> </w:t>
      </w:r>
    </w:p>
    <w:p w:rsidR="00AA390B" w:rsidRDefault="00727E5B">
      <w:pPr>
        <w:spacing w:after="2" w:line="237" w:lineRule="auto"/>
        <w:ind w:left="108" w:right="281" w:firstLine="0"/>
        <w:jc w:val="both"/>
      </w:pPr>
      <w:r>
        <w:t xml:space="preserve">There were no payments/gifts provided to respondents for their participation or usage of the form. The DUA form is used to help CMS track disclosures, conditions for disclosure, accounting of disclosures and agency requirements. </w:t>
      </w:r>
    </w:p>
    <w:p w:rsidR="00AA390B" w:rsidRDefault="00727E5B">
      <w:pPr>
        <w:spacing w:after="0" w:line="259" w:lineRule="auto"/>
        <w:ind w:left="108" w:firstLine="0"/>
      </w:pPr>
      <w:r>
        <w:t xml:space="preserve"> </w:t>
      </w:r>
    </w:p>
    <w:p w:rsidR="00AA390B" w:rsidRDefault="00727E5B">
      <w:pPr>
        <w:ind w:left="103"/>
      </w:pPr>
      <w:r>
        <w:t xml:space="preserve">The DMP SAQ, through the review of technical and physical safeguards in place at an organization, allows CMS to ensure that patient data is adequately protected, as per the Privacy Act, the Privacy Rule and CMS data release policies. The DMP SAQ must be completed prior to the release of, or access to, specified data files containing protected health information and individual identifiers. It also allows organizations to verify that they are using industry-level best practices and standards to secure data.  As needed, the CMS contractor will provide additional guidance to researchers on implementing effective measures that protect CMS data. </w:t>
      </w:r>
    </w:p>
    <w:p w:rsidR="00AA390B" w:rsidRDefault="00727E5B">
      <w:pPr>
        <w:spacing w:after="0" w:line="259" w:lineRule="auto"/>
        <w:ind w:left="108" w:firstLine="0"/>
      </w:pPr>
      <w:r>
        <w:rPr>
          <w:sz w:val="24"/>
        </w:rPr>
        <w:t xml:space="preserve"> </w:t>
      </w:r>
    </w:p>
    <w:p w:rsidR="00AA390B" w:rsidRDefault="00727E5B">
      <w:pPr>
        <w:numPr>
          <w:ilvl w:val="0"/>
          <w:numId w:val="4"/>
        </w:numPr>
        <w:spacing w:after="0" w:line="259" w:lineRule="auto"/>
        <w:ind w:hanging="360"/>
      </w:pPr>
      <w:r>
        <w:rPr>
          <w:sz w:val="24"/>
          <w:u w:val="single" w:color="000000"/>
        </w:rPr>
        <w:t>Confidentiality</w:t>
      </w:r>
      <w:r>
        <w:rPr>
          <w:sz w:val="24"/>
        </w:rPr>
        <w:t xml:space="preserve"> </w:t>
      </w:r>
    </w:p>
    <w:p w:rsidR="00AA390B" w:rsidRDefault="00727E5B">
      <w:pPr>
        <w:spacing w:after="0" w:line="259" w:lineRule="auto"/>
        <w:ind w:left="828" w:firstLine="0"/>
      </w:pPr>
      <w:r>
        <w:rPr>
          <w:sz w:val="24"/>
        </w:rPr>
        <w:t xml:space="preserve"> </w:t>
      </w:r>
    </w:p>
    <w:p w:rsidR="00AA390B" w:rsidRDefault="00727E5B">
      <w:pPr>
        <w:ind w:left="103"/>
      </w:pPr>
      <w:r>
        <w:t xml:space="preserve">The files are maintained electronically in the Enterprise Privacy Policy Engine. </w:t>
      </w:r>
    </w:p>
    <w:p w:rsidR="00AA390B" w:rsidRDefault="00727E5B">
      <w:pPr>
        <w:spacing w:after="0" w:line="259" w:lineRule="auto"/>
        <w:ind w:left="108" w:firstLine="0"/>
      </w:pPr>
      <w:r>
        <w:t xml:space="preserve"> </w:t>
      </w:r>
    </w:p>
    <w:p w:rsidR="00AA390B" w:rsidRDefault="00727E5B">
      <w:pPr>
        <w:numPr>
          <w:ilvl w:val="0"/>
          <w:numId w:val="4"/>
        </w:numPr>
        <w:spacing w:after="0" w:line="259" w:lineRule="auto"/>
        <w:ind w:hanging="360"/>
      </w:pPr>
      <w:r>
        <w:rPr>
          <w:u w:val="single" w:color="000000"/>
        </w:rPr>
        <w:t>Sensitive Questions</w:t>
      </w:r>
      <w:r>
        <w:t xml:space="preserve"> </w:t>
      </w:r>
    </w:p>
    <w:p w:rsidR="00AA390B" w:rsidRDefault="00727E5B">
      <w:pPr>
        <w:spacing w:after="0" w:line="259" w:lineRule="auto"/>
        <w:ind w:left="828" w:firstLine="0"/>
      </w:pPr>
      <w:r>
        <w:t xml:space="preserve"> </w:t>
      </w:r>
    </w:p>
    <w:p w:rsidR="00AA390B" w:rsidRDefault="00727E5B">
      <w:pPr>
        <w:ind w:left="103"/>
      </w:pPr>
      <w:r>
        <w:t xml:space="preserve">There are no sensitive questions arising from this data collection. </w:t>
      </w:r>
    </w:p>
    <w:p w:rsidR="00AA390B" w:rsidP="00C813C2" w:rsidRDefault="00AA390B">
      <w:pPr>
        <w:spacing w:after="0" w:line="259" w:lineRule="auto"/>
        <w:ind w:left="0" w:firstLine="0"/>
      </w:pPr>
    </w:p>
    <w:p w:rsidR="00AA390B" w:rsidRDefault="00727E5B">
      <w:pPr>
        <w:numPr>
          <w:ilvl w:val="0"/>
          <w:numId w:val="4"/>
        </w:numPr>
        <w:spacing w:after="0" w:line="259" w:lineRule="auto"/>
        <w:ind w:hanging="360"/>
      </w:pPr>
      <w:r>
        <w:rPr>
          <w:u w:val="single" w:color="000000"/>
        </w:rPr>
        <w:t>Burden Estimates (Hours &amp; Wages)</w:t>
      </w:r>
      <w:r>
        <w:t xml:space="preserve"> </w:t>
      </w:r>
    </w:p>
    <w:p w:rsidR="00AA390B" w:rsidRDefault="00727E5B">
      <w:pPr>
        <w:spacing w:after="0" w:line="259" w:lineRule="auto"/>
        <w:ind w:left="828" w:firstLine="0"/>
      </w:pPr>
      <w:r>
        <w:t xml:space="preserve"> </w:t>
      </w:r>
    </w:p>
    <w:p w:rsidR="00AA390B" w:rsidP="00C813C2" w:rsidRDefault="00727E5B">
      <w:pPr>
        <w:pStyle w:val="Heading1"/>
      </w:pPr>
      <w:r>
        <w:t xml:space="preserve">Wages   </w:t>
      </w:r>
    </w:p>
    <w:p w:rsidR="00AA390B" w:rsidRDefault="00727E5B">
      <w:pPr>
        <w:ind w:left="103"/>
      </w:pPr>
      <w:r>
        <w:t xml:space="preserve">To derive average costs, we used data from the U.S. Bureau of Labor Statistics’ May 2019 National Occupational Employment and Wage Estimates for all salary estimates </w:t>
      </w:r>
    </w:p>
    <w:p w:rsidR="00AA390B" w:rsidRDefault="00727E5B">
      <w:pPr>
        <w:ind w:left="103"/>
      </w:pPr>
      <w:r>
        <w:t xml:space="preserve">(http://www.bls.gov/oes/current/oes_nat.htm). In this regard, the following table presents the mean hourly wage, the cost of fringe benefits (calculated at 100 percent of salary), and the adjusted hourly wage. </w:t>
      </w:r>
    </w:p>
    <w:p w:rsidR="00AA390B" w:rsidRDefault="00727E5B">
      <w:pPr>
        <w:spacing w:after="0" w:line="259" w:lineRule="auto"/>
        <w:ind w:left="108" w:firstLine="0"/>
      </w:pPr>
      <w:r>
        <w:t xml:space="preserve"> </w:t>
      </w:r>
    </w:p>
    <w:tbl>
      <w:tblPr>
        <w:tblStyle w:val="TableGrid"/>
        <w:tblW w:w="9276" w:type="dxa"/>
        <w:tblInd w:w="114" w:type="dxa"/>
        <w:tblCellMar>
          <w:left w:w="107" w:type="dxa"/>
          <w:right w:w="30" w:type="dxa"/>
        </w:tblCellMar>
        <w:tblLook w:val="04A0" w:firstRow="1" w:lastRow="0" w:firstColumn="1" w:lastColumn="0" w:noHBand="0" w:noVBand="1"/>
      </w:tblPr>
      <w:tblGrid>
        <w:gridCol w:w="1876"/>
        <w:gridCol w:w="1878"/>
        <w:gridCol w:w="1834"/>
        <w:gridCol w:w="1836"/>
        <w:gridCol w:w="1852"/>
      </w:tblGrid>
      <w:tr w:rsidR="00AA390B">
        <w:trPr>
          <w:trHeight w:val="559"/>
        </w:trPr>
        <w:tc>
          <w:tcPr>
            <w:tcW w:w="1877" w:type="dxa"/>
            <w:tcBorders>
              <w:top w:val="single" w:color="000000" w:sz="4" w:space="0"/>
              <w:left w:val="single" w:color="000000" w:sz="4" w:space="0"/>
              <w:bottom w:val="single" w:color="000000" w:sz="4" w:space="0"/>
              <w:right w:val="single" w:color="000000" w:sz="4" w:space="0"/>
            </w:tcBorders>
            <w:shd w:val="clear" w:color="auto" w:fill="ADAAAA"/>
          </w:tcPr>
          <w:p w:rsidR="00AA390B" w:rsidRDefault="00727E5B">
            <w:pPr>
              <w:spacing w:after="0" w:line="259" w:lineRule="auto"/>
              <w:ind w:left="0" w:firstLine="0"/>
            </w:pPr>
            <w:r>
              <w:rPr>
                <w:sz w:val="24"/>
              </w:rPr>
              <w:t xml:space="preserve">Occupation Title  </w:t>
            </w:r>
          </w:p>
        </w:tc>
        <w:tc>
          <w:tcPr>
            <w:tcW w:w="1878" w:type="dxa"/>
            <w:tcBorders>
              <w:top w:val="single" w:color="000000" w:sz="4" w:space="0"/>
              <w:left w:val="single" w:color="000000" w:sz="4" w:space="0"/>
              <w:bottom w:val="single" w:color="000000" w:sz="4" w:space="0"/>
              <w:right w:val="single" w:color="000000" w:sz="4" w:space="0"/>
            </w:tcBorders>
            <w:shd w:val="clear" w:color="auto" w:fill="ADAAAA"/>
          </w:tcPr>
          <w:p w:rsidR="00AA390B" w:rsidRDefault="00727E5B">
            <w:pPr>
              <w:spacing w:after="0" w:line="259" w:lineRule="auto"/>
              <w:ind w:left="2" w:right="67" w:firstLine="0"/>
            </w:pPr>
            <w:r>
              <w:rPr>
                <w:sz w:val="24"/>
              </w:rPr>
              <w:t xml:space="preserve">Occupation Code </w:t>
            </w:r>
          </w:p>
        </w:tc>
        <w:tc>
          <w:tcPr>
            <w:tcW w:w="1834" w:type="dxa"/>
            <w:tcBorders>
              <w:top w:val="single" w:color="000000" w:sz="4" w:space="0"/>
              <w:left w:val="single" w:color="000000" w:sz="4" w:space="0"/>
              <w:bottom w:val="single" w:color="000000" w:sz="4" w:space="0"/>
              <w:right w:val="single" w:color="000000" w:sz="4" w:space="0"/>
            </w:tcBorders>
            <w:shd w:val="clear" w:color="auto" w:fill="ADAAAA"/>
          </w:tcPr>
          <w:p w:rsidR="00AA390B" w:rsidRDefault="00727E5B">
            <w:pPr>
              <w:spacing w:after="0" w:line="259" w:lineRule="auto"/>
              <w:ind w:left="1" w:firstLine="0"/>
            </w:pPr>
            <w:r>
              <w:rPr>
                <w:sz w:val="24"/>
              </w:rPr>
              <w:t xml:space="preserve">Mean Hourly Wage ($/hr)* </w:t>
            </w:r>
          </w:p>
        </w:tc>
        <w:tc>
          <w:tcPr>
            <w:tcW w:w="1836" w:type="dxa"/>
            <w:tcBorders>
              <w:top w:val="single" w:color="000000" w:sz="4" w:space="0"/>
              <w:left w:val="single" w:color="000000" w:sz="4" w:space="0"/>
              <w:bottom w:val="single" w:color="000000" w:sz="4" w:space="0"/>
              <w:right w:val="single" w:color="000000" w:sz="4" w:space="0"/>
            </w:tcBorders>
            <w:shd w:val="clear" w:color="auto" w:fill="ADAAAA"/>
          </w:tcPr>
          <w:p w:rsidR="00AA390B" w:rsidRDefault="00727E5B">
            <w:pPr>
              <w:spacing w:after="0" w:line="259" w:lineRule="auto"/>
              <w:ind w:left="1" w:firstLine="0"/>
            </w:pPr>
            <w:r>
              <w:rPr>
                <w:sz w:val="24"/>
              </w:rPr>
              <w:t xml:space="preserve">Fringe Benefit ($/hr) </w:t>
            </w:r>
          </w:p>
        </w:tc>
        <w:tc>
          <w:tcPr>
            <w:tcW w:w="1852" w:type="dxa"/>
            <w:tcBorders>
              <w:top w:val="single" w:color="000000" w:sz="4" w:space="0"/>
              <w:left w:val="single" w:color="000000" w:sz="4" w:space="0"/>
              <w:bottom w:val="single" w:color="000000" w:sz="4" w:space="0"/>
              <w:right w:val="single" w:color="000000" w:sz="4" w:space="0"/>
            </w:tcBorders>
            <w:shd w:val="clear" w:color="auto" w:fill="ADAAAA"/>
          </w:tcPr>
          <w:p w:rsidR="00AA390B" w:rsidRDefault="00727E5B">
            <w:pPr>
              <w:spacing w:after="0" w:line="259" w:lineRule="auto"/>
              <w:ind w:left="1" w:firstLine="0"/>
            </w:pPr>
            <w:r>
              <w:rPr>
                <w:sz w:val="24"/>
              </w:rPr>
              <w:t xml:space="preserve">Adjusted Hourly Wages ($/hr) </w:t>
            </w:r>
          </w:p>
        </w:tc>
      </w:tr>
      <w:tr w:rsidR="00AA390B">
        <w:trPr>
          <w:trHeight w:val="841"/>
        </w:trPr>
        <w:tc>
          <w:tcPr>
            <w:tcW w:w="1877" w:type="dxa"/>
            <w:tcBorders>
              <w:top w:val="single" w:color="000000" w:sz="4" w:space="0"/>
              <w:left w:val="single" w:color="000000" w:sz="4" w:space="0"/>
              <w:bottom w:val="single" w:color="000000" w:sz="4" w:space="0"/>
              <w:right w:val="single" w:color="000000" w:sz="4" w:space="0"/>
            </w:tcBorders>
          </w:tcPr>
          <w:p w:rsidR="00AA390B" w:rsidRDefault="00727E5B">
            <w:pPr>
              <w:spacing w:after="0" w:line="259" w:lineRule="auto"/>
              <w:ind w:left="0" w:firstLine="0"/>
            </w:pPr>
            <w:r>
              <w:rPr>
                <w:sz w:val="24"/>
              </w:rPr>
              <w:t xml:space="preserve">Business </w:t>
            </w:r>
          </w:p>
          <w:p w:rsidR="00AA390B" w:rsidRDefault="00727E5B">
            <w:pPr>
              <w:spacing w:after="0" w:line="259" w:lineRule="auto"/>
              <w:ind w:left="0" w:firstLine="0"/>
            </w:pPr>
            <w:r>
              <w:rPr>
                <w:sz w:val="24"/>
              </w:rPr>
              <w:t xml:space="preserve">Operation </w:t>
            </w:r>
          </w:p>
          <w:p w:rsidR="00AA390B" w:rsidRDefault="00727E5B">
            <w:pPr>
              <w:spacing w:after="0" w:line="259" w:lineRule="auto"/>
              <w:ind w:left="0" w:firstLine="0"/>
            </w:pPr>
            <w:r>
              <w:rPr>
                <w:sz w:val="24"/>
              </w:rPr>
              <w:t xml:space="preserve">Specialist </w:t>
            </w:r>
          </w:p>
        </w:tc>
        <w:tc>
          <w:tcPr>
            <w:tcW w:w="1878" w:type="dxa"/>
            <w:tcBorders>
              <w:top w:val="single" w:color="000000" w:sz="4" w:space="0"/>
              <w:left w:val="single" w:color="000000" w:sz="4" w:space="0"/>
              <w:bottom w:val="single" w:color="000000" w:sz="4" w:space="0"/>
              <w:right w:val="single" w:color="000000" w:sz="4" w:space="0"/>
            </w:tcBorders>
          </w:tcPr>
          <w:p w:rsidR="00AA390B" w:rsidRDefault="00727E5B">
            <w:pPr>
              <w:spacing w:after="0" w:line="259" w:lineRule="auto"/>
              <w:ind w:left="2" w:firstLine="0"/>
            </w:pPr>
            <w:r>
              <w:rPr>
                <w:sz w:val="24"/>
              </w:rPr>
              <w:t xml:space="preserve">13-1000 </w:t>
            </w:r>
          </w:p>
        </w:tc>
        <w:tc>
          <w:tcPr>
            <w:tcW w:w="1834" w:type="dxa"/>
            <w:tcBorders>
              <w:top w:val="single" w:color="000000" w:sz="4" w:space="0"/>
              <w:left w:val="single" w:color="000000" w:sz="4" w:space="0"/>
              <w:bottom w:val="single" w:color="000000" w:sz="4" w:space="0"/>
              <w:right w:val="single" w:color="000000" w:sz="4" w:space="0"/>
            </w:tcBorders>
          </w:tcPr>
          <w:p w:rsidR="00AA390B" w:rsidRDefault="00727E5B">
            <w:pPr>
              <w:spacing w:after="0" w:line="259" w:lineRule="auto"/>
              <w:ind w:left="1" w:firstLine="0"/>
            </w:pPr>
            <w:r>
              <w:rPr>
                <w:sz w:val="24"/>
              </w:rPr>
              <w:t xml:space="preserve">$36.31 </w:t>
            </w:r>
          </w:p>
        </w:tc>
        <w:tc>
          <w:tcPr>
            <w:tcW w:w="1836" w:type="dxa"/>
            <w:tcBorders>
              <w:top w:val="single" w:color="000000" w:sz="4" w:space="0"/>
              <w:left w:val="single" w:color="000000" w:sz="4" w:space="0"/>
              <w:bottom w:val="single" w:color="000000" w:sz="4" w:space="0"/>
              <w:right w:val="single" w:color="000000" w:sz="4" w:space="0"/>
            </w:tcBorders>
          </w:tcPr>
          <w:p w:rsidR="00AA390B" w:rsidRDefault="00727E5B">
            <w:pPr>
              <w:spacing w:after="0" w:line="259" w:lineRule="auto"/>
              <w:ind w:left="1" w:firstLine="0"/>
            </w:pPr>
            <w:r>
              <w:rPr>
                <w:sz w:val="24"/>
              </w:rPr>
              <w:t xml:space="preserve">$36.31 </w:t>
            </w:r>
          </w:p>
        </w:tc>
        <w:tc>
          <w:tcPr>
            <w:tcW w:w="1852" w:type="dxa"/>
            <w:tcBorders>
              <w:top w:val="single" w:color="000000" w:sz="4" w:space="0"/>
              <w:left w:val="single" w:color="000000" w:sz="4" w:space="0"/>
              <w:bottom w:val="single" w:color="000000" w:sz="4" w:space="0"/>
              <w:right w:val="single" w:color="000000" w:sz="4" w:space="0"/>
            </w:tcBorders>
          </w:tcPr>
          <w:p w:rsidR="00AA390B" w:rsidRDefault="00727E5B">
            <w:pPr>
              <w:spacing w:after="0" w:line="259" w:lineRule="auto"/>
              <w:ind w:left="1" w:firstLine="0"/>
            </w:pPr>
            <w:r>
              <w:rPr>
                <w:sz w:val="24"/>
              </w:rPr>
              <w:t xml:space="preserve">$72.62 </w:t>
            </w:r>
          </w:p>
        </w:tc>
      </w:tr>
    </w:tbl>
    <w:p w:rsidR="00AA390B" w:rsidRDefault="00727E5B">
      <w:pPr>
        <w:spacing w:after="0" w:line="259" w:lineRule="auto"/>
        <w:ind w:left="108" w:firstLine="0"/>
      </w:pPr>
      <w:r>
        <w:rPr>
          <w:sz w:val="24"/>
        </w:rPr>
        <w:t xml:space="preserve"> </w:t>
      </w:r>
    </w:p>
    <w:p w:rsidR="00AA390B" w:rsidRDefault="00727E5B">
      <w:pPr>
        <w:ind w:left="103"/>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We believe that doubling the hourly wage to estimate total cost is a reasonably accurate estimation method.  </w:t>
      </w:r>
    </w:p>
    <w:p w:rsidR="00AA390B" w:rsidRDefault="00727E5B">
      <w:pPr>
        <w:spacing w:after="0" w:line="259" w:lineRule="auto"/>
        <w:ind w:left="108" w:firstLine="0"/>
      </w:pPr>
      <w:r>
        <w:t xml:space="preserve"> </w:t>
      </w:r>
    </w:p>
    <w:p w:rsidR="00AA390B" w:rsidRDefault="00727E5B">
      <w:pPr>
        <w:pStyle w:val="Heading1"/>
        <w:ind w:left="103"/>
      </w:pPr>
      <w:r>
        <w:t xml:space="preserve">Requirements and Associated Burden </w:t>
      </w:r>
    </w:p>
    <w:p w:rsidR="00AA390B" w:rsidRDefault="00727E5B">
      <w:pPr>
        <w:spacing w:after="71"/>
        <w:ind w:left="828" w:hanging="360"/>
      </w:pPr>
      <w:r>
        <w:t>a)</w:t>
      </w:r>
      <w:r>
        <w:rPr>
          <w:rFonts w:ascii="Arial" w:hAnsi="Arial" w:eastAsia="Arial" w:cs="Arial"/>
        </w:rPr>
        <w:t xml:space="preserve"> </w:t>
      </w:r>
      <w:r>
        <w:t xml:space="preserve">DMP SAQ- We estimate the time to complete the DMP SAQ form is 1.5 hours. We estimate that it will take 1 hour and 25 min to complete the form and 5 min for filing. On an annual basis, we expect to receive ~1,000 DMP SAQ forms for an annual total of 1,500 hours burden. </w:t>
      </w:r>
    </w:p>
    <w:p w:rsidR="00AA390B" w:rsidRDefault="00727E5B">
      <w:pPr>
        <w:spacing w:after="0" w:line="259" w:lineRule="auto"/>
        <w:ind w:left="108" w:firstLine="0"/>
      </w:pPr>
      <w:r>
        <w:rPr>
          <w:sz w:val="32"/>
        </w:rPr>
        <w:t xml:space="preserve"> </w:t>
      </w:r>
    </w:p>
    <w:tbl>
      <w:tblPr>
        <w:tblStyle w:val="TableGrid"/>
        <w:tblW w:w="9276" w:type="dxa"/>
        <w:tblInd w:w="114" w:type="dxa"/>
        <w:tblCellMar>
          <w:left w:w="107" w:type="dxa"/>
          <w:right w:w="115" w:type="dxa"/>
        </w:tblCellMar>
        <w:tblLook w:val="04A0" w:firstRow="1" w:lastRow="0" w:firstColumn="1" w:lastColumn="0" w:noHBand="0" w:noVBand="1"/>
      </w:tblPr>
      <w:tblGrid>
        <w:gridCol w:w="1151"/>
        <w:gridCol w:w="1188"/>
        <w:gridCol w:w="1188"/>
        <w:gridCol w:w="1154"/>
        <w:gridCol w:w="1133"/>
        <w:gridCol w:w="1122"/>
        <w:gridCol w:w="1146"/>
        <w:gridCol w:w="1194"/>
      </w:tblGrid>
      <w:tr w:rsidR="00AA390B">
        <w:trPr>
          <w:trHeight w:val="559"/>
        </w:trPr>
        <w:tc>
          <w:tcPr>
            <w:tcW w:w="1151" w:type="dxa"/>
            <w:tcBorders>
              <w:top w:val="single" w:color="000000" w:sz="4" w:space="0"/>
              <w:left w:val="single" w:color="000000" w:sz="4" w:space="0"/>
              <w:bottom w:val="single" w:color="000000" w:sz="4" w:space="0"/>
              <w:right w:val="single" w:color="000000" w:sz="4" w:space="0"/>
            </w:tcBorders>
            <w:shd w:val="clear" w:color="auto" w:fill="ADAAAA"/>
          </w:tcPr>
          <w:p w:rsidR="00AA390B" w:rsidRDefault="00727E5B">
            <w:pPr>
              <w:spacing w:after="0" w:line="259" w:lineRule="auto"/>
              <w:ind w:left="0" w:firstLine="0"/>
            </w:pPr>
            <w:r>
              <w:rPr>
                <w:b/>
                <w:sz w:val="16"/>
              </w:rPr>
              <w:t xml:space="preserve">Summary </w:t>
            </w:r>
          </w:p>
        </w:tc>
        <w:tc>
          <w:tcPr>
            <w:tcW w:w="1188" w:type="dxa"/>
            <w:tcBorders>
              <w:top w:val="single" w:color="000000" w:sz="4" w:space="0"/>
              <w:left w:val="single" w:color="000000" w:sz="4" w:space="0"/>
              <w:bottom w:val="single" w:color="000000" w:sz="4" w:space="0"/>
              <w:right w:val="single" w:color="000000" w:sz="4" w:space="0"/>
            </w:tcBorders>
            <w:shd w:val="clear" w:color="auto" w:fill="ADAAAA"/>
          </w:tcPr>
          <w:p w:rsidR="00AA390B" w:rsidRDefault="00727E5B">
            <w:pPr>
              <w:spacing w:after="0" w:line="259" w:lineRule="auto"/>
              <w:ind w:left="1" w:firstLine="0"/>
            </w:pPr>
            <w:r>
              <w:rPr>
                <w:b/>
                <w:sz w:val="16"/>
              </w:rPr>
              <w:t xml:space="preserve">No. </w:t>
            </w:r>
          </w:p>
          <w:p w:rsidR="00AA390B" w:rsidRDefault="00727E5B">
            <w:pPr>
              <w:spacing w:after="0" w:line="259" w:lineRule="auto"/>
              <w:ind w:left="1" w:firstLine="0"/>
            </w:pPr>
            <w:r>
              <w:rPr>
                <w:b/>
                <w:sz w:val="16"/>
              </w:rPr>
              <w:t xml:space="preserve">Respondents </w:t>
            </w:r>
          </w:p>
        </w:tc>
        <w:tc>
          <w:tcPr>
            <w:tcW w:w="1188" w:type="dxa"/>
            <w:tcBorders>
              <w:top w:val="single" w:color="000000" w:sz="4" w:space="0"/>
              <w:left w:val="single" w:color="000000" w:sz="4" w:space="0"/>
              <w:bottom w:val="single" w:color="000000" w:sz="4" w:space="0"/>
              <w:right w:val="single" w:color="000000" w:sz="4" w:space="0"/>
            </w:tcBorders>
            <w:shd w:val="clear" w:color="auto" w:fill="ADAAAA"/>
          </w:tcPr>
          <w:p w:rsidR="00AA390B" w:rsidRDefault="00727E5B">
            <w:pPr>
              <w:spacing w:after="0" w:line="259" w:lineRule="auto"/>
              <w:ind w:left="1" w:firstLine="0"/>
            </w:pPr>
            <w:r>
              <w:rPr>
                <w:b/>
                <w:sz w:val="16"/>
              </w:rPr>
              <w:t xml:space="preserve">Responses </w:t>
            </w:r>
          </w:p>
          <w:p w:rsidR="00AA390B" w:rsidRDefault="00727E5B">
            <w:pPr>
              <w:spacing w:after="0" w:line="259" w:lineRule="auto"/>
              <w:ind w:left="1" w:firstLine="0"/>
            </w:pPr>
            <w:r>
              <w:rPr>
                <w:b/>
                <w:sz w:val="16"/>
              </w:rPr>
              <w:t xml:space="preserve">(per </w:t>
            </w:r>
          </w:p>
          <w:p w:rsidR="00AA390B" w:rsidRDefault="00727E5B">
            <w:pPr>
              <w:spacing w:after="0" w:line="259" w:lineRule="auto"/>
              <w:ind w:left="1" w:firstLine="0"/>
            </w:pPr>
            <w:r>
              <w:rPr>
                <w:b/>
                <w:sz w:val="16"/>
              </w:rPr>
              <w:t xml:space="preserve">Respondent) </w:t>
            </w:r>
          </w:p>
        </w:tc>
        <w:tc>
          <w:tcPr>
            <w:tcW w:w="1154" w:type="dxa"/>
            <w:tcBorders>
              <w:top w:val="single" w:color="000000" w:sz="4" w:space="0"/>
              <w:left w:val="single" w:color="000000" w:sz="4" w:space="0"/>
              <w:bottom w:val="single" w:color="000000" w:sz="4" w:space="0"/>
              <w:right w:val="single" w:color="000000" w:sz="4" w:space="0"/>
            </w:tcBorders>
            <w:shd w:val="clear" w:color="auto" w:fill="ADAAAA"/>
          </w:tcPr>
          <w:p w:rsidR="00AA390B" w:rsidRDefault="00727E5B">
            <w:pPr>
              <w:spacing w:after="0" w:line="259" w:lineRule="auto"/>
              <w:ind w:left="1" w:firstLine="0"/>
            </w:pPr>
            <w:r>
              <w:rPr>
                <w:b/>
                <w:sz w:val="16"/>
              </w:rPr>
              <w:t xml:space="preserve">Total </w:t>
            </w:r>
          </w:p>
          <w:p w:rsidR="00AA390B" w:rsidRDefault="00727E5B">
            <w:pPr>
              <w:spacing w:after="0" w:line="259" w:lineRule="auto"/>
              <w:ind w:left="1" w:firstLine="0"/>
            </w:pPr>
            <w:r>
              <w:rPr>
                <w:b/>
                <w:sz w:val="16"/>
              </w:rPr>
              <w:t xml:space="preserve">Responses </w:t>
            </w:r>
          </w:p>
        </w:tc>
        <w:tc>
          <w:tcPr>
            <w:tcW w:w="1133" w:type="dxa"/>
            <w:tcBorders>
              <w:top w:val="single" w:color="000000" w:sz="4" w:space="0"/>
              <w:left w:val="single" w:color="000000" w:sz="4" w:space="0"/>
              <w:bottom w:val="single" w:color="000000" w:sz="4" w:space="0"/>
              <w:right w:val="single" w:color="000000" w:sz="4" w:space="0"/>
            </w:tcBorders>
            <w:shd w:val="clear" w:color="auto" w:fill="ADAAAA"/>
          </w:tcPr>
          <w:p w:rsidR="00AA390B" w:rsidRDefault="00727E5B">
            <w:pPr>
              <w:spacing w:after="0" w:line="259" w:lineRule="auto"/>
              <w:ind w:left="1" w:firstLine="0"/>
            </w:pPr>
            <w:r>
              <w:rPr>
                <w:b/>
                <w:sz w:val="16"/>
              </w:rPr>
              <w:t xml:space="preserve">Time (per response hours) </w:t>
            </w:r>
          </w:p>
        </w:tc>
        <w:tc>
          <w:tcPr>
            <w:tcW w:w="1122" w:type="dxa"/>
            <w:tcBorders>
              <w:top w:val="single" w:color="000000" w:sz="4" w:space="0"/>
              <w:left w:val="single" w:color="000000" w:sz="4" w:space="0"/>
              <w:bottom w:val="single" w:color="000000" w:sz="4" w:space="0"/>
              <w:right w:val="single" w:color="000000" w:sz="4" w:space="0"/>
            </w:tcBorders>
            <w:shd w:val="clear" w:color="auto" w:fill="ADAAAA"/>
          </w:tcPr>
          <w:p w:rsidR="00AA390B" w:rsidRDefault="00727E5B">
            <w:pPr>
              <w:spacing w:after="0" w:line="259" w:lineRule="auto"/>
              <w:ind w:left="1" w:firstLine="0"/>
            </w:pPr>
            <w:r>
              <w:rPr>
                <w:b/>
                <w:sz w:val="16"/>
              </w:rPr>
              <w:t xml:space="preserve">Total Time (hours) </w:t>
            </w:r>
          </w:p>
        </w:tc>
        <w:tc>
          <w:tcPr>
            <w:tcW w:w="1146" w:type="dxa"/>
            <w:tcBorders>
              <w:top w:val="single" w:color="000000" w:sz="4" w:space="0"/>
              <w:left w:val="single" w:color="000000" w:sz="4" w:space="0"/>
              <w:bottom w:val="single" w:color="000000" w:sz="4" w:space="0"/>
              <w:right w:val="single" w:color="000000" w:sz="4" w:space="0"/>
            </w:tcBorders>
            <w:shd w:val="clear" w:color="auto" w:fill="ADAAAA"/>
          </w:tcPr>
          <w:p w:rsidR="00AA390B" w:rsidRDefault="00727E5B">
            <w:pPr>
              <w:spacing w:after="0" w:line="259" w:lineRule="auto"/>
              <w:ind w:left="0" w:firstLine="0"/>
            </w:pPr>
            <w:r>
              <w:rPr>
                <w:b/>
                <w:sz w:val="16"/>
              </w:rPr>
              <w:t xml:space="preserve">Labor Rate ($/hr) </w:t>
            </w:r>
          </w:p>
        </w:tc>
        <w:tc>
          <w:tcPr>
            <w:tcW w:w="1194" w:type="dxa"/>
            <w:tcBorders>
              <w:top w:val="single" w:color="000000" w:sz="4" w:space="0"/>
              <w:left w:val="single" w:color="000000" w:sz="4" w:space="0"/>
              <w:bottom w:val="single" w:color="000000" w:sz="4" w:space="0"/>
              <w:right w:val="single" w:color="000000" w:sz="4" w:space="0"/>
            </w:tcBorders>
            <w:shd w:val="clear" w:color="auto" w:fill="ADAAAA"/>
          </w:tcPr>
          <w:p w:rsidR="00AA390B" w:rsidRDefault="00727E5B">
            <w:pPr>
              <w:spacing w:after="0" w:line="259" w:lineRule="auto"/>
              <w:ind w:left="1" w:firstLine="0"/>
            </w:pPr>
            <w:r>
              <w:rPr>
                <w:b/>
                <w:sz w:val="16"/>
              </w:rPr>
              <w:t xml:space="preserve">Total Cost </w:t>
            </w:r>
          </w:p>
        </w:tc>
      </w:tr>
      <w:tr w:rsidR="00AA390B">
        <w:trPr>
          <w:trHeight w:val="565"/>
        </w:trPr>
        <w:tc>
          <w:tcPr>
            <w:tcW w:w="1151" w:type="dxa"/>
            <w:tcBorders>
              <w:top w:val="single" w:color="000000" w:sz="4" w:space="0"/>
              <w:left w:val="single" w:color="000000" w:sz="4" w:space="0"/>
              <w:bottom w:val="single" w:color="000000" w:sz="4" w:space="0"/>
              <w:right w:val="single" w:color="000000" w:sz="4" w:space="0"/>
            </w:tcBorders>
          </w:tcPr>
          <w:p w:rsidR="00AA390B" w:rsidRDefault="00727E5B">
            <w:pPr>
              <w:spacing w:after="0" w:line="259" w:lineRule="auto"/>
              <w:ind w:left="0" w:firstLine="0"/>
            </w:pPr>
            <w:r>
              <w:rPr>
                <w:sz w:val="24"/>
              </w:rPr>
              <w:t xml:space="preserve">DMP SAQ </w:t>
            </w:r>
          </w:p>
        </w:tc>
        <w:tc>
          <w:tcPr>
            <w:tcW w:w="1188" w:type="dxa"/>
            <w:tcBorders>
              <w:top w:val="single" w:color="000000" w:sz="4" w:space="0"/>
              <w:left w:val="single" w:color="000000" w:sz="4" w:space="0"/>
              <w:bottom w:val="single" w:color="000000" w:sz="4" w:space="0"/>
              <w:right w:val="single" w:color="000000" w:sz="4" w:space="0"/>
            </w:tcBorders>
          </w:tcPr>
          <w:p w:rsidR="00AA390B" w:rsidRDefault="00727E5B">
            <w:pPr>
              <w:spacing w:after="0" w:line="259" w:lineRule="auto"/>
              <w:ind w:left="1" w:firstLine="0"/>
            </w:pPr>
            <w:r>
              <w:rPr>
                <w:sz w:val="24"/>
              </w:rPr>
              <w:t xml:space="preserve">1,000 </w:t>
            </w:r>
          </w:p>
        </w:tc>
        <w:tc>
          <w:tcPr>
            <w:tcW w:w="1188" w:type="dxa"/>
            <w:tcBorders>
              <w:top w:val="single" w:color="000000" w:sz="4" w:space="0"/>
              <w:left w:val="single" w:color="000000" w:sz="4" w:space="0"/>
              <w:bottom w:val="single" w:color="000000" w:sz="4" w:space="0"/>
              <w:right w:val="single" w:color="000000" w:sz="4" w:space="0"/>
            </w:tcBorders>
          </w:tcPr>
          <w:p w:rsidR="00AA390B" w:rsidRDefault="00727E5B">
            <w:pPr>
              <w:spacing w:after="0" w:line="259" w:lineRule="auto"/>
              <w:ind w:left="1" w:firstLine="0"/>
            </w:pPr>
            <w:r>
              <w:rPr>
                <w:sz w:val="24"/>
              </w:rPr>
              <w:t xml:space="preserve">1 </w:t>
            </w:r>
          </w:p>
        </w:tc>
        <w:tc>
          <w:tcPr>
            <w:tcW w:w="1154" w:type="dxa"/>
            <w:tcBorders>
              <w:top w:val="single" w:color="000000" w:sz="4" w:space="0"/>
              <w:left w:val="single" w:color="000000" w:sz="4" w:space="0"/>
              <w:bottom w:val="single" w:color="000000" w:sz="4" w:space="0"/>
              <w:right w:val="single" w:color="000000" w:sz="4" w:space="0"/>
            </w:tcBorders>
          </w:tcPr>
          <w:p w:rsidR="00AA390B" w:rsidRDefault="00727E5B">
            <w:pPr>
              <w:spacing w:after="0" w:line="259" w:lineRule="auto"/>
              <w:ind w:left="1" w:firstLine="0"/>
            </w:pPr>
            <w:r>
              <w:rPr>
                <w:sz w:val="24"/>
              </w:rPr>
              <w:t xml:space="preserve">1,000 </w:t>
            </w:r>
          </w:p>
        </w:tc>
        <w:tc>
          <w:tcPr>
            <w:tcW w:w="1133" w:type="dxa"/>
            <w:tcBorders>
              <w:top w:val="single" w:color="000000" w:sz="4" w:space="0"/>
              <w:left w:val="single" w:color="000000" w:sz="4" w:space="0"/>
              <w:bottom w:val="single" w:color="000000" w:sz="4" w:space="0"/>
              <w:right w:val="single" w:color="000000" w:sz="4" w:space="0"/>
            </w:tcBorders>
          </w:tcPr>
          <w:p w:rsidR="00AA390B" w:rsidRDefault="00727E5B">
            <w:pPr>
              <w:spacing w:after="0" w:line="259" w:lineRule="auto"/>
              <w:ind w:left="1" w:firstLine="0"/>
            </w:pPr>
            <w:r>
              <w:rPr>
                <w:sz w:val="24"/>
              </w:rPr>
              <w:t xml:space="preserve">1.5 </w:t>
            </w:r>
          </w:p>
        </w:tc>
        <w:tc>
          <w:tcPr>
            <w:tcW w:w="1122" w:type="dxa"/>
            <w:tcBorders>
              <w:top w:val="single" w:color="000000" w:sz="4" w:space="0"/>
              <w:left w:val="single" w:color="000000" w:sz="4" w:space="0"/>
              <w:bottom w:val="single" w:color="000000" w:sz="4" w:space="0"/>
              <w:right w:val="single" w:color="000000" w:sz="4" w:space="0"/>
            </w:tcBorders>
          </w:tcPr>
          <w:p w:rsidR="00AA390B" w:rsidRDefault="00727E5B">
            <w:pPr>
              <w:spacing w:after="0" w:line="259" w:lineRule="auto"/>
              <w:ind w:left="1" w:firstLine="0"/>
            </w:pPr>
            <w:r>
              <w:rPr>
                <w:sz w:val="24"/>
              </w:rPr>
              <w:t xml:space="preserve">1,500 </w:t>
            </w:r>
          </w:p>
        </w:tc>
        <w:tc>
          <w:tcPr>
            <w:tcW w:w="1146" w:type="dxa"/>
            <w:tcBorders>
              <w:top w:val="single" w:color="000000" w:sz="4" w:space="0"/>
              <w:left w:val="single" w:color="000000" w:sz="4" w:space="0"/>
              <w:bottom w:val="single" w:color="000000" w:sz="4" w:space="0"/>
              <w:right w:val="single" w:color="000000" w:sz="4" w:space="0"/>
            </w:tcBorders>
          </w:tcPr>
          <w:p w:rsidR="00AA390B" w:rsidRDefault="00727E5B">
            <w:pPr>
              <w:spacing w:after="0" w:line="259" w:lineRule="auto"/>
              <w:ind w:left="0" w:firstLine="0"/>
            </w:pPr>
            <w:r>
              <w:rPr>
                <w:sz w:val="24"/>
              </w:rPr>
              <w:t xml:space="preserve">$72.62 </w:t>
            </w:r>
          </w:p>
        </w:tc>
        <w:tc>
          <w:tcPr>
            <w:tcW w:w="1194" w:type="dxa"/>
            <w:tcBorders>
              <w:top w:val="single" w:color="000000" w:sz="4" w:space="0"/>
              <w:left w:val="single" w:color="000000" w:sz="4" w:space="0"/>
              <w:bottom w:val="single" w:color="000000" w:sz="4" w:space="0"/>
              <w:right w:val="single" w:color="000000" w:sz="4" w:space="0"/>
            </w:tcBorders>
          </w:tcPr>
          <w:p w:rsidR="00AA390B" w:rsidRDefault="00727E5B">
            <w:pPr>
              <w:spacing w:after="0" w:line="259" w:lineRule="auto"/>
              <w:ind w:left="1" w:firstLine="0"/>
            </w:pPr>
            <w:r>
              <w:rPr>
                <w:sz w:val="24"/>
              </w:rPr>
              <w:t xml:space="preserve">$108,930 </w:t>
            </w:r>
          </w:p>
        </w:tc>
      </w:tr>
    </w:tbl>
    <w:p w:rsidR="00AA390B" w:rsidRDefault="00727E5B">
      <w:pPr>
        <w:spacing w:after="0" w:line="259" w:lineRule="auto"/>
        <w:ind w:left="108" w:firstLine="0"/>
      </w:pPr>
      <w:r>
        <w:rPr>
          <w:sz w:val="24"/>
        </w:rPr>
        <w:t xml:space="preserve"> </w:t>
      </w:r>
    </w:p>
    <w:p w:rsidR="00AA390B" w:rsidRDefault="00727E5B">
      <w:pPr>
        <w:numPr>
          <w:ilvl w:val="0"/>
          <w:numId w:val="5"/>
        </w:numPr>
        <w:spacing w:after="0" w:line="259" w:lineRule="auto"/>
        <w:ind w:hanging="360"/>
      </w:pPr>
      <w:r>
        <w:rPr>
          <w:sz w:val="24"/>
          <w:u w:val="single" w:color="000000"/>
        </w:rPr>
        <w:t>Capital Costs</w:t>
      </w:r>
      <w:r>
        <w:rPr>
          <w:sz w:val="24"/>
        </w:rPr>
        <w:t xml:space="preserve"> </w:t>
      </w:r>
    </w:p>
    <w:p w:rsidR="00AA390B" w:rsidRDefault="00727E5B">
      <w:pPr>
        <w:spacing w:after="55" w:line="259" w:lineRule="auto"/>
        <w:ind w:left="828" w:firstLine="0"/>
      </w:pPr>
      <w:r>
        <w:rPr>
          <w:sz w:val="24"/>
        </w:rPr>
        <w:t xml:space="preserve"> </w:t>
      </w:r>
    </w:p>
    <w:p w:rsidR="00AA390B" w:rsidRDefault="00727E5B">
      <w:pPr>
        <w:ind w:left="103"/>
      </w:pPr>
      <w:r>
        <w:t>There are no capital costs.</w:t>
      </w:r>
      <w:r>
        <w:rPr>
          <w:sz w:val="32"/>
        </w:rPr>
        <w:t xml:space="preserve"> </w:t>
      </w:r>
    </w:p>
    <w:p w:rsidR="00AA390B" w:rsidRDefault="00727E5B">
      <w:pPr>
        <w:spacing w:after="0" w:line="259" w:lineRule="auto"/>
        <w:ind w:left="540" w:firstLine="0"/>
      </w:pPr>
      <w:r>
        <w:rPr>
          <w:sz w:val="24"/>
        </w:rPr>
        <w:t xml:space="preserve"> </w:t>
      </w:r>
    </w:p>
    <w:p w:rsidR="00AA390B" w:rsidRDefault="00727E5B">
      <w:pPr>
        <w:numPr>
          <w:ilvl w:val="0"/>
          <w:numId w:val="5"/>
        </w:numPr>
        <w:spacing w:after="0" w:line="259" w:lineRule="auto"/>
        <w:ind w:hanging="360"/>
      </w:pPr>
      <w:r>
        <w:rPr>
          <w:sz w:val="24"/>
          <w:u w:val="single" w:color="000000"/>
        </w:rPr>
        <w:t>Cost to Federal Government</w:t>
      </w:r>
      <w:r>
        <w:rPr>
          <w:sz w:val="24"/>
        </w:rPr>
        <w:t xml:space="preserve"> </w:t>
      </w:r>
    </w:p>
    <w:p w:rsidR="00AA390B" w:rsidRDefault="00727E5B">
      <w:pPr>
        <w:spacing w:after="0" w:line="259" w:lineRule="auto"/>
        <w:ind w:left="108" w:firstLine="0"/>
      </w:pPr>
      <w:r>
        <w:rPr>
          <w:sz w:val="24"/>
        </w:rPr>
        <w:t xml:space="preserve"> </w:t>
      </w:r>
    </w:p>
    <w:p w:rsidR="00AA390B" w:rsidRDefault="00727E5B">
      <w:pPr>
        <w:ind w:left="103"/>
      </w:pPr>
      <w:r>
        <w:t xml:space="preserve">We use a contractor (MBL Technologies) to receive and review the DMP SAQ forms. The contractor price for intake and review is $275.00. We estimate there will be about 1,000 form submissions per year. </w:t>
      </w:r>
    </w:p>
    <w:p w:rsidR="00AA390B" w:rsidRDefault="00727E5B">
      <w:pPr>
        <w:spacing w:after="0" w:line="259" w:lineRule="auto"/>
        <w:ind w:left="108" w:firstLine="0"/>
      </w:pPr>
      <w:r>
        <w:t xml:space="preserve"> </w:t>
      </w:r>
    </w:p>
    <w:tbl>
      <w:tblPr>
        <w:tblStyle w:val="TableGrid"/>
        <w:tblW w:w="8455" w:type="dxa"/>
        <w:tblInd w:w="120" w:type="dxa"/>
        <w:tblCellMar>
          <w:top w:w="1" w:type="dxa"/>
          <w:left w:w="106" w:type="dxa"/>
        </w:tblCellMar>
        <w:tblLook w:val="04A0" w:firstRow="1" w:lastRow="0" w:firstColumn="1" w:lastColumn="0" w:noHBand="0" w:noVBand="1"/>
      </w:tblPr>
      <w:tblGrid>
        <w:gridCol w:w="3685"/>
        <w:gridCol w:w="714"/>
        <w:gridCol w:w="1260"/>
        <w:gridCol w:w="2796"/>
      </w:tblGrid>
      <w:tr w:rsidR="00AA390B">
        <w:trPr>
          <w:trHeight w:val="314"/>
        </w:trPr>
        <w:tc>
          <w:tcPr>
            <w:tcW w:w="3685" w:type="dxa"/>
            <w:tcBorders>
              <w:top w:val="single" w:color="000000" w:sz="8" w:space="0"/>
              <w:left w:val="single" w:color="000000" w:sz="8" w:space="0"/>
              <w:bottom w:val="single" w:color="000000" w:sz="8" w:space="0"/>
              <w:right w:val="single" w:color="000000" w:sz="8" w:space="0"/>
            </w:tcBorders>
            <w:shd w:val="clear" w:color="auto" w:fill="CACACA"/>
          </w:tcPr>
          <w:p w:rsidR="00AA390B" w:rsidRDefault="00727E5B">
            <w:pPr>
              <w:spacing w:after="0" w:line="259" w:lineRule="auto"/>
              <w:ind w:left="0" w:right="107" w:firstLine="0"/>
              <w:jc w:val="center"/>
            </w:pPr>
            <w:r>
              <w:rPr>
                <w:sz w:val="22"/>
              </w:rPr>
              <w:t xml:space="preserve">Task </w:t>
            </w:r>
          </w:p>
        </w:tc>
        <w:tc>
          <w:tcPr>
            <w:tcW w:w="714" w:type="dxa"/>
            <w:tcBorders>
              <w:top w:val="single" w:color="000000" w:sz="8" w:space="0"/>
              <w:left w:val="single" w:color="000000" w:sz="8" w:space="0"/>
              <w:bottom w:val="single" w:color="000000" w:sz="8" w:space="0"/>
              <w:right w:val="single" w:color="000000" w:sz="8" w:space="0"/>
            </w:tcBorders>
            <w:shd w:val="clear" w:color="auto" w:fill="CACACA"/>
          </w:tcPr>
          <w:p w:rsidR="00AA390B" w:rsidRDefault="00727E5B">
            <w:pPr>
              <w:spacing w:after="0" w:line="259" w:lineRule="auto"/>
              <w:ind w:left="16" w:firstLine="0"/>
            </w:pPr>
            <w:r>
              <w:rPr>
                <w:sz w:val="22"/>
              </w:rPr>
              <w:t xml:space="preserve">Units </w:t>
            </w:r>
          </w:p>
        </w:tc>
        <w:tc>
          <w:tcPr>
            <w:tcW w:w="1260" w:type="dxa"/>
            <w:tcBorders>
              <w:top w:val="single" w:color="000000" w:sz="8" w:space="0"/>
              <w:left w:val="single" w:color="000000" w:sz="8" w:space="0"/>
              <w:bottom w:val="single" w:color="000000" w:sz="8" w:space="0"/>
              <w:right w:val="single" w:color="000000" w:sz="8" w:space="0"/>
            </w:tcBorders>
            <w:shd w:val="clear" w:color="auto" w:fill="CACACA"/>
          </w:tcPr>
          <w:p w:rsidR="00AA390B" w:rsidRDefault="00727E5B">
            <w:pPr>
              <w:spacing w:after="0" w:line="259" w:lineRule="auto"/>
              <w:ind w:left="0" w:right="101" w:firstLine="0"/>
              <w:jc w:val="center"/>
            </w:pPr>
            <w:r>
              <w:rPr>
                <w:sz w:val="22"/>
              </w:rPr>
              <w:t xml:space="preserve">Price </w:t>
            </w:r>
          </w:p>
        </w:tc>
        <w:tc>
          <w:tcPr>
            <w:tcW w:w="2796" w:type="dxa"/>
            <w:tcBorders>
              <w:top w:val="single" w:color="000000" w:sz="8" w:space="0"/>
              <w:left w:val="single" w:color="000000" w:sz="8" w:space="0"/>
              <w:bottom w:val="single" w:color="000000" w:sz="8" w:space="0"/>
              <w:right w:val="single" w:color="000000" w:sz="8" w:space="0"/>
            </w:tcBorders>
            <w:shd w:val="clear" w:color="auto" w:fill="CACACA"/>
          </w:tcPr>
          <w:p w:rsidR="00AA390B" w:rsidRDefault="00727E5B">
            <w:pPr>
              <w:spacing w:after="0" w:line="259" w:lineRule="auto"/>
              <w:ind w:left="0" w:right="99" w:firstLine="0"/>
              <w:jc w:val="center"/>
            </w:pPr>
            <w:r>
              <w:rPr>
                <w:sz w:val="22"/>
              </w:rPr>
              <w:t xml:space="preserve">Total </w:t>
            </w:r>
          </w:p>
        </w:tc>
      </w:tr>
      <w:tr w:rsidR="00AA390B">
        <w:trPr>
          <w:trHeight w:val="362"/>
        </w:trPr>
        <w:tc>
          <w:tcPr>
            <w:tcW w:w="3685" w:type="dxa"/>
            <w:tcBorders>
              <w:top w:val="single" w:color="000000" w:sz="8" w:space="0"/>
              <w:left w:val="single" w:color="000000" w:sz="8" w:space="0"/>
              <w:bottom w:val="single" w:color="000000" w:sz="8" w:space="0"/>
              <w:right w:val="single" w:color="000000" w:sz="8" w:space="0"/>
            </w:tcBorders>
          </w:tcPr>
          <w:p w:rsidR="00AA390B" w:rsidRDefault="00727E5B">
            <w:pPr>
              <w:spacing w:after="0" w:line="259" w:lineRule="auto"/>
              <w:ind w:left="0" w:firstLine="0"/>
            </w:pPr>
            <w:r>
              <w:rPr>
                <w:sz w:val="22"/>
              </w:rPr>
              <w:t xml:space="preserve">Intake, Completeness Review </w:t>
            </w:r>
          </w:p>
        </w:tc>
        <w:tc>
          <w:tcPr>
            <w:tcW w:w="714" w:type="dxa"/>
            <w:tcBorders>
              <w:top w:val="single" w:color="000000" w:sz="8" w:space="0"/>
              <w:left w:val="single" w:color="000000" w:sz="8" w:space="0"/>
              <w:bottom w:val="single" w:color="000000" w:sz="8" w:space="0"/>
              <w:right w:val="single" w:color="000000" w:sz="8" w:space="0"/>
            </w:tcBorders>
          </w:tcPr>
          <w:p w:rsidR="00AA390B" w:rsidRDefault="00727E5B">
            <w:pPr>
              <w:spacing w:after="0" w:line="259" w:lineRule="auto"/>
              <w:ind w:left="8" w:firstLine="0"/>
            </w:pPr>
            <w:r>
              <w:rPr>
                <w:sz w:val="22"/>
              </w:rPr>
              <w:t xml:space="preserve">1,000 </w:t>
            </w:r>
          </w:p>
        </w:tc>
        <w:tc>
          <w:tcPr>
            <w:tcW w:w="1260" w:type="dxa"/>
            <w:tcBorders>
              <w:top w:val="single" w:color="000000" w:sz="8" w:space="0"/>
              <w:left w:val="single" w:color="000000" w:sz="8" w:space="0"/>
              <w:bottom w:val="single" w:color="000000" w:sz="8" w:space="0"/>
              <w:right w:val="single" w:color="000000" w:sz="8" w:space="0"/>
            </w:tcBorders>
          </w:tcPr>
          <w:p w:rsidR="00AA390B" w:rsidRDefault="00727E5B">
            <w:pPr>
              <w:spacing w:after="0" w:line="259" w:lineRule="auto"/>
              <w:ind w:left="0" w:right="106" w:firstLine="0"/>
              <w:jc w:val="right"/>
            </w:pPr>
            <w:r>
              <w:rPr>
                <w:sz w:val="22"/>
              </w:rPr>
              <w:t xml:space="preserve">$275.00  </w:t>
            </w:r>
          </w:p>
        </w:tc>
        <w:tc>
          <w:tcPr>
            <w:tcW w:w="2796" w:type="dxa"/>
            <w:tcBorders>
              <w:top w:val="single" w:color="000000" w:sz="8" w:space="0"/>
              <w:left w:val="single" w:color="000000" w:sz="8" w:space="0"/>
              <w:bottom w:val="single" w:color="000000" w:sz="8" w:space="0"/>
              <w:right w:val="single" w:color="000000" w:sz="8" w:space="0"/>
            </w:tcBorders>
          </w:tcPr>
          <w:p w:rsidR="00AA390B" w:rsidRDefault="00727E5B">
            <w:pPr>
              <w:spacing w:after="0" w:line="259" w:lineRule="auto"/>
              <w:ind w:left="0" w:right="106" w:firstLine="0"/>
              <w:jc w:val="right"/>
            </w:pPr>
            <w:r>
              <w:rPr>
                <w:sz w:val="22"/>
              </w:rPr>
              <w:t xml:space="preserve">$275,000  </w:t>
            </w:r>
          </w:p>
        </w:tc>
      </w:tr>
    </w:tbl>
    <w:p w:rsidR="00AA390B" w:rsidRDefault="00727E5B">
      <w:pPr>
        <w:spacing w:after="0" w:line="259" w:lineRule="auto"/>
        <w:ind w:left="108" w:firstLine="0"/>
      </w:pPr>
      <w:r>
        <w:t xml:space="preserve"> </w:t>
      </w:r>
    </w:p>
    <w:p w:rsidR="00C813C2" w:rsidRDefault="00C813C2">
      <w:pPr>
        <w:spacing w:after="0" w:line="259" w:lineRule="auto"/>
        <w:ind w:left="108" w:firstLine="0"/>
      </w:pPr>
    </w:p>
    <w:p w:rsidR="00AA390B" w:rsidRDefault="00727E5B">
      <w:pPr>
        <w:ind w:left="103"/>
      </w:pPr>
      <w:r>
        <w:t xml:space="preserve">In addition to reviews, our contractor (MBL Technologies) performs audits based on the DMP SAQ. These audits are broken down into three tiers based on risk. </w:t>
      </w:r>
    </w:p>
    <w:tbl>
      <w:tblPr>
        <w:tblStyle w:val="TableGrid"/>
        <w:tblW w:w="8434" w:type="dxa"/>
        <w:tblInd w:w="120" w:type="dxa"/>
        <w:tblLook w:val="04A0" w:firstRow="1" w:lastRow="0" w:firstColumn="1" w:lastColumn="0" w:noHBand="0" w:noVBand="1"/>
      </w:tblPr>
      <w:tblGrid>
        <w:gridCol w:w="1628"/>
        <w:gridCol w:w="2058"/>
        <w:gridCol w:w="722"/>
        <w:gridCol w:w="1258"/>
        <w:gridCol w:w="2768"/>
      </w:tblGrid>
      <w:tr w:rsidR="00AA390B" w:rsidTr="00C813C2">
        <w:trPr>
          <w:trHeight w:val="314"/>
        </w:trPr>
        <w:tc>
          <w:tcPr>
            <w:tcW w:w="1628" w:type="dxa"/>
            <w:tcBorders>
              <w:top w:val="single" w:color="000000" w:sz="8" w:space="0"/>
              <w:left w:val="single" w:color="000000" w:sz="8" w:space="0"/>
              <w:bottom w:val="single" w:color="000000" w:sz="8" w:space="0"/>
              <w:right w:val="nil"/>
            </w:tcBorders>
            <w:shd w:val="clear" w:color="auto" w:fill="CACACA"/>
          </w:tcPr>
          <w:p w:rsidR="00AA390B" w:rsidRDefault="00AA390B">
            <w:pPr>
              <w:spacing w:after="160" w:line="259" w:lineRule="auto"/>
              <w:ind w:left="0" w:firstLine="0"/>
            </w:pPr>
          </w:p>
        </w:tc>
        <w:tc>
          <w:tcPr>
            <w:tcW w:w="2058" w:type="dxa"/>
            <w:tcBorders>
              <w:top w:val="single" w:color="000000" w:sz="8" w:space="0"/>
              <w:left w:val="nil"/>
              <w:bottom w:val="single" w:color="000000" w:sz="8" w:space="0"/>
              <w:right w:val="single" w:color="000000" w:sz="8" w:space="0"/>
            </w:tcBorders>
            <w:shd w:val="clear" w:color="auto" w:fill="CACACA"/>
          </w:tcPr>
          <w:p w:rsidR="00AA390B" w:rsidRDefault="00727E5B">
            <w:pPr>
              <w:spacing w:after="0" w:line="259" w:lineRule="auto"/>
              <w:ind w:left="0" w:firstLine="0"/>
            </w:pPr>
            <w:r>
              <w:rPr>
                <w:sz w:val="22"/>
              </w:rPr>
              <w:t xml:space="preserve">Task </w:t>
            </w:r>
          </w:p>
        </w:tc>
        <w:tc>
          <w:tcPr>
            <w:tcW w:w="722" w:type="dxa"/>
            <w:tcBorders>
              <w:top w:val="single" w:color="000000" w:sz="8" w:space="0"/>
              <w:left w:val="single" w:color="000000" w:sz="8" w:space="0"/>
              <w:bottom w:val="single" w:color="000000" w:sz="8" w:space="0"/>
              <w:right w:val="single" w:color="000000" w:sz="8" w:space="0"/>
            </w:tcBorders>
            <w:shd w:val="clear" w:color="auto" w:fill="CACACA"/>
          </w:tcPr>
          <w:p w:rsidR="00AA390B" w:rsidRDefault="00727E5B">
            <w:pPr>
              <w:spacing w:after="0" w:line="259" w:lineRule="auto"/>
              <w:ind w:left="124" w:firstLine="0"/>
            </w:pPr>
            <w:r>
              <w:rPr>
                <w:sz w:val="22"/>
              </w:rPr>
              <w:t xml:space="preserve">Units </w:t>
            </w:r>
          </w:p>
        </w:tc>
        <w:tc>
          <w:tcPr>
            <w:tcW w:w="1258" w:type="dxa"/>
            <w:tcBorders>
              <w:top w:val="single" w:color="000000" w:sz="8" w:space="0"/>
              <w:left w:val="single" w:color="000000" w:sz="8" w:space="0"/>
              <w:bottom w:val="single" w:color="000000" w:sz="8" w:space="0"/>
              <w:right w:val="single" w:color="000000" w:sz="8" w:space="0"/>
            </w:tcBorders>
            <w:shd w:val="clear" w:color="auto" w:fill="CACACA"/>
          </w:tcPr>
          <w:p w:rsidR="00AA390B" w:rsidRDefault="00727E5B">
            <w:pPr>
              <w:spacing w:after="0" w:line="259" w:lineRule="auto"/>
              <w:ind w:left="4" w:firstLine="0"/>
              <w:jc w:val="center"/>
            </w:pPr>
            <w:r>
              <w:rPr>
                <w:sz w:val="22"/>
              </w:rPr>
              <w:t xml:space="preserve">Price </w:t>
            </w:r>
          </w:p>
        </w:tc>
        <w:tc>
          <w:tcPr>
            <w:tcW w:w="2768" w:type="dxa"/>
            <w:tcBorders>
              <w:top w:val="single" w:color="000000" w:sz="8" w:space="0"/>
              <w:left w:val="single" w:color="000000" w:sz="8" w:space="0"/>
              <w:bottom w:val="single" w:color="000000" w:sz="8" w:space="0"/>
              <w:right w:val="single" w:color="000000" w:sz="8" w:space="0"/>
            </w:tcBorders>
            <w:shd w:val="clear" w:color="auto" w:fill="CACACA"/>
          </w:tcPr>
          <w:p w:rsidR="00AA390B" w:rsidRDefault="00727E5B">
            <w:pPr>
              <w:spacing w:after="0" w:line="259" w:lineRule="auto"/>
              <w:ind w:left="7" w:firstLine="0"/>
              <w:jc w:val="center"/>
            </w:pPr>
            <w:r>
              <w:rPr>
                <w:sz w:val="22"/>
              </w:rPr>
              <w:t xml:space="preserve">Total </w:t>
            </w:r>
          </w:p>
        </w:tc>
      </w:tr>
      <w:tr w:rsidR="00AA390B" w:rsidTr="00C813C2">
        <w:trPr>
          <w:trHeight w:val="324"/>
        </w:trPr>
        <w:tc>
          <w:tcPr>
            <w:tcW w:w="1628" w:type="dxa"/>
            <w:tcBorders>
              <w:top w:val="single" w:color="000000" w:sz="8" w:space="0"/>
              <w:left w:val="single" w:color="000000" w:sz="8" w:space="0"/>
              <w:bottom w:val="single" w:color="000000" w:sz="8" w:space="0"/>
              <w:right w:val="nil"/>
            </w:tcBorders>
          </w:tcPr>
          <w:p w:rsidR="00AA390B" w:rsidRDefault="00727E5B">
            <w:pPr>
              <w:spacing w:after="0" w:line="259" w:lineRule="auto"/>
              <w:ind w:left="106" w:firstLine="0"/>
            </w:pPr>
            <w:r>
              <w:rPr>
                <w:sz w:val="22"/>
              </w:rPr>
              <w:t xml:space="preserve">Tier I Audit </w:t>
            </w:r>
          </w:p>
        </w:tc>
        <w:tc>
          <w:tcPr>
            <w:tcW w:w="2058" w:type="dxa"/>
            <w:tcBorders>
              <w:top w:val="single" w:color="000000" w:sz="8" w:space="0"/>
              <w:left w:val="nil"/>
              <w:bottom w:val="single" w:color="000000" w:sz="8" w:space="0"/>
              <w:right w:val="single" w:color="000000" w:sz="8" w:space="0"/>
            </w:tcBorders>
          </w:tcPr>
          <w:p w:rsidR="00AA390B" w:rsidRDefault="00AA390B">
            <w:pPr>
              <w:spacing w:after="160" w:line="259" w:lineRule="auto"/>
              <w:ind w:left="0" w:firstLine="0"/>
            </w:pPr>
          </w:p>
        </w:tc>
        <w:tc>
          <w:tcPr>
            <w:tcW w:w="722" w:type="dxa"/>
            <w:tcBorders>
              <w:top w:val="single" w:color="000000" w:sz="8" w:space="0"/>
              <w:left w:val="single" w:color="000000" w:sz="8" w:space="0"/>
              <w:bottom w:val="single" w:color="000000" w:sz="8" w:space="0"/>
              <w:right w:val="single" w:color="000000" w:sz="8" w:space="0"/>
            </w:tcBorders>
          </w:tcPr>
          <w:p w:rsidR="00AA390B" w:rsidRDefault="00727E5B">
            <w:pPr>
              <w:spacing w:after="0" w:line="259" w:lineRule="auto"/>
              <w:ind w:left="0" w:right="107" w:firstLine="0"/>
              <w:jc w:val="right"/>
            </w:pPr>
            <w:r>
              <w:rPr>
                <w:sz w:val="22"/>
              </w:rPr>
              <w:t xml:space="preserve">200 </w:t>
            </w:r>
          </w:p>
        </w:tc>
        <w:tc>
          <w:tcPr>
            <w:tcW w:w="1258" w:type="dxa"/>
            <w:tcBorders>
              <w:top w:val="single" w:color="000000" w:sz="8" w:space="0"/>
              <w:left w:val="single" w:color="000000" w:sz="8" w:space="0"/>
              <w:bottom w:val="single" w:color="000000" w:sz="8" w:space="0"/>
              <w:right w:val="single" w:color="000000" w:sz="8" w:space="0"/>
            </w:tcBorders>
          </w:tcPr>
          <w:p w:rsidR="00AA390B" w:rsidRDefault="00727E5B">
            <w:pPr>
              <w:spacing w:after="0" w:line="259" w:lineRule="auto"/>
              <w:ind w:left="0" w:right="104" w:firstLine="0"/>
              <w:jc w:val="right"/>
            </w:pPr>
            <w:r>
              <w:rPr>
                <w:sz w:val="22"/>
              </w:rPr>
              <w:t xml:space="preserve">$2,000.00  </w:t>
            </w:r>
          </w:p>
        </w:tc>
        <w:tc>
          <w:tcPr>
            <w:tcW w:w="2768" w:type="dxa"/>
            <w:tcBorders>
              <w:top w:val="single" w:color="000000" w:sz="8" w:space="0"/>
              <w:left w:val="single" w:color="000000" w:sz="8" w:space="0"/>
              <w:bottom w:val="single" w:color="000000" w:sz="8" w:space="0"/>
              <w:right w:val="single" w:color="000000" w:sz="8" w:space="0"/>
            </w:tcBorders>
          </w:tcPr>
          <w:p w:rsidR="00AA390B" w:rsidRDefault="00727E5B">
            <w:pPr>
              <w:spacing w:after="0" w:line="259" w:lineRule="auto"/>
              <w:ind w:left="0" w:right="103" w:firstLine="0"/>
              <w:jc w:val="right"/>
            </w:pPr>
            <w:r>
              <w:rPr>
                <w:sz w:val="22"/>
              </w:rPr>
              <w:t xml:space="preserve">$400,000  </w:t>
            </w:r>
          </w:p>
        </w:tc>
      </w:tr>
      <w:tr w:rsidR="00AA390B" w:rsidTr="00C813C2">
        <w:trPr>
          <w:trHeight w:val="319"/>
        </w:trPr>
        <w:tc>
          <w:tcPr>
            <w:tcW w:w="1628" w:type="dxa"/>
            <w:tcBorders>
              <w:top w:val="single" w:color="000000" w:sz="8" w:space="0"/>
              <w:left w:val="single" w:color="000000" w:sz="8" w:space="0"/>
              <w:bottom w:val="single" w:color="000000" w:sz="8" w:space="0"/>
              <w:right w:val="nil"/>
            </w:tcBorders>
          </w:tcPr>
          <w:p w:rsidR="00AA390B" w:rsidRDefault="00727E5B">
            <w:pPr>
              <w:spacing w:after="0" w:line="259" w:lineRule="auto"/>
              <w:ind w:left="106" w:firstLine="0"/>
            </w:pPr>
            <w:r>
              <w:rPr>
                <w:sz w:val="22"/>
              </w:rPr>
              <w:t xml:space="preserve">Tier II Audit </w:t>
            </w:r>
          </w:p>
        </w:tc>
        <w:tc>
          <w:tcPr>
            <w:tcW w:w="2058" w:type="dxa"/>
            <w:tcBorders>
              <w:top w:val="single" w:color="000000" w:sz="8" w:space="0"/>
              <w:left w:val="nil"/>
              <w:bottom w:val="single" w:color="000000" w:sz="8" w:space="0"/>
              <w:right w:val="single" w:color="000000" w:sz="8" w:space="0"/>
            </w:tcBorders>
          </w:tcPr>
          <w:p w:rsidR="00AA390B" w:rsidRDefault="00AA390B">
            <w:pPr>
              <w:spacing w:after="160" w:line="259" w:lineRule="auto"/>
              <w:ind w:left="0" w:firstLine="0"/>
            </w:pPr>
          </w:p>
        </w:tc>
        <w:tc>
          <w:tcPr>
            <w:tcW w:w="722" w:type="dxa"/>
            <w:tcBorders>
              <w:top w:val="single" w:color="000000" w:sz="8" w:space="0"/>
              <w:left w:val="single" w:color="000000" w:sz="8" w:space="0"/>
              <w:bottom w:val="single" w:color="000000" w:sz="8" w:space="0"/>
              <w:right w:val="single" w:color="000000" w:sz="8" w:space="0"/>
            </w:tcBorders>
          </w:tcPr>
          <w:p w:rsidR="00AA390B" w:rsidRDefault="00727E5B">
            <w:pPr>
              <w:spacing w:after="0" w:line="259" w:lineRule="auto"/>
              <w:ind w:left="0" w:right="107" w:firstLine="0"/>
              <w:jc w:val="right"/>
            </w:pPr>
            <w:r>
              <w:rPr>
                <w:sz w:val="22"/>
              </w:rPr>
              <w:t xml:space="preserve">80 </w:t>
            </w:r>
          </w:p>
        </w:tc>
        <w:tc>
          <w:tcPr>
            <w:tcW w:w="1258" w:type="dxa"/>
            <w:tcBorders>
              <w:top w:val="single" w:color="000000" w:sz="8" w:space="0"/>
              <w:left w:val="single" w:color="000000" w:sz="8" w:space="0"/>
              <w:bottom w:val="single" w:color="000000" w:sz="8" w:space="0"/>
              <w:right w:val="single" w:color="000000" w:sz="8" w:space="0"/>
            </w:tcBorders>
          </w:tcPr>
          <w:p w:rsidR="00AA390B" w:rsidRDefault="00727E5B">
            <w:pPr>
              <w:spacing w:after="0" w:line="259" w:lineRule="auto"/>
              <w:ind w:left="0" w:right="104" w:firstLine="0"/>
              <w:jc w:val="right"/>
            </w:pPr>
            <w:r>
              <w:rPr>
                <w:sz w:val="22"/>
              </w:rPr>
              <w:t xml:space="preserve">$4,500.00  </w:t>
            </w:r>
          </w:p>
        </w:tc>
        <w:tc>
          <w:tcPr>
            <w:tcW w:w="2768" w:type="dxa"/>
            <w:tcBorders>
              <w:top w:val="single" w:color="000000" w:sz="8" w:space="0"/>
              <w:left w:val="single" w:color="000000" w:sz="8" w:space="0"/>
              <w:bottom w:val="single" w:color="000000" w:sz="8" w:space="0"/>
              <w:right w:val="single" w:color="000000" w:sz="8" w:space="0"/>
            </w:tcBorders>
          </w:tcPr>
          <w:p w:rsidR="00AA390B" w:rsidRDefault="00727E5B">
            <w:pPr>
              <w:spacing w:after="0" w:line="259" w:lineRule="auto"/>
              <w:ind w:left="0" w:right="103" w:firstLine="0"/>
              <w:jc w:val="right"/>
            </w:pPr>
            <w:r>
              <w:rPr>
                <w:sz w:val="22"/>
              </w:rPr>
              <w:t xml:space="preserve">$360,000  </w:t>
            </w:r>
          </w:p>
        </w:tc>
      </w:tr>
      <w:tr w:rsidR="00AA390B" w:rsidTr="00C813C2">
        <w:trPr>
          <w:trHeight w:val="323"/>
        </w:trPr>
        <w:tc>
          <w:tcPr>
            <w:tcW w:w="1628" w:type="dxa"/>
            <w:tcBorders>
              <w:top w:val="single" w:color="000000" w:sz="8" w:space="0"/>
              <w:left w:val="single" w:color="000000" w:sz="8" w:space="0"/>
              <w:bottom w:val="single" w:color="000000" w:sz="8" w:space="0"/>
              <w:right w:val="nil"/>
            </w:tcBorders>
          </w:tcPr>
          <w:p w:rsidR="00AA390B" w:rsidRDefault="00727E5B">
            <w:pPr>
              <w:spacing w:after="0" w:line="259" w:lineRule="auto"/>
              <w:ind w:left="106" w:firstLine="0"/>
            </w:pPr>
            <w:r>
              <w:rPr>
                <w:sz w:val="22"/>
              </w:rPr>
              <w:t xml:space="preserve">Tier III Audit </w:t>
            </w:r>
          </w:p>
        </w:tc>
        <w:tc>
          <w:tcPr>
            <w:tcW w:w="2058" w:type="dxa"/>
            <w:tcBorders>
              <w:top w:val="single" w:color="000000" w:sz="8" w:space="0"/>
              <w:left w:val="nil"/>
              <w:bottom w:val="single" w:color="000000" w:sz="8" w:space="0"/>
              <w:right w:val="single" w:color="000000" w:sz="8" w:space="0"/>
            </w:tcBorders>
          </w:tcPr>
          <w:p w:rsidR="00AA390B" w:rsidRDefault="00AA390B">
            <w:pPr>
              <w:spacing w:after="160" w:line="259" w:lineRule="auto"/>
              <w:ind w:left="0" w:firstLine="0"/>
            </w:pPr>
          </w:p>
        </w:tc>
        <w:tc>
          <w:tcPr>
            <w:tcW w:w="722" w:type="dxa"/>
            <w:tcBorders>
              <w:top w:val="single" w:color="000000" w:sz="8" w:space="0"/>
              <w:left w:val="single" w:color="000000" w:sz="8" w:space="0"/>
              <w:bottom w:val="single" w:color="000000" w:sz="8" w:space="0"/>
              <w:right w:val="single" w:color="000000" w:sz="8" w:space="0"/>
            </w:tcBorders>
          </w:tcPr>
          <w:p w:rsidR="00AA390B" w:rsidRDefault="00727E5B">
            <w:pPr>
              <w:spacing w:after="0" w:line="259" w:lineRule="auto"/>
              <w:ind w:left="0" w:right="107" w:firstLine="0"/>
              <w:jc w:val="right"/>
            </w:pPr>
            <w:r>
              <w:rPr>
                <w:sz w:val="22"/>
              </w:rPr>
              <w:t xml:space="preserve">60 </w:t>
            </w:r>
          </w:p>
        </w:tc>
        <w:tc>
          <w:tcPr>
            <w:tcW w:w="1258" w:type="dxa"/>
            <w:tcBorders>
              <w:top w:val="single" w:color="000000" w:sz="8" w:space="0"/>
              <w:left w:val="single" w:color="000000" w:sz="8" w:space="0"/>
              <w:bottom w:val="single" w:color="000000" w:sz="8" w:space="0"/>
              <w:right w:val="single" w:color="000000" w:sz="8" w:space="0"/>
            </w:tcBorders>
          </w:tcPr>
          <w:p w:rsidR="00AA390B" w:rsidRDefault="00727E5B">
            <w:pPr>
              <w:spacing w:after="0" w:line="259" w:lineRule="auto"/>
              <w:ind w:left="162" w:firstLine="0"/>
            </w:pPr>
            <w:r>
              <w:rPr>
                <w:sz w:val="22"/>
              </w:rPr>
              <w:t xml:space="preserve">$10,000.00  </w:t>
            </w:r>
          </w:p>
        </w:tc>
        <w:tc>
          <w:tcPr>
            <w:tcW w:w="2768" w:type="dxa"/>
            <w:tcBorders>
              <w:top w:val="single" w:color="000000" w:sz="8" w:space="0"/>
              <w:left w:val="single" w:color="000000" w:sz="8" w:space="0"/>
              <w:bottom w:val="single" w:color="000000" w:sz="8" w:space="0"/>
              <w:right w:val="single" w:color="000000" w:sz="8" w:space="0"/>
            </w:tcBorders>
          </w:tcPr>
          <w:p w:rsidR="00AA390B" w:rsidRDefault="00727E5B">
            <w:pPr>
              <w:spacing w:after="0" w:line="259" w:lineRule="auto"/>
              <w:ind w:left="0" w:right="103" w:firstLine="0"/>
              <w:jc w:val="right"/>
            </w:pPr>
            <w:r>
              <w:rPr>
                <w:sz w:val="22"/>
              </w:rPr>
              <w:t xml:space="preserve">$600,000  </w:t>
            </w:r>
          </w:p>
        </w:tc>
      </w:tr>
      <w:tr w:rsidR="00AA390B" w:rsidTr="00C813C2">
        <w:trPr>
          <w:trHeight w:val="316"/>
        </w:trPr>
        <w:tc>
          <w:tcPr>
            <w:tcW w:w="1628" w:type="dxa"/>
            <w:tcBorders>
              <w:top w:val="single" w:color="000000" w:sz="8" w:space="0"/>
              <w:left w:val="nil"/>
              <w:bottom w:val="nil"/>
              <w:right w:val="nil"/>
            </w:tcBorders>
          </w:tcPr>
          <w:p w:rsidR="00AA390B" w:rsidRDefault="00AA390B">
            <w:pPr>
              <w:spacing w:after="160" w:line="259" w:lineRule="auto"/>
              <w:ind w:left="0" w:firstLine="0"/>
            </w:pPr>
          </w:p>
        </w:tc>
        <w:tc>
          <w:tcPr>
            <w:tcW w:w="2058" w:type="dxa"/>
            <w:tcBorders>
              <w:top w:val="single" w:color="000000" w:sz="8" w:space="0"/>
              <w:left w:val="nil"/>
              <w:bottom w:val="nil"/>
              <w:right w:val="nil"/>
            </w:tcBorders>
          </w:tcPr>
          <w:p w:rsidR="00AA390B" w:rsidRDefault="00AA390B">
            <w:pPr>
              <w:spacing w:after="160" w:line="259" w:lineRule="auto"/>
              <w:ind w:left="0" w:firstLine="0"/>
            </w:pPr>
          </w:p>
        </w:tc>
        <w:tc>
          <w:tcPr>
            <w:tcW w:w="722" w:type="dxa"/>
            <w:tcBorders>
              <w:top w:val="single" w:color="000000" w:sz="8" w:space="0"/>
              <w:left w:val="nil"/>
              <w:bottom w:val="nil"/>
              <w:right w:val="single" w:color="000000" w:sz="8" w:space="0"/>
            </w:tcBorders>
          </w:tcPr>
          <w:p w:rsidR="00AA390B" w:rsidRDefault="00AA390B">
            <w:pPr>
              <w:spacing w:after="160" w:line="259" w:lineRule="auto"/>
              <w:ind w:left="0" w:firstLine="0"/>
            </w:pPr>
          </w:p>
        </w:tc>
        <w:tc>
          <w:tcPr>
            <w:tcW w:w="1258" w:type="dxa"/>
            <w:tcBorders>
              <w:top w:val="single" w:color="000000" w:sz="8" w:space="0"/>
              <w:left w:val="single" w:color="000000" w:sz="8" w:space="0"/>
              <w:bottom w:val="single" w:color="000000" w:sz="8" w:space="0"/>
              <w:right w:val="single" w:color="000000" w:sz="8" w:space="0"/>
            </w:tcBorders>
            <w:shd w:val="clear" w:color="auto" w:fill="DADADB"/>
          </w:tcPr>
          <w:p w:rsidR="00AA390B" w:rsidRDefault="00727E5B">
            <w:pPr>
              <w:spacing w:after="0" w:line="259" w:lineRule="auto"/>
              <w:ind w:left="0" w:right="103" w:firstLine="0"/>
              <w:jc w:val="right"/>
            </w:pPr>
            <w:r>
              <w:rPr>
                <w:sz w:val="22"/>
              </w:rPr>
              <w:t xml:space="preserve">Total </w:t>
            </w:r>
          </w:p>
        </w:tc>
        <w:tc>
          <w:tcPr>
            <w:tcW w:w="2768" w:type="dxa"/>
            <w:tcBorders>
              <w:top w:val="single" w:color="000000" w:sz="8" w:space="0"/>
              <w:left w:val="single" w:color="000000" w:sz="8" w:space="0"/>
              <w:bottom w:val="single" w:color="000000" w:sz="8" w:space="0"/>
              <w:right w:val="single" w:color="000000" w:sz="8" w:space="0"/>
            </w:tcBorders>
          </w:tcPr>
          <w:p w:rsidR="00AA390B" w:rsidRDefault="00727E5B">
            <w:pPr>
              <w:spacing w:after="0" w:line="259" w:lineRule="auto"/>
              <w:ind w:left="0" w:right="101" w:firstLine="0"/>
              <w:jc w:val="right"/>
            </w:pPr>
            <w:r>
              <w:rPr>
                <w:sz w:val="22"/>
              </w:rPr>
              <w:t xml:space="preserve">$1,360,000  </w:t>
            </w:r>
          </w:p>
        </w:tc>
      </w:tr>
    </w:tbl>
    <w:p w:rsidR="00AA390B" w:rsidRDefault="00727E5B">
      <w:pPr>
        <w:spacing w:after="0" w:line="259" w:lineRule="auto"/>
        <w:ind w:left="108" w:firstLine="0"/>
      </w:pPr>
      <w:r>
        <w:t xml:space="preserve">  </w:t>
      </w:r>
    </w:p>
    <w:p w:rsidR="00957000" w:rsidRDefault="00957000">
      <w:pPr>
        <w:spacing w:after="0" w:line="259" w:lineRule="auto"/>
        <w:ind w:left="108" w:firstLine="0"/>
      </w:pPr>
      <w:r>
        <w:t xml:space="preserve">The </w:t>
      </w:r>
      <w:bookmarkStart w:name="_GoBack" w:id="0"/>
      <w:bookmarkEnd w:id="0"/>
      <w:r>
        <w:t xml:space="preserve">cost </w:t>
      </w:r>
      <w:r>
        <w:t>to recei</w:t>
      </w:r>
      <w:r>
        <w:t xml:space="preserve">ve/review the DMP SAQ forms and </w:t>
      </w:r>
      <w:r>
        <w:t>perform audits based on the DMP SAQ</w:t>
      </w:r>
      <w:r>
        <w:t xml:space="preserve"> equate to a total cost of $1,</w:t>
      </w:r>
      <w:r w:rsidRPr="00957000">
        <w:t>635</w:t>
      </w:r>
      <w:r>
        <w:t>,</w:t>
      </w:r>
      <w:r w:rsidRPr="00957000">
        <w:t>000</w:t>
      </w:r>
      <w:r>
        <w:t>.</w:t>
      </w:r>
    </w:p>
    <w:p w:rsidR="00957000" w:rsidRDefault="00957000">
      <w:pPr>
        <w:spacing w:after="0" w:line="259" w:lineRule="auto"/>
        <w:ind w:left="108" w:firstLine="0"/>
      </w:pPr>
    </w:p>
    <w:p w:rsidR="00AA390B" w:rsidRDefault="00727E5B">
      <w:pPr>
        <w:numPr>
          <w:ilvl w:val="0"/>
          <w:numId w:val="5"/>
        </w:numPr>
        <w:spacing w:after="0" w:line="259" w:lineRule="auto"/>
        <w:ind w:hanging="360"/>
      </w:pPr>
      <w:r>
        <w:rPr>
          <w:sz w:val="24"/>
          <w:u w:val="single" w:color="000000"/>
        </w:rPr>
        <w:t>Changes to Burden</w:t>
      </w:r>
      <w:r>
        <w:rPr>
          <w:sz w:val="24"/>
        </w:rPr>
        <w:t xml:space="preserve"> </w:t>
      </w:r>
    </w:p>
    <w:p w:rsidR="00AA390B" w:rsidRDefault="00727E5B">
      <w:pPr>
        <w:spacing w:after="0" w:line="259" w:lineRule="auto"/>
        <w:ind w:left="108" w:firstLine="0"/>
      </w:pPr>
      <w:r>
        <w:rPr>
          <w:sz w:val="24"/>
        </w:rPr>
        <w:t xml:space="preserve"> </w:t>
      </w:r>
    </w:p>
    <w:p w:rsidR="00AA390B" w:rsidRDefault="00727E5B">
      <w:pPr>
        <w:ind w:left="103"/>
      </w:pPr>
      <w:r>
        <w:t xml:space="preserve">This is a new collection. </w:t>
      </w:r>
    </w:p>
    <w:p w:rsidR="00AA390B" w:rsidRDefault="00727E5B">
      <w:pPr>
        <w:spacing w:after="0" w:line="259" w:lineRule="auto"/>
        <w:ind w:left="108" w:firstLine="0"/>
      </w:pPr>
      <w:r>
        <w:rPr>
          <w:sz w:val="24"/>
        </w:rPr>
        <w:t xml:space="preserve"> </w:t>
      </w:r>
    </w:p>
    <w:p w:rsidR="00AA390B" w:rsidRDefault="00727E5B">
      <w:pPr>
        <w:numPr>
          <w:ilvl w:val="0"/>
          <w:numId w:val="5"/>
        </w:numPr>
        <w:spacing w:after="0" w:line="259" w:lineRule="auto"/>
        <w:ind w:hanging="360"/>
      </w:pPr>
      <w:r>
        <w:rPr>
          <w:sz w:val="24"/>
          <w:u w:val="single" w:color="000000"/>
        </w:rPr>
        <w:t>Publication/Tabulation Dates</w:t>
      </w:r>
      <w:r>
        <w:rPr>
          <w:sz w:val="24"/>
        </w:rPr>
        <w:t xml:space="preserve"> </w:t>
      </w:r>
    </w:p>
    <w:p w:rsidR="00AA390B" w:rsidRDefault="00727E5B">
      <w:pPr>
        <w:spacing w:after="0" w:line="259" w:lineRule="auto"/>
        <w:ind w:left="108" w:firstLine="0"/>
      </w:pPr>
      <w:r>
        <w:rPr>
          <w:sz w:val="24"/>
        </w:rPr>
        <w:t xml:space="preserve"> </w:t>
      </w:r>
    </w:p>
    <w:p w:rsidR="00AA390B" w:rsidRDefault="00727E5B">
      <w:pPr>
        <w:ind w:left="103"/>
      </w:pPr>
      <w:r>
        <w:t xml:space="preserve">There are no publication and tabulation dates associated with this collection. </w:t>
      </w:r>
    </w:p>
    <w:p w:rsidR="00AA390B" w:rsidRDefault="00727E5B">
      <w:pPr>
        <w:spacing w:after="0" w:line="259" w:lineRule="auto"/>
        <w:ind w:left="108" w:firstLine="0"/>
      </w:pPr>
      <w:r>
        <w:rPr>
          <w:sz w:val="24"/>
        </w:rPr>
        <w:t xml:space="preserve"> </w:t>
      </w:r>
    </w:p>
    <w:p w:rsidR="00AA390B" w:rsidRDefault="00727E5B">
      <w:pPr>
        <w:numPr>
          <w:ilvl w:val="0"/>
          <w:numId w:val="5"/>
        </w:numPr>
        <w:spacing w:after="0" w:line="259" w:lineRule="auto"/>
        <w:ind w:hanging="360"/>
      </w:pPr>
      <w:r>
        <w:rPr>
          <w:sz w:val="24"/>
          <w:u w:val="single" w:color="000000"/>
        </w:rPr>
        <w:t>Expiration Date</w:t>
      </w:r>
      <w:r>
        <w:rPr>
          <w:sz w:val="24"/>
        </w:rPr>
        <w:t xml:space="preserve"> </w:t>
      </w:r>
    </w:p>
    <w:p w:rsidR="00AA390B" w:rsidRDefault="00727E5B">
      <w:pPr>
        <w:spacing w:after="0" w:line="259" w:lineRule="auto"/>
        <w:ind w:left="540" w:firstLine="0"/>
      </w:pPr>
      <w:r>
        <w:rPr>
          <w:sz w:val="24"/>
        </w:rPr>
        <w:t xml:space="preserve"> </w:t>
      </w:r>
    </w:p>
    <w:p w:rsidR="00AA390B" w:rsidRDefault="00727E5B">
      <w:pPr>
        <w:spacing w:after="0" w:line="249" w:lineRule="auto"/>
        <w:ind w:left="103"/>
      </w:pPr>
      <w:r>
        <w:rPr>
          <w:sz w:val="24"/>
        </w:rPr>
        <w:t xml:space="preserve">The expiration date is displayed on the final page of the DMP SAQ.  </w:t>
      </w:r>
      <w:r>
        <w:rPr>
          <w:i/>
          <w:sz w:val="20"/>
        </w:rPr>
        <w:t xml:space="preserve"> </w:t>
      </w:r>
    </w:p>
    <w:p w:rsidR="00AA390B" w:rsidRDefault="00727E5B">
      <w:pPr>
        <w:spacing w:after="0" w:line="259" w:lineRule="auto"/>
        <w:ind w:left="108" w:firstLine="0"/>
      </w:pPr>
      <w:r>
        <w:rPr>
          <w:sz w:val="24"/>
        </w:rPr>
        <w:t xml:space="preserve"> </w:t>
      </w:r>
    </w:p>
    <w:p w:rsidR="00AA390B" w:rsidRDefault="00727E5B">
      <w:pPr>
        <w:numPr>
          <w:ilvl w:val="0"/>
          <w:numId w:val="5"/>
        </w:numPr>
        <w:spacing w:after="0" w:line="259" w:lineRule="auto"/>
        <w:ind w:hanging="360"/>
      </w:pPr>
      <w:r>
        <w:rPr>
          <w:sz w:val="24"/>
          <w:u w:val="single" w:color="000000"/>
        </w:rPr>
        <w:t>Certification Statement</w:t>
      </w:r>
      <w:r>
        <w:rPr>
          <w:sz w:val="24"/>
        </w:rPr>
        <w:t xml:space="preserve"> </w:t>
      </w:r>
    </w:p>
    <w:p w:rsidR="00AA390B" w:rsidRDefault="00727E5B">
      <w:pPr>
        <w:spacing w:after="0" w:line="259" w:lineRule="auto"/>
        <w:ind w:left="108" w:firstLine="0"/>
      </w:pPr>
      <w:r>
        <w:rPr>
          <w:sz w:val="24"/>
        </w:rPr>
        <w:t xml:space="preserve"> </w:t>
      </w:r>
    </w:p>
    <w:p w:rsidR="00AA390B" w:rsidRDefault="00727E5B">
      <w:pPr>
        <w:spacing w:after="64"/>
        <w:ind w:left="103"/>
      </w:pPr>
      <w:r>
        <w:t>There are no exceptions to the certification statement.</w:t>
      </w:r>
      <w:r>
        <w:rPr>
          <w:b/>
          <w:sz w:val="24"/>
        </w:rPr>
        <w:t xml:space="preserve"> </w:t>
      </w:r>
    </w:p>
    <w:p w:rsidR="00AA390B" w:rsidRDefault="00727E5B">
      <w:pPr>
        <w:spacing w:after="0" w:line="259" w:lineRule="auto"/>
        <w:ind w:left="108" w:firstLine="0"/>
      </w:pPr>
      <w:r>
        <w:rPr>
          <w:sz w:val="32"/>
        </w:rPr>
        <w:t xml:space="preserve"> </w:t>
      </w:r>
    </w:p>
    <w:p w:rsidR="00AA390B" w:rsidRDefault="00727E5B">
      <w:pPr>
        <w:spacing w:after="0" w:line="259" w:lineRule="auto"/>
        <w:ind w:left="108" w:firstLine="0"/>
      </w:pPr>
      <w:r>
        <w:rPr>
          <w:sz w:val="32"/>
        </w:rPr>
        <w:t xml:space="preserve"> </w:t>
      </w:r>
    </w:p>
    <w:p w:rsidR="00AA390B" w:rsidRDefault="00727E5B">
      <w:pPr>
        <w:spacing w:after="0" w:line="259" w:lineRule="auto"/>
        <w:ind w:left="0" w:firstLine="0"/>
      </w:pPr>
      <w:r>
        <w:rPr>
          <w:sz w:val="32"/>
        </w:rPr>
        <w:t xml:space="preserve"> </w:t>
      </w:r>
    </w:p>
    <w:p w:rsidR="00AA390B" w:rsidRDefault="00727E5B">
      <w:pPr>
        <w:spacing w:after="0" w:line="259" w:lineRule="auto"/>
        <w:ind w:left="0" w:firstLine="0"/>
      </w:pPr>
      <w:r>
        <w:rPr>
          <w:b/>
          <w:sz w:val="24"/>
        </w:rPr>
        <w:t xml:space="preserve"> </w:t>
      </w:r>
    </w:p>
    <w:sectPr w:rsidR="00AA390B">
      <w:footerReference w:type="even" r:id="rId14"/>
      <w:footerReference w:type="default" r:id="rId15"/>
      <w:footerReference w:type="first" r:id="rId16"/>
      <w:pgSz w:w="12240" w:h="15840"/>
      <w:pgMar w:top="1409" w:right="1402" w:bottom="1943" w:left="1440" w:header="720" w:footer="14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610" w:rsidRDefault="00727E5B">
      <w:pPr>
        <w:spacing w:after="0" w:line="240" w:lineRule="auto"/>
      </w:pPr>
      <w:r>
        <w:separator/>
      </w:r>
    </w:p>
  </w:endnote>
  <w:endnote w:type="continuationSeparator" w:id="0">
    <w:p w:rsidR="00F43610" w:rsidRDefault="00727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90B" w:rsidRDefault="00727E5B">
    <w:pPr>
      <w:spacing w:after="17" w:line="259" w:lineRule="auto"/>
      <w:ind w:left="0" w:right="-105"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AA390B" w:rsidRDefault="00727E5B">
    <w:pPr>
      <w:spacing w:after="0" w:line="259" w:lineRule="auto"/>
      <w:ind w:left="0" w:firstLine="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90B" w:rsidRDefault="00727E5B">
    <w:pPr>
      <w:spacing w:after="17" w:line="259" w:lineRule="auto"/>
      <w:ind w:left="0" w:right="-105" w:firstLine="0"/>
      <w:jc w:val="right"/>
    </w:pPr>
    <w:r>
      <w:fldChar w:fldCharType="begin"/>
    </w:r>
    <w:r>
      <w:instrText xml:space="preserve"> PAGE   \* MERGEFORMAT </w:instrText>
    </w:r>
    <w:r>
      <w:fldChar w:fldCharType="separate"/>
    </w:r>
    <w:r w:rsidR="00957000" w:rsidRPr="00957000">
      <w:rPr>
        <w:noProof/>
        <w:sz w:val="20"/>
      </w:rPr>
      <w:t>6</w:t>
    </w:r>
    <w:r>
      <w:rPr>
        <w:sz w:val="20"/>
      </w:rPr>
      <w:fldChar w:fldCharType="end"/>
    </w:r>
    <w:r>
      <w:rPr>
        <w:sz w:val="20"/>
      </w:rPr>
      <w:t xml:space="preserve"> </w:t>
    </w:r>
  </w:p>
  <w:p w:rsidR="00AA390B" w:rsidRDefault="00727E5B">
    <w:pPr>
      <w:spacing w:after="0" w:line="259" w:lineRule="auto"/>
      <w:ind w:left="0" w:firstLine="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90B" w:rsidRDefault="00727E5B">
    <w:pPr>
      <w:spacing w:after="17" w:line="259" w:lineRule="auto"/>
      <w:ind w:left="0" w:right="-105"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AA390B" w:rsidRDefault="00727E5B">
    <w:pPr>
      <w:spacing w:after="0" w:line="259" w:lineRule="auto"/>
      <w:ind w:left="0" w:firstLine="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610" w:rsidRDefault="00727E5B">
      <w:pPr>
        <w:spacing w:after="0" w:line="240" w:lineRule="auto"/>
      </w:pPr>
      <w:r>
        <w:separator/>
      </w:r>
    </w:p>
  </w:footnote>
  <w:footnote w:type="continuationSeparator" w:id="0">
    <w:p w:rsidR="00F43610" w:rsidRDefault="00727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5816"/>
    <w:multiLevelType w:val="hybridMultilevel"/>
    <w:tmpl w:val="1108BB96"/>
    <w:lvl w:ilvl="0" w:tplc="FF7E4E04">
      <w:start w:val="1"/>
      <w:numFmt w:val="decimal"/>
      <w:lvlText w:val="%1."/>
      <w:lvlJc w:val="left"/>
      <w:pPr>
        <w:ind w:left="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A27CA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8064F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442EE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906E4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92DF0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86452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22D43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4C88B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5A49F7"/>
    <w:multiLevelType w:val="hybridMultilevel"/>
    <w:tmpl w:val="8B72FAB4"/>
    <w:lvl w:ilvl="0" w:tplc="697AED06">
      <w:start w:val="1"/>
      <w:numFmt w:val="bullet"/>
      <w:lvlText w:val="•"/>
      <w:lvlJc w:val="left"/>
      <w:pPr>
        <w:ind w:left="5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8703B52">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C40886A">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544588A">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6EA6CE8">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ACA222A">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646C2BC">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2543314">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B746F06">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14217A9D"/>
    <w:multiLevelType w:val="hybridMultilevel"/>
    <w:tmpl w:val="7BC805F8"/>
    <w:lvl w:ilvl="0" w:tplc="4E382AE8">
      <w:start w:val="1"/>
      <w:numFmt w:val="bullet"/>
      <w:lvlText w:val="•"/>
      <w:lvlJc w:val="left"/>
      <w:pPr>
        <w:ind w:left="8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73E5348">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6B728796">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1DF228DA">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92620DE">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5750299E">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1FF2D1B0">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93C355C">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7CFC3D2C">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1A2245CA"/>
    <w:multiLevelType w:val="hybridMultilevel"/>
    <w:tmpl w:val="10F8714A"/>
    <w:lvl w:ilvl="0" w:tplc="B422F308">
      <w:start w:val="13"/>
      <w:numFmt w:val="decimal"/>
      <w:lvlText w:val="%1."/>
      <w:lvlJc w:val="left"/>
      <w:pPr>
        <w:ind w:left="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30E3C0">
      <w:start w:val="1"/>
      <w:numFmt w:val="lowerLetter"/>
      <w:lvlText w:val="%2"/>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8CB2A0">
      <w:start w:val="1"/>
      <w:numFmt w:val="lowerRoman"/>
      <w:lvlText w:val="%3"/>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401DE">
      <w:start w:val="1"/>
      <w:numFmt w:val="decimal"/>
      <w:lvlText w:val="%4"/>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5A3E5C">
      <w:start w:val="1"/>
      <w:numFmt w:val="lowerLetter"/>
      <w:lvlText w:val="%5"/>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DECDD0">
      <w:start w:val="1"/>
      <w:numFmt w:val="lowerRoman"/>
      <w:lvlText w:val="%6"/>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2EA7C2">
      <w:start w:val="1"/>
      <w:numFmt w:val="decimal"/>
      <w:lvlText w:val="%7"/>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00A1EC">
      <w:start w:val="1"/>
      <w:numFmt w:val="lowerLetter"/>
      <w:lvlText w:val="%8"/>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B22AB6">
      <w:start w:val="1"/>
      <w:numFmt w:val="lowerRoman"/>
      <w:lvlText w:val="%9"/>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CDE42F4"/>
    <w:multiLevelType w:val="hybridMultilevel"/>
    <w:tmpl w:val="A640880A"/>
    <w:lvl w:ilvl="0" w:tplc="4D04F8AE">
      <w:start w:val="9"/>
      <w:numFmt w:val="decimal"/>
      <w:lvlText w:val="%1."/>
      <w:lvlJc w:val="left"/>
      <w:pPr>
        <w:ind w:left="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5C1F2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0C62A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0416D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46D12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32237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B4F84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DEE15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D2F86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90B"/>
    <w:rsid w:val="00727E5B"/>
    <w:rsid w:val="00905F2E"/>
    <w:rsid w:val="00957000"/>
    <w:rsid w:val="00AA390B"/>
    <w:rsid w:val="00C813C2"/>
    <w:rsid w:val="00E24A3A"/>
    <w:rsid w:val="00F43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13AB"/>
  <w15:docId w15:val="{46B95D9E-C741-4260-B99F-6BBF3367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18" w:hanging="10"/>
    </w:pPr>
    <w:rPr>
      <w:rFonts w:ascii="Times New Roman" w:eastAsia="Times New Roman" w:hAnsi="Times New Roman" w:cs="Times New Roman"/>
      <w:color w:val="000000"/>
      <w:sz w:val="23"/>
    </w:rPr>
  </w:style>
  <w:style w:type="paragraph" w:styleId="Heading1">
    <w:name w:val="heading 1"/>
    <w:next w:val="Normal"/>
    <w:link w:val="Heading1Char"/>
    <w:uiPriority w:val="9"/>
    <w:unhideWhenUsed/>
    <w:qFormat/>
    <w:pPr>
      <w:keepNext/>
      <w:keepLines/>
      <w:spacing w:after="0"/>
      <w:ind w:left="838" w:hanging="10"/>
      <w:outlineLvl w:val="0"/>
    </w:pPr>
    <w:rPr>
      <w:rFonts w:ascii="Times New Roman" w:eastAsia="Times New Roman" w:hAnsi="Times New Roman" w:cs="Times New Roman"/>
      <w:i/>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ms.gov/Regulations-and-Guidance/Guidance/Manuals/Downloads/117_Systems_Security_MAC_ARS.pdf" TargetMode="External"/><Relationship Id="rId13" Type="http://schemas.openxmlformats.org/officeDocument/2006/relationships/hyperlink" Target="https://nvlpubs.nist.gov/nistpubs/SpecialPublications/NIST.SP.800-53r4.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ms.gov/Regulations-and-Guidance/Guidance/Manuals/Downloads/117_Systems_Security_MAC_ARS.pdf" TargetMode="External"/><Relationship Id="rId12" Type="http://schemas.openxmlformats.org/officeDocument/2006/relationships/hyperlink" Target="https://nvlpubs.nist.gov/nistpubs/SpecialPublications/NIST.SP.800-53r4.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vlpubs.nist.gov/nistpubs/SpecialPublications/NIST.SP.800-53r4.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nvlpubs.nist.gov/nistpubs/SpecialPublications/NIST.SP.800-53r4.pdf" TargetMode="External"/><Relationship Id="rId4" Type="http://schemas.openxmlformats.org/officeDocument/2006/relationships/webSettings" Target="webSettings.xml"/><Relationship Id="rId9" Type="http://schemas.openxmlformats.org/officeDocument/2006/relationships/hyperlink" Target="https://www.cms.gov/Regulations-and-Guidance/Guidance/Manuals/Downloads/117_Systems_Security_MAC_ARS.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1996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Data Management Plan Self-Attestation Questionnaire (DMP SAQ)</vt:lpstr>
    </vt:vector>
  </TitlesOfParts>
  <Company>CMS</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Management Plan Self-Attestation Questionnaire (DMP SAQ)</dc:title>
  <dc:subject/>
  <dc:creator>CMS</dc:creator>
  <cp:keywords/>
  <cp:lastModifiedBy>Stephan McKenzie</cp:lastModifiedBy>
  <cp:revision>2</cp:revision>
  <dcterms:created xsi:type="dcterms:W3CDTF">2021-02-19T20:21:00Z</dcterms:created>
  <dcterms:modified xsi:type="dcterms:W3CDTF">2021-02-19T20:21:00Z</dcterms:modified>
</cp:coreProperties>
</file>