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EAE" w:rsidP="00160621" w:rsidRDefault="00040EAE" w14:paraId="264C8CDF" w14:textId="2F399D3D">
      <w:pPr>
        <w:pStyle w:val="ReportCover-Title"/>
        <w:jc w:val="center"/>
        <w:rPr>
          <w:rFonts w:ascii="Times New Roman" w:hAnsi="Times New Roman"/>
          <w:sz w:val="24"/>
          <w:szCs w:val="24"/>
        </w:rPr>
      </w:pPr>
    </w:p>
    <w:p w:rsidR="00040EAE" w:rsidP="00160621" w:rsidRDefault="00040EAE" w14:paraId="5051E9DA" w14:textId="6289F101">
      <w:pPr>
        <w:pStyle w:val="ReportCover-Title"/>
        <w:jc w:val="center"/>
        <w:rPr>
          <w:rFonts w:ascii="Times New Roman" w:hAnsi="Times New Roman"/>
          <w:sz w:val="24"/>
          <w:szCs w:val="24"/>
        </w:rPr>
      </w:pPr>
    </w:p>
    <w:p w:rsidR="00040EAE" w:rsidP="00160621" w:rsidRDefault="00040EAE" w14:paraId="60EFAC4C" w14:textId="77777777">
      <w:pPr>
        <w:pStyle w:val="ReportCover-Title"/>
        <w:jc w:val="center"/>
        <w:rPr>
          <w:rFonts w:ascii="Times New Roman" w:hAnsi="Times New Roman"/>
          <w:sz w:val="24"/>
          <w:szCs w:val="24"/>
        </w:rPr>
      </w:pPr>
    </w:p>
    <w:p w:rsidR="00040EAE" w:rsidP="00160621" w:rsidRDefault="00040EAE" w14:paraId="2E016EC2" w14:textId="77777777">
      <w:pPr>
        <w:pStyle w:val="ReportCover-Title"/>
        <w:jc w:val="center"/>
        <w:rPr>
          <w:rFonts w:ascii="Times New Roman" w:hAnsi="Times New Roman"/>
          <w:sz w:val="24"/>
          <w:szCs w:val="24"/>
        </w:rPr>
      </w:pPr>
    </w:p>
    <w:p w:rsidRPr="00160621" w:rsidR="00160621" w:rsidP="00160621" w:rsidRDefault="00DC1C23" w14:paraId="670B57C7" w14:textId="567A4B37">
      <w:pPr>
        <w:pStyle w:val="ReportCover-Title"/>
        <w:jc w:val="center"/>
        <w:rPr>
          <w:rFonts w:ascii="Arial" w:hAnsi="Arial" w:cs="Arial"/>
          <w:color w:val="auto"/>
        </w:rPr>
      </w:pPr>
      <w:r w:rsidRPr="004F7B95">
        <w:rPr>
          <w:rFonts w:ascii="Times New Roman" w:hAnsi="Times New Roman"/>
          <w:sz w:val="24"/>
          <w:szCs w:val="24"/>
        </w:rPr>
        <w:tab/>
      </w:r>
      <w:r w:rsidR="001C4214">
        <w:rPr>
          <w:rFonts w:ascii="Arial" w:hAnsi="Arial" w:eastAsia="Arial Unicode MS" w:cs="Arial"/>
          <w:noProof/>
          <w:color w:val="auto"/>
        </w:rPr>
        <w:t>S</w:t>
      </w:r>
      <w:r w:rsidR="000A1771">
        <w:rPr>
          <w:rFonts w:ascii="Arial" w:hAnsi="Arial" w:eastAsia="Arial Unicode MS" w:cs="Arial"/>
          <w:noProof/>
          <w:color w:val="auto"/>
        </w:rPr>
        <w:t>ocial Services Block Grant (S</w:t>
      </w:r>
      <w:r w:rsidR="001C4214">
        <w:rPr>
          <w:rFonts w:ascii="Arial" w:hAnsi="Arial" w:eastAsia="Arial Unicode MS" w:cs="Arial"/>
          <w:noProof/>
          <w:color w:val="auto"/>
        </w:rPr>
        <w:t>SBG</w:t>
      </w:r>
      <w:r w:rsidR="000A1771">
        <w:rPr>
          <w:rFonts w:ascii="Arial" w:hAnsi="Arial" w:eastAsia="Arial Unicode MS" w:cs="Arial"/>
          <w:noProof/>
          <w:color w:val="auto"/>
        </w:rPr>
        <w:t>)</w:t>
      </w:r>
      <w:r w:rsidR="001C4214">
        <w:rPr>
          <w:rFonts w:ascii="Arial" w:hAnsi="Arial" w:eastAsia="Arial Unicode MS" w:cs="Arial"/>
          <w:noProof/>
          <w:color w:val="auto"/>
        </w:rPr>
        <w:t xml:space="preserve"> </w:t>
      </w:r>
      <w:r w:rsidR="000A1771">
        <w:rPr>
          <w:rFonts w:ascii="Arial" w:hAnsi="Arial" w:eastAsia="Arial Unicode MS" w:cs="Arial"/>
          <w:noProof/>
          <w:color w:val="auto"/>
        </w:rPr>
        <w:t>Post-Expenditure Report</w:t>
      </w:r>
      <w:r w:rsidR="00854FFC">
        <w:rPr>
          <w:rFonts w:ascii="Arial" w:hAnsi="Arial" w:eastAsia="Arial Unicode MS" w:cs="Arial"/>
          <w:noProof/>
          <w:color w:val="auto"/>
        </w:rPr>
        <w:t>, Pre-Expenditure and Intended Use Plan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CB040B7">
      <w:pPr>
        <w:pStyle w:val="ReportCover-Title"/>
        <w:jc w:val="center"/>
        <w:rPr>
          <w:rFonts w:ascii="Arial" w:hAnsi="Arial" w:cs="Arial"/>
          <w:color w:val="auto"/>
          <w:sz w:val="32"/>
          <w:szCs w:val="32"/>
        </w:rPr>
      </w:pPr>
      <w:r w:rsidRPr="00160621">
        <w:rPr>
          <w:rFonts w:ascii="Arial" w:hAnsi="Arial" w:cs="Arial"/>
          <w:color w:val="auto"/>
          <w:sz w:val="32"/>
          <w:szCs w:val="32"/>
        </w:rPr>
        <w:t>0970</w:t>
      </w:r>
      <w:r w:rsidR="00D34859">
        <w:rPr>
          <w:rFonts w:ascii="Arial" w:hAnsi="Arial" w:cs="Arial"/>
          <w:color w:val="auto"/>
          <w:sz w:val="32"/>
          <w:szCs w:val="32"/>
        </w:rPr>
        <w:t>-0234</w:t>
      </w:r>
      <w:r w:rsidRPr="00160621">
        <w:rPr>
          <w:rFonts w:ascii="Arial" w:hAnsi="Arial" w:cs="Arial"/>
          <w:color w:val="auto"/>
          <w:sz w:val="32"/>
          <w:szCs w:val="32"/>
        </w:rPr>
        <w:t xml:space="preserve"> </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854FFC" w14:paraId="76FA23BE" w14:textId="7A1BA0EF">
      <w:pPr>
        <w:pStyle w:val="ReportCover-Date"/>
        <w:jc w:val="center"/>
        <w:rPr>
          <w:rFonts w:ascii="Arial" w:hAnsi="Arial" w:cs="Arial"/>
          <w:color w:val="auto"/>
        </w:rPr>
      </w:pPr>
      <w:r>
        <w:rPr>
          <w:rFonts w:ascii="Arial" w:hAnsi="Arial" w:cs="Arial"/>
          <w:color w:val="auto"/>
        </w:rPr>
        <w:t>February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1C4214" w14:paraId="54195924" w14:textId="20BDBD52">
      <w:pPr>
        <w:jc w:val="center"/>
        <w:rPr>
          <w:rFonts w:ascii="Arial" w:hAnsi="Arial" w:cs="Arial"/>
        </w:rPr>
      </w:pPr>
      <w:r>
        <w:rPr>
          <w:rFonts w:ascii="Arial" w:hAnsi="Arial" w:cs="Arial"/>
        </w:rPr>
        <w:t>Office of Community Services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346CDF4E" w14:textId="0523373A">
      <w:pPr>
        <w:jc w:val="center"/>
        <w:rPr>
          <w:rFonts w:ascii="Arial" w:hAnsi="Arial" w:cs="Arial"/>
        </w:rPr>
      </w:pPr>
    </w:p>
    <w:p w:rsidRPr="002C4F75" w:rsidR="00040EAE" w:rsidP="00160621" w:rsidRDefault="00040EAE" w14:paraId="330A5967"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160621" w:rsidP="00CE6182" w:rsidRDefault="00160621" w14:paraId="2212894C" w14:textId="19E00750">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0A1771" w:rsidP="00CE6182" w:rsidRDefault="000A1771" w14:paraId="42854488" w14:textId="77777777">
      <w:pPr>
        <w:widowControl/>
        <w:ind w:left="360" w:hanging="360"/>
        <w:jc w:val="center"/>
        <w:rPr>
          <w:rFonts w:ascii="Times New Roman" w:hAnsi="Times New Roman"/>
          <w:b/>
          <w:snapToGrid/>
          <w:sz w:val="24"/>
          <w:szCs w:val="24"/>
        </w:rPr>
      </w:pPr>
    </w:p>
    <w:p w:rsidR="00CE6182" w:rsidP="00007696" w:rsidRDefault="00854FFC" w14:paraId="3C29E980" w14:textId="60649147">
      <w:pPr>
        <w:widowControl/>
        <w:ind w:left="360"/>
        <w:rPr>
          <w:rFonts w:ascii="Times New Roman" w:hAnsi="Times New Roman"/>
          <w:snapToGrid/>
          <w:sz w:val="24"/>
          <w:szCs w:val="24"/>
        </w:rPr>
      </w:pPr>
      <w:r w:rsidRPr="00854FFC">
        <w:rPr>
          <w:rFonts w:ascii="Times New Roman" w:hAnsi="Times New Roman"/>
          <w:snapToGrid/>
          <w:sz w:val="24"/>
          <w:szCs w:val="24"/>
        </w:rPr>
        <w:t xml:space="preserve">The Administration for Children and Families (ACF) is requesting a revision to the Social Services Block Grant (SSBG) Post-Expenditure Report, Pre-Expenditure Report, and Intended Use Plan (OMB #0970-0234), previously titled, “Social Services Block Grant (SSBG) Post-Expenditure Report”).  ACF is proposing to expand the information collection to include the collection of states’ Intended Use Plans and retitle the information collection to clarify the role of the Pre-Expenditure Report. </w:t>
      </w:r>
      <w:r w:rsidR="00007696">
        <w:rPr>
          <w:rFonts w:ascii="Times New Roman" w:hAnsi="Times New Roman"/>
          <w:snapToGrid/>
          <w:sz w:val="24"/>
          <w:szCs w:val="24"/>
        </w:rPr>
        <w:t xml:space="preserve">An Intended Use plan </w:t>
      </w:r>
      <w:r w:rsidR="00DB5530">
        <w:rPr>
          <w:rFonts w:ascii="Times New Roman" w:hAnsi="Times New Roman"/>
          <w:snapToGrid/>
          <w:sz w:val="24"/>
          <w:szCs w:val="24"/>
        </w:rPr>
        <w:t>is a narrative to accompany a state’s pre-expenditure</w:t>
      </w:r>
      <w:r w:rsidR="00655FCE">
        <w:rPr>
          <w:rFonts w:ascii="Times New Roman" w:hAnsi="Times New Roman"/>
          <w:snapToGrid/>
          <w:sz w:val="24"/>
          <w:szCs w:val="24"/>
        </w:rPr>
        <w:t xml:space="preserve"> report</w:t>
      </w:r>
      <w:r w:rsidR="00DB5530">
        <w:rPr>
          <w:rFonts w:ascii="Times New Roman" w:hAnsi="Times New Roman"/>
          <w:snapToGrid/>
          <w:sz w:val="24"/>
          <w:szCs w:val="24"/>
        </w:rPr>
        <w:t xml:space="preserve"> and </w:t>
      </w:r>
      <w:r w:rsidR="00007696">
        <w:rPr>
          <w:rFonts w:ascii="Times New Roman" w:hAnsi="Times New Roman"/>
          <w:snapToGrid/>
          <w:sz w:val="24"/>
          <w:szCs w:val="24"/>
        </w:rPr>
        <w:t xml:space="preserve">allows the ACF Office of Community Services to </w:t>
      </w:r>
      <w:r w:rsidRPr="00854FFC">
        <w:rPr>
          <w:rFonts w:ascii="Times New Roman" w:hAnsi="Times New Roman"/>
          <w:snapToGrid/>
          <w:sz w:val="24"/>
          <w:szCs w:val="24"/>
        </w:rPr>
        <w:t xml:space="preserve">identify recipients, methods, and categories for state expenditure of SSBG funds. The proposed form will standardize reporting submissions for SSBG, which will increase the efficiency in reporting and assessment for grantees and federal staff. </w:t>
      </w:r>
    </w:p>
    <w:p w:rsidR="00007696" w:rsidP="00007696" w:rsidRDefault="00007696" w14:paraId="3F0BAFC3"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8B30C6" w:rsidR="008B30C6" w:rsidP="008B30C6" w:rsidRDefault="008B30C6" w14:paraId="4E697545" w14:textId="77777777">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 Social Services Block Grant (SSBG) program is authorized under Title XX of the Social Security Act, as amended, and is codified at 42 U.S.C. §1397 through §1397e. The implementing regulations for this and other block grant programs authorized by Omnibus Budget Reconciliation Act of 1981 are published at 45 C.F.R. Part 96. Those regulations include both specific requirements and general administrative requirements in lieu of 45 CFR Part 92 (the HHS implementation of the A-102 Common Rule) for the covered block grant programs.  Requirements specific to SSBG are found in 45 C.F.R. §96.70 through §96.74.</w:t>
      </w:r>
    </w:p>
    <w:p w:rsidRPr="008B30C6" w:rsidR="008B30C6" w:rsidP="008B30C6" w:rsidRDefault="008B30C6" w14:paraId="3EC4B43B" w14:textId="77777777">
      <w:pPr>
        <w:widowControl/>
        <w:tabs>
          <w:tab w:val="num" w:pos="360"/>
        </w:tabs>
        <w:ind w:left="360"/>
        <w:rPr>
          <w:rFonts w:ascii="Times New Roman" w:hAnsi="Times New Roman"/>
          <w:snapToGrid/>
          <w:sz w:val="24"/>
          <w:szCs w:val="24"/>
        </w:rPr>
      </w:pPr>
    </w:p>
    <w:p w:rsidRPr="008B30C6" w:rsidR="008B30C6" w:rsidP="008B30C6" w:rsidRDefault="008B30C6" w14:paraId="1B42FEF2" w14:textId="77777777">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 SSBG program provides funds to States, the District of Columbia, Guam, Puerto Rico, American Samoa, the Virgin Islands, and the Commonwealth of the Northern Mariana Islands (hereinafter referred to as States) to support social services for adults and children in support of five statutory goals (42 U.S.C. §1397). Funds are allocated to the States on the basis of population as block grants for the administration of their social services programs.</w:t>
      </w:r>
    </w:p>
    <w:p w:rsidRPr="008B30C6" w:rsidR="008B30C6" w:rsidP="008B30C6" w:rsidRDefault="008B30C6" w14:paraId="743B56A3" w14:textId="77777777">
      <w:pPr>
        <w:widowControl/>
        <w:tabs>
          <w:tab w:val="num" w:pos="360"/>
        </w:tabs>
        <w:ind w:left="360"/>
        <w:rPr>
          <w:rFonts w:ascii="Times New Roman" w:hAnsi="Times New Roman"/>
          <w:snapToGrid/>
          <w:sz w:val="24"/>
          <w:szCs w:val="24"/>
        </w:rPr>
      </w:pPr>
    </w:p>
    <w:p w:rsidRPr="008B30C6" w:rsidR="008B30C6" w:rsidP="008B30C6" w:rsidRDefault="008B30C6" w14:paraId="47D7B583" w14:textId="41986FFA">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Within specific legal limitations (42 U.S.C. §1397d), States have substantial discretion in the use of funds and may determine what services will be provided, who will be eligible, and how funds will be distributed among the various services. State or local SSBG agencies (i.e., county, city, and regional offices) may provide the services or purchase them from qualified agencies or organizations. States report</w:t>
      </w:r>
      <w:r w:rsidR="00247E38">
        <w:rPr>
          <w:rFonts w:ascii="Times New Roman" w:hAnsi="Times New Roman"/>
          <w:snapToGrid/>
          <w:sz w:val="24"/>
          <w:szCs w:val="24"/>
        </w:rPr>
        <w:t xml:space="preserve"> </w:t>
      </w:r>
      <w:r w:rsidRPr="008B30C6">
        <w:rPr>
          <w:rFonts w:ascii="Times New Roman" w:hAnsi="Times New Roman"/>
          <w:snapToGrid/>
          <w:sz w:val="24"/>
          <w:szCs w:val="24"/>
        </w:rPr>
        <w:t xml:space="preserve">recipients of SSBG-funded services </w:t>
      </w:r>
      <w:r w:rsidR="00247E38">
        <w:rPr>
          <w:rFonts w:ascii="Times New Roman" w:hAnsi="Times New Roman"/>
          <w:snapToGrid/>
          <w:sz w:val="24"/>
          <w:szCs w:val="24"/>
        </w:rPr>
        <w:t xml:space="preserve">as </w:t>
      </w:r>
      <w:r w:rsidRPr="008B30C6">
        <w:rPr>
          <w:rFonts w:ascii="Times New Roman" w:hAnsi="Times New Roman"/>
          <w:snapToGrid/>
          <w:sz w:val="24"/>
          <w:szCs w:val="24"/>
        </w:rPr>
        <w:t>any individuals who receive a service funded, in</w:t>
      </w:r>
      <w:r>
        <w:rPr>
          <w:rFonts w:ascii="Times New Roman" w:hAnsi="Times New Roman"/>
          <w:snapToGrid/>
          <w:sz w:val="24"/>
          <w:szCs w:val="24"/>
        </w:rPr>
        <w:t xml:space="preserve"> </w:t>
      </w:r>
      <w:r w:rsidRPr="008B30C6">
        <w:rPr>
          <w:rFonts w:ascii="Times New Roman" w:hAnsi="Times New Roman"/>
          <w:snapToGrid/>
          <w:sz w:val="24"/>
          <w:szCs w:val="24"/>
        </w:rPr>
        <w:t>whole or in part, by SSBG.</w:t>
      </w:r>
    </w:p>
    <w:p w:rsidRPr="008B30C6" w:rsidR="008B30C6" w:rsidP="008B30C6" w:rsidRDefault="008B30C6" w14:paraId="395B4E56" w14:textId="77777777">
      <w:pPr>
        <w:widowControl/>
        <w:tabs>
          <w:tab w:val="num" w:pos="360"/>
        </w:tabs>
        <w:ind w:left="360"/>
        <w:rPr>
          <w:rFonts w:ascii="Times New Roman" w:hAnsi="Times New Roman"/>
          <w:snapToGrid/>
          <w:sz w:val="24"/>
          <w:szCs w:val="24"/>
        </w:rPr>
      </w:pPr>
    </w:p>
    <w:p w:rsidR="006D4A7C" w:rsidP="008B30C6" w:rsidRDefault="008B30C6" w14:paraId="773EBA40" w14:textId="1EA239DD">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 xml:space="preserve">Before a State receives SSBG funds, it must </w:t>
      </w:r>
      <w:r w:rsidR="00007696">
        <w:rPr>
          <w:rFonts w:ascii="Times New Roman" w:hAnsi="Times New Roman"/>
          <w:snapToGrid/>
          <w:sz w:val="24"/>
          <w:szCs w:val="24"/>
        </w:rPr>
        <w:t xml:space="preserve">provide information </w:t>
      </w:r>
      <w:r w:rsidRPr="008B30C6">
        <w:rPr>
          <w:rFonts w:ascii="Times New Roman" w:hAnsi="Times New Roman"/>
          <w:snapToGrid/>
          <w:sz w:val="24"/>
          <w:szCs w:val="24"/>
        </w:rPr>
        <w:t>specifying the in</w:t>
      </w:r>
      <w:r w:rsidR="001C4214">
        <w:rPr>
          <w:rFonts w:ascii="Times New Roman" w:hAnsi="Times New Roman"/>
          <w:snapToGrid/>
          <w:sz w:val="24"/>
          <w:szCs w:val="24"/>
        </w:rPr>
        <w:t xml:space="preserve">tended use of the block grant. </w:t>
      </w:r>
      <w:r w:rsidR="006D4A7C">
        <w:rPr>
          <w:rStyle w:val="CommentReference"/>
          <w:rFonts w:ascii="Times New Roman" w:hAnsi="Times New Roman"/>
          <w:sz w:val="24"/>
          <w:szCs w:val="24"/>
        </w:rPr>
        <w:t xml:space="preserve">Annually, </w:t>
      </w:r>
      <w:r w:rsidRPr="00FE70F8" w:rsidR="00FE70F8">
        <w:rPr>
          <w:rStyle w:val="CommentReference"/>
          <w:rFonts w:ascii="Times New Roman" w:hAnsi="Times New Roman"/>
          <w:sz w:val="24"/>
          <w:szCs w:val="24"/>
        </w:rPr>
        <w:t>states must provide</w:t>
      </w:r>
      <w:r w:rsidRPr="008B30C6">
        <w:rPr>
          <w:rFonts w:ascii="Times New Roman" w:hAnsi="Times New Roman"/>
          <w:snapToGrid/>
          <w:sz w:val="24"/>
          <w:szCs w:val="24"/>
        </w:rPr>
        <w:t xml:space="preserve"> </w:t>
      </w:r>
      <w:r w:rsidR="006D4A7C">
        <w:rPr>
          <w:rFonts w:ascii="Times New Roman" w:hAnsi="Times New Roman"/>
          <w:snapToGrid/>
          <w:sz w:val="24"/>
          <w:szCs w:val="24"/>
        </w:rPr>
        <w:t xml:space="preserve">the </w:t>
      </w:r>
      <w:r w:rsidRPr="008B30C6" w:rsidR="006D4A7C">
        <w:rPr>
          <w:rFonts w:ascii="Times New Roman" w:hAnsi="Times New Roman"/>
          <w:snapToGrid/>
          <w:sz w:val="24"/>
          <w:szCs w:val="24"/>
        </w:rPr>
        <w:t>ACF</w:t>
      </w:r>
      <w:r w:rsidR="006D4A7C">
        <w:rPr>
          <w:rFonts w:ascii="Times New Roman" w:hAnsi="Times New Roman"/>
          <w:snapToGrid/>
          <w:sz w:val="24"/>
          <w:szCs w:val="24"/>
        </w:rPr>
        <w:t xml:space="preserve"> </w:t>
      </w:r>
      <w:r w:rsidRPr="008B30C6" w:rsidR="006D4A7C">
        <w:rPr>
          <w:rFonts w:ascii="Times New Roman" w:hAnsi="Times New Roman"/>
          <w:snapToGrid/>
          <w:sz w:val="24"/>
          <w:szCs w:val="24"/>
        </w:rPr>
        <w:t>Office of Community Services (OCS)</w:t>
      </w:r>
      <w:r w:rsidR="006D4A7C">
        <w:rPr>
          <w:rFonts w:ascii="Times New Roman" w:hAnsi="Times New Roman"/>
          <w:snapToGrid/>
          <w:sz w:val="24"/>
          <w:szCs w:val="24"/>
        </w:rPr>
        <w:t xml:space="preserve"> with </w:t>
      </w:r>
      <w:r w:rsidRPr="008B30C6">
        <w:rPr>
          <w:rFonts w:ascii="Times New Roman" w:hAnsi="Times New Roman"/>
          <w:snapToGrid/>
          <w:sz w:val="24"/>
          <w:szCs w:val="24"/>
        </w:rPr>
        <w:t>information on the types of activities to be supported, the characteristics of individuals to be served</w:t>
      </w:r>
      <w:r w:rsidR="005F3B45">
        <w:rPr>
          <w:rFonts w:ascii="Times New Roman" w:hAnsi="Times New Roman"/>
          <w:snapToGrid/>
          <w:sz w:val="24"/>
          <w:szCs w:val="24"/>
        </w:rPr>
        <w:t>, and the estimated amount of SSBG funding that will be allocated to each service category</w:t>
      </w:r>
      <w:r w:rsidR="00A058A5">
        <w:rPr>
          <w:rFonts w:ascii="Times New Roman" w:hAnsi="Times New Roman"/>
          <w:snapToGrid/>
          <w:sz w:val="24"/>
          <w:szCs w:val="24"/>
        </w:rPr>
        <w:t xml:space="preserve"> </w:t>
      </w:r>
      <w:r w:rsidRPr="008B30C6">
        <w:rPr>
          <w:rFonts w:ascii="Times New Roman" w:hAnsi="Times New Roman"/>
          <w:snapToGrid/>
          <w:sz w:val="24"/>
          <w:szCs w:val="24"/>
        </w:rPr>
        <w:t>(42</w:t>
      </w:r>
      <w:r w:rsidR="001C4214">
        <w:rPr>
          <w:rFonts w:ascii="Times New Roman" w:hAnsi="Times New Roman"/>
          <w:snapToGrid/>
          <w:sz w:val="24"/>
          <w:szCs w:val="24"/>
        </w:rPr>
        <w:t xml:space="preserve"> </w:t>
      </w:r>
      <w:r w:rsidRPr="008B30C6">
        <w:rPr>
          <w:rFonts w:ascii="Times New Roman" w:hAnsi="Times New Roman"/>
          <w:snapToGrid/>
          <w:sz w:val="24"/>
          <w:szCs w:val="24"/>
        </w:rPr>
        <w:t>U.S.C. §1397c</w:t>
      </w:r>
      <w:r w:rsidR="001C4214">
        <w:rPr>
          <w:rFonts w:ascii="Times New Roman" w:hAnsi="Times New Roman"/>
          <w:snapToGrid/>
          <w:sz w:val="24"/>
          <w:szCs w:val="24"/>
        </w:rPr>
        <w:t>)</w:t>
      </w:r>
      <w:r w:rsidR="00007696">
        <w:rPr>
          <w:rFonts w:ascii="Times New Roman" w:hAnsi="Times New Roman"/>
          <w:snapToGrid/>
          <w:sz w:val="24"/>
          <w:szCs w:val="24"/>
        </w:rPr>
        <w:t>.</w:t>
      </w:r>
      <w:r w:rsidRPr="00007696" w:rsidR="00007696">
        <w:rPr>
          <w:rFonts w:ascii="Times New Roman" w:hAnsi="Times New Roman"/>
          <w:snapToGrid/>
          <w:sz w:val="24"/>
          <w:szCs w:val="24"/>
        </w:rPr>
        <w:t xml:space="preserve"> </w:t>
      </w:r>
      <w:r w:rsidR="00007696">
        <w:rPr>
          <w:rFonts w:ascii="Times New Roman" w:hAnsi="Times New Roman"/>
          <w:snapToGrid/>
          <w:sz w:val="24"/>
          <w:szCs w:val="24"/>
        </w:rPr>
        <w:t xml:space="preserve">Historically, there </w:t>
      </w:r>
      <w:r w:rsidR="006D4A7C">
        <w:rPr>
          <w:rFonts w:ascii="Times New Roman" w:hAnsi="Times New Roman"/>
          <w:snapToGrid/>
          <w:sz w:val="24"/>
          <w:szCs w:val="24"/>
        </w:rPr>
        <w:t>was</w:t>
      </w:r>
      <w:r w:rsidR="00007696">
        <w:rPr>
          <w:rFonts w:ascii="Times New Roman" w:hAnsi="Times New Roman"/>
          <w:snapToGrid/>
          <w:sz w:val="24"/>
          <w:szCs w:val="24"/>
        </w:rPr>
        <w:t xml:space="preserve"> no specific format</w:t>
      </w:r>
      <w:r w:rsidRPr="008B30C6" w:rsidR="00007696">
        <w:rPr>
          <w:rFonts w:ascii="Times New Roman" w:hAnsi="Times New Roman"/>
          <w:snapToGrid/>
          <w:sz w:val="24"/>
          <w:szCs w:val="24"/>
        </w:rPr>
        <w:t xml:space="preserve"> required </w:t>
      </w:r>
      <w:r w:rsidR="00007696">
        <w:rPr>
          <w:rFonts w:ascii="Times New Roman" w:hAnsi="Times New Roman"/>
          <w:snapToGrid/>
          <w:sz w:val="24"/>
          <w:szCs w:val="24"/>
        </w:rPr>
        <w:lastRenderedPageBreak/>
        <w:t>for states to submit this information and</w:t>
      </w:r>
      <w:r w:rsidR="001C4214">
        <w:rPr>
          <w:rFonts w:ascii="Times New Roman" w:hAnsi="Times New Roman"/>
          <w:snapToGrid/>
          <w:sz w:val="24"/>
          <w:szCs w:val="24"/>
        </w:rPr>
        <w:t xml:space="preserve"> </w:t>
      </w:r>
      <w:r w:rsidR="00696C03">
        <w:rPr>
          <w:rFonts w:ascii="Times New Roman" w:hAnsi="Times New Roman"/>
          <w:snapToGrid/>
          <w:sz w:val="24"/>
          <w:szCs w:val="24"/>
        </w:rPr>
        <w:t xml:space="preserve">ACF </w:t>
      </w:r>
      <w:r w:rsidRPr="005F3B45" w:rsidR="005F3B45">
        <w:rPr>
          <w:rFonts w:ascii="Times New Roman" w:hAnsi="Times New Roman"/>
          <w:snapToGrid/>
          <w:sz w:val="24"/>
          <w:szCs w:val="24"/>
        </w:rPr>
        <w:t>recommend</w:t>
      </w:r>
      <w:r w:rsidR="00007696">
        <w:rPr>
          <w:rFonts w:ascii="Times New Roman" w:hAnsi="Times New Roman"/>
          <w:snapToGrid/>
          <w:sz w:val="24"/>
          <w:szCs w:val="24"/>
        </w:rPr>
        <w:t>ed</w:t>
      </w:r>
      <w:r w:rsidRPr="005F3B45" w:rsidR="005F3B45">
        <w:rPr>
          <w:rFonts w:ascii="Times New Roman" w:hAnsi="Times New Roman"/>
          <w:snapToGrid/>
          <w:sz w:val="24"/>
          <w:szCs w:val="24"/>
        </w:rPr>
        <w:t xml:space="preserve"> that grantees use the</w:t>
      </w:r>
      <w:r w:rsidR="00696C03">
        <w:rPr>
          <w:rFonts w:ascii="Times New Roman" w:hAnsi="Times New Roman"/>
          <w:snapToGrid/>
          <w:sz w:val="24"/>
          <w:szCs w:val="24"/>
        </w:rPr>
        <w:t xml:space="preserve"> p</w:t>
      </w:r>
      <w:r w:rsidRPr="005F3B45" w:rsidR="005F3B45">
        <w:rPr>
          <w:rFonts w:ascii="Times New Roman" w:hAnsi="Times New Roman"/>
          <w:snapToGrid/>
          <w:sz w:val="24"/>
          <w:szCs w:val="24"/>
        </w:rPr>
        <w:t>ost</w:t>
      </w:r>
      <w:r w:rsidR="005F3B45">
        <w:rPr>
          <w:rFonts w:ascii="Times New Roman" w:hAnsi="Times New Roman"/>
          <w:snapToGrid/>
          <w:sz w:val="24"/>
          <w:szCs w:val="24"/>
        </w:rPr>
        <w:t>-</w:t>
      </w:r>
      <w:r w:rsidR="00773802">
        <w:rPr>
          <w:rFonts w:ascii="Times New Roman" w:hAnsi="Times New Roman"/>
          <w:snapToGrid/>
          <w:sz w:val="24"/>
          <w:szCs w:val="24"/>
        </w:rPr>
        <w:t>e</w:t>
      </w:r>
      <w:r w:rsidRPr="005F3B45" w:rsidR="005F3B45">
        <w:rPr>
          <w:rFonts w:ascii="Times New Roman" w:hAnsi="Times New Roman"/>
          <w:snapToGrid/>
          <w:sz w:val="24"/>
          <w:szCs w:val="24"/>
        </w:rPr>
        <w:t xml:space="preserve">xpenditure </w:t>
      </w:r>
      <w:r w:rsidR="00773802">
        <w:rPr>
          <w:rFonts w:ascii="Times New Roman" w:hAnsi="Times New Roman"/>
          <w:snapToGrid/>
          <w:sz w:val="24"/>
          <w:szCs w:val="24"/>
        </w:rPr>
        <w:t>r</w:t>
      </w:r>
      <w:r w:rsidRPr="005F3B45" w:rsidR="005F3B45">
        <w:rPr>
          <w:rFonts w:ascii="Times New Roman" w:hAnsi="Times New Roman"/>
          <w:snapToGrid/>
          <w:sz w:val="24"/>
          <w:szCs w:val="24"/>
        </w:rPr>
        <w:t>eport</w:t>
      </w:r>
      <w:r w:rsidR="00773802">
        <w:rPr>
          <w:rFonts w:ascii="Times New Roman" w:hAnsi="Times New Roman"/>
          <w:snapToGrid/>
          <w:sz w:val="24"/>
          <w:szCs w:val="24"/>
        </w:rPr>
        <w:t>ing</w:t>
      </w:r>
      <w:r w:rsidRPr="005F3B45" w:rsidR="005F3B45">
        <w:rPr>
          <w:rFonts w:ascii="Times New Roman" w:hAnsi="Times New Roman"/>
          <w:snapToGrid/>
          <w:sz w:val="24"/>
          <w:szCs w:val="24"/>
        </w:rPr>
        <w:t xml:space="preserve"> </w:t>
      </w:r>
      <w:r w:rsidR="00773802">
        <w:rPr>
          <w:rFonts w:ascii="Times New Roman" w:hAnsi="Times New Roman"/>
          <w:snapToGrid/>
          <w:sz w:val="24"/>
          <w:szCs w:val="24"/>
        </w:rPr>
        <w:t xml:space="preserve">form </w:t>
      </w:r>
      <w:r w:rsidR="005F3B45">
        <w:rPr>
          <w:rFonts w:ascii="Times New Roman" w:hAnsi="Times New Roman"/>
          <w:snapToGrid/>
          <w:sz w:val="24"/>
          <w:szCs w:val="24"/>
        </w:rPr>
        <w:t xml:space="preserve">to identify the </w:t>
      </w:r>
      <w:r w:rsidR="00007696">
        <w:rPr>
          <w:rFonts w:ascii="Times New Roman" w:hAnsi="Times New Roman"/>
          <w:snapToGrid/>
          <w:sz w:val="24"/>
          <w:szCs w:val="24"/>
        </w:rPr>
        <w:t xml:space="preserve">intended use </w:t>
      </w:r>
      <w:r w:rsidR="005F3B45">
        <w:rPr>
          <w:rFonts w:ascii="Times New Roman" w:hAnsi="Times New Roman"/>
          <w:snapToGrid/>
          <w:sz w:val="24"/>
          <w:szCs w:val="24"/>
        </w:rPr>
        <w:t>funding estimates</w:t>
      </w:r>
      <w:r w:rsidR="001242CD">
        <w:rPr>
          <w:rFonts w:ascii="Times New Roman" w:hAnsi="Times New Roman"/>
          <w:snapToGrid/>
          <w:sz w:val="24"/>
          <w:szCs w:val="24"/>
        </w:rPr>
        <w:t xml:space="preserve">. </w:t>
      </w:r>
      <w:r w:rsidR="005557D5">
        <w:rPr>
          <w:rFonts w:ascii="Times New Roman" w:hAnsi="Times New Roman"/>
          <w:snapToGrid/>
          <w:sz w:val="24"/>
          <w:szCs w:val="24"/>
        </w:rPr>
        <w:t>A state’s plan for intended use of funds are used to provide funding OCS with pre-expenditure estimates, which  are</w:t>
      </w:r>
      <w:r w:rsidR="00A832C2">
        <w:rPr>
          <w:rFonts w:ascii="Times New Roman" w:hAnsi="Times New Roman"/>
          <w:snapToGrid/>
          <w:sz w:val="24"/>
          <w:szCs w:val="24"/>
        </w:rPr>
        <w:t xml:space="preserve"> most commonly </w:t>
      </w:r>
      <w:r w:rsidR="005557D5">
        <w:rPr>
          <w:rFonts w:ascii="Times New Roman" w:hAnsi="Times New Roman"/>
          <w:snapToGrid/>
          <w:sz w:val="24"/>
          <w:szCs w:val="24"/>
        </w:rPr>
        <w:t xml:space="preserve">provided </w:t>
      </w:r>
      <w:r w:rsidR="00A832C2">
        <w:rPr>
          <w:rFonts w:ascii="Times New Roman" w:hAnsi="Times New Roman"/>
          <w:snapToGrid/>
          <w:sz w:val="24"/>
          <w:szCs w:val="24"/>
        </w:rPr>
        <w:t xml:space="preserve">through the post-expenditure reporting form </w:t>
      </w:r>
      <w:r w:rsidR="005557D5">
        <w:rPr>
          <w:rFonts w:ascii="Times New Roman" w:hAnsi="Times New Roman"/>
          <w:snapToGrid/>
          <w:sz w:val="24"/>
          <w:szCs w:val="24"/>
        </w:rPr>
        <w:t xml:space="preserve">and </w:t>
      </w:r>
      <w:r w:rsidR="00A832C2">
        <w:rPr>
          <w:rFonts w:ascii="Times New Roman" w:hAnsi="Times New Roman"/>
          <w:snapToGrid/>
          <w:sz w:val="24"/>
          <w:szCs w:val="24"/>
        </w:rPr>
        <w:t xml:space="preserve">are referred to as the pre-expenditure report. </w:t>
      </w:r>
      <w:r w:rsidRPr="005557D5" w:rsidR="005557D5">
        <w:rPr>
          <w:rFonts w:ascii="Times New Roman" w:hAnsi="Times New Roman"/>
          <w:snapToGrid/>
          <w:sz w:val="24"/>
          <w:szCs w:val="24"/>
        </w:rPr>
        <w:t xml:space="preserve"> </w:t>
      </w:r>
      <w:r w:rsidR="005557D5">
        <w:rPr>
          <w:rFonts w:ascii="Times New Roman" w:hAnsi="Times New Roman"/>
          <w:snapToGrid/>
          <w:sz w:val="24"/>
          <w:szCs w:val="24"/>
        </w:rPr>
        <w:t xml:space="preserve">Estimated burden for the submission of pre-expenditure report data has historically been included within the burden estimates for the SSBG Post-Expenditure Report (0970-0234). </w:t>
      </w:r>
      <w:r w:rsidR="00C9123C">
        <w:rPr>
          <w:rFonts w:ascii="Times New Roman" w:hAnsi="Times New Roman"/>
          <w:snapToGrid/>
          <w:sz w:val="24"/>
          <w:szCs w:val="24"/>
        </w:rPr>
        <w:t xml:space="preserve"> </w:t>
      </w:r>
    </w:p>
    <w:p w:rsidR="006D4A7C" w:rsidP="008B30C6" w:rsidRDefault="006D4A7C" w14:paraId="136312A3" w14:textId="77777777">
      <w:pPr>
        <w:widowControl/>
        <w:tabs>
          <w:tab w:val="num" w:pos="360"/>
        </w:tabs>
        <w:ind w:left="360"/>
        <w:rPr>
          <w:rFonts w:ascii="Times New Roman" w:hAnsi="Times New Roman"/>
          <w:snapToGrid/>
          <w:sz w:val="24"/>
          <w:szCs w:val="24"/>
        </w:rPr>
      </w:pPr>
    </w:p>
    <w:p w:rsidRPr="008A7A73" w:rsidR="00790D2C" w:rsidP="008B30C6" w:rsidRDefault="006D4A7C" w14:paraId="398DDEC3" w14:textId="74B475EC">
      <w:pPr>
        <w:widowControl/>
        <w:tabs>
          <w:tab w:val="num" w:pos="360"/>
        </w:tabs>
        <w:ind w:left="360"/>
        <w:rPr>
          <w:rFonts w:ascii="Times New Roman" w:hAnsi="Times New Roman"/>
          <w:b/>
          <w:snapToGrid/>
          <w:sz w:val="24"/>
          <w:szCs w:val="24"/>
        </w:rPr>
      </w:pPr>
      <w:r w:rsidRPr="008A7A73">
        <w:rPr>
          <w:rFonts w:ascii="Times New Roman" w:hAnsi="Times New Roman"/>
          <w:b/>
          <w:snapToGrid/>
          <w:sz w:val="24"/>
          <w:szCs w:val="24"/>
        </w:rPr>
        <w:t>This revision request is</w:t>
      </w:r>
      <w:r w:rsidRPr="008A7A73" w:rsidR="00A058A5">
        <w:rPr>
          <w:rFonts w:ascii="Times New Roman" w:hAnsi="Times New Roman"/>
          <w:b/>
          <w:snapToGrid/>
          <w:sz w:val="24"/>
          <w:szCs w:val="24"/>
        </w:rPr>
        <w:t xml:space="preserve"> </w:t>
      </w:r>
      <w:r w:rsidRPr="008A7A73" w:rsidR="00C9123C">
        <w:rPr>
          <w:rFonts w:ascii="Times New Roman" w:hAnsi="Times New Roman"/>
          <w:b/>
          <w:snapToGrid/>
          <w:sz w:val="24"/>
          <w:szCs w:val="24"/>
        </w:rPr>
        <w:t xml:space="preserve">to </w:t>
      </w:r>
      <w:r w:rsidRPr="008A7A73" w:rsidR="00FE70F8">
        <w:rPr>
          <w:rFonts w:ascii="Times New Roman" w:hAnsi="Times New Roman"/>
          <w:b/>
          <w:snapToGrid/>
          <w:sz w:val="24"/>
          <w:szCs w:val="24"/>
        </w:rPr>
        <w:t xml:space="preserve">provide </w:t>
      </w:r>
      <w:r w:rsidR="001242CD">
        <w:rPr>
          <w:rFonts w:ascii="Times New Roman" w:hAnsi="Times New Roman"/>
          <w:b/>
          <w:snapToGrid/>
          <w:sz w:val="24"/>
          <w:szCs w:val="24"/>
        </w:rPr>
        <w:t xml:space="preserve">a standard form and clear instructions for the Intended Use Plan, </w:t>
      </w:r>
      <w:r w:rsidR="00DB5530">
        <w:rPr>
          <w:rFonts w:ascii="Times New Roman" w:hAnsi="Times New Roman"/>
          <w:b/>
          <w:snapToGrid/>
          <w:sz w:val="24"/>
          <w:szCs w:val="24"/>
        </w:rPr>
        <w:t xml:space="preserve">which is a narrative to accompany the pre-expenditure </w:t>
      </w:r>
      <w:r w:rsidR="00655FCE">
        <w:rPr>
          <w:rFonts w:ascii="Times New Roman" w:hAnsi="Times New Roman"/>
          <w:b/>
          <w:snapToGrid/>
          <w:sz w:val="24"/>
          <w:szCs w:val="24"/>
        </w:rPr>
        <w:t>report</w:t>
      </w:r>
      <w:r w:rsidR="00DB5530">
        <w:rPr>
          <w:rFonts w:ascii="Times New Roman" w:hAnsi="Times New Roman"/>
          <w:b/>
          <w:snapToGrid/>
          <w:sz w:val="24"/>
          <w:szCs w:val="24"/>
        </w:rPr>
        <w:t xml:space="preserve">, </w:t>
      </w:r>
      <w:r w:rsidR="001242CD">
        <w:rPr>
          <w:rFonts w:ascii="Times New Roman" w:hAnsi="Times New Roman"/>
          <w:b/>
          <w:snapToGrid/>
          <w:sz w:val="24"/>
          <w:szCs w:val="24"/>
        </w:rPr>
        <w:t xml:space="preserve">and to update the supporting statement to provide </w:t>
      </w:r>
      <w:r w:rsidRPr="008A7A73" w:rsidR="00FE70F8">
        <w:rPr>
          <w:rFonts w:ascii="Times New Roman" w:hAnsi="Times New Roman"/>
          <w:b/>
          <w:snapToGrid/>
          <w:sz w:val="24"/>
          <w:szCs w:val="24"/>
        </w:rPr>
        <w:t xml:space="preserve">more specific information about and burden related to </w:t>
      </w:r>
      <w:r w:rsidRPr="008A7A73" w:rsidR="00C9123C">
        <w:rPr>
          <w:rFonts w:ascii="Times New Roman" w:hAnsi="Times New Roman"/>
          <w:b/>
          <w:snapToGrid/>
          <w:sz w:val="24"/>
          <w:szCs w:val="24"/>
        </w:rPr>
        <w:t>the</w:t>
      </w:r>
      <w:r w:rsidRPr="008A7A73" w:rsidR="00A058A5">
        <w:rPr>
          <w:rFonts w:ascii="Times New Roman" w:hAnsi="Times New Roman"/>
          <w:b/>
          <w:snapToGrid/>
          <w:sz w:val="24"/>
          <w:szCs w:val="24"/>
        </w:rPr>
        <w:t xml:space="preserve"> reporting requirements </w:t>
      </w:r>
      <w:r w:rsidR="001242CD">
        <w:rPr>
          <w:rFonts w:ascii="Times New Roman" w:hAnsi="Times New Roman"/>
          <w:b/>
          <w:snapToGrid/>
          <w:sz w:val="24"/>
          <w:szCs w:val="24"/>
        </w:rPr>
        <w:t>for</w:t>
      </w:r>
      <w:r w:rsidRPr="008A7A73" w:rsidR="001242CD">
        <w:rPr>
          <w:rFonts w:ascii="Times New Roman" w:hAnsi="Times New Roman"/>
          <w:b/>
          <w:snapToGrid/>
          <w:sz w:val="24"/>
          <w:szCs w:val="24"/>
        </w:rPr>
        <w:t xml:space="preserve"> </w:t>
      </w:r>
      <w:r w:rsidRPr="008A7A73" w:rsidR="00A058A5">
        <w:rPr>
          <w:rFonts w:ascii="Times New Roman" w:hAnsi="Times New Roman"/>
          <w:b/>
          <w:snapToGrid/>
          <w:sz w:val="24"/>
          <w:szCs w:val="24"/>
        </w:rPr>
        <w:t>Intended Use Plan</w:t>
      </w:r>
      <w:r w:rsidRPr="008A7A73">
        <w:rPr>
          <w:rFonts w:ascii="Times New Roman" w:hAnsi="Times New Roman"/>
          <w:b/>
          <w:snapToGrid/>
          <w:sz w:val="24"/>
          <w:szCs w:val="24"/>
        </w:rPr>
        <w:t>s</w:t>
      </w:r>
      <w:r w:rsidR="001242CD">
        <w:rPr>
          <w:rFonts w:ascii="Times New Roman" w:hAnsi="Times New Roman"/>
          <w:b/>
          <w:snapToGrid/>
          <w:sz w:val="24"/>
          <w:szCs w:val="24"/>
        </w:rPr>
        <w:t>. We would like to implement these changes</w:t>
      </w:r>
      <w:r w:rsidRPr="008A7A73" w:rsidR="000F54C1">
        <w:rPr>
          <w:rFonts w:ascii="Times New Roman" w:hAnsi="Times New Roman"/>
          <w:b/>
          <w:snapToGrid/>
          <w:sz w:val="24"/>
          <w:szCs w:val="24"/>
        </w:rPr>
        <w:t xml:space="preserve"> </w:t>
      </w:r>
      <w:r w:rsidRPr="008A7A73" w:rsidR="00FE70F8">
        <w:rPr>
          <w:rFonts w:ascii="Times New Roman" w:hAnsi="Times New Roman"/>
          <w:b/>
          <w:snapToGrid/>
          <w:sz w:val="24"/>
          <w:szCs w:val="24"/>
        </w:rPr>
        <w:t>prior to the next due date (June 1, 2021).</w:t>
      </w:r>
    </w:p>
    <w:p w:rsidR="008B30C6" w:rsidP="008B30C6" w:rsidRDefault="008B30C6" w14:paraId="15B3B946" w14:textId="6C67340C">
      <w:pPr>
        <w:widowControl/>
        <w:tabs>
          <w:tab w:val="num" w:pos="360"/>
        </w:tabs>
        <w:ind w:left="360"/>
        <w:rPr>
          <w:rFonts w:ascii="Times New Roman" w:hAnsi="Times New Roman"/>
          <w:snapToGrid/>
          <w:sz w:val="24"/>
          <w:szCs w:val="24"/>
        </w:rPr>
      </w:pPr>
    </w:p>
    <w:p w:rsidR="008B30C6" w:rsidP="008B30C6" w:rsidRDefault="006D4A7C" w14:paraId="4E44A480" w14:textId="4B8DFF19">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changes requested to the standard post-e</w:t>
      </w:r>
      <w:r w:rsidRPr="008B30C6">
        <w:rPr>
          <w:rFonts w:ascii="Times New Roman" w:hAnsi="Times New Roman"/>
          <w:snapToGrid/>
          <w:sz w:val="24"/>
          <w:szCs w:val="24"/>
        </w:rPr>
        <w:t>xpenditure reporting form</w:t>
      </w:r>
      <w:r>
        <w:rPr>
          <w:rFonts w:ascii="Times New Roman" w:hAnsi="Times New Roman"/>
          <w:snapToGrid/>
          <w:sz w:val="24"/>
          <w:szCs w:val="24"/>
        </w:rPr>
        <w:t>, which is required of</w:t>
      </w:r>
      <w:r w:rsidRPr="008B30C6">
        <w:rPr>
          <w:rFonts w:ascii="Times New Roman" w:hAnsi="Times New Roman"/>
          <w:snapToGrid/>
          <w:sz w:val="24"/>
          <w:szCs w:val="24"/>
        </w:rPr>
        <w:t xml:space="preserve"> </w:t>
      </w:r>
      <w:r>
        <w:rPr>
          <w:rFonts w:ascii="Times New Roman" w:hAnsi="Times New Roman"/>
          <w:snapToGrid/>
          <w:sz w:val="24"/>
          <w:szCs w:val="24"/>
        </w:rPr>
        <w:t>s</w:t>
      </w:r>
      <w:r w:rsidRPr="008B30C6" w:rsidR="008B30C6">
        <w:rPr>
          <w:rFonts w:ascii="Times New Roman" w:hAnsi="Times New Roman"/>
          <w:snapToGrid/>
          <w:sz w:val="24"/>
          <w:szCs w:val="24"/>
        </w:rPr>
        <w:t xml:space="preserve">tates to report expenditures </w:t>
      </w:r>
      <w:r w:rsidR="00A022AF">
        <w:rPr>
          <w:rFonts w:ascii="Times New Roman" w:hAnsi="Times New Roman"/>
          <w:snapToGrid/>
          <w:sz w:val="24"/>
          <w:szCs w:val="24"/>
        </w:rPr>
        <w:t>of SSBG funds</w:t>
      </w:r>
      <w:r>
        <w:rPr>
          <w:rFonts w:ascii="Times New Roman" w:hAnsi="Times New Roman"/>
          <w:snapToGrid/>
          <w:sz w:val="24"/>
          <w:szCs w:val="24"/>
        </w:rPr>
        <w:t>.</w:t>
      </w:r>
      <w:r w:rsidR="00A022AF">
        <w:rPr>
          <w:rFonts w:ascii="Times New Roman" w:hAnsi="Times New Roman"/>
          <w:snapToGrid/>
          <w:sz w:val="24"/>
          <w:szCs w:val="24"/>
        </w:rPr>
        <w:t xml:space="preserve"> </w:t>
      </w:r>
      <w:r>
        <w:rPr>
          <w:rFonts w:ascii="Times New Roman" w:hAnsi="Times New Roman"/>
          <w:snapToGrid/>
          <w:sz w:val="24"/>
          <w:szCs w:val="24"/>
        </w:rPr>
        <w:t xml:space="preserve"> Information reported</w:t>
      </w:r>
      <w:r w:rsidRPr="008B30C6" w:rsidR="008B30C6">
        <w:rPr>
          <w:rFonts w:ascii="Times New Roman" w:hAnsi="Times New Roman"/>
          <w:snapToGrid/>
          <w:sz w:val="24"/>
          <w:szCs w:val="24"/>
        </w:rPr>
        <w:t xml:space="preserve"> includes an annual total of adults and children served and expenditures in each of 29 service categories. Post-expenditure reporting requirements for SSBG are codified at 45 C.F.R. §</w:t>
      </w:r>
      <w:r w:rsidR="00773802">
        <w:rPr>
          <w:rFonts w:ascii="Times New Roman" w:hAnsi="Times New Roman"/>
          <w:snapToGrid/>
          <w:sz w:val="24"/>
          <w:szCs w:val="24"/>
        </w:rPr>
        <w:t xml:space="preserve"> </w:t>
      </w:r>
      <w:r w:rsidRPr="008B30C6" w:rsidR="008B30C6">
        <w:rPr>
          <w:rFonts w:ascii="Times New Roman" w:hAnsi="Times New Roman"/>
          <w:snapToGrid/>
          <w:sz w:val="24"/>
          <w:szCs w:val="24"/>
        </w:rPr>
        <w:t>96.74.</w:t>
      </w:r>
      <w:r w:rsidR="000A1771">
        <w:rPr>
          <w:rFonts w:ascii="Times New Roman" w:hAnsi="Times New Roman"/>
          <w:snapToGrid/>
          <w:sz w:val="24"/>
          <w:szCs w:val="24"/>
        </w:rPr>
        <w:t xml:space="preserve"> States must submit their</w:t>
      </w:r>
      <w:r w:rsidRPr="008B30C6" w:rsidR="000A1771">
        <w:rPr>
          <w:rFonts w:ascii="Times New Roman" w:hAnsi="Times New Roman"/>
          <w:snapToGrid/>
          <w:sz w:val="24"/>
          <w:szCs w:val="24"/>
        </w:rPr>
        <w:t xml:space="preserve"> </w:t>
      </w:r>
      <w:r w:rsidRPr="008B30C6" w:rsidR="008B30C6">
        <w:rPr>
          <w:rFonts w:ascii="Times New Roman" w:hAnsi="Times New Roman"/>
          <w:snapToGrid/>
          <w:sz w:val="24"/>
          <w:szCs w:val="24"/>
        </w:rPr>
        <w:t>annual Post-Expenditure Report within 6 months of the end of the period covered by the report, and must address:</w:t>
      </w:r>
    </w:p>
    <w:p w:rsidR="008B30C6" w:rsidP="008B30C6" w:rsidRDefault="008B30C6" w14:paraId="2D3E82E3" w14:textId="60497697">
      <w:pPr>
        <w:widowControl/>
        <w:tabs>
          <w:tab w:val="num" w:pos="360"/>
        </w:tabs>
        <w:ind w:left="360"/>
        <w:rPr>
          <w:rFonts w:ascii="Times New Roman" w:hAnsi="Times New Roman"/>
          <w:snapToGrid/>
          <w:sz w:val="24"/>
          <w:szCs w:val="24"/>
        </w:rPr>
      </w:pPr>
    </w:p>
    <w:p w:rsidRPr="008B30C6" w:rsidR="008B30C6" w:rsidP="008B30C6" w:rsidRDefault="008B30C6" w14:paraId="6A10D9E1" w14:textId="04BE4EC0">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number of individuals (broken out by children, adults age 59 and younger, adults age 60 and older, and adults of unknown age) who receive services paid for in whole, or in part, with Federal funds under the SSBG.</w:t>
      </w:r>
    </w:p>
    <w:p w:rsidRPr="008B30C6" w:rsidR="008B30C6" w:rsidP="008B30C6" w:rsidRDefault="008B30C6" w14:paraId="2383847A" w14:textId="554BA94A">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amount of SSBG funds spent in providing each service.</w:t>
      </w:r>
    </w:p>
    <w:p w:rsidRPr="008B30C6" w:rsidR="008B30C6" w:rsidP="008B30C6" w:rsidRDefault="008B30C6" w14:paraId="077DF9D7" w14:textId="1553B0B3">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amount of funds transferred into SSBG from the Temporary Assistance for Needy Families (TANF) block grant.</w:t>
      </w:r>
    </w:p>
    <w:p w:rsidRPr="008B30C6" w:rsidR="008B30C6" w:rsidP="008B30C6" w:rsidRDefault="008B30C6" w14:paraId="06E66575" w14:textId="3ECC36FF">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amount of carryover funds expended in the current fiscal year, and intended to be carried over into the next fiscal year.</w:t>
      </w:r>
    </w:p>
    <w:p w:rsidRPr="008B30C6" w:rsidR="008B30C6" w:rsidP="008B30C6" w:rsidRDefault="008B30C6" w14:paraId="4FCEDD65" w14:textId="5EDC9B7D">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total amount of Federal, State and local funds spent in providing each service, including SSBG funds.</w:t>
      </w:r>
    </w:p>
    <w:p w:rsidRPr="008B30C6" w:rsidR="008B30C6" w:rsidP="008B30C6" w:rsidRDefault="008B30C6" w14:paraId="4E1045C1" w14:textId="69336D0F">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method(s) by which each service was provided, showing separately the services provided by public and private agencies, or both.</w:t>
      </w:r>
    </w:p>
    <w:p w:rsidRPr="008B30C6" w:rsidR="008B30C6" w:rsidP="008B30C6" w:rsidRDefault="008B30C6" w14:paraId="6150E3B0" w14:textId="44632990">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Eligibility for services with each SSBG Service Category determined by the state.</w:t>
      </w:r>
    </w:p>
    <w:p w:rsidRPr="008B30C6" w:rsidR="008B30C6" w:rsidP="008B30C6" w:rsidRDefault="008B30C6" w14:paraId="7D577923" w14:textId="5D63B3E8">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State definitions of child, adult, and family as they relate to services provided by SSBG funds.</w:t>
      </w:r>
    </w:p>
    <w:p w:rsidRPr="008B30C6" w:rsidR="008B30C6" w:rsidP="008B30C6" w:rsidRDefault="008B30C6" w14:paraId="7F079F3A" w14:textId="4439026B">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Assurances related to the appropriate use of TANF transfer funds, based on statute.</w:t>
      </w:r>
    </w:p>
    <w:p w:rsidRPr="004F7B95" w:rsidR="00DE529D" w:rsidP="00D7443D" w:rsidRDefault="00DE529D" w14:paraId="5548F0DE"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s>
        <w:spacing w:after="12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A022AF" w:rsidR="00A022AF" w:rsidP="00A022AF" w:rsidRDefault="00A022AF" w14:paraId="4AF633E1" w14:textId="3615FC90">
      <w:pPr>
        <w:widowControl/>
        <w:tabs>
          <w:tab w:val="num" w:pos="360"/>
        </w:tabs>
        <w:ind w:left="360"/>
        <w:rPr>
          <w:rFonts w:ascii="Times New Roman" w:hAnsi="Times New Roman"/>
          <w:snapToGrid/>
          <w:sz w:val="24"/>
          <w:szCs w:val="24"/>
        </w:rPr>
      </w:pPr>
      <w:r w:rsidRPr="00A022AF">
        <w:rPr>
          <w:rFonts w:ascii="Times New Roman" w:hAnsi="Times New Roman"/>
          <w:snapToGrid/>
          <w:sz w:val="24"/>
          <w:szCs w:val="24"/>
        </w:rPr>
        <w:t>Information collected on the Post-Expenditure Report is analyzed and described in an annual report produced by OCS.</w:t>
      </w:r>
      <w:r w:rsidR="005F3B45">
        <w:rPr>
          <w:rFonts w:ascii="Times New Roman" w:hAnsi="Times New Roman"/>
          <w:snapToGrid/>
          <w:sz w:val="24"/>
          <w:szCs w:val="24"/>
        </w:rPr>
        <w:t xml:space="preserve"> The report is available for grantees, federal partners, and </w:t>
      </w:r>
      <w:r w:rsidR="005765EF">
        <w:rPr>
          <w:rFonts w:ascii="Times New Roman" w:hAnsi="Times New Roman"/>
          <w:snapToGrid/>
          <w:sz w:val="24"/>
          <w:szCs w:val="24"/>
        </w:rPr>
        <w:t>stakeholders</w:t>
      </w:r>
      <w:r w:rsidR="00417653">
        <w:rPr>
          <w:rFonts w:ascii="Times New Roman" w:hAnsi="Times New Roman"/>
          <w:snapToGrid/>
          <w:sz w:val="24"/>
          <w:szCs w:val="24"/>
        </w:rPr>
        <w:t xml:space="preserve"> </w:t>
      </w:r>
      <w:r w:rsidR="00773802">
        <w:rPr>
          <w:rFonts w:ascii="Times New Roman" w:hAnsi="Times New Roman"/>
          <w:snapToGrid/>
          <w:sz w:val="24"/>
          <w:szCs w:val="24"/>
        </w:rPr>
        <w:t xml:space="preserve">and </w:t>
      </w:r>
      <w:r w:rsidR="00417653">
        <w:rPr>
          <w:rFonts w:ascii="Times New Roman" w:hAnsi="Times New Roman"/>
          <w:snapToGrid/>
          <w:sz w:val="24"/>
          <w:szCs w:val="24"/>
        </w:rPr>
        <w:t>provide</w:t>
      </w:r>
      <w:r w:rsidR="00773802">
        <w:rPr>
          <w:rFonts w:ascii="Times New Roman" w:hAnsi="Times New Roman"/>
          <w:snapToGrid/>
          <w:sz w:val="24"/>
          <w:szCs w:val="24"/>
        </w:rPr>
        <w:t>s</w:t>
      </w:r>
      <w:r w:rsidR="00417653">
        <w:rPr>
          <w:rFonts w:ascii="Times New Roman" w:hAnsi="Times New Roman"/>
          <w:snapToGrid/>
          <w:sz w:val="24"/>
          <w:szCs w:val="24"/>
        </w:rPr>
        <w:t xml:space="preserve"> information regarding State SSBG expenditures and service recipients</w:t>
      </w:r>
      <w:r w:rsidR="005765EF">
        <w:rPr>
          <w:rFonts w:ascii="Times New Roman" w:hAnsi="Times New Roman"/>
          <w:snapToGrid/>
          <w:sz w:val="24"/>
          <w:szCs w:val="24"/>
        </w:rPr>
        <w:t xml:space="preserve">. </w:t>
      </w:r>
      <w:r w:rsidR="00417653">
        <w:rPr>
          <w:rFonts w:ascii="Times New Roman" w:hAnsi="Times New Roman"/>
          <w:snapToGrid/>
          <w:sz w:val="24"/>
          <w:szCs w:val="24"/>
        </w:rPr>
        <w:t xml:space="preserve">The report can be accessed </w:t>
      </w:r>
      <w:r w:rsidR="005765EF">
        <w:rPr>
          <w:rFonts w:ascii="Times New Roman" w:hAnsi="Times New Roman"/>
          <w:snapToGrid/>
          <w:sz w:val="24"/>
          <w:szCs w:val="24"/>
        </w:rPr>
        <w:t>on the SSBG website</w:t>
      </w:r>
      <w:r w:rsidR="000975DD">
        <w:rPr>
          <w:rFonts w:ascii="Times New Roman" w:hAnsi="Times New Roman"/>
          <w:snapToGrid/>
          <w:sz w:val="24"/>
          <w:szCs w:val="24"/>
        </w:rPr>
        <w:t>.</w:t>
      </w:r>
      <w:r w:rsidRPr="00A022AF">
        <w:rPr>
          <w:rFonts w:ascii="Times New Roman" w:hAnsi="Times New Roman"/>
          <w:snapToGrid/>
          <w:sz w:val="24"/>
          <w:szCs w:val="24"/>
        </w:rPr>
        <w:t xml:space="preserve"> </w:t>
      </w:r>
      <w:r w:rsidR="00073AF7">
        <w:rPr>
          <w:rFonts w:ascii="Times New Roman" w:hAnsi="Times New Roman"/>
          <w:snapToGrid/>
          <w:sz w:val="24"/>
          <w:szCs w:val="24"/>
        </w:rPr>
        <w:t>A</w:t>
      </w:r>
      <w:r w:rsidRPr="00A022AF">
        <w:rPr>
          <w:rFonts w:ascii="Times New Roman" w:hAnsi="Times New Roman"/>
          <w:snapToGrid/>
          <w:sz w:val="24"/>
          <w:szCs w:val="24"/>
        </w:rPr>
        <w:t xml:space="preserve">nnual reports have been </w:t>
      </w:r>
      <w:r w:rsidRPr="00A022AF">
        <w:rPr>
          <w:rFonts w:ascii="Times New Roman" w:hAnsi="Times New Roman"/>
          <w:snapToGrid/>
          <w:sz w:val="24"/>
          <w:szCs w:val="24"/>
        </w:rPr>
        <w:lastRenderedPageBreak/>
        <w:t>completed eac</w:t>
      </w:r>
      <w:r>
        <w:rPr>
          <w:rFonts w:ascii="Times New Roman" w:hAnsi="Times New Roman"/>
          <w:snapToGrid/>
          <w:sz w:val="24"/>
          <w:szCs w:val="24"/>
        </w:rPr>
        <w:t>h year for the years 1998 – 2018. The 2019</w:t>
      </w:r>
      <w:r w:rsidRPr="00A022AF">
        <w:rPr>
          <w:rFonts w:ascii="Times New Roman" w:hAnsi="Times New Roman"/>
          <w:snapToGrid/>
          <w:sz w:val="24"/>
          <w:szCs w:val="24"/>
        </w:rPr>
        <w:t xml:space="preserve"> annual report is currently being finalized. The information contained in this report is used to establish how SSBG funding is used for the provision of services in each State. The information collected is the only source of information on the use of SSBG funds by the States. It is also the only source of information on the number of recipients of services funded, in whole or in part, by SSBG.</w:t>
      </w:r>
    </w:p>
    <w:p w:rsidRPr="00A022AF" w:rsidR="00A022AF" w:rsidP="00A022AF" w:rsidRDefault="00A022AF" w14:paraId="62312311" w14:textId="77777777">
      <w:pPr>
        <w:widowControl/>
        <w:tabs>
          <w:tab w:val="num" w:pos="360"/>
        </w:tabs>
        <w:ind w:left="360"/>
        <w:rPr>
          <w:rFonts w:ascii="Times New Roman" w:hAnsi="Times New Roman"/>
          <w:snapToGrid/>
          <w:sz w:val="24"/>
          <w:szCs w:val="24"/>
        </w:rPr>
      </w:pPr>
    </w:p>
    <w:p w:rsidR="006624AE" w:rsidP="00A022AF" w:rsidRDefault="00A022AF" w14:paraId="15E842C7" w14:textId="5F5098E2">
      <w:pPr>
        <w:widowControl/>
        <w:tabs>
          <w:tab w:val="num" w:pos="360"/>
        </w:tabs>
        <w:ind w:left="360"/>
        <w:rPr>
          <w:rFonts w:ascii="Times New Roman" w:hAnsi="Times New Roman"/>
          <w:snapToGrid/>
          <w:sz w:val="24"/>
          <w:szCs w:val="24"/>
        </w:rPr>
      </w:pPr>
      <w:r w:rsidRPr="00A022AF">
        <w:rPr>
          <w:rFonts w:ascii="Times New Roman" w:hAnsi="Times New Roman"/>
          <w:snapToGrid/>
          <w:sz w:val="24"/>
          <w:szCs w:val="24"/>
        </w:rPr>
        <w:t>In addition, the Government Performance and Results Act of 1993 (GPRA) requires all Federal agencies to develop long-term Strategic Plans defining general goals and objectives for their programs; to develop Annual Performance Plans specifying measurable performance goals for all of the program activities in their budgets; and to publish an Annual Performance Report showing actual results compared to each annual performance goal. Toward this end, two performance measures were developed to improve efficiency and accountability within States’ SSBG programs. The first of these measures aims to minimize administrative costs and maximize the</w:t>
      </w:r>
      <w:r>
        <w:rPr>
          <w:rFonts w:ascii="Times New Roman" w:hAnsi="Times New Roman"/>
          <w:snapToGrid/>
          <w:sz w:val="24"/>
          <w:szCs w:val="24"/>
        </w:rPr>
        <w:t xml:space="preserve"> </w:t>
      </w:r>
      <w:r w:rsidRPr="00A022AF">
        <w:rPr>
          <w:rFonts w:ascii="Times New Roman" w:hAnsi="Times New Roman"/>
          <w:snapToGrid/>
          <w:sz w:val="24"/>
          <w:szCs w:val="24"/>
        </w:rPr>
        <w:t>amount of funds used for the provision of direct services. The second performance measure analyzes the degree to which States spend SSBG funds in a manner consistent with their intended use as required by the Federal law [42 U.S.C. §1397e (a)]. These performance measures require both pre-expenditure and post-expenditure data.</w:t>
      </w:r>
    </w:p>
    <w:p w:rsidR="001A67E2" w:rsidP="00A022AF" w:rsidRDefault="001A67E2" w14:paraId="3205F9C2" w14:textId="76714764">
      <w:pPr>
        <w:widowControl/>
        <w:tabs>
          <w:tab w:val="num" w:pos="360"/>
        </w:tabs>
        <w:ind w:left="360"/>
        <w:rPr>
          <w:rFonts w:ascii="Times New Roman" w:hAnsi="Times New Roman"/>
          <w:snapToGrid/>
          <w:sz w:val="24"/>
          <w:szCs w:val="24"/>
        </w:rPr>
      </w:pPr>
    </w:p>
    <w:p w:rsidR="001A67E2" w:rsidP="00A022AF" w:rsidRDefault="000B0ECF" w14:paraId="72CCB159" w14:textId="5EB25ECA">
      <w:pPr>
        <w:widowControl/>
        <w:tabs>
          <w:tab w:val="num" w:pos="360"/>
        </w:tabs>
        <w:ind w:left="360"/>
        <w:rPr>
          <w:rFonts w:ascii="Times New Roman" w:hAnsi="Times New Roman"/>
          <w:snapToGrid/>
          <w:sz w:val="24"/>
          <w:szCs w:val="24"/>
        </w:rPr>
      </w:pPr>
      <w:r>
        <w:rPr>
          <w:rFonts w:ascii="Times New Roman" w:hAnsi="Times New Roman"/>
          <w:snapToGrid/>
          <w:sz w:val="24"/>
          <w:szCs w:val="24"/>
        </w:rPr>
        <w:t>The Intended Use P</w:t>
      </w:r>
      <w:r w:rsidRPr="001A67E2" w:rsidR="001A67E2">
        <w:rPr>
          <w:rFonts w:ascii="Times New Roman" w:hAnsi="Times New Roman"/>
          <w:snapToGrid/>
          <w:sz w:val="24"/>
          <w:szCs w:val="24"/>
        </w:rPr>
        <w:t xml:space="preserve">lan allows the </w:t>
      </w:r>
      <w:r w:rsidR="001A67E2">
        <w:rPr>
          <w:rFonts w:ascii="Times New Roman" w:hAnsi="Times New Roman"/>
          <w:snapToGrid/>
          <w:sz w:val="24"/>
          <w:szCs w:val="24"/>
        </w:rPr>
        <w:t>ACF OCS</w:t>
      </w:r>
      <w:r w:rsidRPr="001A67E2" w:rsidR="001A67E2">
        <w:rPr>
          <w:rFonts w:ascii="Times New Roman" w:hAnsi="Times New Roman"/>
          <w:snapToGrid/>
          <w:sz w:val="24"/>
          <w:szCs w:val="24"/>
        </w:rPr>
        <w:t xml:space="preserve"> to identify recipients, methods, and categories for state expenditure of SSBG funds. The proposed form will standardize reporting submissions for SSBG, which will increase the efficiency in reporting and assessment for grantees and federal staff.</w:t>
      </w:r>
    </w:p>
    <w:p w:rsidRPr="004F7B95" w:rsidR="00D60543" w:rsidP="006624AE" w:rsidRDefault="00D60543" w14:paraId="3C8C4501"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D60543" w:rsidP="00022586" w:rsidRDefault="008B30C6" w14:paraId="5F5541A7" w14:textId="1B98E0DC">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 xml:space="preserve">States </w:t>
      </w:r>
      <w:r w:rsidR="00AB2112">
        <w:rPr>
          <w:rFonts w:ascii="Times New Roman" w:hAnsi="Times New Roman"/>
          <w:snapToGrid/>
          <w:sz w:val="24"/>
          <w:szCs w:val="24"/>
        </w:rPr>
        <w:t>enter</w:t>
      </w:r>
      <w:r w:rsidRPr="008B30C6">
        <w:rPr>
          <w:rFonts w:ascii="Times New Roman" w:hAnsi="Times New Roman"/>
          <w:snapToGrid/>
          <w:sz w:val="24"/>
          <w:szCs w:val="24"/>
        </w:rPr>
        <w:t xml:space="preserve"> </w:t>
      </w:r>
      <w:r w:rsidR="00F72F96">
        <w:rPr>
          <w:rFonts w:ascii="Times New Roman" w:hAnsi="Times New Roman"/>
          <w:snapToGrid/>
          <w:sz w:val="24"/>
          <w:szCs w:val="24"/>
        </w:rPr>
        <w:t xml:space="preserve">the </w:t>
      </w:r>
      <w:r w:rsidR="00854FFC">
        <w:rPr>
          <w:rFonts w:ascii="Times New Roman" w:hAnsi="Times New Roman"/>
          <w:snapToGrid/>
          <w:sz w:val="24"/>
          <w:szCs w:val="24"/>
        </w:rPr>
        <w:t xml:space="preserve">Pre-Expenditure Report, Intended Use Plan (narrative) and </w:t>
      </w:r>
      <w:r w:rsidR="00040EAE">
        <w:rPr>
          <w:rFonts w:ascii="Times New Roman" w:hAnsi="Times New Roman"/>
          <w:snapToGrid/>
          <w:sz w:val="24"/>
          <w:szCs w:val="24"/>
        </w:rPr>
        <w:t>Po</w:t>
      </w:r>
      <w:r w:rsidR="00C90AD8">
        <w:rPr>
          <w:rFonts w:ascii="Times New Roman" w:hAnsi="Times New Roman"/>
          <w:snapToGrid/>
          <w:sz w:val="24"/>
          <w:szCs w:val="24"/>
        </w:rPr>
        <w:t>s</w:t>
      </w:r>
      <w:r w:rsidR="00040EAE">
        <w:rPr>
          <w:rFonts w:ascii="Times New Roman" w:hAnsi="Times New Roman"/>
          <w:snapToGrid/>
          <w:sz w:val="24"/>
          <w:szCs w:val="24"/>
        </w:rPr>
        <w:t>t</w:t>
      </w:r>
      <w:r w:rsidR="00C90AD8">
        <w:rPr>
          <w:rFonts w:ascii="Times New Roman" w:hAnsi="Times New Roman"/>
          <w:snapToGrid/>
          <w:sz w:val="24"/>
          <w:szCs w:val="24"/>
        </w:rPr>
        <w:t>-</w:t>
      </w:r>
      <w:r w:rsidR="00040EAE">
        <w:rPr>
          <w:rFonts w:ascii="Times New Roman" w:hAnsi="Times New Roman"/>
          <w:snapToGrid/>
          <w:sz w:val="24"/>
          <w:szCs w:val="24"/>
        </w:rPr>
        <w:t xml:space="preserve">Expenditure Report </w:t>
      </w:r>
      <w:r w:rsidR="00AB2112">
        <w:rPr>
          <w:rFonts w:ascii="Times New Roman" w:hAnsi="Times New Roman"/>
          <w:snapToGrid/>
          <w:sz w:val="24"/>
          <w:szCs w:val="24"/>
        </w:rPr>
        <w:t xml:space="preserve">data </w:t>
      </w:r>
      <w:r w:rsidRPr="008B30C6">
        <w:rPr>
          <w:rFonts w:ascii="Times New Roman" w:hAnsi="Times New Roman"/>
          <w:snapToGrid/>
          <w:sz w:val="24"/>
          <w:szCs w:val="24"/>
        </w:rPr>
        <w:t xml:space="preserve">on the SSBG Portal. The SSBG Portal is a secure web-based data </w:t>
      </w:r>
      <w:r w:rsidR="00AB2112">
        <w:rPr>
          <w:rFonts w:ascii="Times New Roman" w:hAnsi="Times New Roman"/>
          <w:snapToGrid/>
          <w:sz w:val="24"/>
          <w:szCs w:val="24"/>
        </w:rPr>
        <w:t>collection platform</w:t>
      </w:r>
      <w:r w:rsidR="00854FFC">
        <w:rPr>
          <w:rFonts w:ascii="Times New Roman" w:hAnsi="Times New Roman"/>
          <w:snapToGrid/>
          <w:sz w:val="24"/>
          <w:szCs w:val="24"/>
        </w:rPr>
        <w:t xml:space="preserve"> which is monitored by Walter R. McDonald and Associates, contractor</w:t>
      </w:r>
      <w:r w:rsidRPr="008B30C6">
        <w:rPr>
          <w:rFonts w:ascii="Times New Roman" w:hAnsi="Times New Roman"/>
          <w:snapToGrid/>
          <w:sz w:val="24"/>
          <w:szCs w:val="24"/>
        </w:rPr>
        <w:t>. The SSBG Portal allows for efficient data submission without increasing the overall burden on States. It provides a user-friendly means for St</w:t>
      </w:r>
      <w:r w:rsidR="00F72F96">
        <w:rPr>
          <w:rFonts w:ascii="Times New Roman" w:hAnsi="Times New Roman"/>
          <w:snapToGrid/>
          <w:sz w:val="24"/>
          <w:szCs w:val="24"/>
        </w:rPr>
        <w:t xml:space="preserve">ates to submit and access their </w:t>
      </w:r>
      <w:r w:rsidR="00073AF7">
        <w:rPr>
          <w:rFonts w:ascii="Times New Roman" w:hAnsi="Times New Roman"/>
          <w:snapToGrid/>
          <w:sz w:val="24"/>
          <w:szCs w:val="24"/>
        </w:rPr>
        <w:t>I</w:t>
      </w:r>
      <w:r w:rsidR="00F72F96">
        <w:rPr>
          <w:rFonts w:ascii="Times New Roman" w:hAnsi="Times New Roman"/>
          <w:snapToGrid/>
          <w:sz w:val="24"/>
          <w:szCs w:val="24"/>
        </w:rPr>
        <w:t xml:space="preserve">ntended </w:t>
      </w:r>
      <w:r w:rsidR="00073AF7">
        <w:rPr>
          <w:rFonts w:ascii="Times New Roman" w:hAnsi="Times New Roman"/>
          <w:snapToGrid/>
          <w:sz w:val="24"/>
          <w:szCs w:val="24"/>
        </w:rPr>
        <w:t>U</w:t>
      </w:r>
      <w:r w:rsidR="00F72F96">
        <w:rPr>
          <w:rFonts w:ascii="Times New Roman" w:hAnsi="Times New Roman"/>
          <w:snapToGrid/>
          <w:sz w:val="24"/>
          <w:szCs w:val="24"/>
        </w:rPr>
        <w:t xml:space="preserve">se </w:t>
      </w:r>
      <w:r w:rsidR="00073AF7">
        <w:rPr>
          <w:rFonts w:ascii="Times New Roman" w:hAnsi="Times New Roman"/>
          <w:snapToGrid/>
          <w:sz w:val="24"/>
          <w:szCs w:val="24"/>
        </w:rPr>
        <w:t>P</w:t>
      </w:r>
      <w:r w:rsidR="00F72F96">
        <w:rPr>
          <w:rFonts w:ascii="Times New Roman" w:hAnsi="Times New Roman"/>
          <w:snapToGrid/>
          <w:sz w:val="24"/>
          <w:szCs w:val="24"/>
        </w:rPr>
        <w:t xml:space="preserve">lan, </w:t>
      </w:r>
      <w:r w:rsidR="00854FFC">
        <w:rPr>
          <w:rFonts w:ascii="Times New Roman" w:hAnsi="Times New Roman"/>
          <w:snapToGrid/>
          <w:sz w:val="24"/>
          <w:szCs w:val="24"/>
        </w:rPr>
        <w:t>P</w:t>
      </w:r>
      <w:r w:rsidRPr="008B30C6">
        <w:rPr>
          <w:rFonts w:ascii="Times New Roman" w:hAnsi="Times New Roman"/>
          <w:snapToGrid/>
          <w:sz w:val="24"/>
          <w:szCs w:val="24"/>
        </w:rPr>
        <w:t>re-</w:t>
      </w:r>
      <w:r w:rsidR="00854FFC">
        <w:rPr>
          <w:rFonts w:ascii="Times New Roman" w:hAnsi="Times New Roman"/>
          <w:snapToGrid/>
          <w:sz w:val="24"/>
          <w:szCs w:val="24"/>
        </w:rPr>
        <w:t>E</w:t>
      </w:r>
      <w:r w:rsidRPr="008B30C6">
        <w:rPr>
          <w:rFonts w:ascii="Times New Roman" w:hAnsi="Times New Roman"/>
          <w:snapToGrid/>
          <w:sz w:val="24"/>
          <w:szCs w:val="24"/>
        </w:rPr>
        <w:t>xpenditure</w:t>
      </w:r>
      <w:r w:rsidR="00073AF7">
        <w:rPr>
          <w:rFonts w:ascii="Times New Roman" w:hAnsi="Times New Roman"/>
          <w:snapToGrid/>
          <w:sz w:val="24"/>
          <w:szCs w:val="24"/>
        </w:rPr>
        <w:t xml:space="preserve"> data</w:t>
      </w:r>
      <w:r w:rsidRPr="008B30C6">
        <w:rPr>
          <w:rFonts w:ascii="Times New Roman" w:hAnsi="Times New Roman"/>
          <w:snapToGrid/>
          <w:sz w:val="24"/>
          <w:szCs w:val="24"/>
        </w:rPr>
        <w:t>,</w:t>
      </w:r>
      <w:r w:rsidR="00AB2112">
        <w:rPr>
          <w:rFonts w:ascii="Times New Roman" w:hAnsi="Times New Roman"/>
          <w:snapToGrid/>
          <w:sz w:val="24"/>
          <w:szCs w:val="24"/>
        </w:rPr>
        <w:t xml:space="preserve"> and</w:t>
      </w:r>
      <w:r w:rsidRPr="008B30C6">
        <w:rPr>
          <w:rFonts w:ascii="Times New Roman" w:hAnsi="Times New Roman"/>
          <w:snapToGrid/>
          <w:sz w:val="24"/>
          <w:szCs w:val="24"/>
        </w:rPr>
        <w:t xml:space="preserve"> </w:t>
      </w:r>
      <w:r w:rsidR="00073AF7">
        <w:rPr>
          <w:rFonts w:ascii="Times New Roman" w:hAnsi="Times New Roman"/>
          <w:snapToGrid/>
          <w:sz w:val="24"/>
          <w:szCs w:val="24"/>
        </w:rPr>
        <w:t>P</w:t>
      </w:r>
      <w:r w:rsidRPr="008B30C6">
        <w:rPr>
          <w:rFonts w:ascii="Times New Roman" w:hAnsi="Times New Roman"/>
          <w:snapToGrid/>
          <w:sz w:val="24"/>
          <w:szCs w:val="24"/>
        </w:rPr>
        <w:t>ost-</w:t>
      </w:r>
      <w:r w:rsidR="00073AF7">
        <w:rPr>
          <w:rFonts w:ascii="Times New Roman" w:hAnsi="Times New Roman"/>
          <w:snapToGrid/>
          <w:sz w:val="24"/>
          <w:szCs w:val="24"/>
        </w:rPr>
        <w:t>E</w:t>
      </w:r>
      <w:r w:rsidRPr="008B30C6">
        <w:rPr>
          <w:rFonts w:ascii="Times New Roman" w:hAnsi="Times New Roman"/>
          <w:snapToGrid/>
          <w:sz w:val="24"/>
          <w:szCs w:val="24"/>
        </w:rPr>
        <w:t>xpenditure</w:t>
      </w:r>
      <w:r w:rsidR="00073AF7">
        <w:rPr>
          <w:rFonts w:ascii="Times New Roman" w:hAnsi="Times New Roman"/>
          <w:snapToGrid/>
          <w:sz w:val="24"/>
          <w:szCs w:val="24"/>
        </w:rPr>
        <w:t xml:space="preserve"> Report</w:t>
      </w:r>
      <w:r w:rsidR="00AB2112">
        <w:rPr>
          <w:rFonts w:ascii="Times New Roman" w:hAnsi="Times New Roman"/>
          <w:snapToGrid/>
          <w:sz w:val="24"/>
          <w:szCs w:val="24"/>
        </w:rPr>
        <w:t>.</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8B30C6" w14:paraId="01CB0194" w14:textId="21802D76">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w:t>
      </w:r>
      <w:r w:rsidR="00823C59">
        <w:rPr>
          <w:rFonts w:ascii="Times New Roman" w:hAnsi="Times New Roman"/>
          <w:snapToGrid/>
          <w:sz w:val="24"/>
          <w:szCs w:val="24"/>
        </w:rPr>
        <w:t xml:space="preserve"> Post-Expenditure Report</w:t>
      </w:r>
      <w:r w:rsidRPr="008B30C6">
        <w:rPr>
          <w:rFonts w:ascii="Times New Roman" w:hAnsi="Times New Roman"/>
          <w:snapToGrid/>
          <w:sz w:val="24"/>
          <w:szCs w:val="24"/>
        </w:rPr>
        <w:t xml:space="preserve"> is the only instrument for collecting data on actual expenditures for, and recipients of, the 29 SSBG-supported service categories.</w:t>
      </w:r>
      <w:r w:rsidR="00AB2112">
        <w:rPr>
          <w:rFonts w:ascii="Times New Roman" w:hAnsi="Times New Roman"/>
          <w:snapToGrid/>
          <w:sz w:val="24"/>
          <w:szCs w:val="24"/>
        </w:rPr>
        <w:t xml:space="preserve"> SSBG grantees use the  </w:t>
      </w:r>
      <w:r w:rsidR="00B83208">
        <w:rPr>
          <w:rFonts w:ascii="Times New Roman" w:hAnsi="Times New Roman"/>
          <w:snapToGrid/>
          <w:sz w:val="24"/>
          <w:szCs w:val="24"/>
        </w:rPr>
        <w:t xml:space="preserve">Pre Expenditure form </w:t>
      </w:r>
      <w:r w:rsidR="00AB2112">
        <w:rPr>
          <w:rFonts w:ascii="Times New Roman" w:hAnsi="Times New Roman"/>
          <w:snapToGrid/>
          <w:sz w:val="24"/>
          <w:szCs w:val="24"/>
        </w:rPr>
        <w:t xml:space="preserve">to estimate SSBG expenditures at the beginning of the budget period.  Grantees and SSBG staff use the comparison between the pre and post expenditure data to </w:t>
      </w:r>
      <w:r w:rsidR="00247E38">
        <w:rPr>
          <w:rFonts w:ascii="Times New Roman" w:hAnsi="Times New Roman"/>
          <w:snapToGrid/>
          <w:sz w:val="24"/>
          <w:szCs w:val="24"/>
        </w:rPr>
        <w:t xml:space="preserve">analyze and </w:t>
      </w:r>
      <w:r w:rsidR="00AB2112">
        <w:rPr>
          <w:rFonts w:ascii="Times New Roman" w:hAnsi="Times New Roman"/>
          <w:snapToGrid/>
          <w:sz w:val="24"/>
          <w:szCs w:val="24"/>
        </w:rPr>
        <w:t>support effective planning and budget reconciliation.</w:t>
      </w:r>
      <w:r w:rsidRPr="00247E38" w:rsidR="00247E38">
        <w:t xml:space="preserve"> </w:t>
      </w:r>
    </w:p>
    <w:p w:rsidRPr="004F7B95" w:rsidR="00022586" w:rsidP="000033F0" w:rsidRDefault="00022586" w14:paraId="3A8002CC" w14:textId="77777777">
      <w:pPr>
        <w:widowControl/>
        <w:tabs>
          <w:tab w:val="num" w:pos="360"/>
        </w:tabs>
        <w:rPr>
          <w:rFonts w:ascii="Times New Roman" w:hAnsi="Times New Roman"/>
          <w:snapToGrid/>
          <w:sz w:val="24"/>
          <w:szCs w:val="24"/>
        </w:rPr>
      </w:pPr>
    </w:p>
    <w:p w:rsidRPr="004F7B95" w:rsidR="009C2DE1" w:rsidP="00073AF7"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C90AD8" w:rsidP="00022586" w:rsidRDefault="008B30C6" w14:paraId="184E8949" w14:textId="2EFDD833">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This data collection does not impact small business or other small entities.</w:t>
      </w:r>
    </w:p>
    <w:p w:rsidR="00D60543" w:rsidP="00C90AD8"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rsidRDefault="008B30C6" w14:paraId="7CACD664" w14:textId="191B6FCE">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 xml:space="preserve">States are required to submit an annual Post-Expenditure Report on the use of SSBG funds [42 U.S.C. 1397e]. </w:t>
      </w:r>
      <w:r w:rsidR="00073AF7">
        <w:rPr>
          <w:rFonts w:ascii="Times New Roman" w:hAnsi="Times New Roman"/>
          <w:snapToGrid/>
          <w:sz w:val="24"/>
          <w:szCs w:val="24"/>
        </w:rPr>
        <w:t xml:space="preserve">States may also use the Post-Expenditure Report form to provide pre-expenditure data for the required annual Intended Use Plan. </w:t>
      </w:r>
      <w:r w:rsidRPr="008B30C6">
        <w:rPr>
          <w:rFonts w:ascii="Times New Roman" w:hAnsi="Times New Roman"/>
          <w:snapToGrid/>
          <w:sz w:val="24"/>
          <w:szCs w:val="24"/>
        </w:rPr>
        <w:t>This information is critical for understanding the impact of SSBG funding and for assessing States on the two SSBG program performance measures.</w:t>
      </w:r>
    </w:p>
    <w:p w:rsidR="00D60543" w:rsidP="00022586" w:rsidRDefault="00D60543" w14:paraId="0DA9C819" w14:textId="77777777">
      <w:pPr>
        <w:widowControl/>
        <w:tabs>
          <w:tab w:val="num" w:pos="360"/>
        </w:tabs>
        <w:ind w:left="360"/>
        <w:rPr>
          <w:rFonts w:ascii="Times New Roman" w:hAnsi="Times New Roman"/>
          <w:snapToGrid/>
          <w:sz w:val="24"/>
          <w:szCs w:val="24"/>
        </w:rPr>
      </w:pPr>
    </w:p>
    <w:p w:rsidRPr="004F7B95" w:rsidR="00DE529D" w:rsidP="000033F0" w:rsidRDefault="00DE529D" w14:paraId="2744D4F5" w14:textId="77777777">
      <w:pPr>
        <w:widowControl/>
        <w:tabs>
          <w:tab w:val="num" w:pos="360"/>
        </w:tabs>
        <w:rPr>
          <w:rFonts w:ascii="Times New Roman" w:hAnsi="Times New Roman"/>
          <w:snapToGrid/>
          <w:sz w:val="24"/>
          <w:szCs w:val="24"/>
        </w:rPr>
      </w:pPr>
    </w:p>
    <w:p w:rsidRPr="008B30C6" w:rsidR="008B30C6" w:rsidP="005765EF" w:rsidRDefault="002C3C4F" w14:paraId="19F997D2" w14:textId="0A0DCF52">
      <w:pPr>
        <w:widowControl/>
        <w:numPr>
          <w:ilvl w:val="0"/>
          <w:numId w:val="3"/>
        </w:numPr>
        <w:spacing w:after="120"/>
        <w:rPr>
          <w:rFonts w:ascii="Times New Roman" w:hAnsi="Times New Roman"/>
          <w:snapToGrid/>
          <w:sz w:val="24"/>
          <w:szCs w:val="24"/>
        </w:rPr>
      </w:pPr>
      <w:r w:rsidRPr="00075889">
        <w:rPr>
          <w:rFonts w:ascii="Times New Roman" w:hAnsi="Times New Roman"/>
          <w:b/>
          <w:snapToGrid/>
          <w:sz w:val="24"/>
          <w:szCs w:val="24"/>
        </w:rPr>
        <w:t xml:space="preserve">Special Circumstances Relating to the Guidelines of 5 CFR 1320.5 </w:t>
      </w:r>
    </w:p>
    <w:p w:rsidR="008B30C6" w:rsidP="008B30C6" w:rsidRDefault="00FE7BE3" w14:paraId="17420379" w14:textId="4208D8F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There are no special circumstances for the </w:t>
      </w:r>
      <w:r w:rsidR="00756878">
        <w:rPr>
          <w:rFonts w:ascii="Times New Roman" w:hAnsi="Times New Roman"/>
          <w:snapToGrid/>
          <w:sz w:val="24"/>
          <w:szCs w:val="24"/>
        </w:rPr>
        <w:t>Pre-Expenditure</w:t>
      </w:r>
      <w:r w:rsidR="005557D5">
        <w:rPr>
          <w:rFonts w:ascii="Times New Roman" w:hAnsi="Times New Roman"/>
          <w:snapToGrid/>
          <w:sz w:val="24"/>
          <w:szCs w:val="24"/>
        </w:rPr>
        <w:t xml:space="preserve"> information</w:t>
      </w:r>
      <w:r w:rsidR="00756878">
        <w:rPr>
          <w:rFonts w:ascii="Times New Roman" w:hAnsi="Times New Roman"/>
          <w:snapToGrid/>
          <w:sz w:val="24"/>
          <w:szCs w:val="24"/>
        </w:rPr>
        <w:t xml:space="preserve">, Intended Use Plan and </w:t>
      </w:r>
      <w:r>
        <w:rPr>
          <w:rFonts w:ascii="Times New Roman" w:hAnsi="Times New Roman"/>
          <w:snapToGrid/>
          <w:sz w:val="24"/>
          <w:szCs w:val="24"/>
        </w:rPr>
        <w:t>Post-Expenditure Report.</w:t>
      </w:r>
    </w:p>
    <w:p w:rsidRPr="008B30C6" w:rsidR="00FE7BE3" w:rsidP="008B30C6" w:rsidRDefault="00FE7BE3" w14:paraId="25897ED0" w14:textId="77777777">
      <w:pPr>
        <w:widowControl/>
        <w:tabs>
          <w:tab w:val="num" w:pos="360"/>
        </w:tabs>
        <w:ind w:left="360"/>
        <w:rPr>
          <w:rFonts w:ascii="Times New Roman" w:hAnsi="Times New Roman"/>
          <w:snapToGrid/>
          <w:sz w:val="24"/>
          <w:szCs w:val="24"/>
        </w:rPr>
      </w:pPr>
    </w:p>
    <w:p w:rsidRPr="004F7B95" w:rsidR="00DE529D" w:rsidP="000033F0" w:rsidRDefault="00DE529D" w14:paraId="2CFEBB22"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73AF7" w:rsidP="009473D1" w:rsidRDefault="0084609A" w14:paraId="6393D262" w14:textId="47CBAAA9">
      <w:pPr>
        <w:tabs>
          <w:tab w:val="num" w:pos="360"/>
        </w:tabs>
        <w:ind w:left="450"/>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5557D5">
        <w:rPr>
          <w:rFonts w:ascii="Times New Roman" w:hAnsi="Times New Roman"/>
          <w:sz w:val="24"/>
          <w:szCs w:val="24"/>
        </w:rPr>
        <w:t>December 9</w:t>
      </w:r>
      <w:r w:rsidRPr="0021151C" w:rsidR="00040EAE">
        <w:rPr>
          <w:rFonts w:ascii="Times New Roman" w:hAnsi="Times New Roman"/>
          <w:sz w:val="24"/>
          <w:szCs w:val="24"/>
        </w:rPr>
        <w:t>, 2020</w:t>
      </w:r>
      <w:r w:rsidRPr="0021151C">
        <w:rPr>
          <w:rFonts w:ascii="Times New Roman" w:hAnsi="Times New Roman"/>
          <w:sz w:val="24"/>
          <w:szCs w:val="24"/>
        </w:rPr>
        <w:t xml:space="preserve">, Volume </w:t>
      </w:r>
      <w:r w:rsidRPr="0021151C" w:rsidR="00040EAE">
        <w:rPr>
          <w:rFonts w:ascii="Times New Roman" w:hAnsi="Times New Roman"/>
          <w:sz w:val="24"/>
          <w:szCs w:val="24"/>
        </w:rPr>
        <w:t xml:space="preserve">85, Number </w:t>
      </w:r>
      <w:r w:rsidR="005557D5">
        <w:rPr>
          <w:rFonts w:ascii="Times New Roman" w:hAnsi="Times New Roman"/>
          <w:sz w:val="24"/>
          <w:szCs w:val="24"/>
        </w:rPr>
        <w:t>237</w:t>
      </w:r>
      <w:r w:rsidRPr="0021151C">
        <w:rPr>
          <w:rFonts w:ascii="Times New Roman" w:hAnsi="Times New Roman"/>
          <w:sz w:val="24"/>
          <w:szCs w:val="24"/>
        </w:rPr>
        <w:t xml:space="preserve">, page </w:t>
      </w:r>
      <w:r w:rsidR="005557D5">
        <w:rPr>
          <w:rFonts w:ascii="Times New Roman" w:hAnsi="Times New Roman"/>
          <w:sz w:val="24"/>
          <w:szCs w:val="24"/>
        </w:rPr>
        <w:t>79185</w:t>
      </w:r>
      <w:r w:rsidRPr="0021151C">
        <w:rPr>
          <w:rFonts w:ascii="Times New Roman" w:hAnsi="Times New Roman"/>
          <w:sz w:val="24"/>
          <w:szCs w:val="24"/>
        </w:rPr>
        <w:t>, and provided a sixty-day period for public comment.</w:t>
      </w:r>
      <w:r w:rsidR="009473D1">
        <w:rPr>
          <w:rFonts w:ascii="Times New Roman" w:hAnsi="Times New Roman"/>
          <w:sz w:val="24"/>
          <w:szCs w:val="24"/>
        </w:rPr>
        <w:t xml:space="preserve"> During the comment period, </w:t>
      </w:r>
      <w:r w:rsidR="00787B2B">
        <w:rPr>
          <w:rFonts w:ascii="Times New Roman" w:hAnsi="Times New Roman"/>
          <w:sz w:val="24"/>
          <w:szCs w:val="24"/>
        </w:rPr>
        <w:t>no comments were received.</w:t>
      </w:r>
      <w:bookmarkStart w:name="_GoBack" w:id="0"/>
      <w:bookmarkEnd w:id="0"/>
      <w:r w:rsidRPr="0021151C">
        <w:rPr>
          <w:rFonts w:ascii="Times New Roman" w:hAnsi="Times New Roman"/>
          <w:sz w:val="24"/>
          <w:szCs w:val="24"/>
        </w:rPr>
        <w:t xml:space="preserve">  </w:t>
      </w:r>
      <w:r w:rsidR="002F1064">
        <w:rPr>
          <w:rFonts w:ascii="Times New Roman" w:hAnsi="Times New Roman"/>
          <w:sz w:val="24"/>
          <w:szCs w:val="24"/>
        </w:rPr>
        <w:t xml:space="preserve"> </w:t>
      </w:r>
      <w:r w:rsidR="0022529F">
        <w:rPr>
          <w:rFonts w:ascii="Times New Roman" w:hAnsi="Times New Roman"/>
          <w:sz w:val="24"/>
          <w:szCs w:val="24"/>
        </w:rPr>
        <w:t xml:space="preserve">  </w:t>
      </w:r>
    </w:p>
    <w:p w:rsidR="00022586" w:rsidP="00022586" w:rsidRDefault="00022586" w14:paraId="2EDB417E" w14:textId="643F6BEE">
      <w:pPr>
        <w:widowControl/>
        <w:tabs>
          <w:tab w:val="num" w:pos="360"/>
        </w:tabs>
        <w:ind w:left="360"/>
        <w:rPr>
          <w:rFonts w:ascii="Times New Roman" w:hAnsi="Times New Roman"/>
          <w:snapToGrid/>
          <w:sz w:val="24"/>
          <w:szCs w:val="24"/>
        </w:rPr>
      </w:pPr>
    </w:p>
    <w:p w:rsidRPr="004F7B95" w:rsidR="00DE04E5" w:rsidP="00022586" w:rsidRDefault="00DE04E5" w14:paraId="701C7B33"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387DD3" w14:paraId="58AEE861" w14:textId="04719B64">
      <w:pPr>
        <w:widowControl/>
        <w:tabs>
          <w:tab w:val="num" w:pos="360"/>
        </w:tabs>
        <w:ind w:left="360"/>
        <w:rPr>
          <w:rFonts w:ascii="Times New Roman" w:hAnsi="Times New Roman"/>
          <w:snapToGrid/>
          <w:sz w:val="24"/>
          <w:szCs w:val="24"/>
        </w:rPr>
      </w:pPr>
      <w:r w:rsidRPr="00387DD3">
        <w:rPr>
          <w:rFonts w:ascii="Times New Roman" w:hAnsi="Times New Roman"/>
          <w:snapToGrid/>
          <w:sz w:val="24"/>
          <w:szCs w:val="24"/>
        </w:rPr>
        <w:t>No payment or gift will be provided to respondents.</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DE04E5" w:rsidRDefault="002C3C4F" w14:paraId="4874FACA"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387DD3" w:rsidRDefault="00387DD3" w14:paraId="2748236F" w14:textId="18E13B13">
      <w:pPr>
        <w:widowControl/>
        <w:tabs>
          <w:tab w:val="num" w:pos="360"/>
        </w:tabs>
        <w:ind w:left="360"/>
        <w:rPr>
          <w:rFonts w:ascii="Times New Roman" w:hAnsi="Times New Roman"/>
          <w:snapToGrid/>
          <w:sz w:val="24"/>
          <w:szCs w:val="24"/>
        </w:rPr>
      </w:pPr>
      <w:r w:rsidRPr="00387DD3">
        <w:rPr>
          <w:rFonts w:ascii="Times New Roman" w:hAnsi="Times New Roman"/>
          <w:snapToGrid/>
          <w:sz w:val="24"/>
          <w:szCs w:val="24"/>
        </w:rPr>
        <w:t>No assurance of confidentiality will be provided to respondents. All reported expenditure data are from State public financial records and all recipient data are aggregate counts, not individual case-level data. No pe</w:t>
      </w:r>
      <w:r>
        <w:rPr>
          <w:rFonts w:ascii="Times New Roman" w:hAnsi="Times New Roman"/>
          <w:snapToGrid/>
          <w:sz w:val="24"/>
          <w:szCs w:val="24"/>
        </w:rPr>
        <w:t>rsonal identifiers will be collected. IRB review is not required for data reporting.</w:t>
      </w:r>
    </w:p>
    <w:p w:rsidR="00D60543" w:rsidP="00DE529D" w:rsidRDefault="00D60543" w14:paraId="1C82E036" w14:textId="453D8BDF">
      <w:pPr>
        <w:widowControl/>
        <w:tabs>
          <w:tab w:val="num" w:pos="360"/>
        </w:tabs>
        <w:ind w:left="360"/>
        <w:rPr>
          <w:rFonts w:ascii="Times New Roman" w:hAnsi="Times New Roman"/>
          <w:snapToGrid/>
          <w:sz w:val="24"/>
          <w:szCs w:val="24"/>
        </w:rPr>
      </w:pPr>
    </w:p>
    <w:p w:rsidRPr="004F7B95" w:rsidR="00DE04E5" w:rsidP="00DE529D" w:rsidRDefault="00DE04E5" w14:paraId="652BCC17" w14:textId="77777777">
      <w:pPr>
        <w:widowControl/>
        <w:tabs>
          <w:tab w:val="num" w:pos="360"/>
        </w:tabs>
        <w:ind w:left="360"/>
        <w:rPr>
          <w:rFonts w:ascii="Times New Roman" w:hAnsi="Times New Roman"/>
          <w:snapToGrid/>
          <w:sz w:val="24"/>
          <w:szCs w:val="24"/>
        </w:rPr>
      </w:pPr>
    </w:p>
    <w:p w:rsidRPr="00075889" w:rsidR="002C3C4F" w:rsidP="00DE04E5" w:rsidRDefault="002C3C4F" w14:paraId="63E02878"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075D90" w:rsidRDefault="002D1D4A" w14:paraId="597B7A37" w14:textId="1120CE3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information collection does not include </w:t>
      </w:r>
      <w:r w:rsidRPr="00387DD3" w:rsidR="00387DD3">
        <w:rPr>
          <w:rFonts w:ascii="Times New Roman" w:hAnsi="Times New Roman"/>
          <w:snapToGrid/>
          <w:sz w:val="24"/>
          <w:szCs w:val="24"/>
        </w:rPr>
        <w:t xml:space="preserve">questions of a sensitive nature. </w:t>
      </w:r>
    </w:p>
    <w:p w:rsidR="00DE529D" w:rsidP="0051278C" w:rsidRDefault="00DE529D" w14:paraId="710C7355" w14:textId="13617CF1">
      <w:pPr>
        <w:widowControl/>
        <w:tabs>
          <w:tab w:val="num" w:pos="360"/>
        </w:tabs>
        <w:ind w:left="720" w:hanging="360"/>
        <w:rPr>
          <w:rFonts w:ascii="Times New Roman" w:hAnsi="Times New Roman"/>
          <w:snapToGrid/>
          <w:sz w:val="24"/>
          <w:szCs w:val="24"/>
        </w:rPr>
      </w:pPr>
    </w:p>
    <w:p w:rsidR="00DE04E5" w:rsidP="0051278C" w:rsidRDefault="00DE04E5" w14:paraId="1E02E4E5" w14:textId="321F4EA9">
      <w:pPr>
        <w:widowControl/>
        <w:tabs>
          <w:tab w:val="num" w:pos="360"/>
        </w:tabs>
        <w:ind w:left="720" w:hanging="360"/>
        <w:rPr>
          <w:rFonts w:ascii="Times New Roman" w:hAnsi="Times New Roman"/>
          <w:snapToGrid/>
          <w:sz w:val="24"/>
          <w:szCs w:val="24"/>
        </w:rPr>
      </w:pPr>
    </w:p>
    <w:p w:rsidR="00DE04E5" w:rsidP="0051278C" w:rsidRDefault="00DE04E5" w14:paraId="76197B10" w14:textId="521806C7">
      <w:pPr>
        <w:widowControl/>
        <w:tabs>
          <w:tab w:val="num" w:pos="360"/>
        </w:tabs>
        <w:ind w:left="720" w:hanging="360"/>
        <w:rPr>
          <w:rFonts w:ascii="Times New Roman" w:hAnsi="Times New Roman"/>
          <w:snapToGrid/>
          <w:sz w:val="24"/>
          <w:szCs w:val="24"/>
        </w:rPr>
      </w:pPr>
    </w:p>
    <w:p w:rsidRPr="004F7B95" w:rsidR="00DE04E5" w:rsidP="0051278C" w:rsidRDefault="00DE04E5" w14:paraId="7EC8F1A8"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55"/>
        <w:gridCol w:w="1260"/>
        <w:gridCol w:w="1350"/>
        <w:gridCol w:w="1080"/>
        <w:gridCol w:w="900"/>
        <w:gridCol w:w="900"/>
        <w:gridCol w:w="1222"/>
        <w:gridCol w:w="1219"/>
      </w:tblGrid>
      <w:tr w:rsidRPr="004F7B95" w:rsidR="0034368C" w:rsidTr="00DE04E5" w14:paraId="230FE56D" w14:textId="77777777">
        <w:trPr>
          <w:jc w:val="center"/>
        </w:trPr>
        <w:tc>
          <w:tcPr>
            <w:tcW w:w="2155" w:type="dxa"/>
            <w:shd w:val="clear" w:color="auto" w:fill="BFBFBF"/>
            <w:vAlign w:val="center"/>
          </w:tcPr>
          <w:p w:rsidRPr="00405C10" w:rsidR="00957799" w:rsidP="003B48F8"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vAlign w:val="center"/>
          </w:tcPr>
          <w:p w:rsidRPr="00405C10" w:rsidR="00957799" w:rsidP="003B48F8"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Pr="00405C10" w:rsidR="00957799" w:rsidP="003B48F8"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80" w:type="dxa"/>
            <w:shd w:val="clear" w:color="auto" w:fill="BFBFBF"/>
            <w:vAlign w:val="center"/>
          </w:tcPr>
          <w:p w:rsidRPr="00405C10" w:rsidR="00957799" w:rsidP="003B48F8"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Pr="00405C10" w:rsidR="00957799" w:rsidP="003B48F8"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vAlign w:val="center"/>
          </w:tcPr>
          <w:p w:rsidRPr="00405C10" w:rsidR="00957799" w:rsidP="003B48F8"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22" w:type="dxa"/>
            <w:shd w:val="clear" w:color="auto" w:fill="BFBFBF"/>
            <w:vAlign w:val="center"/>
          </w:tcPr>
          <w:p w:rsidRPr="00405C10" w:rsidR="00957799" w:rsidP="003B48F8"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19" w:type="dxa"/>
            <w:shd w:val="clear" w:color="auto" w:fill="BFBFBF"/>
            <w:vAlign w:val="center"/>
          </w:tcPr>
          <w:p w:rsidRPr="00405C10" w:rsidR="00957799" w:rsidP="003B48F8"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C23CF6" w:rsidTr="00DE04E5" w14:paraId="23FE2005" w14:textId="77777777">
        <w:trPr>
          <w:trHeight w:val="432"/>
          <w:jc w:val="center"/>
        </w:trPr>
        <w:tc>
          <w:tcPr>
            <w:tcW w:w="2155" w:type="dxa"/>
          </w:tcPr>
          <w:p w:rsidRPr="005557D5" w:rsidR="00C23CF6" w:rsidP="00C23CF6" w:rsidRDefault="00C23CF6" w14:paraId="7CEE31B3" w14:textId="4FC61D5B">
            <w:pPr>
              <w:tabs>
                <w:tab w:val="center" w:pos="4320"/>
                <w:tab w:val="right" w:pos="8640"/>
              </w:tabs>
              <w:jc w:val="center"/>
              <w:rPr>
                <w:rFonts w:ascii="Times New Roman" w:hAnsi="Times New Roman"/>
                <w:szCs w:val="24"/>
              </w:rPr>
            </w:pPr>
            <w:r w:rsidRPr="008A7A73">
              <w:rPr>
                <w:rFonts w:ascii="Times New Roman" w:hAnsi="Times New Roman"/>
              </w:rPr>
              <w:t>Pre-Expenditure Report Form</w:t>
            </w:r>
          </w:p>
        </w:tc>
        <w:tc>
          <w:tcPr>
            <w:tcW w:w="1260" w:type="dxa"/>
            <w:vAlign w:val="center"/>
          </w:tcPr>
          <w:p w:rsidRPr="005557D5" w:rsidR="00C23CF6" w:rsidP="005557D5" w:rsidRDefault="00C23CF6" w14:paraId="58F5A76C" w14:textId="2A149EFD">
            <w:pPr>
              <w:tabs>
                <w:tab w:val="center" w:pos="4320"/>
                <w:tab w:val="right" w:pos="8640"/>
              </w:tabs>
              <w:jc w:val="center"/>
              <w:rPr>
                <w:rFonts w:ascii="Times New Roman" w:hAnsi="Times New Roman"/>
                <w:szCs w:val="24"/>
              </w:rPr>
            </w:pPr>
            <w:r w:rsidRPr="008A7A73">
              <w:rPr>
                <w:rFonts w:ascii="Times New Roman" w:hAnsi="Times New Roman"/>
              </w:rPr>
              <w:t>56</w:t>
            </w:r>
          </w:p>
        </w:tc>
        <w:tc>
          <w:tcPr>
            <w:tcW w:w="1350" w:type="dxa"/>
            <w:vAlign w:val="center"/>
          </w:tcPr>
          <w:p w:rsidRPr="005557D5" w:rsidR="00C23CF6" w:rsidP="005557D5" w:rsidRDefault="00C23CF6" w14:paraId="6324BCC3" w14:textId="742410DF">
            <w:pPr>
              <w:tabs>
                <w:tab w:val="center" w:pos="4320"/>
                <w:tab w:val="right" w:pos="8640"/>
              </w:tabs>
              <w:jc w:val="center"/>
              <w:rPr>
                <w:rFonts w:ascii="Times New Roman" w:hAnsi="Times New Roman"/>
                <w:szCs w:val="24"/>
              </w:rPr>
            </w:pPr>
            <w:r w:rsidRPr="008A7A73">
              <w:rPr>
                <w:rFonts w:ascii="Times New Roman" w:hAnsi="Times New Roman"/>
              </w:rPr>
              <w:t>3</w:t>
            </w:r>
          </w:p>
        </w:tc>
        <w:tc>
          <w:tcPr>
            <w:tcW w:w="1080" w:type="dxa"/>
            <w:vAlign w:val="center"/>
          </w:tcPr>
          <w:p w:rsidRPr="005557D5" w:rsidR="00C23CF6" w:rsidP="005557D5" w:rsidRDefault="00C23CF6" w14:paraId="136A7F93" w14:textId="26A8275C">
            <w:pPr>
              <w:tabs>
                <w:tab w:val="center" w:pos="4320"/>
                <w:tab w:val="right" w:pos="8640"/>
              </w:tabs>
              <w:jc w:val="center"/>
              <w:rPr>
                <w:rFonts w:ascii="Times New Roman" w:hAnsi="Times New Roman"/>
                <w:szCs w:val="24"/>
              </w:rPr>
            </w:pPr>
            <w:r w:rsidRPr="008A7A73">
              <w:rPr>
                <w:rFonts w:ascii="Times New Roman" w:hAnsi="Times New Roman"/>
              </w:rPr>
              <w:t>2</w:t>
            </w:r>
          </w:p>
        </w:tc>
        <w:tc>
          <w:tcPr>
            <w:tcW w:w="900" w:type="dxa"/>
            <w:vAlign w:val="center"/>
          </w:tcPr>
          <w:p w:rsidRPr="005557D5" w:rsidR="00C23CF6" w:rsidP="005557D5" w:rsidRDefault="00C23CF6" w14:paraId="77ACF21B" w14:textId="1BFAC113">
            <w:pPr>
              <w:tabs>
                <w:tab w:val="center" w:pos="4320"/>
                <w:tab w:val="right" w:pos="8640"/>
              </w:tabs>
              <w:jc w:val="center"/>
              <w:rPr>
                <w:rFonts w:ascii="Times New Roman" w:hAnsi="Times New Roman"/>
                <w:szCs w:val="24"/>
              </w:rPr>
            </w:pPr>
            <w:r w:rsidRPr="008A7A73">
              <w:rPr>
                <w:rFonts w:ascii="Times New Roman" w:hAnsi="Times New Roman"/>
              </w:rPr>
              <w:t>336</w:t>
            </w:r>
          </w:p>
        </w:tc>
        <w:tc>
          <w:tcPr>
            <w:tcW w:w="900" w:type="dxa"/>
            <w:vAlign w:val="center"/>
          </w:tcPr>
          <w:p w:rsidRPr="005557D5" w:rsidR="00C23CF6" w:rsidP="005557D5" w:rsidRDefault="00C23CF6" w14:paraId="40D0EF7E" w14:textId="7DCDC8C5">
            <w:pPr>
              <w:tabs>
                <w:tab w:val="center" w:pos="4320"/>
                <w:tab w:val="right" w:pos="8640"/>
              </w:tabs>
              <w:jc w:val="center"/>
              <w:rPr>
                <w:rFonts w:ascii="Times New Roman" w:hAnsi="Times New Roman"/>
                <w:szCs w:val="24"/>
              </w:rPr>
            </w:pPr>
            <w:r w:rsidRPr="008A7A73">
              <w:rPr>
                <w:rFonts w:ascii="Times New Roman" w:hAnsi="Times New Roman"/>
              </w:rPr>
              <w:t>112</w:t>
            </w:r>
          </w:p>
        </w:tc>
        <w:tc>
          <w:tcPr>
            <w:tcW w:w="1222" w:type="dxa"/>
            <w:vAlign w:val="center"/>
          </w:tcPr>
          <w:p w:rsidRPr="005557D5" w:rsidR="00C23CF6" w:rsidP="005557D5" w:rsidRDefault="00C23CF6" w14:paraId="2A808E04" w14:textId="5A9C29B9">
            <w:pPr>
              <w:tabs>
                <w:tab w:val="center" w:pos="4320"/>
                <w:tab w:val="right" w:pos="8640"/>
              </w:tabs>
              <w:jc w:val="center"/>
              <w:rPr>
                <w:rFonts w:ascii="Times New Roman" w:hAnsi="Times New Roman"/>
                <w:szCs w:val="24"/>
              </w:rPr>
            </w:pPr>
            <w:r w:rsidRPr="008A7A73">
              <w:rPr>
                <w:rFonts w:ascii="Times New Roman" w:hAnsi="Times New Roman"/>
              </w:rPr>
              <w:t>$62.45</w:t>
            </w:r>
          </w:p>
        </w:tc>
        <w:tc>
          <w:tcPr>
            <w:tcW w:w="1219" w:type="dxa"/>
            <w:vAlign w:val="center"/>
          </w:tcPr>
          <w:p w:rsidRPr="005557D5" w:rsidR="00C23CF6" w:rsidP="005557D5" w:rsidRDefault="00C23CF6" w14:paraId="20D4EFBE" w14:textId="33F9774C">
            <w:pPr>
              <w:tabs>
                <w:tab w:val="center" w:pos="4320"/>
                <w:tab w:val="right" w:pos="8640"/>
              </w:tabs>
              <w:jc w:val="center"/>
              <w:rPr>
                <w:rFonts w:ascii="Times New Roman" w:hAnsi="Times New Roman"/>
                <w:szCs w:val="24"/>
              </w:rPr>
            </w:pPr>
            <w:r w:rsidRPr="008A7A73">
              <w:rPr>
                <w:rFonts w:ascii="Times New Roman" w:hAnsi="Times New Roman"/>
              </w:rPr>
              <w:t>$6,994.40</w:t>
            </w:r>
          </w:p>
        </w:tc>
      </w:tr>
      <w:tr w:rsidRPr="004F7B95" w:rsidR="00C23CF6" w:rsidTr="00DE04E5" w14:paraId="4DC660FC" w14:textId="77777777">
        <w:trPr>
          <w:trHeight w:val="432"/>
          <w:jc w:val="center"/>
        </w:trPr>
        <w:tc>
          <w:tcPr>
            <w:tcW w:w="2155" w:type="dxa"/>
            <w:vAlign w:val="center"/>
          </w:tcPr>
          <w:p w:rsidRPr="005557D5" w:rsidR="00C23CF6" w:rsidP="003B48F8" w:rsidRDefault="00C23CF6" w14:paraId="1D32EF85" w14:textId="7934F4F0">
            <w:pPr>
              <w:tabs>
                <w:tab w:val="center" w:pos="4320"/>
                <w:tab w:val="right" w:pos="8640"/>
              </w:tabs>
              <w:jc w:val="center"/>
              <w:rPr>
                <w:rFonts w:ascii="Times New Roman" w:hAnsi="Times New Roman"/>
                <w:szCs w:val="24"/>
              </w:rPr>
            </w:pPr>
            <w:r w:rsidRPr="005557D5">
              <w:rPr>
                <w:rFonts w:ascii="Times New Roman" w:hAnsi="Times New Roman"/>
                <w:szCs w:val="24"/>
              </w:rPr>
              <w:t>Intended Use Plan</w:t>
            </w:r>
          </w:p>
        </w:tc>
        <w:tc>
          <w:tcPr>
            <w:tcW w:w="1260" w:type="dxa"/>
            <w:vAlign w:val="center"/>
          </w:tcPr>
          <w:p w:rsidRPr="005557D5" w:rsidR="00C23CF6" w:rsidP="005557D5" w:rsidRDefault="00F34357" w14:paraId="461B886C" w14:textId="09A5A733">
            <w:pPr>
              <w:tabs>
                <w:tab w:val="center" w:pos="4320"/>
                <w:tab w:val="right" w:pos="8640"/>
              </w:tabs>
              <w:jc w:val="center"/>
              <w:rPr>
                <w:rFonts w:ascii="Times New Roman" w:hAnsi="Times New Roman"/>
                <w:szCs w:val="24"/>
              </w:rPr>
            </w:pPr>
            <w:r w:rsidRPr="005557D5">
              <w:rPr>
                <w:rFonts w:ascii="Times New Roman" w:hAnsi="Times New Roman"/>
                <w:szCs w:val="24"/>
              </w:rPr>
              <w:t>56</w:t>
            </w:r>
          </w:p>
        </w:tc>
        <w:tc>
          <w:tcPr>
            <w:tcW w:w="1350" w:type="dxa"/>
            <w:vAlign w:val="center"/>
          </w:tcPr>
          <w:p w:rsidRPr="005557D5" w:rsidR="00C23CF6" w:rsidP="005557D5" w:rsidRDefault="00F34357" w14:paraId="294D7F89" w14:textId="5DD0355F">
            <w:pPr>
              <w:tabs>
                <w:tab w:val="center" w:pos="4320"/>
                <w:tab w:val="right" w:pos="8640"/>
              </w:tabs>
              <w:jc w:val="center"/>
              <w:rPr>
                <w:rFonts w:ascii="Times New Roman" w:hAnsi="Times New Roman"/>
                <w:szCs w:val="24"/>
              </w:rPr>
            </w:pPr>
            <w:r w:rsidRPr="005557D5">
              <w:rPr>
                <w:rFonts w:ascii="Times New Roman" w:hAnsi="Times New Roman"/>
                <w:szCs w:val="24"/>
              </w:rPr>
              <w:t>3</w:t>
            </w:r>
          </w:p>
        </w:tc>
        <w:tc>
          <w:tcPr>
            <w:tcW w:w="1080" w:type="dxa"/>
            <w:vAlign w:val="center"/>
          </w:tcPr>
          <w:p w:rsidRPr="005557D5" w:rsidR="00C23CF6" w:rsidP="005557D5" w:rsidRDefault="00F34357" w14:paraId="1D227E9E" w14:textId="3FC46440">
            <w:pPr>
              <w:tabs>
                <w:tab w:val="center" w:pos="4320"/>
                <w:tab w:val="right" w:pos="8640"/>
              </w:tabs>
              <w:jc w:val="center"/>
              <w:rPr>
                <w:rFonts w:ascii="Times New Roman" w:hAnsi="Times New Roman"/>
                <w:szCs w:val="24"/>
              </w:rPr>
            </w:pPr>
            <w:r w:rsidRPr="005557D5">
              <w:rPr>
                <w:rFonts w:ascii="Times New Roman" w:hAnsi="Times New Roman"/>
                <w:szCs w:val="24"/>
              </w:rPr>
              <w:t>40</w:t>
            </w:r>
          </w:p>
        </w:tc>
        <w:tc>
          <w:tcPr>
            <w:tcW w:w="900" w:type="dxa"/>
            <w:vAlign w:val="center"/>
          </w:tcPr>
          <w:p w:rsidRPr="005557D5" w:rsidR="00C23CF6" w:rsidP="002D1D4A" w:rsidRDefault="00F34357" w14:paraId="4F6030B0" w14:textId="32938153">
            <w:pPr>
              <w:tabs>
                <w:tab w:val="center" w:pos="4320"/>
                <w:tab w:val="right" w:pos="8640"/>
              </w:tabs>
              <w:jc w:val="center"/>
              <w:rPr>
                <w:rFonts w:ascii="Times New Roman" w:hAnsi="Times New Roman"/>
                <w:szCs w:val="24"/>
              </w:rPr>
            </w:pPr>
            <w:r w:rsidRPr="005557D5">
              <w:rPr>
                <w:rFonts w:ascii="Times New Roman" w:hAnsi="Times New Roman"/>
                <w:szCs w:val="24"/>
              </w:rPr>
              <w:t>6,720</w:t>
            </w:r>
          </w:p>
        </w:tc>
        <w:tc>
          <w:tcPr>
            <w:tcW w:w="900" w:type="dxa"/>
            <w:vAlign w:val="center"/>
          </w:tcPr>
          <w:p w:rsidRPr="002D1D4A" w:rsidR="00C23CF6" w:rsidP="002D1D4A" w:rsidRDefault="00F34357" w14:paraId="3838C01B" w14:textId="588529E2">
            <w:pPr>
              <w:tabs>
                <w:tab w:val="center" w:pos="4320"/>
                <w:tab w:val="right" w:pos="8640"/>
              </w:tabs>
              <w:jc w:val="center"/>
              <w:rPr>
                <w:rFonts w:ascii="Times New Roman" w:hAnsi="Times New Roman"/>
                <w:szCs w:val="24"/>
              </w:rPr>
            </w:pPr>
            <w:r w:rsidRPr="002D1D4A">
              <w:rPr>
                <w:rFonts w:ascii="Times New Roman" w:hAnsi="Times New Roman"/>
                <w:szCs w:val="24"/>
              </w:rPr>
              <w:t>2,240</w:t>
            </w:r>
          </w:p>
        </w:tc>
        <w:tc>
          <w:tcPr>
            <w:tcW w:w="1222" w:type="dxa"/>
            <w:vAlign w:val="center"/>
          </w:tcPr>
          <w:p w:rsidRPr="002D1D4A" w:rsidR="00C23CF6" w:rsidP="002D1D4A" w:rsidRDefault="00F34357" w14:paraId="742EA26C" w14:textId="5C554E36">
            <w:pPr>
              <w:tabs>
                <w:tab w:val="center" w:pos="4320"/>
                <w:tab w:val="right" w:pos="8640"/>
              </w:tabs>
              <w:jc w:val="center"/>
              <w:rPr>
                <w:rFonts w:ascii="Times New Roman" w:hAnsi="Times New Roman"/>
                <w:szCs w:val="24"/>
              </w:rPr>
            </w:pPr>
            <w:r w:rsidRPr="002D1D4A">
              <w:rPr>
                <w:rFonts w:ascii="Times New Roman" w:hAnsi="Times New Roman"/>
                <w:szCs w:val="24"/>
              </w:rPr>
              <w:t>$62.45</w:t>
            </w:r>
          </w:p>
        </w:tc>
        <w:tc>
          <w:tcPr>
            <w:tcW w:w="1219" w:type="dxa"/>
            <w:vAlign w:val="center"/>
          </w:tcPr>
          <w:p w:rsidRPr="005557D5" w:rsidR="00C23CF6" w:rsidRDefault="00F34357" w14:paraId="3C1A088A" w14:textId="04B99E0E">
            <w:pPr>
              <w:tabs>
                <w:tab w:val="center" w:pos="4320"/>
                <w:tab w:val="right" w:pos="8640"/>
              </w:tabs>
              <w:jc w:val="center"/>
              <w:rPr>
                <w:rFonts w:ascii="Times New Roman" w:hAnsi="Times New Roman"/>
                <w:szCs w:val="24"/>
              </w:rPr>
            </w:pPr>
            <w:r w:rsidRPr="005557D5">
              <w:rPr>
                <w:rFonts w:ascii="Times New Roman" w:hAnsi="Times New Roman"/>
                <w:szCs w:val="24"/>
              </w:rPr>
              <w:t>$139,888.00</w:t>
            </w:r>
          </w:p>
        </w:tc>
      </w:tr>
      <w:tr w:rsidRPr="004F7B95" w:rsidR="0034368C" w:rsidTr="00DE04E5" w14:paraId="5140B154" w14:textId="77777777">
        <w:trPr>
          <w:trHeight w:val="432"/>
          <w:jc w:val="center"/>
        </w:trPr>
        <w:tc>
          <w:tcPr>
            <w:tcW w:w="2155" w:type="dxa"/>
            <w:vAlign w:val="center"/>
          </w:tcPr>
          <w:p w:rsidRPr="005557D5" w:rsidR="00957799" w:rsidP="003B48F8" w:rsidRDefault="004C7103" w14:paraId="33E13E32" w14:textId="38ADC2A2">
            <w:pPr>
              <w:tabs>
                <w:tab w:val="center" w:pos="4320"/>
                <w:tab w:val="right" w:pos="8640"/>
              </w:tabs>
              <w:jc w:val="center"/>
              <w:rPr>
                <w:rFonts w:ascii="Times New Roman" w:hAnsi="Times New Roman"/>
                <w:szCs w:val="24"/>
              </w:rPr>
            </w:pPr>
            <w:r w:rsidRPr="005557D5">
              <w:rPr>
                <w:rFonts w:ascii="Times New Roman" w:hAnsi="Times New Roman"/>
                <w:szCs w:val="24"/>
              </w:rPr>
              <w:t>Post</w:t>
            </w:r>
            <w:r w:rsidRPr="005557D5" w:rsidR="00FE7BE3">
              <w:rPr>
                <w:rFonts w:ascii="Times New Roman" w:hAnsi="Times New Roman"/>
                <w:szCs w:val="24"/>
              </w:rPr>
              <w:t>-</w:t>
            </w:r>
            <w:r w:rsidRPr="005557D5">
              <w:rPr>
                <w:rFonts w:ascii="Times New Roman" w:hAnsi="Times New Roman"/>
                <w:szCs w:val="24"/>
              </w:rPr>
              <w:t>Expenditure Reporting Form</w:t>
            </w:r>
          </w:p>
        </w:tc>
        <w:tc>
          <w:tcPr>
            <w:tcW w:w="1260" w:type="dxa"/>
            <w:vAlign w:val="center"/>
          </w:tcPr>
          <w:p w:rsidRPr="005557D5" w:rsidR="00957799" w:rsidP="005557D5" w:rsidRDefault="004C7103" w14:paraId="631BD576" w14:textId="6F255CB0">
            <w:pPr>
              <w:tabs>
                <w:tab w:val="center" w:pos="4320"/>
                <w:tab w:val="right" w:pos="8640"/>
              </w:tabs>
              <w:jc w:val="center"/>
              <w:rPr>
                <w:rFonts w:ascii="Times New Roman" w:hAnsi="Times New Roman"/>
                <w:szCs w:val="24"/>
                <w:highlight w:val="yellow"/>
              </w:rPr>
            </w:pPr>
            <w:r w:rsidRPr="005557D5">
              <w:rPr>
                <w:rFonts w:ascii="Times New Roman" w:hAnsi="Times New Roman"/>
                <w:szCs w:val="24"/>
              </w:rPr>
              <w:t>56</w:t>
            </w:r>
          </w:p>
        </w:tc>
        <w:tc>
          <w:tcPr>
            <w:tcW w:w="1350" w:type="dxa"/>
            <w:vAlign w:val="center"/>
          </w:tcPr>
          <w:p w:rsidRPr="005557D5" w:rsidR="00957799" w:rsidP="005557D5" w:rsidRDefault="00FE7BE3" w14:paraId="3DD8ECC7" w14:textId="633FB31B">
            <w:pPr>
              <w:tabs>
                <w:tab w:val="center" w:pos="4320"/>
                <w:tab w:val="right" w:pos="8640"/>
              </w:tabs>
              <w:jc w:val="center"/>
              <w:rPr>
                <w:rFonts w:ascii="Times New Roman" w:hAnsi="Times New Roman"/>
                <w:szCs w:val="24"/>
              </w:rPr>
            </w:pPr>
            <w:r w:rsidRPr="005557D5">
              <w:rPr>
                <w:rFonts w:ascii="Times New Roman" w:hAnsi="Times New Roman"/>
                <w:szCs w:val="24"/>
              </w:rPr>
              <w:t>3</w:t>
            </w:r>
          </w:p>
        </w:tc>
        <w:tc>
          <w:tcPr>
            <w:tcW w:w="1080" w:type="dxa"/>
            <w:vAlign w:val="center"/>
          </w:tcPr>
          <w:p w:rsidRPr="005557D5" w:rsidR="00957799" w:rsidP="005557D5" w:rsidRDefault="004C7103" w14:paraId="46007120" w14:textId="7307D92D">
            <w:pPr>
              <w:tabs>
                <w:tab w:val="center" w:pos="4320"/>
                <w:tab w:val="right" w:pos="8640"/>
              </w:tabs>
              <w:jc w:val="center"/>
              <w:rPr>
                <w:rFonts w:ascii="Times New Roman" w:hAnsi="Times New Roman"/>
                <w:szCs w:val="24"/>
              </w:rPr>
            </w:pPr>
            <w:r w:rsidRPr="005557D5">
              <w:rPr>
                <w:rFonts w:ascii="Times New Roman" w:hAnsi="Times New Roman"/>
                <w:szCs w:val="24"/>
              </w:rPr>
              <w:t>110</w:t>
            </w:r>
          </w:p>
        </w:tc>
        <w:tc>
          <w:tcPr>
            <w:tcW w:w="900" w:type="dxa"/>
            <w:vAlign w:val="center"/>
          </w:tcPr>
          <w:p w:rsidRPr="002D1D4A" w:rsidR="00957799" w:rsidP="005557D5" w:rsidRDefault="00FE7BE3" w14:paraId="1A00A282" w14:textId="0B2E99C5">
            <w:pPr>
              <w:tabs>
                <w:tab w:val="center" w:pos="4320"/>
                <w:tab w:val="right" w:pos="8640"/>
              </w:tabs>
              <w:jc w:val="center"/>
              <w:rPr>
                <w:rFonts w:ascii="Times New Roman" w:hAnsi="Times New Roman"/>
                <w:szCs w:val="24"/>
              </w:rPr>
            </w:pPr>
            <w:r w:rsidRPr="002D1D4A">
              <w:rPr>
                <w:rFonts w:ascii="Times New Roman" w:hAnsi="Times New Roman"/>
                <w:szCs w:val="24"/>
              </w:rPr>
              <w:t>18,480</w:t>
            </w:r>
          </w:p>
        </w:tc>
        <w:tc>
          <w:tcPr>
            <w:tcW w:w="900" w:type="dxa"/>
            <w:vAlign w:val="center"/>
          </w:tcPr>
          <w:p w:rsidRPr="002D1D4A" w:rsidR="00957799" w:rsidP="002D1D4A" w:rsidRDefault="004C7103" w14:paraId="25670C73" w14:textId="09CFFAD7">
            <w:pPr>
              <w:tabs>
                <w:tab w:val="center" w:pos="4320"/>
                <w:tab w:val="right" w:pos="8640"/>
              </w:tabs>
              <w:jc w:val="center"/>
              <w:rPr>
                <w:rFonts w:ascii="Times New Roman" w:hAnsi="Times New Roman"/>
                <w:szCs w:val="24"/>
              </w:rPr>
            </w:pPr>
            <w:r w:rsidRPr="002D1D4A">
              <w:rPr>
                <w:rFonts w:ascii="Times New Roman" w:hAnsi="Times New Roman"/>
                <w:szCs w:val="24"/>
              </w:rPr>
              <w:t>6160</w:t>
            </w:r>
          </w:p>
        </w:tc>
        <w:tc>
          <w:tcPr>
            <w:tcW w:w="1222" w:type="dxa"/>
            <w:vAlign w:val="center"/>
          </w:tcPr>
          <w:p w:rsidRPr="005557D5" w:rsidR="00957799" w:rsidRDefault="003E5885" w14:paraId="7D556C98" w14:textId="566DE4D9">
            <w:pPr>
              <w:tabs>
                <w:tab w:val="center" w:pos="4320"/>
                <w:tab w:val="right" w:pos="8640"/>
              </w:tabs>
              <w:jc w:val="center"/>
              <w:rPr>
                <w:rFonts w:ascii="Times New Roman" w:hAnsi="Times New Roman"/>
                <w:szCs w:val="24"/>
              </w:rPr>
            </w:pPr>
            <w:r w:rsidRPr="005557D5">
              <w:rPr>
                <w:rFonts w:ascii="Times New Roman" w:hAnsi="Times New Roman"/>
                <w:szCs w:val="24"/>
              </w:rPr>
              <w:t>$62.45</w:t>
            </w:r>
          </w:p>
        </w:tc>
        <w:tc>
          <w:tcPr>
            <w:tcW w:w="1219" w:type="dxa"/>
            <w:vAlign w:val="center"/>
          </w:tcPr>
          <w:p w:rsidRPr="005557D5" w:rsidR="00957799" w:rsidRDefault="003E5885" w14:paraId="5133F4BC" w14:textId="6FF8AC19">
            <w:pPr>
              <w:tabs>
                <w:tab w:val="center" w:pos="4320"/>
                <w:tab w:val="right" w:pos="8640"/>
              </w:tabs>
              <w:jc w:val="center"/>
              <w:rPr>
                <w:rFonts w:ascii="Times New Roman" w:hAnsi="Times New Roman"/>
                <w:szCs w:val="24"/>
              </w:rPr>
            </w:pPr>
            <w:r w:rsidRPr="005557D5">
              <w:rPr>
                <w:rFonts w:ascii="Times New Roman" w:hAnsi="Times New Roman"/>
                <w:szCs w:val="24"/>
              </w:rPr>
              <w:t>$384,692.00</w:t>
            </w:r>
          </w:p>
        </w:tc>
      </w:tr>
      <w:tr w:rsidRPr="004F7B95" w:rsidR="00957799" w:rsidTr="00DE04E5" w14:paraId="68F71184" w14:textId="77777777">
        <w:trPr>
          <w:jc w:val="center"/>
        </w:trPr>
        <w:tc>
          <w:tcPr>
            <w:tcW w:w="6745" w:type="dxa"/>
            <w:gridSpan w:val="5"/>
            <w:vAlign w:val="center"/>
          </w:tcPr>
          <w:p w:rsidRPr="00405C10" w:rsidR="00957799" w:rsidP="008A7A73" w:rsidRDefault="00957799"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00" w:type="dxa"/>
          </w:tcPr>
          <w:p w:rsidRPr="00405C10" w:rsidR="00957799" w:rsidP="0031072B" w:rsidRDefault="00F34357" w14:paraId="29C85233" w14:textId="5FD51E39">
            <w:pPr>
              <w:tabs>
                <w:tab w:val="center" w:pos="4320"/>
                <w:tab w:val="right" w:pos="8640"/>
              </w:tabs>
              <w:jc w:val="center"/>
              <w:rPr>
                <w:rFonts w:ascii="Times New Roman" w:hAnsi="Times New Roman"/>
                <w:b/>
                <w:szCs w:val="24"/>
              </w:rPr>
            </w:pPr>
            <w:r>
              <w:rPr>
                <w:rFonts w:ascii="Times New Roman" w:hAnsi="Times New Roman"/>
                <w:b/>
                <w:szCs w:val="24"/>
              </w:rPr>
              <w:t>8,512</w:t>
            </w:r>
          </w:p>
        </w:tc>
        <w:tc>
          <w:tcPr>
            <w:tcW w:w="1222" w:type="dxa"/>
          </w:tcPr>
          <w:p w:rsidRPr="00405C10" w:rsidR="00957799" w:rsidP="003B48F8" w:rsidRDefault="00F210CA"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19" w:type="dxa"/>
          </w:tcPr>
          <w:p w:rsidRPr="00405C10" w:rsidR="00957799" w:rsidP="00F34357" w:rsidRDefault="003E5885" w14:paraId="5B5863BC" w14:textId="1A28D330">
            <w:pPr>
              <w:tabs>
                <w:tab w:val="center" w:pos="4320"/>
                <w:tab w:val="right" w:pos="8640"/>
              </w:tabs>
              <w:jc w:val="center"/>
              <w:rPr>
                <w:rFonts w:ascii="Times New Roman" w:hAnsi="Times New Roman"/>
                <w:b/>
                <w:szCs w:val="24"/>
              </w:rPr>
            </w:pPr>
            <w:r>
              <w:rPr>
                <w:rFonts w:ascii="Times New Roman" w:hAnsi="Times New Roman"/>
                <w:b/>
                <w:szCs w:val="24"/>
              </w:rPr>
              <w:t>$</w:t>
            </w:r>
            <w:r w:rsidR="00F34357">
              <w:rPr>
                <w:rFonts w:ascii="Times New Roman" w:hAnsi="Times New Roman"/>
                <w:b/>
                <w:szCs w:val="24"/>
              </w:rPr>
              <w:t>531,574.40</w:t>
            </w:r>
          </w:p>
        </w:tc>
      </w:tr>
    </w:tbl>
    <w:p w:rsidRPr="00075D90" w:rsidR="003E5885" w:rsidP="005765EF" w:rsidRDefault="003E5885" w14:paraId="720B3337" w14:textId="77777777">
      <w:pPr>
        <w:widowControl/>
        <w:rPr>
          <w:rFonts w:ascii="Times New Roman" w:hAnsi="Times New Roman"/>
          <w:snapToGrid/>
          <w:sz w:val="24"/>
          <w:szCs w:val="24"/>
        </w:rPr>
      </w:pPr>
    </w:p>
    <w:p w:rsidR="00210561" w:rsidP="00075D90" w:rsidRDefault="00075D90" w14:paraId="5BE0C00A" w14:textId="7F7BF263">
      <w:pPr>
        <w:widowControl/>
        <w:ind w:left="360"/>
        <w:rPr>
          <w:rFonts w:ascii="Times New Roman" w:hAnsi="Times New Roman"/>
          <w:snapToGrid/>
          <w:sz w:val="24"/>
          <w:szCs w:val="24"/>
        </w:rPr>
      </w:pPr>
      <w:r w:rsidRPr="00075D90">
        <w:rPr>
          <w:rFonts w:ascii="Times New Roman" w:hAnsi="Times New Roman"/>
          <w:snapToGrid/>
          <w:sz w:val="24"/>
          <w:szCs w:val="24"/>
        </w:rPr>
        <w:t xml:space="preserve">The </w:t>
      </w:r>
      <w:r w:rsidR="00210561">
        <w:rPr>
          <w:rFonts w:ascii="Times New Roman" w:hAnsi="Times New Roman"/>
          <w:snapToGrid/>
          <w:sz w:val="24"/>
          <w:szCs w:val="24"/>
        </w:rPr>
        <w:t xml:space="preserve">estimated </w:t>
      </w:r>
      <w:r w:rsidRPr="00075D90">
        <w:rPr>
          <w:rFonts w:ascii="Times New Roman" w:hAnsi="Times New Roman"/>
          <w:snapToGrid/>
          <w:sz w:val="24"/>
          <w:szCs w:val="24"/>
        </w:rPr>
        <w:t xml:space="preserve">annual </w:t>
      </w:r>
      <w:r w:rsidR="00210561">
        <w:rPr>
          <w:rFonts w:ascii="Times New Roman" w:hAnsi="Times New Roman"/>
          <w:snapToGrid/>
          <w:sz w:val="24"/>
          <w:szCs w:val="24"/>
        </w:rPr>
        <w:t>cost</w:t>
      </w:r>
      <w:r w:rsidRPr="00075D90" w:rsidR="00210561">
        <w:rPr>
          <w:rFonts w:ascii="Times New Roman" w:hAnsi="Times New Roman"/>
          <w:snapToGrid/>
          <w:sz w:val="24"/>
          <w:szCs w:val="24"/>
        </w:rPr>
        <w:t xml:space="preserve"> </w:t>
      </w:r>
      <w:r w:rsidRPr="00075D90">
        <w:rPr>
          <w:rFonts w:ascii="Times New Roman" w:hAnsi="Times New Roman"/>
          <w:snapToGrid/>
          <w:sz w:val="24"/>
          <w:szCs w:val="24"/>
        </w:rPr>
        <w:t xml:space="preserve">is based upon the average hourly salary </w:t>
      </w:r>
      <w:r w:rsidR="005765EF">
        <w:rPr>
          <w:rFonts w:ascii="Times New Roman" w:hAnsi="Times New Roman"/>
          <w:snapToGrid/>
          <w:sz w:val="24"/>
          <w:szCs w:val="24"/>
        </w:rPr>
        <w:t xml:space="preserve">for </w:t>
      </w:r>
      <w:r w:rsidRPr="00075D90">
        <w:rPr>
          <w:rFonts w:ascii="Times New Roman" w:hAnsi="Times New Roman"/>
          <w:snapToGrid/>
          <w:sz w:val="24"/>
          <w:szCs w:val="24"/>
        </w:rPr>
        <w:t>social and community se</w:t>
      </w:r>
      <w:r w:rsidR="003E5885">
        <w:rPr>
          <w:rFonts w:ascii="Times New Roman" w:hAnsi="Times New Roman"/>
          <w:snapToGrid/>
          <w:sz w:val="24"/>
          <w:szCs w:val="24"/>
        </w:rPr>
        <w:t>rvice managers</w:t>
      </w:r>
      <w:r w:rsidR="005765EF">
        <w:rPr>
          <w:rFonts w:ascii="Times New Roman" w:hAnsi="Times New Roman"/>
          <w:snapToGrid/>
          <w:sz w:val="24"/>
          <w:szCs w:val="24"/>
        </w:rPr>
        <w:t>, job code 11-9151</w:t>
      </w:r>
      <w:r w:rsidR="003E5885">
        <w:rPr>
          <w:rFonts w:ascii="Times New Roman" w:hAnsi="Times New Roman"/>
          <w:snapToGrid/>
          <w:sz w:val="24"/>
          <w:szCs w:val="24"/>
        </w:rPr>
        <w:t xml:space="preserve"> based on May 2019</w:t>
      </w:r>
      <w:r w:rsidRPr="00075D90">
        <w:rPr>
          <w:rFonts w:ascii="Times New Roman" w:hAnsi="Times New Roman"/>
          <w:snapToGrid/>
          <w:sz w:val="24"/>
          <w:szCs w:val="24"/>
        </w:rPr>
        <w:t xml:space="preserve"> Occupational Employment Statistics from the Bureau of Labor and Statistics</w:t>
      </w:r>
      <w:r w:rsidR="0022529F">
        <w:rPr>
          <w:rStyle w:val="FootnoteReference"/>
          <w:rFonts w:ascii="Times New Roman" w:hAnsi="Times New Roman"/>
          <w:snapToGrid/>
          <w:sz w:val="24"/>
          <w:szCs w:val="24"/>
        </w:rPr>
        <w:footnoteReference w:id="1"/>
      </w:r>
      <w:r w:rsidR="005765EF">
        <w:rPr>
          <w:rFonts w:ascii="Times New Roman" w:hAnsi="Times New Roman"/>
          <w:snapToGrid/>
          <w:sz w:val="24"/>
          <w:szCs w:val="24"/>
        </w:rPr>
        <w:t xml:space="preserve">. The base wage is equal to the mean salary of $32.28 per hour.  The base wage was multiplied by two to calculate wage plus fringe benefits and overhead. </w:t>
      </w:r>
      <w:r w:rsidRPr="00075D90">
        <w:rPr>
          <w:rFonts w:ascii="Times New Roman" w:hAnsi="Times New Roman"/>
          <w:snapToGrid/>
          <w:sz w:val="24"/>
          <w:szCs w:val="24"/>
        </w:rPr>
        <w:t xml:space="preserve"> </w:t>
      </w:r>
    </w:p>
    <w:p w:rsidR="00D60543" w:rsidP="00210561" w:rsidRDefault="00D60543" w14:paraId="77D4A871" w14:textId="77777777">
      <w:pPr>
        <w:widowControl/>
        <w:ind w:left="360"/>
        <w:rPr>
          <w:rFonts w:ascii="Times New Roman" w:hAnsi="Times New Roman"/>
          <w:snapToGrid/>
          <w:sz w:val="24"/>
          <w:szCs w:val="24"/>
        </w:rPr>
      </w:pPr>
    </w:p>
    <w:p w:rsidRPr="004F7B95" w:rsidR="00D60543" w:rsidP="00C55E1E" w:rsidRDefault="00D60543" w14:paraId="344EF814" w14:textId="77777777">
      <w:pPr>
        <w:widowControl/>
        <w:rPr>
          <w:rFonts w:ascii="Times New Roman" w:hAnsi="Times New Roman"/>
          <w:snapToGrid/>
          <w:sz w:val="24"/>
          <w:szCs w:val="24"/>
        </w:rPr>
      </w:pPr>
    </w:p>
    <w:p w:rsidRPr="00075889" w:rsidR="00D60543" w:rsidP="00075889" w:rsidRDefault="002C3C4F" w14:paraId="548FE903"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210561" w14:paraId="2FEAF873" w14:textId="62C9E1A4">
      <w:pPr>
        <w:widowControl/>
        <w:ind w:left="360"/>
        <w:rPr>
          <w:rFonts w:ascii="Times New Roman" w:hAnsi="Times New Roman"/>
          <w:snapToGrid/>
          <w:sz w:val="24"/>
          <w:szCs w:val="24"/>
        </w:rPr>
      </w:pPr>
      <w:r>
        <w:rPr>
          <w:rFonts w:ascii="Times New Roman" w:hAnsi="Times New Roman"/>
          <w:snapToGrid/>
          <w:sz w:val="24"/>
          <w:szCs w:val="24"/>
        </w:rPr>
        <w:t>States</w:t>
      </w:r>
      <w:r w:rsidRPr="004C7103">
        <w:rPr>
          <w:rFonts w:ascii="Times New Roman" w:hAnsi="Times New Roman"/>
          <w:snapToGrid/>
          <w:sz w:val="24"/>
          <w:szCs w:val="24"/>
        </w:rPr>
        <w:t xml:space="preserve"> </w:t>
      </w:r>
      <w:r>
        <w:rPr>
          <w:rFonts w:ascii="Times New Roman" w:hAnsi="Times New Roman"/>
          <w:snapToGrid/>
          <w:sz w:val="24"/>
          <w:szCs w:val="24"/>
        </w:rPr>
        <w:t>will not incur any additional</w:t>
      </w:r>
      <w:r w:rsidRPr="004C7103" w:rsidR="004C7103">
        <w:rPr>
          <w:rFonts w:ascii="Times New Roman" w:hAnsi="Times New Roman"/>
          <w:snapToGrid/>
          <w:sz w:val="24"/>
          <w:szCs w:val="24"/>
        </w:rPr>
        <w:t xml:space="preserve"> costs.</w:t>
      </w:r>
    </w:p>
    <w:p w:rsidR="00D60543" w:rsidP="00696C03" w:rsidRDefault="00D60543" w14:paraId="00DF26E5"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7935D5" w:rsidP="00DE529D" w:rsidRDefault="004C7103" w14:paraId="6B09616D" w14:textId="38FCDEA3">
      <w:pPr>
        <w:widowControl/>
        <w:ind w:left="360"/>
        <w:rPr>
          <w:rFonts w:ascii="Times New Roman" w:hAnsi="Times New Roman"/>
          <w:snapToGrid/>
          <w:sz w:val="24"/>
          <w:szCs w:val="24"/>
        </w:rPr>
      </w:pPr>
      <w:r w:rsidRPr="004C7103">
        <w:rPr>
          <w:rFonts w:ascii="Times New Roman" w:hAnsi="Times New Roman"/>
          <w:snapToGrid/>
          <w:sz w:val="24"/>
          <w:szCs w:val="24"/>
        </w:rPr>
        <w:t>The annual cost to the Federal Government is shown in the following table:</w:t>
      </w:r>
    </w:p>
    <w:p w:rsidR="004C7103" w:rsidP="00DE529D" w:rsidRDefault="004C7103" w14:paraId="57F5E782" w14:textId="77777777">
      <w:pPr>
        <w:widowControl/>
        <w:ind w:left="360"/>
        <w:rPr>
          <w:rFonts w:ascii="Times New Roman" w:hAnsi="Times New Roman"/>
          <w:snapToGrid/>
          <w:sz w:val="24"/>
          <w:szCs w:val="24"/>
        </w:rPr>
      </w:pPr>
    </w:p>
    <w:tbl>
      <w:tblPr>
        <w:tblStyle w:val="TableGrid"/>
        <w:tblW w:w="0" w:type="auto"/>
        <w:tblInd w:w="360" w:type="dxa"/>
        <w:tblLook w:val="04A0" w:firstRow="1" w:lastRow="0" w:firstColumn="1" w:lastColumn="0" w:noHBand="0" w:noVBand="1"/>
      </w:tblPr>
      <w:tblGrid>
        <w:gridCol w:w="1818"/>
        <w:gridCol w:w="1793"/>
        <w:gridCol w:w="1793"/>
        <w:gridCol w:w="1793"/>
        <w:gridCol w:w="1793"/>
      </w:tblGrid>
      <w:tr w:rsidR="004C7103" w:rsidTr="004C7103" w14:paraId="306A8714" w14:textId="77777777">
        <w:tc>
          <w:tcPr>
            <w:tcW w:w="1870" w:type="dxa"/>
          </w:tcPr>
          <w:p w:rsidR="004C7103" w:rsidP="00DE529D" w:rsidRDefault="004C7103" w14:paraId="106AE44A" w14:textId="3AB23384">
            <w:pPr>
              <w:widowControl/>
              <w:rPr>
                <w:rFonts w:ascii="Times New Roman" w:hAnsi="Times New Roman"/>
                <w:snapToGrid/>
                <w:sz w:val="24"/>
                <w:szCs w:val="24"/>
              </w:rPr>
            </w:pPr>
            <w:r>
              <w:rPr>
                <w:rFonts w:ascii="Times New Roman" w:hAnsi="Times New Roman"/>
                <w:snapToGrid/>
                <w:sz w:val="24"/>
                <w:szCs w:val="24"/>
              </w:rPr>
              <w:t>AGENCY</w:t>
            </w:r>
          </w:p>
        </w:tc>
        <w:tc>
          <w:tcPr>
            <w:tcW w:w="1870" w:type="dxa"/>
          </w:tcPr>
          <w:p w:rsidR="004C7103" w:rsidP="00DE529D" w:rsidRDefault="004C7103" w14:paraId="6FC491D8" w14:textId="6FC33ACF">
            <w:pPr>
              <w:widowControl/>
              <w:rPr>
                <w:rFonts w:ascii="Times New Roman" w:hAnsi="Times New Roman"/>
                <w:snapToGrid/>
                <w:sz w:val="24"/>
                <w:szCs w:val="24"/>
              </w:rPr>
            </w:pPr>
            <w:r>
              <w:rPr>
                <w:rFonts w:ascii="Times New Roman" w:hAnsi="Times New Roman"/>
                <w:snapToGrid/>
                <w:sz w:val="24"/>
                <w:szCs w:val="24"/>
              </w:rPr>
              <w:t>Year 1</w:t>
            </w:r>
          </w:p>
        </w:tc>
        <w:tc>
          <w:tcPr>
            <w:tcW w:w="1870" w:type="dxa"/>
          </w:tcPr>
          <w:p w:rsidR="004C7103" w:rsidP="00DE529D" w:rsidRDefault="004C7103" w14:paraId="631BF6B0" w14:textId="01F4C41D">
            <w:pPr>
              <w:widowControl/>
              <w:rPr>
                <w:rFonts w:ascii="Times New Roman" w:hAnsi="Times New Roman"/>
                <w:snapToGrid/>
                <w:sz w:val="24"/>
                <w:szCs w:val="24"/>
              </w:rPr>
            </w:pPr>
            <w:r>
              <w:rPr>
                <w:rFonts w:ascii="Times New Roman" w:hAnsi="Times New Roman"/>
                <w:snapToGrid/>
                <w:sz w:val="24"/>
                <w:szCs w:val="24"/>
              </w:rPr>
              <w:t>Year 2</w:t>
            </w:r>
          </w:p>
        </w:tc>
        <w:tc>
          <w:tcPr>
            <w:tcW w:w="1870" w:type="dxa"/>
          </w:tcPr>
          <w:p w:rsidR="004C7103" w:rsidP="00DE529D" w:rsidRDefault="004C7103" w14:paraId="42D3BB71" w14:textId="371B0ACF">
            <w:pPr>
              <w:widowControl/>
              <w:rPr>
                <w:rFonts w:ascii="Times New Roman" w:hAnsi="Times New Roman"/>
                <w:snapToGrid/>
                <w:sz w:val="24"/>
                <w:szCs w:val="24"/>
              </w:rPr>
            </w:pPr>
            <w:r>
              <w:rPr>
                <w:rFonts w:ascii="Times New Roman" w:hAnsi="Times New Roman"/>
                <w:snapToGrid/>
                <w:sz w:val="24"/>
                <w:szCs w:val="24"/>
              </w:rPr>
              <w:t>Year 3</w:t>
            </w:r>
          </w:p>
        </w:tc>
        <w:tc>
          <w:tcPr>
            <w:tcW w:w="1870" w:type="dxa"/>
          </w:tcPr>
          <w:p w:rsidR="004C7103" w:rsidP="00DE529D" w:rsidRDefault="004C7103" w14:paraId="4FCAC168" w14:textId="1B492BCB">
            <w:pPr>
              <w:widowControl/>
              <w:rPr>
                <w:rFonts w:ascii="Times New Roman" w:hAnsi="Times New Roman"/>
                <w:snapToGrid/>
                <w:sz w:val="24"/>
                <w:szCs w:val="24"/>
              </w:rPr>
            </w:pPr>
            <w:r>
              <w:rPr>
                <w:rFonts w:ascii="Times New Roman" w:hAnsi="Times New Roman"/>
                <w:snapToGrid/>
                <w:sz w:val="24"/>
                <w:szCs w:val="24"/>
              </w:rPr>
              <w:t>Average</w:t>
            </w:r>
            <w:r w:rsidR="00533313">
              <w:rPr>
                <w:rFonts w:ascii="Times New Roman" w:hAnsi="Times New Roman"/>
                <w:snapToGrid/>
                <w:sz w:val="24"/>
                <w:szCs w:val="24"/>
              </w:rPr>
              <w:t xml:space="preserve"> Annual Cost</w:t>
            </w:r>
          </w:p>
        </w:tc>
      </w:tr>
      <w:tr w:rsidR="004C7103" w:rsidTr="004C7103" w14:paraId="658864C6" w14:textId="77777777">
        <w:tc>
          <w:tcPr>
            <w:tcW w:w="1870" w:type="dxa"/>
          </w:tcPr>
          <w:p w:rsidR="004C7103" w:rsidP="00DE529D" w:rsidRDefault="004C7103" w14:paraId="01CCCB02" w14:textId="0CBE7217">
            <w:pPr>
              <w:widowControl/>
              <w:rPr>
                <w:rFonts w:ascii="Times New Roman" w:hAnsi="Times New Roman"/>
                <w:snapToGrid/>
                <w:sz w:val="24"/>
                <w:szCs w:val="24"/>
              </w:rPr>
            </w:pPr>
            <w:r>
              <w:rPr>
                <w:rFonts w:ascii="Times New Roman" w:hAnsi="Times New Roman"/>
                <w:snapToGrid/>
                <w:sz w:val="24"/>
                <w:szCs w:val="24"/>
              </w:rPr>
              <w:t>Office of Community Services</w:t>
            </w:r>
          </w:p>
        </w:tc>
        <w:tc>
          <w:tcPr>
            <w:tcW w:w="1870" w:type="dxa"/>
          </w:tcPr>
          <w:p w:rsidR="004C7103" w:rsidP="00DE529D" w:rsidRDefault="00BA76E0" w14:paraId="2894BCCE" w14:textId="71869371">
            <w:pPr>
              <w:widowControl/>
              <w:rPr>
                <w:rFonts w:ascii="Times New Roman" w:hAnsi="Times New Roman"/>
                <w:snapToGrid/>
                <w:sz w:val="24"/>
                <w:szCs w:val="24"/>
              </w:rPr>
            </w:pPr>
            <w:r>
              <w:rPr>
                <w:rFonts w:ascii="Times New Roman" w:hAnsi="Times New Roman"/>
                <w:snapToGrid/>
                <w:sz w:val="24"/>
                <w:szCs w:val="24"/>
              </w:rPr>
              <w:t>$41,853</w:t>
            </w:r>
          </w:p>
        </w:tc>
        <w:tc>
          <w:tcPr>
            <w:tcW w:w="1870" w:type="dxa"/>
          </w:tcPr>
          <w:p w:rsidR="004C7103" w:rsidP="00DE529D" w:rsidRDefault="00BA76E0" w14:paraId="6D1C03B3" w14:textId="22EE53D2">
            <w:pPr>
              <w:widowControl/>
              <w:rPr>
                <w:rFonts w:ascii="Times New Roman" w:hAnsi="Times New Roman"/>
                <w:snapToGrid/>
                <w:sz w:val="24"/>
                <w:szCs w:val="24"/>
              </w:rPr>
            </w:pPr>
            <w:r>
              <w:rPr>
                <w:rFonts w:ascii="Times New Roman" w:hAnsi="Times New Roman"/>
                <w:snapToGrid/>
                <w:sz w:val="24"/>
                <w:szCs w:val="24"/>
              </w:rPr>
              <w:t>$43,182</w:t>
            </w:r>
          </w:p>
        </w:tc>
        <w:tc>
          <w:tcPr>
            <w:tcW w:w="1870" w:type="dxa"/>
          </w:tcPr>
          <w:p w:rsidR="004C7103" w:rsidP="00DE529D" w:rsidRDefault="00BA76E0" w14:paraId="66C6EB34" w14:textId="522242CC">
            <w:pPr>
              <w:widowControl/>
              <w:rPr>
                <w:rFonts w:ascii="Times New Roman" w:hAnsi="Times New Roman"/>
                <w:snapToGrid/>
                <w:sz w:val="24"/>
                <w:szCs w:val="24"/>
              </w:rPr>
            </w:pPr>
            <w:r>
              <w:rPr>
                <w:rFonts w:ascii="Times New Roman" w:hAnsi="Times New Roman"/>
                <w:snapToGrid/>
                <w:sz w:val="24"/>
                <w:szCs w:val="24"/>
              </w:rPr>
              <w:t>$44,511</w:t>
            </w:r>
          </w:p>
        </w:tc>
        <w:tc>
          <w:tcPr>
            <w:tcW w:w="1870" w:type="dxa"/>
          </w:tcPr>
          <w:p w:rsidR="004C7103" w:rsidP="00DE529D" w:rsidRDefault="00BA76E0" w14:paraId="783A096C" w14:textId="2BDEA1E2">
            <w:pPr>
              <w:widowControl/>
              <w:rPr>
                <w:rFonts w:ascii="Times New Roman" w:hAnsi="Times New Roman"/>
                <w:snapToGrid/>
                <w:sz w:val="24"/>
                <w:szCs w:val="24"/>
              </w:rPr>
            </w:pPr>
            <w:r>
              <w:rPr>
                <w:rFonts w:ascii="Times New Roman" w:hAnsi="Times New Roman"/>
                <w:snapToGrid/>
                <w:sz w:val="24"/>
                <w:szCs w:val="24"/>
              </w:rPr>
              <w:t>$43,182</w:t>
            </w:r>
          </w:p>
        </w:tc>
      </w:tr>
      <w:tr w:rsidR="004C7103" w:rsidTr="00BA76E0" w14:paraId="47CD0CB7" w14:textId="77777777">
        <w:tc>
          <w:tcPr>
            <w:tcW w:w="1870" w:type="dxa"/>
          </w:tcPr>
          <w:p w:rsidR="004C7103" w:rsidP="004C7103" w:rsidRDefault="004C7103" w14:paraId="3C8EF98A" w14:textId="41738729">
            <w:pPr>
              <w:widowControl/>
              <w:rPr>
                <w:rFonts w:ascii="Times New Roman" w:hAnsi="Times New Roman"/>
                <w:snapToGrid/>
                <w:sz w:val="24"/>
                <w:szCs w:val="24"/>
              </w:rPr>
            </w:pPr>
            <w:r>
              <w:rPr>
                <w:rFonts w:ascii="Times New Roman" w:hAnsi="Times New Roman"/>
                <w:snapToGrid/>
                <w:sz w:val="24"/>
                <w:szCs w:val="24"/>
              </w:rPr>
              <w:t>Contractor Staff</w:t>
            </w:r>
          </w:p>
        </w:tc>
        <w:tc>
          <w:tcPr>
            <w:tcW w:w="1870" w:type="dxa"/>
            <w:shd w:val="clear" w:color="auto" w:fill="auto"/>
          </w:tcPr>
          <w:p w:rsidRPr="00BA76E0" w:rsidR="004C7103" w:rsidP="00DE529D" w:rsidRDefault="00BA76E0" w14:paraId="5407F567" w14:textId="38F46578">
            <w:pPr>
              <w:widowControl/>
              <w:rPr>
                <w:rFonts w:ascii="Times New Roman" w:hAnsi="Times New Roman"/>
                <w:snapToGrid/>
                <w:sz w:val="24"/>
                <w:szCs w:val="24"/>
              </w:rPr>
            </w:pPr>
            <w:r w:rsidRPr="00BA76E0">
              <w:rPr>
                <w:rFonts w:ascii="Times New Roman" w:hAnsi="Times New Roman"/>
                <w:snapToGrid/>
                <w:sz w:val="24"/>
                <w:szCs w:val="24"/>
              </w:rPr>
              <w:t>$156,123</w:t>
            </w:r>
          </w:p>
        </w:tc>
        <w:tc>
          <w:tcPr>
            <w:tcW w:w="1870" w:type="dxa"/>
            <w:shd w:val="clear" w:color="auto" w:fill="auto"/>
          </w:tcPr>
          <w:p w:rsidRPr="00BA76E0" w:rsidR="004C7103" w:rsidP="00DE529D" w:rsidRDefault="00BA76E0" w14:paraId="505E5B31" w14:textId="0547174E">
            <w:pPr>
              <w:widowControl/>
              <w:rPr>
                <w:rFonts w:ascii="Times New Roman" w:hAnsi="Times New Roman"/>
                <w:snapToGrid/>
                <w:sz w:val="24"/>
                <w:szCs w:val="24"/>
              </w:rPr>
            </w:pPr>
            <w:r w:rsidRPr="00BA76E0">
              <w:rPr>
                <w:rFonts w:ascii="Times New Roman" w:hAnsi="Times New Roman"/>
                <w:snapToGrid/>
                <w:sz w:val="24"/>
                <w:szCs w:val="24"/>
              </w:rPr>
              <w:t>$168,255</w:t>
            </w:r>
          </w:p>
        </w:tc>
        <w:tc>
          <w:tcPr>
            <w:tcW w:w="1870" w:type="dxa"/>
            <w:shd w:val="clear" w:color="auto" w:fill="auto"/>
          </w:tcPr>
          <w:p w:rsidRPr="00BA76E0" w:rsidR="004C7103" w:rsidP="00DE529D" w:rsidRDefault="00BA76E0" w14:paraId="4EDD3A6C" w14:textId="080AB359">
            <w:pPr>
              <w:widowControl/>
              <w:rPr>
                <w:rFonts w:ascii="Times New Roman" w:hAnsi="Times New Roman"/>
                <w:snapToGrid/>
                <w:sz w:val="24"/>
                <w:szCs w:val="24"/>
              </w:rPr>
            </w:pPr>
            <w:r w:rsidRPr="00BA76E0">
              <w:rPr>
                <w:rFonts w:ascii="Times New Roman" w:hAnsi="Times New Roman"/>
                <w:snapToGrid/>
                <w:sz w:val="24"/>
                <w:szCs w:val="24"/>
              </w:rPr>
              <w:t>$179,930</w:t>
            </w:r>
          </w:p>
        </w:tc>
        <w:tc>
          <w:tcPr>
            <w:tcW w:w="1870" w:type="dxa"/>
            <w:shd w:val="clear" w:color="auto" w:fill="auto"/>
          </w:tcPr>
          <w:p w:rsidRPr="00BA76E0" w:rsidR="004C7103" w:rsidP="00DE529D" w:rsidRDefault="00BA76E0" w14:paraId="18170FFD" w14:textId="5E25D246">
            <w:pPr>
              <w:widowControl/>
              <w:rPr>
                <w:rFonts w:ascii="Times New Roman" w:hAnsi="Times New Roman"/>
                <w:snapToGrid/>
                <w:sz w:val="24"/>
                <w:szCs w:val="24"/>
              </w:rPr>
            </w:pPr>
            <w:r w:rsidRPr="00BA76E0">
              <w:rPr>
                <w:rFonts w:ascii="Times New Roman" w:hAnsi="Times New Roman"/>
                <w:snapToGrid/>
                <w:sz w:val="24"/>
                <w:szCs w:val="24"/>
              </w:rPr>
              <w:t>$168,103</w:t>
            </w:r>
          </w:p>
        </w:tc>
      </w:tr>
      <w:tr w:rsidR="004C7103" w:rsidTr="004C7103" w14:paraId="24A60A17" w14:textId="77777777">
        <w:tc>
          <w:tcPr>
            <w:tcW w:w="1870" w:type="dxa"/>
          </w:tcPr>
          <w:p w:rsidR="004C7103" w:rsidP="00DE529D" w:rsidRDefault="004C7103" w14:paraId="206D9DFA" w14:textId="433B404B">
            <w:pPr>
              <w:widowControl/>
              <w:rPr>
                <w:rFonts w:ascii="Times New Roman" w:hAnsi="Times New Roman"/>
                <w:snapToGrid/>
                <w:sz w:val="24"/>
                <w:szCs w:val="24"/>
              </w:rPr>
            </w:pPr>
            <w:r>
              <w:rPr>
                <w:rFonts w:ascii="Times New Roman" w:hAnsi="Times New Roman"/>
                <w:snapToGrid/>
                <w:sz w:val="24"/>
                <w:szCs w:val="24"/>
              </w:rPr>
              <w:t>Total</w:t>
            </w:r>
          </w:p>
        </w:tc>
        <w:tc>
          <w:tcPr>
            <w:tcW w:w="1870" w:type="dxa"/>
          </w:tcPr>
          <w:p w:rsidR="004C7103" w:rsidP="00DE529D" w:rsidRDefault="00BA76E0" w14:paraId="28523CF7" w14:textId="414B668B">
            <w:pPr>
              <w:widowControl/>
              <w:rPr>
                <w:rFonts w:ascii="Times New Roman" w:hAnsi="Times New Roman"/>
                <w:snapToGrid/>
                <w:sz w:val="24"/>
                <w:szCs w:val="24"/>
              </w:rPr>
            </w:pPr>
            <w:r>
              <w:rPr>
                <w:rFonts w:ascii="Times New Roman" w:hAnsi="Times New Roman"/>
                <w:snapToGrid/>
                <w:sz w:val="24"/>
                <w:szCs w:val="24"/>
              </w:rPr>
              <w:t>$197,976</w:t>
            </w:r>
          </w:p>
        </w:tc>
        <w:tc>
          <w:tcPr>
            <w:tcW w:w="1870" w:type="dxa"/>
          </w:tcPr>
          <w:p w:rsidR="004C7103" w:rsidP="00DE529D" w:rsidRDefault="00BA76E0" w14:paraId="75F98B98" w14:textId="19ABFC24">
            <w:pPr>
              <w:widowControl/>
              <w:rPr>
                <w:rFonts w:ascii="Times New Roman" w:hAnsi="Times New Roman"/>
                <w:snapToGrid/>
                <w:sz w:val="24"/>
                <w:szCs w:val="24"/>
              </w:rPr>
            </w:pPr>
            <w:r>
              <w:rPr>
                <w:rFonts w:ascii="Times New Roman" w:hAnsi="Times New Roman"/>
                <w:snapToGrid/>
                <w:sz w:val="24"/>
                <w:szCs w:val="24"/>
              </w:rPr>
              <w:t>$211,437</w:t>
            </w:r>
          </w:p>
        </w:tc>
        <w:tc>
          <w:tcPr>
            <w:tcW w:w="1870" w:type="dxa"/>
          </w:tcPr>
          <w:p w:rsidR="004C7103" w:rsidP="00DE529D" w:rsidRDefault="00BA76E0" w14:paraId="016D4B72" w14:textId="7B1A18A4">
            <w:pPr>
              <w:widowControl/>
              <w:rPr>
                <w:rFonts w:ascii="Times New Roman" w:hAnsi="Times New Roman"/>
                <w:snapToGrid/>
                <w:sz w:val="24"/>
                <w:szCs w:val="24"/>
              </w:rPr>
            </w:pPr>
            <w:r>
              <w:rPr>
                <w:rFonts w:ascii="Times New Roman" w:hAnsi="Times New Roman"/>
                <w:snapToGrid/>
                <w:sz w:val="24"/>
                <w:szCs w:val="24"/>
              </w:rPr>
              <w:t>$224,441</w:t>
            </w:r>
          </w:p>
        </w:tc>
        <w:tc>
          <w:tcPr>
            <w:tcW w:w="1870" w:type="dxa"/>
          </w:tcPr>
          <w:p w:rsidR="004C7103" w:rsidP="00DE529D" w:rsidRDefault="00BA76E0" w14:paraId="58F40664" w14:textId="1BE24125">
            <w:pPr>
              <w:widowControl/>
              <w:rPr>
                <w:rFonts w:ascii="Times New Roman" w:hAnsi="Times New Roman"/>
                <w:snapToGrid/>
                <w:sz w:val="24"/>
                <w:szCs w:val="24"/>
              </w:rPr>
            </w:pPr>
            <w:r>
              <w:rPr>
                <w:rFonts w:ascii="Times New Roman" w:hAnsi="Times New Roman"/>
                <w:snapToGrid/>
                <w:sz w:val="24"/>
                <w:szCs w:val="24"/>
              </w:rPr>
              <w:t>$211,285</w:t>
            </w:r>
          </w:p>
        </w:tc>
      </w:tr>
    </w:tbl>
    <w:p w:rsidRPr="004F7B95" w:rsidR="004C7103" w:rsidP="00DE529D" w:rsidRDefault="004C7103" w14:paraId="25DB2456" w14:textId="77777777">
      <w:pPr>
        <w:widowControl/>
        <w:ind w:left="360"/>
        <w:rPr>
          <w:rFonts w:ascii="Times New Roman" w:hAnsi="Times New Roman"/>
          <w:snapToGrid/>
          <w:sz w:val="24"/>
          <w:szCs w:val="24"/>
        </w:rPr>
      </w:pPr>
    </w:p>
    <w:p w:rsidR="004C7103" w:rsidP="004C7103" w:rsidRDefault="004C7103" w14:paraId="50B4FCDA" w14:textId="77777777">
      <w:pPr>
        <w:widowControl/>
        <w:ind w:left="360"/>
        <w:rPr>
          <w:rFonts w:ascii="Times New Roman" w:hAnsi="Times New Roman"/>
          <w:snapToGrid/>
          <w:sz w:val="24"/>
          <w:szCs w:val="24"/>
        </w:rPr>
      </w:pPr>
      <w:r w:rsidRPr="004C7103">
        <w:rPr>
          <w:rFonts w:ascii="Times New Roman" w:hAnsi="Times New Roman"/>
          <w:snapToGrid/>
          <w:sz w:val="24"/>
          <w:szCs w:val="24"/>
        </w:rPr>
        <w:t>The dollar amounts displayed for the Office of Community Services represents a portion of two Federal staff salaries at a GS-12 level to perform the duties of a social services program specialist.</w:t>
      </w:r>
    </w:p>
    <w:p w:rsidRPr="004C7103" w:rsidR="004C7103" w:rsidP="004C7103" w:rsidRDefault="004C7103" w14:paraId="5EE6CAAB" w14:textId="38E5532F">
      <w:pPr>
        <w:widowControl/>
        <w:ind w:left="360"/>
        <w:rPr>
          <w:rFonts w:ascii="Times New Roman" w:hAnsi="Times New Roman"/>
          <w:snapToGrid/>
          <w:sz w:val="24"/>
          <w:szCs w:val="24"/>
        </w:rPr>
      </w:pPr>
      <w:r w:rsidRPr="004C7103">
        <w:rPr>
          <w:rFonts w:ascii="Times New Roman" w:hAnsi="Times New Roman"/>
          <w:snapToGrid/>
          <w:sz w:val="24"/>
          <w:szCs w:val="24"/>
        </w:rPr>
        <w:t xml:space="preserve">  </w:t>
      </w:r>
    </w:p>
    <w:p w:rsidRPr="004F7B95" w:rsidR="007935D5" w:rsidP="004C7103" w:rsidRDefault="004C7103" w14:paraId="61EB7859" w14:textId="56F9FDC0">
      <w:pPr>
        <w:widowControl/>
        <w:ind w:left="360"/>
        <w:rPr>
          <w:rFonts w:ascii="Times New Roman" w:hAnsi="Times New Roman"/>
          <w:snapToGrid/>
          <w:sz w:val="24"/>
          <w:szCs w:val="24"/>
        </w:rPr>
      </w:pPr>
      <w:r w:rsidRPr="004C7103">
        <w:rPr>
          <w:rFonts w:ascii="Times New Roman" w:hAnsi="Times New Roman"/>
          <w:snapToGrid/>
          <w:sz w:val="24"/>
          <w:szCs w:val="24"/>
        </w:rPr>
        <w:t>The dollar amount displayed for the Contractor Staff represents a team from Walter R. McDonald &amp; Associates, Inc. who provides data collection and support annually for the Office of Community Services.</w:t>
      </w:r>
    </w:p>
    <w:p w:rsidR="007935D5" w:rsidP="00DE529D" w:rsidRDefault="007935D5" w14:paraId="2174E1F3" w14:textId="77777777">
      <w:pPr>
        <w:widowControl/>
        <w:ind w:left="360"/>
        <w:rPr>
          <w:rFonts w:ascii="Times New Roman" w:hAnsi="Times New Roman"/>
          <w:snapToGrid/>
          <w:sz w:val="24"/>
          <w:szCs w:val="24"/>
        </w:rPr>
      </w:pPr>
    </w:p>
    <w:p w:rsidRPr="004F7B95" w:rsidR="00DE529D" w:rsidP="00C55E1E" w:rsidRDefault="00DE529D" w14:paraId="35C07DCF" w14:textId="77777777">
      <w:pPr>
        <w:widowControl/>
        <w:rPr>
          <w:rFonts w:ascii="Times New Roman" w:hAnsi="Times New Roman"/>
          <w:snapToGrid/>
          <w:sz w:val="24"/>
          <w:szCs w:val="24"/>
        </w:rPr>
      </w:pPr>
    </w:p>
    <w:p w:rsidRPr="00817E2B" w:rsidR="002C3C4F" w:rsidP="00817E2B" w:rsidRDefault="002C3C4F" w14:paraId="34A74A36"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210561" w:rsidR="00D60543" w:rsidP="00696C03" w:rsidRDefault="005557D5" w14:paraId="1CCB7D8F" w14:textId="67BE0102">
      <w:pPr>
        <w:widowControl/>
        <w:ind w:left="360"/>
        <w:rPr>
          <w:rFonts w:ascii="Times New Roman" w:hAnsi="Times New Roman"/>
          <w:snapToGrid/>
          <w:sz w:val="24"/>
          <w:szCs w:val="24"/>
        </w:rPr>
      </w:pPr>
      <w:r>
        <w:rPr>
          <w:rFonts w:ascii="Times New Roman" w:hAnsi="Times New Roman"/>
          <w:iCs/>
          <w:sz w:val="24"/>
          <w:szCs w:val="24"/>
        </w:rPr>
        <w:t>This request includes the addition of a standard reporting form for states to submit Intended Use Plans</w:t>
      </w:r>
      <w:r w:rsidR="002D1D4A">
        <w:rPr>
          <w:rFonts w:ascii="Times New Roman" w:hAnsi="Times New Roman"/>
          <w:iCs/>
          <w:sz w:val="24"/>
          <w:szCs w:val="24"/>
        </w:rPr>
        <w:t xml:space="preserve"> and also identifies burden for the pre-expenditure report more clearly in A12. The addition of the Intended Use Plan form and instructions increases burden under OMB #0970-0234. </w:t>
      </w:r>
    </w:p>
    <w:p w:rsidR="00D60543" w:rsidP="00823C59" w:rsidRDefault="00D60543" w14:paraId="215A8A91" w14:textId="77777777">
      <w:pPr>
        <w:widowControl/>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3B4A35" w:rsidP="00210561" w:rsidRDefault="006F5772" w14:paraId="0A750BDD" w14:textId="292FB762">
      <w:pPr>
        <w:widowControl/>
        <w:ind w:left="360"/>
        <w:rPr>
          <w:rFonts w:ascii="Times New Roman" w:hAnsi="Times New Roman"/>
          <w:snapToGrid/>
          <w:sz w:val="24"/>
          <w:szCs w:val="24"/>
        </w:rPr>
      </w:pPr>
      <w:r>
        <w:rPr>
          <w:rFonts w:ascii="Times New Roman" w:hAnsi="Times New Roman"/>
          <w:snapToGrid/>
          <w:sz w:val="24"/>
          <w:szCs w:val="24"/>
        </w:rPr>
        <w:t xml:space="preserve">States’ </w:t>
      </w:r>
      <w:r w:rsidR="00756878">
        <w:rPr>
          <w:rFonts w:ascii="Times New Roman" w:hAnsi="Times New Roman"/>
          <w:snapToGrid/>
          <w:sz w:val="24"/>
          <w:szCs w:val="24"/>
        </w:rPr>
        <w:t xml:space="preserve">Pre-Expenditure, Intended Use Plan and </w:t>
      </w:r>
      <w:r>
        <w:rPr>
          <w:rFonts w:ascii="Times New Roman" w:hAnsi="Times New Roman"/>
          <w:snapToGrid/>
          <w:sz w:val="24"/>
          <w:szCs w:val="24"/>
        </w:rPr>
        <w:t>Post-Expenditure Reports</w:t>
      </w:r>
      <w:r w:rsidRPr="00ED2D1A" w:rsidR="004C7103">
        <w:rPr>
          <w:rFonts w:ascii="Times New Roman" w:hAnsi="Times New Roman"/>
          <w:snapToGrid/>
          <w:sz w:val="24"/>
          <w:szCs w:val="24"/>
        </w:rPr>
        <w:t xml:space="preserve"> </w:t>
      </w:r>
      <w:r w:rsidR="00210561">
        <w:rPr>
          <w:rFonts w:ascii="Times New Roman" w:hAnsi="Times New Roman"/>
          <w:snapToGrid/>
          <w:sz w:val="24"/>
          <w:szCs w:val="24"/>
        </w:rPr>
        <w:t>provide data for</w:t>
      </w:r>
      <w:r w:rsidRPr="00ED2D1A" w:rsidR="004C7103">
        <w:rPr>
          <w:rFonts w:ascii="Times New Roman" w:hAnsi="Times New Roman"/>
          <w:snapToGrid/>
          <w:sz w:val="24"/>
          <w:szCs w:val="24"/>
        </w:rPr>
        <w:t xml:space="preserve"> the annual report on SSBG expenditures and recipients.</w:t>
      </w:r>
      <w:r w:rsidR="00417653">
        <w:rPr>
          <w:rFonts w:ascii="Times New Roman" w:hAnsi="Times New Roman"/>
          <w:snapToGrid/>
          <w:sz w:val="24"/>
          <w:szCs w:val="24"/>
        </w:rPr>
        <w:t xml:space="preserve"> The report is shared with grantees, federal partners</w:t>
      </w:r>
      <w:r>
        <w:rPr>
          <w:rFonts w:ascii="Times New Roman" w:hAnsi="Times New Roman"/>
          <w:snapToGrid/>
          <w:sz w:val="24"/>
          <w:szCs w:val="24"/>
        </w:rPr>
        <w:t>,</w:t>
      </w:r>
      <w:r w:rsidR="00417653">
        <w:rPr>
          <w:rFonts w:ascii="Times New Roman" w:hAnsi="Times New Roman"/>
          <w:snapToGrid/>
          <w:sz w:val="24"/>
          <w:szCs w:val="24"/>
        </w:rPr>
        <w:t xml:space="preserve"> and stakeholders through the SSBG website.</w:t>
      </w:r>
      <w:r w:rsidR="00210561">
        <w:rPr>
          <w:rFonts w:ascii="Times New Roman" w:hAnsi="Times New Roman"/>
          <w:snapToGrid/>
          <w:sz w:val="24"/>
          <w:szCs w:val="24"/>
        </w:rPr>
        <w:t xml:space="preserve"> </w:t>
      </w:r>
      <w:r w:rsidRPr="009229C4" w:rsidR="003B4A35">
        <w:rPr>
          <w:rFonts w:ascii="Times New Roman" w:hAnsi="Times New Roman"/>
          <w:snapToGrid/>
          <w:sz w:val="24"/>
          <w:szCs w:val="24"/>
        </w:rPr>
        <w:t xml:space="preserve">The schedule </w:t>
      </w:r>
      <w:r w:rsidR="005765EF">
        <w:rPr>
          <w:rFonts w:ascii="Times New Roman" w:hAnsi="Times New Roman"/>
          <w:snapToGrid/>
          <w:sz w:val="24"/>
          <w:szCs w:val="24"/>
        </w:rPr>
        <w:t xml:space="preserve">for </w:t>
      </w:r>
      <w:r w:rsidR="00417653">
        <w:rPr>
          <w:rFonts w:ascii="Times New Roman" w:hAnsi="Times New Roman"/>
          <w:snapToGrid/>
          <w:sz w:val="24"/>
          <w:szCs w:val="24"/>
        </w:rPr>
        <w:t xml:space="preserve">the </w:t>
      </w:r>
      <w:r w:rsidRPr="009229C4" w:rsidR="00417653">
        <w:rPr>
          <w:rFonts w:ascii="Times New Roman" w:hAnsi="Times New Roman"/>
          <w:snapToGrid/>
          <w:sz w:val="24"/>
          <w:szCs w:val="24"/>
        </w:rPr>
        <w:t>annual</w:t>
      </w:r>
      <w:r w:rsidRPr="009229C4" w:rsidR="003B4A35">
        <w:rPr>
          <w:rFonts w:ascii="Times New Roman" w:hAnsi="Times New Roman"/>
          <w:snapToGrid/>
          <w:sz w:val="24"/>
          <w:szCs w:val="24"/>
        </w:rPr>
        <w:t xml:space="preserve"> report is as follows: </w:t>
      </w:r>
    </w:p>
    <w:p w:rsidR="00756878" w:rsidP="00210561" w:rsidRDefault="00756878" w14:paraId="269AE9D8" w14:textId="24DC36FC">
      <w:pPr>
        <w:widowControl/>
        <w:ind w:left="360"/>
        <w:rPr>
          <w:rFonts w:ascii="Times New Roman" w:hAnsi="Times New Roman"/>
          <w:snapToGrid/>
          <w:sz w:val="24"/>
          <w:szCs w:val="24"/>
        </w:rPr>
      </w:pPr>
    </w:p>
    <w:p w:rsidR="00756878" w:rsidP="00210561" w:rsidRDefault="00756878" w14:paraId="2F3615B3" w14:textId="6BA72E59">
      <w:pPr>
        <w:widowControl/>
        <w:ind w:left="360"/>
        <w:rPr>
          <w:rFonts w:ascii="Times New Roman" w:hAnsi="Times New Roman"/>
          <w:snapToGrid/>
          <w:sz w:val="24"/>
          <w:szCs w:val="24"/>
        </w:rPr>
      </w:pPr>
      <w:r>
        <w:rPr>
          <w:rFonts w:ascii="Times New Roman" w:hAnsi="Times New Roman"/>
          <w:snapToGrid/>
          <w:sz w:val="24"/>
          <w:szCs w:val="24"/>
        </w:rPr>
        <w:tab/>
        <w:t>Pre-Expenditure</w:t>
      </w:r>
      <w:r w:rsidR="001356D5">
        <w:rPr>
          <w:rFonts w:ascii="Times New Roman" w:hAnsi="Times New Roman"/>
          <w:snapToGrid/>
          <w:sz w:val="24"/>
          <w:szCs w:val="24"/>
        </w:rPr>
        <w:t xml:space="preserve"> Report</w:t>
      </w:r>
      <w:r w:rsidR="008E07F4">
        <w:rPr>
          <w:rFonts w:ascii="Times New Roman" w:hAnsi="Times New Roman"/>
          <w:snapToGrid/>
          <w:sz w:val="24"/>
          <w:szCs w:val="24"/>
        </w:rPr>
        <w:t>/Intended Use Plan</w:t>
      </w:r>
      <w:r>
        <w:rPr>
          <w:rFonts w:ascii="Times New Roman" w:hAnsi="Times New Roman"/>
          <w:snapToGrid/>
          <w:sz w:val="24"/>
          <w:szCs w:val="24"/>
        </w:rPr>
        <w:t xml:space="preserve"> :</w:t>
      </w:r>
    </w:p>
    <w:p w:rsidR="00756878" w:rsidP="00E826AF" w:rsidRDefault="00B3356A" w14:paraId="1CFE10A1" w14:textId="6260F35C">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An annual Pre-Expenditure Report that describes how the State plans to administer its SSBG funds for the upcoming year must be submitted prior to receipt of a SSBG allotment. This report</w:t>
      </w:r>
      <w:r w:rsidR="008E07F4">
        <w:rPr>
          <w:rFonts w:ascii="Times New Roman" w:hAnsi="Times New Roman"/>
          <w:snapToGrid/>
          <w:sz w:val="24"/>
          <w:szCs w:val="24"/>
        </w:rPr>
        <w:t xml:space="preserve"> must be submitted 30 days prior to the start of the fiscal year (June 1 if the state operates on a State Fiscal Year, or September 1 if the state operates on a Federal Fiscal Year.</w:t>
      </w:r>
    </w:p>
    <w:p w:rsidR="008E07F4" w:rsidP="00E826AF" w:rsidRDefault="008E07F4" w14:paraId="3C64F31A" w14:textId="57310253">
      <w:pPr>
        <w:pStyle w:val="ListParagraph"/>
        <w:widowControl/>
        <w:rPr>
          <w:rFonts w:ascii="Times New Roman" w:hAnsi="Times New Roman"/>
          <w:snapToGrid/>
          <w:sz w:val="24"/>
          <w:szCs w:val="24"/>
        </w:rPr>
      </w:pPr>
    </w:p>
    <w:p w:rsidR="008E07F4" w:rsidP="00E826AF" w:rsidRDefault="008E07F4" w14:paraId="0E33098A" w14:textId="02E8D47B">
      <w:pPr>
        <w:pStyle w:val="ListParagraph"/>
        <w:widowControl/>
        <w:rPr>
          <w:rFonts w:ascii="Times New Roman" w:hAnsi="Times New Roman"/>
          <w:snapToGrid/>
          <w:sz w:val="24"/>
          <w:szCs w:val="24"/>
        </w:rPr>
      </w:pPr>
      <w:r>
        <w:rPr>
          <w:rFonts w:ascii="Times New Roman" w:hAnsi="Times New Roman"/>
          <w:snapToGrid/>
          <w:sz w:val="24"/>
          <w:szCs w:val="24"/>
        </w:rPr>
        <w:t>Examples:</w:t>
      </w:r>
    </w:p>
    <w:p w:rsidR="008E07F4" w:rsidP="00E826AF" w:rsidRDefault="008E07F4" w14:paraId="31496A6B" w14:textId="2D17D4D5">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 xml:space="preserve">The report or plan covers State Fiscal Year 2021, which runs from July 1, 2020 to June 30, 2021. </w:t>
      </w:r>
    </w:p>
    <w:p w:rsidRPr="00E826AF" w:rsidR="008E07F4" w:rsidP="00E826AF" w:rsidRDefault="008E07F4" w14:paraId="7C8F7742" w14:textId="178AD146">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The report or plan covers Federal Fiscal Year 2021, which runs from October 1, 2020 to September 30, 2021.</w:t>
      </w:r>
    </w:p>
    <w:p w:rsidR="00756878" w:rsidP="00210561" w:rsidRDefault="00756878" w14:paraId="6D5232C1" w14:textId="2F85740D">
      <w:pPr>
        <w:widowControl/>
        <w:ind w:left="360"/>
        <w:rPr>
          <w:rFonts w:ascii="Times New Roman" w:hAnsi="Times New Roman"/>
          <w:snapToGrid/>
          <w:sz w:val="24"/>
          <w:szCs w:val="24"/>
        </w:rPr>
      </w:pPr>
    </w:p>
    <w:p w:rsidRPr="009229C4" w:rsidR="00756878" w:rsidP="00210561" w:rsidRDefault="00756878" w14:paraId="2DC1EA45" w14:textId="24E27E23">
      <w:pPr>
        <w:widowControl/>
        <w:ind w:left="360"/>
        <w:rPr>
          <w:rFonts w:ascii="Times New Roman" w:hAnsi="Times New Roman"/>
          <w:snapToGrid/>
          <w:sz w:val="24"/>
          <w:szCs w:val="24"/>
        </w:rPr>
      </w:pPr>
      <w:r>
        <w:rPr>
          <w:rFonts w:ascii="Times New Roman" w:hAnsi="Times New Roman"/>
          <w:snapToGrid/>
          <w:sz w:val="24"/>
          <w:szCs w:val="24"/>
        </w:rPr>
        <w:tab/>
        <w:t xml:space="preserve">Post-Expenditure Reporting </w:t>
      </w:r>
    </w:p>
    <w:p w:rsidRPr="009229C4" w:rsidR="003B4A35" w:rsidP="003B4A35" w:rsidRDefault="003B4A35" w14:paraId="4754E657" w14:textId="77777777">
      <w:pPr>
        <w:widowControl/>
        <w:ind w:left="360"/>
        <w:rPr>
          <w:rFonts w:ascii="Times New Roman" w:hAnsi="Times New Roman"/>
          <w:snapToGrid/>
          <w:sz w:val="24"/>
          <w:szCs w:val="24"/>
        </w:rPr>
      </w:pPr>
      <w:r w:rsidRPr="009229C4">
        <w:rPr>
          <w:rFonts w:ascii="Times New Roman" w:hAnsi="Times New Roman"/>
          <w:snapToGrid/>
          <w:sz w:val="24"/>
          <w:szCs w:val="24"/>
        </w:rPr>
        <w:t xml:space="preserve"> </w:t>
      </w:r>
    </w:p>
    <w:p w:rsidRPr="00417653" w:rsidR="003B4A35" w:rsidP="00417653" w:rsidRDefault="003B4A35" w14:paraId="15408D7E" w14:textId="6586EAE1">
      <w:pPr>
        <w:pStyle w:val="ListParagraph"/>
        <w:widowControl/>
        <w:numPr>
          <w:ilvl w:val="0"/>
          <w:numId w:val="25"/>
        </w:numPr>
        <w:rPr>
          <w:rFonts w:ascii="Times New Roman" w:hAnsi="Times New Roman"/>
          <w:snapToGrid/>
          <w:sz w:val="24"/>
          <w:szCs w:val="24"/>
        </w:rPr>
      </w:pPr>
      <w:r w:rsidRPr="009229C4">
        <w:rPr>
          <w:rFonts w:ascii="Times New Roman" w:hAnsi="Times New Roman"/>
          <w:snapToGrid/>
          <w:sz w:val="24"/>
          <w:szCs w:val="24"/>
        </w:rPr>
        <w:t xml:space="preserve">States </w:t>
      </w:r>
      <w:r w:rsidR="00417653">
        <w:rPr>
          <w:rFonts w:ascii="Times New Roman" w:hAnsi="Times New Roman"/>
          <w:snapToGrid/>
          <w:sz w:val="24"/>
          <w:szCs w:val="24"/>
        </w:rPr>
        <w:t xml:space="preserve">will submit the Post-Expenditure Report no later than 6 months after the end of their fiscal year. Grantees </w:t>
      </w:r>
      <w:r w:rsidRPr="009229C4">
        <w:rPr>
          <w:rFonts w:ascii="Times New Roman" w:hAnsi="Times New Roman"/>
          <w:snapToGrid/>
          <w:sz w:val="24"/>
          <w:szCs w:val="24"/>
        </w:rPr>
        <w:t xml:space="preserve">that report on a State Fiscal Year, which will end on June 30, will submit the Post-Expenditure Report by December 30.  </w:t>
      </w:r>
      <w:r w:rsidRPr="00417653">
        <w:rPr>
          <w:rFonts w:ascii="Times New Roman" w:hAnsi="Times New Roman"/>
          <w:snapToGrid/>
          <w:sz w:val="24"/>
          <w:szCs w:val="24"/>
        </w:rPr>
        <w:t xml:space="preserve">States that report on the Federal Fiscal Year, which will end on September 30, will submit their Post-Expenditure Reports by March </w:t>
      </w:r>
      <w:r w:rsidR="00417653">
        <w:rPr>
          <w:rFonts w:ascii="Times New Roman" w:hAnsi="Times New Roman"/>
          <w:snapToGrid/>
          <w:sz w:val="24"/>
          <w:szCs w:val="24"/>
        </w:rPr>
        <w:t xml:space="preserve">30 of the following calendar year. </w:t>
      </w:r>
      <w:r w:rsidRPr="00417653">
        <w:rPr>
          <w:rFonts w:ascii="Times New Roman" w:hAnsi="Times New Roman"/>
          <w:snapToGrid/>
          <w:sz w:val="24"/>
          <w:szCs w:val="24"/>
        </w:rPr>
        <w:t xml:space="preserve"> </w:t>
      </w:r>
    </w:p>
    <w:p w:rsidRPr="009229C4" w:rsidR="003B4A35" w:rsidP="00696C03" w:rsidRDefault="00AB2112" w14:paraId="6880E1CE" w14:textId="00A0BD81">
      <w:pPr>
        <w:pStyle w:val="ListParagraph"/>
        <w:widowControl/>
        <w:numPr>
          <w:ilvl w:val="0"/>
          <w:numId w:val="25"/>
        </w:numPr>
        <w:jc w:val="both"/>
        <w:rPr>
          <w:rFonts w:ascii="Times New Roman" w:hAnsi="Times New Roman"/>
          <w:snapToGrid/>
          <w:sz w:val="24"/>
          <w:szCs w:val="24"/>
        </w:rPr>
      </w:pPr>
      <w:r>
        <w:rPr>
          <w:rFonts w:ascii="Times New Roman" w:hAnsi="Times New Roman"/>
          <w:snapToGrid/>
          <w:sz w:val="24"/>
          <w:szCs w:val="24"/>
        </w:rPr>
        <w:t>The OCS contractor develops a draft and submits to</w:t>
      </w:r>
      <w:r w:rsidR="00417653">
        <w:rPr>
          <w:rFonts w:ascii="Times New Roman" w:hAnsi="Times New Roman"/>
          <w:snapToGrid/>
          <w:sz w:val="24"/>
          <w:szCs w:val="24"/>
        </w:rPr>
        <w:t xml:space="preserve"> OCS for review in June</w:t>
      </w:r>
      <w:r w:rsidR="009D1845">
        <w:rPr>
          <w:rFonts w:ascii="Times New Roman" w:hAnsi="Times New Roman"/>
          <w:snapToGrid/>
          <w:sz w:val="24"/>
          <w:szCs w:val="24"/>
        </w:rPr>
        <w:t>, 3 months after States reporting on the Federal Fiscal Year submit their Post-Expenditure Reports.</w:t>
      </w:r>
      <w:r w:rsidRPr="009229C4" w:rsidR="003B4A35">
        <w:rPr>
          <w:rFonts w:ascii="Times New Roman" w:hAnsi="Times New Roman"/>
          <w:snapToGrid/>
          <w:sz w:val="24"/>
          <w:szCs w:val="24"/>
        </w:rPr>
        <w:t xml:space="preserve"> </w:t>
      </w:r>
      <w:r>
        <w:rPr>
          <w:rFonts w:ascii="Times New Roman" w:hAnsi="Times New Roman"/>
          <w:snapToGrid/>
          <w:sz w:val="24"/>
          <w:szCs w:val="24"/>
        </w:rPr>
        <w:t xml:space="preserve"> </w:t>
      </w:r>
    </w:p>
    <w:p w:rsidRPr="009229C4" w:rsidR="003B4A35" w:rsidP="00696C03" w:rsidRDefault="003B4A35" w14:paraId="33637D2B" w14:textId="61F1BF15">
      <w:pPr>
        <w:pStyle w:val="ListParagraph"/>
        <w:widowControl/>
        <w:numPr>
          <w:ilvl w:val="0"/>
          <w:numId w:val="25"/>
        </w:numPr>
        <w:jc w:val="both"/>
        <w:rPr>
          <w:rFonts w:ascii="Times New Roman" w:hAnsi="Times New Roman"/>
          <w:snapToGrid/>
          <w:sz w:val="24"/>
          <w:szCs w:val="24"/>
        </w:rPr>
      </w:pPr>
      <w:r w:rsidRPr="009229C4">
        <w:rPr>
          <w:rFonts w:ascii="Times New Roman" w:hAnsi="Times New Roman"/>
          <w:snapToGrid/>
          <w:sz w:val="24"/>
          <w:szCs w:val="24"/>
        </w:rPr>
        <w:t>The second draft will be submitted fo</w:t>
      </w:r>
      <w:r w:rsidR="00417653">
        <w:rPr>
          <w:rFonts w:ascii="Times New Roman" w:hAnsi="Times New Roman"/>
          <w:snapToGrid/>
          <w:sz w:val="24"/>
          <w:szCs w:val="24"/>
        </w:rPr>
        <w:t>r clearance within ACF in July</w:t>
      </w:r>
      <w:r w:rsidRPr="009229C4">
        <w:rPr>
          <w:rFonts w:ascii="Times New Roman" w:hAnsi="Times New Roman"/>
          <w:snapToGrid/>
          <w:sz w:val="24"/>
          <w:szCs w:val="24"/>
        </w:rPr>
        <w:t xml:space="preserve">. </w:t>
      </w:r>
    </w:p>
    <w:p w:rsidRPr="009229C4" w:rsidR="003B4A35" w:rsidP="00696C03" w:rsidRDefault="003B4A35" w14:paraId="0AC5B297" w14:textId="0F7CA097">
      <w:pPr>
        <w:pStyle w:val="ListParagraph"/>
        <w:widowControl/>
        <w:numPr>
          <w:ilvl w:val="0"/>
          <w:numId w:val="25"/>
        </w:numPr>
        <w:jc w:val="both"/>
        <w:rPr>
          <w:rFonts w:ascii="Times New Roman" w:hAnsi="Times New Roman"/>
          <w:snapToGrid/>
          <w:sz w:val="24"/>
          <w:szCs w:val="24"/>
        </w:rPr>
      </w:pPr>
      <w:r w:rsidRPr="009229C4">
        <w:rPr>
          <w:rFonts w:ascii="Times New Roman" w:hAnsi="Times New Roman"/>
          <w:snapToGrid/>
          <w:sz w:val="24"/>
          <w:szCs w:val="24"/>
        </w:rPr>
        <w:t>The final report will be submitted</w:t>
      </w:r>
      <w:r w:rsidR="00417653">
        <w:rPr>
          <w:rFonts w:ascii="Times New Roman" w:hAnsi="Times New Roman"/>
          <w:snapToGrid/>
          <w:sz w:val="24"/>
          <w:szCs w:val="24"/>
        </w:rPr>
        <w:t xml:space="preserve"> for review by </w:t>
      </w:r>
      <w:r w:rsidR="006F5772">
        <w:rPr>
          <w:rFonts w:ascii="Times New Roman" w:hAnsi="Times New Roman"/>
          <w:snapToGrid/>
          <w:sz w:val="24"/>
          <w:szCs w:val="24"/>
        </w:rPr>
        <w:t>ACF’s Office of Administration</w:t>
      </w:r>
      <w:r w:rsidR="00417653">
        <w:rPr>
          <w:rFonts w:ascii="Times New Roman" w:hAnsi="Times New Roman"/>
          <w:snapToGrid/>
          <w:sz w:val="24"/>
          <w:szCs w:val="24"/>
        </w:rPr>
        <w:t xml:space="preserve"> in August</w:t>
      </w:r>
      <w:r w:rsidRPr="009229C4">
        <w:rPr>
          <w:rFonts w:ascii="Times New Roman" w:hAnsi="Times New Roman"/>
          <w:snapToGrid/>
          <w:sz w:val="24"/>
          <w:szCs w:val="24"/>
        </w:rPr>
        <w:t xml:space="preserve">. </w:t>
      </w:r>
    </w:p>
    <w:p w:rsidRPr="009229C4" w:rsidR="003B4A35" w:rsidP="00696C03" w:rsidRDefault="003B4A35" w14:paraId="5D6107C5" w14:textId="100D21D9">
      <w:pPr>
        <w:pStyle w:val="ListParagraph"/>
        <w:widowControl/>
        <w:numPr>
          <w:ilvl w:val="0"/>
          <w:numId w:val="25"/>
        </w:numPr>
        <w:jc w:val="both"/>
        <w:rPr>
          <w:rFonts w:ascii="Times New Roman" w:hAnsi="Times New Roman"/>
          <w:snapToGrid/>
          <w:sz w:val="24"/>
          <w:szCs w:val="24"/>
        </w:rPr>
      </w:pPr>
      <w:r w:rsidRPr="009229C4">
        <w:rPr>
          <w:rFonts w:ascii="Times New Roman" w:hAnsi="Times New Roman"/>
          <w:snapToGrid/>
          <w:sz w:val="24"/>
          <w:szCs w:val="24"/>
        </w:rPr>
        <w:t>The annual report will be submitted f</w:t>
      </w:r>
      <w:r w:rsidR="00417653">
        <w:rPr>
          <w:rFonts w:ascii="Times New Roman" w:hAnsi="Times New Roman"/>
          <w:snapToGrid/>
          <w:sz w:val="24"/>
          <w:szCs w:val="24"/>
        </w:rPr>
        <w:t>or publication in September</w:t>
      </w:r>
      <w:r w:rsidRPr="009229C4">
        <w:rPr>
          <w:rFonts w:ascii="Times New Roman" w:hAnsi="Times New Roman"/>
          <w:snapToGrid/>
          <w:sz w:val="24"/>
          <w:szCs w:val="24"/>
        </w:rPr>
        <w:t>.</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4C7103" w14:paraId="30989008" w14:textId="084B19CA">
      <w:pPr>
        <w:widowControl/>
        <w:ind w:left="360" w:hanging="90"/>
        <w:rPr>
          <w:rFonts w:ascii="Times New Roman" w:hAnsi="Times New Roman"/>
          <w:snapToGrid/>
          <w:sz w:val="24"/>
          <w:szCs w:val="24"/>
        </w:rPr>
      </w:pPr>
      <w:r w:rsidRPr="004C7103">
        <w:rPr>
          <w:rFonts w:ascii="Times New Roman" w:hAnsi="Times New Roman"/>
          <w:snapToGrid/>
          <w:sz w:val="24"/>
          <w:szCs w:val="24"/>
        </w:rPr>
        <w:t>The expiration date for OMB approval will be displayed.</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4C7103" w:rsidR="007935D5" w:rsidP="00DE529D" w:rsidRDefault="004C7103" w14:paraId="53A56BC6" w14:textId="75CF2D10">
      <w:pPr>
        <w:widowControl/>
        <w:ind w:left="360"/>
        <w:rPr>
          <w:rFonts w:ascii="Times New Roman" w:hAnsi="Times New Roman"/>
          <w:bCs/>
          <w:snapToGrid/>
          <w:sz w:val="24"/>
          <w:szCs w:val="24"/>
        </w:rPr>
      </w:pPr>
      <w:r w:rsidRPr="004C7103">
        <w:rPr>
          <w:rFonts w:ascii="Times New Roman" w:hAnsi="Times New Roman"/>
          <w:bCs/>
          <w:snapToGrid/>
          <w:sz w:val="24"/>
          <w:szCs w:val="24"/>
        </w:rPr>
        <w:t>No exceptions to the certification statement are necessary.</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Pr="000C043E" w:rsidR="00DE529D" w:rsidP="000C043E" w:rsidRDefault="00DE529D" w14:paraId="64AD5CFF" w14:textId="3DFA9D26">
      <w:pPr>
        <w:pStyle w:val="ReportCover-Title"/>
        <w:rPr>
          <w:rFonts w:ascii="Times New Roman" w:hAnsi="Times New Roman"/>
          <w:b w:val="0"/>
          <w:bCs/>
          <w:sz w:val="24"/>
          <w:szCs w:val="24"/>
        </w:rPr>
      </w:pPr>
    </w:p>
    <w:sectPr w:rsidRPr="000C043E"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001F4" w14:textId="77777777" w:rsidR="00A66797" w:rsidRDefault="00A66797">
      <w:pPr>
        <w:spacing w:line="20" w:lineRule="exact"/>
        <w:rPr>
          <w:sz w:val="24"/>
        </w:rPr>
      </w:pPr>
    </w:p>
  </w:endnote>
  <w:endnote w:type="continuationSeparator" w:id="0">
    <w:p w14:paraId="48743236" w14:textId="77777777" w:rsidR="00A66797" w:rsidRDefault="00A66797">
      <w:r>
        <w:rPr>
          <w:sz w:val="24"/>
        </w:rPr>
        <w:t xml:space="preserve"> </w:t>
      </w:r>
    </w:p>
  </w:endnote>
  <w:endnote w:type="continuationNotice" w:id="1">
    <w:p w14:paraId="05D09E42" w14:textId="77777777" w:rsidR="00A66797" w:rsidRDefault="00A667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210561" w:rsidRDefault="00210561">
    <w:pPr>
      <w:spacing w:before="140" w:line="100" w:lineRule="exact"/>
      <w:rPr>
        <w:sz w:val="10"/>
      </w:rPr>
    </w:pPr>
  </w:p>
  <w:p w14:paraId="04F6D2D5" w14:textId="77777777" w:rsidR="00210561" w:rsidRDefault="00210561">
    <w:pPr>
      <w:tabs>
        <w:tab w:val="left" w:pos="-720"/>
      </w:tabs>
      <w:suppressAutoHyphens/>
      <w:rPr>
        <w:sz w:val="24"/>
      </w:rPr>
    </w:pPr>
  </w:p>
  <w:p w14:paraId="0C02EA95" w14:textId="4904B914" w:rsidR="00210561" w:rsidRDefault="0021056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15DE1BA3" w:rsidR="00210561" w:rsidRDefault="0021056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87B2B">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15DE1BA3" w:rsidR="00210561" w:rsidRDefault="0021056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87B2B">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ABB5F" w14:textId="77777777" w:rsidR="00A66797" w:rsidRDefault="00A66797">
      <w:r>
        <w:rPr>
          <w:sz w:val="24"/>
        </w:rPr>
        <w:separator/>
      </w:r>
    </w:p>
  </w:footnote>
  <w:footnote w:type="continuationSeparator" w:id="0">
    <w:p w14:paraId="45AB2390" w14:textId="77777777" w:rsidR="00A66797" w:rsidRDefault="00A66797">
      <w:r>
        <w:continuationSeparator/>
      </w:r>
    </w:p>
  </w:footnote>
  <w:footnote w:id="1">
    <w:p w14:paraId="12365DB6" w14:textId="620BF4DE" w:rsidR="0022529F" w:rsidRPr="00696C03" w:rsidRDefault="0022529F">
      <w:pPr>
        <w:pStyle w:val="FootnoteText"/>
        <w:rPr>
          <w:rFonts w:ascii="Times New Roman" w:hAnsi="Times New Roman"/>
        </w:rPr>
      </w:pPr>
      <w:r w:rsidRPr="00696C03">
        <w:rPr>
          <w:rStyle w:val="FootnoteReference"/>
          <w:rFonts w:ascii="Times New Roman" w:hAnsi="Times New Roman"/>
        </w:rPr>
        <w:footnoteRef/>
      </w:r>
      <w:r w:rsidRPr="00696C03">
        <w:rPr>
          <w:rFonts w:ascii="Times New Roman" w:hAnsi="Times New Roman"/>
        </w:rPr>
        <w:t xml:space="preserve"> </w:t>
      </w:r>
      <w:hyperlink r:id="rId1" w:history="1">
        <w:r w:rsidRPr="00696C03">
          <w:rPr>
            <w:rStyle w:val="Hyperlink"/>
            <w:rFonts w:ascii="Times New Roman" w:hAnsi="Times New Roman"/>
          </w:rPr>
          <w:t>https://www.bls.gov/oes/current/oes119151.htm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86861"/>
    <w:multiLevelType w:val="hybridMultilevel"/>
    <w:tmpl w:val="527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405F"/>
    <w:multiLevelType w:val="hybridMultilevel"/>
    <w:tmpl w:val="5E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0C06"/>
    <w:multiLevelType w:val="hybridMultilevel"/>
    <w:tmpl w:val="4B4ADF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76090"/>
    <w:multiLevelType w:val="hybridMultilevel"/>
    <w:tmpl w:val="24C03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E76D7D"/>
    <w:multiLevelType w:val="hybridMultilevel"/>
    <w:tmpl w:val="6C0C6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CD585E"/>
    <w:multiLevelType w:val="hybridMultilevel"/>
    <w:tmpl w:val="F894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A0E862F4"/>
    <w:lvl w:ilvl="0">
      <w:start w:val="1"/>
      <w:numFmt w:val="decimal"/>
      <w:lvlText w:val="%1."/>
      <w:lvlJc w:val="left"/>
      <w:pPr>
        <w:tabs>
          <w:tab w:val="num" w:pos="360"/>
        </w:tabs>
        <w:ind w:left="360" w:hanging="360"/>
      </w:pPr>
      <w:rPr>
        <w:b/>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20"/>
  </w:num>
  <w:num w:numId="4">
    <w:abstractNumId w:val="8"/>
  </w:num>
  <w:num w:numId="5">
    <w:abstractNumId w:val="13"/>
  </w:num>
  <w:num w:numId="6">
    <w:abstractNumId w:val="16"/>
  </w:num>
  <w:num w:numId="7">
    <w:abstractNumId w:val="3"/>
  </w:num>
  <w:num w:numId="8">
    <w:abstractNumId w:val="15"/>
  </w:num>
  <w:num w:numId="9">
    <w:abstractNumId w:val="21"/>
  </w:num>
  <w:num w:numId="10">
    <w:abstractNumId w:val="14"/>
  </w:num>
  <w:num w:numId="11">
    <w:abstractNumId w:val="12"/>
  </w:num>
  <w:num w:numId="12">
    <w:abstractNumId w:val="0"/>
  </w:num>
  <w:num w:numId="13">
    <w:abstractNumId w:val="23"/>
  </w:num>
  <w:num w:numId="14">
    <w:abstractNumId w:val="1"/>
  </w:num>
  <w:num w:numId="15">
    <w:abstractNumId w:val="6"/>
  </w:num>
  <w:num w:numId="16">
    <w:abstractNumId w:val="19"/>
  </w:num>
  <w:num w:numId="17">
    <w:abstractNumId w:val="24"/>
  </w:num>
  <w:num w:numId="18">
    <w:abstractNumId w:val="7"/>
  </w:num>
  <w:num w:numId="19">
    <w:abstractNumId w:val="25"/>
  </w:num>
  <w:num w:numId="20">
    <w:abstractNumId w:val="22"/>
  </w:num>
  <w:num w:numId="21">
    <w:abstractNumId w:val="10"/>
  </w:num>
  <w:num w:numId="22">
    <w:abstractNumId w:val="5"/>
  </w:num>
  <w:num w:numId="23">
    <w:abstractNumId w:val="2"/>
  </w:num>
  <w:num w:numId="24">
    <w:abstractNumId w:val="9"/>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33F0"/>
    <w:rsid w:val="00007696"/>
    <w:rsid w:val="00022586"/>
    <w:rsid w:val="00040EAE"/>
    <w:rsid w:val="00056C4B"/>
    <w:rsid w:val="00073AF7"/>
    <w:rsid w:val="00075889"/>
    <w:rsid w:val="00075D90"/>
    <w:rsid w:val="00076749"/>
    <w:rsid w:val="0009007E"/>
    <w:rsid w:val="000975DD"/>
    <w:rsid w:val="000A1771"/>
    <w:rsid w:val="000B0ECF"/>
    <w:rsid w:val="000C043E"/>
    <w:rsid w:val="000D6BDE"/>
    <w:rsid w:val="000D7D45"/>
    <w:rsid w:val="000F0031"/>
    <w:rsid w:val="000F069F"/>
    <w:rsid w:val="000F54C1"/>
    <w:rsid w:val="00102200"/>
    <w:rsid w:val="00113260"/>
    <w:rsid w:val="001242CD"/>
    <w:rsid w:val="001337B5"/>
    <w:rsid w:val="001356D5"/>
    <w:rsid w:val="0014145B"/>
    <w:rsid w:val="00160621"/>
    <w:rsid w:val="00186385"/>
    <w:rsid w:val="001A67E2"/>
    <w:rsid w:val="001C3D40"/>
    <w:rsid w:val="001C4214"/>
    <w:rsid w:val="001C483C"/>
    <w:rsid w:val="001C7E7F"/>
    <w:rsid w:val="001C7FFE"/>
    <w:rsid w:val="001D1651"/>
    <w:rsid w:val="00210561"/>
    <w:rsid w:val="0021151C"/>
    <w:rsid w:val="00220F3F"/>
    <w:rsid w:val="002228D8"/>
    <w:rsid w:val="00222C7F"/>
    <w:rsid w:val="0022529F"/>
    <w:rsid w:val="00226C42"/>
    <w:rsid w:val="00234235"/>
    <w:rsid w:val="002464EB"/>
    <w:rsid w:val="00247E38"/>
    <w:rsid w:val="002509BD"/>
    <w:rsid w:val="00290A1C"/>
    <w:rsid w:val="0029589B"/>
    <w:rsid w:val="00296738"/>
    <w:rsid w:val="002C3C4F"/>
    <w:rsid w:val="002D1D4A"/>
    <w:rsid w:val="002D23F7"/>
    <w:rsid w:val="002E10D1"/>
    <w:rsid w:val="002F1064"/>
    <w:rsid w:val="0031072B"/>
    <w:rsid w:val="003405A4"/>
    <w:rsid w:val="0034368C"/>
    <w:rsid w:val="00354319"/>
    <w:rsid w:val="0038209B"/>
    <w:rsid w:val="00382253"/>
    <w:rsid w:val="00387DD3"/>
    <w:rsid w:val="003B48F8"/>
    <w:rsid w:val="003B4A35"/>
    <w:rsid w:val="003B7A50"/>
    <w:rsid w:val="003C1D6E"/>
    <w:rsid w:val="003E5885"/>
    <w:rsid w:val="003E6B79"/>
    <w:rsid w:val="003E6EA3"/>
    <w:rsid w:val="00402D24"/>
    <w:rsid w:val="00405C10"/>
    <w:rsid w:val="004110F5"/>
    <w:rsid w:val="00415038"/>
    <w:rsid w:val="00417653"/>
    <w:rsid w:val="00422E1D"/>
    <w:rsid w:val="00432848"/>
    <w:rsid w:val="0045649E"/>
    <w:rsid w:val="004602FE"/>
    <w:rsid w:val="00467954"/>
    <w:rsid w:val="00476C1F"/>
    <w:rsid w:val="00480072"/>
    <w:rsid w:val="00484A04"/>
    <w:rsid w:val="00490457"/>
    <w:rsid w:val="0049119A"/>
    <w:rsid w:val="004943E0"/>
    <w:rsid w:val="004C7103"/>
    <w:rsid w:val="004D25DC"/>
    <w:rsid w:val="004E526E"/>
    <w:rsid w:val="004F042A"/>
    <w:rsid w:val="004F0B25"/>
    <w:rsid w:val="004F45CE"/>
    <w:rsid w:val="004F7B95"/>
    <w:rsid w:val="0051278C"/>
    <w:rsid w:val="00522C18"/>
    <w:rsid w:val="00533313"/>
    <w:rsid w:val="00541E51"/>
    <w:rsid w:val="005520C3"/>
    <w:rsid w:val="005557D5"/>
    <w:rsid w:val="00556056"/>
    <w:rsid w:val="005765EF"/>
    <w:rsid w:val="005824BD"/>
    <w:rsid w:val="00597E7F"/>
    <w:rsid w:val="005B00FC"/>
    <w:rsid w:val="005B22D4"/>
    <w:rsid w:val="005C60F1"/>
    <w:rsid w:val="005D1B7E"/>
    <w:rsid w:val="005D274E"/>
    <w:rsid w:val="005D61DB"/>
    <w:rsid w:val="005E0B35"/>
    <w:rsid w:val="005E311D"/>
    <w:rsid w:val="005F0ED4"/>
    <w:rsid w:val="005F3B45"/>
    <w:rsid w:val="00603498"/>
    <w:rsid w:val="00634E1D"/>
    <w:rsid w:val="00640565"/>
    <w:rsid w:val="00651F0F"/>
    <w:rsid w:val="00655FCE"/>
    <w:rsid w:val="006624AE"/>
    <w:rsid w:val="00681E38"/>
    <w:rsid w:val="00683D1B"/>
    <w:rsid w:val="00696C03"/>
    <w:rsid w:val="006B1006"/>
    <w:rsid w:val="006B2726"/>
    <w:rsid w:val="006D12FE"/>
    <w:rsid w:val="006D1643"/>
    <w:rsid w:val="006D4A7C"/>
    <w:rsid w:val="006E6629"/>
    <w:rsid w:val="006F5772"/>
    <w:rsid w:val="006F589F"/>
    <w:rsid w:val="006F68BE"/>
    <w:rsid w:val="00707AFB"/>
    <w:rsid w:val="00752952"/>
    <w:rsid w:val="00756878"/>
    <w:rsid w:val="00762C40"/>
    <w:rsid w:val="00773802"/>
    <w:rsid w:val="00786793"/>
    <w:rsid w:val="00787B2B"/>
    <w:rsid w:val="00790D2C"/>
    <w:rsid w:val="007935D5"/>
    <w:rsid w:val="007A0FBE"/>
    <w:rsid w:val="007C0208"/>
    <w:rsid w:val="007E48CC"/>
    <w:rsid w:val="0080325F"/>
    <w:rsid w:val="00817E2B"/>
    <w:rsid w:val="00823C59"/>
    <w:rsid w:val="00841BDF"/>
    <w:rsid w:val="0084609A"/>
    <w:rsid w:val="00846E18"/>
    <w:rsid w:val="00854FFC"/>
    <w:rsid w:val="008658B0"/>
    <w:rsid w:val="008900A8"/>
    <w:rsid w:val="008955AC"/>
    <w:rsid w:val="008A66F3"/>
    <w:rsid w:val="008A7A73"/>
    <w:rsid w:val="008B30C6"/>
    <w:rsid w:val="008C4213"/>
    <w:rsid w:val="008E07F4"/>
    <w:rsid w:val="008F456F"/>
    <w:rsid w:val="008F7221"/>
    <w:rsid w:val="009113FF"/>
    <w:rsid w:val="00936A53"/>
    <w:rsid w:val="009451B1"/>
    <w:rsid w:val="00945B72"/>
    <w:rsid w:val="009473D1"/>
    <w:rsid w:val="00957799"/>
    <w:rsid w:val="00962045"/>
    <w:rsid w:val="00966018"/>
    <w:rsid w:val="00966622"/>
    <w:rsid w:val="009C2DE1"/>
    <w:rsid w:val="009C5213"/>
    <w:rsid w:val="009D1845"/>
    <w:rsid w:val="009D789F"/>
    <w:rsid w:val="009E6157"/>
    <w:rsid w:val="009F5543"/>
    <w:rsid w:val="009F58E1"/>
    <w:rsid w:val="00A022AF"/>
    <w:rsid w:val="00A04EF3"/>
    <w:rsid w:val="00A058A5"/>
    <w:rsid w:val="00A05B31"/>
    <w:rsid w:val="00A160B5"/>
    <w:rsid w:val="00A61AC0"/>
    <w:rsid w:val="00A66797"/>
    <w:rsid w:val="00A77AC0"/>
    <w:rsid w:val="00A832C2"/>
    <w:rsid w:val="00A84746"/>
    <w:rsid w:val="00A918E4"/>
    <w:rsid w:val="00AA43A7"/>
    <w:rsid w:val="00AA7B9B"/>
    <w:rsid w:val="00AB2112"/>
    <w:rsid w:val="00AD1668"/>
    <w:rsid w:val="00AD5ED7"/>
    <w:rsid w:val="00AF399C"/>
    <w:rsid w:val="00AF4347"/>
    <w:rsid w:val="00AF5FE7"/>
    <w:rsid w:val="00B14349"/>
    <w:rsid w:val="00B27347"/>
    <w:rsid w:val="00B3356A"/>
    <w:rsid w:val="00B83208"/>
    <w:rsid w:val="00B84243"/>
    <w:rsid w:val="00BA76E0"/>
    <w:rsid w:val="00BD378C"/>
    <w:rsid w:val="00C02282"/>
    <w:rsid w:val="00C13BA6"/>
    <w:rsid w:val="00C22D3C"/>
    <w:rsid w:val="00C23CF6"/>
    <w:rsid w:val="00C55E1E"/>
    <w:rsid w:val="00C90AD8"/>
    <w:rsid w:val="00C9123C"/>
    <w:rsid w:val="00C96A45"/>
    <w:rsid w:val="00CB1A12"/>
    <w:rsid w:val="00CE53AB"/>
    <w:rsid w:val="00CE6182"/>
    <w:rsid w:val="00D02EF1"/>
    <w:rsid w:val="00D176EB"/>
    <w:rsid w:val="00D203FE"/>
    <w:rsid w:val="00D23B15"/>
    <w:rsid w:val="00D31891"/>
    <w:rsid w:val="00D344B2"/>
    <w:rsid w:val="00D34859"/>
    <w:rsid w:val="00D60543"/>
    <w:rsid w:val="00D67D80"/>
    <w:rsid w:val="00D7443D"/>
    <w:rsid w:val="00D806D3"/>
    <w:rsid w:val="00D9648C"/>
    <w:rsid w:val="00D9720E"/>
    <w:rsid w:val="00DB2443"/>
    <w:rsid w:val="00DB5530"/>
    <w:rsid w:val="00DC1C23"/>
    <w:rsid w:val="00DE04E5"/>
    <w:rsid w:val="00DE529D"/>
    <w:rsid w:val="00E01B4E"/>
    <w:rsid w:val="00E23CF6"/>
    <w:rsid w:val="00E368FB"/>
    <w:rsid w:val="00E3698B"/>
    <w:rsid w:val="00E415F5"/>
    <w:rsid w:val="00E4383A"/>
    <w:rsid w:val="00E75D61"/>
    <w:rsid w:val="00E826AF"/>
    <w:rsid w:val="00EB082D"/>
    <w:rsid w:val="00EB58C3"/>
    <w:rsid w:val="00EC698B"/>
    <w:rsid w:val="00ED2D1A"/>
    <w:rsid w:val="00ED782E"/>
    <w:rsid w:val="00F02021"/>
    <w:rsid w:val="00F03418"/>
    <w:rsid w:val="00F04A9C"/>
    <w:rsid w:val="00F10B17"/>
    <w:rsid w:val="00F10F20"/>
    <w:rsid w:val="00F210CA"/>
    <w:rsid w:val="00F34357"/>
    <w:rsid w:val="00F70E73"/>
    <w:rsid w:val="00F72F96"/>
    <w:rsid w:val="00F777EF"/>
    <w:rsid w:val="00F83116"/>
    <w:rsid w:val="00F96E59"/>
    <w:rsid w:val="00FA5092"/>
    <w:rsid w:val="00FB4221"/>
    <w:rsid w:val="00FB7547"/>
    <w:rsid w:val="00FE0FDC"/>
    <w:rsid w:val="00FE70F8"/>
    <w:rsid w:val="00FE7BE3"/>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075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B6AE24E-3B16-4B45-9918-BEAC2DD6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2327</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cp:lastModifiedBy>Jones, Molly (ACF)</cp:lastModifiedBy>
  <cp:revision>5</cp:revision>
  <dcterms:created xsi:type="dcterms:W3CDTF">2021-02-04T12:49:00Z</dcterms:created>
  <dcterms:modified xsi:type="dcterms:W3CDTF">2021-02-10T14:37:00Z</dcterms:modified>
</cp:coreProperties>
</file>