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70C7" w:rsidR="00527A2A" w:rsidP="00527A2A" w:rsidRDefault="00527A2A" w14:paraId="398D250B" w14:textId="1C27EDBA">
      <w:pPr>
        <w:spacing w:after="240"/>
        <w:ind w:left="1440" w:hanging="1440"/>
        <w:rPr>
          <w:rFonts w:asciiTheme="minorHAnsi" w:hAnsiTheme="minorHAnsi" w:cstheme="minorHAnsi"/>
        </w:rPr>
      </w:pPr>
      <w:r w:rsidRPr="007370C7">
        <w:rPr>
          <w:rFonts w:asciiTheme="minorHAnsi" w:hAnsiTheme="minorHAnsi" w:cstheme="minorHAnsi"/>
          <w:b/>
        </w:rPr>
        <w:t>DATE:</w:t>
      </w:r>
      <w:r w:rsidRPr="007370C7">
        <w:rPr>
          <w:rFonts w:asciiTheme="minorHAnsi" w:hAnsiTheme="minorHAnsi" w:cstheme="minorHAnsi"/>
          <w:b/>
        </w:rPr>
        <w:tab/>
      </w:r>
      <w:r w:rsidRPr="00B76AE0" w:rsidR="007370C7">
        <w:rPr>
          <w:rFonts w:asciiTheme="minorHAnsi" w:hAnsiTheme="minorHAnsi" w:cstheme="minorHAnsi"/>
          <w:highlight w:val="yellow"/>
        </w:rPr>
        <w:t>DATE</w:t>
      </w:r>
      <w:r w:rsidRPr="007370C7">
        <w:rPr>
          <w:rFonts w:asciiTheme="minorHAnsi" w:hAnsiTheme="minorHAnsi" w:cstheme="minorHAnsi"/>
        </w:rPr>
        <w:t>, 202</w:t>
      </w:r>
      <w:r w:rsidR="00095656">
        <w:rPr>
          <w:rFonts w:asciiTheme="minorHAnsi" w:hAnsiTheme="minorHAnsi" w:cstheme="minorHAnsi"/>
        </w:rPr>
        <w:t>1</w:t>
      </w:r>
    </w:p>
    <w:p w:rsidRPr="007370C7" w:rsidR="00527A2A" w:rsidP="00527A2A" w:rsidRDefault="00527A2A" w14:paraId="76D2FC4C" w14:textId="2E77F08F">
      <w:pPr>
        <w:spacing w:after="240"/>
        <w:ind w:left="1440" w:hanging="1440"/>
        <w:rPr>
          <w:rFonts w:asciiTheme="minorHAnsi" w:hAnsiTheme="minorHAnsi" w:cstheme="minorHAnsi"/>
        </w:rPr>
      </w:pPr>
      <w:r w:rsidRPr="007370C7">
        <w:rPr>
          <w:rFonts w:asciiTheme="minorHAnsi" w:hAnsiTheme="minorHAnsi" w:cstheme="minorHAnsi"/>
          <w:b/>
        </w:rPr>
        <w:t>TO:</w:t>
      </w:r>
      <w:r w:rsidRPr="007370C7">
        <w:rPr>
          <w:rFonts w:asciiTheme="minorHAnsi" w:hAnsiTheme="minorHAnsi" w:cstheme="minorHAnsi"/>
          <w:b/>
        </w:rPr>
        <w:tab/>
      </w:r>
      <w:r w:rsidRPr="00CA0E97">
        <w:rPr>
          <w:rFonts w:asciiTheme="minorHAnsi" w:hAnsiTheme="minorHAnsi" w:cstheme="minorHAnsi"/>
          <w:highlight w:val="yellow"/>
        </w:rPr>
        <w:t>Jo</w:t>
      </w:r>
      <w:r w:rsidRPr="00CA0E97" w:rsidR="002B07D4">
        <w:rPr>
          <w:rFonts w:asciiTheme="minorHAnsi" w:hAnsiTheme="minorHAnsi" w:cstheme="minorHAnsi"/>
          <w:highlight w:val="yellow"/>
        </w:rPr>
        <w:t>rdan Cohen</w:t>
      </w:r>
      <w:r w:rsidRPr="007370C7">
        <w:rPr>
          <w:rFonts w:asciiTheme="minorHAnsi" w:hAnsiTheme="minorHAnsi" w:cstheme="minorHAnsi"/>
        </w:rPr>
        <w:t xml:space="preserve">, Office of Information and Regulatory Affairs, Office of Management and Budget </w:t>
      </w:r>
    </w:p>
    <w:p w:rsidRPr="007370C7" w:rsidR="00527A2A" w:rsidP="00527A2A" w:rsidRDefault="00527A2A" w14:paraId="1725DFA1" w14:textId="3480CDBA">
      <w:pPr>
        <w:spacing w:after="240"/>
        <w:ind w:left="1440" w:hanging="1440"/>
        <w:rPr>
          <w:rFonts w:asciiTheme="minorHAnsi" w:hAnsiTheme="minorHAnsi" w:cstheme="minorHAnsi"/>
        </w:rPr>
      </w:pPr>
      <w:r w:rsidRPr="007370C7">
        <w:rPr>
          <w:rFonts w:asciiTheme="minorHAnsi" w:hAnsiTheme="minorHAnsi" w:cstheme="minorHAnsi"/>
          <w:b/>
        </w:rPr>
        <w:t>FROM:</w:t>
      </w:r>
      <w:r w:rsidRPr="007370C7">
        <w:rPr>
          <w:rFonts w:asciiTheme="minorHAnsi" w:hAnsiTheme="minorHAnsi" w:cstheme="minorHAnsi"/>
        </w:rPr>
        <w:tab/>
      </w:r>
      <w:r w:rsidR="007467AC">
        <w:rPr>
          <w:rFonts w:asciiTheme="minorHAnsi" w:hAnsiTheme="minorHAnsi" w:cstheme="minorHAnsi"/>
        </w:rPr>
        <w:t>Meryl Barofsky</w:t>
      </w:r>
      <w:r w:rsidRPr="007370C7">
        <w:rPr>
          <w:rFonts w:asciiTheme="minorHAnsi" w:hAnsiTheme="minorHAnsi" w:cstheme="minorHAnsi"/>
        </w:rPr>
        <w:t xml:space="preserve">, Office of Planning, Research, and Evaluation, Administration for Children and Families </w:t>
      </w:r>
    </w:p>
    <w:p w:rsidRPr="007370C7" w:rsidR="00527A2A" w:rsidP="00527A2A" w:rsidRDefault="00527A2A" w14:paraId="2300EC3F" w14:textId="773B01FC">
      <w:pPr>
        <w:ind w:left="1440" w:hanging="1440"/>
        <w:rPr>
          <w:rFonts w:asciiTheme="minorHAnsi" w:hAnsiTheme="minorHAnsi" w:cstheme="minorHAnsi"/>
        </w:rPr>
      </w:pPr>
      <w:r w:rsidRPr="007370C7">
        <w:rPr>
          <w:rFonts w:asciiTheme="minorHAnsi" w:hAnsiTheme="minorHAnsi" w:cstheme="minorHAnsi"/>
          <w:b/>
        </w:rPr>
        <w:t xml:space="preserve">RE: </w:t>
      </w:r>
      <w:r w:rsidRPr="007370C7">
        <w:rPr>
          <w:rFonts w:asciiTheme="minorHAnsi" w:hAnsiTheme="minorHAnsi" w:cstheme="minorHAnsi"/>
          <w:b/>
        </w:rPr>
        <w:tab/>
      </w:r>
      <w:r w:rsidRPr="007370C7">
        <w:rPr>
          <w:rFonts w:asciiTheme="minorHAnsi" w:hAnsiTheme="minorHAnsi" w:cstheme="minorHAnsi"/>
        </w:rPr>
        <w:t xml:space="preserve">Request for an increase in respondent incentive amounts </w:t>
      </w:r>
      <w:r w:rsidRPr="007370C7" w:rsidR="00F92469">
        <w:rPr>
          <w:rFonts w:asciiTheme="minorHAnsi" w:hAnsiTheme="minorHAnsi" w:cstheme="minorHAnsi"/>
        </w:rPr>
        <w:t xml:space="preserve">for </w:t>
      </w:r>
      <w:r w:rsidRPr="008A4517" w:rsidR="001D5989">
        <w:rPr>
          <w:rFonts w:asciiTheme="minorHAnsi" w:hAnsiTheme="minorHAnsi"/>
        </w:rPr>
        <w:t xml:space="preserve">Assessing the Implementation and Cost of High Quality Early Care and Education: </w:t>
      </w:r>
      <w:r w:rsidRPr="00E774AC" w:rsidR="001D5989">
        <w:rPr>
          <w:rFonts w:asciiTheme="minorHAnsi" w:hAnsiTheme="minorHAnsi"/>
        </w:rPr>
        <w:t>Comparative Multi-Case Study (OMB: 0970-0499)</w:t>
      </w:r>
    </w:p>
    <w:p w:rsidRPr="007370C7" w:rsidR="00527A2A" w:rsidP="00527A2A" w:rsidRDefault="00527A2A" w14:paraId="7573EEAC" w14:textId="77777777">
      <w:pPr>
        <w:pBdr>
          <w:bottom w:val="single" w:color="auto" w:sz="12" w:space="1"/>
        </w:pBdr>
        <w:rPr>
          <w:rFonts w:asciiTheme="minorHAnsi" w:hAnsiTheme="minorHAnsi" w:cstheme="minorHAnsi"/>
          <w:sz w:val="24"/>
          <w:szCs w:val="24"/>
        </w:rPr>
      </w:pPr>
    </w:p>
    <w:p w:rsidRPr="007370C7" w:rsidR="00527A2A" w:rsidP="00527A2A" w:rsidRDefault="00527A2A" w14:paraId="7B9828C1" w14:textId="77777777">
      <w:pPr>
        <w:rPr>
          <w:rFonts w:asciiTheme="minorHAnsi" w:hAnsiTheme="minorHAnsi" w:cstheme="minorHAnsi"/>
          <w:sz w:val="24"/>
          <w:szCs w:val="24"/>
        </w:rPr>
      </w:pPr>
    </w:p>
    <w:p w:rsidRPr="007370C7" w:rsidR="00527A2A" w:rsidP="00527A2A" w:rsidRDefault="00527A2A" w14:paraId="17606016" w14:textId="77777777">
      <w:pPr>
        <w:rPr>
          <w:rFonts w:asciiTheme="minorHAnsi" w:hAnsiTheme="minorHAnsi" w:cstheme="minorHAnsi"/>
          <w:b/>
        </w:rPr>
      </w:pPr>
      <w:r w:rsidRPr="007370C7">
        <w:rPr>
          <w:rFonts w:asciiTheme="minorHAnsi" w:hAnsiTheme="minorHAnsi" w:cstheme="minorHAnsi"/>
          <w:b/>
          <w:u w:val="single"/>
        </w:rPr>
        <w:t>Background</w:t>
      </w:r>
    </w:p>
    <w:p w:rsidRPr="007370C7" w:rsidR="00527A2A" w:rsidP="00527A2A" w:rsidRDefault="00527A2A" w14:paraId="6752FC17" w14:textId="77777777">
      <w:pPr>
        <w:rPr>
          <w:rFonts w:asciiTheme="minorHAnsi" w:hAnsiTheme="minorHAnsi" w:cstheme="minorHAnsi"/>
          <w:b/>
        </w:rPr>
      </w:pPr>
    </w:p>
    <w:p w:rsidRPr="007370C7" w:rsidR="00527A2A" w:rsidP="00527A2A" w:rsidRDefault="00527A2A" w14:paraId="759DDEDC" w14:textId="598F79DF">
      <w:pPr>
        <w:pStyle w:val="ListParagraph"/>
        <w:numPr>
          <w:ilvl w:val="0"/>
          <w:numId w:val="2"/>
        </w:numPr>
        <w:ind w:left="360"/>
        <w:rPr>
          <w:rFonts w:asciiTheme="minorHAnsi" w:hAnsiTheme="minorHAnsi" w:cstheme="minorHAnsi"/>
        </w:rPr>
      </w:pPr>
      <w:r w:rsidRPr="007370C7">
        <w:rPr>
          <w:rFonts w:asciiTheme="minorHAnsi" w:hAnsiTheme="minorHAnsi" w:cstheme="minorHAnsi"/>
          <w:b/>
        </w:rPr>
        <w:t xml:space="preserve">Type of Request: </w:t>
      </w:r>
      <w:r w:rsidRPr="007370C7">
        <w:rPr>
          <w:rFonts w:asciiTheme="minorHAnsi" w:hAnsiTheme="minorHAnsi" w:cstheme="minorHAnsi"/>
        </w:rPr>
        <w:t xml:space="preserve">Non-Substantive Change to Incentives Structure </w:t>
      </w:r>
      <w:r w:rsidR="00E27699">
        <w:rPr>
          <w:rFonts w:asciiTheme="minorHAnsi" w:hAnsiTheme="minorHAnsi" w:cstheme="minorHAnsi"/>
        </w:rPr>
        <w:t>to a Survey in a Multipart Study</w:t>
      </w:r>
      <w:r w:rsidRPr="007370C7">
        <w:rPr>
          <w:rFonts w:asciiTheme="minorHAnsi" w:hAnsiTheme="minorHAnsi" w:cstheme="minorHAnsi"/>
        </w:rPr>
        <w:br/>
      </w:r>
    </w:p>
    <w:p w:rsidRPr="007370C7" w:rsidR="00527A2A" w:rsidP="00CA0E97" w:rsidRDefault="00527A2A" w14:paraId="447B9C53" w14:textId="360CC95A">
      <w:pPr>
        <w:pStyle w:val="ListParagraph"/>
        <w:numPr>
          <w:ilvl w:val="0"/>
          <w:numId w:val="2"/>
        </w:numPr>
        <w:ind w:left="360"/>
        <w:rPr>
          <w:rFonts w:asciiTheme="minorHAnsi" w:hAnsiTheme="minorHAnsi" w:cstheme="minorHAnsi"/>
        </w:rPr>
      </w:pPr>
      <w:r w:rsidRPr="007370C7">
        <w:rPr>
          <w:rFonts w:asciiTheme="minorHAnsi" w:hAnsiTheme="minorHAnsi" w:cstheme="minorHAnsi"/>
          <w:b/>
        </w:rPr>
        <w:t>Study Features Salient to Request:</w:t>
      </w:r>
    </w:p>
    <w:p w:rsidRPr="00A97EF4" w:rsidR="004F4D3B" w:rsidP="00527A2A" w:rsidRDefault="004F4D3B" w14:paraId="06C13C59" w14:textId="5FFF6076">
      <w:pPr>
        <w:pStyle w:val="ListParagraph"/>
        <w:ind w:left="360"/>
      </w:pPr>
      <w:r w:rsidRPr="00A97EF4">
        <w:t xml:space="preserve">The goal of the </w:t>
      </w:r>
      <w:r w:rsidRPr="00A97EF4">
        <w:rPr>
          <w:rFonts w:asciiTheme="minorHAnsi" w:hAnsiTheme="minorHAnsi"/>
        </w:rPr>
        <w:t>Implementation and Cost of High Quality Early Care and Education</w:t>
      </w:r>
      <w:r w:rsidRPr="00A97EF4">
        <w:t xml:space="preserve"> (ECE-ICHQ) study is to create a technically sound, feasible, and useful instrument that will provide consistent and systematic measures of the implementation and costs of quality to help fill the knowledge gap about the cost of providing and improving quality in early care and education (ECE). Mathematica conducted work for the ECE-ICHQ project from September 29, 2014 through September 30, 2019. </w:t>
      </w:r>
      <w:r w:rsidRPr="00A97EF4" w:rsidR="009E1F11">
        <w:t>During that time</w:t>
      </w:r>
      <w:r w:rsidRPr="00A97EF4">
        <w:t xml:space="preserve">, the ECE-ICHQ study team developed a conceptual framework; conducted a review of the literature; consulted with a technical expert panel; collected and summarized findings from two phases of data collection; and developed instruments and measures of implementation, costs, and time-use. </w:t>
      </w:r>
      <w:r w:rsidRPr="00A97EF4" w:rsidR="00983BA7">
        <w:t xml:space="preserve">In October 2019, Mathematica began preparing for a field test of the new measures and launched the field test for three weeks in March 2020 until it needed to cease due to the COVID-19 pandemic. </w:t>
      </w:r>
      <w:r w:rsidRPr="00A97EF4">
        <w:t xml:space="preserve">Beginning in March 2021, the study will </w:t>
      </w:r>
      <w:r w:rsidR="0078562D">
        <w:t>conduct a feasibility study under the current approval</w:t>
      </w:r>
      <w:r w:rsidRPr="00A97EF4" w:rsidR="001479B0">
        <w:t xml:space="preserve"> to learn how our instruments and measures of implementation and cost are able to capture the service changes that are occurring across the child care industry due to the COVID-19 pandemic.</w:t>
      </w:r>
    </w:p>
    <w:p w:rsidRPr="00A97EF4" w:rsidR="001479B0" w:rsidP="00527A2A" w:rsidRDefault="001479B0" w14:paraId="7A256587" w14:textId="07B4F29F">
      <w:pPr>
        <w:pStyle w:val="ListParagraph"/>
        <w:ind w:left="360"/>
      </w:pPr>
    </w:p>
    <w:p w:rsidRPr="00A97EF4" w:rsidR="001479B0" w:rsidP="00527A2A" w:rsidRDefault="001479B0" w14:paraId="43CC6AA5" w14:textId="1C9F8DFA">
      <w:pPr>
        <w:pStyle w:val="ListParagraph"/>
        <w:ind w:left="360"/>
        <w:rPr>
          <w:rFonts w:asciiTheme="minorHAnsi" w:hAnsiTheme="minorHAnsi" w:cstheme="minorHAnsi"/>
        </w:rPr>
      </w:pPr>
      <w:r w:rsidRPr="00A97EF4">
        <w:t xml:space="preserve">During </w:t>
      </w:r>
      <w:r w:rsidR="0078562D">
        <w:t>the feasibility study</w:t>
      </w:r>
      <w:r w:rsidRPr="00A97EF4">
        <w:t xml:space="preserve">, the study team will return to early care and education centers that participated in phase 2 </w:t>
      </w:r>
      <w:r w:rsidR="0078562D">
        <w:t xml:space="preserve">of the multi-case study </w:t>
      </w:r>
      <w:r w:rsidRPr="00A97EF4">
        <w:t>and ask them to participate in the latest round of data collection that includes</w:t>
      </w:r>
      <w:r w:rsidRPr="00A97EF4" w:rsidR="00983BA7">
        <w:t>: (1)</w:t>
      </w:r>
      <w:r w:rsidRPr="00A97EF4">
        <w:t xml:space="preserve"> </w:t>
      </w:r>
      <w:r w:rsidRPr="00A97EF4" w:rsidR="009E1F11">
        <w:t>center</w:t>
      </w:r>
      <w:r w:rsidRPr="00A97EF4">
        <w:t xml:space="preserve"> </w:t>
      </w:r>
      <w:r w:rsidRPr="00A97EF4" w:rsidR="009E1F11">
        <w:t>management</w:t>
      </w:r>
      <w:r w:rsidRPr="00A97EF4">
        <w:t xml:space="preserve"> participating in phone interviews</w:t>
      </w:r>
      <w:r w:rsidRPr="00A97EF4" w:rsidR="007D4FC8">
        <w:t xml:space="preserve"> to gather information about center implementation activities</w:t>
      </w:r>
      <w:r w:rsidRPr="00A97EF4">
        <w:t xml:space="preserve"> and completing a cost work book, and </w:t>
      </w:r>
      <w:r w:rsidRPr="00A97EF4" w:rsidR="00983BA7">
        <w:t xml:space="preserve">(2) </w:t>
      </w:r>
      <w:r w:rsidRPr="00A97EF4" w:rsidR="007D4FC8">
        <w:t>eligible center staff completing a 1</w:t>
      </w:r>
      <w:r w:rsidR="000226D4">
        <w:t>5</w:t>
      </w:r>
      <w:r w:rsidRPr="00A97EF4" w:rsidR="007D4FC8">
        <w:t>-minute survey to learn how they spend their work time</w:t>
      </w:r>
      <w:r w:rsidRPr="00A97EF4" w:rsidR="009E1F11">
        <w:t xml:space="preserve"> (</w:t>
      </w:r>
      <w:r w:rsidRPr="00A97EF4" w:rsidR="00983BA7">
        <w:t xml:space="preserve">a </w:t>
      </w:r>
      <w:r w:rsidRPr="00A97EF4" w:rsidR="009E1F11">
        <w:t>time-use survey)</w:t>
      </w:r>
      <w:r w:rsidRPr="00A97EF4" w:rsidR="007D4FC8">
        <w:t xml:space="preserve">. Though we expect staff turn-over within centers since phase 2, we do expect some overlap in respondents. </w:t>
      </w:r>
      <w:r w:rsidRPr="00A97EF4" w:rsidR="009E1F11">
        <w:t xml:space="preserve">The time-use survey is the focus of this request. </w:t>
      </w:r>
    </w:p>
    <w:p w:rsidRPr="007370C7" w:rsidR="00527A2A" w:rsidP="00527A2A" w:rsidRDefault="00527A2A" w14:paraId="339F3740" w14:textId="77777777">
      <w:pPr>
        <w:rPr>
          <w:rFonts w:asciiTheme="minorHAnsi" w:hAnsiTheme="minorHAnsi" w:cstheme="minorHAnsi"/>
        </w:rPr>
      </w:pPr>
    </w:p>
    <w:p w:rsidRPr="00CA0E97" w:rsidR="002A548D" w:rsidP="00CA0E97" w:rsidRDefault="00527A2A" w14:paraId="27185AC8" w14:textId="1E1937D3">
      <w:pPr>
        <w:pStyle w:val="ListParagraph"/>
        <w:ind w:left="360"/>
        <w:rPr>
          <w:rFonts w:asciiTheme="minorHAnsi" w:hAnsiTheme="minorHAnsi" w:cstheme="minorHAnsi"/>
          <w:bCs/>
          <w:color w:val="0070C0"/>
        </w:rPr>
      </w:pPr>
      <w:r w:rsidRPr="00CA0E97">
        <w:rPr>
          <w:rFonts w:asciiTheme="minorHAnsi" w:hAnsiTheme="minorHAnsi" w:cstheme="minorHAnsi"/>
          <w:b/>
        </w:rPr>
        <w:t xml:space="preserve">Progress to Date:  </w:t>
      </w:r>
    </w:p>
    <w:p w:rsidRPr="00A97EF4" w:rsidR="00527A2A" w:rsidP="002A548D" w:rsidRDefault="007D4FC8" w14:paraId="7E17662B" w14:textId="4DDEADCB">
      <w:pPr>
        <w:pStyle w:val="ListParagraph"/>
        <w:ind w:left="360"/>
        <w:rPr>
          <w:rFonts w:asciiTheme="minorHAnsi" w:hAnsiTheme="minorHAnsi" w:cstheme="minorHAnsi"/>
        </w:rPr>
      </w:pPr>
      <w:r w:rsidRPr="00A97EF4">
        <w:rPr>
          <w:rFonts w:asciiTheme="minorHAnsi" w:hAnsiTheme="minorHAnsi" w:cstheme="minorHAnsi"/>
          <w:bCs/>
        </w:rPr>
        <w:t xml:space="preserve">We have not </w:t>
      </w:r>
      <w:r w:rsidRPr="00A97EF4" w:rsidR="00A7748E">
        <w:rPr>
          <w:rFonts w:asciiTheme="minorHAnsi" w:hAnsiTheme="minorHAnsi" w:cstheme="minorHAnsi"/>
          <w:bCs/>
        </w:rPr>
        <w:t>yet begun</w:t>
      </w:r>
      <w:r w:rsidRPr="00A97EF4">
        <w:rPr>
          <w:rFonts w:asciiTheme="minorHAnsi" w:hAnsiTheme="minorHAnsi" w:cstheme="minorHAnsi"/>
          <w:bCs/>
        </w:rPr>
        <w:t xml:space="preserve"> data collection for </w:t>
      </w:r>
      <w:r w:rsidR="0078562D">
        <w:rPr>
          <w:rFonts w:asciiTheme="minorHAnsi" w:hAnsiTheme="minorHAnsi" w:cstheme="minorHAnsi"/>
          <w:bCs/>
        </w:rPr>
        <w:t>the feasibility study</w:t>
      </w:r>
      <w:r w:rsidRPr="00A97EF4">
        <w:rPr>
          <w:rFonts w:asciiTheme="minorHAnsi" w:hAnsiTheme="minorHAnsi" w:cstheme="minorHAnsi"/>
          <w:bCs/>
        </w:rPr>
        <w:t xml:space="preserve">. We expect to begin recruitment in March 2021. </w:t>
      </w:r>
      <w:r w:rsidRPr="00A97EF4" w:rsidR="002A548D">
        <w:rPr>
          <w:rFonts w:asciiTheme="minorHAnsi" w:hAnsiTheme="minorHAnsi" w:cstheme="minorHAnsi"/>
          <w:bCs/>
        </w:rPr>
        <w:t xml:space="preserve">We will recruit nine phase 2 centers to participate. From prior phases, we estimate each center </w:t>
      </w:r>
      <w:r w:rsidRPr="00A97EF4" w:rsidR="004B596C">
        <w:rPr>
          <w:rFonts w:asciiTheme="minorHAnsi" w:hAnsiTheme="minorHAnsi" w:cstheme="minorHAnsi"/>
          <w:bCs/>
        </w:rPr>
        <w:t xml:space="preserve">will </w:t>
      </w:r>
      <w:r w:rsidRPr="00A97EF4" w:rsidR="002A548D">
        <w:rPr>
          <w:rFonts w:asciiTheme="minorHAnsi" w:hAnsiTheme="minorHAnsi" w:cstheme="minorHAnsi"/>
          <w:bCs/>
        </w:rPr>
        <w:t xml:space="preserve">have, on average, 16 center staff eligible to complete the time-use survey, resulting in a sample size of </w:t>
      </w:r>
      <w:r w:rsidRPr="00A97EF4" w:rsidR="009E1F11">
        <w:rPr>
          <w:rFonts w:asciiTheme="minorHAnsi" w:hAnsiTheme="minorHAnsi" w:cstheme="minorHAnsi"/>
          <w:bCs/>
        </w:rPr>
        <w:t xml:space="preserve">about </w:t>
      </w:r>
      <w:r w:rsidRPr="00A97EF4" w:rsidR="002A548D">
        <w:rPr>
          <w:rFonts w:asciiTheme="minorHAnsi" w:hAnsiTheme="minorHAnsi" w:cstheme="minorHAnsi"/>
          <w:bCs/>
        </w:rPr>
        <w:t xml:space="preserve">144 for the survey. </w:t>
      </w:r>
    </w:p>
    <w:p w:rsidRPr="007370C7" w:rsidR="00527A2A" w:rsidP="00527A2A" w:rsidRDefault="00527A2A" w14:paraId="62B76A3E" w14:textId="77777777">
      <w:pPr>
        <w:rPr>
          <w:rFonts w:asciiTheme="minorHAnsi" w:hAnsiTheme="minorHAnsi" w:cstheme="minorHAnsi"/>
        </w:rPr>
      </w:pPr>
    </w:p>
    <w:p w:rsidRPr="007370C7" w:rsidR="00527A2A" w:rsidP="00527A2A" w:rsidRDefault="00527A2A" w14:paraId="6862E1BF" w14:textId="77777777">
      <w:pPr>
        <w:pStyle w:val="ListParagraph"/>
        <w:numPr>
          <w:ilvl w:val="0"/>
          <w:numId w:val="2"/>
        </w:numPr>
        <w:ind w:left="360"/>
        <w:rPr>
          <w:rStyle w:val="CommentReference"/>
          <w:rFonts w:asciiTheme="minorHAnsi" w:hAnsiTheme="minorHAnsi" w:cstheme="minorHAnsi"/>
          <w:b/>
          <w:sz w:val="22"/>
          <w:szCs w:val="22"/>
        </w:rPr>
      </w:pPr>
      <w:r w:rsidRPr="007370C7">
        <w:rPr>
          <w:rFonts w:asciiTheme="minorHAnsi" w:hAnsiTheme="minorHAnsi" w:cstheme="minorHAnsi"/>
          <w:b/>
        </w:rPr>
        <w:t>Previous Terms of Clearance:</w:t>
      </w:r>
    </w:p>
    <w:p w:rsidRPr="007370C7" w:rsidR="00527A2A" w:rsidP="00527A2A" w:rsidRDefault="00527A2A" w14:paraId="347B480F" w14:textId="67197773">
      <w:pPr>
        <w:pStyle w:val="BodyText"/>
        <w:spacing w:line="240" w:lineRule="auto"/>
        <w:ind w:left="360"/>
        <w:rPr>
          <w:rFonts w:asciiTheme="minorHAnsi" w:hAnsiTheme="minorHAnsi" w:cstheme="minorHAnsi"/>
          <w:szCs w:val="22"/>
        </w:rPr>
      </w:pPr>
      <w:r w:rsidRPr="007370C7">
        <w:rPr>
          <w:rFonts w:asciiTheme="minorHAnsi" w:hAnsiTheme="minorHAnsi" w:cstheme="minorHAnsi"/>
          <w:szCs w:val="22"/>
        </w:rPr>
        <w:lastRenderedPageBreak/>
        <w:t xml:space="preserve">The following </w:t>
      </w:r>
      <w:r w:rsidR="00B34302">
        <w:rPr>
          <w:rFonts w:asciiTheme="minorHAnsi" w:hAnsiTheme="minorHAnsi" w:cstheme="minorHAnsi"/>
          <w:szCs w:val="22"/>
        </w:rPr>
        <w:t>tokens of appreciation</w:t>
      </w:r>
      <w:r w:rsidRPr="007370C7">
        <w:rPr>
          <w:rFonts w:asciiTheme="minorHAnsi" w:hAnsiTheme="minorHAnsi" w:cstheme="minorHAnsi"/>
          <w:szCs w:val="22"/>
        </w:rPr>
        <w:t xml:space="preserve"> for </w:t>
      </w:r>
      <w:r w:rsidR="00AD710C">
        <w:rPr>
          <w:rFonts w:asciiTheme="minorHAnsi" w:hAnsiTheme="minorHAnsi" w:cstheme="minorHAnsi"/>
          <w:szCs w:val="22"/>
        </w:rPr>
        <w:t>the ECE-ICHQ time-use survey</w:t>
      </w:r>
      <w:r w:rsidRPr="007370C7">
        <w:rPr>
          <w:rFonts w:asciiTheme="minorHAnsi" w:hAnsiTheme="minorHAnsi" w:cstheme="minorHAnsi"/>
          <w:szCs w:val="22"/>
        </w:rPr>
        <w:t xml:space="preserve"> </w:t>
      </w:r>
      <w:proofErr w:type="gramStart"/>
      <w:r w:rsidRPr="007370C7">
        <w:rPr>
          <w:rFonts w:asciiTheme="minorHAnsi" w:hAnsiTheme="minorHAnsi" w:cstheme="minorHAnsi"/>
          <w:szCs w:val="22"/>
        </w:rPr>
        <w:t>were</w:t>
      </w:r>
      <w:proofErr w:type="gramEnd"/>
      <w:r w:rsidRPr="007370C7">
        <w:rPr>
          <w:rFonts w:asciiTheme="minorHAnsi" w:hAnsiTheme="minorHAnsi" w:cstheme="minorHAnsi"/>
          <w:szCs w:val="22"/>
        </w:rPr>
        <w:t xml:space="preserve"> approved by OMB under Control Number </w:t>
      </w:r>
      <w:r w:rsidRPr="00E774AC" w:rsidR="002A548D">
        <w:rPr>
          <w:rFonts w:asciiTheme="minorHAnsi" w:hAnsiTheme="minorHAnsi"/>
        </w:rPr>
        <w:t>0970-0499</w:t>
      </w:r>
      <w:r w:rsidRPr="007370C7">
        <w:rPr>
          <w:rFonts w:asciiTheme="minorHAnsi" w:hAnsiTheme="minorHAnsi" w:cstheme="minorHAnsi"/>
          <w:szCs w:val="22"/>
        </w:rPr>
        <w:t xml:space="preserve">: </w:t>
      </w:r>
    </w:p>
    <w:p w:rsidRPr="007370C7" w:rsidR="00527A2A" w:rsidP="00527A2A" w:rsidRDefault="002A548D" w14:paraId="788841F6" w14:textId="3990D5B8">
      <w:pPr>
        <w:pStyle w:val="BodyText"/>
        <w:numPr>
          <w:ilvl w:val="0"/>
          <w:numId w:val="2"/>
        </w:numPr>
        <w:tabs>
          <w:tab w:val="clear" w:pos="720"/>
          <w:tab w:val="clear" w:pos="1080"/>
          <w:tab w:val="clear" w:pos="1440"/>
          <w:tab w:val="clear" w:pos="1800"/>
        </w:tabs>
        <w:spacing w:line="240" w:lineRule="auto"/>
        <w:ind w:left="1080"/>
        <w:rPr>
          <w:rFonts w:asciiTheme="minorHAnsi" w:hAnsiTheme="minorHAnsi" w:cstheme="minorHAnsi"/>
          <w:szCs w:val="22"/>
        </w:rPr>
      </w:pPr>
      <w:r>
        <w:rPr>
          <w:rFonts w:asciiTheme="minorHAnsi" w:hAnsiTheme="minorHAnsi" w:cstheme="minorHAnsi"/>
          <w:i/>
          <w:iCs/>
          <w:szCs w:val="22"/>
        </w:rPr>
        <w:t>PHASE 1</w:t>
      </w:r>
      <w:r w:rsidRPr="007370C7" w:rsidR="00527A2A">
        <w:rPr>
          <w:rFonts w:asciiTheme="minorHAnsi" w:hAnsiTheme="minorHAnsi" w:cstheme="minorHAnsi"/>
          <w:i/>
          <w:iCs/>
          <w:szCs w:val="22"/>
        </w:rPr>
        <w:t xml:space="preserve">:  </w:t>
      </w:r>
      <w:r w:rsidRPr="007370C7" w:rsidR="00AD710C">
        <w:rPr>
          <w:rFonts w:asciiTheme="minorHAnsi" w:hAnsiTheme="minorHAnsi" w:cstheme="minorHAnsi"/>
          <w:szCs w:val="22"/>
        </w:rPr>
        <w:t>a $</w:t>
      </w:r>
      <w:r w:rsidR="00AD710C">
        <w:rPr>
          <w:rFonts w:asciiTheme="minorHAnsi" w:hAnsiTheme="minorHAnsi" w:cstheme="minorHAnsi"/>
          <w:szCs w:val="22"/>
        </w:rPr>
        <w:t>1</w:t>
      </w:r>
      <w:r w:rsidRPr="007370C7" w:rsidR="00AD710C">
        <w:rPr>
          <w:rFonts w:asciiTheme="minorHAnsi" w:hAnsiTheme="minorHAnsi" w:cstheme="minorHAnsi"/>
          <w:szCs w:val="22"/>
        </w:rPr>
        <w:t>0 gift card</w:t>
      </w:r>
      <w:r w:rsidR="00D44A60">
        <w:rPr>
          <w:rFonts w:asciiTheme="minorHAnsi" w:hAnsiTheme="minorHAnsi" w:cstheme="minorHAnsi"/>
          <w:szCs w:val="22"/>
        </w:rPr>
        <w:t xml:space="preserve">, </w:t>
      </w:r>
      <w:r w:rsidR="000226D4">
        <w:rPr>
          <w:rFonts w:asciiTheme="minorHAnsi" w:hAnsiTheme="minorHAnsi" w:cstheme="minorHAnsi"/>
          <w:szCs w:val="22"/>
        </w:rPr>
        <w:t>15</w:t>
      </w:r>
      <w:r w:rsidR="00D44A60">
        <w:rPr>
          <w:rFonts w:asciiTheme="minorHAnsi" w:hAnsiTheme="minorHAnsi" w:cstheme="minorHAnsi"/>
          <w:szCs w:val="22"/>
        </w:rPr>
        <w:t xml:space="preserve"> minutes to complete, no field staff on site </w:t>
      </w:r>
    </w:p>
    <w:p w:rsidRPr="007370C7" w:rsidR="00527A2A" w:rsidP="00527A2A" w:rsidRDefault="002A548D" w14:paraId="1E576465" w14:textId="7E729E15">
      <w:pPr>
        <w:pStyle w:val="BodyText"/>
        <w:numPr>
          <w:ilvl w:val="0"/>
          <w:numId w:val="2"/>
        </w:numPr>
        <w:tabs>
          <w:tab w:val="clear" w:pos="720"/>
          <w:tab w:val="clear" w:pos="1080"/>
          <w:tab w:val="clear" w:pos="1440"/>
          <w:tab w:val="clear" w:pos="1800"/>
        </w:tabs>
        <w:spacing w:line="240" w:lineRule="auto"/>
        <w:ind w:left="1080"/>
        <w:rPr>
          <w:rFonts w:asciiTheme="minorHAnsi" w:hAnsiTheme="minorHAnsi" w:cstheme="minorHAnsi"/>
          <w:szCs w:val="22"/>
        </w:rPr>
      </w:pPr>
      <w:r>
        <w:rPr>
          <w:rFonts w:asciiTheme="minorHAnsi" w:hAnsiTheme="minorHAnsi" w:cstheme="minorHAnsi"/>
          <w:i/>
          <w:iCs/>
          <w:szCs w:val="22"/>
        </w:rPr>
        <w:t>PHASE 2</w:t>
      </w:r>
      <w:r w:rsidRPr="007370C7" w:rsidR="00527A2A">
        <w:rPr>
          <w:rFonts w:asciiTheme="minorHAnsi" w:hAnsiTheme="minorHAnsi" w:cstheme="minorHAnsi"/>
          <w:i/>
          <w:iCs/>
          <w:szCs w:val="22"/>
        </w:rPr>
        <w:t xml:space="preserve">: </w:t>
      </w:r>
      <w:r w:rsidRPr="007370C7" w:rsidR="00527A2A">
        <w:rPr>
          <w:rFonts w:asciiTheme="minorHAnsi" w:hAnsiTheme="minorHAnsi" w:cstheme="minorHAnsi"/>
          <w:szCs w:val="22"/>
        </w:rPr>
        <w:t xml:space="preserve"> </w:t>
      </w:r>
      <w:r w:rsidRPr="007370C7" w:rsidR="00AD710C">
        <w:rPr>
          <w:rFonts w:asciiTheme="minorHAnsi" w:hAnsiTheme="minorHAnsi" w:cstheme="minorHAnsi"/>
          <w:szCs w:val="22"/>
        </w:rPr>
        <w:t>a $</w:t>
      </w:r>
      <w:r w:rsidR="00AD710C">
        <w:rPr>
          <w:rFonts w:asciiTheme="minorHAnsi" w:hAnsiTheme="minorHAnsi" w:cstheme="minorHAnsi"/>
          <w:szCs w:val="22"/>
        </w:rPr>
        <w:t>1</w:t>
      </w:r>
      <w:r w:rsidRPr="007370C7" w:rsidR="00AD710C">
        <w:rPr>
          <w:rFonts w:asciiTheme="minorHAnsi" w:hAnsiTheme="minorHAnsi" w:cstheme="minorHAnsi"/>
          <w:szCs w:val="22"/>
        </w:rPr>
        <w:t>0 gift card</w:t>
      </w:r>
      <w:r w:rsidR="00D44A60">
        <w:rPr>
          <w:rFonts w:asciiTheme="minorHAnsi" w:hAnsiTheme="minorHAnsi" w:cstheme="minorHAnsi"/>
          <w:szCs w:val="22"/>
        </w:rPr>
        <w:t xml:space="preserve">, </w:t>
      </w:r>
      <w:r w:rsidR="000226D4">
        <w:rPr>
          <w:rFonts w:asciiTheme="minorHAnsi" w:hAnsiTheme="minorHAnsi" w:cstheme="minorHAnsi"/>
          <w:szCs w:val="22"/>
        </w:rPr>
        <w:t>15</w:t>
      </w:r>
      <w:r w:rsidR="00D44A60">
        <w:rPr>
          <w:rFonts w:asciiTheme="minorHAnsi" w:hAnsiTheme="minorHAnsi" w:cstheme="minorHAnsi"/>
          <w:szCs w:val="22"/>
        </w:rPr>
        <w:t xml:space="preserve"> minutes to complete, field staff on site</w:t>
      </w:r>
    </w:p>
    <w:p w:rsidRPr="007370C7" w:rsidR="00527A2A" w:rsidP="00527A2A" w:rsidRDefault="002A548D" w14:paraId="19B32B12" w14:textId="4828F496">
      <w:pPr>
        <w:pStyle w:val="BodyText"/>
        <w:numPr>
          <w:ilvl w:val="0"/>
          <w:numId w:val="2"/>
        </w:numPr>
        <w:tabs>
          <w:tab w:val="clear" w:pos="720"/>
          <w:tab w:val="clear" w:pos="1080"/>
          <w:tab w:val="clear" w:pos="1440"/>
          <w:tab w:val="clear" w:pos="1800"/>
        </w:tabs>
        <w:spacing w:line="240" w:lineRule="auto"/>
        <w:ind w:left="1080"/>
        <w:rPr>
          <w:rStyle w:val="CommentReference"/>
          <w:rFonts w:asciiTheme="minorHAnsi" w:hAnsiTheme="minorHAnsi" w:cstheme="minorHAnsi"/>
          <w:sz w:val="22"/>
          <w:szCs w:val="22"/>
        </w:rPr>
      </w:pPr>
      <w:r>
        <w:rPr>
          <w:rFonts w:asciiTheme="minorHAnsi" w:hAnsiTheme="minorHAnsi" w:cstheme="minorHAnsi"/>
          <w:i/>
          <w:iCs/>
          <w:szCs w:val="22"/>
        </w:rPr>
        <w:t>FIELD TEST</w:t>
      </w:r>
      <w:r w:rsidRPr="007370C7" w:rsidR="00527A2A">
        <w:rPr>
          <w:rFonts w:asciiTheme="minorHAnsi" w:hAnsiTheme="minorHAnsi" w:cstheme="minorHAnsi"/>
          <w:i/>
          <w:iCs/>
          <w:szCs w:val="22"/>
        </w:rPr>
        <w:t xml:space="preserve">: </w:t>
      </w:r>
      <w:r w:rsidRPr="007370C7" w:rsidR="00527A2A">
        <w:rPr>
          <w:rFonts w:asciiTheme="minorHAnsi" w:hAnsiTheme="minorHAnsi" w:cstheme="minorHAnsi"/>
          <w:szCs w:val="22"/>
        </w:rPr>
        <w:t>a $10 gift card</w:t>
      </w:r>
      <w:r w:rsidR="009E1F11">
        <w:rPr>
          <w:rFonts w:asciiTheme="minorHAnsi" w:hAnsiTheme="minorHAnsi" w:cstheme="minorHAnsi"/>
          <w:szCs w:val="22"/>
        </w:rPr>
        <w:t xml:space="preserve"> (POSTPONED</w:t>
      </w:r>
      <w:r w:rsidR="00470FB7">
        <w:rPr>
          <w:rFonts w:asciiTheme="minorHAnsi" w:hAnsiTheme="minorHAnsi" w:cstheme="minorHAnsi"/>
          <w:szCs w:val="22"/>
        </w:rPr>
        <w:t>; Focus of this change request</w:t>
      </w:r>
      <w:r w:rsidR="009E1F11">
        <w:rPr>
          <w:rFonts w:asciiTheme="minorHAnsi" w:hAnsiTheme="minorHAnsi" w:cstheme="minorHAnsi"/>
          <w:szCs w:val="22"/>
        </w:rPr>
        <w:t>)</w:t>
      </w:r>
      <w:r w:rsidR="00D44A60">
        <w:rPr>
          <w:rFonts w:asciiTheme="minorHAnsi" w:hAnsiTheme="minorHAnsi" w:cstheme="minorHAnsi"/>
          <w:szCs w:val="22"/>
        </w:rPr>
        <w:t xml:space="preserve">, </w:t>
      </w:r>
      <w:r w:rsidR="000226D4">
        <w:rPr>
          <w:rFonts w:asciiTheme="minorHAnsi" w:hAnsiTheme="minorHAnsi" w:cstheme="minorHAnsi"/>
          <w:szCs w:val="22"/>
        </w:rPr>
        <w:t>15</w:t>
      </w:r>
      <w:r w:rsidR="00D44A60">
        <w:rPr>
          <w:rFonts w:asciiTheme="minorHAnsi" w:hAnsiTheme="minorHAnsi" w:cstheme="minorHAnsi"/>
          <w:szCs w:val="22"/>
        </w:rPr>
        <w:t xml:space="preserve"> minutes to complete</w:t>
      </w:r>
    </w:p>
    <w:p w:rsidRPr="007370C7" w:rsidR="00527A2A" w:rsidP="00527A2A" w:rsidRDefault="00527A2A" w14:paraId="098803BF" w14:textId="77777777">
      <w:pPr>
        <w:rPr>
          <w:rStyle w:val="CommentReference"/>
          <w:rFonts w:asciiTheme="minorHAnsi" w:hAnsiTheme="minorHAnsi" w:cstheme="minorHAnsi"/>
          <w:b/>
          <w:szCs w:val="22"/>
        </w:rPr>
      </w:pPr>
    </w:p>
    <w:p w:rsidRPr="00A97EF4" w:rsidR="00527A2A" w:rsidP="00527A2A" w:rsidRDefault="00527A2A" w14:paraId="42045E53" w14:textId="16F30CF0">
      <w:pPr>
        <w:pStyle w:val="ListParagraph"/>
        <w:numPr>
          <w:ilvl w:val="0"/>
          <w:numId w:val="2"/>
        </w:numPr>
        <w:ind w:left="360"/>
        <w:rPr>
          <w:rFonts w:asciiTheme="minorHAnsi" w:hAnsiTheme="minorHAnsi" w:cstheme="minorHAnsi"/>
          <w:b/>
        </w:rPr>
      </w:pPr>
      <w:r w:rsidRPr="007370C7">
        <w:rPr>
          <w:rFonts w:asciiTheme="minorHAnsi" w:hAnsiTheme="minorHAnsi" w:cstheme="minorHAnsi"/>
          <w:b/>
        </w:rPr>
        <w:t xml:space="preserve">Time Sensitivity: </w:t>
      </w:r>
      <w:r w:rsidR="00AD710C">
        <w:rPr>
          <w:rFonts w:asciiTheme="minorHAnsi" w:hAnsiTheme="minorHAnsi" w:cstheme="minorHAnsi"/>
          <w:bCs/>
        </w:rPr>
        <w:t xml:space="preserve"> </w:t>
      </w:r>
      <w:r w:rsidRPr="00A97EF4" w:rsidR="00AD710C">
        <w:rPr>
          <w:rFonts w:asciiTheme="minorHAnsi" w:hAnsiTheme="minorHAnsi" w:cstheme="minorHAnsi"/>
          <w:bCs/>
        </w:rPr>
        <w:t xml:space="preserve">We plan to begin data collection in March 2021. Many child care centers close for the summer, so we have a 3-month window to collect time-use surveys from </w:t>
      </w:r>
      <w:r w:rsidRPr="00A97EF4" w:rsidR="00633AF1">
        <w:rPr>
          <w:rFonts w:asciiTheme="minorHAnsi" w:hAnsiTheme="minorHAnsi" w:cstheme="minorHAnsi"/>
          <w:bCs/>
        </w:rPr>
        <w:t xml:space="preserve">staff in the </w:t>
      </w:r>
      <w:r w:rsidRPr="00A97EF4" w:rsidR="00AD710C">
        <w:rPr>
          <w:rFonts w:asciiTheme="minorHAnsi" w:hAnsiTheme="minorHAnsi" w:cstheme="minorHAnsi"/>
          <w:bCs/>
        </w:rPr>
        <w:t xml:space="preserve">recruited centers. </w:t>
      </w:r>
      <w:r w:rsidR="0078562D">
        <w:rPr>
          <w:rFonts w:asciiTheme="minorHAnsi" w:hAnsiTheme="minorHAnsi" w:cstheme="minorHAnsi"/>
          <w:bCs/>
        </w:rPr>
        <w:t xml:space="preserve">Additionally, based on the findings of the feasibility study, we will determine when we can launch the full field test. </w:t>
      </w:r>
      <w:r w:rsidRPr="00A97EF4" w:rsidR="00AD710C">
        <w:rPr>
          <w:rFonts w:asciiTheme="minorHAnsi" w:hAnsiTheme="minorHAnsi" w:cstheme="minorHAnsi"/>
          <w:bCs/>
        </w:rPr>
        <w:t xml:space="preserve">Any delays in beginning data collection would make our data collection window shorter and could impact our ability to get completed surveys from center staff. </w:t>
      </w:r>
      <w:r w:rsidR="0078562D">
        <w:rPr>
          <w:rFonts w:asciiTheme="minorHAnsi" w:hAnsiTheme="minorHAnsi" w:cstheme="minorHAnsi"/>
          <w:bCs/>
        </w:rPr>
        <w:t xml:space="preserve">This would also delay the full field test. </w:t>
      </w:r>
      <w:r w:rsidRPr="00A97EF4" w:rsidR="00AD710C">
        <w:rPr>
          <w:rFonts w:asciiTheme="minorHAnsi" w:hAnsiTheme="minorHAnsi" w:cstheme="minorHAnsi"/>
          <w:bCs/>
        </w:rPr>
        <w:t xml:space="preserve">Additionally, we need time prior to our launch to purchase gift cards. </w:t>
      </w:r>
    </w:p>
    <w:p w:rsidRPr="007370C7" w:rsidR="00527A2A" w:rsidP="00527A2A" w:rsidRDefault="00527A2A" w14:paraId="3CA368E0" w14:textId="77777777">
      <w:pPr>
        <w:rPr>
          <w:rFonts w:asciiTheme="minorHAnsi" w:hAnsiTheme="minorHAnsi" w:cstheme="minorHAnsi"/>
          <w:sz w:val="24"/>
          <w:szCs w:val="24"/>
        </w:rPr>
      </w:pPr>
    </w:p>
    <w:p w:rsidRPr="007370C7" w:rsidR="00527A2A" w:rsidP="00527A2A" w:rsidRDefault="00527A2A" w14:paraId="63FB213B" w14:textId="77777777">
      <w:pPr>
        <w:rPr>
          <w:rFonts w:asciiTheme="minorHAnsi" w:hAnsiTheme="minorHAnsi" w:cstheme="minorHAnsi"/>
          <w:b/>
          <w:u w:val="single"/>
        </w:rPr>
      </w:pPr>
      <w:r w:rsidRPr="007370C7">
        <w:rPr>
          <w:rFonts w:asciiTheme="minorHAnsi" w:hAnsiTheme="minorHAnsi" w:cstheme="minorHAnsi"/>
          <w:b/>
          <w:u w:val="single"/>
        </w:rPr>
        <w:t>Request Overview</w:t>
      </w:r>
      <w:r w:rsidRPr="007370C7">
        <w:rPr>
          <w:rFonts w:asciiTheme="minorHAnsi" w:hAnsiTheme="minorHAnsi" w:cstheme="minorHAnsi"/>
          <w:b/>
          <w:u w:val="single"/>
        </w:rPr>
        <w:br/>
      </w:r>
    </w:p>
    <w:p w:rsidRPr="00A97EF4" w:rsidR="00796B87" w:rsidP="00527A2A" w:rsidRDefault="00B76AE0" w14:paraId="5CE9B1BD" w14:textId="0C20ECD0">
      <w:pPr>
        <w:rPr>
          <w:rFonts w:asciiTheme="minorHAnsi" w:hAnsiTheme="minorHAnsi" w:cstheme="minorHAnsi"/>
        </w:rPr>
      </w:pPr>
      <w:r w:rsidRPr="00A97EF4">
        <w:rPr>
          <w:rFonts w:asciiTheme="minorHAnsi" w:hAnsiTheme="minorHAnsi" w:cstheme="minorHAnsi"/>
        </w:rPr>
        <w:t xml:space="preserve">ACF requests a non-substantive modification to the ECE-ICHQ time-use survey incentive structure </w:t>
      </w:r>
      <w:r w:rsidRPr="00A97EF4" w:rsidR="00470FB7">
        <w:rPr>
          <w:rFonts w:asciiTheme="minorHAnsi" w:hAnsiTheme="minorHAnsi" w:cstheme="minorHAnsi"/>
        </w:rPr>
        <w:t xml:space="preserve">from a $10 gift card to a $20 gift card for each respondent. </w:t>
      </w:r>
      <w:r w:rsidR="00470FB7">
        <w:rPr>
          <w:rFonts w:asciiTheme="minorHAnsi" w:hAnsiTheme="minorHAnsi" w:cstheme="minorHAnsi"/>
        </w:rPr>
        <w:t xml:space="preserve">The goal of this change is </w:t>
      </w:r>
      <w:r w:rsidRPr="00A97EF4">
        <w:rPr>
          <w:rFonts w:asciiTheme="minorHAnsi" w:hAnsiTheme="minorHAnsi" w:cstheme="minorHAnsi"/>
        </w:rPr>
        <w:t xml:space="preserve">to </w:t>
      </w:r>
      <w:r w:rsidRPr="00A97EF4" w:rsidR="00AA1810">
        <w:rPr>
          <w:rFonts w:asciiTheme="minorHAnsi" w:hAnsiTheme="minorHAnsi" w:cstheme="minorHAnsi"/>
        </w:rPr>
        <w:t xml:space="preserve">ensure we have a large enough sample size for </w:t>
      </w:r>
      <w:r w:rsidRPr="00A97EF4" w:rsidR="00436932">
        <w:rPr>
          <w:rFonts w:asciiTheme="minorHAnsi" w:hAnsiTheme="minorHAnsi" w:cstheme="minorHAnsi"/>
        </w:rPr>
        <w:t>analysis and</w:t>
      </w:r>
      <w:r w:rsidRPr="00A97EF4" w:rsidR="00AA1810">
        <w:rPr>
          <w:rFonts w:asciiTheme="minorHAnsi" w:hAnsiTheme="minorHAnsi" w:cstheme="minorHAnsi"/>
        </w:rPr>
        <w:t xml:space="preserve"> </w:t>
      </w:r>
      <w:r w:rsidR="008B79BD">
        <w:rPr>
          <w:rFonts w:asciiTheme="minorHAnsi" w:hAnsiTheme="minorHAnsi" w:cstheme="minorHAnsi"/>
        </w:rPr>
        <w:t xml:space="preserve">to </w:t>
      </w:r>
      <w:r w:rsidRPr="00A97EF4">
        <w:rPr>
          <w:rFonts w:asciiTheme="minorHAnsi" w:hAnsiTheme="minorHAnsi" w:cstheme="minorHAnsi"/>
        </w:rPr>
        <w:t xml:space="preserve">address lower-than-expected response rates and observable non-response bias in the data we collect. In phase 2 of data collection, </w:t>
      </w:r>
      <w:r w:rsidRPr="00A97EF4" w:rsidR="002760CF">
        <w:rPr>
          <w:rFonts w:asciiTheme="minorHAnsi" w:hAnsiTheme="minorHAnsi" w:cstheme="minorHAnsi"/>
        </w:rPr>
        <w:t xml:space="preserve">our response rate </w:t>
      </w:r>
      <w:r w:rsidRPr="00A97EF4" w:rsidR="00796B87">
        <w:rPr>
          <w:rFonts w:asciiTheme="minorHAnsi" w:hAnsiTheme="minorHAnsi" w:cstheme="minorHAnsi"/>
        </w:rPr>
        <w:t xml:space="preserve">on the time-use survey </w:t>
      </w:r>
      <w:r w:rsidRPr="00A97EF4" w:rsidR="002760CF">
        <w:rPr>
          <w:rFonts w:asciiTheme="minorHAnsi" w:hAnsiTheme="minorHAnsi" w:cstheme="minorHAnsi"/>
        </w:rPr>
        <w:t xml:space="preserve">was </w:t>
      </w:r>
      <w:r w:rsidRPr="00A97EF4" w:rsidR="00633AF1">
        <w:rPr>
          <w:rFonts w:asciiTheme="minorHAnsi" w:hAnsiTheme="minorHAnsi" w:cstheme="minorHAnsi"/>
        </w:rPr>
        <w:t>89</w:t>
      </w:r>
      <w:r w:rsidRPr="00A97EF4">
        <w:rPr>
          <w:rFonts w:asciiTheme="minorHAnsi" w:hAnsiTheme="minorHAnsi" w:cstheme="minorHAnsi"/>
        </w:rPr>
        <w:t>%.  We were able to accomplish this by having field staff visit the centers</w:t>
      </w:r>
      <w:r w:rsidR="008B79BD">
        <w:rPr>
          <w:rFonts w:asciiTheme="minorHAnsi" w:hAnsiTheme="minorHAnsi" w:cstheme="minorHAnsi"/>
        </w:rPr>
        <w:t xml:space="preserve">, distribute paper surveys, </w:t>
      </w:r>
      <w:r w:rsidRPr="00A97EF4">
        <w:rPr>
          <w:rFonts w:asciiTheme="minorHAnsi" w:hAnsiTheme="minorHAnsi" w:cstheme="minorHAnsi"/>
        </w:rPr>
        <w:t xml:space="preserve">and distribute gift cards </w:t>
      </w:r>
      <w:r w:rsidRPr="00A97EF4" w:rsidR="00A379A7">
        <w:rPr>
          <w:rFonts w:asciiTheme="minorHAnsi" w:hAnsiTheme="minorHAnsi" w:cstheme="minorHAnsi"/>
        </w:rPr>
        <w:t xml:space="preserve">in person </w:t>
      </w:r>
      <w:r w:rsidRPr="00A97EF4">
        <w:rPr>
          <w:rFonts w:asciiTheme="minorHAnsi" w:hAnsiTheme="minorHAnsi" w:cstheme="minorHAnsi"/>
        </w:rPr>
        <w:t xml:space="preserve">immediately after center staff completed their surveys. In phase 1 of data collection our response rate was much lower, </w:t>
      </w:r>
      <w:r w:rsidRPr="00A97EF4" w:rsidR="004A446C">
        <w:rPr>
          <w:rFonts w:asciiTheme="minorHAnsi" w:hAnsiTheme="minorHAnsi" w:cstheme="minorHAnsi"/>
        </w:rPr>
        <w:t>48</w:t>
      </w:r>
      <w:r w:rsidRPr="00A97EF4">
        <w:rPr>
          <w:rFonts w:asciiTheme="minorHAnsi" w:hAnsiTheme="minorHAnsi" w:cstheme="minorHAnsi"/>
        </w:rPr>
        <w:t xml:space="preserve">% when </w:t>
      </w:r>
      <w:r w:rsidRPr="00A97EF4" w:rsidR="008C10FA">
        <w:rPr>
          <w:rFonts w:asciiTheme="minorHAnsi" w:hAnsiTheme="minorHAnsi" w:cstheme="minorHAnsi"/>
        </w:rPr>
        <w:t xml:space="preserve">we did not send field staff to centers to distribute </w:t>
      </w:r>
      <w:r w:rsidR="008B79BD">
        <w:rPr>
          <w:rFonts w:asciiTheme="minorHAnsi" w:hAnsiTheme="minorHAnsi" w:cstheme="minorHAnsi"/>
        </w:rPr>
        <w:t xml:space="preserve">paper surveys and distribute </w:t>
      </w:r>
      <w:r w:rsidRPr="00A97EF4" w:rsidR="008C10FA">
        <w:rPr>
          <w:rFonts w:asciiTheme="minorHAnsi" w:hAnsiTheme="minorHAnsi" w:cstheme="minorHAnsi"/>
        </w:rPr>
        <w:t>gift cards</w:t>
      </w:r>
      <w:r w:rsidR="008B79BD">
        <w:rPr>
          <w:rFonts w:asciiTheme="minorHAnsi" w:hAnsiTheme="minorHAnsi" w:cstheme="minorHAnsi"/>
        </w:rPr>
        <w:t xml:space="preserve"> immediately after center staff completed their survey</w:t>
      </w:r>
      <w:r w:rsidRPr="00A97EF4" w:rsidR="008C10FA">
        <w:rPr>
          <w:rFonts w:asciiTheme="minorHAnsi" w:hAnsiTheme="minorHAnsi" w:cstheme="minorHAnsi"/>
        </w:rPr>
        <w:t xml:space="preserve">. For phase 3, we expect response rates on the time-use survey to be </w:t>
      </w:r>
      <w:r w:rsidRPr="00A97EF4" w:rsidR="00A03CB8">
        <w:rPr>
          <w:rFonts w:asciiTheme="minorHAnsi" w:hAnsiTheme="minorHAnsi" w:cstheme="minorHAnsi"/>
        </w:rPr>
        <w:t>lower</w:t>
      </w:r>
      <w:r w:rsidRPr="00A97EF4" w:rsidR="008C10FA">
        <w:rPr>
          <w:rFonts w:asciiTheme="minorHAnsi" w:hAnsiTheme="minorHAnsi" w:cstheme="minorHAnsi"/>
        </w:rPr>
        <w:t xml:space="preserve"> than the </w:t>
      </w:r>
      <w:r w:rsidRPr="00A97EF4" w:rsidR="00A03CB8">
        <w:rPr>
          <w:rFonts w:asciiTheme="minorHAnsi" w:hAnsiTheme="minorHAnsi" w:cstheme="minorHAnsi"/>
        </w:rPr>
        <w:t>8</w:t>
      </w:r>
      <w:r w:rsidRPr="00A97EF4" w:rsidR="00633AF1">
        <w:rPr>
          <w:rFonts w:asciiTheme="minorHAnsi" w:hAnsiTheme="minorHAnsi" w:cstheme="minorHAnsi"/>
        </w:rPr>
        <w:t>9</w:t>
      </w:r>
      <w:r w:rsidRPr="00A97EF4" w:rsidR="008C10FA">
        <w:rPr>
          <w:rFonts w:asciiTheme="minorHAnsi" w:hAnsiTheme="minorHAnsi" w:cstheme="minorHAnsi"/>
        </w:rPr>
        <w:t xml:space="preserve">% response rate we obtained in phase </w:t>
      </w:r>
      <w:r w:rsidRPr="00A97EF4" w:rsidR="004B596C">
        <w:rPr>
          <w:rFonts w:asciiTheme="minorHAnsi" w:hAnsiTheme="minorHAnsi" w:cstheme="minorHAnsi"/>
        </w:rPr>
        <w:t>2 due to two reasons: (1)</w:t>
      </w:r>
      <w:r w:rsidRPr="00A97EF4" w:rsidR="008C10FA">
        <w:rPr>
          <w:rFonts w:asciiTheme="minorHAnsi" w:hAnsiTheme="minorHAnsi" w:cstheme="minorHAnsi"/>
        </w:rPr>
        <w:t xml:space="preserve"> </w:t>
      </w:r>
      <w:r w:rsidRPr="00A97EF4" w:rsidR="004B596C">
        <w:rPr>
          <w:rFonts w:asciiTheme="minorHAnsi" w:hAnsiTheme="minorHAnsi" w:cstheme="minorHAnsi"/>
        </w:rPr>
        <w:t>we will not be able to send field staff to centers to follow up with staff; and (2) staff will need to access and complete a web-based version of the survey</w:t>
      </w:r>
      <w:r w:rsidRPr="00A97EF4" w:rsidR="00633AF1">
        <w:rPr>
          <w:rFonts w:asciiTheme="minorHAnsi" w:hAnsiTheme="minorHAnsi" w:cstheme="minorHAnsi"/>
        </w:rPr>
        <w:t>,</w:t>
      </w:r>
      <w:r w:rsidRPr="00A97EF4" w:rsidR="004B596C">
        <w:rPr>
          <w:rFonts w:asciiTheme="minorHAnsi" w:hAnsiTheme="minorHAnsi" w:cstheme="minorHAnsi"/>
        </w:rPr>
        <w:t xml:space="preserve"> </w:t>
      </w:r>
      <w:r w:rsidRPr="00A97EF4" w:rsidR="0044104D">
        <w:rPr>
          <w:rFonts w:asciiTheme="minorHAnsi" w:hAnsiTheme="minorHAnsi" w:cstheme="minorHAnsi"/>
        </w:rPr>
        <w:t xml:space="preserve">which </w:t>
      </w:r>
      <w:r w:rsidR="008B79BD">
        <w:rPr>
          <w:rFonts w:asciiTheme="minorHAnsi" w:hAnsiTheme="minorHAnsi" w:cstheme="minorHAnsi"/>
        </w:rPr>
        <w:t xml:space="preserve">they cannot complete </w:t>
      </w:r>
      <w:r w:rsidR="00926062">
        <w:rPr>
          <w:rFonts w:asciiTheme="minorHAnsi" w:hAnsiTheme="minorHAnsi" w:cstheme="minorHAnsi"/>
        </w:rPr>
        <w:t>during regular work hours because they do not have access to computers or phones at this time</w:t>
      </w:r>
      <w:r w:rsidRPr="00A97EF4" w:rsidR="0044104D">
        <w:rPr>
          <w:rFonts w:asciiTheme="minorHAnsi" w:hAnsiTheme="minorHAnsi" w:cstheme="minorHAnsi"/>
        </w:rPr>
        <w:t>.</w:t>
      </w:r>
    </w:p>
    <w:p w:rsidRPr="00A97EF4" w:rsidR="00796B87" w:rsidP="00527A2A" w:rsidRDefault="00796B87" w14:paraId="2488BE57" w14:textId="77777777">
      <w:pPr>
        <w:rPr>
          <w:rFonts w:asciiTheme="minorHAnsi" w:hAnsiTheme="minorHAnsi" w:cstheme="minorHAnsi"/>
        </w:rPr>
      </w:pPr>
    </w:p>
    <w:p w:rsidRPr="00A97EF4" w:rsidR="004A382D" w:rsidP="00527A2A" w:rsidRDefault="002760CF" w14:paraId="3A1A3CB5" w14:textId="36FA223D">
      <w:pPr>
        <w:rPr>
          <w:rFonts w:asciiTheme="minorHAnsi" w:hAnsiTheme="minorHAnsi" w:cstheme="minorHAnsi"/>
        </w:rPr>
      </w:pPr>
      <w:r w:rsidRPr="00A97EF4">
        <w:rPr>
          <w:rFonts w:asciiTheme="minorHAnsi" w:hAnsiTheme="minorHAnsi" w:cstheme="minorHAnsi"/>
        </w:rPr>
        <w:t>The study attempts to collect data from all teaching staff at a center to understand the variation within centers among staff with similar roles. A 90% response rate is our threshold for being able to</w:t>
      </w:r>
      <w:r w:rsidRPr="00A97EF4" w:rsidR="004A382D">
        <w:rPr>
          <w:rFonts w:asciiTheme="minorHAnsi" w:hAnsiTheme="minorHAnsi" w:cstheme="minorHAnsi"/>
        </w:rPr>
        <w:t xml:space="preserve"> do this.</w:t>
      </w:r>
      <w:r w:rsidRPr="00A97EF4" w:rsidR="00A0585E">
        <w:rPr>
          <w:rFonts w:asciiTheme="minorHAnsi" w:hAnsiTheme="minorHAnsi" w:cstheme="minorHAnsi"/>
        </w:rPr>
        <w:t xml:space="preserve"> Furthermore, </w:t>
      </w:r>
      <w:r w:rsidRPr="00A97EF4" w:rsidR="00AA1810">
        <w:rPr>
          <w:rFonts w:asciiTheme="minorHAnsi" w:hAnsiTheme="minorHAnsi" w:cstheme="minorHAnsi"/>
        </w:rPr>
        <w:t xml:space="preserve">our phase 3 data collection will occur with nine centers that participated in phase 2, with an estimated number of 144 center staff that would make up our universe of time-use survey respondents. With such a small sample size, it is imperative that we are able to </w:t>
      </w:r>
      <w:r w:rsidRPr="00A97EF4" w:rsidR="00796B87">
        <w:rPr>
          <w:rFonts w:asciiTheme="minorHAnsi" w:hAnsiTheme="minorHAnsi" w:cstheme="minorHAnsi"/>
        </w:rPr>
        <w:t>achieve</w:t>
      </w:r>
      <w:r w:rsidRPr="00A97EF4" w:rsidR="00AA1810">
        <w:rPr>
          <w:rFonts w:asciiTheme="minorHAnsi" w:hAnsiTheme="minorHAnsi" w:cstheme="minorHAnsi"/>
        </w:rPr>
        <w:t xml:space="preserve"> strong response rates to allow us to have </w:t>
      </w:r>
      <w:r w:rsidRPr="00A97EF4" w:rsidR="00A379A7">
        <w:rPr>
          <w:rFonts w:asciiTheme="minorHAnsi" w:hAnsiTheme="minorHAnsi" w:cstheme="minorHAnsi"/>
        </w:rPr>
        <w:t>sufficient data</w:t>
      </w:r>
      <w:r w:rsidRPr="00A97EF4" w:rsidR="00AA1810">
        <w:rPr>
          <w:rFonts w:asciiTheme="minorHAnsi" w:hAnsiTheme="minorHAnsi" w:cstheme="minorHAnsi"/>
        </w:rPr>
        <w:t xml:space="preserve"> to conduct meaningful analys</w:t>
      </w:r>
      <w:r w:rsidRPr="00A97EF4" w:rsidR="00A379A7">
        <w:rPr>
          <w:rFonts w:asciiTheme="minorHAnsi" w:hAnsiTheme="minorHAnsi" w:cstheme="minorHAnsi"/>
        </w:rPr>
        <w:t>e</w:t>
      </w:r>
      <w:r w:rsidRPr="00A97EF4" w:rsidR="00AA1810">
        <w:rPr>
          <w:rFonts w:asciiTheme="minorHAnsi" w:hAnsiTheme="minorHAnsi" w:cstheme="minorHAnsi"/>
        </w:rPr>
        <w:t xml:space="preserve">s. </w:t>
      </w:r>
    </w:p>
    <w:p w:rsidRPr="00A97EF4" w:rsidR="004A382D" w:rsidP="00527A2A" w:rsidRDefault="004A382D" w14:paraId="256DAD75" w14:textId="77777777">
      <w:pPr>
        <w:rPr>
          <w:rFonts w:asciiTheme="minorHAnsi" w:hAnsiTheme="minorHAnsi" w:cstheme="minorHAnsi"/>
        </w:rPr>
      </w:pPr>
    </w:p>
    <w:p w:rsidRPr="00A97EF4" w:rsidR="00527A2A" w:rsidP="00527A2A" w:rsidRDefault="004A382D" w14:paraId="3CE20303" w14:textId="4379CB3A">
      <w:pPr>
        <w:rPr>
          <w:rFonts w:asciiTheme="minorHAnsi" w:hAnsiTheme="minorHAnsi" w:cstheme="minorHAnsi"/>
        </w:rPr>
      </w:pPr>
      <w:r w:rsidRPr="00A97EF4">
        <w:rPr>
          <w:rFonts w:asciiTheme="minorHAnsi" w:hAnsiTheme="minorHAnsi" w:cstheme="minorHAnsi"/>
        </w:rPr>
        <w:t xml:space="preserve">The remainder of this memo highlights ACF’s efforts to date to </w:t>
      </w:r>
      <w:r w:rsidRPr="00A97EF4" w:rsidR="00917895">
        <w:rPr>
          <w:rFonts w:asciiTheme="minorHAnsi" w:hAnsiTheme="minorHAnsi" w:cstheme="minorHAnsi"/>
        </w:rPr>
        <w:t xml:space="preserve">ensure high </w:t>
      </w:r>
      <w:r w:rsidRPr="00A97EF4">
        <w:rPr>
          <w:rFonts w:asciiTheme="minorHAnsi" w:hAnsiTheme="minorHAnsi" w:cstheme="minorHAnsi"/>
        </w:rPr>
        <w:t xml:space="preserve">response rates and address </w:t>
      </w:r>
      <w:r w:rsidRPr="00A97EF4" w:rsidR="00917895">
        <w:rPr>
          <w:rFonts w:asciiTheme="minorHAnsi" w:hAnsiTheme="minorHAnsi" w:cstheme="minorHAnsi"/>
        </w:rPr>
        <w:t xml:space="preserve">potential </w:t>
      </w:r>
      <w:r w:rsidRPr="00A97EF4">
        <w:rPr>
          <w:rFonts w:asciiTheme="minorHAnsi" w:hAnsiTheme="minorHAnsi" w:cstheme="minorHAnsi"/>
        </w:rPr>
        <w:t xml:space="preserve">non-response bias; describes proposed changes for phase 3 of data collection; and explains the hypothesized benefits of the proposed approach </w:t>
      </w:r>
      <w:r w:rsidRPr="00A97EF4" w:rsidR="00917895">
        <w:rPr>
          <w:rFonts w:asciiTheme="minorHAnsi" w:hAnsiTheme="minorHAnsi" w:cstheme="minorHAnsi"/>
        </w:rPr>
        <w:t>to increase the time-use survey incentive from a $10 gift card to a $20 gift card</w:t>
      </w:r>
      <w:r w:rsidRPr="00A97EF4" w:rsidR="00CD594E">
        <w:rPr>
          <w:rFonts w:asciiTheme="minorHAnsi" w:hAnsiTheme="minorHAnsi" w:cstheme="minorHAnsi"/>
        </w:rPr>
        <w:t xml:space="preserve"> for each respondent</w:t>
      </w:r>
      <w:r w:rsidRPr="00A97EF4">
        <w:rPr>
          <w:rFonts w:asciiTheme="minorHAnsi" w:hAnsiTheme="minorHAnsi" w:cstheme="minorHAnsi"/>
        </w:rPr>
        <w:t>.</w:t>
      </w:r>
      <w:r w:rsidRPr="00A97EF4" w:rsidR="002760CF">
        <w:rPr>
          <w:rFonts w:asciiTheme="minorHAnsi" w:hAnsiTheme="minorHAnsi" w:cstheme="minorHAnsi"/>
        </w:rPr>
        <w:t xml:space="preserve"> </w:t>
      </w:r>
      <w:r w:rsidRPr="00A97EF4" w:rsidR="00527A2A">
        <w:rPr>
          <w:rFonts w:asciiTheme="minorHAnsi" w:hAnsiTheme="minorHAnsi" w:cstheme="minorHAnsi"/>
        </w:rPr>
        <w:br/>
      </w:r>
    </w:p>
    <w:p w:rsidRPr="007370C7" w:rsidR="00527A2A" w:rsidP="00527A2A" w:rsidRDefault="00527A2A" w14:paraId="459A570B" w14:textId="77777777">
      <w:pPr>
        <w:rPr>
          <w:rFonts w:asciiTheme="minorHAnsi" w:hAnsiTheme="minorHAnsi" w:cstheme="minorHAnsi"/>
          <w:b/>
        </w:rPr>
      </w:pPr>
      <w:r w:rsidRPr="007370C7">
        <w:rPr>
          <w:rFonts w:asciiTheme="minorHAnsi" w:hAnsiTheme="minorHAnsi" w:cstheme="minorHAnsi"/>
          <w:b/>
          <w:u w:val="single"/>
        </w:rPr>
        <w:t>Mitigation to Date</w:t>
      </w:r>
    </w:p>
    <w:p w:rsidRPr="007370C7" w:rsidR="00527A2A" w:rsidP="00527A2A" w:rsidRDefault="00527A2A" w14:paraId="4D0A0960" w14:textId="77777777">
      <w:pPr>
        <w:rPr>
          <w:rFonts w:asciiTheme="minorHAnsi" w:hAnsiTheme="minorHAnsi" w:cstheme="minorHAnsi"/>
        </w:rPr>
      </w:pPr>
    </w:p>
    <w:p w:rsidRPr="00A97EF4" w:rsidR="004A382D" w:rsidP="00527A2A" w:rsidRDefault="004A382D" w14:paraId="75893DAC" w14:textId="296104E1">
      <w:pPr>
        <w:rPr>
          <w:rFonts w:asciiTheme="minorHAnsi" w:hAnsiTheme="minorHAnsi" w:cstheme="minorHAnsi"/>
        </w:rPr>
      </w:pPr>
      <w:r w:rsidRPr="00A97EF4">
        <w:rPr>
          <w:rFonts w:asciiTheme="minorHAnsi" w:hAnsiTheme="minorHAnsi" w:cstheme="minorHAnsi"/>
        </w:rPr>
        <w:t xml:space="preserve">Since phase 1 of </w:t>
      </w:r>
      <w:r w:rsidRPr="00A97EF4" w:rsidR="00450E81">
        <w:rPr>
          <w:rFonts w:asciiTheme="minorHAnsi" w:hAnsiTheme="minorHAnsi" w:cstheme="minorHAnsi"/>
        </w:rPr>
        <w:t>the study</w:t>
      </w:r>
      <w:r w:rsidRPr="00A97EF4">
        <w:rPr>
          <w:rFonts w:asciiTheme="minorHAnsi" w:hAnsiTheme="minorHAnsi" w:cstheme="minorHAnsi"/>
        </w:rPr>
        <w:t xml:space="preserve">, as part of regular survey administration protocol, ACF has actively monitored survey response rates in the multi-phase ECE-ICHQ study. </w:t>
      </w:r>
      <w:r w:rsidRPr="00A97EF4" w:rsidR="00917895">
        <w:rPr>
          <w:rFonts w:asciiTheme="minorHAnsi" w:hAnsiTheme="minorHAnsi" w:cstheme="minorHAnsi"/>
        </w:rPr>
        <w:t>In phase 2</w:t>
      </w:r>
      <w:r w:rsidRPr="00A97EF4">
        <w:rPr>
          <w:rFonts w:asciiTheme="minorHAnsi" w:hAnsiTheme="minorHAnsi" w:cstheme="minorHAnsi"/>
        </w:rPr>
        <w:t xml:space="preserve">, the contract team </w:t>
      </w:r>
      <w:r w:rsidRPr="00A97EF4" w:rsidR="004100A7">
        <w:rPr>
          <w:rFonts w:asciiTheme="minorHAnsi" w:hAnsiTheme="minorHAnsi" w:cstheme="minorHAnsi"/>
        </w:rPr>
        <w:t>took</w:t>
      </w:r>
      <w:r w:rsidRPr="00A97EF4">
        <w:rPr>
          <w:rFonts w:asciiTheme="minorHAnsi" w:hAnsiTheme="minorHAnsi" w:cstheme="minorHAnsi"/>
        </w:rPr>
        <w:t xml:space="preserve"> the following steps to address emerging concerns with lower than expected response rates and potential non-response bias:</w:t>
      </w:r>
    </w:p>
    <w:p w:rsidRPr="00A97EF4" w:rsidR="004A382D" w:rsidP="004A382D" w:rsidRDefault="000A3C37" w14:paraId="2DA6FF16" w14:textId="472880DB">
      <w:pPr>
        <w:pStyle w:val="ListParagraph"/>
        <w:numPr>
          <w:ilvl w:val="0"/>
          <w:numId w:val="3"/>
        </w:numPr>
        <w:rPr>
          <w:rFonts w:asciiTheme="minorHAnsi" w:hAnsiTheme="minorHAnsi" w:cstheme="minorHAnsi"/>
        </w:rPr>
      </w:pPr>
      <w:r w:rsidRPr="00A97EF4">
        <w:rPr>
          <w:rFonts w:asciiTheme="minorHAnsi" w:hAnsiTheme="minorHAnsi" w:cstheme="minorHAnsi"/>
        </w:rPr>
        <w:lastRenderedPageBreak/>
        <w:t>Sending field staff to centers to invite center staff to complete the time-use survey in-person</w:t>
      </w:r>
      <w:r w:rsidR="009F032F">
        <w:rPr>
          <w:rFonts w:asciiTheme="minorHAnsi" w:hAnsiTheme="minorHAnsi" w:cstheme="minorHAnsi"/>
        </w:rPr>
        <w:t xml:space="preserve"> and providing paper and web copies of the surveys</w:t>
      </w:r>
      <w:r w:rsidRPr="00A97EF4" w:rsidR="004A382D">
        <w:rPr>
          <w:rFonts w:asciiTheme="minorHAnsi" w:hAnsiTheme="minorHAnsi" w:cstheme="minorHAnsi"/>
        </w:rPr>
        <w:t>;</w:t>
      </w:r>
    </w:p>
    <w:p w:rsidRPr="00A97EF4" w:rsidR="004A382D" w:rsidP="00527A2A" w:rsidRDefault="000A3C37" w14:paraId="7702D956" w14:textId="0C933EE8">
      <w:pPr>
        <w:pStyle w:val="ListParagraph"/>
        <w:numPr>
          <w:ilvl w:val="0"/>
          <w:numId w:val="3"/>
        </w:numPr>
        <w:rPr>
          <w:rFonts w:asciiTheme="minorHAnsi" w:hAnsiTheme="minorHAnsi" w:cstheme="minorHAnsi"/>
        </w:rPr>
      </w:pPr>
      <w:r w:rsidRPr="00A97EF4">
        <w:rPr>
          <w:rFonts w:asciiTheme="minorHAnsi" w:hAnsiTheme="minorHAnsi" w:cstheme="minorHAnsi"/>
        </w:rPr>
        <w:t>Giving center staff that complete the time-use survey during our visit the $10 gift card upon completion, rather than mailing it to them afterwards</w:t>
      </w:r>
    </w:p>
    <w:p w:rsidR="004A382D" w:rsidP="00527A2A" w:rsidRDefault="004A382D" w14:paraId="57AA41D7" w14:textId="72B6D0B5">
      <w:pPr>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225"/>
        <w:gridCol w:w="1552"/>
        <w:gridCol w:w="1552"/>
        <w:gridCol w:w="1553"/>
      </w:tblGrid>
      <w:tr w:rsidRPr="007370C7" w:rsidR="000A3C37" w:rsidTr="003E23B1" w14:paraId="258DC4E8" w14:textId="77777777">
        <w:tc>
          <w:tcPr>
            <w:tcW w:w="4225" w:type="dxa"/>
            <w:shd w:val="clear" w:color="auto" w:fill="E7E6E6" w:themeFill="background2"/>
          </w:tcPr>
          <w:p w:rsidRPr="007370C7" w:rsidR="000A3C37" w:rsidP="009F032F" w:rsidRDefault="000A3C37" w14:paraId="22422C2D" w14:textId="77777777">
            <w:pPr>
              <w:rPr>
                <w:rFonts w:asciiTheme="minorHAnsi" w:hAnsiTheme="minorHAnsi" w:cstheme="minorHAnsi"/>
              </w:rPr>
            </w:pPr>
            <w:r w:rsidRPr="007370C7">
              <w:rPr>
                <w:rFonts w:asciiTheme="minorHAnsi" w:hAnsiTheme="minorHAnsi" w:cstheme="minorHAnsi"/>
              </w:rPr>
              <w:t>Respondent</w:t>
            </w:r>
          </w:p>
        </w:tc>
        <w:tc>
          <w:tcPr>
            <w:tcW w:w="1552" w:type="dxa"/>
            <w:shd w:val="clear" w:color="auto" w:fill="E7E6E6" w:themeFill="background2"/>
          </w:tcPr>
          <w:p w:rsidRPr="007370C7" w:rsidR="000A3C37" w:rsidP="009F032F" w:rsidRDefault="000A3C37" w14:paraId="5FA5783D" w14:textId="77777777">
            <w:pPr>
              <w:jc w:val="center"/>
              <w:rPr>
                <w:rFonts w:asciiTheme="minorHAnsi" w:hAnsiTheme="minorHAnsi" w:cstheme="minorHAnsi"/>
              </w:rPr>
            </w:pPr>
            <w:r w:rsidRPr="007370C7">
              <w:rPr>
                <w:rFonts w:asciiTheme="minorHAnsi" w:hAnsiTheme="minorHAnsi" w:cstheme="minorHAnsi"/>
              </w:rPr>
              <w:t>Target N</w:t>
            </w:r>
          </w:p>
        </w:tc>
        <w:tc>
          <w:tcPr>
            <w:tcW w:w="1552" w:type="dxa"/>
            <w:shd w:val="clear" w:color="auto" w:fill="E7E6E6" w:themeFill="background2"/>
          </w:tcPr>
          <w:p w:rsidRPr="007370C7" w:rsidR="000A3C37" w:rsidP="009F032F" w:rsidRDefault="000A3C37" w14:paraId="6A029758" w14:textId="77777777">
            <w:pPr>
              <w:jc w:val="center"/>
              <w:rPr>
                <w:rFonts w:asciiTheme="minorHAnsi" w:hAnsiTheme="minorHAnsi" w:cstheme="minorHAnsi"/>
              </w:rPr>
            </w:pPr>
            <w:r w:rsidRPr="007370C7">
              <w:rPr>
                <w:rFonts w:asciiTheme="minorHAnsi" w:hAnsiTheme="minorHAnsi" w:cstheme="minorHAnsi"/>
              </w:rPr>
              <w:t>N Secured</w:t>
            </w:r>
          </w:p>
        </w:tc>
        <w:tc>
          <w:tcPr>
            <w:tcW w:w="1553" w:type="dxa"/>
            <w:shd w:val="clear" w:color="auto" w:fill="E7E6E6" w:themeFill="background2"/>
          </w:tcPr>
          <w:p w:rsidRPr="007370C7" w:rsidR="000A3C37" w:rsidP="009F032F" w:rsidRDefault="000A3C37" w14:paraId="00750D59" w14:textId="77777777">
            <w:pPr>
              <w:jc w:val="center"/>
              <w:rPr>
                <w:rFonts w:asciiTheme="minorHAnsi" w:hAnsiTheme="minorHAnsi" w:cstheme="minorHAnsi"/>
              </w:rPr>
            </w:pPr>
            <w:r w:rsidRPr="007370C7">
              <w:rPr>
                <w:rFonts w:asciiTheme="minorHAnsi" w:hAnsiTheme="minorHAnsi" w:cstheme="minorHAnsi"/>
              </w:rPr>
              <w:t>Response Rate</w:t>
            </w:r>
          </w:p>
        </w:tc>
      </w:tr>
      <w:tr w:rsidRPr="007370C7" w:rsidR="000A3C37" w:rsidTr="003E23B1" w14:paraId="10EFF02B" w14:textId="77777777">
        <w:tc>
          <w:tcPr>
            <w:tcW w:w="4225" w:type="dxa"/>
          </w:tcPr>
          <w:p w:rsidRPr="007370C7" w:rsidR="000A3C37" w:rsidP="009F032F" w:rsidRDefault="000A3C37" w14:paraId="4AC7CD40" w14:textId="18718033">
            <w:pPr>
              <w:rPr>
                <w:rFonts w:asciiTheme="minorHAnsi" w:hAnsiTheme="minorHAnsi" w:cstheme="minorHAnsi"/>
              </w:rPr>
            </w:pPr>
            <w:r>
              <w:rPr>
                <w:rFonts w:asciiTheme="minorHAnsi" w:hAnsiTheme="minorHAnsi" w:cstheme="minorHAnsi"/>
              </w:rPr>
              <w:t>Phase 1 (no field staff)</w:t>
            </w:r>
          </w:p>
        </w:tc>
        <w:tc>
          <w:tcPr>
            <w:tcW w:w="1552" w:type="dxa"/>
          </w:tcPr>
          <w:p w:rsidRPr="007370C7" w:rsidR="000A3C37" w:rsidP="009F032F" w:rsidRDefault="002E152F" w14:paraId="6E19F4D7" w14:textId="11737C45">
            <w:pPr>
              <w:jc w:val="center"/>
              <w:rPr>
                <w:rFonts w:asciiTheme="minorHAnsi" w:hAnsiTheme="minorHAnsi" w:cstheme="minorHAnsi"/>
              </w:rPr>
            </w:pPr>
            <w:r>
              <w:rPr>
                <w:rFonts w:asciiTheme="minorHAnsi" w:hAnsiTheme="minorHAnsi" w:cstheme="minorHAnsi"/>
              </w:rPr>
              <w:t>212</w:t>
            </w:r>
          </w:p>
        </w:tc>
        <w:tc>
          <w:tcPr>
            <w:tcW w:w="1552" w:type="dxa"/>
          </w:tcPr>
          <w:p w:rsidRPr="007370C7" w:rsidR="000A3C37" w:rsidP="009F032F" w:rsidRDefault="002E152F" w14:paraId="74D2C381" w14:textId="7E64A97A">
            <w:pPr>
              <w:jc w:val="center"/>
              <w:rPr>
                <w:rFonts w:asciiTheme="minorHAnsi" w:hAnsiTheme="minorHAnsi" w:cstheme="minorHAnsi"/>
              </w:rPr>
            </w:pPr>
            <w:r>
              <w:rPr>
                <w:rFonts w:asciiTheme="minorHAnsi" w:hAnsiTheme="minorHAnsi" w:cstheme="minorHAnsi"/>
              </w:rPr>
              <w:t>101</w:t>
            </w:r>
          </w:p>
        </w:tc>
        <w:tc>
          <w:tcPr>
            <w:tcW w:w="1553" w:type="dxa"/>
          </w:tcPr>
          <w:p w:rsidRPr="007370C7" w:rsidR="000A3C37" w:rsidP="009F032F" w:rsidRDefault="002E152F" w14:paraId="54A31F2D" w14:textId="3D8D5032">
            <w:pPr>
              <w:jc w:val="center"/>
              <w:rPr>
                <w:rFonts w:asciiTheme="minorHAnsi" w:hAnsiTheme="minorHAnsi" w:cstheme="minorHAnsi"/>
              </w:rPr>
            </w:pPr>
            <w:r>
              <w:rPr>
                <w:rFonts w:asciiTheme="minorHAnsi" w:hAnsiTheme="minorHAnsi" w:cstheme="minorHAnsi"/>
              </w:rPr>
              <w:t>48%</w:t>
            </w:r>
          </w:p>
        </w:tc>
      </w:tr>
      <w:tr w:rsidRPr="007370C7" w:rsidR="000A3C37" w:rsidTr="003E23B1" w14:paraId="50BC1B3E" w14:textId="77777777">
        <w:tc>
          <w:tcPr>
            <w:tcW w:w="4225" w:type="dxa"/>
          </w:tcPr>
          <w:p w:rsidRPr="007370C7" w:rsidR="000A3C37" w:rsidP="009F032F" w:rsidRDefault="000A3C37" w14:paraId="73F89B2E" w14:textId="7E04ACA3">
            <w:pPr>
              <w:rPr>
                <w:rFonts w:asciiTheme="minorHAnsi" w:hAnsiTheme="minorHAnsi" w:cstheme="minorHAnsi"/>
              </w:rPr>
            </w:pPr>
            <w:r>
              <w:rPr>
                <w:rFonts w:asciiTheme="minorHAnsi" w:hAnsiTheme="minorHAnsi" w:cstheme="minorHAnsi"/>
              </w:rPr>
              <w:t>Phase 2 (field staff visit centers to invite center staff to complete time-use survey, and distribute gift cards upon completion)</w:t>
            </w:r>
          </w:p>
        </w:tc>
        <w:tc>
          <w:tcPr>
            <w:tcW w:w="1552" w:type="dxa"/>
          </w:tcPr>
          <w:p w:rsidRPr="007370C7" w:rsidR="000A3C37" w:rsidP="00A97EF4" w:rsidRDefault="002E152F" w14:paraId="23661AD0" w14:textId="3866CA07">
            <w:pPr>
              <w:jc w:val="center"/>
              <w:rPr>
                <w:rFonts w:asciiTheme="minorHAnsi" w:hAnsiTheme="minorHAnsi" w:cstheme="minorHAnsi"/>
              </w:rPr>
            </w:pPr>
            <w:r>
              <w:rPr>
                <w:rFonts w:asciiTheme="minorHAnsi" w:hAnsiTheme="minorHAnsi" w:cstheme="minorHAnsi"/>
              </w:rPr>
              <w:t>483</w:t>
            </w:r>
          </w:p>
        </w:tc>
        <w:tc>
          <w:tcPr>
            <w:tcW w:w="1552" w:type="dxa"/>
          </w:tcPr>
          <w:p w:rsidRPr="007370C7" w:rsidR="000A3C37" w:rsidP="00A97EF4" w:rsidRDefault="00CD594E" w14:paraId="1F1F7502" w14:textId="4628C789">
            <w:pPr>
              <w:jc w:val="center"/>
              <w:rPr>
                <w:rFonts w:asciiTheme="minorHAnsi" w:hAnsiTheme="minorHAnsi" w:cstheme="minorHAnsi"/>
              </w:rPr>
            </w:pPr>
            <w:r>
              <w:rPr>
                <w:rFonts w:asciiTheme="minorHAnsi" w:hAnsiTheme="minorHAnsi" w:cstheme="minorHAnsi"/>
              </w:rPr>
              <w:t>430</w:t>
            </w:r>
          </w:p>
        </w:tc>
        <w:tc>
          <w:tcPr>
            <w:tcW w:w="1553" w:type="dxa"/>
          </w:tcPr>
          <w:p w:rsidRPr="007370C7" w:rsidR="000A3C37" w:rsidP="00A97EF4" w:rsidRDefault="002E152F" w14:paraId="14D8803B" w14:textId="257BA38B">
            <w:pPr>
              <w:jc w:val="center"/>
              <w:rPr>
                <w:rFonts w:asciiTheme="minorHAnsi" w:hAnsiTheme="minorHAnsi" w:cstheme="minorHAnsi"/>
              </w:rPr>
            </w:pPr>
            <w:r>
              <w:rPr>
                <w:rFonts w:asciiTheme="minorHAnsi" w:hAnsiTheme="minorHAnsi" w:cstheme="minorHAnsi"/>
              </w:rPr>
              <w:t>8</w:t>
            </w:r>
            <w:r w:rsidR="00CD594E">
              <w:rPr>
                <w:rFonts w:asciiTheme="minorHAnsi" w:hAnsiTheme="minorHAnsi" w:cstheme="minorHAnsi"/>
              </w:rPr>
              <w:t>9</w:t>
            </w:r>
            <w:r>
              <w:rPr>
                <w:rFonts w:asciiTheme="minorHAnsi" w:hAnsiTheme="minorHAnsi" w:cstheme="minorHAnsi"/>
              </w:rPr>
              <w:t>%</w:t>
            </w:r>
          </w:p>
        </w:tc>
      </w:tr>
    </w:tbl>
    <w:p w:rsidRPr="007370C7" w:rsidR="000A3C37" w:rsidP="00527A2A" w:rsidRDefault="000A3C37" w14:paraId="6A7193DB" w14:textId="77777777">
      <w:pPr>
        <w:rPr>
          <w:rFonts w:asciiTheme="minorHAnsi" w:hAnsiTheme="minorHAnsi" w:cstheme="minorHAnsi"/>
        </w:rPr>
      </w:pPr>
    </w:p>
    <w:p w:rsidRPr="007370C7" w:rsidR="00527A2A" w:rsidP="00527A2A" w:rsidRDefault="00527A2A" w14:paraId="49CD0FEC" w14:textId="77777777">
      <w:pPr>
        <w:rPr>
          <w:rFonts w:asciiTheme="minorHAnsi" w:hAnsiTheme="minorHAnsi" w:cstheme="minorHAnsi"/>
        </w:rPr>
      </w:pPr>
      <w:r w:rsidRPr="007370C7">
        <w:rPr>
          <w:rFonts w:asciiTheme="minorHAnsi" w:hAnsiTheme="minorHAnsi" w:cstheme="minorHAnsi"/>
          <w:b/>
          <w:u w:val="single"/>
        </w:rPr>
        <w:t>Plans for Future Mitigation</w:t>
      </w:r>
      <w:r w:rsidRPr="007370C7">
        <w:rPr>
          <w:rFonts w:asciiTheme="minorHAnsi" w:hAnsiTheme="minorHAnsi" w:cstheme="minorHAnsi"/>
        </w:rPr>
        <w:br/>
      </w:r>
    </w:p>
    <w:p w:rsidRPr="00A97EF4" w:rsidR="006D6593" w:rsidP="006D6593" w:rsidRDefault="006D6593" w14:paraId="11EE4B99" w14:textId="59099521">
      <w:pPr>
        <w:pStyle w:val="ListParagraph"/>
        <w:numPr>
          <w:ilvl w:val="0"/>
          <w:numId w:val="4"/>
        </w:numPr>
        <w:rPr>
          <w:rFonts w:asciiTheme="minorHAnsi" w:hAnsiTheme="minorHAnsi" w:cstheme="minorHAnsi"/>
        </w:rPr>
      </w:pPr>
      <w:r w:rsidRPr="00A97EF4">
        <w:rPr>
          <w:rFonts w:asciiTheme="minorHAnsi" w:hAnsiTheme="minorHAnsi" w:cstheme="minorHAnsi"/>
        </w:rPr>
        <w:t xml:space="preserve">For </w:t>
      </w:r>
      <w:r w:rsidR="009F032F">
        <w:rPr>
          <w:rFonts w:asciiTheme="minorHAnsi" w:hAnsiTheme="minorHAnsi" w:cstheme="minorHAnsi"/>
        </w:rPr>
        <w:t>the feasibility study</w:t>
      </w:r>
      <w:r w:rsidRPr="00A97EF4">
        <w:rPr>
          <w:rFonts w:asciiTheme="minorHAnsi" w:hAnsiTheme="minorHAnsi" w:cstheme="minorHAnsi"/>
        </w:rPr>
        <w:t xml:space="preserve"> of the ECE-ICHQ study, ACF proposes distributing electronic gift cards to respondents immediately after a respondent completes the survey on the web. This approach will attempt to mimic what the study team did in phase 2—having field staff distribute gift cards immediately after a respondent handed in their completed survey. </w:t>
      </w:r>
    </w:p>
    <w:p w:rsidRPr="00A97EF4" w:rsidR="006D6593" w:rsidP="006D6593" w:rsidRDefault="006D6593" w14:paraId="396C7975" w14:textId="28B86657">
      <w:pPr>
        <w:pStyle w:val="ListParagraph"/>
        <w:numPr>
          <w:ilvl w:val="0"/>
          <w:numId w:val="4"/>
        </w:numPr>
        <w:rPr>
          <w:rFonts w:asciiTheme="minorHAnsi" w:hAnsiTheme="minorHAnsi" w:cstheme="minorHAnsi"/>
        </w:rPr>
      </w:pPr>
      <w:r w:rsidRPr="00A97EF4">
        <w:rPr>
          <w:rFonts w:asciiTheme="minorHAnsi" w:hAnsiTheme="minorHAnsi" w:cstheme="minorHAnsi"/>
        </w:rPr>
        <w:t xml:space="preserve">The study team also plans to adjust the </w:t>
      </w:r>
      <w:r w:rsidRPr="00A97EF4" w:rsidR="008A272B">
        <w:rPr>
          <w:rFonts w:asciiTheme="minorHAnsi" w:hAnsiTheme="minorHAnsi" w:cstheme="minorHAnsi"/>
        </w:rPr>
        <w:t>schedule of email reminders that will be sent to non-</w:t>
      </w:r>
      <w:r w:rsidRPr="00A97EF4" w:rsidR="004100A7">
        <w:rPr>
          <w:rFonts w:asciiTheme="minorHAnsi" w:hAnsiTheme="minorHAnsi" w:cstheme="minorHAnsi"/>
        </w:rPr>
        <w:t>respondents</w:t>
      </w:r>
      <w:r w:rsidRPr="00A97EF4" w:rsidR="008A272B">
        <w:rPr>
          <w:rFonts w:asciiTheme="minorHAnsi" w:hAnsiTheme="minorHAnsi" w:cstheme="minorHAnsi"/>
        </w:rPr>
        <w:t xml:space="preserve">. We will incorporate additional </w:t>
      </w:r>
      <w:r w:rsidRPr="00A97EF4" w:rsidR="00436932">
        <w:rPr>
          <w:rFonts w:asciiTheme="minorHAnsi" w:hAnsiTheme="minorHAnsi" w:cstheme="minorHAnsi"/>
        </w:rPr>
        <w:t>reminders and</w:t>
      </w:r>
      <w:r w:rsidRPr="00A97EF4" w:rsidR="008A272B">
        <w:rPr>
          <w:rFonts w:asciiTheme="minorHAnsi" w:hAnsiTheme="minorHAnsi" w:cstheme="minorHAnsi"/>
        </w:rPr>
        <w:t xml:space="preserve"> decrease the length of time between each reminder. We will add a reminder call to </w:t>
      </w:r>
      <w:r w:rsidRPr="00A97EF4" w:rsidR="00FC5344">
        <w:rPr>
          <w:rFonts w:asciiTheme="minorHAnsi" w:hAnsiTheme="minorHAnsi" w:cstheme="minorHAnsi"/>
        </w:rPr>
        <w:t xml:space="preserve">the </w:t>
      </w:r>
      <w:r w:rsidRPr="00A97EF4" w:rsidR="008A272B">
        <w:rPr>
          <w:rFonts w:asciiTheme="minorHAnsi" w:hAnsiTheme="minorHAnsi" w:cstheme="minorHAnsi"/>
        </w:rPr>
        <w:t xml:space="preserve">center </w:t>
      </w:r>
      <w:r w:rsidRPr="00A97EF4" w:rsidR="00FC5344">
        <w:rPr>
          <w:rFonts w:asciiTheme="minorHAnsi" w:hAnsiTheme="minorHAnsi" w:cstheme="minorHAnsi"/>
        </w:rPr>
        <w:t>director</w:t>
      </w:r>
      <w:r w:rsidRPr="00A97EF4" w:rsidR="00004DC3">
        <w:rPr>
          <w:rFonts w:asciiTheme="minorHAnsi" w:hAnsiTheme="minorHAnsi" w:cstheme="minorHAnsi"/>
        </w:rPr>
        <w:t xml:space="preserve"> to encourage staff responses</w:t>
      </w:r>
      <w:r w:rsidRPr="00A97EF4" w:rsidR="008A272B">
        <w:rPr>
          <w:rFonts w:asciiTheme="minorHAnsi" w:hAnsiTheme="minorHAnsi" w:cstheme="minorHAnsi"/>
        </w:rPr>
        <w:t xml:space="preserve">. </w:t>
      </w:r>
    </w:p>
    <w:p w:rsidRPr="00A97EF4" w:rsidR="006D6593" w:rsidP="006D6593" w:rsidRDefault="006D6593" w14:paraId="796EBBB2" w14:textId="54FC45FF">
      <w:pPr>
        <w:pStyle w:val="ListParagraph"/>
        <w:numPr>
          <w:ilvl w:val="0"/>
          <w:numId w:val="4"/>
        </w:numPr>
        <w:rPr>
          <w:rFonts w:asciiTheme="minorHAnsi" w:hAnsiTheme="minorHAnsi" w:cstheme="minorHAnsi"/>
        </w:rPr>
      </w:pPr>
      <w:r w:rsidRPr="00A97EF4">
        <w:rPr>
          <w:rFonts w:asciiTheme="minorHAnsi" w:hAnsiTheme="minorHAnsi" w:cstheme="minorHAnsi"/>
        </w:rPr>
        <w:t xml:space="preserve">We believe the combination of this approach and a modified incentive structure can mitigate our concern of not having a large enough sample size for </w:t>
      </w:r>
      <w:r w:rsidRPr="00A97EF4" w:rsidR="00436932">
        <w:rPr>
          <w:rFonts w:asciiTheme="minorHAnsi" w:hAnsiTheme="minorHAnsi" w:cstheme="minorHAnsi"/>
        </w:rPr>
        <w:t>analyses and</w:t>
      </w:r>
      <w:r w:rsidRPr="00A97EF4">
        <w:rPr>
          <w:rFonts w:asciiTheme="minorHAnsi" w:hAnsiTheme="minorHAnsi" w:cstheme="minorHAnsi"/>
        </w:rPr>
        <w:t xml:space="preserve"> having a lower response rate</w:t>
      </w:r>
      <w:r w:rsidRPr="00A97EF4" w:rsidR="002E152F">
        <w:rPr>
          <w:rFonts w:asciiTheme="minorHAnsi" w:hAnsiTheme="minorHAnsi" w:cstheme="minorHAnsi"/>
        </w:rPr>
        <w:t xml:space="preserve">. The time-use data </w:t>
      </w:r>
      <w:r w:rsidR="009F032F">
        <w:rPr>
          <w:rFonts w:asciiTheme="minorHAnsi" w:hAnsiTheme="minorHAnsi" w:cstheme="minorHAnsi"/>
        </w:rPr>
        <w:t>is essential to allow</w:t>
      </w:r>
      <w:r w:rsidRPr="00A97EF4" w:rsidR="002E152F">
        <w:rPr>
          <w:rFonts w:asciiTheme="minorHAnsi" w:hAnsiTheme="minorHAnsi" w:cstheme="minorHAnsi"/>
        </w:rPr>
        <w:t xml:space="preserve"> the research team to allocate center labor costs to various “functions” based on time spent on various activities. </w:t>
      </w:r>
      <w:r w:rsidRPr="00A97EF4" w:rsidR="00C404CF">
        <w:rPr>
          <w:rFonts w:asciiTheme="minorHAnsi" w:hAnsiTheme="minorHAnsi" w:cstheme="minorHAnsi"/>
        </w:rPr>
        <w:t>It is important to achieve a high response rate because our findings from Phase 2 indicate substantial variation in time use among staff</w:t>
      </w:r>
      <w:r w:rsidR="009F032F">
        <w:rPr>
          <w:rFonts w:asciiTheme="minorHAnsi" w:hAnsiTheme="minorHAnsi" w:cstheme="minorHAnsi"/>
        </w:rPr>
        <w:t xml:space="preserve"> even</w:t>
      </w:r>
      <w:r w:rsidRPr="00A97EF4" w:rsidR="00C404CF">
        <w:rPr>
          <w:rFonts w:asciiTheme="minorHAnsi" w:hAnsiTheme="minorHAnsi" w:cstheme="minorHAnsi"/>
        </w:rPr>
        <w:t xml:space="preserve"> in the same center. </w:t>
      </w:r>
      <w:r w:rsidRPr="00A97EF4" w:rsidR="007C0F70">
        <w:rPr>
          <w:rFonts w:asciiTheme="minorHAnsi" w:hAnsiTheme="minorHAnsi" w:cstheme="minorHAnsi"/>
        </w:rPr>
        <w:t xml:space="preserve">Responses from a large proportion </w:t>
      </w:r>
      <w:r w:rsidRPr="00A97EF4" w:rsidR="00C06A09">
        <w:rPr>
          <w:rFonts w:asciiTheme="minorHAnsi" w:hAnsiTheme="minorHAnsi" w:cstheme="minorHAnsi"/>
        </w:rPr>
        <w:t>of</w:t>
      </w:r>
      <w:r w:rsidRPr="00A97EF4" w:rsidR="007C0F70">
        <w:rPr>
          <w:rFonts w:asciiTheme="minorHAnsi" w:hAnsiTheme="minorHAnsi" w:cstheme="minorHAnsi"/>
        </w:rPr>
        <w:t xml:space="preserve"> respondents</w:t>
      </w:r>
      <w:r w:rsidRPr="00A97EF4" w:rsidR="00A47284">
        <w:rPr>
          <w:rFonts w:asciiTheme="minorHAnsi" w:hAnsiTheme="minorHAnsi" w:cstheme="minorHAnsi"/>
        </w:rPr>
        <w:t xml:space="preserve"> </w:t>
      </w:r>
      <w:r w:rsidRPr="00A97EF4" w:rsidR="007C0F70">
        <w:rPr>
          <w:rFonts w:asciiTheme="minorHAnsi" w:hAnsiTheme="minorHAnsi" w:cstheme="minorHAnsi"/>
        </w:rPr>
        <w:t>will support estimation of</w:t>
      </w:r>
      <w:r w:rsidRPr="00A97EF4" w:rsidR="00622BBD">
        <w:rPr>
          <w:rFonts w:asciiTheme="minorHAnsi" w:hAnsiTheme="minorHAnsi" w:cstheme="minorHAnsi"/>
        </w:rPr>
        <w:t xml:space="preserve"> time use </w:t>
      </w:r>
      <w:r w:rsidRPr="00A97EF4" w:rsidR="00A47284">
        <w:rPr>
          <w:rFonts w:asciiTheme="minorHAnsi" w:hAnsiTheme="minorHAnsi" w:cstheme="minorHAnsi"/>
        </w:rPr>
        <w:t>for staff members in different job categories within a center</w:t>
      </w:r>
      <w:r w:rsidRPr="00A97EF4" w:rsidR="00C06A09">
        <w:rPr>
          <w:rFonts w:asciiTheme="minorHAnsi" w:hAnsiTheme="minorHAnsi" w:cstheme="minorHAnsi"/>
        </w:rPr>
        <w:t xml:space="preserve"> (such as assistant teachers and lead teachers)</w:t>
      </w:r>
      <w:r w:rsidRPr="00A97EF4" w:rsidR="00A47284">
        <w:rPr>
          <w:rFonts w:asciiTheme="minorHAnsi" w:hAnsiTheme="minorHAnsi" w:cstheme="minorHAnsi"/>
        </w:rPr>
        <w:t>, which will increase the precision of labor cost allocations.</w:t>
      </w:r>
      <w:r w:rsidRPr="00A97EF4" w:rsidR="00F01F7C">
        <w:rPr>
          <w:rFonts w:asciiTheme="minorHAnsi" w:hAnsiTheme="minorHAnsi" w:cstheme="minorHAnsi"/>
        </w:rPr>
        <w:t xml:space="preserve"> Conversely, a lower response rate within a center is likely to introduce bias into the time-use estimates due to limited coverage of staff in different job categories.  </w:t>
      </w:r>
      <w:r w:rsidRPr="00A97EF4" w:rsidR="00A47284">
        <w:rPr>
          <w:rFonts w:asciiTheme="minorHAnsi" w:hAnsiTheme="minorHAnsi" w:cstheme="minorHAnsi"/>
        </w:rPr>
        <w:t xml:space="preserve"> </w:t>
      </w:r>
    </w:p>
    <w:p w:rsidRPr="007370C7" w:rsidR="00F36217" w:rsidP="00527A2A" w:rsidRDefault="00F36217" w14:paraId="7F27101B" w14:textId="77777777">
      <w:pPr>
        <w:rPr>
          <w:rFonts w:asciiTheme="minorHAnsi" w:hAnsiTheme="minorHAnsi" w:cstheme="minorHAnsi"/>
          <w:b/>
          <w:u w:val="single"/>
        </w:rPr>
      </w:pPr>
    </w:p>
    <w:p w:rsidRPr="007370C7" w:rsidR="00527A2A" w:rsidP="00527A2A" w:rsidRDefault="00527A2A" w14:paraId="16A16466" w14:textId="18A1EAC6">
      <w:pPr>
        <w:rPr>
          <w:rFonts w:asciiTheme="minorHAnsi" w:hAnsiTheme="minorHAnsi" w:cstheme="minorHAnsi"/>
        </w:rPr>
      </w:pPr>
      <w:r w:rsidRPr="007370C7">
        <w:rPr>
          <w:rFonts w:asciiTheme="minorHAnsi" w:hAnsiTheme="minorHAnsi" w:cstheme="minorHAnsi"/>
          <w:b/>
          <w:u w:val="single"/>
        </w:rPr>
        <w:t>Proposed Intervention for OIRA Approval</w:t>
      </w:r>
      <w:r w:rsidRPr="007370C7">
        <w:rPr>
          <w:rFonts w:asciiTheme="minorHAnsi" w:hAnsiTheme="minorHAnsi" w:cstheme="minorHAnsi"/>
        </w:rPr>
        <w:t xml:space="preserve"> </w:t>
      </w:r>
      <w:r w:rsidRPr="007370C7">
        <w:rPr>
          <w:rFonts w:asciiTheme="minorHAnsi" w:hAnsiTheme="minorHAnsi" w:cstheme="minorHAnsi"/>
        </w:rPr>
        <w:br/>
      </w:r>
    </w:p>
    <w:p w:rsidRPr="00A97EF4" w:rsidR="00596A40" w:rsidP="00527A2A" w:rsidRDefault="008A272B" w14:paraId="3EFE0E23" w14:textId="14CB4FA8">
      <w:pPr>
        <w:pStyle w:val="Heading3"/>
        <w:spacing w:before="0" w:line="240" w:lineRule="auto"/>
        <w:rPr>
          <w:rFonts w:asciiTheme="minorHAnsi" w:hAnsiTheme="minorHAnsi" w:cstheme="minorHAnsi"/>
          <w:b w:val="0"/>
          <w:color w:val="auto"/>
        </w:rPr>
      </w:pPr>
      <w:r w:rsidRPr="00A97EF4">
        <w:rPr>
          <w:rFonts w:asciiTheme="minorHAnsi" w:hAnsiTheme="minorHAnsi" w:cstheme="minorHAnsi"/>
          <w:b w:val="0"/>
          <w:color w:val="auto"/>
        </w:rPr>
        <w:t xml:space="preserve">For </w:t>
      </w:r>
      <w:r w:rsidR="009F032F">
        <w:rPr>
          <w:rFonts w:asciiTheme="minorHAnsi" w:hAnsiTheme="minorHAnsi" w:cstheme="minorHAnsi"/>
          <w:b w:val="0"/>
          <w:color w:val="auto"/>
        </w:rPr>
        <w:t>the feasibility study</w:t>
      </w:r>
      <w:r w:rsidRPr="00A97EF4">
        <w:rPr>
          <w:rFonts w:asciiTheme="minorHAnsi" w:hAnsiTheme="minorHAnsi" w:cstheme="minorHAnsi"/>
          <w:b w:val="0"/>
          <w:color w:val="auto"/>
        </w:rPr>
        <w:t xml:space="preserve"> of the ECE-ICHQ study, we propose increasing the incentive amount of the </w:t>
      </w:r>
      <w:r w:rsidR="000226D4">
        <w:rPr>
          <w:rFonts w:asciiTheme="minorHAnsi" w:hAnsiTheme="minorHAnsi" w:cstheme="minorHAnsi"/>
          <w:b w:val="0"/>
          <w:color w:val="auto"/>
        </w:rPr>
        <w:t xml:space="preserve">15 </w:t>
      </w:r>
      <w:bookmarkStart w:name="_GoBack" w:id="0"/>
      <w:r w:rsidR="00D44A60">
        <w:rPr>
          <w:rFonts w:asciiTheme="minorHAnsi" w:hAnsiTheme="minorHAnsi" w:cstheme="minorHAnsi"/>
          <w:b w:val="0"/>
          <w:color w:val="auto"/>
        </w:rPr>
        <w:t>minute</w:t>
      </w:r>
      <w:bookmarkEnd w:id="0"/>
      <w:r w:rsidR="00D44A60">
        <w:rPr>
          <w:rFonts w:asciiTheme="minorHAnsi" w:hAnsiTheme="minorHAnsi" w:cstheme="minorHAnsi"/>
          <w:b w:val="0"/>
          <w:color w:val="auto"/>
        </w:rPr>
        <w:t xml:space="preserve"> </w:t>
      </w:r>
      <w:r w:rsidRPr="00A97EF4">
        <w:rPr>
          <w:rFonts w:asciiTheme="minorHAnsi" w:hAnsiTheme="minorHAnsi" w:cstheme="minorHAnsi"/>
          <w:b w:val="0"/>
          <w:color w:val="auto"/>
        </w:rPr>
        <w:t xml:space="preserve">time-use survey from $10 to $20. </w:t>
      </w:r>
      <w:r w:rsidRPr="00A97EF4" w:rsidR="002F3B3D">
        <w:rPr>
          <w:rFonts w:asciiTheme="minorHAnsi" w:hAnsiTheme="minorHAnsi" w:cstheme="minorHAnsi"/>
          <w:b w:val="0"/>
          <w:color w:val="auto"/>
        </w:rPr>
        <w:t xml:space="preserve">We expect the increased incentive amount will be necessary to achieve a response rate </w:t>
      </w:r>
      <w:r w:rsidRPr="00A97EF4" w:rsidR="002A7066">
        <w:rPr>
          <w:rFonts w:asciiTheme="minorHAnsi" w:hAnsiTheme="minorHAnsi" w:cstheme="minorHAnsi"/>
          <w:b w:val="0"/>
          <w:color w:val="auto"/>
        </w:rPr>
        <w:t>that</w:t>
      </w:r>
      <w:r w:rsidRPr="00A97EF4" w:rsidR="002F3B3D">
        <w:rPr>
          <w:rFonts w:asciiTheme="minorHAnsi" w:hAnsiTheme="minorHAnsi" w:cstheme="minorHAnsi"/>
          <w:b w:val="0"/>
          <w:color w:val="auto"/>
        </w:rPr>
        <w:t xml:space="preserve"> support</w:t>
      </w:r>
      <w:r w:rsidRPr="00A97EF4" w:rsidR="002A7066">
        <w:rPr>
          <w:rFonts w:asciiTheme="minorHAnsi" w:hAnsiTheme="minorHAnsi" w:cstheme="minorHAnsi"/>
          <w:b w:val="0"/>
          <w:color w:val="auto"/>
        </w:rPr>
        <w:t>s</w:t>
      </w:r>
      <w:r w:rsidRPr="00A97EF4" w:rsidR="002F3B3D">
        <w:rPr>
          <w:rFonts w:asciiTheme="minorHAnsi" w:hAnsiTheme="minorHAnsi" w:cstheme="minorHAnsi"/>
          <w:b w:val="0"/>
          <w:color w:val="auto"/>
        </w:rPr>
        <w:t xml:space="preserve"> </w:t>
      </w:r>
      <w:r w:rsidRPr="00A97EF4" w:rsidR="002A7066">
        <w:rPr>
          <w:rFonts w:asciiTheme="minorHAnsi" w:hAnsiTheme="minorHAnsi" w:cstheme="minorHAnsi"/>
          <w:b w:val="0"/>
          <w:color w:val="auto"/>
        </w:rPr>
        <w:t>the development of measures related to center cost allocation</w:t>
      </w:r>
      <w:r w:rsidRPr="00A97EF4" w:rsidR="00C06A09">
        <w:rPr>
          <w:rFonts w:asciiTheme="minorHAnsi" w:hAnsiTheme="minorHAnsi" w:cstheme="minorHAnsi"/>
          <w:b w:val="0"/>
          <w:color w:val="auto"/>
        </w:rPr>
        <w:t>s across center functions</w:t>
      </w:r>
      <w:r w:rsidRPr="00A97EF4" w:rsidR="002A7066">
        <w:rPr>
          <w:rFonts w:asciiTheme="minorHAnsi" w:hAnsiTheme="minorHAnsi" w:cstheme="minorHAnsi"/>
          <w:b w:val="0"/>
          <w:color w:val="auto"/>
        </w:rPr>
        <w:t>.</w:t>
      </w:r>
      <w:r w:rsidRPr="00A97EF4" w:rsidR="002F3B3D">
        <w:rPr>
          <w:rFonts w:asciiTheme="minorHAnsi" w:hAnsiTheme="minorHAnsi" w:cstheme="minorHAnsi"/>
          <w:b w:val="0"/>
          <w:color w:val="auto"/>
        </w:rPr>
        <w:t xml:space="preserve"> </w:t>
      </w:r>
      <w:r w:rsidRPr="00A97EF4" w:rsidR="002A7066">
        <w:rPr>
          <w:rFonts w:asciiTheme="minorHAnsi" w:hAnsiTheme="minorHAnsi" w:cstheme="minorHAnsi"/>
          <w:b w:val="0"/>
          <w:color w:val="auto"/>
        </w:rPr>
        <w:t xml:space="preserve">Because there is substantial variation in time use among staff members and across job categories within the same center, high response rates within each center are necessary to support precise allocations of labor costs to </w:t>
      </w:r>
      <w:r w:rsidRPr="00A97EF4" w:rsidR="00C06A09">
        <w:rPr>
          <w:rFonts w:asciiTheme="minorHAnsi" w:hAnsiTheme="minorHAnsi" w:cstheme="minorHAnsi"/>
          <w:b w:val="0"/>
          <w:color w:val="auto"/>
        </w:rPr>
        <w:t xml:space="preserve">different </w:t>
      </w:r>
      <w:r w:rsidRPr="00A97EF4" w:rsidR="002A7066">
        <w:rPr>
          <w:rFonts w:asciiTheme="minorHAnsi" w:hAnsiTheme="minorHAnsi" w:cstheme="minorHAnsi"/>
          <w:b w:val="0"/>
          <w:color w:val="auto"/>
        </w:rPr>
        <w:t>center functions.</w:t>
      </w:r>
      <w:r w:rsidRPr="00A97EF4" w:rsidR="007C0F70">
        <w:rPr>
          <w:rFonts w:asciiTheme="minorHAnsi" w:hAnsiTheme="minorHAnsi" w:cstheme="minorHAnsi"/>
          <w:b w:val="0"/>
          <w:color w:val="auto"/>
        </w:rPr>
        <w:t xml:space="preserve"> </w:t>
      </w:r>
    </w:p>
    <w:p w:rsidRPr="007370C7" w:rsidR="00527A2A" w:rsidP="00527A2A" w:rsidRDefault="00527A2A" w14:paraId="6C65F947" w14:textId="5661E2C0">
      <w:pPr>
        <w:pStyle w:val="Heading3"/>
        <w:spacing w:before="0" w:line="240" w:lineRule="auto"/>
        <w:rPr>
          <w:rFonts w:asciiTheme="minorHAnsi" w:hAnsiTheme="minorHAnsi" w:cstheme="minorHAnsi"/>
          <w:color w:val="auto"/>
          <w:u w:val="single"/>
        </w:rPr>
      </w:pPr>
      <w:r w:rsidRPr="007370C7">
        <w:rPr>
          <w:rFonts w:asciiTheme="minorHAnsi" w:hAnsiTheme="minorHAnsi" w:cstheme="minorHAnsi"/>
          <w:color w:val="auto"/>
        </w:rPr>
        <w:br/>
      </w:r>
      <w:r w:rsidRPr="007370C7">
        <w:rPr>
          <w:rFonts w:asciiTheme="minorHAnsi" w:hAnsiTheme="minorHAnsi" w:cstheme="minorHAnsi"/>
          <w:color w:val="auto"/>
          <w:u w:val="single"/>
        </w:rPr>
        <w:t>Expected Benefits and Proposed Assessment</w:t>
      </w:r>
    </w:p>
    <w:p w:rsidRPr="007467AC" w:rsidR="008A272B" w:rsidP="00527A2A" w:rsidRDefault="00527A2A" w14:paraId="0725BC4A" w14:textId="4C6117F6">
      <w:pPr>
        <w:rPr>
          <w:rFonts w:asciiTheme="minorHAnsi" w:hAnsiTheme="minorHAnsi" w:cstheme="minorHAnsi"/>
        </w:rPr>
      </w:pPr>
      <w:r w:rsidRPr="007370C7">
        <w:rPr>
          <w:rFonts w:asciiTheme="minorHAnsi" w:hAnsiTheme="minorHAnsi" w:cstheme="minorHAnsi"/>
        </w:rPr>
        <w:br/>
      </w:r>
      <w:r w:rsidRPr="00A97EF4" w:rsidR="008A272B">
        <w:rPr>
          <w:rFonts w:asciiTheme="minorHAnsi" w:hAnsiTheme="minorHAnsi" w:cstheme="minorHAnsi"/>
        </w:rPr>
        <w:t xml:space="preserve">We expect that our proposed incentive increase will </w:t>
      </w:r>
      <w:r w:rsidRPr="00A97EF4" w:rsidR="00ED3EAF">
        <w:rPr>
          <w:rFonts w:asciiTheme="minorHAnsi" w:hAnsiTheme="minorHAnsi" w:cstheme="minorHAnsi"/>
        </w:rPr>
        <w:t>help offset the increased</w:t>
      </w:r>
      <w:r w:rsidRPr="00A97EF4" w:rsidR="00992FF9">
        <w:rPr>
          <w:rFonts w:asciiTheme="minorHAnsi" w:hAnsiTheme="minorHAnsi" w:cstheme="minorHAnsi"/>
        </w:rPr>
        <w:t xml:space="preserve"> effort required of staff to access and complete a web-based survey and </w:t>
      </w:r>
      <w:r w:rsidRPr="00A97EF4" w:rsidR="008A272B">
        <w:rPr>
          <w:rFonts w:asciiTheme="minorHAnsi" w:hAnsiTheme="minorHAnsi" w:cstheme="minorHAnsi"/>
        </w:rPr>
        <w:t>result in more center staff completing the time-use survey and getting the response rate</w:t>
      </w:r>
      <w:r w:rsidRPr="00A97EF4" w:rsidR="00B353F1">
        <w:rPr>
          <w:rFonts w:asciiTheme="minorHAnsi" w:hAnsiTheme="minorHAnsi" w:cstheme="minorHAnsi"/>
        </w:rPr>
        <w:t xml:space="preserve"> </w:t>
      </w:r>
      <w:r w:rsidRPr="00A97EF4" w:rsidR="00C06A09">
        <w:rPr>
          <w:rFonts w:asciiTheme="minorHAnsi" w:hAnsiTheme="minorHAnsi" w:cstheme="minorHAnsi"/>
        </w:rPr>
        <w:t xml:space="preserve">for the </w:t>
      </w:r>
      <w:r w:rsidRPr="00A97EF4" w:rsidR="00B353F1">
        <w:rPr>
          <w:rFonts w:asciiTheme="minorHAnsi" w:hAnsiTheme="minorHAnsi" w:cstheme="minorHAnsi"/>
        </w:rPr>
        <w:t>survey</w:t>
      </w:r>
      <w:r w:rsidRPr="00A97EF4" w:rsidR="008A272B">
        <w:rPr>
          <w:rFonts w:asciiTheme="minorHAnsi" w:hAnsiTheme="minorHAnsi" w:cstheme="minorHAnsi"/>
        </w:rPr>
        <w:t xml:space="preserve"> close to levels seen in phase 2 of data collection</w:t>
      </w:r>
      <w:r w:rsidRPr="00A97EF4" w:rsidR="002F3B3D">
        <w:rPr>
          <w:rFonts w:asciiTheme="minorHAnsi" w:hAnsiTheme="minorHAnsi" w:cstheme="minorHAnsi"/>
        </w:rPr>
        <w:t xml:space="preserve">. </w:t>
      </w:r>
      <w:r w:rsidRPr="00A97EF4" w:rsidR="00F83521">
        <w:rPr>
          <w:rFonts w:asciiTheme="minorHAnsi" w:hAnsiTheme="minorHAnsi" w:cstheme="minorHAnsi"/>
        </w:rPr>
        <w:t>Collecting responses from as</w:t>
      </w:r>
      <w:r w:rsidRPr="00A97EF4" w:rsidR="00752CE2">
        <w:rPr>
          <w:rFonts w:asciiTheme="minorHAnsi" w:hAnsiTheme="minorHAnsi" w:cstheme="minorHAnsi"/>
        </w:rPr>
        <w:t xml:space="preserve"> many staff members as possible within each center </w:t>
      </w:r>
      <w:r w:rsidRPr="00A97EF4" w:rsidR="00F83521">
        <w:rPr>
          <w:rFonts w:asciiTheme="minorHAnsi" w:hAnsiTheme="minorHAnsi" w:cstheme="minorHAnsi"/>
        </w:rPr>
        <w:t>will</w:t>
      </w:r>
      <w:r w:rsidRPr="00A97EF4" w:rsidR="00752CE2">
        <w:rPr>
          <w:rFonts w:asciiTheme="minorHAnsi" w:hAnsiTheme="minorHAnsi" w:cstheme="minorHAnsi"/>
        </w:rPr>
        <w:t xml:space="preserve"> support precise allocations of </w:t>
      </w:r>
      <w:r w:rsidRPr="00A97EF4" w:rsidR="00752CE2">
        <w:rPr>
          <w:rFonts w:asciiTheme="minorHAnsi" w:hAnsiTheme="minorHAnsi" w:cstheme="minorHAnsi"/>
        </w:rPr>
        <w:lastRenderedPageBreak/>
        <w:t>a center’s labor costs to functions</w:t>
      </w:r>
      <w:r w:rsidRPr="00A97EF4" w:rsidR="00F83521">
        <w:rPr>
          <w:rFonts w:asciiTheme="minorHAnsi" w:hAnsiTheme="minorHAnsi" w:cstheme="minorHAnsi"/>
        </w:rPr>
        <w:t xml:space="preserve"> and the development of</w:t>
      </w:r>
      <w:r w:rsidRPr="00A97EF4" w:rsidR="00752CE2">
        <w:rPr>
          <w:rFonts w:asciiTheme="minorHAnsi" w:hAnsiTheme="minorHAnsi" w:cstheme="minorHAnsi"/>
        </w:rPr>
        <w:t xml:space="preserve"> cost measures that </w:t>
      </w:r>
      <w:r w:rsidRPr="00A97EF4" w:rsidR="00F83521">
        <w:rPr>
          <w:rFonts w:asciiTheme="minorHAnsi" w:hAnsiTheme="minorHAnsi" w:cstheme="minorHAnsi"/>
        </w:rPr>
        <w:t xml:space="preserve">correctly </w:t>
      </w:r>
      <w:r w:rsidRPr="00A97EF4" w:rsidR="00752CE2">
        <w:rPr>
          <w:rFonts w:asciiTheme="minorHAnsi" w:hAnsiTheme="minorHAnsi" w:cstheme="minorHAnsi"/>
        </w:rPr>
        <w:t xml:space="preserve">reflect the allocation of center </w:t>
      </w:r>
      <w:r w:rsidRPr="00A97EF4" w:rsidR="00F83521">
        <w:rPr>
          <w:rFonts w:asciiTheme="minorHAnsi" w:hAnsiTheme="minorHAnsi" w:cstheme="minorHAnsi"/>
        </w:rPr>
        <w:t>resources. Accurately estimating these measures is a fundamental goal of the study.</w:t>
      </w:r>
      <w:r w:rsidRPr="00A97EF4" w:rsidR="00752CE2">
        <w:rPr>
          <w:rFonts w:asciiTheme="minorHAnsi" w:hAnsiTheme="minorHAnsi" w:cstheme="minorHAnsi"/>
        </w:rPr>
        <w:t xml:space="preserve"> </w:t>
      </w:r>
    </w:p>
    <w:sectPr w:rsidRPr="007467AC" w:rsidR="008A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23489"/>
    <w:multiLevelType w:val="hybridMultilevel"/>
    <w:tmpl w:val="C1D6C406"/>
    <w:lvl w:ilvl="0" w:tplc="5DF6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72A49"/>
    <w:multiLevelType w:val="hybridMultilevel"/>
    <w:tmpl w:val="4C908CEE"/>
    <w:lvl w:ilvl="0" w:tplc="B29E0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85F4D"/>
    <w:multiLevelType w:val="hybridMultilevel"/>
    <w:tmpl w:val="F758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12172A"/>
    <w:multiLevelType w:val="hybridMultilevel"/>
    <w:tmpl w:val="B444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2A"/>
    <w:rsid w:val="00004165"/>
    <w:rsid w:val="00004DC3"/>
    <w:rsid w:val="0001631E"/>
    <w:rsid w:val="000226D4"/>
    <w:rsid w:val="00047346"/>
    <w:rsid w:val="000518A0"/>
    <w:rsid w:val="0005285F"/>
    <w:rsid w:val="00063D2D"/>
    <w:rsid w:val="00070140"/>
    <w:rsid w:val="00070621"/>
    <w:rsid w:val="00095656"/>
    <w:rsid w:val="00097498"/>
    <w:rsid w:val="000A3C37"/>
    <w:rsid w:val="000A795B"/>
    <w:rsid w:val="000C2389"/>
    <w:rsid w:val="000D241B"/>
    <w:rsid w:val="000D5022"/>
    <w:rsid w:val="0013095A"/>
    <w:rsid w:val="001479B0"/>
    <w:rsid w:val="00157ABC"/>
    <w:rsid w:val="0017330B"/>
    <w:rsid w:val="001D5989"/>
    <w:rsid w:val="001E6B4A"/>
    <w:rsid w:val="0021149C"/>
    <w:rsid w:val="00236B28"/>
    <w:rsid w:val="002760CF"/>
    <w:rsid w:val="00280221"/>
    <w:rsid w:val="00281C70"/>
    <w:rsid w:val="00286F48"/>
    <w:rsid w:val="002A4596"/>
    <w:rsid w:val="002A548D"/>
    <w:rsid w:val="002A7066"/>
    <w:rsid w:val="002B07D4"/>
    <w:rsid w:val="002E152F"/>
    <w:rsid w:val="002F3B3D"/>
    <w:rsid w:val="00365F91"/>
    <w:rsid w:val="0037006B"/>
    <w:rsid w:val="00374DD3"/>
    <w:rsid w:val="003E23B1"/>
    <w:rsid w:val="004100A7"/>
    <w:rsid w:val="00410FCA"/>
    <w:rsid w:val="00436932"/>
    <w:rsid w:val="0044104D"/>
    <w:rsid w:val="00450E81"/>
    <w:rsid w:val="00470FB7"/>
    <w:rsid w:val="004A382D"/>
    <w:rsid w:val="004A446C"/>
    <w:rsid w:val="004B2DEF"/>
    <w:rsid w:val="004B596C"/>
    <w:rsid w:val="004F4D3B"/>
    <w:rsid w:val="00527A2A"/>
    <w:rsid w:val="00580A60"/>
    <w:rsid w:val="00596A40"/>
    <w:rsid w:val="005B3783"/>
    <w:rsid w:val="0060184B"/>
    <w:rsid w:val="00622BBD"/>
    <w:rsid w:val="00633AF1"/>
    <w:rsid w:val="006455F3"/>
    <w:rsid w:val="006D0822"/>
    <w:rsid w:val="006D6593"/>
    <w:rsid w:val="006E351D"/>
    <w:rsid w:val="006F16BA"/>
    <w:rsid w:val="007370C7"/>
    <w:rsid w:val="00744318"/>
    <w:rsid w:val="007467AC"/>
    <w:rsid w:val="00752CE2"/>
    <w:rsid w:val="0078562D"/>
    <w:rsid w:val="00796B87"/>
    <w:rsid w:val="007C0F70"/>
    <w:rsid w:val="007C6477"/>
    <w:rsid w:val="007D4FC8"/>
    <w:rsid w:val="00876E2E"/>
    <w:rsid w:val="008A272B"/>
    <w:rsid w:val="008B79BD"/>
    <w:rsid w:val="008C10FA"/>
    <w:rsid w:val="00917895"/>
    <w:rsid w:val="00926062"/>
    <w:rsid w:val="00972869"/>
    <w:rsid w:val="00983BA7"/>
    <w:rsid w:val="00992FF9"/>
    <w:rsid w:val="009A2238"/>
    <w:rsid w:val="009A2AFE"/>
    <w:rsid w:val="009E1F11"/>
    <w:rsid w:val="009F032F"/>
    <w:rsid w:val="009F51CA"/>
    <w:rsid w:val="00A03CB8"/>
    <w:rsid w:val="00A0585E"/>
    <w:rsid w:val="00A1553B"/>
    <w:rsid w:val="00A379A7"/>
    <w:rsid w:val="00A47284"/>
    <w:rsid w:val="00A7748E"/>
    <w:rsid w:val="00A8030E"/>
    <w:rsid w:val="00A97EF4"/>
    <w:rsid w:val="00AA1810"/>
    <w:rsid w:val="00AB30E6"/>
    <w:rsid w:val="00AB6353"/>
    <w:rsid w:val="00AD710C"/>
    <w:rsid w:val="00B34302"/>
    <w:rsid w:val="00B353F1"/>
    <w:rsid w:val="00B47D93"/>
    <w:rsid w:val="00B5357D"/>
    <w:rsid w:val="00B63DDE"/>
    <w:rsid w:val="00B76AE0"/>
    <w:rsid w:val="00C06A09"/>
    <w:rsid w:val="00C404CF"/>
    <w:rsid w:val="00CA0E97"/>
    <w:rsid w:val="00CB37BF"/>
    <w:rsid w:val="00CD594E"/>
    <w:rsid w:val="00CE03DF"/>
    <w:rsid w:val="00D44A60"/>
    <w:rsid w:val="00E27699"/>
    <w:rsid w:val="00E9408B"/>
    <w:rsid w:val="00ED3EAF"/>
    <w:rsid w:val="00EE0383"/>
    <w:rsid w:val="00F01F7C"/>
    <w:rsid w:val="00F01FB5"/>
    <w:rsid w:val="00F03438"/>
    <w:rsid w:val="00F36217"/>
    <w:rsid w:val="00F44A50"/>
    <w:rsid w:val="00F83521"/>
    <w:rsid w:val="00F8725A"/>
    <w:rsid w:val="00F92469"/>
    <w:rsid w:val="00FC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3B07"/>
  <w15:chartTrackingRefBased/>
  <w15:docId w15:val="{7B408141-ADB3-47FE-B3F1-9166AC30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7A2A"/>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527A2A"/>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7A2A"/>
    <w:rPr>
      <w:rFonts w:asciiTheme="majorHAnsi" w:eastAsiaTheme="majorEastAsia" w:hAnsiTheme="majorHAnsi" w:cstheme="majorBidi"/>
      <w:b/>
      <w:bCs/>
      <w:color w:val="5B9BD5" w:themeColor="accent1"/>
    </w:rPr>
  </w:style>
  <w:style w:type="table" w:styleId="TableGrid">
    <w:name w:val="Table Grid"/>
    <w:basedOn w:val="TableNormal"/>
    <w:uiPriority w:val="59"/>
    <w:rsid w:val="0052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27A2A"/>
    <w:pPr>
      <w:ind w:left="720"/>
      <w:contextualSpacing/>
    </w:pPr>
  </w:style>
  <w:style w:type="character" w:styleId="CommentReference">
    <w:name w:val="annotation reference"/>
    <w:basedOn w:val="DefaultParagraphFont"/>
    <w:semiHidden/>
    <w:unhideWhenUsed/>
    <w:rsid w:val="00527A2A"/>
    <w:rPr>
      <w:sz w:val="16"/>
      <w:szCs w:val="16"/>
    </w:rPr>
  </w:style>
  <w:style w:type="paragraph" w:styleId="CommentText">
    <w:name w:val="annotation text"/>
    <w:basedOn w:val="Normal"/>
    <w:link w:val="CommentTextChar"/>
    <w:unhideWhenUsed/>
    <w:rsid w:val="00527A2A"/>
    <w:rPr>
      <w:sz w:val="20"/>
      <w:szCs w:val="20"/>
    </w:rPr>
  </w:style>
  <w:style w:type="character" w:customStyle="1" w:styleId="CommentTextChar">
    <w:name w:val="Comment Text Char"/>
    <w:basedOn w:val="DefaultParagraphFont"/>
    <w:link w:val="CommentText"/>
    <w:rsid w:val="00527A2A"/>
    <w:rPr>
      <w:rFonts w:ascii="Calibri" w:hAnsi="Calibri" w:cs="Calibri"/>
      <w:sz w:val="20"/>
      <w:szCs w:val="20"/>
    </w:rPr>
  </w:style>
  <w:style w:type="paragraph" w:styleId="BodyText">
    <w:name w:val="Body Text"/>
    <w:basedOn w:val="Normal"/>
    <w:link w:val="BodyTextChar"/>
    <w:unhideWhenUsed/>
    <w:rsid w:val="00527A2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27A2A"/>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527A2A"/>
    <w:rPr>
      <w:rFonts w:ascii="Calibri" w:hAnsi="Calibri" w:cs="Calibri"/>
    </w:rPr>
  </w:style>
  <w:style w:type="paragraph" w:styleId="BalloonText">
    <w:name w:val="Balloon Text"/>
    <w:basedOn w:val="Normal"/>
    <w:link w:val="BalloonTextChar"/>
    <w:uiPriority w:val="99"/>
    <w:semiHidden/>
    <w:unhideWhenUsed/>
    <w:rsid w:val="0052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7A2A"/>
    <w:rPr>
      <w:b/>
      <w:bCs/>
    </w:rPr>
  </w:style>
  <w:style w:type="character" w:customStyle="1" w:styleId="CommentSubjectChar">
    <w:name w:val="Comment Subject Char"/>
    <w:basedOn w:val="CommentTextChar"/>
    <w:link w:val="CommentSubject"/>
    <w:uiPriority w:val="99"/>
    <w:semiHidden/>
    <w:rsid w:val="00527A2A"/>
    <w:rPr>
      <w:rFonts w:ascii="Calibri" w:hAnsi="Calibri" w:cs="Calibri"/>
      <w:b/>
      <w:bCs/>
      <w:sz w:val="20"/>
      <w:szCs w:val="20"/>
    </w:rPr>
  </w:style>
  <w:style w:type="paragraph" w:customStyle="1" w:styleId="Answer">
    <w:name w:val="Answer"/>
    <w:basedOn w:val="Normal"/>
    <w:rsid w:val="002760CF"/>
    <w:pPr>
      <w:shd w:val="clear" w:color="auto" w:fill="FFFFFF" w:themeFill="background1"/>
      <w:spacing w:after="240"/>
      <w:ind w:left="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571119becf5347751367db2af2b5fbb">
  <xsd:schema xmlns:xsd="http://www.w3.org/2001/XMLSchema" xmlns:xs="http://www.w3.org/2001/XMLSchema" xmlns:p="http://schemas.microsoft.com/office/2006/metadata/properties" xmlns:ns3="c87c70f9-ce00-4b4f-8430-823df24ad0b9" targetNamespace="http://schemas.microsoft.com/office/2006/metadata/properties" ma:root="true" ma:fieldsID="2db15f0c72bc9ff4dd321d4b73b06d64"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522B7-F1FD-4335-8F7A-FD63698CB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6F8B5-8DE8-425A-8FDB-34336EE2E04C}">
  <ds:schemaRefs>
    <ds:schemaRef ds:uri="http://purl.org/dc/elements/1.1/"/>
    <ds:schemaRef ds:uri="http://schemas.openxmlformats.org/package/2006/metadata/core-properties"/>
    <ds:schemaRef ds:uri="c87c70f9-ce00-4b4f-8430-823df24ad0b9"/>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EF5A96F-C870-4F0A-9E72-316CAD3BC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Deterding, Nicole (ACF)</dc:creator>
  <cp:keywords/>
  <dc:description/>
  <cp:lastModifiedBy>Barofsky, Meryl (ACF)</cp:lastModifiedBy>
  <cp:revision>3</cp:revision>
  <dcterms:created xsi:type="dcterms:W3CDTF">2021-02-16T19:39:00Z</dcterms:created>
  <dcterms:modified xsi:type="dcterms:W3CDTF">2021-02-17T15:04:00Z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