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49B5" w:rsidP="004D0723" w:rsidRDefault="006949B5" w14:paraId="64F06145"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aps/>
          <w:szCs w:val="32"/>
        </w:rPr>
      </w:pPr>
    </w:p>
    <w:p w:rsidR="006949B5" w:rsidP="00C87BEE" w:rsidRDefault="006949B5" w14:paraId="74D07D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Cs w:val="32"/>
        </w:rPr>
      </w:pPr>
    </w:p>
    <w:p w:rsidRPr="006949B5" w:rsidR="006949B5" w:rsidP="00C87BEE" w:rsidRDefault="006949B5" w14:paraId="7D5F9491" w14:textId="05C34F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Cs w:val="32"/>
        </w:rPr>
      </w:pPr>
      <w:r w:rsidRPr="006949B5">
        <w:rPr>
          <w:b/>
          <w:bCs/>
          <w:caps/>
          <w:szCs w:val="32"/>
        </w:rPr>
        <w:t xml:space="preserve">U.S. Department of </w:t>
      </w:r>
      <w:r w:rsidR="00A472CD">
        <w:rPr>
          <w:b/>
          <w:bCs/>
          <w:caps/>
          <w:szCs w:val="32"/>
        </w:rPr>
        <w:t xml:space="preserve">THE </w:t>
      </w:r>
      <w:r w:rsidRPr="006949B5">
        <w:rPr>
          <w:b/>
          <w:bCs/>
          <w:caps/>
          <w:szCs w:val="32"/>
        </w:rPr>
        <w:t>Interior</w:t>
      </w:r>
    </w:p>
    <w:p w:rsidRPr="006949B5" w:rsidR="006949B5" w:rsidP="00C87BEE" w:rsidRDefault="006949B5" w14:paraId="0B2A4A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Cs w:val="32"/>
        </w:rPr>
      </w:pPr>
      <w:r w:rsidRPr="006949B5">
        <w:rPr>
          <w:b/>
          <w:bCs/>
          <w:caps/>
          <w:szCs w:val="32"/>
        </w:rPr>
        <w:t>Bureau of Land Management</w:t>
      </w:r>
    </w:p>
    <w:p w:rsidRPr="006949B5" w:rsidR="006949B5" w:rsidP="00C87BEE" w:rsidRDefault="006949B5" w14:paraId="7071B4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Cs w:val="32"/>
        </w:rPr>
      </w:pPr>
    </w:p>
    <w:p w:rsidR="003C1FE4" w:rsidP="00C87BEE" w:rsidRDefault="003C1FE4" w14:paraId="1E527700" w14:textId="70C978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Cs w:val="32"/>
        </w:rPr>
      </w:pPr>
      <w:r>
        <w:rPr>
          <w:b/>
          <w:bCs/>
          <w:caps/>
          <w:szCs w:val="32"/>
        </w:rPr>
        <w:t xml:space="preserve">PAPERWORK REDUCTION ACT </w:t>
      </w:r>
      <w:r w:rsidR="005E1167">
        <w:rPr>
          <w:b/>
          <w:bCs/>
          <w:caps/>
          <w:szCs w:val="32"/>
        </w:rPr>
        <w:t>SUBMISSION</w:t>
      </w:r>
      <w:r>
        <w:rPr>
          <w:b/>
          <w:bCs/>
          <w:caps/>
          <w:szCs w:val="32"/>
        </w:rPr>
        <w:t xml:space="preserve"> </w:t>
      </w:r>
    </w:p>
    <w:p w:rsidRPr="006949B5" w:rsidR="00C87BEE" w:rsidP="00C87BEE" w:rsidRDefault="00C87BEE" w14:paraId="55146FFF" w14:textId="1F7674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Cs w:val="32"/>
        </w:rPr>
      </w:pPr>
      <w:r w:rsidRPr="006949B5">
        <w:rPr>
          <w:b/>
          <w:bCs/>
          <w:caps/>
          <w:szCs w:val="32"/>
        </w:rPr>
        <w:t xml:space="preserve">Supporting </w:t>
      </w:r>
      <w:proofErr w:type="gramStart"/>
      <w:r w:rsidRPr="006949B5">
        <w:rPr>
          <w:b/>
          <w:bCs/>
          <w:caps/>
          <w:szCs w:val="32"/>
        </w:rPr>
        <w:t>Statement</w:t>
      </w:r>
      <w:proofErr w:type="gramEnd"/>
      <w:r w:rsidRPr="006949B5">
        <w:rPr>
          <w:b/>
          <w:bCs/>
          <w:caps/>
          <w:szCs w:val="32"/>
        </w:rPr>
        <w:t xml:space="preserve"> A</w:t>
      </w:r>
    </w:p>
    <w:p w:rsidRPr="006949B5" w:rsidR="000D3251" w:rsidRDefault="000D3251" w14:paraId="0C19626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aps/>
        </w:rPr>
      </w:pPr>
    </w:p>
    <w:p w:rsidRPr="002C642C" w:rsidR="00C87BEE" w:rsidP="002C642C" w:rsidRDefault="000D3251" w14:paraId="44E1D2C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aps/>
        </w:rPr>
      </w:pPr>
      <w:r w:rsidRPr="006949B5">
        <w:rPr>
          <w:b/>
          <w:bCs/>
          <w:caps/>
        </w:rPr>
        <w:t>U</w:t>
      </w:r>
      <w:r w:rsidRPr="006949B5" w:rsidR="00C87BEE">
        <w:rPr>
          <w:b/>
          <w:bCs/>
          <w:caps/>
        </w:rPr>
        <w:t>se</w:t>
      </w:r>
      <w:r w:rsidRPr="006949B5">
        <w:rPr>
          <w:b/>
          <w:bCs/>
          <w:caps/>
        </w:rPr>
        <w:t xml:space="preserve"> </w:t>
      </w:r>
      <w:r w:rsidRPr="006949B5" w:rsidR="00C87BEE">
        <w:rPr>
          <w:b/>
          <w:bCs/>
          <w:caps/>
        </w:rPr>
        <w:t>and</w:t>
      </w:r>
      <w:r w:rsidRPr="006949B5">
        <w:rPr>
          <w:b/>
          <w:bCs/>
          <w:caps/>
        </w:rPr>
        <w:t xml:space="preserve"> O</w:t>
      </w:r>
      <w:r w:rsidRPr="006949B5" w:rsidR="00C87BEE">
        <w:rPr>
          <w:b/>
          <w:bCs/>
          <w:caps/>
        </w:rPr>
        <w:t xml:space="preserve">ccupancy </w:t>
      </w:r>
      <w:r w:rsidRPr="006949B5" w:rsidR="00CE3DED">
        <w:rPr>
          <w:b/>
          <w:bCs/>
          <w:caps/>
        </w:rPr>
        <w:t>under</w:t>
      </w:r>
      <w:r w:rsidRPr="006949B5" w:rsidR="00C87BEE">
        <w:rPr>
          <w:b/>
          <w:bCs/>
          <w:caps/>
        </w:rPr>
        <w:t xml:space="preserve"> the Mining Laws (</w:t>
      </w:r>
      <w:r w:rsidRPr="006949B5">
        <w:rPr>
          <w:b/>
          <w:bCs/>
          <w:caps/>
        </w:rPr>
        <w:t xml:space="preserve">43 CFR </w:t>
      </w:r>
      <w:r w:rsidRPr="006949B5" w:rsidR="00413ECB">
        <w:rPr>
          <w:b/>
          <w:bCs/>
          <w:caps/>
        </w:rPr>
        <w:t xml:space="preserve">Subpart </w:t>
      </w:r>
      <w:r w:rsidRPr="006949B5">
        <w:rPr>
          <w:b/>
          <w:bCs/>
          <w:caps/>
        </w:rPr>
        <w:t>3715</w:t>
      </w:r>
      <w:r w:rsidRPr="006949B5" w:rsidR="00C87BEE">
        <w:rPr>
          <w:b/>
          <w:bCs/>
          <w:caps/>
        </w:rPr>
        <w:t>)</w:t>
      </w:r>
    </w:p>
    <w:p w:rsidR="000D3251" w:rsidP="00C87BEE" w:rsidRDefault="000D3251" w14:paraId="6FC51A24" w14:textId="77777777">
      <w:pPr>
        <w:widowControl/>
        <w:pBdr>
          <w:bottom w:val="single" w:color="auto" w:sz="6" w:space="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aps/>
        </w:rPr>
      </w:pPr>
      <w:r w:rsidRPr="006949B5">
        <w:rPr>
          <w:b/>
          <w:bCs/>
          <w:caps/>
        </w:rPr>
        <w:t xml:space="preserve">OMB </w:t>
      </w:r>
      <w:r w:rsidRPr="006949B5" w:rsidR="00483509">
        <w:rPr>
          <w:b/>
          <w:bCs/>
          <w:caps/>
        </w:rPr>
        <w:t>C</w:t>
      </w:r>
      <w:r w:rsidRPr="006949B5" w:rsidR="00C87BEE">
        <w:rPr>
          <w:b/>
          <w:bCs/>
          <w:caps/>
        </w:rPr>
        <w:t>ontrol Number</w:t>
      </w:r>
      <w:r w:rsidRPr="006949B5">
        <w:rPr>
          <w:b/>
          <w:bCs/>
          <w:caps/>
        </w:rPr>
        <w:t xml:space="preserve"> 1004-0169</w:t>
      </w:r>
    </w:p>
    <w:p w:rsidRPr="006949B5" w:rsidR="006949B5" w:rsidP="00C87BEE" w:rsidRDefault="006949B5" w14:paraId="7788D42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aps/>
        </w:rPr>
      </w:pPr>
    </w:p>
    <w:p w:rsidRPr="002614A0" w:rsidR="002614A0" w:rsidP="002614A0" w:rsidRDefault="002614A0" w14:paraId="573EFC5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Pr="002614A0" w:rsidR="002614A0" w:rsidP="002614A0" w:rsidRDefault="002614A0" w14:paraId="26633C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32"/>
        </w:rPr>
      </w:pPr>
      <w:r w:rsidRPr="002614A0">
        <w:rPr>
          <w:b/>
          <w:szCs w:val="32"/>
        </w:rPr>
        <w:t>Terms of Clearance:</w:t>
      </w:r>
      <w:r w:rsidRPr="002614A0">
        <w:rPr>
          <w:szCs w:val="32"/>
        </w:rPr>
        <w:t xml:space="preserve">  </w:t>
      </w:r>
      <w:r w:rsidR="006949B5">
        <w:rPr>
          <w:bCs/>
        </w:rPr>
        <w:t>Not applicable</w:t>
      </w:r>
      <w:r w:rsidRPr="00EB7829" w:rsidR="006949B5">
        <w:rPr>
          <w:bCs/>
        </w:rPr>
        <w:t>.</w:t>
      </w:r>
      <w:r w:rsidR="006949B5">
        <w:rPr>
          <w:bCs/>
        </w:rPr>
        <w:t xml:space="preserve"> The Office of Management and Budget (OMB) provided no Terms of Clearance when it last approved these collections of information in </w:t>
      </w:r>
      <w:r w:rsidR="00835D65">
        <w:rPr>
          <w:bCs/>
        </w:rPr>
        <w:t>March</w:t>
      </w:r>
      <w:r w:rsidR="006949B5">
        <w:rPr>
          <w:bCs/>
        </w:rPr>
        <w:t xml:space="preserve"> 201</w:t>
      </w:r>
      <w:r w:rsidR="00835D65">
        <w:rPr>
          <w:bCs/>
        </w:rPr>
        <w:t>8</w:t>
      </w:r>
      <w:r w:rsidR="006949B5">
        <w:rPr>
          <w:bCs/>
        </w:rPr>
        <w:t xml:space="preserve">. See OMB Notice of Action dated </w:t>
      </w:r>
      <w:r w:rsidR="00835D65">
        <w:rPr>
          <w:bCs/>
        </w:rPr>
        <w:t>March 7</w:t>
      </w:r>
      <w:r w:rsidR="006949B5">
        <w:rPr>
          <w:bCs/>
        </w:rPr>
        <w:t>, 201</w:t>
      </w:r>
      <w:r w:rsidR="00835D65">
        <w:rPr>
          <w:bCs/>
        </w:rPr>
        <w:t>8</w:t>
      </w:r>
      <w:r w:rsidR="006949B5">
        <w:rPr>
          <w:bCs/>
        </w:rPr>
        <w:t>.</w:t>
      </w:r>
    </w:p>
    <w:p w:rsidR="00414858" w:rsidP="00414858" w:rsidRDefault="00414858" w14:paraId="4825D1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rPr>
        <w:t xml:space="preserve">  </w:t>
      </w:r>
    </w:p>
    <w:p w:rsidR="00414858" w:rsidP="00D775F3" w:rsidRDefault="00D775F3" w14:paraId="6DD96D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bCs/>
        </w:rPr>
        <w:t>Abstract:</w:t>
      </w:r>
      <w:r w:rsidRPr="00D775F3">
        <w:tab/>
      </w:r>
      <w:bookmarkStart w:name="_Hlk62204224" w:id="0"/>
      <w:r>
        <w:t xml:space="preserve">This information collection enables the BLM to regulate the use and occupancy of unpatented </w:t>
      </w:r>
      <w:proofErr w:type="spellStart"/>
      <w:r>
        <w:t>hardrock</w:t>
      </w:r>
      <w:proofErr w:type="spellEnd"/>
      <w:r>
        <w:t xml:space="preserve"> mining claims, and to take any action necessary to prevent unnecessary or undue degradation of public lands </w:t>
      </w:r>
      <w:proofErr w:type="gramStart"/>
      <w:r>
        <w:t>as a result of</w:t>
      </w:r>
      <w:proofErr w:type="gramEnd"/>
      <w:r>
        <w:t xml:space="preserve"> such use or occupancy. The BLM collects information from mining claimants who want to undertake the activities that are necessary </w:t>
      </w:r>
      <w:proofErr w:type="gramStart"/>
      <w:r>
        <w:t>in order to</w:t>
      </w:r>
      <w:proofErr w:type="gramEnd"/>
      <w:r w:rsidR="002627A9">
        <w:t xml:space="preserve"> </w:t>
      </w:r>
      <w:r>
        <w:t>locate a mining claim or mill site.</w:t>
      </w:r>
      <w:r w:rsidR="00391B18">
        <w:t xml:space="preserve"> </w:t>
      </w:r>
      <w:bookmarkEnd w:id="0"/>
      <w:r w:rsidR="002627A9">
        <w:t>This request is for OMB to extend approval of this OMB control number for an additional three (3) years.</w:t>
      </w:r>
      <w:r>
        <w:tab/>
      </w:r>
    </w:p>
    <w:p w:rsidR="00D775F3" w:rsidP="002614A0" w:rsidRDefault="00D775F3" w14:paraId="493A50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rPr>
      </w:pPr>
    </w:p>
    <w:p w:rsidR="002614A0" w:rsidP="002614A0" w:rsidRDefault="002614A0" w14:paraId="5D2222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bCs/>
        </w:rPr>
        <w:t>Justification</w:t>
      </w:r>
    </w:p>
    <w:p w:rsidR="002614A0" w:rsidP="002614A0" w:rsidRDefault="002614A0" w14:paraId="018772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2614A0" w:rsidR="002614A0" w:rsidP="002614A0" w:rsidRDefault="002614A0" w14:paraId="443A76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2614A0">
        <w:rPr>
          <w:b/>
        </w:rPr>
        <w:t>1.</w:t>
      </w:r>
      <w:r w:rsidRPr="002614A0">
        <w:rPr>
          <w:b/>
        </w:rPr>
        <w:tab/>
        <w:t>Explain the circumstances that make the collection of information necessary.  Identify any legal or administrative requirements that necessitate the collection.</w:t>
      </w:r>
    </w:p>
    <w:p w:rsidRPr="006149CE" w:rsidR="009D6E6A" w:rsidP="009D6E6A" w:rsidRDefault="009D6E6A" w14:paraId="11CFD9FF" w14:textId="77777777">
      <w:pPr>
        <w:tabs>
          <w:tab w:val="left" w:pos="-1440"/>
          <w:tab w:val="left" w:pos="-720"/>
          <w:tab w:val="left" w:pos="0"/>
          <w:tab w:val="left" w:pos="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3313" w:rsidP="00981FFA" w:rsidRDefault="00185671" w14:paraId="6DEAC195" w14:textId="77777777">
      <w:pPr>
        <w:pStyle w:val="Default"/>
        <w:rPr>
          <w:szCs w:val="23"/>
        </w:rPr>
      </w:pPr>
      <w:r>
        <w:t xml:space="preserve">This information collection </w:t>
      </w:r>
      <w:r w:rsidR="00C30AFD">
        <w:t xml:space="preserve">enables the Bureau of Land Management (BLM) to regulate the use and occupancy of </w:t>
      </w:r>
      <w:r w:rsidR="005E646B">
        <w:t xml:space="preserve">unpatented </w:t>
      </w:r>
      <w:proofErr w:type="spellStart"/>
      <w:r w:rsidR="00F75C77">
        <w:t>hardrock</w:t>
      </w:r>
      <w:proofErr w:type="spellEnd"/>
      <w:r w:rsidR="00F75C77">
        <w:t xml:space="preserve"> </w:t>
      </w:r>
      <w:r w:rsidR="005E646B">
        <w:t xml:space="preserve">mining claims.  </w:t>
      </w:r>
      <w:r w:rsidR="00B223A0">
        <w:t xml:space="preserve">The mining laws </w:t>
      </w:r>
      <w:r w:rsidR="005E646B">
        <w:t xml:space="preserve">that are key to </w:t>
      </w:r>
      <w:r w:rsidR="00B223A0">
        <w:t>this information collection</w:t>
      </w:r>
      <w:r w:rsidR="00114753">
        <w:t xml:space="preserve"> include the </w:t>
      </w:r>
      <w:r w:rsidR="00A76A6F">
        <w:t xml:space="preserve">General </w:t>
      </w:r>
      <w:r w:rsidR="00114753">
        <w:t>Mining Law (30 U.S.C. 2</w:t>
      </w:r>
      <w:r w:rsidR="007C7CD2">
        <w:t>1</w:t>
      </w:r>
      <w:r w:rsidR="00114753">
        <w:t xml:space="preserve"> – </w:t>
      </w:r>
      <w:r w:rsidR="00226F84">
        <w:t>54</w:t>
      </w:r>
      <w:r w:rsidR="00114753">
        <w:t>)</w:t>
      </w:r>
      <w:r w:rsidR="003A6E1F">
        <w:t>, which</w:t>
      </w:r>
      <w:r w:rsidR="007E063F">
        <w:t xml:space="preserve"> provides that </w:t>
      </w:r>
      <w:r w:rsidR="002F2731">
        <w:t>a person</w:t>
      </w:r>
      <w:r w:rsidR="00013E57">
        <w:t>, association, or corporation</w:t>
      </w:r>
      <w:r w:rsidR="002F2731">
        <w:t xml:space="preserve"> may acquire an interest in public lands </w:t>
      </w:r>
      <w:r w:rsidR="00592914">
        <w:t>via</w:t>
      </w:r>
      <w:r w:rsidR="002F2731">
        <w:t xml:space="preserve"> the proper </w:t>
      </w:r>
      <w:r w:rsidR="005E646B">
        <w:t>“</w:t>
      </w:r>
      <w:r w:rsidR="002F2731">
        <w:t>location</w:t>
      </w:r>
      <w:r w:rsidR="005E646B">
        <w:t>”</w:t>
      </w:r>
      <w:r w:rsidR="002F2731">
        <w:t xml:space="preserve"> of a mining claim or </w:t>
      </w:r>
      <w:r w:rsidR="00E67CE4">
        <w:t>mill site</w:t>
      </w:r>
      <w:r w:rsidR="002F2731">
        <w:t xml:space="preserve">.  </w:t>
      </w:r>
      <w:r w:rsidRPr="00532BDD" w:rsidR="008F3313">
        <w:rPr>
          <w:szCs w:val="23"/>
        </w:rPr>
        <w:t>Location is the act of taking or appropriating a parcel of land</w:t>
      </w:r>
      <w:r w:rsidR="008F3313">
        <w:rPr>
          <w:szCs w:val="23"/>
        </w:rPr>
        <w:t xml:space="preserve"> by </w:t>
      </w:r>
      <w:r w:rsidRPr="00532BDD" w:rsidR="008F3313">
        <w:rPr>
          <w:szCs w:val="23"/>
        </w:rPr>
        <w:t xml:space="preserve">posting a location notice on the mining claim or </w:t>
      </w:r>
      <w:proofErr w:type="spellStart"/>
      <w:r w:rsidR="008F3313">
        <w:rPr>
          <w:szCs w:val="23"/>
        </w:rPr>
        <w:t>millsite</w:t>
      </w:r>
      <w:proofErr w:type="spellEnd"/>
      <w:r w:rsidRPr="00532BDD" w:rsidR="008F3313">
        <w:rPr>
          <w:szCs w:val="23"/>
        </w:rPr>
        <w:t xml:space="preserve">, recording the location </w:t>
      </w:r>
      <w:r w:rsidRPr="00981FFA" w:rsidR="008F3313">
        <w:rPr>
          <w:szCs w:val="23"/>
        </w:rPr>
        <w:t xml:space="preserve">notice, and marking the mining claim or </w:t>
      </w:r>
      <w:proofErr w:type="spellStart"/>
      <w:r w:rsidRPr="00981FFA" w:rsidR="008F3313">
        <w:rPr>
          <w:szCs w:val="23"/>
        </w:rPr>
        <w:t>millsite</w:t>
      </w:r>
      <w:proofErr w:type="spellEnd"/>
      <w:r w:rsidRPr="00981FFA" w:rsidR="008F3313">
        <w:rPr>
          <w:szCs w:val="23"/>
        </w:rPr>
        <w:t xml:space="preserve"> boundaries on the ground.</w:t>
      </w:r>
    </w:p>
    <w:p w:rsidRPr="00981FFA" w:rsidR="00981FFA" w:rsidP="00981FFA" w:rsidRDefault="00981FFA" w14:paraId="621168F0" w14:textId="77777777">
      <w:pPr>
        <w:pStyle w:val="Default"/>
        <w:rPr>
          <w:szCs w:val="23"/>
        </w:rPr>
      </w:pPr>
    </w:p>
    <w:p w:rsidRPr="00007BEF" w:rsidR="00275987" w:rsidP="00981FFA" w:rsidRDefault="00981FFA" w14:paraId="50F3AA1C" w14:textId="77777777">
      <w:pPr>
        <w:pStyle w:val="NormalWeb"/>
        <w:spacing w:before="0" w:beforeAutospacing="0" w:after="0" w:afterAutospacing="0"/>
        <w:rPr>
          <w:szCs w:val="23"/>
        </w:rPr>
      </w:pPr>
      <w:r w:rsidRPr="00981FFA">
        <w:rPr>
          <w:szCs w:val="23"/>
        </w:rPr>
        <w:t xml:space="preserve">Assessment work is required in order to maintain a mining </w:t>
      </w:r>
      <w:proofErr w:type="gramStart"/>
      <w:r w:rsidRPr="00981FFA">
        <w:rPr>
          <w:szCs w:val="23"/>
        </w:rPr>
        <w:t>claim, but</w:t>
      </w:r>
      <w:proofErr w:type="gramEnd"/>
      <w:r w:rsidRPr="00981FFA">
        <w:rPr>
          <w:szCs w:val="23"/>
        </w:rPr>
        <w:t xml:space="preserve"> is not a requirement to maintain a mill site claim.  </w:t>
      </w:r>
      <w:r w:rsidRPr="00981FFA">
        <w:rPr>
          <w:szCs w:val="18"/>
        </w:rPr>
        <w:t>Assessment work includes, but is not limited to, drilling, excavations, driving shafts and tunnels, sampling (geochemical or bulk), road construction on or for the benefit of the mining claim; and geological, geochemical, and geophysical surveys.</w:t>
      </w:r>
      <w:r w:rsidR="002F67E8">
        <w:rPr>
          <w:szCs w:val="18"/>
        </w:rPr>
        <w:t xml:space="preserve">  A </w:t>
      </w:r>
      <w:r>
        <w:rPr>
          <w:szCs w:val="18"/>
        </w:rPr>
        <w:t xml:space="preserve">claimant </w:t>
      </w:r>
      <w:proofErr w:type="gramStart"/>
      <w:r w:rsidR="00E2562B">
        <w:rPr>
          <w:szCs w:val="18"/>
        </w:rPr>
        <w:lastRenderedPageBreak/>
        <w:t>is allowed to</w:t>
      </w:r>
      <w:proofErr w:type="gramEnd"/>
      <w:r w:rsidR="00E2562B">
        <w:rPr>
          <w:szCs w:val="18"/>
        </w:rPr>
        <w:t xml:space="preserve"> </w:t>
      </w:r>
      <w:r w:rsidR="002F67E8">
        <w:rPr>
          <w:szCs w:val="18"/>
        </w:rPr>
        <w:t>undertake</w:t>
      </w:r>
      <w:r w:rsidR="006B3366">
        <w:rPr>
          <w:szCs w:val="18"/>
        </w:rPr>
        <w:t xml:space="preserve"> such activities</w:t>
      </w:r>
      <w:r w:rsidR="00013191">
        <w:rPr>
          <w:szCs w:val="18"/>
        </w:rPr>
        <w:t xml:space="preserve"> </w:t>
      </w:r>
      <w:r w:rsidR="002F67E8">
        <w:rPr>
          <w:szCs w:val="18"/>
        </w:rPr>
        <w:t xml:space="preserve">before obtaining </w:t>
      </w:r>
      <w:r w:rsidRPr="00416211" w:rsidR="00E67CE4">
        <w:rPr>
          <w:szCs w:val="23"/>
        </w:rPr>
        <w:t xml:space="preserve">a patent </w:t>
      </w:r>
      <w:r>
        <w:rPr>
          <w:szCs w:val="23"/>
        </w:rPr>
        <w:t>(i.e., exclusive t</w:t>
      </w:r>
      <w:r w:rsidR="002F67E8">
        <w:rPr>
          <w:szCs w:val="23"/>
        </w:rPr>
        <w:t>itle to the locatable minerals)</w:t>
      </w:r>
      <w:r w:rsidR="00013191">
        <w:rPr>
          <w:szCs w:val="23"/>
        </w:rPr>
        <w:t xml:space="preserve">, and indeed </w:t>
      </w:r>
      <w:r w:rsidR="00013191">
        <w:rPr>
          <w:szCs w:val="18"/>
        </w:rPr>
        <w:t>may be required to undertake such activities in order to avoid claim forfeiture</w:t>
      </w:r>
      <w:r w:rsidRPr="00007BEF" w:rsidR="00013191">
        <w:rPr>
          <w:szCs w:val="18"/>
        </w:rPr>
        <w:t xml:space="preserve">.  </w:t>
      </w:r>
      <w:r w:rsidRPr="00007BEF" w:rsidR="002F67E8">
        <w:rPr>
          <w:szCs w:val="23"/>
        </w:rPr>
        <w:t xml:space="preserve"> </w:t>
      </w:r>
      <w:r w:rsidRPr="00007BEF" w:rsidR="00C54EA1">
        <w:rPr>
          <w:szCs w:val="23"/>
        </w:rPr>
        <w:t xml:space="preserve">All the ground disturbance related to pre-patent work must have an appropriate financial guarantee (bond) to </w:t>
      </w:r>
      <w:proofErr w:type="gramStart"/>
      <w:r w:rsidRPr="00007BEF" w:rsidR="00C54EA1">
        <w:rPr>
          <w:szCs w:val="23"/>
        </w:rPr>
        <w:t>insure</w:t>
      </w:r>
      <w:proofErr w:type="gramEnd"/>
      <w:r w:rsidRPr="00007BEF" w:rsidR="00C54EA1">
        <w:rPr>
          <w:szCs w:val="23"/>
        </w:rPr>
        <w:t xml:space="preserve"> reclamation costs for all said work or disturbance.  </w:t>
      </w:r>
      <w:r w:rsidRPr="00007BEF">
        <w:rPr>
          <w:szCs w:val="23"/>
        </w:rPr>
        <w:t>However, some early claimants abuse</w:t>
      </w:r>
      <w:r w:rsidRPr="00007BEF" w:rsidR="002F67E8">
        <w:rPr>
          <w:szCs w:val="23"/>
        </w:rPr>
        <w:t>d</w:t>
      </w:r>
      <w:r w:rsidRPr="00007BEF">
        <w:rPr>
          <w:szCs w:val="23"/>
        </w:rPr>
        <w:t xml:space="preserve"> the location process by engaging in activities such as establishing saloons or cutting timber on their mining claims.  </w:t>
      </w:r>
      <w:r w:rsidRPr="00007BEF" w:rsidR="00A30E0E">
        <w:rPr>
          <w:szCs w:val="23"/>
        </w:rPr>
        <w:t>The United States brought actions against those claimants, and c</w:t>
      </w:r>
      <w:r w:rsidRPr="00007BEF" w:rsidR="003A6E1F">
        <w:rPr>
          <w:szCs w:val="23"/>
        </w:rPr>
        <w:t xml:space="preserve">ourts found that </w:t>
      </w:r>
      <w:r w:rsidRPr="00007BEF" w:rsidR="006436A1">
        <w:rPr>
          <w:szCs w:val="23"/>
        </w:rPr>
        <w:t xml:space="preserve">the </w:t>
      </w:r>
      <w:r w:rsidRPr="00007BEF">
        <w:rPr>
          <w:szCs w:val="23"/>
        </w:rPr>
        <w:t xml:space="preserve">location of a mining claim does not give the claimant the right to </w:t>
      </w:r>
      <w:r w:rsidRPr="00007BEF" w:rsidR="00A30E0E">
        <w:rPr>
          <w:szCs w:val="23"/>
        </w:rPr>
        <w:t xml:space="preserve">engage in </w:t>
      </w:r>
      <w:r w:rsidRPr="00007BEF" w:rsidR="00E67CE4">
        <w:rPr>
          <w:szCs w:val="23"/>
        </w:rPr>
        <w:t xml:space="preserve">activities </w:t>
      </w:r>
      <w:r w:rsidRPr="00007BEF">
        <w:rPr>
          <w:szCs w:val="23"/>
        </w:rPr>
        <w:t xml:space="preserve">other </w:t>
      </w:r>
      <w:r w:rsidRPr="00007BEF" w:rsidR="00A30E0E">
        <w:rPr>
          <w:szCs w:val="23"/>
        </w:rPr>
        <w:t xml:space="preserve">those that are </w:t>
      </w:r>
      <w:r w:rsidRPr="00007BEF">
        <w:rPr>
          <w:szCs w:val="23"/>
        </w:rPr>
        <w:t xml:space="preserve">reasonably necessary </w:t>
      </w:r>
      <w:r w:rsidRPr="00007BEF" w:rsidR="00A30E0E">
        <w:rPr>
          <w:szCs w:val="23"/>
        </w:rPr>
        <w:t>for mining purposes.</w:t>
      </w:r>
    </w:p>
    <w:p w:rsidRPr="00007BEF" w:rsidR="00275987" w:rsidP="00275987" w:rsidRDefault="00275987" w14:paraId="2ED1D5BB" w14:textId="77777777">
      <w:pPr>
        <w:pStyle w:val="Default"/>
        <w:spacing w:line="286" w:lineRule="atLeast"/>
        <w:ind w:right="107"/>
        <w:rPr>
          <w:szCs w:val="23"/>
        </w:rPr>
      </w:pPr>
    </w:p>
    <w:p w:rsidRPr="002C1287" w:rsidR="00464F62" w:rsidP="000A0360" w:rsidRDefault="00D028C9" w14:paraId="43012D71" w14:textId="77777777">
      <w:pPr>
        <w:widowControl/>
        <w:rPr>
          <w:szCs w:val="23"/>
        </w:rPr>
      </w:pPr>
      <w:r w:rsidRPr="00007BEF">
        <w:rPr>
          <w:szCs w:val="23"/>
        </w:rPr>
        <w:t>A</w:t>
      </w:r>
      <w:r w:rsidRPr="00007BEF" w:rsidR="00275987">
        <w:rPr>
          <w:szCs w:val="23"/>
        </w:rPr>
        <w:t>buses continued</w:t>
      </w:r>
      <w:r w:rsidRPr="00007BEF">
        <w:rPr>
          <w:szCs w:val="23"/>
        </w:rPr>
        <w:t xml:space="preserve"> despite these rulings.  </w:t>
      </w:r>
      <w:r w:rsidRPr="00007BEF" w:rsidR="000A0360">
        <w:rPr>
          <w:szCs w:val="18"/>
        </w:rPr>
        <w:t>Some of the uses taking</w:t>
      </w:r>
      <w:r w:rsidRPr="00007BEF" w:rsidR="00502525">
        <w:rPr>
          <w:szCs w:val="18"/>
        </w:rPr>
        <w:t xml:space="preserve"> </w:t>
      </w:r>
      <w:r w:rsidRPr="00007BEF" w:rsidR="000A0360">
        <w:rPr>
          <w:szCs w:val="18"/>
        </w:rPr>
        <w:t>place on unpatented claims included permanent residences, summer homes, town</w:t>
      </w:r>
      <w:r w:rsidRPr="00007BEF" w:rsidR="00502525">
        <w:rPr>
          <w:szCs w:val="18"/>
        </w:rPr>
        <w:t xml:space="preserve"> </w:t>
      </w:r>
      <w:r w:rsidRPr="00007BEF" w:rsidR="000A0360">
        <w:rPr>
          <w:szCs w:val="18"/>
        </w:rPr>
        <w:t>sites, orchards, farms, a nudist colony, restaurants, a rock museum, a real estate office, hunting and fishing lodges, filling stations, curio shops</w:t>
      </w:r>
      <w:r w:rsidRPr="00007BEF" w:rsidR="00502525">
        <w:rPr>
          <w:szCs w:val="18"/>
        </w:rPr>
        <w:t>,</w:t>
      </w:r>
      <w:r w:rsidRPr="00007BEF" w:rsidR="000A0360">
        <w:rPr>
          <w:szCs w:val="18"/>
        </w:rPr>
        <w:t xml:space="preserve"> and tourist camps</w:t>
      </w:r>
      <w:r w:rsidRPr="00007BEF" w:rsidR="002C1287">
        <w:t xml:space="preserve"> and unbonded surface disturbances beyond </w:t>
      </w:r>
      <w:proofErr w:type="gramStart"/>
      <w:r w:rsidRPr="00007BEF" w:rsidR="002C1287">
        <w:t>5 acre</w:t>
      </w:r>
      <w:proofErr w:type="gramEnd"/>
      <w:r w:rsidRPr="00007BEF" w:rsidR="002C1287">
        <w:t xml:space="preserve"> limit for approved 3809 Notice level operations. </w:t>
      </w:r>
      <w:r w:rsidRPr="00007BEF" w:rsidR="00EB2202">
        <w:rPr>
          <w:szCs w:val="23"/>
        </w:rPr>
        <w:t xml:space="preserve">These abuses prompted Congress to enact </w:t>
      </w:r>
      <w:r w:rsidRPr="00007BEF" w:rsidR="00275987">
        <w:rPr>
          <w:szCs w:val="23"/>
        </w:rPr>
        <w:t>the Surface Resources Act.</w:t>
      </w:r>
      <w:r w:rsidRPr="00007BEF" w:rsidR="002C1287">
        <w:rPr>
          <w:szCs w:val="23"/>
        </w:rPr>
        <w:t xml:space="preserve"> </w:t>
      </w:r>
      <w:r w:rsidRPr="00007BEF" w:rsidR="009D44AE">
        <w:rPr>
          <w:szCs w:val="23"/>
        </w:rPr>
        <w:t xml:space="preserve">Section 4 of </w:t>
      </w:r>
      <w:r w:rsidRPr="00007BEF" w:rsidR="00464F62">
        <w:rPr>
          <w:szCs w:val="23"/>
        </w:rPr>
        <w:t xml:space="preserve">the Surface Resources Act </w:t>
      </w:r>
      <w:r w:rsidRPr="00007BEF" w:rsidR="00275987">
        <w:rPr>
          <w:szCs w:val="23"/>
        </w:rPr>
        <w:t xml:space="preserve">(30 U.S.C. 612) </w:t>
      </w:r>
      <w:r w:rsidRPr="00007BEF" w:rsidR="00464F62">
        <w:t xml:space="preserve">provides that </w:t>
      </w:r>
      <w:r w:rsidRPr="00007BEF" w:rsidR="009D44AE">
        <w:t xml:space="preserve">a mining claim located under the mining laws </w:t>
      </w:r>
      <w:r w:rsidRPr="00007BEF" w:rsidR="00085B25">
        <w:t xml:space="preserve">after July 23, 1955 </w:t>
      </w:r>
      <w:r w:rsidRPr="00007BEF" w:rsidR="009D44AE">
        <w:t>“shall not be used, prior to issuance of patent therefor, for any purposes other than prospecting</w:t>
      </w:r>
      <w:r w:rsidR="009D44AE">
        <w:t xml:space="preserve">, </w:t>
      </w:r>
      <w:proofErr w:type="gramStart"/>
      <w:r w:rsidR="009D44AE">
        <w:t>mining</w:t>
      </w:r>
      <w:proofErr w:type="gramEnd"/>
      <w:r w:rsidR="009D44AE">
        <w:t xml:space="preserve"> or processing operations and uses reasonably incident thereto.</w:t>
      </w:r>
      <w:r w:rsidR="00275987">
        <w:t xml:space="preserve">”  It </w:t>
      </w:r>
      <w:r w:rsidR="00702CBA">
        <w:t xml:space="preserve">also </w:t>
      </w:r>
      <w:r w:rsidR="007846CA">
        <w:t>provides that the United States, its permittees, and its licensees have the right to use the surface of unpatented mining claims for the management and disposition of vegetative resources, for the management of other surface resources, and for access to adjacent land.</w:t>
      </w:r>
    </w:p>
    <w:p w:rsidR="00464F62" w:rsidP="00464F62" w:rsidRDefault="00464F62" w14:paraId="1F391EF8" w14:textId="77777777">
      <w:pPr>
        <w:widowControl/>
      </w:pPr>
    </w:p>
    <w:p w:rsidRPr="006C7DBB" w:rsidR="007614CD" w:rsidP="006C7DBB" w:rsidRDefault="00D670D9" w14:paraId="6D65DE8B" w14:textId="77777777">
      <w:pPr>
        <w:widowControl/>
        <w:rPr>
          <w:i/>
          <w:iCs/>
          <w:szCs w:val="18"/>
        </w:rPr>
      </w:pPr>
      <w:r>
        <w:t xml:space="preserve">Section </w:t>
      </w:r>
      <w:r w:rsidR="00464F62">
        <w:t>302(b) of t</w:t>
      </w:r>
      <w:r w:rsidR="00FA4DB5">
        <w:t xml:space="preserve">he Federal Land Policy and Management Act </w:t>
      </w:r>
      <w:r w:rsidR="002508D5">
        <w:t xml:space="preserve">(FLPMA) </w:t>
      </w:r>
      <w:r w:rsidR="00FA4DB5">
        <w:t>(4</w:t>
      </w:r>
      <w:r w:rsidRPr="00797974" w:rsidR="00FA4DB5">
        <w:t>3 U.S.C. 17</w:t>
      </w:r>
      <w:r w:rsidRPr="00797974" w:rsidR="006E7E46">
        <w:t>32(b))</w:t>
      </w:r>
      <w:r w:rsidRPr="00797974" w:rsidR="00464F62">
        <w:t xml:space="preserve"> </w:t>
      </w:r>
      <w:r w:rsidRPr="00797974" w:rsidR="007614CD">
        <w:t>directs the Secretary of the Interior to take any action necessary to prevent unnecessary or undue de</w:t>
      </w:r>
      <w:r w:rsidR="007614CD">
        <w:t>gradation of the public lands.  The BLM has found that an illegal u</w:t>
      </w:r>
      <w:r w:rsidRPr="00797974" w:rsidR="007614CD">
        <w:rPr>
          <w:szCs w:val="18"/>
        </w:rPr>
        <w:t xml:space="preserve">se </w:t>
      </w:r>
      <w:r w:rsidR="007614CD">
        <w:rPr>
          <w:szCs w:val="18"/>
        </w:rPr>
        <w:t>of an unpatented mining and mill site claim “</w:t>
      </w:r>
      <w:r w:rsidRPr="00797974" w:rsidR="007614CD">
        <w:rPr>
          <w:szCs w:val="18"/>
        </w:rPr>
        <w:t xml:space="preserve">inherently constitutes </w:t>
      </w:r>
      <w:r w:rsidR="007614CD">
        <w:rPr>
          <w:szCs w:val="18"/>
        </w:rPr>
        <w:t>‘</w:t>
      </w:r>
      <w:r w:rsidRPr="00797974" w:rsidR="007614CD">
        <w:rPr>
          <w:szCs w:val="18"/>
        </w:rPr>
        <w:t>unnecessary or</w:t>
      </w:r>
      <w:r w:rsidR="007614CD">
        <w:rPr>
          <w:szCs w:val="18"/>
        </w:rPr>
        <w:t xml:space="preserve"> </w:t>
      </w:r>
      <w:r w:rsidRPr="00797974" w:rsidR="007614CD">
        <w:rPr>
          <w:szCs w:val="18"/>
        </w:rPr>
        <w:t>undue degradation</w:t>
      </w:r>
      <w:r w:rsidR="007614CD">
        <w:rPr>
          <w:szCs w:val="18"/>
        </w:rPr>
        <w:t>’</w:t>
      </w:r>
      <w:r w:rsidRPr="00797974" w:rsidR="007614CD">
        <w:rPr>
          <w:szCs w:val="18"/>
        </w:rPr>
        <w:t xml:space="preserve"> of the public lands.</w:t>
      </w:r>
      <w:r w:rsidR="007614CD">
        <w:rPr>
          <w:szCs w:val="18"/>
        </w:rPr>
        <w:t xml:space="preserve">”  </w:t>
      </w:r>
      <w:r w:rsidR="006C7DBB">
        <w:rPr>
          <w:szCs w:val="18"/>
        </w:rPr>
        <w:t xml:space="preserve">See final rule titled, </w:t>
      </w:r>
      <w:r w:rsidRPr="006C7DBB" w:rsidR="006C7DBB">
        <w:rPr>
          <w:i/>
          <w:iCs/>
          <w:szCs w:val="18"/>
        </w:rPr>
        <w:t>Use and Occupancy Under the Mining</w:t>
      </w:r>
      <w:r w:rsidR="006C7DBB">
        <w:rPr>
          <w:i/>
          <w:iCs/>
          <w:szCs w:val="18"/>
        </w:rPr>
        <w:t xml:space="preserve"> </w:t>
      </w:r>
      <w:r w:rsidRPr="006C7DBB" w:rsidR="006C7DBB">
        <w:rPr>
          <w:i/>
          <w:iCs/>
          <w:szCs w:val="18"/>
        </w:rPr>
        <w:t>Laws</w:t>
      </w:r>
      <w:r w:rsidR="006C7DBB">
        <w:rPr>
          <w:i/>
          <w:iCs/>
          <w:szCs w:val="18"/>
        </w:rPr>
        <w:t xml:space="preserve"> </w:t>
      </w:r>
      <w:r w:rsidR="006C7DBB">
        <w:rPr>
          <w:szCs w:val="18"/>
        </w:rPr>
        <w:t>(</w:t>
      </w:r>
      <w:r w:rsidR="007614CD">
        <w:rPr>
          <w:szCs w:val="18"/>
        </w:rPr>
        <w:t>61 FR at 3711</w:t>
      </w:r>
      <w:r w:rsidR="006C7DBB">
        <w:rPr>
          <w:szCs w:val="18"/>
        </w:rPr>
        <w:t>6)</w:t>
      </w:r>
      <w:r w:rsidR="007614CD">
        <w:rPr>
          <w:szCs w:val="18"/>
        </w:rPr>
        <w:t>.</w:t>
      </w:r>
    </w:p>
    <w:p w:rsidR="007614CD" w:rsidP="00EB2202" w:rsidRDefault="007614CD" w14:paraId="78175B27" w14:textId="77777777">
      <w:pPr>
        <w:widowControl/>
      </w:pPr>
    </w:p>
    <w:p w:rsidR="000D3251" w:rsidP="00EB2202" w:rsidRDefault="008C0F8C" w14:paraId="3310CD4C" w14:textId="77777777">
      <w:pPr>
        <w:widowControl/>
      </w:pPr>
      <w:r w:rsidRPr="00797974">
        <w:t>Section</w:t>
      </w:r>
      <w:r w:rsidRPr="00797974" w:rsidR="00B92B74">
        <w:t>s</w:t>
      </w:r>
      <w:r w:rsidRPr="00797974" w:rsidR="004C26EB">
        <w:t xml:space="preserve"> 1 and 3</w:t>
      </w:r>
      <w:r w:rsidRPr="00797974" w:rsidR="00B92B74">
        <w:t xml:space="preserve"> </w:t>
      </w:r>
      <w:r w:rsidRPr="00797974">
        <w:t xml:space="preserve">of the Unlawful Occupancy and </w:t>
      </w:r>
      <w:proofErr w:type="spellStart"/>
      <w:r w:rsidRPr="00797974">
        <w:t>Inclosures</w:t>
      </w:r>
      <w:proofErr w:type="spellEnd"/>
      <w:r w:rsidRPr="00797974">
        <w:t xml:space="preserve"> of Public Lands Act (43 U.S.C. 1061</w:t>
      </w:r>
      <w:r w:rsidRPr="00797974" w:rsidR="00B92B74">
        <w:t xml:space="preserve"> and 1063</w:t>
      </w:r>
      <w:r w:rsidRPr="00797974">
        <w:t>)</w:t>
      </w:r>
      <w:r w:rsidR="007614CD">
        <w:t xml:space="preserve"> are also relevant to this information collection</w:t>
      </w:r>
      <w:r w:rsidR="00026583">
        <w:t xml:space="preserve">.  </w:t>
      </w:r>
      <w:r>
        <w:t xml:space="preserve">Section 1 </w:t>
      </w:r>
      <w:r w:rsidR="00502525">
        <w:t xml:space="preserve">prohibits </w:t>
      </w:r>
      <w:proofErr w:type="spellStart"/>
      <w:r>
        <w:t>inclosures</w:t>
      </w:r>
      <w:proofErr w:type="spellEnd"/>
      <w:r>
        <w:t xml:space="preserve"> </w:t>
      </w:r>
      <w:r w:rsidR="005417BC">
        <w:t xml:space="preserve">(such as fences) </w:t>
      </w:r>
      <w:r w:rsidR="004F5C4E">
        <w:t xml:space="preserve">constructed on public lands by any person without claim or color of title made </w:t>
      </w:r>
      <w:r w:rsidR="00000A7C">
        <w:t>or acquired in good faith.  Sec</w:t>
      </w:r>
      <w:r w:rsidR="004F5C4E">
        <w:t xml:space="preserve">tion 3 prohibits any person “by force, threats, intimidation, or by any fencing or inclosing, or any other unlawful means,” from </w:t>
      </w:r>
      <w:r w:rsidR="0097177E">
        <w:t xml:space="preserve">preventing or </w:t>
      </w:r>
      <w:r w:rsidR="004F5C4E">
        <w:t>obstructing “free passage or transit over or though the public lands</w:t>
      </w:r>
      <w:r w:rsidR="00026583">
        <w:t>.</w:t>
      </w:r>
      <w:r w:rsidR="004F5C4E">
        <w:t>”</w:t>
      </w:r>
    </w:p>
    <w:p w:rsidR="00CB4377" w:rsidP="00114753" w:rsidRDefault="00CB4377" w14:paraId="26A0A64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14753" w:rsidP="00114753" w:rsidRDefault="00FD2E36" w14:paraId="7C17476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t</w:t>
      </w:r>
      <w:r w:rsidR="00CB4377">
        <w:t xml:space="preserve">he regulations at </w:t>
      </w:r>
      <w:r w:rsidR="008C0473">
        <w:t xml:space="preserve">43 </w:t>
      </w:r>
      <w:r w:rsidR="002F67E8">
        <w:t xml:space="preserve">CFR </w:t>
      </w:r>
      <w:r w:rsidR="00CB4377">
        <w:t>subpart 3715</w:t>
      </w:r>
      <w:r>
        <w:t xml:space="preserve">, the BLM </w:t>
      </w:r>
      <w:r w:rsidR="002506D4">
        <w:t>spell</w:t>
      </w:r>
      <w:r>
        <w:t>ed</w:t>
      </w:r>
      <w:r w:rsidR="002506D4">
        <w:t xml:space="preserve"> out </w:t>
      </w:r>
      <w:r>
        <w:t xml:space="preserve">the </w:t>
      </w:r>
      <w:r w:rsidR="002506D4">
        <w:t xml:space="preserve">conditions and standards for </w:t>
      </w:r>
      <w:r>
        <w:t xml:space="preserve">proper </w:t>
      </w:r>
      <w:r w:rsidR="002506D4">
        <w:t>use and occupancy of unpatented mining claims, enumerate</w:t>
      </w:r>
      <w:r>
        <w:t>d</w:t>
      </w:r>
      <w:r w:rsidR="002506D4">
        <w:t xml:space="preserve"> </w:t>
      </w:r>
      <w:r w:rsidR="009A7509">
        <w:t xml:space="preserve">both permissible and </w:t>
      </w:r>
      <w:r w:rsidR="002506D4">
        <w:t xml:space="preserve">prohibited </w:t>
      </w:r>
      <w:r w:rsidR="009A7509">
        <w:t>activities</w:t>
      </w:r>
      <w:r w:rsidR="002506D4">
        <w:t>, and provide</w:t>
      </w:r>
      <w:r>
        <w:t>d</w:t>
      </w:r>
      <w:r w:rsidR="002506D4">
        <w:t xml:space="preserve"> for </w:t>
      </w:r>
      <w:r w:rsidR="00FB0C9F">
        <w:t>administrative</w:t>
      </w:r>
      <w:r w:rsidR="00464F62">
        <w:t xml:space="preserve"> remedies and appropriate </w:t>
      </w:r>
      <w:r w:rsidR="00FB0C9F">
        <w:t>penalties</w:t>
      </w:r>
      <w:r w:rsidR="002506D4">
        <w:t xml:space="preserve">.  </w:t>
      </w:r>
      <w:r w:rsidR="00FB0C9F">
        <w:t xml:space="preserve">In essence, the regulations at 43 CFR subpart 3715 </w:t>
      </w:r>
      <w:r w:rsidR="00FF563F">
        <w:t xml:space="preserve">provide </w:t>
      </w:r>
      <w:r w:rsidR="008C0473">
        <w:t xml:space="preserve">that residency and non-mining commercial activities are normally not authorized by the mining </w:t>
      </w:r>
      <w:proofErr w:type="gramStart"/>
      <w:r w:rsidR="008C0473">
        <w:t xml:space="preserve">laws, </w:t>
      </w:r>
      <w:r w:rsidR="00592914">
        <w:t>and</w:t>
      </w:r>
      <w:proofErr w:type="gramEnd"/>
      <w:r w:rsidR="00592914">
        <w:t xml:space="preserve"> </w:t>
      </w:r>
      <w:r w:rsidR="00FF563F">
        <w:t xml:space="preserve">require claimants to prove </w:t>
      </w:r>
      <w:r w:rsidR="008C0473">
        <w:t>that an activity is incidental to mining.</w:t>
      </w:r>
    </w:p>
    <w:p w:rsidRPr="00CA451A" w:rsidR="005E646B" w:rsidP="00114753" w:rsidRDefault="005E646B" w14:paraId="241A5BC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8F048F" w:rsidR="008F048F" w:rsidP="008F048F" w:rsidRDefault="008F048F" w14:paraId="223FF8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8F048F">
        <w:rPr>
          <w:b/>
        </w:rPr>
        <w:t>2.</w:t>
      </w:r>
      <w:r w:rsidRPr="008F048F">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496F71" w:rsidP="008F048F" w:rsidRDefault="00496F71" w14:paraId="0B1EAF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DA27F2" w:rsidP="005E646B" w:rsidRDefault="002A2FEF" w14:paraId="3349479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name="_Hlk62204263" w:id="1"/>
      <w:r>
        <w:t xml:space="preserve">The </w:t>
      </w:r>
      <w:r w:rsidR="00CB217B">
        <w:t xml:space="preserve">information-collection requirements </w:t>
      </w:r>
      <w:r>
        <w:t xml:space="preserve">are </w:t>
      </w:r>
      <w:r w:rsidR="005E646B">
        <w:t>43 CFR 3715.3-2 and 3715.4.</w:t>
      </w:r>
      <w:r w:rsidR="00EE0FD9">
        <w:t xml:space="preserve">  </w:t>
      </w:r>
      <w:r w:rsidR="00EC3363">
        <w:t xml:space="preserve">Section 3715.3-2 </w:t>
      </w:r>
      <w:r w:rsidR="00DA27F2">
        <w:t>applies to claimants who want to propose occupancy of unpatented mining claims or mill sites.  This regulation requires the respondent to give the BLM a detailed map that identifies the site and the placement of the following items:</w:t>
      </w:r>
    </w:p>
    <w:p w:rsidR="00DA27F2" w:rsidP="005E646B" w:rsidRDefault="00DA27F2" w14:paraId="1D4B785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A27F2" w:rsidP="00DA27F2" w:rsidRDefault="00457F55" w14:paraId="735391D1" w14:textId="77777777">
      <w:pPr>
        <w:widowControl/>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Where proposed temporary or structures for occupancy would be placed;</w:t>
      </w:r>
    </w:p>
    <w:p w:rsidRPr="00007BEF" w:rsidR="00457F55" w:rsidP="00DA27F2" w:rsidRDefault="00457F55" w14:paraId="680DE952" w14:textId="77777777">
      <w:pPr>
        <w:widowControl/>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location of and reason the respondent would need enclosures, </w:t>
      </w:r>
      <w:r w:rsidRPr="00007BEF">
        <w:t xml:space="preserve">fences, gates, and signs intended to exclude the </w:t>
      </w:r>
      <w:proofErr w:type="gramStart"/>
      <w:r w:rsidRPr="00007BEF">
        <w:t>general public</w:t>
      </w:r>
      <w:proofErr w:type="gramEnd"/>
      <w:r w:rsidRPr="00007BEF" w:rsidR="00C54EA1">
        <w:t>, and to ensure public safety</w:t>
      </w:r>
      <w:r w:rsidRPr="00007BEF">
        <w:t>; and</w:t>
      </w:r>
    </w:p>
    <w:p w:rsidR="00457F55" w:rsidP="00DA27F2" w:rsidRDefault="00457F55" w14:paraId="78BCEC4A" w14:textId="77777777">
      <w:pPr>
        <w:widowControl/>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07BEF">
        <w:t>The location of reasonable public passage</w:t>
      </w:r>
      <w:r>
        <w:t xml:space="preserve"> or access route through or around the area to adjacent public roads.</w:t>
      </w:r>
    </w:p>
    <w:p w:rsidR="00457F55" w:rsidP="00457F55" w:rsidRDefault="00457F55" w14:paraId="02C1DC9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57F55" w:rsidP="00457F55" w:rsidRDefault="00457F55" w14:paraId="6238D46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proposal also must include a written description of </w:t>
      </w:r>
      <w:r w:rsidR="00C27BEC">
        <w:t xml:space="preserve">how </w:t>
      </w:r>
      <w:proofErr w:type="gramStart"/>
      <w:r w:rsidR="00C27BEC">
        <w:t xml:space="preserve">the </w:t>
      </w:r>
      <w:r>
        <w:t xml:space="preserve"> proposed</w:t>
      </w:r>
      <w:proofErr w:type="gramEnd"/>
      <w:r>
        <w:t xml:space="preserve"> occupancy </w:t>
      </w:r>
      <w:r w:rsidR="00C27BEC">
        <w:t xml:space="preserve">is reasonable incident and describe </w:t>
      </w:r>
      <w:r>
        <w:t>the above three items in detail, as well as the estimated period of use of the structures, enclosures, fences, gates, and signs, the schedule for removal and reclamation when operations end</w:t>
      </w:r>
      <w:r w:rsidR="00C27BEC">
        <w:t>.</w:t>
      </w:r>
    </w:p>
    <w:p w:rsidR="003801C5" w:rsidP="00457F55" w:rsidRDefault="003801C5" w14:paraId="3938CF0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801C5" w:rsidP="003801C5" w:rsidRDefault="003801C5" w14:paraId="536A3F9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A451A">
        <w:t xml:space="preserve">The </w:t>
      </w:r>
      <w:r>
        <w:t>respondent</w:t>
      </w:r>
      <w:r w:rsidRPr="00CA451A">
        <w:t xml:space="preserve"> submits the information to</w:t>
      </w:r>
      <w:r>
        <w:t xml:space="preserve"> the</w:t>
      </w:r>
      <w:r w:rsidRPr="00CA451A">
        <w:t xml:space="preserve"> BLM only once.  The respondents are mining claimants and operators of prospecting, exploration, mining</w:t>
      </w:r>
      <w:r>
        <w:t>,</w:t>
      </w:r>
      <w:r w:rsidRPr="00CA451A">
        <w:t xml:space="preserve"> and processing operations. </w:t>
      </w:r>
      <w:r>
        <w:t xml:space="preserve"> </w:t>
      </w:r>
      <w:r w:rsidRPr="00CA451A">
        <w:t>Under 43 CF</w:t>
      </w:r>
      <w:r>
        <w:t>R 3715.3-4 through 3715.3-6</w:t>
      </w:r>
      <w:r w:rsidRPr="00CA451A">
        <w:t xml:space="preserve">, </w:t>
      </w:r>
      <w:r>
        <w:t>a claimant may initiate occupancy or use only after the BLM concurs with the proposal.</w:t>
      </w:r>
    </w:p>
    <w:bookmarkEnd w:id="1"/>
    <w:p w:rsidR="003801C5" w:rsidP="003801C5" w:rsidRDefault="003801C5" w14:paraId="2E156E3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65D3B" w:rsidR="00A65D3B" w:rsidP="00A65D3B" w:rsidRDefault="00A65D3B" w14:paraId="073264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65D3B">
        <w:rPr>
          <w:b/>
        </w:rPr>
        <w:t>3.</w:t>
      </w:r>
      <w:r w:rsidRPr="00A65D3B">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0C3892" w:rsidR="001D5510" w:rsidP="001D5510" w:rsidRDefault="001D5510" w14:paraId="334C8D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CA451A" w:rsidR="000D3251" w:rsidRDefault="000D3251" w14:paraId="1ACCD80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A451A">
        <w:t xml:space="preserve">The information we require is unique to both the site of the milling or mining operations and to the operator.  The information is not available elsewhere.  </w:t>
      </w:r>
      <w:r w:rsidR="00CC77AA">
        <w:t xml:space="preserve">The </w:t>
      </w:r>
      <w:r w:rsidRPr="00CA451A">
        <w:t xml:space="preserve">BLM will keep the information on file to avoid repetitive future requests for information.  Keeping the information on file minimizes the need to require additional filings. </w:t>
      </w:r>
    </w:p>
    <w:p w:rsidRPr="00CA451A" w:rsidR="000D3251" w:rsidRDefault="000D3251" w14:paraId="3F88ABB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A451A" w:rsidR="000D3251" w:rsidRDefault="00CC77AA" w14:paraId="793021C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The </w:t>
      </w:r>
      <w:r w:rsidRPr="00CA451A" w:rsidR="000D3251">
        <w:t xml:space="preserve">BLM will handle changes in actual, on-the-ground activities as a part of its surface management program. </w:t>
      </w:r>
      <w:r>
        <w:t xml:space="preserve"> </w:t>
      </w:r>
      <w:r w:rsidRPr="00CA451A" w:rsidR="000D3251">
        <w:t xml:space="preserve">The changes will relate to the type, the intensity, or the location of the boundaries of a mineral activity.  Once </w:t>
      </w:r>
      <w:r w:rsidR="00DC2F49">
        <w:t xml:space="preserve">the BLM </w:t>
      </w:r>
      <w:r w:rsidRPr="00CA451A" w:rsidR="000D3251">
        <w:t>approve</w:t>
      </w:r>
      <w:r w:rsidR="00DC2F49">
        <w:t>s</w:t>
      </w:r>
      <w:r w:rsidRPr="00CA451A" w:rsidR="000D3251">
        <w:t xml:space="preserve"> occupancy, the need for the occupancy will likely continue throughout the changes.  Continued maintenance of the information will eliminate the need for additional filings.</w:t>
      </w:r>
    </w:p>
    <w:p w:rsidRPr="00CA451A" w:rsidR="000D3251" w:rsidRDefault="000D3251" w14:paraId="468DE0F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A451A" w:rsidR="000D3251" w:rsidRDefault="000D3251" w14:paraId="4BFCF4D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A451A">
        <w:t>The response</w:t>
      </w:r>
      <w:r w:rsidR="00973929">
        <w:t>s</w:t>
      </w:r>
      <w:r w:rsidRPr="00CA451A">
        <w:t xml:space="preserve"> to the information collection </w:t>
      </w:r>
      <w:r w:rsidR="00973929">
        <w:t>are</w:t>
      </w:r>
      <w:r w:rsidRPr="00CA451A">
        <w:t xml:space="preserve"> in the form of statements, sketches, plans, </w:t>
      </w:r>
      <w:proofErr w:type="gramStart"/>
      <w:r w:rsidRPr="00CA451A">
        <w:t>drawings</w:t>
      </w:r>
      <w:proofErr w:type="gramEnd"/>
      <w:r w:rsidRPr="00CA451A">
        <w:t xml:space="preserve"> and maps</w:t>
      </w:r>
      <w:r w:rsidR="00247C47">
        <w:t>, which are submitted manually</w:t>
      </w:r>
      <w:r w:rsidR="00973929">
        <w:t>.</w:t>
      </w:r>
      <w:r w:rsidRPr="00CA451A">
        <w:t xml:space="preserve">  </w:t>
      </w:r>
      <w:r w:rsidR="00E87AD6">
        <w:t xml:space="preserve">The </w:t>
      </w:r>
      <w:r w:rsidRPr="00CA451A" w:rsidR="00E87AD6">
        <w:t>BLM</w:t>
      </w:r>
      <w:r w:rsidR="00E87AD6">
        <w:t xml:space="preserve"> is considering</w:t>
      </w:r>
      <w:r w:rsidRPr="00CA451A" w:rsidR="00E87AD6">
        <w:t xml:space="preserve"> the development of processes for remote filing and automated processing/storage of filings.  </w:t>
      </w:r>
      <w:r w:rsidR="00CC77AA">
        <w:t xml:space="preserve">The </w:t>
      </w:r>
      <w:r w:rsidRPr="00CA451A">
        <w:t>BLM</w:t>
      </w:r>
      <w:r w:rsidR="00247C47">
        <w:t xml:space="preserve"> is</w:t>
      </w:r>
      <w:r w:rsidRPr="00CA451A">
        <w:t xml:space="preserve"> also consider</w:t>
      </w:r>
      <w:r w:rsidR="00247C47">
        <w:t>ing</w:t>
      </w:r>
      <w:r w:rsidR="00973929">
        <w:t xml:space="preserve"> the </w:t>
      </w:r>
      <w:r w:rsidRPr="00CA451A">
        <w:t>us</w:t>
      </w:r>
      <w:r w:rsidR="00973929">
        <w:t>e of</w:t>
      </w:r>
      <w:r w:rsidRPr="00CA451A">
        <w:t xml:space="preserve"> </w:t>
      </w:r>
      <w:r w:rsidR="00973929">
        <w:t xml:space="preserve">the </w:t>
      </w:r>
      <w:r w:rsidRPr="00CA451A">
        <w:t>Geographic Information System</w:t>
      </w:r>
      <w:r w:rsidR="00501204">
        <w:t>, which</w:t>
      </w:r>
      <w:r w:rsidRPr="00CA451A">
        <w:t xml:space="preserve"> incorporates digitized data from the maps, plans</w:t>
      </w:r>
      <w:r w:rsidR="00501204">
        <w:t>,</w:t>
      </w:r>
      <w:r w:rsidRPr="00CA451A">
        <w:t xml:space="preserve"> or sketches submitted by the respondent.</w:t>
      </w:r>
    </w:p>
    <w:p w:rsidRPr="00CA451A" w:rsidR="000D3251" w:rsidRDefault="000D3251" w14:paraId="4249DF6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309E1" w:rsidR="00C309E1" w:rsidP="00C309E1" w:rsidRDefault="00C309E1" w14:paraId="270B6F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309E1">
        <w:rPr>
          <w:b/>
        </w:rPr>
        <w:t>4.</w:t>
      </w:r>
      <w:r w:rsidRPr="00C309E1">
        <w:rPr>
          <w:b/>
        </w:rPr>
        <w:tab/>
        <w:t>Describe efforts to identify duplication.  Show specifically why any similar information already available cannot be used or modified for use for the purposes described in Item 2 above.</w:t>
      </w:r>
    </w:p>
    <w:p w:rsidR="00C309E1" w:rsidP="0091233D" w:rsidRDefault="00C309E1" w14:paraId="7CB0CF6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1233D" w:rsidP="0091233D" w:rsidRDefault="0091233D" w14:paraId="2612197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A451A">
        <w:t xml:space="preserve">Since circumstances vary with each exploration and mining operation, there is no other available information </w:t>
      </w:r>
      <w:r>
        <w:t>that</w:t>
      </w:r>
      <w:r w:rsidRPr="00CA451A">
        <w:t xml:space="preserve"> we may use in lieu of that supplied as a part of each filing and the </w:t>
      </w:r>
      <w:r>
        <w:t>ensu</w:t>
      </w:r>
      <w:r w:rsidRPr="00CA451A">
        <w:t xml:space="preserve">ing consultation. </w:t>
      </w:r>
      <w:r>
        <w:t xml:space="preserve"> </w:t>
      </w:r>
      <w:r w:rsidRPr="00CA451A">
        <w:t xml:space="preserve">The information collected for use and occupancy of public lands under the authority of the </w:t>
      </w:r>
      <w:r>
        <w:t>M</w:t>
      </w:r>
      <w:r w:rsidRPr="00CA451A">
        <w:t xml:space="preserve">ining </w:t>
      </w:r>
      <w:r>
        <w:t>L</w:t>
      </w:r>
      <w:r w:rsidRPr="00CA451A">
        <w:t xml:space="preserve">aw, the Surface Resources </w:t>
      </w:r>
      <w:r>
        <w:t>and Multiple Use Act (“Surface Resources Act”) of 1955</w:t>
      </w:r>
      <w:r w:rsidRPr="00CA451A">
        <w:t xml:space="preserve"> (PL. 167)</w:t>
      </w:r>
      <w:r>
        <w:t>,</w:t>
      </w:r>
      <w:r w:rsidRPr="00CA451A">
        <w:t xml:space="preserve"> and FLPMA, is not collected under any other program within the BLM.  The Forest Service collects similar information for the management of surface disturbing activities within National Forest lands that are authorized by the mining law, </w:t>
      </w:r>
      <w:r>
        <w:t>and like the BLM the Forest Service</w:t>
      </w:r>
      <w:r w:rsidRPr="00CA451A">
        <w:t xml:space="preserve"> uses the authority of</w:t>
      </w:r>
      <w:r>
        <w:t xml:space="preserve"> the Surface Resources Act.  The Forest Service’s rules are at </w:t>
      </w:r>
      <w:r w:rsidRPr="00673425">
        <w:t>36 CFR 228.</w:t>
      </w:r>
      <w:r w:rsidRPr="00CA451A">
        <w:t xml:space="preserve"> </w:t>
      </w:r>
    </w:p>
    <w:p w:rsidRPr="00CA451A" w:rsidR="00673425" w:rsidRDefault="00673425" w14:paraId="1F67726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28BB" w:rsidR="004928BB" w:rsidP="004928BB" w:rsidRDefault="004928BB" w14:paraId="5E9C85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928BB">
        <w:rPr>
          <w:b/>
        </w:rPr>
        <w:t>5.</w:t>
      </w:r>
      <w:r w:rsidRPr="004928BB">
        <w:rPr>
          <w:b/>
        </w:rPr>
        <w:tab/>
        <w:t>If the collection of information impacts small businesses or other small entities, describe any methods used to minimize burden.</w:t>
      </w:r>
    </w:p>
    <w:p w:rsidRPr="004928BB" w:rsidR="0083666A" w:rsidP="0083666A" w:rsidRDefault="0083666A" w14:paraId="35ADEC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C05A3" w:rsidRDefault="000C05A3" w14:paraId="6C4AA2E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While the BLM does not collect information on whether respondents are small businesses or other small entities, t</w:t>
      </w:r>
      <w:r w:rsidR="00090822">
        <w:t>he BLM estimates that a</w:t>
      </w:r>
      <w:r w:rsidR="006C5B1D">
        <w:t xml:space="preserve">pproximately </w:t>
      </w:r>
      <w:r>
        <w:t>95 percent (</w:t>
      </w:r>
      <w:r w:rsidR="006E4CBB">
        <w:t xml:space="preserve">i.e., </w:t>
      </w:r>
      <w:r w:rsidR="006C5B1D">
        <w:t>158 of the 166 respondents</w:t>
      </w:r>
      <w:r>
        <w:t>:  148 for the “new occupancies” collection and 10 for the “existing occupancies” collection)</w:t>
      </w:r>
      <w:r w:rsidR="006C5B1D">
        <w:t xml:space="preserve"> </w:t>
      </w:r>
      <w:r>
        <w:t>have fewer than 500 employees, and the</w:t>
      </w:r>
      <w:r w:rsidR="006E4CBB">
        <w:t xml:space="preserve">refore are small entities under </w:t>
      </w:r>
      <w:r>
        <w:t xml:space="preserve">regulations of the Small Business Administration at 13 CFR </w:t>
      </w:r>
      <w:r w:rsidR="006E4CBB">
        <w:t>121.201.</w:t>
      </w:r>
    </w:p>
    <w:p w:rsidR="000C05A3" w:rsidRDefault="000C05A3" w14:paraId="06599F3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A451A" w:rsidR="000D3251" w:rsidRDefault="00D75FB3" w14:paraId="373CD1B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A451A">
        <w:t>The burden</w:t>
      </w:r>
      <w:r w:rsidR="006C5B1D">
        <w:t xml:space="preserve">s associated with this control number are </w:t>
      </w:r>
      <w:r w:rsidRPr="00CA451A">
        <w:t xml:space="preserve">the same, whether for an individual operator or a multi-national corporation.  </w:t>
      </w:r>
      <w:r w:rsidRPr="00CA451A" w:rsidR="000D3251">
        <w:t>The</w:t>
      </w:r>
      <w:r>
        <w:t xml:space="preserve"> provisions of the Mining Law and FLPMA, and the</w:t>
      </w:r>
      <w:r w:rsidRPr="00CA451A" w:rsidR="000D3251">
        <w:t xml:space="preserve"> </w:t>
      </w:r>
      <w:r w:rsidR="009E70A0">
        <w:t xml:space="preserve">regulatory </w:t>
      </w:r>
      <w:r w:rsidRPr="00CA451A" w:rsidR="000D3251">
        <w:t>requirements</w:t>
      </w:r>
      <w:r>
        <w:t>,</w:t>
      </w:r>
      <w:r w:rsidRPr="00CA451A" w:rsidR="000D3251">
        <w:t xml:space="preserve"> are the same whether the operator is an individual, a small mining company, or a multi-national corporation.  Therefore, </w:t>
      </w:r>
      <w:r w:rsidR="00BB4736">
        <w:t xml:space="preserve">the </w:t>
      </w:r>
      <w:r w:rsidRPr="00CA451A" w:rsidR="000D3251">
        <w:t>BLM could not devise any special methods to minimize the information collection burden on small businesses or other small entities.</w:t>
      </w:r>
      <w:r w:rsidR="006C5B1D">
        <w:t xml:space="preserve">  </w:t>
      </w:r>
    </w:p>
    <w:p w:rsidRPr="00CA451A" w:rsidR="000D3251" w:rsidRDefault="000D3251" w14:paraId="3346858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28BB" w:rsidR="004928BB" w:rsidP="004928BB" w:rsidRDefault="004928BB" w14:paraId="337CF4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928BB">
        <w:rPr>
          <w:b/>
        </w:rPr>
        <w:t>6.</w:t>
      </w:r>
      <w:r w:rsidRPr="004928BB">
        <w:rPr>
          <w:b/>
        </w:rPr>
        <w:tab/>
        <w:t>Describe the consequence to Federal program or policy activities if the collection is not conducted or is conducted less frequently, as well as any technical or legal obstacles to reducing burden.</w:t>
      </w:r>
    </w:p>
    <w:p w:rsidR="004928BB" w:rsidRDefault="004928BB" w14:paraId="5BC0245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A451A" w:rsidR="000D3251" w:rsidRDefault="000D3251" w14:paraId="753DFAA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A451A">
        <w:t xml:space="preserve">Failure to collect the required information may result in:  </w:t>
      </w:r>
    </w:p>
    <w:p w:rsidRPr="00CA451A" w:rsidR="000D3251" w:rsidRDefault="000D3251" w14:paraId="65C5166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A451A" w:rsidR="000D3251" w:rsidRDefault="000D3251" w14:paraId="54FA644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CA451A">
        <w:t xml:space="preserve">(1)    </w:t>
      </w:r>
      <w:r w:rsidRPr="00CA451A" w:rsidR="00BA5179">
        <w:t>Occupancy</w:t>
      </w:r>
      <w:r w:rsidRPr="00CA451A">
        <w:t xml:space="preserve"> not justified by prospecting, mining</w:t>
      </w:r>
      <w:r w:rsidR="00D75FB3">
        <w:t>,</w:t>
      </w:r>
      <w:r w:rsidRPr="00CA451A">
        <w:t xml:space="preserve"> or processing activities would proceed in violation of the law;</w:t>
      </w:r>
    </w:p>
    <w:p w:rsidRPr="00CA451A" w:rsidR="000D3251" w:rsidRDefault="000D3251" w14:paraId="24E614B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CA451A">
        <w:t xml:space="preserve">(2)    </w:t>
      </w:r>
      <w:r w:rsidRPr="00CA451A" w:rsidR="00BA5179">
        <w:t>Management</w:t>
      </w:r>
      <w:r w:rsidRPr="00CA451A">
        <w:t xml:space="preserve"> of occupancies would not occur;</w:t>
      </w:r>
    </w:p>
    <w:p w:rsidRPr="00CA451A" w:rsidR="000D3251" w:rsidRDefault="000D3251" w14:paraId="29B4B1C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CA451A">
        <w:t xml:space="preserve">(3)    </w:t>
      </w:r>
      <w:r w:rsidRPr="00CA451A" w:rsidR="00BA5179">
        <w:t>Uses</w:t>
      </w:r>
      <w:r w:rsidRPr="00CA451A">
        <w:t xml:space="preserve"> unrelated to mining </w:t>
      </w:r>
      <w:r w:rsidR="00D75FB3">
        <w:t>that</w:t>
      </w:r>
      <w:r w:rsidRPr="00CA451A" w:rsidR="00D75FB3">
        <w:t xml:space="preserve"> </w:t>
      </w:r>
      <w:r w:rsidRPr="00CA451A">
        <w:t>could be authorized by other regulations would not be regulated</w:t>
      </w:r>
      <w:r w:rsidR="00D75FB3">
        <w:t>,</w:t>
      </w:r>
      <w:r w:rsidRPr="00CA451A">
        <w:t xml:space="preserve"> and thus could result in the loss to the Federal Government of rental payments or lease payments;</w:t>
      </w:r>
    </w:p>
    <w:p w:rsidRPr="00CA451A" w:rsidR="000D3251" w:rsidRDefault="000D3251" w14:paraId="1414F33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CA451A">
        <w:t xml:space="preserve">(4)    </w:t>
      </w:r>
      <w:r w:rsidRPr="00CA451A" w:rsidR="00BA5179">
        <w:t>Reclamation</w:t>
      </w:r>
      <w:r w:rsidRPr="00CA451A">
        <w:t xml:space="preserve"> may not occur, resulting in unnecessary </w:t>
      </w:r>
      <w:r w:rsidR="00D75FB3">
        <w:t>or</w:t>
      </w:r>
      <w:r w:rsidRPr="00CA451A" w:rsidR="00D75FB3">
        <w:t xml:space="preserve"> </w:t>
      </w:r>
      <w:r w:rsidRPr="00CA451A">
        <w:t xml:space="preserve">undue degradation of public land in violation of law; or </w:t>
      </w:r>
    </w:p>
    <w:p w:rsidRPr="00CA451A" w:rsidR="000D3251" w:rsidRDefault="000D3251" w14:paraId="02C3493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CA451A">
        <w:t xml:space="preserve">(5)    </w:t>
      </w:r>
      <w:r w:rsidRPr="00CA451A" w:rsidR="00BA5179">
        <w:t>The</w:t>
      </w:r>
      <w:r w:rsidRPr="00CA451A">
        <w:t xml:space="preserve"> party responsible for </w:t>
      </w:r>
      <w:proofErr w:type="spellStart"/>
      <w:proofErr w:type="gramStart"/>
      <w:r w:rsidRPr="00CA451A">
        <w:t>clean</w:t>
      </w:r>
      <w:proofErr w:type="gramEnd"/>
      <w:r w:rsidRPr="00CA451A">
        <w:t xml:space="preserve"> up</w:t>
      </w:r>
      <w:proofErr w:type="spellEnd"/>
      <w:r w:rsidRPr="00CA451A">
        <w:t>, closure</w:t>
      </w:r>
      <w:r w:rsidR="00D75FB3">
        <w:t>,</w:t>
      </w:r>
      <w:r w:rsidRPr="00CA451A">
        <w:t xml:space="preserve"> or reclamation may not be available, and the burden may fall on the Federal Government to reclaim the area. </w:t>
      </w:r>
    </w:p>
    <w:p w:rsidRPr="00CA451A" w:rsidR="000D3251" w:rsidRDefault="000D3251" w14:paraId="18DD953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96542" w:rsidR="00D96542" w:rsidP="00D96542" w:rsidRDefault="00D96542" w14:paraId="07B1E9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D96542">
        <w:rPr>
          <w:b/>
        </w:rPr>
        <w:t>7.</w:t>
      </w:r>
      <w:r w:rsidRPr="00D96542">
        <w:rPr>
          <w:b/>
        </w:rPr>
        <w:tab/>
        <w:t>Explain any special circumstances that would cause an information collection to be conducted in a manner:</w:t>
      </w:r>
    </w:p>
    <w:p w:rsidRPr="00D96542" w:rsidR="00D96542" w:rsidP="00D96542" w:rsidRDefault="00D96542" w14:paraId="4F4E02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D96542">
        <w:rPr>
          <w:b/>
        </w:rPr>
        <w:tab/>
        <w:t>*</w:t>
      </w:r>
      <w:r w:rsidRPr="00D96542">
        <w:rPr>
          <w:b/>
        </w:rPr>
        <w:tab/>
        <w:t>requiring respondents to report information to the agency more often than quarterly;</w:t>
      </w:r>
    </w:p>
    <w:p w:rsidRPr="00D96542" w:rsidR="00D96542" w:rsidP="00D96542" w:rsidRDefault="00D96542" w14:paraId="7EBB64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D96542">
        <w:rPr>
          <w:b/>
        </w:rPr>
        <w:tab/>
        <w:t>*</w:t>
      </w:r>
      <w:r w:rsidRPr="00D96542">
        <w:rPr>
          <w:b/>
        </w:rPr>
        <w:tab/>
        <w:t>requiring respondents to prepare a written response to a collection of information in fewer than 30 days after receipt of it;</w:t>
      </w:r>
    </w:p>
    <w:p w:rsidRPr="00D96542" w:rsidR="00D96542" w:rsidP="00D96542" w:rsidRDefault="00D96542" w14:paraId="75FEAC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D96542">
        <w:rPr>
          <w:b/>
        </w:rPr>
        <w:tab/>
        <w:t>*</w:t>
      </w:r>
      <w:r w:rsidRPr="00D96542">
        <w:rPr>
          <w:b/>
        </w:rPr>
        <w:tab/>
        <w:t>requiring respondents to submit more than an original and two copies of any document;</w:t>
      </w:r>
    </w:p>
    <w:p w:rsidRPr="00D96542" w:rsidR="00D96542" w:rsidP="00D96542" w:rsidRDefault="00D96542" w14:paraId="4637EC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D96542">
        <w:rPr>
          <w:b/>
        </w:rPr>
        <w:tab/>
        <w:t>*</w:t>
      </w:r>
      <w:r w:rsidRPr="00D96542">
        <w:rPr>
          <w:b/>
        </w:rPr>
        <w:tab/>
        <w:t>requiring respondents to retain records, other than health, medical, government contract, grant-in-aid, or tax records, for more than three years;</w:t>
      </w:r>
    </w:p>
    <w:p w:rsidRPr="00D96542" w:rsidR="00D96542" w:rsidP="00D96542" w:rsidRDefault="00D96542" w14:paraId="6A7C5F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D96542">
        <w:rPr>
          <w:b/>
        </w:rPr>
        <w:tab/>
        <w:t>*</w:t>
      </w:r>
      <w:r w:rsidRPr="00D96542">
        <w:rPr>
          <w:b/>
        </w:rPr>
        <w:tab/>
        <w:t>in connection with a statistical survey that is not designed to produce valid and reliable results that can be generalized to the universe of study;</w:t>
      </w:r>
    </w:p>
    <w:p w:rsidRPr="00D96542" w:rsidR="00D96542" w:rsidP="00D96542" w:rsidRDefault="00D96542" w14:paraId="405596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D96542">
        <w:rPr>
          <w:b/>
        </w:rPr>
        <w:tab/>
        <w:t>*</w:t>
      </w:r>
      <w:r w:rsidRPr="00D96542">
        <w:rPr>
          <w:b/>
        </w:rPr>
        <w:tab/>
        <w:t>requiring the use of a statistical data classification that has not been reviewed and approved by OMB;</w:t>
      </w:r>
    </w:p>
    <w:p w:rsidRPr="00D96542" w:rsidR="00D96542" w:rsidP="00D96542" w:rsidRDefault="00D96542" w14:paraId="2E8571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D96542">
        <w:rPr>
          <w:b/>
        </w:rPr>
        <w:tab/>
        <w:t>*</w:t>
      </w:r>
      <w:r w:rsidRPr="00D96542">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96542" w:rsidR="00D96542" w:rsidP="00D96542" w:rsidRDefault="00D96542" w14:paraId="506BEA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D96542">
        <w:rPr>
          <w:b/>
        </w:rPr>
        <w:tab/>
        <w:t>*</w:t>
      </w:r>
      <w:r w:rsidRPr="00D96542">
        <w:rPr>
          <w:b/>
        </w:rPr>
        <w:tab/>
        <w:t>requiring respondents to submit proprietary trade secrets, or other confidential information, unless the agency can demonstrate that it has instituted procedures to protect the information's confidentiality to the extent permitted by law.</w:t>
      </w:r>
    </w:p>
    <w:p w:rsidR="004A572E" w:rsidRDefault="004A572E" w14:paraId="5703308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A451A" w:rsidR="000D3251" w:rsidRDefault="000D3251" w14:paraId="3069EB7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A451A">
        <w:t>The information collected is consistent with guidelines in 5 CFR 1320.5</w:t>
      </w:r>
      <w:r w:rsidR="00835D65">
        <w:t>(d)(2)</w:t>
      </w:r>
      <w:r w:rsidRPr="00CA451A">
        <w:t>.</w:t>
      </w:r>
    </w:p>
    <w:p w:rsidRPr="00CA451A" w:rsidR="000D3251" w:rsidRDefault="000D3251" w14:paraId="6A7AD2B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96542" w:rsidR="00D96542" w:rsidP="00D96542" w:rsidRDefault="00D96542" w14:paraId="04F300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D96542">
        <w:rPr>
          <w:b/>
        </w:rPr>
        <w:t>8.</w:t>
      </w:r>
      <w:r w:rsidRPr="00D96542">
        <w:rPr>
          <w:b/>
        </w:rPr>
        <w:tab/>
        <w:t xml:space="preserve">If applicable, provide a copy and identify the date and page number of </w:t>
      </w:r>
      <w:proofErr w:type="gramStart"/>
      <w:r w:rsidRPr="00D96542">
        <w:rPr>
          <w:b/>
        </w:rPr>
        <w:t>publication</w:t>
      </w:r>
      <w:proofErr w:type="gramEnd"/>
      <w:r w:rsidRPr="00D96542">
        <w:rPr>
          <w:b/>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4421F1" w:rsidR="004421F1" w:rsidP="004421F1" w:rsidRDefault="004421F1" w14:paraId="796C49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p>
    <w:p w:rsidRPr="004421F1" w:rsidR="004421F1" w:rsidP="004421F1" w:rsidRDefault="004421F1" w14:paraId="4A5071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4421F1">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421F1" w:rsidR="004421F1" w:rsidP="004421F1" w:rsidRDefault="004421F1" w14:paraId="0B19BD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4421F1" w:rsidR="004421F1" w:rsidP="004421F1" w:rsidRDefault="004421F1" w14:paraId="757A35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4421F1">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4421F1" w:rsidR="00D96542" w:rsidRDefault="00D96542" w14:paraId="6C6D8DA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CC5913" w:rsidP="001B6611" w:rsidRDefault="001B6611" w14:paraId="41E0E7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F6955">
        <w:t xml:space="preserve">As required in 5 CFR 1320.8(d), the BLM published </w:t>
      </w:r>
      <w:r>
        <w:t>a</w:t>
      </w:r>
      <w:r w:rsidRPr="00DF6955">
        <w:t xml:space="preserve"> 60-day notice in the </w:t>
      </w:r>
      <w:r w:rsidRPr="00DF6955">
        <w:rPr>
          <w:u w:val="single"/>
        </w:rPr>
        <w:t>Federal</w:t>
      </w:r>
      <w:r w:rsidRPr="00DF6955">
        <w:t xml:space="preserve"> </w:t>
      </w:r>
      <w:r w:rsidRPr="00DF6955">
        <w:rPr>
          <w:u w:val="single"/>
        </w:rPr>
        <w:t>Register</w:t>
      </w:r>
      <w:r w:rsidRPr="00DF6955">
        <w:t xml:space="preserve"> on</w:t>
      </w:r>
      <w:r>
        <w:t xml:space="preserve"> </w:t>
      </w:r>
      <w:r w:rsidR="00307CF8">
        <w:t>October 23, 2020</w:t>
      </w:r>
      <w:r>
        <w:t xml:space="preserve">, </w:t>
      </w:r>
      <w:r w:rsidRPr="00DF6955">
        <w:t>soliciting comments from the public and other interested parties</w:t>
      </w:r>
      <w:r>
        <w:t xml:space="preserve"> (85 FR </w:t>
      </w:r>
      <w:r w:rsidR="00307CF8">
        <w:t>67563</w:t>
      </w:r>
      <w:r>
        <w:t>)</w:t>
      </w:r>
      <w:r w:rsidRPr="00DF6955">
        <w:t>.  The comment period close</w:t>
      </w:r>
      <w:r>
        <w:t>d</w:t>
      </w:r>
      <w:r w:rsidRPr="00DF6955">
        <w:t xml:space="preserve"> on </w:t>
      </w:r>
      <w:r w:rsidR="00307CF8">
        <w:t>December 22, 2020</w:t>
      </w:r>
      <w:r>
        <w:t xml:space="preserve">.  BLM received </w:t>
      </w:r>
      <w:r w:rsidRPr="00307CF8">
        <w:t>no comments</w:t>
      </w:r>
      <w:r w:rsidR="00307CF8">
        <w:t xml:space="preserve"> </w:t>
      </w:r>
      <w:r w:rsidR="00DC2CCE">
        <w:t>in response to this notice.</w:t>
      </w:r>
    </w:p>
    <w:p w:rsidR="00CC5913" w:rsidP="001B6611" w:rsidRDefault="00CC5913" w14:paraId="6C2BBD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B6611" w:rsidP="001B6611" w:rsidRDefault="003F4334" w14:paraId="651D94B3" w14:textId="0D1E7A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F4334">
        <w:t>Additionally, as required by 5 CFR 1320.5(a)(1)(iv), BLM publish</w:t>
      </w:r>
      <w:r w:rsidR="00DC2CCE">
        <w:t>ed</w:t>
      </w:r>
      <w:r w:rsidRPr="003F4334">
        <w:t xml:space="preserve"> a notice in the </w:t>
      </w:r>
      <w:r w:rsidRPr="001D3819">
        <w:rPr>
          <w:u w:val="single"/>
        </w:rPr>
        <w:t>Federal Register</w:t>
      </w:r>
      <w:r w:rsidRPr="003F4334">
        <w:t xml:space="preserve"> </w:t>
      </w:r>
      <w:r w:rsidR="001E314A">
        <w:t>(</w:t>
      </w:r>
      <w:r w:rsidRPr="003C68A8" w:rsidR="003C68A8">
        <w:t>86</w:t>
      </w:r>
      <w:r w:rsidRPr="003C68A8" w:rsidR="001E314A">
        <w:t xml:space="preserve"> FR </w:t>
      </w:r>
      <w:r w:rsidR="003C68A8">
        <w:t>13583</w:t>
      </w:r>
      <w:r w:rsidR="0008420F">
        <w:t xml:space="preserve">) </w:t>
      </w:r>
      <w:r w:rsidRPr="003F4334">
        <w:t xml:space="preserve">announcing the submission of this request to </w:t>
      </w:r>
      <w:proofErr w:type="gramStart"/>
      <w:r w:rsidRPr="003F4334">
        <w:t>OMB, and</w:t>
      </w:r>
      <w:proofErr w:type="gramEnd"/>
      <w:r w:rsidRPr="003F4334">
        <w:t xml:space="preserve"> allowing the public 30 days to send comments on the proposed extension of this OMB number to OMB.</w:t>
      </w:r>
    </w:p>
    <w:p w:rsidR="00E47B89" w:rsidDel="006C141E" w:rsidP="00E47B89" w:rsidRDefault="00E47B89" w14:paraId="3ADE83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6731" w:rsidR="006B0162" w:rsidP="00E47B89" w:rsidRDefault="00E47B89" w14:paraId="0565A64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w:t>
      </w:r>
      <w:r w:rsidRPr="00BB6731" w:rsidR="006B0162">
        <w:t>he BLM has consulted with the following respondents to obtain their views on the availability of data; frequency of collection; the clarity of instructions; the recordkeeping, disclosure, and reporting formats; and on the data elements to be recorded, disclosed, or reported</w:t>
      </w:r>
      <w:r w:rsidR="00DC2CCE">
        <w:t xml:space="preserve">. </w:t>
      </w:r>
      <w:r w:rsidR="004D0723">
        <w:t xml:space="preserve">The feedback was generally </w:t>
      </w:r>
      <w:proofErr w:type="gramStart"/>
      <w:r w:rsidR="004D0723">
        <w:t>positive</w:t>
      </w:r>
      <w:proofErr w:type="gramEnd"/>
      <w:r w:rsidR="004D0723">
        <w:t xml:space="preserve"> and they suggested no changes to collection</w:t>
      </w:r>
      <w:r w:rsidR="00DC2CCE">
        <w:t>.</w:t>
      </w:r>
    </w:p>
    <w:p w:rsidRPr="00BB6731" w:rsidR="00B66990" w:rsidP="00BB6731" w:rsidRDefault="00B66990" w14:paraId="27A7A6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C2CCE" w:rsidP="00C54EA1" w:rsidRDefault="00DC2CCE" w14:paraId="659A9238" w14:textId="77777777">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Senior Geologist, Welsh Hagen Associates</w:t>
      </w:r>
      <w:r w:rsidR="00C54EA1">
        <w:t xml:space="preserve"> in Nevada</w:t>
      </w:r>
      <w:r>
        <w:t>.</w:t>
      </w:r>
    </w:p>
    <w:p w:rsidR="00DC2CCE" w:rsidP="00DC2CCE" w:rsidRDefault="00DC2CCE" w14:paraId="75E869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C2CCE" w:rsidP="00C54EA1" w:rsidRDefault="00DC2CCE" w14:paraId="70224B53" w14:textId="77777777">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Individual, Mining Claim Owner</w:t>
      </w:r>
      <w:r w:rsidR="00C54EA1">
        <w:t xml:space="preserve"> in California</w:t>
      </w:r>
      <w:r>
        <w:t>.</w:t>
      </w:r>
    </w:p>
    <w:p w:rsidR="00DC2CCE" w:rsidP="00DC2CCE" w:rsidRDefault="00DC2CCE" w14:paraId="6EB0946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C2CCE" w:rsidP="00C54EA1" w:rsidRDefault="00DC2CCE" w14:paraId="0739365E" w14:textId="77777777">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Environmental Manager, GRC Nevada, Inc.</w:t>
      </w:r>
    </w:p>
    <w:p w:rsidRPr="00BB6731" w:rsidR="006B0162" w:rsidP="00C54EA1" w:rsidRDefault="006B0162" w14:paraId="38E761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172A11" w:rsidR="00172A11" w:rsidP="00172A11" w:rsidRDefault="00172A11" w14:paraId="1F9941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172A11">
        <w:rPr>
          <w:b/>
        </w:rPr>
        <w:lastRenderedPageBreak/>
        <w:t>9.</w:t>
      </w:r>
      <w:r w:rsidRPr="00172A11">
        <w:rPr>
          <w:b/>
        </w:rPr>
        <w:tab/>
        <w:t>Explain any decision to provide any payment or gift to respondents, other than remuneration of contractors or grantees.</w:t>
      </w:r>
    </w:p>
    <w:p w:rsidRPr="00CA451A" w:rsidR="000D3251" w:rsidRDefault="000D3251" w14:paraId="5564F23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A451A" w:rsidR="000D3251" w:rsidRDefault="00247C47" w14:paraId="1CAE318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Pr="00CA451A" w:rsidR="000D3251">
        <w:t>BLM does not provide payments or gifts to respondents.</w:t>
      </w:r>
    </w:p>
    <w:p w:rsidRPr="00CA451A" w:rsidR="000D3251" w:rsidRDefault="000D3251" w14:paraId="61ADFAC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93029" w:rsidR="00293029" w:rsidP="00293029" w:rsidRDefault="00293029" w14:paraId="6A7B7B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293029">
        <w:rPr>
          <w:b/>
        </w:rPr>
        <w:t>10.</w:t>
      </w:r>
      <w:r w:rsidRPr="00293029">
        <w:rPr>
          <w:b/>
        </w:rPr>
        <w:tab/>
        <w:t>Describe any assurance of confidentiality provided to respondents and the basis for the assurance in statute, regulation, or agency policy.</w:t>
      </w:r>
    </w:p>
    <w:p w:rsidRPr="00CA451A" w:rsidR="000D3251" w:rsidRDefault="000D3251" w14:paraId="1E421A8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D3251" w:rsidRDefault="00BA07C3" w14:paraId="690003A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There is no explicit pledge of </w:t>
      </w:r>
      <w:r w:rsidR="00EE54D5">
        <w:t>confidently</w:t>
      </w:r>
      <w:r>
        <w:t xml:space="preserve"> made to respondents to this collection of information. </w:t>
      </w:r>
      <w:r w:rsidRPr="00CA451A" w:rsidR="000D3251">
        <w:t>The respondent’s confidentiality is protected to the extent consiste</w:t>
      </w:r>
      <w:r w:rsidR="006903A7">
        <w:t>nt</w:t>
      </w:r>
      <w:r w:rsidRPr="00CA451A" w:rsidR="000D3251">
        <w:t xml:space="preserve"> with the Freedom of Information Act (5 U.S.C. 552).</w:t>
      </w:r>
      <w:r w:rsidR="00EE54D5">
        <w:t xml:space="preserve"> The BLM does not intend to release information except where otherwise required by law.</w:t>
      </w:r>
    </w:p>
    <w:p w:rsidR="00AE680D" w:rsidRDefault="00AE680D" w14:paraId="409A203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A451A" w:rsidR="00AE680D" w:rsidRDefault="00AE680D" w14:paraId="73D307C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Under the privacy provisions of the E-Government Act of 2002, individuals/respondents were informed</w:t>
      </w:r>
      <w:r w:rsidR="00247C47">
        <w:t xml:space="preserve"> </w:t>
      </w:r>
      <w:r w:rsidR="00826CE7">
        <w:t xml:space="preserve">that </w:t>
      </w:r>
      <w:r>
        <w:t xml:space="preserve">providing the information is </w:t>
      </w:r>
      <w:r w:rsidR="00826CE7">
        <w:t xml:space="preserve">required </w:t>
      </w:r>
      <w:proofErr w:type="gramStart"/>
      <w:r w:rsidR="00826CE7">
        <w:t>in order to</w:t>
      </w:r>
      <w:proofErr w:type="gramEnd"/>
      <w:r w:rsidR="00826CE7">
        <w:t xml:space="preserve"> obtain or </w:t>
      </w:r>
      <w:r w:rsidR="00403745">
        <w:t>retain a</w:t>
      </w:r>
      <w:r>
        <w:t xml:space="preserve"> benefit.  </w:t>
      </w:r>
      <w:r w:rsidR="00247C47">
        <w:t xml:space="preserve">The </w:t>
      </w:r>
      <w:r w:rsidR="00DF45F4">
        <w:t xml:space="preserve">BLM has firewalls to protect website access, strong </w:t>
      </w:r>
      <w:proofErr w:type="gramStart"/>
      <w:r w:rsidR="00DF45F4">
        <w:t>security</w:t>
      </w:r>
      <w:proofErr w:type="gramEnd"/>
      <w:r w:rsidR="00DF45F4">
        <w:t xml:space="preserve"> and password protection of the information in the database, and other security measures to protect electronic information.</w:t>
      </w:r>
    </w:p>
    <w:p w:rsidRPr="00CA451A" w:rsidR="000D3251" w:rsidRDefault="000D3251" w14:paraId="01DDDAF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B10A7" w:rsidR="001B10A7" w:rsidP="001B10A7" w:rsidRDefault="001B10A7" w14:paraId="372644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1B10A7">
        <w:rPr>
          <w:b/>
        </w:rPr>
        <w:t>11.</w:t>
      </w:r>
      <w:r w:rsidRPr="001B10A7">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D3251" w:rsidRDefault="000D3251" w14:paraId="52120AE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D3251" w:rsidRDefault="000D3251" w14:paraId="193A06C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A451A">
        <w:t xml:space="preserve">Respondents are not required to answer questions </w:t>
      </w:r>
      <w:r w:rsidR="007D77BD">
        <w:t>that are generally considered</w:t>
      </w:r>
      <w:r w:rsidRPr="00CA451A">
        <w:t xml:space="preserve"> sensitive nature.</w:t>
      </w:r>
    </w:p>
    <w:p w:rsidRPr="00CA451A" w:rsidR="002F7CCC" w:rsidRDefault="002F7CCC" w14:paraId="6222001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B4B94" w:rsidR="00DB4B94" w:rsidP="00DB4B94" w:rsidRDefault="00DB4B94" w14:paraId="4D6A54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DB4B94">
        <w:rPr>
          <w:b/>
        </w:rPr>
        <w:t>12.</w:t>
      </w:r>
      <w:r w:rsidRPr="00DB4B94">
        <w:rPr>
          <w:b/>
        </w:rPr>
        <w:tab/>
        <w:t>Provide estimates of the hour burden of the collection of information.  The statement should:</w:t>
      </w:r>
    </w:p>
    <w:p w:rsidRPr="00DB4B94" w:rsidR="00DB4B94" w:rsidP="00DB4B94" w:rsidRDefault="00DB4B94" w14:paraId="03333D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DB4B94">
        <w:rPr>
          <w:b/>
        </w:rPr>
        <w:tab/>
        <w:t>*</w:t>
      </w:r>
      <w:r w:rsidRPr="00DB4B94">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B4B94" w:rsidR="00DB4B94" w:rsidP="00DB4B94" w:rsidRDefault="00DB4B94" w14:paraId="5FD460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DB4B94">
        <w:rPr>
          <w:b/>
        </w:rPr>
        <w:tab/>
        <w:t>*</w:t>
      </w:r>
      <w:r w:rsidRPr="00DB4B94">
        <w:rPr>
          <w:b/>
        </w:rPr>
        <w:tab/>
        <w:t xml:space="preserve">If this request for approval covers more than one form, provide separate hour burden estimates for each </w:t>
      </w:r>
      <w:proofErr w:type="gramStart"/>
      <w:r w:rsidRPr="00DB4B94">
        <w:rPr>
          <w:b/>
        </w:rPr>
        <w:t>form</w:t>
      </w:r>
      <w:proofErr w:type="gramEnd"/>
      <w:r w:rsidRPr="00DB4B94">
        <w:rPr>
          <w:b/>
        </w:rPr>
        <w:t xml:space="preserve"> and aggregate the hour burdens.</w:t>
      </w:r>
    </w:p>
    <w:p w:rsidRPr="00DB4B94" w:rsidR="00DB4B94" w:rsidP="00DB4B94" w:rsidRDefault="00DB4B94" w14:paraId="717BEE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DB4B94">
        <w:rPr>
          <w:b/>
        </w:rPr>
        <w:tab/>
        <w:t>*</w:t>
      </w:r>
      <w:r w:rsidRPr="00DB4B94">
        <w:rPr>
          <w:b/>
        </w:rPr>
        <w:tab/>
        <w:t xml:space="preserve">Provide estimates of annualized cost to respondents for the hour burdens for </w:t>
      </w:r>
      <w:r w:rsidRPr="00DB4B94">
        <w:rPr>
          <w:b/>
        </w:rPr>
        <w:lastRenderedPageBreak/>
        <w:t>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422222" w:rsidP="00422222" w:rsidRDefault="00422222" w14:paraId="3A806BBE"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rsidRPr="00422222" w:rsidR="00422222" w:rsidP="00422222" w:rsidRDefault="0001153F" w14:paraId="6BB22C77" w14:textId="24CED178">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Pr>
          <w:szCs w:val="20"/>
        </w:rPr>
        <w:t>As shown at Table 12-1, below, the weighted average hourly cost is $</w:t>
      </w:r>
      <w:r w:rsidR="0095755B">
        <w:rPr>
          <w:szCs w:val="20"/>
        </w:rPr>
        <w:t>3</w:t>
      </w:r>
      <w:r w:rsidR="00342EB4">
        <w:rPr>
          <w:szCs w:val="20"/>
        </w:rPr>
        <w:t>6.0</w:t>
      </w:r>
      <w:r w:rsidR="0095755B">
        <w:rPr>
          <w:szCs w:val="20"/>
        </w:rPr>
        <w:t>0</w:t>
      </w:r>
      <w:r w:rsidRPr="00422222" w:rsidR="00422222">
        <w:rPr>
          <w:szCs w:val="20"/>
        </w:rPr>
        <w:t xml:space="preserve">.  </w:t>
      </w:r>
      <w:r>
        <w:rPr>
          <w:szCs w:val="20"/>
        </w:rPr>
        <w:t xml:space="preserve">This cost </w:t>
      </w:r>
      <w:r w:rsidRPr="00422222" w:rsidR="00422222">
        <w:rPr>
          <w:szCs w:val="20"/>
        </w:rPr>
        <w:t xml:space="preserve">was determined using national Bureau of Labor Statistics data </w:t>
      </w:r>
      <w:r w:rsidR="00422222">
        <w:rPr>
          <w:szCs w:val="20"/>
        </w:rPr>
        <w:t>for “all occupations</w:t>
      </w:r>
      <w:r w:rsidR="002917C6">
        <w:rPr>
          <w:szCs w:val="20"/>
        </w:rPr>
        <w:t>”</w:t>
      </w:r>
      <w:r w:rsidR="00422222">
        <w:rPr>
          <w:szCs w:val="20"/>
        </w:rPr>
        <w:t xml:space="preserve"> </w:t>
      </w:r>
      <w:r w:rsidRPr="00422222" w:rsidR="00422222">
        <w:rPr>
          <w:szCs w:val="20"/>
        </w:rPr>
        <w:t xml:space="preserve">at:  </w:t>
      </w:r>
      <w:hyperlink w:history="1" r:id="rId8">
        <w:r w:rsidRPr="00422222" w:rsidR="00422222">
          <w:rPr>
            <w:color w:val="0000FF"/>
            <w:szCs w:val="20"/>
            <w:u w:val="single"/>
          </w:rPr>
          <w:t>http://www.bls.gov/oes/current/oes_nat.htm</w:t>
        </w:r>
      </w:hyperlink>
      <w:r w:rsidRPr="00422222" w:rsidR="00422222">
        <w:rPr>
          <w:szCs w:val="20"/>
        </w:rPr>
        <w:t xml:space="preserve">.  </w:t>
      </w:r>
      <w:r w:rsidR="00422222">
        <w:rPr>
          <w:szCs w:val="20"/>
        </w:rPr>
        <w:t xml:space="preserve">  </w:t>
      </w:r>
      <w:r w:rsidRPr="00422222" w:rsidR="00422222">
        <w:rPr>
          <w:szCs w:val="20"/>
        </w:rPr>
        <w:t xml:space="preserve">The benefits multiplier of 1.4 is supported by information at </w:t>
      </w:r>
      <w:hyperlink w:history="1" r:id="rId9">
        <w:r w:rsidRPr="00422222" w:rsidR="00422222">
          <w:rPr>
            <w:color w:val="0000FF"/>
            <w:szCs w:val="20"/>
            <w:u w:val="single"/>
          </w:rPr>
          <w:t>http://www.bls.gov/news.release/ecec.nr0.htm</w:t>
        </w:r>
      </w:hyperlink>
      <w:r w:rsidRPr="00422222" w:rsidR="00422222">
        <w:rPr>
          <w:szCs w:val="20"/>
        </w:rPr>
        <w:t>.</w:t>
      </w:r>
    </w:p>
    <w:p w:rsidRPr="00CA451A" w:rsidR="000D3251" w:rsidRDefault="000D3251" w14:paraId="2D60C64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50E44" w:rsidR="004B482F" w:rsidP="002C642C" w:rsidRDefault="004B482F" w14:paraId="74A3146A" w14:textId="77777777">
      <w:pPr>
        <w:tabs>
          <w:tab w:val="left" w:pos="3258"/>
        </w:tabs>
        <w:rPr>
          <w:rFonts w:cs="Times"/>
        </w:rPr>
      </w:pPr>
      <w:r w:rsidRPr="00A50E44">
        <w:rPr>
          <w:b/>
        </w:rPr>
        <w:t>Table 12-1 – Hourly Cost Calculation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81"/>
        <w:gridCol w:w="2745"/>
        <w:gridCol w:w="1818"/>
        <w:gridCol w:w="2506"/>
      </w:tblGrid>
      <w:tr w:rsidRPr="002C642C" w:rsidR="00DC2CCE" w:rsidTr="00DC2CCE" w14:paraId="7F929EEE" w14:textId="77777777">
        <w:tc>
          <w:tcPr>
            <w:tcW w:w="1220" w:type="pct"/>
            <w:shd w:val="clear" w:color="auto" w:fill="D9D9D9"/>
          </w:tcPr>
          <w:p w:rsidR="00DC2CCE" w:rsidP="00BE1E63" w:rsidRDefault="00DC2CCE" w14:paraId="2F530E0F" w14:textId="77777777">
            <w:pPr>
              <w:jc w:val="center"/>
              <w:rPr>
                <w:b/>
                <w:sz w:val="18"/>
                <w:szCs w:val="18"/>
              </w:rPr>
            </w:pPr>
          </w:p>
          <w:p w:rsidRPr="002C642C" w:rsidR="00DC2CCE" w:rsidP="00BE1E63" w:rsidRDefault="00DC2CCE" w14:paraId="204F307D" w14:textId="77777777">
            <w:pPr>
              <w:jc w:val="center"/>
              <w:rPr>
                <w:b/>
                <w:sz w:val="18"/>
                <w:szCs w:val="18"/>
              </w:rPr>
            </w:pPr>
            <w:r w:rsidRPr="002C642C">
              <w:rPr>
                <w:b/>
                <w:sz w:val="18"/>
                <w:szCs w:val="18"/>
              </w:rPr>
              <w:t>Occupational Category</w:t>
            </w:r>
          </w:p>
        </w:tc>
        <w:tc>
          <w:tcPr>
            <w:tcW w:w="1468" w:type="pct"/>
            <w:shd w:val="clear" w:color="auto" w:fill="D9D9D9"/>
          </w:tcPr>
          <w:p w:rsidR="00DC2CCE" w:rsidP="00BE1E63" w:rsidRDefault="00DC2CCE" w14:paraId="1903F97D" w14:textId="77777777">
            <w:pPr>
              <w:jc w:val="center"/>
              <w:rPr>
                <w:b/>
                <w:sz w:val="18"/>
                <w:szCs w:val="18"/>
              </w:rPr>
            </w:pPr>
          </w:p>
          <w:p w:rsidRPr="002C642C" w:rsidR="00DC2CCE" w:rsidP="00BE1E63" w:rsidRDefault="00DC2CCE" w14:paraId="4886EE3A" w14:textId="77777777">
            <w:pPr>
              <w:jc w:val="center"/>
              <w:rPr>
                <w:b/>
                <w:sz w:val="18"/>
                <w:szCs w:val="18"/>
              </w:rPr>
            </w:pPr>
            <w:r w:rsidRPr="002C642C">
              <w:rPr>
                <w:b/>
                <w:sz w:val="18"/>
                <w:szCs w:val="18"/>
              </w:rPr>
              <w:t>Mean Hourly Wage</w:t>
            </w:r>
          </w:p>
        </w:tc>
        <w:tc>
          <w:tcPr>
            <w:tcW w:w="972" w:type="pct"/>
            <w:shd w:val="clear" w:color="auto" w:fill="D9D9D9"/>
          </w:tcPr>
          <w:p w:rsidR="00DC2CCE" w:rsidP="00DC2CCE" w:rsidRDefault="00DC2CCE" w14:paraId="7B6DFB49" w14:textId="77777777">
            <w:pPr>
              <w:keepNext/>
              <w:keepLines/>
              <w:rPr>
                <w:b/>
                <w:bCs/>
                <w:szCs w:val="18"/>
              </w:rPr>
            </w:pPr>
          </w:p>
          <w:p w:rsidRPr="00DC2CCE" w:rsidR="00DC2CCE" w:rsidP="00DC2CCE" w:rsidRDefault="00DC2CCE" w14:paraId="454E2604" w14:textId="77777777">
            <w:pPr>
              <w:keepNext/>
              <w:keepLines/>
              <w:jc w:val="center"/>
              <w:rPr>
                <w:b/>
                <w:bCs/>
                <w:sz w:val="18"/>
                <w:szCs w:val="18"/>
              </w:rPr>
            </w:pPr>
            <w:r w:rsidRPr="00DC2CCE">
              <w:rPr>
                <w:b/>
                <w:bCs/>
                <w:sz w:val="18"/>
                <w:szCs w:val="18"/>
              </w:rPr>
              <w:t>Benefits Multiplier</w:t>
            </w:r>
          </w:p>
        </w:tc>
        <w:tc>
          <w:tcPr>
            <w:tcW w:w="1340" w:type="pct"/>
            <w:shd w:val="clear" w:color="auto" w:fill="D9D9D9"/>
          </w:tcPr>
          <w:p w:rsidR="00DC2CCE" w:rsidP="00BE1E63" w:rsidRDefault="00DC2CCE" w14:paraId="62154317" w14:textId="77777777">
            <w:pPr>
              <w:keepNext/>
              <w:keepLines/>
              <w:jc w:val="center"/>
              <w:rPr>
                <w:b/>
                <w:sz w:val="18"/>
                <w:szCs w:val="18"/>
              </w:rPr>
            </w:pPr>
          </w:p>
          <w:p w:rsidRPr="002C642C" w:rsidR="00DC2CCE" w:rsidP="00BE1E63" w:rsidRDefault="00DC2CCE" w14:paraId="64BBA8D0" w14:textId="77777777">
            <w:pPr>
              <w:keepNext/>
              <w:keepLines/>
              <w:jc w:val="center"/>
              <w:rPr>
                <w:b/>
                <w:sz w:val="18"/>
                <w:szCs w:val="18"/>
              </w:rPr>
            </w:pPr>
            <w:r w:rsidRPr="002C642C">
              <w:rPr>
                <w:b/>
                <w:sz w:val="18"/>
                <w:szCs w:val="18"/>
              </w:rPr>
              <w:t>Total Mean Hourly Wage</w:t>
            </w:r>
          </w:p>
          <w:p w:rsidRPr="002C642C" w:rsidR="00DC2CCE" w:rsidP="00BE1E63" w:rsidRDefault="00DC2CCE" w14:paraId="0E481D24" w14:textId="77777777">
            <w:pPr>
              <w:jc w:val="center"/>
              <w:rPr>
                <w:b/>
                <w:sz w:val="18"/>
                <w:szCs w:val="18"/>
                <w:u w:val="single"/>
              </w:rPr>
            </w:pPr>
          </w:p>
        </w:tc>
      </w:tr>
      <w:tr w:rsidRPr="002C642C" w:rsidR="00DC2CCE" w:rsidTr="00DC2CCE" w14:paraId="209AB7B0" w14:textId="77777777">
        <w:tc>
          <w:tcPr>
            <w:tcW w:w="1220" w:type="pct"/>
          </w:tcPr>
          <w:p w:rsidRPr="002C642C" w:rsidR="00DC2CCE" w:rsidP="006D43EC" w:rsidRDefault="00DC2CCE" w14:paraId="36E7FAC9" w14:textId="77777777">
            <w:pPr>
              <w:jc w:val="center"/>
              <w:rPr>
                <w:sz w:val="18"/>
                <w:szCs w:val="18"/>
              </w:rPr>
            </w:pPr>
            <w:r w:rsidRPr="002C642C">
              <w:rPr>
                <w:sz w:val="18"/>
                <w:szCs w:val="18"/>
              </w:rPr>
              <w:t>All Occupations</w:t>
            </w:r>
          </w:p>
        </w:tc>
        <w:tc>
          <w:tcPr>
            <w:tcW w:w="1468" w:type="pct"/>
          </w:tcPr>
          <w:p w:rsidRPr="002C642C" w:rsidR="00DC2CCE" w:rsidP="006D43EC" w:rsidRDefault="00DC2CCE" w14:paraId="7C8CC144" w14:textId="77777777">
            <w:pPr>
              <w:jc w:val="center"/>
              <w:rPr>
                <w:sz w:val="18"/>
                <w:szCs w:val="18"/>
              </w:rPr>
            </w:pPr>
            <w:r w:rsidRPr="002C642C">
              <w:rPr>
                <w:sz w:val="18"/>
                <w:szCs w:val="18"/>
              </w:rPr>
              <w:t>$25.72</w:t>
            </w:r>
          </w:p>
        </w:tc>
        <w:tc>
          <w:tcPr>
            <w:tcW w:w="972" w:type="pct"/>
          </w:tcPr>
          <w:p w:rsidRPr="002C642C" w:rsidR="00DC2CCE" w:rsidP="006D43EC" w:rsidRDefault="00DC2CCE" w14:paraId="3EDF3C26" w14:textId="77777777">
            <w:pPr>
              <w:keepNext/>
              <w:keepLines/>
              <w:jc w:val="center"/>
              <w:rPr>
                <w:sz w:val="18"/>
                <w:szCs w:val="18"/>
              </w:rPr>
            </w:pPr>
            <w:r>
              <w:rPr>
                <w:sz w:val="18"/>
                <w:szCs w:val="18"/>
              </w:rPr>
              <w:t>1.4</w:t>
            </w:r>
          </w:p>
        </w:tc>
        <w:tc>
          <w:tcPr>
            <w:tcW w:w="1340" w:type="pct"/>
          </w:tcPr>
          <w:p w:rsidRPr="002C642C" w:rsidR="00DC2CCE" w:rsidP="006D43EC" w:rsidRDefault="00DC2CCE" w14:paraId="15134DC2" w14:textId="77777777">
            <w:pPr>
              <w:keepNext/>
              <w:keepLines/>
              <w:jc w:val="center"/>
              <w:rPr>
                <w:sz w:val="18"/>
                <w:szCs w:val="18"/>
              </w:rPr>
            </w:pPr>
            <w:r w:rsidRPr="002C642C">
              <w:rPr>
                <w:sz w:val="18"/>
                <w:szCs w:val="18"/>
              </w:rPr>
              <w:t>$36.00</w:t>
            </w:r>
          </w:p>
        </w:tc>
      </w:tr>
    </w:tbl>
    <w:p w:rsidR="004B482F" w:rsidP="004B482F" w:rsidRDefault="004B482F" w14:paraId="6A8594DB" w14:textId="77777777"/>
    <w:p w:rsidR="00315FFE" w:rsidP="006854AE" w:rsidRDefault="004B482F" w14:paraId="21AC7F0F" w14:textId="77777777">
      <w:pPr>
        <w:tabs>
          <w:tab w:val="left" w:pos="360"/>
          <w:tab w:val="left" w:pos="720"/>
          <w:tab w:val="left" w:pos="1080"/>
        </w:tabs>
      </w:pPr>
      <w:r w:rsidRPr="00590C66">
        <w:t xml:space="preserve">The estimated annual reporting burdens for this collection are </w:t>
      </w:r>
      <w:r w:rsidR="007C3492">
        <w:t>shown below in Table 12-2:</w:t>
      </w:r>
    </w:p>
    <w:p w:rsidR="001D3819" w:rsidP="001D3819" w:rsidRDefault="001D3819" w14:paraId="719332B2" w14:textId="77777777">
      <w:pPr>
        <w:tabs>
          <w:tab w:val="left" w:pos="360"/>
          <w:tab w:val="left" w:pos="720"/>
          <w:tab w:val="left" w:pos="1080"/>
        </w:tabs>
      </w:pPr>
    </w:p>
    <w:p w:rsidRPr="002C642C" w:rsidR="00E83361" w:rsidP="002C642C" w:rsidRDefault="006854AE" w14:paraId="370CC51C" w14:textId="77777777">
      <w:pPr>
        <w:tabs>
          <w:tab w:val="left" w:pos="360"/>
          <w:tab w:val="left" w:pos="720"/>
          <w:tab w:val="left" w:pos="1080"/>
        </w:tabs>
        <w:rPr>
          <w:rFonts w:ascii="Times" w:hAnsi="Times" w:cs="Times"/>
          <w:b/>
        </w:rPr>
      </w:pPr>
      <w:r w:rsidRPr="00C52950">
        <w:rPr>
          <w:rFonts w:ascii="Times" w:hAnsi="Times" w:cs="Times"/>
          <w:b/>
        </w:rPr>
        <w:t>Table 12-</w:t>
      </w:r>
      <w:r>
        <w:rPr>
          <w:rFonts w:ascii="Times" w:hAnsi="Times" w:cs="Times"/>
          <w:b/>
        </w:rPr>
        <w:t>2</w:t>
      </w:r>
      <w:r w:rsidRPr="00C52950">
        <w:rPr>
          <w:rFonts w:ascii="Times" w:hAnsi="Times" w:cs="Times"/>
          <w:b/>
        </w:rPr>
        <w:t xml:space="preserve"> - Estimates of Hour and Cost Burdens</w:t>
      </w:r>
    </w:p>
    <w:tbl>
      <w:tblPr>
        <w:tblW w:w="9930" w:type="dxa"/>
        <w:tblCellMar>
          <w:left w:w="120" w:type="dxa"/>
          <w:right w:w="120" w:type="dxa"/>
        </w:tblCellMar>
        <w:tblLook w:val="04A0" w:firstRow="1" w:lastRow="0" w:firstColumn="1" w:lastColumn="0" w:noHBand="0" w:noVBand="1"/>
      </w:tblPr>
      <w:tblGrid>
        <w:gridCol w:w="1180"/>
        <w:gridCol w:w="1151"/>
        <w:gridCol w:w="1020"/>
        <w:gridCol w:w="1221"/>
        <w:gridCol w:w="1060"/>
        <w:gridCol w:w="1031"/>
        <w:gridCol w:w="961"/>
        <w:gridCol w:w="811"/>
        <w:gridCol w:w="791"/>
        <w:gridCol w:w="1081"/>
      </w:tblGrid>
      <w:tr w:rsidRPr="002C642C" w:rsidR="00986288" w:rsidTr="00986288" w14:paraId="724D6FEB" w14:textId="77777777">
        <w:trPr>
          <w:cantSplit/>
          <w:tblHeader/>
        </w:trPr>
        <w:tc>
          <w:tcPr>
            <w:tcW w:w="0" w:type="auto"/>
            <w:tcBorders>
              <w:top w:val="single" w:color="000000" w:sz="6" w:space="0"/>
              <w:left w:val="single" w:color="000000" w:sz="6" w:space="0"/>
              <w:bottom w:val="single" w:color="000000" w:sz="6" w:space="0"/>
              <w:right w:val="single" w:color="000000" w:sz="6" w:space="0"/>
            </w:tcBorders>
            <w:shd w:val="clear" w:color="auto" w:fill="D9D9D9"/>
            <w:hideMark/>
          </w:tcPr>
          <w:p w:rsidR="00986288" w:rsidRDefault="00986288" w14:paraId="7FF2931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b/>
                <w:bCs/>
                <w:sz w:val="18"/>
                <w:szCs w:val="18"/>
              </w:rPr>
            </w:pPr>
          </w:p>
          <w:p w:rsidRPr="002C642C" w:rsidR="00986288" w:rsidRDefault="00986288" w14:paraId="1802DED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sz w:val="18"/>
                <w:szCs w:val="18"/>
              </w:rPr>
            </w:pPr>
            <w:r>
              <w:rPr>
                <w:b/>
                <w:bCs/>
                <w:sz w:val="18"/>
                <w:szCs w:val="18"/>
              </w:rPr>
              <w:t>Collection of Information</w:t>
            </w:r>
          </w:p>
        </w:tc>
        <w:tc>
          <w:tcPr>
            <w:tcW w:w="0" w:type="auto"/>
            <w:tcBorders>
              <w:top w:val="single" w:color="000000" w:sz="6" w:space="0"/>
              <w:left w:val="single" w:color="000000" w:sz="6" w:space="0"/>
              <w:bottom w:val="single" w:color="000000" w:sz="6" w:space="0"/>
              <w:right w:val="single" w:color="000000" w:sz="6" w:space="0"/>
            </w:tcBorders>
            <w:shd w:val="clear" w:color="auto" w:fill="D9D9D9"/>
          </w:tcPr>
          <w:p w:rsidR="00986288" w:rsidRDefault="00986288" w14:paraId="412B71D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b/>
                <w:bCs/>
                <w:sz w:val="18"/>
                <w:szCs w:val="18"/>
              </w:rPr>
            </w:pPr>
          </w:p>
          <w:p w:rsidR="00986288" w:rsidRDefault="00986288" w14:paraId="3ABA09A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b/>
                <w:bCs/>
                <w:sz w:val="18"/>
                <w:szCs w:val="18"/>
              </w:rPr>
            </w:pPr>
            <w:r>
              <w:rPr>
                <w:b/>
                <w:bCs/>
                <w:sz w:val="18"/>
                <w:szCs w:val="18"/>
              </w:rPr>
              <w:t xml:space="preserve">Respondent Type </w:t>
            </w:r>
          </w:p>
        </w:tc>
        <w:tc>
          <w:tcPr>
            <w:tcW w:w="0" w:type="auto"/>
            <w:tcBorders>
              <w:top w:val="single" w:color="000000" w:sz="6" w:space="0"/>
              <w:left w:val="single" w:color="000000" w:sz="6" w:space="0"/>
              <w:bottom w:val="single" w:color="000000" w:sz="6" w:space="0"/>
              <w:right w:val="single" w:color="000000" w:sz="6" w:space="0"/>
            </w:tcBorders>
            <w:shd w:val="clear" w:color="auto" w:fill="D9D9D9"/>
          </w:tcPr>
          <w:p w:rsidR="00986288" w:rsidRDefault="00986288" w14:paraId="0E107A3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b/>
                <w:bCs/>
                <w:sz w:val="18"/>
                <w:szCs w:val="18"/>
              </w:rPr>
            </w:pPr>
          </w:p>
          <w:p w:rsidR="00986288" w:rsidRDefault="00986288" w14:paraId="292DA58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b/>
                <w:bCs/>
                <w:sz w:val="18"/>
                <w:szCs w:val="18"/>
              </w:rPr>
            </w:pPr>
            <w:r>
              <w:rPr>
                <w:b/>
                <w:bCs/>
                <w:sz w:val="18"/>
                <w:szCs w:val="18"/>
              </w:rPr>
              <w:t>Type of Collection</w:t>
            </w:r>
          </w:p>
        </w:tc>
        <w:tc>
          <w:tcPr>
            <w:tcW w:w="0" w:type="auto"/>
            <w:tcBorders>
              <w:top w:val="single" w:color="000000" w:sz="6" w:space="0"/>
              <w:left w:val="single" w:color="000000" w:sz="6" w:space="0"/>
              <w:bottom w:val="single" w:color="000000" w:sz="6" w:space="0"/>
              <w:right w:val="single" w:color="000000" w:sz="6" w:space="0"/>
            </w:tcBorders>
            <w:shd w:val="clear" w:color="auto" w:fill="D9D9D9"/>
          </w:tcPr>
          <w:p w:rsidR="00986288" w:rsidRDefault="00986288" w14:paraId="573467E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b/>
                <w:bCs/>
                <w:sz w:val="18"/>
                <w:szCs w:val="18"/>
              </w:rPr>
            </w:pPr>
          </w:p>
          <w:p w:rsidR="00986288" w:rsidRDefault="00986288" w14:paraId="1082579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b/>
                <w:bCs/>
                <w:sz w:val="18"/>
                <w:szCs w:val="18"/>
              </w:rPr>
            </w:pPr>
            <w:r>
              <w:rPr>
                <w:b/>
                <w:bCs/>
                <w:sz w:val="18"/>
                <w:szCs w:val="18"/>
              </w:rPr>
              <w:t xml:space="preserve">Number of Respondents </w:t>
            </w:r>
          </w:p>
        </w:tc>
        <w:tc>
          <w:tcPr>
            <w:tcW w:w="0" w:type="auto"/>
            <w:tcBorders>
              <w:top w:val="single" w:color="000000" w:sz="6" w:space="0"/>
              <w:left w:val="single" w:color="000000" w:sz="6" w:space="0"/>
              <w:bottom w:val="single" w:color="000000" w:sz="6" w:space="0"/>
              <w:right w:val="single" w:color="000000" w:sz="6" w:space="0"/>
            </w:tcBorders>
            <w:shd w:val="clear" w:color="auto" w:fill="D9D9D9"/>
          </w:tcPr>
          <w:p w:rsidR="00986288" w:rsidRDefault="00986288" w14:paraId="73680E4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b/>
                <w:bCs/>
                <w:sz w:val="18"/>
                <w:szCs w:val="18"/>
              </w:rPr>
            </w:pPr>
            <w:r>
              <w:rPr>
                <w:b/>
                <w:bCs/>
                <w:sz w:val="18"/>
                <w:szCs w:val="18"/>
              </w:rPr>
              <w:t xml:space="preserve">Frequency </w:t>
            </w:r>
          </w:p>
        </w:tc>
        <w:tc>
          <w:tcPr>
            <w:tcW w:w="0" w:type="auto"/>
            <w:tcBorders>
              <w:top w:val="single" w:color="000000" w:sz="6" w:space="0"/>
              <w:left w:val="single" w:color="000000" w:sz="6" w:space="0"/>
              <w:bottom w:val="single" w:color="000000" w:sz="6" w:space="0"/>
              <w:right w:val="single" w:color="000000" w:sz="6" w:space="0"/>
            </w:tcBorders>
            <w:shd w:val="clear" w:color="auto" w:fill="D9D9D9"/>
            <w:hideMark/>
          </w:tcPr>
          <w:p w:rsidR="00986288" w:rsidRDefault="00986288" w14:paraId="79F9B23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b/>
                <w:bCs/>
                <w:sz w:val="18"/>
                <w:szCs w:val="18"/>
              </w:rPr>
            </w:pPr>
          </w:p>
          <w:p w:rsidRPr="002C642C" w:rsidR="00986288" w:rsidRDefault="00986288" w14:paraId="7B3770D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sz w:val="18"/>
                <w:szCs w:val="18"/>
              </w:rPr>
            </w:pPr>
            <w:r w:rsidRPr="002C642C">
              <w:rPr>
                <w:b/>
                <w:bCs/>
                <w:sz w:val="18"/>
                <w:szCs w:val="18"/>
              </w:rPr>
              <w:t xml:space="preserve">Number of </w:t>
            </w:r>
            <w:r>
              <w:rPr>
                <w:b/>
                <w:bCs/>
                <w:sz w:val="18"/>
                <w:szCs w:val="18"/>
              </w:rPr>
              <w:t xml:space="preserve">Annual </w:t>
            </w:r>
            <w:r w:rsidRPr="002C642C">
              <w:rPr>
                <w:b/>
                <w:bCs/>
                <w:sz w:val="18"/>
                <w:szCs w:val="18"/>
              </w:rPr>
              <w:t>Responses</w:t>
            </w:r>
          </w:p>
        </w:tc>
        <w:tc>
          <w:tcPr>
            <w:tcW w:w="0" w:type="auto"/>
            <w:tcBorders>
              <w:top w:val="single" w:color="000000" w:sz="6" w:space="0"/>
              <w:left w:val="single" w:color="000000" w:sz="6" w:space="0"/>
              <w:bottom w:val="single" w:color="000000" w:sz="6" w:space="0"/>
              <w:right w:val="single" w:color="000000" w:sz="6" w:space="0"/>
            </w:tcBorders>
            <w:shd w:val="clear" w:color="auto" w:fill="D9D9D9"/>
            <w:hideMark/>
          </w:tcPr>
          <w:p w:rsidR="00986288" w:rsidRDefault="00986288" w14:paraId="18F138E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b/>
                <w:bCs/>
                <w:sz w:val="18"/>
                <w:szCs w:val="18"/>
              </w:rPr>
            </w:pPr>
          </w:p>
          <w:p w:rsidRPr="002C642C" w:rsidR="00986288" w:rsidRDefault="00986288" w14:paraId="7921E54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b/>
                <w:bCs/>
                <w:sz w:val="18"/>
                <w:szCs w:val="18"/>
              </w:rPr>
            </w:pPr>
            <w:r w:rsidRPr="002C642C">
              <w:rPr>
                <w:b/>
                <w:bCs/>
                <w:sz w:val="18"/>
                <w:szCs w:val="18"/>
              </w:rPr>
              <w:t>Time Per Response</w:t>
            </w:r>
          </w:p>
          <w:p w:rsidRPr="002C642C" w:rsidR="00986288" w:rsidRDefault="00986288" w14:paraId="2466382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sz w:val="18"/>
                <w:szCs w:val="18"/>
              </w:rPr>
            </w:pPr>
            <w:r w:rsidRPr="002C642C">
              <w:rPr>
                <w:b/>
                <w:bCs/>
                <w:sz w:val="18"/>
                <w:szCs w:val="18"/>
              </w:rPr>
              <w:t>(hours)</w:t>
            </w:r>
          </w:p>
        </w:tc>
        <w:tc>
          <w:tcPr>
            <w:tcW w:w="0" w:type="auto"/>
            <w:tcBorders>
              <w:top w:val="single" w:color="000000" w:sz="6" w:space="0"/>
              <w:left w:val="single" w:color="000000" w:sz="6" w:space="0"/>
              <w:bottom w:val="single" w:color="000000" w:sz="6" w:space="0"/>
              <w:right w:val="single" w:color="000000" w:sz="6" w:space="0"/>
            </w:tcBorders>
            <w:shd w:val="clear" w:color="auto" w:fill="D9D9D9"/>
            <w:hideMark/>
          </w:tcPr>
          <w:p w:rsidR="00986288" w:rsidRDefault="00986288" w14:paraId="0084015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b/>
                <w:sz w:val="18"/>
                <w:szCs w:val="18"/>
              </w:rPr>
            </w:pPr>
          </w:p>
          <w:p w:rsidRPr="002C642C" w:rsidR="00986288" w:rsidRDefault="00986288" w14:paraId="6335092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b/>
                <w:sz w:val="18"/>
                <w:szCs w:val="18"/>
              </w:rPr>
            </w:pPr>
            <w:r w:rsidRPr="002C642C">
              <w:rPr>
                <w:b/>
                <w:sz w:val="18"/>
                <w:szCs w:val="18"/>
              </w:rPr>
              <w:t>Total</w:t>
            </w:r>
            <w:r>
              <w:rPr>
                <w:b/>
                <w:sz w:val="18"/>
                <w:szCs w:val="18"/>
              </w:rPr>
              <w:t xml:space="preserve"> </w:t>
            </w:r>
            <w:proofErr w:type="gramStart"/>
            <w:r>
              <w:rPr>
                <w:b/>
                <w:sz w:val="18"/>
                <w:szCs w:val="18"/>
              </w:rPr>
              <w:t xml:space="preserve">Annual </w:t>
            </w:r>
            <w:r w:rsidRPr="002C642C">
              <w:rPr>
                <w:b/>
                <w:sz w:val="18"/>
                <w:szCs w:val="18"/>
              </w:rPr>
              <w:t xml:space="preserve"> Hours</w:t>
            </w:r>
            <w:proofErr w:type="gramEnd"/>
          </w:p>
          <w:p w:rsidRPr="002C642C" w:rsidR="00986288" w:rsidRDefault="00986288" w14:paraId="04ADECA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b/>
                <w:bCs/>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D9D9D9"/>
          </w:tcPr>
          <w:p w:rsidRPr="002C642C" w:rsidR="00986288" w:rsidP="00A65CBA" w:rsidRDefault="00986288" w14:paraId="1F5B7CE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b/>
                <w:sz w:val="18"/>
                <w:szCs w:val="18"/>
              </w:rPr>
            </w:pPr>
            <w:r w:rsidRPr="002C642C">
              <w:rPr>
                <w:b/>
                <w:sz w:val="18"/>
                <w:szCs w:val="18"/>
              </w:rPr>
              <w:t>Mean Hourly Wage</w:t>
            </w:r>
          </w:p>
        </w:tc>
        <w:tc>
          <w:tcPr>
            <w:tcW w:w="1336" w:type="dxa"/>
            <w:tcBorders>
              <w:top w:val="single" w:color="000000" w:sz="6" w:space="0"/>
              <w:left w:val="single" w:color="000000" w:sz="6" w:space="0"/>
              <w:bottom w:val="single" w:color="000000" w:sz="6" w:space="0"/>
              <w:right w:val="single" w:color="000000" w:sz="6" w:space="0"/>
            </w:tcBorders>
            <w:shd w:val="clear" w:color="auto" w:fill="D9D9D9"/>
          </w:tcPr>
          <w:p w:rsidRPr="002C642C" w:rsidR="00986288" w:rsidP="00A65CBA" w:rsidRDefault="00986288" w14:paraId="13D4A94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b/>
                <w:sz w:val="18"/>
                <w:szCs w:val="18"/>
              </w:rPr>
            </w:pPr>
            <w:r w:rsidRPr="002C642C">
              <w:rPr>
                <w:b/>
                <w:sz w:val="18"/>
                <w:szCs w:val="18"/>
              </w:rPr>
              <w:t>Dollar Equivalent</w:t>
            </w:r>
          </w:p>
          <w:p w:rsidRPr="002C642C" w:rsidR="00986288" w:rsidP="00986288" w:rsidRDefault="00986288" w14:paraId="606DE09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b/>
                <w:sz w:val="18"/>
                <w:szCs w:val="18"/>
              </w:rPr>
            </w:pPr>
          </w:p>
        </w:tc>
      </w:tr>
      <w:tr w:rsidRPr="002C642C" w:rsidR="00986288" w:rsidTr="00986288" w14:paraId="4903883D"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hideMark/>
          </w:tcPr>
          <w:p w:rsidRPr="002C642C" w:rsidR="00986288" w:rsidRDefault="00986288" w14:paraId="1FCB88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C642C">
              <w:rPr>
                <w:sz w:val="18"/>
                <w:szCs w:val="18"/>
              </w:rPr>
              <w:t>Proposed occupancy</w:t>
            </w:r>
          </w:p>
          <w:p w:rsidRPr="002C642C" w:rsidR="00986288" w:rsidRDefault="00986288" w14:paraId="5E453E8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C642C">
              <w:rPr>
                <w:sz w:val="18"/>
                <w:szCs w:val="18"/>
              </w:rPr>
              <w:t>43 CFR 3715.3-2</w:t>
            </w:r>
          </w:p>
        </w:tc>
        <w:tc>
          <w:tcPr>
            <w:tcW w:w="0" w:type="auto"/>
            <w:tcBorders>
              <w:top w:val="single" w:color="000000" w:sz="6" w:space="0"/>
              <w:left w:val="single" w:color="000000" w:sz="6" w:space="0"/>
              <w:bottom w:val="single" w:color="000000" w:sz="6" w:space="0"/>
              <w:right w:val="single" w:color="000000" w:sz="6" w:space="0"/>
            </w:tcBorders>
          </w:tcPr>
          <w:p w:rsidRPr="002C642C" w:rsidR="00986288" w:rsidP="008D74D9" w:rsidRDefault="00986288" w14:paraId="217C000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sz w:val="18"/>
                <w:szCs w:val="18"/>
              </w:rPr>
            </w:pPr>
            <w:r>
              <w:rPr>
                <w:sz w:val="18"/>
                <w:szCs w:val="18"/>
              </w:rPr>
              <w:t>Private Sector</w:t>
            </w:r>
          </w:p>
        </w:tc>
        <w:tc>
          <w:tcPr>
            <w:tcW w:w="0" w:type="auto"/>
            <w:tcBorders>
              <w:top w:val="single" w:color="000000" w:sz="6" w:space="0"/>
              <w:left w:val="single" w:color="000000" w:sz="6" w:space="0"/>
              <w:bottom w:val="single" w:color="000000" w:sz="6" w:space="0"/>
              <w:right w:val="single" w:color="000000" w:sz="6" w:space="0"/>
            </w:tcBorders>
          </w:tcPr>
          <w:p w:rsidRPr="002C642C" w:rsidR="00986288" w:rsidP="008D74D9" w:rsidRDefault="00986288" w14:paraId="2D190D1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sz w:val="18"/>
                <w:szCs w:val="18"/>
              </w:rPr>
            </w:pPr>
            <w:r>
              <w:rPr>
                <w:sz w:val="18"/>
                <w:szCs w:val="18"/>
              </w:rPr>
              <w:t xml:space="preserve">Reporting </w:t>
            </w:r>
          </w:p>
        </w:tc>
        <w:tc>
          <w:tcPr>
            <w:tcW w:w="0" w:type="auto"/>
            <w:tcBorders>
              <w:top w:val="single" w:color="000000" w:sz="6" w:space="0"/>
              <w:left w:val="single" w:color="000000" w:sz="6" w:space="0"/>
              <w:bottom w:val="single" w:color="000000" w:sz="6" w:space="0"/>
              <w:right w:val="single" w:color="000000" w:sz="6" w:space="0"/>
            </w:tcBorders>
          </w:tcPr>
          <w:p w:rsidR="00986288" w:rsidP="008D74D9" w:rsidRDefault="00986288" w14:paraId="3518065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sz w:val="18"/>
                <w:szCs w:val="18"/>
              </w:rPr>
            </w:pPr>
          </w:p>
          <w:p w:rsidRPr="002C642C" w:rsidR="00986288" w:rsidP="008D74D9" w:rsidRDefault="00986288" w14:paraId="75B73EE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sz w:val="18"/>
                <w:szCs w:val="18"/>
              </w:rPr>
            </w:pPr>
            <w:r>
              <w:rPr>
                <w:sz w:val="18"/>
                <w:szCs w:val="18"/>
              </w:rPr>
              <w:t>60</w:t>
            </w:r>
          </w:p>
        </w:tc>
        <w:tc>
          <w:tcPr>
            <w:tcW w:w="0" w:type="auto"/>
            <w:tcBorders>
              <w:top w:val="single" w:color="000000" w:sz="6" w:space="0"/>
              <w:left w:val="single" w:color="000000" w:sz="6" w:space="0"/>
              <w:bottom w:val="single" w:color="000000" w:sz="6" w:space="0"/>
              <w:right w:val="single" w:color="000000" w:sz="6" w:space="0"/>
            </w:tcBorders>
          </w:tcPr>
          <w:p w:rsidRPr="002C642C" w:rsidR="00986288" w:rsidP="008D74D9" w:rsidRDefault="00986288" w14:paraId="11F4BF7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sz w:val="18"/>
                <w:szCs w:val="18"/>
              </w:rPr>
            </w:pPr>
            <w:r>
              <w:rPr>
                <w:sz w:val="18"/>
                <w:szCs w:val="18"/>
              </w:rPr>
              <w:t xml:space="preserve">On occasion </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2C642C" w:rsidR="00986288" w:rsidP="008D74D9" w:rsidRDefault="00986288" w14:paraId="7563189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b/>
                <w:bCs/>
                <w:sz w:val="18"/>
                <w:szCs w:val="18"/>
              </w:rPr>
            </w:pPr>
            <w:r w:rsidRPr="002C642C">
              <w:rPr>
                <w:sz w:val="18"/>
                <w:szCs w:val="18"/>
              </w:rPr>
              <w:t>60</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2C642C" w:rsidR="00986288" w:rsidP="008D74D9" w:rsidRDefault="00986288" w14:paraId="75B4490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b/>
                <w:bCs/>
                <w:sz w:val="18"/>
                <w:szCs w:val="18"/>
              </w:rPr>
            </w:pPr>
            <w:r w:rsidRPr="002C642C">
              <w:rPr>
                <w:sz w:val="18"/>
                <w:szCs w:val="18"/>
              </w:rPr>
              <w:t>4</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2C642C" w:rsidR="00986288" w:rsidP="008D74D9" w:rsidRDefault="00986288" w14:paraId="2063680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b/>
                <w:sz w:val="18"/>
                <w:szCs w:val="18"/>
              </w:rPr>
            </w:pPr>
            <w:r w:rsidRPr="002C642C">
              <w:rPr>
                <w:sz w:val="18"/>
                <w:szCs w:val="18"/>
              </w:rPr>
              <w:t>240</w:t>
            </w:r>
          </w:p>
        </w:tc>
        <w:tc>
          <w:tcPr>
            <w:tcW w:w="0" w:type="auto"/>
            <w:tcBorders>
              <w:top w:val="single" w:color="000000" w:sz="6" w:space="0"/>
              <w:left w:val="single" w:color="000000" w:sz="6" w:space="0"/>
              <w:bottom w:val="single" w:color="000000" w:sz="6" w:space="0"/>
              <w:right w:val="single" w:color="000000" w:sz="6" w:space="0"/>
            </w:tcBorders>
          </w:tcPr>
          <w:p w:rsidR="00986288" w:rsidP="008D74D9" w:rsidRDefault="00986288" w14:paraId="209B2C4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sz w:val="18"/>
                <w:szCs w:val="18"/>
              </w:rPr>
            </w:pPr>
          </w:p>
          <w:p w:rsidRPr="002C642C" w:rsidR="00986288" w:rsidP="008D74D9" w:rsidRDefault="00986288" w14:paraId="7BFDDE0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sz w:val="18"/>
                <w:szCs w:val="18"/>
              </w:rPr>
            </w:pPr>
            <w:r>
              <w:rPr>
                <w:sz w:val="18"/>
                <w:szCs w:val="18"/>
              </w:rPr>
              <w:t>$36</w:t>
            </w:r>
          </w:p>
        </w:tc>
        <w:tc>
          <w:tcPr>
            <w:tcW w:w="1336" w:type="dxa"/>
            <w:tcBorders>
              <w:top w:val="single" w:color="000000" w:sz="6" w:space="0"/>
              <w:left w:val="single" w:color="000000" w:sz="6" w:space="0"/>
              <w:bottom w:val="single" w:color="000000" w:sz="6" w:space="0"/>
              <w:right w:val="single" w:color="000000" w:sz="6" w:space="0"/>
            </w:tcBorders>
            <w:vAlign w:val="center"/>
          </w:tcPr>
          <w:p w:rsidRPr="002C642C" w:rsidR="00986288" w:rsidP="008D74D9" w:rsidRDefault="00986288" w14:paraId="553ABA2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sz w:val="18"/>
                <w:szCs w:val="18"/>
              </w:rPr>
            </w:pPr>
            <w:r w:rsidRPr="002C642C">
              <w:rPr>
                <w:sz w:val="18"/>
                <w:szCs w:val="18"/>
              </w:rPr>
              <w:t>$8,</w:t>
            </w:r>
            <w:r>
              <w:rPr>
                <w:sz w:val="18"/>
                <w:szCs w:val="18"/>
              </w:rPr>
              <w:t>640</w:t>
            </w:r>
          </w:p>
        </w:tc>
      </w:tr>
      <w:tr w:rsidRPr="002C642C" w:rsidR="00986288" w:rsidTr="00986288" w14:paraId="117BD645"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hideMark/>
          </w:tcPr>
          <w:p w:rsidRPr="002C642C" w:rsidR="00986288" w:rsidRDefault="00986288" w14:paraId="278E56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C642C">
              <w:rPr>
                <w:sz w:val="18"/>
                <w:szCs w:val="18"/>
              </w:rPr>
              <w:t>Existing use or occupancy</w:t>
            </w:r>
          </w:p>
          <w:p w:rsidRPr="002C642C" w:rsidR="00986288" w:rsidRDefault="00986288" w14:paraId="1A98DA7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C642C">
              <w:rPr>
                <w:sz w:val="18"/>
                <w:szCs w:val="18"/>
              </w:rPr>
              <w:t>43 CFR 3715.4</w:t>
            </w:r>
          </w:p>
        </w:tc>
        <w:tc>
          <w:tcPr>
            <w:tcW w:w="0" w:type="auto"/>
            <w:tcBorders>
              <w:top w:val="single" w:color="000000" w:sz="6" w:space="0"/>
              <w:left w:val="single" w:color="000000" w:sz="6" w:space="0"/>
              <w:bottom w:val="single" w:color="000000" w:sz="6" w:space="0"/>
              <w:right w:val="single" w:color="000000" w:sz="6" w:space="0"/>
            </w:tcBorders>
          </w:tcPr>
          <w:p w:rsidRPr="002C642C" w:rsidR="00986288" w:rsidP="008D74D9" w:rsidRDefault="00986288" w14:paraId="7501038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sz w:val="18"/>
                <w:szCs w:val="18"/>
              </w:rPr>
            </w:pPr>
            <w:r>
              <w:rPr>
                <w:sz w:val="18"/>
                <w:szCs w:val="18"/>
              </w:rPr>
              <w:t>Private Sector</w:t>
            </w:r>
          </w:p>
        </w:tc>
        <w:tc>
          <w:tcPr>
            <w:tcW w:w="0" w:type="auto"/>
            <w:tcBorders>
              <w:top w:val="single" w:color="000000" w:sz="6" w:space="0"/>
              <w:left w:val="single" w:color="000000" w:sz="6" w:space="0"/>
              <w:bottom w:val="single" w:color="000000" w:sz="6" w:space="0"/>
              <w:right w:val="single" w:color="000000" w:sz="6" w:space="0"/>
            </w:tcBorders>
          </w:tcPr>
          <w:p w:rsidRPr="002C642C" w:rsidR="00986288" w:rsidP="008D74D9" w:rsidRDefault="00986288" w14:paraId="42F05FA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sz w:val="18"/>
                <w:szCs w:val="18"/>
              </w:rPr>
            </w:pPr>
            <w:r>
              <w:rPr>
                <w:sz w:val="18"/>
                <w:szCs w:val="18"/>
              </w:rPr>
              <w:t xml:space="preserve">Reporting </w:t>
            </w:r>
          </w:p>
        </w:tc>
        <w:tc>
          <w:tcPr>
            <w:tcW w:w="0" w:type="auto"/>
            <w:tcBorders>
              <w:top w:val="single" w:color="000000" w:sz="6" w:space="0"/>
              <w:left w:val="single" w:color="000000" w:sz="6" w:space="0"/>
              <w:bottom w:val="single" w:color="000000" w:sz="6" w:space="0"/>
              <w:right w:val="single" w:color="000000" w:sz="6" w:space="0"/>
            </w:tcBorders>
          </w:tcPr>
          <w:p w:rsidR="00986288" w:rsidP="008D74D9" w:rsidRDefault="00986288" w14:paraId="1A916F6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sz w:val="18"/>
                <w:szCs w:val="18"/>
              </w:rPr>
            </w:pPr>
          </w:p>
          <w:p w:rsidRPr="002C642C" w:rsidR="00986288" w:rsidP="008D74D9" w:rsidRDefault="00986288" w14:paraId="586B293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sz w:val="18"/>
                <w:szCs w:val="18"/>
              </w:rPr>
            </w:pPr>
            <w:r>
              <w:rPr>
                <w:sz w:val="18"/>
                <w:szCs w:val="18"/>
              </w:rPr>
              <w:t>10</w:t>
            </w:r>
          </w:p>
        </w:tc>
        <w:tc>
          <w:tcPr>
            <w:tcW w:w="0" w:type="auto"/>
            <w:tcBorders>
              <w:top w:val="single" w:color="000000" w:sz="6" w:space="0"/>
              <w:left w:val="single" w:color="000000" w:sz="6" w:space="0"/>
              <w:bottom w:val="single" w:color="000000" w:sz="6" w:space="0"/>
              <w:right w:val="single" w:color="000000" w:sz="6" w:space="0"/>
            </w:tcBorders>
          </w:tcPr>
          <w:p w:rsidRPr="002C642C" w:rsidR="00986288" w:rsidP="008D74D9" w:rsidRDefault="00986288" w14:paraId="221A082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sz w:val="18"/>
                <w:szCs w:val="18"/>
              </w:rPr>
            </w:pPr>
            <w:r>
              <w:rPr>
                <w:sz w:val="18"/>
                <w:szCs w:val="18"/>
              </w:rPr>
              <w:t>On occasion</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2C642C" w:rsidR="00986288" w:rsidP="008D74D9" w:rsidRDefault="00986288" w14:paraId="5BB8088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sz w:val="18"/>
                <w:szCs w:val="18"/>
              </w:rPr>
            </w:pPr>
            <w:r w:rsidRPr="002C642C">
              <w:rPr>
                <w:sz w:val="18"/>
                <w:szCs w:val="18"/>
              </w:rPr>
              <w:t>10</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2C642C" w:rsidR="00986288" w:rsidP="008D74D9" w:rsidRDefault="00986288" w14:paraId="3E2BF1A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sz w:val="18"/>
                <w:szCs w:val="18"/>
              </w:rPr>
            </w:pPr>
            <w:r w:rsidRPr="002C642C">
              <w:rPr>
                <w:sz w:val="18"/>
                <w:szCs w:val="18"/>
              </w:rPr>
              <w:t xml:space="preserve">4 </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2C642C" w:rsidR="00986288" w:rsidP="008D74D9" w:rsidRDefault="00986288" w14:paraId="36E20F2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sz w:val="18"/>
                <w:szCs w:val="18"/>
              </w:rPr>
            </w:pPr>
            <w:r w:rsidRPr="002C642C">
              <w:rPr>
                <w:sz w:val="18"/>
                <w:szCs w:val="18"/>
              </w:rPr>
              <w:t>40</w:t>
            </w:r>
          </w:p>
        </w:tc>
        <w:tc>
          <w:tcPr>
            <w:tcW w:w="0" w:type="auto"/>
            <w:tcBorders>
              <w:top w:val="single" w:color="000000" w:sz="6" w:space="0"/>
              <w:left w:val="single" w:color="000000" w:sz="6" w:space="0"/>
              <w:bottom w:val="single" w:color="000000" w:sz="6" w:space="0"/>
              <w:right w:val="single" w:color="000000" w:sz="6" w:space="0"/>
            </w:tcBorders>
          </w:tcPr>
          <w:p w:rsidR="00986288" w:rsidP="008D74D9" w:rsidRDefault="00986288" w14:paraId="196CE8B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sz w:val="18"/>
                <w:szCs w:val="18"/>
              </w:rPr>
            </w:pPr>
          </w:p>
          <w:p w:rsidRPr="002C642C" w:rsidR="00986288" w:rsidP="008D74D9" w:rsidRDefault="00986288" w14:paraId="0228BD9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sz w:val="18"/>
                <w:szCs w:val="18"/>
              </w:rPr>
            </w:pPr>
            <w:r>
              <w:rPr>
                <w:sz w:val="18"/>
                <w:szCs w:val="18"/>
              </w:rPr>
              <w:t>$36</w:t>
            </w:r>
          </w:p>
        </w:tc>
        <w:tc>
          <w:tcPr>
            <w:tcW w:w="1336" w:type="dxa"/>
            <w:tcBorders>
              <w:top w:val="single" w:color="000000" w:sz="6" w:space="0"/>
              <w:left w:val="single" w:color="000000" w:sz="6" w:space="0"/>
              <w:bottom w:val="single" w:color="000000" w:sz="6" w:space="0"/>
              <w:right w:val="single" w:color="000000" w:sz="6" w:space="0"/>
            </w:tcBorders>
            <w:vAlign w:val="center"/>
          </w:tcPr>
          <w:p w:rsidRPr="002C642C" w:rsidR="00986288" w:rsidP="008D74D9" w:rsidRDefault="00986288" w14:paraId="6FFE7FD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sz w:val="18"/>
                <w:szCs w:val="18"/>
              </w:rPr>
            </w:pPr>
            <w:r w:rsidRPr="002C642C">
              <w:rPr>
                <w:sz w:val="18"/>
                <w:szCs w:val="18"/>
              </w:rPr>
              <w:t>$1,</w:t>
            </w:r>
            <w:r>
              <w:rPr>
                <w:sz w:val="18"/>
                <w:szCs w:val="18"/>
              </w:rPr>
              <w:t>440</w:t>
            </w:r>
          </w:p>
        </w:tc>
      </w:tr>
      <w:tr w:rsidRPr="002C642C" w:rsidR="00986288" w:rsidTr="00986288" w14:paraId="29C4CD35" w14:textId="77777777">
        <w:trPr>
          <w:cantSplit/>
        </w:trPr>
        <w:tc>
          <w:tcPr>
            <w:tcW w:w="0" w:type="auto"/>
            <w:tcBorders>
              <w:top w:val="single" w:color="000000" w:sz="6" w:space="0"/>
              <w:left w:val="single" w:color="000000" w:sz="6" w:space="0"/>
              <w:bottom w:val="single" w:color="000000" w:sz="6" w:space="0"/>
              <w:right w:val="single" w:color="000000" w:sz="6" w:space="0"/>
            </w:tcBorders>
            <w:vAlign w:val="center"/>
            <w:hideMark/>
          </w:tcPr>
          <w:p w:rsidRPr="002C642C" w:rsidR="00986288" w:rsidP="001B6611" w:rsidRDefault="00986288" w14:paraId="56D7DA3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18"/>
                <w:szCs w:val="18"/>
              </w:rPr>
            </w:pPr>
            <w:r w:rsidRPr="002C642C">
              <w:rPr>
                <w:b/>
                <w:bCs/>
                <w:sz w:val="18"/>
                <w:szCs w:val="18"/>
              </w:rPr>
              <w:t>Totals:</w:t>
            </w:r>
          </w:p>
        </w:tc>
        <w:tc>
          <w:tcPr>
            <w:tcW w:w="0" w:type="auto"/>
            <w:tcBorders>
              <w:top w:val="single" w:color="000000" w:sz="6" w:space="0"/>
              <w:left w:val="single" w:color="000000" w:sz="6" w:space="0"/>
              <w:bottom w:val="single" w:color="000000" w:sz="6" w:space="0"/>
              <w:right w:val="single" w:color="000000" w:sz="6" w:space="0"/>
            </w:tcBorders>
          </w:tcPr>
          <w:p w:rsidRPr="002C642C" w:rsidR="00986288" w:rsidP="00986288" w:rsidRDefault="00986288" w14:paraId="31DBAFA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b/>
                <w:bCs/>
                <w:sz w:val="18"/>
                <w:szCs w:val="18"/>
              </w:rPr>
            </w:pPr>
            <w:r>
              <w:rPr>
                <w:b/>
                <w:bCs/>
                <w:sz w:val="18"/>
                <w:szCs w:val="18"/>
              </w:rPr>
              <w:t>-----</w:t>
            </w:r>
          </w:p>
        </w:tc>
        <w:tc>
          <w:tcPr>
            <w:tcW w:w="0" w:type="auto"/>
            <w:tcBorders>
              <w:top w:val="single" w:color="000000" w:sz="6" w:space="0"/>
              <w:left w:val="single" w:color="000000" w:sz="6" w:space="0"/>
              <w:bottom w:val="single" w:color="000000" w:sz="6" w:space="0"/>
              <w:right w:val="single" w:color="000000" w:sz="6" w:space="0"/>
            </w:tcBorders>
          </w:tcPr>
          <w:p w:rsidRPr="002C642C" w:rsidR="00986288" w:rsidP="00986288" w:rsidRDefault="00986288" w14:paraId="53EE3F3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b/>
                <w:bCs/>
                <w:sz w:val="18"/>
                <w:szCs w:val="18"/>
              </w:rPr>
            </w:pPr>
            <w:r>
              <w:rPr>
                <w:b/>
                <w:bCs/>
                <w:sz w:val="18"/>
                <w:szCs w:val="18"/>
              </w:rPr>
              <w:t>-----</w:t>
            </w:r>
          </w:p>
        </w:tc>
        <w:tc>
          <w:tcPr>
            <w:tcW w:w="0" w:type="auto"/>
            <w:tcBorders>
              <w:top w:val="single" w:color="000000" w:sz="6" w:space="0"/>
              <w:left w:val="single" w:color="000000" w:sz="6" w:space="0"/>
              <w:bottom w:val="single" w:color="000000" w:sz="6" w:space="0"/>
              <w:right w:val="single" w:color="000000" w:sz="6" w:space="0"/>
            </w:tcBorders>
          </w:tcPr>
          <w:p w:rsidRPr="002C642C" w:rsidR="00986288" w:rsidP="008D74D9" w:rsidRDefault="00986288" w14:paraId="75FBAE2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b/>
                <w:bCs/>
                <w:sz w:val="18"/>
                <w:szCs w:val="18"/>
              </w:rPr>
            </w:pPr>
            <w:r>
              <w:rPr>
                <w:b/>
                <w:bCs/>
                <w:sz w:val="18"/>
                <w:szCs w:val="18"/>
              </w:rPr>
              <w:t>70</w:t>
            </w:r>
          </w:p>
        </w:tc>
        <w:tc>
          <w:tcPr>
            <w:tcW w:w="0" w:type="auto"/>
            <w:tcBorders>
              <w:top w:val="single" w:color="000000" w:sz="6" w:space="0"/>
              <w:left w:val="single" w:color="000000" w:sz="6" w:space="0"/>
              <w:bottom w:val="single" w:color="000000" w:sz="6" w:space="0"/>
              <w:right w:val="single" w:color="000000" w:sz="6" w:space="0"/>
            </w:tcBorders>
          </w:tcPr>
          <w:p w:rsidRPr="002C642C" w:rsidR="00986288" w:rsidP="00986288" w:rsidRDefault="00986288" w14:paraId="5355804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b/>
                <w:bCs/>
                <w:sz w:val="18"/>
                <w:szCs w:val="18"/>
              </w:rPr>
            </w:pPr>
            <w:r>
              <w:rPr>
                <w:b/>
                <w:bCs/>
                <w:sz w:val="18"/>
                <w:szCs w:val="18"/>
              </w:rPr>
              <w:t>-----</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2C642C" w:rsidR="00986288" w:rsidP="008D74D9" w:rsidRDefault="00986288" w14:paraId="12265FB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b/>
                <w:bCs/>
                <w:sz w:val="18"/>
                <w:szCs w:val="18"/>
              </w:rPr>
            </w:pPr>
            <w:r w:rsidRPr="002C642C">
              <w:rPr>
                <w:b/>
                <w:bCs/>
                <w:sz w:val="18"/>
                <w:szCs w:val="18"/>
              </w:rPr>
              <w:t>70</w:t>
            </w:r>
          </w:p>
        </w:tc>
        <w:tc>
          <w:tcPr>
            <w:tcW w:w="0" w:type="auto"/>
            <w:tcBorders>
              <w:top w:val="single" w:color="000000" w:sz="6" w:space="0"/>
              <w:left w:val="single" w:color="000000" w:sz="6" w:space="0"/>
              <w:bottom w:val="single" w:color="000000" w:sz="6" w:space="0"/>
              <w:right w:val="single" w:color="000000" w:sz="6" w:space="0"/>
            </w:tcBorders>
            <w:vAlign w:val="center"/>
          </w:tcPr>
          <w:p w:rsidRPr="002C642C" w:rsidR="00986288" w:rsidP="001B6611" w:rsidRDefault="00986288" w14:paraId="6531922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b/>
                <w:bCs/>
                <w:sz w:val="18"/>
                <w:szCs w:val="18"/>
              </w:rPr>
            </w:pPr>
            <w:r>
              <w:rPr>
                <w:b/>
                <w:bCs/>
                <w:sz w:val="18"/>
                <w:szCs w:val="18"/>
              </w:rPr>
              <w:t>-----</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2C642C" w:rsidR="00986288" w:rsidP="008D74D9" w:rsidRDefault="00986288" w14:paraId="39C0598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b/>
                <w:bCs/>
                <w:sz w:val="18"/>
                <w:szCs w:val="18"/>
              </w:rPr>
            </w:pPr>
            <w:r w:rsidRPr="002C642C">
              <w:rPr>
                <w:b/>
                <w:bCs/>
                <w:sz w:val="18"/>
                <w:szCs w:val="18"/>
              </w:rPr>
              <w:t>280</w:t>
            </w:r>
          </w:p>
        </w:tc>
        <w:tc>
          <w:tcPr>
            <w:tcW w:w="0" w:type="auto"/>
            <w:tcBorders>
              <w:top w:val="single" w:color="000000" w:sz="6" w:space="0"/>
              <w:left w:val="single" w:color="000000" w:sz="6" w:space="0"/>
              <w:bottom w:val="single" w:color="000000" w:sz="6" w:space="0"/>
              <w:right w:val="single" w:color="000000" w:sz="6" w:space="0"/>
            </w:tcBorders>
          </w:tcPr>
          <w:p w:rsidRPr="002C642C" w:rsidR="00986288" w:rsidP="00986288" w:rsidRDefault="00986288" w14:paraId="2338545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b/>
                <w:bCs/>
                <w:sz w:val="18"/>
                <w:szCs w:val="18"/>
              </w:rPr>
            </w:pPr>
            <w:r>
              <w:rPr>
                <w:b/>
                <w:bCs/>
                <w:sz w:val="18"/>
                <w:szCs w:val="18"/>
              </w:rPr>
              <w:t>-----</w:t>
            </w:r>
          </w:p>
        </w:tc>
        <w:tc>
          <w:tcPr>
            <w:tcW w:w="1336" w:type="dxa"/>
            <w:tcBorders>
              <w:top w:val="single" w:color="000000" w:sz="6" w:space="0"/>
              <w:left w:val="single" w:color="000000" w:sz="6" w:space="0"/>
              <w:bottom w:val="single" w:color="000000" w:sz="6" w:space="0"/>
              <w:right w:val="single" w:color="000000" w:sz="6" w:space="0"/>
            </w:tcBorders>
            <w:vAlign w:val="center"/>
          </w:tcPr>
          <w:p w:rsidRPr="002C642C" w:rsidR="00986288" w:rsidP="008D74D9" w:rsidRDefault="00986288" w14:paraId="4308201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b/>
                <w:bCs/>
                <w:sz w:val="18"/>
                <w:szCs w:val="18"/>
              </w:rPr>
            </w:pPr>
            <w:r w:rsidRPr="002C642C">
              <w:rPr>
                <w:b/>
                <w:bCs/>
                <w:sz w:val="18"/>
                <w:szCs w:val="18"/>
              </w:rPr>
              <w:t>$</w:t>
            </w:r>
            <w:r>
              <w:rPr>
                <w:b/>
                <w:bCs/>
                <w:sz w:val="18"/>
                <w:szCs w:val="18"/>
              </w:rPr>
              <w:t>10,080</w:t>
            </w:r>
          </w:p>
        </w:tc>
      </w:tr>
    </w:tbl>
    <w:p w:rsidR="00A65CBA" w:rsidP="00A65CBA" w:rsidRDefault="00A65CBA" w14:paraId="7E012778" w14:textId="77777777">
      <w:pPr>
        <w:pStyle w:val="CommentText"/>
      </w:pPr>
    </w:p>
    <w:p w:rsidRPr="00CA451A" w:rsidR="00A65CBA" w:rsidRDefault="00A65CBA" w14:paraId="0D540FC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Pr="00A21D75" w:rsidR="00A21D75" w:rsidP="00A21D75" w:rsidRDefault="00A21D75" w14:paraId="6CEEB9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21D75">
        <w:rPr>
          <w:b/>
        </w:rPr>
        <w:t>13.</w:t>
      </w:r>
      <w:r w:rsidRPr="00A21D75">
        <w:rPr>
          <w:b/>
        </w:rPr>
        <w:tab/>
        <w:t>Provide an estimate of the total annual non-hour cost burden to respondents or recordkeepers resulting from the collection of information.  (Do not include the cost of any hour burden already reflected in item 12.)</w:t>
      </w:r>
    </w:p>
    <w:p w:rsidRPr="00A21D75" w:rsidR="00A21D75" w:rsidP="00A21D75" w:rsidRDefault="00A21D75" w14:paraId="1D4EA2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A21D75">
        <w:rPr>
          <w:b/>
        </w:rPr>
        <w:t>*</w:t>
      </w:r>
      <w:r w:rsidRPr="00A21D75">
        <w:rPr>
          <w:b/>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A21D75">
        <w:rPr>
          <w:b/>
        </w:rPr>
        <w:t>take into account</w:t>
      </w:r>
      <w:proofErr w:type="gramEnd"/>
      <w:r w:rsidRPr="00A21D75">
        <w:rPr>
          <w:b/>
        </w:rPr>
        <w:t xml:space="preserve"> costs associated with generating, maintaining, and disclosing or </w:t>
      </w:r>
      <w:r w:rsidRPr="00A21D75">
        <w:rPr>
          <w:b/>
        </w:rPr>
        <w:lastRenderedPageBreak/>
        <w:t xml:space="preserve">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A21D75">
        <w:rPr>
          <w:b/>
        </w:rPr>
        <w:t>time period</w:t>
      </w:r>
      <w:proofErr w:type="gramEnd"/>
      <w:r w:rsidRPr="00A21D75">
        <w:rPr>
          <w:b/>
        </w:rPr>
        <w:t xml:space="preserve"> over which costs will be incurred.  Capital and start-up costs include, among other items, preparations for collecting information such as purchasing computers and software; monitoring, sampling, </w:t>
      </w:r>
      <w:proofErr w:type="gramStart"/>
      <w:r w:rsidRPr="00A21D75">
        <w:rPr>
          <w:b/>
        </w:rPr>
        <w:t>drilling</w:t>
      </w:r>
      <w:proofErr w:type="gramEnd"/>
      <w:r w:rsidRPr="00A21D75">
        <w:rPr>
          <w:b/>
        </w:rPr>
        <w:t xml:space="preserve"> and testing equipment; and record storage facilities.</w:t>
      </w:r>
    </w:p>
    <w:p w:rsidRPr="00A21D75" w:rsidR="00A21D75" w:rsidP="00A21D75" w:rsidRDefault="00A21D75" w14:paraId="6CC12F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A21D75">
        <w:rPr>
          <w:b/>
        </w:rPr>
        <w:t>*</w:t>
      </w:r>
      <w:r w:rsidRPr="00A21D75">
        <w:rPr>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A21D75">
        <w:rPr>
          <w:b/>
        </w:rPr>
        <w:t>process</w:t>
      </w:r>
      <w:proofErr w:type="gramEnd"/>
      <w:r w:rsidRPr="00A21D75">
        <w:rPr>
          <w:b/>
        </w:rPr>
        <w:t xml:space="preserve"> and use existing economic or regulatory impact analysis associated with the rulemaking containing the information collection, as appropriate.</w:t>
      </w:r>
    </w:p>
    <w:p w:rsidRPr="00A21D75" w:rsidR="00A21D75" w:rsidP="00A21D75" w:rsidRDefault="00A21D75" w14:paraId="4A4788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A21D75">
        <w:rPr>
          <w:b/>
        </w:rPr>
        <w:tab/>
        <w:t>*</w:t>
      </w:r>
      <w:r w:rsidRPr="00A21D75">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A451A" w:rsidR="000D3251" w:rsidRDefault="000D3251" w14:paraId="3554478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A451A" w:rsidR="000D3251" w:rsidRDefault="006D43EC" w14:paraId="7D4882E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43EC">
        <w:t>There are no capital or start-up costs, and there are no operational, maintenance, or purchase-of-services costs, other than what respondents incur in the normal course of business.</w:t>
      </w:r>
      <w:r>
        <w:t xml:space="preserve"> </w:t>
      </w:r>
      <w:r w:rsidRPr="00CA451A" w:rsidR="000D3251">
        <w:t xml:space="preserve">Respondents are not required to purchase additional computer hardware or software to comply with these information requirements.  There </w:t>
      </w:r>
      <w:r w:rsidR="00E87AD6">
        <w:t>is</w:t>
      </w:r>
      <w:r w:rsidR="00DF45F4">
        <w:t xml:space="preserve"> n</w:t>
      </w:r>
      <w:r w:rsidRPr="00CA451A" w:rsidR="000D3251">
        <w:t>o filing or processing fee associated with this information collection.</w:t>
      </w:r>
    </w:p>
    <w:p w:rsidRPr="00CA451A" w:rsidR="000D3251" w:rsidRDefault="000D3251" w14:paraId="61D2734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21D75" w:rsidR="00A21D75" w:rsidP="00A21D75" w:rsidRDefault="00A21D75" w14:paraId="619CDD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21D75">
        <w:rPr>
          <w:b/>
        </w:rPr>
        <w:t>14.</w:t>
      </w:r>
      <w:r w:rsidRPr="00A21D75">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Pr>
          <w:b/>
        </w:rPr>
        <w:t>his collection of information.</w:t>
      </w:r>
    </w:p>
    <w:p w:rsidRPr="00CA451A" w:rsidR="000D3251" w:rsidRDefault="000D3251" w14:paraId="59DA3F4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D1B5B" w:rsidP="001D1B5B" w:rsidRDefault="00A4326F" w14:paraId="24B965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83EDD">
        <w:t xml:space="preserve">The hourly cost to the Federal Government is shown in Table 14-1 and based on data at:  </w:t>
      </w:r>
      <w:hyperlink w:history="1" r:id="rId10">
        <w:r w:rsidRPr="009323FF" w:rsidR="00E17CB5">
          <w:rPr>
            <w:rStyle w:val="Hyperlink"/>
          </w:rPr>
          <w:t>https://www.opm.gov/policy-data-oversight/pay-leave/salaries-wages/salary-tables/pdf/2021/RUS_h.pdf</w:t>
        </w:r>
      </w:hyperlink>
      <w:r w:rsidRPr="00F83EDD">
        <w:t>.</w:t>
      </w:r>
      <w:r w:rsidR="00E17CB5">
        <w:t xml:space="preserve"> </w:t>
      </w:r>
      <w:r w:rsidRPr="00F83EDD">
        <w:t xml:space="preserve">  The benefi</w:t>
      </w:r>
      <w:r>
        <w:t>ts multiplier of 1.6</w:t>
      </w:r>
      <w:r w:rsidRPr="00F83EDD">
        <w:t xml:space="preserve"> is implied by information at:  </w:t>
      </w:r>
      <w:hyperlink w:history="1" r:id="rId11">
        <w:r w:rsidRPr="00D70254">
          <w:rPr>
            <w:rStyle w:val="Hyperlink"/>
          </w:rPr>
          <w:t>http://www.bls.gov/news.release/ecec.nr0.htm</w:t>
        </w:r>
      </w:hyperlink>
      <w:r w:rsidRPr="00F83EDD">
        <w:t>.</w:t>
      </w:r>
      <w:r>
        <w:t xml:space="preserve"> </w:t>
      </w:r>
      <w:r w:rsidRPr="00F22C1E" w:rsidR="001D1B5B">
        <w:t>The hourly labor cost calculations are shown below:</w:t>
      </w:r>
    </w:p>
    <w:p w:rsidR="00F77651" w:rsidP="001D1B5B" w:rsidRDefault="00F77651" w14:paraId="776B2A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86288" w:rsidP="002C642C" w:rsidRDefault="00986288" w14:paraId="654BDD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w:b/>
        </w:rPr>
      </w:pPr>
    </w:p>
    <w:p w:rsidR="00986288" w:rsidP="002C642C" w:rsidRDefault="00986288" w14:paraId="2A6A46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w:b/>
        </w:rPr>
      </w:pPr>
    </w:p>
    <w:p w:rsidRPr="002C642C" w:rsidR="0001598D" w:rsidP="002C642C" w:rsidRDefault="001D1B5B" w14:paraId="4A19E6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358CF">
        <w:rPr>
          <w:rFonts w:cs="Times"/>
          <w:b/>
        </w:rPr>
        <w:t xml:space="preserve">Table 14 -1 — </w:t>
      </w:r>
      <w:r w:rsidRPr="00F358CF">
        <w:rPr>
          <w:b/>
        </w:rPr>
        <w:t xml:space="preserve">Hourly </w:t>
      </w:r>
      <w:r>
        <w:rPr>
          <w:b/>
        </w:rPr>
        <w:t xml:space="preserve">Federal </w:t>
      </w:r>
      <w:r w:rsidRPr="00F358CF">
        <w:rPr>
          <w:b/>
        </w:rPr>
        <w:t>Cost Calculations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21"/>
        <w:gridCol w:w="900"/>
        <w:gridCol w:w="1509"/>
        <w:gridCol w:w="1479"/>
        <w:gridCol w:w="2789"/>
        <w:gridCol w:w="1352"/>
      </w:tblGrid>
      <w:tr w:rsidRPr="002C642C" w:rsidR="00CE5721" w:rsidTr="00644582" w14:paraId="528AED65" w14:textId="77777777">
        <w:trPr>
          <w:cantSplit/>
          <w:tblHeader/>
        </w:trPr>
        <w:tc>
          <w:tcPr>
            <w:tcW w:w="0" w:type="auto"/>
            <w:shd w:val="clear" w:color="auto" w:fill="D9D9D9"/>
          </w:tcPr>
          <w:p w:rsidR="00E17CB5" w:rsidP="00EF453F" w:rsidRDefault="00E17CB5" w14:paraId="5EABB2D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2C642C" w:rsidR="00CE5721" w:rsidP="00EF453F" w:rsidRDefault="00CE5721" w14:paraId="7BF961E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2C642C">
              <w:rPr>
                <w:b/>
                <w:sz w:val="18"/>
                <w:szCs w:val="18"/>
              </w:rPr>
              <w:t>Position</w:t>
            </w:r>
          </w:p>
        </w:tc>
        <w:tc>
          <w:tcPr>
            <w:tcW w:w="0" w:type="auto"/>
            <w:shd w:val="clear" w:color="auto" w:fill="D9D9D9"/>
          </w:tcPr>
          <w:p w:rsidR="00E17CB5" w:rsidP="00EF453F" w:rsidRDefault="00E17CB5" w14:paraId="292E062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2C642C" w:rsidR="00CE5721" w:rsidP="00EF453F" w:rsidRDefault="00CE5721" w14:paraId="65ADFBC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2C642C">
              <w:rPr>
                <w:b/>
                <w:sz w:val="18"/>
                <w:szCs w:val="18"/>
              </w:rPr>
              <w:t>Pay Grade</w:t>
            </w:r>
          </w:p>
        </w:tc>
        <w:tc>
          <w:tcPr>
            <w:tcW w:w="0" w:type="auto"/>
            <w:shd w:val="clear" w:color="auto" w:fill="D9D9D9"/>
          </w:tcPr>
          <w:p w:rsidR="00E17CB5" w:rsidP="008B537C" w:rsidRDefault="00E17CB5" w14:paraId="5EA0C85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2C642C" w:rsidR="00CE5721" w:rsidP="008B537C" w:rsidRDefault="00CE5721" w14:paraId="5931F97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2C642C">
              <w:rPr>
                <w:b/>
                <w:sz w:val="18"/>
                <w:szCs w:val="18"/>
              </w:rPr>
              <w:t>Hourly Pay Rate ($/hour)</w:t>
            </w:r>
          </w:p>
        </w:tc>
        <w:tc>
          <w:tcPr>
            <w:tcW w:w="0" w:type="auto"/>
            <w:shd w:val="clear" w:color="auto" w:fill="D9D9D9"/>
          </w:tcPr>
          <w:p w:rsidR="00E17CB5" w:rsidP="008B537C" w:rsidRDefault="00E17CB5" w14:paraId="6D3CE20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2C642C" w:rsidR="00CE5721" w:rsidP="008B537C" w:rsidRDefault="00CE5721" w14:paraId="53B7705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2C642C">
              <w:rPr>
                <w:b/>
                <w:sz w:val="18"/>
                <w:szCs w:val="18"/>
              </w:rPr>
              <w:t>Hourly Rate with Benefits</w:t>
            </w:r>
          </w:p>
          <w:p w:rsidRPr="002C642C" w:rsidR="00CE5721" w:rsidP="001D1B5B" w:rsidRDefault="00CE5721" w14:paraId="3F5EB9E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2C642C">
              <w:rPr>
                <w:b/>
                <w:sz w:val="18"/>
                <w:szCs w:val="18"/>
              </w:rPr>
              <w:t>(x 1.</w:t>
            </w:r>
            <w:r w:rsidRPr="002C642C" w:rsidR="001D1B5B">
              <w:rPr>
                <w:b/>
                <w:sz w:val="18"/>
                <w:szCs w:val="18"/>
              </w:rPr>
              <w:t>6</w:t>
            </w:r>
            <w:r w:rsidR="00E17CB5">
              <w:rPr>
                <w:b/>
                <w:sz w:val="18"/>
                <w:szCs w:val="18"/>
              </w:rPr>
              <w:t xml:space="preserve"> multiplier</w:t>
            </w:r>
            <w:r w:rsidRPr="002C642C">
              <w:rPr>
                <w:b/>
                <w:sz w:val="18"/>
                <w:szCs w:val="18"/>
              </w:rPr>
              <w:t>)</w:t>
            </w:r>
          </w:p>
        </w:tc>
        <w:tc>
          <w:tcPr>
            <w:tcW w:w="0" w:type="auto"/>
            <w:shd w:val="clear" w:color="auto" w:fill="D9D9D9"/>
          </w:tcPr>
          <w:p w:rsidR="00E17CB5" w:rsidP="00E3629D" w:rsidRDefault="00E17CB5" w14:paraId="300F11D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2C642C" w:rsidR="00CE5721" w:rsidP="00E3629D" w:rsidRDefault="00CE5721" w14:paraId="4D2C11B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2C642C">
              <w:rPr>
                <w:b/>
                <w:sz w:val="18"/>
                <w:szCs w:val="18"/>
              </w:rPr>
              <w:t>Percent of the Information Collection Completed by Each Occupation</w:t>
            </w:r>
          </w:p>
        </w:tc>
        <w:tc>
          <w:tcPr>
            <w:tcW w:w="0" w:type="auto"/>
            <w:shd w:val="clear" w:color="auto" w:fill="D9D9D9"/>
          </w:tcPr>
          <w:p w:rsidR="00E17CB5" w:rsidP="00B1142E" w:rsidRDefault="00E17CB5" w14:paraId="2EAF69B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2C642C" w:rsidR="00CE5721" w:rsidP="00B1142E" w:rsidRDefault="00CE5721" w14:paraId="1A76CCE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2C642C">
              <w:rPr>
                <w:b/>
                <w:sz w:val="18"/>
                <w:szCs w:val="18"/>
              </w:rPr>
              <w:t>Weighted Avg. ($/hour)</w:t>
            </w:r>
          </w:p>
          <w:p w:rsidRPr="002C642C" w:rsidR="00CE5721" w:rsidP="00B1142E" w:rsidRDefault="00CE5721" w14:paraId="5AA04BD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tc>
      </w:tr>
      <w:tr w:rsidRPr="002C642C" w:rsidR="00CE5721" w:rsidTr="00315FFE" w14:paraId="2F645C0E" w14:textId="77777777">
        <w:trPr>
          <w:cantSplit/>
        </w:trPr>
        <w:tc>
          <w:tcPr>
            <w:tcW w:w="0" w:type="auto"/>
            <w:vAlign w:val="center"/>
          </w:tcPr>
          <w:p w:rsidRPr="002C642C" w:rsidR="00CE5721" w:rsidP="00CE5721" w:rsidRDefault="00CE5721" w14:paraId="36C2178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C642C">
              <w:rPr>
                <w:sz w:val="18"/>
                <w:szCs w:val="18"/>
              </w:rPr>
              <w:t>Clerical, unskilled</w:t>
            </w:r>
          </w:p>
        </w:tc>
        <w:tc>
          <w:tcPr>
            <w:tcW w:w="0" w:type="auto"/>
            <w:vAlign w:val="center"/>
          </w:tcPr>
          <w:p w:rsidRPr="002C642C" w:rsidR="00CE5721" w:rsidP="00CE5721" w:rsidRDefault="00CE5721" w14:paraId="4F0E709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C642C">
              <w:rPr>
                <w:sz w:val="18"/>
                <w:szCs w:val="18"/>
              </w:rPr>
              <w:t>GS-5, Step 5</w:t>
            </w:r>
          </w:p>
        </w:tc>
        <w:tc>
          <w:tcPr>
            <w:tcW w:w="0" w:type="auto"/>
            <w:vAlign w:val="center"/>
          </w:tcPr>
          <w:p w:rsidRPr="002C642C" w:rsidR="00CE5721" w:rsidP="001D3819" w:rsidRDefault="00CB1B4D" w14:paraId="780207B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C642C">
              <w:rPr>
                <w:sz w:val="18"/>
                <w:szCs w:val="18"/>
              </w:rPr>
              <w:t>$</w:t>
            </w:r>
            <w:r w:rsidR="00E17CB5">
              <w:rPr>
                <w:sz w:val="18"/>
                <w:szCs w:val="18"/>
              </w:rPr>
              <w:t>19.15</w:t>
            </w:r>
          </w:p>
        </w:tc>
        <w:tc>
          <w:tcPr>
            <w:tcW w:w="0" w:type="auto"/>
            <w:vAlign w:val="center"/>
          </w:tcPr>
          <w:p w:rsidRPr="002C642C" w:rsidR="00CE5721" w:rsidP="001D3819" w:rsidRDefault="00F17227" w14:paraId="00EE5CB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C642C">
              <w:rPr>
                <w:sz w:val="18"/>
                <w:szCs w:val="18"/>
              </w:rPr>
              <w:t>$</w:t>
            </w:r>
            <w:r w:rsidRPr="002C642C" w:rsidR="00A4326F">
              <w:rPr>
                <w:sz w:val="18"/>
                <w:szCs w:val="18"/>
              </w:rPr>
              <w:t>30.</w:t>
            </w:r>
            <w:r w:rsidR="00E17CB5">
              <w:rPr>
                <w:sz w:val="18"/>
                <w:szCs w:val="18"/>
              </w:rPr>
              <w:t>6</w:t>
            </w:r>
            <w:r w:rsidRPr="002C642C" w:rsidR="00A4326F">
              <w:rPr>
                <w:sz w:val="18"/>
                <w:szCs w:val="18"/>
              </w:rPr>
              <w:t>4</w:t>
            </w:r>
          </w:p>
        </w:tc>
        <w:tc>
          <w:tcPr>
            <w:tcW w:w="0" w:type="auto"/>
            <w:vAlign w:val="center"/>
          </w:tcPr>
          <w:p w:rsidRPr="002C642C" w:rsidR="00CE5721" w:rsidP="001D3819" w:rsidRDefault="00CE5721" w14:paraId="536851C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2C642C">
              <w:rPr>
                <w:sz w:val="18"/>
                <w:szCs w:val="18"/>
              </w:rPr>
              <w:t>5%</w:t>
            </w:r>
          </w:p>
        </w:tc>
        <w:tc>
          <w:tcPr>
            <w:tcW w:w="0" w:type="auto"/>
            <w:vAlign w:val="center"/>
          </w:tcPr>
          <w:p w:rsidRPr="002C642C" w:rsidR="00CE5721" w:rsidP="001D3819" w:rsidRDefault="00F17227" w14:paraId="6415B24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C642C">
              <w:rPr>
                <w:sz w:val="18"/>
                <w:szCs w:val="18"/>
              </w:rPr>
              <w:t>$1.</w:t>
            </w:r>
            <w:r w:rsidRPr="002C642C" w:rsidR="006501A7">
              <w:rPr>
                <w:sz w:val="18"/>
                <w:szCs w:val="18"/>
              </w:rPr>
              <w:t>5</w:t>
            </w:r>
            <w:r w:rsidR="00E17CB5">
              <w:rPr>
                <w:sz w:val="18"/>
                <w:szCs w:val="18"/>
              </w:rPr>
              <w:t>3</w:t>
            </w:r>
          </w:p>
        </w:tc>
      </w:tr>
      <w:tr w:rsidRPr="002C642C" w:rsidR="00CE5721" w:rsidTr="00315FFE" w14:paraId="121923A0" w14:textId="77777777">
        <w:trPr>
          <w:cantSplit/>
        </w:trPr>
        <w:tc>
          <w:tcPr>
            <w:tcW w:w="0" w:type="auto"/>
            <w:vAlign w:val="center"/>
          </w:tcPr>
          <w:p w:rsidRPr="002C642C" w:rsidR="00CE5721" w:rsidP="00CE5721" w:rsidRDefault="00CE5721" w14:paraId="382C42E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C642C">
              <w:rPr>
                <w:sz w:val="18"/>
                <w:szCs w:val="18"/>
              </w:rPr>
              <w:t>Technician (geologist)</w:t>
            </w:r>
          </w:p>
        </w:tc>
        <w:tc>
          <w:tcPr>
            <w:tcW w:w="0" w:type="auto"/>
            <w:vAlign w:val="center"/>
          </w:tcPr>
          <w:p w:rsidRPr="002C642C" w:rsidR="00CE5721" w:rsidP="00CE5721" w:rsidRDefault="00CE5721" w14:paraId="150F6C24"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C642C">
              <w:rPr>
                <w:sz w:val="18"/>
                <w:szCs w:val="18"/>
              </w:rPr>
              <w:t>GS-11, Step 5</w:t>
            </w:r>
          </w:p>
        </w:tc>
        <w:tc>
          <w:tcPr>
            <w:tcW w:w="0" w:type="auto"/>
            <w:vAlign w:val="center"/>
          </w:tcPr>
          <w:p w:rsidRPr="002C642C" w:rsidR="00CE5721" w:rsidP="001D3819" w:rsidRDefault="0067570F" w14:paraId="0BB45AD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C642C">
              <w:rPr>
                <w:sz w:val="18"/>
                <w:szCs w:val="18"/>
              </w:rPr>
              <w:t>$</w:t>
            </w:r>
            <w:r w:rsidR="00E17CB5">
              <w:rPr>
                <w:sz w:val="18"/>
                <w:szCs w:val="18"/>
              </w:rPr>
              <w:t>35.11</w:t>
            </w:r>
          </w:p>
        </w:tc>
        <w:tc>
          <w:tcPr>
            <w:tcW w:w="0" w:type="auto"/>
            <w:vAlign w:val="center"/>
          </w:tcPr>
          <w:p w:rsidRPr="002C642C" w:rsidR="00CE5721" w:rsidP="001D3819" w:rsidRDefault="00F17227" w14:paraId="210E126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C642C">
              <w:rPr>
                <w:sz w:val="18"/>
                <w:szCs w:val="18"/>
              </w:rPr>
              <w:t>$</w:t>
            </w:r>
            <w:r w:rsidR="00E17CB5">
              <w:rPr>
                <w:sz w:val="18"/>
                <w:szCs w:val="18"/>
              </w:rPr>
              <w:t>56.18</w:t>
            </w:r>
          </w:p>
        </w:tc>
        <w:tc>
          <w:tcPr>
            <w:tcW w:w="0" w:type="auto"/>
            <w:vAlign w:val="center"/>
          </w:tcPr>
          <w:p w:rsidRPr="002C642C" w:rsidR="00CE5721" w:rsidP="001D3819" w:rsidRDefault="00CE5721" w14:paraId="33E4852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2C642C">
              <w:rPr>
                <w:sz w:val="18"/>
                <w:szCs w:val="18"/>
              </w:rPr>
              <w:t>80%</w:t>
            </w:r>
          </w:p>
        </w:tc>
        <w:tc>
          <w:tcPr>
            <w:tcW w:w="0" w:type="auto"/>
            <w:vAlign w:val="center"/>
          </w:tcPr>
          <w:p w:rsidRPr="002C642C" w:rsidR="00CE5721" w:rsidP="001D3819" w:rsidRDefault="00F17227" w14:paraId="60D6236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C642C">
              <w:rPr>
                <w:sz w:val="18"/>
                <w:szCs w:val="18"/>
              </w:rPr>
              <w:t>$4</w:t>
            </w:r>
            <w:r w:rsidRPr="002C642C" w:rsidR="00A4326F">
              <w:rPr>
                <w:sz w:val="18"/>
                <w:szCs w:val="18"/>
              </w:rPr>
              <w:t>4</w:t>
            </w:r>
            <w:r w:rsidR="00E17CB5">
              <w:rPr>
                <w:sz w:val="18"/>
                <w:szCs w:val="18"/>
              </w:rPr>
              <w:t>.94</w:t>
            </w:r>
          </w:p>
        </w:tc>
      </w:tr>
      <w:tr w:rsidRPr="002C642C" w:rsidR="00CE5721" w:rsidTr="00315FFE" w14:paraId="24F86487" w14:textId="77777777">
        <w:trPr>
          <w:cantSplit/>
        </w:trPr>
        <w:tc>
          <w:tcPr>
            <w:tcW w:w="0" w:type="auto"/>
            <w:vAlign w:val="center"/>
          </w:tcPr>
          <w:p w:rsidRPr="002C642C" w:rsidR="00CE5721" w:rsidP="00CE5721" w:rsidRDefault="00CE5721" w14:paraId="6978789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C642C">
              <w:rPr>
                <w:sz w:val="18"/>
                <w:szCs w:val="18"/>
              </w:rPr>
              <w:t>Field Office Manager</w:t>
            </w:r>
          </w:p>
        </w:tc>
        <w:tc>
          <w:tcPr>
            <w:tcW w:w="0" w:type="auto"/>
            <w:vAlign w:val="center"/>
          </w:tcPr>
          <w:p w:rsidRPr="002C642C" w:rsidR="00CE5721" w:rsidP="00CE5721" w:rsidRDefault="00CE5721" w14:paraId="4DB7B71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C642C">
              <w:rPr>
                <w:sz w:val="18"/>
                <w:szCs w:val="18"/>
              </w:rPr>
              <w:t>GS-13, Step 5</w:t>
            </w:r>
          </w:p>
        </w:tc>
        <w:tc>
          <w:tcPr>
            <w:tcW w:w="0" w:type="auto"/>
            <w:vAlign w:val="center"/>
          </w:tcPr>
          <w:p w:rsidRPr="002C642C" w:rsidR="00CE5721" w:rsidP="001D3819" w:rsidRDefault="0067570F" w14:paraId="1BF7AC9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C642C">
              <w:rPr>
                <w:sz w:val="18"/>
                <w:szCs w:val="18"/>
              </w:rPr>
              <w:t>$</w:t>
            </w:r>
            <w:r w:rsidR="00E17CB5">
              <w:rPr>
                <w:sz w:val="18"/>
                <w:szCs w:val="18"/>
              </w:rPr>
              <w:t>50.04</w:t>
            </w:r>
          </w:p>
        </w:tc>
        <w:tc>
          <w:tcPr>
            <w:tcW w:w="0" w:type="auto"/>
            <w:vAlign w:val="center"/>
          </w:tcPr>
          <w:p w:rsidRPr="002C642C" w:rsidR="00CE5721" w:rsidP="001D3819" w:rsidRDefault="00F17227" w14:paraId="07A528C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C642C">
              <w:rPr>
                <w:sz w:val="18"/>
                <w:szCs w:val="18"/>
              </w:rPr>
              <w:t>$</w:t>
            </w:r>
            <w:r w:rsidR="00E17CB5">
              <w:rPr>
                <w:sz w:val="18"/>
                <w:szCs w:val="18"/>
              </w:rPr>
              <w:t>80.06</w:t>
            </w:r>
          </w:p>
        </w:tc>
        <w:tc>
          <w:tcPr>
            <w:tcW w:w="0" w:type="auto"/>
            <w:vAlign w:val="center"/>
          </w:tcPr>
          <w:p w:rsidRPr="002C642C" w:rsidR="00CE5721" w:rsidP="001D3819" w:rsidRDefault="00CE5721" w14:paraId="661905F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2C642C">
              <w:rPr>
                <w:sz w:val="18"/>
                <w:szCs w:val="18"/>
              </w:rPr>
              <w:t>15%</w:t>
            </w:r>
          </w:p>
        </w:tc>
        <w:tc>
          <w:tcPr>
            <w:tcW w:w="0" w:type="auto"/>
            <w:vAlign w:val="center"/>
          </w:tcPr>
          <w:p w:rsidRPr="002C642C" w:rsidR="00CE5721" w:rsidP="001D3819" w:rsidRDefault="00F17227" w14:paraId="6905F79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C642C">
              <w:rPr>
                <w:sz w:val="18"/>
                <w:szCs w:val="18"/>
              </w:rPr>
              <w:t>$</w:t>
            </w:r>
            <w:r w:rsidR="00E17CB5">
              <w:rPr>
                <w:sz w:val="18"/>
                <w:szCs w:val="18"/>
              </w:rPr>
              <w:t>12.01</w:t>
            </w:r>
          </w:p>
        </w:tc>
      </w:tr>
      <w:tr w:rsidRPr="002C642C" w:rsidR="001D3819" w:rsidTr="00644582" w14:paraId="2ED4072A" w14:textId="77777777">
        <w:trPr>
          <w:cantSplit/>
        </w:trPr>
        <w:tc>
          <w:tcPr>
            <w:tcW w:w="0" w:type="auto"/>
            <w:gridSpan w:val="2"/>
            <w:vAlign w:val="center"/>
          </w:tcPr>
          <w:p w:rsidRPr="002C642C" w:rsidR="001D3819" w:rsidP="001D3819" w:rsidRDefault="001D3819" w14:paraId="68354E8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2C642C">
              <w:rPr>
                <w:b/>
                <w:sz w:val="18"/>
                <w:szCs w:val="18"/>
              </w:rPr>
              <w:t>Totals:</w:t>
            </w:r>
          </w:p>
        </w:tc>
        <w:tc>
          <w:tcPr>
            <w:tcW w:w="0" w:type="auto"/>
            <w:vAlign w:val="center"/>
          </w:tcPr>
          <w:p w:rsidRPr="002C642C" w:rsidR="001D3819" w:rsidP="001D3819" w:rsidRDefault="001D3819" w14:paraId="6011A54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C642C">
              <w:rPr>
                <w:sz w:val="18"/>
                <w:szCs w:val="18"/>
              </w:rPr>
              <w:t>//////////////////</w:t>
            </w:r>
          </w:p>
        </w:tc>
        <w:tc>
          <w:tcPr>
            <w:tcW w:w="0" w:type="auto"/>
            <w:vAlign w:val="center"/>
          </w:tcPr>
          <w:p w:rsidRPr="002C642C" w:rsidR="001D3819" w:rsidP="001D3819" w:rsidRDefault="001D3819" w14:paraId="1FFF26C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2C642C">
              <w:rPr>
                <w:sz w:val="18"/>
                <w:szCs w:val="18"/>
              </w:rPr>
              <w:t>/////////////</w:t>
            </w:r>
          </w:p>
        </w:tc>
        <w:tc>
          <w:tcPr>
            <w:tcW w:w="0" w:type="auto"/>
            <w:vAlign w:val="center"/>
          </w:tcPr>
          <w:p w:rsidRPr="002C642C" w:rsidR="001D3819" w:rsidP="001D3819" w:rsidRDefault="001D3819" w14:paraId="1A8090A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18"/>
                <w:szCs w:val="18"/>
              </w:rPr>
            </w:pPr>
            <w:r w:rsidRPr="002C642C">
              <w:rPr>
                <w:b/>
                <w:sz w:val="18"/>
                <w:szCs w:val="18"/>
              </w:rPr>
              <w:t>100%</w:t>
            </w:r>
          </w:p>
        </w:tc>
        <w:tc>
          <w:tcPr>
            <w:tcW w:w="0" w:type="auto"/>
            <w:vAlign w:val="center"/>
          </w:tcPr>
          <w:p w:rsidRPr="002C642C" w:rsidR="001D3819" w:rsidP="001D3819" w:rsidRDefault="001D3819" w14:paraId="5139BB5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18"/>
                <w:szCs w:val="18"/>
              </w:rPr>
            </w:pPr>
            <w:r w:rsidRPr="002C642C">
              <w:rPr>
                <w:b/>
                <w:sz w:val="18"/>
                <w:szCs w:val="18"/>
              </w:rPr>
              <w:t>$</w:t>
            </w:r>
            <w:r w:rsidR="00E17CB5">
              <w:rPr>
                <w:b/>
                <w:sz w:val="18"/>
                <w:szCs w:val="18"/>
              </w:rPr>
              <w:t>58.48</w:t>
            </w:r>
          </w:p>
        </w:tc>
      </w:tr>
    </w:tbl>
    <w:p w:rsidR="000D3251" w:rsidRDefault="000D3251" w14:paraId="1723AFF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01DB" w:rsidP="00AA34E5" w:rsidRDefault="00CE5721" w14:paraId="4F21C103" w14:textId="77777777">
      <w:pPr>
        <w:pStyle w:val="FootnoteText"/>
        <w:spacing w:after="0" w:line="240" w:lineRule="auto"/>
        <w:rPr>
          <w:rFonts w:ascii="Times New Roman" w:hAnsi="Times New Roman"/>
          <w:sz w:val="24"/>
        </w:rPr>
      </w:pPr>
      <w:r w:rsidRPr="007805F7">
        <w:rPr>
          <w:rFonts w:ascii="Times New Roman" w:hAnsi="Times New Roman"/>
          <w:sz w:val="24"/>
          <w:szCs w:val="24"/>
        </w:rPr>
        <w:t>The Table below shows the annualized Federal costs for each collection</w:t>
      </w:r>
      <w:r w:rsidRPr="007805F7">
        <w:rPr>
          <w:rFonts w:ascii="Times New Roman" w:hAnsi="Times New Roman"/>
          <w:sz w:val="24"/>
        </w:rPr>
        <w:t>.  The estimated t</w:t>
      </w:r>
      <w:r w:rsidRPr="007805F7">
        <w:rPr>
          <w:rFonts w:ascii="Times New Roman" w:hAnsi="Times New Roman" w:cs="Times"/>
          <w:sz w:val="24"/>
        </w:rPr>
        <w:t xml:space="preserve">ime spent to process the information collections is based on the BLM's experience.  </w:t>
      </w:r>
      <w:r w:rsidRPr="007805F7">
        <w:rPr>
          <w:rFonts w:ascii="Times New Roman" w:hAnsi="Times New Roman"/>
          <w:sz w:val="24"/>
        </w:rPr>
        <w:t xml:space="preserve">The </w:t>
      </w:r>
      <w:r>
        <w:rPr>
          <w:rFonts w:ascii="Times New Roman" w:hAnsi="Times New Roman"/>
          <w:sz w:val="24"/>
        </w:rPr>
        <w:t>w</w:t>
      </w:r>
      <w:r w:rsidRPr="007805F7">
        <w:rPr>
          <w:rFonts w:ascii="Times New Roman" w:hAnsi="Times New Roman"/>
          <w:sz w:val="24"/>
        </w:rPr>
        <w:t>eighted average hourly wage associated with these information collections is shown at Table 14-1, above.</w:t>
      </w:r>
      <w:r w:rsidR="003F4339">
        <w:rPr>
          <w:rFonts w:ascii="Times New Roman" w:hAnsi="Times New Roman"/>
          <w:sz w:val="24"/>
        </w:rPr>
        <w:t xml:space="preserve"> </w:t>
      </w:r>
      <w:r w:rsidRPr="003F4339" w:rsidR="003F4339">
        <w:rPr>
          <w:rFonts w:ascii="Times New Roman" w:hAnsi="Times New Roman"/>
          <w:sz w:val="24"/>
        </w:rPr>
        <w:t>The costs associated with these duties would not otherwise be incurred in whole or in part by BLM if not for the information collections covered by this OMB number.</w:t>
      </w:r>
    </w:p>
    <w:p w:rsidR="001D3819" w:rsidP="001D3819" w:rsidRDefault="001D3819" w14:paraId="5CF671B8" w14:textId="77777777">
      <w:pPr>
        <w:pStyle w:val="FootnoteText"/>
        <w:spacing w:after="0" w:line="240" w:lineRule="auto"/>
        <w:rPr>
          <w:rFonts w:ascii="Times New Roman" w:hAnsi="Times New Roman"/>
          <w:sz w:val="24"/>
        </w:rPr>
      </w:pPr>
    </w:p>
    <w:p w:rsidRPr="002C642C" w:rsidR="00CE5721" w:rsidP="002C642C" w:rsidRDefault="00CE5721" w14:paraId="757593AE" w14:textId="77777777">
      <w:pPr>
        <w:pStyle w:val="FootnoteText"/>
        <w:spacing w:after="0" w:line="240" w:lineRule="auto"/>
        <w:rPr>
          <w:rFonts w:ascii="Times New Roman" w:hAnsi="Times New Roman"/>
          <w:b/>
          <w:sz w:val="24"/>
          <w:szCs w:val="24"/>
        </w:rPr>
      </w:pPr>
      <w:r w:rsidRPr="004463F7">
        <w:rPr>
          <w:rFonts w:ascii="Times New Roman" w:hAnsi="Times New Roman"/>
          <w:b/>
          <w:sz w:val="24"/>
          <w:szCs w:val="24"/>
        </w:rPr>
        <w:t>Table 14-2 — Estimated Annual Cost to the Government</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82"/>
        <w:gridCol w:w="1571"/>
        <w:gridCol w:w="1542"/>
        <w:gridCol w:w="1442"/>
        <w:gridCol w:w="1334"/>
        <w:gridCol w:w="1571"/>
      </w:tblGrid>
      <w:tr w:rsidRPr="002C642C" w:rsidR="00E17CB5" w:rsidTr="00E17CB5" w14:paraId="7A8499F9" w14:textId="77777777">
        <w:trPr>
          <w:cantSplit/>
          <w:tblHeader/>
        </w:trPr>
        <w:tc>
          <w:tcPr>
            <w:tcW w:w="1823" w:type="dxa"/>
            <w:shd w:val="clear" w:color="auto" w:fill="D9D9D9"/>
          </w:tcPr>
          <w:p w:rsidR="00E17CB5" w:rsidP="00D13710" w:rsidRDefault="00E17CB5" w14:paraId="3AAF73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2C642C" w:rsidR="00E17CB5" w:rsidP="00D13710" w:rsidRDefault="00E17CB5" w14:paraId="77E9D2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Pr>
                <w:b/>
                <w:sz w:val="18"/>
                <w:szCs w:val="18"/>
              </w:rPr>
              <w:t>Collection of Information</w:t>
            </w:r>
          </w:p>
        </w:tc>
        <w:tc>
          <w:tcPr>
            <w:tcW w:w="1608" w:type="dxa"/>
            <w:shd w:val="clear" w:color="auto" w:fill="D9D9D9"/>
          </w:tcPr>
          <w:p w:rsidR="00E17CB5" w:rsidP="00D13710" w:rsidRDefault="00E17CB5" w14:paraId="6039EA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2C642C" w:rsidR="00E17CB5" w:rsidP="00D13710" w:rsidRDefault="00E17CB5" w14:paraId="28DC66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2C642C">
              <w:rPr>
                <w:b/>
                <w:sz w:val="18"/>
                <w:szCs w:val="18"/>
              </w:rPr>
              <w:t>Number of Responses</w:t>
            </w:r>
          </w:p>
        </w:tc>
        <w:tc>
          <w:tcPr>
            <w:tcW w:w="1582" w:type="dxa"/>
            <w:shd w:val="clear" w:color="auto" w:fill="D9D9D9"/>
          </w:tcPr>
          <w:p w:rsidR="00E17CB5" w:rsidP="00D13710" w:rsidRDefault="00E17CB5" w14:paraId="2A5520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2C642C" w:rsidR="00E17CB5" w:rsidP="00D13710" w:rsidRDefault="00E17CB5" w14:paraId="1ED667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Pr>
                <w:b/>
                <w:sz w:val="18"/>
                <w:szCs w:val="18"/>
              </w:rPr>
              <w:t xml:space="preserve">Staff </w:t>
            </w:r>
            <w:r w:rsidRPr="002C642C">
              <w:rPr>
                <w:b/>
                <w:sz w:val="18"/>
                <w:szCs w:val="18"/>
              </w:rPr>
              <w:t>Time Per Response</w:t>
            </w:r>
          </w:p>
        </w:tc>
        <w:tc>
          <w:tcPr>
            <w:tcW w:w="1491" w:type="dxa"/>
            <w:shd w:val="clear" w:color="auto" w:fill="D9D9D9"/>
          </w:tcPr>
          <w:p w:rsidR="00E17CB5" w:rsidP="00D13710" w:rsidRDefault="00E17CB5" w14:paraId="2245D0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2C642C" w:rsidR="00E17CB5" w:rsidP="00D13710" w:rsidRDefault="00E17CB5" w14:paraId="6B6F2F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2C642C">
              <w:rPr>
                <w:b/>
                <w:sz w:val="18"/>
                <w:szCs w:val="18"/>
              </w:rPr>
              <w:t>Total</w:t>
            </w:r>
            <w:r>
              <w:rPr>
                <w:b/>
                <w:sz w:val="18"/>
                <w:szCs w:val="18"/>
              </w:rPr>
              <w:t xml:space="preserve"> Staff</w:t>
            </w:r>
            <w:r w:rsidRPr="002C642C">
              <w:rPr>
                <w:b/>
                <w:sz w:val="18"/>
                <w:szCs w:val="18"/>
              </w:rPr>
              <w:t xml:space="preserve"> Hours</w:t>
            </w:r>
          </w:p>
          <w:p w:rsidRPr="002C642C" w:rsidR="00E17CB5" w:rsidP="00D13710" w:rsidRDefault="00E17CB5" w14:paraId="237D7D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tc>
        <w:tc>
          <w:tcPr>
            <w:tcW w:w="1359" w:type="dxa"/>
            <w:shd w:val="clear" w:color="auto" w:fill="D9D9D9"/>
          </w:tcPr>
          <w:p w:rsidR="00E17CB5" w:rsidP="00D13710" w:rsidRDefault="00E17CB5" w14:paraId="2031DB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Pr>
                <w:b/>
                <w:sz w:val="18"/>
                <w:szCs w:val="18"/>
              </w:rPr>
              <w:t>Weighted Average Hourly Rate</w:t>
            </w:r>
          </w:p>
        </w:tc>
        <w:tc>
          <w:tcPr>
            <w:tcW w:w="1605" w:type="dxa"/>
            <w:shd w:val="clear" w:color="auto" w:fill="D9D9D9"/>
          </w:tcPr>
          <w:p w:rsidR="00E17CB5" w:rsidP="00D13710" w:rsidRDefault="00E17CB5" w14:paraId="33C5FB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p w:rsidRPr="002C642C" w:rsidR="00E17CB5" w:rsidP="00D13710" w:rsidRDefault="00E17CB5" w14:paraId="4D5F93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2C642C">
              <w:rPr>
                <w:b/>
                <w:sz w:val="18"/>
                <w:szCs w:val="18"/>
              </w:rPr>
              <w:t>Dollar Equivalent</w:t>
            </w:r>
          </w:p>
          <w:p w:rsidRPr="002C642C" w:rsidR="00E17CB5" w:rsidP="00B45476" w:rsidRDefault="00E17CB5" w14:paraId="66AF9F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p>
        </w:tc>
      </w:tr>
      <w:tr w:rsidRPr="002C642C" w:rsidR="00E17CB5" w:rsidTr="00E17CB5" w14:paraId="6A15611D" w14:textId="77777777">
        <w:trPr>
          <w:cantSplit/>
        </w:trPr>
        <w:tc>
          <w:tcPr>
            <w:tcW w:w="1823" w:type="dxa"/>
            <w:shd w:val="clear" w:color="auto" w:fill="auto"/>
            <w:vAlign w:val="center"/>
          </w:tcPr>
          <w:p w:rsidRPr="002C642C" w:rsidR="00E17CB5" w:rsidP="00EF35E0" w:rsidRDefault="00E17CB5" w14:paraId="4C13E3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C642C">
              <w:rPr>
                <w:sz w:val="18"/>
                <w:szCs w:val="18"/>
              </w:rPr>
              <w:t>Proposed occupancy</w:t>
            </w:r>
          </w:p>
          <w:p w:rsidRPr="002C642C" w:rsidR="00E17CB5" w:rsidP="00EF35E0" w:rsidRDefault="00E17CB5" w14:paraId="31FF7A7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C642C">
              <w:rPr>
                <w:sz w:val="18"/>
                <w:szCs w:val="18"/>
              </w:rPr>
              <w:t>43 CFR 3715.3-2</w:t>
            </w:r>
          </w:p>
        </w:tc>
        <w:tc>
          <w:tcPr>
            <w:tcW w:w="1608" w:type="dxa"/>
            <w:shd w:val="clear" w:color="auto" w:fill="auto"/>
            <w:vAlign w:val="center"/>
          </w:tcPr>
          <w:p w:rsidRPr="002C642C" w:rsidR="00E17CB5" w:rsidP="00E17CB5" w:rsidRDefault="00E17CB5" w14:paraId="310ABCE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b/>
                <w:bCs/>
                <w:sz w:val="18"/>
                <w:szCs w:val="18"/>
              </w:rPr>
            </w:pPr>
            <w:r w:rsidRPr="002C642C">
              <w:rPr>
                <w:sz w:val="18"/>
                <w:szCs w:val="18"/>
              </w:rPr>
              <w:t>60</w:t>
            </w:r>
          </w:p>
        </w:tc>
        <w:tc>
          <w:tcPr>
            <w:tcW w:w="1582" w:type="dxa"/>
            <w:shd w:val="clear" w:color="auto" w:fill="auto"/>
            <w:vAlign w:val="center"/>
          </w:tcPr>
          <w:p w:rsidRPr="002C642C" w:rsidR="00E17CB5" w:rsidP="00E17CB5" w:rsidRDefault="00E17CB5" w14:paraId="03FE3C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z w:val="18"/>
                <w:szCs w:val="18"/>
              </w:rPr>
            </w:pPr>
            <w:r w:rsidRPr="002C642C">
              <w:rPr>
                <w:sz w:val="18"/>
                <w:szCs w:val="18"/>
              </w:rPr>
              <w:t>10</w:t>
            </w:r>
          </w:p>
        </w:tc>
        <w:tc>
          <w:tcPr>
            <w:tcW w:w="1491" w:type="dxa"/>
            <w:shd w:val="clear" w:color="auto" w:fill="auto"/>
            <w:vAlign w:val="center"/>
          </w:tcPr>
          <w:p w:rsidRPr="002C642C" w:rsidR="00E17CB5" w:rsidP="00E17CB5" w:rsidRDefault="00E17CB5" w14:paraId="4B76A9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z w:val="18"/>
                <w:szCs w:val="18"/>
              </w:rPr>
            </w:pPr>
            <w:r w:rsidRPr="002C642C">
              <w:rPr>
                <w:sz w:val="18"/>
                <w:szCs w:val="18"/>
              </w:rPr>
              <w:t>600</w:t>
            </w:r>
          </w:p>
        </w:tc>
        <w:tc>
          <w:tcPr>
            <w:tcW w:w="1359" w:type="dxa"/>
          </w:tcPr>
          <w:p w:rsidRPr="002C642C" w:rsidR="00E17CB5" w:rsidP="00E17CB5" w:rsidRDefault="00E17CB5" w14:paraId="2260BD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z w:val="18"/>
                <w:szCs w:val="18"/>
              </w:rPr>
            </w:pPr>
            <w:r>
              <w:rPr>
                <w:sz w:val="18"/>
                <w:szCs w:val="18"/>
              </w:rPr>
              <w:t>$58.48</w:t>
            </w:r>
          </w:p>
        </w:tc>
        <w:tc>
          <w:tcPr>
            <w:tcW w:w="1605" w:type="dxa"/>
            <w:shd w:val="clear" w:color="auto" w:fill="auto"/>
            <w:vAlign w:val="center"/>
          </w:tcPr>
          <w:p w:rsidRPr="002C642C" w:rsidR="00E17CB5" w:rsidP="00E17CB5" w:rsidRDefault="00E17CB5" w14:paraId="744A86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z w:val="18"/>
                <w:szCs w:val="18"/>
              </w:rPr>
            </w:pPr>
            <w:r w:rsidRPr="002C642C">
              <w:rPr>
                <w:sz w:val="18"/>
                <w:szCs w:val="18"/>
              </w:rPr>
              <w:t>$</w:t>
            </w:r>
            <w:r w:rsidR="009475A0">
              <w:rPr>
                <w:sz w:val="18"/>
                <w:szCs w:val="18"/>
              </w:rPr>
              <w:t>35,088</w:t>
            </w:r>
          </w:p>
        </w:tc>
      </w:tr>
      <w:tr w:rsidRPr="002C642C" w:rsidR="00E17CB5" w:rsidTr="00E17CB5" w14:paraId="2A8C7A1F" w14:textId="77777777">
        <w:trPr>
          <w:cantSplit/>
        </w:trPr>
        <w:tc>
          <w:tcPr>
            <w:tcW w:w="1823" w:type="dxa"/>
            <w:shd w:val="clear" w:color="auto" w:fill="auto"/>
            <w:vAlign w:val="center"/>
          </w:tcPr>
          <w:p w:rsidRPr="002C642C" w:rsidR="00E17CB5" w:rsidP="00EF35E0" w:rsidRDefault="00E17CB5" w14:paraId="513B864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C642C">
              <w:rPr>
                <w:sz w:val="18"/>
                <w:szCs w:val="18"/>
              </w:rPr>
              <w:t>Existing use or occupancy</w:t>
            </w:r>
          </w:p>
          <w:p w:rsidRPr="002C642C" w:rsidR="00E17CB5" w:rsidP="00EF35E0" w:rsidRDefault="00E17CB5" w14:paraId="739C1FF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2C642C">
              <w:rPr>
                <w:sz w:val="18"/>
                <w:szCs w:val="18"/>
              </w:rPr>
              <w:t>43 CFR 3715.4</w:t>
            </w:r>
          </w:p>
        </w:tc>
        <w:tc>
          <w:tcPr>
            <w:tcW w:w="1608" w:type="dxa"/>
            <w:shd w:val="clear" w:color="auto" w:fill="auto"/>
            <w:vAlign w:val="center"/>
          </w:tcPr>
          <w:p w:rsidRPr="002C642C" w:rsidR="00E17CB5" w:rsidP="00E17CB5" w:rsidRDefault="00E17CB5" w14:paraId="478371C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sz w:val="18"/>
                <w:szCs w:val="18"/>
              </w:rPr>
            </w:pPr>
            <w:r w:rsidRPr="002C642C">
              <w:rPr>
                <w:sz w:val="18"/>
                <w:szCs w:val="18"/>
              </w:rPr>
              <w:t>10</w:t>
            </w:r>
          </w:p>
        </w:tc>
        <w:tc>
          <w:tcPr>
            <w:tcW w:w="1582" w:type="dxa"/>
            <w:shd w:val="clear" w:color="auto" w:fill="auto"/>
            <w:vAlign w:val="center"/>
          </w:tcPr>
          <w:p w:rsidRPr="002C642C" w:rsidR="00E17CB5" w:rsidP="00E17CB5" w:rsidRDefault="00E17CB5" w14:paraId="18B146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z w:val="18"/>
                <w:szCs w:val="18"/>
              </w:rPr>
            </w:pPr>
            <w:r w:rsidRPr="002C642C">
              <w:rPr>
                <w:sz w:val="18"/>
                <w:szCs w:val="18"/>
              </w:rPr>
              <w:t>10</w:t>
            </w:r>
          </w:p>
        </w:tc>
        <w:tc>
          <w:tcPr>
            <w:tcW w:w="1491" w:type="dxa"/>
            <w:shd w:val="clear" w:color="auto" w:fill="auto"/>
            <w:vAlign w:val="center"/>
          </w:tcPr>
          <w:p w:rsidRPr="002C642C" w:rsidR="00E17CB5" w:rsidP="00E17CB5" w:rsidRDefault="00E17CB5" w14:paraId="63EE2A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z w:val="18"/>
                <w:szCs w:val="18"/>
              </w:rPr>
            </w:pPr>
            <w:r w:rsidRPr="002C642C">
              <w:rPr>
                <w:sz w:val="18"/>
                <w:szCs w:val="18"/>
              </w:rPr>
              <w:t>100</w:t>
            </w:r>
          </w:p>
        </w:tc>
        <w:tc>
          <w:tcPr>
            <w:tcW w:w="1359" w:type="dxa"/>
          </w:tcPr>
          <w:p w:rsidRPr="002C642C" w:rsidR="00E17CB5" w:rsidP="00E17CB5" w:rsidRDefault="00E17CB5" w14:paraId="42EEF4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z w:val="18"/>
                <w:szCs w:val="18"/>
              </w:rPr>
            </w:pPr>
            <w:r>
              <w:rPr>
                <w:sz w:val="18"/>
                <w:szCs w:val="18"/>
              </w:rPr>
              <w:t>$58.48</w:t>
            </w:r>
          </w:p>
        </w:tc>
        <w:tc>
          <w:tcPr>
            <w:tcW w:w="1605" w:type="dxa"/>
            <w:shd w:val="clear" w:color="auto" w:fill="auto"/>
            <w:vAlign w:val="center"/>
          </w:tcPr>
          <w:p w:rsidRPr="002C642C" w:rsidR="00E17CB5" w:rsidP="00E17CB5" w:rsidRDefault="00E17CB5" w14:paraId="6418E8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sz w:val="18"/>
                <w:szCs w:val="18"/>
              </w:rPr>
            </w:pPr>
            <w:r w:rsidRPr="002C642C">
              <w:rPr>
                <w:sz w:val="18"/>
                <w:szCs w:val="18"/>
              </w:rPr>
              <w:t>$</w:t>
            </w:r>
            <w:r w:rsidR="009475A0">
              <w:rPr>
                <w:sz w:val="18"/>
                <w:szCs w:val="18"/>
              </w:rPr>
              <w:t>5,848</w:t>
            </w:r>
          </w:p>
        </w:tc>
      </w:tr>
      <w:tr w:rsidRPr="002C642C" w:rsidR="00E17CB5" w:rsidTr="00E17CB5" w14:paraId="4D0C9983" w14:textId="77777777">
        <w:trPr>
          <w:cantSplit/>
        </w:trPr>
        <w:tc>
          <w:tcPr>
            <w:tcW w:w="1823" w:type="dxa"/>
            <w:shd w:val="clear" w:color="auto" w:fill="auto"/>
            <w:vAlign w:val="center"/>
          </w:tcPr>
          <w:p w:rsidRPr="00E17CB5" w:rsidR="00E17CB5" w:rsidP="00E17CB5" w:rsidRDefault="00E17CB5" w14:paraId="6A35C0D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18"/>
                <w:szCs w:val="18"/>
              </w:rPr>
            </w:pPr>
            <w:r w:rsidRPr="00E17CB5">
              <w:rPr>
                <w:b/>
                <w:bCs/>
                <w:sz w:val="18"/>
                <w:szCs w:val="18"/>
              </w:rPr>
              <w:t>Totals:</w:t>
            </w:r>
          </w:p>
        </w:tc>
        <w:tc>
          <w:tcPr>
            <w:tcW w:w="1608" w:type="dxa"/>
            <w:shd w:val="clear" w:color="auto" w:fill="auto"/>
            <w:vAlign w:val="center"/>
          </w:tcPr>
          <w:p w:rsidRPr="00E17CB5" w:rsidR="00E17CB5" w:rsidP="00E17CB5" w:rsidRDefault="00E17CB5" w14:paraId="2B33E02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right"/>
              <w:rPr>
                <w:b/>
                <w:bCs/>
                <w:sz w:val="18"/>
                <w:szCs w:val="18"/>
              </w:rPr>
            </w:pPr>
            <w:r w:rsidRPr="00E17CB5">
              <w:rPr>
                <w:b/>
                <w:bCs/>
                <w:sz w:val="18"/>
                <w:szCs w:val="18"/>
              </w:rPr>
              <w:t>70</w:t>
            </w:r>
          </w:p>
        </w:tc>
        <w:tc>
          <w:tcPr>
            <w:tcW w:w="1582" w:type="dxa"/>
            <w:shd w:val="clear" w:color="auto" w:fill="auto"/>
            <w:vAlign w:val="center"/>
          </w:tcPr>
          <w:p w:rsidRPr="00E17CB5" w:rsidR="00E17CB5" w:rsidP="00E17CB5" w:rsidRDefault="00E17CB5" w14:paraId="002C2A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bCs/>
                <w:sz w:val="18"/>
                <w:szCs w:val="18"/>
              </w:rPr>
            </w:pPr>
            <w:r w:rsidRPr="00E17CB5">
              <w:rPr>
                <w:b/>
                <w:bCs/>
                <w:sz w:val="18"/>
                <w:szCs w:val="18"/>
              </w:rPr>
              <w:t>—</w:t>
            </w:r>
          </w:p>
        </w:tc>
        <w:tc>
          <w:tcPr>
            <w:tcW w:w="1491" w:type="dxa"/>
            <w:shd w:val="clear" w:color="auto" w:fill="auto"/>
            <w:vAlign w:val="center"/>
          </w:tcPr>
          <w:p w:rsidRPr="00E17CB5" w:rsidR="00E17CB5" w:rsidP="00E17CB5" w:rsidRDefault="00E17CB5" w14:paraId="3954A5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b/>
                <w:bCs/>
                <w:sz w:val="18"/>
                <w:szCs w:val="18"/>
              </w:rPr>
            </w:pPr>
            <w:r w:rsidRPr="00E17CB5">
              <w:rPr>
                <w:b/>
                <w:bCs/>
                <w:sz w:val="18"/>
                <w:szCs w:val="18"/>
              </w:rPr>
              <w:t>700</w:t>
            </w:r>
          </w:p>
        </w:tc>
        <w:tc>
          <w:tcPr>
            <w:tcW w:w="1359" w:type="dxa"/>
          </w:tcPr>
          <w:p w:rsidRPr="00E17CB5" w:rsidR="00E17CB5" w:rsidP="009475A0" w:rsidRDefault="009475A0" w14:paraId="7F4EEB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b/>
                <w:bCs/>
                <w:sz w:val="18"/>
                <w:szCs w:val="18"/>
              </w:rPr>
            </w:pPr>
            <w:r w:rsidRPr="00E17CB5">
              <w:rPr>
                <w:b/>
                <w:bCs/>
                <w:sz w:val="18"/>
                <w:szCs w:val="18"/>
              </w:rPr>
              <w:t>—</w:t>
            </w:r>
          </w:p>
        </w:tc>
        <w:tc>
          <w:tcPr>
            <w:tcW w:w="1605" w:type="dxa"/>
            <w:shd w:val="clear" w:color="auto" w:fill="auto"/>
            <w:vAlign w:val="center"/>
          </w:tcPr>
          <w:p w:rsidRPr="00E17CB5" w:rsidR="00E17CB5" w:rsidP="00E17CB5" w:rsidRDefault="00E17CB5" w14:paraId="11BAF9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b/>
                <w:bCs/>
                <w:sz w:val="18"/>
                <w:szCs w:val="18"/>
              </w:rPr>
            </w:pPr>
            <w:r w:rsidRPr="00E17CB5">
              <w:rPr>
                <w:b/>
                <w:bCs/>
                <w:sz w:val="18"/>
                <w:szCs w:val="18"/>
              </w:rPr>
              <w:t>$</w:t>
            </w:r>
            <w:r w:rsidR="009475A0">
              <w:rPr>
                <w:b/>
                <w:bCs/>
                <w:sz w:val="18"/>
                <w:szCs w:val="18"/>
              </w:rPr>
              <w:t>40,936</w:t>
            </w:r>
          </w:p>
        </w:tc>
      </w:tr>
    </w:tbl>
    <w:p w:rsidR="000223F3" w:rsidP="00CE5721" w:rsidRDefault="000223F3" w14:paraId="776A11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491D24" w:rsidR="00115F8F" w:rsidP="00115F8F" w:rsidRDefault="00115F8F" w14:paraId="3B1EFC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91D24">
        <w:rPr>
          <w:b/>
        </w:rPr>
        <w:t>15.</w:t>
      </w:r>
      <w:r w:rsidRPr="00491D24">
        <w:rPr>
          <w:b/>
        </w:rPr>
        <w:tab/>
        <w:t>Explain the reasons for any program changes or adjustments in hour or cost burden.</w:t>
      </w:r>
    </w:p>
    <w:p w:rsidR="00115F8F" w:rsidP="00115F8F" w:rsidRDefault="00115F8F" w14:paraId="2EC86255" w14:textId="77777777">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A451A" w:rsidR="00C517AC" w:rsidP="00986288" w:rsidRDefault="003E0080" w14:paraId="58712F7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There </w:t>
      </w:r>
      <w:r w:rsidR="007F7DCC">
        <w:t xml:space="preserve">are </w:t>
      </w:r>
      <w:r>
        <w:t>no program changes</w:t>
      </w:r>
      <w:r w:rsidR="00986288">
        <w:t xml:space="preserve"> or adjustments</w:t>
      </w:r>
      <w:r w:rsidR="007F7DCC">
        <w:t xml:space="preserve"> requested</w:t>
      </w:r>
      <w:r w:rsidR="00986288">
        <w:t>.</w:t>
      </w:r>
    </w:p>
    <w:p w:rsidR="003E0080" w:rsidP="00471CD4" w:rsidRDefault="003E0080" w14:paraId="0935F6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471CD4" w:rsidR="00471CD4" w:rsidP="00471CD4" w:rsidRDefault="00471CD4" w14:paraId="76469D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71CD4">
        <w:rPr>
          <w:b/>
        </w:rPr>
        <w:t>16.</w:t>
      </w:r>
      <w:r w:rsidRPr="00471CD4">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A451A" w:rsidR="000D3251" w:rsidRDefault="000D3251" w14:paraId="0E099BC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A451A" w:rsidR="000D3251" w:rsidRDefault="00365DEF" w14:paraId="21A8CFB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 will not publish the results of this collection</w:t>
      </w:r>
      <w:r w:rsidRPr="00CA451A" w:rsidR="000D3251">
        <w:t>.</w:t>
      </w:r>
    </w:p>
    <w:p w:rsidRPr="00CA451A" w:rsidR="000D3251" w:rsidRDefault="000D3251" w14:paraId="64359DC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517AC" w:rsidR="00471CD4" w:rsidP="00471CD4" w:rsidRDefault="00471CD4" w14:paraId="77F3F1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C517AC">
        <w:rPr>
          <w:b/>
        </w:rPr>
        <w:t>17.</w:t>
      </w:r>
      <w:r w:rsidRPr="00C517AC">
        <w:rPr>
          <w:b/>
        </w:rPr>
        <w:tab/>
        <w:t>If seeking approval to not display the expiration date for OMB approval of the information collection, explain the reasons that display would be inappropriate.</w:t>
      </w:r>
    </w:p>
    <w:p w:rsidRPr="00CA451A" w:rsidR="000D3251" w:rsidRDefault="000D3251" w14:paraId="6483C90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B2B18" w:rsidR="00FC4AED" w:rsidP="00FC4AED" w:rsidRDefault="00FC4AED" w14:paraId="2EC33CF3" w14:textId="77777777">
      <w:r>
        <w:t>There is no form or other collection instrument associated with this collection of information on which to display the OMB control number and expiration date</w:t>
      </w:r>
      <w:r w:rsidRPr="00CA451A" w:rsidR="000D3251">
        <w:t>.</w:t>
      </w:r>
      <w:r>
        <w:t xml:space="preserve"> That information, however, is available at </w:t>
      </w:r>
      <w:hyperlink w:history="1" r:id="rId12">
        <w:r w:rsidRPr="00F16C29">
          <w:rPr>
            <w:rStyle w:val="Hyperlink"/>
          </w:rPr>
          <w:t>www.reginfo.gov</w:t>
        </w:r>
      </w:hyperlink>
      <w:r>
        <w:t xml:space="preserve">. </w:t>
      </w:r>
    </w:p>
    <w:p w:rsidR="00365DEF" w:rsidRDefault="00365DEF" w14:paraId="13060D5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71CD4" w:rsidR="00471CD4" w:rsidP="00471CD4" w:rsidRDefault="00471CD4" w14:paraId="6A3AC5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71CD4">
        <w:rPr>
          <w:b/>
        </w:rPr>
        <w:t>18.</w:t>
      </w:r>
      <w:r w:rsidRPr="00471CD4">
        <w:rPr>
          <w:b/>
        </w:rPr>
        <w:tab/>
        <w:t>Explain each exception to the topics of the certification statement identified in "Certification for Paperwork Reduction Act Submissions."</w:t>
      </w:r>
    </w:p>
    <w:p w:rsidRPr="003A3BAD" w:rsidR="0053171D" w:rsidP="0053171D" w:rsidRDefault="0053171D" w14:paraId="6BB20C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6D43EC" w:rsidP="006D43EC" w:rsidRDefault="006D43EC" w14:paraId="289564AF" w14:textId="77777777">
      <w:r w:rsidRPr="00FB2B18">
        <w:t xml:space="preserve">There are no exceptions to the certification </w:t>
      </w:r>
      <w:r>
        <w:t>requirements outlined in 5 CFR 1320.9</w:t>
      </w:r>
      <w:r w:rsidRPr="00FB2B18">
        <w:t>.</w:t>
      </w:r>
    </w:p>
    <w:p w:rsidR="008D74D9" w:rsidP="006D43EC" w:rsidRDefault="008D74D9" w14:paraId="0644689E" w14:textId="77777777"/>
    <w:p w:rsidR="008D74D9" w:rsidP="006D43EC" w:rsidRDefault="008D74D9" w14:paraId="096E1D1D" w14:textId="77777777"/>
    <w:p w:rsidR="008D74D9" w:rsidP="006D43EC" w:rsidRDefault="008D74D9" w14:paraId="605F9F59" w14:textId="77777777"/>
    <w:p w:rsidR="008D74D9" w:rsidP="008D74D9" w:rsidRDefault="008D74D9" w14:paraId="4F7113EA" w14:textId="77777777">
      <w:pPr>
        <w:jc w:val="center"/>
      </w:pPr>
    </w:p>
    <w:p w:rsidR="008D74D9" w:rsidP="008D74D9" w:rsidRDefault="008D74D9" w14:paraId="4015D824" w14:textId="77777777">
      <w:pPr>
        <w:jc w:val="center"/>
      </w:pPr>
      <w:r>
        <w:t>###</w:t>
      </w:r>
    </w:p>
    <w:p w:rsidR="000D3251" w:rsidP="006D43EC" w:rsidRDefault="000D3251" w14:paraId="2111B8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Shruti" w:cs="Shruti"/>
        </w:rPr>
      </w:pPr>
    </w:p>
    <w:sectPr w:rsidR="000D3251" w:rsidSect="000D3251">
      <w:headerReference w:type="default" r:id="rId13"/>
      <w:footerReference w:type="default" r:id="rId1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0E368" w14:textId="77777777" w:rsidR="00D54931" w:rsidRDefault="00D54931">
      <w:r>
        <w:separator/>
      </w:r>
    </w:p>
  </w:endnote>
  <w:endnote w:type="continuationSeparator" w:id="0">
    <w:p w14:paraId="5EBF3CEA" w14:textId="77777777" w:rsidR="00D54931" w:rsidRDefault="00D5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D7D2B" w14:textId="77777777" w:rsidR="005F3BBE" w:rsidRDefault="005F3BBE">
    <w:pPr>
      <w:pStyle w:val="Footer"/>
      <w:jc w:val="center"/>
    </w:pPr>
    <w:r>
      <w:fldChar w:fldCharType="begin"/>
    </w:r>
    <w:r>
      <w:instrText xml:space="preserve"> PAGE   \* MERGEFORMAT </w:instrText>
    </w:r>
    <w:r>
      <w:fldChar w:fldCharType="separate"/>
    </w:r>
    <w:r w:rsidR="00F8061F">
      <w:rPr>
        <w:noProof/>
      </w:rPr>
      <w:t>1</w:t>
    </w:r>
    <w:r>
      <w:fldChar w:fldCharType="end"/>
    </w:r>
  </w:p>
  <w:p w14:paraId="5197B25D" w14:textId="77777777" w:rsidR="005F3BBE" w:rsidRDefault="005F3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54412" w14:textId="77777777" w:rsidR="00D54931" w:rsidRDefault="00D54931">
      <w:r>
        <w:separator/>
      </w:r>
    </w:p>
  </w:footnote>
  <w:footnote w:type="continuationSeparator" w:id="0">
    <w:p w14:paraId="65F99ADA" w14:textId="77777777" w:rsidR="00D54931" w:rsidRDefault="00D5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88C5B" w14:textId="77777777" w:rsidR="006949B5" w:rsidRDefault="006949B5" w:rsidP="006949B5">
    <w:pPr>
      <w:pStyle w:val="Header"/>
      <w:jc w:val="right"/>
    </w:pPr>
    <w:r>
      <w:t>30-day Federal Register</w:t>
    </w:r>
  </w:p>
  <w:p w14:paraId="5BAD615D" w14:textId="77777777" w:rsidR="00FD35AB" w:rsidRDefault="00FD35AB" w:rsidP="00FD35AB">
    <w:pPr>
      <w:pStyle w:val="Header"/>
      <w:jc w:val="right"/>
    </w:pPr>
    <w:r>
      <w:t>2021 Extension</w:t>
    </w:r>
  </w:p>
  <w:p w14:paraId="257D129D" w14:textId="77777777" w:rsidR="00FD35AB" w:rsidRDefault="00FD35AB" w:rsidP="006949B5">
    <w:pPr>
      <w:pStyle w:val="Header"/>
      <w:jc w:val="right"/>
    </w:pPr>
  </w:p>
  <w:p w14:paraId="4A3FE51B" w14:textId="77777777" w:rsidR="005F3BBE" w:rsidRDefault="005F3BB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617EB"/>
    <w:multiLevelType w:val="hybridMultilevel"/>
    <w:tmpl w:val="AC1E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75421"/>
    <w:multiLevelType w:val="hybridMultilevel"/>
    <w:tmpl w:val="8670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D71B7"/>
    <w:multiLevelType w:val="hybridMultilevel"/>
    <w:tmpl w:val="7A32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C62744"/>
    <w:multiLevelType w:val="hybridMultilevel"/>
    <w:tmpl w:val="3276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FF381C"/>
    <w:multiLevelType w:val="hybridMultilevel"/>
    <w:tmpl w:val="9B7E9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51"/>
    <w:rsid w:val="00000A7C"/>
    <w:rsid w:val="00007BEF"/>
    <w:rsid w:val="0001153F"/>
    <w:rsid w:val="000129AF"/>
    <w:rsid w:val="00013191"/>
    <w:rsid w:val="00013E57"/>
    <w:rsid w:val="00014220"/>
    <w:rsid w:val="0001598D"/>
    <w:rsid w:val="000223F3"/>
    <w:rsid w:val="00022CD5"/>
    <w:rsid w:val="00023349"/>
    <w:rsid w:val="00023CAA"/>
    <w:rsid w:val="00024151"/>
    <w:rsid w:val="000241CA"/>
    <w:rsid w:val="00026583"/>
    <w:rsid w:val="000314E9"/>
    <w:rsid w:val="000378A7"/>
    <w:rsid w:val="0004200E"/>
    <w:rsid w:val="000458A0"/>
    <w:rsid w:val="00045930"/>
    <w:rsid w:val="0005345C"/>
    <w:rsid w:val="00060888"/>
    <w:rsid w:val="00074D38"/>
    <w:rsid w:val="0008420F"/>
    <w:rsid w:val="000854EB"/>
    <w:rsid w:val="00085B25"/>
    <w:rsid w:val="00085D4C"/>
    <w:rsid w:val="00086993"/>
    <w:rsid w:val="00090822"/>
    <w:rsid w:val="00090C2F"/>
    <w:rsid w:val="000A0360"/>
    <w:rsid w:val="000A06A7"/>
    <w:rsid w:val="000A2618"/>
    <w:rsid w:val="000A2DE6"/>
    <w:rsid w:val="000A3DCB"/>
    <w:rsid w:val="000B04D2"/>
    <w:rsid w:val="000B172C"/>
    <w:rsid w:val="000B2ACE"/>
    <w:rsid w:val="000B7CA5"/>
    <w:rsid w:val="000C05A3"/>
    <w:rsid w:val="000C6126"/>
    <w:rsid w:val="000D233C"/>
    <w:rsid w:val="000D3251"/>
    <w:rsid w:val="000D3AAD"/>
    <w:rsid w:val="000D541C"/>
    <w:rsid w:val="000E28CD"/>
    <w:rsid w:val="000E35AC"/>
    <w:rsid w:val="000F295E"/>
    <w:rsid w:val="00103975"/>
    <w:rsid w:val="00104BC1"/>
    <w:rsid w:val="00107253"/>
    <w:rsid w:val="00114753"/>
    <w:rsid w:val="001147CE"/>
    <w:rsid w:val="00115F8F"/>
    <w:rsid w:val="001216B5"/>
    <w:rsid w:val="00130D0B"/>
    <w:rsid w:val="001667C2"/>
    <w:rsid w:val="00172538"/>
    <w:rsid w:val="00172A11"/>
    <w:rsid w:val="00175639"/>
    <w:rsid w:val="00185671"/>
    <w:rsid w:val="00192B54"/>
    <w:rsid w:val="001B10A7"/>
    <w:rsid w:val="001B3B47"/>
    <w:rsid w:val="001B3C5F"/>
    <w:rsid w:val="001B6611"/>
    <w:rsid w:val="001C277E"/>
    <w:rsid w:val="001C4A89"/>
    <w:rsid w:val="001C7AA5"/>
    <w:rsid w:val="001D1B5B"/>
    <w:rsid w:val="001D3480"/>
    <w:rsid w:val="001D3819"/>
    <w:rsid w:val="001D3DB6"/>
    <w:rsid w:val="001D4415"/>
    <w:rsid w:val="001D5510"/>
    <w:rsid w:val="001E314A"/>
    <w:rsid w:val="001E587E"/>
    <w:rsid w:val="001F52C8"/>
    <w:rsid w:val="00204566"/>
    <w:rsid w:val="00226F84"/>
    <w:rsid w:val="00236DBE"/>
    <w:rsid w:val="0023740D"/>
    <w:rsid w:val="00247C47"/>
    <w:rsid w:val="002506D4"/>
    <w:rsid w:val="002508D5"/>
    <w:rsid w:val="00252CEE"/>
    <w:rsid w:val="00254CDD"/>
    <w:rsid w:val="00260E55"/>
    <w:rsid w:val="002614A0"/>
    <w:rsid w:val="002627A9"/>
    <w:rsid w:val="00266796"/>
    <w:rsid w:val="002718CA"/>
    <w:rsid w:val="0027307F"/>
    <w:rsid w:val="00275987"/>
    <w:rsid w:val="00280BAA"/>
    <w:rsid w:val="00280C8B"/>
    <w:rsid w:val="00282517"/>
    <w:rsid w:val="0028687E"/>
    <w:rsid w:val="002917C6"/>
    <w:rsid w:val="00291865"/>
    <w:rsid w:val="00293029"/>
    <w:rsid w:val="002A2FEF"/>
    <w:rsid w:val="002A624B"/>
    <w:rsid w:val="002B2590"/>
    <w:rsid w:val="002B2919"/>
    <w:rsid w:val="002B58C8"/>
    <w:rsid w:val="002B5C09"/>
    <w:rsid w:val="002C1287"/>
    <w:rsid w:val="002C642C"/>
    <w:rsid w:val="002D5483"/>
    <w:rsid w:val="002D5BE2"/>
    <w:rsid w:val="002E2459"/>
    <w:rsid w:val="002E440B"/>
    <w:rsid w:val="002F19F8"/>
    <w:rsid w:val="002F2731"/>
    <w:rsid w:val="002F67E8"/>
    <w:rsid w:val="002F7CCC"/>
    <w:rsid w:val="00301932"/>
    <w:rsid w:val="00305EF1"/>
    <w:rsid w:val="00306C6C"/>
    <w:rsid w:val="00307CF8"/>
    <w:rsid w:val="00310D83"/>
    <w:rsid w:val="003116B8"/>
    <w:rsid w:val="00311C56"/>
    <w:rsid w:val="00312DEA"/>
    <w:rsid w:val="00315FFE"/>
    <w:rsid w:val="0032091E"/>
    <w:rsid w:val="0032174C"/>
    <w:rsid w:val="003230E7"/>
    <w:rsid w:val="0032620D"/>
    <w:rsid w:val="0032705C"/>
    <w:rsid w:val="00336A28"/>
    <w:rsid w:val="00340D1B"/>
    <w:rsid w:val="00341901"/>
    <w:rsid w:val="003426D7"/>
    <w:rsid w:val="00342EB4"/>
    <w:rsid w:val="00342F88"/>
    <w:rsid w:val="00346F87"/>
    <w:rsid w:val="0034763A"/>
    <w:rsid w:val="003549A5"/>
    <w:rsid w:val="00355382"/>
    <w:rsid w:val="003564C4"/>
    <w:rsid w:val="003616FE"/>
    <w:rsid w:val="00363107"/>
    <w:rsid w:val="00364E86"/>
    <w:rsid w:val="00365DEF"/>
    <w:rsid w:val="00372220"/>
    <w:rsid w:val="0037276E"/>
    <w:rsid w:val="00373169"/>
    <w:rsid w:val="003801C5"/>
    <w:rsid w:val="003825B0"/>
    <w:rsid w:val="00391B18"/>
    <w:rsid w:val="00397817"/>
    <w:rsid w:val="00397A21"/>
    <w:rsid w:val="00397B07"/>
    <w:rsid w:val="003A37C2"/>
    <w:rsid w:val="003A6E1F"/>
    <w:rsid w:val="003C1FE4"/>
    <w:rsid w:val="003C68A8"/>
    <w:rsid w:val="003C7189"/>
    <w:rsid w:val="003D5DA0"/>
    <w:rsid w:val="003D7DB7"/>
    <w:rsid w:val="003E0080"/>
    <w:rsid w:val="003E22F9"/>
    <w:rsid w:val="003F01DB"/>
    <w:rsid w:val="003F4174"/>
    <w:rsid w:val="003F4334"/>
    <w:rsid w:val="003F4339"/>
    <w:rsid w:val="00401F5F"/>
    <w:rsid w:val="00403745"/>
    <w:rsid w:val="004048BC"/>
    <w:rsid w:val="00407D51"/>
    <w:rsid w:val="00410531"/>
    <w:rsid w:val="00413ECB"/>
    <w:rsid w:val="00414858"/>
    <w:rsid w:val="00420DD7"/>
    <w:rsid w:val="00422222"/>
    <w:rsid w:val="00426ACC"/>
    <w:rsid w:val="004305BB"/>
    <w:rsid w:val="0044045B"/>
    <w:rsid w:val="004421F1"/>
    <w:rsid w:val="0044444B"/>
    <w:rsid w:val="0044465C"/>
    <w:rsid w:val="00444C60"/>
    <w:rsid w:val="004463F7"/>
    <w:rsid w:val="00450E47"/>
    <w:rsid w:val="00451072"/>
    <w:rsid w:val="004522C6"/>
    <w:rsid w:val="00456F38"/>
    <w:rsid w:val="00457F55"/>
    <w:rsid w:val="00461B55"/>
    <w:rsid w:val="00463E24"/>
    <w:rsid w:val="00464F62"/>
    <w:rsid w:val="0046525D"/>
    <w:rsid w:val="004662B2"/>
    <w:rsid w:val="00471CD4"/>
    <w:rsid w:val="0047610C"/>
    <w:rsid w:val="00481041"/>
    <w:rsid w:val="00483509"/>
    <w:rsid w:val="00486BCA"/>
    <w:rsid w:val="00490D6B"/>
    <w:rsid w:val="004928BB"/>
    <w:rsid w:val="00496F71"/>
    <w:rsid w:val="004A1B59"/>
    <w:rsid w:val="004A572E"/>
    <w:rsid w:val="004B1D48"/>
    <w:rsid w:val="004B482F"/>
    <w:rsid w:val="004C26EB"/>
    <w:rsid w:val="004C2EAC"/>
    <w:rsid w:val="004C32D8"/>
    <w:rsid w:val="004C543A"/>
    <w:rsid w:val="004D0723"/>
    <w:rsid w:val="004E3C80"/>
    <w:rsid w:val="004E708C"/>
    <w:rsid w:val="004F265A"/>
    <w:rsid w:val="004F32B0"/>
    <w:rsid w:val="004F33FC"/>
    <w:rsid w:val="004F5945"/>
    <w:rsid w:val="004F5C4E"/>
    <w:rsid w:val="00501204"/>
    <w:rsid w:val="00502525"/>
    <w:rsid w:val="00502689"/>
    <w:rsid w:val="00505FE2"/>
    <w:rsid w:val="0051342B"/>
    <w:rsid w:val="0051420E"/>
    <w:rsid w:val="00515598"/>
    <w:rsid w:val="005268D2"/>
    <w:rsid w:val="0053171D"/>
    <w:rsid w:val="00535E85"/>
    <w:rsid w:val="005417BC"/>
    <w:rsid w:val="00544B6F"/>
    <w:rsid w:val="00551E5C"/>
    <w:rsid w:val="00570200"/>
    <w:rsid w:val="00570F7C"/>
    <w:rsid w:val="005752E5"/>
    <w:rsid w:val="005850C9"/>
    <w:rsid w:val="005910FB"/>
    <w:rsid w:val="00592914"/>
    <w:rsid w:val="005A7018"/>
    <w:rsid w:val="005B2E2C"/>
    <w:rsid w:val="005C273F"/>
    <w:rsid w:val="005C3F57"/>
    <w:rsid w:val="005C58C0"/>
    <w:rsid w:val="005D0256"/>
    <w:rsid w:val="005E1167"/>
    <w:rsid w:val="005E646B"/>
    <w:rsid w:val="005F3BBE"/>
    <w:rsid w:val="0060293B"/>
    <w:rsid w:val="00607BD1"/>
    <w:rsid w:val="00641D2B"/>
    <w:rsid w:val="006436A1"/>
    <w:rsid w:val="00644582"/>
    <w:rsid w:val="006501A7"/>
    <w:rsid w:val="00651A94"/>
    <w:rsid w:val="0065524D"/>
    <w:rsid w:val="00661479"/>
    <w:rsid w:val="00673425"/>
    <w:rsid w:val="0067570F"/>
    <w:rsid w:val="006801C9"/>
    <w:rsid w:val="00680C81"/>
    <w:rsid w:val="006839F5"/>
    <w:rsid w:val="006847FD"/>
    <w:rsid w:val="00684972"/>
    <w:rsid w:val="00685021"/>
    <w:rsid w:val="006854AE"/>
    <w:rsid w:val="006903A7"/>
    <w:rsid w:val="006949B5"/>
    <w:rsid w:val="006B0162"/>
    <w:rsid w:val="006B20A6"/>
    <w:rsid w:val="006B21F1"/>
    <w:rsid w:val="006B3366"/>
    <w:rsid w:val="006C141E"/>
    <w:rsid w:val="006C19E5"/>
    <w:rsid w:val="006C5B1D"/>
    <w:rsid w:val="006C7DBB"/>
    <w:rsid w:val="006D0B43"/>
    <w:rsid w:val="006D0F6B"/>
    <w:rsid w:val="006D43EC"/>
    <w:rsid w:val="006E1104"/>
    <w:rsid w:val="006E29B8"/>
    <w:rsid w:val="006E4720"/>
    <w:rsid w:val="006E4CBB"/>
    <w:rsid w:val="006E5143"/>
    <w:rsid w:val="006E6C22"/>
    <w:rsid w:val="006E7E46"/>
    <w:rsid w:val="006F10F3"/>
    <w:rsid w:val="006F4EE0"/>
    <w:rsid w:val="006F705A"/>
    <w:rsid w:val="0070024D"/>
    <w:rsid w:val="00702CBA"/>
    <w:rsid w:val="00705800"/>
    <w:rsid w:val="00706908"/>
    <w:rsid w:val="007166AA"/>
    <w:rsid w:val="00716B08"/>
    <w:rsid w:val="007308A9"/>
    <w:rsid w:val="0073202C"/>
    <w:rsid w:val="00736CDD"/>
    <w:rsid w:val="00740327"/>
    <w:rsid w:val="007419FF"/>
    <w:rsid w:val="00744304"/>
    <w:rsid w:val="00744C78"/>
    <w:rsid w:val="00744E86"/>
    <w:rsid w:val="007530EB"/>
    <w:rsid w:val="0075443A"/>
    <w:rsid w:val="00754F7D"/>
    <w:rsid w:val="00755D3F"/>
    <w:rsid w:val="007614CD"/>
    <w:rsid w:val="00774270"/>
    <w:rsid w:val="0078084F"/>
    <w:rsid w:val="00782ADC"/>
    <w:rsid w:val="007846CA"/>
    <w:rsid w:val="00792757"/>
    <w:rsid w:val="00797974"/>
    <w:rsid w:val="007A2981"/>
    <w:rsid w:val="007A3F64"/>
    <w:rsid w:val="007A5CEB"/>
    <w:rsid w:val="007B6643"/>
    <w:rsid w:val="007B7A24"/>
    <w:rsid w:val="007C3492"/>
    <w:rsid w:val="007C59DD"/>
    <w:rsid w:val="007C7CD2"/>
    <w:rsid w:val="007D1C55"/>
    <w:rsid w:val="007D4120"/>
    <w:rsid w:val="007D77BD"/>
    <w:rsid w:val="007E063F"/>
    <w:rsid w:val="007E672E"/>
    <w:rsid w:val="007E772A"/>
    <w:rsid w:val="007F152F"/>
    <w:rsid w:val="007F4D3D"/>
    <w:rsid w:val="007F7478"/>
    <w:rsid w:val="007F7DCC"/>
    <w:rsid w:val="00801692"/>
    <w:rsid w:val="0080302E"/>
    <w:rsid w:val="00815B6A"/>
    <w:rsid w:val="008201A1"/>
    <w:rsid w:val="00822BB3"/>
    <w:rsid w:val="00825004"/>
    <w:rsid w:val="00826CE7"/>
    <w:rsid w:val="00835D65"/>
    <w:rsid w:val="008364B0"/>
    <w:rsid w:val="0083666A"/>
    <w:rsid w:val="008473F4"/>
    <w:rsid w:val="00853CD4"/>
    <w:rsid w:val="00854FC8"/>
    <w:rsid w:val="0087735D"/>
    <w:rsid w:val="00882E02"/>
    <w:rsid w:val="008857D1"/>
    <w:rsid w:val="00896F46"/>
    <w:rsid w:val="008A0817"/>
    <w:rsid w:val="008A4616"/>
    <w:rsid w:val="008B537C"/>
    <w:rsid w:val="008C0473"/>
    <w:rsid w:val="008C0F8C"/>
    <w:rsid w:val="008C30E5"/>
    <w:rsid w:val="008C40B3"/>
    <w:rsid w:val="008C615D"/>
    <w:rsid w:val="008D5A6B"/>
    <w:rsid w:val="008D5CE7"/>
    <w:rsid w:val="008D74D9"/>
    <w:rsid w:val="008E2DA1"/>
    <w:rsid w:val="008F0078"/>
    <w:rsid w:val="008F048F"/>
    <w:rsid w:val="008F0742"/>
    <w:rsid w:val="008F11D2"/>
    <w:rsid w:val="008F3313"/>
    <w:rsid w:val="008F5CDD"/>
    <w:rsid w:val="00907294"/>
    <w:rsid w:val="0091233D"/>
    <w:rsid w:val="009161F1"/>
    <w:rsid w:val="00916335"/>
    <w:rsid w:val="00921FC7"/>
    <w:rsid w:val="00923F8A"/>
    <w:rsid w:val="0092407D"/>
    <w:rsid w:val="00925993"/>
    <w:rsid w:val="00926267"/>
    <w:rsid w:val="00936FEC"/>
    <w:rsid w:val="00941126"/>
    <w:rsid w:val="0094116E"/>
    <w:rsid w:val="009475A0"/>
    <w:rsid w:val="00953296"/>
    <w:rsid w:val="0095755B"/>
    <w:rsid w:val="009668DE"/>
    <w:rsid w:val="0097177E"/>
    <w:rsid w:val="00971F0D"/>
    <w:rsid w:val="00973929"/>
    <w:rsid w:val="00974732"/>
    <w:rsid w:val="009758AB"/>
    <w:rsid w:val="00981FFA"/>
    <w:rsid w:val="00984C61"/>
    <w:rsid w:val="00986288"/>
    <w:rsid w:val="009900FC"/>
    <w:rsid w:val="009A15D5"/>
    <w:rsid w:val="009A1AFE"/>
    <w:rsid w:val="009A7509"/>
    <w:rsid w:val="009B232E"/>
    <w:rsid w:val="009B243A"/>
    <w:rsid w:val="009C16BB"/>
    <w:rsid w:val="009C228E"/>
    <w:rsid w:val="009D0B04"/>
    <w:rsid w:val="009D435C"/>
    <w:rsid w:val="009D44AE"/>
    <w:rsid w:val="009D6E6A"/>
    <w:rsid w:val="009D7386"/>
    <w:rsid w:val="009E70A0"/>
    <w:rsid w:val="009F1711"/>
    <w:rsid w:val="009F38F3"/>
    <w:rsid w:val="009F4186"/>
    <w:rsid w:val="009F5FB2"/>
    <w:rsid w:val="009F771C"/>
    <w:rsid w:val="009F7F54"/>
    <w:rsid w:val="00A011D9"/>
    <w:rsid w:val="00A037E2"/>
    <w:rsid w:val="00A03A3A"/>
    <w:rsid w:val="00A11D00"/>
    <w:rsid w:val="00A12C80"/>
    <w:rsid w:val="00A15B8E"/>
    <w:rsid w:val="00A21D75"/>
    <w:rsid w:val="00A24D2B"/>
    <w:rsid w:val="00A25688"/>
    <w:rsid w:val="00A30E0E"/>
    <w:rsid w:val="00A31CE4"/>
    <w:rsid w:val="00A35E68"/>
    <w:rsid w:val="00A361B5"/>
    <w:rsid w:val="00A4326F"/>
    <w:rsid w:val="00A43B1F"/>
    <w:rsid w:val="00A43D19"/>
    <w:rsid w:val="00A472CD"/>
    <w:rsid w:val="00A55464"/>
    <w:rsid w:val="00A61FE8"/>
    <w:rsid w:val="00A65CBA"/>
    <w:rsid w:val="00A65D3B"/>
    <w:rsid w:val="00A72F9D"/>
    <w:rsid w:val="00A74EA6"/>
    <w:rsid w:val="00A76A6F"/>
    <w:rsid w:val="00A839A7"/>
    <w:rsid w:val="00A841B5"/>
    <w:rsid w:val="00A956BF"/>
    <w:rsid w:val="00AA34E5"/>
    <w:rsid w:val="00AA5194"/>
    <w:rsid w:val="00AA6119"/>
    <w:rsid w:val="00AB07FC"/>
    <w:rsid w:val="00AB4F62"/>
    <w:rsid w:val="00AB74E5"/>
    <w:rsid w:val="00AD0183"/>
    <w:rsid w:val="00AD1645"/>
    <w:rsid w:val="00AD1DFA"/>
    <w:rsid w:val="00AD2B49"/>
    <w:rsid w:val="00AE680D"/>
    <w:rsid w:val="00B01BA9"/>
    <w:rsid w:val="00B07795"/>
    <w:rsid w:val="00B1142E"/>
    <w:rsid w:val="00B159CE"/>
    <w:rsid w:val="00B21A57"/>
    <w:rsid w:val="00B223A0"/>
    <w:rsid w:val="00B30A13"/>
    <w:rsid w:val="00B45476"/>
    <w:rsid w:val="00B46E04"/>
    <w:rsid w:val="00B60690"/>
    <w:rsid w:val="00B663CA"/>
    <w:rsid w:val="00B66990"/>
    <w:rsid w:val="00B70394"/>
    <w:rsid w:val="00B80311"/>
    <w:rsid w:val="00B9246A"/>
    <w:rsid w:val="00B92B74"/>
    <w:rsid w:val="00BA07C3"/>
    <w:rsid w:val="00BA2833"/>
    <w:rsid w:val="00BA3623"/>
    <w:rsid w:val="00BA5179"/>
    <w:rsid w:val="00BB4736"/>
    <w:rsid w:val="00BB6731"/>
    <w:rsid w:val="00BD5B93"/>
    <w:rsid w:val="00BD626D"/>
    <w:rsid w:val="00BD6B1D"/>
    <w:rsid w:val="00BD7522"/>
    <w:rsid w:val="00BE0A23"/>
    <w:rsid w:val="00BE1745"/>
    <w:rsid w:val="00BE1E63"/>
    <w:rsid w:val="00BE1E76"/>
    <w:rsid w:val="00BE2381"/>
    <w:rsid w:val="00C023D6"/>
    <w:rsid w:val="00C03AE4"/>
    <w:rsid w:val="00C04B89"/>
    <w:rsid w:val="00C054CB"/>
    <w:rsid w:val="00C10687"/>
    <w:rsid w:val="00C11D2F"/>
    <w:rsid w:val="00C1403F"/>
    <w:rsid w:val="00C1407F"/>
    <w:rsid w:val="00C173F1"/>
    <w:rsid w:val="00C27BEC"/>
    <w:rsid w:val="00C309E1"/>
    <w:rsid w:val="00C30AFD"/>
    <w:rsid w:val="00C4671E"/>
    <w:rsid w:val="00C503BA"/>
    <w:rsid w:val="00C509C0"/>
    <w:rsid w:val="00C517AC"/>
    <w:rsid w:val="00C52ECB"/>
    <w:rsid w:val="00C53E7C"/>
    <w:rsid w:val="00C54EA1"/>
    <w:rsid w:val="00C6681B"/>
    <w:rsid w:val="00C702ED"/>
    <w:rsid w:val="00C72164"/>
    <w:rsid w:val="00C72277"/>
    <w:rsid w:val="00C74472"/>
    <w:rsid w:val="00C87BEE"/>
    <w:rsid w:val="00C91FEF"/>
    <w:rsid w:val="00CA451A"/>
    <w:rsid w:val="00CA6A7A"/>
    <w:rsid w:val="00CB1B4D"/>
    <w:rsid w:val="00CB217B"/>
    <w:rsid w:val="00CB4377"/>
    <w:rsid w:val="00CC036C"/>
    <w:rsid w:val="00CC4FB2"/>
    <w:rsid w:val="00CC5913"/>
    <w:rsid w:val="00CC6356"/>
    <w:rsid w:val="00CC77AA"/>
    <w:rsid w:val="00CE0294"/>
    <w:rsid w:val="00CE25AE"/>
    <w:rsid w:val="00CE3DED"/>
    <w:rsid w:val="00CE51A3"/>
    <w:rsid w:val="00CE5721"/>
    <w:rsid w:val="00CF2635"/>
    <w:rsid w:val="00CF754A"/>
    <w:rsid w:val="00D00DFF"/>
    <w:rsid w:val="00D028C9"/>
    <w:rsid w:val="00D13710"/>
    <w:rsid w:val="00D14118"/>
    <w:rsid w:val="00D2359E"/>
    <w:rsid w:val="00D2505F"/>
    <w:rsid w:val="00D25EDF"/>
    <w:rsid w:val="00D30AF4"/>
    <w:rsid w:val="00D37BD5"/>
    <w:rsid w:val="00D40722"/>
    <w:rsid w:val="00D4459B"/>
    <w:rsid w:val="00D44AAD"/>
    <w:rsid w:val="00D51119"/>
    <w:rsid w:val="00D522D4"/>
    <w:rsid w:val="00D54931"/>
    <w:rsid w:val="00D55750"/>
    <w:rsid w:val="00D56770"/>
    <w:rsid w:val="00D57F5F"/>
    <w:rsid w:val="00D66B34"/>
    <w:rsid w:val="00D670D9"/>
    <w:rsid w:val="00D67E40"/>
    <w:rsid w:val="00D72799"/>
    <w:rsid w:val="00D747CE"/>
    <w:rsid w:val="00D75FB3"/>
    <w:rsid w:val="00D76795"/>
    <w:rsid w:val="00D775F3"/>
    <w:rsid w:val="00D80229"/>
    <w:rsid w:val="00D809A3"/>
    <w:rsid w:val="00D92D59"/>
    <w:rsid w:val="00D96542"/>
    <w:rsid w:val="00D974BF"/>
    <w:rsid w:val="00DA27F2"/>
    <w:rsid w:val="00DB3525"/>
    <w:rsid w:val="00DB414E"/>
    <w:rsid w:val="00DB4B94"/>
    <w:rsid w:val="00DC2CCE"/>
    <w:rsid w:val="00DC2F49"/>
    <w:rsid w:val="00DC750B"/>
    <w:rsid w:val="00DE5224"/>
    <w:rsid w:val="00DF1AAC"/>
    <w:rsid w:val="00DF45F4"/>
    <w:rsid w:val="00DF5E36"/>
    <w:rsid w:val="00E002D8"/>
    <w:rsid w:val="00E02CF0"/>
    <w:rsid w:val="00E04DEC"/>
    <w:rsid w:val="00E1263F"/>
    <w:rsid w:val="00E1353F"/>
    <w:rsid w:val="00E143BB"/>
    <w:rsid w:val="00E15A2F"/>
    <w:rsid w:val="00E17CB5"/>
    <w:rsid w:val="00E20614"/>
    <w:rsid w:val="00E21104"/>
    <w:rsid w:val="00E2186A"/>
    <w:rsid w:val="00E22460"/>
    <w:rsid w:val="00E2562B"/>
    <w:rsid w:val="00E30419"/>
    <w:rsid w:val="00E3629D"/>
    <w:rsid w:val="00E36F40"/>
    <w:rsid w:val="00E41FC1"/>
    <w:rsid w:val="00E47B89"/>
    <w:rsid w:val="00E55F06"/>
    <w:rsid w:val="00E67CE4"/>
    <w:rsid w:val="00E737DB"/>
    <w:rsid w:val="00E80283"/>
    <w:rsid w:val="00E83361"/>
    <w:rsid w:val="00E87AD6"/>
    <w:rsid w:val="00E911A5"/>
    <w:rsid w:val="00E924E0"/>
    <w:rsid w:val="00EB1B22"/>
    <w:rsid w:val="00EB2202"/>
    <w:rsid w:val="00EB2A07"/>
    <w:rsid w:val="00EB4F42"/>
    <w:rsid w:val="00EC2E0C"/>
    <w:rsid w:val="00EC3363"/>
    <w:rsid w:val="00EC4029"/>
    <w:rsid w:val="00ED7A0F"/>
    <w:rsid w:val="00EE085A"/>
    <w:rsid w:val="00EE0FD9"/>
    <w:rsid w:val="00EE54D5"/>
    <w:rsid w:val="00EE59DF"/>
    <w:rsid w:val="00EE75F7"/>
    <w:rsid w:val="00EF35E0"/>
    <w:rsid w:val="00EF453F"/>
    <w:rsid w:val="00EF754F"/>
    <w:rsid w:val="00F17227"/>
    <w:rsid w:val="00F262CB"/>
    <w:rsid w:val="00F26E8B"/>
    <w:rsid w:val="00F44A76"/>
    <w:rsid w:val="00F50934"/>
    <w:rsid w:val="00F54A51"/>
    <w:rsid w:val="00F55B17"/>
    <w:rsid w:val="00F6465A"/>
    <w:rsid w:val="00F6745D"/>
    <w:rsid w:val="00F73922"/>
    <w:rsid w:val="00F74EFB"/>
    <w:rsid w:val="00F75C77"/>
    <w:rsid w:val="00F75ECD"/>
    <w:rsid w:val="00F77233"/>
    <w:rsid w:val="00F77651"/>
    <w:rsid w:val="00F8061F"/>
    <w:rsid w:val="00F910C7"/>
    <w:rsid w:val="00F92C76"/>
    <w:rsid w:val="00F93B8B"/>
    <w:rsid w:val="00FA4DB5"/>
    <w:rsid w:val="00FB0C9F"/>
    <w:rsid w:val="00FB74E0"/>
    <w:rsid w:val="00FC4AED"/>
    <w:rsid w:val="00FC519F"/>
    <w:rsid w:val="00FC5D14"/>
    <w:rsid w:val="00FC7924"/>
    <w:rsid w:val="00FD0560"/>
    <w:rsid w:val="00FD2AD2"/>
    <w:rsid w:val="00FD2E36"/>
    <w:rsid w:val="00FD35AB"/>
    <w:rsid w:val="00FD41DB"/>
    <w:rsid w:val="00FD5504"/>
    <w:rsid w:val="00FE4947"/>
    <w:rsid w:val="00FE5D23"/>
    <w:rsid w:val="00FF02CD"/>
    <w:rsid w:val="00FF5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F28EB3"/>
  <w15:chartTrackingRefBased/>
  <w15:docId w15:val="{07A48859-499D-4275-92E5-FD03ADAA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2CD5"/>
    <w:pPr>
      <w:widowControl w:val="0"/>
      <w:autoSpaceDE w:val="0"/>
      <w:autoSpaceDN w:val="0"/>
      <w:adjustRightInd w:val="0"/>
    </w:pPr>
    <w:rPr>
      <w:sz w:val="24"/>
      <w:szCs w:val="24"/>
    </w:rPr>
  </w:style>
  <w:style w:type="paragraph" w:styleId="Heading4">
    <w:name w:val="heading 4"/>
    <w:basedOn w:val="Normal"/>
    <w:next w:val="Normal"/>
    <w:qFormat/>
    <w:rsid w:val="00FF02C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22CD5"/>
  </w:style>
  <w:style w:type="paragraph" w:styleId="BalloonText">
    <w:name w:val="Balloon Text"/>
    <w:basedOn w:val="Normal"/>
    <w:semiHidden/>
    <w:rsid w:val="00CA451A"/>
    <w:rPr>
      <w:rFonts w:ascii="Tahoma" w:hAnsi="Tahoma" w:cs="Tahoma"/>
      <w:sz w:val="16"/>
      <w:szCs w:val="16"/>
    </w:rPr>
  </w:style>
  <w:style w:type="table" w:styleId="TableGrid">
    <w:name w:val="Table Grid"/>
    <w:basedOn w:val="TableNormal"/>
    <w:rsid w:val="00461B5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D59"/>
    <w:rPr>
      <w:color w:val="0000FF"/>
      <w:u w:val="single"/>
    </w:rPr>
  </w:style>
  <w:style w:type="character" w:styleId="CommentReference">
    <w:name w:val="annotation reference"/>
    <w:uiPriority w:val="99"/>
    <w:rsid w:val="00A25688"/>
    <w:rPr>
      <w:sz w:val="16"/>
      <w:szCs w:val="16"/>
    </w:rPr>
  </w:style>
  <w:style w:type="paragraph" w:styleId="CommentText">
    <w:name w:val="annotation text"/>
    <w:basedOn w:val="Normal"/>
    <w:link w:val="CommentTextChar"/>
    <w:uiPriority w:val="99"/>
    <w:rsid w:val="00A25688"/>
    <w:rPr>
      <w:sz w:val="20"/>
      <w:szCs w:val="20"/>
    </w:rPr>
  </w:style>
  <w:style w:type="paragraph" w:styleId="CommentSubject">
    <w:name w:val="annotation subject"/>
    <w:basedOn w:val="CommentText"/>
    <w:next w:val="CommentText"/>
    <w:semiHidden/>
    <w:rsid w:val="00A25688"/>
    <w:rPr>
      <w:b/>
      <w:bCs/>
    </w:rPr>
  </w:style>
  <w:style w:type="paragraph" w:styleId="Header">
    <w:name w:val="header"/>
    <w:basedOn w:val="Normal"/>
    <w:link w:val="HeaderChar"/>
    <w:uiPriority w:val="99"/>
    <w:rsid w:val="00C87BEE"/>
    <w:pPr>
      <w:tabs>
        <w:tab w:val="center" w:pos="4680"/>
        <w:tab w:val="right" w:pos="9360"/>
      </w:tabs>
    </w:pPr>
  </w:style>
  <w:style w:type="character" w:customStyle="1" w:styleId="HeaderChar">
    <w:name w:val="Header Char"/>
    <w:link w:val="Header"/>
    <w:uiPriority w:val="99"/>
    <w:rsid w:val="00C87BEE"/>
    <w:rPr>
      <w:sz w:val="24"/>
      <w:szCs w:val="24"/>
    </w:rPr>
  </w:style>
  <w:style w:type="paragraph" w:styleId="Footer">
    <w:name w:val="footer"/>
    <w:basedOn w:val="Normal"/>
    <w:link w:val="FooterChar"/>
    <w:uiPriority w:val="99"/>
    <w:rsid w:val="00C87BEE"/>
    <w:pPr>
      <w:tabs>
        <w:tab w:val="center" w:pos="4680"/>
        <w:tab w:val="right" w:pos="9360"/>
      </w:tabs>
    </w:pPr>
  </w:style>
  <w:style w:type="character" w:customStyle="1" w:styleId="FooterChar">
    <w:name w:val="Footer Char"/>
    <w:link w:val="Footer"/>
    <w:uiPriority w:val="99"/>
    <w:rsid w:val="00C87BEE"/>
    <w:rPr>
      <w:sz w:val="24"/>
      <w:szCs w:val="24"/>
    </w:rPr>
  </w:style>
  <w:style w:type="paragraph" w:styleId="NormalWeb">
    <w:name w:val="Normal (Web)"/>
    <w:basedOn w:val="Normal"/>
    <w:uiPriority w:val="99"/>
    <w:unhideWhenUsed/>
    <w:rsid w:val="00E1263F"/>
    <w:pPr>
      <w:widowControl/>
      <w:autoSpaceDE/>
      <w:autoSpaceDN/>
      <w:adjustRightInd/>
      <w:spacing w:before="100" w:beforeAutospacing="1" w:after="100" w:afterAutospacing="1"/>
    </w:pPr>
  </w:style>
  <w:style w:type="paragraph" w:styleId="ListParagraph">
    <w:name w:val="List Paragraph"/>
    <w:basedOn w:val="Normal"/>
    <w:uiPriority w:val="34"/>
    <w:qFormat/>
    <w:rsid w:val="00FB0C9F"/>
    <w:pPr>
      <w:ind w:left="720"/>
    </w:pPr>
  </w:style>
  <w:style w:type="paragraph" w:customStyle="1" w:styleId="Default">
    <w:name w:val="Default"/>
    <w:rsid w:val="00E67CE4"/>
    <w:pPr>
      <w:autoSpaceDE w:val="0"/>
      <w:autoSpaceDN w:val="0"/>
      <w:adjustRightInd w:val="0"/>
    </w:pPr>
    <w:rPr>
      <w:rFonts w:eastAsia="Calibri"/>
      <w:color w:val="000000"/>
      <w:sz w:val="24"/>
      <w:szCs w:val="24"/>
    </w:rPr>
  </w:style>
  <w:style w:type="character" w:customStyle="1" w:styleId="CommentTextChar">
    <w:name w:val="Comment Text Char"/>
    <w:basedOn w:val="DefaultParagraphFont"/>
    <w:link w:val="CommentText"/>
    <w:uiPriority w:val="99"/>
    <w:rsid w:val="004B482F"/>
  </w:style>
  <w:style w:type="character" w:styleId="FollowedHyperlink">
    <w:name w:val="FollowedHyperlink"/>
    <w:rsid w:val="00A74EA6"/>
    <w:rPr>
      <w:color w:val="800080"/>
      <w:u w:val="single"/>
    </w:rPr>
  </w:style>
  <w:style w:type="paragraph" w:styleId="FootnoteText">
    <w:name w:val="footnote text"/>
    <w:basedOn w:val="Normal"/>
    <w:link w:val="FootnoteTextChar"/>
    <w:rsid w:val="00CE5721"/>
    <w:pPr>
      <w:widowControl/>
      <w:autoSpaceDE/>
      <w:autoSpaceDN/>
      <w:adjustRightInd/>
      <w:spacing w:after="200" w:line="276" w:lineRule="auto"/>
    </w:pPr>
    <w:rPr>
      <w:rFonts w:ascii="Calibri" w:eastAsia="Calibri" w:hAnsi="Calibri"/>
      <w:sz w:val="20"/>
      <w:szCs w:val="20"/>
      <w:lang w:bidi="en-US"/>
    </w:rPr>
  </w:style>
  <w:style w:type="character" w:customStyle="1" w:styleId="FootnoteTextChar">
    <w:name w:val="Footnote Text Char"/>
    <w:link w:val="FootnoteText"/>
    <w:rsid w:val="00CE5721"/>
    <w:rPr>
      <w:rFonts w:ascii="Calibri" w:eastAsia="Calibri" w:hAnsi="Calibri"/>
      <w:lang w:bidi="en-US"/>
    </w:rPr>
  </w:style>
  <w:style w:type="paragraph" w:styleId="PlainText">
    <w:name w:val="Plain Text"/>
    <w:basedOn w:val="Normal"/>
    <w:link w:val="PlainTextChar"/>
    <w:rsid w:val="00444C60"/>
    <w:pPr>
      <w:widowControl/>
      <w:autoSpaceDE/>
      <w:autoSpaceDN/>
      <w:adjustRightInd/>
    </w:pPr>
    <w:rPr>
      <w:rFonts w:ascii="Courier New" w:hAnsi="Courier New" w:cs="Courier New"/>
      <w:sz w:val="20"/>
      <w:szCs w:val="20"/>
    </w:rPr>
  </w:style>
  <w:style w:type="character" w:customStyle="1" w:styleId="PlainTextChar">
    <w:name w:val="Plain Text Char"/>
    <w:link w:val="PlainText"/>
    <w:rsid w:val="00444C60"/>
    <w:rPr>
      <w:rFonts w:ascii="Courier New" w:hAnsi="Courier New" w:cs="Courier New"/>
    </w:rPr>
  </w:style>
  <w:style w:type="character" w:styleId="UnresolvedMention">
    <w:name w:val="Unresolved Mention"/>
    <w:uiPriority w:val="99"/>
    <w:semiHidden/>
    <w:unhideWhenUsed/>
    <w:rsid w:val="00E17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371607">
      <w:bodyDiv w:val="1"/>
      <w:marLeft w:val="0"/>
      <w:marRight w:val="0"/>
      <w:marTop w:val="0"/>
      <w:marBottom w:val="0"/>
      <w:divBdr>
        <w:top w:val="none" w:sz="0" w:space="0" w:color="auto"/>
        <w:left w:val="none" w:sz="0" w:space="0" w:color="auto"/>
        <w:bottom w:val="none" w:sz="0" w:space="0" w:color="auto"/>
        <w:right w:val="none" w:sz="0" w:space="0" w:color="auto"/>
      </w:divBdr>
      <w:divsChild>
        <w:div w:id="21055614">
          <w:marLeft w:val="0"/>
          <w:marRight w:val="0"/>
          <w:marTop w:val="0"/>
          <w:marBottom w:val="0"/>
          <w:divBdr>
            <w:top w:val="none" w:sz="0" w:space="0" w:color="auto"/>
            <w:left w:val="none" w:sz="0" w:space="0" w:color="auto"/>
            <w:bottom w:val="none" w:sz="0" w:space="0" w:color="auto"/>
            <w:right w:val="none" w:sz="0" w:space="0" w:color="auto"/>
          </w:divBdr>
          <w:divsChild>
            <w:div w:id="4093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924">
      <w:bodyDiv w:val="1"/>
      <w:marLeft w:val="0"/>
      <w:marRight w:val="0"/>
      <w:marTop w:val="0"/>
      <w:marBottom w:val="0"/>
      <w:divBdr>
        <w:top w:val="none" w:sz="0" w:space="0" w:color="auto"/>
        <w:left w:val="none" w:sz="0" w:space="0" w:color="auto"/>
        <w:bottom w:val="none" w:sz="0" w:space="0" w:color="auto"/>
        <w:right w:val="none" w:sz="0" w:space="0" w:color="auto"/>
      </w:divBdr>
      <w:divsChild>
        <w:div w:id="260727579">
          <w:marLeft w:val="0"/>
          <w:marRight w:val="0"/>
          <w:marTop w:val="0"/>
          <w:marBottom w:val="0"/>
          <w:divBdr>
            <w:top w:val="none" w:sz="0" w:space="0" w:color="auto"/>
            <w:left w:val="none" w:sz="0" w:space="0" w:color="auto"/>
            <w:bottom w:val="none" w:sz="0" w:space="0" w:color="auto"/>
            <w:right w:val="none" w:sz="0" w:space="0" w:color="auto"/>
          </w:divBdr>
        </w:div>
        <w:div w:id="416708812">
          <w:marLeft w:val="0"/>
          <w:marRight w:val="0"/>
          <w:marTop w:val="0"/>
          <w:marBottom w:val="0"/>
          <w:divBdr>
            <w:top w:val="none" w:sz="0" w:space="0" w:color="auto"/>
            <w:left w:val="none" w:sz="0" w:space="0" w:color="auto"/>
            <w:bottom w:val="none" w:sz="0" w:space="0" w:color="auto"/>
            <w:right w:val="none" w:sz="0" w:space="0" w:color="auto"/>
          </w:divBdr>
        </w:div>
        <w:div w:id="1236433040">
          <w:marLeft w:val="0"/>
          <w:marRight w:val="0"/>
          <w:marTop w:val="0"/>
          <w:marBottom w:val="0"/>
          <w:divBdr>
            <w:top w:val="none" w:sz="0" w:space="0" w:color="auto"/>
            <w:left w:val="none" w:sz="0" w:space="0" w:color="auto"/>
            <w:bottom w:val="none" w:sz="0" w:space="0" w:color="auto"/>
            <w:right w:val="none" w:sz="0" w:space="0" w:color="auto"/>
          </w:divBdr>
        </w:div>
        <w:div w:id="1461340881">
          <w:marLeft w:val="0"/>
          <w:marRight w:val="0"/>
          <w:marTop w:val="0"/>
          <w:marBottom w:val="0"/>
          <w:divBdr>
            <w:top w:val="none" w:sz="0" w:space="0" w:color="auto"/>
            <w:left w:val="none" w:sz="0" w:space="0" w:color="auto"/>
            <w:bottom w:val="none" w:sz="0" w:space="0" w:color="auto"/>
            <w:right w:val="none" w:sz="0" w:space="0" w:color="auto"/>
          </w:divBdr>
        </w:div>
        <w:div w:id="1718972794">
          <w:marLeft w:val="0"/>
          <w:marRight w:val="0"/>
          <w:marTop w:val="0"/>
          <w:marBottom w:val="0"/>
          <w:divBdr>
            <w:top w:val="none" w:sz="0" w:space="0" w:color="auto"/>
            <w:left w:val="none" w:sz="0" w:space="0" w:color="auto"/>
            <w:bottom w:val="none" w:sz="0" w:space="0" w:color="auto"/>
            <w:right w:val="none" w:sz="0" w:space="0" w:color="auto"/>
          </w:divBdr>
        </w:div>
      </w:divsChild>
    </w:div>
    <w:div w:id="2045474560">
      <w:bodyDiv w:val="1"/>
      <w:marLeft w:val="0"/>
      <w:marRight w:val="0"/>
      <w:marTop w:val="0"/>
      <w:marBottom w:val="0"/>
      <w:divBdr>
        <w:top w:val="none" w:sz="0" w:space="0" w:color="auto"/>
        <w:left w:val="none" w:sz="0" w:space="0" w:color="auto"/>
        <w:bottom w:val="none" w:sz="0" w:space="0" w:color="auto"/>
        <w:right w:val="none" w:sz="0" w:space="0" w:color="auto"/>
      </w:divBdr>
      <w:divsChild>
        <w:div w:id="195822654">
          <w:marLeft w:val="0"/>
          <w:marRight w:val="0"/>
          <w:marTop w:val="0"/>
          <w:marBottom w:val="0"/>
          <w:divBdr>
            <w:top w:val="none" w:sz="0" w:space="0" w:color="auto"/>
            <w:left w:val="none" w:sz="0" w:space="0" w:color="auto"/>
            <w:bottom w:val="none" w:sz="0" w:space="0" w:color="auto"/>
            <w:right w:val="none" w:sz="0" w:space="0" w:color="auto"/>
          </w:divBdr>
        </w:div>
        <w:div w:id="210579144">
          <w:marLeft w:val="0"/>
          <w:marRight w:val="0"/>
          <w:marTop w:val="0"/>
          <w:marBottom w:val="0"/>
          <w:divBdr>
            <w:top w:val="none" w:sz="0" w:space="0" w:color="auto"/>
            <w:left w:val="none" w:sz="0" w:space="0" w:color="auto"/>
            <w:bottom w:val="none" w:sz="0" w:space="0" w:color="auto"/>
            <w:right w:val="none" w:sz="0" w:space="0" w:color="auto"/>
          </w:divBdr>
        </w:div>
        <w:div w:id="272447373">
          <w:marLeft w:val="0"/>
          <w:marRight w:val="0"/>
          <w:marTop w:val="0"/>
          <w:marBottom w:val="0"/>
          <w:divBdr>
            <w:top w:val="none" w:sz="0" w:space="0" w:color="auto"/>
            <w:left w:val="none" w:sz="0" w:space="0" w:color="auto"/>
            <w:bottom w:val="none" w:sz="0" w:space="0" w:color="auto"/>
            <w:right w:val="none" w:sz="0" w:space="0" w:color="auto"/>
          </w:divBdr>
        </w:div>
        <w:div w:id="542332634">
          <w:marLeft w:val="0"/>
          <w:marRight w:val="0"/>
          <w:marTop w:val="0"/>
          <w:marBottom w:val="0"/>
          <w:divBdr>
            <w:top w:val="none" w:sz="0" w:space="0" w:color="auto"/>
            <w:left w:val="none" w:sz="0" w:space="0" w:color="auto"/>
            <w:bottom w:val="none" w:sz="0" w:space="0" w:color="auto"/>
            <w:right w:val="none" w:sz="0" w:space="0" w:color="auto"/>
          </w:divBdr>
        </w:div>
        <w:div w:id="652491006">
          <w:marLeft w:val="0"/>
          <w:marRight w:val="0"/>
          <w:marTop w:val="0"/>
          <w:marBottom w:val="0"/>
          <w:divBdr>
            <w:top w:val="none" w:sz="0" w:space="0" w:color="auto"/>
            <w:left w:val="none" w:sz="0" w:space="0" w:color="auto"/>
            <w:bottom w:val="none" w:sz="0" w:space="0" w:color="auto"/>
            <w:right w:val="none" w:sz="0" w:space="0" w:color="auto"/>
          </w:divBdr>
        </w:div>
        <w:div w:id="841966298">
          <w:marLeft w:val="0"/>
          <w:marRight w:val="0"/>
          <w:marTop w:val="0"/>
          <w:marBottom w:val="0"/>
          <w:divBdr>
            <w:top w:val="none" w:sz="0" w:space="0" w:color="auto"/>
            <w:left w:val="none" w:sz="0" w:space="0" w:color="auto"/>
            <w:bottom w:val="none" w:sz="0" w:space="0" w:color="auto"/>
            <w:right w:val="none" w:sz="0" w:space="0" w:color="auto"/>
          </w:divBdr>
        </w:div>
        <w:div w:id="894242348">
          <w:marLeft w:val="0"/>
          <w:marRight w:val="0"/>
          <w:marTop w:val="0"/>
          <w:marBottom w:val="0"/>
          <w:divBdr>
            <w:top w:val="none" w:sz="0" w:space="0" w:color="auto"/>
            <w:left w:val="none" w:sz="0" w:space="0" w:color="auto"/>
            <w:bottom w:val="none" w:sz="0" w:space="0" w:color="auto"/>
            <w:right w:val="none" w:sz="0" w:space="0" w:color="auto"/>
          </w:divBdr>
        </w:div>
        <w:div w:id="1325740513">
          <w:marLeft w:val="0"/>
          <w:marRight w:val="0"/>
          <w:marTop w:val="0"/>
          <w:marBottom w:val="0"/>
          <w:divBdr>
            <w:top w:val="none" w:sz="0" w:space="0" w:color="auto"/>
            <w:left w:val="none" w:sz="0" w:space="0" w:color="auto"/>
            <w:bottom w:val="none" w:sz="0" w:space="0" w:color="auto"/>
            <w:right w:val="none" w:sz="0" w:space="0" w:color="auto"/>
          </w:divBdr>
        </w:div>
        <w:div w:id="1408962510">
          <w:marLeft w:val="0"/>
          <w:marRight w:val="0"/>
          <w:marTop w:val="0"/>
          <w:marBottom w:val="0"/>
          <w:divBdr>
            <w:top w:val="none" w:sz="0" w:space="0" w:color="auto"/>
            <w:left w:val="none" w:sz="0" w:space="0" w:color="auto"/>
            <w:bottom w:val="none" w:sz="0" w:space="0" w:color="auto"/>
            <w:right w:val="none" w:sz="0" w:space="0" w:color="auto"/>
          </w:divBdr>
        </w:div>
        <w:div w:id="1669097684">
          <w:marLeft w:val="0"/>
          <w:marRight w:val="0"/>
          <w:marTop w:val="0"/>
          <w:marBottom w:val="0"/>
          <w:divBdr>
            <w:top w:val="none" w:sz="0" w:space="0" w:color="auto"/>
            <w:left w:val="none" w:sz="0" w:space="0" w:color="auto"/>
            <w:bottom w:val="none" w:sz="0" w:space="0" w:color="auto"/>
            <w:right w:val="none" w:sz="0" w:space="0" w:color="auto"/>
          </w:divBdr>
        </w:div>
        <w:div w:id="1703313320">
          <w:marLeft w:val="0"/>
          <w:marRight w:val="0"/>
          <w:marTop w:val="0"/>
          <w:marBottom w:val="0"/>
          <w:divBdr>
            <w:top w:val="none" w:sz="0" w:space="0" w:color="auto"/>
            <w:left w:val="none" w:sz="0" w:space="0" w:color="auto"/>
            <w:bottom w:val="none" w:sz="0" w:space="0" w:color="auto"/>
            <w:right w:val="none" w:sz="0" w:space="0" w:color="auto"/>
          </w:divBdr>
          <w:divsChild>
            <w:div w:id="862354316">
              <w:marLeft w:val="0"/>
              <w:marRight w:val="0"/>
              <w:marTop w:val="0"/>
              <w:marBottom w:val="0"/>
              <w:divBdr>
                <w:top w:val="none" w:sz="0" w:space="0" w:color="auto"/>
                <w:left w:val="none" w:sz="0" w:space="0" w:color="auto"/>
                <w:bottom w:val="none" w:sz="0" w:space="0" w:color="auto"/>
                <w:right w:val="none" w:sz="0" w:space="0" w:color="auto"/>
              </w:divBdr>
            </w:div>
            <w:div w:id="999431548">
              <w:marLeft w:val="0"/>
              <w:marRight w:val="0"/>
              <w:marTop w:val="0"/>
              <w:marBottom w:val="0"/>
              <w:divBdr>
                <w:top w:val="none" w:sz="0" w:space="0" w:color="auto"/>
                <w:left w:val="none" w:sz="0" w:space="0" w:color="auto"/>
                <w:bottom w:val="none" w:sz="0" w:space="0" w:color="auto"/>
                <w:right w:val="none" w:sz="0" w:space="0" w:color="auto"/>
              </w:divBdr>
            </w:div>
          </w:divsChild>
        </w:div>
        <w:div w:id="1757433868">
          <w:marLeft w:val="0"/>
          <w:marRight w:val="0"/>
          <w:marTop w:val="0"/>
          <w:marBottom w:val="0"/>
          <w:divBdr>
            <w:top w:val="none" w:sz="0" w:space="0" w:color="auto"/>
            <w:left w:val="none" w:sz="0" w:space="0" w:color="auto"/>
            <w:bottom w:val="none" w:sz="0" w:space="0" w:color="auto"/>
            <w:right w:val="none" w:sz="0" w:space="0" w:color="auto"/>
          </w:divBdr>
        </w:div>
        <w:div w:id="1851021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nf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nr0.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pm.gov/policy-data-oversight/pay-leave/salaries-wages/salary-tables/pdf/2021/RUS_h.pdf"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0D3AC-387A-4401-9BE4-8C9753B06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3773</Words>
  <Characters>21497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DOI BLM</Company>
  <LinksUpToDate>false</LinksUpToDate>
  <CharactersWithSpaces>25220</CharactersWithSpaces>
  <SharedDoc>false</SharedDoc>
  <HLinks>
    <vt:vector size="30" baseType="variant">
      <vt:variant>
        <vt:i4>3014779</vt:i4>
      </vt:variant>
      <vt:variant>
        <vt:i4>12</vt:i4>
      </vt:variant>
      <vt:variant>
        <vt:i4>0</vt:i4>
      </vt:variant>
      <vt:variant>
        <vt:i4>5</vt:i4>
      </vt:variant>
      <vt:variant>
        <vt:lpwstr>http://www.reginfo.gov/</vt:lpwstr>
      </vt:variant>
      <vt:variant>
        <vt:lpwstr/>
      </vt:variant>
      <vt:variant>
        <vt:i4>1769560</vt:i4>
      </vt:variant>
      <vt:variant>
        <vt:i4>9</vt:i4>
      </vt:variant>
      <vt:variant>
        <vt:i4>0</vt:i4>
      </vt:variant>
      <vt:variant>
        <vt:i4>5</vt:i4>
      </vt:variant>
      <vt:variant>
        <vt:lpwstr>http://www.bls.gov/news.release/ecec.nr0.htm</vt:lpwstr>
      </vt:variant>
      <vt:variant>
        <vt:lpwstr/>
      </vt:variant>
      <vt:variant>
        <vt:i4>5242994</vt:i4>
      </vt:variant>
      <vt:variant>
        <vt:i4>6</vt:i4>
      </vt:variant>
      <vt:variant>
        <vt:i4>0</vt:i4>
      </vt:variant>
      <vt:variant>
        <vt:i4>5</vt:i4>
      </vt:variant>
      <vt:variant>
        <vt:lpwstr>https://www.opm.gov/policy-data-oversight/pay-leave/salaries-wages/salary-tables/pdf/2021/RUS_h.pdf</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sbeshir</dc:creator>
  <cp:keywords/>
  <cp:lastModifiedBy>King, Darrin A</cp:lastModifiedBy>
  <cp:revision>8</cp:revision>
  <cp:lastPrinted>2014-10-20T21:01:00Z</cp:lastPrinted>
  <dcterms:created xsi:type="dcterms:W3CDTF">2021-02-04T15:12:00Z</dcterms:created>
  <dcterms:modified xsi:type="dcterms:W3CDTF">2021-03-09T14:31:00Z</dcterms:modified>
</cp:coreProperties>
</file>