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F59CB" w:rsidRDefault="00A10441" w14:paraId="4C554728" w14:textId="77777777">
      <w:pPr>
        <w:widowControl/>
        <w:jc w:val="center"/>
        <w:rPr>
          <w:rFonts w:ascii="Times New Roman" w:hAnsi="Times New Roman"/>
          <w:b/>
          <w:bCs/>
        </w:rPr>
      </w:pPr>
      <w:bookmarkStart w:name="_GoBack" w:id="0"/>
      <w:bookmarkEnd w:id="0"/>
    </w:p>
    <w:p w:rsidR="003A3100" w:rsidP="003A3100" w:rsidRDefault="003A3100" w14:paraId="0CAF342D" w14:textId="77777777">
      <w:pPr>
        <w:widowControl/>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027953" w:rsidRDefault="00027953" w14:paraId="1DAA9F6C" w14:textId="64EF23BC">
      <w:pPr>
        <w:widowControl/>
        <w:ind w:hanging="720"/>
        <w:jc w:val="center"/>
        <w:rPr>
          <w:rFonts w:ascii="Times New Roman" w:hAnsi="Times New Roman"/>
          <w:b/>
          <w:bCs/>
        </w:rPr>
      </w:pPr>
      <w:r>
        <w:rPr>
          <w:rFonts w:ascii="Times New Roman" w:hAnsi="Times New Roman"/>
          <w:b/>
          <w:bCs/>
        </w:rPr>
        <w:t xml:space="preserve">The </w:t>
      </w:r>
      <w:r w:rsidRPr="00027953">
        <w:rPr>
          <w:rFonts w:ascii="Times New Roman" w:hAnsi="Times New Roman"/>
          <w:b/>
          <w:bCs/>
        </w:rPr>
        <w:t>National Longitudinal Survey of Youth 1997</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172ACA8E">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8B0C9E">
        <w:rPr>
          <w:rFonts w:ascii="Times New Roman" w:hAnsi="Times New Roman"/>
          <w:b/>
          <w:bCs/>
        </w:rPr>
        <w:t>1220-0157</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00530EBD" w:rsidP="00D53DEB" w:rsidRDefault="00530EBD" w14:paraId="42A7085D" w14:textId="49C8D718">
      <w:pPr>
        <w:widowControl/>
        <w:rPr>
          <w:rFonts w:ascii="Times New Roman" w:hAnsi="Times New Roman"/>
          <w:bCs/>
        </w:rPr>
      </w:pPr>
      <w:r w:rsidRPr="00D53DEB">
        <w:rPr>
          <w:rFonts w:ascii="Times New Roman" w:hAnsi="Times New Roman"/>
          <w:bCs/>
        </w:rPr>
        <w:t>This I</w:t>
      </w:r>
      <w:r w:rsidR="00817CC3">
        <w:rPr>
          <w:rFonts w:ascii="Times New Roman" w:hAnsi="Times New Roman"/>
          <w:bCs/>
        </w:rPr>
        <w:t xml:space="preserve">nformation </w:t>
      </w:r>
      <w:r w:rsidRPr="00D53DEB">
        <w:rPr>
          <w:rFonts w:ascii="Times New Roman" w:hAnsi="Times New Roman"/>
          <w:bCs/>
        </w:rPr>
        <w:t>C</w:t>
      </w:r>
      <w:r w:rsidR="00817CC3">
        <w:rPr>
          <w:rFonts w:ascii="Times New Roman" w:hAnsi="Times New Roman"/>
          <w:bCs/>
        </w:rPr>
        <w:t xml:space="preserve">ollection </w:t>
      </w:r>
      <w:r w:rsidRPr="00D53DEB">
        <w:rPr>
          <w:rFonts w:ascii="Times New Roman" w:hAnsi="Times New Roman"/>
          <w:bCs/>
        </w:rPr>
        <w:t>R</w:t>
      </w:r>
      <w:r w:rsidR="00817CC3">
        <w:rPr>
          <w:rFonts w:ascii="Times New Roman" w:hAnsi="Times New Roman"/>
          <w:bCs/>
        </w:rPr>
        <w:t>equest</w:t>
      </w:r>
      <w:r w:rsidRPr="00D53DEB">
        <w:rPr>
          <w:rFonts w:ascii="Times New Roman" w:hAnsi="Times New Roman"/>
          <w:bCs/>
        </w:rPr>
        <w:t xml:space="preserve"> seeks to </w:t>
      </w:r>
      <w:r w:rsidR="00027953">
        <w:rPr>
          <w:rFonts w:ascii="Times New Roman" w:hAnsi="Times New Roman"/>
          <w:bCs/>
        </w:rPr>
        <w:t>obtain</w:t>
      </w:r>
      <w:r w:rsidRPr="00027953" w:rsidR="00027953">
        <w:rPr>
          <w:rFonts w:ascii="Times New Roman" w:hAnsi="Times New Roman"/>
          <w:bCs/>
        </w:rPr>
        <w:t xml:space="preserve"> clearance for the main fielding of Round </w:t>
      </w:r>
      <w:r w:rsidR="00027953">
        <w:rPr>
          <w:rFonts w:ascii="Times New Roman" w:hAnsi="Times New Roman"/>
          <w:bCs/>
        </w:rPr>
        <w:t>20</w:t>
      </w:r>
      <w:r w:rsidRPr="00027953" w:rsidR="00027953">
        <w:rPr>
          <w:rFonts w:ascii="Times New Roman" w:hAnsi="Times New Roman"/>
          <w:bCs/>
        </w:rPr>
        <w:t xml:space="preserve"> of the National Longitudinal Survey of Youth 1997 (NLSY97)</w:t>
      </w:r>
      <w:r w:rsidR="006D0E92">
        <w:rPr>
          <w:rFonts w:ascii="Times New Roman" w:hAnsi="Times New Roman"/>
          <w:bCs/>
        </w:rPr>
        <w:t>, and for an interim contact to be made after Round 20 but before Round 21</w:t>
      </w:r>
      <w:r w:rsidRPr="00027953" w:rsidR="00027953">
        <w:rPr>
          <w:rFonts w:ascii="Times New Roman" w:hAnsi="Times New Roman"/>
          <w:bCs/>
        </w:rPr>
        <w:t>.  The main NLSY97 sample includes 8,984 respondents who were born in the years 1980 through 1984 and lived in the United States when the survey began in 1997.  Sample selection was based on information provided during the first round of interviews.  This cohort is a representative national sample of the target population of young adults.  The sample includes an overrepresentation of blacks and Hispanics to facilitate statistically reliable analyses of these racial and ethnic groups.  Appropriate weights are provided so that the sample components can be combined in a manner to aggregate to the overall U.S. population of the same ages.</w:t>
      </w:r>
    </w:p>
    <w:p w:rsidR="00027953" w:rsidP="00D53DEB" w:rsidRDefault="00027953" w14:paraId="60F73C8E" w14:textId="77777777">
      <w:pPr>
        <w:widowControl/>
        <w:rPr>
          <w:rFonts w:ascii="Times New Roman" w:hAnsi="Times New Roman"/>
          <w:bCs/>
        </w:rPr>
      </w:pPr>
    </w:p>
    <w:p w:rsidRPr="00027953" w:rsidR="00027953" w:rsidP="00027953" w:rsidRDefault="00027953" w14:paraId="2C4C0BC3" w14:textId="7207C73C">
      <w:pPr>
        <w:widowControl/>
        <w:rPr>
          <w:rFonts w:ascii="Times New Roman" w:hAnsi="Times New Roman"/>
          <w:bCs/>
        </w:rPr>
      </w:pPr>
      <w:r w:rsidRPr="00027953">
        <w:rPr>
          <w:rFonts w:ascii="Times New Roman" w:hAnsi="Times New Roman"/>
          <w:bCs/>
        </w:rPr>
        <w:t xml:space="preserve">The survey is funded primarily by the U.S. Bureau of Labor Statistics </w:t>
      </w:r>
      <w:r w:rsidR="008142BF">
        <w:rPr>
          <w:rFonts w:ascii="Times New Roman" w:hAnsi="Times New Roman"/>
          <w:bCs/>
        </w:rPr>
        <w:t xml:space="preserve">(BLS) </w:t>
      </w:r>
      <w:r w:rsidRPr="00027953">
        <w:rPr>
          <w:rFonts w:ascii="Times New Roman" w:hAnsi="Times New Roman"/>
          <w:bCs/>
        </w:rPr>
        <w:t>at the U.S. Department of Labor</w:t>
      </w:r>
      <w:r w:rsidR="00534744">
        <w:rPr>
          <w:rFonts w:ascii="Times New Roman" w:hAnsi="Times New Roman"/>
          <w:bCs/>
        </w:rPr>
        <w:t xml:space="preserve"> (DOL)</w:t>
      </w:r>
      <w:r w:rsidRPr="00027953">
        <w:rPr>
          <w:rFonts w:ascii="Times New Roman" w:hAnsi="Times New Roman"/>
          <w:bCs/>
        </w:rPr>
        <w:t xml:space="preserve">.  Additional funding has been provided in some years by the Departments of Health and Human Services, Education, Defense, Justice, and the National Science Foundation.  The </w:t>
      </w:r>
      <w:r w:rsidR="008142BF">
        <w:rPr>
          <w:rFonts w:ascii="Times New Roman" w:hAnsi="Times New Roman"/>
          <w:bCs/>
        </w:rPr>
        <w:t>BLS</w:t>
      </w:r>
      <w:r w:rsidRPr="00027953">
        <w:rPr>
          <w:rFonts w:ascii="Times New Roman" w:hAnsi="Times New Roman"/>
          <w:bCs/>
        </w:rPr>
        <w:t xml:space="preserve"> has overall responsibility for the project.  The BLS has contracted with the CHRR at </w:t>
      </w:r>
      <w:r w:rsidR="008142BF">
        <w:rPr>
          <w:rFonts w:ascii="Times New Roman" w:hAnsi="Times New Roman"/>
          <w:bCs/>
        </w:rPr>
        <w:t>T</w:t>
      </w:r>
      <w:r w:rsidRPr="00027953">
        <w:rPr>
          <w:rFonts w:ascii="Times New Roman" w:hAnsi="Times New Roman"/>
          <w:bCs/>
        </w:rPr>
        <w:t>he Ohio State University to conduct the survey.  The contractor is responsible for survey design, interviewing, data preparation, documentation, and the preparation of public-use data files.</w:t>
      </w:r>
    </w:p>
    <w:p w:rsidRPr="00027953" w:rsidR="00027953" w:rsidP="00027953" w:rsidRDefault="00027953" w14:paraId="7C6BF008" w14:textId="77777777">
      <w:pPr>
        <w:widowControl/>
        <w:rPr>
          <w:rFonts w:ascii="Times New Roman" w:hAnsi="Times New Roman"/>
          <w:bCs/>
        </w:rPr>
      </w:pPr>
    </w:p>
    <w:p w:rsidRPr="00D53DEB" w:rsidR="00027953" w:rsidP="00027953" w:rsidRDefault="00027953" w14:paraId="07DAF872" w14:textId="001078BB">
      <w:pPr>
        <w:widowControl/>
        <w:rPr>
          <w:rFonts w:ascii="Times New Roman" w:hAnsi="Times New Roman"/>
          <w:bCs/>
        </w:rPr>
      </w:pPr>
      <w:r w:rsidRPr="00027953">
        <w:rPr>
          <w:rFonts w:ascii="Times New Roman" w:hAnsi="Times New Roman"/>
          <w:bCs/>
        </w:rPr>
        <w:t xml:space="preserve">The data collected in this survey are part of a larger effort that involves repeated interviews administered to a number of cohorts in the U.S.  Many of the questions are identical or very similar to questions previously approved by OMB that have been asked in other cohorts of the National Longitudinal Surveys (NLS).  This round will be the </w:t>
      </w:r>
      <w:r w:rsidR="00675B7E">
        <w:rPr>
          <w:rFonts w:ascii="Times New Roman" w:hAnsi="Times New Roman"/>
          <w:bCs/>
        </w:rPr>
        <w:t>third</w:t>
      </w:r>
      <w:r w:rsidRPr="00027953" w:rsidR="00675B7E">
        <w:rPr>
          <w:rFonts w:ascii="Times New Roman" w:hAnsi="Times New Roman"/>
          <w:bCs/>
        </w:rPr>
        <w:t xml:space="preserve"> </w:t>
      </w:r>
      <w:r w:rsidRPr="00027953">
        <w:rPr>
          <w:rFonts w:ascii="Times New Roman" w:hAnsi="Times New Roman"/>
          <w:bCs/>
        </w:rPr>
        <w:t xml:space="preserve">in which the NLSY97 interviews will be conducted primarily by telephone.  </w:t>
      </w:r>
    </w:p>
    <w:p w:rsidRPr="00D53DEB" w:rsidR="003A3100" w:rsidP="00027953" w:rsidRDefault="003A3100" w14:paraId="58D0342C" w14:textId="77777777">
      <w:pPr>
        <w:widowControl/>
        <w:rPr>
          <w:rFonts w:ascii="Times New Roman" w:hAnsi="Times New Roman"/>
          <w:bCs/>
        </w:rPr>
      </w:pP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F4518C" w:rsidR="003A3100" w:rsidP="00690F56" w:rsidRDefault="003A3100" w14:paraId="466E62DC"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2809C6" w:rsidR="002809C6" w:rsidP="002809C6" w:rsidRDefault="002809C6" w14:paraId="1439231D" w14:textId="74264952">
      <w:pPr>
        <w:rPr>
          <w:rFonts w:ascii="Times New Roman" w:hAnsi="Times New Roman"/>
        </w:rPr>
      </w:pPr>
      <w:r w:rsidRPr="002809C6">
        <w:rPr>
          <w:rFonts w:ascii="Times New Roman" w:hAnsi="Times New Roman"/>
        </w:rPr>
        <w:t xml:space="preserve">This statement covers main fielding of Round </w:t>
      </w:r>
      <w:r w:rsidR="004F4B0A">
        <w:rPr>
          <w:rFonts w:ascii="Times New Roman" w:hAnsi="Times New Roman"/>
        </w:rPr>
        <w:t>20</w:t>
      </w:r>
      <w:r w:rsidRPr="002809C6" w:rsidR="004F4B0A">
        <w:rPr>
          <w:rFonts w:ascii="Times New Roman" w:hAnsi="Times New Roman"/>
        </w:rPr>
        <w:t xml:space="preserve"> </w:t>
      </w:r>
      <w:r w:rsidRPr="002809C6">
        <w:rPr>
          <w:rFonts w:ascii="Times New Roman" w:hAnsi="Times New Roman"/>
        </w:rPr>
        <w:t>of the National Longitudinal Survey of Youth 1997 (NLSY97)</w:t>
      </w:r>
      <w:r w:rsidR="00440720">
        <w:rPr>
          <w:rFonts w:ascii="Times New Roman" w:hAnsi="Times New Roman"/>
        </w:rPr>
        <w:t xml:space="preserve"> and an interim contact with NLS</w:t>
      </w:r>
      <w:r w:rsidRPr="002809C6" w:rsidR="00440720">
        <w:rPr>
          <w:rFonts w:ascii="Times New Roman" w:hAnsi="Times New Roman"/>
        </w:rPr>
        <w:t>Y</w:t>
      </w:r>
      <w:r w:rsidR="00440720">
        <w:rPr>
          <w:rFonts w:ascii="Times New Roman" w:hAnsi="Times New Roman"/>
        </w:rPr>
        <w:t>97 sample members to be made between Rounds 20 and 21</w:t>
      </w:r>
      <w:r w:rsidRPr="002809C6">
        <w:rPr>
          <w:rFonts w:ascii="Times New Roman" w:hAnsi="Times New Roman"/>
        </w:rPr>
        <w:t xml:space="preserve">.  The NLSY97 is a nationally representative sample of persons who were ages </w:t>
      </w:r>
      <w:r w:rsidRPr="002809C6">
        <w:rPr>
          <w:rFonts w:ascii="Times New Roman" w:hAnsi="Times New Roman"/>
        </w:rPr>
        <w:lastRenderedPageBreak/>
        <w:t xml:space="preserve">12 to 16 on </w:t>
      </w:r>
      <w:smartTag w:uri="urn:schemas-microsoft-com:office:smarttags" w:element="date">
        <w:smartTagPr>
          <w:attr w:name="Year" w:val="1996"/>
          <w:attr w:name="Day" w:val="31"/>
          <w:attr w:name="Month" w:val="12"/>
        </w:smartTagPr>
        <w:r w:rsidRPr="002809C6">
          <w:rPr>
            <w:rFonts w:ascii="Times New Roman" w:hAnsi="Times New Roman"/>
          </w:rPr>
          <w:t>December 31, 1996</w:t>
        </w:r>
      </w:smartTag>
      <w:r w:rsidRPr="002809C6">
        <w:rPr>
          <w:rFonts w:ascii="Times New Roman" w:hAnsi="Times New Roman"/>
        </w:rPr>
        <w:t xml:space="preserve">.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contracts with external organizations to interview these youths, to study how young people make the transition from full-time schooling to the establishment of their families and careers.  Interviews were conducted on a yearly basis through Round 15; beginning with Round 16</w:t>
      </w:r>
      <w:r w:rsidR="00534744">
        <w:rPr>
          <w:rFonts w:ascii="Times New Roman" w:hAnsi="Times New Roman"/>
        </w:rPr>
        <w:t>,</w:t>
      </w:r>
      <w:r w:rsidRPr="002809C6">
        <w:rPr>
          <w:rFonts w:ascii="Times New Roman" w:hAnsi="Times New Roman"/>
        </w:rPr>
        <w:t xml:space="preserve"> they are interviewed on a biennial basis.  The longitudinal focus of this survey requires information to be collected about the same individuals over many years in order to trace their education, training, work experience, fertility, income, and program participation.</w:t>
      </w:r>
    </w:p>
    <w:p w:rsidRPr="002809C6" w:rsidR="002809C6" w:rsidP="002809C6" w:rsidRDefault="002809C6" w14:paraId="6F04C58E" w14:textId="77777777">
      <w:pPr>
        <w:rPr>
          <w:rFonts w:ascii="Times New Roman" w:hAnsi="Times New Roman"/>
        </w:rPr>
      </w:pPr>
    </w:p>
    <w:p w:rsidRPr="002809C6" w:rsidR="002809C6" w:rsidP="002809C6" w:rsidRDefault="002809C6" w14:paraId="251BD75E" w14:textId="206C209D">
      <w:pPr>
        <w:rPr>
          <w:rFonts w:ascii="Times New Roman" w:hAnsi="Times New Roman"/>
        </w:rPr>
      </w:pPr>
      <w:r w:rsidRPr="002809C6">
        <w:rPr>
          <w:rFonts w:ascii="Times New Roman" w:hAnsi="Times New Roman"/>
        </w:rPr>
        <w:t xml:space="preserve">The mission of the </w:t>
      </w:r>
      <w:smartTag w:uri="urn:schemas-microsoft-com:office:smarttags" w:element="stockticker">
        <w:r w:rsidRPr="002809C6">
          <w:rPr>
            <w:rFonts w:ascii="Times New Roman" w:hAnsi="Times New Roman"/>
          </w:rPr>
          <w:t>DOL</w:t>
        </w:r>
      </w:smartTag>
      <w:r w:rsidRPr="002809C6">
        <w:rPr>
          <w:rFonts w:ascii="Times New Roman" w:hAnsi="Times New Roman"/>
        </w:rPr>
        <w:t xml:space="preserve"> is, among other things, to promote the development of the U.S. labor force and the efficiency of the U.S. labor market.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contributes to this mission by gathering information about the labor force and labor market and disseminating it to policymakers and the public so that participants in those markets can make more informed and, thus more efficient, choices.  The charge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to collect data related to the labor force is extremely broad, as reflected in Title 29 </w:t>
      </w:r>
      <w:smartTag w:uri="urn:schemas-microsoft-com:office:smarttags" w:element="stockticker">
        <w:r w:rsidRPr="002809C6">
          <w:rPr>
            <w:rFonts w:ascii="Times New Roman" w:hAnsi="Times New Roman"/>
          </w:rPr>
          <w:t>USC</w:t>
        </w:r>
      </w:smartTag>
      <w:r w:rsidRPr="002809C6">
        <w:rPr>
          <w:rFonts w:ascii="Times New Roman" w:hAnsi="Times New Roman"/>
        </w:rPr>
        <w:t xml:space="preserve"> Section 1:</w:t>
      </w:r>
    </w:p>
    <w:p w:rsidRPr="002809C6" w:rsidR="002809C6" w:rsidP="002809C6" w:rsidRDefault="002809C6" w14:paraId="3821F183" w14:textId="77777777">
      <w:pPr>
        <w:rPr>
          <w:rFonts w:ascii="Times New Roman" w:hAnsi="Times New Roman"/>
        </w:rPr>
      </w:pPr>
    </w:p>
    <w:p w:rsidRPr="002809C6" w:rsidR="002809C6" w:rsidP="002809C6" w:rsidRDefault="002809C6" w14:paraId="093B098E" w14:textId="77777777">
      <w:pPr>
        <w:pStyle w:val="BlockText"/>
        <w:rPr>
          <w:sz w:val="24"/>
          <w:szCs w:val="24"/>
        </w:rPr>
      </w:pPr>
      <w:r w:rsidRPr="002809C6">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2809C6" w:rsidR="002809C6" w:rsidP="002809C6" w:rsidRDefault="002809C6" w14:paraId="38EA53B2" w14:textId="77777777">
      <w:pPr>
        <w:rPr>
          <w:rFonts w:ascii="Times New Roman" w:hAnsi="Times New Roman"/>
          <w:b/>
          <w:i/>
        </w:rPr>
      </w:pPr>
    </w:p>
    <w:p w:rsidR="00027953" w:rsidP="002809C6" w:rsidRDefault="002809C6" w14:paraId="7C22C0E3" w14:textId="6AD9C60E">
      <w:pPr>
        <w:rPr>
          <w:rFonts w:ascii="Times New Roman" w:hAnsi="Times New Roman"/>
        </w:rPr>
      </w:pPr>
      <w:r w:rsidRPr="002809C6">
        <w:rPr>
          <w:rFonts w:ascii="Times New Roman" w:hAnsi="Times New Roman"/>
        </w:rPr>
        <w:t xml:space="preserve">The collection of these data contributes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2809C6">
          <w:rPr>
            <w:rFonts w:ascii="Times New Roman" w:hAnsi="Times New Roman"/>
          </w:rPr>
          <w:t>USC</w:t>
        </w:r>
      </w:smartTag>
      <w:r w:rsidRPr="002809C6">
        <w:rPr>
          <w:rFonts w:ascii="Times New Roman" w:hAnsi="Times New Roman"/>
        </w:rPr>
        <w:t xml:space="preserve"> Sections 1 and 2.  </w:t>
      </w:r>
    </w:p>
    <w:p w:rsidR="00027953" w:rsidP="00690F56" w:rsidRDefault="00027953" w14:paraId="5C4EBD79" w14:textId="77777777">
      <w:pPr>
        <w:widowControl/>
        <w:rPr>
          <w:rFonts w:ascii="Times New Roman" w:hAnsi="Times New Roman"/>
        </w:rPr>
      </w:pPr>
    </w:p>
    <w:p w:rsidRPr="00D53DEB" w:rsidR="00027953" w:rsidP="00690F56" w:rsidRDefault="00027953" w14:paraId="53C7B248"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77777777">
      <w:pPr>
        <w:widowControl/>
        <w:rPr>
          <w:rFonts w:ascii="Times New Roman" w:hAnsi="Times New Roman"/>
        </w:rPr>
      </w:pPr>
    </w:p>
    <w:p w:rsidR="00D00B37" w:rsidP="00EC2687" w:rsidRDefault="004F4B0A" w14:paraId="1566020A" w14:textId="12F43FE1">
      <w:pPr>
        <w:rPr>
          <w:rFonts w:ascii="Times New Roman" w:hAnsi="Times New Roman"/>
        </w:rPr>
      </w:pPr>
      <w:r>
        <w:rPr>
          <w:rFonts w:ascii="Times New Roman" w:hAnsi="Times New Roman"/>
          <w:bCs/>
        </w:rPr>
        <w:t>The proposed collection will allow the NLSY97 to continue serving its broad purpose as a vital source of labor market information, by adding a 20</w:t>
      </w:r>
      <w:r w:rsidRPr="004F4B0A">
        <w:rPr>
          <w:rFonts w:ascii="Times New Roman" w:hAnsi="Times New Roman"/>
          <w:bCs/>
          <w:vertAlign w:val="superscript"/>
        </w:rPr>
        <w:t>th</w:t>
      </w:r>
      <w:r>
        <w:rPr>
          <w:rFonts w:ascii="Times New Roman" w:hAnsi="Times New Roman"/>
          <w:bCs/>
        </w:rPr>
        <w:t xml:space="preserve"> round to the survey’s longitudinal dataset.  </w:t>
      </w:r>
      <w:r w:rsidRPr="0031407B" w:rsidR="0031407B">
        <w:rPr>
          <w:rFonts w:ascii="Times New Roman" w:hAnsi="Times New Roman"/>
        </w:rPr>
        <w:t>The NLSY</w:t>
      </w:r>
      <w:r w:rsidR="00F61351">
        <w:rPr>
          <w:rFonts w:ascii="Times New Roman" w:hAnsi="Times New Roman"/>
        </w:rPr>
        <w:t>97</w:t>
      </w:r>
      <w:r w:rsidRPr="0031407B" w:rsidR="0031407B">
        <w:rPr>
          <w:rFonts w:ascii="Times New Roman" w:hAnsi="Times New Roman"/>
        </w:rPr>
        <w:t xml:space="preserve"> is an omnibus study designed to </w:t>
      </w:r>
      <w:r w:rsidR="00CA6EAA">
        <w:rPr>
          <w:rFonts w:ascii="Times New Roman" w:hAnsi="Times New Roman"/>
        </w:rPr>
        <w:t xml:space="preserve">understand labor market outcomes and </w:t>
      </w:r>
      <w:r w:rsidRPr="0031407B" w:rsidR="0031407B">
        <w:rPr>
          <w:rFonts w:ascii="Times New Roman" w:hAnsi="Times New Roman"/>
        </w:rPr>
        <w:t>serve</w:t>
      </w:r>
      <w:r w:rsidR="00CA6EAA">
        <w:rPr>
          <w:rFonts w:ascii="Times New Roman" w:hAnsi="Times New Roman"/>
        </w:rPr>
        <w:t>s</w:t>
      </w:r>
      <w:r w:rsidRPr="0031407B" w:rsidR="0031407B">
        <w:rPr>
          <w:rFonts w:ascii="Times New Roman" w:hAnsi="Times New Roman"/>
        </w:rPr>
        <w:t xml:space="preserve"> a variety of </w:t>
      </w:r>
      <w:r w:rsidR="00D966A9">
        <w:rPr>
          <w:rFonts w:ascii="Times New Roman" w:hAnsi="Times New Roman"/>
        </w:rPr>
        <w:t>labor market</w:t>
      </w:r>
      <w:r w:rsidRPr="0031407B" w:rsidR="0031407B">
        <w:rPr>
          <w:rFonts w:ascii="Times New Roman" w:hAnsi="Times New Roman"/>
        </w:rPr>
        <w:t xml:space="preserve">-related research interests.  </w:t>
      </w:r>
      <w:r w:rsidR="0031407B">
        <w:rPr>
          <w:rFonts w:ascii="Times New Roman" w:hAnsi="Times New Roman"/>
        </w:rPr>
        <w:t>Among t</w:t>
      </w:r>
      <w:r w:rsidRPr="00D65FB4" w:rsidR="0031407B">
        <w:rPr>
          <w:rFonts w:ascii="Times New Roman" w:hAnsi="Times New Roman"/>
        </w:rPr>
        <w:t xml:space="preserve">he </w:t>
      </w:r>
      <w:r w:rsidRPr="00D65FB4" w:rsidR="00EC2687">
        <w:rPr>
          <w:rFonts w:ascii="Times New Roman" w:hAnsi="Times New Roman"/>
        </w:rPr>
        <w:t>major purpose</w:t>
      </w:r>
      <w:r w:rsidR="0031407B">
        <w:rPr>
          <w:rFonts w:ascii="Times New Roman" w:hAnsi="Times New Roman"/>
        </w:rPr>
        <w:t>s</w:t>
      </w:r>
      <w:r w:rsidRPr="00D65FB4" w:rsidR="00EC2687">
        <w:rPr>
          <w:rFonts w:ascii="Times New Roman" w:hAnsi="Times New Roman"/>
        </w:rPr>
        <w:t xml:space="preserve"> of </w:t>
      </w:r>
      <w:r w:rsidR="0031407B">
        <w:rPr>
          <w:rFonts w:ascii="Times New Roman" w:hAnsi="Times New Roman"/>
        </w:rPr>
        <w:t>its</w:t>
      </w:r>
      <w:r w:rsidRPr="00D65FB4" w:rsidR="00EC2687">
        <w:rPr>
          <w:rFonts w:ascii="Times New Roman" w:hAnsi="Times New Roman"/>
        </w:rPr>
        <w:t xml:space="preserve"> collection is to examine the transition from school to the labor market and into adulthood.  </w:t>
      </w:r>
      <w:r w:rsidR="00D00B37">
        <w:rPr>
          <w:rFonts w:ascii="Times New Roman" w:hAnsi="Times New Roman"/>
        </w:rPr>
        <w:t xml:space="preserve">Additional </w:t>
      </w:r>
      <w:r w:rsidRPr="00D00B37" w:rsidR="00D857F8">
        <w:rPr>
          <w:rFonts w:ascii="Times New Roman" w:hAnsi="Times New Roman"/>
        </w:rPr>
        <w:t xml:space="preserve">major </w:t>
      </w:r>
      <w:r w:rsidR="00D857F8">
        <w:rPr>
          <w:rFonts w:ascii="Times New Roman" w:hAnsi="Times New Roman"/>
        </w:rPr>
        <w:t>purpose</w:t>
      </w:r>
      <w:r w:rsidR="00D209AB">
        <w:rPr>
          <w:rFonts w:ascii="Times New Roman" w:hAnsi="Times New Roman"/>
        </w:rPr>
        <w:t>s</w:t>
      </w:r>
      <w:r w:rsidR="00D857F8">
        <w:rPr>
          <w:rFonts w:ascii="Times New Roman" w:hAnsi="Times New Roman"/>
        </w:rPr>
        <w:t xml:space="preserve"> </w:t>
      </w:r>
      <w:r w:rsidRPr="00D00B37" w:rsidR="00D00B37">
        <w:rPr>
          <w:rFonts w:ascii="Times New Roman" w:hAnsi="Times New Roman"/>
        </w:rPr>
        <w:t xml:space="preserve">fall into several categories </w:t>
      </w:r>
      <w:r w:rsidR="00D00B37">
        <w:rPr>
          <w:rFonts w:ascii="Times New Roman" w:hAnsi="Times New Roman"/>
        </w:rPr>
        <w:t>as</w:t>
      </w:r>
      <w:r w:rsidRPr="00D00B37" w:rsidR="00D00B37">
        <w:rPr>
          <w:rFonts w:ascii="Times New Roman" w:hAnsi="Times New Roman"/>
        </w:rPr>
        <w:t xml:space="preserve"> elaborated </w:t>
      </w:r>
      <w:r w:rsidR="00D00B37">
        <w:rPr>
          <w:rFonts w:ascii="Times New Roman" w:hAnsi="Times New Roman"/>
        </w:rPr>
        <w:t>in attachment 2</w:t>
      </w:r>
      <w:r w:rsidRPr="00D00B37" w:rsidR="00D00B37">
        <w:rPr>
          <w:rFonts w:ascii="Times New Roman" w:hAnsi="Times New Roman"/>
        </w:rPr>
        <w:t xml:space="preserve">: (1) to explore </w:t>
      </w:r>
      <w:r w:rsidR="00D00B37">
        <w:rPr>
          <w:rFonts w:ascii="Times New Roman" w:hAnsi="Times New Roman"/>
        </w:rPr>
        <w:t xml:space="preserve">factors affecting an individual’s orientation to the </w:t>
      </w:r>
      <w:r w:rsidRPr="00D00B37" w:rsidR="00D00B37">
        <w:rPr>
          <w:rFonts w:ascii="Times New Roman" w:hAnsi="Times New Roman"/>
        </w:rPr>
        <w:t xml:space="preserve">labor market </w:t>
      </w:r>
      <w:r w:rsidR="00D00B37">
        <w:rPr>
          <w:rFonts w:ascii="Times New Roman" w:hAnsi="Times New Roman"/>
        </w:rPr>
        <w:t>and its long- and short-term effects on labor market outcomes</w:t>
      </w:r>
      <w:r w:rsidRPr="00D00B37" w:rsidR="00D00B37">
        <w:rPr>
          <w:rFonts w:ascii="Times New Roman" w:hAnsi="Times New Roman"/>
        </w:rPr>
        <w:t xml:space="preserve">; (2) to explore </w:t>
      </w:r>
      <w:r w:rsidR="00F61351">
        <w:rPr>
          <w:rFonts w:ascii="Times New Roman" w:hAnsi="Times New Roman"/>
        </w:rPr>
        <w:t>factors affecting an individual’s educational progress and its various repercussions in the labor market</w:t>
      </w:r>
      <w:r w:rsidRPr="00D00B37" w:rsidR="00D00B37">
        <w:rPr>
          <w:rFonts w:ascii="Times New Roman" w:hAnsi="Times New Roman"/>
        </w:rPr>
        <w:t>; (3)</w:t>
      </w:r>
      <w:r w:rsidR="00F61351">
        <w:rPr>
          <w:rFonts w:ascii="Times New Roman" w:hAnsi="Times New Roman"/>
        </w:rPr>
        <w:t xml:space="preserve"> to study characteristics of the work environment experienced by individuals and the interplay between these characteristics and other labor market outcomes</w:t>
      </w:r>
      <w:r w:rsidRPr="00D00B37" w:rsidR="00D00B37">
        <w:rPr>
          <w:rFonts w:ascii="Times New Roman" w:hAnsi="Times New Roman"/>
        </w:rPr>
        <w:t xml:space="preserve">; (4) </w:t>
      </w:r>
      <w:r w:rsidR="00F61351">
        <w:rPr>
          <w:rFonts w:ascii="Times New Roman" w:hAnsi="Times New Roman"/>
        </w:rPr>
        <w:t>to examine r</w:t>
      </w:r>
      <w:r w:rsidRPr="00F61351" w:rsidR="00F61351">
        <w:rPr>
          <w:rFonts w:ascii="Times New Roman" w:hAnsi="Times New Roman"/>
        </w:rPr>
        <w:t>ac</w:t>
      </w:r>
      <w:r w:rsidR="007E06C9">
        <w:rPr>
          <w:rFonts w:ascii="Times New Roman" w:hAnsi="Times New Roman"/>
        </w:rPr>
        <w:t>e</w:t>
      </w:r>
      <w:r w:rsidRPr="00F61351" w:rsidR="00F61351">
        <w:rPr>
          <w:rFonts w:ascii="Times New Roman" w:hAnsi="Times New Roman"/>
        </w:rPr>
        <w:t xml:space="preserve">, </w:t>
      </w:r>
      <w:r w:rsidR="00F61351">
        <w:rPr>
          <w:rFonts w:ascii="Times New Roman" w:hAnsi="Times New Roman"/>
        </w:rPr>
        <w:t>sex, and</w:t>
      </w:r>
      <w:r w:rsidR="007E06C9">
        <w:rPr>
          <w:rFonts w:ascii="Times New Roman" w:hAnsi="Times New Roman"/>
        </w:rPr>
        <w:t xml:space="preserve"> ethnicity</w:t>
      </w:r>
      <w:r w:rsidR="00F61351">
        <w:rPr>
          <w:rFonts w:ascii="Times New Roman" w:hAnsi="Times New Roman"/>
        </w:rPr>
        <w:t xml:space="preserve"> d</w:t>
      </w:r>
      <w:r w:rsidRPr="00F61351" w:rsidR="00F61351">
        <w:rPr>
          <w:rFonts w:ascii="Times New Roman" w:hAnsi="Times New Roman"/>
        </w:rPr>
        <w:t xml:space="preserve">ifferences in </w:t>
      </w:r>
      <w:r w:rsidR="00F61351">
        <w:rPr>
          <w:rFonts w:ascii="Times New Roman" w:hAnsi="Times New Roman"/>
        </w:rPr>
        <w:t>employment and e</w:t>
      </w:r>
      <w:r w:rsidRPr="00F61351" w:rsidR="00F61351">
        <w:rPr>
          <w:rFonts w:ascii="Times New Roman" w:hAnsi="Times New Roman"/>
        </w:rPr>
        <w:t>arnings</w:t>
      </w:r>
      <w:r w:rsidRPr="00D00B37" w:rsidR="00D00B37">
        <w:rPr>
          <w:rFonts w:ascii="Times New Roman" w:hAnsi="Times New Roman"/>
        </w:rPr>
        <w:t xml:space="preserve">; (5) </w:t>
      </w:r>
      <w:r w:rsidR="00F61351">
        <w:rPr>
          <w:rFonts w:ascii="Times New Roman" w:hAnsi="Times New Roman"/>
        </w:rPr>
        <w:t>to explore the r</w:t>
      </w:r>
      <w:r w:rsidRPr="00F61351" w:rsidR="00F61351">
        <w:rPr>
          <w:rFonts w:ascii="Times New Roman" w:hAnsi="Times New Roman"/>
        </w:rPr>
        <w:t xml:space="preserve">elationships between </w:t>
      </w:r>
      <w:r w:rsidR="00F61351">
        <w:rPr>
          <w:rFonts w:ascii="Times New Roman" w:hAnsi="Times New Roman"/>
        </w:rPr>
        <w:t>e</w:t>
      </w:r>
      <w:r w:rsidRPr="00F61351" w:rsidR="00F61351">
        <w:rPr>
          <w:rFonts w:ascii="Times New Roman" w:hAnsi="Times New Roman"/>
        </w:rPr>
        <w:t xml:space="preserve">conomic and </w:t>
      </w:r>
      <w:r w:rsidR="00F61351">
        <w:rPr>
          <w:rFonts w:ascii="Times New Roman" w:hAnsi="Times New Roman"/>
        </w:rPr>
        <w:t>s</w:t>
      </w:r>
      <w:r w:rsidRPr="00F61351" w:rsidR="00F61351">
        <w:rPr>
          <w:rFonts w:ascii="Times New Roman" w:hAnsi="Times New Roman"/>
        </w:rPr>
        <w:t xml:space="preserve">ocial </w:t>
      </w:r>
      <w:r w:rsidR="00F61351">
        <w:rPr>
          <w:rFonts w:ascii="Times New Roman" w:hAnsi="Times New Roman"/>
        </w:rPr>
        <w:t>f</w:t>
      </w:r>
      <w:r w:rsidRPr="00F61351" w:rsidR="00F61351">
        <w:rPr>
          <w:rFonts w:ascii="Times New Roman" w:hAnsi="Times New Roman"/>
        </w:rPr>
        <w:t xml:space="preserve">actors, </w:t>
      </w:r>
      <w:r w:rsidR="00F61351">
        <w:rPr>
          <w:rFonts w:ascii="Times New Roman" w:hAnsi="Times New Roman"/>
        </w:rPr>
        <w:t>f</w:t>
      </w:r>
      <w:r w:rsidRPr="00F61351" w:rsidR="00F61351">
        <w:rPr>
          <w:rFonts w:ascii="Times New Roman" w:hAnsi="Times New Roman"/>
        </w:rPr>
        <w:t xml:space="preserve">amily </w:t>
      </w:r>
      <w:r w:rsidR="00F61351">
        <w:rPr>
          <w:rFonts w:ascii="Times New Roman" w:hAnsi="Times New Roman"/>
        </w:rPr>
        <w:t>t</w:t>
      </w:r>
      <w:r w:rsidRPr="00F61351" w:rsidR="00F61351">
        <w:rPr>
          <w:rFonts w:ascii="Times New Roman" w:hAnsi="Times New Roman"/>
        </w:rPr>
        <w:t xml:space="preserve">ransitions, and </w:t>
      </w:r>
      <w:r w:rsidR="00F61351">
        <w:rPr>
          <w:rFonts w:ascii="Times New Roman" w:hAnsi="Times New Roman"/>
        </w:rPr>
        <w:t>w</w:t>
      </w:r>
      <w:r w:rsidRPr="00F61351" w:rsidR="00F61351">
        <w:rPr>
          <w:rFonts w:ascii="Times New Roman" w:hAnsi="Times New Roman"/>
        </w:rPr>
        <w:t>ell-</w:t>
      </w:r>
      <w:r w:rsidR="00F61351">
        <w:rPr>
          <w:rFonts w:ascii="Times New Roman" w:hAnsi="Times New Roman"/>
        </w:rPr>
        <w:t>b</w:t>
      </w:r>
      <w:r w:rsidRPr="00F61351" w:rsidR="00F61351">
        <w:rPr>
          <w:rFonts w:ascii="Times New Roman" w:hAnsi="Times New Roman"/>
        </w:rPr>
        <w:t>eing</w:t>
      </w:r>
      <w:r w:rsidR="00F61351">
        <w:rPr>
          <w:rFonts w:ascii="Times New Roman" w:hAnsi="Times New Roman"/>
        </w:rPr>
        <w:t xml:space="preserve">; (6) to examine </w:t>
      </w:r>
      <w:r w:rsidRPr="00F61351" w:rsidR="00F61351">
        <w:rPr>
          <w:rFonts w:ascii="Times New Roman" w:hAnsi="Times New Roman"/>
        </w:rPr>
        <w:t xml:space="preserve">associations between geographic mobility, local and national levels of economic activity, and social, economic, and demographic characteristics of </w:t>
      </w:r>
      <w:r w:rsidR="00F61351">
        <w:rPr>
          <w:rFonts w:ascii="Times New Roman" w:hAnsi="Times New Roman"/>
        </w:rPr>
        <w:t xml:space="preserve">respondents and </w:t>
      </w:r>
      <w:r w:rsidR="00F61351">
        <w:rPr>
          <w:rFonts w:ascii="Times New Roman" w:hAnsi="Times New Roman"/>
        </w:rPr>
        <w:lastRenderedPageBreak/>
        <w:t>their families; and (7) to measure gross changes in the labor market status of adults in the reference population.  In addition, the NLSY97 can be used</w:t>
      </w:r>
      <w:r w:rsidRPr="00F61351" w:rsidR="00F61351">
        <w:rPr>
          <w:rFonts w:ascii="Times New Roman" w:hAnsi="Times New Roman"/>
        </w:rPr>
        <w:t xml:space="preserve"> </w:t>
      </w:r>
      <w:r w:rsidRPr="00D00B37" w:rsidR="00D00B37">
        <w:rPr>
          <w:rFonts w:ascii="Times New Roman" w:hAnsi="Times New Roman"/>
        </w:rPr>
        <w:t>to meet the data collection and research needs of various government agencies that have been interested in the relationships between child and maternal health, other child outcomes, drug and alcohol use, juvenile deviant behavior and education, employment, and family experiences.</w:t>
      </w:r>
    </w:p>
    <w:p w:rsidR="00FB4F97" w:rsidP="00EC2687" w:rsidRDefault="00FB4F97" w14:paraId="2AFCB9DC" w14:textId="77777777">
      <w:pPr>
        <w:rPr>
          <w:rFonts w:ascii="Times New Roman" w:hAnsi="Times New Roman"/>
        </w:rPr>
      </w:pPr>
    </w:p>
    <w:p w:rsidRPr="00D65FB4" w:rsidR="00EC2687" w:rsidP="00EC2687" w:rsidRDefault="00EC2687" w14:paraId="63AFE83F" w14:textId="05690730">
      <w:pPr>
        <w:rPr>
          <w:rFonts w:ascii="Times New Roman" w:hAnsi="Times New Roman"/>
        </w:rPr>
      </w:pPr>
      <w:r w:rsidRPr="00D65FB4">
        <w:rPr>
          <w:rFonts w:ascii="Times New Roman" w:hAnsi="Times New Roman"/>
        </w:rPr>
        <w:t>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biennial interviews will allow researchers and policymakers to examine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Pr="00A90F14" w:rsidR="005E28CD" w:rsidP="00EC2687" w:rsidRDefault="005E28CD" w14:paraId="052C6588" w14:textId="77777777"/>
    <w:p w:rsidRPr="00F61351" w:rsidR="00EC2687" w:rsidP="00EC2687" w:rsidRDefault="00EC2687" w14:paraId="008B0E3E" w14:textId="77777777">
      <w:pPr>
        <w:rPr>
          <w:rFonts w:ascii="Times New Roman" w:hAnsi="Times New Roman"/>
        </w:rPr>
      </w:pPr>
      <w:r w:rsidRPr="00F61351">
        <w:rPr>
          <w:rFonts w:ascii="Times New Roman" w:hAnsi="Times New Roman"/>
        </w:rPr>
        <w:t>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Pr="00F61351" w:rsidR="00EC2687" w:rsidP="00EC2687" w:rsidRDefault="00EC2687" w14:paraId="71AE0503" w14:textId="77777777">
      <w:pPr>
        <w:rPr>
          <w:rFonts w:ascii="Times New Roman" w:hAnsi="Times New Roman"/>
        </w:rPr>
      </w:pPr>
    </w:p>
    <w:p w:rsidRPr="00F61351" w:rsidR="00EC2687" w:rsidP="00EC2687" w:rsidRDefault="00EC2687" w14:paraId="3C032F8A" w14:textId="6F2BE1B4">
      <w:pPr>
        <w:rPr>
          <w:rFonts w:ascii="Times New Roman" w:hAnsi="Times New Roman"/>
        </w:rPr>
      </w:pPr>
      <w:r w:rsidRPr="00F61351">
        <w:rPr>
          <w:rFonts w:ascii="Times New Roman" w:hAnsi="Times New Roman"/>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w:t>
      </w:r>
      <w:r w:rsidR="00F62A9A">
        <w:rPr>
          <w:rFonts w:ascii="Times New Roman" w:hAnsi="Times New Roman"/>
        </w:rPr>
        <w:t>al</w:t>
      </w:r>
      <w:r w:rsidRPr="00F61351">
        <w:rPr>
          <w:rFonts w:ascii="Times New Roman" w:hAnsi="Times New Roman"/>
        </w:rPr>
        <w:t xml:space="preserve"> information available for each respondent for each survey year permits a more careful examination of the impact that local labor market conditions have on the employment, education, and family experiences of this cohort.</w:t>
      </w:r>
    </w:p>
    <w:p w:rsidRPr="00F61351" w:rsidR="00EC2687" w:rsidP="00EC2687" w:rsidRDefault="00EC2687" w14:paraId="61439247" w14:textId="77777777">
      <w:pPr>
        <w:rPr>
          <w:rFonts w:ascii="Times New Roman" w:hAnsi="Times New Roman"/>
        </w:rPr>
      </w:pPr>
    </w:p>
    <w:p w:rsidRPr="00F61351" w:rsidR="00EC2687" w:rsidP="00EC2687" w:rsidRDefault="00EC2687" w14:paraId="784FA321" w14:textId="461BB271">
      <w:pPr>
        <w:rPr>
          <w:rFonts w:ascii="Times New Roman" w:hAnsi="Times New Roman"/>
        </w:rPr>
      </w:pPr>
      <w:r w:rsidRPr="00F61351">
        <w:rPr>
          <w:rFonts w:ascii="Times New Roman" w:hAnsi="Times New Roman"/>
        </w:rPr>
        <w:t>Third, the</w:t>
      </w:r>
      <w:r w:rsidR="00440720">
        <w:rPr>
          <w:rFonts w:ascii="Times New Roman" w:hAnsi="Times New Roman"/>
        </w:rPr>
        <w:t xml:space="preserve"> NLS</w:t>
      </w:r>
      <w:r w:rsidRPr="002809C6" w:rsidR="00440720">
        <w:rPr>
          <w:rFonts w:ascii="Times New Roman" w:hAnsi="Times New Roman"/>
        </w:rPr>
        <w:t>Y</w:t>
      </w:r>
      <w:r w:rsidR="00440720">
        <w:rPr>
          <w:rFonts w:ascii="Times New Roman" w:hAnsi="Times New Roman"/>
        </w:rPr>
        <w:t>97’s</w:t>
      </w:r>
      <w:r w:rsidRPr="00F61351">
        <w:rPr>
          <w:rFonts w:ascii="Times New Roman" w:hAnsi="Times New Roman"/>
        </w:rPr>
        <w:t xml:space="preserve"> supplemental samples of blacks and Hispanics make possible more detailed statistical analyses of those groups than would otherwise be possible.</w:t>
      </w:r>
    </w:p>
    <w:p w:rsidRPr="00F61351" w:rsidR="00EC2687" w:rsidP="00EC2687" w:rsidRDefault="00EC2687" w14:paraId="22321410" w14:textId="77777777">
      <w:pPr>
        <w:rPr>
          <w:rFonts w:ascii="Times New Roman" w:hAnsi="Times New Roman"/>
        </w:rPr>
      </w:pPr>
    </w:p>
    <w:p w:rsidRPr="00FB4F97" w:rsidR="00EC2687" w:rsidP="00EC2687" w:rsidRDefault="00EC2687" w14:paraId="76387304" w14:textId="77777777">
      <w:pPr>
        <w:rPr>
          <w:rFonts w:ascii="Times New Roman" w:hAnsi="Times New Roman"/>
        </w:rPr>
      </w:pPr>
      <w:r w:rsidRPr="00F61351">
        <w:rPr>
          <w:rFonts w:ascii="Times New Roman" w:hAnsi="Times New Roman"/>
        </w:rPr>
        <w:lastRenderedPageBreak/>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In 1979, the National Longitudinal Survey of Youth 1979 (NLSY79 – OMB Clearance Number 1220-0109),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w:t>
      </w:r>
      <w:r w:rsidRPr="00FB4F97">
        <w:rPr>
          <w:rFonts w:ascii="Times New Roman" w:hAnsi="Times New Roman"/>
        </w:rPr>
        <w:t>the labor market.  These earlier surveys provide comparable data for the NLSY97.</w:t>
      </w:r>
    </w:p>
    <w:p w:rsidRPr="00FB4F97" w:rsidR="00EC2687" w:rsidP="00EC2687" w:rsidRDefault="00EC2687" w14:paraId="6EA14C0C" w14:textId="77777777">
      <w:pPr>
        <w:rPr>
          <w:rFonts w:ascii="Times New Roman" w:hAnsi="Times New Roman"/>
        </w:rPr>
      </w:pPr>
    </w:p>
    <w:p w:rsidRPr="00FB4F97" w:rsidR="00EC2687" w:rsidP="00EC2687" w:rsidRDefault="00EC2687" w14:paraId="3CEF6245" w14:textId="240673E1">
      <w:pPr>
        <w:rPr>
          <w:rFonts w:ascii="Times New Roman" w:hAnsi="Times New Roman"/>
        </w:rPr>
      </w:pPr>
      <w:r w:rsidRPr="00FB4F97">
        <w:rPr>
          <w:rFonts w:ascii="Times New Roman" w:hAnsi="Times New Roman"/>
        </w:rPr>
        <w:t xml:space="preserve">The most recent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news release that examines NLSY97 data was published on </w:t>
      </w:r>
      <w:r w:rsidRPr="00FB4F97" w:rsidR="00FB4F97">
        <w:rPr>
          <w:rFonts w:ascii="Times New Roman" w:hAnsi="Times New Roman"/>
        </w:rPr>
        <w:t>May 5</w:t>
      </w:r>
      <w:r w:rsidRPr="00FB4F97">
        <w:rPr>
          <w:rFonts w:ascii="Times New Roman" w:hAnsi="Times New Roman"/>
        </w:rPr>
        <w:t>, 20</w:t>
      </w:r>
      <w:r w:rsidRPr="00FB4F97" w:rsidR="00FB4F97">
        <w:rPr>
          <w:rFonts w:ascii="Times New Roman" w:hAnsi="Times New Roman"/>
        </w:rPr>
        <w:t>20</w:t>
      </w:r>
      <w:r w:rsidRPr="00FB4F97">
        <w:rPr>
          <w:rFonts w:ascii="Times New Roman" w:hAnsi="Times New Roman"/>
        </w:rPr>
        <w:t xml:space="preserve">, and is available online at </w:t>
      </w:r>
      <w:hyperlink w:history="1" r:id="rId11">
        <w:r w:rsidRPr="00FB4F97">
          <w:rPr>
            <w:rStyle w:val="Hyperlink"/>
            <w:rFonts w:ascii="Times New Roman" w:hAnsi="Times New Roman"/>
          </w:rPr>
          <w:t>http://www.bls.gov/news.release/pdf/nlsyth.pdf</w:t>
        </w:r>
      </w:hyperlink>
      <w:r w:rsidRPr="00FB4F97">
        <w:rPr>
          <w:rFonts w:ascii="Times New Roman" w:hAnsi="Times New Roman"/>
        </w:rPr>
        <w:t xml:space="preserve">.  In addition to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w:history="1" r:id="rId12">
        <w:r w:rsidRPr="00FB4F97">
          <w:rPr>
            <w:rStyle w:val="Hyperlink"/>
            <w:rFonts w:ascii="Times New Roman" w:hAnsi="Times New Roman"/>
          </w:rPr>
          <w:t>http://www.nlsbibliography.org/</w:t>
        </w:r>
      </w:hyperlink>
      <w:r w:rsidRPr="00FB4F97">
        <w:rPr>
          <w:rFonts w:ascii="Times New Roman" w:hAnsi="Times New Roman"/>
        </w:rPr>
        <w:t>.</w:t>
      </w:r>
    </w:p>
    <w:p w:rsidR="006D0E92" w:rsidP="006D0E92" w:rsidRDefault="006D0E92" w14:paraId="54DCDA5C" w14:textId="77777777">
      <w:pPr>
        <w:widowControl/>
        <w:rPr>
          <w:rFonts w:ascii="Times New Roman" w:hAnsi="Times New Roman"/>
          <w:bCs/>
        </w:rPr>
      </w:pPr>
    </w:p>
    <w:p w:rsidRPr="00D87ED3" w:rsidR="006D0E92" w:rsidP="006D0E92" w:rsidRDefault="004F4B0A" w14:paraId="37B1D231" w14:textId="7423D7C9">
      <w:pPr>
        <w:widowControl/>
        <w:rPr>
          <w:rFonts w:ascii="Times New Roman" w:hAnsi="Times New Roman"/>
          <w:bCs/>
        </w:rPr>
      </w:pPr>
      <w:r>
        <w:rPr>
          <w:rFonts w:ascii="Times New Roman" w:hAnsi="Times New Roman"/>
          <w:bCs/>
        </w:rPr>
        <w:t>In addition to collecting a 20</w:t>
      </w:r>
      <w:r w:rsidRPr="004F4B0A">
        <w:rPr>
          <w:rFonts w:ascii="Times New Roman" w:hAnsi="Times New Roman"/>
          <w:bCs/>
          <w:vertAlign w:val="superscript"/>
        </w:rPr>
        <w:t>th</w:t>
      </w:r>
      <w:r>
        <w:rPr>
          <w:rFonts w:ascii="Times New Roman" w:hAnsi="Times New Roman"/>
          <w:bCs/>
        </w:rPr>
        <w:t xml:space="preserve"> round for the NLSY97’s main fielding, </w:t>
      </w:r>
      <w:r w:rsidR="003110E6">
        <w:rPr>
          <w:rFonts w:ascii="Times New Roman" w:hAnsi="Times New Roman"/>
          <w:bCs/>
        </w:rPr>
        <w:t xml:space="preserve">NLS </w:t>
      </w:r>
      <w:r>
        <w:rPr>
          <w:rFonts w:ascii="Times New Roman" w:hAnsi="Times New Roman"/>
          <w:bCs/>
        </w:rPr>
        <w:t>also</w:t>
      </w:r>
      <w:r w:rsidR="006D0E92">
        <w:rPr>
          <w:rFonts w:ascii="Times New Roman" w:hAnsi="Times New Roman"/>
          <w:bCs/>
        </w:rPr>
        <w:t xml:space="preserve"> propose</w:t>
      </w:r>
      <w:r w:rsidR="003110E6">
        <w:rPr>
          <w:rFonts w:ascii="Times New Roman" w:hAnsi="Times New Roman"/>
          <w:bCs/>
        </w:rPr>
        <w:t>s</w:t>
      </w:r>
      <w:r w:rsidR="006D0E92">
        <w:rPr>
          <w:rFonts w:ascii="Times New Roman" w:hAnsi="Times New Roman"/>
          <w:bCs/>
        </w:rPr>
        <w:t xml:space="preserve"> to contact sample members </w:t>
      </w:r>
      <w:r w:rsidR="00D733FE">
        <w:rPr>
          <w:rFonts w:ascii="Times New Roman" w:hAnsi="Times New Roman"/>
          <w:bCs/>
        </w:rPr>
        <w:t>between</w:t>
      </w:r>
      <w:r w:rsidR="006D0E92">
        <w:rPr>
          <w:rFonts w:ascii="Times New Roman" w:hAnsi="Times New Roman"/>
          <w:bCs/>
        </w:rPr>
        <w:t xml:space="preserve"> Round</w:t>
      </w:r>
      <w:r w:rsidR="00D733FE">
        <w:rPr>
          <w:rFonts w:ascii="Times New Roman" w:hAnsi="Times New Roman"/>
          <w:bCs/>
        </w:rPr>
        <w:t>s</w:t>
      </w:r>
      <w:r w:rsidR="006D0E92">
        <w:rPr>
          <w:rFonts w:ascii="Times New Roman" w:hAnsi="Times New Roman"/>
          <w:bCs/>
        </w:rPr>
        <w:t xml:space="preserve"> 20 and 21 to </w:t>
      </w:r>
      <w:r>
        <w:rPr>
          <w:rFonts w:ascii="Times New Roman" w:hAnsi="Times New Roman"/>
          <w:bCs/>
        </w:rPr>
        <w:t>ensure the continued strong</w:t>
      </w:r>
      <w:r w:rsidR="006D0E92">
        <w:rPr>
          <w:rFonts w:ascii="Times New Roman" w:hAnsi="Times New Roman"/>
          <w:bCs/>
        </w:rPr>
        <w:t xml:space="preserve"> connection </w:t>
      </w:r>
      <w:r w:rsidR="00D733FE">
        <w:rPr>
          <w:rFonts w:ascii="Times New Roman" w:hAnsi="Times New Roman"/>
          <w:bCs/>
        </w:rPr>
        <w:t xml:space="preserve">of </w:t>
      </w:r>
      <w:r>
        <w:rPr>
          <w:rFonts w:ascii="Times New Roman" w:hAnsi="Times New Roman"/>
          <w:bCs/>
        </w:rPr>
        <w:t xml:space="preserve">sample members </w:t>
      </w:r>
      <w:r w:rsidR="00D733FE">
        <w:rPr>
          <w:rFonts w:ascii="Times New Roman" w:hAnsi="Times New Roman"/>
          <w:bCs/>
        </w:rPr>
        <w:t>with</w:t>
      </w:r>
      <w:r w:rsidR="006D0E92">
        <w:rPr>
          <w:rFonts w:ascii="Times New Roman" w:hAnsi="Times New Roman"/>
          <w:bCs/>
        </w:rPr>
        <w:t xml:space="preserve"> the survey. The details of such interim contact</w:t>
      </w:r>
      <w:r w:rsidR="00D733FE">
        <w:rPr>
          <w:rFonts w:ascii="Times New Roman" w:hAnsi="Times New Roman"/>
          <w:bCs/>
        </w:rPr>
        <w:t>, which</w:t>
      </w:r>
      <w:r w:rsidR="006D0E92">
        <w:rPr>
          <w:rFonts w:ascii="Times New Roman" w:hAnsi="Times New Roman"/>
          <w:bCs/>
        </w:rPr>
        <w:t xml:space="preserve"> depend on </w:t>
      </w:r>
      <w:r w:rsidR="004C1451">
        <w:rPr>
          <w:rFonts w:ascii="Times New Roman" w:hAnsi="Times New Roman"/>
          <w:bCs/>
        </w:rPr>
        <w:t xml:space="preserve">NLS’ </w:t>
      </w:r>
      <w:r w:rsidR="006D0E92">
        <w:rPr>
          <w:rFonts w:ascii="Times New Roman" w:hAnsi="Times New Roman"/>
          <w:bCs/>
        </w:rPr>
        <w:t>experiences during the supplemental survey to be fielded in s</w:t>
      </w:r>
      <w:r w:rsidR="00D733FE">
        <w:rPr>
          <w:rFonts w:ascii="Times New Roman" w:hAnsi="Times New Roman"/>
          <w:bCs/>
        </w:rPr>
        <w:t xml:space="preserve">pring 2021 and during Round 20, </w:t>
      </w:r>
      <w:r w:rsidR="006D0E92">
        <w:rPr>
          <w:rFonts w:ascii="Times New Roman" w:hAnsi="Times New Roman"/>
          <w:bCs/>
        </w:rPr>
        <w:t>will be submitted as a non-substan</w:t>
      </w:r>
      <w:r w:rsidR="00153665">
        <w:rPr>
          <w:rFonts w:ascii="Times New Roman" w:hAnsi="Times New Roman"/>
          <w:bCs/>
        </w:rPr>
        <w:t>tive</w:t>
      </w:r>
      <w:r w:rsidR="006D0E92">
        <w:rPr>
          <w:rFonts w:ascii="Times New Roman" w:hAnsi="Times New Roman"/>
          <w:bCs/>
        </w:rPr>
        <w:t xml:space="preserve"> change to this OMB package.</w:t>
      </w:r>
    </w:p>
    <w:p w:rsidRPr="00B65823" w:rsidR="006D0E92" w:rsidP="00690F56" w:rsidRDefault="006D0E92" w14:paraId="21BC8323" w14:textId="77777777">
      <w:pPr>
        <w:widowControl/>
        <w:rPr>
          <w:rFonts w:ascii="Times New Roman" w:hAnsi="Times New Roman"/>
        </w:rPr>
      </w:pPr>
    </w:p>
    <w:p w:rsidRPr="00B65823" w:rsidR="003B13A8" w:rsidP="00690F56" w:rsidRDefault="003B13A8" w14:paraId="2C5FA43C"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B65823" w:rsidRDefault="00690F56" w14:paraId="04006A6E" w14:textId="77777777">
      <w:pPr>
        <w:widowControl/>
        <w:rPr>
          <w:rFonts w:ascii="Times New Roman" w:hAnsi="Times New Roman"/>
        </w:rPr>
      </w:pPr>
    </w:p>
    <w:p w:rsidRPr="0099531F" w:rsidR="00F34D38" w:rsidP="002C0BB8" w:rsidRDefault="00F34D38" w14:paraId="5744BECC" w14:textId="77777777">
      <w:pPr>
        <w:pStyle w:val="CommentText"/>
        <w:rPr>
          <w:rFonts w:ascii="Times New Roman" w:hAnsi="Times New Roman"/>
          <w:sz w:val="24"/>
        </w:rPr>
      </w:pPr>
      <w:r w:rsidRPr="0099531F">
        <w:rPr>
          <w:rFonts w:ascii="Times New Roman" w:hAnsi="Times New Roman"/>
          <w:sz w:val="24"/>
        </w:rPr>
        <w:t xml:space="preserve">The NLS program and its contractors have led the industry in survey automation and continue to use up-to-date methods for the NLSY97.  This includes the continued use of computer-assisted interviewing (CAI) for the survey.  </w:t>
      </w:r>
      <w:r w:rsidRPr="0099531F">
        <w:rPr>
          <w:rFonts w:ascii="Times New Roman" w:hAnsi="Times New Roman"/>
          <w:sz w:val="24"/>
          <w:szCs w:val="24"/>
        </w:rPr>
        <w:t xml:space="preserve">CAI can reduce respondent burden and produce data that can be prepared for release and analysis faster and more accurately than is the case with pencil-and-paper interviews.  </w:t>
      </w:r>
    </w:p>
    <w:p w:rsidRPr="0099531F" w:rsidR="00F34D38" w:rsidP="002C0BB8" w:rsidRDefault="00F34D38" w14:paraId="03588E6D" w14:textId="77777777">
      <w:pPr>
        <w:pStyle w:val="CommentText"/>
        <w:rPr>
          <w:rFonts w:ascii="Times New Roman" w:hAnsi="Times New Roman"/>
          <w:sz w:val="24"/>
        </w:rPr>
      </w:pPr>
    </w:p>
    <w:p w:rsidRPr="0099531F" w:rsidR="00F34D38" w:rsidP="002C0BB8" w:rsidRDefault="00F34D38" w14:paraId="775C97CD" w14:textId="700D24E2">
      <w:pPr>
        <w:rPr>
          <w:rFonts w:ascii="Times New Roman" w:hAnsi="Times New Roman"/>
        </w:rPr>
      </w:pPr>
      <w:r w:rsidRPr="0099531F">
        <w:rPr>
          <w:rFonts w:ascii="Times New Roman" w:hAnsi="Times New Roman"/>
        </w:rPr>
        <w:t xml:space="preserve">In Round 20, </w:t>
      </w:r>
      <w:r w:rsidR="001460B6">
        <w:rPr>
          <w:rFonts w:ascii="Times New Roman" w:hAnsi="Times New Roman"/>
        </w:rPr>
        <w:t>NLS</w:t>
      </w:r>
      <w:r w:rsidRPr="0099531F" w:rsidR="001460B6">
        <w:rPr>
          <w:rFonts w:ascii="Times New Roman" w:hAnsi="Times New Roman"/>
        </w:rPr>
        <w:t xml:space="preserve"> </w:t>
      </w:r>
      <w:r w:rsidRPr="0099531F">
        <w:rPr>
          <w:rFonts w:ascii="Times New Roman" w:hAnsi="Times New Roman"/>
        </w:rPr>
        <w:t>propose</w:t>
      </w:r>
      <w:r w:rsidR="001460B6">
        <w:rPr>
          <w:rFonts w:ascii="Times New Roman" w:hAnsi="Times New Roman"/>
        </w:rPr>
        <w:t>s</w:t>
      </w:r>
      <w:r w:rsidRPr="0099531F">
        <w:rPr>
          <w:rFonts w:ascii="Times New Roman" w:hAnsi="Times New Roman"/>
        </w:rPr>
        <w:t xml:space="preserve"> to collect data primarily by telephone, as in Rounds 18 and 19.  While historically an in-person survey, the NLSY97 was converted to a predominantly telephone survey in Round 18, when approximately 90 percent of interviews were completed by telephone. </w:t>
      </w:r>
      <w:r w:rsidR="002857BF">
        <w:rPr>
          <w:rFonts w:ascii="Times New Roman" w:hAnsi="Times New Roman"/>
        </w:rPr>
        <w:t xml:space="preserve"> </w:t>
      </w:r>
      <w:r w:rsidRPr="0099531F">
        <w:rPr>
          <w:rFonts w:ascii="Times New Roman" w:hAnsi="Times New Roman"/>
        </w:rPr>
        <w:lastRenderedPageBreak/>
        <w:t xml:space="preserve">This reflected a dramatic increase over Rounds 16 and 17, in which 15 and 27 percent were completed by telephone, respectively. </w:t>
      </w:r>
      <w:r w:rsidR="002857BF">
        <w:rPr>
          <w:rFonts w:ascii="Times New Roman" w:hAnsi="Times New Roman"/>
        </w:rPr>
        <w:t xml:space="preserve"> </w:t>
      </w:r>
      <w:r w:rsidRPr="0099531F">
        <w:rPr>
          <w:rFonts w:ascii="Times New Roman" w:hAnsi="Times New Roman"/>
        </w:rPr>
        <w:t xml:space="preserve">In Round 19, the ability to collect information over the phone was a key factor in the survey’s ability to maintain response rates during the Coronavirus pandemic.  Approximately 96 percent were collected via telephone in Round 19.  </w:t>
      </w:r>
    </w:p>
    <w:p w:rsidRPr="0099531F" w:rsidR="00F34D38" w:rsidP="002C0BB8" w:rsidRDefault="00F34D38" w14:paraId="36389A1F" w14:textId="77777777">
      <w:pPr>
        <w:rPr>
          <w:rFonts w:ascii="Times New Roman" w:hAnsi="Times New Roman"/>
        </w:rPr>
      </w:pPr>
    </w:p>
    <w:p w:rsidRPr="0099531F" w:rsidR="00F34D38" w:rsidP="00D53409" w:rsidRDefault="00F34D38" w14:paraId="41C109A3" w14:textId="7AA129C6">
      <w:pPr>
        <w:tabs>
          <w:tab w:val="left" w:pos="5580"/>
        </w:tabs>
        <w:rPr>
          <w:rFonts w:ascii="Times New Roman" w:hAnsi="Times New Roman"/>
        </w:rPr>
      </w:pPr>
      <w:r w:rsidRPr="0099531F">
        <w:rPr>
          <w:rFonts w:ascii="Times New Roman" w:hAnsi="Times New Roman"/>
        </w:rPr>
        <w:t xml:space="preserve">If abatement of the pandemic allows it, </w:t>
      </w:r>
      <w:r w:rsidR="003110E6">
        <w:rPr>
          <w:rFonts w:ascii="Times New Roman" w:hAnsi="Times New Roman"/>
        </w:rPr>
        <w:t>NLS</w:t>
      </w:r>
      <w:r w:rsidRPr="0099531F" w:rsidR="003110E6">
        <w:rPr>
          <w:rFonts w:ascii="Times New Roman" w:hAnsi="Times New Roman"/>
        </w:rPr>
        <w:t xml:space="preserve"> </w:t>
      </w:r>
      <w:r w:rsidRPr="0099531F">
        <w:rPr>
          <w:rFonts w:ascii="Times New Roman" w:hAnsi="Times New Roman"/>
        </w:rPr>
        <w:t>expect</w:t>
      </w:r>
      <w:r w:rsidR="003110E6">
        <w:rPr>
          <w:rFonts w:ascii="Times New Roman" w:hAnsi="Times New Roman"/>
        </w:rPr>
        <w:t>s</w:t>
      </w:r>
      <w:r w:rsidRPr="0099531F">
        <w:rPr>
          <w:rFonts w:ascii="Times New Roman" w:hAnsi="Times New Roman"/>
        </w:rPr>
        <w:t xml:space="preserve"> to supplement telephone interviewing with in-person contacts as a non-response follow-up strategy for a small number of cases that are identified by special circumstances, such as difficulty locating a respondent without in-person efforts, respondent’s lack of a telephone, or prison cases where only </w:t>
      </w:r>
      <w:r w:rsidR="00675B7E">
        <w:rPr>
          <w:rFonts w:ascii="Times New Roman" w:hAnsi="Times New Roman"/>
        </w:rPr>
        <w:t xml:space="preserve">an </w:t>
      </w:r>
      <w:r w:rsidRPr="0099531F">
        <w:rPr>
          <w:rFonts w:ascii="Times New Roman" w:hAnsi="Times New Roman"/>
        </w:rPr>
        <w:t xml:space="preserve">in-person interview is approved. In-person interviewing has been deployed similarly in NLS surveys for many years.  NLS does not propose to use self-administered modes in Round 20, but </w:t>
      </w:r>
      <w:r w:rsidR="000D00C5">
        <w:rPr>
          <w:rFonts w:ascii="Times New Roman" w:hAnsi="Times New Roman"/>
        </w:rPr>
        <w:t>NLS</w:t>
      </w:r>
      <w:r w:rsidRPr="0099531F" w:rsidR="000D00C5">
        <w:rPr>
          <w:rFonts w:ascii="Times New Roman" w:hAnsi="Times New Roman"/>
        </w:rPr>
        <w:t xml:space="preserve"> </w:t>
      </w:r>
      <w:r w:rsidRPr="0099531F">
        <w:rPr>
          <w:rFonts w:ascii="Times New Roman" w:hAnsi="Times New Roman"/>
        </w:rPr>
        <w:t>will be evaluating the results of a separate collection effort administered via a web application between Rounds 19 and 20 for potential use in future rounds.</w:t>
      </w:r>
    </w:p>
    <w:p w:rsidRPr="0099531F" w:rsidR="00F34D38" w:rsidP="002C0BB8" w:rsidRDefault="00F34D38" w14:paraId="259B9413" w14:textId="77777777">
      <w:pPr>
        <w:rPr>
          <w:rFonts w:ascii="Times New Roman" w:hAnsi="Times New Roman"/>
        </w:rPr>
      </w:pPr>
    </w:p>
    <w:p w:rsidRPr="00D53409" w:rsidR="00F34D38" w:rsidP="002C0BB8" w:rsidRDefault="00F34D38" w14:paraId="10116D93" w14:textId="2DC0CDF9">
      <w:pPr>
        <w:rPr>
          <w:rFonts w:ascii="Times New Roman" w:hAnsi="Times New Roman"/>
          <w:color w:val="000000" w:themeColor="text1"/>
        </w:rPr>
      </w:pPr>
      <w:r w:rsidRPr="0099531F">
        <w:rPr>
          <w:rFonts w:ascii="Times New Roman" w:hAnsi="Times New Roman"/>
        </w:rPr>
        <w:t xml:space="preserve">Mode effects on item non-response may vary.  Compared to self-administered modes, interviewer-administered collection has been found to result in the under-reporting of sensitive items (Tourangeau and Yan, Psychological Bulletin 2007, Vol. 133, No. 5, 859–883).  For drug use, for example, estimates of under-reporting range from 19 to 30 percent across multiple meta-analyses of experimental and quasi-experimental studies (Tourangeau and Yan 2007, Richmand, Kiesler, Weisband, and Drasgow 1999).  However, this effect may be ameliorated by the use of telephone interviewing, which has been found to lead to less under-reporting of sensitive items such as income and other financial items than face-to-face interviewing. (de Leeuw E.D., van der Zouwen J. (1988). “Data quality in telephone and face to face surveys: a comparative meta-analysis.” In: Groves RM, Biemer PP, Lyberg LE, Massey JT, Nicholls WL II, Waksberg J, eds. </w:t>
      </w:r>
      <w:r w:rsidRPr="00D53409">
        <w:rPr>
          <w:rFonts w:ascii="Times New Roman" w:hAnsi="Times New Roman"/>
          <w:i/>
          <w:color w:val="000000" w:themeColor="text1"/>
        </w:rPr>
        <w:t>Telephone Survey Methodology</w:t>
      </w:r>
      <w:r w:rsidRPr="00D53409">
        <w:rPr>
          <w:rFonts w:ascii="Times New Roman" w:hAnsi="Times New Roman"/>
          <w:color w:val="000000" w:themeColor="text1"/>
        </w:rPr>
        <w:t xml:space="preserve">, New York: Wiley: 273:99).  Indeed, item non-response did decrease from Round 17 to Round 18 for income and financial items.  For instance, the percentage of respondents reporting </w:t>
      </w:r>
      <w:r w:rsidR="00C6417F">
        <w:rPr>
          <w:rFonts w:ascii="Times New Roman" w:hAnsi="Times New Roman"/>
          <w:color w:val="000000" w:themeColor="text1"/>
        </w:rPr>
        <w:t>“</w:t>
      </w:r>
      <w:r w:rsidRPr="00D53409">
        <w:rPr>
          <w:rFonts w:ascii="Times New Roman" w:hAnsi="Times New Roman"/>
          <w:color w:val="000000" w:themeColor="text1"/>
        </w:rPr>
        <w:t>don’t know</w:t>
      </w:r>
      <w:r w:rsidR="00C6417F">
        <w:rPr>
          <w:rFonts w:ascii="Times New Roman" w:hAnsi="Times New Roman"/>
          <w:color w:val="000000" w:themeColor="text1"/>
        </w:rPr>
        <w:t>”</w:t>
      </w:r>
      <w:r w:rsidRPr="00D53409">
        <w:rPr>
          <w:rFonts w:ascii="Times New Roman" w:hAnsi="Times New Roman"/>
          <w:color w:val="000000" w:themeColor="text1"/>
        </w:rPr>
        <w:t xml:space="preserve"> on the item asking about wages or salary from work fell from 14 to 8.  </w:t>
      </w:r>
    </w:p>
    <w:p w:rsidRPr="0099531F" w:rsidR="00F34D38" w:rsidP="002C0BB8" w:rsidRDefault="00F34D38" w14:paraId="07A54C9D" w14:textId="77777777">
      <w:pPr>
        <w:rPr>
          <w:rFonts w:ascii="Times New Roman" w:hAnsi="Times New Roman"/>
        </w:rPr>
      </w:pPr>
    </w:p>
    <w:p w:rsidRPr="0099531F" w:rsidR="00F34D38" w:rsidP="002C0BB8" w:rsidRDefault="00F34D38" w14:paraId="14784354" w14:textId="5F928210">
      <w:pPr>
        <w:rPr>
          <w:rFonts w:ascii="Times New Roman" w:hAnsi="Times New Roman"/>
        </w:rPr>
      </w:pPr>
      <w:r w:rsidRPr="0099531F">
        <w:rPr>
          <w:rFonts w:ascii="Times New Roman" w:hAnsi="Times New Roman"/>
        </w:rPr>
        <w:t>The collection effort will employ multiple modes of contact to encourage and facilitate its telephone interviews.  These modes include mail, email, telephone, and text messaging</w:t>
      </w:r>
      <w:r w:rsidR="00A07B4A">
        <w:rPr>
          <w:rFonts w:ascii="Times New Roman" w:hAnsi="Times New Roman"/>
        </w:rPr>
        <w:t xml:space="preserve"> including mass texting</w:t>
      </w:r>
      <w:r w:rsidRPr="0099531F">
        <w:rPr>
          <w:rFonts w:ascii="Times New Roman" w:hAnsi="Times New Roman"/>
        </w:rPr>
        <w:t xml:space="preserve">.  NLS targets its outreach methods based on the experiences with respondents in past rounds.  As some respondents have indicated that text messaging is their preferred mode of communication, the use of texts is a significant tool for encouraging participation.  Individual text messages are sent by interviewers through </w:t>
      </w:r>
      <w:r w:rsidR="009E5CB3">
        <w:rPr>
          <w:rFonts w:ascii="Times New Roman" w:hAnsi="Times New Roman"/>
        </w:rPr>
        <w:t>NLS</w:t>
      </w:r>
      <w:r w:rsidR="00424A92">
        <w:rPr>
          <w:rFonts w:ascii="Times New Roman" w:hAnsi="Times New Roman"/>
        </w:rPr>
        <w:t>-</w:t>
      </w:r>
      <w:r w:rsidR="001C4319">
        <w:rPr>
          <w:rFonts w:ascii="Times New Roman" w:hAnsi="Times New Roman"/>
        </w:rPr>
        <w:t>approved</w:t>
      </w:r>
      <w:r w:rsidR="004F1E70">
        <w:rPr>
          <w:rFonts w:ascii="Times New Roman" w:hAnsi="Times New Roman"/>
        </w:rPr>
        <w:t>,</w:t>
      </w:r>
      <w:r w:rsidR="009E5CB3">
        <w:rPr>
          <w:rFonts w:ascii="Times New Roman" w:hAnsi="Times New Roman"/>
        </w:rPr>
        <w:t xml:space="preserve"> project</w:t>
      </w:r>
      <w:r w:rsidRPr="0099531F">
        <w:rPr>
          <w:rFonts w:ascii="Times New Roman" w:hAnsi="Times New Roman"/>
        </w:rPr>
        <w:t xml:space="preserve">-issued </w:t>
      </w:r>
      <w:r w:rsidR="009E5CB3">
        <w:rPr>
          <w:rFonts w:ascii="Times New Roman" w:hAnsi="Times New Roman"/>
        </w:rPr>
        <w:t>phones</w:t>
      </w:r>
      <w:r w:rsidRPr="0099531F">
        <w:rPr>
          <w:rFonts w:ascii="Times New Roman" w:hAnsi="Times New Roman"/>
        </w:rPr>
        <w:t xml:space="preserve">, set to fully comply with all security requirements including multiple layers of password protection, remote monitoring, and complete remote wipe if stolen or lost.  </w:t>
      </w:r>
      <w:r w:rsidR="001C4319">
        <w:rPr>
          <w:rFonts w:ascii="Times New Roman" w:hAnsi="Times New Roman"/>
        </w:rPr>
        <w:t>The NLS project</w:t>
      </w:r>
      <w:r w:rsidRPr="0099531F">
        <w:rPr>
          <w:rFonts w:ascii="Times New Roman" w:hAnsi="Times New Roman"/>
        </w:rPr>
        <w:t xml:space="preserve"> will also employ mass-texting </w:t>
      </w:r>
      <w:r w:rsidR="001C4319">
        <w:rPr>
          <w:rFonts w:ascii="Times New Roman" w:hAnsi="Times New Roman"/>
        </w:rPr>
        <w:t xml:space="preserve">to </w:t>
      </w:r>
      <w:r w:rsidR="007C5527">
        <w:rPr>
          <w:rFonts w:ascii="Times New Roman" w:hAnsi="Times New Roman"/>
        </w:rPr>
        <w:t xml:space="preserve">texting preferred respondents </w:t>
      </w:r>
      <w:r w:rsidRPr="0099531F">
        <w:rPr>
          <w:rFonts w:ascii="Times New Roman" w:hAnsi="Times New Roman"/>
        </w:rPr>
        <w:t>of reminder messages</w:t>
      </w:r>
      <w:r w:rsidR="001C4319">
        <w:rPr>
          <w:rFonts w:ascii="Times New Roman" w:hAnsi="Times New Roman"/>
        </w:rPr>
        <w:t xml:space="preserve"> at a rate of approximately </w:t>
      </w:r>
      <w:r w:rsidR="00AC3092">
        <w:rPr>
          <w:rFonts w:ascii="Times New Roman" w:hAnsi="Times New Roman"/>
        </w:rPr>
        <w:t xml:space="preserve">one </w:t>
      </w:r>
      <w:r w:rsidR="00440720">
        <w:rPr>
          <w:rFonts w:ascii="Times New Roman" w:hAnsi="Times New Roman"/>
        </w:rPr>
        <w:t>per</w:t>
      </w:r>
      <w:r w:rsidR="001C4319">
        <w:rPr>
          <w:rFonts w:ascii="Times New Roman" w:hAnsi="Times New Roman"/>
        </w:rPr>
        <w:t xml:space="preserve"> month</w:t>
      </w:r>
      <w:r w:rsidRPr="0099531F">
        <w:rPr>
          <w:rFonts w:ascii="Times New Roman" w:hAnsi="Times New Roman"/>
        </w:rPr>
        <w:t xml:space="preserve"> </w:t>
      </w:r>
      <w:r w:rsidR="007E4763">
        <w:rPr>
          <w:rFonts w:ascii="Times New Roman" w:hAnsi="Times New Roman"/>
        </w:rPr>
        <w:t xml:space="preserve">until survey completion </w:t>
      </w:r>
      <w:r w:rsidR="001C4319">
        <w:rPr>
          <w:rFonts w:ascii="Times New Roman" w:hAnsi="Times New Roman"/>
        </w:rPr>
        <w:t xml:space="preserve">using a </w:t>
      </w:r>
      <w:r w:rsidR="00ED3F69">
        <w:rPr>
          <w:rFonts w:ascii="Times New Roman" w:hAnsi="Times New Roman"/>
        </w:rPr>
        <w:t xml:space="preserve">third </w:t>
      </w:r>
      <w:r w:rsidR="001C4319">
        <w:rPr>
          <w:rFonts w:ascii="Times New Roman" w:hAnsi="Times New Roman"/>
        </w:rPr>
        <w:t xml:space="preserve">party mass texting application.  Except for the cell phone number, no identifying information is passed to this application.  The </w:t>
      </w:r>
      <w:r w:rsidR="007E4763">
        <w:rPr>
          <w:rFonts w:ascii="Times New Roman" w:hAnsi="Times New Roman"/>
        </w:rPr>
        <w:t xml:space="preserve">mass </w:t>
      </w:r>
      <w:r w:rsidR="001C4319">
        <w:rPr>
          <w:rFonts w:ascii="Times New Roman" w:hAnsi="Times New Roman"/>
        </w:rPr>
        <w:t>texts</w:t>
      </w:r>
      <w:r w:rsidR="007E4763">
        <w:rPr>
          <w:rFonts w:ascii="Times New Roman" w:hAnsi="Times New Roman"/>
        </w:rPr>
        <w:t xml:space="preserve"> follow a BLS</w:t>
      </w:r>
      <w:r w:rsidR="00424A92">
        <w:rPr>
          <w:rFonts w:ascii="Times New Roman" w:hAnsi="Times New Roman"/>
        </w:rPr>
        <w:t>-</w:t>
      </w:r>
      <w:r w:rsidR="007E4763">
        <w:rPr>
          <w:rFonts w:ascii="Times New Roman" w:hAnsi="Times New Roman"/>
        </w:rPr>
        <w:t>approved script and</w:t>
      </w:r>
      <w:r w:rsidR="001C4319">
        <w:rPr>
          <w:rFonts w:ascii="Times New Roman" w:hAnsi="Times New Roman"/>
        </w:rPr>
        <w:t xml:space="preserve"> do not include names, links, the survey name or other identifying characteristics.</w:t>
      </w:r>
      <w:r w:rsidR="007C5527">
        <w:rPr>
          <w:rFonts w:ascii="Times New Roman" w:hAnsi="Times New Roman"/>
        </w:rPr>
        <w:t xml:space="preserve">  </w:t>
      </w:r>
    </w:p>
    <w:p w:rsidRPr="0099531F" w:rsidR="00F34D38" w:rsidP="002C0BB8" w:rsidRDefault="00F34D38" w14:paraId="64BBB598" w14:textId="77777777">
      <w:pPr>
        <w:rPr>
          <w:rFonts w:ascii="Times New Roman" w:hAnsi="Times New Roman"/>
        </w:rPr>
      </w:pPr>
    </w:p>
    <w:p w:rsidRPr="0099531F" w:rsidR="00F34D38" w:rsidP="002C0BB8" w:rsidRDefault="00F34D38" w14:paraId="4A3FAA58" w14:textId="12948831">
      <w:pPr>
        <w:rPr>
          <w:rFonts w:ascii="Times New Roman" w:hAnsi="Times New Roman"/>
        </w:rPr>
      </w:pPr>
      <w:r w:rsidRPr="0099531F">
        <w:rPr>
          <w:rFonts w:ascii="Times New Roman" w:hAnsi="Times New Roman"/>
        </w:rPr>
        <w:t xml:space="preserve">In order to carefully meter the number of in-person interviews that will be conducted, </w:t>
      </w:r>
      <w:r w:rsidR="003110E6">
        <w:rPr>
          <w:rFonts w:ascii="Times New Roman" w:hAnsi="Times New Roman"/>
        </w:rPr>
        <w:t>NLS</w:t>
      </w:r>
      <w:r w:rsidRPr="0099531F" w:rsidR="003110E6">
        <w:rPr>
          <w:rFonts w:ascii="Times New Roman" w:hAnsi="Times New Roman"/>
        </w:rPr>
        <w:t xml:space="preserve"> </w:t>
      </w:r>
      <w:r w:rsidRPr="0099531F">
        <w:rPr>
          <w:rFonts w:ascii="Times New Roman" w:hAnsi="Times New Roman"/>
        </w:rPr>
        <w:t>will employ practices that the NLS has used for years.  In-person interviewing will require approval</w:t>
      </w:r>
      <w:r w:rsidR="00373C4D">
        <w:rPr>
          <w:rFonts w:ascii="Times New Roman" w:hAnsi="Times New Roman"/>
        </w:rPr>
        <w:t xml:space="preserve">, </w:t>
      </w:r>
      <w:r w:rsidRPr="0099531F">
        <w:rPr>
          <w:rFonts w:ascii="Times New Roman" w:hAnsi="Times New Roman"/>
        </w:rPr>
        <w:lastRenderedPageBreak/>
        <w:t xml:space="preserve">based on the facts of the case.  Hearing-related disability or inadequate telephone service will be readily approved for in-person interviewing.  In limited situations where the respondent does not have their own phone or the ability to borrow someone’s phone for the length of the interview, NLS will send a pre-paid cell phone to the respondent with enough minutes to allow the respondent the opportunity to participate. </w:t>
      </w:r>
      <w:r w:rsidR="00B278B1">
        <w:rPr>
          <w:rFonts w:ascii="Times New Roman" w:hAnsi="Times New Roman"/>
        </w:rPr>
        <w:t xml:space="preserve"> </w:t>
      </w:r>
      <w:r w:rsidRPr="0099531F">
        <w:rPr>
          <w:rFonts w:ascii="Times New Roman" w:hAnsi="Times New Roman"/>
        </w:rPr>
        <w:t xml:space="preserve">When addressing a respondent preference, in-person interviewing will only be approved when interviewers and field manager believe that the only alternative to in-person interview is respondent non-interview.  The staffing model for Round 20 will be geographically diverse to permit in-person outreach.  </w:t>
      </w:r>
    </w:p>
    <w:p w:rsidRPr="0099531F" w:rsidR="00F34D38" w:rsidP="002C0BB8" w:rsidRDefault="00F34D38" w14:paraId="0776C9DD" w14:textId="77777777">
      <w:pPr>
        <w:rPr>
          <w:rFonts w:ascii="Times New Roman" w:hAnsi="Times New Roman"/>
        </w:rPr>
      </w:pPr>
    </w:p>
    <w:p w:rsidRPr="0099531F" w:rsidR="00F34D38" w:rsidRDefault="00F34D38" w14:paraId="4DDCA43E" w14:textId="222D9AC9">
      <w:pPr>
        <w:rPr>
          <w:rFonts w:ascii="Times New Roman" w:hAnsi="Times New Roman"/>
        </w:rPr>
      </w:pPr>
      <w:r w:rsidRPr="0099531F">
        <w:rPr>
          <w:rFonts w:ascii="Times New Roman" w:hAnsi="Times New Roman"/>
        </w:rPr>
        <w:t xml:space="preserve">Technology will also be deployed in a number of other ways to facilitate collection. </w:t>
      </w:r>
      <w:r w:rsidR="00B278B1">
        <w:rPr>
          <w:rFonts w:ascii="Times New Roman" w:hAnsi="Times New Roman"/>
        </w:rPr>
        <w:t xml:space="preserve"> </w:t>
      </w:r>
      <w:r w:rsidRPr="0099531F">
        <w:rPr>
          <w:rFonts w:ascii="Times New Roman" w:hAnsi="Times New Roman"/>
        </w:rPr>
        <w:t xml:space="preserve">A case-managed interview system will be used to assign cases to field interviewers in a way that maximizes continuity with earlier rounds. Incentive payments will be made available through electronic means to minimize the time between interview and payment. </w:t>
      </w:r>
      <w:r w:rsidR="005D3495">
        <w:rPr>
          <w:rFonts w:ascii="Times New Roman" w:hAnsi="Times New Roman"/>
        </w:rPr>
        <w:t xml:space="preserve"> </w:t>
      </w:r>
      <w:r w:rsidRPr="0099531F">
        <w:rPr>
          <w:rFonts w:ascii="Times New Roman" w:hAnsi="Times New Roman"/>
        </w:rPr>
        <w:t xml:space="preserve">Computer-assisted recorded interviewing (CARI) will be used for data quality assurance, creating less burden than post-interview validation calls.    </w:t>
      </w:r>
    </w:p>
    <w:p w:rsidR="00F34D38" w:rsidP="00B95D50" w:rsidRDefault="00F34D38" w14:paraId="4A1D2B53" w14:textId="77777777">
      <w:pPr>
        <w:rPr>
          <w:rFonts w:ascii="Times New Roman" w:hAnsi="Times New Roman"/>
        </w:rPr>
      </w:pPr>
    </w:p>
    <w:p w:rsidRPr="006A4637" w:rsidR="00690F56" w:rsidP="001F59CB" w:rsidRDefault="00B95D50" w14:paraId="1EFFB376" w14:textId="4A97DB33">
      <w:pPr>
        <w:rPr>
          <w:rFonts w:ascii="Times New Roman" w:hAnsi="Times New Roman"/>
        </w:rPr>
      </w:pPr>
      <w:r w:rsidRPr="001137AA">
        <w:rPr>
          <w:rFonts w:ascii="Times New Roman" w:hAnsi="Times New Roman"/>
        </w:rPr>
        <w:t xml:space="preserve">    </w:t>
      </w: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rsidRDefault="00690F56" w14:paraId="2693B8DC" w14:textId="77777777">
      <w:pPr>
        <w:widowControl/>
        <w:rPr>
          <w:rFonts w:ascii="Times New Roman" w:hAnsi="Times New Roman"/>
        </w:rPr>
      </w:pPr>
    </w:p>
    <w:p w:rsidRPr="001137AA" w:rsidR="001137AA" w:rsidP="001137AA" w:rsidRDefault="003110E6" w14:paraId="7442C8ED" w14:textId="0E27EC77">
      <w:pPr>
        <w:rPr>
          <w:rFonts w:ascii="Times New Roman" w:hAnsi="Times New Roman"/>
        </w:rPr>
      </w:pPr>
      <w:r>
        <w:rPr>
          <w:rFonts w:ascii="Times New Roman" w:hAnsi="Times New Roman"/>
        </w:rPr>
        <w:t>NLS</w:t>
      </w:r>
      <w:r w:rsidRPr="001137AA">
        <w:rPr>
          <w:rFonts w:ascii="Times New Roman" w:hAnsi="Times New Roman"/>
        </w:rPr>
        <w:t xml:space="preserve"> </w:t>
      </w:r>
      <w:r w:rsidRPr="001137AA" w:rsidR="001137AA">
        <w:rPr>
          <w:rFonts w:ascii="Times New Roman" w:hAnsi="Times New Roman"/>
        </w:rPr>
        <w:t>do</w:t>
      </w:r>
      <w:r>
        <w:rPr>
          <w:rFonts w:ascii="Times New Roman" w:hAnsi="Times New Roman"/>
        </w:rPr>
        <w:t>es</w:t>
      </w:r>
      <w:r w:rsidRPr="001137AA" w:rsidR="001137AA">
        <w:rPr>
          <w:rFonts w:ascii="Times New Roman" w:hAnsi="Times New Roman"/>
        </w:rPr>
        <w:t xml:space="preserve"> not know of a national longitudinal survey that samples this age bracket and explores an equivalent breadth of substantive topics 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the National Longitudinal Study of Adolescent Health (Add Health) is less frequent and addresses physical and social health-related behaviors rather than focusing on labor market experiences.  The studies sponsored by the National Center for Education Statistics do not include the birth cohorts 1980 through 1984.  The Children of the NLSY79, also part of the NLS program, spans the NLSY97 age range and touches on many of the same subjects,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Pr="001137AA" w:rsidR="001137AA" w:rsidP="001137AA" w:rsidRDefault="001137AA" w14:paraId="41233045" w14:textId="77777777">
      <w:pPr>
        <w:rPr>
          <w:rFonts w:ascii="Times New Roman" w:hAnsi="Times New Roman"/>
        </w:rPr>
      </w:pPr>
    </w:p>
    <w:p w:rsidRPr="001137AA" w:rsidR="001137AA" w:rsidP="001137AA" w:rsidRDefault="001137AA" w14:paraId="7DFFB0C9" w14:textId="77777777">
      <w:pPr>
        <w:rPr>
          <w:rFonts w:ascii="Times New Roman" w:hAnsi="Times New Roman"/>
        </w:rPr>
      </w:pPr>
      <w:r w:rsidRPr="001137AA">
        <w:rPr>
          <w:rFonts w:ascii="Times New Roman" w:hAnsi="Times New Roman"/>
        </w:rPr>
        <w:t>The repeated collection of NLSY97 information permits consideration of employment, education, and family issues in ways not possible with any other available data set.  The combination of (1) longitudinal data covering the time from adolescence; (2) a focus on youths and young adults; (3) national representation; (4) large minority samples; and (5) detailed availability of education, employment and training, demographic, health, child outcome, and social-psychological variables make this data set and its utility for social science policy research on youth issues unique.</w:t>
      </w:r>
    </w:p>
    <w:p w:rsidRPr="00A47DA7" w:rsidR="001137AA" w:rsidP="00B65823" w:rsidRDefault="001137AA" w14:paraId="48C6233D" w14:textId="77777777">
      <w:pPr>
        <w:widowControl/>
        <w:rPr>
          <w:rFonts w:ascii="Times New Roman" w:hAnsi="Times New Roman"/>
        </w:rPr>
      </w:pPr>
    </w:p>
    <w:p w:rsidRPr="00A973AA" w:rsidR="00690F56" w:rsidP="00B65823" w:rsidRDefault="00690F56" w14:paraId="0C27A844" w14:textId="77777777">
      <w:pPr>
        <w:widowControl/>
        <w:rPr>
          <w:rFonts w:ascii="Times New Roman" w:hAnsi="Times New Roman"/>
        </w:rPr>
      </w:pPr>
    </w:p>
    <w:p w:rsidR="003A3100" w:rsidP="00B65823" w:rsidRDefault="003A3100" w14:paraId="4457F6F2" w14:textId="77777777">
      <w:pPr>
        <w:widowControl/>
        <w:rPr>
          <w:rFonts w:ascii="Times New Roman" w:hAnsi="Times New Roman"/>
          <w:b/>
          <w:bCs/>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lastRenderedPageBreak/>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Pr="00A47DA7" w:rsidR="001137AA" w:rsidP="00B65823" w:rsidRDefault="001137AA" w14:paraId="0AC4FC14" w14:textId="4E3D4347">
      <w:pPr>
        <w:widowControl/>
        <w:rPr>
          <w:rFonts w:ascii="Times New Roman" w:hAnsi="Times New Roman"/>
        </w:rPr>
      </w:pPr>
      <w:r w:rsidRPr="001137AA">
        <w:rPr>
          <w:rFonts w:ascii="Times New Roman" w:hAnsi="Times New Roman"/>
        </w:rPr>
        <w:t>The NLSY97 is a survey of individuals in household and family units and therefore does not involve small organizations.</w:t>
      </w:r>
    </w:p>
    <w:p w:rsidRPr="00A973AA" w:rsidR="00690F56" w:rsidP="00B65823" w:rsidRDefault="00690F56" w14:paraId="5D56A05A" w14:textId="77777777">
      <w:pPr>
        <w:widowControl/>
        <w:rPr>
          <w:rFonts w:ascii="Times New Roman" w:hAnsi="Times New Roman"/>
        </w:rPr>
      </w:pPr>
    </w:p>
    <w:p w:rsidRPr="00A973AA" w:rsidR="003A3100" w:rsidP="00B65823" w:rsidRDefault="003A3100" w14:paraId="66A0DD55"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F34D38" w:rsidR="00F55431" w:rsidP="00B65823" w:rsidRDefault="00F55431" w14:paraId="21BDEEF7" w14:textId="77777777">
      <w:pPr>
        <w:widowControl/>
        <w:rPr>
          <w:rFonts w:ascii="Times New Roman" w:hAnsi="Times New Roman"/>
        </w:rPr>
      </w:pPr>
    </w:p>
    <w:p w:rsidRPr="00B41337" w:rsidR="00B41337" w:rsidP="00B41337" w:rsidRDefault="0035303B" w14:paraId="034ED10B" w14:textId="69F33C58">
      <w:pPr>
        <w:rPr>
          <w:rFonts w:ascii="Times New Roman" w:hAnsi="Times New Roman"/>
        </w:rPr>
      </w:pPr>
      <w:r>
        <w:rPr>
          <w:rFonts w:ascii="Times New Roman" w:hAnsi="Times New Roman"/>
        </w:rPr>
        <w:t xml:space="preserve">The frequency with which the NLSY97 is collected is carefully calibrated to balance informational needs against the cost and burden of collection.  In its first 15 rounds, </w:t>
      </w:r>
      <w:r w:rsidRPr="00B41337" w:rsidR="00B41337">
        <w:rPr>
          <w:rFonts w:ascii="Times New Roman" w:hAnsi="Times New Roman"/>
        </w:rPr>
        <w:t xml:space="preserve">the </w:t>
      </w:r>
      <w:r>
        <w:rPr>
          <w:rFonts w:ascii="Times New Roman" w:hAnsi="Times New Roman"/>
        </w:rPr>
        <w:t>survey</w:t>
      </w:r>
      <w:r w:rsidRPr="00B41337">
        <w:rPr>
          <w:rFonts w:ascii="Times New Roman" w:hAnsi="Times New Roman"/>
        </w:rPr>
        <w:t xml:space="preserve"> </w:t>
      </w:r>
      <w:r w:rsidRPr="00B41337" w:rsidR="00B41337">
        <w:rPr>
          <w:rFonts w:ascii="Times New Roman" w:hAnsi="Times New Roman"/>
        </w:rPr>
        <w:t xml:space="preserve">was conducted annually, </w:t>
      </w:r>
      <w:r>
        <w:rPr>
          <w:rFonts w:ascii="Times New Roman" w:hAnsi="Times New Roman"/>
        </w:rPr>
        <w:t xml:space="preserve">as necessary </w:t>
      </w:r>
      <w:r w:rsidRPr="00B41337" w:rsidR="00B41337">
        <w:rPr>
          <w:rFonts w:ascii="Times New Roman" w:hAnsi="Times New Roman"/>
        </w:rPr>
        <w:t>for accurately capturing the educational, training, labor market, and household transitions that young people typically experience.  Starting in Round 16 data collection changed to a biennial schedule</w:t>
      </w:r>
      <w:r w:rsidR="002A0AC9">
        <w:rPr>
          <w:rFonts w:ascii="Times New Roman" w:hAnsi="Times New Roman"/>
        </w:rPr>
        <w:t>,</w:t>
      </w:r>
      <w:r>
        <w:rPr>
          <w:rFonts w:ascii="Times New Roman" w:hAnsi="Times New Roman"/>
        </w:rPr>
        <w:t xml:space="preserve"> diminishing the survey’s burden</w:t>
      </w:r>
      <w:r w:rsidRPr="00B41337" w:rsidR="00B41337">
        <w:rPr>
          <w:rFonts w:ascii="Times New Roman" w:hAnsi="Times New Roman"/>
        </w:rPr>
        <w:t xml:space="preserve">.  </w:t>
      </w:r>
      <w:r>
        <w:rPr>
          <w:rFonts w:ascii="Times New Roman" w:hAnsi="Times New Roman"/>
        </w:rPr>
        <w:t xml:space="preserve">This transition was made feasible by the lower frequency of </w:t>
      </w:r>
      <w:r w:rsidRPr="00B41337">
        <w:rPr>
          <w:rFonts w:ascii="Times New Roman" w:hAnsi="Times New Roman"/>
        </w:rPr>
        <w:t>educational and labor market transitions</w:t>
      </w:r>
      <w:r>
        <w:rPr>
          <w:rFonts w:ascii="Times New Roman" w:hAnsi="Times New Roman"/>
        </w:rPr>
        <w:t xml:space="preserve"> that </w:t>
      </w:r>
      <w:r w:rsidRPr="00B41337" w:rsidR="00B41337">
        <w:rPr>
          <w:rFonts w:ascii="Times New Roman" w:hAnsi="Times New Roman"/>
        </w:rPr>
        <w:t xml:space="preserve"> NLSY97 respondents </w:t>
      </w:r>
      <w:r w:rsidR="002A0AC9">
        <w:rPr>
          <w:rFonts w:ascii="Times New Roman" w:hAnsi="Times New Roman"/>
        </w:rPr>
        <w:t xml:space="preserve">experience as they </w:t>
      </w:r>
      <w:r w:rsidRPr="00B41337" w:rsidR="00B41337">
        <w:rPr>
          <w:rFonts w:ascii="Times New Roman" w:hAnsi="Times New Roman"/>
        </w:rPr>
        <w:t>age</w:t>
      </w:r>
      <w:r w:rsidR="002A0AC9">
        <w:rPr>
          <w:rFonts w:ascii="Times New Roman" w:hAnsi="Times New Roman"/>
        </w:rPr>
        <w:t>.</w:t>
      </w:r>
      <w:r w:rsidRPr="00B41337" w:rsidR="00B41337">
        <w:rPr>
          <w:rFonts w:ascii="Times New Roman" w:hAnsi="Times New Roman"/>
        </w:rPr>
        <w:t xml:space="preserve">  </w:t>
      </w:r>
    </w:p>
    <w:p w:rsidRPr="00B41337" w:rsidR="00B41337" w:rsidP="00B41337" w:rsidRDefault="00B41337" w14:paraId="01B64E6B" w14:textId="77777777">
      <w:pPr>
        <w:rPr>
          <w:rFonts w:ascii="Times New Roman" w:hAnsi="Times New Roman"/>
        </w:rPr>
      </w:pPr>
    </w:p>
    <w:p w:rsidR="002A0AC9" w:rsidP="00B41337" w:rsidRDefault="002A0AC9" w14:paraId="2503D9FA" w14:textId="2609BC30">
      <w:pPr>
        <w:rPr>
          <w:rFonts w:ascii="Times New Roman" w:hAnsi="Times New Roman"/>
        </w:rPr>
      </w:pPr>
      <w:r>
        <w:rPr>
          <w:rFonts w:ascii="Times New Roman" w:hAnsi="Times New Roman"/>
        </w:rPr>
        <w:t xml:space="preserve">The frequency of </w:t>
      </w:r>
      <w:r w:rsidR="00AA7499">
        <w:rPr>
          <w:rFonts w:ascii="Times New Roman" w:hAnsi="Times New Roman"/>
        </w:rPr>
        <w:t>transitions</w:t>
      </w:r>
      <w:r>
        <w:rPr>
          <w:rFonts w:ascii="Times New Roman" w:hAnsi="Times New Roman"/>
        </w:rPr>
        <w:t xml:space="preserve"> continues to be an important factor in how the NLSY97 determines the appropriate collection frequency.  </w:t>
      </w:r>
      <w:r w:rsidR="00AA7499">
        <w:rPr>
          <w:rFonts w:ascii="Times New Roman" w:hAnsi="Times New Roman"/>
        </w:rPr>
        <w:t>It</w:t>
      </w:r>
      <w:r>
        <w:rPr>
          <w:rFonts w:ascii="Times New Roman" w:hAnsi="Times New Roman"/>
        </w:rPr>
        <w:t xml:space="preserve"> was a key reason that the survey fielded a short, interim supplement between Round 19 and Round 20.  The interim supplement</w:t>
      </w:r>
      <w:r w:rsidR="00554CAA">
        <w:rPr>
          <w:rFonts w:ascii="Times New Roman" w:hAnsi="Times New Roman"/>
        </w:rPr>
        <w:t xml:space="preserve"> was designed to </w:t>
      </w:r>
      <w:r w:rsidR="00AA7499">
        <w:rPr>
          <w:rFonts w:ascii="Times New Roman" w:hAnsi="Times New Roman"/>
        </w:rPr>
        <w:t xml:space="preserve">capture the unique and rapidly changing circumstances surrounding the </w:t>
      </w:r>
      <w:r w:rsidR="00373C4D">
        <w:rPr>
          <w:rFonts w:ascii="Times New Roman" w:hAnsi="Times New Roman"/>
        </w:rPr>
        <w:t>C</w:t>
      </w:r>
      <w:r w:rsidR="00AA7499">
        <w:rPr>
          <w:rFonts w:ascii="Times New Roman" w:hAnsi="Times New Roman"/>
        </w:rPr>
        <w:t>oronavirus pandemic with regard to the sample members’ employment, hea</w:t>
      </w:r>
      <w:r w:rsidR="00373C4D">
        <w:rPr>
          <w:rFonts w:ascii="Times New Roman" w:hAnsi="Times New Roman"/>
        </w:rPr>
        <w:t>l</w:t>
      </w:r>
      <w:r w:rsidR="00AA7499">
        <w:rPr>
          <w:rFonts w:ascii="Times New Roman" w:hAnsi="Times New Roman"/>
        </w:rPr>
        <w:t xml:space="preserve">th and childcare.  As Round 20 </w:t>
      </w:r>
      <w:r w:rsidR="002857BF">
        <w:rPr>
          <w:rFonts w:ascii="Times New Roman" w:hAnsi="Times New Roman"/>
        </w:rPr>
        <w:t>approaches</w:t>
      </w:r>
      <w:r w:rsidR="00AA7499">
        <w:rPr>
          <w:rFonts w:ascii="Times New Roman" w:hAnsi="Times New Roman"/>
        </w:rPr>
        <w:t xml:space="preserve"> with expectations of large changes </w:t>
      </w:r>
      <w:r w:rsidR="002857BF">
        <w:rPr>
          <w:rFonts w:ascii="Times New Roman" w:hAnsi="Times New Roman"/>
        </w:rPr>
        <w:t xml:space="preserve">due to </w:t>
      </w:r>
      <w:r w:rsidR="00AA7499">
        <w:rPr>
          <w:rFonts w:ascii="Times New Roman" w:hAnsi="Times New Roman"/>
        </w:rPr>
        <w:t>the pandemic’s impacts, it is important to capture those changing circumstances again, as well as to collect the many measures that are ordinarily scheduled for bi</w:t>
      </w:r>
      <w:r w:rsidR="00373C4D">
        <w:rPr>
          <w:rFonts w:ascii="Times New Roman" w:hAnsi="Times New Roman"/>
        </w:rPr>
        <w:t>e</w:t>
      </w:r>
      <w:r w:rsidR="00AA7499">
        <w:rPr>
          <w:rFonts w:ascii="Times New Roman" w:hAnsi="Times New Roman"/>
        </w:rPr>
        <w:t>nn</w:t>
      </w:r>
      <w:r w:rsidR="00373C4D">
        <w:rPr>
          <w:rFonts w:ascii="Times New Roman" w:hAnsi="Times New Roman"/>
        </w:rPr>
        <w:t>i</w:t>
      </w:r>
      <w:r w:rsidR="00AA7499">
        <w:rPr>
          <w:rFonts w:ascii="Times New Roman" w:hAnsi="Times New Roman"/>
        </w:rPr>
        <w:t>al collection.</w:t>
      </w:r>
    </w:p>
    <w:p w:rsidR="00AA7499" w:rsidP="00B41337" w:rsidRDefault="00AA7499" w14:paraId="2C961CBD" w14:textId="77777777">
      <w:pPr>
        <w:rPr>
          <w:rFonts w:ascii="Times New Roman" w:hAnsi="Times New Roman"/>
        </w:rPr>
      </w:pPr>
    </w:p>
    <w:p w:rsidR="00AA7499" w:rsidP="00B41337" w:rsidRDefault="00AA7499" w14:paraId="4EA6525A" w14:textId="5E85533B">
      <w:pPr>
        <w:rPr>
          <w:rFonts w:ascii="Times New Roman" w:hAnsi="Times New Roman"/>
        </w:rPr>
      </w:pPr>
      <w:r>
        <w:rPr>
          <w:rFonts w:ascii="Times New Roman" w:hAnsi="Times New Roman"/>
        </w:rPr>
        <w:t xml:space="preserve">Two other considerations impact the determination of collection frequency.  First, </w:t>
      </w:r>
      <w:r w:rsidR="00237044">
        <w:rPr>
          <w:rFonts w:ascii="Times New Roman" w:hAnsi="Times New Roman"/>
        </w:rPr>
        <w:t>among variables for which the survey generates a full event history (</w:t>
      </w:r>
      <w:r w:rsidRPr="00B41337" w:rsidR="00237044">
        <w:rPr>
          <w:rFonts w:ascii="Times New Roman" w:hAnsi="Times New Roman"/>
        </w:rPr>
        <w:t>employment, marriage, fertility, and schooling</w:t>
      </w:r>
      <w:r w:rsidR="00237044">
        <w:rPr>
          <w:rFonts w:ascii="Times New Roman" w:hAnsi="Times New Roman"/>
        </w:rPr>
        <w:t>), long lags between collections may create measurement error through inaccurate recall as well as increasing the length of the interview.  The NLSY97 mitigates these concerns by using</w:t>
      </w:r>
      <w:r w:rsidRPr="00B41337" w:rsidR="00237044">
        <w:rPr>
          <w:rFonts w:ascii="Times New Roman" w:hAnsi="Times New Roman"/>
        </w:rPr>
        <w:t xml:space="preserve"> memory aides and bounding</w:t>
      </w:r>
      <w:r w:rsidR="00237044">
        <w:rPr>
          <w:rFonts w:ascii="Times New Roman" w:hAnsi="Times New Roman"/>
        </w:rPr>
        <w:t xml:space="preserve"> techniques in </w:t>
      </w:r>
      <w:r w:rsidR="004C1451">
        <w:rPr>
          <w:rFonts w:ascii="Times New Roman" w:hAnsi="Times New Roman"/>
        </w:rPr>
        <w:t xml:space="preserve">NLS’ </w:t>
      </w:r>
      <w:r w:rsidR="00237044">
        <w:rPr>
          <w:rFonts w:ascii="Times New Roman" w:hAnsi="Times New Roman"/>
        </w:rPr>
        <w:t>interviewing</w:t>
      </w:r>
      <w:r w:rsidRPr="00B41337" w:rsidR="00237044">
        <w:rPr>
          <w:rFonts w:ascii="Times New Roman" w:hAnsi="Times New Roman"/>
        </w:rPr>
        <w:t xml:space="preserve">. </w:t>
      </w:r>
      <w:r w:rsidR="00237044">
        <w:rPr>
          <w:rFonts w:ascii="Times New Roman" w:hAnsi="Times New Roman"/>
        </w:rPr>
        <w:t xml:space="preserve"> However, diminishing the frequency of collection would heighten the concerns. </w:t>
      </w:r>
    </w:p>
    <w:p w:rsidR="002A0AC9" w:rsidP="00B41337" w:rsidRDefault="002A0AC9" w14:paraId="1FCE24C3" w14:textId="77777777">
      <w:pPr>
        <w:rPr>
          <w:rFonts w:ascii="Times New Roman" w:hAnsi="Times New Roman"/>
        </w:rPr>
      </w:pPr>
    </w:p>
    <w:p w:rsidRPr="00F34D38" w:rsidR="00606F39" w:rsidP="00F704C2" w:rsidRDefault="00843596" w14:paraId="2C02D417" w14:textId="3C142886">
      <w:pPr>
        <w:rPr>
          <w:rFonts w:ascii="Times New Roman" w:hAnsi="Times New Roman"/>
        </w:rPr>
      </w:pPr>
      <w:r>
        <w:rPr>
          <w:rFonts w:ascii="Times New Roman" w:hAnsi="Times New Roman"/>
        </w:rPr>
        <w:t xml:space="preserve">A second consideration is the potential for effects on response.  </w:t>
      </w:r>
      <w:r w:rsidR="00F704C2">
        <w:rPr>
          <w:rFonts w:ascii="Times New Roman" w:hAnsi="Times New Roman"/>
        </w:rPr>
        <w:t>A</w:t>
      </w:r>
      <w:r w:rsidRPr="00F34D38" w:rsidR="00606F39">
        <w:rPr>
          <w:rFonts w:ascii="Times New Roman" w:hAnsi="Times New Roman"/>
        </w:rPr>
        <w:t>s shown in Table 1, the NLSY97 experienced a decline in response rate during Rounds 16, 17</w:t>
      </w:r>
      <w:r w:rsidR="003C2E53">
        <w:rPr>
          <w:rFonts w:ascii="Times New Roman" w:hAnsi="Times New Roman"/>
        </w:rPr>
        <w:t>,</w:t>
      </w:r>
      <w:r w:rsidRPr="00F34D38" w:rsidR="00606F39">
        <w:rPr>
          <w:rFonts w:ascii="Times New Roman" w:hAnsi="Times New Roman"/>
        </w:rPr>
        <w:t xml:space="preserve"> and 18</w:t>
      </w:r>
      <w:r w:rsidR="00FD56A4">
        <w:rPr>
          <w:rFonts w:ascii="Times New Roman" w:hAnsi="Times New Roman"/>
        </w:rPr>
        <w:t xml:space="preserve"> after the </w:t>
      </w:r>
      <w:r w:rsidRPr="00F34D38" w:rsidR="00FD56A4">
        <w:rPr>
          <w:rFonts w:ascii="Times New Roman" w:hAnsi="Times New Roman"/>
        </w:rPr>
        <w:t xml:space="preserve">transition </w:t>
      </w:r>
      <w:r w:rsidR="00FD56A4">
        <w:rPr>
          <w:rFonts w:ascii="Times New Roman" w:hAnsi="Times New Roman"/>
        </w:rPr>
        <w:t>to biennial interviewing</w:t>
      </w:r>
      <w:r w:rsidRPr="00F34D38" w:rsidR="00606F39">
        <w:rPr>
          <w:rFonts w:ascii="Times New Roman" w:hAnsi="Times New Roman"/>
        </w:rPr>
        <w:t xml:space="preserve">, as did the NLSY79 </w:t>
      </w:r>
      <w:r w:rsidR="00FD56A4">
        <w:rPr>
          <w:rFonts w:ascii="Times New Roman" w:hAnsi="Times New Roman"/>
        </w:rPr>
        <w:t>after</w:t>
      </w:r>
      <w:r w:rsidRPr="00F34D38" w:rsidR="00FD56A4">
        <w:rPr>
          <w:rFonts w:ascii="Times New Roman" w:hAnsi="Times New Roman"/>
        </w:rPr>
        <w:t xml:space="preserve"> </w:t>
      </w:r>
      <w:r w:rsidRPr="00F34D38" w:rsidR="00606F39">
        <w:rPr>
          <w:rFonts w:ascii="Times New Roman" w:hAnsi="Times New Roman"/>
        </w:rPr>
        <w:t xml:space="preserve">its transition.  Although the likely causes of the decline in Round 16 were manifold, including a pause in data collection related to a partial shutdown of the federal government and an extremely severe winter, the reduction in respondent contact inherent in the transition to biennial interviewing may have played a role.  The decline in response in Round 18 was larger than expected and, in part, may be attributed to the change in primary mode from in-person to telephone; the rate rebounded in Round 19 (to 79.4) after NLS made adjustments to its fielding procedures.  </w:t>
      </w:r>
      <w:r w:rsidR="00FD56A4">
        <w:rPr>
          <w:rFonts w:ascii="Times New Roman" w:hAnsi="Times New Roman"/>
        </w:rPr>
        <w:t xml:space="preserve">Based on this experience, </w:t>
      </w:r>
      <w:r w:rsidR="001460B6">
        <w:rPr>
          <w:rFonts w:ascii="Times New Roman" w:hAnsi="Times New Roman"/>
        </w:rPr>
        <w:t>NLS</w:t>
      </w:r>
      <w:r w:rsidR="00FD56A4">
        <w:rPr>
          <w:rFonts w:ascii="Times New Roman" w:hAnsi="Times New Roman"/>
        </w:rPr>
        <w:t xml:space="preserve"> would anticipate that further reductions in the frequency of collection would further diminish response.</w:t>
      </w:r>
    </w:p>
    <w:p w:rsidRPr="00F34D38" w:rsidR="00606F39" w:rsidP="00606F39" w:rsidRDefault="00606F39" w14:paraId="038F397F" w14:textId="77777777">
      <w:pPr>
        <w:rPr>
          <w:rFonts w:ascii="Times New Roman" w:hAnsi="Times New Roman"/>
        </w:rPr>
      </w:pPr>
    </w:p>
    <w:p w:rsidRPr="00F34D38" w:rsidR="00606F39" w:rsidP="00606F39" w:rsidRDefault="00606F39" w14:paraId="289D6706" w14:textId="77777777">
      <w:pPr>
        <w:pStyle w:val="IntenseQuote"/>
        <w:ind w:left="0"/>
        <w:rPr>
          <w:rFonts w:ascii="Times New Roman" w:hAnsi="Times New Roman"/>
          <w:b w:val="0"/>
          <w:color w:val="auto"/>
          <w:spacing w:val="5"/>
          <w:sz w:val="24"/>
          <w:szCs w:val="24"/>
        </w:rPr>
      </w:pPr>
      <w:r w:rsidRPr="00F34D38">
        <w:rPr>
          <w:rStyle w:val="BookTitle"/>
          <w:rFonts w:ascii="Times New Roman" w:hAnsi="Times New Roman"/>
          <w:color w:val="auto"/>
          <w:sz w:val="24"/>
          <w:szCs w:val="24"/>
        </w:rPr>
        <w:t>Table 1.  NLSY79 and NLSY97 Response 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Pr="00F34D38" w:rsidR="00606F39" w:rsidTr="002C0BB8" w14:paraId="6AE0BAA4" w14:textId="77777777">
        <w:tc>
          <w:tcPr>
            <w:tcW w:w="2635" w:type="dxa"/>
          </w:tcPr>
          <w:p w:rsidRPr="00F34D38" w:rsidR="00606F39" w:rsidP="002C0BB8" w:rsidRDefault="00606F39" w14:paraId="39861943" w14:textId="77777777">
            <w:pPr>
              <w:rPr>
                <w:rFonts w:ascii="Times New Roman" w:hAnsi="Times New Roman"/>
              </w:rPr>
            </w:pPr>
          </w:p>
        </w:tc>
        <w:tc>
          <w:tcPr>
            <w:tcW w:w="2635" w:type="dxa"/>
          </w:tcPr>
          <w:p w:rsidRPr="00F34D38" w:rsidR="00606F39" w:rsidP="002C0BB8" w:rsidRDefault="00606F39" w14:paraId="6883EF23" w14:textId="77777777">
            <w:pPr>
              <w:rPr>
                <w:rFonts w:ascii="Times New Roman" w:hAnsi="Times New Roman"/>
              </w:rPr>
            </w:pPr>
            <w:r w:rsidRPr="00F34D38">
              <w:rPr>
                <w:rFonts w:ascii="Times New Roman" w:hAnsi="Times New Roman"/>
              </w:rPr>
              <w:t>NLSY79 Response Rate* (Year)</w:t>
            </w:r>
            <w:r w:rsidR="002857BF">
              <w:rPr>
                <w:rFonts w:ascii="Times New Roman" w:hAnsi="Times New Roman"/>
              </w:rPr>
              <w:t xml:space="preserve"> (Round)</w:t>
            </w:r>
          </w:p>
        </w:tc>
        <w:tc>
          <w:tcPr>
            <w:tcW w:w="2635" w:type="dxa"/>
          </w:tcPr>
          <w:p w:rsidRPr="00F34D38" w:rsidR="00606F39" w:rsidP="002C0BB8" w:rsidRDefault="00606F39" w14:paraId="2879FCB7" w14:textId="77777777">
            <w:pPr>
              <w:rPr>
                <w:rFonts w:ascii="Times New Roman" w:hAnsi="Times New Roman"/>
              </w:rPr>
            </w:pPr>
            <w:r w:rsidRPr="00F34D38">
              <w:rPr>
                <w:rFonts w:ascii="Times New Roman" w:hAnsi="Times New Roman"/>
              </w:rPr>
              <w:t>NLSY97 Response Rate* (Year) (Round)</w:t>
            </w:r>
          </w:p>
        </w:tc>
      </w:tr>
      <w:tr w:rsidRPr="00F34D38" w:rsidR="00606F39" w:rsidTr="002C0BB8" w14:paraId="27C1FCD3" w14:textId="77777777">
        <w:tc>
          <w:tcPr>
            <w:tcW w:w="2635" w:type="dxa"/>
          </w:tcPr>
          <w:p w:rsidRPr="00F34D38" w:rsidR="00606F39" w:rsidP="002C0BB8" w:rsidRDefault="002857BF" w14:paraId="4A650E54" w14:textId="6C637D09">
            <w:pPr>
              <w:rPr>
                <w:rFonts w:ascii="Times New Roman" w:hAnsi="Times New Roman"/>
              </w:rPr>
            </w:pPr>
            <w:r>
              <w:rPr>
                <w:rFonts w:ascii="Times New Roman" w:hAnsi="Times New Roman"/>
              </w:rPr>
              <w:t>Two</w:t>
            </w:r>
            <w:r w:rsidRPr="00F34D38" w:rsidR="00606F39">
              <w:rPr>
                <w:rFonts w:ascii="Times New Roman" w:hAnsi="Times New Roman"/>
              </w:rPr>
              <w:t xml:space="preserve"> rounds prior to transition to biennial</w:t>
            </w:r>
          </w:p>
        </w:tc>
        <w:tc>
          <w:tcPr>
            <w:tcW w:w="2635" w:type="dxa"/>
          </w:tcPr>
          <w:p w:rsidRPr="00F34D38" w:rsidR="00606F39" w:rsidP="002C0BB8" w:rsidRDefault="00606F39" w14:paraId="21E383F6" w14:textId="77777777">
            <w:pPr>
              <w:rPr>
                <w:rFonts w:ascii="Times New Roman" w:hAnsi="Times New Roman"/>
              </w:rPr>
            </w:pPr>
            <w:r w:rsidRPr="00F34D38">
              <w:rPr>
                <w:rFonts w:ascii="Times New Roman" w:hAnsi="Times New Roman"/>
              </w:rPr>
              <w:t>92.1 (1993) (R15)</w:t>
            </w:r>
          </w:p>
        </w:tc>
        <w:tc>
          <w:tcPr>
            <w:tcW w:w="2635" w:type="dxa"/>
          </w:tcPr>
          <w:p w:rsidRPr="00F34D38" w:rsidR="00606F39" w:rsidP="002C0BB8" w:rsidRDefault="00606F39" w14:paraId="304A26DF" w14:textId="77777777">
            <w:pPr>
              <w:rPr>
                <w:rFonts w:ascii="Times New Roman" w:hAnsi="Times New Roman"/>
              </w:rPr>
            </w:pPr>
            <w:r w:rsidRPr="00F34D38">
              <w:rPr>
                <w:rFonts w:ascii="Times New Roman" w:hAnsi="Times New Roman"/>
              </w:rPr>
              <w:t>84.4 (2010) (R14)</w:t>
            </w:r>
          </w:p>
        </w:tc>
      </w:tr>
      <w:tr w:rsidRPr="00F34D38" w:rsidR="00606F39" w:rsidTr="002C0BB8" w14:paraId="46E41231" w14:textId="77777777">
        <w:tc>
          <w:tcPr>
            <w:tcW w:w="2635" w:type="dxa"/>
          </w:tcPr>
          <w:p w:rsidRPr="00F34D38" w:rsidR="00606F39" w:rsidP="002C0BB8" w:rsidRDefault="002857BF" w14:paraId="580CECE3" w14:textId="5E95C8DC">
            <w:pPr>
              <w:rPr>
                <w:rFonts w:ascii="Times New Roman" w:hAnsi="Times New Roman"/>
              </w:rPr>
            </w:pPr>
            <w:r>
              <w:rPr>
                <w:rFonts w:ascii="Times New Roman" w:hAnsi="Times New Roman"/>
              </w:rPr>
              <w:t>One r</w:t>
            </w:r>
            <w:r w:rsidRPr="00F34D38" w:rsidR="00606F39">
              <w:rPr>
                <w:rFonts w:ascii="Times New Roman" w:hAnsi="Times New Roman"/>
              </w:rPr>
              <w:t>ound prior to transition to biennial</w:t>
            </w:r>
          </w:p>
        </w:tc>
        <w:tc>
          <w:tcPr>
            <w:tcW w:w="2635" w:type="dxa"/>
          </w:tcPr>
          <w:p w:rsidRPr="00F34D38" w:rsidR="00606F39" w:rsidP="002C0BB8" w:rsidRDefault="00606F39" w14:paraId="02E8B030" w14:textId="77777777">
            <w:pPr>
              <w:rPr>
                <w:rFonts w:ascii="Times New Roman" w:hAnsi="Times New Roman"/>
              </w:rPr>
            </w:pPr>
            <w:r w:rsidRPr="00F34D38">
              <w:rPr>
                <w:rFonts w:ascii="Times New Roman" w:hAnsi="Times New Roman"/>
              </w:rPr>
              <w:t>91.1 (1994) (R16)</w:t>
            </w:r>
          </w:p>
        </w:tc>
        <w:tc>
          <w:tcPr>
            <w:tcW w:w="2635" w:type="dxa"/>
          </w:tcPr>
          <w:p w:rsidRPr="00F34D38" w:rsidR="00606F39" w:rsidP="002C0BB8" w:rsidRDefault="00606F39" w14:paraId="33BBCE3F" w14:textId="77777777">
            <w:pPr>
              <w:rPr>
                <w:rFonts w:ascii="Times New Roman" w:hAnsi="Times New Roman"/>
              </w:rPr>
            </w:pPr>
            <w:r w:rsidRPr="00F34D38">
              <w:rPr>
                <w:rFonts w:ascii="Times New Roman" w:hAnsi="Times New Roman"/>
              </w:rPr>
              <w:t>83.9 (2011) (R15)</w:t>
            </w:r>
          </w:p>
        </w:tc>
      </w:tr>
      <w:tr w:rsidRPr="00F34D38" w:rsidR="00606F39" w:rsidTr="002C0BB8" w14:paraId="1C9ED537" w14:textId="77777777">
        <w:tc>
          <w:tcPr>
            <w:tcW w:w="2635" w:type="dxa"/>
          </w:tcPr>
          <w:p w:rsidRPr="00F34D38" w:rsidR="00606F39" w:rsidP="002C0BB8" w:rsidRDefault="00606F39" w14:paraId="369AC156" w14:textId="77777777">
            <w:pPr>
              <w:rPr>
                <w:rFonts w:ascii="Times New Roman" w:hAnsi="Times New Roman"/>
              </w:rPr>
            </w:pPr>
            <w:r w:rsidRPr="00F34D38">
              <w:rPr>
                <w:rFonts w:ascii="Times New Roman" w:hAnsi="Times New Roman"/>
              </w:rPr>
              <w:t>First round after 2-year gap</w:t>
            </w:r>
          </w:p>
        </w:tc>
        <w:tc>
          <w:tcPr>
            <w:tcW w:w="2635" w:type="dxa"/>
          </w:tcPr>
          <w:p w:rsidRPr="00F34D38" w:rsidR="00606F39" w:rsidP="002C0BB8" w:rsidRDefault="00606F39" w14:paraId="69F7CA6B" w14:textId="77777777">
            <w:pPr>
              <w:rPr>
                <w:rFonts w:ascii="Times New Roman" w:hAnsi="Times New Roman"/>
              </w:rPr>
            </w:pPr>
            <w:r w:rsidRPr="00F34D38">
              <w:rPr>
                <w:rFonts w:ascii="Times New Roman" w:hAnsi="Times New Roman"/>
              </w:rPr>
              <w:t>88.8 (1996) (R17)</w:t>
            </w:r>
          </w:p>
        </w:tc>
        <w:tc>
          <w:tcPr>
            <w:tcW w:w="2635" w:type="dxa"/>
          </w:tcPr>
          <w:p w:rsidRPr="00F34D38" w:rsidR="00606F39" w:rsidP="002C0BB8" w:rsidRDefault="00606F39" w14:paraId="621D6454" w14:textId="77777777">
            <w:pPr>
              <w:rPr>
                <w:rFonts w:ascii="Times New Roman" w:hAnsi="Times New Roman"/>
              </w:rPr>
            </w:pPr>
            <w:r w:rsidRPr="00F34D38">
              <w:rPr>
                <w:rFonts w:ascii="Times New Roman" w:hAnsi="Times New Roman"/>
              </w:rPr>
              <w:t>80.8 (2013) (R16)</w:t>
            </w:r>
          </w:p>
        </w:tc>
      </w:tr>
      <w:tr w:rsidRPr="00F34D38" w:rsidR="00606F39" w:rsidTr="002C0BB8" w14:paraId="73308403" w14:textId="77777777">
        <w:tc>
          <w:tcPr>
            <w:tcW w:w="2635" w:type="dxa"/>
          </w:tcPr>
          <w:p w:rsidRPr="00F34D38" w:rsidR="00606F39" w:rsidP="002C0BB8" w:rsidRDefault="002857BF" w14:paraId="14666BA3" w14:textId="31ED6733">
            <w:pPr>
              <w:rPr>
                <w:rFonts w:ascii="Times New Roman" w:hAnsi="Times New Roman"/>
              </w:rPr>
            </w:pPr>
            <w:r>
              <w:rPr>
                <w:rFonts w:ascii="Times New Roman" w:hAnsi="Times New Roman"/>
              </w:rPr>
              <w:t>Second</w:t>
            </w:r>
            <w:r w:rsidRPr="00F34D38">
              <w:rPr>
                <w:rFonts w:ascii="Times New Roman" w:hAnsi="Times New Roman"/>
              </w:rPr>
              <w:t xml:space="preserve"> </w:t>
            </w:r>
            <w:r w:rsidRPr="00F34D38" w:rsidR="00606F39">
              <w:rPr>
                <w:rFonts w:ascii="Times New Roman" w:hAnsi="Times New Roman"/>
              </w:rPr>
              <w:t>round after transition to biennial</w:t>
            </w:r>
          </w:p>
        </w:tc>
        <w:tc>
          <w:tcPr>
            <w:tcW w:w="2635" w:type="dxa"/>
          </w:tcPr>
          <w:p w:rsidRPr="00F34D38" w:rsidR="00606F39" w:rsidP="002C0BB8" w:rsidRDefault="00606F39" w14:paraId="383BF8B9" w14:textId="77777777">
            <w:pPr>
              <w:rPr>
                <w:rFonts w:ascii="Times New Roman" w:hAnsi="Times New Roman"/>
              </w:rPr>
            </w:pPr>
            <w:r w:rsidRPr="00F34D38">
              <w:rPr>
                <w:rFonts w:ascii="Times New Roman" w:hAnsi="Times New Roman"/>
              </w:rPr>
              <w:t>86.7 (1998) (R18)</w:t>
            </w:r>
          </w:p>
        </w:tc>
        <w:tc>
          <w:tcPr>
            <w:tcW w:w="2635" w:type="dxa"/>
          </w:tcPr>
          <w:p w:rsidRPr="00F34D38" w:rsidR="00606F39" w:rsidP="002C0BB8" w:rsidRDefault="00606F39" w14:paraId="6FC1A6FF" w14:textId="77777777">
            <w:pPr>
              <w:rPr>
                <w:rFonts w:ascii="Times New Roman" w:hAnsi="Times New Roman"/>
              </w:rPr>
            </w:pPr>
            <w:r w:rsidRPr="00F34D38">
              <w:rPr>
                <w:rFonts w:ascii="Times New Roman" w:hAnsi="Times New Roman"/>
              </w:rPr>
              <w:t>80.6 (2015) (R17)</w:t>
            </w:r>
          </w:p>
        </w:tc>
      </w:tr>
      <w:tr w:rsidRPr="00F34D38" w:rsidR="00606F39" w:rsidTr="002C0BB8" w14:paraId="04206C10" w14:textId="77777777">
        <w:tc>
          <w:tcPr>
            <w:tcW w:w="2635" w:type="dxa"/>
          </w:tcPr>
          <w:p w:rsidRPr="00F34D38" w:rsidR="00606F39" w:rsidP="002C0BB8" w:rsidRDefault="002857BF" w14:paraId="27455F34" w14:textId="167C5EA3">
            <w:pPr>
              <w:rPr>
                <w:rFonts w:ascii="Times New Roman" w:hAnsi="Times New Roman"/>
              </w:rPr>
            </w:pPr>
            <w:r>
              <w:rPr>
                <w:rFonts w:ascii="Times New Roman" w:hAnsi="Times New Roman"/>
              </w:rPr>
              <w:t>Third</w:t>
            </w:r>
            <w:r w:rsidRPr="00F34D38">
              <w:rPr>
                <w:rFonts w:ascii="Times New Roman" w:hAnsi="Times New Roman"/>
              </w:rPr>
              <w:t xml:space="preserve"> </w:t>
            </w:r>
            <w:r w:rsidRPr="00F34D38" w:rsidR="00606F39">
              <w:rPr>
                <w:rFonts w:ascii="Times New Roman" w:hAnsi="Times New Roman"/>
              </w:rPr>
              <w:t>round after transition to biennial</w:t>
            </w:r>
          </w:p>
        </w:tc>
        <w:tc>
          <w:tcPr>
            <w:tcW w:w="2635" w:type="dxa"/>
          </w:tcPr>
          <w:p w:rsidRPr="00F34D38" w:rsidR="00606F39" w:rsidP="002C0BB8" w:rsidRDefault="00606F39" w14:paraId="2B6207F6" w14:textId="77777777">
            <w:pPr>
              <w:rPr>
                <w:rFonts w:ascii="Times New Roman" w:hAnsi="Times New Roman"/>
              </w:rPr>
            </w:pPr>
            <w:r w:rsidRPr="00F34D38">
              <w:rPr>
                <w:rFonts w:ascii="Times New Roman" w:hAnsi="Times New Roman"/>
              </w:rPr>
              <w:t>83.2 (2000) (R19)</w:t>
            </w:r>
          </w:p>
        </w:tc>
        <w:tc>
          <w:tcPr>
            <w:tcW w:w="2635" w:type="dxa"/>
          </w:tcPr>
          <w:p w:rsidRPr="00F34D38" w:rsidR="00606F39" w:rsidP="002C0BB8" w:rsidRDefault="00606F39" w14:paraId="6AD83970" w14:textId="77777777">
            <w:pPr>
              <w:rPr>
                <w:rFonts w:ascii="Times New Roman" w:hAnsi="Times New Roman"/>
              </w:rPr>
            </w:pPr>
            <w:r w:rsidRPr="00F34D38">
              <w:rPr>
                <w:rFonts w:ascii="Times New Roman" w:hAnsi="Times New Roman"/>
              </w:rPr>
              <w:t>76.7 (2017) (R18)</w:t>
            </w:r>
          </w:p>
        </w:tc>
      </w:tr>
    </w:tbl>
    <w:p w:rsidRPr="00F34D38" w:rsidR="00606F39" w:rsidP="00606F39" w:rsidRDefault="00606F39" w14:paraId="6ADE445A" w14:textId="77777777">
      <w:pPr>
        <w:rPr>
          <w:rFonts w:ascii="Times New Roman" w:hAnsi="Times New Roman"/>
        </w:rPr>
      </w:pPr>
      <w:r w:rsidRPr="00F34D38">
        <w:rPr>
          <w:rFonts w:ascii="Times New Roman" w:hAnsi="Times New Roman"/>
        </w:rPr>
        <w:t>* Retention rates exclude deceased and out of sample cases.</w:t>
      </w:r>
    </w:p>
    <w:p w:rsidRPr="00F34D38" w:rsidR="00606F39" w:rsidP="00B65823" w:rsidRDefault="00606F39" w14:paraId="63C3A6E5" w14:textId="77777777">
      <w:pPr>
        <w:widowControl/>
        <w:rPr>
          <w:rFonts w:ascii="Times New Roman" w:hAnsi="Times New Roman"/>
        </w:rPr>
      </w:pPr>
    </w:p>
    <w:p w:rsidRPr="00A47DA7" w:rsidR="00606F39" w:rsidP="00B65823" w:rsidRDefault="00606F39" w14:paraId="63E687CA" w14:textId="303346E6">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lastRenderedPageBreak/>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Pr="00606F39" w:rsidR="00606F39" w:rsidP="00606F39" w:rsidRDefault="00606F39" w14:paraId="5A1E9BB2" w14:textId="77777777">
      <w:pPr>
        <w:rPr>
          <w:rFonts w:ascii="Times New Roman" w:hAnsi="Times New Roman"/>
        </w:rPr>
      </w:pPr>
      <w:r w:rsidRPr="00606F39">
        <w:rPr>
          <w:rFonts w:ascii="Times New Roman" w:hAnsi="Times New Roman"/>
        </w:rPr>
        <w:t>None of the listed special circumstances apply.</w:t>
      </w:r>
    </w:p>
    <w:p w:rsidR="00606F39" w:rsidP="00B65823" w:rsidRDefault="00606F39" w14:paraId="1D69AAB0" w14:textId="77777777">
      <w:pPr>
        <w:widowControl/>
        <w:rPr>
          <w:rFonts w:ascii="Times New Roman" w:hAnsi="Times New Roman"/>
        </w:rPr>
      </w:pPr>
    </w:p>
    <w:p w:rsidRPr="00871CA6" w:rsidR="00606F39" w:rsidP="00B65823" w:rsidRDefault="00606F39" w14:paraId="79C5E84B"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B65823" w:rsidR="00690F56" w:rsidP="00B65823" w:rsidRDefault="00690F56" w14:paraId="7644A432" w14:textId="77777777">
      <w:pPr>
        <w:widowControl/>
        <w:rPr>
          <w:rFonts w:ascii="Times New Roman" w:hAnsi="Times New Roman"/>
          <w:bCs/>
        </w:rPr>
      </w:pPr>
    </w:p>
    <w:p w:rsidR="00E84B17" w:rsidP="00F704C2" w:rsidRDefault="003E1D79" w14:paraId="0543666E" w14:textId="77777777">
      <w:pPr>
        <w:rPr>
          <w:rFonts w:ascii="Times New Roman" w:hAnsi="Times New Roman"/>
        </w:rPr>
      </w:pPr>
      <w:r w:rsidRPr="003E1D79">
        <w:rPr>
          <w:rFonts w:ascii="Times New Roman" w:hAnsi="Times New Roman"/>
        </w:rPr>
        <w:t>One comment was received as a result of the Federal Register notice published in 8</w:t>
      </w:r>
      <w:r>
        <w:rPr>
          <w:rFonts w:ascii="Times New Roman" w:hAnsi="Times New Roman"/>
        </w:rPr>
        <w:t>6</w:t>
      </w:r>
      <w:r w:rsidRPr="003E1D79">
        <w:rPr>
          <w:rFonts w:ascii="Times New Roman" w:hAnsi="Times New Roman"/>
        </w:rPr>
        <w:t xml:space="preserve"> FR </w:t>
      </w:r>
      <w:r>
        <w:rPr>
          <w:rFonts w:ascii="Times New Roman" w:hAnsi="Times New Roman"/>
        </w:rPr>
        <w:t>7421</w:t>
      </w:r>
      <w:r w:rsidRPr="003E1D79">
        <w:rPr>
          <w:rFonts w:ascii="Times New Roman" w:hAnsi="Times New Roman"/>
        </w:rPr>
        <w:t xml:space="preserve">, on </w:t>
      </w:r>
      <w:r>
        <w:rPr>
          <w:rFonts w:ascii="Times New Roman" w:hAnsi="Times New Roman"/>
        </w:rPr>
        <w:t>January</w:t>
      </w:r>
      <w:r w:rsidRPr="003E1D79">
        <w:rPr>
          <w:rFonts w:ascii="Times New Roman" w:hAnsi="Times New Roman"/>
        </w:rPr>
        <w:t xml:space="preserve"> </w:t>
      </w:r>
      <w:r>
        <w:rPr>
          <w:rFonts w:ascii="Times New Roman" w:hAnsi="Times New Roman"/>
        </w:rPr>
        <w:t>28</w:t>
      </w:r>
      <w:r w:rsidRPr="003E1D79">
        <w:rPr>
          <w:rFonts w:ascii="Times New Roman" w:hAnsi="Times New Roman"/>
        </w:rPr>
        <w:t>, 202</w:t>
      </w:r>
      <w:r>
        <w:rPr>
          <w:rFonts w:ascii="Times New Roman" w:hAnsi="Times New Roman"/>
        </w:rPr>
        <w:t>1</w:t>
      </w:r>
      <w:r w:rsidRPr="003E1D79">
        <w:rPr>
          <w:rFonts w:ascii="Times New Roman" w:hAnsi="Times New Roman"/>
        </w:rPr>
        <w:t xml:space="preserve">.  The comment, which was e-mailed to BLS on </w:t>
      </w:r>
      <w:r>
        <w:rPr>
          <w:rFonts w:ascii="Times New Roman" w:hAnsi="Times New Roman"/>
        </w:rPr>
        <w:t>January</w:t>
      </w:r>
      <w:r w:rsidRPr="003E1D79">
        <w:rPr>
          <w:rFonts w:ascii="Times New Roman" w:hAnsi="Times New Roman"/>
        </w:rPr>
        <w:t xml:space="preserve"> </w:t>
      </w:r>
      <w:r>
        <w:rPr>
          <w:rFonts w:ascii="Times New Roman" w:hAnsi="Times New Roman"/>
        </w:rPr>
        <w:t>28</w:t>
      </w:r>
      <w:r w:rsidRPr="003E1D79">
        <w:rPr>
          <w:rFonts w:ascii="Times New Roman" w:hAnsi="Times New Roman"/>
        </w:rPr>
        <w:t>, 202</w:t>
      </w:r>
      <w:r>
        <w:rPr>
          <w:rFonts w:ascii="Times New Roman" w:hAnsi="Times New Roman"/>
        </w:rPr>
        <w:t>1</w:t>
      </w:r>
      <w:r w:rsidRPr="003E1D79">
        <w:rPr>
          <w:rFonts w:ascii="Times New Roman" w:hAnsi="Times New Roman"/>
        </w:rPr>
        <w:t xml:space="preserve">, expressed the opinion that the survey does not benefit the citizens of the country.  </w:t>
      </w:r>
    </w:p>
    <w:p w:rsidR="00E84B17" w:rsidP="00F704C2" w:rsidRDefault="00E84B17" w14:paraId="03780076" w14:textId="77777777">
      <w:pPr>
        <w:rPr>
          <w:rFonts w:ascii="Times New Roman" w:hAnsi="Times New Roman"/>
        </w:rPr>
      </w:pPr>
    </w:p>
    <w:p w:rsidRPr="00F704C2" w:rsidR="00F704C2" w:rsidP="00F704C2" w:rsidRDefault="00E84B17" w14:paraId="60DEB754" w14:textId="32CE8C9B">
      <w:pPr>
        <w:rPr>
          <w:rFonts w:ascii="Times New Roman" w:hAnsi="Times New Roman"/>
          <w:snapToGrid w:val="0"/>
        </w:rPr>
      </w:pPr>
      <w:r>
        <w:rPr>
          <w:rFonts w:ascii="Times New Roman" w:hAnsi="Times New Roman"/>
        </w:rPr>
        <w:t>BLS’ response to the comment is that t</w:t>
      </w:r>
      <w:r w:rsidRPr="003E1D79">
        <w:rPr>
          <w:rFonts w:ascii="Times New Roman" w:hAnsi="Times New Roman"/>
        </w:rPr>
        <w:t xml:space="preserve">he </w:t>
      </w:r>
      <w:r w:rsidRPr="003E1D79" w:rsidR="003E1D79">
        <w:rPr>
          <w:rFonts w:ascii="Times New Roman" w:hAnsi="Times New Roman"/>
        </w:rPr>
        <w:t>National Longitudinal Surveys are widely used by researchers to learn about the functioning of the labor market and the multiple factors that affect it.  They have supported several thousand published studies.  These studies, in turn are used widely by policymakers to formulate and adjust policies that represent the interests of the Nation.  Additionally, the NLS program has partnered extensively with other Federal agencies to discover facts that are especially relevant to particular policies and programs.</w:t>
      </w:r>
    </w:p>
    <w:p w:rsidRPr="00F704C2" w:rsidR="00F704C2" w:rsidP="00F704C2" w:rsidRDefault="00F704C2" w14:paraId="5B2BEC07" w14:textId="77777777">
      <w:pPr>
        <w:rPr>
          <w:rFonts w:ascii="Times New Roman" w:hAnsi="Times New Roman"/>
          <w:snapToGrid w:val="0"/>
        </w:rPr>
      </w:pPr>
    </w:p>
    <w:p w:rsidRPr="00F704C2" w:rsidR="00F704C2" w:rsidP="00F704C2" w:rsidRDefault="00F704C2" w14:paraId="3F0AB291" w14:textId="5BA26034">
      <w:pPr>
        <w:rPr>
          <w:rFonts w:ascii="Times New Roman" w:hAnsi="Times New Roman"/>
        </w:rPr>
      </w:pPr>
      <w:r w:rsidRPr="00F704C2">
        <w:rPr>
          <w:rFonts w:ascii="Times New Roman" w:hAnsi="Times New Roman"/>
        </w:rPr>
        <w:t>There have been numerous consultations regarding the NLSY97.  In 1988, the National Science Foundation sponsored a conference to consider the future of the NLS.  This conference consisted of representatives from a variety of academic, government</w:t>
      </w:r>
      <w:r w:rsidR="003C68B3">
        <w:rPr>
          <w:rFonts w:ascii="Times New Roman" w:hAnsi="Times New Roman"/>
        </w:rPr>
        <w:t>,</w:t>
      </w:r>
      <w:r w:rsidRPr="00F704C2">
        <w:rPr>
          <w:rFonts w:ascii="Times New Roman" w:hAnsi="Times New Roman"/>
        </w:rPr>
        <w:t xml:space="preserve"> and nonprofit research and policy organizations.  The participants endorsed the notion of conducting a new youth survey.  The NLSY97 incorporates many of the major recommendations that came out of that conference.</w:t>
      </w:r>
    </w:p>
    <w:p w:rsidRPr="00F704C2" w:rsidR="00F704C2" w:rsidP="00F704C2" w:rsidRDefault="00F704C2" w14:paraId="18713F57" w14:textId="77777777">
      <w:pPr>
        <w:rPr>
          <w:rFonts w:ascii="Times New Roman" w:hAnsi="Times New Roman"/>
        </w:rPr>
      </w:pPr>
    </w:p>
    <w:p w:rsidRPr="00F704C2" w:rsidR="00F704C2" w:rsidP="00F704C2" w:rsidRDefault="00F704C2" w14:paraId="4B97BE34" w14:textId="77777777">
      <w:pPr>
        <w:rPr>
          <w:rFonts w:ascii="Times New Roman" w:hAnsi="Times New Roman"/>
        </w:rPr>
      </w:pPr>
      <w:r w:rsidRPr="00F704C2">
        <w:rPr>
          <w:rFonts w:ascii="Times New Roman" w:hAnsi="Times New Roman"/>
        </w:rPr>
        <w:t>The NLS program also has a technical review committee that provides advice on interview content and long-term objectives.  This group typically meets twice each year.  Table 2 below shows the current members of the committee.</w:t>
      </w:r>
    </w:p>
    <w:p w:rsidRPr="00F704C2" w:rsidR="00F704C2" w:rsidP="00F704C2" w:rsidRDefault="00F704C2" w14:paraId="1768A351" w14:textId="27CD8689">
      <w:pPr>
        <w:pStyle w:val="IntenseQuote"/>
        <w:ind w:left="0"/>
        <w:rPr>
          <w:rFonts w:ascii="Times New Roman" w:hAnsi="Times New Roman"/>
          <w:b w:val="0"/>
          <w:bCs w:val="0"/>
          <w:i w:val="0"/>
          <w:iCs w:val="0"/>
          <w:color w:val="auto"/>
          <w:spacing w:val="5"/>
          <w:sz w:val="24"/>
          <w:szCs w:val="24"/>
        </w:rPr>
      </w:pPr>
      <w:bookmarkStart w:name="_Toc186885069" w:id="1"/>
      <w:r w:rsidRPr="00F704C2">
        <w:rPr>
          <w:rStyle w:val="BookTitle"/>
          <w:rFonts w:ascii="Times New Roman" w:hAnsi="Times New Roman"/>
          <w:color w:val="auto"/>
          <w:sz w:val="24"/>
          <w:szCs w:val="24"/>
        </w:rPr>
        <w:lastRenderedPageBreak/>
        <w:t>Table 2.  National Longitudinal Surveys Technical Review Committee (20</w:t>
      </w:r>
      <w:r w:rsidR="004B7972">
        <w:rPr>
          <w:rStyle w:val="BookTitle"/>
          <w:rFonts w:ascii="Times New Roman" w:hAnsi="Times New Roman"/>
          <w:color w:val="auto"/>
          <w:sz w:val="24"/>
          <w:szCs w:val="24"/>
        </w:rPr>
        <w:t>20</w:t>
      </w:r>
      <w:r w:rsidRPr="00F704C2">
        <w:rPr>
          <w:rStyle w:val="BookTitle"/>
          <w:rFonts w:ascii="Times New Roman" w:hAnsi="Times New Roman"/>
          <w:color w:val="auto"/>
          <w:sz w:val="24"/>
          <w:szCs w:val="24"/>
        </w:rPr>
        <w:t>)</w:t>
      </w:r>
      <w:bookmarkEnd w:id="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1E0" w:firstRow="1" w:lastRow="1" w:firstColumn="1" w:lastColumn="1" w:noHBand="0" w:noVBand="0"/>
      </w:tblPr>
      <w:tblGrid>
        <w:gridCol w:w="3055"/>
        <w:gridCol w:w="2790"/>
        <w:gridCol w:w="3505"/>
      </w:tblGrid>
      <w:tr w:rsidRPr="00F704C2" w:rsidR="00F704C2" w:rsidTr="00F704C2" w14:paraId="77342DB4" w14:textId="77777777">
        <w:trPr>
          <w:jc w:val="center"/>
        </w:trPr>
        <w:tc>
          <w:tcPr>
            <w:tcW w:w="3055" w:type="dxa"/>
          </w:tcPr>
          <w:p w:rsidRPr="00F704C2" w:rsidR="00F704C2" w:rsidP="002C0BB8" w:rsidRDefault="00F704C2" w14:paraId="244E0669" w14:textId="77777777">
            <w:pPr>
              <w:rPr>
                <w:rFonts w:ascii="Times New Roman" w:hAnsi="Times New Roman"/>
                <w:b/>
              </w:rPr>
            </w:pPr>
            <w:r w:rsidRPr="00F704C2">
              <w:rPr>
                <w:rFonts w:ascii="Times New Roman" w:hAnsi="Times New Roman"/>
                <w:b/>
              </w:rPr>
              <w:t>Shawn Bushway</w:t>
            </w:r>
          </w:p>
          <w:p w:rsidRPr="00F704C2" w:rsidR="00F704C2" w:rsidP="002C0BB8" w:rsidRDefault="00F704C2" w14:paraId="6058B585" w14:textId="77777777">
            <w:pPr>
              <w:rPr>
                <w:rFonts w:ascii="Times New Roman" w:hAnsi="Times New Roman"/>
                <w:bCs/>
                <w:color w:val="000000" w:themeColor="text1"/>
              </w:rPr>
            </w:pPr>
            <w:r w:rsidRPr="00F704C2">
              <w:rPr>
                <w:rFonts w:ascii="Times New Roman" w:hAnsi="Times New Roman"/>
                <w:bCs/>
                <w:color w:val="000000" w:themeColor="text1"/>
              </w:rPr>
              <w:t>Rockefeller College of Public Affairs and Policy</w:t>
            </w:r>
          </w:p>
          <w:p w:rsidRPr="00F704C2" w:rsidR="00F704C2" w:rsidP="002C0BB8" w:rsidRDefault="00F704C2" w14:paraId="4638A52E" w14:textId="38753D43">
            <w:pPr>
              <w:rPr>
                <w:rFonts w:ascii="Times New Roman" w:hAnsi="Times New Roman"/>
                <w:lang w:val="fr-FR"/>
              </w:rPr>
            </w:pPr>
            <w:r w:rsidRPr="00F704C2">
              <w:rPr>
                <w:rFonts w:ascii="Times New Roman" w:hAnsi="Times New Roman"/>
                <w:bCs/>
                <w:color w:val="000000" w:themeColor="text1"/>
              </w:rPr>
              <w:t>Department of Public Administration and Policy</w:t>
            </w:r>
            <w:r w:rsidRPr="00F704C2">
              <w:rPr>
                <w:rFonts w:ascii="Times New Roman" w:hAnsi="Times New Roman"/>
                <w:b/>
                <w:bCs/>
                <w:color w:val="000000" w:themeColor="text1"/>
              </w:rPr>
              <w:br/>
            </w:r>
            <w:r w:rsidRPr="00F704C2">
              <w:rPr>
                <w:rFonts w:ascii="Times New Roman" w:hAnsi="Times New Roman"/>
                <w:color w:val="000000" w:themeColor="text1"/>
              </w:rPr>
              <w:t>University at Albany</w:t>
            </w:r>
            <w:r>
              <w:rPr>
                <w:rFonts w:ascii="Times New Roman" w:hAnsi="Times New Roman"/>
                <w:color w:val="000000" w:themeColor="text1"/>
              </w:rPr>
              <w:t>, SUNY</w:t>
            </w:r>
            <w:r w:rsidRPr="00F704C2">
              <w:rPr>
                <w:rFonts w:ascii="Times New Roman" w:hAnsi="Times New Roman"/>
                <w:color w:val="000000" w:themeColor="text1"/>
              </w:rPr>
              <w:t xml:space="preserve"> </w:t>
            </w:r>
          </w:p>
        </w:tc>
        <w:tc>
          <w:tcPr>
            <w:tcW w:w="2790" w:type="dxa"/>
          </w:tcPr>
          <w:p w:rsidRPr="00F704C2" w:rsidR="00F704C2" w:rsidP="002C0BB8" w:rsidRDefault="00F704C2" w14:paraId="0625A4D7" w14:textId="77777777">
            <w:pPr>
              <w:rPr>
                <w:rFonts w:ascii="Times New Roman" w:hAnsi="Times New Roman"/>
                <w:b/>
                <w:snapToGrid w:val="0"/>
              </w:rPr>
            </w:pPr>
            <w:r w:rsidRPr="00F704C2">
              <w:rPr>
                <w:rFonts w:ascii="Times New Roman" w:hAnsi="Times New Roman"/>
                <w:b/>
                <w:snapToGrid w:val="0"/>
              </w:rPr>
              <w:t>Jennie Brand</w:t>
            </w:r>
          </w:p>
          <w:p w:rsidRPr="00F704C2" w:rsidR="00F704C2" w:rsidP="002C0BB8" w:rsidRDefault="00F704C2" w14:paraId="6D317863" w14:textId="77777777">
            <w:pPr>
              <w:rPr>
                <w:rFonts w:ascii="Times New Roman" w:hAnsi="Times New Roman"/>
                <w:snapToGrid w:val="0"/>
              </w:rPr>
            </w:pPr>
            <w:r w:rsidRPr="00F704C2">
              <w:rPr>
                <w:rFonts w:ascii="Times New Roman" w:hAnsi="Times New Roman"/>
                <w:snapToGrid w:val="0"/>
              </w:rPr>
              <w:t>Departments of Sociology</w:t>
            </w:r>
          </w:p>
          <w:p w:rsidRPr="00F704C2" w:rsidR="00F704C2" w:rsidP="002C0BB8" w:rsidRDefault="00F704C2" w14:paraId="1DE45538" w14:textId="77777777">
            <w:pPr>
              <w:rPr>
                <w:rFonts w:ascii="Times New Roman" w:hAnsi="Times New Roman"/>
                <w:snapToGrid w:val="0"/>
              </w:rPr>
            </w:pPr>
            <w:r w:rsidRPr="00F704C2">
              <w:rPr>
                <w:rFonts w:ascii="Times New Roman" w:hAnsi="Times New Roman"/>
                <w:snapToGrid w:val="0"/>
              </w:rPr>
              <w:t>And Statistics</w:t>
            </w:r>
          </w:p>
          <w:p w:rsidRPr="00F704C2" w:rsidR="00F704C2" w:rsidP="00F704C2" w:rsidRDefault="00F704C2" w14:paraId="5BA60482" w14:textId="7415DCA7">
            <w:pPr>
              <w:rPr>
                <w:rFonts w:ascii="Times New Roman" w:hAnsi="Times New Roman"/>
                <w:lang w:val="fr-FR"/>
              </w:rPr>
            </w:pPr>
            <w:r w:rsidRPr="00F704C2">
              <w:rPr>
                <w:rFonts w:ascii="Times New Roman" w:hAnsi="Times New Roman"/>
                <w:snapToGrid w:val="0"/>
              </w:rPr>
              <w:t>University of California, L</w:t>
            </w:r>
            <w:r>
              <w:rPr>
                <w:rFonts w:ascii="Times New Roman" w:hAnsi="Times New Roman"/>
                <w:snapToGrid w:val="0"/>
              </w:rPr>
              <w:t>o</w:t>
            </w:r>
            <w:r w:rsidRPr="00F704C2">
              <w:rPr>
                <w:rFonts w:ascii="Times New Roman" w:hAnsi="Times New Roman"/>
                <w:snapToGrid w:val="0"/>
              </w:rPr>
              <w:t>s Angeles</w:t>
            </w:r>
          </w:p>
        </w:tc>
        <w:tc>
          <w:tcPr>
            <w:tcW w:w="3505" w:type="dxa"/>
          </w:tcPr>
          <w:p w:rsidRPr="00F704C2" w:rsidR="00F704C2" w:rsidP="002C0BB8" w:rsidRDefault="00F704C2" w14:paraId="0B07CDCA" w14:textId="77777777">
            <w:pPr>
              <w:rPr>
                <w:rFonts w:ascii="Times New Roman" w:hAnsi="Times New Roman"/>
                <w:b/>
                <w:snapToGrid w:val="0"/>
              </w:rPr>
            </w:pPr>
            <w:r w:rsidRPr="00F704C2">
              <w:rPr>
                <w:rFonts w:ascii="Times New Roman" w:hAnsi="Times New Roman"/>
                <w:b/>
                <w:snapToGrid w:val="0"/>
              </w:rPr>
              <w:t>Sarah Burgard</w:t>
            </w:r>
          </w:p>
          <w:p w:rsidRPr="00F704C2" w:rsidR="00F704C2" w:rsidP="002C0BB8" w:rsidRDefault="00F704C2" w14:paraId="456E7AB3" w14:textId="77777777">
            <w:pPr>
              <w:rPr>
                <w:rFonts w:ascii="Times New Roman" w:hAnsi="Times New Roman"/>
                <w:snapToGrid w:val="0"/>
              </w:rPr>
            </w:pPr>
            <w:r w:rsidRPr="00F704C2">
              <w:rPr>
                <w:rFonts w:ascii="Times New Roman" w:hAnsi="Times New Roman"/>
                <w:snapToGrid w:val="0"/>
              </w:rPr>
              <w:t>Department of Sociology</w:t>
            </w:r>
          </w:p>
          <w:p w:rsidRPr="00F704C2" w:rsidR="00F704C2" w:rsidP="002C0BB8" w:rsidRDefault="00F704C2" w14:paraId="3A660755" w14:textId="77777777">
            <w:pPr>
              <w:rPr>
                <w:rFonts w:ascii="Times New Roman" w:hAnsi="Times New Roman"/>
              </w:rPr>
            </w:pPr>
            <w:r w:rsidRPr="00F704C2">
              <w:rPr>
                <w:rFonts w:ascii="Times New Roman" w:hAnsi="Times New Roman"/>
                <w:snapToGrid w:val="0"/>
              </w:rPr>
              <w:t>University of Michigan</w:t>
            </w:r>
          </w:p>
        </w:tc>
      </w:tr>
      <w:tr w:rsidRPr="00F704C2" w:rsidR="00F704C2" w:rsidTr="00F704C2" w14:paraId="7E648415" w14:textId="77777777">
        <w:trPr>
          <w:jc w:val="center"/>
        </w:trPr>
        <w:tc>
          <w:tcPr>
            <w:tcW w:w="3055" w:type="dxa"/>
          </w:tcPr>
          <w:p w:rsidRPr="00F704C2" w:rsidR="00F704C2" w:rsidP="002C0BB8" w:rsidRDefault="00F704C2" w14:paraId="27CA4CD3" w14:textId="77777777">
            <w:pPr>
              <w:rPr>
                <w:rFonts w:ascii="Times New Roman" w:hAnsi="Times New Roman"/>
                <w:snapToGrid w:val="0"/>
              </w:rPr>
            </w:pPr>
            <w:r w:rsidRPr="00F704C2">
              <w:rPr>
                <w:rFonts w:ascii="Times New Roman" w:hAnsi="Times New Roman"/>
                <w:b/>
                <w:snapToGrid w:val="0"/>
              </w:rPr>
              <w:t>Judith Hellerstein</w:t>
            </w:r>
            <w:r w:rsidRPr="00F704C2">
              <w:rPr>
                <w:rFonts w:ascii="Times New Roman" w:hAnsi="Times New Roman"/>
                <w:snapToGrid w:val="0"/>
              </w:rPr>
              <w:br/>
            </w:r>
            <w:r w:rsidRPr="00F704C2">
              <w:rPr>
                <w:rFonts w:ascii="Times New Roman" w:hAnsi="Times New Roman"/>
              </w:rPr>
              <w:t>Department of Economics</w:t>
            </w:r>
            <w:r w:rsidRPr="00F704C2">
              <w:rPr>
                <w:rFonts w:ascii="Times New Roman" w:hAnsi="Times New Roman"/>
              </w:rPr>
              <w:br/>
              <w:t>University of Maryland</w:t>
            </w:r>
            <w:r w:rsidRPr="00F704C2">
              <w:rPr>
                <w:rFonts w:ascii="Times New Roman" w:hAnsi="Times New Roman"/>
              </w:rPr>
              <w:br/>
            </w:r>
          </w:p>
        </w:tc>
        <w:tc>
          <w:tcPr>
            <w:tcW w:w="2790" w:type="dxa"/>
          </w:tcPr>
          <w:p w:rsidRPr="00F704C2" w:rsidR="00F704C2" w:rsidP="002C0BB8" w:rsidRDefault="00F704C2" w14:paraId="16F20D00" w14:textId="77777777">
            <w:pPr>
              <w:tabs>
                <w:tab w:val="left" w:pos="5040"/>
              </w:tabs>
              <w:rPr>
                <w:rFonts w:ascii="Times New Roman" w:hAnsi="Times New Roman"/>
                <w:b/>
                <w:lang w:val="fr-FR"/>
              </w:rPr>
            </w:pPr>
            <w:r w:rsidRPr="00F704C2">
              <w:rPr>
                <w:rFonts w:ascii="Times New Roman" w:hAnsi="Times New Roman"/>
                <w:b/>
                <w:lang w:val="fr-FR"/>
              </w:rPr>
              <w:t>David Johnson</w:t>
            </w:r>
          </w:p>
          <w:p w:rsidRPr="00F704C2" w:rsidR="00F704C2" w:rsidP="002C0BB8" w:rsidRDefault="00F704C2" w14:paraId="5EE98460" w14:textId="77777777">
            <w:pPr>
              <w:tabs>
                <w:tab w:val="left" w:pos="5040"/>
              </w:tabs>
              <w:rPr>
                <w:rFonts w:ascii="Times New Roman" w:hAnsi="Times New Roman"/>
                <w:lang w:val="fr-FR"/>
              </w:rPr>
            </w:pPr>
            <w:r w:rsidRPr="00F704C2">
              <w:rPr>
                <w:rFonts w:ascii="Times New Roman" w:hAnsi="Times New Roman"/>
                <w:lang w:val="fr-FR"/>
              </w:rPr>
              <w:t>Survey Research Center</w:t>
            </w:r>
          </w:p>
          <w:p w:rsidRPr="00F704C2" w:rsidR="00F704C2" w:rsidP="002C0BB8" w:rsidRDefault="00F704C2" w14:paraId="3F884CBD" w14:textId="77777777">
            <w:pPr>
              <w:tabs>
                <w:tab w:val="left" w:pos="5040"/>
              </w:tabs>
              <w:rPr>
                <w:rFonts w:ascii="Times New Roman" w:hAnsi="Times New Roman"/>
                <w:lang w:val="fr-FR"/>
              </w:rPr>
            </w:pPr>
            <w:r w:rsidRPr="00F704C2">
              <w:rPr>
                <w:rFonts w:ascii="Times New Roman" w:hAnsi="Times New Roman"/>
                <w:lang w:val="fr-FR"/>
              </w:rPr>
              <w:t>University of Michigan</w:t>
            </w:r>
          </w:p>
          <w:p w:rsidRPr="00F704C2" w:rsidR="00F704C2" w:rsidP="002C0BB8" w:rsidRDefault="00F704C2" w14:paraId="6AF4BDC8" w14:textId="77777777">
            <w:pPr>
              <w:tabs>
                <w:tab w:val="left" w:pos="5040"/>
              </w:tabs>
              <w:rPr>
                <w:rFonts w:ascii="Times New Roman" w:hAnsi="Times New Roman"/>
                <w:lang w:val="fr-FR"/>
              </w:rPr>
            </w:pPr>
          </w:p>
          <w:p w:rsidRPr="00F704C2" w:rsidR="00F704C2" w:rsidP="002C0BB8" w:rsidRDefault="00F704C2" w14:paraId="4A219AAA" w14:textId="77777777">
            <w:pPr>
              <w:rPr>
                <w:rFonts w:ascii="Times New Roman" w:hAnsi="Times New Roman"/>
              </w:rPr>
            </w:pPr>
          </w:p>
        </w:tc>
        <w:tc>
          <w:tcPr>
            <w:tcW w:w="3505" w:type="dxa"/>
          </w:tcPr>
          <w:p w:rsidRPr="00F704C2" w:rsidR="00F704C2" w:rsidP="002C0BB8" w:rsidRDefault="00F704C2" w14:paraId="06375316" w14:textId="77777777">
            <w:pPr>
              <w:tabs>
                <w:tab w:val="left" w:pos="5040"/>
              </w:tabs>
              <w:rPr>
                <w:rFonts w:ascii="Times New Roman" w:hAnsi="Times New Roman"/>
                <w:b/>
              </w:rPr>
            </w:pPr>
            <w:r w:rsidRPr="00F704C2">
              <w:rPr>
                <w:rFonts w:ascii="Times New Roman" w:hAnsi="Times New Roman"/>
                <w:b/>
              </w:rPr>
              <w:t>Michael Lovenheim</w:t>
            </w:r>
          </w:p>
          <w:p w:rsidRPr="00F704C2" w:rsidR="00F704C2" w:rsidP="002C0BB8" w:rsidRDefault="00F704C2" w14:paraId="137B38FA" w14:textId="77777777">
            <w:pPr>
              <w:tabs>
                <w:tab w:val="left" w:pos="5040"/>
              </w:tabs>
              <w:rPr>
                <w:rFonts w:ascii="Times New Roman" w:hAnsi="Times New Roman"/>
              </w:rPr>
            </w:pPr>
            <w:r w:rsidRPr="00F704C2">
              <w:rPr>
                <w:rFonts w:ascii="Times New Roman" w:hAnsi="Times New Roman"/>
              </w:rPr>
              <w:t>Departments of Economics, Industrial and Labor Relations, and Policy Analysis and Management</w:t>
            </w:r>
          </w:p>
          <w:p w:rsidRPr="00F704C2" w:rsidR="00F704C2" w:rsidP="002C0BB8" w:rsidRDefault="00F704C2" w14:paraId="79459B52" w14:textId="77777777">
            <w:pPr>
              <w:tabs>
                <w:tab w:val="left" w:pos="5040"/>
              </w:tabs>
              <w:rPr>
                <w:rFonts w:ascii="Times New Roman" w:hAnsi="Times New Roman"/>
              </w:rPr>
            </w:pPr>
            <w:r w:rsidRPr="00F704C2">
              <w:rPr>
                <w:rFonts w:ascii="Times New Roman" w:hAnsi="Times New Roman"/>
              </w:rPr>
              <w:t>Cornell University</w:t>
            </w:r>
          </w:p>
        </w:tc>
      </w:tr>
      <w:tr w:rsidRPr="00F704C2" w:rsidR="00F704C2" w:rsidTr="00F704C2" w14:paraId="615E0677" w14:textId="77777777">
        <w:trPr>
          <w:jc w:val="center"/>
        </w:trPr>
        <w:tc>
          <w:tcPr>
            <w:tcW w:w="3055" w:type="dxa"/>
          </w:tcPr>
          <w:p w:rsidRPr="00F704C2" w:rsidR="00F704C2" w:rsidP="002C0BB8" w:rsidRDefault="00F704C2" w14:paraId="712C1E06" w14:textId="63F9042D">
            <w:pPr>
              <w:pStyle w:val="PlainText"/>
              <w:rPr>
                <w:rFonts w:ascii="Times New Roman" w:hAnsi="Times New Roman" w:cs="Times New Roman"/>
                <w:b/>
                <w:sz w:val="24"/>
                <w:szCs w:val="24"/>
              </w:rPr>
            </w:pPr>
            <w:r>
              <w:rPr>
                <w:rFonts w:ascii="Times New Roman" w:hAnsi="Times New Roman" w:cs="Times New Roman"/>
                <w:b/>
                <w:sz w:val="24"/>
                <w:szCs w:val="24"/>
              </w:rPr>
              <w:t>Nicole</w:t>
            </w:r>
            <w:r w:rsidRPr="00F704C2">
              <w:rPr>
                <w:rFonts w:ascii="Times New Roman" w:hAnsi="Times New Roman" w:cs="Times New Roman"/>
                <w:b/>
                <w:sz w:val="24"/>
                <w:szCs w:val="24"/>
              </w:rPr>
              <w:t xml:space="preserve"> </w:t>
            </w:r>
            <w:r>
              <w:rPr>
                <w:rFonts w:ascii="Times New Roman" w:hAnsi="Times New Roman" w:cs="Times New Roman"/>
                <w:b/>
                <w:sz w:val="24"/>
                <w:szCs w:val="24"/>
              </w:rPr>
              <w:t>Maestas</w:t>
            </w:r>
          </w:p>
          <w:p w:rsidR="00F704C2" w:rsidP="002C0BB8" w:rsidRDefault="00F704C2" w14:paraId="44F53036" w14:textId="77777777">
            <w:pPr>
              <w:rPr>
                <w:rFonts w:ascii="Times New Roman" w:hAnsi="Times New Roman"/>
              </w:rPr>
            </w:pPr>
            <w:r w:rsidRPr="00F704C2">
              <w:rPr>
                <w:rFonts w:ascii="Times New Roman" w:hAnsi="Times New Roman"/>
              </w:rPr>
              <w:t>Harvard Medical School</w:t>
            </w:r>
          </w:p>
          <w:p w:rsidRPr="00F704C2" w:rsidR="00F704C2" w:rsidP="002C0BB8" w:rsidRDefault="00F704C2" w14:paraId="6DC1F9E0" w14:textId="77777777">
            <w:pPr>
              <w:tabs>
                <w:tab w:val="left" w:pos="5040"/>
              </w:tabs>
              <w:rPr>
                <w:rFonts w:ascii="Times New Roman" w:hAnsi="Times New Roman"/>
              </w:rPr>
            </w:pPr>
            <w:r w:rsidRPr="00F704C2">
              <w:rPr>
                <w:rFonts w:ascii="Times New Roman" w:hAnsi="Times New Roman"/>
              </w:rPr>
              <w:br/>
            </w:r>
          </w:p>
        </w:tc>
        <w:tc>
          <w:tcPr>
            <w:tcW w:w="2790" w:type="dxa"/>
          </w:tcPr>
          <w:p w:rsidRPr="00F704C2" w:rsidR="00F704C2" w:rsidP="002C0BB8" w:rsidRDefault="00F704C2" w14:paraId="459BEF59" w14:textId="77777777">
            <w:pPr>
              <w:rPr>
                <w:rFonts w:ascii="Times New Roman" w:hAnsi="Times New Roman"/>
                <w:b/>
              </w:rPr>
            </w:pPr>
            <w:r w:rsidRPr="00F704C2">
              <w:rPr>
                <w:rFonts w:ascii="Times New Roman" w:hAnsi="Times New Roman"/>
                <w:b/>
              </w:rPr>
              <w:t>Melissa McInerney</w:t>
            </w:r>
          </w:p>
          <w:p w:rsidRPr="00F704C2" w:rsidR="00F704C2" w:rsidP="002C0BB8" w:rsidRDefault="00F704C2" w14:paraId="0A3A159B" w14:textId="77777777">
            <w:pPr>
              <w:rPr>
                <w:rFonts w:ascii="Times New Roman" w:hAnsi="Times New Roman"/>
              </w:rPr>
            </w:pPr>
            <w:r w:rsidRPr="00F704C2">
              <w:rPr>
                <w:rFonts w:ascii="Times New Roman" w:hAnsi="Times New Roman"/>
              </w:rPr>
              <w:t>Department of Economics</w:t>
            </w:r>
          </w:p>
          <w:p w:rsidRPr="00F704C2" w:rsidR="00F704C2" w:rsidP="002C0BB8" w:rsidRDefault="00F704C2" w14:paraId="715BA0D7" w14:textId="77777777">
            <w:pPr>
              <w:rPr>
                <w:rFonts w:ascii="Times New Roman" w:hAnsi="Times New Roman"/>
              </w:rPr>
            </w:pPr>
            <w:r w:rsidRPr="00F704C2">
              <w:rPr>
                <w:rFonts w:ascii="Times New Roman" w:hAnsi="Times New Roman"/>
              </w:rPr>
              <w:t>Tufts University</w:t>
            </w:r>
          </w:p>
        </w:tc>
        <w:tc>
          <w:tcPr>
            <w:tcW w:w="3505" w:type="dxa"/>
          </w:tcPr>
          <w:p w:rsidRPr="00F704C2" w:rsidR="00F704C2" w:rsidP="002C0BB8" w:rsidRDefault="00F704C2" w14:paraId="63364786" w14:textId="77777777">
            <w:pPr>
              <w:tabs>
                <w:tab w:val="left" w:pos="5040"/>
              </w:tabs>
              <w:rPr>
                <w:rFonts w:ascii="Times New Roman" w:hAnsi="Times New Roman"/>
                <w:b/>
              </w:rPr>
            </w:pPr>
            <w:r w:rsidRPr="00F704C2">
              <w:rPr>
                <w:rFonts w:ascii="Times New Roman" w:hAnsi="Times New Roman"/>
                <w:b/>
              </w:rPr>
              <w:t>Kristen Olson</w:t>
            </w:r>
          </w:p>
          <w:p w:rsidRPr="00F704C2" w:rsidR="00F704C2" w:rsidP="002C0BB8" w:rsidRDefault="00F704C2" w14:paraId="3462BD6A" w14:textId="77777777">
            <w:pPr>
              <w:tabs>
                <w:tab w:val="left" w:pos="5040"/>
              </w:tabs>
              <w:rPr>
                <w:rFonts w:ascii="Times New Roman" w:hAnsi="Times New Roman"/>
              </w:rPr>
            </w:pPr>
            <w:r w:rsidRPr="00F704C2">
              <w:rPr>
                <w:rFonts w:ascii="Times New Roman" w:hAnsi="Times New Roman"/>
              </w:rPr>
              <w:t>Department of Sociology</w:t>
            </w:r>
          </w:p>
          <w:p w:rsidRPr="00F704C2" w:rsidR="00F704C2" w:rsidP="002C0BB8" w:rsidRDefault="00F704C2" w14:paraId="4D2A0DBE" w14:textId="042271D2">
            <w:pPr>
              <w:tabs>
                <w:tab w:val="left" w:pos="5040"/>
              </w:tabs>
              <w:rPr>
                <w:rFonts w:ascii="Times New Roman" w:hAnsi="Times New Roman"/>
              </w:rPr>
            </w:pPr>
            <w:r w:rsidRPr="00F704C2">
              <w:rPr>
                <w:rFonts w:ascii="Times New Roman" w:hAnsi="Times New Roman"/>
              </w:rPr>
              <w:t>University of Nebraska-Lincoln</w:t>
            </w:r>
          </w:p>
        </w:tc>
      </w:tr>
      <w:tr w:rsidRPr="00F704C2" w:rsidR="00F704C2" w:rsidTr="00F704C2" w14:paraId="12979584" w14:textId="77777777">
        <w:trPr>
          <w:jc w:val="center"/>
        </w:trPr>
        <w:tc>
          <w:tcPr>
            <w:tcW w:w="3055" w:type="dxa"/>
          </w:tcPr>
          <w:p w:rsidRPr="00F704C2" w:rsidR="00F704C2" w:rsidP="002C0BB8" w:rsidRDefault="00F704C2" w14:paraId="6F2AF844" w14:textId="77777777">
            <w:pPr>
              <w:tabs>
                <w:tab w:val="left" w:pos="5040"/>
              </w:tabs>
              <w:rPr>
                <w:rFonts w:ascii="Times New Roman" w:hAnsi="Times New Roman"/>
                <w:b/>
              </w:rPr>
            </w:pPr>
            <w:r w:rsidRPr="00F704C2">
              <w:rPr>
                <w:rFonts w:ascii="Times New Roman" w:hAnsi="Times New Roman"/>
                <w:b/>
              </w:rPr>
              <w:t>Rebecca Ryan</w:t>
            </w:r>
          </w:p>
          <w:p w:rsidRPr="00F704C2" w:rsidR="00F704C2" w:rsidP="002C0BB8" w:rsidRDefault="00F704C2" w14:paraId="5E833E44" w14:textId="77777777">
            <w:pPr>
              <w:tabs>
                <w:tab w:val="left" w:pos="5040"/>
              </w:tabs>
              <w:rPr>
                <w:rFonts w:ascii="Times New Roman" w:hAnsi="Times New Roman"/>
              </w:rPr>
            </w:pPr>
            <w:r w:rsidRPr="00F704C2">
              <w:rPr>
                <w:rFonts w:ascii="Times New Roman" w:hAnsi="Times New Roman"/>
              </w:rPr>
              <w:t>Department of Psychology</w:t>
            </w:r>
          </w:p>
          <w:p w:rsidRPr="00F704C2" w:rsidR="00F704C2" w:rsidP="002C0BB8" w:rsidRDefault="00F704C2" w14:paraId="39C8366D" w14:textId="0592B390">
            <w:pPr>
              <w:tabs>
                <w:tab w:val="left" w:pos="5040"/>
              </w:tabs>
              <w:rPr>
                <w:rFonts w:ascii="Times New Roman" w:hAnsi="Times New Roman"/>
              </w:rPr>
            </w:pPr>
            <w:r w:rsidRPr="00F704C2">
              <w:rPr>
                <w:rFonts w:ascii="Times New Roman" w:hAnsi="Times New Roman"/>
              </w:rPr>
              <w:t>Georgetown University</w:t>
            </w:r>
          </w:p>
        </w:tc>
        <w:tc>
          <w:tcPr>
            <w:tcW w:w="2790" w:type="dxa"/>
          </w:tcPr>
          <w:p w:rsidRPr="00F704C2" w:rsidR="00F704C2" w:rsidP="002C0BB8" w:rsidRDefault="00F704C2" w14:paraId="50DCD53B" w14:textId="77777777">
            <w:pPr>
              <w:tabs>
                <w:tab w:val="left" w:pos="5040"/>
              </w:tabs>
              <w:rPr>
                <w:rFonts w:ascii="Times New Roman" w:hAnsi="Times New Roman"/>
                <w:b/>
              </w:rPr>
            </w:pPr>
            <w:r w:rsidRPr="00F704C2">
              <w:rPr>
                <w:rFonts w:ascii="Times New Roman" w:hAnsi="Times New Roman"/>
                <w:b/>
              </w:rPr>
              <w:t>Jeffrey Smith</w:t>
            </w:r>
          </w:p>
          <w:p w:rsidR="00F704C2" w:rsidP="002C0BB8" w:rsidRDefault="00F704C2" w14:paraId="7F7F83F6" w14:textId="77777777">
            <w:pPr>
              <w:tabs>
                <w:tab w:val="left" w:pos="5040"/>
              </w:tabs>
              <w:rPr>
                <w:rFonts w:ascii="Times New Roman" w:hAnsi="Times New Roman"/>
              </w:rPr>
            </w:pPr>
            <w:r w:rsidRPr="00F704C2">
              <w:rPr>
                <w:rFonts w:ascii="Times New Roman" w:hAnsi="Times New Roman"/>
              </w:rPr>
              <w:t>Department of Economics</w:t>
            </w:r>
          </w:p>
          <w:p w:rsidRPr="00F704C2" w:rsidR="00F704C2" w:rsidP="002C0BB8" w:rsidRDefault="00F704C2" w14:paraId="42ED05E9" w14:textId="59F664E9">
            <w:pPr>
              <w:tabs>
                <w:tab w:val="left" w:pos="5040"/>
              </w:tabs>
              <w:rPr>
                <w:rFonts w:ascii="Times New Roman" w:hAnsi="Times New Roman"/>
              </w:rPr>
            </w:pPr>
            <w:r w:rsidRPr="00F704C2">
              <w:rPr>
                <w:rFonts w:ascii="Times New Roman" w:hAnsi="Times New Roman"/>
              </w:rPr>
              <w:t>University of Wisconsin</w:t>
            </w:r>
          </w:p>
        </w:tc>
        <w:tc>
          <w:tcPr>
            <w:tcW w:w="3505" w:type="dxa"/>
          </w:tcPr>
          <w:p w:rsidRPr="00F704C2" w:rsidR="00F704C2" w:rsidP="002C0BB8" w:rsidRDefault="00F704C2" w14:paraId="1A088E71" w14:textId="77777777">
            <w:pPr>
              <w:tabs>
                <w:tab w:val="left" w:pos="5040"/>
              </w:tabs>
              <w:rPr>
                <w:rFonts w:ascii="Times New Roman" w:hAnsi="Times New Roman"/>
              </w:rPr>
            </w:pPr>
          </w:p>
          <w:p w:rsidRPr="00F704C2" w:rsidR="00F704C2" w:rsidP="002C0BB8" w:rsidRDefault="00F704C2" w14:paraId="554D53E0" w14:textId="77777777">
            <w:pPr>
              <w:tabs>
                <w:tab w:val="left" w:pos="5040"/>
              </w:tabs>
              <w:rPr>
                <w:rFonts w:ascii="Times New Roman" w:hAnsi="Times New Roman"/>
              </w:rPr>
            </w:pPr>
          </w:p>
        </w:tc>
      </w:tr>
    </w:tbl>
    <w:p w:rsidRPr="00F704C2" w:rsidR="00F704C2" w:rsidP="00F704C2" w:rsidRDefault="00F704C2" w14:paraId="5C4F93F6" w14:textId="77777777">
      <w:pPr>
        <w:rPr>
          <w:rFonts w:ascii="Times New Roman" w:hAnsi="Times New Roman"/>
        </w:rPr>
      </w:pPr>
    </w:p>
    <w:p w:rsidRPr="00F704C2" w:rsidR="003A3100" w:rsidP="00F704C2" w:rsidRDefault="003A3100" w14:paraId="7DA97F6C" w14:textId="77777777">
      <w:pPr>
        <w:rPr>
          <w:rFonts w:ascii="Times New Roman" w:hAnsi="Times New Roman"/>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3E30E6" w:rsidR="001052BE" w:rsidP="001052BE" w:rsidRDefault="001052BE" w14:paraId="43D32E25" w14:textId="77777777">
      <w:pPr>
        <w:rPr>
          <w:bCs/>
        </w:rPr>
      </w:pPr>
      <w:bookmarkStart w:name="_Toc347299680" w:id="2"/>
    </w:p>
    <w:p w:rsidRPr="001052BE" w:rsidR="001052BE" w:rsidRDefault="001052BE" w14:paraId="179E0E2C" w14:textId="63E5A1AB">
      <w:pPr>
        <w:rPr>
          <w:rFonts w:ascii="Times New Roman" w:hAnsi="Times New Roman"/>
          <w:bCs/>
        </w:rPr>
      </w:pPr>
      <w:r w:rsidRPr="001052BE">
        <w:rPr>
          <w:rFonts w:ascii="Times New Roman" w:hAnsi="Times New Roman"/>
          <w:bCs/>
        </w:rPr>
        <w:t xml:space="preserve">The NLSY97 is a long-term study in which the same respondents were interviewed on an annual basis for 15 rounds before moving to biennial interviewing; Round 20 will be the </w:t>
      </w:r>
      <w:r w:rsidR="00ED3F69">
        <w:rPr>
          <w:rFonts w:ascii="Times New Roman" w:hAnsi="Times New Roman"/>
          <w:bCs/>
        </w:rPr>
        <w:t>fifth</w:t>
      </w:r>
      <w:r w:rsidRPr="001052BE">
        <w:rPr>
          <w:rFonts w:ascii="Times New Roman" w:hAnsi="Times New Roman"/>
          <w:bCs/>
        </w:rPr>
        <w:t xml:space="preserve"> round during the biennial phase. </w:t>
      </w:r>
      <w:r w:rsidR="000668A2">
        <w:rPr>
          <w:rFonts w:ascii="Times New Roman" w:hAnsi="Times New Roman"/>
          <w:bCs/>
        </w:rPr>
        <w:t xml:space="preserve"> </w:t>
      </w:r>
      <w:r w:rsidRPr="001052BE">
        <w:rPr>
          <w:rFonts w:ascii="Times New Roman" w:hAnsi="Times New Roman"/>
          <w:bCs/>
        </w:rPr>
        <w:t>Because minimizing sample attrition is critical to sustaining this type of longitudinal study, respondents in all prior rounds have been offered financial and in-kind incentives as a means of securing their long-term cooperation and minimizing any decline in response rates.  The goal of these incentives is to minimize non-response bias, both by promoting high overall response rates and by shoring up response among subpopulations of analytical interest to data users.</w:t>
      </w:r>
    </w:p>
    <w:p w:rsidRPr="001052BE" w:rsidR="001052BE" w:rsidP="001052BE" w:rsidRDefault="001052BE" w14:paraId="25926176" w14:textId="77777777">
      <w:pPr>
        <w:rPr>
          <w:rFonts w:ascii="Times New Roman" w:hAnsi="Times New Roman"/>
          <w:bCs/>
        </w:rPr>
      </w:pPr>
    </w:p>
    <w:p w:rsidRPr="001052BE" w:rsidR="001052BE" w:rsidRDefault="001052BE" w14:paraId="7BB1BD89" w14:textId="15BD408F">
      <w:pPr>
        <w:rPr>
          <w:rFonts w:ascii="Times New Roman" w:hAnsi="Times New Roman"/>
        </w:rPr>
      </w:pPr>
      <w:r w:rsidRPr="001052BE">
        <w:rPr>
          <w:rFonts w:ascii="Times New Roman" w:hAnsi="Times New Roman"/>
        </w:rPr>
        <w:t>Incentives are commonly used in longitudinal surveys, both because they typically impose a high burden on each respondent and because repeated cooperation has a particularly high value (</w:t>
      </w:r>
      <w:r w:rsidRPr="001052BE">
        <w:rPr>
          <w:rFonts w:ascii="Times New Roman" w:hAnsi="Times New Roman"/>
          <w:color w:val="000000" w:themeColor="text1"/>
        </w:rPr>
        <w:t>Laurie and Lynn, 2009).  The accumulated e</w:t>
      </w:r>
      <w:r w:rsidRPr="001052BE">
        <w:rPr>
          <w:rFonts w:ascii="Times New Roman" w:hAnsi="Times New Roman"/>
          <w:bCs/>
        </w:rPr>
        <w:t xml:space="preserve">vidence shows that these incentives can have positive effects on both respondent and interviewer behavior.  They are effective in gaining conversions among those least likely to participate as well as quicker cooperation among the more likely. </w:t>
      </w:r>
      <w:r w:rsidR="00CC260C">
        <w:rPr>
          <w:rFonts w:ascii="Times New Roman" w:hAnsi="Times New Roman"/>
          <w:bCs/>
        </w:rPr>
        <w:t xml:space="preserve"> </w:t>
      </w:r>
      <w:r w:rsidRPr="001052BE">
        <w:rPr>
          <w:rFonts w:ascii="Times New Roman" w:hAnsi="Times New Roman"/>
          <w:bCs/>
        </w:rPr>
        <w:t xml:space="preserve">Small increases or one-time bonuses can have a halo effect that results in future participation. </w:t>
      </w:r>
      <w:r w:rsidR="00CC260C">
        <w:rPr>
          <w:rFonts w:ascii="Times New Roman" w:hAnsi="Times New Roman"/>
          <w:bCs/>
        </w:rPr>
        <w:t xml:space="preserve"> </w:t>
      </w:r>
      <w:r w:rsidRPr="001052BE">
        <w:rPr>
          <w:rFonts w:ascii="Times New Roman" w:hAnsi="Times New Roman"/>
          <w:color w:val="000000" w:themeColor="text1"/>
        </w:rPr>
        <w:t>(Wong, 2020)</w:t>
      </w:r>
      <w:r w:rsidRPr="001052BE">
        <w:rPr>
          <w:rFonts w:ascii="Times New Roman" w:hAnsi="Times New Roman"/>
          <w:bCs/>
        </w:rPr>
        <w:t>.  However, because of the relative scarcity of longitudinal studies</w:t>
      </w:r>
      <w:r w:rsidRPr="001052BE">
        <w:rPr>
          <w:rFonts w:ascii="Times New Roman" w:hAnsi="Times New Roman"/>
        </w:rPr>
        <w:t xml:space="preserve">, </w:t>
      </w:r>
      <w:r w:rsidRPr="001052BE">
        <w:rPr>
          <w:rFonts w:ascii="Times New Roman" w:hAnsi="Times New Roman"/>
        </w:rPr>
        <w:lastRenderedPageBreak/>
        <w:t xml:space="preserve">especially with the high response rates and intensive data collection approach of the NLSY97, the evidence from the literature on detailed design components is relatively sparse.  The NLS program thus designs its incentive offerings by drawing on the literature as much as possible, but also by relying on its own accumulated experiences in incentivizing survey completions.  To foster continual improvement in the efficacy of its incentives, it often seeks to build evidence through experimentation as it designs each succeeding round. </w:t>
      </w:r>
      <w:r w:rsidR="00CC260C">
        <w:rPr>
          <w:rFonts w:ascii="Times New Roman" w:hAnsi="Times New Roman"/>
        </w:rPr>
        <w:t xml:space="preserve"> </w:t>
      </w:r>
      <w:r w:rsidRPr="001052BE">
        <w:rPr>
          <w:rFonts w:ascii="Times New Roman" w:hAnsi="Times New Roman"/>
        </w:rPr>
        <w:t>Such experimentation has included, for example, the introduction of novel incentives and the imposition of randomization on some incentives so as to facilitate subsequent evaluation.</w:t>
      </w:r>
    </w:p>
    <w:p w:rsidRPr="001052BE" w:rsidR="001052BE" w:rsidRDefault="001052BE" w14:paraId="6CC13085" w14:textId="77777777">
      <w:pPr>
        <w:rPr>
          <w:rFonts w:ascii="Times New Roman" w:hAnsi="Times New Roman"/>
        </w:rPr>
      </w:pPr>
    </w:p>
    <w:p w:rsidRPr="001052BE" w:rsidR="001052BE" w:rsidP="001052BE" w:rsidRDefault="001052BE" w14:paraId="4A6F52FB" w14:textId="77777777">
      <w:pPr>
        <w:rPr>
          <w:rFonts w:ascii="Times New Roman" w:hAnsi="Times New Roman"/>
          <w:bCs/>
          <w:i/>
          <w:u w:val="single"/>
        </w:rPr>
      </w:pPr>
      <w:r w:rsidRPr="001052BE">
        <w:rPr>
          <w:rStyle w:val="BookTitle"/>
          <w:rFonts w:ascii="Times New Roman" w:hAnsi="Times New Roman"/>
          <w:u w:val="single"/>
        </w:rPr>
        <w:t>Respondent Segments</w:t>
      </w:r>
      <w:r w:rsidRPr="001052BE">
        <w:rPr>
          <w:rFonts w:ascii="Times New Roman" w:hAnsi="Times New Roman"/>
          <w:bCs/>
          <w:i/>
          <w:u w:val="single"/>
        </w:rPr>
        <w:t xml:space="preserve"> </w:t>
      </w:r>
    </w:p>
    <w:p w:rsidRPr="001052BE" w:rsidR="001052BE" w:rsidP="001052BE" w:rsidRDefault="001052BE" w14:paraId="2BCF39FB" w14:textId="31DCB68D">
      <w:pPr>
        <w:rPr>
          <w:rFonts w:ascii="Times New Roman" w:hAnsi="Times New Roman"/>
        </w:rPr>
      </w:pPr>
      <w:r w:rsidRPr="001052BE">
        <w:rPr>
          <w:rFonts w:ascii="Times New Roman" w:hAnsi="Times New Roman"/>
          <w:bCs/>
        </w:rPr>
        <w:t>The incentive design for Round 20 complements a base incentive with a series of targeted incentive components that are tailored to appeal to specific segments of the sample, as defined by past response behavior.  The segments comprise three categories</w:t>
      </w:r>
      <w:r w:rsidR="00824667">
        <w:rPr>
          <w:rStyle w:val="FootnoteReference"/>
          <w:rFonts w:ascii="Times New Roman" w:hAnsi="Times New Roman"/>
          <w:bCs/>
        </w:rPr>
        <w:footnoteReference w:id="2"/>
      </w:r>
      <w:r w:rsidRPr="001052BE">
        <w:rPr>
          <w:rFonts w:ascii="Times New Roman" w:hAnsi="Times New Roman"/>
          <w:bCs/>
        </w:rPr>
        <w:t xml:space="preserve">, as described in Figure </w:t>
      </w:r>
      <w:r w:rsidR="00911E07">
        <w:rPr>
          <w:rFonts w:ascii="Times New Roman" w:hAnsi="Times New Roman"/>
          <w:bCs/>
        </w:rPr>
        <w:t>1</w:t>
      </w:r>
      <w:r w:rsidRPr="001052BE" w:rsidR="00911E07">
        <w:rPr>
          <w:rFonts w:ascii="Times New Roman" w:hAnsi="Times New Roman"/>
          <w:bCs/>
        </w:rPr>
        <w:t xml:space="preserve"> </w:t>
      </w:r>
      <w:r w:rsidRPr="001052BE">
        <w:rPr>
          <w:rFonts w:ascii="Times New Roman" w:hAnsi="Times New Roman"/>
          <w:bCs/>
        </w:rPr>
        <w:t>below.</w:t>
      </w:r>
      <w:r w:rsidRPr="001052BE">
        <w:rPr>
          <w:rFonts w:ascii="Times New Roman" w:hAnsi="Times New Roman"/>
        </w:rPr>
        <w:t xml:space="preserve">  </w:t>
      </w:r>
    </w:p>
    <w:p w:rsidRPr="001052BE" w:rsidR="001052BE" w:rsidP="001052BE" w:rsidRDefault="001052BE" w14:paraId="47F02102" w14:textId="7B781694">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“Perfect” responders who have never missed an interview (4</w:t>
      </w:r>
      <w:r w:rsidR="00314DA4">
        <w:rPr>
          <w:rFonts w:ascii="Times New Roman" w:hAnsi="Times New Roman"/>
        </w:rPr>
        <w:t>,</w:t>
      </w:r>
      <w:r w:rsidRPr="001052BE">
        <w:rPr>
          <w:rFonts w:ascii="Times New Roman" w:hAnsi="Times New Roman"/>
        </w:rPr>
        <w:t>384);</w:t>
      </w:r>
    </w:p>
    <w:p w:rsidRPr="001052BE" w:rsidR="001052BE" w:rsidP="001052BE" w:rsidRDefault="001052BE" w14:paraId="622F26DC" w14:textId="49071677">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Round 19 completers who have previously missed at least one interview (</w:t>
      </w:r>
      <w:r>
        <w:rPr>
          <w:rFonts w:ascii="Times New Roman" w:hAnsi="Times New Roman"/>
        </w:rPr>
        <w:t>2</w:t>
      </w:r>
      <w:r w:rsidR="00314DA4">
        <w:rPr>
          <w:rFonts w:ascii="Times New Roman" w:hAnsi="Times New Roman"/>
        </w:rPr>
        <w:t>,</w:t>
      </w:r>
      <w:r>
        <w:rPr>
          <w:rFonts w:ascii="Times New Roman" w:hAnsi="Times New Roman"/>
        </w:rPr>
        <w:t>562</w:t>
      </w:r>
      <w:r w:rsidRPr="001052BE">
        <w:rPr>
          <w:rFonts w:ascii="Times New Roman" w:hAnsi="Times New Roman"/>
        </w:rPr>
        <w:t>);</w:t>
      </w:r>
    </w:p>
    <w:p w:rsidRPr="001052BE" w:rsidR="001052BE" w:rsidP="001052BE" w:rsidRDefault="001052BE" w14:paraId="45F2BDA8" w14:textId="2FF59FE2">
      <w:pPr>
        <w:pStyle w:val="ListParagraph"/>
        <w:widowControl/>
        <w:numPr>
          <w:ilvl w:val="0"/>
          <w:numId w:val="15"/>
        </w:numPr>
        <w:autoSpaceDE/>
        <w:autoSpaceDN/>
        <w:adjustRightInd/>
        <w:contextualSpacing/>
        <w:rPr>
          <w:rFonts w:ascii="Times New Roman" w:hAnsi="Times New Roman"/>
        </w:rPr>
      </w:pPr>
      <w:r w:rsidRPr="001052BE">
        <w:rPr>
          <w:rFonts w:ascii="Times New Roman" w:hAnsi="Times New Roman"/>
        </w:rPr>
        <w:t>Round 19 non-completers (1</w:t>
      </w:r>
      <w:r w:rsidR="00314DA4">
        <w:rPr>
          <w:rFonts w:ascii="Times New Roman" w:hAnsi="Times New Roman"/>
        </w:rPr>
        <w:t>,</w:t>
      </w:r>
      <w:r w:rsidRPr="001052BE">
        <w:rPr>
          <w:rFonts w:ascii="Times New Roman" w:hAnsi="Times New Roman"/>
        </w:rPr>
        <w:t>601).</w:t>
      </w:r>
    </w:p>
    <w:p w:rsidR="008C0EA7" w:rsidP="00D53409" w:rsidRDefault="008C0EA7" w14:paraId="49AEAD34" w14:textId="77777777">
      <w:pPr>
        <w:spacing w:after="160"/>
        <w:rPr>
          <w:rStyle w:val="BookTitle"/>
          <w:rFonts w:ascii="Times New Roman" w:hAnsi="Times New Roman" w:eastAsiaTheme="minorHAnsi"/>
          <w:b w:val="0"/>
          <w:i w:val="0"/>
        </w:rPr>
      </w:pPr>
    </w:p>
    <w:p w:rsidRPr="001052BE" w:rsidR="001052BE" w:rsidP="00D53409" w:rsidRDefault="001052BE" w14:paraId="0C62B9EA" w14:textId="7D0373F8">
      <w:pPr>
        <w:spacing w:after="160"/>
        <w:rPr>
          <w:rStyle w:val="BookTitle"/>
          <w:rFonts w:ascii="Times New Roman" w:hAnsi="Times New Roman" w:eastAsiaTheme="minorHAnsi"/>
          <w:b w:val="0"/>
          <w:bCs w:val="0"/>
          <w:i w:val="0"/>
          <w:iCs w:val="0"/>
        </w:rPr>
      </w:pPr>
      <w:r w:rsidRPr="001052BE">
        <w:rPr>
          <w:rStyle w:val="BookTitle"/>
          <w:rFonts w:ascii="Times New Roman" w:hAnsi="Times New Roman" w:eastAsiaTheme="minorHAnsi"/>
          <w:b w:val="0"/>
          <w:i w:val="0"/>
        </w:rPr>
        <w:t xml:space="preserve">Within the first segment, one third of the sample will be randomly chosen to receive a “Thank You” bonus in Round 20.  Within the third segment, “Missed Round” incentives will vary depending on the length of time since the last completed interview.  In addition to these incentive components targeted by segment, </w:t>
      </w:r>
      <w:r w:rsidR="003110E6">
        <w:rPr>
          <w:rStyle w:val="BookTitle"/>
          <w:rFonts w:ascii="Times New Roman" w:hAnsi="Times New Roman" w:eastAsiaTheme="minorHAnsi"/>
          <w:b w:val="0"/>
          <w:i w:val="0"/>
        </w:rPr>
        <w:t>NLS</w:t>
      </w:r>
      <w:r w:rsidRPr="001052BE" w:rsidR="003110E6">
        <w:rPr>
          <w:rStyle w:val="BookTitle"/>
          <w:rFonts w:ascii="Times New Roman" w:hAnsi="Times New Roman" w:eastAsiaTheme="minorHAnsi"/>
          <w:b w:val="0"/>
          <w:i w:val="0"/>
        </w:rPr>
        <w:t xml:space="preserve"> </w:t>
      </w:r>
      <w:r w:rsidRPr="001052BE">
        <w:rPr>
          <w:rStyle w:val="BookTitle"/>
          <w:rFonts w:ascii="Times New Roman" w:hAnsi="Times New Roman" w:eastAsiaTheme="minorHAnsi"/>
          <w:b w:val="0"/>
          <w:i w:val="0"/>
        </w:rPr>
        <w:t>will offer “Final Push” incentives to reluctant responders as the fielding period advances to its conclusion.  The details of these incentive components are described below.</w:t>
      </w:r>
    </w:p>
    <w:p w:rsidR="008C0EA7" w:rsidRDefault="008C0EA7" w14:paraId="6A8A4672" w14:textId="74519A14">
      <w:pPr>
        <w:widowControl/>
        <w:autoSpaceDE/>
        <w:autoSpaceDN/>
        <w:adjustRightInd/>
        <w:rPr>
          <w:rStyle w:val="BookTitle"/>
          <w:rFonts w:ascii="Times New Roman" w:hAnsi="Times New Roman" w:eastAsiaTheme="minorHAnsi"/>
          <w:b w:val="0"/>
          <w:bCs w:val="0"/>
          <w:i w:val="0"/>
          <w:iCs w:val="0"/>
        </w:rPr>
      </w:pPr>
      <w:r>
        <w:rPr>
          <w:rStyle w:val="BookTitle"/>
          <w:rFonts w:ascii="Times New Roman" w:hAnsi="Times New Roman" w:eastAsiaTheme="minorHAnsi"/>
          <w:b w:val="0"/>
          <w:bCs w:val="0"/>
          <w:i w:val="0"/>
          <w:iCs w:val="0"/>
        </w:rPr>
        <w:br w:type="page"/>
      </w:r>
    </w:p>
    <w:p w:rsidRPr="001052BE" w:rsidR="001052BE" w:rsidP="001052BE" w:rsidRDefault="001052BE" w14:paraId="4282FE5B" w14:textId="7D536D63">
      <w:pPr>
        <w:spacing w:after="160" w:line="259" w:lineRule="auto"/>
        <w:rPr>
          <w:rFonts w:ascii="Times New Roman" w:hAnsi="Times New Roman"/>
        </w:rPr>
      </w:pPr>
      <w:r w:rsidRPr="001052BE">
        <w:rPr>
          <w:rStyle w:val="BookTitle"/>
          <w:rFonts w:ascii="Times New Roman" w:hAnsi="Times New Roman"/>
        </w:rPr>
        <w:lastRenderedPageBreak/>
        <w:t xml:space="preserve">Figure </w:t>
      </w:r>
      <w:r w:rsidR="00911E07">
        <w:rPr>
          <w:rStyle w:val="BookTitle"/>
          <w:rFonts w:ascii="Times New Roman" w:hAnsi="Times New Roman"/>
        </w:rPr>
        <w:t>1</w:t>
      </w:r>
      <w:r w:rsidRPr="001052BE">
        <w:rPr>
          <w:rStyle w:val="BookTitle"/>
          <w:rFonts w:ascii="Times New Roman" w:hAnsi="Times New Roman"/>
        </w:rPr>
        <w:t>: Round 20 Respondent Segments</w:t>
      </w:r>
    </w:p>
    <w:p w:rsidRPr="001052BE" w:rsidR="001052BE" w:rsidP="001052BE" w:rsidRDefault="001052BE" w14:paraId="3664B350" w14:textId="77777777">
      <w:pPr>
        <w:rPr>
          <w:rFonts w:ascii="Times New Roman" w:hAnsi="Times New Roman"/>
        </w:rPr>
      </w:pPr>
      <w:r w:rsidRPr="001052BE">
        <w:rPr>
          <w:rFonts w:ascii="Times New Roman" w:hAnsi="Times New Roman"/>
          <w:noProof/>
        </w:rPr>
        <w:drawing>
          <wp:inline distT="0" distB="0" distL="0" distR="0" wp14:anchorId="2D1460DF" wp14:editId="01D51BA4">
            <wp:extent cx="5953125" cy="3152775"/>
            <wp:effectExtent l="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A3100" w:rsidP="001052BE" w:rsidRDefault="003A3100" w14:paraId="55BD7920" w14:textId="77777777">
      <w:pPr>
        <w:rPr>
          <w:rFonts w:ascii="Times New Roman" w:hAnsi="Times New Roman"/>
          <w:u w:val="single"/>
        </w:rPr>
      </w:pPr>
    </w:p>
    <w:p w:rsidRPr="001052BE" w:rsidR="001052BE" w:rsidP="001052BE" w:rsidRDefault="001052BE" w14:paraId="503FDE20" w14:textId="77777777">
      <w:pPr>
        <w:rPr>
          <w:rFonts w:ascii="Times New Roman" w:hAnsi="Times New Roman"/>
          <w:u w:val="single"/>
        </w:rPr>
      </w:pPr>
      <w:r w:rsidRPr="001052BE">
        <w:rPr>
          <w:rFonts w:ascii="Times New Roman" w:hAnsi="Times New Roman"/>
          <w:u w:val="single"/>
        </w:rPr>
        <w:t>Incentive Components</w:t>
      </w:r>
    </w:p>
    <w:bookmarkEnd w:id="2"/>
    <w:p w:rsidRPr="001052BE" w:rsidR="001052BE" w:rsidP="001052BE" w:rsidRDefault="001052BE" w14:paraId="5BF98FEA" w14:textId="7385A0DD">
      <w:pPr>
        <w:rPr>
          <w:rFonts w:ascii="Times New Roman" w:hAnsi="Times New Roman"/>
        </w:rPr>
      </w:pPr>
      <w:r w:rsidRPr="001052BE">
        <w:rPr>
          <w:rFonts w:ascii="Times New Roman" w:hAnsi="Times New Roman"/>
        </w:rPr>
        <w:t xml:space="preserve">The Round 20 incentive strategy includes a base incentive, a thank you bonus to </w:t>
      </w:r>
      <w:r w:rsidR="004C1451">
        <w:rPr>
          <w:rFonts w:ascii="Times New Roman" w:hAnsi="Times New Roman"/>
        </w:rPr>
        <w:t>the</w:t>
      </w:r>
      <w:r w:rsidRPr="001052BE" w:rsidR="004C1451">
        <w:rPr>
          <w:rFonts w:ascii="Times New Roman" w:hAnsi="Times New Roman"/>
        </w:rPr>
        <w:t xml:space="preserve"> </w:t>
      </w:r>
      <w:r w:rsidRPr="001052BE">
        <w:rPr>
          <w:rFonts w:ascii="Times New Roman" w:hAnsi="Times New Roman"/>
        </w:rPr>
        <w:t xml:space="preserve">most cooperative respondents, a graduated, missed round incentive for respondents who did not complete Round 19, and small, discretionary, in-kind supplements.  In addition, a two-level final push incentive for individuals for whom the standard protocol has been unsuccessful in securing cooperation is proposed for Round 20.  </w:t>
      </w:r>
    </w:p>
    <w:p w:rsidRPr="00F81841" w:rsidR="008C0EA7" w:rsidP="00F81841" w:rsidRDefault="008C0EA7" w14:paraId="717C5BFD" w14:textId="77777777">
      <w:pPr>
        <w:rPr>
          <w:rFonts w:ascii="Times New Roman" w:hAnsi="Times New Roman"/>
          <w:i/>
        </w:rPr>
      </w:pPr>
    </w:p>
    <w:p w:rsidRPr="00F81841" w:rsidR="001052BE" w:rsidP="00F81841" w:rsidRDefault="00860517" w14:paraId="1012F9B9" w14:textId="65AE374B">
      <w:pPr>
        <w:rPr>
          <w:rFonts w:ascii="Times New Roman" w:hAnsi="Times New Roman"/>
        </w:rPr>
      </w:pPr>
      <w:r w:rsidRPr="00F81841">
        <w:rPr>
          <w:rFonts w:ascii="Times New Roman" w:hAnsi="Times New Roman"/>
        </w:rPr>
        <w:tab/>
      </w:r>
    </w:p>
    <w:p w:rsidRPr="001052BE" w:rsidR="001052BE" w:rsidP="001052BE" w:rsidRDefault="001052BE" w14:paraId="4302EF65" w14:textId="77777777">
      <w:pPr>
        <w:rPr>
          <w:rFonts w:ascii="Times New Roman" w:hAnsi="Times New Roman"/>
        </w:rPr>
      </w:pPr>
      <w:r w:rsidRPr="001052BE">
        <w:rPr>
          <w:rFonts w:ascii="Times New Roman" w:hAnsi="Times New Roman"/>
          <w:i/>
        </w:rPr>
        <w:t>Base Incentive</w:t>
      </w:r>
      <w:r w:rsidRPr="001052BE">
        <w:rPr>
          <w:rFonts w:ascii="Times New Roman" w:hAnsi="Times New Roman"/>
        </w:rPr>
        <w:t xml:space="preserve"> </w:t>
      </w:r>
    </w:p>
    <w:p w:rsidRPr="001052BE" w:rsidR="001052BE" w:rsidP="001052BE" w:rsidRDefault="001052BE" w14:paraId="62A6D094" w14:textId="77777777">
      <w:pPr>
        <w:rPr>
          <w:rFonts w:ascii="Times New Roman" w:hAnsi="Times New Roman"/>
        </w:rPr>
      </w:pPr>
      <w:r w:rsidRPr="001052BE">
        <w:rPr>
          <w:rFonts w:ascii="Times New Roman" w:hAnsi="Times New Roman"/>
        </w:rPr>
        <w:t>A base incentive of $50 will be given to all respondents who complete the Round 20 interview.  This base fee is identical to that offered in Round 19.</w:t>
      </w:r>
    </w:p>
    <w:p w:rsidRPr="001052BE" w:rsidR="001052BE" w:rsidP="001052BE" w:rsidRDefault="001052BE" w14:paraId="349CA445" w14:textId="3C3894F3">
      <w:pPr>
        <w:rPr>
          <w:rFonts w:ascii="Times New Roman" w:hAnsi="Times New Roman"/>
        </w:rPr>
      </w:pPr>
      <w:r w:rsidRPr="001052BE" w:rsidDel="004B5731">
        <w:rPr>
          <w:rStyle w:val="CommentReference"/>
          <w:rFonts w:ascii="Times New Roman" w:hAnsi="Times New Roman"/>
          <w:sz w:val="24"/>
          <w:szCs w:val="24"/>
        </w:rPr>
        <w:t xml:space="preserve"> </w:t>
      </w:r>
    </w:p>
    <w:p w:rsidR="00DB0C2C" w:rsidP="001052BE" w:rsidRDefault="00DB0C2C" w14:paraId="2732614D" w14:textId="77777777">
      <w:pPr>
        <w:rPr>
          <w:rFonts w:ascii="Times New Roman" w:hAnsi="Times New Roman"/>
          <w:i/>
        </w:rPr>
      </w:pPr>
    </w:p>
    <w:p w:rsidRPr="001052BE" w:rsidR="001052BE" w:rsidP="001052BE" w:rsidRDefault="001052BE" w14:paraId="7856B11F" w14:textId="77777777">
      <w:pPr>
        <w:rPr>
          <w:rFonts w:ascii="Times New Roman" w:hAnsi="Times New Roman"/>
        </w:rPr>
      </w:pPr>
      <w:r w:rsidRPr="001052BE">
        <w:rPr>
          <w:rFonts w:ascii="Times New Roman" w:hAnsi="Times New Roman"/>
          <w:i/>
        </w:rPr>
        <w:t>Thank You Bonus</w:t>
      </w:r>
      <w:r w:rsidRPr="001052BE">
        <w:rPr>
          <w:rFonts w:ascii="Times New Roman" w:hAnsi="Times New Roman"/>
        </w:rPr>
        <w:t xml:space="preserve"> </w:t>
      </w:r>
    </w:p>
    <w:p w:rsidRPr="001052BE" w:rsidR="001052BE" w:rsidP="001052BE" w:rsidRDefault="001052BE" w14:paraId="30D5EC19" w14:textId="563AD327">
      <w:pPr>
        <w:rPr>
          <w:rFonts w:ascii="Times New Roman" w:hAnsi="Times New Roman"/>
        </w:rPr>
      </w:pPr>
      <w:r w:rsidRPr="001052BE">
        <w:rPr>
          <w:rFonts w:ascii="Times New Roman" w:hAnsi="Times New Roman"/>
        </w:rPr>
        <w:t>In honor of the survey’s 20</w:t>
      </w:r>
      <w:r w:rsidRPr="001052BE">
        <w:rPr>
          <w:rFonts w:ascii="Times New Roman" w:hAnsi="Times New Roman"/>
          <w:vertAlign w:val="superscript"/>
        </w:rPr>
        <w:t>th</w:t>
      </w:r>
      <w:r w:rsidRPr="001052BE">
        <w:rPr>
          <w:rFonts w:ascii="Times New Roman" w:hAnsi="Times New Roman"/>
        </w:rPr>
        <w:t xml:space="preserve"> round, </w:t>
      </w:r>
      <w:r w:rsidR="003110E6">
        <w:rPr>
          <w:rFonts w:ascii="Times New Roman" w:hAnsi="Times New Roman"/>
        </w:rPr>
        <w:t>NLS</w:t>
      </w:r>
      <w:r w:rsidRPr="001052BE" w:rsidR="003110E6">
        <w:rPr>
          <w:rFonts w:ascii="Times New Roman" w:hAnsi="Times New Roman"/>
        </w:rPr>
        <w:t xml:space="preserve"> </w:t>
      </w:r>
      <w:r w:rsidRPr="001052BE">
        <w:rPr>
          <w:rFonts w:ascii="Times New Roman" w:hAnsi="Times New Roman"/>
        </w:rPr>
        <w:t xml:space="preserve">will offer a “Thank You Bonus” of $25 to acknowledge the high levels of cooperation exhibited by 4,384 respondents who have completed interviews in every round through </w:t>
      </w:r>
      <w:r w:rsidR="00314DA4">
        <w:rPr>
          <w:rFonts w:ascii="Times New Roman" w:hAnsi="Times New Roman"/>
        </w:rPr>
        <w:t>R</w:t>
      </w:r>
      <w:r w:rsidRPr="001052BE">
        <w:rPr>
          <w:rFonts w:ascii="Times New Roman" w:hAnsi="Times New Roman"/>
        </w:rPr>
        <w:t xml:space="preserve">ound 19.  As these respondents make up over half of </w:t>
      </w:r>
      <w:r w:rsidR="004C1451">
        <w:rPr>
          <w:rFonts w:ascii="Times New Roman" w:hAnsi="Times New Roman"/>
        </w:rPr>
        <w:t>the</w:t>
      </w:r>
      <w:r w:rsidRPr="001052BE" w:rsidR="004C1451">
        <w:rPr>
          <w:rFonts w:ascii="Times New Roman" w:hAnsi="Times New Roman"/>
        </w:rPr>
        <w:t xml:space="preserve"> </w:t>
      </w:r>
      <w:r w:rsidRPr="001052BE">
        <w:rPr>
          <w:rFonts w:ascii="Times New Roman" w:hAnsi="Times New Roman"/>
        </w:rPr>
        <w:t>Round 20 sample and have an expected completion rate of over 96 percent, they are extremely important to the ongoing, long-term success of the survey.  (In comparison, individuals who completed the prior interview but have previously missed at least one round, who make up about 29</w:t>
      </w:r>
      <w:r w:rsidR="00E81D80">
        <w:rPr>
          <w:rFonts w:ascii="Times New Roman" w:hAnsi="Times New Roman"/>
        </w:rPr>
        <w:t xml:space="preserve"> percent</w:t>
      </w:r>
      <w:r w:rsidRPr="001052BE">
        <w:rPr>
          <w:rFonts w:ascii="Times New Roman" w:hAnsi="Times New Roman"/>
        </w:rPr>
        <w:t xml:space="preserve"> of the sample, have a participation rate of 85 percent.)  By cultivating the spirit of reciprocity between the respondents and the survey program, this </w:t>
      </w:r>
      <w:r w:rsidR="00AB357D">
        <w:rPr>
          <w:rFonts w:ascii="Times New Roman" w:hAnsi="Times New Roman"/>
        </w:rPr>
        <w:t>“T</w:t>
      </w:r>
      <w:r w:rsidRPr="001052BE">
        <w:rPr>
          <w:rFonts w:ascii="Times New Roman" w:hAnsi="Times New Roman"/>
        </w:rPr>
        <w:t xml:space="preserve">hank </w:t>
      </w:r>
      <w:r w:rsidR="00AB357D">
        <w:rPr>
          <w:rFonts w:ascii="Times New Roman" w:hAnsi="Times New Roman"/>
        </w:rPr>
        <w:t>Y</w:t>
      </w:r>
      <w:r w:rsidRPr="001052BE">
        <w:rPr>
          <w:rFonts w:ascii="Times New Roman" w:hAnsi="Times New Roman"/>
        </w:rPr>
        <w:t xml:space="preserve">ou </w:t>
      </w:r>
      <w:r w:rsidR="00AB357D">
        <w:rPr>
          <w:rFonts w:ascii="Times New Roman" w:hAnsi="Times New Roman"/>
        </w:rPr>
        <w:t>B</w:t>
      </w:r>
      <w:r w:rsidRPr="001052BE">
        <w:rPr>
          <w:rFonts w:ascii="Times New Roman" w:hAnsi="Times New Roman"/>
        </w:rPr>
        <w:t>onus</w:t>
      </w:r>
      <w:r w:rsidR="00AB357D">
        <w:rPr>
          <w:rFonts w:ascii="Times New Roman" w:hAnsi="Times New Roman"/>
        </w:rPr>
        <w:t>”</w:t>
      </w:r>
      <w:r w:rsidRPr="001052BE">
        <w:rPr>
          <w:rFonts w:ascii="Times New Roman" w:hAnsi="Times New Roman"/>
        </w:rPr>
        <w:t xml:space="preserve"> can reinforce the respondents’ sense that their responses are valued and important (Laurie and Lynn, 2009). </w:t>
      </w:r>
    </w:p>
    <w:p w:rsidRPr="001052BE" w:rsidR="001052BE" w:rsidP="001052BE" w:rsidRDefault="001052BE" w14:paraId="19CF3C0C" w14:textId="77777777">
      <w:pPr>
        <w:rPr>
          <w:rFonts w:ascii="Times New Roman" w:hAnsi="Times New Roman"/>
        </w:rPr>
      </w:pPr>
    </w:p>
    <w:p w:rsidRPr="001052BE" w:rsidR="001052BE" w:rsidP="001052BE" w:rsidRDefault="00314DA4" w14:paraId="3E3F5E58" w14:textId="5E524F4B">
      <w:pPr>
        <w:rPr>
          <w:rFonts w:ascii="Times New Roman" w:hAnsi="Times New Roman"/>
        </w:rPr>
      </w:pPr>
      <w:r>
        <w:rPr>
          <w:rFonts w:ascii="Times New Roman" w:hAnsi="Times New Roman"/>
        </w:rPr>
        <w:lastRenderedPageBreak/>
        <w:t>The</w:t>
      </w:r>
      <w:r w:rsidRPr="001052BE" w:rsidR="001052BE">
        <w:rPr>
          <w:rFonts w:ascii="Times New Roman" w:hAnsi="Times New Roman"/>
        </w:rPr>
        <w:t xml:space="preserve"> plan</w:t>
      </w:r>
      <w:r>
        <w:rPr>
          <w:rFonts w:ascii="Times New Roman" w:hAnsi="Times New Roman"/>
        </w:rPr>
        <w:t xml:space="preserve"> is</w:t>
      </w:r>
      <w:r w:rsidRPr="001052BE" w:rsidR="001052BE">
        <w:rPr>
          <w:rFonts w:ascii="Times New Roman" w:hAnsi="Times New Roman"/>
        </w:rPr>
        <w:t xml:space="preserve"> to implement the bonus over the course of three collection rounds.  In Round 20, </w:t>
      </w:r>
      <w:r w:rsidR="006914B4">
        <w:rPr>
          <w:rFonts w:ascii="Times New Roman" w:hAnsi="Times New Roman"/>
        </w:rPr>
        <w:t xml:space="preserve">NLS will randomly select </w:t>
      </w:r>
      <w:r w:rsidRPr="001052BE" w:rsidR="001052BE">
        <w:rPr>
          <w:rFonts w:ascii="Times New Roman" w:hAnsi="Times New Roman"/>
        </w:rPr>
        <w:t xml:space="preserve">one-third of these 4,384 individuals and offer them a bonus of $25 if they complete the Round 20 interview. </w:t>
      </w:r>
      <w:r w:rsidR="00A644E0">
        <w:rPr>
          <w:rFonts w:ascii="Times New Roman" w:hAnsi="Times New Roman"/>
        </w:rPr>
        <w:t xml:space="preserve"> </w:t>
      </w:r>
      <w:r w:rsidR="001460B6">
        <w:rPr>
          <w:rFonts w:ascii="Times New Roman" w:hAnsi="Times New Roman"/>
        </w:rPr>
        <w:t>NLS</w:t>
      </w:r>
      <w:r w:rsidRPr="001052BE" w:rsidR="001460B6">
        <w:rPr>
          <w:rFonts w:ascii="Times New Roman" w:hAnsi="Times New Roman"/>
        </w:rPr>
        <w:t xml:space="preserve"> </w:t>
      </w:r>
      <w:r w:rsidRPr="001052BE" w:rsidR="001052BE">
        <w:rPr>
          <w:rFonts w:ascii="Times New Roman" w:hAnsi="Times New Roman"/>
        </w:rPr>
        <w:t>plan</w:t>
      </w:r>
      <w:r w:rsidR="001460B6">
        <w:rPr>
          <w:rFonts w:ascii="Times New Roman" w:hAnsi="Times New Roman"/>
        </w:rPr>
        <w:t>s</w:t>
      </w:r>
      <w:r w:rsidRPr="001052BE" w:rsidR="001052BE">
        <w:rPr>
          <w:rFonts w:ascii="Times New Roman" w:hAnsi="Times New Roman"/>
        </w:rPr>
        <w:t xml:space="preserve"> to offer the same $25 bonus to another randomly selected one-third of the </w:t>
      </w:r>
      <w:r w:rsidR="00D56CF3">
        <w:rPr>
          <w:rFonts w:ascii="Times New Roman" w:hAnsi="Times New Roman"/>
        </w:rPr>
        <w:t>individuals</w:t>
      </w:r>
      <w:r w:rsidRPr="001052BE" w:rsidR="001052BE">
        <w:rPr>
          <w:rFonts w:ascii="Times New Roman" w:hAnsi="Times New Roman"/>
        </w:rPr>
        <w:t xml:space="preserve"> in Round 21</w:t>
      </w:r>
      <w:r w:rsidR="00096CED">
        <w:rPr>
          <w:rFonts w:ascii="Times New Roman" w:hAnsi="Times New Roman"/>
        </w:rPr>
        <w:t xml:space="preserve"> (excluding those selected in Round 20)</w:t>
      </w:r>
      <w:r w:rsidRPr="001052BE" w:rsidR="001052BE">
        <w:rPr>
          <w:rFonts w:ascii="Times New Roman" w:hAnsi="Times New Roman"/>
        </w:rPr>
        <w:t xml:space="preserve">, and the remaining one-third in Round 22. </w:t>
      </w:r>
      <w:r w:rsidR="00A644E0">
        <w:rPr>
          <w:rFonts w:ascii="Times New Roman" w:hAnsi="Times New Roman"/>
        </w:rPr>
        <w:t xml:space="preserve"> </w:t>
      </w:r>
      <w:r w:rsidR="001460B6">
        <w:rPr>
          <w:rFonts w:ascii="Times New Roman" w:hAnsi="Times New Roman"/>
        </w:rPr>
        <w:t>NLS</w:t>
      </w:r>
      <w:r w:rsidRPr="001052BE" w:rsidR="001052BE">
        <w:rPr>
          <w:rFonts w:ascii="Times New Roman" w:hAnsi="Times New Roman"/>
        </w:rPr>
        <w:t xml:space="preserve"> will convey that this is a one-time bonus to acknowledge their 20 rounds of cooperation, and that </w:t>
      </w:r>
      <w:r w:rsidR="006914B4">
        <w:rPr>
          <w:rFonts w:ascii="Times New Roman" w:hAnsi="Times New Roman"/>
        </w:rPr>
        <w:t xml:space="preserve">NLS will not award </w:t>
      </w:r>
      <w:r w:rsidRPr="001052BE" w:rsidR="001052BE">
        <w:rPr>
          <w:rFonts w:ascii="Times New Roman" w:hAnsi="Times New Roman"/>
        </w:rPr>
        <w:t>the same bonus in future rounds.  This three-thirds design spreads the cost of the bonus across three rounds and also provides leverage for evaluating the incentive’s long term impact.</w:t>
      </w:r>
    </w:p>
    <w:p w:rsidRPr="001052BE" w:rsidR="001052BE" w:rsidP="001052BE" w:rsidRDefault="001052BE" w14:paraId="20132279" w14:textId="77777777">
      <w:pPr>
        <w:rPr>
          <w:rFonts w:ascii="Times New Roman" w:hAnsi="Times New Roman"/>
        </w:rPr>
      </w:pPr>
    </w:p>
    <w:p w:rsidRPr="001052BE" w:rsidR="001052BE" w:rsidP="001052BE" w:rsidRDefault="001460B6" w14:paraId="191E40E5" w14:textId="4B4A12DC">
      <w:pPr>
        <w:rPr>
          <w:rFonts w:ascii="Times New Roman" w:hAnsi="Times New Roman"/>
        </w:rPr>
      </w:pPr>
      <w:r>
        <w:rPr>
          <w:rFonts w:ascii="Times New Roman" w:hAnsi="Times New Roman"/>
        </w:rPr>
        <w:t>NLS</w:t>
      </w:r>
      <w:r w:rsidRPr="001052BE" w:rsidR="001052BE">
        <w:rPr>
          <w:rFonts w:ascii="Times New Roman" w:hAnsi="Times New Roman"/>
        </w:rPr>
        <w:t xml:space="preserve"> previously implemented a “Thank You Bonus” in Rounds 12 through 14 of the NLSY97 for respondents who did not miss a round in the first 11, and it showed an increase in completion rates in subsequent rounds. </w:t>
      </w:r>
      <w:r w:rsidR="00A644E0">
        <w:rPr>
          <w:rFonts w:ascii="Times New Roman" w:hAnsi="Times New Roman"/>
        </w:rPr>
        <w:t xml:space="preserve"> </w:t>
      </w:r>
      <w:r w:rsidRPr="001052BE" w:rsidR="001052BE">
        <w:rPr>
          <w:rFonts w:ascii="Times New Roman" w:hAnsi="Times New Roman"/>
        </w:rPr>
        <w:t xml:space="preserve">For example, cooperative respondents who were offered a </w:t>
      </w:r>
      <w:r w:rsidR="00A644E0">
        <w:rPr>
          <w:rFonts w:ascii="Times New Roman" w:hAnsi="Times New Roman"/>
        </w:rPr>
        <w:t>“T</w:t>
      </w:r>
      <w:r w:rsidRPr="001052BE" w:rsidR="001052BE">
        <w:rPr>
          <w:rFonts w:ascii="Times New Roman" w:hAnsi="Times New Roman"/>
        </w:rPr>
        <w:t xml:space="preserve">hank </w:t>
      </w:r>
      <w:r w:rsidR="00A644E0">
        <w:rPr>
          <w:rFonts w:ascii="Times New Roman" w:hAnsi="Times New Roman"/>
        </w:rPr>
        <w:t>Y</w:t>
      </w:r>
      <w:r w:rsidRPr="001052BE" w:rsidR="001052BE">
        <w:rPr>
          <w:rFonts w:ascii="Times New Roman" w:hAnsi="Times New Roman"/>
        </w:rPr>
        <w:t xml:space="preserve">ou </w:t>
      </w:r>
      <w:r w:rsidR="00A644E0">
        <w:rPr>
          <w:rFonts w:ascii="Times New Roman" w:hAnsi="Times New Roman"/>
        </w:rPr>
        <w:t>B</w:t>
      </w:r>
      <w:r w:rsidRPr="001052BE" w:rsidR="001052BE">
        <w:rPr>
          <w:rFonts w:ascii="Times New Roman" w:hAnsi="Times New Roman"/>
        </w:rPr>
        <w:t>onus</w:t>
      </w:r>
      <w:r w:rsidR="00A644E0">
        <w:rPr>
          <w:rFonts w:ascii="Times New Roman" w:hAnsi="Times New Roman"/>
        </w:rPr>
        <w:t>”</w:t>
      </w:r>
      <w:r w:rsidRPr="001052BE" w:rsidR="00A644E0">
        <w:rPr>
          <w:rFonts w:ascii="Times New Roman" w:hAnsi="Times New Roman"/>
        </w:rPr>
        <w:t xml:space="preserve"> </w:t>
      </w:r>
      <w:r w:rsidRPr="001052BE" w:rsidR="001052BE">
        <w:rPr>
          <w:rFonts w:ascii="Times New Roman" w:hAnsi="Times New Roman"/>
        </w:rPr>
        <w:t xml:space="preserve">in Round 13 completed at 2.1 percentage points higher rates than a control group of cooperative respondents in that round. </w:t>
      </w:r>
      <w:r w:rsidR="00A644E0">
        <w:rPr>
          <w:rFonts w:ascii="Times New Roman" w:hAnsi="Times New Roman"/>
        </w:rPr>
        <w:t xml:space="preserve"> </w:t>
      </w:r>
      <w:r w:rsidRPr="001052BE" w:rsidR="001052BE">
        <w:rPr>
          <w:rFonts w:ascii="Times New Roman" w:hAnsi="Times New Roman"/>
        </w:rPr>
        <w:t>Although the R13 bonus recipients received only base incentives (no bonus) in Rounds 14 and 15, they again exhibited 2.2 percentage points higher completion rates than a control group of cooperative respondents who received no bonus in either year.  Similar upticks of 1.7 to 2.4 percentage points were found in other rounds for the bonus year as well as the first and second years thereafter (when no bonuses were paid to those individuals).</w:t>
      </w:r>
    </w:p>
    <w:p w:rsidRPr="001052BE" w:rsidR="001052BE" w:rsidP="001052BE" w:rsidRDefault="001052BE" w14:paraId="38AC48DD" w14:textId="1F8E4AF8">
      <w:pPr>
        <w:rPr>
          <w:rFonts w:ascii="Times New Roman" w:hAnsi="Times New Roman"/>
        </w:rPr>
      </w:pPr>
      <w:r w:rsidRPr="001052BE" w:rsidDel="004B5731">
        <w:rPr>
          <w:rStyle w:val="CommentReference"/>
          <w:rFonts w:ascii="Times New Roman" w:hAnsi="Times New Roman"/>
          <w:sz w:val="24"/>
          <w:szCs w:val="24"/>
        </w:rPr>
        <w:t xml:space="preserve"> </w:t>
      </w:r>
    </w:p>
    <w:p w:rsidRPr="001052BE" w:rsidR="001052BE" w:rsidP="001052BE" w:rsidRDefault="001052BE" w14:paraId="44741E8D" w14:textId="10A7B8CB">
      <w:pPr>
        <w:rPr>
          <w:rFonts w:ascii="Times New Roman" w:hAnsi="Times New Roman"/>
          <w:i/>
        </w:rPr>
      </w:pPr>
    </w:p>
    <w:p w:rsidRPr="001052BE" w:rsidR="001052BE" w:rsidP="001052BE" w:rsidRDefault="001052BE" w14:paraId="35C4E003" w14:textId="77777777">
      <w:pPr>
        <w:rPr>
          <w:rFonts w:ascii="Times New Roman" w:hAnsi="Times New Roman"/>
        </w:rPr>
      </w:pPr>
      <w:r w:rsidRPr="001052BE">
        <w:rPr>
          <w:rFonts w:ascii="Times New Roman" w:hAnsi="Times New Roman"/>
          <w:i/>
        </w:rPr>
        <w:t>Missed Round Incentive</w:t>
      </w:r>
      <w:r w:rsidRPr="001052BE">
        <w:rPr>
          <w:rFonts w:ascii="Times New Roman" w:hAnsi="Times New Roman"/>
        </w:rPr>
        <w:t xml:space="preserve"> </w:t>
      </w:r>
    </w:p>
    <w:p w:rsidRPr="001052BE" w:rsidR="001052BE" w:rsidP="001052BE" w:rsidRDefault="001460B6" w14:paraId="5CD2B64B" w14:textId="74736E43">
      <w:pPr>
        <w:rPr>
          <w:rFonts w:ascii="Times New Roman" w:hAnsi="Times New Roman"/>
        </w:rPr>
      </w:pPr>
      <w:r>
        <w:rPr>
          <w:rFonts w:ascii="Times New Roman" w:hAnsi="Times New Roman"/>
        </w:rPr>
        <w:t>NLS</w:t>
      </w:r>
      <w:r w:rsidRPr="001052BE" w:rsidR="001052BE">
        <w:rPr>
          <w:rFonts w:ascii="Times New Roman" w:hAnsi="Times New Roman"/>
        </w:rPr>
        <w:t xml:space="preserve"> will also offer a graduated missed round incentive to encourage attriters to return to the study.  Anyone returning after only missing Round 19 will receive a $40 missed round incentive in Round 20.  The amount of the incentive increases by an additional $20 for up to four rounds out (for example, a respondent returning after four rounds out would receive a $100 missed round incentive ($40 + 3*$20). The missed round incentive for those out for 5 or more rounds would be $150.  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NLSY97 has implemented graduated missed round incentives with a similar structure in each of its last </w:t>
      </w:r>
      <w:r>
        <w:rPr>
          <w:rFonts w:ascii="Times New Roman" w:hAnsi="Times New Roman"/>
        </w:rPr>
        <w:t>three</w:t>
      </w:r>
      <w:r w:rsidRPr="001052BE" w:rsidR="001052BE">
        <w:rPr>
          <w:rFonts w:ascii="Times New Roman" w:hAnsi="Times New Roman"/>
        </w:rPr>
        <w:t xml:space="preserve"> rounds.</w:t>
      </w:r>
    </w:p>
    <w:p w:rsidRPr="001052BE" w:rsidR="001052BE" w:rsidP="001052BE" w:rsidRDefault="001052BE" w14:paraId="1AA847F8" w14:textId="77777777">
      <w:pPr>
        <w:rPr>
          <w:rFonts w:ascii="Times New Roman" w:hAnsi="Times New Roman"/>
        </w:rPr>
      </w:pPr>
    </w:p>
    <w:p w:rsidRPr="001052BE" w:rsidR="001052BE" w:rsidP="001052BE" w:rsidRDefault="001052BE" w14:paraId="44DDBE13" w14:textId="50C707CB">
      <w:pPr>
        <w:rPr>
          <w:rFonts w:ascii="Times New Roman" w:hAnsi="Times New Roman"/>
        </w:rPr>
      </w:pPr>
      <w:r w:rsidRPr="001052BE">
        <w:rPr>
          <w:rFonts w:ascii="Times New Roman" w:hAnsi="Times New Roman"/>
        </w:rPr>
        <w:t xml:space="preserve">Incentivizing completion among those who refused to respond in earlier waves has been found to be effective in the Survey of Income and Program Participation (Martin et al 2001), the Health and Retirement Survey (Rodgers 2011), and the Survey of Program Dynamics (Creighton et al 2011).  The experience of the NLS has been consistent with these positive results.  In addition, in Round 18, an experimental design was employed to evaluate the impact of the top tier of the graduated structure.  In that package, the missed round incentives were $20, $40, and $60 for those having missed </w:t>
      </w:r>
      <w:r w:rsidR="001460B6">
        <w:rPr>
          <w:rFonts w:ascii="Times New Roman" w:hAnsi="Times New Roman"/>
        </w:rPr>
        <w:t>one</w:t>
      </w:r>
      <w:r w:rsidRPr="001052BE">
        <w:rPr>
          <w:rFonts w:ascii="Times New Roman" w:hAnsi="Times New Roman"/>
        </w:rPr>
        <w:t xml:space="preserve">, </w:t>
      </w:r>
      <w:r w:rsidR="001460B6">
        <w:rPr>
          <w:rFonts w:ascii="Times New Roman" w:hAnsi="Times New Roman"/>
        </w:rPr>
        <w:t>two</w:t>
      </w:r>
      <w:r w:rsidRPr="001052BE">
        <w:rPr>
          <w:rFonts w:ascii="Times New Roman" w:hAnsi="Times New Roman"/>
        </w:rPr>
        <w:t xml:space="preserve">, and </w:t>
      </w:r>
      <w:r w:rsidR="001460B6">
        <w:rPr>
          <w:rFonts w:ascii="Times New Roman" w:hAnsi="Times New Roman"/>
        </w:rPr>
        <w:t>three</w:t>
      </w:r>
      <w:r w:rsidRPr="001052BE">
        <w:rPr>
          <w:rFonts w:ascii="Times New Roman" w:hAnsi="Times New Roman"/>
        </w:rPr>
        <w:t xml:space="preserve"> or more rounds, but some sample members who had missed </w:t>
      </w:r>
      <w:r w:rsidR="001460B6">
        <w:rPr>
          <w:rFonts w:ascii="Times New Roman" w:hAnsi="Times New Roman"/>
        </w:rPr>
        <w:t>five</w:t>
      </w:r>
      <w:r w:rsidRPr="001052BE">
        <w:rPr>
          <w:rFonts w:ascii="Times New Roman" w:hAnsi="Times New Roman"/>
        </w:rPr>
        <w:t xml:space="preserve"> or more rounds were randomly chosen to be offered an additional $100 “Big NIR Bonus” for completing the survey. </w:t>
      </w:r>
    </w:p>
    <w:p w:rsidRPr="001052BE" w:rsidR="001052BE" w:rsidP="001052BE" w:rsidRDefault="001052BE" w14:paraId="09D1B599" w14:textId="77777777">
      <w:pPr>
        <w:rPr>
          <w:rFonts w:ascii="Times New Roman" w:hAnsi="Times New Roman"/>
          <w:i/>
        </w:rPr>
      </w:pPr>
    </w:p>
    <w:p w:rsidRPr="001F59CB" w:rsidR="001052BE" w:rsidP="00D53409" w:rsidRDefault="001052BE" w14:paraId="4D306820" w14:textId="7F65AFAC">
      <w:pPr>
        <w:spacing w:after="160"/>
        <w:rPr>
          <w:rFonts w:ascii="Times New Roman" w:hAnsi="Times New Roman"/>
          <w:b/>
        </w:rPr>
      </w:pPr>
      <w:r w:rsidRPr="001052BE">
        <w:rPr>
          <w:rFonts w:ascii="Times New Roman" w:hAnsi="Times New Roman"/>
        </w:rPr>
        <w:t xml:space="preserve">Results of the NIR bonus experiment in Round 18 are shown in Table </w:t>
      </w:r>
      <w:r w:rsidR="00911E07">
        <w:rPr>
          <w:rFonts w:ascii="Times New Roman" w:hAnsi="Times New Roman"/>
        </w:rPr>
        <w:t>3</w:t>
      </w:r>
      <w:r w:rsidRPr="001052BE">
        <w:rPr>
          <w:rFonts w:ascii="Times New Roman" w:hAnsi="Times New Roman"/>
        </w:rPr>
        <w:t xml:space="preserve">.  As shown in Panel A, the completion rate of those receiving the bonus was roughly twice the number of completes </w:t>
      </w:r>
      <w:r w:rsidRPr="001052BE">
        <w:rPr>
          <w:rFonts w:ascii="Times New Roman" w:hAnsi="Times New Roman"/>
        </w:rPr>
        <w:lastRenderedPageBreak/>
        <w:t xml:space="preserve">compared to that of the control group.  Following Round 18, </w:t>
      </w:r>
      <w:r w:rsidR="003F5C19">
        <w:rPr>
          <w:rFonts w:ascii="Times New Roman" w:hAnsi="Times New Roman"/>
        </w:rPr>
        <w:t>NLS</w:t>
      </w:r>
      <w:r w:rsidRPr="001052BE">
        <w:rPr>
          <w:rFonts w:ascii="Times New Roman" w:hAnsi="Times New Roman"/>
        </w:rPr>
        <w:t xml:space="preserve"> followed up to examine whether this increase in completes also translated to an increase in completes one round after the original bonus.  Panel B shows the Round 19 completion rates for the Round 18 experimental groups.  The results show a potential small effect of 2.38 percentage points.  </w:t>
      </w:r>
    </w:p>
    <w:p w:rsidRPr="001052BE" w:rsidR="00DB0C2C" w:rsidP="00D53409" w:rsidRDefault="00DB0C2C" w14:paraId="52CB8D08" w14:textId="77777777">
      <w:pPr>
        <w:spacing w:after="160"/>
        <w:rPr>
          <w:rFonts w:ascii="Times New Roman" w:hAnsi="Times New Roman"/>
          <w:b/>
        </w:rPr>
      </w:pPr>
    </w:p>
    <w:p w:rsidRPr="001052BE" w:rsidR="001052BE" w:rsidP="001052BE" w:rsidRDefault="001052BE" w14:paraId="551780A5" w14:textId="15DA01A8">
      <w:pPr>
        <w:rPr>
          <w:rFonts w:ascii="Times New Roman" w:hAnsi="Times New Roman"/>
          <w:b/>
        </w:rPr>
      </w:pPr>
      <w:r w:rsidRPr="001052BE">
        <w:rPr>
          <w:rFonts w:ascii="Times New Roman" w:hAnsi="Times New Roman"/>
          <w:b/>
        </w:rPr>
        <w:t xml:space="preserve">Table </w:t>
      </w:r>
      <w:r w:rsidR="00911E07">
        <w:rPr>
          <w:rFonts w:ascii="Times New Roman" w:hAnsi="Times New Roman"/>
          <w:b/>
        </w:rPr>
        <w:t>3</w:t>
      </w:r>
      <w:r w:rsidRPr="001052BE">
        <w:rPr>
          <w:rFonts w:ascii="Times New Roman" w:hAnsi="Times New Roman"/>
          <w:b/>
        </w:rPr>
        <w:t>:  Big NIR Bonus Experiment Results</w:t>
      </w:r>
    </w:p>
    <w:tbl>
      <w:tblPr>
        <w:tblpPr w:leftFromText="180" w:rightFromText="180" w:vertAnchor="text" w:horzAnchor="margin" w:tblpY="27"/>
        <w:tblW w:w="528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1"/>
        <w:gridCol w:w="1485"/>
        <w:gridCol w:w="1289"/>
        <w:gridCol w:w="1163"/>
      </w:tblGrid>
      <w:tr w:rsidRPr="001052BE" w:rsidR="001052BE" w:rsidTr="001052BE" w14:paraId="60071084" w14:textId="77777777">
        <w:trPr>
          <w:trHeight w:val="285"/>
        </w:trPr>
        <w:tc>
          <w:tcPr>
            <w:tcW w:w="1351" w:type="dxa"/>
            <w:tcBorders>
              <w:top w:val="single" w:color="auto" w:sz="4" w:space="0"/>
              <w:bottom w:val="single" w:color="auto" w:sz="4" w:space="0"/>
            </w:tcBorders>
            <w:shd w:val="clear" w:color="000000" w:fill="FFFFFF"/>
            <w:vAlign w:val="bottom"/>
            <w:hideMark/>
          </w:tcPr>
          <w:p w:rsidRPr="001052BE" w:rsidR="001052BE" w:rsidP="001052BE" w:rsidRDefault="001052BE" w14:paraId="01AF1ECD" w14:textId="77777777">
            <w:pPr>
              <w:jc w:val="center"/>
              <w:rPr>
                <w:rFonts w:ascii="Times New Roman" w:hAnsi="Times New Roman"/>
                <w:bCs/>
              </w:rPr>
            </w:pPr>
            <w:r w:rsidRPr="001052BE">
              <w:rPr>
                <w:rFonts w:ascii="Times New Roman" w:hAnsi="Times New Roman"/>
                <w:bCs/>
              </w:rPr>
              <w:t>NIR Bonus Received</w:t>
            </w:r>
          </w:p>
        </w:tc>
        <w:tc>
          <w:tcPr>
            <w:tcW w:w="1485" w:type="dxa"/>
            <w:tcBorders>
              <w:top w:val="single" w:color="auto" w:sz="4" w:space="0"/>
              <w:bottom w:val="single" w:color="auto" w:sz="4" w:space="0"/>
            </w:tcBorders>
            <w:shd w:val="clear" w:color="000000" w:fill="FFFFFF"/>
            <w:vAlign w:val="center"/>
            <w:hideMark/>
          </w:tcPr>
          <w:p w:rsidRPr="001052BE" w:rsidR="001052BE" w:rsidP="001052BE" w:rsidRDefault="001052BE" w14:paraId="363D3E51" w14:textId="77777777">
            <w:pPr>
              <w:jc w:val="center"/>
              <w:rPr>
                <w:rFonts w:ascii="Times New Roman" w:hAnsi="Times New Roman"/>
                <w:b/>
                <w:bCs/>
              </w:rPr>
            </w:pPr>
            <w:r w:rsidRPr="001052BE">
              <w:rPr>
                <w:rFonts w:ascii="Times New Roman" w:hAnsi="Times New Roman"/>
                <w:color w:val="000000"/>
              </w:rPr>
              <w:t>Total Respondents</w:t>
            </w:r>
          </w:p>
        </w:tc>
        <w:tc>
          <w:tcPr>
            <w:tcW w:w="1289" w:type="dxa"/>
            <w:tcBorders>
              <w:top w:val="single" w:color="auto" w:sz="4" w:space="0"/>
              <w:bottom w:val="single" w:color="auto" w:sz="4" w:space="0"/>
            </w:tcBorders>
            <w:shd w:val="clear" w:color="000000" w:fill="FFFFFF"/>
            <w:vAlign w:val="center"/>
            <w:hideMark/>
          </w:tcPr>
          <w:p w:rsidRPr="001052BE" w:rsidR="001052BE" w:rsidP="001052BE" w:rsidRDefault="001052BE" w14:paraId="668C8AD5" w14:textId="77777777">
            <w:pPr>
              <w:jc w:val="center"/>
              <w:rPr>
                <w:rFonts w:ascii="Times New Roman" w:hAnsi="Times New Roman"/>
                <w:b/>
                <w:bCs/>
              </w:rPr>
            </w:pPr>
            <w:r w:rsidRPr="001052BE">
              <w:rPr>
                <w:rFonts w:ascii="Times New Roman" w:hAnsi="Times New Roman"/>
                <w:color w:val="000000"/>
              </w:rPr>
              <w:t>Completed Cases</w:t>
            </w:r>
          </w:p>
        </w:tc>
        <w:tc>
          <w:tcPr>
            <w:tcW w:w="1163" w:type="dxa"/>
            <w:tcBorders>
              <w:top w:val="single" w:color="auto" w:sz="4" w:space="0"/>
              <w:bottom w:val="single" w:color="auto" w:sz="4" w:space="0"/>
            </w:tcBorders>
            <w:shd w:val="clear" w:color="000000" w:fill="FFFFFF"/>
            <w:vAlign w:val="center"/>
            <w:hideMark/>
          </w:tcPr>
          <w:p w:rsidRPr="001052BE" w:rsidR="001052BE" w:rsidP="001052BE" w:rsidRDefault="001052BE" w14:paraId="38B70351" w14:textId="77777777">
            <w:pPr>
              <w:jc w:val="center"/>
              <w:rPr>
                <w:rFonts w:ascii="Times New Roman" w:hAnsi="Times New Roman"/>
                <w:b/>
                <w:bCs/>
              </w:rPr>
            </w:pPr>
            <w:r w:rsidRPr="001052BE">
              <w:rPr>
                <w:rFonts w:ascii="Times New Roman" w:hAnsi="Times New Roman"/>
                <w:color w:val="000000"/>
              </w:rPr>
              <w:t>% Complete (Total)</w:t>
            </w:r>
          </w:p>
        </w:tc>
      </w:tr>
      <w:tr w:rsidRPr="001052BE" w:rsidR="001052BE" w:rsidTr="001052BE" w14:paraId="1E5925C4" w14:textId="77777777">
        <w:trPr>
          <w:trHeight w:val="399"/>
        </w:trPr>
        <w:tc>
          <w:tcPr>
            <w:tcW w:w="2836" w:type="dxa"/>
            <w:gridSpan w:val="2"/>
            <w:shd w:val="clear" w:color="auto" w:fill="E7E6E6" w:themeFill="background2"/>
            <w:vAlign w:val="center"/>
          </w:tcPr>
          <w:p w:rsidRPr="001052BE" w:rsidR="001052BE" w:rsidP="001052BE" w:rsidRDefault="001052BE" w14:paraId="0A118CD8" w14:textId="77777777">
            <w:pPr>
              <w:rPr>
                <w:rFonts w:ascii="Times New Roman" w:hAnsi="Times New Roman"/>
              </w:rPr>
            </w:pPr>
            <w:r w:rsidRPr="001052BE">
              <w:rPr>
                <w:rFonts w:ascii="Times New Roman" w:hAnsi="Times New Roman"/>
              </w:rPr>
              <w:t>Panel A:  Round 18 Completion</w:t>
            </w:r>
          </w:p>
        </w:tc>
        <w:tc>
          <w:tcPr>
            <w:tcW w:w="1289" w:type="dxa"/>
            <w:shd w:val="clear" w:color="auto" w:fill="E7E6E6" w:themeFill="background2"/>
            <w:vAlign w:val="center"/>
          </w:tcPr>
          <w:p w:rsidRPr="001052BE" w:rsidR="001052BE" w:rsidP="001052BE" w:rsidRDefault="001052BE" w14:paraId="5E54FBBB" w14:textId="77777777">
            <w:pPr>
              <w:jc w:val="center"/>
              <w:rPr>
                <w:rFonts w:ascii="Times New Roman" w:hAnsi="Times New Roman"/>
              </w:rPr>
            </w:pPr>
          </w:p>
        </w:tc>
        <w:tc>
          <w:tcPr>
            <w:tcW w:w="1163" w:type="dxa"/>
            <w:shd w:val="clear" w:color="auto" w:fill="E7E6E6" w:themeFill="background2"/>
            <w:vAlign w:val="center"/>
          </w:tcPr>
          <w:p w:rsidRPr="001052BE" w:rsidR="001052BE" w:rsidP="001052BE" w:rsidRDefault="001052BE" w14:paraId="7D4A16C9" w14:textId="77777777">
            <w:pPr>
              <w:jc w:val="center"/>
              <w:rPr>
                <w:rFonts w:ascii="Times New Roman" w:hAnsi="Times New Roman"/>
              </w:rPr>
            </w:pPr>
          </w:p>
        </w:tc>
      </w:tr>
      <w:tr w:rsidRPr="001052BE" w:rsidR="001052BE" w:rsidTr="001052BE" w14:paraId="013D615A" w14:textId="77777777">
        <w:trPr>
          <w:trHeight w:val="399"/>
        </w:trPr>
        <w:tc>
          <w:tcPr>
            <w:tcW w:w="1351" w:type="dxa"/>
            <w:shd w:val="clear" w:color="auto" w:fill="FFFFFF" w:themeFill="background1"/>
            <w:vAlign w:val="center"/>
            <w:hideMark/>
          </w:tcPr>
          <w:p w:rsidRPr="001052BE" w:rsidR="001052BE" w:rsidP="001052BE" w:rsidRDefault="001052BE" w14:paraId="5D0A96B6"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hideMark/>
          </w:tcPr>
          <w:p w:rsidRPr="001052BE" w:rsidR="001052BE" w:rsidP="001052BE" w:rsidRDefault="001052BE" w14:paraId="7A449B08"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hideMark/>
          </w:tcPr>
          <w:p w:rsidRPr="001052BE" w:rsidR="001052BE" w:rsidP="001052BE" w:rsidRDefault="001052BE" w14:paraId="34FC76B8" w14:textId="77777777">
            <w:pPr>
              <w:jc w:val="center"/>
              <w:rPr>
                <w:rFonts w:ascii="Times New Roman" w:hAnsi="Times New Roman"/>
              </w:rPr>
            </w:pPr>
            <w:r w:rsidRPr="001052BE">
              <w:rPr>
                <w:rFonts w:ascii="Times New Roman" w:hAnsi="Times New Roman"/>
              </w:rPr>
              <w:t>33</w:t>
            </w:r>
          </w:p>
        </w:tc>
        <w:tc>
          <w:tcPr>
            <w:tcW w:w="1163" w:type="dxa"/>
            <w:shd w:val="clear" w:color="auto" w:fill="FFFFFF" w:themeFill="background1"/>
            <w:vAlign w:val="center"/>
            <w:hideMark/>
          </w:tcPr>
          <w:p w:rsidRPr="001052BE" w:rsidR="001052BE" w:rsidP="001052BE" w:rsidRDefault="001052BE" w14:paraId="54635193" w14:textId="77777777">
            <w:pPr>
              <w:jc w:val="center"/>
              <w:rPr>
                <w:rFonts w:ascii="Times New Roman" w:hAnsi="Times New Roman"/>
              </w:rPr>
            </w:pPr>
            <w:r w:rsidRPr="001052BE">
              <w:rPr>
                <w:rFonts w:ascii="Times New Roman" w:hAnsi="Times New Roman"/>
              </w:rPr>
              <w:t>8.48%</w:t>
            </w:r>
          </w:p>
        </w:tc>
      </w:tr>
      <w:tr w:rsidRPr="001052BE" w:rsidR="001052BE" w:rsidTr="001052BE" w14:paraId="31CC1E30" w14:textId="77777777">
        <w:trPr>
          <w:trHeight w:val="300"/>
        </w:trPr>
        <w:tc>
          <w:tcPr>
            <w:tcW w:w="1351" w:type="dxa"/>
            <w:shd w:val="clear" w:color="auto" w:fill="FFFFFF" w:themeFill="background1"/>
            <w:vAlign w:val="center"/>
          </w:tcPr>
          <w:p w:rsidRPr="001052BE" w:rsidR="001052BE" w:rsidP="001052BE" w:rsidRDefault="001052BE" w14:paraId="2ACC7138"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Pr="001052BE" w:rsidR="001052BE" w:rsidP="001052BE" w:rsidRDefault="001052BE" w14:paraId="00203BAE"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Pr="001052BE" w:rsidR="001052BE" w:rsidP="001052BE" w:rsidRDefault="001052BE" w14:paraId="6F9E2204" w14:textId="77777777">
            <w:pPr>
              <w:jc w:val="center"/>
              <w:rPr>
                <w:rFonts w:ascii="Times New Roman" w:hAnsi="Times New Roman"/>
              </w:rPr>
            </w:pPr>
            <w:r w:rsidRPr="001052BE">
              <w:rPr>
                <w:rFonts w:ascii="Times New Roman" w:hAnsi="Times New Roman"/>
              </w:rPr>
              <w:t>27</w:t>
            </w:r>
          </w:p>
        </w:tc>
        <w:tc>
          <w:tcPr>
            <w:tcW w:w="1163" w:type="dxa"/>
            <w:shd w:val="clear" w:color="auto" w:fill="FFFFFF" w:themeFill="background1"/>
            <w:vAlign w:val="center"/>
          </w:tcPr>
          <w:p w:rsidRPr="001052BE" w:rsidR="001052BE" w:rsidP="001052BE" w:rsidRDefault="001052BE" w14:paraId="208BE490" w14:textId="77777777">
            <w:pPr>
              <w:jc w:val="center"/>
              <w:rPr>
                <w:rFonts w:ascii="Times New Roman" w:hAnsi="Times New Roman"/>
              </w:rPr>
            </w:pPr>
            <w:r w:rsidRPr="001052BE">
              <w:rPr>
                <w:rFonts w:ascii="Times New Roman" w:hAnsi="Times New Roman"/>
              </w:rPr>
              <w:t>15.88%</w:t>
            </w:r>
          </w:p>
        </w:tc>
      </w:tr>
      <w:tr w:rsidRPr="001052BE" w:rsidR="001052BE" w:rsidTr="001052BE" w14:paraId="0983104B" w14:textId="77777777">
        <w:trPr>
          <w:trHeight w:val="300"/>
        </w:trPr>
        <w:tc>
          <w:tcPr>
            <w:tcW w:w="2836" w:type="dxa"/>
            <w:gridSpan w:val="2"/>
            <w:shd w:val="clear" w:color="auto" w:fill="E7E6E6" w:themeFill="background2"/>
            <w:vAlign w:val="center"/>
          </w:tcPr>
          <w:p w:rsidRPr="001052BE" w:rsidR="001052BE" w:rsidP="001052BE" w:rsidRDefault="001052BE" w14:paraId="7EAEE1EA" w14:textId="77777777">
            <w:pPr>
              <w:rPr>
                <w:rFonts w:ascii="Times New Roman" w:hAnsi="Times New Roman"/>
              </w:rPr>
            </w:pPr>
            <w:r w:rsidRPr="001052BE">
              <w:rPr>
                <w:rFonts w:ascii="Times New Roman" w:hAnsi="Times New Roman"/>
              </w:rPr>
              <w:t>Panel B:  Round 19 Completion</w:t>
            </w:r>
          </w:p>
        </w:tc>
        <w:tc>
          <w:tcPr>
            <w:tcW w:w="1289" w:type="dxa"/>
            <w:shd w:val="clear" w:color="auto" w:fill="E7E6E6" w:themeFill="background2"/>
            <w:vAlign w:val="center"/>
          </w:tcPr>
          <w:p w:rsidRPr="001052BE" w:rsidR="001052BE" w:rsidP="001052BE" w:rsidRDefault="001052BE" w14:paraId="161DBCFB" w14:textId="77777777">
            <w:pPr>
              <w:jc w:val="center"/>
              <w:rPr>
                <w:rFonts w:ascii="Times New Roman" w:hAnsi="Times New Roman"/>
              </w:rPr>
            </w:pPr>
          </w:p>
        </w:tc>
        <w:tc>
          <w:tcPr>
            <w:tcW w:w="1163" w:type="dxa"/>
            <w:shd w:val="clear" w:color="auto" w:fill="E7E6E6" w:themeFill="background2"/>
            <w:vAlign w:val="center"/>
          </w:tcPr>
          <w:p w:rsidRPr="001052BE" w:rsidR="001052BE" w:rsidP="001052BE" w:rsidRDefault="001052BE" w14:paraId="0DE79D1D" w14:textId="77777777">
            <w:pPr>
              <w:jc w:val="center"/>
              <w:rPr>
                <w:rFonts w:ascii="Times New Roman" w:hAnsi="Times New Roman"/>
              </w:rPr>
            </w:pPr>
          </w:p>
        </w:tc>
      </w:tr>
      <w:tr w:rsidRPr="001052BE" w:rsidR="001052BE" w:rsidTr="001052BE" w14:paraId="290425AE" w14:textId="77777777">
        <w:trPr>
          <w:trHeight w:val="300"/>
        </w:trPr>
        <w:tc>
          <w:tcPr>
            <w:tcW w:w="1351" w:type="dxa"/>
            <w:shd w:val="clear" w:color="auto" w:fill="FFFFFF" w:themeFill="background1"/>
            <w:vAlign w:val="center"/>
          </w:tcPr>
          <w:p w:rsidRPr="001052BE" w:rsidR="001052BE" w:rsidP="001052BE" w:rsidRDefault="001052BE" w14:paraId="0414CDEA"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tcPr>
          <w:p w:rsidRPr="001052BE" w:rsidR="001052BE" w:rsidP="001052BE" w:rsidRDefault="001052BE" w14:paraId="2D2C341E"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tcPr>
          <w:p w:rsidRPr="001052BE" w:rsidR="001052BE" w:rsidP="001052BE" w:rsidRDefault="001052BE" w14:paraId="13D83FE3" w14:textId="77777777">
            <w:pPr>
              <w:jc w:val="center"/>
              <w:rPr>
                <w:rFonts w:ascii="Times New Roman" w:hAnsi="Times New Roman"/>
              </w:rPr>
            </w:pPr>
            <w:r w:rsidRPr="001052BE">
              <w:rPr>
                <w:rFonts w:ascii="Times New Roman" w:hAnsi="Times New Roman"/>
              </w:rPr>
              <w:t>80</w:t>
            </w:r>
          </w:p>
        </w:tc>
        <w:tc>
          <w:tcPr>
            <w:tcW w:w="1163" w:type="dxa"/>
            <w:shd w:val="clear" w:color="auto" w:fill="FFFFFF" w:themeFill="background1"/>
            <w:vAlign w:val="center"/>
          </w:tcPr>
          <w:p w:rsidRPr="001052BE" w:rsidR="001052BE" w:rsidP="001052BE" w:rsidRDefault="001052BE" w14:paraId="6A17AAE6" w14:textId="77777777">
            <w:pPr>
              <w:jc w:val="center"/>
              <w:rPr>
                <w:rFonts w:ascii="Times New Roman" w:hAnsi="Times New Roman"/>
              </w:rPr>
            </w:pPr>
            <w:r w:rsidRPr="001052BE">
              <w:rPr>
                <w:rFonts w:ascii="Times New Roman" w:hAnsi="Times New Roman"/>
              </w:rPr>
              <w:t>20.56%</w:t>
            </w:r>
          </w:p>
        </w:tc>
      </w:tr>
      <w:tr w:rsidRPr="001052BE" w:rsidR="001052BE" w:rsidTr="001052BE" w14:paraId="297DDAAF" w14:textId="77777777">
        <w:trPr>
          <w:trHeight w:val="300"/>
        </w:trPr>
        <w:tc>
          <w:tcPr>
            <w:tcW w:w="1351" w:type="dxa"/>
            <w:shd w:val="clear" w:color="auto" w:fill="FFFFFF" w:themeFill="background1"/>
            <w:vAlign w:val="center"/>
          </w:tcPr>
          <w:p w:rsidRPr="001052BE" w:rsidR="001052BE" w:rsidP="001052BE" w:rsidRDefault="001052BE" w14:paraId="1F263BCF"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Pr="001052BE" w:rsidR="001052BE" w:rsidP="001052BE" w:rsidRDefault="001052BE" w14:paraId="18D14580"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Pr="001052BE" w:rsidR="001052BE" w:rsidP="001052BE" w:rsidRDefault="001052BE" w14:paraId="2F63F60D" w14:textId="77777777">
            <w:pPr>
              <w:jc w:val="center"/>
              <w:rPr>
                <w:rFonts w:ascii="Times New Roman" w:hAnsi="Times New Roman"/>
              </w:rPr>
            </w:pPr>
            <w:r w:rsidRPr="001052BE">
              <w:rPr>
                <w:rFonts w:ascii="Times New Roman" w:hAnsi="Times New Roman"/>
              </w:rPr>
              <w:t>39</w:t>
            </w:r>
          </w:p>
        </w:tc>
        <w:tc>
          <w:tcPr>
            <w:tcW w:w="1163" w:type="dxa"/>
            <w:shd w:val="clear" w:color="auto" w:fill="FFFFFF" w:themeFill="background1"/>
            <w:vAlign w:val="center"/>
          </w:tcPr>
          <w:p w:rsidRPr="001052BE" w:rsidR="001052BE" w:rsidP="001052BE" w:rsidRDefault="001052BE" w14:paraId="28E30D31" w14:textId="77777777">
            <w:pPr>
              <w:jc w:val="center"/>
              <w:rPr>
                <w:rFonts w:ascii="Times New Roman" w:hAnsi="Times New Roman"/>
              </w:rPr>
            </w:pPr>
            <w:r w:rsidRPr="001052BE">
              <w:rPr>
                <w:rFonts w:ascii="Times New Roman" w:hAnsi="Times New Roman"/>
              </w:rPr>
              <w:t>22.94%</w:t>
            </w:r>
          </w:p>
        </w:tc>
      </w:tr>
    </w:tbl>
    <w:p w:rsidRPr="001052BE" w:rsidR="001052BE" w:rsidP="001052BE" w:rsidRDefault="001052BE" w14:paraId="5C3B22CC" w14:textId="77777777">
      <w:pPr>
        <w:rPr>
          <w:rFonts w:ascii="Times New Roman" w:hAnsi="Times New Roman"/>
        </w:rPr>
      </w:pPr>
    </w:p>
    <w:p w:rsidRPr="001052BE" w:rsidR="001052BE" w:rsidP="001052BE" w:rsidRDefault="001052BE" w14:paraId="63B2C0ED" w14:textId="77777777">
      <w:pPr>
        <w:rPr>
          <w:rFonts w:ascii="Times New Roman" w:hAnsi="Times New Roman"/>
        </w:rPr>
      </w:pPr>
    </w:p>
    <w:p w:rsidRPr="001052BE" w:rsidR="001052BE" w:rsidP="001052BE" w:rsidRDefault="001052BE" w14:paraId="5BA0359D" w14:textId="77777777">
      <w:pPr>
        <w:rPr>
          <w:rFonts w:ascii="Times New Roman" w:hAnsi="Times New Roman"/>
        </w:rPr>
      </w:pPr>
    </w:p>
    <w:p w:rsidRPr="001052BE" w:rsidR="001052BE" w:rsidP="001052BE" w:rsidRDefault="001052BE" w14:paraId="2C35A8FE" w14:textId="77777777">
      <w:pPr>
        <w:rPr>
          <w:rFonts w:ascii="Times New Roman" w:hAnsi="Times New Roman"/>
        </w:rPr>
      </w:pPr>
    </w:p>
    <w:p w:rsidRPr="001052BE" w:rsidR="001052BE" w:rsidP="001052BE" w:rsidRDefault="001052BE" w14:paraId="21A0F3C3" w14:textId="77777777">
      <w:pPr>
        <w:rPr>
          <w:rFonts w:ascii="Times New Roman" w:hAnsi="Times New Roman"/>
        </w:rPr>
      </w:pPr>
    </w:p>
    <w:p w:rsidRPr="001052BE" w:rsidR="001052BE" w:rsidP="001052BE" w:rsidRDefault="001052BE" w14:paraId="36B4515D" w14:textId="77777777">
      <w:pPr>
        <w:rPr>
          <w:rFonts w:ascii="Times New Roman" w:hAnsi="Times New Roman"/>
        </w:rPr>
      </w:pPr>
    </w:p>
    <w:p w:rsidRPr="001052BE" w:rsidR="001052BE" w:rsidP="001052BE" w:rsidRDefault="001052BE" w14:paraId="3EA2283D" w14:textId="77777777">
      <w:pPr>
        <w:rPr>
          <w:rFonts w:ascii="Times New Roman" w:hAnsi="Times New Roman"/>
        </w:rPr>
      </w:pPr>
    </w:p>
    <w:p w:rsidRPr="001052BE" w:rsidR="001052BE" w:rsidP="001052BE" w:rsidRDefault="001052BE" w14:paraId="6DEE82A0" w14:textId="77777777">
      <w:pPr>
        <w:rPr>
          <w:rFonts w:ascii="Times New Roman" w:hAnsi="Times New Roman"/>
        </w:rPr>
      </w:pPr>
    </w:p>
    <w:p w:rsidRPr="001052BE" w:rsidR="001052BE" w:rsidP="001052BE" w:rsidRDefault="001052BE" w14:paraId="7216257D" w14:textId="77777777">
      <w:pPr>
        <w:rPr>
          <w:rFonts w:ascii="Times New Roman" w:hAnsi="Times New Roman"/>
        </w:rPr>
      </w:pPr>
    </w:p>
    <w:p w:rsidRPr="001052BE" w:rsidR="001052BE" w:rsidP="001052BE" w:rsidRDefault="001052BE" w14:paraId="56A925DE" w14:textId="77777777">
      <w:pPr>
        <w:rPr>
          <w:rFonts w:ascii="Times New Roman" w:hAnsi="Times New Roman"/>
        </w:rPr>
      </w:pPr>
    </w:p>
    <w:p w:rsidRPr="001052BE" w:rsidR="001052BE" w:rsidP="001052BE" w:rsidRDefault="001052BE" w14:paraId="321EA06C" w14:textId="77777777">
      <w:pPr>
        <w:rPr>
          <w:rFonts w:ascii="Times New Roman" w:hAnsi="Times New Roman"/>
        </w:rPr>
      </w:pPr>
    </w:p>
    <w:p w:rsidRPr="001052BE" w:rsidR="001052BE" w:rsidP="001052BE" w:rsidRDefault="001052BE" w14:paraId="5BFD22DA" w14:textId="77777777">
      <w:pPr>
        <w:rPr>
          <w:rFonts w:ascii="Times New Roman" w:hAnsi="Times New Roman"/>
        </w:rPr>
      </w:pPr>
    </w:p>
    <w:p w:rsidRPr="001052BE" w:rsidR="001052BE" w:rsidP="001052BE" w:rsidRDefault="001052BE" w14:paraId="192EFA50" w14:textId="77777777">
      <w:pPr>
        <w:rPr>
          <w:rFonts w:ascii="Times New Roman" w:hAnsi="Times New Roman"/>
        </w:rPr>
      </w:pPr>
    </w:p>
    <w:p w:rsidR="00DB0C2C" w:rsidP="001052BE" w:rsidRDefault="00DB0C2C" w14:paraId="65EE3F60" w14:textId="77777777">
      <w:pPr>
        <w:rPr>
          <w:rFonts w:ascii="Times New Roman" w:hAnsi="Times New Roman"/>
        </w:rPr>
      </w:pPr>
    </w:p>
    <w:p w:rsidRPr="001052BE" w:rsidR="001052BE" w:rsidP="001052BE" w:rsidRDefault="001052BE" w14:paraId="3A457EDE" w14:textId="75BE5E5D">
      <w:pPr>
        <w:rPr>
          <w:rFonts w:ascii="Times New Roman" w:hAnsi="Times New Roman"/>
        </w:rPr>
      </w:pPr>
      <w:r w:rsidRPr="001052BE">
        <w:rPr>
          <w:rFonts w:ascii="Times New Roman" w:hAnsi="Times New Roman"/>
        </w:rPr>
        <w:t xml:space="preserve">Building on the success of Round 18’s </w:t>
      </w:r>
      <w:r w:rsidR="006B2DC7">
        <w:rPr>
          <w:rFonts w:ascii="Times New Roman" w:hAnsi="Times New Roman"/>
        </w:rPr>
        <w:t>“</w:t>
      </w:r>
      <w:r w:rsidRPr="001052BE">
        <w:rPr>
          <w:rFonts w:ascii="Times New Roman" w:hAnsi="Times New Roman"/>
        </w:rPr>
        <w:t xml:space="preserve">Big NIR </w:t>
      </w:r>
      <w:r w:rsidR="006B2DC7">
        <w:rPr>
          <w:rFonts w:ascii="Times New Roman" w:hAnsi="Times New Roman"/>
        </w:rPr>
        <w:t>B</w:t>
      </w:r>
      <w:r w:rsidRPr="001052BE">
        <w:rPr>
          <w:rFonts w:ascii="Times New Roman" w:hAnsi="Times New Roman"/>
        </w:rPr>
        <w:t>onus</w:t>
      </w:r>
      <w:r w:rsidR="006B2DC7">
        <w:rPr>
          <w:rFonts w:ascii="Times New Roman" w:hAnsi="Times New Roman"/>
        </w:rPr>
        <w:t>”</w:t>
      </w:r>
      <w:r w:rsidRPr="001052BE">
        <w:rPr>
          <w:rFonts w:ascii="Times New Roman" w:hAnsi="Times New Roman"/>
        </w:rPr>
        <w:t xml:space="preserve"> experiment, the NLS extended its missed round incentive structure in Round 19 to $40, $60, $80, $100, and $150 for sample members out </w:t>
      </w:r>
      <w:r w:rsidR="003F5C19">
        <w:rPr>
          <w:rFonts w:ascii="Times New Roman" w:hAnsi="Times New Roman"/>
        </w:rPr>
        <w:t>one</w:t>
      </w:r>
      <w:r w:rsidRPr="001052BE">
        <w:rPr>
          <w:rFonts w:ascii="Times New Roman" w:hAnsi="Times New Roman"/>
        </w:rPr>
        <w:t xml:space="preserve">, </w:t>
      </w:r>
      <w:r w:rsidR="003F5C19">
        <w:rPr>
          <w:rFonts w:ascii="Times New Roman" w:hAnsi="Times New Roman"/>
        </w:rPr>
        <w:t>two</w:t>
      </w:r>
      <w:r w:rsidRPr="001052BE">
        <w:rPr>
          <w:rFonts w:ascii="Times New Roman" w:hAnsi="Times New Roman"/>
        </w:rPr>
        <w:t xml:space="preserve">, </w:t>
      </w:r>
      <w:r w:rsidR="003F5C19">
        <w:rPr>
          <w:rFonts w:ascii="Times New Roman" w:hAnsi="Times New Roman"/>
        </w:rPr>
        <w:t>three</w:t>
      </w:r>
      <w:r w:rsidRPr="001052BE">
        <w:rPr>
          <w:rFonts w:ascii="Times New Roman" w:hAnsi="Times New Roman"/>
        </w:rPr>
        <w:t xml:space="preserve">, </w:t>
      </w:r>
      <w:r w:rsidR="003F5C19">
        <w:rPr>
          <w:rFonts w:ascii="Times New Roman" w:hAnsi="Times New Roman"/>
        </w:rPr>
        <w:t>four</w:t>
      </w:r>
      <w:r w:rsidRPr="001052BE">
        <w:rPr>
          <w:rFonts w:ascii="Times New Roman" w:hAnsi="Times New Roman"/>
        </w:rPr>
        <w:t xml:space="preserve">, and </w:t>
      </w:r>
      <w:r w:rsidR="003F5C19">
        <w:rPr>
          <w:rFonts w:ascii="Times New Roman" w:hAnsi="Times New Roman"/>
        </w:rPr>
        <w:t>five</w:t>
      </w:r>
      <w:r w:rsidRPr="001052BE">
        <w:rPr>
          <w:rFonts w:ascii="Times New Roman" w:hAnsi="Times New Roman"/>
        </w:rPr>
        <w:t xml:space="preserve"> or more rounds (the same structure </w:t>
      </w:r>
      <w:r w:rsidR="003F5C19">
        <w:rPr>
          <w:rFonts w:ascii="Times New Roman" w:hAnsi="Times New Roman"/>
        </w:rPr>
        <w:t>NLS</w:t>
      </w:r>
      <w:r w:rsidRPr="001052BE" w:rsidR="003F5C19">
        <w:rPr>
          <w:rFonts w:ascii="Times New Roman" w:hAnsi="Times New Roman"/>
        </w:rPr>
        <w:t xml:space="preserve"> </w:t>
      </w:r>
      <w:r w:rsidRPr="001052BE">
        <w:rPr>
          <w:rFonts w:ascii="Times New Roman" w:hAnsi="Times New Roman"/>
        </w:rPr>
        <w:t>plan</w:t>
      </w:r>
      <w:r w:rsidR="003F5C19">
        <w:rPr>
          <w:rFonts w:ascii="Times New Roman" w:hAnsi="Times New Roman"/>
        </w:rPr>
        <w:t>s</w:t>
      </w:r>
      <w:r w:rsidRPr="001052BE">
        <w:rPr>
          <w:rFonts w:ascii="Times New Roman" w:hAnsi="Times New Roman"/>
        </w:rPr>
        <w:t xml:space="preserve"> to use in Round 20).  Table </w:t>
      </w:r>
      <w:r w:rsidR="00911E07">
        <w:rPr>
          <w:rFonts w:ascii="Times New Roman" w:hAnsi="Times New Roman"/>
        </w:rPr>
        <w:t>4</w:t>
      </w:r>
      <w:r w:rsidRPr="001052BE" w:rsidR="00911E07">
        <w:rPr>
          <w:rFonts w:ascii="Times New Roman" w:hAnsi="Times New Roman"/>
        </w:rPr>
        <w:t xml:space="preserve"> </w:t>
      </w:r>
      <w:r w:rsidRPr="001052BE">
        <w:rPr>
          <w:rFonts w:ascii="Times New Roman" w:hAnsi="Times New Roman"/>
        </w:rPr>
        <w:t>shows response rates across completion groups in Rounds 17-19.  The results suggest a that the higher bonuses have been effective at bringing prior-round non-responders back, especially when Round 17 and 19 are compared.  While previously faithful responders had similar completion rates in those 2 rounds, groups having missed recent rounds were noticeably more responsive in Round 19.</w:t>
      </w:r>
    </w:p>
    <w:p w:rsidRPr="001052BE" w:rsidR="001052BE" w:rsidP="001052BE" w:rsidRDefault="001052BE" w14:paraId="1720E025" w14:textId="77777777">
      <w:pPr>
        <w:rPr>
          <w:rFonts w:ascii="Times New Roman" w:hAnsi="Times New Roman"/>
        </w:rPr>
      </w:pPr>
    </w:p>
    <w:p w:rsidRPr="001052BE" w:rsidR="001052BE" w:rsidP="001052BE" w:rsidRDefault="001052BE" w14:paraId="35A73E5C" w14:textId="7FEE3CCD">
      <w:pPr>
        <w:rPr>
          <w:rFonts w:ascii="Times New Roman" w:hAnsi="Times New Roman"/>
          <w:b/>
        </w:rPr>
      </w:pPr>
      <w:r w:rsidRPr="001052BE">
        <w:rPr>
          <w:rFonts w:ascii="Times New Roman" w:hAnsi="Times New Roman"/>
          <w:b/>
        </w:rPr>
        <w:t xml:space="preserve">Table </w:t>
      </w:r>
      <w:r w:rsidR="00911E07">
        <w:rPr>
          <w:rFonts w:ascii="Times New Roman" w:hAnsi="Times New Roman"/>
          <w:b/>
        </w:rPr>
        <w:t>4</w:t>
      </w:r>
      <w:r w:rsidRPr="001052BE">
        <w:rPr>
          <w:rFonts w:ascii="Times New Roman" w:hAnsi="Times New Roman"/>
          <w:b/>
        </w:rPr>
        <w:t>:  Completion by Prior Response Behavior, Rounds 17-19</w:t>
      </w:r>
    </w:p>
    <w:tbl>
      <w:tblPr>
        <w:tblStyle w:val="TableGrid"/>
        <w:tblW w:w="9372" w:type="dxa"/>
        <w:tblBorders>
          <w:insideH w:val="none" w:color="auto" w:sz="0" w:space="0"/>
          <w:insideV w:val="none" w:color="auto" w:sz="0" w:space="0"/>
        </w:tblBorders>
        <w:tblLook w:val="04A0" w:firstRow="1" w:lastRow="0" w:firstColumn="1" w:lastColumn="0" w:noHBand="0" w:noVBand="1"/>
      </w:tblPr>
      <w:tblGrid>
        <w:gridCol w:w="1465"/>
        <w:gridCol w:w="1322"/>
        <w:gridCol w:w="1495"/>
        <w:gridCol w:w="1023"/>
        <w:gridCol w:w="958"/>
        <w:gridCol w:w="958"/>
        <w:gridCol w:w="1052"/>
        <w:gridCol w:w="1099"/>
      </w:tblGrid>
      <w:tr w:rsidRPr="001052BE" w:rsidR="001052BE" w:rsidTr="001052BE" w14:paraId="1166203B" w14:textId="77777777">
        <w:trPr>
          <w:trHeight w:val="256"/>
        </w:trPr>
        <w:tc>
          <w:tcPr>
            <w:tcW w:w="1465" w:type="dxa"/>
            <w:tcBorders>
              <w:top w:val="single" w:color="auto" w:sz="4" w:space="0"/>
              <w:bottom w:val="single" w:color="auto" w:sz="4" w:space="0"/>
            </w:tcBorders>
            <w:vAlign w:val="center"/>
          </w:tcPr>
          <w:p w:rsidRPr="001052BE" w:rsidR="001052BE" w:rsidP="001052BE" w:rsidRDefault="001052BE" w14:paraId="6C102E47" w14:textId="77777777">
            <w:pPr>
              <w:rPr>
                <w:rFonts w:ascii="Times New Roman" w:hAnsi="Times New Roman"/>
              </w:rPr>
            </w:pPr>
          </w:p>
        </w:tc>
        <w:tc>
          <w:tcPr>
            <w:tcW w:w="7907" w:type="dxa"/>
            <w:gridSpan w:val="7"/>
            <w:tcBorders>
              <w:top w:val="single" w:color="auto" w:sz="4" w:space="0"/>
              <w:bottom w:val="single" w:color="auto" w:sz="4" w:space="0"/>
            </w:tcBorders>
            <w:vAlign w:val="center"/>
          </w:tcPr>
          <w:p w:rsidRPr="001052BE" w:rsidR="001052BE" w:rsidP="001052BE" w:rsidRDefault="001052BE" w14:paraId="43CC5859" w14:textId="77777777">
            <w:pPr>
              <w:jc w:val="center"/>
              <w:rPr>
                <w:rFonts w:ascii="Times New Roman" w:hAnsi="Times New Roman"/>
              </w:rPr>
            </w:pPr>
            <w:r w:rsidRPr="001052BE">
              <w:rPr>
                <w:rFonts w:ascii="Times New Roman" w:hAnsi="Times New Roman"/>
              </w:rPr>
              <w:t>Group</w:t>
            </w:r>
          </w:p>
        </w:tc>
      </w:tr>
      <w:tr w:rsidRPr="001052BE" w:rsidR="001052BE" w:rsidTr="001052BE" w14:paraId="1101D1A9" w14:textId="77777777">
        <w:trPr>
          <w:trHeight w:val="1790"/>
        </w:trPr>
        <w:tc>
          <w:tcPr>
            <w:tcW w:w="1465" w:type="dxa"/>
            <w:tcBorders>
              <w:top w:val="single" w:color="auto" w:sz="4" w:space="0"/>
              <w:bottom w:val="single" w:color="auto" w:sz="4" w:space="0"/>
            </w:tcBorders>
            <w:vAlign w:val="center"/>
          </w:tcPr>
          <w:p w:rsidRPr="001052BE" w:rsidR="001052BE" w:rsidP="001052BE" w:rsidRDefault="001052BE" w14:paraId="15EF3F5E" w14:textId="77777777">
            <w:pPr>
              <w:rPr>
                <w:rFonts w:ascii="Times New Roman" w:hAnsi="Times New Roman"/>
              </w:rPr>
            </w:pPr>
            <w:r w:rsidRPr="001052BE">
              <w:rPr>
                <w:rFonts w:ascii="Times New Roman" w:hAnsi="Times New Roman"/>
              </w:rPr>
              <w:t>Round</w:t>
            </w:r>
          </w:p>
        </w:tc>
        <w:tc>
          <w:tcPr>
            <w:tcW w:w="1322" w:type="dxa"/>
            <w:tcBorders>
              <w:top w:val="single" w:color="auto" w:sz="4" w:space="0"/>
              <w:bottom w:val="single" w:color="auto" w:sz="4" w:space="0"/>
            </w:tcBorders>
            <w:vAlign w:val="center"/>
          </w:tcPr>
          <w:p w:rsidRPr="001052BE" w:rsidR="001052BE" w:rsidP="001052BE" w:rsidRDefault="001052BE" w14:paraId="165EBB03" w14:textId="77777777">
            <w:pPr>
              <w:rPr>
                <w:rFonts w:ascii="Times New Roman" w:hAnsi="Times New Roman"/>
              </w:rPr>
            </w:pPr>
            <w:r w:rsidRPr="001052BE">
              <w:rPr>
                <w:rFonts w:ascii="Times New Roman" w:hAnsi="Times New Roman"/>
              </w:rPr>
              <w:t xml:space="preserve">Completed last two rounds </w:t>
            </w:r>
          </w:p>
        </w:tc>
        <w:tc>
          <w:tcPr>
            <w:tcW w:w="1495" w:type="dxa"/>
            <w:tcBorders>
              <w:top w:val="single" w:color="auto" w:sz="4" w:space="0"/>
              <w:bottom w:val="single" w:color="auto" w:sz="4" w:space="0"/>
            </w:tcBorders>
            <w:vAlign w:val="center"/>
          </w:tcPr>
          <w:p w:rsidRPr="001052BE" w:rsidR="001052BE" w:rsidP="001052BE" w:rsidRDefault="001052BE" w14:paraId="4B392EF7" w14:textId="77777777">
            <w:pPr>
              <w:rPr>
                <w:rFonts w:ascii="Times New Roman" w:hAnsi="Times New Roman"/>
              </w:rPr>
            </w:pPr>
            <w:r w:rsidRPr="001052BE">
              <w:rPr>
                <w:rFonts w:ascii="Times New Roman" w:hAnsi="Times New Roman"/>
              </w:rPr>
              <w:t>Responded to last round, out the round before (i.e., returners)</w:t>
            </w:r>
          </w:p>
        </w:tc>
        <w:tc>
          <w:tcPr>
            <w:tcW w:w="1023" w:type="dxa"/>
            <w:tcBorders>
              <w:top w:val="single" w:color="auto" w:sz="4" w:space="0"/>
              <w:bottom w:val="single" w:color="auto" w:sz="4" w:space="0"/>
            </w:tcBorders>
            <w:vAlign w:val="center"/>
          </w:tcPr>
          <w:p w:rsidRPr="001052BE" w:rsidR="001052BE" w:rsidP="001052BE" w:rsidRDefault="001052BE" w14:paraId="6BCBA181" w14:textId="77777777">
            <w:pPr>
              <w:rPr>
                <w:rFonts w:ascii="Times New Roman" w:hAnsi="Times New Roman"/>
              </w:rPr>
            </w:pPr>
            <w:r w:rsidRPr="001052BE">
              <w:rPr>
                <w:rFonts w:ascii="Times New Roman" w:hAnsi="Times New Roman"/>
              </w:rPr>
              <w:t xml:space="preserve">Missed prior round only (i.e., out one round)              </w:t>
            </w:r>
          </w:p>
        </w:tc>
        <w:tc>
          <w:tcPr>
            <w:tcW w:w="958" w:type="dxa"/>
            <w:tcBorders>
              <w:top w:val="single" w:color="auto" w:sz="4" w:space="0"/>
              <w:bottom w:val="single" w:color="auto" w:sz="4" w:space="0"/>
            </w:tcBorders>
            <w:vAlign w:val="center"/>
          </w:tcPr>
          <w:p w:rsidRPr="001052BE" w:rsidR="001052BE" w:rsidP="001052BE" w:rsidRDefault="001052BE" w14:paraId="7DFFC1A7" w14:textId="77777777">
            <w:pPr>
              <w:rPr>
                <w:rFonts w:ascii="Times New Roman" w:hAnsi="Times New Roman"/>
              </w:rPr>
            </w:pPr>
            <w:r w:rsidRPr="001052BE">
              <w:rPr>
                <w:rFonts w:ascii="Times New Roman" w:hAnsi="Times New Roman"/>
              </w:rPr>
              <w:t xml:space="preserve">Out two rounds             </w:t>
            </w:r>
          </w:p>
        </w:tc>
        <w:tc>
          <w:tcPr>
            <w:tcW w:w="958" w:type="dxa"/>
            <w:tcBorders>
              <w:top w:val="single" w:color="auto" w:sz="4" w:space="0"/>
              <w:bottom w:val="single" w:color="auto" w:sz="4" w:space="0"/>
            </w:tcBorders>
            <w:vAlign w:val="center"/>
          </w:tcPr>
          <w:p w:rsidRPr="001052BE" w:rsidR="001052BE" w:rsidP="001052BE" w:rsidRDefault="001052BE" w14:paraId="57B5242B" w14:textId="77777777">
            <w:pPr>
              <w:rPr>
                <w:rFonts w:ascii="Times New Roman" w:hAnsi="Times New Roman"/>
              </w:rPr>
            </w:pPr>
            <w:r w:rsidRPr="001052BE">
              <w:rPr>
                <w:rFonts w:ascii="Times New Roman" w:hAnsi="Times New Roman"/>
              </w:rPr>
              <w:t xml:space="preserve">Out 3 rounds            </w:t>
            </w:r>
          </w:p>
        </w:tc>
        <w:tc>
          <w:tcPr>
            <w:tcW w:w="1052" w:type="dxa"/>
            <w:tcBorders>
              <w:top w:val="single" w:color="auto" w:sz="4" w:space="0"/>
              <w:bottom w:val="single" w:color="auto" w:sz="4" w:space="0"/>
            </w:tcBorders>
            <w:vAlign w:val="center"/>
          </w:tcPr>
          <w:p w:rsidRPr="001052BE" w:rsidR="001052BE" w:rsidP="001052BE" w:rsidRDefault="001052BE" w14:paraId="5B39733D" w14:textId="77777777">
            <w:pPr>
              <w:rPr>
                <w:rFonts w:ascii="Times New Roman" w:hAnsi="Times New Roman"/>
              </w:rPr>
            </w:pPr>
            <w:r w:rsidRPr="001052BE">
              <w:rPr>
                <w:rFonts w:ascii="Times New Roman" w:hAnsi="Times New Roman"/>
              </w:rPr>
              <w:t xml:space="preserve">Out 4 rounds           </w:t>
            </w:r>
          </w:p>
        </w:tc>
        <w:tc>
          <w:tcPr>
            <w:tcW w:w="1096" w:type="dxa"/>
            <w:tcBorders>
              <w:top w:val="single" w:color="auto" w:sz="4" w:space="0"/>
              <w:bottom w:val="single" w:color="auto" w:sz="4" w:space="0"/>
            </w:tcBorders>
          </w:tcPr>
          <w:p w:rsidRPr="001052BE" w:rsidR="001052BE" w:rsidP="001052BE" w:rsidRDefault="001052BE" w14:paraId="4606E166"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0A0EB489" w14:textId="77777777">
        <w:trPr>
          <w:trHeight w:val="256"/>
        </w:trPr>
        <w:tc>
          <w:tcPr>
            <w:tcW w:w="1465" w:type="dxa"/>
            <w:tcBorders>
              <w:top w:val="single" w:color="auto" w:sz="4" w:space="0"/>
              <w:bottom w:val="nil"/>
            </w:tcBorders>
            <w:vAlign w:val="center"/>
          </w:tcPr>
          <w:p w:rsidRPr="001052BE" w:rsidR="001052BE" w:rsidP="001052BE" w:rsidRDefault="001052BE" w14:paraId="0DD4FE70" w14:textId="77777777">
            <w:pPr>
              <w:rPr>
                <w:rFonts w:ascii="Times New Roman" w:hAnsi="Times New Roman"/>
              </w:rPr>
            </w:pPr>
            <w:r w:rsidRPr="001052BE">
              <w:rPr>
                <w:rFonts w:ascii="Times New Roman" w:hAnsi="Times New Roman"/>
              </w:rPr>
              <w:t>R17</w:t>
            </w:r>
          </w:p>
        </w:tc>
        <w:tc>
          <w:tcPr>
            <w:tcW w:w="1322" w:type="dxa"/>
            <w:tcBorders>
              <w:top w:val="single" w:color="auto" w:sz="4" w:space="0"/>
              <w:bottom w:val="nil"/>
            </w:tcBorders>
            <w:vAlign w:val="center"/>
          </w:tcPr>
          <w:p w:rsidRPr="001052BE" w:rsidR="001052BE" w:rsidP="001052BE" w:rsidRDefault="001052BE" w14:paraId="3F31D173" w14:textId="77777777">
            <w:pPr>
              <w:rPr>
                <w:rFonts w:ascii="Times New Roman" w:hAnsi="Times New Roman"/>
              </w:rPr>
            </w:pPr>
            <w:r w:rsidRPr="001052BE">
              <w:rPr>
                <w:rFonts w:ascii="Times New Roman" w:hAnsi="Times New Roman"/>
              </w:rPr>
              <w:t>94.81%</w:t>
            </w:r>
          </w:p>
        </w:tc>
        <w:tc>
          <w:tcPr>
            <w:tcW w:w="1495" w:type="dxa"/>
            <w:tcBorders>
              <w:top w:val="single" w:color="auto" w:sz="4" w:space="0"/>
              <w:bottom w:val="nil"/>
            </w:tcBorders>
            <w:vAlign w:val="center"/>
          </w:tcPr>
          <w:p w:rsidRPr="001052BE" w:rsidR="001052BE" w:rsidP="001052BE" w:rsidRDefault="001052BE" w14:paraId="753CFC8B" w14:textId="77777777">
            <w:pPr>
              <w:rPr>
                <w:rFonts w:ascii="Times New Roman" w:hAnsi="Times New Roman"/>
              </w:rPr>
            </w:pPr>
            <w:r w:rsidRPr="001052BE">
              <w:rPr>
                <w:rFonts w:ascii="Times New Roman" w:hAnsi="Times New Roman"/>
              </w:rPr>
              <w:t>67.83%</w:t>
            </w:r>
          </w:p>
        </w:tc>
        <w:tc>
          <w:tcPr>
            <w:tcW w:w="1023" w:type="dxa"/>
            <w:tcBorders>
              <w:top w:val="single" w:color="auto" w:sz="4" w:space="0"/>
              <w:bottom w:val="nil"/>
            </w:tcBorders>
            <w:vAlign w:val="center"/>
          </w:tcPr>
          <w:p w:rsidRPr="001052BE" w:rsidR="001052BE" w:rsidP="001052BE" w:rsidRDefault="001052BE" w14:paraId="3FB1638C" w14:textId="77777777">
            <w:pPr>
              <w:rPr>
                <w:rFonts w:ascii="Times New Roman" w:hAnsi="Times New Roman"/>
              </w:rPr>
            </w:pPr>
            <w:r w:rsidRPr="001052BE">
              <w:rPr>
                <w:rFonts w:ascii="Times New Roman" w:hAnsi="Times New Roman"/>
              </w:rPr>
              <w:t>45.47%</w:t>
            </w:r>
          </w:p>
        </w:tc>
        <w:tc>
          <w:tcPr>
            <w:tcW w:w="958" w:type="dxa"/>
            <w:tcBorders>
              <w:top w:val="single" w:color="auto" w:sz="4" w:space="0"/>
              <w:bottom w:val="nil"/>
            </w:tcBorders>
            <w:vAlign w:val="center"/>
          </w:tcPr>
          <w:p w:rsidRPr="001052BE" w:rsidR="001052BE" w:rsidP="001052BE" w:rsidRDefault="001052BE" w14:paraId="1344BFDD" w14:textId="77777777">
            <w:pPr>
              <w:rPr>
                <w:rFonts w:ascii="Times New Roman" w:hAnsi="Times New Roman"/>
              </w:rPr>
            </w:pPr>
            <w:r w:rsidRPr="001052BE">
              <w:rPr>
                <w:rFonts w:ascii="Times New Roman" w:hAnsi="Times New Roman"/>
              </w:rPr>
              <w:t>32.79%</w:t>
            </w:r>
          </w:p>
        </w:tc>
        <w:tc>
          <w:tcPr>
            <w:tcW w:w="958" w:type="dxa"/>
            <w:tcBorders>
              <w:top w:val="single" w:color="auto" w:sz="4" w:space="0"/>
              <w:bottom w:val="nil"/>
            </w:tcBorders>
            <w:vAlign w:val="center"/>
          </w:tcPr>
          <w:p w:rsidRPr="001052BE" w:rsidR="001052BE" w:rsidP="001052BE" w:rsidRDefault="001052BE" w14:paraId="4F813822" w14:textId="77777777">
            <w:pPr>
              <w:rPr>
                <w:rFonts w:ascii="Times New Roman" w:hAnsi="Times New Roman"/>
              </w:rPr>
            </w:pPr>
            <w:r w:rsidRPr="001052BE">
              <w:rPr>
                <w:rFonts w:ascii="Times New Roman" w:hAnsi="Times New Roman"/>
              </w:rPr>
              <w:t>16.13%</w:t>
            </w:r>
          </w:p>
        </w:tc>
        <w:tc>
          <w:tcPr>
            <w:tcW w:w="1052" w:type="dxa"/>
            <w:tcBorders>
              <w:top w:val="single" w:color="auto" w:sz="4" w:space="0"/>
              <w:bottom w:val="nil"/>
            </w:tcBorders>
            <w:vAlign w:val="center"/>
          </w:tcPr>
          <w:p w:rsidRPr="001052BE" w:rsidR="001052BE" w:rsidP="001052BE" w:rsidRDefault="001052BE" w14:paraId="2B5348B2" w14:textId="77777777">
            <w:pPr>
              <w:rPr>
                <w:rFonts w:ascii="Times New Roman" w:hAnsi="Times New Roman"/>
              </w:rPr>
            </w:pPr>
            <w:r w:rsidRPr="001052BE">
              <w:rPr>
                <w:rFonts w:ascii="Times New Roman" w:hAnsi="Times New Roman"/>
              </w:rPr>
              <w:t>6.32%</w:t>
            </w:r>
          </w:p>
        </w:tc>
        <w:tc>
          <w:tcPr>
            <w:tcW w:w="1096" w:type="dxa"/>
            <w:tcBorders>
              <w:top w:val="single" w:color="auto" w:sz="4" w:space="0"/>
              <w:bottom w:val="nil"/>
            </w:tcBorders>
            <w:vAlign w:val="center"/>
          </w:tcPr>
          <w:p w:rsidRPr="001052BE" w:rsidR="001052BE" w:rsidP="001052BE" w:rsidRDefault="001052BE" w14:paraId="35188E0F" w14:textId="77777777">
            <w:pPr>
              <w:rPr>
                <w:rFonts w:ascii="Times New Roman" w:hAnsi="Times New Roman"/>
              </w:rPr>
            </w:pPr>
            <w:r w:rsidRPr="001052BE">
              <w:rPr>
                <w:rFonts w:ascii="Times New Roman" w:hAnsi="Times New Roman"/>
              </w:rPr>
              <w:t>11.09%</w:t>
            </w:r>
          </w:p>
        </w:tc>
      </w:tr>
      <w:tr w:rsidRPr="001052BE" w:rsidR="001052BE" w:rsidTr="001052BE" w14:paraId="5AA0C826" w14:textId="77777777">
        <w:trPr>
          <w:trHeight w:val="644"/>
        </w:trPr>
        <w:tc>
          <w:tcPr>
            <w:tcW w:w="1465" w:type="dxa"/>
            <w:tcBorders>
              <w:top w:val="nil"/>
              <w:bottom w:val="nil"/>
            </w:tcBorders>
            <w:vAlign w:val="center"/>
          </w:tcPr>
          <w:p w:rsidRPr="001052BE" w:rsidR="001052BE" w:rsidP="001052BE" w:rsidRDefault="001052BE" w14:paraId="7130B280" w14:textId="77777777">
            <w:pPr>
              <w:rPr>
                <w:rFonts w:ascii="Times New Roman" w:hAnsi="Times New Roman"/>
              </w:rPr>
            </w:pPr>
            <w:r w:rsidRPr="001052BE">
              <w:rPr>
                <w:rFonts w:ascii="Times New Roman" w:hAnsi="Times New Roman"/>
              </w:rPr>
              <w:t>R18</w:t>
            </w:r>
          </w:p>
        </w:tc>
        <w:tc>
          <w:tcPr>
            <w:tcW w:w="1322" w:type="dxa"/>
            <w:tcBorders>
              <w:top w:val="nil"/>
              <w:bottom w:val="nil"/>
            </w:tcBorders>
            <w:vAlign w:val="center"/>
          </w:tcPr>
          <w:p w:rsidRPr="001052BE" w:rsidR="001052BE" w:rsidP="001052BE" w:rsidRDefault="001052BE" w14:paraId="743CC452" w14:textId="77777777">
            <w:pPr>
              <w:rPr>
                <w:rFonts w:ascii="Times New Roman" w:hAnsi="Times New Roman"/>
              </w:rPr>
            </w:pPr>
            <w:r w:rsidRPr="001052BE">
              <w:rPr>
                <w:rFonts w:ascii="Times New Roman" w:hAnsi="Times New Roman"/>
              </w:rPr>
              <w:t>91.41%</w:t>
            </w:r>
          </w:p>
        </w:tc>
        <w:tc>
          <w:tcPr>
            <w:tcW w:w="1495" w:type="dxa"/>
            <w:tcBorders>
              <w:top w:val="nil"/>
              <w:bottom w:val="nil"/>
            </w:tcBorders>
            <w:vAlign w:val="center"/>
          </w:tcPr>
          <w:p w:rsidRPr="001052BE" w:rsidR="001052BE" w:rsidP="001052BE" w:rsidRDefault="001052BE" w14:paraId="5A446650" w14:textId="77777777">
            <w:pPr>
              <w:rPr>
                <w:rFonts w:ascii="Times New Roman" w:hAnsi="Times New Roman"/>
              </w:rPr>
            </w:pPr>
            <w:r w:rsidRPr="001052BE">
              <w:rPr>
                <w:rFonts w:ascii="Times New Roman" w:hAnsi="Times New Roman"/>
              </w:rPr>
              <w:t>61.54%</w:t>
            </w:r>
          </w:p>
        </w:tc>
        <w:tc>
          <w:tcPr>
            <w:tcW w:w="1023" w:type="dxa"/>
            <w:tcBorders>
              <w:top w:val="nil"/>
              <w:bottom w:val="nil"/>
            </w:tcBorders>
            <w:vAlign w:val="center"/>
          </w:tcPr>
          <w:p w:rsidRPr="001052BE" w:rsidR="001052BE" w:rsidP="001052BE" w:rsidRDefault="001052BE" w14:paraId="0D15F3E4" w14:textId="77777777">
            <w:pPr>
              <w:rPr>
                <w:rFonts w:ascii="Times New Roman" w:hAnsi="Times New Roman"/>
              </w:rPr>
            </w:pPr>
            <w:r w:rsidRPr="001052BE">
              <w:rPr>
                <w:rFonts w:ascii="Times New Roman" w:hAnsi="Times New Roman"/>
              </w:rPr>
              <w:t>38.76%</w:t>
            </w:r>
          </w:p>
        </w:tc>
        <w:tc>
          <w:tcPr>
            <w:tcW w:w="958" w:type="dxa"/>
            <w:tcBorders>
              <w:top w:val="nil"/>
              <w:bottom w:val="nil"/>
            </w:tcBorders>
            <w:vAlign w:val="center"/>
          </w:tcPr>
          <w:p w:rsidRPr="001052BE" w:rsidR="001052BE" w:rsidP="001052BE" w:rsidRDefault="001052BE" w14:paraId="1E3A29BA" w14:textId="77777777">
            <w:pPr>
              <w:rPr>
                <w:rFonts w:ascii="Times New Roman" w:hAnsi="Times New Roman"/>
              </w:rPr>
            </w:pPr>
            <w:r w:rsidRPr="001052BE">
              <w:rPr>
                <w:rFonts w:ascii="Times New Roman" w:hAnsi="Times New Roman"/>
              </w:rPr>
              <w:t>27.43%</w:t>
            </w:r>
          </w:p>
        </w:tc>
        <w:tc>
          <w:tcPr>
            <w:tcW w:w="958" w:type="dxa"/>
            <w:tcBorders>
              <w:top w:val="nil"/>
              <w:bottom w:val="nil"/>
            </w:tcBorders>
            <w:vAlign w:val="center"/>
          </w:tcPr>
          <w:p w:rsidRPr="001052BE" w:rsidR="001052BE" w:rsidP="001052BE" w:rsidRDefault="001052BE" w14:paraId="385F8B61" w14:textId="77777777">
            <w:pPr>
              <w:rPr>
                <w:rFonts w:ascii="Times New Roman" w:hAnsi="Times New Roman"/>
              </w:rPr>
            </w:pPr>
            <w:r w:rsidRPr="001052BE">
              <w:rPr>
                <w:rFonts w:ascii="Times New Roman" w:hAnsi="Times New Roman"/>
              </w:rPr>
              <w:t>30.56%</w:t>
            </w:r>
          </w:p>
        </w:tc>
        <w:tc>
          <w:tcPr>
            <w:tcW w:w="1052" w:type="dxa"/>
            <w:tcBorders>
              <w:top w:val="nil"/>
              <w:bottom w:val="nil"/>
            </w:tcBorders>
            <w:vAlign w:val="center"/>
          </w:tcPr>
          <w:p w:rsidRPr="001052BE" w:rsidR="001052BE" w:rsidP="001052BE" w:rsidRDefault="001052BE" w14:paraId="4472D4AA" w14:textId="77777777">
            <w:pPr>
              <w:rPr>
                <w:rFonts w:ascii="Times New Roman" w:hAnsi="Times New Roman"/>
              </w:rPr>
            </w:pPr>
            <w:r w:rsidRPr="001052BE">
              <w:rPr>
                <w:rFonts w:ascii="Times New Roman" w:hAnsi="Times New Roman"/>
              </w:rPr>
              <w:t>20.59%</w:t>
            </w:r>
          </w:p>
        </w:tc>
        <w:tc>
          <w:tcPr>
            <w:tcW w:w="1096" w:type="dxa"/>
            <w:tcBorders>
              <w:top w:val="nil"/>
              <w:bottom w:val="nil"/>
            </w:tcBorders>
            <w:vAlign w:val="center"/>
          </w:tcPr>
          <w:p w:rsidRPr="001052BE" w:rsidR="001052BE" w:rsidP="001052BE" w:rsidRDefault="001052BE" w14:paraId="04556217" w14:textId="77777777">
            <w:pPr>
              <w:rPr>
                <w:rFonts w:ascii="Times New Roman" w:hAnsi="Times New Roman"/>
              </w:rPr>
            </w:pPr>
            <w:r w:rsidRPr="001052BE">
              <w:rPr>
                <w:rFonts w:ascii="Times New Roman" w:hAnsi="Times New Roman"/>
              </w:rPr>
              <w:t>11.09%</w:t>
            </w:r>
          </w:p>
        </w:tc>
      </w:tr>
      <w:tr w:rsidRPr="001052BE" w:rsidR="001052BE" w:rsidTr="001052BE" w14:paraId="77B72099" w14:textId="77777777">
        <w:trPr>
          <w:trHeight w:val="256"/>
        </w:trPr>
        <w:tc>
          <w:tcPr>
            <w:tcW w:w="1465" w:type="dxa"/>
            <w:tcBorders>
              <w:top w:val="nil"/>
              <w:bottom w:val="single" w:color="auto" w:sz="4" w:space="0"/>
            </w:tcBorders>
            <w:vAlign w:val="center"/>
          </w:tcPr>
          <w:p w:rsidRPr="001052BE" w:rsidR="001052BE" w:rsidP="001052BE" w:rsidRDefault="001052BE" w14:paraId="652B31B2" w14:textId="77777777">
            <w:pPr>
              <w:rPr>
                <w:rFonts w:ascii="Times New Roman" w:hAnsi="Times New Roman"/>
              </w:rPr>
            </w:pPr>
            <w:r w:rsidRPr="001052BE">
              <w:rPr>
                <w:rFonts w:ascii="Times New Roman" w:hAnsi="Times New Roman"/>
              </w:rPr>
              <w:t>R19</w:t>
            </w:r>
          </w:p>
        </w:tc>
        <w:tc>
          <w:tcPr>
            <w:tcW w:w="1322" w:type="dxa"/>
            <w:tcBorders>
              <w:top w:val="nil"/>
              <w:bottom w:val="single" w:color="auto" w:sz="4" w:space="0"/>
            </w:tcBorders>
            <w:vAlign w:val="center"/>
          </w:tcPr>
          <w:p w:rsidRPr="001052BE" w:rsidR="001052BE" w:rsidP="001052BE" w:rsidRDefault="001052BE" w14:paraId="451E55FA" w14:textId="77777777">
            <w:pPr>
              <w:rPr>
                <w:rFonts w:ascii="Times New Roman" w:hAnsi="Times New Roman"/>
              </w:rPr>
            </w:pPr>
            <w:r w:rsidRPr="001052BE">
              <w:rPr>
                <w:rFonts w:ascii="Times New Roman" w:hAnsi="Times New Roman"/>
              </w:rPr>
              <w:t>94.33%</w:t>
            </w:r>
          </w:p>
        </w:tc>
        <w:tc>
          <w:tcPr>
            <w:tcW w:w="1495" w:type="dxa"/>
            <w:tcBorders>
              <w:top w:val="nil"/>
              <w:bottom w:val="single" w:color="auto" w:sz="4" w:space="0"/>
            </w:tcBorders>
            <w:vAlign w:val="center"/>
          </w:tcPr>
          <w:p w:rsidRPr="001052BE" w:rsidR="001052BE" w:rsidP="001052BE" w:rsidRDefault="001052BE" w14:paraId="37D52945" w14:textId="77777777">
            <w:pPr>
              <w:rPr>
                <w:rFonts w:ascii="Times New Roman" w:hAnsi="Times New Roman"/>
              </w:rPr>
            </w:pPr>
            <w:r w:rsidRPr="001052BE">
              <w:rPr>
                <w:rFonts w:ascii="Times New Roman" w:hAnsi="Times New Roman"/>
              </w:rPr>
              <w:t>72.25%</w:t>
            </w:r>
          </w:p>
        </w:tc>
        <w:tc>
          <w:tcPr>
            <w:tcW w:w="1023" w:type="dxa"/>
            <w:tcBorders>
              <w:top w:val="nil"/>
              <w:bottom w:val="single" w:color="auto" w:sz="4" w:space="0"/>
            </w:tcBorders>
            <w:vAlign w:val="center"/>
          </w:tcPr>
          <w:p w:rsidRPr="001052BE" w:rsidR="001052BE" w:rsidP="001052BE" w:rsidRDefault="001052BE" w14:paraId="079D008E" w14:textId="77777777">
            <w:pPr>
              <w:rPr>
                <w:rFonts w:ascii="Times New Roman" w:hAnsi="Times New Roman"/>
              </w:rPr>
            </w:pPr>
            <w:r w:rsidRPr="001052BE">
              <w:rPr>
                <w:rFonts w:ascii="Times New Roman" w:hAnsi="Times New Roman"/>
              </w:rPr>
              <w:t>56.11%</w:t>
            </w:r>
          </w:p>
        </w:tc>
        <w:tc>
          <w:tcPr>
            <w:tcW w:w="958" w:type="dxa"/>
            <w:tcBorders>
              <w:top w:val="nil"/>
              <w:bottom w:val="single" w:color="auto" w:sz="4" w:space="0"/>
            </w:tcBorders>
            <w:vAlign w:val="center"/>
          </w:tcPr>
          <w:p w:rsidRPr="001052BE" w:rsidR="001052BE" w:rsidP="001052BE" w:rsidRDefault="001052BE" w14:paraId="2D2AFBD0" w14:textId="77777777">
            <w:pPr>
              <w:rPr>
                <w:rFonts w:ascii="Times New Roman" w:hAnsi="Times New Roman"/>
              </w:rPr>
            </w:pPr>
            <w:r w:rsidRPr="001052BE">
              <w:rPr>
                <w:rFonts w:ascii="Times New Roman" w:hAnsi="Times New Roman"/>
              </w:rPr>
              <w:t>38.40%</w:t>
            </w:r>
          </w:p>
        </w:tc>
        <w:tc>
          <w:tcPr>
            <w:tcW w:w="958" w:type="dxa"/>
            <w:tcBorders>
              <w:top w:val="nil"/>
              <w:bottom w:val="single" w:color="auto" w:sz="4" w:space="0"/>
            </w:tcBorders>
            <w:vAlign w:val="center"/>
          </w:tcPr>
          <w:p w:rsidRPr="001052BE" w:rsidR="001052BE" w:rsidP="001052BE" w:rsidRDefault="001052BE" w14:paraId="650B2530" w14:textId="77777777">
            <w:pPr>
              <w:rPr>
                <w:rFonts w:ascii="Times New Roman" w:hAnsi="Times New Roman"/>
              </w:rPr>
            </w:pPr>
            <w:r w:rsidRPr="001052BE">
              <w:rPr>
                <w:rFonts w:ascii="Times New Roman" w:hAnsi="Times New Roman"/>
              </w:rPr>
              <w:t>29.90%</w:t>
            </w:r>
          </w:p>
        </w:tc>
        <w:tc>
          <w:tcPr>
            <w:tcW w:w="1052" w:type="dxa"/>
            <w:tcBorders>
              <w:top w:val="nil"/>
              <w:bottom w:val="single" w:color="auto" w:sz="4" w:space="0"/>
            </w:tcBorders>
            <w:vAlign w:val="center"/>
          </w:tcPr>
          <w:p w:rsidRPr="001052BE" w:rsidR="001052BE" w:rsidP="001052BE" w:rsidRDefault="001052BE" w14:paraId="779E9F57" w14:textId="77777777">
            <w:pPr>
              <w:rPr>
                <w:rFonts w:ascii="Times New Roman" w:hAnsi="Times New Roman"/>
              </w:rPr>
            </w:pPr>
            <w:r w:rsidRPr="001052BE">
              <w:rPr>
                <w:rFonts w:ascii="Times New Roman" w:hAnsi="Times New Roman"/>
              </w:rPr>
              <w:t>26.67%</w:t>
            </w:r>
          </w:p>
        </w:tc>
        <w:tc>
          <w:tcPr>
            <w:tcW w:w="1096" w:type="dxa"/>
            <w:tcBorders>
              <w:top w:val="nil"/>
              <w:bottom w:val="single" w:color="auto" w:sz="4" w:space="0"/>
            </w:tcBorders>
            <w:vAlign w:val="center"/>
          </w:tcPr>
          <w:p w:rsidRPr="001052BE" w:rsidR="001052BE" w:rsidP="001052BE" w:rsidRDefault="001052BE" w14:paraId="1B53C4F1" w14:textId="77777777">
            <w:pPr>
              <w:rPr>
                <w:rFonts w:ascii="Times New Roman" w:hAnsi="Times New Roman"/>
              </w:rPr>
            </w:pPr>
            <w:r w:rsidRPr="001052BE">
              <w:rPr>
                <w:rFonts w:ascii="Times New Roman" w:hAnsi="Times New Roman"/>
              </w:rPr>
              <w:t>17.54%</w:t>
            </w:r>
          </w:p>
        </w:tc>
      </w:tr>
    </w:tbl>
    <w:p w:rsidRPr="001052BE" w:rsidR="001052BE" w:rsidP="001052BE" w:rsidRDefault="001052BE" w14:paraId="476A7F9F" w14:textId="77777777">
      <w:pPr>
        <w:rPr>
          <w:rFonts w:ascii="Times New Roman" w:hAnsi="Times New Roman"/>
        </w:rPr>
      </w:pPr>
    </w:p>
    <w:p w:rsidRPr="001052BE" w:rsidR="001052BE" w:rsidP="001052BE" w:rsidRDefault="001052BE" w14:paraId="5BAEE248" w14:textId="77777777">
      <w:pPr>
        <w:rPr>
          <w:rFonts w:ascii="Times New Roman" w:hAnsi="Times New Roman"/>
          <w:i/>
        </w:rPr>
      </w:pPr>
    </w:p>
    <w:p w:rsidRPr="001052BE" w:rsidR="001052BE" w:rsidP="001052BE" w:rsidRDefault="001052BE" w14:paraId="5F2BD718" w14:textId="77777777">
      <w:pPr>
        <w:rPr>
          <w:rFonts w:ascii="Times New Roman" w:hAnsi="Times New Roman"/>
        </w:rPr>
      </w:pPr>
      <w:r w:rsidRPr="001052BE">
        <w:rPr>
          <w:rFonts w:ascii="Times New Roman" w:hAnsi="Times New Roman"/>
          <w:i/>
        </w:rPr>
        <w:t>Token In-Kind Incentive</w:t>
      </w:r>
      <w:r w:rsidRPr="001052BE">
        <w:rPr>
          <w:rFonts w:ascii="Times New Roman" w:hAnsi="Times New Roman"/>
        </w:rPr>
        <w:t xml:space="preserve">  </w:t>
      </w:r>
    </w:p>
    <w:p w:rsidRPr="001052BE" w:rsidR="001052BE" w:rsidP="001052BE" w:rsidRDefault="003F5C19" w14:paraId="2FE7A5FC" w14:textId="740EC381">
      <w:pPr>
        <w:rPr>
          <w:rFonts w:ascii="Times New Roman" w:hAnsi="Times New Roman"/>
          <w:iCs/>
        </w:rPr>
      </w:pPr>
      <w:r>
        <w:rPr>
          <w:rFonts w:ascii="Times New Roman" w:hAnsi="Times New Roman"/>
          <w:iCs/>
        </w:rPr>
        <w:t>NLS</w:t>
      </w:r>
      <w:r w:rsidRPr="001052BE">
        <w:rPr>
          <w:rFonts w:ascii="Times New Roman" w:hAnsi="Times New Roman"/>
          <w:iCs/>
        </w:rPr>
        <w:t xml:space="preserve"> </w:t>
      </w:r>
      <w:r w:rsidRPr="001052BE" w:rsidR="001052BE">
        <w:rPr>
          <w:rFonts w:ascii="Times New Roman" w:hAnsi="Times New Roman"/>
          <w:iCs/>
        </w:rPr>
        <w:t>plan</w:t>
      </w:r>
      <w:r>
        <w:rPr>
          <w:rFonts w:ascii="Times New Roman" w:hAnsi="Times New Roman"/>
          <w:iCs/>
        </w:rPr>
        <w:t>s</w:t>
      </w:r>
      <w:r w:rsidRPr="001052BE" w:rsidR="001052BE">
        <w:rPr>
          <w:rFonts w:ascii="Times New Roman" w:hAnsi="Times New Roman"/>
          <w:iCs/>
        </w:rPr>
        <w:t xml:space="preserve"> to use in-kind gifts with a maximum value of $10 for as many as 3,000 respondents and propose to use them in mailings or in door hangers. </w:t>
      </w:r>
      <w:r w:rsidR="00A56C99">
        <w:rPr>
          <w:rFonts w:ascii="Times New Roman" w:hAnsi="Times New Roman"/>
          <w:iCs/>
        </w:rPr>
        <w:t xml:space="preserve"> </w:t>
      </w:r>
      <w:r w:rsidRPr="001052BE" w:rsidR="001052BE">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They </w:t>
      </w:r>
      <w:r w:rsidRPr="001052BE" w:rsidR="001052BE">
        <w:rPr>
          <w:rFonts w:ascii="Times New Roman" w:hAnsi="Times New Roman"/>
          <w:color w:val="000000" w:themeColor="text1"/>
        </w:rPr>
        <w:t>find it useful for gaining response if they have a variety of options to respond to the particular needs, issues, and objections of the respondent.  NLS has use</w:t>
      </w:r>
      <w:r w:rsidR="005F0B37">
        <w:rPr>
          <w:rFonts w:ascii="Times New Roman" w:hAnsi="Times New Roman"/>
          <w:color w:val="000000" w:themeColor="text1"/>
        </w:rPr>
        <w:t>d</w:t>
      </w:r>
      <w:r w:rsidRPr="001052BE" w:rsidR="001052BE">
        <w:rPr>
          <w:rFonts w:ascii="Times New Roman" w:hAnsi="Times New Roman"/>
          <w:color w:val="000000" w:themeColor="text1"/>
        </w:rPr>
        <w:t xml:space="preserve"> similar gifts in many recent rounds to strengthen the ongoing relationships between the program and its respondents. </w:t>
      </w:r>
      <w:r w:rsidR="00A56C99">
        <w:rPr>
          <w:rFonts w:ascii="Times New Roman" w:hAnsi="Times New Roman"/>
          <w:color w:val="000000" w:themeColor="text1"/>
        </w:rPr>
        <w:t xml:space="preserve"> </w:t>
      </w:r>
      <w:r w:rsidR="001A0281">
        <w:rPr>
          <w:rFonts w:ascii="Times New Roman" w:hAnsi="Times New Roman"/>
          <w:iCs/>
        </w:rPr>
        <w:t>NLS</w:t>
      </w:r>
      <w:r w:rsidRPr="001052BE" w:rsidR="001052BE">
        <w:rPr>
          <w:rFonts w:ascii="Times New Roman" w:hAnsi="Times New Roman"/>
          <w:iCs/>
        </w:rPr>
        <w:t xml:space="preserve"> would like to include a token in a mailing that either makes the envelope heavier or comes in a box, and thus may induce the sample member to open the mail, read the message, engage with the project through calls to the 800 number, or respond when the interviewer calls or stops by.  Decisions regarding who receives this incentive would be made by </w:t>
      </w:r>
      <w:r w:rsidR="00911E07">
        <w:rPr>
          <w:rFonts w:ascii="Times New Roman" w:hAnsi="Times New Roman"/>
          <w:iCs/>
        </w:rPr>
        <w:t>a</w:t>
      </w:r>
      <w:r w:rsidRPr="001052BE" w:rsidR="001052BE">
        <w:rPr>
          <w:rFonts w:ascii="Times New Roman" w:hAnsi="Times New Roman"/>
          <w:iCs/>
        </w:rPr>
        <w:t xml:space="preserve"> central office</w:t>
      </w:r>
      <w:r w:rsidR="00911E07">
        <w:rPr>
          <w:rFonts w:ascii="Times New Roman" w:hAnsi="Times New Roman"/>
          <w:iCs/>
        </w:rPr>
        <w:t>;</w:t>
      </w:r>
      <w:r w:rsidRPr="001052BE" w:rsidR="001052BE">
        <w:rPr>
          <w:rFonts w:ascii="Times New Roman" w:hAnsi="Times New Roman"/>
          <w:iCs/>
        </w:rPr>
        <w:t xml:space="preserve"> interviewers would not have discretion over which respondents receive this incentive.  Records will be maintained of which respondents received which gifts, to allow for future analysis.  </w:t>
      </w:r>
    </w:p>
    <w:p w:rsidR="001052BE" w:rsidP="001052BE" w:rsidRDefault="001052BE" w14:paraId="3C811D82" w14:textId="0D690696">
      <w:pPr>
        <w:rPr>
          <w:rFonts w:ascii="Times New Roman" w:hAnsi="Times New Roman"/>
        </w:rPr>
      </w:pPr>
    </w:p>
    <w:p w:rsidRPr="001052BE" w:rsidR="008C0EA7" w:rsidP="001052BE" w:rsidRDefault="008C0EA7" w14:paraId="4AE1DB11" w14:textId="77777777">
      <w:pPr>
        <w:rPr>
          <w:rFonts w:ascii="Times New Roman" w:hAnsi="Times New Roman"/>
        </w:rPr>
      </w:pPr>
    </w:p>
    <w:p w:rsidRPr="001052BE" w:rsidR="001052BE" w:rsidP="001052BE" w:rsidRDefault="001052BE" w14:paraId="4055D97F" w14:textId="77777777">
      <w:pPr>
        <w:rPr>
          <w:rFonts w:ascii="Times New Roman" w:hAnsi="Times New Roman"/>
        </w:rPr>
      </w:pPr>
      <w:r w:rsidRPr="001052BE">
        <w:rPr>
          <w:rFonts w:ascii="Times New Roman" w:hAnsi="Times New Roman"/>
          <w:i/>
        </w:rPr>
        <w:t>Final Push Incentive</w:t>
      </w:r>
      <w:r w:rsidRPr="001052BE">
        <w:rPr>
          <w:rFonts w:ascii="Times New Roman" w:hAnsi="Times New Roman"/>
        </w:rPr>
        <w:t xml:space="preserve">  </w:t>
      </w:r>
    </w:p>
    <w:p w:rsidRPr="001052BE" w:rsidR="001052BE" w:rsidP="001052BE" w:rsidRDefault="001A0281" w14:paraId="3885ABBD" w14:textId="07804D32">
      <w:pPr>
        <w:rPr>
          <w:rFonts w:ascii="Times New Roman" w:hAnsi="Times New Roman"/>
        </w:rPr>
      </w:pPr>
      <w:r>
        <w:rPr>
          <w:rFonts w:ascii="Times New Roman" w:hAnsi="Times New Roman"/>
        </w:rPr>
        <w:t>NLS</w:t>
      </w:r>
      <w:r w:rsidRPr="001052BE" w:rsidR="001052BE">
        <w:rPr>
          <w:rFonts w:ascii="Times New Roman" w:hAnsi="Times New Roman"/>
        </w:rPr>
        <w:t xml:space="preserve"> will also employ additional incentives in the latter portions of the fielding period to induce reluctant respondents to complete the survey. </w:t>
      </w:r>
      <w:r w:rsidR="005E562E">
        <w:rPr>
          <w:rFonts w:ascii="Times New Roman" w:hAnsi="Times New Roman"/>
        </w:rPr>
        <w:t xml:space="preserve"> </w:t>
      </w:r>
      <w:r w:rsidRPr="001052BE" w:rsidR="001052BE">
        <w:rPr>
          <w:rFonts w:ascii="Times New Roman" w:hAnsi="Times New Roman"/>
        </w:rPr>
        <w:t xml:space="preserve">Starting after the first 12 weeks of the round, cases that have had at least </w:t>
      </w:r>
      <w:r>
        <w:rPr>
          <w:rFonts w:ascii="Times New Roman" w:hAnsi="Times New Roman"/>
        </w:rPr>
        <w:t>seven</w:t>
      </w:r>
      <w:r w:rsidRPr="001052BE" w:rsidR="001052BE">
        <w:rPr>
          <w:rFonts w:ascii="Times New Roman" w:hAnsi="Times New Roman"/>
        </w:rPr>
        <w:t xml:space="preserve"> contact attempts or at least one refusal will be offered a final push incentive of $25.  In order to facilitate a timely close to the fielding, starting </w:t>
      </w:r>
      <w:r w:rsidR="00CE4EEF">
        <w:rPr>
          <w:rFonts w:ascii="Times New Roman" w:hAnsi="Times New Roman"/>
        </w:rPr>
        <w:t>six</w:t>
      </w:r>
      <w:r w:rsidRPr="001052BE" w:rsidR="001052BE">
        <w:rPr>
          <w:rFonts w:ascii="Times New Roman" w:hAnsi="Times New Roman"/>
        </w:rPr>
        <w:t xml:space="preserve"> months after the start of fielding, all cases will be offered this incentive.  </w:t>
      </w:r>
      <w:r w:rsidR="00CE4EEF">
        <w:rPr>
          <w:rFonts w:ascii="Times New Roman" w:hAnsi="Times New Roman"/>
        </w:rPr>
        <w:t>B</w:t>
      </w:r>
      <w:r w:rsidRPr="001052BE" w:rsidR="001052BE">
        <w:rPr>
          <w:rFonts w:ascii="Times New Roman" w:hAnsi="Times New Roman"/>
        </w:rPr>
        <w:t xml:space="preserve">y the time of final push offer, respondents are typically quite challenging and requiring many outreach attempts by telephone, mail or even in person.  Even small reductions in the necessary outreach can offset the additional $25 conditional payment.  </w:t>
      </w:r>
    </w:p>
    <w:p w:rsidRPr="001052BE" w:rsidR="001052BE" w:rsidP="001052BE" w:rsidRDefault="001052BE" w14:paraId="7B1A39E3" w14:textId="77777777">
      <w:pPr>
        <w:rPr>
          <w:rFonts w:ascii="Times New Roman" w:hAnsi="Times New Roman"/>
        </w:rPr>
      </w:pPr>
    </w:p>
    <w:p w:rsidRPr="001052BE" w:rsidR="001052BE" w:rsidP="001052BE" w:rsidRDefault="001052BE" w14:paraId="382BBD90" w14:textId="03D9BE94">
      <w:pPr>
        <w:rPr>
          <w:rFonts w:ascii="Times New Roman" w:hAnsi="Times New Roman"/>
        </w:rPr>
      </w:pPr>
      <w:r w:rsidRPr="001052BE">
        <w:rPr>
          <w:rFonts w:ascii="Times New Roman" w:hAnsi="Times New Roman"/>
        </w:rPr>
        <w:t xml:space="preserve">This type of incentive has been shown to be effective in the Panel Study of Income Dynamics, with little effect on noncontact rates (McGonagle and Freedman 2016).  NLSY97 has used it in the last </w:t>
      </w:r>
      <w:r w:rsidR="00C83D3C">
        <w:rPr>
          <w:rFonts w:ascii="Times New Roman" w:hAnsi="Times New Roman"/>
        </w:rPr>
        <w:t>three</w:t>
      </w:r>
      <w:r w:rsidRPr="001052BE">
        <w:rPr>
          <w:rFonts w:ascii="Times New Roman" w:hAnsi="Times New Roman"/>
        </w:rPr>
        <w:t xml:space="preserve"> rounds, but it has not employed an experimental design, so direct evidence for evaluating the incentive’s efficacy has not been gathered. </w:t>
      </w:r>
      <w:r w:rsidR="005E562E">
        <w:rPr>
          <w:rFonts w:ascii="Times New Roman" w:hAnsi="Times New Roman"/>
        </w:rPr>
        <w:t xml:space="preserve"> </w:t>
      </w:r>
      <w:r w:rsidRPr="001052BE">
        <w:rPr>
          <w:rFonts w:ascii="Times New Roman" w:hAnsi="Times New Roman"/>
        </w:rPr>
        <w:t xml:space="preserve">However, evidence is being gathered on the final push in Round 29 of the NLSY79, as sample members are randomly assigned to begin receiving the incentive at different times. </w:t>
      </w:r>
      <w:r w:rsidR="005E562E">
        <w:rPr>
          <w:rFonts w:ascii="Times New Roman" w:hAnsi="Times New Roman"/>
        </w:rPr>
        <w:t xml:space="preserve"> </w:t>
      </w:r>
      <w:r w:rsidRPr="001052BE">
        <w:rPr>
          <w:rFonts w:ascii="Times New Roman" w:hAnsi="Times New Roman"/>
        </w:rPr>
        <w:t>In addition, in Round 20</w:t>
      </w:r>
      <w:r w:rsidR="00C83D3C">
        <w:rPr>
          <w:rFonts w:ascii="Times New Roman" w:hAnsi="Times New Roman"/>
        </w:rPr>
        <w:t>,</w:t>
      </w:r>
      <w:r w:rsidRPr="001052BE">
        <w:rPr>
          <w:rFonts w:ascii="Times New Roman" w:hAnsi="Times New Roman"/>
        </w:rPr>
        <w:t xml:space="preserve"> </w:t>
      </w:r>
      <w:r w:rsidR="00C83D3C">
        <w:rPr>
          <w:rFonts w:ascii="Times New Roman" w:hAnsi="Times New Roman"/>
        </w:rPr>
        <w:t>NLS</w:t>
      </w:r>
      <w:r w:rsidRPr="001052BE" w:rsidR="00C83D3C">
        <w:rPr>
          <w:rFonts w:ascii="Times New Roman" w:hAnsi="Times New Roman"/>
        </w:rPr>
        <w:t xml:space="preserve"> </w:t>
      </w:r>
      <w:r w:rsidRPr="001052BE">
        <w:rPr>
          <w:rFonts w:ascii="Times New Roman" w:hAnsi="Times New Roman"/>
        </w:rPr>
        <w:t>plan</w:t>
      </w:r>
      <w:r w:rsidR="00C83D3C">
        <w:rPr>
          <w:rFonts w:ascii="Times New Roman" w:hAnsi="Times New Roman"/>
        </w:rPr>
        <w:t>s</w:t>
      </w:r>
      <w:r w:rsidRPr="001052BE">
        <w:rPr>
          <w:rFonts w:ascii="Times New Roman" w:hAnsi="Times New Roman"/>
        </w:rPr>
        <w:t xml:space="preserve"> to begin to address that need through experimentation in the enhanced final push incentive described below.  </w:t>
      </w:r>
    </w:p>
    <w:p w:rsidR="001052BE" w:rsidP="001052BE" w:rsidRDefault="001052BE" w14:paraId="01142026" w14:textId="77777777">
      <w:pPr>
        <w:rPr>
          <w:rFonts w:ascii="Times New Roman" w:hAnsi="Times New Roman"/>
        </w:rPr>
      </w:pPr>
    </w:p>
    <w:p w:rsidRPr="001052BE" w:rsidR="008C0EA7" w:rsidP="001052BE" w:rsidRDefault="008C0EA7" w14:paraId="559DF337" w14:textId="77777777">
      <w:pPr>
        <w:rPr>
          <w:rFonts w:ascii="Times New Roman" w:hAnsi="Times New Roman"/>
        </w:rPr>
      </w:pPr>
    </w:p>
    <w:p w:rsidRPr="001052BE" w:rsidR="001052BE" w:rsidP="001052BE" w:rsidRDefault="001052BE" w14:paraId="7C21F551" w14:textId="77777777">
      <w:pPr>
        <w:rPr>
          <w:rFonts w:ascii="Times New Roman" w:hAnsi="Times New Roman"/>
          <w:i/>
        </w:rPr>
      </w:pPr>
      <w:r w:rsidRPr="001052BE">
        <w:rPr>
          <w:rFonts w:ascii="Times New Roman" w:hAnsi="Times New Roman"/>
          <w:i/>
        </w:rPr>
        <w:t>Enhanced Final Push</w:t>
      </w:r>
    </w:p>
    <w:p w:rsidRPr="001052BE" w:rsidR="001052BE" w:rsidP="001052BE" w:rsidRDefault="001052BE" w14:paraId="3DCD2860" w14:textId="57CFB304">
      <w:pPr>
        <w:rPr>
          <w:rFonts w:ascii="Times New Roman" w:hAnsi="Times New Roman"/>
        </w:rPr>
      </w:pPr>
      <w:r w:rsidRPr="001052BE">
        <w:rPr>
          <w:rFonts w:ascii="Times New Roman" w:hAnsi="Times New Roman"/>
        </w:rPr>
        <w:t xml:space="preserve">In order to support sample representativeness, </w:t>
      </w:r>
      <w:r w:rsidR="00C83D3C">
        <w:rPr>
          <w:rFonts w:ascii="Times New Roman" w:hAnsi="Times New Roman"/>
        </w:rPr>
        <w:t>NLS</w:t>
      </w:r>
      <w:r w:rsidRPr="001052BE" w:rsidR="00C83D3C">
        <w:rPr>
          <w:rFonts w:ascii="Times New Roman" w:hAnsi="Times New Roman"/>
        </w:rPr>
        <w:t xml:space="preserve"> </w:t>
      </w:r>
      <w:r w:rsidRPr="001052BE">
        <w:rPr>
          <w:rFonts w:ascii="Times New Roman" w:hAnsi="Times New Roman"/>
        </w:rPr>
        <w:t>plan</w:t>
      </w:r>
      <w:r w:rsidR="00C83D3C">
        <w:rPr>
          <w:rFonts w:ascii="Times New Roman" w:hAnsi="Times New Roman"/>
        </w:rPr>
        <w:t>s</w:t>
      </w:r>
      <w:r w:rsidRPr="001052BE">
        <w:rPr>
          <w:rFonts w:ascii="Times New Roman" w:hAnsi="Times New Roman"/>
        </w:rPr>
        <w:t xml:space="preserve"> to increase the final push incentive for respondents in analytical subgroups whose completion rate significantly lags the overall sample at a given point in time. </w:t>
      </w:r>
      <w:r w:rsidR="005E562E">
        <w:rPr>
          <w:rFonts w:ascii="Times New Roman" w:hAnsi="Times New Roman"/>
        </w:rPr>
        <w:t xml:space="preserve"> </w:t>
      </w:r>
      <w:r w:rsidR="000D00C5">
        <w:rPr>
          <w:rFonts w:ascii="Times New Roman" w:hAnsi="Times New Roman"/>
        </w:rPr>
        <w:t>NLS</w:t>
      </w:r>
      <w:r w:rsidRPr="001052BE" w:rsidR="000D00C5">
        <w:rPr>
          <w:rFonts w:ascii="Times New Roman" w:hAnsi="Times New Roman"/>
        </w:rPr>
        <w:t xml:space="preserve"> </w:t>
      </w:r>
      <w:r w:rsidRPr="001052BE">
        <w:rPr>
          <w:rFonts w:ascii="Times New Roman" w:hAnsi="Times New Roman"/>
        </w:rPr>
        <w:t>describe</w:t>
      </w:r>
      <w:r w:rsidR="000D00C5">
        <w:rPr>
          <w:rFonts w:ascii="Times New Roman" w:hAnsi="Times New Roman"/>
        </w:rPr>
        <w:t>s</w:t>
      </w:r>
      <w:r w:rsidRPr="001052BE">
        <w:rPr>
          <w:rFonts w:ascii="Times New Roman" w:hAnsi="Times New Roman"/>
        </w:rPr>
        <w:t xml:space="preserve"> this increase as an enhanced final push incentive.  Individuals offered the enhanced final push incentive can receive a $50 final push (instead of $25) by completing the survey. </w:t>
      </w:r>
      <w:r w:rsidR="005E562E">
        <w:rPr>
          <w:rFonts w:ascii="Times New Roman" w:hAnsi="Times New Roman"/>
        </w:rPr>
        <w:t xml:space="preserve"> </w:t>
      </w:r>
      <w:r w:rsidRPr="001052BE">
        <w:rPr>
          <w:rFonts w:ascii="Times New Roman" w:hAnsi="Times New Roman"/>
        </w:rPr>
        <w:t xml:space="preserve">Individuals not having completed an interview in the last five rounds will not be eligible for the enhanced final push.  </w:t>
      </w:r>
    </w:p>
    <w:p w:rsidRPr="001052BE" w:rsidR="001052BE" w:rsidP="001052BE" w:rsidRDefault="001052BE" w14:paraId="0292CB50" w14:textId="77777777">
      <w:pPr>
        <w:rPr>
          <w:rFonts w:ascii="Times New Roman" w:hAnsi="Times New Roman"/>
        </w:rPr>
      </w:pPr>
    </w:p>
    <w:p w:rsidR="001052BE" w:rsidP="001052BE" w:rsidRDefault="001052BE" w14:paraId="548E66C5" w14:textId="536F675E">
      <w:pPr>
        <w:rPr>
          <w:rFonts w:ascii="Times New Roman" w:hAnsi="Times New Roman"/>
        </w:rPr>
      </w:pPr>
      <w:r w:rsidRPr="001052BE">
        <w:rPr>
          <w:rFonts w:ascii="Times New Roman" w:hAnsi="Times New Roman"/>
        </w:rPr>
        <w:lastRenderedPageBreak/>
        <w:t xml:space="preserve">Round 19 was the first time </w:t>
      </w:r>
      <w:r w:rsidR="00F22903">
        <w:rPr>
          <w:rFonts w:ascii="Times New Roman" w:hAnsi="Times New Roman"/>
        </w:rPr>
        <w:t>NLS</w:t>
      </w:r>
      <w:r w:rsidRPr="001052BE" w:rsidR="00F22903">
        <w:rPr>
          <w:rFonts w:ascii="Times New Roman" w:hAnsi="Times New Roman"/>
        </w:rPr>
        <w:t xml:space="preserve"> </w:t>
      </w:r>
      <w:r w:rsidRPr="001052BE">
        <w:rPr>
          <w:rFonts w:ascii="Times New Roman" w:hAnsi="Times New Roman"/>
        </w:rPr>
        <w:t xml:space="preserve">used an enhanced final push incentive in the NLSY97, and </w:t>
      </w:r>
      <w:r w:rsidR="00F22903">
        <w:rPr>
          <w:rFonts w:ascii="Times New Roman" w:hAnsi="Times New Roman"/>
        </w:rPr>
        <w:t>the</w:t>
      </w:r>
      <w:r w:rsidRPr="001052BE">
        <w:rPr>
          <w:rFonts w:ascii="Times New Roman" w:hAnsi="Times New Roman"/>
        </w:rPr>
        <w:t xml:space="preserve"> evidence suggests that it was effective.  Table </w:t>
      </w:r>
      <w:r w:rsidR="00911E07">
        <w:rPr>
          <w:rFonts w:ascii="Times New Roman" w:hAnsi="Times New Roman"/>
        </w:rPr>
        <w:t>5</w:t>
      </w:r>
      <w:r w:rsidRPr="001052BE" w:rsidR="00911E07">
        <w:rPr>
          <w:rFonts w:ascii="Times New Roman" w:hAnsi="Times New Roman"/>
        </w:rPr>
        <w:t xml:space="preserve"> </w:t>
      </w:r>
      <w:r w:rsidRPr="001052BE">
        <w:rPr>
          <w:rFonts w:ascii="Times New Roman" w:hAnsi="Times New Roman"/>
        </w:rPr>
        <w:t>shows the completion rates for those eligible and ineligible for the enhanced final push at three points during R</w:t>
      </w:r>
      <w:r w:rsidR="00F22903">
        <w:rPr>
          <w:rFonts w:ascii="Times New Roman" w:hAnsi="Times New Roman"/>
        </w:rPr>
        <w:t xml:space="preserve">ound </w:t>
      </w:r>
      <w:r w:rsidRPr="001052BE">
        <w:rPr>
          <w:rFonts w:ascii="Times New Roman" w:hAnsi="Times New Roman"/>
        </w:rPr>
        <w:t xml:space="preserve">19.  When the enhanced final push began (2/3/20) the response rate was 9.66 percentage points higher among the ineligible group; this gap closed substantially (to 2.77 percentage points) by the end of the round. </w:t>
      </w:r>
      <w:r w:rsidR="005E562E">
        <w:rPr>
          <w:rFonts w:ascii="Times New Roman" w:hAnsi="Times New Roman"/>
        </w:rPr>
        <w:t xml:space="preserve"> </w:t>
      </w:r>
      <w:r w:rsidRPr="001052BE">
        <w:rPr>
          <w:rFonts w:ascii="Times New Roman" w:hAnsi="Times New Roman"/>
        </w:rPr>
        <w:t>Similar results were obtained in Round 28 of the NLSY79.</w:t>
      </w:r>
    </w:p>
    <w:p w:rsidRPr="001052BE" w:rsidR="001052BE" w:rsidP="001052BE" w:rsidRDefault="001052BE" w14:paraId="3B094D55" w14:textId="77777777">
      <w:pPr>
        <w:rPr>
          <w:rFonts w:ascii="Times New Roman" w:hAnsi="Times New Roman"/>
        </w:rPr>
      </w:pPr>
    </w:p>
    <w:p w:rsidRPr="001052BE" w:rsidR="003A3100" w:rsidP="001052BE" w:rsidRDefault="003A3100" w14:paraId="7C5AE8B9" w14:textId="77777777">
      <w:pPr>
        <w:rPr>
          <w:rFonts w:ascii="Times New Roman" w:hAnsi="Times New Roman"/>
        </w:rPr>
      </w:pPr>
    </w:p>
    <w:p w:rsidRPr="001052BE" w:rsidR="001052BE" w:rsidP="001052BE" w:rsidRDefault="001052BE" w14:paraId="65CAB405" w14:textId="181D2549">
      <w:pPr>
        <w:spacing w:after="160" w:line="259" w:lineRule="auto"/>
        <w:rPr>
          <w:rFonts w:ascii="Times New Roman" w:hAnsi="Times New Roman"/>
          <w:b/>
        </w:rPr>
      </w:pPr>
      <w:r w:rsidRPr="001052BE">
        <w:rPr>
          <w:rFonts w:ascii="Times New Roman" w:hAnsi="Times New Roman"/>
          <w:b/>
        </w:rPr>
        <w:t xml:space="preserve">Table </w:t>
      </w:r>
      <w:r w:rsidR="00CE4251">
        <w:rPr>
          <w:rFonts w:ascii="Times New Roman" w:hAnsi="Times New Roman"/>
          <w:b/>
        </w:rPr>
        <w:t>5</w:t>
      </w:r>
      <w:r w:rsidRPr="001052BE">
        <w:rPr>
          <w:rFonts w:ascii="Times New Roman" w:hAnsi="Times New Roman"/>
          <w:b/>
        </w:rPr>
        <w:t>:  Round 19 Enhanced Final Push Results</w:t>
      </w:r>
    </w:p>
    <w:p w:rsidRPr="001052BE" w:rsidR="001052BE" w:rsidP="001052BE" w:rsidRDefault="001052BE" w14:paraId="2C6909F2" w14:textId="77777777">
      <w:pPr>
        <w:rPr>
          <w:rFonts w:ascii="Times New Roman" w:hAnsi="Times New Roman"/>
          <w:b/>
        </w:rPr>
      </w:pPr>
    </w:p>
    <w:tbl>
      <w:tblPr>
        <w:tblW w:w="11294"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20"/>
        <w:gridCol w:w="696"/>
        <w:gridCol w:w="1136"/>
        <w:gridCol w:w="1136"/>
        <w:gridCol w:w="828"/>
        <w:gridCol w:w="1136"/>
        <w:gridCol w:w="1136"/>
        <w:gridCol w:w="828"/>
        <w:gridCol w:w="1136"/>
        <w:gridCol w:w="1142"/>
      </w:tblGrid>
      <w:tr w:rsidRPr="001052BE" w:rsidR="001052BE" w:rsidTr="001052BE" w14:paraId="51BF66FB" w14:textId="77777777">
        <w:trPr>
          <w:trHeight w:val="311"/>
          <w:jc w:val="center"/>
        </w:trPr>
        <w:tc>
          <w:tcPr>
            <w:tcW w:w="2120" w:type="dxa"/>
            <w:vMerge w:val="restart"/>
            <w:tcBorders>
              <w:top w:val="single" w:color="auto" w:sz="4" w:space="0"/>
              <w:right w:val="single" w:color="auto" w:sz="4" w:space="0"/>
            </w:tcBorders>
            <w:shd w:val="clear" w:color="auto" w:fill="FFFFFF" w:themeFill="background1"/>
            <w:vAlign w:val="bottom"/>
            <w:hideMark/>
          </w:tcPr>
          <w:p w:rsidRPr="001052BE" w:rsidR="001052BE" w:rsidP="001052BE" w:rsidRDefault="001052BE" w14:paraId="54AF527E"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w:t>
            </w:r>
          </w:p>
        </w:tc>
        <w:tc>
          <w:tcPr>
            <w:tcW w:w="2968" w:type="dxa"/>
            <w:gridSpan w:val="3"/>
            <w:tcBorders>
              <w:left w:val="single" w:color="auto" w:sz="4" w:space="0"/>
              <w:right w:val="single" w:color="auto" w:sz="4" w:space="0"/>
            </w:tcBorders>
            <w:shd w:val="clear" w:color="000000" w:fill="FFFFFF"/>
            <w:vAlign w:val="bottom"/>
            <w:hideMark/>
          </w:tcPr>
          <w:p w:rsidRPr="001052BE" w:rsidR="001052BE" w:rsidP="001052BE" w:rsidRDefault="001052BE" w14:paraId="64FC93D9" w14:textId="77777777">
            <w:pPr>
              <w:spacing w:after="120" w:line="276" w:lineRule="auto"/>
              <w:jc w:val="center"/>
              <w:rPr>
                <w:rFonts w:ascii="Times New Roman" w:hAnsi="Times New Roman"/>
                <w:iCs/>
                <w:color w:val="000000"/>
              </w:rPr>
            </w:pPr>
            <w:r w:rsidRPr="001052BE">
              <w:rPr>
                <w:rFonts w:ascii="Times New Roman" w:hAnsi="Times New Roman"/>
                <w:iCs/>
                <w:color w:val="000000"/>
                <w:u w:val="single"/>
              </w:rPr>
              <w:t>At 60% Completion (1/6/2020)</w:t>
            </w:r>
          </w:p>
        </w:tc>
        <w:tc>
          <w:tcPr>
            <w:tcW w:w="3100" w:type="dxa"/>
            <w:gridSpan w:val="3"/>
            <w:tcBorders>
              <w:top w:val="single" w:color="auto" w:sz="4" w:space="0"/>
              <w:left w:val="single" w:color="auto" w:sz="4" w:space="0"/>
              <w:right w:val="single" w:color="auto" w:sz="4" w:space="0"/>
            </w:tcBorders>
            <w:shd w:val="clear" w:color="auto" w:fill="FFFFFF" w:themeFill="background1"/>
            <w:vAlign w:val="bottom"/>
            <w:hideMark/>
          </w:tcPr>
          <w:p w:rsidRPr="001052BE" w:rsidR="001052BE" w:rsidP="001052BE" w:rsidRDefault="001052BE" w14:paraId="48C0D123"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As of when Final Push started</w:t>
            </w:r>
          </w:p>
          <w:p w:rsidRPr="001052BE" w:rsidR="001052BE" w:rsidP="001052BE" w:rsidRDefault="001052BE" w14:paraId="2823F55F"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(2/3/2020)</w:t>
            </w:r>
          </w:p>
        </w:tc>
        <w:tc>
          <w:tcPr>
            <w:tcW w:w="3106" w:type="dxa"/>
            <w:gridSpan w:val="3"/>
            <w:tcBorders>
              <w:left w:val="single" w:color="auto" w:sz="4" w:space="0"/>
            </w:tcBorders>
            <w:shd w:val="clear" w:color="000000" w:fill="FFFFFF"/>
            <w:vAlign w:val="bottom"/>
            <w:hideMark/>
          </w:tcPr>
          <w:p w:rsidRPr="001052BE" w:rsidR="001052BE" w:rsidP="001052BE" w:rsidRDefault="001052BE" w14:paraId="06890632" w14:textId="77777777">
            <w:pPr>
              <w:spacing w:after="120" w:line="276" w:lineRule="auto"/>
              <w:jc w:val="center"/>
              <w:rPr>
                <w:rFonts w:ascii="Times New Roman" w:hAnsi="Times New Roman"/>
                <w:iCs/>
                <w:color w:val="000000"/>
                <w:u w:val="single"/>
              </w:rPr>
            </w:pPr>
            <w:r w:rsidRPr="001052BE">
              <w:rPr>
                <w:rFonts w:ascii="Times New Roman" w:hAnsi="Times New Roman"/>
                <w:iCs/>
                <w:color w:val="000000"/>
                <w:u w:val="single"/>
              </w:rPr>
              <w:t>After Final Push</w:t>
            </w:r>
          </w:p>
        </w:tc>
      </w:tr>
      <w:tr w:rsidRPr="001052BE" w:rsidR="001052BE" w:rsidTr="001052BE" w14:paraId="5649DE4C" w14:textId="77777777">
        <w:trPr>
          <w:trHeight w:val="311"/>
          <w:jc w:val="center"/>
        </w:trPr>
        <w:tc>
          <w:tcPr>
            <w:tcW w:w="2120" w:type="dxa"/>
            <w:vMerge/>
            <w:tcBorders>
              <w:bottom w:val="single" w:color="auto" w:sz="4" w:space="0"/>
              <w:right w:val="single" w:color="auto" w:sz="4" w:space="0"/>
            </w:tcBorders>
            <w:shd w:val="clear" w:color="auto" w:fill="FFFFFF" w:themeFill="background1"/>
            <w:vAlign w:val="center"/>
            <w:hideMark/>
          </w:tcPr>
          <w:p w:rsidRPr="001052BE" w:rsidR="001052BE" w:rsidP="001052BE" w:rsidRDefault="001052BE" w14:paraId="36DE9B94" w14:textId="77777777">
            <w:pPr>
              <w:spacing w:after="120" w:line="276" w:lineRule="auto"/>
              <w:rPr>
                <w:rFonts w:ascii="Times New Roman" w:hAnsi="Times New Roman"/>
                <w:i/>
                <w:iCs/>
                <w:color w:val="000000"/>
              </w:rPr>
            </w:pPr>
          </w:p>
        </w:tc>
        <w:tc>
          <w:tcPr>
            <w:tcW w:w="696" w:type="dxa"/>
            <w:tcBorders>
              <w:left w:val="single" w:color="auto" w:sz="4" w:space="0"/>
              <w:bottom w:val="single" w:color="auto" w:sz="4" w:space="0"/>
            </w:tcBorders>
            <w:shd w:val="clear" w:color="000000" w:fill="FFFFFF"/>
            <w:vAlign w:val="bottom"/>
            <w:hideMark/>
          </w:tcPr>
          <w:p w:rsidRPr="001052BE" w:rsidR="001052BE" w:rsidP="001052BE" w:rsidRDefault="001052BE" w14:paraId="150341ED"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000000" w:fill="FFFFFF"/>
            <w:vAlign w:val="bottom"/>
            <w:hideMark/>
          </w:tcPr>
          <w:p w:rsidRPr="001052BE" w:rsidR="001052BE" w:rsidP="001052BE" w:rsidRDefault="001052BE" w14:paraId="3904EDAD"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36" w:type="dxa"/>
            <w:tcBorders>
              <w:bottom w:val="single" w:color="auto" w:sz="4" w:space="0"/>
              <w:right w:val="single" w:color="auto" w:sz="4" w:space="0"/>
            </w:tcBorders>
            <w:shd w:val="clear" w:color="000000" w:fill="FFFFFF"/>
            <w:vAlign w:val="bottom"/>
            <w:hideMark/>
          </w:tcPr>
          <w:p w:rsidRPr="001052BE" w:rsidR="001052BE" w:rsidP="001052BE" w:rsidRDefault="001052BE" w14:paraId="0D1ED1C1"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c>
          <w:tcPr>
            <w:tcW w:w="828" w:type="dxa"/>
            <w:tcBorders>
              <w:left w:val="single" w:color="auto" w:sz="4" w:space="0"/>
              <w:bottom w:val="single" w:color="auto" w:sz="4" w:space="0"/>
            </w:tcBorders>
            <w:shd w:val="clear" w:color="auto" w:fill="FFFFFF" w:themeFill="background1"/>
            <w:vAlign w:val="bottom"/>
            <w:hideMark/>
          </w:tcPr>
          <w:p w:rsidRPr="001052BE" w:rsidR="001052BE" w:rsidP="001052BE" w:rsidRDefault="001052BE" w14:paraId="72618CA9"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auto" w:fill="FFFFFF" w:themeFill="background1"/>
            <w:vAlign w:val="bottom"/>
            <w:hideMark/>
          </w:tcPr>
          <w:p w:rsidRPr="001052BE" w:rsidR="001052BE" w:rsidP="001052BE" w:rsidRDefault="001052BE" w14:paraId="235E2E66"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36" w:type="dxa"/>
            <w:tcBorders>
              <w:bottom w:val="single" w:color="auto" w:sz="4" w:space="0"/>
              <w:right w:val="single" w:color="auto" w:sz="4" w:space="0"/>
            </w:tcBorders>
            <w:shd w:val="clear" w:color="auto" w:fill="FFFFFF" w:themeFill="background1"/>
            <w:vAlign w:val="bottom"/>
            <w:hideMark/>
          </w:tcPr>
          <w:p w:rsidRPr="001052BE" w:rsidR="001052BE" w:rsidP="001052BE" w:rsidRDefault="001052BE" w14:paraId="6F26D465"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c>
          <w:tcPr>
            <w:tcW w:w="828" w:type="dxa"/>
            <w:tcBorders>
              <w:left w:val="single" w:color="auto" w:sz="4" w:space="0"/>
              <w:bottom w:val="single" w:color="auto" w:sz="4" w:space="0"/>
            </w:tcBorders>
            <w:shd w:val="clear" w:color="000000" w:fill="FFFFFF"/>
            <w:vAlign w:val="bottom"/>
            <w:hideMark/>
          </w:tcPr>
          <w:p w:rsidRPr="001052BE" w:rsidR="001052BE" w:rsidP="001052BE" w:rsidRDefault="001052BE" w14:paraId="3FAF22A0"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N</w:t>
            </w:r>
          </w:p>
        </w:tc>
        <w:tc>
          <w:tcPr>
            <w:tcW w:w="1136" w:type="dxa"/>
            <w:tcBorders>
              <w:bottom w:val="single" w:color="auto" w:sz="4" w:space="0"/>
            </w:tcBorders>
            <w:shd w:val="clear" w:color="000000" w:fill="FFFFFF"/>
            <w:vAlign w:val="bottom"/>
            <w:hideMark/>
          </w:tcPr>
          <w:p w:rsidRPr="001052BE" w:rsidR="001052BE" w:rsidP="001052BE" w:rsidRDefault="001052BE" w14:paraId="3CD01863"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Complete</w:t>
            </w:r>
          </w:p>
        </w:tc>
        <w:tc>
          <w:tcPr>
            <w:tcW w:w="1142" w:type="dxa"/>
            <w:tcBorders>
              <w:bottom w:val="single" w:color="auto" w:sz="4" w:space="0"/>
            </w:tcBorders>
            <w:shd w:val="clear" w:color="000000" w:fill="FFFFFF"/>
            <w:vAlign w:val="bottom"/>
            <w:hideMark/>
          </w:tcPr>
          <w:p w:rsidRPr="001052BE" w:rsidR="001052BE" w:rsidP="001052BE" w:rsidRDefault="001052BE" w14:paraId="164453A7" w14:textId="77777777">
            <w:pPr>
              <w:spacing w:after="120" w:line="276" w:lineRule="auto"/>
              <w:jc w:val="center"/>
              <w:rPr>
                <w:rFonts w:ascii="Times New Roman" w:hAnsi="Times New Roman"/>
                <w:i/>
                <w:iCs/>
                <w:color w:val="000000"/>
              </w:rPr>
            </w:pPr>
            <w:r w:rsidRPr="001052BE">
              <w:rPr>
                <w:rFonts w:ascii="Times New Roman" w:hAnsi="Times New Roman"/>
                <w:i/>
                <w:iCs/>
                <w:color w:val="000000"/>
              </w:rPr>
              <w:t>% Complete</w:t>
            </w:r>
          </w:p>
        </w:tc>
      </w:tr>
      <w:tr w:rsidRPr="001052BE" w:rsidR="001052BE" w:rsidTr="001052BE" w14:paraId="4ADB532D" w14:textId="77777777">
        <w:trPr>
          <w:trHeight w:val="702"/>
          <w:jc w:val="center"/>
        </w:trPr>
        <w:tc>
          <w:tcPr>
            <w:tcW w:w="2120" w:type="dxa"/>
            <w:tcBorders>
              <w:top w:val="single" w:color="auto" w:sz="4" w:space="0"/>
              <w:bottom w:val="nil"/>
              <w:right w:val="single" w:color="auto" w:sz="4" w:space="0"/>
            </w:tcBorders>
            <w:shd w:val="clear" w:color="auto" w:fill="FFFFFF" w:themeFill="background1"/>
            <w:vAlign w:val="center"/>
            <w:hideMark/>
          </w:tcPr>
          <w:p w:rsidRPr="001052BE" w:rsidR="001052BE" w:rsidP="001052BE" w:rsidRDefault="001052BE" w14:paraId="6AE1DF06" w14:textId="77777777">
            <w:pPr>
              <w:spacing w:after="120" w:line="276" w:lineRule="auto"/>
              <w:rPr>
                <w:rFonts w:ascii="Times New Roman" w:hAnsi="Times New Roman"/>
                <w:iCs/>
                <w:color w:val="000000"/>
              </w:rPr>
            </w:pPr>
            <w:r w:rsidRPr="001052BE">
              <w:rPr>
                <w:rFonts w:ascii="Times New Roman" w:hAnsi="Times New Roman"/>
                <w:iCs/>
                <w:color w:val="000000"/>
              </w:rPr>
              <w:t>Not Eligible for Enhanced Final Push</w:t>
            </w:r>
          </w:p>
        </w:tc>
        <w:tc>
          <w:tcPr>
            <w:tcW w:w="696" w:type="dxa"/>
            <w:tcBorders>
              <w:top w:val="single" w:color="auto" w:sz="4" w:space="0"/>
              <w:left w:val="single" w:color="auto" w:sz="4" w:space="0"/>
              <w:bottom w:val="nil"/>
            </w:tcBorders>
            <w:shd w:val="clear" w:color="000000" w:fill="FFFFFF"/>
            <w:vAlign w:val="center"/>
            <w:hideMark/>
          </w:tcPr>
          <w:p w:rsidRPr="001052BE" w:rsidR="001052BE" w:rsidP="001052BE" w:rsidRDefault="001052BE" w14:paraId="7635EC14"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000000" w:fill="FFFFFF"/>
            <w:vAlign w:val="center"/>
            <w:hideMark/>
          </w:tcPr>
          <w:p w:rsidRPr="001052BE" w:rsidR="001052BE" w:rsidP="001052BE" w:rsidRDefault="001052BE" w14:paraId="0DAEA1B2" w14:textId="77777777">
            <w:pPr>
              <w:spacing w:after="120" w:line="276" w:lineRule="auto"/>
              <w:jc w:val="center"/>
              <w:rPr>
                <w:rFonts w:ascii="Times New Roman" w:hAnsi="Times New Roman"/>
                <w:color w:val="000000"/>
              </w:rPr>
            </w:pPr>
            <w:r w:rsidRPr="001052BE">
              <w:rPr>
                <w:rFonts w:ascii="Times New Roman" w:hAnsi="Times New Roman"/>
                <w:color w:val="000000"/>
              </w:rPr>
              <w:t>3484</w:t>
            </w:r>
          </w:p>
        </w:tc>
        <w:tc>
          <w:tcPr>
            <w:tcW w:w="1136" w:type="dxa"/>
            <w:tcBorders>
              <w:top w:val="single" w:color="auto" w:sz="4" w:space="0"/>
              <w:bottom w:val="nil"/>
              <w:right w:val="single" w:color="auto" w:sz="4" w:space="0"/>
            </w:tcBorders>
            <w:shd w:val="clear" w:color="000000" w:fill="FFFFFF"/>
            <w:vAlign w:val="center"/>
            <w:hideMark/>
          </w:tcPr>
          <w:p w:rsidRPr="001052BE" w:rsidR="001052BE" w:rsidP="001052BE" w:rsidRDefault="001052BE" w14:paraId="7F7DE8D3" w14:textId="77777777">
            <w:pPr>
              <w:spacing w:after="120" w:line="276" w:lineRule="auto"/>
              <w:jc w:val="center"/>
              <w:rPr>
                <w:rFonts w:ascii="Times New Roman" w:hAnsi="Times New Roman"/>
                <w:color w:val="000000"/>
              </w:rPr>
            </w:pPr>
            <w:r w:rsidRPr="001052BE">
              <w:rPr>
                <w:rFonts w:ascii="Times New Roman" w:hAnsi="Times New Roman"/>
                <w:color w:val="000000"/>
              </w:rPr>
              <w:t>62.40%</w:t>
            </w:r>
          </w:p>
        </w:tc>
        <w:tc>
          <w:tcPr>
            <w:tcW w:w="828" w:type="dxa"/>
            <w:tcBorders>
              <w:top w:val="single" w:color="auto" w:sz="4" w:space="0"/>
              <w:left w:val="single" w:color="auto" w:sz="4" w:space="0"/>
              <w:bottom w:val="nil"/>
            </w:tcBorders>
            <w:shd w:val="clear" w:color="auto" w:fill="FFFFFF" w:themeFill="background1"/>
            <w:vAlign w:val="center"/>
            <w:hideMark/>
          </w:tcPr>
          <w:p w:rsidRPr="001052BE" w:rsidR="001052BE" w:rsidP="001052BE" w:rsidRDefault="001052BE" w14:paraId="1C59EB94"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auto" w:fill="FFFFFF" w:themeFill="background1"/>
            <w:vAlign w:val="center"/>
            <w:hideMark/>
          </w:tcPr>
          <w:p w:rsidRPr="001052BE" w:rsidR="001052BE" w:rsidP="001052BE" w:rsidRDefault="001052BE" w14:paraId="40AF493C" w14:textId="77777777">
            <w:pPr>
              <w:spacing w:after="120" w:line="276" w:lineRule="auto"/>
              <w:jc w:val="center"/>
              <w:rPr>
                <w:rFonts w:ascii="Times New Roman" w:hAnsi="Times New Roman"/>
                <w:color w:val="000000"/>
              </w:rPr>
            </w:pPr>
            <w:r w:rsidRPr="001052BE">
              <w:rPr>
                <w:rFonts w:ascii="Times New Roman" w:hAnsi="Times New Roman"/>
                <w:color w:val="000000"/>
              </w:rPr>
              <w:t>3813</w:t>
            </w:r>
          </w:p>
        </w:tc>
        <w:tc>
          <w:tcPr>
            <w:tcW w:w="1136" w:type="dxa"/>
            <w:tcBorders>
              <w:top w:val="single" w:color="auto" w:sz="4" w:space="0"/>
              <w:bottom w:val="nil"/>
              <w:right w:val="single" w:color="auto" w:sz="4" w:space="0"/>
            </w:tcBorders>
            <w:shd w:val="clear" w:color="auto" w:fill="FFFFFF" w:themeFill="background1"/>
            <w:vAlign w:val="center"/>
            <w:hideMark/>
          </w:tcPr>
          <w:p w:rsidRPr="001052BE" w:rsidR="001052BE" w:rsidP="001052BE" w:rsidRDefault="001052BE" w14:paraId="1F994CAE" w14:textId="77777777">
            <w:pPr>
              <w:spacing w:after="120" w:line="276" w:lineRule="auto"/>
              <w:jc w:val="center"/>
              <w:rPr>
                <w:rFonts w:ascii="Times New Roman" w:hAnsi="Times New Roman"/>
                <w:color w:val="000000"/>
              </w:rPr>
            </w:pPr>
            <w:r w:rsidRPr="001052BE">
              <w:rPr>
                <w:rFonts w:ascii="Times New Roman" w:hAnsi="Times New Roman"/>
                <w:color w:val="000000"/>
              </w:rPr>
              <w:t>68.30%</w:t>
            </w:r>
          </w:p>
        </w:tc>
        <w:tc>
          <w:tcPr>
            <w:tcW w:w="828" w:type="dxa"/>
            <w:tcBorders>
              <w:top w:val="single" w:color="auto" w:sz="4" w:space="0"/>
              <w:left w:val="single" w:color="auto" w:sz="4" w:space="0"/>
              <w:bottom w:val="nil"/>
            </w:tcBorders>
            <w:shd w:val="clear" w:color="000000" w:fill="FFFFFF"/>
            <w:vAlign w:val="center"/>
            <w:hideMark/>
          </w:tcPr>
          <w:p w:rsidRPr="001052BE" w:rsidR="001052BE" w:rsidP="001052BE" w:rsidRDefault="001052BE" w14:paraId="571F666F" w14:textId="77777777">
            <w:pPr>
              <w:spacing w:after="120" w:line="276" w:lineRule="auto"/>
              <w:jc w:val="center"/>
              <w:rPr>
                <w:rFonts w:ascii="Times New Roman" w:hAnsi="Times New Roman"/>
                <w:color w:val="000000"/>
              </w:rPr>
            </w:pPr>
            <w:r w:rsidRPr="001052BE">
              <w:rPr>
                <w:rFonts w:ascii="Times New Roman" w:hAnsi="Times New Roman"/>
                <w:color w:val="000000"/>
              </w:rPr>
              <w:t>5583</w:t>
            </w:r>
          </w:p>
        </w:tc>
        <w:tc>
          <w:tcPr>
            <w:tcW w:w="1136" w:type="dxa"/>
            <w:tcBorders>
              <w:top w:val="single" w:color="auto" w:sz="4" w:space="0"/>
              <w:bottom w:val="nil"/>
            </w:tcBorders>
            <w:shd w:val="clear" w:color="000000" w:fill="FFFFFF"/>
            <w:vAlign w:val="center"/>
            <w:hideMark/>
          </w:tcPr>
          <w:p w:rsidRPr="001052BE" w:rsidR="001052BE" w:rsidP="001052BE" w:rsidRDefault="001052BE" w14:paraId="6AA98524" w14:textId="77777777">
            <w:pPr>
              <w:spacing w:after="120" w:line="276" w:lineRule="auto"/>
              <w:jc w:val="center"/>
              <w:rPr>
                <w:rFonts w:ascii="Times New Roman" w:hAnsi="Times New Roman"/>
                <w:color w:val="000000"/>
              </w:rPr>
            </w:pPr>
            <w:r w:rsidRPr="001052BE">
              <w:rPr>
                <w:rFonts w:ascii="Times New Roman" w:hAnsi="Times New Roman"/>
                <w:color w:val="000000"/>
              </w:rPr>
              <w:t>4598</w:t>
            </w:r>
          </w:p>
        </w:tc>
        <w:tc>
          <w:tcPr>
            <w:tcW w:w="1142" w:type="dxa"/>
            <w:tcBorders>
              <w:top w:val="single" w:color="auto" w:sz="4" w:space="0"/>
              <w:bottom w:val="nil"/>
            </w:tcBorders>
            <w:shd w:val="clear" w:color="000000" w:fill="FFFFFF"/>
            <w:vAlign w:val="center"/>
            <w:hideMark/>
          </w:tcPr>
          <w:p w:rsidRPr="001052BE" w:rsidR="001052BE" w:rsidP="001052BE" w:rsidRDefault="001052BE" w14:paraId="0465A799" w14:textId="77777777">
            <w:pPr>
              <w:spacing w:after="120" w:line="276" w:lineRule="auto"/>
              <w:jc w:val="center"/>
              <w:rPr>
                <w:rFonts w:ascii="Times New Roman" w:hAnsi="Times New Roman"/>
                <w:color w:val="000000"/>
              </w:rPr>
            </w:pPr>
            <w:r w:rsidRPr="001052BE">
              <w:rPr>
                <w:rFonts w:ascii="Times New Roman" w:hAnsi="Times New Roman"/>
                <w:color w:val="000000"/>
              </w:rPr>
              <w:t>82.36%</w:t>
            </w:r>
          </w:p>
        </w:tc>
      </w:tr>
      <w:tr w:rsidRPr="001052BE" w:rsidR="001052BE" w:rsidTr="001052BE" w14:paraId="6F0E0278" w14:textId="77777777">
        <w:trPr>
          <w:trHeight w:val="693"/>
          <w:jc w:val="center"/>
        </w:trPr>
        <w:tc>
          <w:tcPr>
            <w:tcW w:w="2120" w:type="dxa"/>
            <w:tcBorders>
              <w:top w:val="nil"/>
              <w:bottom w:val="single" w:color="auto" w:sz="4" w:space="0"/>
              <w:right w:val="single" w:color="auto" w:sz="4" w:space="0"/>
            </w:tcBorders>
            <w:shd w:val="clear" w:color="auto" w:fill="FFFFFF" w:themeFill="background1"/>
            <w:vAlign w:val="center"/>
            <w:hideMark/>
          </w:tcPr>
          <w:p w:rsidRPr="001052BE" w:rsidR="001052BE" w:rsidP="001052BE" w:rsidRDefault="001052BE" w14:paraId="5B12C0D5" w14:textId="77777777">
            <w:pPr>
              <w:spacing w:after="120" w:line="276" w:lineRule="auto"/>
              <w:rPr>
                <w:rFonts w:ascii="Times New Roman" w:hAnsi="Times New Roman"/>
                <w:iCs/>
                <w:color w:val="000000"/>
              </w:rPr>
            </w:pPr>
            <w:r w:rsidRPr="001052BE">
              <w:rPr>
                <w:rFonts w:ascii="Times New Roman" w:hAnsi="Times New Roman"/>
                <w:iCs/>
                <w:color w:val="000000"/>
              </w:rPr>
              <w:t>Eligible for Enhanced Final Push</w:t>
            </w:r>
          </w:p>
        </w:tc>
        <w:tc>
          <w:tcPr>
            <w:tcW w:w="696" w:type="dxa"/>
            <w:tcBorders>
              <w:top w:val="nil"/>
              <w:left w:val="single" w:color="auto" w:sz="4" w:space="0"/>
              <w:bottom w:val="single" w:color="auto" w:sz="4" w:space="0"/>
            </w:tcBorders>
            <w:shd w:val="clear" w:color="000000" w:fill="FFFFFF"/>
            <w:vAlign w:val="center"/>
            <w:hideMark/>
          </w:tcPr>
          <w:p w:rsidRPr="001052BE" w:rsidR="001052BE" w:rsidP="001052BE" w:rsidRDefault="001052BE" w14:paraId="797CA343"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000000" w:fill="FFFFFF"/>
            <w:vAlign w:val="center"/>
            <w:hideMark/>
          </w:tcPr>
          <w:p w:rsidRPr="001052BE" w:rsidR="001052BE" w:rsidP="001052BE" w:rsidRDefault="001052BE" w14:paraId="3D903328" w14:textId="77777777">
            <w:pPr>
              <w:spacing w:after="120" w:line="276" w:lineRule="auto"/>
              <w:jc w:val="center"/>
              <w:rPr>
                <w:rFonts w:ascii="Times New Roman" w:hAnsi="Times New Roman"/>
                <w:color w:val="000000"/>
              </w:rPr>
            </w:pPr>
            <w:r w:rsidRPr="001052BE">
              <w:rPr>
                <w:rFonts w:ascii="Times New Roman" w:hAnsi="Times New Roman"/>
                <w:color w:val="000000"/>
              </w:rPr>
              <w:t>1530</w:t>
            </w:r>
          </w:p>
        </w:tc>
        <w:tc>
          <w:tcPr>
            <w:tcW w:w="1136" w:type="dxa"/>
            <w:tcBorders>
              <w:top w:val="nil"/>
              <w:bottom w:val="single" w:color="auto" w:sz="4" w:space="0"/>
              <w:right w:val="single" w:color="auto" w:sz="4" w:space="0"/>
            </w:tcBorders>
            <w:shd w:val="clear" w:color="000000" w:fill="FFFFFF"/>
            <w:vAlign w:val="center"/>
            <w:hideMark/>
          </w:tcPr>
          <w:p w:rsidRPr="001052BE" w:rsidR="001052BE" w:rsidP="001052BE" w:rsidRDefault="001052BE" w14:paraId="60075C12" w14:textId="77777777">
            <w:pPr>
              <w:spacing w:after="120" w:line="276" w:lineRule="auto"/>
              <w:jc w:val="center"/>
              <w:rPr>
                <w:rFonts w:ascii="Times New Roman" w:hAnsi="Times New Roman"/>
                <w:color w:val="000000"/>
              </w:rPr>
            </w:pPr>
            <w:r w:rsidRPr="001052BE">
              <w:rPr>
                <w:rFonts w:ascii="Times New Roman" w:hAnsi="Times New Roman"/>
                <w:color w:val="000000"/>
              </w:rPr>
              <w:t>51.62%</w:t>
            </w:r>
          </w:p>
        </w:tc>
        <w:tc>
          <w:tcPr>
            <w:tcW w:w="828" w:type="dxa"/>
            <w:tcBorders>
              <w:top w:val="nil"/>
              <w:left w:val="single" w:color="auto" w:sz="4" w:space="0"/>
              <w:bottom w:val="single" w:color="auto" w:sz="4" w:space="0"/>
            </w:tcBorders>
            <w:shd w:val="clear" w:color="auto" w:fill="FFFFFF" w:themeFill="background1"/>
            <w:vAlign w:val="center"/>
            <w:hideMark/>
          </w:tcPr>
          <w:p w:rsidRPr="001052BE" w:rsidR="001052BE" w:rsidP="001052BE" w:rsidRDefault="001052BE" w14:paraId="156416E0"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auto" w:fill="FFFFFF" w:themeFill="background1"/>
            <w:vAlign w:val="center"/>
            <w:hideMark/>
          </w:tcPr>
          <w:p w:rsidRPr="001052BE" w:rsidR="001052BE" w:rsidP="001052BE" w:rsidRDefault="001052BE" w14:paraId="3BCE5E46" w14:textId="77777777">
            <w:pPr>
              <w:spacing w:after="120" w:line="276" w:lineRule="auto"/>
              <w:jc w:val="center"/>
              <w:rPr>
                <w:rFonts w:ascii="Times New Roman" w:hAnsi="Times New Roman"/>
                <w:color w:val="000000"/>
              </w:rPr>
            </w:pPr>
            <w:r w:rsidRPr="001052BE">
              <w:rPr>
                <w:rFonts w:ascii="Times New Roman" w:hAnsi="Times New Roman"/>
                <w:color w:val="000000"/>
              </w:rPr>
              <w:t>1738</w:t>
            </w:r>
          </w:p>
        </w:tc>
        <w:tc>
          <w:tcPr>
            <w:tcW w:w="1136" w:type="dxa"/>
            <w:tcBorders>
              <w:top w:val="nil"/>
              <w:bottom w:val="single" w:color="auto" w:sz="4" w:space="0"/>
              <w:right w:val="single" w:color="auto" w:sz="4" w:space="0"/>
            </w:tcBorders>
            <w:shd w:val="clear" w:color="auto" w:fill="FFFFFF" w:themeFill="background1"/>
            <w:vAlign w:val="center"/>
            <w:hideMark/>
          </w:tcPr>
          <w:p w:rsidRPr="001052BE" w:rsidR="001052BE" w:rsidP="001052BE" w:rsidRDefault="001052BE" w14:paraId="77038788" w14:textId="77777777">
            <w:pPr>
              <w:spacing w:after="120" w:line="276" w:lineRule="auto"/>
              <w:jc w:val="center"/>
              <w:rPr>
                <w:rFonts w:ascii="Times New Roman" w:hAnsi="Times New Roman"/>
                <w:color w:val="000000"/>
              </w:rPr>
            </w:pPr>
            <w:r w:rsidRPr="001052BE">
              <w:rPr>
                <w:rFonts w:ascii="Times New Roman" w:hAnsi="Times New Roman"/>
                <w:color w:val="000000"/>
              </w:rPr>
              <w:t>58.64%</w:t>
            </w:r>
          </w:p>
        </w:tc>
        <w:tc>
          <w:tcPr>
            <w:tcW w:w="828" w:type="dxa"/>
            <w:tcBorders>
              <w:top w:val="nil"/>
              <w:left w:val="single" w:color="auto" w:sz="4" w:space="0"/>
              <w:bottom w:val="single" w:color="auto" w:sz="4" w:space="0"/>
            </w:tcBorders>
            <w:shd w:val="clear" w:color="000000" w:fill="FFFFFF"/>
            <w:vAlign w:val="center"/>
            <w:hideMark/>
          </w:tcPr>
          <w:p w:rsidRPr="001052BE" w:rsidR="001052BE" w:rsidP="001052BE" w:rsidRDefault="001052BE" w14:paraId="5D736005" w14:textId="77777777">
            <w:pPr>
              <w:spacing w:after="120" w:line="276" w:lineRule="auto"/>
              <w:jc w:val="center"/>
              <w:rPr>
                <w:rFonts w:ascii="Times New Roman" w:hAnsi="Times New Roman"/>
                <w:color w:val="000000"/>
              </w:rPr>
            </w:pPr>
            <w:r w:rsidRPr="001052BE">
              <w:rPr>
                <w:rFonts w:ascii="Times New Roman" w:hAnsi="Times New Roman"/>
                <w:color w:val="000000"/>
              </w:rPr>
              <w:t>2964</w:t>
            </w:r>
          </w:p>
        </w:tc>
        <w:tc>
          <w:tcPr>
            <w:tcW w:w="1136" w:type="dxa"/>
            <w:tcBorders>
              <w:top w:val="nil"/>
              <w:bottom w:val="single" w:color="auto" w:sz="4" w:space="0"/>
            </w:tcBorders>
            <w:shd w:val="clear" w:color="000000" w:fill="FFFFFF"/>
            <w:vAlign w:val="center"/>
            <w:hideMark/>
          </w:tcPr>
          <w:p w:rsidRPr="001052BE" w:rsidR="001052BE" w:rsidP="001052BE" w:rsidRDefault="001052BE" w14:paraId="2E378426" w14:textId="77777777">
            <w:pPr>
              <w:spacing w:after="120" w:line="276" w:lineRule="auto"/>
              <w:jc w:val="center"/>
              <w:rPr>
                <w:rFonts w:ascii="Times New Roman" w:hAnsi="Times New Roman"/>
                <w:color w:val="000000"/>
              </w:rPr>
            </w:pPr>
            <w:r w:rsidRPr="001052BE">
              <w:rPr>
                <w:rFonts w:ascii="Times New Roman" w:hAnsi="Times New Roman"/>
                <w:color w:val="000000"/>
              </w:rPr>
              <w:t>2359</w:t>
            </w:r>
          </w:p>
        </w:tc>
        <w:tc>
          <w:tcPr>
            <w:tcW w:w="1142" w:type="dxa"/>
            <w:tcBorders>
              <w:top w:val="nil"/>
              <w:bottom w:val="single" w:color="auto" w:sz="4" w:space="0"/>
            </w:tcBorders>
            <w:shd w:val="clear" w:color="000000" w:fill="FFFFFF"/>
            <w:vAlign w:val="center"/>
            <w:hideMark/>
          </w:tcPr>
          <w:p w:rsidRPr="001052BE" w:rsidR="001052BE" w:rsidP="001052BE" w:rsidRDefault="001052BE" w14:paraId="22D56199" w14:textId="77777777">
            <w:pPr>
              <w:spacing w:after="120" w:line="276" w:lineRule="auto"/>
              <w:jc w:val="center"/>
              <w:rPr>
                <w:rFonts w:ascii="Times New Roman" w:hAnsi="Times New Roman"/>
                <w:color w:val="000000"/>
              </w:rPr>
            </w:pPr>
            <w:r w:rsidRPr="001052BE">
              <w:rPr>
                <w:rFonts w:ascii="Times New Roman" w:hAnsi="Times New Roman"/>
                <w:color w:val="000000"/>
              </w:rPr>
              <w:t>79.59%</w:t>
            </w:r>
          </w:p>
        </w:tc>
      </w:tr>
    </w:tbl>
    <w:p w:rsidRPr="001052BE" w:rsidR="001052BE" w:rsidP="001052BE" w:rsidRDefault="001052BE" w14:paraId="0781B846" w14:textId="77777777">
      <w:pPr>
        <w:rPr>
          <w:rFonts w:ascii="Times New Roman" w:hAnsi="Times New Roman"/>
          <w:b/>
        </w:rPr>
      </w:pPr>
    </w:p>
    <w:p w:rsidRPr="001052BE" w:rsidR="001052BE" w:rsidP="001052BE" w:rsidRDefault="001052BE" w14:paraId="542B8C70" w14:textId="112E5CDF">
      <w:pPr>
        <w:rPr>
          <w:rFonts w:ascii="Times New Roman" w:hAnsi="Times New Roman"/>
        </w:rPr>
      </w:pPr>
    </w:p>
    <w:p w:rsidRPr="001052BE" w:rsidR="001052BE" w:rsidP="001052BE" w:rsidRDefault="00F22903" w14:paraId="25B77F47" w14:textId="49FDC826">
      <w:pPr>
        <w:rPr>
          <w:rFonts w:ascii="Times New Roman" w:hAnsi="Times New Roman"/>
        </w:rPr>
      </w:pP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note</w:t>
      </w:r>
      <w:r>
        <w:rPr>
          <w:rFonts w:ascii="Times New Roman" w:hAnsi="Times New Roman"/>
        </w:rPr>
        <w:t>s</w:t>
      </w:r>
      <w:r w:rsidRPr="001052BE" w:rsidR="001052BE">
        <w:rPr>
          <w:rFonts w:ascii="Times New Roman" w:hAnsi="Times New Roman"/>
        </w:rPr>
        <w:t xml:space="preserve"> that this evidence is suggestive rather than decisive. </w:t>
      </w:r>
      <w:r w:rsidR="00405B6C">
        <w:rPr>
          <w:rFonts w:ascii="Times New Roman" w:hAnsi="Times New Roman"/>
        </w:rPr>
        <w:t xml:space="preserve"> </w:t>
      </w:r>
      <w:r w:rsidRPr="001052BE" w:rsidR="001052BE">
        <w:rPr>
          <w:rFonts w:ascii="Times New Roman" w:hAnsi="Times New Roman"/>
        </w:rPr>
        <w:t xml:space="preserve">Accordingly, </w:t>
      </w: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a randomized experiment in order to rigorously evaluate the effects of the enhanced final push on both completion rates and effort for these difficult respondents.  This experiment would be layered on top of the traditional final push, so that operationally the enhanced final push would operate in a similar way to prior rounds with a subset of final push respondents being given the enhancement.</w:t>
      </w:r>
    </w:p>
    <w:p w:rsidRPr="001052BE" w:rsidR="001052BE" w:rsidP="001052BE" w:rsidRDefault="001052BE" w14:paraId="0B9A916D" w14:textId="77777777">
      <w:pPr>
        <w:rPr>
          <w:rFonts w:ascii="Times New Roman" w:hAnsi="Times New Roman"/>
          <w:b/>
        </w:rPr>
      </w:pPr>
    </w:p>
    <w:p w:rsidRPr="001052BE" w:rsidR="001052BE" w:rsidP="001052BE" w:rsidRDefault="00F22903" w14:paraId="43C9B2C7" w14:textId="1F38D42B">
      <w:pPr>
        <w:rPr>
          <w:rFonts w:ascii="Times New Roman" w:hAnsi="Times New Roman"/>
        </w:rPr>
      </w:pP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draw an eligible sample of roughly 2,000 respondents and select roughly 1,000 of these respondents randomly for the treatment group that receives the enhanced final push.  All respondents in the randomly selected treatment group would be offered the enhanced amount unless ineligible (for example, if they have missed the previous </w:t>
      </w:r>
      <w:r>
        <w:rPr>
          <w:rFonts w:ascii="Times New Roman" w:hAnsi="Times New Roman"/>
        </w:rPr>
        <w:t>five</w:t>
      </w:r>
      <w:r w:rsidRPr="001052BE" w:rsidR="001052BE">
        <w:rPr>
          <w:rFonts w:ascii="Times New Roman" w:hAnsi="Times New Roman"/>
        </w:rPr>
        <w:t xml:space="preserve"> rounds). </w:t>
      </w:r>
      <w:r w:rsidR="00405B6C">
        <w:rPr>
          <w:rFonts w:ascii="Times New Roman" w:hAnsi="Times New Roman"/>
        </w:rPr>
        <w:t xml:space="preserve"> </w:t>
      </w:r>
      <w:r w:rsidRPr="001052BE" w:rsidR="001052BE">
        <w:rPr>
          <w:rFonts w:ascii="Times New Roman" w:hAnsi="Times New Roman"/>
        </w:rPr>
        <w:t xml:space="preserve">The control group would be offered the traditional final push incentive with no enhancement. </w:t>
      </w:r>
      <w:r w:rsidR="00405B6C">
        <w:rPr>
          <w:rFonts w:ascii="Times New Roman" w:hAnsi="Times New Roman"/>
        </w:rPr>
        <w:t xml:space="preserve"> </w:t>
      </w:r>
      <w:r>
        <w:rPr>
          <w:rFonts w:ascii="Times New Roman" w:hAnsi="Times New Roman"/>
        </w:rPr>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select the appropriate method of randomization after determining the eligible subgroups, but note that block randomization (for example, randomly assigning cases to treatment and control within sex*AFQT subgroups) may likely improve the statistical power of the experiment (Kirk 2012).</w:t>
      </w:r>
    </w:p>
    <w:p w:rsidR="001052BE" w:rsidP="001052BE" w:rsidRDefault="001052BE" w14:paraId="2BDC4E44" w14:textId="77777777">
      <w:pPr>
        <w:rPr>
          <w:rFonts w:ascii="Times New Roman" w:hAnsi="Times New Roman"/>
        </w:rPr>
      </w:pPr>
    </w:p>
    <w:p w:rsidRPr="001052BE" w:rsidR="00940938" w:rsidP="001052BE" w:rsidRDefault="00940938" w14:paraId="2BF1341F" w14:textId="77777777">
      <w:pPr>
        <w:rPr>
          <w:rFonts w:ascii="Times New Roman" w:hAnsi="Times New Roman"/>
        </w:rPr>
      </w:pPr>
    </w:p>
    <w:p w:rsidRPr="001052BE" w:rsidR="001052BE" w:rsidP="001052BE" w:rsidRDefault="00F22903" w14:paraId="3DB3559A" w14:textId="70C1866B">
      <w:pPr>
        <w:rPr>
          <w:rFonts w:ascii="Times New Roman" w:hAnsi="Times New Roman"/>
        </w:rPr>
      </w:pPr>
      <w:r>
        <w:rPr>
          <w:rFonts w:ascii="Times New Roman" w:hAnsi="Times New Roman"/>
        </w:rPr>
        <w:lastRenderedPageBreak/>
        <w:t>NLS</w:t>
      </w:r>
      <w:r w:rsidRPr="001052BE">
        <w:rPr>
          <w:rFonts w:ascii="Times New Roman" w:hAnsi="Times New Roman"/>
        </w:rPr>
        <w:t xml:space="preserve"> </w:t>
      </w:r>
      <w:r w:rsidRPr="001052BE" w:rsidR="001052BE">
        <w:rPr>
          <w:rFonts w:ascii="Times New Roman" w:hAnsi="Times New Roman"/>
        </w:rPr>
        <w:t>propose</w:t>
      </w:r>
      <w:r>
        <w:rPr>
          <w:rFonts w:ascii="Times New Roman" w:hAnsi="Times New Roman"/>
        </w:rPr>
        <w:t>s</w:t>
      </w:r>
      <w:r w:rsidRPr="001052BE" w:rsidR="001052BE">
        <w:rPr>
          <w:rFonts w:ascii="Times New Roman" w:hAnsi="Times New Roman"/>
        </w:rPr>
        <w:t xml:space="preserve"> to keep the selection process of subgroups eligible for the enhanced final push similar to previous rounds. </w:t>
      </w:r>
      <w:r w:rsidR="00405B6C">
        <w:rPr>
          <w:rFonts w:ascii="Times New Roman" w:hAnsi="Times New Roman"/>
        </w:rPr>
        <w:t xml:space="preserve"> </w:t>
      </w:r>
      <w:r w:rsidRPr="001052BE" w:rsidR="001052BE">
        <w:rPr>
          <w:rFonts w:ascii="Times New Roman" w:hAnsi="Times New Roman"/>
        </w:rPr>
        <w:t xml:space="preserve">Subgroups are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 </w:t>
      </w:r>
      <w:r w:rsidR="00405B6C">
        <w:rPr>
          <w:rFonts w:ascii="Times New Roman" w:hAnsi="Times New Roman"/>
        </w:rPr>
        <w:t xml:space="preserve"> </w:t>
      </w:r>
      <w:r w:rsidRPr="001052BE" w:rsidR="001052BE">
        <w:rPr>
          <w:rFonts w:ascii="Times New Roman" w:hAnsi="Times New Roman"/>
        </w:rPr>
        <w:t xml:space="preserve">The subgroup definitions are based on variables that describe or affect labor market activity, the central topic of the NLSY97. </w:t>
      </w:r>
    </w:p>
    <w:p w:rsidR="001052BE" w:rsidP="001052BE" w:rsidRDefault="001052BE" w14:paraId="23E7D90D" w14:textId="77777777">
      <w:pPr>
        <w:rPr>
          <w:rFonts w:ascii="Times New Roman" w:hAnsi="Times New Roman"/>
        </w:rPr>
      </w:pPr>
    </w:p>
    <w:p w:rsidRPr="001052BE" w:rsidR="008C0EA7" w:rsidP="001052BE" w:rsidRDefault="008C0EA7" w14:paraId="381FF3A4" w14:textId="77777777">
      <w:pPr>
        <w:rPr>
          <w:rFonts w:ascii="Times New Roman" w:hAnsi="Times New Roman"/>
        </w:rPr>
      </w:pPr>
    </w:p>
    <w:p w:rsidRPr="001052BE" w:rsidR="001052BE" w:rsidP="001052BE" w:rsidRDefault="001052BE" w14:paraId="6325F8B6" w14:textId="77777777">
      <w:pPr>
        <w:spacing w:after="160" w:line="259" w:lineRule="auto"/>
        <w:rPr>
          <w:rFonts w:ascii="Times New Roman" w:hAnsi="Times New Roman"/>
        </w:rPr>
      </w:pPr>
      <w:r w:rsidRPr="001052BE">
        <w:rPr>
          <w:rFonts w:ascii="Times New Roman" w:hAnsi="Times New Roman"/>
          <w:i/>
        </w:rPr>
        <w:t>Summary of Incentive Components</w:t>
      </w:r>
    </w:p>
    <w:p w:rsidRPr="001052BE" w:rsidR="001052BE" w:rsidP="00D53409" w:rsidRDefault="001052BE" w14:paraId="42C3394E" w14:textId="3EE9820F">
      <w:pPr>
        <w:spacing w:after="160"/>
        <w:rPr>
          <w:rStyle w:val="BookTitle"/>
          <w:rFonts w:ascii="Times New Roman" w:hAnsi="Times New Roman"/>
          <w:b w:val="0"/>
          <w:i w:val="0"/>
        </w:rPr>
      </w:pPr>
      <w:r w:rsidRPr="001052BE">
        <w:rPr>
          <w:rStyle w:val="BookTitle"/>
          <w:rFonts w:ascii="Times New Roman" w:hAnsi="Times New Roman"/>
          <w:b w:val="0"/>
          <w:i w:val="0"/>
        </w:rPr>
        <w:t xml:space="preserve">Table </w:t>
      </w:r>
      <w:r w:rsidR="00CE4251">
        <w:rPr>
          <w:rStyle w:val="BookTitle"/>
          <w:rFonts w:ascii="Times New Roman" w:hAnsi="Times New Roman"/>
          <w:b w:val="0"/>
          <w:i w:val="0"/>
        </w:rPr>
        <w:t>6</w:t>
      </w:r>
      <w:r w:rsidRPr="001052BE" w:rsidR="00CE4251">
        <w:rPr>
          <w:rStyle w:val="BookTitle"/>
          <w:rFonts w:ascii="Times New Roman" w:hAnsi="Times New Roman"/>
          <w:b w:val="0"/>
          <w:i w:val="0"/>
        </w:rPr>
        <w:t xml:space="preserve"> </w:t>
      </w:r>
      <w:r w:rsidRPr="001052BE">
        <w:rPr>
          <w:rStyle w:val="BookTitle"/>
          <w:rFonts w:ascii="Times New Roman" w:hAnsi="Times New Roman"/>
          <w:b w:val="0"/>
          <w:i w:val="0"/>
        </w:rPr>
        <w:t xml:space="preserve">summarizes the incentive components described above, mapping them to the corresponding sample segments.  Segment 1, “perfect responders,” includes some respondents who will be randomly chosen to be offered the </w:t>
      </w:r>
      <w:r w:rsidR="00221002">
        <w:rPr>
          <w:rStyle w:val="BookTitle"/>
          <w:rFonts w:ascii="Times New Roman" w:hAnsi="Times New Roman"/>
          <w:b w:val="0"/>
          <w:i w:val="0"/>
        </w:rPr>
        <w:t>“T</w:t>
      </w:r>
      <w:r w:rsidRPr="001052BE">
        <w:rPr>
          <w:rStyle w:val="BookTitle"/>
          <w:rFonts w:ascii="Times New Roman" w:hAnsi="Times New Roman"/>
          <w:b w:val="0"/>
          <w:i w:val="0"/>
        </w:rPr>
        <w:t xml:space="preserve">hank </w:t>
      </w:r>
      <w:r w:rsidR="00221002">
        <w:rPr>
          <w:rStyle w:val="BookTitle"/>
          <w:rFonts w:ascii="Times New Roman" w:hAnsi="Times New Roman"/>
          <w:b w:val="0"/>
          <w:i w:val="0"/>
        </w:rPr>
        <w:t>Y</w:t>
      </w:r>
      <w:r w:rsidRPr="001052BE">
        <w:rPr>
          <w:rStyle w:val="BookTitle"/>
          <w:rFonts w:ascii="Times New Roman" w:hAnsi="Times New Roman"/>
          <w:b w:val="0"/>
          <w:i w:val="0"/>
        </w:rPr>
        <w:t xml:space="preserve">ou </w:t>
      </w:r>
      <w:r w:rsidR="00221002">
        <w:rPr>
          <w:rStyle w:val="BookTitle"/>
          <w:rFonts w:ascii="Times New Roman" w:hAnsi="Times New Roman"/>
          <w:b w:val="0"/>
          <w:i w:val="0"/>
        </w:rPr>
        <w:t>B</w:t>
      </w:r>
      <w:r w:rsidRPr="001052BE">
        <w:rPr>
          <w:rStyle w:val="BookTitle"/>
          <w:rFonts w:ascii="Times New Roman" w:hAnsi="Times New Roman"/>
          <w:b w:val="0"/>
          <w:i w:val="0"/>
        </w:rPr>
        <w:t>onus</w:t>
      </w:r>
      <w:r w:rsidR="00221002">
        <w:rPr>
          <w:rStyle w:val="BookTitle"/>
          <w:rFonts w:ascii="Times New Roman" w:hAnsi="Times New Roman"/>
          <w:b w:val="0"/>
          <w:i w:val="0"/>
        </w:rPr>
        <w:t>”</w:t>
      </w:r>
      <w:r w:rsidRPr="001052BE">
        <w:rPr>
          <w:rStyle w:val="BookTitle"/>
          <w:rFonts w:ascii="Times New Roman" w:hAnsi="Times New Roman"/>
          <w:b w:val="0"/>
          <w:i w:val="0"/>
        </w:rPr>
        <w:t xml:space="preserve"> and some that will not.  Segment 3 includes several subgroups who will be offered different amounts of the missed round incentive.  </w:t>
      </w:r>
      <w:r w:rsidR="002D74B5">
        <w:rPr>
          <w:rStyle w:val="BookTitle"/>
          <w:rFonts w:ascii="Times New Roman" w:hAnsi="Times New Roman"/>
          <w:b w:val="0"/>
          <w:i w:val="0"/>
        </w:rPr>
        <w:t>A</w:t>
      </w:r>
      <w:r w:rsidRPr="001052BE">
        <w:rPr>
          <w:rStyle w:val="BookTitle"/>
          <w:rFonts w:ascii="Times New Roman" w:hAnsi="Times New Roman"/>
          <w:b w:val="0"/>
          <w:i w:val="0"/>
        </w:rPr>
        <w:t>ll segments may include some respondents who will receive the final push and/or the enhanced final push incentives.</w:t>
      </w:r>
    </w:p>
    <w:p w:rsidRPr="00F81841" w:rsidR="003A3100" w:rsidP="00F81841" w:rsidRDefault="003A3100" w14:paraId="151C5BDC" w14:textId="77777777">
      <w:pPr>
        <w:rPr>
          <w:rFonts w:ascii="Times New Roman" w:hAnsi="Times New Roman"/>
        </w:rPr>
      </w:pPr>
    </w:p>
    <w:p w:rsidRPr="001052BE" w:rsidR="001052BE" w:rsidP="001052BE" w:rsidRDefault="001052BE" w14:paraId="567A4159" w14:textId="03596A5F">
      <w:pPr>
        <w:spacing w:after="160" w:line="259" w:lineRule="auto"/>
        <w:rPr>
          <w:rStyle w:val="BookTitle"/>
          <w:rFonts w:ascii="Times New Roman" w:hAnsi="Times New Roman"/>
          <w:i w:val="0"/>
        </w:rPr>
      </w:pPr>
      <w:r w:rsidRPr="001052BE">
        <w:rPr>
          <w:rStyle w:val="BookTitle"/>
          <w:rFonts w:ascii="Times New Roman" w:hAnsi="Times New Roman"/>
          <w:i w:val="0"/>
        </w:rPr>
        <w:t xml:space="preserve">Table </w:t>
      </w:r>
      <w:r w:rsidR="00CE4251">
        <w:rPr>
          <w:rStyle w:val="BookTitle"/>
          <w:rFonts w:ascii="Times New Roman" w:hAnsi="Times New Roman"/>
          <w:i w:val="0"/>
        </w:rPr>
        <w:t>6</w:t>
      </w:r>
      <w:r w:rsidRPr="001052BE">
        <w:rPr>
          <w:rStyle w:val="BookTitle"/>
          <w:rFonts w:ascii="Times New Roman" w:hAnsi="Times New Roman"/>
          <w:i w:val="0"/>
        </w:rPr>
        <w:t>. Summary of Round 20 Incentive Structure</w:t>
      </w:r>
    </w:p>
    <w:tbl>
      <w:tblPr>
        <w:tblStyle w:val="TableGrid"/>
        <w:tblW w:w="9518" w:type="dxa"/>
        <w:tblLayout w:type="fixed"/>
        <w:tblLook w:val="04A0" w:firstRow="1" w:lastRow="0" w:firstColumn="1" w:lastColumn="0" w:noHBand="0" w:noVBand="1"/>
      </w:tblPr>
      <w:tblGrid>
        <w:gridCol w:w="1165"/>
        <w:gridCol w:w="1350"/>
        <w:gridCol w:w="1350"/>
        <w:gridCol w:w="990"/>
        <w:gridCol w:w="1082"/>
        <w:gridCol w:w="1192"/>
        <w:gridCol w:w="1192"/>
        <w:gridCol w:w="1197"/>
      </w:tblGrid>
      <w:tr w:rsidRPr="001052BE" w:rsidR="001052BE" w:rsidTr="001052BE" w14:paraId="441BF1D3" w14:textId="77777777">
        <w:trPr>
          <w:trHeight w:val="254"/>
        </w:trPr>
        <w:tc>
          <w:tcPr>
            <w:tcW w:w="1165" w:type="dxa"/>
            <w:vAlign w:val="center"/>
          </w:tcPr>
          <w:p w:rsidRPr="001052BE" w:rsidR="001052BE" w:rsidP="001052BE" w:rsidRDefault="001052BE" w14:paraId="2B29CF45" w14:textId="77777777">
            <w:pPr>
              <w:rPr>
                <w:rFonts w:ascii="Times New Roman" w:hAnsi="Times New Roman"/>
              </w:rPr>
            </w:pPr>
          </w:p>
        </w:tc>
        <w:tc>
          <w:tcPr>
            <w:tcW w:w="1350" w:type="dxa"/>
          </w:tcPr>
          <w:p w:rsidRPr="001052BE" w:rsidR="001052BE" w:rsidP="001052BE" w:rsidRDefault="001052BE" w14:paraId="7E015F08" w14:textId="77777777">
            <w:pPr>
              <w:tabs>
                <w:tab w:val="left" w:pos="510"/>
                <w:tab w:val="center" w:pos="1062"/>
              </w:tabs>
              <w:rPr>
                <w:rFonts w:ascii="Times New Roman" w:hAnsi="Times New Roman"/>
              </w:rPr>
            </w:pPr>
            <w:r w:rsidRPr="001052BE">
              <w:rPr>
                <w:rFonts w:ascii="Times New Roman" w:hAnsi="Times New Roman"/>
              </w:rPr>
              <w:t>Segment 1</w:t>
            </w:r>
          </w:p>
        </w:tc>
        <w:tc>
          <w:tcPr>
            <w:tcW w:w="1350" w:type="dxa"/>
            <w:vAlign w:val="center"/>
          </w:tcPr>
          <w:p w:rsidRPr="001052BE" w:rsidR="001052BE" w:rsidP="001052BE" w:rsidRDefault="001052BE" w14:paraId="15A7B55D" w14:textId="77777777">
            <w:pPr>
              <w:jc w:val="center"/>
              <w:rPr>
                <w:rFonts w:ascii="Times New Roman" w:hAnsi="Times New Roman"/>
              </w:rPr>
            </w:pPr>
            <w:r w:rsidRPr="001052BE">
              <w:rPr>
                <w:rFonts w:ascii="Times New Roman" w:hAnsi="Times New Roman"/>
              </w:rPr>
              <w:t>Segment 2</w:t>
            </w:r>
          </w:p>
        </w:tc>
        <w:tc>
          <w:tcPr>
            <w:tcW w:w="5653" w:type="dxa"/>
            <w:gridSpan w:val="5"/>
            <w:vAlign w:val="center"/>
          </w:tcPr>
          <w:p w:rsidRPr="001052BE" w:rsidR="001052BE" w:rsidRDefault="001052BE" w14:paraId="5DE56336" w14:textId="77777777">
            <w:pPr>
              <w:jc w:val="center"/>
              <w:rPr>
                <w:rFonts w:ascii="Times New Roman" w:hAnsi="Times New Roman"/>
              </w:rPr>
            </w:pPr>
            <w:r w:rsidRPr="001052BE">
              <w:rPr>
                <w:rFonts w:ascii="Times New Roman" w:hAnsi="Times New Roman"/>
              </w:rPr>
              <w:t>Segment 3</w:t>
            </w:r>
          </w:p>
        </w:tc>
      </w:tr>
      <w:tr w:rsidRPr="001052BE" w:rsidR="001052BE" w:rsidTr="001052BE" w14:paraId="2B0688DA" w14:textId="77777777">
        <w:trPr>
          <w:trHeight w:val="1302"/>
        </w:trPr>
        <w:tc>
          <w:tcPr>
            <w:tcW w:w="1165" w:type="dxa"/>
            <w:vAlign w:val="center"/>
          </w:tcPr>
          <w:p w:rsidRPr="001052BE" w:rsidR="001052BE" w:rsidP="001052BE" w:rsidRDefault="001052BE" w14:paraId="7F18F202" w14:textId="77777777">
            <w:pPr>
              <w:rPr>
                <w:rFonts w:ascii="Times New Roman" w:hAnsi="Times New Roman"/>
              </w:rPr>
            </w:pPr>
          </w:p>
        </w:tc>
        <w:tc>
          <w:tcPr>
            <w:tcW w:w="1350" w:type="dxa"/>
          </w:tcPr>
          <w:p w:rsidRPr="001052BE" w:rsidR="001052BE" w:rsidP="001052BE" w:rsidRDefault="001052BE" w14:paraId="7B092611" w14:textId="77777777">
            <w:pPr>
              <w:rPr>
                <w:rFonts w:ascii="Times New Roman" w:hAnsi="Times New Roman"/>
              </w:rPr>
            </w:pPr>
            <w:r w:rsidRPr="001052BE">
              <w:rPr>
                <w:rFonts w:ascii="Times New Roman" w:hAnsi="Times New Roman"/>
              </w:rPr>
              <w:t xml:space="preserve">“Perfect” </w:t>
            </w:r>
          </w:p>
        </w:tc>
        <w:tc>
          <w:tcPr>
            <w:tcW w:w="1350" w:type="dxa"/>
          </w:tcPr>
          <w:p w:rsidRPr="001052BE" w:rsidR="001052BE" w:rsidRDefault="001052BE" w14:paraId="29065762" w14:textId="77777777">
            <w:pPr>
              <w:rPr>
                <w:rFonts w:ascii="Times New Roman" w:hAnsi="Times New Roman"/>
              </w:rPr>
            </w:pPr>
            <w:r w:rsidRPr="001052BE">
              <w:rPr>
                <w:rFonts w:ascii="Times New Roman" w:hAnsi="Times New Roman"/>
              </w:rPr>
              <w:t>CompletedR19, not “perfect”</w:t>
            </w:r>
          </w:p>
        </w:tc>
        <w:tc>
          <w:tcPr>
            <w:tcW w:w="990" w:type="dxa"/>
          </w:tcPr>
          <w:p w:rsidRPr="001052BE" w:rsidR="001052BE" w:rsidP="001052BE" w:rsidRDefault="001052BE" w14:paraId="73531228" w14:textId="77777777">
            <w:pPr>
              <w:rPr>
                <w:rFonts w:ascii="Times New Roman" w:hAnsi="Times New Roman"/>
              </w:rPr>
            </w:pPr>
            <w:r w:rsidRPr="001052BE">
              <w:rPr>
                <w:rFonts w:ascii="Times New Roman" w:hAnsi="Times New Roman"/>
              </w:rPr>
              <w:t xml:space="preserve">Missed R19 only              </w:t>
            </w:r>
          </w:p>
        </w:tc>
        <w:tc>
          <w:tcPr>
            <w:tcW w:w="1082" w:type="dxa"/>
          </w:tcPr>
          <w:p w:rsidRPr="001052BE" w:rsidR="001052BE" w:rsidP="001052BE" w:rsidRDefault="001052BE" w14:paraId="54EC7447" w14:textId="77777777">
            <w:pPr>
              <w:rPr>
                <w:rFonts w:ascii="Times New Roman" w:hAnsi="Times New Roman"/>
              </w:rPr>
            </w:pPr>
            <w:r w:rsidRPr="001052BE">
              <w:rPr>
                <w:rFonts w:ascii="Times New Roman" w:hAnsi="Times New Roman"/>
              </w:rPr>
              <w:t xml:space="preserve">Missed R19 and R18 only           </w:t>
            </w:r>
          </w:p>
        </w:tc>
        <w:tc>
          <w:tcPr>
            <w:tcW w:w="1192" w:type="dxa"/>
          </w:tcPr>
          <w:p w:rsidRPr="001052BE" w:rsidR="001052BE" w:rsidP="001052BE" w:rsidRDefault="001052BE" w14:paraId="0E35A96E" w14:textId="77777777">
            <w:pPr>
              <w:rPr>
                <w:rFonts w:ascii="Times New Roman" w:hAnsi="Times New Roman"/>
              </w:rPr>
            </w:pPr>
            <w:r w:rsidRPr="001052BE">
              <w:rPr>
                <w:rFonts w:ascii="Times New Roman" w:hAnsi="Times New Roman"/>
              </w:rPr>
              <w:t xml:space="preserve">Missed R19, R18, and R17 only            </w:t>
            </w:r>
          </w:p>
        </w:tc>
        <w:tc>
          <w:tcPr>
            <w:tcW w:w="1192" w:type="dxa"/>
          </w:tcPr>
          <w:p w:rsidRPr="001052BE" w:rsidR="001052BE" w:rsidP="001052BE" w:rsidRDefault="001052BE" w14:paraId="3BB18813" w14:textId="77777777">
            <w:pPr>
              <w:rPr>
                <w:rFonts w:ascii="Times New Roman" w:hAnsi="Times New Roman"/>
              </w:rPr>
            </w:pPr>
            <w:r w:rsidRPr="001052BE">
              <w:rPr>
                <w:rFonts w:ascii="Times New Roman" w:hAnsi="Times New Roman"/>
              </w:rPr>
              <w:t xml:space="preserve">Missed R19, R18, R17, and R16 only         </w:t>
            </w:r>
          </w:p>
        </w:tc>
        <w:tc>
          <w:tcPr>
            <w:tcW w:w="1197" w:type="dxa"/>
          </w:tcPr>
          <w:p w:rsidRPr="001052BE" w:rsidR="001052BE" w:rsidP="001052BE" w:rsidRDefault="001052BE" w14:paraId="24BE13B3"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2FF3EE31" w14:textId="77777777">
        <w:trPr>
          <w:trHeight w:val="254"/>
        </w:trPr>
        <w:tc>
          <w:tcPr>
            <w:tcW w:w="1165" w:type="dxa"/>
            <w:vAlign w:val="center"/>
          </w:tcPr>
          <w:p w:rsidRPr="001052BE" w:rsidR="001052BE" w:rsidP="001052BE" w:rsidRDefault="001052BE" w14:paraId="34BCF055" w14:textId="77777777">
            <w:pPr>
              <w:rPr>
                <w:rFonts w:ascii="Times New Roman" w:hAnsi="Times New Roman"/>
              </w:rPr>
            </w:pPr>
            <w:r w:rsidRPr="001052BE">
              <w:rPr>
                <w:rFonts w:ascii="Times New Roman" w:hAnsi="Times New Roman"/>
              </w:rPr>
              <w:t>Base</w:t>
            </w:r>
          </w:p>
        </w:tc>
        <w:tc>
          <w:tcPr>
            <w:tcW w:w="1350" w:type="dxa"/>
            <w:vAlign w:val="center"/>
          </w:tcPr>
          <w:p w:rsidRPr="001052BE" w:rsidR="001052BE" w:rsidP="001052BE" w:rsidRDefault="001052BE" w14:paraId="4F5CBE40" w14:textId="77777777">
            <w:pPr>
              <w:rPr>
                <w:rFonts w:ascii="Times New Roman" w:hAnsi="Times New Roman"/>
              </w:rPr>
            </w:pPr>
            <w:r w:rsidRPr="001052BE">
              <w:rPr>
                <w:rFonts w:ascii="Times New Roman" w:hAnsi="Times New Roman"/>
              </w:rPr>
              <w:t>$50</w:t>
            </w:r>
          </w:p>
        </w:tc>
        <w:tc>
          <w:tcPr>
            <w:tcW w:w="1350" w:type="dxa"/>
            <w:vAlign w:val="center"/>
          </w:tcPr>
          <w:p w:rsidRPr="001052BE" w:rsidR="001052BE" w:rsidP="001052BE" w:rsidRDefault="001052BE" w14:paraId="33FB8121" w14:textId="77777777">
            <w:pPr>
              <w:rPr>
                <w:rFonts w:ascii="Times New Roman" w:hAnsi="Times New Roman"/>
              </w:rPr>
            </w:pPr>
            <w:r w:rsidRPr="001052BE">
              <w:rPr>
                <w:rFonts w:ascii="Times New Roman" w:hAnsi="Times New Roman"/>
              </w:rPr>
              <w:t>$50</w:t>
            </w:r>
          </w:p>
        </w:tc>
        <w:tc>
          <w:tcPr>
            <w:tcW w:w="990" w:type="dxa"/>
            <w:vAlign w:val="center"/>
          </w:tcPr>
          <w:p w:rsidRPr="001052BE" w:rsidR="001052BE" w:rsidP="001052BE" w:rsidRDefault="001052BE" w14:paraId="5295ADB2" w14:textId="77777777">
            <w:pPr>
              <w:rPr>
                <w:rFonts w:ascii="Times New Roman" w:hAnsi="Times New Roman"/>
              </w:rPr>
            </w:pPr>
            <w:r w:rsidRPr="001052BE">
              <w:rPr>
                <w:rFonts w:ascii="Times New Roman" w:hAnsi="Times New Roman"/>
              </w:rPr>
              <w:t>$50</w:t>
            </w:r>
          </w:p>
        </w:tc>
        <w:tc>
          <w:tcPr>
            <w:tcW w:w="1082" w:type="dxa"/>
          </w:tcPr>
          <w:p w:rsidRPr="001052BE" w:rsidR="001052BE" w:rsidP="001052BE" w:rsidRDefault="001052BE" w14:paraId="53357648" w14:textId="77777777">
            <w:pPr>
              <w:rPr>
                <w:rFonts w:ascii="Times New Roman" w:hAnsi="Times New Roman"/>
              </w:rPr>
            </w:pPr>
            <w:r w:rsidRPr="001052BE">
              <w:rPr>
                <w:rFonts w:ascii="Times New Roman" w:hAnsi="Times New Roman"/>
              </w:rPr>
              <w:t>$50</w:t>
            </w:r>
          </w:p>
        </w:tc>
        <w:tc>
          <w:tcPr>
            <w:tcW w:w="1192" w:type="dxa"/>
          </w:tcPr>
          <w:p w:rsidRPr="001052BE" w:rsidR="001052BE" w:rsidP="001052BE" w:rsidRDefault="001052BE" w14:paraId="45078238" w14:textId="77777777">
            <w:pPr>
              <w:rPr>
                <w:rFonts w:ascii="Times New Roman" w:hAnsi="Times New Roman"/>
              </w:rPr>
            </w:pPr>
            <w:r w:rsidRPr="001052BE">
              <w:rPr>
                <w:rFonts w:ascii="Times New Roman" w:hAnsi="Times New Roman"/>
              </w:rPr>
              <w:t>$50</w:t>
            </w:r>
          </w:p>
        </w:tc>
        <w:tc>
          <w:tcPr>
            <w:tcW w:w="1192" w:type="dxa"/>
            <w:vAlign w:val="center"/>
          </w:tcPr>
          <w:p w:rsidRPr="001052BE" w:rsidR="001052BE" w:rsidP="001052BE" w:rsidRDefault="001052BE" w14:paraId="4C1B84EC" w14:textId="77777777">
            <w:pPr>
              <w:rPr>
                <w:rFonts w:ascii="Times New Roman" w:hAnsi="Times New Roman"/>
              </w:rPr>
            </w:pPr>
            <w:r w:rsidRPr="001052BE">
              <w:rPr>
                <w:rFonts w:ascii="Times New Roman" w:hAnsi="Times New Roman"/>
              </w:rPr>
              <w:t>$50</w:t>
            </w:r>
          </w:p>
        </w:tc>
        <w:tc>
          <w:tcPr>
            <w:tcW w:w="1197" w:type="dxa"/>
          </w:tcPr>
          <w:p w:rsidRPr="001052BE" w:rsidR="001052BE" w:rsidP="001052BE" w:rsidRDefault="001052BE" w14:paraId="56C71EC2" w14:textId="77777777">
            <w:pPr>
              <w:rPr>
                <w:rFonts w:ascii="Times New Roman" w:hAnsi="Times New Roman"/>
              </w:rPr>
            </w:pPr>
            <w:r w:rsidRPr="001052BE">
              <w:rPr>
                <w:rFonts w:ascii="Times New Roman" w:hAnsi="Times New Roman"/>
              </w:rPr>
              <w:t>$50</w:t>
            </w:r>
          </w:p>
        </w:tc>
      </w:tr>
      <w:tr w:rsidRPr="001052BE" w:rsidR="001052BE" w:rsidTr="00CE4251" w14:paraId="47AC3F14" w14:textId="77777777">
        <w:trPr>
          <w:trHeight w:val="509"/>
        </w:trPr>
        <w:tc>
          <w:tcPr>
            <w:tcW w:w="1165" w:type="dxa"/>
            <w:vAlign w:val="center"/>
          </w:tcPr>
          <w:p w:rsidRPr="001052BE" w:rsidR="001052BE" w:rsidP="001052BE" w:rsidRDefault="001052BE" w14:paraId="3C058EFD" w14:textId="77777777">
            <w:pPr>
              <w:rPr>
                <w:rFonts w:ascii="Times New Roman" w:hAnsi="Times New Roman"/>
              </w:rPr>
            </w:pPr>
            <w:r w:rsidRPr="001052BE">
              <w:rPr>
                <w:rFonts w:ascii="Times New Roman" w:hAnsi="Times New Roman"/>
              </w:rPr>
              <w:t>Thank You</w:t>
            </w:r>
          </w:p>
        </w:tc>
        <w:tc>
          <w:tcPr>
            <w:tcW w:w="1350" w:type="dxa"/>
            <w:vAlign w:val="center"/>
          </w:tcPr>
          <w:p w:rsidRPr="001052BE" w:rsidR="001052BE" w:rsidP="001052BE" w:rsidRDefault="001052BE" w14:paraId="3C4B5ACC" w14:textId="77777777">
            <w:pPr>
              <w:rPr>
                <w:rFonts w:ascii="Times New Roman" w:hAnsi="Times New Roman"/>
              </w:rPr>
            </w:pPr>
            <w:r w:rsidRPr="001052BE">
              <w:rPr>
                <w:rFonts w:ascii="Times New Roman" w:hAnsi="Times New Roman"/>
              </w:rPr>
              <w:t>$25</w:t>
            </w:r>
          </w:p>
        </w:tc>
        <w:tc>
          <w:tcPr>
            <w:tcW w:w="1350" w:type="dxa"/>
            <w:vAlign w:val="center"/>
          </w:tcPr>
          <w:p w:rsidRPr="001052BE" w:rsidR="001052BE" w:rsidP="001052BE" w:rsidRDefault="00CE4251" w14:paraId="31E72A9D" w14:textId="022C273F">
            <w:pPr>
              <w:rPr>
                <w:rFonts w:ascii="Times New Roman" w:hAnsi="Times New Roman"/>
              </w:rPr>
            </w:pPr>
            <w:r w:rsidRPr="001052BE">
              <w:rPr>
                <w:rFonts w:ascii="Times New Roman" w:hAnsi="Times New Roman"/>
              </w:rPr>
              <w:t>-</w:t>
            </w:r>
          </w:p>
        </w:tc>
        <w:tc>
          <w:tcPr>
            <w:tcW w:w="990" w:type="dxa"/>
            <w:vAlign w:val="center"/>
          </w:tcPr>
          <w:p w:rsidRPr="001052BE" w:rsidR="001052BE" w:rsidP="001052BE" w:rsidRDefault="00CE4251" w14:paraId="0C5A8F19" w14:textId="72EA3BF4">
            <w:pPr>
              <w:rPr>
                <w:rFonts w:ascii="Times New Roman" w:hAnsi="Times New Roman"/>
              </w:rPr>
            </w:pPr>
            <w:r w:rsidRPr="001052BE">
              <w:rPr>
                <w:rFonts w:ascii="Times New Roman" w:hAnsi="Times New Roman"/>
              </w:rPr>
              <w:t>-</w:t>
            </w:r>
          </w:p>
        </w:tc>
        <w:tc>
          <w:tcPr>
            <w:tcW w:w="1082" w:type="dxa"/>
            <w:vAlign w:val="center"/>
          </w:tcPr>
          <w:p w:rsidRPr="001052BE" w:rsidR="001052BE" w:rsidP="001052BE" w:rsidRDefault="00CE4251" w14:paraId="09305F31" w14:textId="1F0AF5F5">
            <w:pPr>
              <w:rPr>
                <w:rFonts w:ascii="Times New Roman" w:hAnsi="Times New Roman"/>
              </w:rPr>
            </w:pPr>
            <w:r w:rsidRPr="001052BE">
              <w:rPr>
                <w:rFonts w:ascii="Times New Roman" w:hAnsi="Times New Roman"/>
              </w:rPr>
              <w:t>-</w:t>
            </w:r>
          </w:p>
        </w:tc>
        <w:tc>
          <w:tcPr>
            <w:tcW w:w="1192" w:type="dxa"/>
            <w:vAlign w:val="center"/>
          </w:tcPr>
          <w:p w:rsidRPr="001052BE" w:rsidR="001052BE" w:rsidP="001052BE" w:rsidRDefault="00CE4251" w14:paraId="1FC09B9E" w14:textId="028A7B38">
            <w:pPr>
              <w:rPr>
                <w:rFonts w:ascii="Times New Roman" w:hAnsi="Times New Roman"/>
              </w:rPr>
            </w:pPr>
            <w:r w:rsidRPr="001052BE">
              <w:rPr>
                <w:rFonts w:ascii="Times New Roman" w:hAnsi="Times New Roman"/>
              </w:rPr>
              <w:t>-</w:t>
            </w:r>
          </w:p>
        </w:tc>
        <w:tc>
          <w:tcPr>
            <w:tcW w:w="1192" w:type="dxa"/>
            <w:vAlign w:val="center"/>
          </w:tcPr>
          <w:p w:rsidRPr="001052BE" w:rsidR="001052BE" w:rsidP="001052BE" w:rsidRDefault="00CE4251" w14:paraId="3B1EB472" w14:textId="15A5C433">
            <w:pPr>
              <w:rPr>
                <w:rFonts w:ascii="Times New Roman" w:hAnsi="Times New Roman"/>
              </w:rPr>
            </w:pPr>
            <w:r w:rsidRPr="001052BE">
              <w:rPr>
                <w:rFonts w:ascii="Times New Roman" w:hAnsi="Times New Roman"/>
              </w:rPr>
              <w:t>-</w:t>
            </w:r>
          </w:p>
        </w:tc>
        <w:tc>
          <w:tcPr>
            <w:tcW w:w="1197" w:type="dxa"/>
            <w:vAlign w:val="center"/>
          </w:tcPr>
          <w:p w:rsidRPr="001052BE" w:rsidR="001052BE" w:rsidP="001052BE" w:rsidRDefault="00CE4251" w14:paraId="23FD4E29" w14:textId="13649C7E">
            <w:pPr>
              <w:rPr>
                <w:rFonts w:ascii="Times New Roman" w:hAnsi="Times New Roman"/>
              </w:rPr>
            </w:pPr>
            <w:r w:rsidRPr="001052BE">
              <w:rPr>
                <w:rFonts w:ascii="Times New Roman" w:hAnsi="Times New Roman"/>
              </w:rPr>
              <w:t>-</w:t>
            </w:r>
          </w:p>
        </w:tc>
      </w:tr>
      <w:tr w:rsidRPr="001052BE" w:rsidR="001052BE" w:rsidTr="001052BE" w14:paraId="11857F15" w14:textId="77777777">
        <w:trPr>
          <w:trHeight w:val="523"/>
        </w:trPr>
        <w:tc>
          <w:tcPr>
            <w:tcW w:w="1165" w:type="dxa"/>
            <w:vAlign w:val="center"/>
          </w:tcPr>
          <w:p w:rsidRPr="001052BE" w:rsidR="001052BE" w:rsidP="001052BE" w:rsidRDefault="001052BE" w14:paraId="35FCC758" w14:textId="77777777">
            <w:pPr>
              <w:rPr>
                <w:rFonts w:ascii="Times New Roman" w:hAnsi="Times New Roman"/>
                <w:color w:val="000000" w:themeColor="text1"/>
              </w:rPr>
            </w:pPr>
            <w:r w:rsidRPr="001052BE">
              <w:rPr>
                <w:rFonts w:ascii="Times New Roman" w:hAnsi="Times New Roman"/>
                <w:color w:val="000000" w:themeColor="text1"/>
              </w:rPr>
              <w:t xml:space="preserve">Missed Round </w:t>
            </w:r>
          </w:p>
        </w:tc>
        <w:tc>
          <w:tcPr>
            <w:tcW w:w="1350" w:type="dxa"/>
            <w:vAlign w:val="center"/>
          </w:tcPr>
          <w:p w:rsidRPr="001052BE" w:rsidR="001052BE" w:rsidP="001052BE" w:rsidRDefault="001052BE" w14:paraId="3D785615" w14:textId="77777777">
            <w:pPr>
              <w:rPr>
                <w:rFonts w:ascii="Times New Roman" w:hAnsi="Times New Roman"/>
              </w:rPr>
            </w:pPr>
            <w:r w:rsidRPr="001052BE">
              <w:rPr>
                <w:rFonts w:ascii="Times New Roman" w:hAnsi="Times New Roman"/>
              </w:rPr>
              <w:t>-</w:t>
            </w:r>
          </w:p>
        </w:tc>
        <w:tc>
          <w:tcPr>
            <w:tcW w:w="1350" w:type="dxa"/>
            <w:vAlign w:val="center"/>
          </w:tcPr>
          <w:p w:rsidRPr="001052BE" w:rsidR="001052BE" w:rsidP="001052BE" w:rsidRDefault="001052BE" w14:paraId="4C8B38AC" w14:textId="77777777">
            <w:pPr>
              <w:rPr>
                <w:rFonts w:ascii="Times New Roman" w:hAnsi="Times New Roman"/>
              </w:rPr>
            </w:pPr>
            <w:r w:rsidRPr="001052BE">
              <w:rPr>
                <w:rFonts w:ascii="Times New Roman" w:hAnsi="Times New Roman"/>
              </w:rPr>
              <w:t>-</w:t>
            </w:r>
          </w:p>
        </w:tc>
        <w:tc>
          <w:tcPr>
            <w:tcW w:w="990" w:type="dxa"/>
            <w:vAlign w:val="center"/>
          </w:tcPr>
          <w:p w:rsidRPr="001052BE" w:rsidR="001052BE" w:rsidP="001052BE" w:rsidRDefault="001052BE" w14:paraId="1409FE8C" w14:textId="77777777">
            <w:pPr>
              <w:rPr>
                <w:rFonts w:ascii="Times New Roman" w:hAnsi="Times New Roman"/>
                <w:color w:val="000000" w:themeColor="text1"/>
              </w:rPr>
            </w:pPr>
            <w:r w:rsidRPr="001052BE">
              <w:rPr>
                <w:rFonts w:ascii="Times New Roman" w:hAnsi="Times New Roman"/>
                <w:color w:val="000000" w:themeColor="text1"/>
              </w:rPr>
              <w:t>$40</w:t>
            </w:r>
          </w:p>
        </w:tc>
        <w:tc>
          <w:tcPr>
            <w:tcW w:w="1082" w:type="dxa"/>
            <w:vAlign w:val="center"/>
          </w:tcPr>
          <w:p w:rsidRPr="001052BE" w:rsidR="001052BE" w:rsidP="001052BE" w:rsidRDefault="001052BE" w14:paraId="5E76EF17" w14:textId="77777777">
            <w:pPr>
              <w:rPr>
                <w:rFonts w:ascii="Times New Roman" w:hAnsi="Times New Roman"/>
              </w:rPr>
            </w:pPr>
            <w:r w:rsidRPr="001052BE">
              <w:rPr>
                <w:rFonts w:ascii="Times New Roman" w:hAnsi="Times New Roman"/>
              </w:rPr>
              <w:t>$60</w:t>
            </w:r>
          </w:p>
        </w:tc>
        <w:tc>
          <w:tcPr>
            <w:tcW w:w="1192" w:type="dxa"/>
            <w:vAlign w:val="center"/>
          </w:tcPr>
          <w:p w:rsidRPr="001052BE" w:rsidR="001052BE" w:rsidP="001052BE" w:rsidRDefault="001052BE" w14:paraId="13BF21F8" w14:textId="77777777">
            <w:pPr>
              <w:rPr>
                <w:rFonts w:ascii="Times New Roman" w:hAnsi="Times New Roman"/>
              </w:rPr>
            </w:pPr>
            <w:r w:rsidRPr="001052BE">
              <w:rPr>
                <w:rFonts w:ascii="Times New Roman" w:hAnsi="Times New Roman"/>
              </w:rPr>
              <w:t>$80</w:t>
            </w:r>
          </w:p>
        </w:tc>
        <w:tc>
          <w:tcPr>
            <w:tcW w:w="1192" w:type="dxa"/>
            <w:vAlign w:val="center"/>
          </w:tcPr>
          <w:p w:rsidRPr="001052BE" w:rsidR="001052BE" w:rsidP="001052BE" w:rsidRDefault="001052BE" w14:paraId="2686EE0D" w14:textId="77777777">
            <w:pPr>
              <w:rPr>
                <w:rFonts w:ascii="Times New Roman" w:hAnsi="Times New Roman"/>
              </w:rPr>
            </w:pPr>
            <w:r w:rsidRPr="001052BE">
              <w:rPr>
                <w:rFonts w:ascii="Times New Roman" w:hAnsi="Times New Roman"/>
              </w:rPr>
              <w:t>$100</w:t>
            </w:r>
          </w:p>
        </w:tc>
        <w:tc>
          <w:tcPr>
            <w:tcW w:w="1197" w:type="dxa"/>
            <w:vAlign w:val="center"/>
          </w:tcPr>
          <w:p w:rsidRPr="001052BE" w:rsidR="001052BE" w:rsidP="001052BE" w:rsidRDefault="001052BE" w14:paraId="21674317" w14:textId="77777777">
            <w:pPr>
              <w:rPr>
                <w:rFonts w:ascii="Times New Roman" w:hAnsi="Times New Roman"/>
              </w:rPr>
            </w:pPr>
            <w:r w:rsidRPr="001052BE">
              <w:rPr>
                <w:rFonts w:ascii="Times New Roman" w:hAnsi="Times New Roman"/>
              </w:rPr>
              <w:t>$150</w:t>
            </w:r>
          </w:p>
        </w:tc>
      </w:tr>
      <w:tr w:rsidRPr="001052BE" w:rsidR="001052BE" w:rsidTr="001052BE" w14:paraId="1C13B6F2" w14:textId="77777777">
        <w:trPr>
          <w:trHeight w:val="509"/>
        </w:trPr>
        <w:tc>
          <w:tcPr>
            <w:tcW w:w="1165" w:type="dxa"/>
            <w:shd w:val="clear" w:color="auto" w:fill="auto"/>
            <w:vAlign w:val="center"/>
          </w:tcPr>
          <w:p w:rsidRPr="001052BE" w:rsidR="001052BE" w:rsidP="001052BE" w:rsidRDefault="001052BE" w14:paraId="4969052C" w14:textId="77777777">
            <w:pPr>
              <w:rPr>
                <w:rFonts w:ascii="Times New Roman" w:hAnsi="Times New Roman"/>
                <w:color w:val="000000" w:themeColor="text1"/>
              </w:rPr>
            </w:pPr>
            <w:r w:rsidRPr="001052BE">
              <w:rPr>
                <w:rFonts w:ascii="Times New Roman" w:hAnsi="Times New Roman"/>
                <w:color w:val="000000" w:themeColor="text1"/>
              </w:rPr>
              <w:t>Final Push</w:t>
            </w:r>
          </w:p>
        </w:tc>
        <w:tc>
          <w:tcPr>
            <w:tcW w:w="1350" w:type="dxa"/>
            <w:vAlign w:val="center"/>
          </w:tcPr>
          <w:p w:rsidRPr="001052BE" w:rsidR="001052BE" w:rsidP="001052BE" w:rsidRDefault="001052BE" w14:paraId="5CF839D5" w14:textId="77777777">
            <w:pPr>
              <w:rPr>
                <w:rFonts w:ascii="Times New Roman" w:hAnsi="Times New Roman"/>
              </w:rPr>
            </w:pPr>
            <w:r w:rsidRPr="001052BE">
              <w:rPr>
                <w:rFonts w:ascii="Times New Roman" w:hAnsi="Times New Roman"/>
              </w:rPr>
              <w:t>$25</w:t>
            </w:r>
          </w:p>
        </w:tc>
        <w:tc>
          <w:tcPr>
            <w:tcW w:w="1350" w:type="dxa"/>
            <w:shd w:val="clear" w:color="auto" w:fill="auto"/>
            <w:vAlign w:val="center"/>
          </w:tcPr>
          <w:p w:rsidRPr="001052BE" w:rsidR="001052BE" w:rsidP="001052BE" w:rsidRDefault="001052BE" w14:paraId="39CF79D8" w14:textId="77777777">
            <w:pPr>
              <w:rPr>
                <w:rFonts w:ascii="Times New Roman" w:hAnsi="Times New Roman"/>
              </w:rPr>
            </w:pPr>
            <w:r w:rsidRPr="001052BE">
              <w:rPr>
                <w:rFonts w:ascii="Times New Roman" w:hAnsi="Times New Roman"/>
              </w:rPr>
              <w:t>$25</w:t>
            </w:r>
          </w:p>
        </w:tc>
        <w:tc>
          <w:tcPr>
            <w:tcW w:w="990" w:type="dxa"/>
            <w:shd w:val="clear" w:color="auto" w:fill="auto"/>
            <w:vAlign w:val="center"/>
          </w:tcPr>
          <w:p w:rsidRPr="001052BE" w:rsidR="001052BE" w:rsidP="001052BE" w:rsidRDefault="001052BE" w14:paraId="678228A9" w14:textId="77777777">
            <w:pPr>
              <w:rPr>
                <w:rFonts w:ascii="Times New Roman" w:hAnsi="Times New Roman"/>
                <w:color w:val="000000" w:themeColor="text1"/>
              </w:rPr>
            </w:pPr>
            <w:r w:rsidRPr="001052BE">
              <w:rPr>
                <w:rFonts w:ascii="Times New Roman" w:hAnsi="Times New Roman"/>
              </w:rPr>
              <w:t>$25</w:t>
            </w:r>
          </w:p>
        </w:tc>
        <w:tc>
          <w:tcPr>
            <w:tcW w:w="1082" w:type="dxa"/>
            <w:shd w:val="clear" w:color="auto" w:fill="auto"/>
            <w:vAlign w:val="center"/>
          </w:tcPr>
          <w:p w:rsidRPr="001052BE" w:rsidR="001052BE" w:rsidP="001052BE" w:rsidRDefault="001052BE" w14:paraId="075EC965" w14:textId="77777777">
            <w:pPr>
              <w:rPr>
                <w:rFonts w:ascii="Times New Roman" w:hAnsi="Times New Roman"/>
              </w:rPr>
            </w:pPr>
            <w:r w:rsidRPr="001052BE">
              <w:rPr>
                <w:rFonts w:ascii="Times New Roman" w:hAnsi="Times New Roman"/>
              </w:rPr>
              <w:t>$25</w:t>
            </w:r>
          </w:p>
        </w:tc>
        <w:tc>
          <w:tcPr>
            <w:tcW w:w="1192" w:type="dxa"/>
            <w:shd w:val="clear" w:color="auto" w:fill="auto"/>
            <w:vAlign w:val="center"/>
          </w:tcPr>
          <w:p w:rsidRPr="001052BE" w:rsidR="001052BE" w:rsidP="001052BE" w:rsidRDefault="001052BE" w14:paraId="5A60CDAE" w14:textId="77777777">
            <w:pPr>
              <w:rPr>
                <w:rFonts w:ascii="Times New Roman" w:hAnsi="Times New Roman"/>
              </w:rPr>
            </w:pPr>
            <w:r w:rsidRPr="001052BE">
              <w:rPr>
                <w:rFonts w:ascii="Times New Roman" w:hAnsi="Times New Roman"/>
              </w:rPr>
              <w:t>$25</w:t>
            </w:r>
          </w:p>
        </w:tc>
        <w:tc>
          <w:tcPr>
            <w:tcW w:w="1192" w:type="dxa"/>
            <w:shd w:val="clear" w:color="auto" w:fill="auto"/>
            <w:vAlign w:val="center"/>
          </w:tcPr>
          <w:p w:rsidRPr="001052BE" w:rsidR="001052BE" w:rsidP="001052BE" w:rsidRDefault="001052BE" w14:paraId="4EBF6992" w14:textId="77777777">
            <w:pPr>
              <w:rPr>
                <w:rFonts w:ascii="Times New Roman" w:hAnsi="Times New Roman"/>
              </w:rPr>
            </w:pPr>
            <w:r w:rsidRPr="001052BE">
              <w:rPr>
                <w:rFonts w:ascii="Times New Roman" w:hAnsi="Times New Roman"/>
              </w:rPr>
              <w:t>$25</w:t>
            </w:r>
          </w:p>
        </w:tc>
        <w:tc>
          <w:tcPr>
            <w:tcW w:w="1197" w:type="dxa"/>
            <w:shd w:val="clear" w:color="auto" w:fill="auto"/>
            <w:vAlign w:val="center"/>
          </w:tcPr>
          <w:p w:rsidRPr="001052BE" w:rsidR="001052BE" w:rsidP="001052BE" w:rsidRDefault="001052BE" w14:paraId="2041EC52" w14:textId="77777777">
            <w:pPr>
              <w:rPr>
                <w:rFonts w:ascii="Times New Roman" w:hAnsi="Times New Roman"/>
              </w:rPr>
            </w:pPr>
            <w:r w:rsidRPr="001052BE">
              <w:rPr>
                <w:rFonts w:ascii="Times New Roman" w:hAnsi="Times New Roman"/>
              </w:rPr>
              <w:t>$25</w:t>
            </w:r>
          </w:p>
        </w:tc>
      </w:tr>
      <w:tr w:rsidRPr="001052BE" w:rsidR="001052BE" w:rsidTr="001052BE" w14:paraId="4F114803" w14:textId="77777777">
        <w:trPr>
          <w:trHeight w:val="778"/>
        </w:trPr>
        <w:tc>
          <w:tcPr>
            <w:tcW w:w="1165" w:type="dxa"/>
            <w:shd w:val="clear" w:color="auto" w:fill="auto"/>
            <w:vAlign w:val="center"/>
          </w:tcPr>
          <w:p w:rsidRPr="001052BE" w:rsidR="001052BE" w:rsidP="001052BE" w:rsidRDefault="001052BE" w14:paraId="3B5E1B62" w14:textId="77777777">
            <w:pPr>
              <w:rPr>
                <w:rFonts w:ascii="Times New Roman" w:hAnsi="Times New Roman"/>
                <w:color w:val="000000" w:themeColor="text1"/>
              </w:rPr>
            </w:pPr>
            <w:r w:rsidRPr="001052BE">
              <w:rPr>
                <w:rFonts w:ascii="Times New Roman" w:hAnsi="Times New Roman"/>
                <w:color w:val="000000" w:themeColor="text1"/>
              </w:rPr>
              <w:t>Enhanced Final Push</w:t>
            </w:r>
          </w:p>
        </w:tc>
        <w:tc>
          <w:tcPr>
            <w:tcW w:w="1350" w:type="dxa"/>
          </w:tcPr>
          <w:p w:rsidRPr="001052BE" w:rsidR="001052BE" w:rsidP="001052BE" w:rsidRDefault="001052BE" w14:paraId="244D64A8" w14:textId="77777777">
            <w:pPr>
              <w:rPr>
                <w:rFonts w:ascii="Times New Roman" w:hAnsi="Times New Roman"/>
              </w:rPr>
            </w:pPr>
            <w:r w:rsidRPr="001052BE">
              <w:rPr>
                <w:rFonts w:ascii="Times New Roman" w:hAnsi="Times New Roman"/>
              </w:rPr>
              <w:t>$25</w:t>
            </w:r>
          </w:p>
        </w:tc>
        <w:tc>
          <w:tcPr>
            <w:tcW w:w="1350" w:type="dxa"/>
            <w:shd w:val="clear" w:color="auto" w:fill="auto"/>
          </w:tcPr>
          <w:p w:rsidRPr="001052BE" w:rsidR="001052BE" w:rsidP="001052BE" w:rsidRDefault="001052BE" w14:paraId="481B43A4" w14:textId="77777777">
            <w:pPr>
              <w:rPr>
                <w:rFonts w:ascii="Times New Roman" w:hAnsi="Times New Roman"/>
              </w:rPr>
            </w:pPr>
            <w:r w:rsidRPr="001052BE">
              <w:rPr>
                <w:rFonts w:ascii="Times New Roman" w:hAnsi="Times New Roman"/>
              </w:rPr>
              <w:t>$25</w:t>
            </w:r>
          </w:p>
        </w:tc>
        <w:tc>
          <w:tcPr>
            <w:tcW w:w="990" w:type="dxa"/>
            <w:shd w:val="clear" w:color="auto" w:fill="auto"/>
          </w:tcPr>
          <w:p w:rsidRPr="001052BE" w:rsidR="001052BE" w:rsidP="001052BE" w:rsidRDefault="001052BE" w14:paraId="58FED6C6" w14:textId="77777777">
            <w:pPr>
              <w:rPr>
                <w:rFonts w:ascii="Times New Roman" w:hAnsi="Times New Roman"/>
                <w:color w:val="000000" w:themeColor="text1"/>
              </w:rPr>
            </w:pPr>
            <w:r w:rsidRPr="001052BE">
              <w:rPr>
                <w:rFonts w:ascii="Times New Roman" w:hAnsi="Times New Roman"/>
              </w:rPr>
              <w:t>$25</w:t>
            </w:r>
          </w:p>
        </w:tc>
        <w:tc>
          <w:tcPr>
            <w:tcW w:w="1082" w:type="dxa"/>
            <w:shd w:val="clear" w:color="auto" w:fill="auto"/>
          </w:tcPr>
          <w:p w:rsidRPr="001052BE" w:rsidR="001052BE" w:rsidP="001052BE" w:rsidRDefault="001052BE" w14:paraId="43824EDC" w14:textId="77777777">
            <w:pPr>
              <w:rPr>
                <w:rFonts w:ascii="Times New Roman" w:hAnsi="Times New Roman"/>
              </w:rPr>
            </w:pPr>
            <w:r w:rsidRPr="001052BE">
              <w:rPr>
                <w:rFonts w:ascii="Times New Roman" w:hAnsi="Times New Roman"/>
              </w:rPr>
              <w:t>$25</w:t>
            </w:r>
          </w:p>
        </w:tc>
        <w:tc>
          <w:tcPr>
            <w:tcW w:w="1192" w:type="dxa"/>
            <w:shd w:val="clear" w:color="auto" w:fill="auto"/>
          </w:tcPr>
          <w:p w:rsidRPr="001052BE" w:rsidR="001052BE" w:rsidP="001052BE" w:rsidRDefault="001052BE" w14:paraId="79181B18" w14:textId="77777777">
            <w:pPr>
              <w:rPr>
                <w:rFonts w:ascii="Times New Roman" w:hAnsi="Times New Roman"/>
              </w:rPr>
            </w:pPr>
            <w:r w:rsidRPr="001052BE">
              <w:rPr>
                <w:rFonts w:ascii="Times New Roman" w:hAnsi="Times New Roman"/>
              </w:rPr>
              <w:t>$25</w:t>
            </w:r>
          </w:p>
        </w:tc>
        <w:tc>
          <w:tcPr>
            <w:tcW w:w="1192" w:type="dxa"/>
            <w:shd w:val="clear" w:color="auto" w:fill="auto"/>
          </w:tcPr>
          <w:p w:rsidRPr="001052BE" w:rsidR="001052BE" w:rsidP="001052BE" w:rsidRDefault="001052BE" w14:paraId="2CD46B5F" w14:textId="77777777">
            <w:pPr>
              <w:rPr>
                <w:rFonts w:ascii="Times New Roman" w:hAnsi="Times New Roman"/>
              </w:rPr>
            </w:pPr>
            <w:r w:rsidRPr="001052BE">
              <w:rPr>
                <w:rFonts w:ascii="Times New Roman" w:hAnsi="Times New Roman"/>
              </w:rPr>
              <w:t>$25</w:t>
            </w:r>
          </w:p>
        </w:tc>
        <w:tc>
          <w:tcPr>
            <w:tcW w:w="1197" w:type="dxa"/>
            <w:shd w:val="clear" w:color="auto" w:fill="auto"/>
          </w:tcPr>
          <w:p w:rsidRPr="001052BE" w:rsidR="001052BE" w:rsidP="001052BE" w:rsidRDefault="001052BE" w14:paraId="6C27D488" w14:textId="77777777">
            <w:pPr>
              <w:rPr>
                <w:rFonts w:ascii="Times New Roman" w:hAnsi="Times New Roman"/>
              </w:rPr>
            </w:pPr>
            <w:r w:rsidRPr="001052BE">
              <w:rPr>
                <w:rFonts w:ascii="Times New Roman" w:hAnsi="Times New Roman"/>
              </w:rPr>
              <w:t>$25</w:t>
            </w:r>
          </w:p>
        </w:tc>
      </w:tr>
      <w:tr w:rsidRPr="001052BE" w:rsidR="001052BE" w:rsidTr="001052BE" w14:paraId="67882C55" w14:textId="77777777">
        <w:trPr>
          <w:trHeight w:val="254"/>
        </w:trPr>
        <w:tc>
          <w:tcPr>
            <w:tcW w:w="1165" w:type="dxa"/>
            <w:shd w:val="clear" w:color="auto" w:fill="D9D9D9" w:themeFill="background1" w:themeFillShade="D9"/>
            <w:vAlign w:val="center"/>
          </w:tcPr>
          <w:p w:rsidRPr="001052BE" w:rsidR="001052BE" w:rsidP="001052BE" w:rsidRDefault="001052BE" w14:paraId="6504766D" w14:textId="77777777">
            <w:pPr>
              <w:rPr>
                <w:rFonts w:ascii="Times New Roman" w:hAnsi="Times New Roman"/>
                <w:b/>
                <w:color w:val="000000" w:themeColor="text1"/>
              </w:rPr>
            </w:pPr>
            <w:r w:rsidRPr="001052BE">
              <w:rPr>
                <w:rFonts w:ascii="Times New Roman" w:hAnsi="Times New Roman"/>
                <w:b/>
                <w:color w:val="000000" w:themeColor="text1"/>
              </w:rPr>
              <w:t>Min</w:t>
            </w:r>
          </w:p>
        </w:tc>
        <w:tc>
          <w:tcPr>
            <w:tcW w:w="1350" w:type="dxa"/>
            <w:shd w:val="clear" w:color="auto" w:fill="D9D9D9" w:themeFill="background1" w:themeFillShade="D9"/>
            <w:vAlign w:val="center"/>
          </w:tcPr>
          <w:p w:rsidRPr="001052BE" w:rsidR="001052BE" w:rsidP="001052BE" w:rsidRDefault="001052BE" w14:paraId="77401D8B" w14:textId="77777777">
            <w:pPr>
              <w:rPr>
                <w:rFonts w:ascii="Times New Roman" w:hAnsi="Times New Roman"/>
                <w:b/>
              </w:rPr>
            </w:pPr>
            <w:r w:rsidRPr="001052BE">
              <w:rPr>
                <w:rFonts w:ascii="Times New Roman" w:hAnsi="Times New Roman"/>
                <w:b/>
              </w:rPr>
              <w:t>$50</w:t>
            </w:r>
          </w:p>
        </w:tc>
        <w:tc>
          <w:tcPr>
            <w:tcW w:w="1350" w:type="dxa"/>
            <w:shd w:val="clear" w:color="auto" w:fill="D9D9D9" w:themeFill="background1" w:themeFillShade="D9"/>
            <w:vAlign w:val="center"/>
          </w:tcPr>
          <w:p w:rsidRPr="001052BE" w:rsidR="001052BE" w:rsidP="001052BE" w:rsidRDefault="001052BE" w14:paraId="71BA578D" w14:textId="77777777">
            <w:pPr>
              <w:rPr>
                <w:rFonts w:ascii="Times New Roman" w:hAnsi="Times New Roman"/>
                <w:b/>
              </w:rPr>
            </w:pPr>
            <w:r w:rsidRPr="001052BE">
              <w:rPr>
                <w:rFonts w:ascii="Times New Roman" w:hAnsi="Times New Roman"/>
                <w:b/>
              </w:rPr>
              <w:t>$50</w:t>
            </w:r>
          </w:p>
        </w:tc>
        <w:tc>
          <w:tcPr>
            <w:tcW w:w="990" w:type="dxa"/>
            <w:shd w:val="clear" w:color="auto" w:fill="D9D9D9" w:themeFill="background1" w:themeFillShade="D9"/>
            <w:vAlign w:val="center"/>
          </w:tcPr>
          <w:p w:rsidRPr="001052BE" w:rsidR="001052BE" w:rsidP="001052BE" w:rsidRDefault="001052BE" w14:paraId="14BDB862"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90</w:t>
            </w:r>
          </w:p>
        </w:tc>
        <w:tc>
          <w:tcPr>
            <w:tcW w:w="1082" w:type="dxa"/>
            <w:shd w:val="clear" w:color="auto" w:fill="D9D9D9" w:themeFill="background1" w:themeFillShade="D9"/>
          </w:tcPr>
          <w:p w:rsidRPr="001052BE" w:rsidR="001052BE" w:rsidP="001052BE" w:rsidRDefault="001052BE" w14:paraId="4D573A54" w14:textId="77777777">
            <w:pPr>
              <w:rPr>
                <w:rFonts w:ascii="Times New Roman" w:hAnsi="Times New Roman"/>
                <w:b/>
              </w:rPr>
            </w:pPr>
            <w:r w:rsidRPr="001052BE">
              <w:rPr>
                <w:rFonts w:ascii="Times New Roman" w:hAnsi="Times New Roman"/>
                <w:b/>
              </w:rPr>
              <w:t>$110</w:t>
            </w:r>
          </w:p>
        </w:tc>
        <w:tc>
          <w:tcPr>
            <w:tcW w:w="1192" w:type="dxa"/>
            <w:shd w:val="clear" w:color="auto" w:fill="D9D9D9" w:themeFill="background1" w:themeFillShade="D9"/>
          </w:tcPr>
          <w:p w:rsidRPr="001052BE" w:rsidR="001052BE" w:rsidP="001052BE" w:rsidRDefault="001052BE" w14:paraId="2665813C" w14:textId="77777777">
            <w:pPr>
              <w:rPr>
                <w:rFonts w:ascii="Times New Roman" w:hAnsi="Times New Roman"/>
                <w:b/>
              </w:rPr>
            </w:pPr>
            <w:r w:rsidRPr="001052BE">
              <w:rPr>
                <w:rFonts w:ascii="Times New Roman" w:hAnsi="Times New Roman"/>
                <w:b/>
              </w:rPr>
              <w:t>$130</w:t>
            </w:r>
          </w:p>
        </w:tc>
        <w:tc>
          <w:tcPr>
            <w:tcW w:w="1192" w:type="dxa"/>
            <w:shd w:val="clear" w:color="auto" w:fill="D9D9D9" w:themeFill="background1" w:themeFillShade="D9"/>
          </w:tcPr>
          <w:p w:rsidRPr="001052BE" w:rsidR="001052BE" w:rsidP="001052BE" w:rsidRDefault="001052BE" w14:paraId="1F1B90AC" w14:textId="77777777">
            <w:pPr>
              <w:rPr>
                <w:rFonts w:ascii="Times New Roman" w:hAnsi="Times New Roman"/>
                <w:b/>
              </w:rPr>
            </w:pPr>
            <w:r w:rsidRPr="001052BE">
              <w:rPr>
                <w:rFonts w:ascii="Times New Roman" w:hAnsi="Times New Roman"/>
                <w:b/>
              </w:rPr>
              <w:t>$150</w:t>
            </w:r>
          </w:p>
        </w:tc>
        <w:tc>
          <w:tcPr>
            <w:tcW w:w="1197" w:type="dxa"/>
            <w:shd w:val="clear" w:color="auto" w:fill="D9D9D9" w:themeFill="background1" w:themeFillShade="D9"/>
          </w:tcPr>
          <w:p w:rsidRPr="001052BE" w:rsidR="001052BE" w:rsidP="001052BE" w:rsidRDefault="001052BE" w14:paraId="7F89E0F6" w14:textId="77777777">
            <w:pPr>
              <w:rPr>
                <w:rFonts w:ascii="Times New Roman" w:hAnsi="Times New Roman"/>
                <w:b/>
              </w:rPr>
            </w:pPr>
            <w:r w:rsidRPr="001052BE">
              <w:rPr>
                <w:rFonts w:ascii="Times New Roman" w:hAnsi="Times New Roman"/>
                <w:b/>
              </w:rPr>
              <w:t>$200</w:t>
            </w:r>
          </w:p>
        </w:tc>
      </w:tr>
      <w:tr w:rsidRPr="001052BE" w:rsidR="001052BE" w:rsidTr="001052BE" w14:paraId="1E428854" w14:textId="77777777">
        <w:trPr>
          <w:trHeight w:val="254"/>
        </w:trPr>
        <w:tc>
          <w:tcPr>
            <w:tcW w:w="1165" w:type="dxa"/>
            <w:shd w:val="clear" w:color="auto" w:fill="D9D9D9" w:themeFill="background1" w:themeFillShade="D9"/>
            <w:vAlign w:val="center"/>
          </w:tcPr>
          <w:p w:rsidRPr="001052BE" w:rsidR="001052BE" w:rsidP="001052BE" w:rsidRDefault="001052BE" w14:paraId="6E19B987" w14:textId="77777777">
            <w:pPr>
              <w:rPr>
                <w:rFonts w:ascii="Times New Roman" w:hAnsi="Times New Roman"/>
                <w:b/>
                <w:color w:val="000000" w:themeColor="text1"/>
              </w:rPr>
            </w:pPr>
            <w:r w:rsidRPr="001052BE">
              <w:rPr>
                <w:rFonts w:ascii="Times New Roman" w:hAnsi="Times New Roman"/>
                <w:b/>
                <w:color w:val="000000" w:themeColor="text1"/>
              </w:rPr>
              <w:t>Max</w:t>
            </w:r>
          </w:p>
        </w:tc>
        <w:tc>
          <w:tcPr>
            <w:tcW w:w="1350" w:type="dxa"/>
            <w:shd w:val="clear" w:color="auto" w:fill="D9D9D9" w:themeFill="background1" w:themeFillShade="D9"/>
            <w:vAlign w:val="center"/>
          </w:tcPr>
          <w:p w:rsidRPr="001052BE" w:rsidR="001052BE" w:rsidP="001052BE" w:rsidRDefault="001052BE" w14:paraId="6BEF6B86" w14:textId="77777777">
            <w:pPr>
              <w:rPr>
                <w:rFonts w:ascii="Times New Roman" w:hAnsi="Times New Roman"/>
                <w:b/>
              </w:rPr>
            </w:pPr>
            <w:r w:rsidRPr="001052BE">
              <w:rPr>
                <w:rFonts w:ascii="Times New Roman" w:hAnsi="Times New Roman"/>
                <w:b/>
              </w:rPr>
              <w:t>$125</w:t>
            </w:r>
          </w:p>
        </w:tc>
        <w:tc>
          <w:tcPr>
            <w:tcW w:w="1350" w:type="dxa"/>
            <w:shd w:val="clear" w:color="auto" w:fill="D9D9D9" w:themeFill="background1" w:themeFillShade="D9"/>
            <w:vAlign w:val="center"/>
          </w:tcPr>
          <w:p w:rsidRPr="001052BE" w:rsidR="001052BE" w:rsidP="001052BE" w:rsidRDefault="001052BE" w14:paraId="5AFCDAB4" w14:textId="77777777">
            <w:pPr>
              <w:rPr>
                <w:rFonts w:ascii="Times New Roman" w:hAnsi="Times New Roman"/>
                <w:b/>
              </w:rPr>
            </w:pPr>
            <w:r w:rsidRPr="001052BE">
              <w:rPr>
                <w:rFonts w:ascii="Times New Roman" w:hAnsi="Times New Roman"/>
                <w:b/>
              </w:rPr>
              <w:t>$100</w:t>
            </w:r>
          </w:p>
        </w:tc>
        <w:tc>
          <w:tcPr>
            <w:tcW w:w="990" w:type="dxa"/>
            <w:shd w:val="clear" w:color="auto" w:fill="D9D9D9" w:themeFill="background1" w:themeFillShade="D9"/>
            <w:vAlign w:val="center"/>
          </w:tcPr>
          <w:p w:rsidRPr="001052BE" w:rsidR="001052BE" w:rsidP="001052BE" w:rsidRDefault="001052BE" w14:paraId="315F224E"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140</w:t>
            </w:r>
          </w:p>
        </w:tc>
        <w:tc>
          <w:tcPr>
            <w:tcW w:w="1082" w:type="dxa"/>
            <w:shd w:val="clear" w:color="auto" w:fill="D9D9D9" w:themeFill="background1" w:themeFillShade="D9"/>
          </w:tcPr>
          <w:p w:rsidRPr="001052BE" w:rsidR="001052BE" w:rsidP="001052BE" w:rsidRDefault="001052BE" w14:paraId="29B3C7EE" w14:textId="77777777">
            <w:pPr>
              <w:rPr>
                <w:rFonts w:ascii="Times New Roman" w:hAnsi="Times New Roman"/>
                <w:b/>
              </w:rPr>
            </w:pPr>
            <w:r w:rsidRPr="001052BE">
              <w:rPr>
                <w:rFonts w:ascii="Times New Roman" w:hAnsi="Times New Roman"/>
                <w:b/>
              </w:rPr>
              <w:t>$160</w:t>
            </w:r>
          </w:p>
        </w:tc>
        <w:tc>
          <w:tcPr>
            <w:tcW w:w="1192" w:type="dxa"/>
            <w:shd w:val="clear" w:color="auto" w:fill="D9D9D9" w:themeFill="background1" w:themeFillShade="D9"/>
          </w:tcPr>
          <w:p w:rsidRPr="001052BE" w:rsidR="001052BE" w:rsidP="001052BE" w:rsidRDefault="001052BE" w14:paraId="7109B4C6" w14:textId="77777777">
            <w:pPr>
              <w:rPr>
                <w:rFonts w:ascii="Times New Roman" w:hAnsi="Times New Roman"/>
                <w:b/>
              </w:rPr>
            </w:pPr>
            <w:r w:rsidRPr="001052BE">
              <w:rPr>
                <w:rFonts w:ascii="Times New Roman" w:hAnsi="Times New Roman"/>
                <w:b/>
              </w:rPr>
              <w:t>$180</w:t>
            </w:r>
          </w:p>
        </w:tc>
        <w:tc>
          <w:tcPr>
            <w:tcW w:w="1192" w:type="dxa"/>
            <w:shd w:val="clear" w:color="auto" w:fill="D9D9D9" w:themeFill="background1" w:themeFillShade="D9"/>
          </w:tcPr>
          <w:p w:rsidRPr="001052BE" w:rsidR="001052BE" w:rsidP="001052BE" w:rsidRDefault="001052BE" w14:paraId="1C68FC6E" w14:textId="77777777">
            <w:pPr>
              <w:rPr>
                <w:rFonts w:ascii="Times New Roman" w:hAnsi="Times New Roman"/>
                <w:b/>
              </w:rPr>
            </w:pPr>
            <w:r w:rsidRPr="001052BE">
              <w:rPr>
                <w:rFonts w:ascii="Times New Roman" w:hAnsi="Times New Roman"/>
                <w:b/>
              </w:rPr>
              <w:t>$200</w:t>
            </w:r>
          </w:p>
        </w:tc>
        <w:tc>
          <w:tcPr>
            <w:tcW w:w="1197" w:type="dxa"/>
            <w:shd w:val="clear" w:color="auto" w:fill="D9D9D9" w:themeFill="background1" w:themeFillShade="D9"/>
          </w:tcPr>
          <w:p w:rsidRPr="001052BE" w:rsidR="001052BE" w:rsidP="001052BE" w:rsidRDefault="001052BE" w14:paraId="02A8BC0A" w14:textId="77777777">
            <w:pPr>
              <w:rPr>
                <w:rFonts w:ascii="Times New Roman" w:hAnsi="Times New Roman"/>
                <w:b/>
              </w:rPr>
            </w:pPr>
            <w:r w:rsidRPr="001052BE">
              <w:rPr>
                <w:rFonts w:ascii="Times New Roman" w:hAnsi="Times New Roman"/>
                <w:b/>
              </w:rPr>
              <w:t>$200</w:t>
            </w:r>
          </w:p>
        </w:tc>
      </w:tr>
      <w:tr w:rsidRPr="001052BE" w:rsidR="001052BE" w:rsidTr="001052BE" w14:paraId="30BF635F" w14:textId="77777777">
        <w:trPr>
          <w:trHeight w:val="254"/>
        </w:trPr>
        <w:tc>
          <w:tcPr>
            <w:tcW w:w="1165" w:type="dxa"/>
            <w:shd w:val="clear" w:color="auto" w:fill="D9D9D9" w:themeFill="background1" w:themeFillShade="D9"/>
            <w:vAlign w:val="center"/>
          </w:tcPr>
          <w:p w:rsidRPr="001052BE" w:rsidR="001052BE" w:rsidP="001052BE" w:rsidRDefault="001052BE" w14:paraId="7974B6F0" w14:textId="77777777">
            <w:pPr>
              <w:rPr>
                <w:rFonts w:ascii="Times New Roman" w:hAnsi="Times New Roman"/>
                <w:b/>
                <w:color w:val="000000" w:themeColor="text1"/>
              </w:rPr>
            </w:pPr>
            <w:r w:rsidRPr="001052BE">
              <w:rPr>
                <w:rFonts w:ascii="Times New Roman" w:hAnsi="Times New Roman"/>
                <w:b/>
                <w:color w:val="000000" w:themeColor="text1"/>
              </w:rPr>
              <w:t>Typical</w:t>
            </w:r>
          </w:p>
        </w:tc>
        <w:tc>
          <w:tcPr>
            <w:tcW w:w="1350" w:type="dxa"/>
            <w:shd w:val="clear" w:color="auto" w:fill="D9D9D9" w:themeFill="background1" w:themeFillShade="D9"/>
            <w:vAlign w:val="center"/>
          </w:tcPr>
          <w:p w:rsidRPr="001052BE" w:rsidR="001052BE" w:rsidP="001052BE" w:rsidRDefault="001052BE" w14:paraId="0D9AFD6B" w14:textId="77777777">
            <w:pPr>
              <w:rPr>
                <w:rFonts w:ascii="Times New Roman" w:hAnsi="Times New Roman"/>
                <w:b/>
              </w:rPr>
            </w:pPr>
            <w:r w:rsidRPr="001052BE">
              <w:rPr>
                <w:rFonts w:ascii="Times New Roman" w:hAnsi="Times New Roman"/>
                <w:b/>
              </w:rPr>
              <w:t>$50</w:t>
            </w:r>
          </w:p>
        </w:tc>
        <w:tc>
          <w:tcPr>
            <w:tcW w:w="1350" w:type="dxa"/>
            <w:shd w:val="clear" w:color="auto" w:fill="D9D9D9" w:themeFill="background1" w:themeFillShade="D9"/>
            <w:vAlign w:val="center"/>
          </w:tcPr>
          <w:p w:rsidRPr="001052BE" w:rsidR="001052BE" w:rsidP="001052BE" w:rsidRDefault="001052BE" w14:paraId="0DF89876" w14:textId="77777777">
            <w:pPr>
              <w:rPr>
                <w:rFonts w:ascii="Times New Roman" w:hAnsi="Times New Roman"/>
                <w:b/>
              </w:rPr>
            </w:pPr>
            <w:r w:rsidRPr="001052BE">
              <w:rPr>
                <w:rFonts w:ascii="Times New Roman" w:hAnsi="Times New Roman"/>
                <w:b/>
              </w:rPr>
              <w:t>$50</w:t>
            </w:r>
          </w:p>
        </w:tc>
        <w:tc>
          <w:tcPr>
            <w:tcW w:w="990" w:type="dxa"/>
            <w:shd w:val="clear" w:color="auto" w:fill="D9D9D9" w:themeFill="background1" w:themeFillShade="D9"/>
            <w:vAlign w:val="center"/>
          </w:tcPr>
          <w:p w:rsidRPr="001052BE" w:rsidR="001052BE" w:rsidP="001052BE" w:rsidRDefault="001052BE" w14:paraId="14FDAF40" w14:textId="77777777">
            <w:pPr>
              <w:rPr>
                <w:rFonts w:ascii="Times New Roman" w:hAnsi="Times New Roman"/>
                <w:b/>
                <w:color w:val="000000" w:themeColor="text1"/>
              </w:rPr>
            </w:pPr>
            <w:r w:rsidRPr="001052BE">
              <w:rPr>
                <w:rFonts w:ascii="Times New Roman" w:hAnsi="Times New Roman"/>
                <w:b/>
              </w:rPr>
              <w:t>$</w:t>
            </w:r>
            <w:r w:rsidRPr="001052BE">
              <w:rPr>
                <w:rFonts w:ascii="Times New Roman" w:hAnsi="Times New Roman"/>
                <w:b/>
                <w:color w:val="000000" w:themeColor="text1"/>
              </w:rPr>
              <w:t>90</w:t>
            </w:r>
          </w:p>
        </w:tc>
        <w:tc>
          <w:tcPr>
            <w:tcW w:w="1082" w:type="dxa"/>
            <w:shd w:val="clear" w:color="auto" w:fill="D9D9D9" w:themeFill="background1" w:themeFillShade="D9"/>
          </w:tcPr>
          <w:p w:rsidRPr="001052BE" w:rsidR="001052BE" w:rsidP="001052BE" w:rsidRDefault="001052BE" w14:paraId="6338EF8F" w14:textId="77777777">
            <w:pPr>
              <w:rPr>
                <w:rFonts w:ascii="Times New Roman" w:hAnsi="Times New Roman"/>
                <w:b/>
              </w:rPr>
            </w:pPr>
            <w:r w:rsidRPr="001052BE">
              <w:rPr>
                <w:rFonts w:ascii="Times New Roman" w:hAnsi="Times New Roman"/>
                <w:b/>
              </w:rPr>
              <w:t>$110</w:t>
            </w:r>
          </w:p>
        </w:tc>
        <w:tc>
          <w:tcPr>
            <w:tcW w:w="1192" w:type="dxa"/>
            <w:shd w:val="clear" w:color="auto" w:fill="D9D9D9" w:themeFill="background1" w:themeFillShade="D9"/>
          </w:tcPr>
          <w:p w:rsidRPr="001052BE" w:rsidR="001052BE" w:rsidP="001052BE" w:rsidRDefault="001052BE" w14:paraId="1A4B1B77" w14:textId="77777777">
            <w:pPr>
              <w:rPr>
                <w:rFonts w:ascii="Times New Roman" w:hAnsi="Times New Roman"/>
                <w:b/>
              </w:rPr>
            </w:pPr>
            <w:r w:rsidRPr="001052BE">
              <w:rPr>
                <w:rFonts w:ascii="Times New Roman" w:hAnsi="Times New Roman"/>
                <w:b/>
              </w:rPr>
              <w:t>$130</w:t>
            </w:r>
          </w:p>
        </w:tc>
        <w:tc>
          <w:tcPr>
            <w:tcW w:w="1192" w:type="dxa"/>
            <w:shd w:val="clear" w:color="auto" w:fill="D9D9D9" w:themeFill="background1" w:themeFillShade="D9"/>
          </w:tcPr>
          <w:p w:rsidRPr="001052BE" w:rsidR="001052BE" w:rsidP="001052BE" w:rsidRDefault="001052BE" w14:paraId="4E6967E4" w14:textId="77777777">
            <w:pPr>
              <w:rPr>
                <w:rFonts w:ascii="Times New Roman" w:hAnsi="Times New Roman"/>
                <w:b/>
              </w:rPr>
            </w:pPr>
            <w:r w:rsidRPr="001052BE">
              <w:rPr>
                <w:rFonts w:ascii="Times New Roman" w:hAnsi="Times New Roman"/>
                <w:b/>
              </w:rPr>
              <w:t>$150</w:t>
            </w:r>
          </w:p>
        </w:tc>
        <w:tc>
          <w:tcPr>
            <w:tcW w:w="1197" w:type="dxa"/>
            <w:shd w:val="clear" w:color="auto" w:fill="D9D9D9" w:themeFill="background1" w:themeFillShade="D9"/>
          </w:tcPr>
          <w:p w:rsidRPr="001052BE" w:rsidR="001052BE" w:rsidP="001052BE" w:rsidRDefault="001052BE" w14:paraId="3CC3707E" w14:textId="77777777">
            <w:pPr>
              <w:rPr>
                <w:rFonts w:ascii="Times New Roman" w:hAnsi="Times New Roman"/>
                <w:b/>
              </w:rPr>
            </w:pPr>
            <w:r w:rsidRPr="001052BE">
              <w:rPr>
                <w:rFonts w:ascii="Times New Roman" w:hAnsi="Times New Roman"/>
                <w:b/>
              </w:rPr>
              <w:t>$200</w:t>
            </w:r>
          </w:p>
        </w:tc>
      </w:tr>
      <w:tr w:rsidRPr="001052BE" w:rsidR="001052BE" w:rsidTr="001052BE" w14:paraId="7999875C" w14:textId="77777777">
        <w:trPr>
          <w:trHeight w:val="254"/>
        </w:trPr>
        <w:tc>
          <w:tcPr>
            <w:tcW w:w="1165" w:type="dxa"/>
          </w:tcPr>
          <w:p w:rsidRPr="001052BE" w:rsidR="001052BE" w:rsidP="001052BE" w:rsidRDefault="001052BE" w14:paraId="395405EF" w14:textId="77777777">
            <w:pPr>
              <w:jc w:val="center"/>
              <w:rPr>
                <w:rFonts w:ascii="Times New Roman" w:hAnsi="Times New Roman"/>
                <w:b/>
              </w:rPr>
            </w:pPr>
          </w:p>
        </w:tc>
        <w:tc>
          <w:tcPr>
            <w:tcW w:w="8353" w:type="dxa"/>
            <w:gridSpan w:val="7"/>
            <w:vAlign w:val="center"/>
          </w:tcPr>
          <w:p w:rsidRPr="001052BE" w:rsidR="001052BE" w:rsidP="001052BE" w:rsidRDefault="001052BE" w14:paraId="6774742B" w14:textId="77777777">
            <w:pPr>
              <w:jc w:val="center"/>
              <w:rPr>
                <w:rFonts w:ascii="Times New Roman" w:hAnsi="Times New Roman"/>
                <w:b/>
              </w:rPr>
            </w:pPr>
            <w:r w:rsidRPr="001052BE">
              <w:rPr>
                <w:rFonts w:ascii="Times New Roman" w:hAnsi="Times New Roman"/>
                <w:b/>
              </w:rPr>
              <w:t>Incentive Enhancements</w:t>
            </w:r>
          </w:p>
        </w:tc>
      </w:tr>
      <w:tr w:rsidRPr="001052BE" w:rsidR="001052BE" w:rsidTr="001052BE" w14:paraId="179D6976" w14:textId="77777777">
        <w:trPr>
          <w:trHeight w:val="778"/>
        </w:trPr>
        <w:tc>
          <w:tcPr>
            <w:tcW w:w="1165" w:type="dxa"/>
            <w:vAlign w:val="center"/>
          </w:tcPr>
          <w:p w:rsidRPr="001052BE" w:rsidR="001052BE" w:rsidP="001052BE" w:rsidRDefault="001052BE" w14:paraId="11EACA4A" w14:textId="77777777">
            <w:pPr>
              <w:rPr>
                <w:rFonts w:ascii="Times New Roman" w:hAnsi="Times New Roman"/>
              </w:rPr>
            </w:pPr>
            <w:r w:rsidRPr="001052BE">
              <w:rPr>
                <w:rFonts w:ascii="Times New Roman" w:hAnsi="Times New Roman"/>
              </w:rPr>
              <w:t>Token In-Kind</w:t>
            </w:r>
          </w:p>
        </w:tc>
        <w:tc>
          <w:tcPr>
            <w:tcW w:w="8353" w:type="dxa"/>
            <w:gridSpan w:val="7"/>
          </w:tcPr>
          <w:p w:rsidRPr="001052BE" w:rsidR="001052BE" w:rsidP="001052BE" w:rsidRDefault="001052BE" w14:paraId="775F21B7" w14:textId="77777777">
            <w:pPr>
              <w:rPr>
                <w:rFonts w:ascii="Times New Roman" w:hAnsi="Times New Roman"/>
              </w:rPr>
            </w:pPr>
            <w:r w:rsidRPr="001052BE">
              <w:rPr>
                <w:rFonts w:ascii="Times New Roman" w:hAnsi="Times New Roman"/>
              </w:rPr>
              <w:t>Up to $10 per respondent for up to 3,000 respondents may be spent on in-kind token items. The distribution of these respondents across the almost 9,000 respondents in the above four groups is not known ex ante.</w:t>
            </w:r>
          </w:p>
        </w:tc>
      </w:tr>
    </w:tbl>
    <w:p w:rsidR="001052BE" w:rsidP="001052BE" w:rsidRDefault="001052BE" w14:paraId="0CE390A3" w14:textId="77777777">
      <w:pPr>
        <w:rPr>
          <w:rFonts w:ascii="Times New Roman" w:hAnsi="Times New Roman"/>
        </w:rPr>
      </w:pPr>
    </w:p>
    <w:p w:rsidRPr="001052BE" w:rsidR="001052BE" w:rsidP="001052BE" w:rsidRDefault="001052BE" w14:paraId="1EDA7977" w14:textId="1F2F540A">
      <w:pPr>
        <w:spacing w:after="160" w:line="259" w:lineRule="auto"/>
        <w:rPr>
          <w:rFonts w:ascii="Times New Roman" w:hAnsi="Times New Roman"/>
          <w:bCs/>
        </w:rPr>
      </w:pPr>
      <w:r w:rsidRPr="001052BE">
        <w:rPr>
          <w:rFonts w:ascii="Times New Roman" w:hAnsi="Times New Roman"/>
          <w:u w:val="single"/>
        </w:rPr>
        <w:lastRenderedPageBreak/>
        <w:t>Incentive Payments and Costs</w:t>
      </w:r>
    </w:p>
    <w:p w:rsidRPr="001052BE" w:rsidR="001052BE" w:rsidP="001052BE" w:rsidRDefault="001052BE" w14:paraId="3E72874C" w14:textId="2770B6E2">
      <w:pPr>
        <w:rPr>
          <w:rFonts w:ascii="Times New Roman" w:hAnsi="Times New Roman"/>
        </w:rPr>
      </w:pPr>
      <w:r w:rsidRPr="001052BE">
        <w:rPr>
          <w:rFonts w:ascii="Times New Roman" w:hAnsi="Times New Roman"/>
        </w:rPr>
        <w:t xml:space="preserve">Respondents will be able to receive their payments electronically through Paypal or Zelle.  Electronic payments were offered to all respondents in Rounds 18 and 19.  </w:t>
      </w:r>
      <w:r w:rsidR="002D74B5">
        <w:rPr>
          <w:rFonts w:ascii="Times New Roman" w:hAnsi="Times New Roman"/>
        </w:rPr>
        <w:t>NLS</w:t>
      </w:r>
      <w:r w:rsidRPr="001052BE" w:rsidR="002D74B5">
        <w:rPr>
          <w:rFonts w:ascii="Times New Roman" w:hAnsi="Times New Roman"/>
        </w:rPr>
        <w:t xml:space="preserve"> </w:t>
      </w:r>
      <w:r w:rsidRPr="001052BE">
        <w:rPr>
          <w:rFonts w:ascii="Times New Roman" w:hAnsi="Times New Roman"/>
        </w:rPr>
        <w:t>propose</w:t>
      </w:r>
      <w:r w:rsidR="002D74B5">
        <w:rPr>
          <w:rFonts w:ascii="Times New Roman" w:hAnsi="Times New Roman"/>
        </w:rPr>
        <w:t>s</w:t>
      </w:r>
      <w:r w:rsidRPr="001052BE">
        <w:rPr>
          <w:rFonts w:ascii="Times New Roman" w:hAnsi="Times New Roman"/>
        </w:rPr>
        <w:t xml:space="preserve"> to offer them again to all respondents. </w:t>
      </w:r>
      <w:r w:rsidR="0063690B">
        <w:rPr>
          <w:rFonts w:ascii="Times New Roman" w:hAnsi="Times New Roman"/>
        </w:rPr>
        <w:t xml:space="preserve"> </w:t>
      </w:r>
      <w:r w:rsidRPr="001052BE">
        <w:rPr>
          <w:rFonts w:ascii="Times New Roman" w:hAnsi="Times New Roman"/>
        </w:rPr>
        <w:t xml:space="preserve">Table </w:t>
      </w:r>
      <w:r w:rsidR="00CE4251">
        <w:rPr>
          <w:rFonts w:ascii="Times New Roman" w:hAnsi="Times New Roman"/>
        </w:rPr>
        <w:t>7</w:t>
      </w:r>
      <w:r w:rsidRPr="001052BE" w:rsidR="00CE4251">
        <w:rPr>
          <w:rFonts w:ascii="Times New Roman" w:hAnsi="Times New Roman"/>
        </w:rPr>
        <w:t xml:space="preserve"> </w:t>
      </w:r>
      <w:r w:rsidRPr="001052BE">
        <w:rPr>
          <w:rFonts w:ascii="Times New Roman" w:hAnsi="Times New Roman"/>
        </w:rPr>
        <w:t>lists the total cost of incentives by respondent pool.</w:t>
      </w:r>
    </w:p>
    <w:p w:rsidRPr="001052BE" w:rsidR="001052BE" w:rsidP="001052BE" w:rsidRDefault="001052BE" w14:paraId="5AC7D2FE" w14:textId="77777777">
      <w:pPr>
        <w:rPr>
          <w:rFonts w:ascii="Times New Roman" w:hAnsi="Times New Roman"/>
        </w:rPr>
      </w:pPr>
    </w:p>
    <w:p w:rsidRPr="001052BE" w:rsidR="001052BE" w:rsidP="001052BE" w:rsidRDefault="001052BE" w14:paraId="3EF63217" w14:textId="6505FD4C">
      <w:pPr>
        <w:spacing w:after="160" w:line="259" w:lineRule="auto"/>
        <w:rPr>
          <w:rFonts w:ascii="Times New Roman" w:hAnsi="Times New Roman"/>
          <w:b/>
          <w:i/>
          <w:spacing w:val="5"/>
        </w:rPr>
      </w:pPr>
      <w:r w:rsidRPr="001052BE">
        <w:rPr>
          <w:rStyle w:val="BookTitle"/>
          <w:rFonts w:ascii="Times New Roman" w:hAnsi="Times New Roman"/>
        </w:rPr>
        <w:t xml:space="preserve">Table </w:t>
      </w:r>
      <w:r w:rsidR="00CE4251">
        <w:rPr>
          <w:rStyle w:val="BookTitle"/>
          <w:rFonts w:ascii="Times New Roman" w:hAnsi="Times New Roman"/>
        </w:rPr>
        <w:t>7</w:t>
      </w:r>
      <w:r w:rsidRPr="001052BE">
        <w:rPr>
          <w:rStyle w:val="BookTitle"/>
          <w:rFonts w:ascii="Times New Roman" w:hAnsi="Times New Roman"/>
        </w:rPr>
        <w:t xml:space="preserve">. Round 20 Incentive Costs by Respondent Pool (based on approximately </w:t>
      </w:r>
      <w:r w:rsidRPr="00C94FEA" w:rsidR="00824667">
        <w:rPr>
          <w:rStyle w:val="BookTitle"/>
          <w:rFonts w:ascii="Times New Roman" w:hAnsi="Times New Roman"/>
        </w:rPr>
        <w:t>6650</w:t>
      </w:r>
      <w:r w:rsidRPr="00D53409" w:rsidR="00824667">
        <w:rPr>
          <w:rStyle w:val="BookTitle"/>
          <w:rFonts w:ascii="Times New Roman" w:hAnsi="Times New Roman"/>
        </w:rPr>
        <w:t xml:space="preserve"> </w:t>
      </w:r>
      <w:r w:rsidRPr="00C94FEA">
        <w:rPr>
          <w:rStyle w:val="BookTitle"/>
          <w:rFonts w:ascii="Times New Roman" w:hAnsi="Times New Roman"/>
        </w:rPr>
        <w:t>expected total completes)</w:t>
      </w:r>
    </w:p>
    <w:tbl>
      <w:tblPr>
        <w:tblStyle w:val="TableGrid"/>
        <w:tblW w:w="9543" w:type="dxa"/>
        <w:tblLayout w:type="fixed"/>
        <w:tblLook w:val="04A0" w:firstRow="1" w:lastRow="0" w:firstColumn="1" w:lastColumn="0" w:noHBand="0" w:noVBand="1"/>
      </w:tblPr>
      <w:tblGrid>
        <w:gridCol w:w="1795"/>
        <w:gridCol w:w="1350"/>
        <w:gridCol w:w="1419"/>
        <w:gridCol w:w="1470"/>
        <w:gridCol w:w="1169"/>
        <w:gridCol w:w="1169"/>
        <w:gridCol w:w="1163"/>
        <w:gridCol w:w="8"/>
      </w:tblGrid>
      <w:tr w:rsidRPr="001052BE" w:rsidR="001052BE" w:rsidTr="001052BE" w14:paraId="2D75CE6A" w14:textId="77777777">
        <w:trPr>
          <w:gridAfter w:val="1"/>
          <w:wAfter w:w="8" w:type="dxa"/>
        </w:trPr>
        <w:tc>
          <w:tcPr>
            <w:tcW w:w="1795" w:type="dxa"/>
            <w:vAlign w:val="center"/>
          </w:tcPr>
          <w:p w:rsidRPr="001052BE" w:rsidR="001052BE" w:rsidP="001052BE" w:rsidRDefault="001052BE" w14:paraId="05EC71B4" w14:textId="77777777">
            <w:pPr>
              <w:rPr>
                <w:rFonts w:ascii="Times New Roman" w:hAnsi="Times New Roman"/>
              </w:rPr>
            </w:pPr>
          </w:p>
        </w:tc>
        <w:tc>
          <w:tcPr>
            <w:tcW w:w="1350" w:type="dxa"/>
            <w:vAlign w:val="center"/>
          </w:tcPr>
          <w:p w:rsidRPr="001052BE" w:rsidR="001052BE" w:rsidP="001052BE" w:rsidRDefault="001052BE" w14:paraId="5AD2B598" w14:textId="77777777">
            <w:pPr>
              <w:jc w:val="center"/>
              <w:rPr>
                <w:rFonts w:ascii="Times New Roman" w:hAnsi="Times New Roman"/>
              </w:rPr>
            </w:pPr>
            <w:r w:rsidRPr="001052BE">
              <w:rPr>
                <w:rFonts w:ascii="Times New Roman" w:hAnsi="Times New Roman"/>
              </w:rPr>
              <w:t>Segments 1 and 2</w:t>
            </w:r>
          </w:p>
        </w:tc>
        <w:tc>
          <w:tcPr>
            <w:tcW w:w="6390" w:type="dxa"/>
            <w:gridSpan w:val="5"/>
            <w:vAlign w:val="center"/>
          </w:tcPr>
          <w:p w:rsidRPr="001052BE" w:rsidR="001052BE" w:rsidP="001052BE" w:rsidRDefault="001052BE" w14:paraId="608D72B1" w14:textId="77777777">
            <w:pPr>
              <w:jc w:val="center"/>
              <w:rPr>
                <w:rFonts w:ascii="Times New Roman" w:hAnsi="Times New Roman"/>
              </w:rPr>
            </w:pPr>
            <w:r w:rsidRPr="001052BE">
              <w:rPr>
                <w:rFonts w:ascii="Times New Roman" w:hAnsi="Times New Roman"/>
              </w:rPr>
              <w:t>Segment 3</w:t>
            </w:r>
          </w:p>
        </w:tc>
      </w:tr>
      <w:tr w:rsidRPr="001052BE" w:rsidR="001052BE" w:rsidTr="001052BE" w14:paraId="76E06F9D" w14:textId="77777777">
        <w:trPr>
          <w:trHeight w:val="1260"/>
        </w:trPr>
        <w:tc>
          <w:tcPr>
            <w:tcW w:w="1795" w:type="dxa"/>
            <w:vAlign w:val="center"/>
          </w:tcPr>
          <w:p w:rsidRPr="001052BE" w:rsidR="001052BE" w:rsidP="001052BE" w:rsidRDefault="001052BE" w14:paraId="1B7C7162" w14:textId="77777777">
            <w:pPr>
              <w:rPr>
                <w:rFonts w:ascii="Times New Roman" w:hAnsi="Times New Roman"/>
              </w:rPr>
            </w:pPr>
            <w:r w:rsidRPr="001052BE">
              <w:rPr>
                <w:rFonts w:ascii="Times New Roman" w:hAnsi="Times New Roman"/>
              </w:rPr>
              <w:t>Incentive Type</w:t>
            </w:r>
          </w:p>
        </w:tc>
        <w:tc>
          <w:tcPr>
            <w:tcW w:w="1350" w:type="dxa"/>
            <w:vAlign w:val="center"/>
          </w:tcPr>
          <w:p w:rsidRPr="001052BE" w:rsidR="001052BE" w:rsidRDefault="001052BE" w14:paraId="10166AE9" w14:textId="77777777">
            <w:pPr>
              <w:rPr>
                <w:rFonts w:ascii="Times New Roman" w:hAnsi="Times New Roman"/>
              </w:rPr>
            </w:pPr>
            <w:r w:rsidRPr="001052BE">
              <w:rPr>
                <w:rFonts w:ascii="Times New Roman" w:hAnsi="Times New Roman"/>
              </w:rPr>
              <w:t xml:space="preserve">R19 Completers </w:t>
            </w:r>
          </w:p>
        </w:tc>
        <w:tc>
          <w:tcPr>
            <w:tcW w:w="1419" w:type="dxa"/>
            <w:vAlign w:val="center"/>
          </w:tcPr>
          <w:p w:rsidRPr="001052BE" w:rsidR="001052BE" w:rsidP="001052BE" w:rsidRDefault="001052BE" w14:paraId="471029DC" w14:textId="77777777">
            <w:pPr>
              <w:rPr>
                <w:rFonts w:ascii="Times New Roman" w:hAnsi="Times New Roman"/>
              </w:rPr>
            </w:pPr>
            <w:r w:rsidRPr="001052BE">
              <w:rPr>
                <w:rFonts w:ascii="Times New Roman" w:hAnsi="Times New Roman"/>
              </w:rPr>
              <w:t xml:space="preserve">Missed R19, completed R18               </w:t>
            </w:r>
          </w:p>
        </w:tc>
        <w:tc>
          <w:tcPr>
            <w:tcW w:w="1470" w:type="dxa"/>
            <w:tcBorders>
              <w:bottom w:val="single" w:color="auto" w:sz="4" w:space="0"/>
            </w:tcBorders>
          </w:tcPr>
          <w:p w:rsidRPr="001052BE" w:rsidR="001052BE" w:rsidP="001052BE" w:rsidRDefault="001052BE" w14:paraId="5222C61F" w14:textId="77777777">
            <w:pPr>
              <w:rPr>
                <w:rFonts w:ascii="Times New Roman" w:hAnsi="Times New Roman"/>
              </w:rPr>
            </w:pPr>
            <w:r w:rsidRPr="001052BE">
              <w:rPr>
                <w:rFonts w:ascii="Times New Roman" w:hAnsi="Times New Roman"/>
              </w:rPr>
              <w:t>Missed R19, and R18, Completed R17</w:t>
            </w:r>
          </w:p>
        </w:tc>
        <w:tc>
          <w:tcPr>
            <w:tcW w:w="1169" w:type="dxa"/>
            <w:tcBorders>
              <w:bottom w:val="single" w:color="auto" w:sz="4" w:space="0"/>
            </w:tcBorders>
            <w:vAlign w:val="center"/>
          </w:tcPr>
          <w:p w:rsidRPr="001052BE" w:rsidR="001052BE" w:rsidP="001052BE" w:rsidRDefault="001052BE" w14:paraId="1B176E01" w14:textId="77777777">
            <w:pPr>
              <w:rPr>
                <w:rFonts w:ascii="Times New Roman" w:hAnsi="Times New Roman"/>
              </w:rPr>
            </w:pPr>
            <w:r w:rsidRPr="001052BE">
              <w:rPr>
                <w:rFonts w:ascii="Times New Roman" w:hAnsi="Times New Roman"/>
              </w:rPr>
              <w:t>Missed R19, R18, R17</w:t>
            </w:r>
          </w:p>
        </w:tc>
        <w:tc>
          <w:tcPr>
            <w:tcW w:w="1169" w:type="dxa"/>
          </w:tcPr>
          <w:p w:rsidRPr="001052BE" w:rsidR="001052BE" w:rsidP="001052BE" w:rsidRDefault="001052BE" w14:paraId="6CE3CE90" w14:textId="77777777">
            <w:pPr>
              <w:rPr>
                <w:rFonts w:ascii="Times New Roman" w:hAnsi="Times New Roman"/>
              </w:rPr>
            </w:pPr>
            <w:r w:rsidRPr="001052BE">
              <w:rPr>
                <w:rFonts w:ascii="Times New Roman" w:hAnsi="Times New Roman"/>
              </w:rPr>
              <w:t>Missed R19, R18, R17, R16</w:t>
            </w:r>
          </w:p>
        </w:tc>
        <w:tc>
          <w:tcPr>
            <w:tcW w:w="1171" w:type="dxa"/>
            <w:gridSpan w:val="2"/>
            <w:tcBorders>
              <w:bottom w:val="single" w:color="auto" w:sz="4" w:space="0"/>
            </w:tcBorders>
          </w:tcPr>
          <w:p w:rsidRPr="001052BE" w:rsidR="001052BE" w:rsidP="001052BE" w:rsidRDefault="001052BE" w14:paraId="7A785EF9" w14:textId="77777777">
            <w:pPr>
              <w:rPr>
                <w:rFonts w:ascii="Times New Roman" w:hAnsi="Times New Roman"/>
              </w:rPr>
            </w:pPr>
            <w:r w:rsidRPr="001052BE">
              <w:rPr>
                <w:rFonts w:ascii="Times New Roman" w:hAnsi="Times New Roman"/>
              </w:rPr>
              <w:t xml:space="preserve">Missed all of the prior 5 rounds </w:t>
            </w:r>
          </w:p>
        </w:tc>
      </w:tr>
      <w:tr w:rsidRPr="001052BE" w:rsidR="001052BE" w:rsidTr="001052BE" w14:paraId="26212535" w14:textId="77777777">
        <w:trPr>
          <w:trHeight w:val="267"/>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1B26CF4D" w14:textId="77777777">
            <w:pPr>
              <w:rPr>
                <w:rFonts w:ascii="Times New Roman" w:hAnsi="Times New Roman"/>
              </w:rPr>
            </w:pPr>
            <w:r w:rsidRPr="001052BE">
              <w:rPr>
                <w:rFonts w:ascii="Times New Roman" w:hAnsi="Times New Roman"/>
                <w:iCs/>
                <w:color w:val="000000" w:themeColor="text1"/>
              </w:rPr>
              <w:t>Sample size</w:t>
            </w:r>
            <w:r w:rsidRPr="001052BE">
              <w:rPr>
                <w:rStyle w:val="FootnoteReference"/>
                <w:rFonts w:ascii="Times New Roman" w:hAnsi="Times New Roman"/>
              </w:rPr>
              <w:t>*</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1052BE" w:rsidRDefault="001052BE" w14:paraId="3AEB7ACA" w14:textId="77777777">
            <w:pPr>
              <w:jc w:val="center"/>
              <w:rPr>
                <w:rFonts w:ascii="Times New Roman" w:hAnsi="Times New Roman"/>
              </w:rPr>
            </w:pPr>
            <w:r w:rsidRPr="001052BE">
              <w:rPr>
                <w:rFonts w:ascii="Times New Roman" w:hAnsi="Times New Roman"/>
                <w:color w:val="000000"/>
              </w:rPr>
              <w:t>6946</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1052BE" w14:paraId="76D26B99" w14:textId="77777777">
            <w:pPr>
              <w:jc w:val="center"/>
              <w:rPr>
                <w:rFonts w:ascii="Times New Roman" w:hAnsi="Times New Roman"/>
              </w:rPr>
            </w:pPr>
            <w:r w:rsidRPr="001052BE">
              <w:rPr>
                <w:rFonts w:ascii="Times New Roman" w:hAnsi="Times New Roman"/>
                <w:color w:val="000000"/>
              </w:rPr>
              <w:t>462</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1052BE" w14:paraId="0176D315" w14:textId="77777777">
            <w:pPr>
              <w:jc w:val="center"/>
              <w:rPr>
                <w:rFonts w:ascii="Times New Roman" w:hAnsi="Times New Roman"/>
              </w:rPr>
            </w:pPr>
            <w:r w:rsidRPr="001052BE">
              <w:rPr>
                <w:rFonts w:ascii="Times New Roman" w:hAnsi="Times New Roman"/>
                <w:color w:val="000000"/>
              </w:rPr>
              <w:t>309</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1052BE" w14:paraId="468C81E7" w14:textId="77777777">
            <w:pPr>
              <w:jc w:val="center"/>
              <w:rPr>
                <w:rFonts w:ascii="Times New Roman" w:hAnsi="Times New Roman"/>
              </w:rPr>
            </w:pPr>
            <w:r w:rsidRPr="001052BE">
              <w:rPr>
                <w:rFonts w:ascii="Times New Roman" w:hAnsi="Times New Roman"/>
                <w:color w:val="000000"/>
              </w:rPr>
              <w:t> 162</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1052BE" w14:paraId="17605A61" w14:textId="77777777">
            <w:pPr>
              <w:jc w:val="center"/>
              <w:rPr>
                <w:rFonts w:ascii="Times New Roman" w:hAnsi="Times New Roman"/>
                <w:color w:val="000000" w:themeColor="text1"/>
              </w:rPr>
            </w:pPr>
            <w:r w:rsidRPr="001052BE">
              <w:rPr>
                <w:rFonts w:ascii="Times New Roman" w:hAnsi="Times New Roman"/>
                <w:color w:val="000000"/>
              </w:rPr>
              <w:t>143</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1052BE" w14:paraId="667809E9" w14:textId="77777777">
            <w:pPr>
              <w:jc w:val="center"/>
              <w:rPr>
                <w:rFonts w:ascii="Times New Roman" w:hAnsi="Times New Roman"/>
                <w:color w:val="000000" w:themeColor="text1"/>
              </w:rPr>
            </w:pPr>
            <w:r w:rsidRPr="001052BE">
              <w:rPr>
                <w:rFonts w:ascii="Times New Roman" w:hAnsi="Times New Roman"/>
                <w:color w:val="000000"/>
              </w:rPr>
              <w:t>525</w:t>
            </w:r>
          </w:p>
        </w:tc>
      </w:tr>
      <w:tr w:rsidRPr="001052BE" w:rsidR="001052BE" w:rsidTr="001052BE" w14:paraId="4F355C7A" w14:textId="77777777">
        <w:trPr>
          <w:trHeight w:val="819"/>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609D3BDE" w14:textId="77777777">
            <w:pPr>
              <w:rPr>
                <w:rFonts w:ascii="Times New Roman" w:hAnsi="Times New Roman"/>
              </w:rPr>
            </w:pPr>
            <w:r w:rsidRPr="001052BE">
              <w:rPr>
                <w:rFonts w:ascii="Times New Roman" w:hAnsi="Times New Roman"/>
                <w:iCs/>
                <w:color w:val="000000" w:themeColor="text1"/>
              </w:rPr>
              <w:t>Expected completion rate</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824667" w:rsidRDefault="001052BE" w14:paraId="0B0E96C8" w14:textId="10B56A91">
            <w:pPr>
              <w:jc w:val="center"/>
              <w:rPr>
                <w:rFonts w:ascii="Times New Roman" w:hAnsi="Times New Roman"/>
              </w:rPr>
            </w:pPr>
            <w:r w:rsidRPr="001052BE">
              <w:rPr>
                <w:rFonts w:ascii="Times New Roman" w:hAnsi="Times New Roman"/>
                <w:color w:val="000000"/>
              </w:rPr>
              <w:t> </w:t>
            </w:r>
            <w:r w:rsidR="00824667">
              <w:rPr>
                <w:rFonts w:ascii="Times New Roman" w:hAnsi="Times New Roman"/>
                <w:color w:val="000000"/>
              </w:rPr>
              <w:t>89.0</w:t>
            </w:r>
            <w:r w:rsidRPr="001052BE">
              <w:rPr>
                <w:rFonts w:ascii="Times New Roman" w:hAnsi="Times New Roman"/>
                <w:color w:val="000000"/>
              </w:rPr>
              <w:t>%</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824667" w14:paraId="49BB360C" w14:textId="38CE407E">
            <w:pPr>
              <w:jc w:val="center"/>
              <w:rPr>
                <w:rFonts w:ascii="Times New Roman" w:hAnsi="Times New Roman"/>
              </w:rPr>
            </w:pPr>
            <w:r>
              <w:rPr>
                <w:rFonts w:ascii="Times New Roman" w:hAnsi="Times New Roman"/>
                <w:color w:val="000000"/>
              </w:rPr>
              <w:t>50.0</w:t>
            </w:r>
            <w:r w:rsidRPr="001052BE" w:rsidR="001052BE">
              <w:rPr>
                <w:rFonts w:ascii="Times New Roman" w:hAnsi="Times New Roman"/>
                <w:color w:val="000000"/>
              </w:rPr>
              <w:t>% </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1052BE" w:rsidRDefault="00824667" w14:paraId="2E153776" w14:textId="4A3BCC1B">
            <w:pPr>
              <w:jc w:val="center"/>
              <w:rPr>
                <w:rFonts w:ascii="Times New Roman" w:hAnsi="Times New Roman"/>
              </w:rPr>
            </w:pPr>
            <w:r>
              <w:rPr>
                <w:rFonts w:ascii="Times New Roman" w:hAnsi="Times New Roman"/>
                <w:color w:val="000000"/>
              </w:rPr>
              <w:t>32.4</w:t>
            </w:r>
            <w:r w:rsidRPr="001052BE" w:rsidR="001052BE">
              <w:rPr>
                <w:rFonts w:ascii="Times New Roman" w:hAnsi="Times New Roman"/>
                <w:color w:val="000000"/>
              </w:rPr>
              <w:t>% </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24667" w:rsidRDefault="001052BE" w14:paraId="7EFD802E" w14:textId="12C526C7">
            <w:pPr>
              <w:jc w:val="center"/>
              <w:rPr>
                <w:rFonts w:ascii="Times New Roman" w:hAnsi="Times New Roman"/>
              </w:rPr>
            </w:pPr>
            <w:r w:rsidRPr="001052BE">
              <w:rPr>
                <w:rFonts w:ascii="Times New Roman" w:hAnsi="Times New Roman"/>
                <w:color w:val="000000"/>
              </w:rPr>
              <w:t> </w:t>
            </w:r>
            <w:r w:rsidR="00824667">
              <w:rPr>
                <w:rFonts w:ascii="Times New Roman" w:hAnsi="Times New Roman"/>
                <w:color w:val="000000"/>
              </w:rPr>
              <w:t>24.1</w:t>
            </w:r>
            <w:r w:rsidRPr="001052BE">
              <w:rPr>
                <w:rFonts w:ascii="Times New Roman" w:hAnsi="Times New Roman"/>
                <w:color w:val="000000"/>
              </w:rPr>
              <w:t>%</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F56F91" w:rsidRDefault="001052BE" w14:paraId="5E2B6E81" w14:textId="6BCF0E46">
            <w:pPr>
              <w:jc w:val="center"/>
              <w:rPr>
                <w:rFonts w:ascii="Times New Roman" w:hAnsi="Times New Roman"/>
                <w:color w:val="000000" w:themeColor="text1"/>
              </w:rPr>
            </w:pPr>
            <w:r w:rsidRPr="001052BE">
              <w:rPr>
                <w:rFonts w:ascii="Times New Roman" w:hAnsi="Times New Roman"/>
                <w:color w:val="000000"/>
              </w:rPr>
              <w:t> </w:t>
            </w:r>
            <w:r w:rsidR="00824667">
              <w:rPr>
                <w:rFonts w:ascii="Times New Roman" w:hAnsi="Times New Roman"/>
                <w:color w:val="000000"/>
              </w:rPr>
              <w:t>21.0</w:t>
            </w:r>
            <w:r w:rsidRPr="001052BE">
              <w:rPr>
                <w:rFonts w:ascii="Times New Roman" w:hAnsi="Times New Roman"/>
                <w:color w:val="000000"/>
              </w:rPr>
              <w:t>%</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824667" w14:paraId="433B2633" w14:textId="6029ED61">
            <w:pPr>
              <w:jc w:val="center"/>
              <w:rPr>
                <w:rFonts w:ascii="Times New Roman" w:hAnsi="Times New Roman"/>
                <w:color w:val="000000" w:themeColor="text1"/>
              </w:rPr>
            </w:pPr>
            <w:r>
              <w:rPr>
                <w:rFonts w:ascii="Times New Roman" w:hAnsi="Times New Roman"/>
                <w:color w:val="000000"/>
              </w:rPr>
              <w:t>13.0</w:t>
            </w:r>
            <w:r w:rsidRPr="001052BE" w:rsidR="001052BE">
              <w:rPr>
                <w:rFonts w:ascii="Times New Roman" w:hAnsi="Times New Roman"/>
                <w:color w:val="000000"/>
              </w:rPr>
              <w:t>%</w:t>
            </w:r>
          </w:p>
        </w:tc>
      </w:tr>
      <w:tr w:rsidRPr="001052BE" w:rsidR="001052BE" w:rsidTr="001052BE" w14:paraId="1BB21A14" w14:textId="77777777">
        <w:trPr>
          <w:trHeight w:val="551"/>
        </w:trPr>
        <w:tc>
          <w:tcPr>
            <w:tcW w:w="1795" w:type="dxa"/>
            <w:tcBorders>
              <w:top w:val="nil"/>
              <w:left w:val="single" w:color="auto" w:sz="8" w:space="0"/>
              <w:bottom w:val="single" w:color="auto" w:sz="8" w:space="0"/>
              <w:right w:val="single" w:color="auto" w:sz="8" w:space="0"/>
            </w:tcBorders>
            <w:shd w:val="clear" w:color="auto" w:fill="F2F2F2" w:themeFill="background1" w:themeFillShade="F2"/>
            <w:vAlign w:val="center"/>
          </w:tcPr>
          <w:p w:rsidRPr="001052BE" w:rsidR="001052BE" w:rsidP="001052BE" w:rsidRDefault="001052BE" w14:paraId="4D298804" w14:textId="77777777">
            <w:pPr>
              <w:rPr>
                <w:rFonts w:ascii="Times New Roman" w:hAnsi="Times New Roman"/>
                <w:iCs/>
                <w:color w:val="000000" w:themeColor="text1"/>
              </w:rPr>
            </w:pPr>
            <w:r w:rsidRPr="001052BE">
              <w:rPr>
                <w:rFonts w:ascii="Times New Roman" w:hAnsi="Times New Roman"/>
                <w:iCs/>
                <w:color w:val="000000" w:themeColor="text1"/>
              </w:rPr>
              <w:t>Expected completes</w:t>
            </w:r>
          </w:p>
        </w:tc>
        <w:tc>
          <w:tcPr>
            <w:tcW w:w="1350" w:type="dxa"/>
            <w:tcBorders>
              <w:top w:val="nil"/>
              <w:left w:val="nil"/>
              <w:bottom w:val="single" w:color="auto" w:sz="8" w:space="0"/>
              <w:right w:val="single" w:color="auto" w:sz="8" w:space="0"/>
            </w:tcBorders>
            <w:shd w:val="clear" w:color="000000" w:fill="F2F2F2"/>
            <w:vAlign w:val="center"/>
          </w:tcPr>
          <w:p w:rsidRPr="001052BE" w:rsidR="001052BE" w:rsidP="001052BE" w:rsidRDefault="00824667" w14:paraId="4D53D72C" w14:textId="4DBB3B57">
            <w:pPr>
              <w:jc w:val="center"/>
              <w:rPr>
                <w:rFonts w:ascii="Times New Roman" w:hAnsi="Times New Roman"/>
                <w:color w:val="000000"/>
              </w:rPr>
            </w:pPr>
            <w:r>
              <w:rPr>
                <w:rFonts w:ascii="Times New Roman" w:hAnsi="Times New Roman"/>
                <w:color w:val="000000"/>
              </w:rPr>
              <w:t>6182</w:t>
            </w:r>
          </w:p>
        </w:tc>
        <w:tc>
          <w:tcPr>
            <w:tcW w:w="1419" w:type="dxa"/>
            <w:tcBorders>
              <w:top w:val="nil"/>
              <w:left w:val="nil"/>
              <w:bottom w:val="single" w:color="auto" w:sz="8" w:space="0"/>
              <w:right w:val="single" w:color="auto" w:sz="4" w:space="0"/>
            </w:tcBorders>
            <w:shd w:val="clear" w:color="000000" w:fill="F2F2F2"/>
            <w:vAlign w:val="center"/>
          </w:tcPr>
          <w:p w:rsidRPr="001052BE" w:rsidR="001052BE" w:rsidP="001052BE" w:rsidRDefault="00824667" w14:paraId="24728508" w14:textId="126035BF">
            <w:pPr>
              <w:jc w:val="center"/>
              <w:rPr>
                <w:rFonts w:ascii="Times New Roman" w:hAnsi="Times New Roman"/>
                <w:color w:val="000000"/>
              </w:rPr>
            </w:pPr>
            <w:r>
              <w:rPr>
                <w:rFonts w:ascii="Times New Roman" w:hAnsi="Times New Roman"/>
                <w:color w:val="000000"/>
              </w:rPr>
              <w:t>231</w:t>
            </w:r>
          </w:p>
        </w:tc>
        <w:tc>
          <w:tcPr>
            <w:tcW w:w="1470"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54FEB" w:rsidRDefault="00824667" w14:paraId="586659C6" w14:textId="2345327D">
            <w:pPr>
              <w:jc w:val="center"/>
              <w:rPr>
                <w:rFonts w:ascii="Times New Roman" w:hAnsi="Times New Roman"/>
                <w:color w:val="000000"/>
              </w:rPr>
            </w:pPr>
            <w:r>
              <w:rPr>
                <w:rFonts w:ascii="Times New Roman" w:hAnsi="Times New Roman"/>
                <w:color w:val="000000"/>
              </w:rPr>
              <w:t>100</w:t>
            </w:r>
          </w:p>
        </w:tc>
        <w:tc>
          <w:tcPr>
            <w:tcW w:w="1169" w:type="dxa"/>
            <w:tcBorders>
              <w:top w:val="single" w:color="auto" w:sz="4" w:space="0"/>
              <w:left w:val="single" w:color="auto" w:sz="4" w:space="0"/>
              <w:bottom w:val="single" w:color="auto" w:sz="4" w:space="0"/>
              <w:right w:val="single" w:color="auto" w:sz="4" w:space="0"/>
            </w:tcBorders>
            <w:shd w:val="clear" w:color="000000" w:fill="F2F2F2"/>
            <w:vAlign w:val="center"/>
          </w:tcPr>
          <w:p w:rsidRPr="001052BE" w:rsidR="001052BE" w:rsidP="00854FEB" w:rsidRDefault="00824667" w14:paraId="698EE0E9" w14:textId="3506AFD2">
            <w:pPr>
              <w:jc w:val="center"/>
              <w:rPr>
                <w:rFonts w:ascii="Times New Roman" w:hAnsi="Times New Roman"/>
                <w:color w:val="000000"/>
              </w:rPr>
            </w:pPr>
            <w:r>
              <w:rPr>
                <w:rFonts w:ascii="Times New Roman" w:hAnsi="Times New Roman"/>
                <w:color w:val="000000"/>
              </w:rPr>
              <w:t>39</w:t>
            </w:r>
          </w:p>
        </w:tc>
        <w:tc>
          <w:tcPr>
            <w:tcW w:w="11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854FEB" w:rsidRDefault="00824667" w14:paraId="29573EA3" w14:textId="2D407D66">
            <w:pPr>
              <w:jc w:val="center"/>
              <w:rPr>
                <w:rFonts w:ascii="Times New Roman" w:hAnsi="Times New Roman"/>
                <w:color w:val="000000"/>
              </w:rPr>
            </w:pPr>
            <w:r>
              <w:rPr>
                <w:rFonts w:ascii="Times New Roman" w:hAnsi="Times New Roman"/>
                <w:color w:val="000000"/>
              </w:rPr>
              <w:t>30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052BE" w:rsidR="001052BE" w:rsidP="001052BE" w:rsidRDefault="00824667" w14:paraId="130AAD96" w14:textId="075ECD61">
            <w:pPr>
              <w:jc w:val="center"/>
              <w:rPr>
                <w:rFonts w:ascii="Times New Roman" w:hAnsi="Times New Roman"/>
                <w:color w:val="000000"/>
              </w:rPr>
            </w:pPr>
            <w:r>
              <w:rPr>
                <w:rFonts w:ascii="Times New Roman" w:hAnsi="Times New Roman"/>
                <w:color w:val="000000"/>
              </w:rPr>
              <w:t>68</w:t>
            </w:r>
          </w:p>
        </w:tc>
      </w:tr>
      <w:tr w:rsidRPr="001052BE" w:rsidR="001052BE" w:rsidTr="001052BE" w14:paraId="47A34CD7" w14:textId="77777777">
        <w:trPr>
          <w:trHeight w:val="283"/>
        </w:trPr>
        <w:tc>
          <w:tcPr>
            <w:tcW w:w="1795" w:type="dxa"/>
            <w:vAlign w:val="center"/>
          </w:tcPr>
          <w:p w:rsidRPr="001052BE" w:rsidR="001052BE" w:rsidP="001052BE" w:rsidRDefault="001052BE" w14:paraId="1A9F28CA" w14:textId="77777777">
            <w:pPr>
              <w:rPr>
                <w:rFonts w:ascii="Times New Roman" w:hAnsi="Times New Roman"/>
              </w:rPr>
            </w:pPr>
            <w:r w:rsidRPr="001052BE">
              <w:rPr>
                <w:rFonts w:ascii="Times New Roman" w:hAnsi="Times New Roman"/>
              </w:rPr>
              <w:t>Base</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1052BE" w:rsidRDefault="001052BE" w14:paraId="66EC97B6" w14:textId="77777777">
            <w:pPr>
              <w:jc w:val="center"/>
              <w:rPr>
                <w:rFonts w:ascii="Times New Roman" w:hAnsi="Times New Roman"/>
              </w:rPr>
            </w:pPr>
            <w:r w:rsidRPr="001052BE">
              <w:rPr>
                <w:rFonts w:ascii="Times New Roman" w:hAnsi="Times New Roman" w:eastAsiaTheme="minorHAnsi"/>
                <w:color w:val="000000"/>
              </w:rPr>
              <w:t>$50</w:t>
            </w:r>
          </w:p>
        </w:tc>
        <w:tc>
          <w:tcPr>
            <w:tcW w:w="1419" w:type="dxa"/>
            <w:tcBorders>
              <w:top w:val="nil"/>
              <w:left w:val="nil"/>
              <w:bottom w:val="single" w:color="auto" w:sz="8" w:space="0"/>
              <w:right w:val="single" w:color="auto" w:sz="4" w:space="0"/>
            </w:tcBorders>
            <w:shd w:val="clear" w:color="auto" w:fill="auto"/>
            <w:vAlign w:val="center"/>
          </w:tcPr>
          <w:p w:rsidRPr="001052BE" w:rsidR="001052BE" w:rsidP="001052BE" w:rsidRDefault="001052BE" w14:paraId="1D850227" w14:textId="77777777">
            <w:pPr>
              <w:jc w:val="center"/>
              <w:rPr>
                <w:rFonts w:ascii="Times New Roman" w:hAnsi="Times New Roman"/>
              </w:rPr>
            </w:pPr>
            <w:r w:rsidRPr="001052BE">
              <w:rPr>
                <w:rFonts w:ascii="Times New Roman" w:hAnsi="Times New Roman" w:eastAsiaTheme="minorHAnsi"/>
                <w:color w:val="000000"/>
              </w:rPr>
              <w:t>$50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12B04E43" w14:textId="77777777">
            <w:pPr>
              <w:jc w:val="center"/>
              <w:rPr>
                <w:rFonts w:ascii="Times New Roman" w:hAnsi="Times New Roman"/>
              </w:rPr>
            </w:pPr>
            <w:r w:rsidRPr="001052BE">
              <w:rPr>
                <w:rFonts w:ascii="Times New Roman" w:hAnsi="Times New Roman" w:eastAsiaTheme="minorHAnsi"/>
                <w:color w:val="000000"/>
              </w:rPr>
              <w:t>$50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10B72DBE" w14:textId="77777777">
            <w:pPr>
              <w:jc w:val="center"/>
              <w:rPr>
                <w:rFonts w:ascii="Times New Roman" w:hAnsi="Times New Roman"/>
              </w:rPr>
            </w:pPr>
            <w:r w:rsidRPr="001052BE">
              <w:rPr>
                <w:rFonts w:ascii="Times New Roman" w:hAnsi="Times New Roman" w:eastAsiaTheme="minorHAnsi"/>
                <w:color w:val="000000"/>
              </w:rPr>
              <w:t>$50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5E629DD9" w14:textId="77777777">
            <w:pPr>
              <w:jc w:val="center"/>
              <w:rPr>
                <w:rFonts w:ascii="Times New Roman" w:hAnsi="Times New Roman"/>
              </w:rPr>
            </w:pPr>
            <w:r w:rsidRPr="001052BE">
              <w:rPr>
                <w:rFonts w:ascii="Times New Roman" w:hAnsi="Times New Roman" w:eastAsiaTheme="minorHAnsi"/>
                <w:color w:val="000000"/>
              </w:rPr>
              <w:t>$50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084E8725" w14:textId="77777777">
            <w:pPr>
              <w:jc w:val="center"/>
              <w:rPr>
                <w:rFonts w:ascii="Times New Roman" w:hAnsi="Times New Roman"/>
              </w:rPr>
            </w:pPr>
            <w:r w:rsidRPr="001052BE">
              <w:rPr>
                <w:rFonts w:ascii="Times New Roman" w:hAnsi="Times New Roman"/>
              </w:rPr>
              <w:t>$50</w:t>
            </w:r>
          </w:p>
        </w:tc>
      </w:tr>
      <w:tr w:rsidRPr="001052BE" w:rsidR="001052BE" w:rsidTr="001052BE" w14:paraId="1FF48B56" w14:textId="77777777">
        <w:trPr>
          <w:trHeight w:val="551"/>
        </w:trPr>
        <w:tc>
          <w:tcPr>
            <w:tcW w:w="1795" w:type="dxa"/>
            <w:vAlign w:val="center"/>
          </w:tcPr>
          <w:p w:rsidRPr="001052BE" w:rsidR="001052BE" w:rsidP="001052BE" w:rsidRDefault="001052BE" w14:paraId="5EC7A8FF" w14:textId="77777777">
            <w:pPr>
              <w:rPr>
                <w:rFonts w:ascii="Times New Roman" w:hAnsi="Times New Roman"/>
              </w:rPr>
            </w:pPr>
            <w:r w:rsidRPr="001052BE">
              <w:rPr>
                <w:rFonts w:ascii="Times New Roman" w:hAnsi="Times New Roman"/>
                <w:color w:val="000000" w:themeColor="text1"/>
              </w:rPr>
              <w:t>Missed Round(s)</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1052BE" w:rsidRDefault="001052BE" w14:paraId="2CAB371F" w14:textId="77777777">
            <w:pPr>
              <w:jc w:val="center"/>
              <w:rPr>
                <w:rFonts w:ascii="Times New Roman" w:hAnsi="Times New Roman"/>
              </w:rPr>
            </w:pPr>
          </w:p>
        </w:tc>
        <w:tc>
          <w:tcPr>
            <w:tcW w:w="1419" w:type="dxa"/>
            <w:tcBorders>
              <w:top w:val="nil"/>
              <w:left w:val="nil"/>
              <w:bottom w:val="single" w:color="auto" w:sz="8" w:space="0"/>
              <w:right w:val="single" w:color="auto" w:sz="4" w:space="0"/>
            </w:tcBorders>
            <w:shd w:val="clear" w:color="auto" w:fill="auto"/>
            <w:vAlign w:val="center"/>
          </w:tcPr>
          <w:p w:rsidRPr="001052BE" w:rsidR="001052BE" w:rsidP="001052BE" w:rsidRDefault="001052BE" w14:paraId="3F6E7D19" w14:textId="77777777">
            <w:pPr>
              <w:jc w:val="center"/>
              <w:rPr>
                <w:rFonts w:ascii="Times New Roman" w:hAnsi="Times New Roman"/>
              </w:rPr>
            </w:pPr>
            <w:r w:rsidRPr="001052BE">
              <w:rPr>
                <w:rFonts w:ascii="Times New Roman" w:hAnsi="Times New Roman" w:eastAsiaTheme="minorHAnsi"/>
                <w:color w:val="000000"/>
              </w:rPr>
              <w:t>$40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0CC203F3" w14:textId="77777777">
            <w:pPr>
              <w:jc w:val="center"/>
              <w:rPr>
                <w:rFonts w:ascii="Times New Roman" w:hAnsi="Times New Roman"/>
                <w:color w:val="000000" w:themeColor="text1"/>
              </w:rPr>
            </w:pPr>
            <w:r w:rsidRPr="001052BE">
              <w:rPr>
                <w:rFonts w:ascii="Times New Roman" w:hAnsi="Times New Roman" w:eastAsiaTheme="minorHAnsi"/>
                <w:color w:val="000000"/>
              </w:rPr>
              <w:t>$60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0A1E28EB" w14:textId="77777777">
            <w:pPr>
              <w:jc w:val="center"/>
              <w:rPr>
                <w:rFonts w:ascii="Times New Roman" w:hAnsi="Times New Roman"/>
                <w:color w:val="000000" w:themeColor="text1"/>
              </w:rPr>
            </w:pPr>
            <w:r w:rsidRPr="001052BE">
              <w:rPr>
                <w:rFonts w:ascii="Times New Roman" w:hAnsi="Times New Roman" w:eastAsiaTheme="minorHAnsi"/>
                <w:color w:val="000000"/>
              </w:rPr>
              <w:t>$80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1052BE" w:rsidRDefault="001052BE" w14:paraId="42147638" w14:textId="77777777">
            <w:pPr>
              <w:jc w:val="center"/>
              <w:rPr>
                <w:rFonts w:ascii="Times New Roman" w:hAnsi="Times New Roman"/>
                <w:color w:val="000000" w:themeColor="text1"/>
              </w:rPr>
            </w:pPr>
            <w:r w:rsidRPr="001052BE">
              <w:rPr>
                <w:rFonts w:ascii="Times New Roman" w:hAnsi="Times New Roman" w:eastAsiaTheme="minorHAnsi"/>
                <w:color w:val="000000"/>
              </w:rPr>
              <w:t>$100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1052BE" w:rsidRDefault="001052BE" w14:paraId="26081AB0" w14:textId="77777777">
            <w:pPr>
              <w:jc w:val="center"/>
              <w:rPr>
                <w:rFonts w:ascii="Times New Roman" w:hAnsi="Times New Roman"/>
                <w:color w:val="000000" w:themeColor="text1"/>
              </w:rPr>
            </w:pPr>
            <w:r w:rsidRPr="001052BE">
              <w:rPr>
                <w:rFonts w:ascii="Times New Roman" w:hAnsi="Times New Roman" w:eastAsiaTheme="minorHAnsi"/>
                <w:color w:val="000000"/>
              </w:rPr>
              <w:t>$150</w:t>
            </w:r>
          </w:p>
        </w:tc>
      </w:tr>
      <w:tr w:rsidRPr="001052BE" w:rsidR="001052BE" w:rsidTr="001052BE" w14:paraId="08CAF04A" w14:textId="77777777">
        <w:trPr>
          <w:trHeight w:val="1387"/>
        </w:trPr>
        <w:tc>
          <w:tcPr>
            <w:tcW w:w="1795" w:type="dxa"/>
            <w:vAlign w:val="center"/>
          </w:tcPr>
          <w:p w:rsidRPr="001052BE" w:rsidR="001052BE" w:rsidRDefault="001052BE" w14:paraId="03921AF8" w14:textId="77777777">
            <w:pPr>
              <w:rPr>
                <w:rFonts w:ascii="Times New Roman" w:hAnsi="Times New Roman"/>
                <w:b/>
                <w:color w:val="000000" w:themeColor="text1"/>
              </w:rPr>
            </w:pPr>
            <w:r w:rsidRPr="001052BE">
              <w:rPr>
                <w:rFonts w:ascii="Times New Roman" w:hAnsi="Times New Roman"/>
                <w:b/>
                <w:color w:val="000000" w:themeColor="text1"/>
              </w:rPr>
              <w:t>Total from Base and Missed Rounds</w:t>
            </w:r>
          </w:p>
        </w:tc>
        <w:tc>
          <w:tcPr>
            <w:tcW w:w="1350" w:type="dxa"/>
            <w:tcBorders>
              <w:top w:val="nil"/>
              <w:left w:val="nil"/>
              <w:bottom w:val="single" w:color="auto" w:sz="8" w:space="0"/>
              <w:right w:val="single" w:color="auto" w:sz="8" w:space="0"/>
            </w:tcBorders>
            <w:shd w:val="clear" w:color="auto" w:fill="auto"/>
            <w:vAlign w:val="center"/>
          </w:tcPr>
          <w:p w:rsidRPr="001052BE" w:rsidR="001052BE" w:rsidP="00C15606" w:rsidRDefault="001052BE" w14:paraId="17213C77" w14:textId="5AF9A467">
            <w:pPr>
              <w:jc w:val="center"/>
              <w:rPr>
                <w:rFonts w:ascii="Times New Roman" w:hAnsi="Times New Roman"/>
                <w:b/>
              </w:rPr>
            </w:pPr>
            <w:r w:rsidRPr="001052BE">
              <w:rPr>
                <w:rFonts w:ascii="Times New Roman" w:hAnsi="Times New Roman"/>
                <w:b/>
              </w:rPr>
              <w:t>$</w:t>
            </w:r>
            <w:r w:rsidR="00C15606">
              <w:rPr>
                <w:rFonts w:ascii="Times New Roman" w:hAnsi="Times New Roman"/>
                <w:b/>
              </w:rPr>
              <w:t>305,950</w:t>
            </w:r>
          </w:p>
        </w:tc>
        <w:tc>
          <w:tcPr>
            <w:tcW w:w="1419" w:type="dxa"/>
            <w:tcBorders>
              <w:top w:val="nil"/>
              <w:left w:val="nil"/>
              <w:bottom w:val="single" w:color="auto" w:sz="8" w:space="0"/>
              <w:right w:val="single" w:color="auto" w:sz="4" w:space="0"/>
            </w:tcBorders>
            <w:shd w:val="clear" w:color="auto" w:fill="auto"/>
            <w:vAlign w:val="center"/>
          </w:tcPr>
          <w:p w:rsidRPr="001052BE" w:rsidR="001052BE" w:rsidP="00C15606" w:rsidRDefault="001052BE" w14:paraId="711966B0" w14:textId="3624FD07">
            <w:pPr>
              <w:jc w:val="center"/>
              <w:rPr>
                <w:rFonts w:ascii="Times New Roman" w:hAnsi="Times New Roman"/>
                <w:b/>
              </w:rPr>
            </w:pPr>
            <w:r w:rsidRPr="001052BE">
              <w:rPr>
                <w:rFonts w:ascii="Times New Roman" w:hAnsi="Times New Roman"/>
                <w:b/>
              </w:rPr>
              <w:t>$</w:t>
            </w:r>
            <w:r w:rsidR="00C15606">
              <w:rPr>
                <w:rFonts w:ascii="Times New Roman" w:hAnsi="Times New Roman"/>
                <w:b/>
              </w:rPr>
              <w:t>22,230</w:t>
            </w:r>
          </w:p>
        </w:tc>
        <w:tc>
          <w:tcPr>
            <w:tcW w:w="1470" w:type="dxa"/>
            <w:tcBorders>
              <w:top w:val="single" w:color="auto" w:sz="4" w:space="0"/>
              <w:left w:val="single" w:color="auto" w:sz="4" w:space="0"/>
              <w:bottom w:val="single" w:color="auto" w:sz="4" w:space="0"/>
              <w:right w:val="single" w:color="auto" w:sz="4" w:space="0"/>
            </w:tcBorders>
            <w:vAlign w:val="center"/>
          </w:tcPr>
          <w:p w:rsidRPr="001052BE" w:rsidR="001052BE" w:rsidP="00C15606" w:rsidRDefault="001052BE" w14:paraId="76855662" w14:textId="440BC7D0">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12,540</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C15606" w:rsidRDefault="001052BE" w14:paraId="744FF5E5" w14:textId="12FD6157">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5,980</w:t>
            </w:r>
          </w:p>
        </w:tc>
        <w:tc>
          <w:tcPr>
            <w:tcW w:w="1169" w:type="dxa"/>
            <w:tcBorders>
              <w:top w:val="single" w:color="auto" w:sz="4" w:space="0"/>
              <w:left w:val="single" w:color="auto" w:sz="4" w:space="0"/>
              <w:bottom w:val="single" w:color="auto" w:sz="4" w:space="0"/>
              <w:right w:val="single" w:color="auto" w:sz="4" w:space="0"/>
            </w:tcBorders>
            <w:vAlign w:val="center"/>
          </w:tcPr>
          <w:p w:rsidRPr="001052BE" w:rsidR="001052BE" w:rsidP="00C15606" w:rsidRDefault="001052BE" w14:paraId="3A993B9E" w14:textId="1D8BF3DD">
            <w:pPr>
              <w:jc w:val="center"/>
              <w:rPr>
                <w:rFonts w:ascii="Times New Roman" w:hAnsi="Times New Roman"/>
                <w:b/>
                <w:color w:val="000000" w:themeColor="text1"/>
              </w:rPr>
            </w:pPr>
            <w:r w:rsidRPr="001052BE">
              <w:rPr>
                <w:rFonts w:ascii="Times New Roman" w:hAnsi="Times New Roman"/>
                <w:b/>
              </w:rPr>
              <w:t>$5,</w:t>
            </w:r>
            <w:r w:rsidR="00C15606">
              <w:rPr>
                <w:rFonts w:ascii="Times New Roman" w:hAnsi="Times New Roman"/>
                <w:b/>
              </w:rPr>
              <w:t>400</w:t>
            </w:r>
          </w:p>
        </w:tc>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052BE" w:rsidR="001052BE" w:rsidP="00C15606" w:rsidRDefault="001052BE" w14:paraId="2390E5C1" w14:textId="1D17340A">
            <w:pPr>
              <w:jc w:val="center"/>
              <w:rPr>
                <w:rFonts w:ascii="Times New Roman" w:hAnsi="Times New Roman"/>
                <w:b/>
                <w:color w:val="000000" w:themeColor="text1"/>
              </w:rPr>
            </w:pPr>
            <w:r w:rsidRPr="001052BE">
              <w:rPr>
                <w:rFonts w:ascii="Times New Roman" w:hAnsi="Times New Roman"/>
                <w:b/>
              </w:rPr>
              <w:t>$</w:t>
            </w:r>
            <w:r w:rsidR="00C15606">
              <w:rPr>
                <w:rFonts w:ascii="Times New Roman" w:hAnsi="Times New Roman"/>
                <w:b/>
              </w:rPr>
              <w:t>17,600</w:t>
            </w:r>
          </w:p>
        </w:tc>
      </w:tr>
      <w:tr w:rsidRPr="001052BE" w:rsidR="001052BE" w:rsidTr="001052BE" w14:paraId="68A6CC51" w14:textId="77777777">
        <w:trPr>
          <w:trHeight w:val="551"/>
        </w:trPr>
        <w:tc>
          <w:tcPr>
            <w:tcW w:w="1795" w:type="dxa"/>
            <w:vAlign w:val="center"/>
          </w:tcPr>
          <w:p w:rsidRPr="001052BE" w:rsidR="001052BE" w:rsidP="001052BE" w:rsidRDefault="001052BE" w14:paraId="6C70EBD2" w14:textId="77777777">
            <w:pPr>
              <w:rPr>
                <w:rFonts w:ascii="Times New Roman" w:hAnsi="Times New Roman"/>
                <w:b/>
                <w:color w:val="000000" w:themeColor="text1"/>
              </w:rPr>
            </w:pPr>
            <w:r w:rsidRPr="001052BE">
              <w:rPr>
                <w:rFonts w:ascii="Times New Roman" w:hAnsi="Times New Roman"/>
                <w:b/>
                <w:color w:val="000000" w:themeColor="text1"/>
              </w:rPr>
              <w:t>Total from Above Row</w:t>
            </w:r>
          </w:p>
        </w:tc>
        <w:tc>
          <w:tcPr>
            <w:tcW w:w="7748" w:type="dxa"/>
            <w:gridSpan w:val="7"/>
            <w:vAlign w:val="center"/>
          </w:tcPr>
          <w:p w:rsidRPr="001052BE" w:rsidR="001052BE" w:rsidP="00854FEB" w:rsidRDefault="001052BE" w14:paraId="4313C62F" w14:textId="1E341371">
            <w:pPr>
              <w:jc w:val="center"/>
              <w:rPr>
                <w:rFonts w:ascii="Times New Roman" w:hAnsi="Times New Roman"/>
                <w:b/>
              </w:rPr>
            </w:pPr>
            <w:r w:rsidRPr="001052BE">
              <w:rPr>
                <w:rFonts w:ascii="Times New Roman" w:hAnsi="Times New Roman"/>
                <w:b/>
              </w:rPr>
              <w:t>$</w:t>
            </w:r>
            <w:r w:rsidR="00854FEB">
              <w:rPr>
                <w:rFonts w:ascii="Times New Roman" w:hAnsi="Times New Roman"/>
                <w:b/>
              </w:rPr>
              <w:t>369,700</w:t>
            </w:r>
          </w:p>
        </w:tc>
      </w:tr>
      <w:tr w:rsidRPr="001052BE" w:rsidR="001052BE" w:rsidTr="001052BE" w14:paraId="30E88239" w14:textId="77777777">
        <w:trPr>
          <w:trHeight w:val="283"/>
        </w:trPr>
        <w:tc>
          <w:tcPr>
            <w:tcW w:w="9543" w:type="dxa"/>
            <w:gridSpan w:val="8"/>
            <w:vAlign w:val="center"/>
          </w:tcPr>
          <w:p w:rsidRPr="001052BE" w:rsidR="001052BE" w:rsidP="001052BE" w:rsidRDefault="001052BE" w14:paraId="61F9380F" w14:textId="77777777">
            <w:pPr>
              <w:jc w:val="center"/>
              <w:rPr>
                <w:rFonts w:ascii="Times New Roman" w:hAnsi="Times New Roman"/>
              </w:rPr>
            </w:pPr>
            <w:r w:rsidRPr="001052BE">
              <w:rPr>
                <w:rFonts w:ascii="Times New Roman" w:hAnsi="Times New Roman"/>
              </w:rPr>
              <w:t>Incentive Enhancements</w:t>
            </w:r>
          </w:p>
        </w:tc>
      </w:tr>
      <w:tr w:rsidRPr="001052BE" w:rsidR="001052BE" w:rsidTr="001052BE" w14:paraId="24960FDF" w14:textId="77777777">
        <w:trPr>
          <w:trHeight w:val="551"/>
        </w:trPr>
        <w:tc>
          <w:tcPr>
            <w:tcW w:w="1795" w:type="dxa"/>
            <w:vAlign w:val="center"/>
          </w:tcPr>
          <w:p w:rsidRPr="001052BE" w:rsidR="001052BE" w:rsidP="001052BE" w:rsidRDefault="001052BE" w14:paraId="62D89853" w14:textId="77777777">
            <w:pPr>
              <w:rPr>
                <w:rFonts w:ascii="Times New Roman" w:hAnsi="Times New Roman"/>
                <w:color w:val="000000" w:themeColor="text1"/>
              </w:rPr>
            </w:pPr>
            <w:r w:rsidRPr="001052BE">
              <w:rPr>
                <w:rFonts w:ascii="Times New Roman" w:hAnsi="Times New Roman"/>
                <w:color w:val="000000" w:themeColor="text1"/>
              </w:rPr>
              <w:t>Thank You Bonus</w:t>
            </w:r>
          </w:p>
        </w:tc>
        <w:tc>
          <w:tcPr>
            <w:tcW w:w="7748" w:type="dxa"/>
            <w:gridSpan w:val="7"/>
            <w:tcBorders>
              <w:right w:val="single" w:color="auto" w:sz="4" w:space="0"/>
            </w:tcBorders>
            <w:vAlign w:val="center"/>
          </w:tcPr>
          <w:p w:rsidRPr="001052BE" w:rsidR="001052BE" w:rsidP="001052BE" w:rsidRDefault="001052BE" w14:paraId="2A589D44" w14:textId="77777777">
            <w:pPr>
              <w:jc w:val="center"/>
              <w:rPr>
                <w:rFonts w:ascii="Times New Roman" w:hAnsi="Times New Roman"/>
                <w:color w:val="000000" w:themeColor="text1"/>
              </w:rPr>
            </w:pPr>
            <w:r w:rsidRPr="001052BE">
              <w:rPr>
                <w:rFonts w:ascii="Times New Roman" w:hAnsi="Times New Roman"/>
                <w:color w:val="000000" w:themeColor="text1"/>
              </w:rPr>
              <w:t>$30,000</w:t>
            </w:r>
          </w:p>
        </w:tc>
      </w:tr>
      <w:tr w:rsidRPr="001052BE" w:rsidR="001052BE" w:rsidTr="001052BE" w14:paraId="4A55DB61" w14:textId="77777777">
        <w:trPr>
          <w:trHeight w:val="267"/>
        </w:trPr>
        <w:tc>
          <w:tcPr>
            <w:tcW w:w="1795" w:type="dxa"/>
            <w:vAlign w:val="center"/>
          </w:tcPr>
          <w:p w:rsidRPr="001052BE" w:rsidR="001052BE" w:rsidP="001052BE" w:rsidRDefault="001052BE" w14:paraId="2BEBB382" w14:textId="77777777">
            <w:pPr>
              <w:rPr>
                <w:rFonts w:ascii="Times New Roman" w:hAnsi="Times New Roman"/>
              </w:rPr>
            </w:pPr>
            <w:r w:rsidRPr="001052BE">
              <w:rPr>
                <w:rFonts w:ascii="Times New Roman" w:hAnsi="Times New Roman"/>
                <w:color w:val="000000" w:themeColor="text1"/>
              </w:rPr>
              <w:t>Final Push</w:t>
            </w:r>
          </w:p>
        </w:tc>
        <w:tc>
          <w:tcPr>
            <w:tcW w:w="7748" w:type="dxa"/>
            <w:gridSpan w:val="7"/>
            <w:tcBorders>
              <w:right w:val="single" w:color="auto" w:sz="4" w:space="0"/>
            </w:tcBorders>
            <w:vAlign w:val="center"/>
          </w:tcPr>
          <w:p w:rsidRPr="001052BE" w:rsidR="001052BE" w:rsidRDefault="001052BE" w14:paraId="0C523F5F" w14:textId="77777777">
            <w:pPr>
              <w:jc w:val="center"/>
              <w:rPr>
                <w:rFonts w:ascii="Times New Roman" w:hAnsi="Times New Roman"/>
                <w:color w:val="000000" w:themeColor="text1"/>
              </w:rPr>
            </w:pPr>
            <w:r w:rsidRPr="001052BE">
              <w:rPr>
                <w:rFonts w:ascii="Times New Roman" w:hAnsi="Times New Roman"/>
                <w:color w:val="000000" w:themeColor="text1"/>
              </w:rPr>
              <w:t>$25,000</w:t>
            </w:r>
          </w:p>
        </w:tc>
      </w:tr>
      <w:tr w:rsidRPr="001052BE" w:rsidR="001052BE" w:rsidTr="001052BE" w14:paraId="0A9A1941" w14:textId="77777777">
        <w:trPr>
          <w:trHeight w:val="535"/>
        </w:trPr>
        <w:tc>
          <w:tcPr>
            <w:tcW w:w="1795" w:type="dxa"/>
            <w:vAlign w:val="center"/>
          </w:tcPr>
          <w:p w:rsidRPr="001052BE" w:rsidR="001052BE" w:rsidP="001052BE" w:rsidRDefault="001052BE" w14:paraId="5ACDF719" w14:textId="77777777">
            <w:pPr>
              <w:rPr>
                <w:rFonts w:ascii="Times New Roman" w:hAnsi="Times New Roman"/>
                <w:color w:val="000000" w:themeColor="text1"/>
              </w:rPr>
            </w:pPr>
            <w:r w:rsidRPr="001052BE">
              <w:rPr>
                <w:rFonts w:ascii="Times New Roman" w:hAnsi="Times New Roman"/>
                <w:color w:val="000000" w:themeColor="text1"/>
              </w:rPr>
              <w:t>Enhanced Final Push</w:t>
            </w:r>
          </w:p>
        </w:tc>
        <w:tc>
          <w:tcPr>
            <w:tcW w:w="7748" w:type="dxa"/>
            <w:gridSpan w:val="7"/>
            <w:vAlign w:val="center"/>
          </w:tcPr>
          <w:p w:rsidRPr="001052BE" w:rsidR="001052BE" w:rsidP="001052BE" w:rsidRDefault="001052BE" w14:paraId="2A8D5246" w14:textId="77777777">
            <w:pPr>
              <w:jc w:val="center"/>
              <w:rPr>
                <w:rFonts w:ascii="Times New Roman" w:hAnsi="Times New Roman"/>
                <w:color w:val="000000" w:themeColor="text1"/>
              </w:rPr>
            </w:pPr>
            <w:r w:rsidRPr="001052BE">
              <w:rPr>
                <w:rFonts w:ascii="Times New Roman" w:hAnsi="Times New Roman"/>
                <w:color w:val="000000" w:themeColor="text1"/>
              </w:rPr>
              <w:t>$12,500</w:t>
            </w:r>
          </w:p>
        </w:tc>
      </w:tr>
      <w:tr w:rsidRPr="001052BE" w:rsidR="001052BE" w:rsidTr="001052BE" w14:paraId="3C274441" w14:textId="77777777">
        <w:trPr>
          <w:trHeight w:val="267"/>
        </w:trPr>
        <w:tc>
          <w:tcPr>
            <w:tcW w:w="1795" w:type="dxa"/>
            <w:vAlign w:val="center"/>
          </w:tcPr>
          <w:p w:rsidRPr="001052BE" w:rsidR="001052BE" w:rsidP="001052BE" w:rsidRDefault="001052BE" w14:paraId="54C79393" w14:textId="77777777">
            <w:pPr>
              <w:rPr>
                <w:rFonts w:ascii="Times New Roman" w:hAnsi="Times New Roman"/>
              </w:rPr>
            </w:pPr>
            <w:r w:rsidRPr="001052BE">
              <w:rPr>
                <w:rFonts w:ascii="Times New Roman" w:hAnsi="Times New Roman"/>
              </w:rPr>
              <w:t>Token In-Kind</w:t>
            </w:r>
          </w:p>
        </w:tc>
        <w:tc>
          <w:tcPr>
            <w:tcW w:w="7748" w:type="dxa"/>
            <w:gridSpan w:val="7"/>
            <w:vAlign w:val="center"/>
          </w:tcPr>
          <w:p w:rsidRPr="001052BE" w:rsidR="001052BE" w:rsidP="001052BE" w:rsidRDefault="001052BE" w14:paraId="07755AC1" w14:textId="77777777">
            <w:pPr>
              <w:jc w:val="center"/>
              <w:rPr>
                <w:rFonts w:ascii="Times New Roman" w:hAnsi="Times New Roman"/>
              </w:rPr>
            </w:pPr>
            <w:r w:rsidRPr="001052BE">
              <w:rPr>
                <w:rFonts w:ascii="Times New Roman" w:hAnsi="Times New Roman"/>
              </w:rPr>
              <w:t>Maximum $20,000</w:t>
            </w:r>
          </w:p>
        </w:tc>
      </w:tr>
      <w:tr w:rsidRPr="001052BE" w:rsidR="001052BE" w:rsidTr="001052BE" w14:paraId="43150775" w14:textId="77777777">
        <w:trPr>
          <w:trHeight w:val="267"/>
        </w:trPr>
        <w:tc>
          <w:tcPr>
            <w:tcW w:w="1795" w:type="dxa"/>
            <w:vAlign w:val="center"/>
          </w:tcPr>
          <w:p w:rsidRPr="001052BE" w:rsidR="001052BE" w:rsidP="001052BE" w:rsidRDefault="001052BE" w14:paraId="4972368C" w14:textId="77777777">
            <w:pPr>
              <w:rPr>
                <w:rFonts w:ascii="Times New Roman" w:hAnsi="Times New Roman"/>
              </w:rPr>
            </w:pPr>
          </w:p>
        </w:tc>
        <w:tc>
          <w:tcPr>
            <w:tcW w:w="7748" w:type="dxa"/>
            <w:gridSpan w:val="7"/>
            <w:vAlign w:val="center"/>
          </w:tcPr>
          <w:p w:rsidRPr="001052BE" w:rsidR="001052BE" w:rsidP="001052BE" w:rsidRDefault="001052BE" w14:paraId="3DA376E5" w14:textId="77777777">
            <w:pPr>
              <w:jc w:val="center"/>
              <w:rPr>
                <w:rFonts w:ascii="Times New Roman" w:hAnsi="Times New Roman"/>
              </w:rPr>
            </w:pPr>
          </w:p>
        </w:tc>
      </w:tr>
      <w:tr w:rsidRPr="001052BE" w:rsidR="001052BE" w:rsidTr="001052BE" w14:paraId="20FA1480" w14:textId="77777777">
        <w:trPr>
          <w:trHeight w:val="267"/>
        </w:trPr>
        <w:tc>
          <w:tcPr>
            <w:tcW w:w="1795" w:type="dxa"/>
            <w:vAlign w:val="center"/>
          </w:tcPr>
          <w:p w:rsidRPr="001052BE" w:rsidR="001052BE" w:rsidP="001052BE" w:rsidRDefault="001052BE" w14:paraId="18CBEC4C" w14:textId="77777777">
            <w:pPr>
              <w:rPr>
                <w:rFonts w:ascii="Times New Roman" w:hAnsi="Times New Roman"/>
                <w:b/>
              </w:rPr>
            </w:pPr>
            <w:r w:rsidRPr="001052BE">
              <w:rPr>
                <w:rFonts w:ascii="Times New Roman" w:hAnsi="Times New Roman"/>
                <w:b/>
              </w:rPr>
              <w:t>Total</w:t>
            </w:r>
          </w:p>
        </w:tc>
        <w:tc>
          <w:tcPr>
            <w:tcW w:w="7748" w:type="dxa"/>
            <w:gridSpan w:val="7"/>
            <w:vAlign w:val="center"/>
          </w:tcPr>
          <w:p w:rsidRPr="001052BE" w:rsidR="001052BE" w:rsidP="00854FEB" w:rsidRDefault="001052BE" w14:paraId="6234DC73" w14:textId="4EDA852E">
            <w:pPr>
              <w:jc w:val="center"/>
              <w:rPr>
                <w:rFonts w:ascii="Times New Roman" w:hAnsi="Times New Roman"/>
                <w:b/>
              </w:rPr>
            </w:pPr>
            <w:r w:rsidRPr="001052BE">
              <w:rPr>
                <w:rFonts w:ascii="Times New Roman" w:hAnsi="Times New Roman"/>
                <w:b/>
              </w:rPr>
              <w:t>$</w:t>
            </w:r>
            <w:r w:rsidR="00854FEB">
              <w:rPr>
                <w:rFonts w:ascii="Times New Roman" w:hAnsi="Times New Roman"/>
                <w:b/>
              </w:rPr>
              <w:t>457,200</w:t>
            </w:r>
          </w:p>
        </w:tc>
      </w:tr>
    </w:tbl>
    <w:p w:rsidRPr="001052BE" w:rsidR="001052BE" w:rsidP="001052BE" w:rsidRDefault="001052BE" w14:paraId="34F13B7B" w14:textId="77777777">
      <w:pPr>
        <w:rPr>
          <w:rFonts w:ascii="Times New Roman" w:hAnsi="Times New Roman"/>
        </w:rPr>
      </w:pPr>
    </w:p>
    <w:p w:rsidRPr="001052BE" w:rsidR="001052BE" w:rsidP="001052BE" w:rsidRDefault="001052BE" w14:paraId="2583B461" w14:textId="77777777">
      <w:pPr>
        <w:rPr>
          <w:rFonts w:ascii="Times New Roman" w:hAnsi="Times New Roman"/>
          <w:color w:val="000000" w:themeColor="text1"/>
        </w:rPr>
      </w:pPr>
      <w:r w:rsidRPr="001052BE">
        <w:rPr>
          <w:rFonts w:ascii="Times New Roman" w:hAnsi="Times New Roman"/>
          <w:color w:val="000000" w:themeColor="text1"/>
        </w:rPr>
        <w:t>* Note: Sample sizes exclude deceased and blocked cases.  Expected completes based on slight reduction from Round 19 completes total.  As a point of reference, total incentive costs in Round 19 were roughly $450,000.</w:t>
      </w:r>
    </w:p>
    <w:p w:rsidRPr="001052BE" w:rsidR="001052BE" w:rsidRDefault="001052BE" w14:paraId="48ABA6C8" w14:textId="77777777">
      <w:pPr>
        <w:rPr>
          <w:rFonts w:ascii="Times New Roman" w:hAnsi="Times New Roman"/>
        </w:rPr>
      </w:pPr>
    </w:p>
    <w:p w:rsidRPr="001052BE" w:rsidR="001052BE" w:rsidP="001052BE" w:rsidRDefault="001052BE" w14:paraId="6D10B7BF" w14:textId="77777777">
      <w:pPr>
        <w:spacing w:after="160" w:line="259" w:lineRule="auto"/>
        <w:rPr>
          <w:rFonts w:ascii="Times New Roman" w:hAnsi="Times New Roman"/>
          <w:b/>
        </w:rPr>
      </w:pPr>
      <w:r w:rsidRPr="001052BE">
        <w:rPr>
          <w:rFonts w:ascii="Times New Roman" w:hAnsi="Times New Roman"/>
          <w:b/>
        </w:rPr>
        <w:t>References</w:t>
      </w:r>
    </w:p>
    <w:p w:rsidRPr="001052BE" w:rsidR="001052BE" w:rsidP="001052BE" w:rsidRDefault="001052BE" w14:paraId="356609CE" w14:textId="77777777">
      <w:pPr>
        <w:ind w:left="360" w:hanging="360"/>
        <w:rPr>
          <w:rFonts w:ascii="Times New Roman" w:hAnsi="Times New Roman"/>
        </w:rPr>
      </w:pPr>
      <w:r w:rsidRPr="001052BE">
        <w:rPr>
          <w:rFonts w:ascii="Times New Roman" w:hAnsi="Times New Roman"/>
        </w:rPr>
        <w:t>Creighton, K. P., King, K. E., &amp; Martin, E. A. (2007). The use of monetary incentives in Census Bureau longitudinal surveys. Survey Methodology, 2.</w:t>
      </w:r>
    </w:p>
    <w:p w:rsidRPr="001052BE" w:rsidR="001052BE" w:rsidP="001052BE" w:rsidRDefault="001052BE" w14:paraId="26930193" w14:textId="77777777">
      <w:pPr>
        <w:ind w:left="360" w:hanging="360"/>
        <w:rPr>
          <w:rFonts w:ascii="Times New Roman" w:hAnsi="Times New Roman"/>
        </w:rPr>
      </w:pPr>
    </w:p>
    <w:p w:rsidRPr="001052BE" w:rsidR="001052BE" w:rsidP="001052BE" w:rsidRDefault="001052BE" w14:paraId="70B020CB" w14:textId="77777777">
      <w:pPr>
        <w:ind w:left="360" w:hanging="360"/>
        <w:rPr>
          <w:rFonts w:ascii="Times New Roman" w:hAnsi="Times New Roman"/>
        </w:rPr>
      </w:pPr>
      <w:r w:rsidRPr="001052BE">
        <w:rPr>
          <w:rFonts w:ascii="Times New Roman" w:hAnsi="Times New Roman"/>
        </w:rPr>
        <w:t>Kirk, R.E., 2012. Experimental design. Handbook of Psychology, Second Edition, Volume 2. Wiley Press.</w:t>
      </w:r>
    </w:p>
    <w:p w:rsidRPr="001052BE" w:rsidR="001052BE" w:rsidP="001052BE" w:rsidRDefault="001052BE" w14:paraId="2FE6F506" w14:textId="77777777">
      <w:pPr>
        <w:ind w:left="360" w:hanging="360"/>
        <w:rPr>
          <w:rFonts w:ascii="Times New Roman" w:hAnsi="Times New Roman"/>
        </w:rPr>
      </w:pPr>
    </w:p>
    <w:p w:rsidRPr="001052BE" w:rsidR="001052BE" w:rsidP="001052BE" w:rsidRDefault="001052BE" w14:paraId="4A52A299" w14:textId="77777777">
      <w:pPr>
        <w:ind w:left="360" w:hanging="360"/>
        <w:rPr>
          <w:rFonts w:ascii="Times New Roman" w:hAnsi="Times New Roman"/>
        </w:rPr>
      </w:pPr>
      <w:r w:rsidRPr="001052BE">
        <w:rPr>
          <w:rFonts w:ascii="Times New Roman" w:hAnsi="Times New Roman"/>
        </w:rPr>
        <w:t>Laurie, H. &amp; Lynn, P. (2009). The Use of Respondent Incentives on Longitudinal Surveys. In Methodology of Longitudinal Surveys (ed. Lynn, P.), Chichester: Wiley.</w:t>
      </w:r>
    </w:p>
    <w:p w:rsidRPr="001052BE" w:rsidR="001052BE" w:rsidP="001052BE" w:rsidRDefault="001052BE" w14:paraId="5F34A2FE" w14:textId="77777777">
      <w:pPr>
        <w:ind w:left="360" w:hanging="360"/>
        <w:rPr>
          <w:rFonts w:ascii="Times New Roman" w:hAnsi="Times New Roman"/>
        </w:rPr>
      </w:pPr>
    </w:p>
    <w:p w:rsidRPr="001052BE" w:rsidR="001052BE" w:rsidP="001052BE" w:rsidRDefault="001052BE" w14:paraId="015DDB32" w14:textId="77777777">
      <w:pPr>
        <w:ind w:left="360" w:hanging="360"/>
        <w:rPr>
          <w:rFonts w:ascii="Times New Roman" w:hAnsi="Times New Roman"/>
        </w:rPr>
      </w:pPr>
      <w:r w:rsidRPr="001052BE">
        <w:rPr>
          <w:rFonts w:ascii="Times New Roman" w:hAnsi="Times New Roman"/>
        </w:rPr>
        <w:t>Martin, E., &amp; Winters, F. (2001). Money and motive: effects of incentives on panel attrition in the survey of income and program participation. Journal of Official Statistics, 17(2), 267.</w:t>
      </w:r>
    </w:p>
    <w:p w:rsidRPr="001052BE" w:rsidR="001052BE" w:rsidP="001052BE" w:rsidRDefault="001052BE" w14:paraId="08AEB661" w14:textId="77777777">
      <w:pPr>
        <w:ind w:left="360" w:hanging="360"/>
        <w:rPr>
          <w:rFonts w:ascii="Times New Roman" w:hAnsi="Times New Roman"/>
        </w:rPr>
      </w:pPr>
    </w:p>
    <w:p w:rsidRPr="001052BE" w:rsidR="001052BE" w:rsidP="001052BE" w:rsidRDefault="001052BE" w14:paraId="319756F8" w14:textId="77777777">
      <w:pPr>
        <w:ind w:left="360" w:hanging="360"/>
        <w:rPr>
          <w:rFonts w:ascii="Times New Roman" w:hAnsi="Times New Roman"/>
        </w:rPr>
      </w:pPr>
      <w:r w:rsidRPr="001052BE">
        <w:rPr>
          <w:rFonts w:ascii="Times New Roman" w:hAnsi="Times New Roman"/>
        </w:rPr>
        <w:t>McGonagle, K. A., &amp; Freedman, V. A. (2017). The effects of a delayed incentive on response rates, response mode, data quality, and sample bias in a nationally representative mixed mode study. Field methods, 29(3), 221-237.</w:t>
      </w:r>
    </w:p>
    <w:p w:rsidRPr="001052BE" w:rsidR="001052BE" w:rsidP="001052BE" w:rsidRDefault="001052BE" w14:paraId="15F0421F" w14:textId="77777777">
      <w:pPr>
        <w:ind w:left="360" w:hanging="360"/>
        <w:rPr>
          <w:rFonts w:ascii="Times New Roman" w:hAnsi="Times New Roman"/>
        </w:rPr>
      </w:pPr>
    </w:p>
    <w:p w:rsidRPr="001052BE" w:rsidR="001052BE" w:rsidP="001052BE" w:rsidRDefault="001052BE" w14:paraId="3D256F2C" w14:textId="77777777">
      <w:pPr>
        <w:ind w:left="360" w:hanging="360"/>
        <w:rPr>
          <w:rFonts w:ascii="Times New Roman" w:hAnsi="Times New Roman"/>
        </w:rPr>
      </w:pPr>
      <w:r w:rsidRPr="001052BE">
        <w:rPr>
          <w:rFonts w:ascii="Times New Roman" w:hAnsi="Times New Roman"/>
        </w:rPr>
        <w:t>Rodgers, W. L. (2011). Effects of increasing the incentive size in a longitudinal study. Journal of Official Statistics, 27(2), 279.</w:t>
      </w:r>
    </w:p>
    <w:p w:rsidRPr="001052BE" w:rsidR="001052BE" w:rsidP="001052BE" w:rsidRDefault="001052BE" w14:paraId="6026CD40" w14:textId="77777777">
      <w:pPr>
        <w:ind w:left="360" w:hanging="360"/>
        <w:rPr>
          <w:rFonts w:ascii="Times New Roman" w:hAnsi="Times New Roman"/>
        </w:rPr>
      </w:pPr>
    </w:p>
    <w:p w:rsidRPr="001052BE" w:rsidR="001052BE" w:rsidP="001052BE" w:rsidRDefault="001052BE" w14:paraId="4B9D05BD" w14:textId="77777777">
      <w:pPr>
        <w:ind w:left="360" w:hanging="360"/>
        <w:rPr>
          <w:rFonts w:ascii="Times New Roman" w:hAnsi="Times New Roman"/>
        </w:rPr>
      </w:pPr>
      <w:r w:rsidRPr="001052BE">
        <w:rPr>
          <w:rFonts w:ascii="Times New Roman" w:hAnsi="Times New Roman"/>
        </w:rPr>
        <w:t>Wong, E. (2020) Incentives in Longitudinal Studies. CLS Working Paper 2020/1. UCL Centre for Longitudinal Studies. London.</w:t>
      </w:r>
    </w:p>
    <w:p w:rsidRPr="001052BE" w:rsidR="001052BE" w:rsidRDefault="001052BE" w14:paraId="61F1F64E" w14:textId="77777777">
      <w:pPr>
        <w:rPr>
          <w:rFonts w:ascii="Times New Roman" w:hAnsi="Times New Roman"/>
        </w:rPr>
      </w:pPr>
    </w:p>
    <w:p w:rsidRPr="001052BE" w:rsidR="001052BE" w:rsidRDefault="001052BE" w14:paraId="1A82F597" w14:textId="77777777">
      <w:pPr>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8F71CC" w:rsidR="00690F56" w:rsidP="00B65823" w:rsidRDefault="00690F56" w14:paraId="41D6A133" w14:textId="77777777">
      <w:pPr>
        <w:widowControl/>
        <w:rPr>
          <w:rFonts w:ascii="Times New Roman" w:hAnsi="Times New Roman"/>
          <w:bCs/>
        </w:rPr>
      </w:pPr>
    </w:p>
    <w:p w:rsidRPr="008F71CC" w:rsidR="008F71CC" w:rsidP="008F71CC" w:rsidRDefault="008F71CC" w14:paraId="62B8F75A" w14:textId="77777777">
      <w:pPr>
        <w:pStyle w:val="Heading4"/>
        <w:rPr>
          <w:rFonts w:ascii="Times New Roman" w:hAnsi="Times New Roman" w:cs="Times New Roman"/>
          <w:b/>
          <w:i w:val="0"/>
          <w:color w:val="auto"/>
        </w:rPr>
      </w:pPr>
      <w:bookmarkStart w:name="_Toc186885072" w:id="3"/>
      <w:bookmarkStart w:name="_Toc279657833" w:id="4"/>
      <w:bookmarkStart w:name="_Toc347299682" w:id="5"/>
      <w:r w:rsidRPr="008F71CC">
        <w:rPr>
          <w:rFonts w:ascii="Times New Roman" w:hAnsi="Times New Roman" w:cs="Times New Roman"/>
          <w:b/>
          <w:i w:val="0"/>
          <w:color w:val="auto"/>
        </w:rPr>
        <w:t xml:space="preserve">a.  </w:t>
      </w:r>
      <w:smartTag w:uri="urn:schemas-microsoft-com:office:smarttags" w:element="stockticker">
        <w:r w:rsidRPr="008F71CC">
          <w:rPr>
            <w:rFonts w:ascii="Times New Roman" w:hAnsi="Times New Roman" w:cs="Times New Roman"/>
            <w:b/>
            <w:i w:val="0"/>
            <w:color w:val="auto"/>
          </w:rPr>
          <w:t>BLS</w:t>
        </w:r>
      </w:smartTag>
      <w:r w:rsidRPr="008F71CC">
        <w:rPr>
          <w:rFonts w:ascii="Times New Roman" w:hAnsi="Times New Roman" w:cs="Times New Roman"/>
          <w:b/>
          <w:i w:val="0"/>
          <w:color w:val="auto"/>
        </w:rPr>
        <w:t xml:space="preserve"> Confidentiality Policy</w:t>
      </w:r>
      <w:bookmarkEnd w:id="3"/>
      <w:bookmarkEnd w:id="4"/>
      <w:bookmarkEnd w:id="5"/>
    </w:p>
    <w:p w:rsidRPr="008F71CC" w:rsidR="008F71CC" w:rsidP="008F71CC" w:rsidRDefault="008F71CC" w14:paraId="6CF619D9" w14:textId="30341938">
      <w:pPr>
        <w:rPr>
          <w:rFonts w:ascii="Times New Roman" w:hAnsi="Times New Roman"/>
        </w:rPr>
      </w:pPr>
      <w:r w:rsidRPr="008F71CC">
        <w:rPr>
          <w:rFonts w:ascii="Times New Roman" w:hAnsi="Times New Roman"/>
        </w:rPr>
        <w:t>The information that NLSY97 respondents provide is protected by the Privacy Act of 1974 (DOL/BLS – 17 National Longitudinal Survey of Youth 1997 (67 FR 16818)) and the Confidential Information Protection and Statistical Efficiency Act (CIPSEA).  CIPSEA is shown in attachment 3.</w:t>
      </w:r>
    </w:p>
    <w:p w:rsidRPr="008F71CC" w:rsidR="008F71CC" w:rsidP="008F71CC" w:rsidRDefault="008F71CC" w14:paraId="384A9816" w14:textId="77777777">
      <w:pPr>
        <w:rPr>
          <w:rFonts w:ascii="Times New Roman" w:hAnsi="Times New Roman"/>
        </w:rPr>
      </w:pPr>
    </w:p>
    <w:p w:rsidRPr="008F71CC" w:rsidR="008F71CC" w:rsidP="008F71CC" w:rsidRDefault="008F71CC" w14:paraId="20B96062" w14:textId="59B83536">
      <w:pPr>
        <w:rPr>
          <w:rFonts w:ascii="Times New Roman" w:hAnsi="Times New Roman"/>
        </w:rPr>
      </w:pPr>
      <w:r w:rsidRPr="008F71CC">
        <w:rPr>
          <w:rFonts w:ascii="Times New Roman" w:hAnsi="Times New Roman"/>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8F71CC" w:rsidR="008F71CC" w:rsidP="008F71CC" w:rsidRDefault="008F71CC" w14:paraId="02B341A8" w14:textId="77777777">
      <w:pPr>
        <w:rPr>
          <w:rFonts w:ascii="Times New Roman" w:hAnsi="Times New Roman"/>
        </w:rPr>
      </w:pPr>
      <w:r w:rsidRPr="008F71CC">
        <w:rPr>
          <w:rFonts w:ascii="Times New Roman" w:hAnsi="Times New Roman"/>
        </w:rPr>
        <w:t> </w:t>
      </w:r>
    </w:p>
    <w:p w:rsidRPr="008F71CC" w:rsidR="008F71CC" w:rsidP="008F71CC" w:rsidRDefault="008F71CC" w14:paraId="31EA8A65" w14:textId="4BA44516">
      <w:pPr>
        <w:rPr>
          <w:rFonts w:ascii="Times New Roman" w:hAnsi="Times New Roman"/>
        </w:rPr>
      </w:pPr>
      <w:r w:rsidRPr="008F71CC">
        <w:rPr>
          <w:rFonts w:ascii="Times New Roman" w:hAnsi="Times New Roman"/>
        </w:rPr>
        <w:t>Based on this law, the BLS provides respondents with the following confidentiality pledge/informed consent statement</w:t>
      </w:r>
      <w:r w:rsidR="002D125A">
        <w:rPr>
          <w:rFonts w:ascii="Times New Roman" w:hAnsi="Times New Roman"/>
        </w:rPr>
        <w:t xml:space="preserve"> in the advance letter</w:t>
      </w:r>
      <w:r w:rsidRPr="008F71CC">
        <w:rPr>
          <w:rFonts w:ascii="Times New Roman" w:hAnsi="Times New Roman"/>
        </w:rPr>
        <w:t>:</w:t>
      </w:r>
    </w:p>
    <w:p w:rsidRPr="008F71CC" w:rsidR="008F71CC" w:rsidP="008F71CC" w:rsidRDefault="008F71CC" w14:paraId="0DCC1FA9" w14:textId="77777777">
      <w:pPr>
        <w:rPr>
          <w:rFonts w:ascii="Times New Roman" w:hAnsi="Times New Roman"/>
        </w:rPr>
      </w:pPr>
      <w:r w:rsidRPr="008F71CC">
        <w:rPr>
          <w:rFonts w:ascii="Times New Roman" w:hAnsi="Times New Roman"/>
        </w:rPr>
        <w:t> </w:t>
      </w:r>
    </w:p>
    <w:p w:rsidR="008F71CC" w:rsidP="008F71CC" w:rsidRDefault="008F71CC" w14:paraId="3135A063" w14:textId="77777777">
      <w:pPr>
        <w:ind w:left="360"/>
        <w:rPr>
          <w:rFonts w:ascii="Times New Roman" w:hAnsi="Times New Roman"/>
        </w:rPr>
      </w:pPr>
    </w:p>
    <w:p w:rsidRPr="00D87E16" w:rsidR="00D87E16" w:rsidP="00D87E16" w:rsidRDefault="00D87E16" w14:paraId="4FD55F9B" w14:textId="77777777">
      <w:pPr>
        <w:ind w:left="360"/>
        <w:rPr>
          <w:rFonts w:ascii="Times New Roman" w:hAnsi="Times New Roman"/>
        </w:rPr>
      </w:pPr>
    </w:p>
    <w:p w:rsidRPr="00D87E16" w:rsidR="00D87E16" w:rsidP="00D87E16" w:rsidRDefault="00D87E16" w14:paraId="69829675" w14:textId="77777777">
      <w:pPr>
        <w:ind w:left="360"/>
        <w:rPr>
          <w:rFonts w:ascii="Times New Roman" w:hAnsi="Times New Roman"/>
        </w:rPr>
      </w:pPr>
    </w:p>
    <w:p w:rsidRPr="002B3761" w:rsidR="00943051" w:rsidP="002B3761" w:rsidRDefault="00943051" w14:paraId="7F3271D5" w14:textId="4E5FC8B9">
      <w:pPr>
        <w:pStyle w:val="Default"/>
        <w:ind w:left="360"/>
        <w:rPr>
          <w:rFonts w:ascii="Times New Roman" w:hAnsi="Times New Roman" w:cs="Times New Roman"/>
          <w:color w:val="auto"/>
        </w:rPr>
      </w:pPr>
      <w:r w:rsidRPr="002B3761">
        <w:rPr>
          <w:rFonts w:ascii="Times New Roman" w:hAnsi="Times New Roman" w:cs="Times New Roman"/>
          <w:color w:val="auto"/>
        </w:rPr>
        <w:t>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943051" w:rsidP="002B3761" w:rsidRDefault="00943051" w14:paraId="7BA857DB" w14:textId="77777777">
      <w:pPr>
        <w:ind w:left="720"/>
        <w:rPr>
          <w:rFonts w:ascii="Times New Roman" w:hAnsi="Times New Roman"/>
        </w:rPr>
      </w:pPr>
    </w:p>
    <w:p w:rsidRPr="002B3761" w:rsidR="00943051" w:rsidP="002B3761" w:rsidRDefault="00943051" w14:paraId="2E6D547A" w14:textId="77777777">
      <w:pPr>
        <w:pStyle w:val="Default"/>
        <w:ind w:left="360"/>
        <w:rPr>
          <w:rFonts w:ascii="Times New Roman" w:hAnsi="Times New Roman" w:cs="Times New Roman"/>
          <w:color w:val="auto"/>
        </w:rPr>
      </w:pPr>
      <w:r w:rsidRPr="002B3761">
        <w:rPr>
          <w:rFonts w:ascii="Times New Roman" w:hAnsi="Times New Roman" w:cs="Times New Roman"/>
          <w:color w:val="auto"/>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Pr="00D87E16" w:rsidR="00D87E16" w:rsidP="00D87E16" w:rsidRDefault="00D87E16" w14:paraId="23D84BEA" w14:textId="77777777">
      <w:pPr>
        <w:ind w:left="360"/>
        <w:rPr>
          <w:rFonts w:ascii="Times New Roman" w:hAnsi="Times New Roman"/>
        </w:rPr>
      </w:pPr>
    </w:p>
    <w:p w:rsidRPr="008F71CC" w:rsidR="008F71CC" w:rsidP="008F71CC" w:rsidRDefault="008F71CC" w14:paraId="2418D139" w14:textId="603CB255">
      <w:pPr>
        <w:pStyle w:val="BodyTextIndent3"/>
        <w:spacing w:after="0"/>
        <w:ind w:left="0" w:firstLine="0"/>
        <w:rPr>
          <w:rFonts w:eastAsia="Batang"/>
          <w:sz w:val="24"/>
          <w:szCs w:val="24"/>
          <w:lang w:eastAsia="ko-KR"/>
        </w:rPr>
      </w:pPr>
      <w:r w:rsidRPr="008F71CC">
        <w:rPr>
          <w:sz w:val="24"/>
          <w:szCs w:val="24"/>
        </w:rPr>
        <w:t xml:space="preserve">By signing a </w:t>
      </w:r>
      <w:smartTag w:uri="urn:schemas-microsoft-com:office:smarttags" w:element="stockticker">
        <w:r w:rsidRPr="008F71CC">
          <w:rPr>
            <w:sz w:val="24"/>
            <w:szCs w:val="24"/>
          </w:rPr>
          <w:t>BLS</w:t>
        </w:r>
      </w:smartTag>
      <w:r w:rsidRPr="008F71CC">
        <w:rPr>
          <w:sz w:val="24"/>
          <w:szCs w:val="24"/>
        </w:rPr>
        <w:t xml:space="preserve"> Agent Agreement, all authorized agents employed by the </w:t>
      </w:r>
      <w:smartTag w:uri="urn:schemas-microsoft-com:office:smarttags" w:element="stockticker">
        <w:r w:rsidRPr="008F71CC">
          <w:rPr>
            <w:sz w:val="24"/>
            <w:szCs w:val="24"/>
          </w:rPr>
          <w:t>BLS,</w:t>
        </w:r>
      </w:smartTag>
      <w:r w:rsidRPr="008F71CC">
        <w:rPr>
          <w:sz w:val="24"/>
          <w:szCs w:val="24"/>
        </w:rPr>
        <w:t xml:space="preserve"> the prime contractor and associated subcontractors pledge to comply with the Privacy Act, CIPSEA, other applicable federal laws, and the BLS confidentiality policy.  </w:t>
      </w:r>
      <w:r w:rsidRPr="008F71CC">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8F71CC">
        <w:rPr>
          <w:sz w:val="24"/>
          <w:szCs w:val="24"/>
        </w:rPr>
        <w:t xml:space="preserve">Respondents will be provided a copy of the questions and answers shown in attachment 4 about uses of the data, confidentiality, and burden.  These questions and answers will appear on the back of the letter that respondents will receive in advance of the Round </w:t>
      </w:r>
      <w:r w:rsidR="008C0B41">
        <w:rPr>
          <w:sz w:val="24"/>
          <w:szCs w:val="24"/>
        </w:rPr>
        <w:t>20</w:t>
      </w:r>
      <w:r w:rsidRPr="008F71CC" w:rsidR="008C0B41">
        <w:rPr>
          <w:sz w:val="24"/>
          <w:szCs w:val="24"/>
        </w:rPr>
        <w:t xml:space="preserve"> </w:t>
      </w:r>
      <w:r w:rsidRPr="008F71CC">
        <w:rPr>
          <w:sz w:val="24"/>
          <w:szCs w:val="24"/>
        </w:rPr>
        <w:t xml:space="preserve">interviews.  Attachment 4 also shows the combination advance letter and locating card for Round </w:t>
      </w:r>
      <w:r w:rsidR="008C0B41">
        <w:rPr>
          <w:sz w:val="24"/>
          <w:szCs w:val="24"/>
        </w:rPr>
        <w:t>20</w:t>
      </w:r>
      <w:r w:rsidRPr="008F71CC">
        <w:rPr>
          <w:sz w:val="24"/>
          <w:szCs w:val="24"/>
        </w:rPr>
        <w:t>.</w:t>
      </w:r>
    </w:p>
    <w:p w:rsidRPr="008F71CC" w:rsidR="008F71CC" w:rsidP="008F71CC" w:rsidRDefault="008F71CC" w14:paraId="671F4C4D" w14:textId="77777777">
      <w:pPr>
        <w:rPr>
          <w:rFonts w:ascii="Times New Roman" w:hAnsi="Times New Roman"/>
        </w:rPr>
      </w:pPr>
    </w:p>
    <w:p w:rsidRPr="008F71CC" w:rsidR="008F71CC" w:rsidP="008F71CC" w:rsidRDefault="008F71CC" w14:paraId="36BF0296" w14:textId="77777777">
      <w:pPr>
        <w:pStyle w:val="Heading4"/>
        <w:rPr>
          <w:rFonts w:ascii="Times New Roman" w:hAnsi="Times New Roman" w:cs="Times New Roman"/>
          <w:b/>
          <w:i w:val="0"/>
          <w:color w:val="auto"/>
        </w:rPr>
      </w:pPr>
      <w:bookmarkStart w:name="_Toc186885073" w:id="6"/>
      <w:bookmarkStart w:name="_Toc279657834" w:id="7"/>
      <w:bookmarkStart w:name="_Toc347299683" w:id="8"/>
      <w:r w:rsidRPr="008F71CC">
        <w:rPr>
          <w:rFonts w:ascii="Times New Roman" w:hAnsi="Times New Roman" w:cs="Times New Roman"/>
          <w:b/>
          <w:i w:val="0"/>
          <w:color w:val="auto"/>
        </w:rPr>
        <w:t>b. Contractor Confidentiality Safeguards</w:t>
      </w:r>
      <w:bookmarkEnd w:id="6"/>
      <w:bookmarkEnd w:id="7"/>
      <w:bookmarkEnd w:id="8"/>
    </w:p>
    <w:p w:rsidRPr="008F71CC" w:rsidR="008F71CC" w:rsidP="008F71CC" w:rsidRDefault="008F71CC" w14:paraId="58D2FB73" w14:textId="77777777">
      <w:pPr>
        <w:rPr>
          <w:rFonts w:ascii="Times New Roman" w:hAnsi="Times New Roman"/>
        </w:rPr>
      </w:pPr>
      <w:r w:rsidRPr="008F71CC">
        <w:rPr>
          <w:rFonts w:ascii="Times New Roman" w:hAnsi="Times New Roman"/>
        </w:rPr>
        <w:t>NLS contractors have safeguards to provide for the security of NLS data and the protection of the privacy of individuals in the sampled cohorts.  These measures are used for the NLSY97 as well as the other NLS cohorts.  Safeguards for the security of data include:</w:t>
      </w:r>
    </w:p>
    <w:p w:rsidR="008F71CC" w:rsidP="008F71CC" w:rsidRDefault="008F71CC" w14:paraId="31054524" w14:textId="77777777">
      <w:pPr>
        <w:rPr>
          <w:rFonts w:ascii="Times New Roman" w:hAnsi="Times New Roman"/>
        </w:rPr>
      </w:pPr>
    </w:p>
    <w:p w:rsidRPr="008F71CC" w:rsidR="00940938" w:rsidP="008F71CC" w:rsidRDefault="00940938" w14:paraId="5F695E27" w14:textId="77777777">
      <w:pPr>
        <w:rPr>
          <w:rFonts w:ascii="Times New Roman" w:hAnsi="Times New Roman"/>
        </w:rPr>
      </w:pPr>
    </w:p>
    <w:p w:rsidRPr="008F71CC" w:rsidR="008F71CC" w:rsidP="008F71CC" w:rsidRDefault="008F71CC" w14:paraId="323A522B" w14:textId="2A24CE26">
      <w:pPr>
        <w:ind w:left="432" w:hanging="259"/>
        <w:rPr>
          <w:rFonts w:ascii="Times New Roman" w:hAnsi="Times New Roman"/>
        </w:rPr>
      </w:pPr>
      <w:r w:rsidRPr="008F71CC">
        <w:rPr>
          <w:rFonts w:ascii="Times New Roman" w:hAnsi="Times New Roman"/>
        </w:rPr>
        <w:lastRenderedPageBreak/>
        <w:t xml:space="preserve">1.  Like all federal systems, NLS and its contractors follow the National Institute of Standards and Technology (NIST) guidelines found in special publication 800-53 to ensure that appropriate security requirements and controls are applied to </w:t>
      </w:r>
      <w:r w:rsidR="002D74B5">
        <w:rPr>
          <w:rFonts w:ascii="Times New Roman" w:hAnsi="Times New Roman"/>
        </w:rPr>
        <w:t>the</w:t>
      </w:r>
      <w:r w:rsidRPr="008F71CC" w:rsidR="002D74B5">
        <w:rPr>
          <w:rFonts w:ascii="Times New Roman" w:hAnsi="Times New Roman"/>
        </w:rPr>
        <w:t xml:space="preserve"> </w:t>
      </w:r>
      <w:r w:rsidRPr="008F71CC">
        <w:rPr>
          <w:rFonts w:ascii="Times New Roman" w:hAnsi="Times New Roman"/>
        </w:rPr>
        <w:t>system.  This framework provides guidance, based on existing standards and best practices, for organizations to better understand, manage and reduce cybersecurity risk.</w:t>
      </w:r>
    </w:p>
    <w:p w:rsidRPr="008F71CC" w:rsidR="008F71CC" w:rsidP="008F71CC" w:rsidRDefault="008F71CC" w14:paraId="026EF82B" w14:textId="77777777">
      <w:pPr>
        <w:ind w:left="432" w:hanging="259"/>
        <w:rPr>
          <w:rFonts w:ascii="Times New Roman" w:hAnsi="Times New Roman"/>
        </w:rPr>
      </w:pPr>
    </w:p>
    <w:p w:rsidRPr="008F71CC" w:rsidR="008F71CC" w:rsidP="008F71CC" w:rsidRDefault="008F71CC" w14:paraId="7633341A" w14:textId="77777777">
      <w:pPr>
        <w:ind w:left="432" w:hanging="259"/>
        <w:rPr>
          <w:rFonts w:ascii="Times New Roman" w:hAnsi="Times New Roman"/>
        </w:rPr>
      </w:pPr>
      <w:r w:rsidRPr="008F71CC">
        <w:rPr>
          <w:rFonts w:ascii="Times New Roman" w:hAnsi="Times New Roman"/>
        </w:rPr>
        <w:t xml:space="preserve">2.  Storage of printed survey documents in locked space. </w:t>
      </w:r>
    </w:p>
    <w:p w:rsidRPr="008F71CC" w:rsidR="008F71CC" w:rsidP="008F71CC" w:rsidRDefault="008F71CC" w14:paraId="2562C947" w14:textId="77777777">
      <w:pPr>
        <w:ind w:left="432" w:hanging="259"/>
        <w:rPr>
          <w:rFonts w:ascii="Times New Roman" w:hAnsi="Times New Roman"/>
        </w:rPr>
      </w:pPr>
    </w:p>
    <w:p w:rsidRPr="008F71CC" w:rsidR="008F71CC" w:rsidP="008F71CC" w:rsidRDefault="008F71CC" w14:paraId="59D06EB3" w14:textId="77777777">
      <w:pPr>
        <w:pStyle w:val="BodyTextIndent3"/>
        <w:spacing w:after="0"/>
        <w:ind w:left="432" w:hanging="259"/>
        <w:rPr>
          <w:rFonts w:eastAsia="Batang"/>
          <w:sz w:val="24"/>
          <w:szCs w:val="24"/>
          <w:lang w:eastAsia="ko-KR"/>
        </w:rPr>
      </w:pPr>
      <w:r w:rsidRPr="008F71CC">
        <w:rPr>
          <w:sz w:val="24"/>
          <w:szCs w:val="24"/>
        </w:rPr>
        <w:t xml:space="preserve">3.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8F71CC">
        <w:rPr>
          <w:rFonts w:eastAsia="Batang"/>
          <w:sz w:val="24"/>
          <w:szCs w:val="24"/>
          <w:lang w:eastAsia="ko-KR"/>
        </w:rPr>
        <w:t>Interview data are frequently removed from laptops in the field so that only information that may be needed by the interviewer is retained.</w:t>
      </w:r>
    </w:p>
    <w:p w:rsidRPr="008F71CC" w:rsidR="008F71CC" w:rsidP="008F71CC" w:rsidRDefault="008F71CC" w14:paraId="2C33B4ED" w14:textId="77777777">
      <w:pPr>
        <w:pStyle w:val="BodyTextIndent3"/>
        <w:spacing w:after="0"/>
        <w:ind w:left="432" w:hanging="259"/>
        <w:rPr>
          <w:sz w:val="24"/>
          <w:szCs w:val="24"/>
        </w:rPr>
      </w:pPr>
    </w:p>
    <w:p w:rsidRPr="008F71CC" w:rsidR="008F71CC" w:rsidP="008F71CC" w:rsidRDefault="008F71CC" w14:paraId="56B0B127" w14:textId="77777777">
      <w:pPr>
        <w:ind w:left="432" w:hanging="259"/>
        <w:rPr>
          <w:rFonts w:ascii="Times New Roman" w:hAnsi="Times New Roman"/>
        </w:rPr>
      </w:pPr>
      <w:r w:rsidRPr="008F71CC">
        <w:rPr>
          <w:rFonts w:ascii="Times New Roman" w:hAnsi="Times New Roman"/>
        </w:rPr>
        <w:t xml:space="preserve">4.  Protection of computer files against access by unauthorized persons and groups.  Especially sensitive files are secured via a series of passwords to restricted users.  Access to files is strictly on a need-to-know basis.  </w:t>
      </w:r>
      <w:r w:rsidRPr="008F71CC">
        <w:rPr>
          <w:rFonts w:ascii="Times New Roman" w:hAnsi="Times New Roman" w:eastAsia="Batang"/>
          <w:lang w:eastAsia="ko-KR"/>
        </w:rPr>
        <w:t>Passwords change every 90 days.</w:t>
      </w:r>
    </w:p>
    <w:p w:rsidRPr="008F71CC" w:rsidR="008F71CC" w:rsidP="008F71CC" w:rsidRDefault="008F71CC" w14:paraId="538902D4" w14:textId="77777777">
      <w:pPr>
        <w:pStyle w:val="FootnoteText"/>
        <w:rPr>
          <w:sz w:val="24"/>
          <w:szCs w:val="24"/>
        </w:rPr>
      </w:pPr>
    </w:p>
    <w:p w:rsidRPr="008F71CC" w:rsidR="008F71CC" w:rsidP="008F71CC" w:rsidRDefault="008F71CC" w14:paraId="4A3E5ACD" w14:textId="77777777">
      <w:pPr>
        <w:rPr>
          <w:rFonts w:ascii="Times New Roman" w:hAnsi="Times New Roman"/>
        </w:rPr>
      </w:pPr>
      <w:r w:rsidRPr="008F71CC">
        <w:rPr>
          <w:rFonts w:ascii="Times New Roman" w:hAnsi="Times New Roman"/>
        </w:rPr>
        <w:t>Protection of the privacy of individuals is accomplished through the following steps:</w:t>
      </w:r>
    </w:p>
    <w:p w:rsidRPr="008F71CC" w:rsidR="008F71CC" w:rsidP="008F71CC" w:rsidRDefault="008F71CC" w14:paraId="552E57DE" w14:textId="77777777">
      <w:pPr>
        <w:rPr>
          <w:rFonts w:ascii="Times New Roman" w:hAnsi="Times New Roman"/>
        </w:rPr>
      </w:pPr>
    </w:p>
    <w:p w:rsidRPr="008F71CC" w:rsidR="008F71CC" w:rsidP="008F71CC" w:rsidRDefault="008F71CC" w14:paraId="6DEDC0FA" w14:textId="77777777">
      <w:pPr>
        <w:ind w:left="432" w:hanging="259"/>
        <w:rPr>
          <w:rFonts w:ascii="Times New Roman" w:hAnsi="Times New Roman"/>
        </w:rPr>
      </w:pPr>
      <w:r w:rsidRPr="008F71CC">
        <w:rPr>
          <w:rFonts w:ascii="Times New Roman" w:hAnsi="Times New Roman"/>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confidentiality information and understands that participation is voluntary.</w:t>
      </w:r>
    </w:p>
    <w:p w:rsidRPr="008F71CC" w:rsidR="008F71CC" w:rsidP="008F71CC" w:rsidRDefault="008F71CC" w14:paraId="55113526" w14:textId="77777777">
      <w:pPr>
        <w:ind w:left="432" w:hanging="259"/>
        <w:rPr>
          <w:rFonts w:ascii="Times New Roman" w:hAnsi="Times New Roman"/>
        </w:rPr>
      </w:pPr>
    </w:p>
    <w:p w:rsidRPr="008F71CC" w:rsidR="008F71CC" w:rsidP="008F71CC" w:rsidRDefault="008F71CC" w14:paraId="1030D63D" w14:textId="77777777">
      <w:pPr>
        <w:ind w:left="432" w:hanging="259"/>
        <w:rPr>
          <w:rFonts w:ascii="Times New Roman" w:hAnsi="Times New Roman"/>
        </w:rPr>
      </w:pPr>
      <w:r w:rsidRPr="008F71CC">
        <w:rPr>
          <w:rFonts w:ascii="Times New Roman" w:hAnsi="Times New Roman"/>
        </w:rPr>
        <w:t>2.  Information identifying respondents is separated from the questionnaire and placed into a nonpublic database.  Respondents are then linked to data through identification numbers.</w:t>
      </w:r>
    </w:p>
    <w:p w:rsidRPr="008F71CC" w:rsidR="008F71CC" w:rsidP="008F71CC" w:rsidRDefault="008F71CC" w14:paraId="3C97970F" w14:textId="77777777">
      <w:pPr>
        <w:ind w:left="432" w:hanging="259"/>
        <w:rPr>
          <w:rFonts w:ascii="Times New Roman" w:hAnsi="Times New Roman"/>
        </w:rPr>
      </w:pPr>
    </w:p>
    <w:p w:rsidRPr="008F71CC" w:rsidR="008F71CC" w:rsidP="008F71CC" w:rsidRDefault="008F71CC" w14:paraId="1E8AFD6F" w14:textId="77777777">
      <w:pPr>
        <w:ind w:left="432" w:hanging="259"/>
        <w:rPr>
          <w:rFonts w:ascii="Times New Roman" w:hAnsi="Times New Roman"/>
        </w:rPr>
      </w:pPr>
      <w:r w:rsidRPr="008F71CC">
        <w:rPr>
          <w:rFonts w:ascii="Times New Roman" w:hAnsi="Times New Roman"/>
        </w:rPr>
        <w:t>3.  After the final interview round, respondent identifier computer files will be destroyed.</w:t>
      </w:r>
    </w:p>
    <w:p w:rsidRPr="008F71CC" w:rsidR="008F71CC" w:rsidP="008F71CC" w:rsidRDefault="008F71CC" w14:paraId="55293CC7" w14:textId="77777777">
      <w:pPr>
        <w:ind w:left="432" w:hanging="259"/>
        <w:rPr>
          <w:rFonts w:ascii="Times New Roman" w:hAnsi="Times New Roman"/>
        </w:rPr>
      </w:pPr>
    </w:p>
    <w:p w:rsidRPr="008F71CC" w:rsidR="008F71CC" w:rsidP="008F71CC" w:rsidRDefault="008F71CC" w14:paraId="2A0D73A3" w14:textId="77777777">
      <w:pPr>
        <w:ind w:left="432" w:hanging="259"/>
        <w:rPr>
          <w:rFonts w:ascii="Times New Roman" w:hAnsi="Times New Roman"/>
        </w:rPr>
      </w:pPr>
      <w:r w:rsidRPr="008F71CC">
        <w:rPr>
          <w:rFonts w:ascii="Times New Roman" w:hAnsi="Times New Roman"/>
        </w:rPr>
        <w:t>4.  The public-use version of the data, available on the Internet, masks data that are of sufficient specificity that individuals could theoretically be identified through some set of unique characteristics.</w:t>
      </w:r>
    </w:p>
    <w:p w:rsidRPr="008F71CC" w:rsidR="008F71CC" w:rsidP="008F71CC" w:rsidRDefault="008F71CC" w14:paraId="611A09C8" w14:textId="77777777">
      <w:pPr>
        <w:ind w:left="432" w:hanging="259"/>
        <w:rPr>
          <w:rFonts w:ascii="Times New Roman" w:hAnsi="Times New Roman"/>
        </w:rPr>
      </w:pPr>
    </w:p>
    <w:p w:rsidRPr="008F71CC" w:rsidR="008F71CC" w:rsidP="008F71CC" w:rsidRDefault="008F71CC" w14:paraId="3EF62821" w14:textId="77777777">
      <w:pPr>
        <w:ind w:left="432" w:hanging="259"/>
        <w:rPr>
          <w:rFonts w:ascii="Times New Roman" w:hAnsi="Times New Roman"/>
        </w:rPr>
      </w:pPr>
      <w:r w:rsidRPr="008F71CC">
        <w:rPr>
          <w:rFonts w:ascii="Times New Roman" w:hAnsi="Times New Roman"/>
        </w:rPr>
        <w:t xml:space="preserve">5.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and sign an agreement with </w:t>
      </w:r>
      <w:smartTag w:uri="urn:schemas-microsoft-com:office:smarttags" w:element="stockticker">
        <w:r w:rsidRPr="008F71CC">
          <w:rPr>
            <w:rFonts w:ascii="Times New Roman" w:hAnsi="Times New Roman"/>
          </w:rPr>
          <w:t>BLS</w:t>
        </w:r>
      </w:smartTag>
      <w:r w:rsidRPr="008F71CC">
        <w:rPr>
          <w:rFonts w:ascii="Times New Roman" w:hAnsi="Times New Roman"/>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rsidRPr="008F71CC" w:rsidR="008F71CC" w:rsidP="008F71CC" w:rsidRDefault="008F71CC" w14:paraId="046E581A" w14:textId="77777777">
      <w:pPr>
        <w:ind w:left="432" w:hanging="259"/>
        <w:rPr>
          <w:rFonts w:ascii="Times New Roman" w:hAnsi="Times New Roman"/>
        </w:rPr>
      </w:pPr>
    </w:p>
    <w:p w:rsidRPr="008F71CC" w:rsidR="008F71CC" w:rsidP="008F71CC" w:rsidRDefault="008F71CC" w14:paraId="18369652" w14:textId="77C37113">
      <w:pPr>
        <w:ind w:left="432" w:hanging="259"/>
        <w:rPr>
          <w:rFonts w:ascii="Times New Roman" w:hAnsi="Times New Roman"/>
        </w:rPr>
      </w:pPr>
      <w:r w:rsidRPr="008F71CC">
        <w:rPr>
          <w:rFonts w:ascii="Times New Roman" w:hAnsi="Times New Roman"/>
        </w:rPr>
        <w:t xml:space="preserve">6.  </w:t>
      </w:r>
      <w:r w:rsidR="002D74B5">
        <w:rPr>
          <w:rFonts w:ascii="Times New Roman" w:hAnsi="Times New Roman"/>
        </w:rPr>
        <w:t>NLS</w:t>
      </w:r>
      <w:r w:rsidRPr="008F71CC" w:rsidR="002D74B5">
        <w:rPr>
          <w:rFonts w:ascii="Times New Roman" w:hAnsi="Times New Roman"/>
        </w:rPr>
        <w:t xml:space="preserve"> </w:t>
      </w:r>
      <w:r w:rsidRPr="008F71CC" w:rsidR="007E06C9">
        <w:rPr>
          <w:rFonts w:ascii="Times New Roman" w:hAnsi="Times New Roman"/>
        </w:rPr>
        <w:t>ha</w:t>
      </w:r>
      <w:r w:rsidR="002D74B5">
        <w:rPr>
          <w:rFonts w:ascii="Times New Roman" w:hAnsi="Times New Roman"/>
        </w:rPr>
        <w:t>s</w:t>
      </w:r>
      <w:r w:rsidRPr="008F71CC" w:rsidR="007E06C9">
        <w:rPr>
          <w:rFonts w:ascii="Times New Roman" w:hAnsi="Times New Roman"/>
        </w:rPr>
        <w:t xml:space="preserve"> attempted to frame </w:t>
      </w:r>
      <w:r w:rsidRPr="008F71CC">
        <w:rPr>
          <w:rFonts w:ascii="Times New Roman" w:hAnsi="Times New Roman"/>
        </w:rPr>
        <w:t>questions of a more private nature so that individuals overhearing the respondent’s answers only would not be able to infer content.</w:t>
      </w:r>
    </w:p>
    <w:p w:rsidRPr="008F71CC" w:rsidR="008F71CC" w:rsidP="008F71CC" w:rsidRDefault="008F71CC" w14:paraId="01317619" w14:textId="77777777">
      <w:pPr>
        <w:ind w:left="432" w:hanging="259"/>
        <w:rPr>
          <w:rFonts w:ascii="Times New Roman" w:hAnsi="Times New Roman"/>
        </w:rPr>
      </w:pPr>
    </w:p>
    <w:p w:rsidRPr="008F71CC" w:rsidR="008F71CC" w:rsidP="008F71CC" w:rsidRDefault="008F71CC" w14:paraId="618C5A4C" w14:textId="4D420555">
      <w:pPr>
        <w:pStyle w:val="BodyText2"/>
        <w:suppressAutoHyphens w:val="0"/>
        <w:ind w:left="432" w:right="0" w:hanging="259"/>
        <w:rPr>
          <w:rFonts w:eastAsia="Batang"/>
          <w:sz w:val="24"/>
          <w:szCs w:val="24"/>
          <w:lang w:eastAsia="ko-KR"/>
        </w:rPr>
      </w:pPr>
      <w:r w:rsidRPr="008F71CC">
        <w:rPr>
          <w:rFonts w:eastAsia="Batang"/>
          <w:sz w:val="24"/>
          <w:szCs w:val="24"/>
          <w:lang w:eastAsia="ko-KR"/>
        </w:rPr>
        <w:t xml:space="preserve">7.  In Round </w:t>
      </w:r>
      <w:r w:rsidR="00C2235B">
        <w:rPr>
          <w:rFonts w:eastAsia="Batang"/>
          <w:sz w:val="24"/>
          <w:szCs w:val="24"/>
          <w:lang w:eastAsia="ko-KR"/>
        </w:rPr>
        <w:t>20</w:t>
      </w:r>
      <w:r w:rsidRPr="008F71CC">
        <w:rPr>
          <w:rFonts w:eastAsia="Batang"/>
          <w:sz w:val="24"/>
          <w:szCs w:val="24"/>
          <w:lang w:eastAsia="ko-KR"/>
        </w:rPr>
        <w:t>, the project team will continue several training and procedural changes that were begun in Round 11 to increase protection of respondent confidentiality.  These include an enhanced focus on confidentiality and data security in training materials, clearer instructions in the Field Interviewer Manual on what field interviewers may or may not do when working cases, continued reminders of respondent confidentiality in field communications throughout the field period</w:t>
      </w:r>
      <w:r w:rsidR="000D52D4">
        <w:rPr>
          <w:rFonts w:eastAsia="Batang"/>
          <w:sz w:val="24"/>
          <w:szCs w:val="24"/>
          <w:lang w:eastAsia="ko-KR"/>
        </w:rPr>
        <w:t>,</w:t>
      </w:r>
      <w:r w:rsidRPr="008F71CC">
        <w:rPr>
          <w:rFonts w:eastAsia="Batang"/>
          <w:sz w:val="24"/>
          <w:szCs w:val="24"/>
          <w:lang w:eastAsia="ko-KR"/>
        </w:rPr>
        <w:t xml:space="preserve"> and formal separation procedures when interviewers complete their project assignments.  Also, online and telephone respondent locating activities have been moved from geographically dispersed field managers to locating staff in central offices.  </w:t>
      </w:r>
    </w:p>
    <w:p w:rsidRPr="008F71CC" w:rsidR="008F71CC" w:rsidP="008F71CC" w:rsidRDefault="008F71CC" w14:paraId="6070FECF" w14:textId="77777777">
      <w:pPr>
        <w:pStyle w:val="BodyText2"/>
        <w:suppressAutoHyphens w:val="0"/>
        <w:ind w:left="432" w:right="0" w:hanging="259"/>
        <w:rPr>
          <w:rFonts w:eastAsia="Batang"/>
          <w:sz w:val="24"/>
          <w:szCs w:val="24"/>
          <w:lang w:eastAsia="ko-KR"/>
        </w:rPr>
      </w:pPr>
    </w:p>
    <w:p w:rsidRPr="008F71CC" w:rsidR="008F71CC" w:rsidP="008F71CC" w:rsidRDefault="008F71CC" w14:paraId="69EC3166" w14:textId="77777777">
      <w:pPr>
        <w:pStyle w:val="BodyText2"/>
        <w:suppressAutoHyphens w:val="0"/>
        <w:ind w:left="432" w:right="0" w:hanging="259"/>
        <w:rPr>
          <w:rFonts w:eastAsia="Batang"/>
          <w:sz w:val="24"/>
          <w:szCs w:val="24"/>
          <w:lang w:eastAsia="ko-KR"/>
        </w:rPr>
      </w:pPr>
      <w:r w:rsidRPr="008F71CC">
        <w:rPr>
          <w:rFonts w:eastAsia="Batang"/>
          <w:sz w:val="24"/>
          <w:szCs w:val="24"/>
          <w:lang w:eastAsia="ko-KR"/>
        </w:rPr>
        <w:t>8.  Date of birth will be verified at the beginning of the interview; thus, preventing the interviewer from starting the interview with the wrong person and then recognizing the error during the interview when the preloaded data were questioned. This check has been in place since Round 16.</w:t>
      </w:r>
    </w:p>
    <w:p w:rsidRPr="008F71CC" w:rsidR="00690F56" w:rsidP="00B65823" w:rsidRDefault="00690F56" w14:paraId="61F2ECC1" w14:textId="77777777">
      <w:pPr>
        <w:widowControl/>
        <w:rPr>
          <w:rFonts w:ascii="Times New Roman" w:hAnsi="Times New Roman"/>
        </w:rPr>
      </w:pPr>
    </w:p>
    <w:p w:rsidRPr="00871CA6" w:rsidR="008F71CC" w:rsidP="00B65823" w:rsidRDefault="008F71CC" w14:paraId="4E6062BE"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B65823" w:rsidR="00690F56" w:rsidP="00B65823" w:rsidRDefault="00690F56" w14:paraId="02AFA701" w14:textId="77777777">
      <w:pPr>
        <w:widowControl/>
        <w:rPr>
          <w:rFonts w:ascii="Times New Roman" w:hAnsi="Times New Roman"/>
          <w:bCs/>
        </w:rPr>
      </w:pPr>
    </w:p>
    <w:p w:rsidRPr="00C2235B" w:rsidR="00C2235B" w:rsidP="00C2235B" w:rsidRDefault="00C2235B" w14:paraId="6F54362B" w14:textId="6906ACDD">
      <w:pPr>
        <w:widowControl/>
        <w:rPr>
          <w:rFonts w:ascii="Times New Roman" w:hAnsi="Times New Roman"/>
        </w:rPr>
      </w:pPr>
      <w:r w:rsidRPr="00C2235B">
        <w:rPr>
          <w:rFonts w:ascii="Times New Roman" w:hAnsi="Times New Roman"/>
        </w:rPr>
        <w:t xml:space="preserve">Continuing the practice of the last few rounds of the NLSY97, the Round </w:t>
      </w:r>
      <w:r>
        <w:rPr>
          <w:rFonts w:ascii="Times New Roman" w:hAnsi="Times New Roman"/>
        </w:rPr>
        <w:t>20</w:t>
      </w:r>
      <w:r w:rsidRPr="00C2235B">
        <w:rPr>
          <w:rFonts w:ascii="Times New Roman" w:hAnsi="Times New Roman"/>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  There are several broad sets of questions in the NLSY97 data-collection instruments that may be considered sensitive.  </w:t>
      </w:r>
      <w:r w:rsidR="000D00C5">
        <w:rPr>
          <w:rFonts w:ascii="Times New Roman" w:hAnsi="Times New Roman"/>
        </w:rPr>
        <w:t>NLS</w:t>
      </w:r>
      <w:r w:rsidRPr="00C2235B" w:rsidR="000D00C5">
        <w:rPr>
          <w:rFonts w:ascii="Times New Roman" w:hAnsi="Times New Roman"/>
        </w:rPr>
        <w:t xml:space="preserve"> </w:t>
      </w:r>
      <w:r w:rsidRPr="00C2235B">
        <w:rPr>
          <w:rFonts w:ascii="Times New Roman" w:hAnsi="Times New Roman"/>
        </w:rPr>
        <w:t>address</w:t>
      </w:r>
      <w:r w:rsidR="000D00C5">
        <w:rPr>
          <w:rFonts w:ascii="Times New Roman" w:hAnsi="Times New Roman"/>
        </w:rPr>
        <w:t>es</w:t>
      </w:r>
      <w:r w:rsidRPr="00C2235B">
        <w:rPr>
          <w:rFonts w:ascii="Times New Roman" w:hAnsi="Times New Roman"/>
        </w:rPr>
        <w:t xml:space="preserve"> each of these categories separately below.</w:t>
      </w:r>
    </w:p>
    <w:p w:rsidRPr="00C2235B" w:rsidR="00C2235B" w:rsidP="00C2235B" w:rsidRDefault="00C2235B" w14:paraId="0CAF093C" w14:textId="77777777">
      <w:pPr>
        <w:widowControl/>
        <w:rPr>
          <w:rFonts w:ascii="Times New Roman" w:hAnsi="Times New Roman"/>
        </w:rPr>
      </w:pPr>
    </w:p>
    <w:p w:rsidRPr="00C2235B" w:rsidR="00C2235B" w:rsidP="00C2235B" w:rsidRDefault="00C2235B" w14:paraId="3201EEC8" w14:textId="77777777">
      <w:pPr>
        <w:widowControl/>
        <w:rPr>
          <w:rFonts w:ascii="Times New Roman" w:hAnsi="Times New Roman"/>
        </w:rPr>
      </w:pPr>
      <w:r w:rsidRPr="00C2235B">
        <w:rPr>
          <w:rFonts w:ascii="Times New Roman" w:hAnsi="Times New Roman"/>
        </w:rPr>
        <w:t>a.)</w:t>
      </w:r>
      <w:r w:rsidRPr="00C2235B">
        <w:rPr>
          <w:rFonts w:ascii="Times New Roman" w:hAnsi="Times New Roman"/>
        </w:rPr>
        <w:tab/>
        <w:t>Sexual Activity</w:t>
      </w:r>
    </w:p>
    <w:p w:rsidRPr="00C2235B" w:rsidR="00C2235B" w:rsidP="00C2235B" w:rsidRDefault="00C2235B" w14:paraId="0F323A0A" w14:textId="0A5121CD">
      <w:pPr>
        <w:widowControl/>
        <w:rPr>
          <w:rFonts w:ascii="Times New Roman" w:hAnsi="Times New Roman"/>
        </w:rPr>
      </w:pPr>
      <w:r w:rsidRPr="00C2235B">
        <w:rPr>
          <w:rFonts w:ascii="Times New Roman" w:hAnsi="Times New Roman"/>
        </w:rPr>
        <w:t xml:space="preserve">Because puberty and the initiation of sexual activity occurred for many of the sample members 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t>
      </w:r>
      <w:r w:rsidR="003110E6">
        <w:rPr>
          <w:rFonts w:ascii="Times New Roman" w:hAnsi="Times New Roman"/>
        </w:rPr>
        <w:t>NLS</w:t>
      </w:r>
      <w:r w:rsidRPr="00C2235B">
        <w:rPr>
          <w:rFonts w:ascii="Times New Roman" w:hAnsi="Times New Roman"/>
        </w:rPr>
        <w:t xml:space="preserve"> continue to trace the progression of sexual activity in relation to the realization of educational and occupational goals and with respect to the promotion of good health practices.  Sexual activity and contraceptive use are important indicators of how serious young people are </w:t>
      </w:r>
      <w:r w:rsidRPr="00C2235B">
        <w:rPr>
          <w:rFonts w:ascii="Times New Roman" w:hAnsi="Times New Roman"/>
        </w:rPr>
        <w:lastRenderedPageBreak/>
        <w:t>about reaching higher levels of educational and occupational attainment, and there should be significant congruence between anticipated life goals, sexual activity, and its associated outcomes.</w:t>
      </w:r>
    </w:p>
    <w:p w:rsidRPr="00C2235B" w:rsidR="00C2235B" w:rsidP="00C2235B" w:rsidRDefault="00C2235B" w14:paraId="14E93AC5" w14:textId="77777777">
      <w:pPr>
        <w:widowControl/>
        <w:rPr>
          <w:rFonts w:ascii="Times New Roman" w:hAnsi="Times New Roman"/>
        </w:rPr>
      </w:pPr>
    </w:p>
    <w:p w:rsidRPr="00C2235B" w:rsidR="00C2235B" w:rsidP="00C2235B" w:rsidRDefault="00C2235B" w14:paraId="528066B1" w14:textId="00E71E2F">
      <w:pPr>
        <w:widowControl/>
        <w:rPr>
          <w:rFonts w:ascii="Times New Roman" w:hAnsi="Times New Roman"/>
        </w:rPr>
      </w:pPr>
      <w:r w:rsidRPr="00C2235B">
        <w:rPr>
          <w:rFonts w:ascii="Times New Roman" w:hAnsi="Times New Roman"/>
        </w:rPr>
        <w:t>The survey will continue to collect information on the number of times male respondents have made a woman pregnant, as well as information on the live births from those pregnancies.  Few studies have examined the linkages between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Cross-sectional estimates of childbearing data for men can underestimate the number of children ever born to males.</w:t>
      </w:r>
    </w:p>
    <w:p w:rsidRPr="00C2235B" w:rsidR="00C2235B" w:rsidP="00C2235B" w:rsidRDefault="00C2235B" w14:paraId="22F066F3" w14:textId="77777777">
      <w:pPr>
        <w:widowControl/>
        <w:rPr>
          <w:rFonts w:ascii="Times New Roman" w:hAnsi="Times New Roman"/>
        </w:rPr>
      </w:pPr>
    </w:p>
    <w:p w:rsidRPr="00C2235B" w:rsidR="00C2235B" w:rsidP="00C2235B" w:rsidRDefault="00C2235B" w14:paraId="7BAA3929" w14:textId="77777777">
      <w:pPr>
        <w:widowControl/>
        <w:rPr>
          <w:rFonts w:ascii="Times New Roman" w:hAnsi="Times New Roman"/>
        </w:rPr>
      </w:pPr>
      <w:r w:rsidRPr="00C2235B">
        <w:rPr>
          <w:rFonts w:ascii="Times New Roman" w:hAnsi="Times New Roman"/>
        </w:rPr>
        <w:t>The interviewer will administer these questions directly, although the questions were primarily asked using the A-CASI technology prior to Round 18.   Questions are worded so that respondents may answer without having to speak aloud sensitive terms such as contraception methods, which could be overheard in their immediate environment.  No respondent will be pressured to answer the questions, and interviewers will be instructed to accept refusals without attempting to encourage response.  Previous experience indicates that respondents usually recognize the importance of these questions, and field interviewers generally have not reported difficulties with these types of questions</w:t>
      </w:r>
      <w:r w:rsidR="008749C1">
        <w:rPr>
          <w:rFonts w:ascii="Times New Roman" w:hAnsi="Times New Roman"/>
        </w:rPr>
        <w:t>.</w:t>
      </w:r>
    </w:p>
    <w:p w:rsidRPr="00C2235B" w:rsidR="00C2235B" w:rsidP="00C2235B" w:rsidRDefault="00C2235B" w14:paraId="4C5FE5A3" w14:textId="77777777">
      <w:pPr>
        <w:widowControl/>
        <w:rPr>
          <w:rFonts w:ascii="Times New Roman" w:hAnsi="Times New Roman"/>
        </w:rPr>
      </w:pPr>
    </w:p>
    <w:p w:rsidRPr="00C2235B" w:rsidR="00C2235B" w:rsidP="00C2235B" w:rsidRDefault="00C2235B" w14:paraId="15F96EEA" w14:textId="77777777">
      <w:pPr>
        <w:widowControl/>
        <w:rPr>
          <w:rFonts w:ascii="Times New Roman" w:hAnsi="Times New Roman"/>
        </w:rPr>
      </w:pPr>
      <w:r w:rsidRPr="00C2235B">
        <w:rPr>
          <w:rFonts w:ascii="Times New Roman" w:hAnsi="Times New Roman"/>
        </w:rPr>
        <w:t>b.)</w:t>
      </w:r>
      <w:r w:rsidRPr="00C2235B">
        <w:rPr>
          <w:rFonts w:ascii="Times New Roman" w:hAnsi="Times New Roman"/>
        </w:rPr>
        <w:tab/>
        <w:t>Anti-Social Behavior</w:t>
      </w:r>
    </w:p>
    <w:p w:rsidRPr="00C2235B" w:rsidR="00C2235B" w:rsidP="00C2235B" w:rsidRDefault="00C2235B" w14:paraId="1D20D28A" w14:textId="6D239DBD">
      <w:pPr>
        <w:widowControl/>
        <w:rPr>
          <w:rFonts w:ascii="Times New Roman" w:hAnsi="Times New Roman"/>
        </w:rPr>
      </w:pPr>
      <w:r w:rsidRPr="00C2235B">
        <w:rPr>
          <w:rFonts w:ascii="Times New Roman" w:hAnsi="Times New Roman"/>
        </w:rPr>
        <w:t xml:space="preserve">The educational and labor force trajectory of individuals is strongly affected by their involvement in delinquent and risk-taking behaviors, criminal activity, and alcohol and drug use.  There is widespread interest in collecting data on such behaviors.  The challenge, of course, is to obtain accurate information on activities that are socially unacceptable or even illegal.  Questions on these activities have been asked in the self-administered portions of the NLSY97 through Round 18, and asked by interviewers directly for </w:t>
      </w:r>
      <w:r w:rsidR="00E2203E">
        <w:rPr>
          <w:rFonts w:ascii="Times New Roman" w:hAnsi="Times New Roman"/>
        </w:rPr>
        <w:t>the 90 to 95</w:t>
      </w:r>
      <w:r w:rsidRPr="00C2235B">
        <w:rPr>
          <w:rFonts w:ascii="Times New Roman" w:hAnsi="Times New Roman"/>
        </w:rPr>
        <w:t xml:space="preserve"> percent of interviews conducted by telephone in Round</w:t>
      </w:r>
      <w:r w:rsidR="00E2203E">
        <w:rPr>
          <w:rFonts w:ascii="Times New Roman" w:hAnsi="Times New Roman"/>
        </w:rPr>
        <w:t>s</w:t>
      </w:r>
      <w:r w:rsidRPr="00C2235B">
        <w:rPr>
          <w:rFonts w:ascii="Times New Roman" w:hAnsi="Times New Roman"/>
        </w:rPr>
        <w:t xml:space="preserve"> 18</w:t>
      </w:r>
      <w:r w:rsidR="00E2203E">
        <w:rPr>
          <w:rFonts w:ascii="Times New Roman" w:hAnsi="Times New Roman"/>
        </w:rPr>
        <w:t xml:space="preserve"> and 19</w:t>
      </w:r>
      <w:r w:rsidRPr="00C2235B">
        <w:rPr>
          <w:rFonts w:ascii="Times New Roman" w:hAnsi="Times New Roman"/>
        </w:rPr>
        <w:t xml:space="preserve">.  Most of these items will again be asked by interviewers in Round </w:t>
      </w:r>
      <w:r w:rsidR="003517D5">
        <w:rPr>
          <w:rFonts w:ascii="Times New Roman" w:hAnsi="Times New Roman"/>
        </w:rPr>
        <w:t>20</w:t>
      </w:r>
      <w:r w:rsidRPr="00C2235B" w:rsidR="003517D5">
        <w:rPr>
          <w:rFonts w:ascii="Times New Roman" w:hAnsi="Times New Roman"/>
        </w:rPr>
        <w:t xml:space="preserve"> </w:t>
      </w:r>
      <w:r w:rsidRPr="00C2235B">
        <w:rPr>
          <w:rFonts w:ascii="Times New Roman" w:hAnsi="Times New Roman"/>
        </w:rPr>
        <w:t>for those interviews conducted by telephone.</w:t>
      </w:r>
    </w:p>
    <w:p w:rsidRPr="00C2235B" w:rsidR="00C2235B" w:rsidP="00C2235B" w:rsidRDefault="00C2235B" w14:paraId="0F39AF35" w14:textId="77777777">
      <w:pPr>
        <w:widowControl/>
        <w:rPr>
          <w:rFonts w:ascii="Times New Roman" w:hAnsi="Times New Roman"/>
        </w:rPr>
      </w:pPr>
    </w:p>
    <w:p w:rsidRPr="00C2235B" w:rsidR="00C2235B" w:rsidP="00C2235B" w:rsidRDefault="00C2235B" w14:paraId="10427F62" w14:textId="0B5053C9">
      <w:pPr>
        <w:widowControl/>
        <w:rPr>
          <w:rFonts w:ascii="Times New Roman" w:hAnsi="Times New Roman"/>
        </w:rPr>
      </w:pPr>
      <w:r w:rsidRPr="00C2235B">
        <w:rPr>
          <w:rFonts w:ascii="Times New Roman" w:hAnsi="Times New Roman"/>
        </w:rPr>
        <w:t xml:space="preserve">Criminal Justice.  The longitudinal collection of arrests, convictions, and incarceration permits examination of the effects of these events on employment activity.  Through Round 18, the NLSY97 collected </w:t>
      </w:r>
      <w:r w:rsidR="002C373D">
        <w:rPr>
          <w:rFonts w:ascii="Times New Roman" w:hAnsi="Times New Roman"/>
        </w:rPr>
        <w:t xml:space="preserve">data on </w:t>
      </w:r>
      <w:r w:rsidRPr="00C2235B">
        <w:rPr>
          <w:rFonts w:ascii="Times New Roman" w:hAnsi="Times New Roman"/>
        </w:rPr>
        <w:t>criminal activity</w:t>
      </w:r>
      <w:r w:rsidR="002C373D">
        <w:rPr>
          <w:rFonts w:ascii="Times New Roman" w:hAnsi="Times New Roman"/>
        </w:rPr>
        <w:t>,</w:t>
      </w:r>
      <w:r w:rsidRPr="00C2235B">
        <w:rPr>
          <w:rFonts w:ascii="Times New Roman" w:hAnsi="Times New Roman"/>
        </w:rPr>
        <w:t xml:space="preserve"> permitt</w:t>
      </w:r>
      <w:r w:rsidR="002C373D">
        <w:rPr>
          <w:rFonts w:ascii="Times New Roman" w:hAnsi="Times New Roman"/>
        </w:rPr>
        <w:t>ing</w:t>
      </w:r>
      <w:r w:rsidRPr="00C2235B">
        <w:rPr>
          <w:rFonts w:ascii="Times New Roman" w:hAnsi="Times New Roman"/>
        </w:rPr>
        <w:t xml:space="preserve"> the study of whether</w:t>
      </w:r>
      <w:r w:rsidR="002C373D">
        <w:rPr>
          <w:rFonts w:ascii="Times New Roman" w:hAnsi="Times New Roman"/>
        </w:rPr>
        <w:t xml:space="preserve"> and how</w:t>
      </w:r>
      <w:r w:rsidRPr="00C2235B">
        <w:rPr>
          <w:rFonts w:ascii="Times New Roman" w:hAnsi="Times New Roman"/>
        </w:rPr>
        <w:t xml:space="preserve"> pattern</w:t>
      </w:r>
      <w:r w:rsidR="002C373D">
        <w:rPr>
          <w:rFonts w:ascii="Times New Roman" w:hAnsi="Times New Roman"/>
        </w:rPr>
        <w:t>s</w:t>
      </w:r>
      <w:r w:rsidRPr="00C2235B">
        <w:rPr>
          <w:rFonts w:ascii="Times New Roman" w:hAnsi="Times New Roman"/>
        </w:rPr>
        <w:t xml:space="preserve"> of criminal </w:t>
      </w:r>
      <w:r w:rsidRPr="00C2235B" w:rsidR="002C373D">
        <w:rPr>
          <w:rFonts w:ascii="Times New Roman" w:hAnsi="Times New Roman"/>
        </w:rPr>
        <w:t>activit</w:t>
      </w:r>
      <w:r w:rsidR="002C373D">
        <w:rPr>
          <w:rFonts w:ascii="Times New Roman" w:hAnsi="Times New Roman"/>
        </w:rPr>
        <w:t>y</w:t>
      </w:r>
      <w:r w:rsidRPr="00C2235B" w:rsidR="002C373D">
        <w:rPr>
          <w:rFonts w:ascii="Times New Roman" w:hAnsi="Times New Roman"/>
        </w:rPr>
        <w:t xml:space="preserve"> </w:t>
      </w:r>
      <w:r w:rsidRPr="00C2235B">
        <w:rPr>
          <w:rFonts w:ascii="Times New Roman" w:hAnsi="Times New Roman"/>
        </w:rPr>
        <w:t xml:space="preserve">relate to </w:t>
      </w:r>
      <w:r w:rsidR="002C373D">
        <w:rPr>
          <w:rFonts w:ascii="Times New Roman" w:hAnsi="Times New Roman"/>
        </w:rPr>
        <w:t xml:space="preserve">patterns of </w:t>
      </w:r>
      <w:r w:rsidRPr="00C2235B">
        <w:rPr>
          <w:rFonts w:ascii="Times New Roman" w:hAnsi="Times New Roman"/>
        </w:rPr>
        <w:t>employment.  Us</w:t>
      </w:r>
      <w:r w:rsidR="002C373D">
        <w:rPr>
          <w:rFonts w:ascii="Times New Roman" w:hAnsi="Times New Roman"/>
        </w:rPr>
        <w:t>ing data on</w:t>
      </w:r>
      <w:r w:rsidRPr="00C2235B">
        <w:rPr>
          <w:rFonts w:ascii="Times New Roman" w:hAnsi="Times New Roman"/>
        </w:rPr>
        <w:t xml:space="preserve"> both self-report</w:t>
      </w:r>
      <w:r w:rsidR="002C373D">
        <w:rPr>
          <w:rFonts w:ascii="Times New Roman" w:hAnsi="Times New Roman"/>
        </w:rPr>
        <w:t>ed</w:t>
      </w:r>
      <w:r w:rsidRPr="00C2235B">
        <w:rPr>
          <w:rFonts w:ascii="Times New Roman" w:hAnsi="Times New Roman"/>
        </w:rPr>
        <w:t xml:space="preserve"> behavior and official disciplinary and court actions allows NLSY97 </w:t>
      </w:r>
      <w:r w:rsidR="002C373D">
        <w:rPr>
          <w:rFonts w:ascii="Times New Roman" w:hAnsi="Times New Roman"/>
        </w:rPr>
        <w:t xml:space="preserve">users </w:t>
      </w:r>
      <w:r w:rsidRPr="00C2235B">
        <w:rPr>
          <w:rFonts w:ascii="Times New Roman" w:hAnsi="Times New Roman"/>
        </w:rPr>
        <w:t xml:space="preserve">to separate the effects of criminal activity that led to an arrest or other legal action </w:t>
      </w:r>
      <w:r w:rsidR="002C373D">
        <w:rPr>
          <w:rFonts w:ascii="Times New Roman" w:hAnsi="Times New Roman"/>
        </w:rPr>
        <w:t>from</w:t>
      </w:r>
      <w:r w:rsidRPr="00C2235B" w:rsidR="002C373D">
        <w:rPr>
          <w:rFonts w:ascii="Times New Roman" w:hAnsi="Times New Roman"/>
        </w:rPr>
        <w:t xml:space="preserve"> </w:t>
      </w:r>
      <w:r w:rsidRPr="00C2235B">
        <w:rPr>
          <w:rFonts w:ascii="Times New Roman" w:hAnsi="Times New Roman"/>
        </w:rPr>
        <w:t>criminal activity that remain</w:t>
      </w:r>
      <w:r w:rsidR="002C373D">
        <w:rPr>
          <w:rFonts w:ascii="Times New Roman" w:hAnsi="Times New Roman"/>
        </w:rPr>
        <w:t>ed</w:t>
      </w:r>
      <w:r w:rsidRPr="00C2235B">
        <w:rPr>
          <w:rFonts w:ascii="Times New Roman" w:hAnsi="Times New Roman"/>
        </w:rPr>
        <w:t xml:space="preserve"> unpunished.</w:t>
      </w:r>
      <w:r w:rsidR="002C373D">
        <w:rPr>
          <w:rFonts w:ascii="Times New Roman" w:hAnsi="Times New Roman"/>
        </w:rPr>
        <w:t xml:space="preserve">  </w:t>
      </w:r>
      <w:r w:rsidRPr="00C2235B">
        <w:rPr>
          <w:rFonts w:ascii="Times New Roman" w:hAnsi="Times New Roman"/>
        </w:rPr>
        <w:t xml:space="preserve">Beginning in Round 19, </w:t>
      </w:r>
      <w:r w:rsidR="008749C1">
        <w:rPr>
          <w:rFonts w:ascii="Times New Roman" w:hAnsi="Times New Roman"/>
        </w:rPr>
        <w:t>NLS</w:t>
      </w:r>
      <w:r w:rsidRPr="00C2235B">
        <w:rPr>
          <w:rFonts w:ascii="Times New Roman" w:hAnsi="Times New Roman"/>
        </w:rPr>
        <w:t xml:space="preserve"> stop</w:t>
      </w:r>
      <w:r w:rsidR="005E31DC">
        <w:rPr>
          <w:rFonts w:ascii="Times New Roman" w:hAnsi="Times New Roman"/>
        </w:rPr>
        <w:t>ped</w:t>
      </w:r>
      <w:r w:rsidRPr="00C2235B">
        <w:rPr>
          <w:rFonts w:ascii="Times New Roman" w:hAnsi="Times New Roman"/>
        </w:rPr>
        <w:t xml:space="preserve"> asking the questions on criminal activity</w:t>
      </w:r>
      <w:r w:rsidR="005E31DC">
        <w:rPr>
          <w:rFonts w:ascii="Times New Roman" w:hAnsi="Times New Roman"/>
        </w:rPr>
        <w:t xml:space="preserve"> but have </w:t>
      </w:r>
      <w:r w:rsidRPr="00C2235B">
        <w:rPr>
          <w:rFonts w:ascii="Times New Roman" w:hAnsi="Times New Roman"/>
        </w:rPr>
        <w:t>maintain</w:t>
      </w:r>
      <w:r w:rsidR="005E31DC">
        <w:rPr>
          <w:rFonts w:ascii="Times New Roman" w:hAnsi="Times New Roman"/>
        </w:rPr>
        <w:t>ed</w:t>
      </w:r>
      <w:r w:rsidRPr="00C2235B">
        <w:rPr>
          <w:rFonts w:ascii="Times New Roman" w:hAnsi="Times New Roman"/>
        </w:rPr>
        <w:t xml:space="preserve"> the self-reports on arrests, convictions, and time served.</w:t>
      </w:r>
    </w:p>
    <w:p w:rsidRPr="00C2235B" w:rsidR="00C2235B" w:rsidP="00C2235B" w:rsidRDefault="00C2235B" w14:paraId="621D8EC4" w14:textId="77777777">
      <w:pPr>
        <w:widowControl/>
        <w:rPr>
          <w:rFonts w:ascii="Times New Roman" w:hAnsi="Times New Roman"/>
        </w:rPr>
      </w:pPr>
    </w:p>
    <w:p w:rsidRPr="00C2235B" w:rsidR="00C2235B" w:rsidP="00C2235B" w:rsidRDefault="00C2235B" w14:paraId="22FAEFF0" w14:textId="25C8B9C2">
      <w:pPr>
        <w:widowControl/>
        <w:rPr>
          <w:rFonts w:ascii="Times New Roman" w:hAnsi="Times New Roman"/>
        </w:rPr>
      </w:pPr>
      <w:r w:rsidRPr="00C2235B">
        <w:rPr>
          <w:rFonts w:ascii="Times New Roman" w:hAnsi="Times New Roman"/>
        </w:rPr>
        <w:lastRenderedPageBreak/>
        <w:t xml:space="preserve">Experiences with the correctional system.  The Round </w:t>
      </w:r>
      <w:r w:rsidR="005E31DC">
        <w:rPr>
          <w:rFonts w:ascii="Times New Roman" w:hAnsi="Times New Roman"/>
        </w:rPr>
        <w:t>20</w:t>
      </w:r>
      <w:r w:rsidRPr="00C2235B" w:rsidR="005E31DC">
        <w:rPr>
          <w:rFonts w:ascii="Times New Roman" w:hAnsi="Times New Roman"/>
        </w:rPr>
        <w:t xml:space="preserve"> </w:t>
      </w:r>
      <w:r w:rsidRPr="00C2235B">
        <w:rPr>
          <w:rFonts w:ascii="Times New Roman" w:hAnsi="Times New Roman"/>
        </w:rPr>
        <w:t>questionnaire continues to ask several questions on incarceration and parole that were added in Round 12.  These include detail</w:t>
      </w:r>
      <w:r w:rsidR="005E31DC">
        <w:rPr>
          <w:rFonts w:ascii="Times New Roman" w:hAnsi="Times New Roman"/>
        </w:rPr>
        <w:t>ed questions</w:t>
      </w:r>
      <w:r w:rsidRPr="00C2235B">
        <w:rPr>
          <w:rFonts w:ascii="Times New Roman" w:hAnsi="Times New Roman"/>
        </w:rPr>
        <w:t xml:space="preserve"> on parole and probation status as well as violations of that status, questions about experiences and services received while incarcerated, and questions about experiences and behaviors since release from incarceration.  The questions on experiences and services received while incarcerated will be asked of currently incarcerated respondents and those who were incarcerated and released since the last interview.  Respondents who were released from incarceration since the last interview also will be asked about their experiences and behaviors since they were released.  For those respondents who are interviewed in person, these questions will continue to appear in the self-administered section, but</w:t>
      </w:r>
      <w:r w:rsidR="005E31DC">
        <w:rPr>
          <w:rFonts w:ascii="Times New Roman" w:hAnsi="Times New Roman"/>
        </w:rPr>
        <w:t xml:space="preserve"> for those interviewed</w:t>
      </w:r>
      <w:r w:rsidRPr="00C2235B" w:rsidR="005E31DC">
        <w:rPr>
          <w:rFonts w:ascii="Times New Roman" w:hAnsi="Times New Roman"/>
        </w:rPr>
        <w:t xml:space="preserve"> by telephone</w:t>
      </w:r>
      <w:r w:rsidRPr="00C2235B">
        <w:rPr>
          <w:rFonts w:ascii="Times New Roman" w:hAnsi="Times New Roman"/>
        </w:rPr>
        <w:t xml:space="preserve"> </w:t>
      </w:r>
      <w:r w:rsidR="005E31DC">
        <w:rPr>
          <w:rFonts w:ascii="Times New Roman" w:hAnsi="Times New Roman"/>
        </w:rPr>
        <w:t xml:space="preserve">they </w:t>
      </w:r>
      <w:r w:rsidRPr="00C2235B">
        <w:rPr>
          <w:rFonts w:ascii="Times New Roman" w:hAnsi="Times New Roman"/>
        </w:rPr>
        <w:t>will be asked by interviewers directly.</w:t>
      </w:r>
    </w:p>
    <w:p w:rsidR="00C2235B" w:rsidP="00C2235B" w:rsidRDefault="00C2235B" w14:paraId="0FD391E6" w14:textId="77777777">
      <w:pPr>
        <w:widowControl/>
        <w:rPr>
          <w:rFonts w:ascii="Times New Roman" w:hAnsi="Times New Roman"/>
        </w:rPr>
      </w:pPr>
    </w:p>
    <w:p w:rsidRPr="00C2235B" w:rsidR="00C2235B" w:rsidP="00C2235B" w:rsidRDefault="00C2235B" w14:paraId="651616AA" w14:textId="77777777">
      <w:pPr>
        <w:widowControl/>
        <w:rPr>
          <w:rFonts w:ascii="Times New Roman" w:hAnsi="Times New Roman"/>
        </w:rPr>
      </w:pPr>
      <w:r w:rsidRPr="00C2235B">
        <w:rPr>
          <w:rFonts w:ascii="Times New Roman" w:hAnsi="Times New Roman"/>
        </w:rPr>
        <w:t>c.)</w:t>
      </w:r>
      <w:r w:rsidRPr="00C2235B">
        <w:rPr>
          <w:rFonts w:ascii="Times New Roman" w:hAnsi="Times New Roman"/>
        </w:rPr>
        <w:tab/>
        <w:t>Mental health</w:t>
      </w:r>
    </w:p>
    <w:p w:rsidRPr="00C2235B" w:rsidR="00C2235B" w:rsidP="00C2235B" w:rsidRDefault="00C2235B" w14:paraId="1B70721E" w14:textId="4EFD8B48">
      <w:pPr>
        <w:widowControl/>
        <w:rPr>
          <w:rFonts w:ascii="Times New Roman" w:hAnsi="Times New Roman"/>
        </w:rPr>
      </w:pPr>
      <w:r w:rsidRPr="00C2235B">
        <w:rPr>
          <w:rFonts w:ascii="Times New Roman" w:hAnsi="Times New Roman"/>
        </w:rPr>
        <w:t xml:space="preserve">The literature linking mental health with various outcomes of interest to the NLSY97, including labor force participation, is fairly well-established.  The Round </w:t>
      </w:r>
      <w:r w:rsidR="00D17924">
        <w:rPr>
          <w:rFonts w:ascii="Times New Roman" w:hAnsi="Times New Roman"/>
        </w:rPr>
        <w:t>19</w:t>
      </w:r>
      <w:r w:rsidRPr="00C2235B" w:rsidR="00D17924">
        <w:rPr>
          <w:rFonts w:ascii="Times New Roman" w:hAnsi="Times New Roman"/>
        </w:rPr>
        <w:t xml:space="preserve"> </w:t>
      </w:r>
      <w:r w:rsidRPr="00C2235B">
        <w:rPr>
          <w:rFonts w:ascii="Times New Roman" w:hAnsi="Times New Roman"/>
        </w:rPr>
        <w:t xml:space="preserve">questionnaire </w:t>
      </w:r>
      <w:r w:rsidRPr="00C2235B" w:rsidR="00E45611">
        <w:rPr>
          <w:rFonts w:ascii="Times New Roman" w:hAnsi="Times New Roman"/>
        </w:rPr>
        <w:t>include</w:t>
      </w:r>
      <w:r w:rsidR="00E45611">
        <w:rPr>
          <w:rFonts w:ascii="Times New Roman" w:hAnsi="Times New Roman"/>
        </w:rPr>
        <w:t>d</w:t>
      </w:r>
      <w:r w:rsidRPr="00C2235B" w:rsidR="00E45611">
        <w:rPr>
          <w:rFonts w:ascii="Times New Roman" w:hAnsi="Times New Roman"/>
        </w:rPr>
        <w:t xml:space="preserve"> </w:t>
      </w:r>
      <w:r w:rsidRPr="00C2235B">
        <w:rPr>
          <w:rFonts w:ascii="Times New Roman" w:hAnsi="Times New Roman"/>
        </w:rPr>
        <w:t>questions on how many times the respondent has been treated for emotional, mental</w:t>
      </w:r>
      <w:r w:rsidR="003A13F0">
        <w:rPr>
          <w:rFonts w:ascii="Times New Roman" w:hAnsi="Times New Roman"/>
        </w:rPr>
        <w:t>,</w:t>
      </w:r>
      <w:r w:rsidRPr="00C2235B">
        <w:rPr>
          <w:rFonts w:ascii="Times New Roman" w:hAnsi="Times New Roman"/>
        </w:rPr>
        <w:t xml:space="preserve"> or psychiatric problems and how many times the respondent missed work or activities because of such problems in the past year</w:t>
      </w:r>
      <w:r w:rsidR="00D17924">
        <w:rPr>
          <w:rFonts w:ascii="Times New Roman" w:hAnsi="Times New Roman"/>
        </w:rPr>
        <w:t>,</w:t>
      </w:r>
      <w:r w:rsidR="005B1EBE">
        <w:rPr>
          <w:rFonts w:ascii="Times New Roman" w:hAnsi="Times New Roman"/>
        </w:rPr>
        <w:t xml:space="preserve"> as well as </w:t>
      </w:r>
      <w:r w:rsidRPr="00C2235B">
        <w:rPr>
          <w:rFonts w:ascii="Times New Roman" w:hAnsi="Times New Roman"/>
        </w:rPr>
        <w:t xml:space="preserve">the </w:t>
      </w:r>
      <w:r w:rsidR="003A13F0">
        <w:rPr>
          <w:rFonts w:ascii="Times New Roman" w:hAnsi="Times New Roman"/>
        </w:rPr>
        <w:t>seven</w:t>
      </w:r>
      <w:r w:rsidRPr="00C2235B">
        <w:rPr>
          <w:rFonts w:ascii="Times New Roman" w:hAnsi="Times New Roman"/>
        </w:rPr>
        <w:t>-item Center for Epidemiological Depression Scale (CESD), a screening instrument for depression, and the Generalized Anxiety Disorder Screener-7 (GAD-7), a screening instrument for anxiety.</w:t>
      </w:r>
      <w:r w:rsidR="00D17924">
        <w:rPr>
          <w:rFonts w:ascii="Times New Roman" w:hAnsi="Times New Roman"/>
        </w:rPr>
        <w:t xml:space="preserve">  </w:t>
      </w:r>
      <w:r w:rsidR="003A13F0">
        <w:rPr>
          <w:rFonts w:ascii="Times New Roman" w:hAnsi="Times New Roman"/>
        </w:rPr>
        <w:t xml:space="preserve">NLS </w:t>
      </w:r>
      <w:r w:rsidR="00D17924">
        <w:rPr>
          <w:rFonts w:ascii="Times New Roman" w:hAnsi="Times New Roman"/>
        </w:rPr>
        <w:t>propose</w:t>
      </w:r>
      <w:r w:rsidR="003A13F0">
        <w:rPr>
          <w:rFonts w:ascii="Times New Roman" w:hAnsi="Times New Roman"/>
        </w:rPr>
        <w:t>s</w:t>
      </w:r>
      <w:r w:rsidR="00D17924">
        <w:rPr>
          <w:rFonts w:ascii="Times New Roman" w:hAnsi="Times New Roman"/>
        </w:rPr>
        <w:t xml:space="preserve"> to ask these questions again in Round 20.  Note that </w:t>
      </w:r>
      <w:r w:rsidR="003A13F0">
        <w:rPr>
          <w:rFonts w:ascii="Times New Roman" w:hAnsi="Times New Roman"/>
        </w:rPr>
        <w:t xml:space="preserve">NLS </w:t>
      </w:r>
      <w:r w:rsidR="00D17924">
        <w:rPr>
          <w:rFonts w:ascii="Times New Roman" w:hAnsi="Times New Roman"/>
        </w:rPr>
        <w:t xml:space="preserve">also collected the CESD measure for </w:t>
      </w:r>
      <w:r w:rsidR="00EA59E8">
        <w:rPr>
          <w:rFonts w:ascii="Times New Roman" w:hAnsi="Times New Roman"/>
        </w:rPr>
        <w:t>the NLSY97</w:t>
      </w:r>
      <w:r w:rsidR="00D17924">
        <w:rPr>
          <w:rFonts w:ascii="Times New Roman" w:hAnsi="Times New Roman"/>
        </w:rPr>
        <w:t xml:space="preserve"> sample in </w:t>
      </w:r>
      <w:r w:rsidR="00EA59E8">
        <w:rPr>
          <w:rFonts w:ascii="Times New Roman" w:hAnsi="Times New Roman"/>
        </w:rPr>
        <w:t xml:space="preserve">the interim supplement fielded between Rounds 19 and 20.  Repeated collection of this measure at different points around the </w:t>
      </w:r>
      <w:r w:rsidR="007E6E8A">
        <w:rPr>
          <w:rFonts w:ascii="Times New Roman" w:hAnsi="Times New Roman"/>
        </w:rPr>
        <w:t>C</w:t>
      </w:r>
      <w:r w:rsidR="00EA59E8">
        <w:rPr>
          <w:rFonts w:ascii="Times New Roman" w:hAnsi="Times New Roman"/>
        </w:rPr>
        <w:t xml:space="preserve">oronavirus pandemic will be valuable for tracing </w:t>
      </w:r>
      <w:r w:rsidR="007E6E8A">
        <w:rPr>
          <w:rFonts w:ascii="Times New Roman" w:hAnsi="Times New Roman"/>
        </w:rPr>
        <w:t xml:space="preserve">the </w:t>
      </w:r>
      <w:r w:rsidR="00EA59E8">
        <w:rPr>
          <w:rFonts w:ascii="Times New Roman" w:hAnsi="Times New Roman"/>
        </w:rPr>
        <w:t xml:space="preserve">effect of the pandemic </w:t>
      </w:r>
      <w:r w:rsidR="007E6E8A">
        <w:rPr>
          <w:rFonts w:ascii="Times New Roman" w:hAnsi="Times New Roman"/>
        </w:rPr>
        <w:t xml:space="preserve">on mental and that </w:t>
      </w:r>
      <w:r w:rsidR="00EA59E8">
        <w:rPr>
          <w:rFonts w:ascii="Times New Roman" w:hAnsi="Times New Roman"/>
        </w:rPr>
        <w:t xml:space="preserve">that are mediated through </w:t>
      </w:r>
      <w:r w:rsidR="007E6E8A">
        <w:rPr>
          <w:rFonts w:ascii="Times New Roman" w:hAnsi="Times New Roman"/>
        </w:rPr>
        <w:t>mental health</w:t>
      </w:r>
      <w:r w:rsidR="00EA59E8">
        <w:rPr>
          <w:rFonts w:ascii="Times New Roman" w:hAnsi="Times New Roman"/>
        </w:rPr>
        <w:t>.</w:t>
      </w:r>
    </w:p>
    <w:p w:rsidRPr="00C2235B" w:rsidR="00C2235B" w:rsidP="00C2235B" w:rsidRDefault="00C2235B" w14:paraId="43D6B420" w14:textId="77777777">
      <w:pPr>
        <w:widowControl/>
        <w:rPr>
          <w:rFonts w:ascii="Times New Roman" w:hAnsi="Times New Roman"/>
        </w:rPr>
      </w:pPr>
    </w:p>
    <w:p w:rsidRPr="00C2235B" w:rsidR="00C2235B" w:rsidP="00C2235B" w:rsidRDefault="00C2235B" w14:paraId="1EC9178E" w14:textId="77777777">
      <w:pPr>
        <w:widowControl/>
        <w:rPr>
          <w:rFonts w:ascii="Times New Roman" w:hAnsi="Times New Roman"/>
        </w:rPr>
      </w:pPr>
      <w:r w:rsidRPr="00C2235B">
        <w:rPr>
          <w:rFonts w:ascii="Times New Roman" w:hAnsi="Times New Roman"/>
        </w:rPr>
        <w:t>d.)</w:t>
      </w:r>
      <w:r w:rsidRPr="00C2235B">
        <w:rPr>
          <w:rFonts w:ascii="Times New Roman" w:hAnsi="Times New Roman"/>
        </w:rPr>
        <w:tab/>
        <w:t>Religion</w:t>
      </w:r>
    </w:p>
    <w:p w:rsidRPr="00C2235B" w:rsidR="00C2235B" w:rsidP="00C2235B" w:rsidRDefault="00C2235B" w14:paraId="23995397" w14:textId="6FD535BA">
      <w:pPr>
        <w:widowControl/>
        <w:rPr>
          <w:rFonts w:ascii="Times New Roman" w:hAnsi="Times New Roman"/>
        </w:rPr>
      </w:pPr>
      <w:r w:rsidRPr="00C2235B">
        <w:rPr>
          <w:rFonts w:ascii="Times New Roman" w:hAnsi="Times New Roman"/>
        </w:rPr>
        <w:t xml:space="preserve">The NLSY97 has included questions about religious identification and attendance in most rounds.  In Round </w:t>
      </w:r>
      <w:r w:rsidR="003517D5">
        <w:rPr>
          <w:rFonts w:ascii="Times New Roman" w:hAnsi="Times New Roman"/>
        </w:rPr>
        <w:t>20</w:t>
      </w:r>
      <w:r w:rsidRPr="00C2235B">
        <w:rPr>
          <w:rFonts w:ascii="Times New Roman" w:hAnsi="Times New Roman"/>
        </w:rPr>
        <w:t xml:space="preserve">, </w:t>
      </w:r>
      <w:r w:rsidR="003A13F0">
        <w:rPr>
          <w:rFonts w:ascii="Times New Roman" w:hAnsi="Times New Roman"/>
        </w:rPr>
        <w:t>NLS is</w:t>
      </w:r>
      <w:r w:rsidRPr="00C2235B">
        <w:rPr>
          <w:rFonts w:ascii="Times New Roman" w:hAnsi="Times New Roman"/>
        </w:rPr>
        <w:t xml:space="preserve"> also including questions on religious attendance as have been asked in several prior rounds.</w:t>
      </w:r>
    </w:p>
    <w:p w:rsidRPr="00C2235B" w:rsidR="00C2235B" w:rsidP="00C2235B" w:rsidRDefault="00C2235B" w14:paraId="4C2899C0" w14:textId="77777777">
      <w:pPr>
        <w:widowControl/>
        <w:rPr>
          <w:rFonts w:ascii="Times New Roman" w:hAnsi="Times New Roman"/>
        </w:rPr>
      </w:pPr>
      <w:r w:rsidRPr="00C2235B">
        <w:rPr>
          <w:rFonts w:ascii="Times New Roman" w:hAnsi="Times New Roman"/>
        </w:rPr>
        <w:t xml:space="preserve"> </w:t>
      </w:r>
    </w:p>
    <w:p w:rsidRPr="00C2235B" w:rsidR="00C2235B" w:rsidP="00C2235B" w:rsidRDefault="00C2235B" w14:paraId="4C9F490B" w14:textId="77777777">
      <w:pPr>
        <w:widowControl/>
        <w:rPr>
          <w:rFonts w:ascii="Times New Roman" w:hAnsi="Times New Roman"/>
        </w:rPr>
      </w:pPr>
      <w:r w:rsidRPr="00C2235B">
        <w:rPr>
          <w:rFonts w:ascii="Times New Roman" w:hAnsi="Times New Roman"/>
        </w:rPr>
        <w:t>e.)</w:t>
      </w:r>
      <w:r w:rsidRPr="00C2235B">
        <w:rPr>
          <w:rFonts w:ascii="Times New Roman" w:hAnsi="Times New Roman"/>
        </w:rPr>
        <w:tab/>
        <w:t>Income, Assets, and Program Participation</w:t>
      </w:r>
    </w:p>
    <w:p w:rsidRPr="00C2235B" w:rsidR="00C2235B" w:rsidP="00C2235B" w:rsidRDefault="00C2235B" w14:paraId="15C21339" w14:textId="1139D3E2">
      <w:pPr>
        <w:widowControl/>
        <w:rPr>
          <w:rFonts w:ascii="Times New Roman" w:hAnsi="Times New Roman"/>
        </w:rPr>
      </w:pPr>
      <w:r w:rsidRPr="00C2235B">
        <w:rPr>
          <w:rFonts w:ascii="Times New Roman" w:hAnsi="Times New Roman"/>
        </w:rPr>
        <w:t>The questionnaire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w:t>
      </w:r>
      <w:r w:rsidR="00911B03">
        <w:rPr>
          <w:rFonts w:ascii="Times New Roman" w:hAnsi="Times New Roman"/>
        </w:rPr>
        <w:t xml:space="preserve"> </w:t>
      </w:r>
      <w:r w:rsidR="0061640D">
        <w:rPr>
          <w:rFonts w:ascii="Times New Roman" w:hAnsi="Times New Roman"/>
        </w:rPr>
        <w:t xml:space="preserve"> </w:t>
      </w:r>
      <w:r w:rsidRPr="00C2235B">
        <w:rPr>
          <w:rFonts w:ascii="Times New Roman" w:hAnsi="Times New Roman"/>
        </w:rPr>
        <w:t>Included are specific questions regarding a number of government assistance programs such as Unemployment Compensation, AFDC/TANF/ADC, and food stamps.</w:t>
      </w:r>
      <w:r w:rsidR="00911B03">
        <w:rPr>
          <w:rFonts w:ascii="Times New Roman" w:hAnsi="Times New Roman"/>
        </w:rPr>
        <w:t xml:space="preserve"> </w:t>
      </w:r>
      <w:r w:rsidR="0061640D">
        <w:rPr>
          <w:rFonts w:ascii="Times New Roman" w:hAnsi="Times New Roman"/>
        </w:rPr>
        <w:t xml:space="preserve"> </w:t>
      </w:r>
      <w:r w:rsidR="00911B03">
        <w:rPr>
          <w:rFonts w:ascii="Times New Roman" w:hAnsi="Times New Roman"/>
        </w:rPr>
        <w:t>For Unemployment Compensation, respondents will be asked about their application for Unemployment Insurance, as well as participation and income.</w:t>
      </w:r>
      <w:r w:rsidRPr="00C2235B" w:rsidR="00911B03">
        <w:rPr>
          <w:rFonts w:ascii="Times New Roman" w:hAnsi="Times New Roman"/>
        </w:rPr>
        <w:t xml:space="preserve">  </w:t>
      </w:r>
    </w:p>
    <w:p w:rsidRPr="00C2235B" w:rsidR="00C2235B" w:rsidP="00C2235B" w:rsidRDefault="00C2235B" w14:paraId="51683E95" w14:textId="77777777">
      <w:pPr>
        <w:widowControl/>
        <w:rPr>
          <w:rFonts w:ascii="Times New Roman" w:hAnsi="Times New Roman"/>
        </w:rPr>
      </w:pPr>
    </w:p>
    <w:p w:rsidRPr="00C2235B" w:rsidR="00C2235B" w:rsidP="00C2235B" w:rsidRDefault="00C2235B" w14:paraId="2735C1E8" w14:textId="0637E99F">
      <w:pPr>
        <w:widowControl/>
        <w:rPr>
          <w:rFonts w:ascii="Times New Roman" w:hAnsi="Times New Roman"/>
        </w:rPr>
      </w:pPr>
      <w:r w:rsidRPr="00C2235B">
        <w:rPr>
          <w:rFonts w:ascii="Times New Roman" w:hAnsi="Times New Roman"/>
        </w:rPr>
        <w:t xml:space="preserve">In addition to income, respondents are periodically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stocks or certificates of deposit, and the amount of any loans of at least $200 that the </w:t>
      </w:r>
      <w:r w:rsidRPr="00C2235B">
        <w:rPr>
          <w:rFonts w:ascii="Times New Roman" w:hAnsi="Times New Roman"/>
        </w:rPr>
        <w:lastRenderedPageBreak/>
        <w:t xml:space="preserve">respondent received in the last calendar year.  To reduce respondent burden, the asset questions are not asked of each respondent in every round.  These questions have been asked in the first interview after the respondent turns 18, and the first interviews after the respondent’s 20th, 25th, 30th, and 35th birthdays.  Because asset accumulation is slow at these young ages, this periodic collection is sufficient to capture changes in asset holdings.  </w:t>
      </w:r>
      <w:r w:rsidR="003517D5">
        <w:rPr>
          <w:rFonts w:ascii="Times New Roman" w:hAnsi="Times New Roman"/>
        </w:rPr>
        <w:t xml:space="preserve">In </w:t>
      </w:r>
      <w:r w:rsidRPr="00C2235B">
        <w:rPr>
          <w:rFonts w:ascii="Times New Roman" w:hAnsi="Times New Roman"/>
        </w:rPr>
        <w:t>Round</w:t>
      </w:r>
      <w:r w:rsidR="003517D5">
        <w:rPr>
          <w:rFonts w:ascii="Times New Roman" w:hAnsi="Times New Roman"/>
        </w:rPr>
        <w:t>s</w:t>
      </w:r>
      <w:r w:rsidRPr="00C2235B">
        <w:rPr>
          <w:rFonts w:ascii="Times New Roman" w:hAnsi="Times New Roman"/>
        </w:rPr>
        <w:t xml:space="preserve"> 17 </w:t>
      </w:r>
      <w:r w:rsidR="003517D5">
        <w:rPr>
          <w:rFonts w:ascii="Times New Roman" w:hAnsi="Times New Roman"/>
        </w:rPr>
        <w:t xml:space="preserve">through 19, </w:t>
      </w:r>
      <w:r w:rsidRPr="00C2235B">
        <w:rPr>
          <w:rFonts w:ascii="Times New Roman" w:hAnsi="Times New Roman"/>
        </w:rPr>
        <w:t xml:space="preserve">respondents were asked to report their assets as of age 35.  Collection of assets as of age </w:t>
      </w:r>
      <w:r w:rsidR="003517D5">
        <w:rPr>
          <w:rFonts w:ascii="Times New Roman" w:hAnsi="Times New Roman"/>
        </w:rPr>
        <w:t>40</w:t>
      </w:r>
      <w:r w:rsidRPr="00C2235B" w:rsidR="003517D5">
        <w:rPr>
          <w:rFonts w:ascii="Times New Roman" w:hAnsi="Times New Roman"/>
        </w:rPr>
        <w:t xml:space="preserve"> </w:t>
      </w:r>
      <w:r w:rsidR="003517D5">
        <w:rPr>
          <w:rFonts w:ascii="Times New Roman" w:hAnsi="Times New Roman"/>
        </w:rPr>
        <w:t>will begin</w:t>
      </w:r>
      <w:r w:rsidRPr="00C2235B" w:rsidR="003517D5">
        <w:rPr>
          <w:rFonts w:ascii="Times New Roman" w:hAnsi="Times New Roman"/>
        </w:rPr>
        <w:t xml:space="preserve"> </w:t>
      </w:r>
      <w:r w:rsidRPr="00C2235B">
        <w:rPr>
          <w:rFonts w:ascii="Times New Roman" w:hAnsi="Times New Roman"/>
        </w:rPr>
        <w:t>in Round 19</w:t>
      </w:r>
      <w:r w:rsidR="003517D5">
        <w:rPr>
          <w:rFonts w:ascii="Times New Roman" w:hAnsi="Times New Roman"/>
        </w:rPr>
        <w:t xml:space="preserve"> for the oldest members of the cohort</w:t>
      </w:r>
      <w:r w:rsidRPr="00C2235B">
        <w:rPr>
          <w:rFonts w:ascii="Times New Roman" w:hAnsi="Times New Roman"/>
        </w:rPr>
        <w:t xml:space="preserve">.  </w:t>
      </w:r>
    </w:p>
    <w:p w:rsidRPr="00C2235B" w:rsidR="00C2235B" w:rsidP="00C2235B" w:rsidRDefault="00C2235B" w14:paraId="545CAAB6" w14:textId="77777777">
      <w:pPr>
        <w:widowControl/>
        <w:rPr>
          <w:rFonts w:ascii="Times New Roman" w:hAnsi="Times New Roman"/>
        </w:rPr>
      </w:pPr>
    </w:p>
    <w:p w:rsidRPr="00C2235B" w:rsidR="00C2235B" w:rsidP="00C2235B" w:rsidRDefault="00C2235B" w14:paraId="020DE243" w14:textId="6EDCCC21">
      <w:pPr>
        <w:widowControl/>
        <w:rPr>
          <w:rFonts w:ascii="Times New Roman" w:hAnsi="Times New Roman"/>
        </w:rPr>
      </w:pPr>
      <w:r w:rsidRPr="00C2235B">
        <w:rPr>
          <w:rFonts w:ascii="Times New Roman" w:hAnsi="Times New Roman"/>
        </w:rPr>
        <w:t xml:space="preserve">Given the high fraction of household wealth associated with home ownership, the NLSY97 questionnaire collects home ownership status and (net) equity in the home from respondents each year that they are not scheduled for the full assets module.  In Round 14 </w:t>
      </w:r>
      <w:r w:rsidR="003A13F0">
        <w:rPr>
          <w:rFonts w:ascii="Times New Roman" w:hAnsi="Times New Roman"/>
        </w:rPr>
        <w:t>NLS</w:t>
      </w:r>
      <w:r w:rsidRPr="00C2235B">
        <w:rPr>
          <w:rFonts w:ascii="Times New Roman" w:hAnsi="Times New Roman"/>
        </w:rPr>
        <w:t xml:space="preserve"> added a question on present value of the home.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also ask</w:t>
      </w:r>
      <w:r w:rsidR="003A13F0">
        <w:rPr>
          <w:rFonts w:ascii="Times New Roman" w:hAnsi="Times New Roman"/>
        </w:rPr>
        <w:t>s</w:t>
      </w:r>
      <w:r w:rsidRPr="00C2235B">
        <w:rPr>
          <w:rFonts w:ascii="Times New Roman" w:hAnsi="Times New Roman"/>
        </w:rPr>
        <w:t xml:space="preserve"> respondents who owned a house or other dwelling previously and no longer live there about what happened to their house or dwelling.  To allow for respondent-interviewer rapport to build before these potentially sensitive items are addressed, the housing value questions were moved from the (first) Household Information section to the Assets section, which occurs late in the interview.  This question series also permits the respondent to report the loss of a house due to foreclosure.</w:t>
      </w:r>
    </w:p>
    <w:p w:rsidRPr="00C2235B" w:rsidR="00C2235B" w:rsidP="00C2235B" w:rsidRDefault="00C2235B" w14:paraId="69ADC528" w14:textId="77777777">
      <w:pPr>
        <w:widowControl/>
        <w:rPr>
          <w:rFonts w:ascii="Times New Roman" w:hAnsi="Times New Roman"/>
        </w:rPr>
      </w:pPr>
    </w:p>
    <w:p w:rsidRPr="00C2235B" w:rsidR="00C2235B" w:rsidP="00C2235B" w:rsidRDefault="00C2235B" w14:paraId="4A717ECD" w14:textId="278FF5B1">
      <w:pPr>
        <w:widowControl/>
        <w:rPr>
          <w:rFonts w:ascii="Times New Roman" w:hAnsi="Times New Roman"/>
        </w:rPr>
      </w:pPr>
      <w:r w:rsidRPr="00C2235B">
        <w:rPr>
          <w:rFonts w:ascii="Times New Roman" w:hAnsi="Times New Roman"/>
        </w:rPr>
        <w:t xml:space="preserve">Rounds 1-13 </w:t>
      </w:r>
      <w:r w:rsidR="003A13F0">
        <w:rPr>
          <w:rFonts w:ascii="Times New Roman" w:hAnsi="Times New Roman"/>
        </w:rPr>
        <w:t>from the</w:t>
      </w:r>
      <w:r w:rsidRPr="00C2235B">
        <w:rPr>
          <w:rFonts w:ascii="Times New Roman" w:hAnsi="Times New Roman"/>
        </w:rPr>
        <w:t xml:space="preserve"> NLSY97 questionnaires collected month-by-month participation status information for several government programs.  These questions have been substantially reduced so that monthly data were no longer collected beginning with the Round 14 interview except from respondents who did not complete the Round 13 interview.  The relatively low levels of participation reported did not seem to justify the respondent burden imposed by these questions.  More detailed questions about receipt of income from government programs are now asked in the Income section with other sources of income.</w:t>
      </w:r>
    </w:p>
    <w:p w:rsidRPr="00C2235B" w:rsidR="00C2235B" w:rsidP="00C2235B" w:rsidRDefault="00C2235B" w14:paraId="7F1A6532" w14:textId="77777777">
      <w:pPr>
        <w:widowControl/>
        <w:rPr>
          <w:rFonts w:ascii="Times New Roman" w:hAnsi="Times New Roman"/>
        </w:rPr>
      </w:pPr>
    </w:p>
    <w:p w:rsidRPr="00C2235B" w:rsidR="00C2235B" w:rsidP="00C2235B" w:rsidRDefault="00C2235B" w14:paraId="32A9307E" w14:textId="77777777">
      <w:pPr>
        <w:widowControl/>
        <w:rPr>
          <w:rFonts w:ascii="Times New Roman" w:hAnsi="Times New Roman"/>
        </w:rPr>
      </w:pPr>
      <w:r w:rsidRPr="00C2235B">
        <w:rPr>
          <w:rFonts w:ascii="Times New Roman" w:hAnsi="Times New Roman"/>
        </w:rPr>
        <w:t>f.)</w:t>
      </w:r>
      <w:r w:rsidRPr="00C2235B">
        <w:rPr>
          <w:rFonts w:ascii="Times New Roman" w:hAnsi="Times New Roman"/>
        </w:rPr>
        <w:tab/>
        <w:t>Financial Health</w:t>
      </w:r>
    </w:p>
    <w:p w:rsidRPr="00C2235B" w:rsidR="00C2235B" w:rsidP="00C2235B" w:rsidRDefault="00C2235B" w14:paraId="1FB61908" w14:textId="3302456B">
      <w:pPr>
        <w:widowControl/>
        <w:rPr>
          <w:rFonts w:ascii="Times New Roman" w:hAnsi="Times New Roman"/>
        </w:rPr>
      </w:pPr>
      <w:r w:rsidRPr="00C2235B">
        <w:rPr>
          <w:rFonts w:ascii="Times New Roman" w:hAnsi="Times New Roman"/>
        </w:rPr>
        <w:t xml:space="preserve">To get a better understanding of the financial well-being of the respondents, in Round </w:t>
      </w:r>
      <w:r w:rsidR="003517D5">
        <w:rPr>
          <w:rFonts w:ascii="Times New Roman" w:hAnsi="Times New Roman"/>
        </w:rPr>
        <w:t>20</w:t>
      </w:r>
      <w:r w:rsidRPr="00C2235B" w:rsidR="003517D5">
        <w:rPr>
          <w:rFonts w:ascii="Times New Roman" w:hAnsi="Times New Roman"/>
        </w:rPr>
        <w:t xml:space="preserv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continue</w:t>
      </w:r>
      <w:r w:rsidR="003A13F0">
        <w:rPr>
          <w:rFonts w:ascii="Times New Roman" w:hAnsi="Times New Roman"/>
        </w:rPr>
        <w:t>s</w:t>
      </w:r>
      <w:r w:rsidRPr="00C2235B">
        <w:rPr>
          <w:rFonts w:ascii="Times New Roman" w:hAnsi="Times New Roman"/>
        </w:rPr>
        <w:t xml:space="preserve"> some of the questions </w:t>
      </w:r>
      <w:r w:rsidR="003A13F0">
        <w:rPr>
          <w:rFonts w:ascii="Times New Roman" w:hAnsi="Times New Roman"/>
        </w:rPr>
        <w:t>that were</w:t>
      </w:r>
      <w:r w:rsidRPr="00C2235B" w:rsidR="003A13F0">
        <w:rPr>
          <w:rFonts w:ascii="Times New Roman" w:hAnsi="Times New Roman"/>
        </w:rPr>
        <w:t xml:space="preserve"> </w:t>
      </w:r>
      <w:r w:rsidRPr="00C2235B">
        <w:rPr>
          <w:rFonts w:ascii="Times New Roman" w:hAnsi="Times New Roman"/>
        </w:rPr>
        <w:t xml:space="preserve">introduced in Round 10 about a respondent’s financial condition.  </w:t>
      </w:r>
      <w:r w:rsidR="003A13F0">
        <w:rPr>
          <w:rFonts w:ascii="Times New Roman" w:hAnsi="Times New Roman"/>
        </w:rPr>
        <w:t xml:space="preserve">NLS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a set of questions to measure the financial distress of the respondents in the past 12 months.  In particular,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whether respondents have been 60 days late in paying their mortgage or rent, and whether they have been pressured to pay bills by stores, creditors, or bill collectors.  In addition,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respondents to pick the response that best describes their financial condition from the following list:</w:t>
      </w:r>
    </w:p>
    <w:p w:rsidRPr="00C2235B" w:rsidR="00C2235B" w:rsidP="00C2235B" w:rsidRDefault="00C2235B" w14:paraId="27EB17C8" w14:textId="77777777">
      <w:pPr>
        <w:widowControl/>
        <w:rPr>
          <w:rFonts w:ascii="Times New Roman" w:hAnsi="Times New Roman"/>
        </w:rPr>
      </w:pPr>
      <w:r w:rsidRPr="00C2235B">
        <w:rPr>
          <w:rFonts w:ascii="Times New Roman" w:hAnsi="Times New Roman"/>
        </w:rPr>
        <w:t>1.</w:t>
      </w:r>
      <w:r w:rsidRPr="00C2235B">
        <w:rPr>
          <w:rFonts w:ascii="Times New Roman" w:hAnsi="Times New Roman"/>
        </w:rPr>
        <w:tab/>
        <w:t>very comfortable and secure</w:t>
      </w:r>
    </w:p>
    <w:p w:rsidRPr="00C2235B" w:rsidR="00C2235B" w:rsidP="00C2235B" w:rsidRDefault="00C2235B" w14:paraId="00FC1F43" w14:textId="77777777">
      <w:pPr>
        <w:widowControl/>
        <w:rPr>
          <w:rFonts w:ascii="Times New Roman" w:hAnsi="Times New Roman"/>
        </w:rPr>
      </w:pPr>
      <w:r w:rsidRPr="00C2235B">
        <w:rPr>
          <w:rFonts w:ascii="Times New Roman" w:hAnsi="Times New Roman"/>
        </w:rPr>
        <w:t>2.</w:t>
      </w:r>
      <w:r w:rsidRPr="00C2235B">
        <w:rPr>
          <w:rFonts w:ascii="Times New Roman" w:hAnsi="Times New Roman"/>
        </w:rPr>
        <w:tab/>
        <w:t>able to make ends meet without much difficulty</w:t>
      </w:r>
    </w:p>
    <w:p w:rsidRPr="00C2235B" w:rsidR="00C2235B" w:rsidP="00C2235B" w:rsidRDefault="00C2235B" w14:paraId="63480B61" w14:textId="77777777">
      <w:pPr>
        <w:widowControl/>
        <w:rPr>
          <w:rFonts w:ascii="Times New Roman" w:hAnsi="Times New Roman"/>
        </w:rPr>
      </w:pPr>
      <w:r w:rsidRPr="00C2235B">
        <w:rPr>
          <w:rFonts w:ascii="Times New Roman" w:hAnsi="Times New Roman"/>
        </w:rPr>
        <w:t>3.</w:t>
      </w:r>
      <w:r w:rsidRPr="00C2235B">
        <w:rPr>
          <w:rFonts w:ascii="Times New Roman" w:hAnsi="Times New Roman"/>
        </w:rPr>
        <w:tab/>
        <w:t>occasionally have some difficulty making ends meet</w:t>
      </w:r>
    </w:p>
    <w:p w:rsidRPr="00C2235B" w:rsidR="00C2235B" w:rsidP="00C2235B" w:rsidRDefault="00C2235B" w14:paraId="5DE9715D" w14:textId="77777777">
      <w:pPr>
        <w:widowControl/>
        <w:rPr>
          <w:rFonts w:ascii="Times New Roman" w:hAnsi="Times New Roman"/>
        </w:rPr>
      </w:pPr>
      <w:r w:rsidRPr="00C2235B">
        <w:rPr>
          <w:rFonts w:ascii="Times New Roman" w:hAnsi="Times New Roman"/>
        </w:rPr>
        <w:t>4.</w:t>
      </w:r>
      <w:r w:rsidRPr="00C2235B">
        <w:rPr>
          <w:rFonts w:ascii="Times New Roman" w:hAnsi="Times New Roman"/>
        </w:rPr>
        <w:tab/>
        <w:t>tough to make ends meet but keeping your head above water</w:t>
      </w:r>
    </w:p>
    <w:p w:rsidRPr="00C2235B" w:rsidR="00C2235B" w:rsidP="00C2235B" w:rsidRDefault="00C2235B" w14:paraId="5FAEDC04" w14:textId="77777777">
      <w:pPr>
        <w:widowControl/>
        <w:rPr>
          <w:rFonts w:ascii="Times New Roman" w:hAnsi="Times New Roman"/>
        </w:rPr>
      </w:pPr>
      <w:r w:rsidRPr="00C2235B">
        <w:rPr>
          <w:rFonts w:ascii="Times New Roman" w:hAnsi="Times New Roman"/>
        </w:rPr>
        <w:t>5.</w:t>
      </w:r>
      <w:r w:rsidRPr="00C2235B">
        <w:rPr>
          <w:rFonts w:ascii="Times New Roman" w:hAnsi="Times New Roman"/>
        </w:rPr>
        <w:tab/>
        <w:t>in over your head</w:t>
      </w:r>
    </w:p>
    <w:p w:rsidRPr="00C2235B" w:rsidR="00C2235B" w:rsidP="00C2235B" w:rsidRDefault="00C2235B" w14:paraId="523B807C" w14:textId="77777777">
      <w:pPr>
        <w:widowControl/>
        <w:rPr>
          <w:rFonts w:ascii="Times New Roman" w:hAnsi="Times New Roman"/>
        </w:rPr>
      </w:pPr>
    </w:p>
    <w:p w:rsidRPr="00C2235B" w:rsidR="00C2235B" w:rsidP="00C2235B" w:rsidRDefault="00C2235B" w14:paraId="4FBCF8A0" w14:textId="77777777">
      <w:pPr>
        <w:widowControl/>
        <w:rPr>
          <w:rFonts w:ascii="Times New Roman" w:hAnsi="Times New Roman"/>
        </w:rPr>
      </w:pPr>
      <w:r w:rsidRPr="00C2235B">
        <w:rPr>
          <w:rFonts w:ascii="Times New Roman" w:hAnsi="Times New Roman"/>
        </w:rPr>
        <w:t>The goal of these questions is to understand better the financial status of these respondents and how this status affects and is affected by their labor market activities.</w:t>
      </w:r>
    </w:p>
    <w:p w:rsidRPr="00C2235B" w:rsidR="00C2235B" w:rsidP="00C2235B" w:rsidRDefault="00C2235B" w14:paraId="1F9AFB54" w14:textId="77777777">
      <w:pPr>
        <w:widowControl/>
        <w:rPr>
          <w:rFonts w:ascii="Times New Roman" w:hAnsi="Times New Roman"/>
        </w:rPr>
      </w:pPr>
    </w:p>
    <w:p w:rsidR="00690F56" w:rsidP="00C2235B" w:rsidRDefault="00C2235B" w14:paraId="27A67CE6" w14:textId="72A941C3">
      <w:pPr>
        <w:widowControl/>
        <w:rPr>
          <w:rFonts w:ascii="Times New Roman" w:hAnsi="Times New Roman"/>
        </w:rPr>
      </w:pPr>
      <w:r w:rsidRPr="00C2235B">
        <w:rPr>
          <w:rFonts w:ascii="Times New Roman" w:hAnsi="Times New Roman"/>
        </w:rPr>
        <w:lastRenderedPageBreak/>
        <w:t xml:space="preserve">Respondents are free to refuse to answer any survey question, including the sensitive questions described above.  </w:t>
      </w:r>
      <w:r w:rsidR="003A13F0">
        <w:rPr>
          <w:rFonts w:ascii="Times New Roman" w:hAnsi="Times New Roman"/>
        </w:rPr>
        <w:t>NLS’</w:t>
      </w:r>
      <w:r w:rsidRPr="00C2235B">
        <w:rPr>
          <w:rFonts w:ascii="Times New Roman" w:hAnsi="Times New Roman"/>
        </w:rPr>
        <w:t xml:space="preserve"> experience has been that participants recognize the importance of these questions and rarely refuse to answer.</w:t>
      </w:r>
    </w:p>
    <w:p w:rsidR="00C2235B" w:rsidP="00B65823" w:rsidRDefault="00C2235B" w14:paraId="31C579D9" w14:textId="77777777">
      <w:pPr>
        <w:widowControl/>
        <w:rPr>
          <w:rFonts w:ascii="Times New Roman" w:hAnsi="Times New Roman"/>
        </w:rPr>
      </w:pPr>
    </w:p>
    <w:p w:rsidRPr="00871CA6" w:rsidR="00C2235B" w:rsidP="00B65823" w:rsidRDefault="00C2235B" w14:paraId="7FE04BA4"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rsidRDefault="00690F56" w14:paraId="1904007E" w14:textId="77777777">
      <w:pPr>
        <w:widowControl/>
        <w:rPr>
          <w:rFonts w:ascii="Times New Roman" w:hAnsi="Times New Roman"/>
          <w:bCs/>
        </w:rPr>
      </w:pPr>
    </w:p>
    <w:p w:rsidRPr="00DE6E5D" w:rsidR="00DE6E5D" w:rsidP="00DE6E5D" w:rsidRDefault="00DE6E5D" w14:paraId="7956F3DE" w14:textId="40FAF7AC">
      <w:pPr>
        <w:widowControl/>
        <w:rPr>
          <w:rFonts w:ascii="Times New Roman" w:hAnsi="Times New Roman"/>
          <w:bCs/>
        </w:rPr>
      </w:pPr>
      <w:r w:rsidRPr="00DE6E5D">
        <w:rPr>
          <w:rFonts w:ascii="Times New Roman" w:hAnsi="Times New Roman"/>
          <w:bCs/>
        </w:rPr>
        <w:t xml:space="preserve">The Round </w:t>
      </w:r>
      <w:r>
        <w:rPr>
          <w:rFonts w:ascii="Times New Roman" w:hAnsi="Times New Roman"/>
          <w:bCs/>
        </w:rPr>
        <w:t>20</w:t>
      </w:r>
      <w:r w:rsidRPr="00DE6E5D">
        <w:rPr>
          <w:rFonts w:ascii="Times New Roman" w:hAnsi="Times New Roman"/>
          <w:bCs/>
        </w:rPr>
        <w:t xml:space="preserve"> field effort will seek to interview each respondent identified when the sample was selected in 1997.  </w:t>
      </w:r>
      <w:r w:rsidR="002704A1">
        <w:rPr>
          <w:rFonts w:ascii="Times New Roman" w:hAnsi="Times New Roman"/>
          <w:bCs/>
        </w:rPr>
        <w:t>NLS</w:t>
      </w:r>
      <w:r w:rsidRPr="00DE6E5D">
        <w:rPr>
          <w:rFonts w:ascii="Times New Roman" w:hAnsi="Times New Roman"/>
          <w:bCs/>
        </w:rPr>
        <w:t xml:space="preserve"> will attempt to contact approximately </w:t>
      </w:r>
      <w:r>
        <w:rPr>
          <w:rFonts w:ascii="Times New Roman" w:hAnsi="Times New Roman"/>
          <w:bCs/>
        </w:rPr>
        <w:t>8,75</w:t>
      </w:r>
      <w:r w:rsidRPr="00DE6E5D">
        <w:rPr>
          <w:rFonts w:ascii="Times New Roman" w:hAnsi="Times New Roman"/>
          <w:bCs/>
        </w:rPr>
        <w:t xml:space="preserve">0 sample members who are not known to be deceased.  BLS expects that interviews with approximately </w:t>
      </w:r>
      <w:r>
        <w:rPr>
          <w:rFonts w:ascii="Times New Roman" w:hAnsi="Times New Roman"/>
          <w:bCs/>
        </w:rPr>
        <w:t>6,650</w:t>
      </w:r>
      <w:r w:rsidRPr="00DE6E5D">
        <w:rPr>
          <w:rFonts w:ascii="Times New Roman" w:hAnsi="Times New Roman"/>
          <w:bCs/>
        </w:rPr>
        <w:t xml:space="preserve"> of those sample members will be completed.  The content of the interview will be similar to the interviews in Round </w:t>
      </w:r>
      <w:r>
        <w:rPr>
          <w:rFonts w:ascii="Times New Roman" w:hAnsi="Times New Roman"/>
          <w:bCs/>
        </w:rPr>
        <w:t>19</w:t>
      </w:r>
      <w:r w:rsidRPr="00DE6E5D">
        <w:rPr>
          <w:rFonts w:ascii="Times New Roman" w:hAnsi="Times New Roman"/>
          <w:bCs/>
        </w:rPr>
        <w:t xml:space="preserve">, although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ha</w:t>
      </w:r>
      <w:r w:rsidR="002704A1">
        <w:rPr>
          <w:rFonts w:ascii="Times New Roman" w:hAnsi="Times New Roman"/>
          <w:bCs/>
        </w:rPr>
        <w:t>s</w:t>
      </w:r>
      <w:r w:rsidRPr="00DE6E5D">
        <w:rPr>
          <w:rFonts w:ascii="Times New Roman" w:hAnsi="Times New Roman"/>
          <w:bCs/>
        </w:rPr>
        <w:t xml:space="preserve"> made efforts to streamline the questionnaire and drop some items that may not work well in telephone mode.  Based upon interview length in past rounds,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estimate</w:t>
      </w:r>
      <w:r w:rsidR="002704A1">
        <w:rPr>
          <w:rFonts w:ascii="Times New Roman" w:hAnsi="Times New Roman"/>
          <w:bCs/>
        </w:rPr>
        <w:t>s</w:t>
      </w:r>
      <w:r w:rsidRPr="00DE6E5D">
        <w:rPr>
          <w:rFonts w:ascii="Times New Roman" w:hAnsi="Times New Roman"/>
          <w:bCs/>
        </w:rPr>
        <w:t xml:space="preserve"> the interview time will average about </w:t>
      </w:r>
      <w:r w:rsidRPr="00DE6E5D" w:rsidR="007E06C9">
        <w:rPr>
          <w:rFonts w:ascii="Times New Roman" w:hAnsi="Times New Roman"/>
          <w:bCs/>
        </w:rPr>
        <w:t>7</w:t>
      </w:r>
      <w:r w:rsidR="007E06C9">
        <w:rPr>
          <w:rFonts w:ascii="Times New Roman" w:hAnsi="Times New Roman"/>
          <w:bCs/>
        </w:rPr>
        <w:t>5</w:t>
      </w:r>
      <w:r w:rsidRPr="00DE6E5D" w:rsidR="007E06C9">
        <w:rPr>
          <w:rFonts w:ascii="Times New Roman" w:hAnsi="Times New Roman"/>
          <w:bCs/>
        </w:rPr>
        <w:t xml:space="preserve"> </w:t>
      </w:r>
      <w:r w:rsidRPr="00DE6E5D">
        <w:rPr>
          <w:rFonts w:ascii="Times New Roman" w:hAnsi="Times New Roman"/>
          <w:bCs/>
        </w:rPr>
        <w:t xml:space="preserve">minutes.  </w:t>
      </w:r>
    </w:p>
    <w:p w:rsidRPr="00DE6E5D" w:rsidR="00DE6E5D" w:rsidP="00DE6E5D" w:rsidRDefault="00DE6E5D" w14:paraId="17D6899B" w14:textId="77777777">
      <w:pPr>
        <w:widowControl/>
        <w:rPr>
          <w:rFonts w:ascii="Times New Roman" w:hAnsi="Times New Roman"/>
          <w:bCs/>
        </w:rPr>
      </w:pPr>
    </w:p>
    <w:p w:rsidRPr="00DE6E5D" w:rsidR="00DE6E5D" w:rsidP="00DE6E5D" w:rsidRDefault="00DE6E5D" w14:paraId="1C69BFD3" w14:textId="77FF145D">
      <w:pPr>
        <w:widowControl/>
        <w:rPr>
          <w:rFonts w:ascii="Times New Roman" w:hAnsi="Times New Roman"/>
          <w:bCs/>
        </w:rPr>
      </w:pPr>
      <w:r w:rsidRPr="00DE6E5D">
        <w:rPr>
          <w:rFonts w:ascii="Times New Roman" w:hAnsi="Times New Roman"/>
          <w:bCs/>
        </w:rPr>
        <w:t xml:space="preserve">Interview length will vary across respondents.  For example, the core of the interview covers schooling and labor market experience.  Naturally, respondents vary in the number of jobs they have held, the number of schools they have attended, and their experiences at work and at school.  </w:t>
      </w:r>
      <w:r w:rsidR="002704A1">
        <w:rPr>
          <w:rFonts w:ascii="Times New Roman" w:hAnsi="Times New Roman"/>
          <w:bCs/>
        </w:rPr>
        <w:t>The</w:t>
      </w:r>
      <w:r w:rsidRPr="00DE6E5D">
        <w:rPr>
          <w:rFonts w:ascii="Times New Roman" w:hAnsi="Times New Roman"/>
          <w:bCs/>
        </w:rPr>
        <w:t xml:space="preserve"> aim is to be comprehensive in the data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collect</w:t>
      </w:r>
      <w:r w:rsidR="002704A1">
        <w:rPr>
          <w:rFonts w:ascii="Times New Roman" w:hAnsi="Times New Roman"/>
          <w:bCs/>
        </w:rPr>
        <w:t>s</w:t>
      </w:r>
      <w:r w:rsidRPr="00DE6E5D">
        <w:rPr>
          <w:rFonts w:ascii="Times New Roman" w:hAnsi="Times New Roman"/>
          <w:bCs/>
        </w:rPr>
        <w:t>, and this leads to variation in the time required for the respondent to remember and relate the necessary information to the interviewer.  For these reasons, the timing estimate is more accurate on average than for each individual case.</w:t>
      </w:r>
    </w:p>
    <w:p w:rsidRPr="00DE6E5D" w:rsidR="00DE6E5D" w:rsidP="00DE6E5D" w:rsidRDefault="00DE6E5D" w14:paraId="1FF0C431" w14:textId="77777777">
      <w:pPr>
        <w:widowControl/>
        <w:rPr>
          <w:rFonts w:ascii="Times New Roman" w:hAnsi="Times New Roman"/>
          <w:bCs/>
        </w:rPr>
      </w:pPr>
    </w:p>
    <w:p w:rsidRPr="00DE6E5D" w:rsidR="00DE6E5D" w:rsidP="00DE6E5D" w:rsidRDefault="00DE6E5D" w14:paraId="72A34AAA" w14:textId="0FBD3E2E">
      <w:pPr>
        <w:widowControl/>
        <w:rPr>
          <w:rFonts w:ascii="Times New Roman" w:hAnsi="Times New Roman"/>
          <w:bCs/>
        </w:rPr>
      </w:pPr>
      <w:r w:rsidRPr="00DE6E5D">
        <w:rPr>
          <w:rFonts w:ascii="Times New Roman" w:hAnsi="Times New Roman"/>
          <w:bCs/>
        </w:rPr>
        <w:t xml:space="preserve">The estimated burden in Round </w:t>
      </w:r>
      <w:r>
        <w:rPr>
          <w:rFonts w:ascii="Times New Roman" w:hAnsi="Times New Roman"/>
          <w:bCs/>
        </w:rPr>
        <w:t>20</w:t>
      </w:r>
      <w:r w:rsidRPr="00DE6E5D">
        <w:rPr>
          <w:rFonts w:ascii="Times New Roman" w:hAnsi="Times New Roman"/>
          <w:bCs/>
        </w:rPr>
        <w:t xml:space="preserve"> includes an allowance for attrition that takes place during the course of longitudinal surveys.  To minimize the effects of attrition,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 xml:space="preserve">will seek to complete </w:t>
      </w:r>
      <w:r w:rsidRPr="00DE6E5D">
        <w:rPr>
          <w:rFonts w:ascii="Times New Roman" w:hAnsi="Times New Roman"/>
          <w:bCs/>
        </w:rPr>
        <w:lastRenderedPageBreak/>
        <w:t xml:space="preserve">interviews with living respondents from Round 1 regardless of whether the sample member completed an interview in intervening rounds. </w:t>
      </w:r>
    </w:p>
    <w:p w:rsidRPr="00DE6E5D" w:rsidR="00DE6E5D" w:rsidP="00DE6E5D" w:rsidRDefault="00DE6E5D" w14:paraId="0DA74EA1" w14:textId="77777777">
      <w:pPr>
        <w:widowControl/>
        <w:rPr>
          <w:rFonts w:ascii="Times New Roman" w:hAnsi="Times New Roman"/>
          <w:bCs/>
        </w:rPr>
      </w:pPr>
    </w:p>
    <w:p w:rsidRPr="00DE6E5D" w:rsidR="00DE6E5D" w:rsidP="00DE6E5D" w:rsidRDefault="00DE6E5D" w14:paraId="66801C7A" w14:textId="30F24885">
      <w:pPr>
        <w:widowControl/>
        <w:rPr>
          <w:rFonts w:ascii="Times New Roman" w:hAnsi="Times New Roman"/>
          <w:bCs/>
        </w:rPr>
      </w:pPr>
      <w:r w:rsidRPr="00DE6E5D">
        <w:rPr>
          <w:rFonts w:ascii="Times New Roman" w:hAnsi="Times New Roman"/>
          <w:bCs/>
        </w:rPr>
        <w:t xml:space="preserve">Household burden will vary with the number of in-scope sample members present, so households with three sample members may require almost four hours, and so forth.  Although more than 1,800 households included multiple respondents at the time of the initial interview, by Round </w:t>
      </w:r>
      <w:r>
        <w:rPr>
          <w:rFonts w:ascii="Times New Roman" w:hAnsi="Times New Roman"/>
          <w:bCs/>
        </w:rPr>
        <w:t>20</w:t>
      </w:r>
      <w:r w:rsidRPr="00DE6E5D">
        <w:rPr>
          <w:rFonts w:ascii="Times New Roman" w:hAnsi="Times New Roman"/>
          <w:bCs/>
        </w:rPr>
        <w:t xml:space="preserve"> most respondents have established their own households, and very few multiple respondent households remain.  </w:t>
      </w:r>
      <w:r w:rsidR="002704A1">
        <w:rPr>
          <w:rFonts w:ascii="Times New Roman" w:hAnsi="Times New Roman"/>
          <w:bCs/>
        </w:rPr>
        <w:t>NLS is</w:t>
      </w:r>
      <w:r w:rsidRPr="00DE6E5D">
        <w:rPr>
          <w:rFonts w:ascii="Times New Roman" w:hAnsi="Times New Roman"/>
          <w:bCs/>
        </w:rPr>
        <w:t xml:space="preserve"> sensitive to the fact that the interviews in households with several sample members theoretically can pose interviewing problems, but that has not been </w:t>
      </w:r>
      <w:r w:rsidR="004C1451">
        <w:rPr>
          <w:rFonts w:ascii="Times New Roman" w:hAnsi="Times New Roman"/>
          <w:bCs/>
        </w:rPr>
        <w:t>NLS’</w:t>
      </w:r>
      <w:r w:rsidRPr="00DE6E5D" w:rsidR="004C1451">
        <w:rPr>
          <w:rFonts w:ascii="Times New Roman" w:hAnsi="Times New Roman"/>
          <w:bCs/>
        </w:rPr>
        <w:t xml:space="preserve"> </w:t>
      </w:r>
      <w:r w:rsidRPr="00DE6E5D">
        <w:rPr>
          <w:rFonts w:ascii="Times New Roman" w:hAnsi="Times New Roman"/>
          <w:bCs/>
        </w:rPr>
        <w:t>experience in previous rounds.</w:t>
      </w:r>
    </w:p>
    <w:p w:rsidRPr="00DE6E5D" w:rsidR="00DE6E5D" w:rsidP="00DE6E5D" w:rsidRDefault="00DE6E5D" w14:paraId="5BD151AE" w14:textId="77777777">
      <w:pPr>
        <w:widowControl/>
        <w:rPr>
          <w:rFonts w:ascii="Times New Roman" w:hAnsi="Times New Roman"/>
          <w:bCs/>
        </w:rPr>
      </w:pPr>
    </w:p>
    <w:p w:rsidRPr="00DE6E5D" w:rsidR="00DE6E5D" w:rsidP="00DE6E5D" w:rsidRDefault="00DE6E5D" w14:paraId="0837667E" w14:textId="589545A2">
      <w:pPr>
        <w:widowControl/>
        <w:rPr>
          <w:rFonts w:ascii="Times New Roman" w:hAnsi="Times New Roman"/>
          <w:bCs/>
        </w:rPr>
      </w:pPr>
      <w:r w:rsidRPr="00DE6E5D">
        <w:rPr>
          <w:rFonts w:ascii="Times New Roman" w:hAnsi="Times New Roman"/>
          <w:bCs/>
        </w:rPr>
        <w:t xml:space="preserve">During the Round </w:t>
      </w:r>
      <w:r>
        <w:rPr>
          <w:rFonts w:ascii="Times New Roman" w:hAnsi="Times New Roman"/>
          <w:bCs/>
        </w:rPr>
        <w:t>20</w:t>
      </w:r>
      <w:r w:rsidRPr="00DE6E5D">
        <w:rPr>
          <w:rFonts w:ascii="Times New Roman" w:hAnsi="Times New Roman"/>
          <w:bCs/>
        </w:rPr>
        <w:t xml:space="preserve"> field period, </w:t>
      </w:r>
      <w:r w:rsidR="002704A1">
        <w:rPr>
          <w:rFonts w:ascii="Times New Roman" w:hAnsi="Times New Roman"/>
          <w:bCs/>
        </w:rPr>
        <w:t>NLS</w:t>
      </w:r>
      <w:r w:rsidRPr="00DE6E5D">
        <w:rPr>
          <w:rFonts w:ascii="Times New Roman" w:hAnsi="Times New Roman"/>
          <w:bCs/>
        </w:rPr>
        <w:t xml:space="preserve"> will conduct validation interviews with no more than 2 percent of respondents to ascertain that the interview took place as the interviewer reported and to assess the quality of the data collected.  These cases will be selected purposefully, based on data and assessments by survey management that indicate a field interviewer’s caseload merits further scrutiny.  These validation interviews average about four minutes each and will be conducted only for the main fielding.  Reasons for validation interview included missing audio on CARI files and High CARI recording refusal rate. </w:t>
      </w:r>
    </w:p>
    <w:p w:rsidRPr="00DE6E5D" w:rsidR="00DE6E5D" w:rsidP="00DE6E5D" w:rsidRDefault="00DE6E5D" w14:paraId="5063A0ED" w14:textId="77777777">
      <w:pPr>
        <w:widowControl/>
        <w:rPr>
          <w:rFonts w:ascii="Times New Roman" w:hAnsi="Times New Roman"/>
          <w:bCs/>
        </w:rPr>
      </w:pPr>
    </w:p>
    <w:p w:rsidRPr="00DE6E5D" w:rsidR="00DE6E5D" w:rsidP="00DE6E5D" w:rsidRDefault="00DE6E5D" w14:paraId="192183EF" w14:textId="058DC18A">
      <w:pPr>
        <w:widowControl/>
        <w:rPr>
          <w:rFonts w:ascii="Times New Roman" w:hAnsi="Times New Roman"/>
          <w:bCs/>
        </w:rPr>
      </w:pPr>
      <w:r w:rsidRPr="00DE6E5D">
        <w:rPr>
          <w:rFonts w:ascii="Times New Roman" w:hAnsi="Times New Roman"/>
          <w:bCs/>
        </w:rPr>
        <w:t>Based on our experience of recording segments of the main interview in Rounds 11 through 13, and use of these segments for data quality assurance in Rounds 14 through 1</w:t>
      </w:r>
      <w:r w:rsidR="00911B03">
        <w:rPr>
          <w:rFonts w:ascii="Times New Roman" w:hAnsi="Times New Roman"/>
          <w:bCs/>
        </w:rPr>
        <w:t>9</w:t>
      </w:r>
      <w:r w:rsidRPr="00DE6E5D">
        <w:rPr>
          <w:rFonts w:ascii="Times New Roman" w:hAnsi="Times New Roman"/>
          <w:bCs/>
        </w:rPr>
        <w:t xml:space="preserve">, respondents will be asked to provide their consent for the recording of segments of the main interview in Round </w:t>
      </w:r>
      <w:r>
        <w:rPr>
          <w:rFonts w:ascii="Times New Roman" w:hAnsi="Times New Roman"/>
          <w:bCs/>
        </w:rPr>
        <w:t>20</w:t>
      </w:r>
      <w:r w:rsidRPr="00DE6E5D">
        <w:rPr>
          <w:rFonts w:ascii="Times New Roman" w:hAnsi="Times New Roman"/>
          <w:bCs/>
        </w:rPr>
        <w:t xml:space="preserve">.  </w:t>
      </w:r>
    </w:p>
    <w:p w:rsidRPr="00DE6E5D" w:rsidR="00DE6E5D" w:rsidP="00DE6E5D" w:rsidRDefault="00DE6E5D" w14:paraId="35CF2784" w14:textId="77777777">
      <w:pPr>
        <w:widowControl/>
        <w:rPr>
          <w:rFonts w:ascii="Times New Roman" w:hAnsi="Times New Roman"/>
          <w:bCs/>
        </w:rPr>
      </w:pPr>
    </w:p>
    <w:p w:rsidRPr="00DE6E5D" w:rsidR="00DE6E5D" w:rsidP="00DE6E5D" w:rsidRDefault="00DE6E5D" w14:paraId="672BB590" w14:textId="77777777">
      <w:pPr>
        <w:widowControl/>
        <w:rPr>
          <w:rFonts w:ascii="Times New Roman" w:hAnsi="Times New Roman"/>
          <w:bCs/>
        </w:rPr>
      </w:pPr>
      <w:r w:rsidRPr="00DE6E5D">
        <w:rPr>
          <w:rFonts w:ascii="Times New Roman" w:hAnsi="Times New Roman"/>
          <w:bCs/>
        </w:rPr>
        <w:t>“My computer is equipped to record this interview for quality control, research, testing and training purposes. As always your confidentiality is protected by Federal law and the policies of the Bureau of Labor Statistics and (Name of Contractor).  May I continue with the recording?”</w:t>
      </w:r>
    </w:p>
    <w:p w:rsidRPr="00DE6E5D" w:rsidR="00DE6E5D" w:rsidP="00DE6E5D" w:rsidRDefault="00DE6E5D" w14:paraId="12E14183" w14:textId="77777777">
      <w:pPr>
        <w:widowControl/>
        <w:rPr>
          <w:rFonts w:ascii="Times New Roman" w:hAnsi="Times New Roman"/>
          <w:bCs/>
        </w:rPr>
      </w:pPr>
    </w:p>
    <w:p w:rsidRPr="00DE6E5D" w:rsidR="00DE6E5D" w:rsidP="00DE6E5D" w:rsidRDefault="00DE6E5D" w14:paraId="669AFD27" w14:textId="77777777">
      <w:pPr>
        <w:widowControl/>
        <w:rPr>
          <w:rFonts w:ascii="Times New Roman" w:hAnsi="Times New Roman"/>
          <w:bCs/>
        </w:rPr>
      </w:pPr>
      <w:r w:rsidRPr="00DE6E5D">
        <w:rPr>
          <w:rFonts w:ascii="Times New Roman" w:hAnsi="Times New Roman"/>
          <w:bCs/>
        </w:rPr>
        <w:t>YES</w:t>
      </w:r>
    </w:p>
    <w:p w:rsidRPr="00DE6E5D" w:rsidR="00DE6E5D" w:rsidP="00DE6E5D" w:rsidRDefault="00DE6E5D" w14:paraId="62EEB4B5" w14:textId="77777777">
      <w:pPr>
        <w:widowControl/>
        <w:rPr>
          <w:rFonts w:ascii="Times New Roman" w:hAnsi="Times New Roman"/>
          <w:bCs/>
        </w:rPr>
      </w:pPr>
      <w:r w:rsidRPr="00DE6E5D">
        <w:rPr>
          <w:rFonts w:ascii="Times New Roman" w:hAnsi="Times New Roman"/>
          <w:bCs/>
        </w:rPr>
        <w:t>NO</w:t>
      </w:r>
    </w:p>
    <w:p w:rsidRPr="00DE6E5D" w:rsidR="00DE6E5D" w:rsidP="00DE6E5D" w:rsidRDefault="00DE6E5D" w14:paraId="7A976109" w14:textId="77777777">
      <w:pPr>
        <w:widowControl/>
        <w:rPr>
          <w:rFonts w:ascii="Times New Roman" w:hAnsi="Times New Roman"/>
          <w:bCs/>
        </w:rPr>
      </w:pPr>
    </w:p>
    <w:p w:rsidRPr="00DE6E5D" w:rsidR="00DE6E5D" w:rsidP="00DE6E5D" w:rsidRDefault="00DE6E5D" w14:paraId="1C729BF2" w14:textId="396803DE">
      <w:pPr>
        <w:widowControl/>
        <w:rPr>
          <w:rFonts w:ascii="Times New Roman" w:hAnsi="Times New Roman"/>
          <w:bCs/>
        </w:rPr>
      </w:pPr>
      <w:r w:rsidRPr="00DE6E5D">
        <w:rPr>
          <w:rFonts w:ascii="Times New Roman" w:hAnsi="Times New Roman"/>
          <w:bCs/>
        </w:rPr>
        <w:t xml:space="preserve">If the respondent objects to the recording of the interview, the interviewer will confirm </w:t>
      </w:r>
      <w:r w:rsidR="002704A1">
        <w:rPr>
          <w:rFonts w:ascii="Times New Roman" w:hAnsi="Times New Roman"/>
          <w:bCs/>
        </w:rPr>
        <w:t>with</w:t>
      </w:r>
      <w:r w:rsidRPr="00DE6E5D" w:rsidR="002704A1">
        <w:rPr>
          <w:rFonts w:ascii="Times New Roman" w:hAnsi="Times New Roman"/>
          <w:bCs/>
        </w:rPr>
        <w:t xml:space="preserve"> </w:t>
      </w:r>
      <w:r w:rsidRPr="00DE6E5D">
        <w:rPr>
          <w:rFonts w:ascii="Times New Roman" w:hAnsi="Times New Roman"/>
          <w:bCs/>
        </w:rPr>
        <w:t>the respondent that the interview will not be recorded and then proceed with the interview.</w:t>
      </w:r>
    </w:p>
    <w:p w:rsidRPr="00DE6E5D" w:rsidR="00DE6E5D" w:rsidP="00DE6E5D" w:rsidRDefault="00DE6E5D" w14:paraId="73D5482F" w14:textId="77777777">
      <w:pPr>
        <w:widowControl/>
        <w:rPr>
          <w:rFonts w:ascii="Times New Roman" w:hAnsi="Times New Roman"/>
          <w:bCs/>
        </w:rPr>
      </w:pPr>
    </w:p>
    <w:p w:rsidRPr="00DE6E5D" w:rsidR="00DE6E5D" w:rsidP="00DE6E5D" w:rsidRDefault="00DE6E5D" w14:paraId="583F38E5" w14:textId="6A4A6FB4">
      <w:pPr>
        <w:widowControl/>
        <w:rPr>
          <w:rFonts w:ascii="Times New Roman" w:hAnsi="Times New Roman"/>
          <w:bCs/>
        </w:rPr>
      </w:pPr>
      <w:r w:rsidRPr="00DE6E5D">
        <w:rPr>
          <w:rFonts w:ascii="Times New Roman" w:hAnsi="Times New Roman"/>
          <w:bCs/>
        </w:rPr>
        <w:t xml:space="preserve">Recording these interviews will enable BLS to improve data quality while reducing respondent burden.  These recordings help verify that the interviews actually took place and that the interviewers did not fabricate the data. </w:t>
      </w:r>
      <w:r w:rsidR="007B0FE2">
        <w:rPr>
          <w:rFonts w:ascii="Times New Roman" w:hAnsi="Times New Roman"/>
          <w:bCs/>
        </w:rPr>
        <w:t xml:space="preserve"> </w:t>
      </w:r>
      <w:r w:rsidRPr="00DE6E5D">
        <w:rPr>
          <w:rFonts w:ascii="Times New Roman" w:hAnsi="Times New Roman"/>
          <w:bCs/>
        </w:rPr>
        <w:t xml:space="preserve">Recordings also help to ensure that interviewers are reading the questions exactly as worded and entering the responses properly.  In addition, they help to identify parts of the interview that might be difficult or causing misunderstanding for interviewers or respondents.  </w:t>
      </w:r>
      <w:r w:rsidR="00EF09D2">
        <w:rPr>
          <w:rFonts w:ascii="Times New Roman" w:hAnsi="Times New Roman"/>
          <w:bCs/>
        </w:rPr>
        <w:t>NLS’</w:t>
      </w:r>
      <w:r w:rsidRPr="00DE6E5D">
        <w:rPr>
          <w:rFonts w:ascii="Times New Roman" w:hAnsi="Times New Roman"/>
          <w:bCs/>
        </w:rPr>
        <w:t xml:space="preserve"> experiences with OMB-approved interview recordings since Round 10 indicate that respondents are generally quite willing to consent to be recorded, and the quality of recordings is sufficient for meaningful data-quality assurance.</w:t>
      </w:r>
    </w:p>
    <w:p w:rsidRPr="00DE6E5D" w:rsidR="00DE6E5D" w:rsidP="00DE6E5D" w:rsidRDefault="00DE6E5D" w14:paraId="0C7692EB" w14:textId="77777777">
      <w:pPr>
        <w:widowControl/>
        <w:rPr>
          <w:rFonts w:ascii="Times New Roman" w:hAnsi="Times New Roman"/>
          <w:bCs/>
        </w:rPr>
      </w:pPr>
    </w:p>
    <w:p w:rsidRPr="00DE6E5D" w:rsidR="00DE6E5D" w:rsidP="00DE6E5D" w:rsidRDefault="00DE6E5D" w14:paraId="3BEF0029" w14:textId="7B8388CE">
      <w:pPr>
        <w:widowControl/>
        <w:rPr>
          <w:rFonts w:ascii="Times New Roman" w:hAnsi="Times New Roman"/>
          <w:bCs/>
        </w:rPr>
      </w:pPr>
      <w:r w:rsidRPr="00DE6E5D">
        <w:rPr>
          <w:rFonts w:ascii="Times New Roman" w:hAnsi="Times New Roman"/>
          <w:bCs/>
        </w:rPr>
        <w:t xml:space="preserve">In addition, </w:t>
      </w:r>
      <w:r w:rsidR="00EF09D2">
        <w:rPr>
          <w:rFonts w:ascii="Times New Roman" w:hAnsi="Times New Roman"/>
          <w:bCs/>
        </w:rPr>
        <w:t>NLS</w:t>
      </w:r>
      <w:r w:rsidRPr="00DE6E5D" w:rsidR="00EF09D2">
        <w:rPr>
          <w:rFonts w:ascii="Times New Roman" w:hAnsi="Times New Roman"/>
          <w:bCs/>
        </w:rPr>
        <w:t xml:space="preserve"> </w:t>
      </w:r>
      <w:r w:rsidRPr="00DE6E5D">
        <w:rPr>
          <w:rFonts w:ascii="Times New Roman" w:hAnsi="Times New Roman"/>
          <w:bCs/>
        </w:rPr>
        <w:t>employ</w:t>
      </w:r>
      <w:r w:rsidR="00EF09D2">
        <w:rPr>
          <w:rFonts w:ascii="Times New Roman" w:hAnsi="Times New Roman"/>
          <w:bCs/>
        </w:rPr>
        <w:t>s</w:t>
      </w:r>
      <w:r w:rsidRPr="00DE6E5D">
        <w:rPr>
          <w:rFonts w:ascii="Times New Roman" w:hAnsi="Times New Roman"/>
          <w:bCs/>
        </w:rPr>
        <w:t xml:space="preserve"> statistical review of questionnaire data to investigate interviewer performance when recordings are not available (such as in the case of a recording refusal or </w:t>
      </w:r>
      <w:r w:rsidRPr="00DE6E5D">
        <w:rPr>
          <w:rFonts w:ascii="Times New Roman" w:hAnsi="Times New Roman"/>
          <w:bCs/>
        </w:rPr>
        <w:lastRenderedPageBreak/>
        <w:t>microphone issues).  Statistical review includes, but is not limited to, looking at cases with unusual lengths of interview (too short or too long), the percent</w:t>
      </w:r>
      <w:r w:rsidR="00F71DCF">
        <w:rPr>
          <w:rFonts w:ascii="Times New Roman" w:hAnsi="Times New Roman"/>
          <w:bCs/>
        </w:rPr>
        <w:t>age</w:t>
      </w:r>
      <w:r w:rsidRPr="00DE6E5D">
        <w:rPr>
          <w:rFonts w:ascii="Times New Roman" w:hAnsi="Times New Roman"/>
          <w:bCs/>
        </w:rPr>
        <w:t xml:space="preserve"> of recording refusal, industry and occupation verbatim response quality, response outliers, frequency of comments made by field interviewers in questionnaire, etc. When statistical anomalies are identified in interviewer performance, these interviewers’ cases are then subjected to additional recording or data review.</w:t>
      </w:r>
    </w:p>
    <w:p w:rsidRPr="00DE6E5D" w:rsidR="00DE6E5D" w:rsidP="00DE6E5D" w:rsidRDefault="00DE6E5D" w14:paraId="5AE606F9" w14:textId="77777777">
      <w:pPr>
        <w:widowControl/>
        <w:rPr>
          <w:rFonts w:ascii="Times New Roman" w:hAnsi="Times New Roman"/>
          <w:bCs/>
        </w:rPr>
      </w:pPr>
    </w:p>
    <w:p w:rsidR="00DE6E5D" w:rsidP="00DE6E5D" w:rsidRDefault="00DE6E5D" w14:paraId="39B3F9A6" w14:textId="45A675BE">
      <w:pPr>
        <w:widowControl/>
        <w:rPr>
          <w:rFonts w:ascii="Times New Roman" w:hAnsi="Times New Roman"/>
          <w:bCs/>
        </w:rPr>
      </w:pPr>
      <w:r w:rsidRPr="00DE6E5D">
        <w:rPr>
          <w:rFonts w:ascii="Times New Roman" w:hAnsi="Times New Roman"/>
          <w:bCs/>
        </w:rPr>
        <w:t>These two methods of data quality review are conducted by project staff and reduce respondent burden as verification of the interview and its quality can be done without further outreach to the respondent.  This methodology also reduces cost as statistical review can be done on an interviewer-level basis to evaluate the particular field interviewer’s data quality.</w:t>
      </w:r>
    </w:p>
    <w:p w:rsidR="00207EB2" w:rsidP="00DE6E5D" w:rsidRDefault="00207EB2" w14:paraId="4BDFFB88" w14:textId="77777777">
      <w:pPr>
        <w:widowControl/>
        <w:rPr>
          <w:rFonts w:ascii="Times New Roman" w:hAnsi="Times New Roman"/>
          <w:bCs/>
        </w:rPr>
      </w:pPr>
    </w:p>
    <w:p w:rsidR="006A450E" w:rsidP="00DE6E5D" w:rsidRDefault="006A450E" w14:paraId="236497EE" w14:textId="77777777">
      <w:pPr>
        <w:widowControl/>
        <w:rPr>
          <w:rFonts w:ascii="Times New Roman" w:hAnsi="Times New Roman"/>
          <w:bCs/>
        </w:rPr>
      </w:pPr>
    </w:p>
    <w:p w:rsidR="006A450E" w:rsidP="00DE6E5D" w:rsidRDefault="006A450E" w14:paraId="65254646" w14:textId="77777777">
      <w:pPr>
        <w:widowControl/>
        <w:rPr>
          <w:rFonts w:ascii="Times New Roman" w:hAnsi="Times New Roman"/>
          <w:bCs/>
        </w:rPr>
      </w:pPr>
    </w:p>
    <w:p w:rsidRPr="00D87ED3" w:rsidR="006A450E" w:rsidP="00DE6E5D" w:rsidRDefault="006A450E" w14:paraId="6205C9D6" w14:textId="77777777">
      <w:pPr>
        <w:widowControl/>
        <w:rPr>
          <w:rFonts w:ascii="Times New Roman" w:hAnsi="Times New Roman"/>
          <w:bCs/>
        </w:rPr>
      </w:pPr>
    </w:p>
    <w:p w:rsidRPr="00D87ED3" w:rsidR="006626FF" w:rsidP="00B65823" w:rsidRDefault="006626FF" w14:paraId="49938EA8" w14:textId="77777777">
      <w:pPr>
        <w:widowControl/>
        <w:rPr>
          <w:rFonts w:ascii="Times New Roman" w:hAnsi="Times New Roman"/>
          <w:bCs/>
        </w:rPr>
      </w:pPr>
    </w:p>
    <w:p w:rsidRPr="00E60FB0" w:rsidR="006626FF" w:rsidP="00B65823" w:rsidRDefault="00CE4251" w14:paraId="3CD4954E" w14:textId="5E0C5364">
      <w:pPr>
        <w:ind w:left="720"/>
        <w:jc w:val="center"/>
        <w:rPr>
          <w:rFonts w:ascii="Times New Roman" w:hAnsi="Times New Roman"/>
          <w:i/>
        </w:rPr>
      </w:pPr>
      <w:r w:rsidRPr="00CE4251">
        <w:rPr>
          <w:rFonts w:ascii="Times New Roman" w:hAnsi="Times New Roman"/>
          <w:b/>
        </w:rPr>
        <w:t>T</w:t>
      </w:r>
      <w:r>
        <w:rPr>
          <w:rFonts w:ascii="Times New Roman" w:hAnsi="Times New Roman"/>
          <w:b/>
        </w:rPr>
        <w:t xml:space="preserve">able 8.  </w:t>
      </w:r>
      <w:r w:rsidRPr="00E60FB0" w:rsidR="006626FF">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4"/>
        <w:gridCol w:w="1415"/>
        <w:gridCol w:w="1329"/>
        <w:gridCol w:w="1182"/>
        <w:gridCol w:w="1016"/>
        <w:gridCol w:w="1084"/>
        <w:gridCol w:w="893"/>
        <w:gridCol w:w="1227"/>
      </w:tblGrid>
      <w:tr w:rsidRPr="00E60FB0" w:rsidR="00492A76" w:rsidTr="006626FF" w14:paraId="2DF04903"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492A76" w:rsidTr="00B65823" w14:paraId="09169E28"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006626FF" w:rsidP="00B65823" w:rsidRDefault="006626FF" w14:paraId="2B5CC9FE" w14:textId="77777777">
            <w:pPr>
              <w:spacing w:line="276" w:lineRule="auto"/>
              <w:jc w:val="center"/>
              <w:rPr>
                <w:rFonts w:ascii="Times New Roman" w:hAnsi="Times New Roman"/>
                <w:sz w:val="22"/>
                <w:szCs w:val="22"/>
              </w:rPr>
            </w:pPr>
          </w:p>
          <w:p w:rsidRPr="00DE6E5D" w:rsidR="00DE6E5D" w:rsidP="00DE6E5D" w:rsidRDefault="00DE6E5D" w14:paraId="7EC58901" w14:textId="77777777">
            <w:pPr>
              <w:spacing w:line="276" w:lineRule="auto"/>
              <w:jc w:val="center"/>
              <w:rPr>
                <w:rFonts w:ascii="Times New Roman" w:hAnsi="Times New Roman"/>
                <w:sz w:val="22"/>
                <w:szCs w:val="22"/>
              </w:rPr>
            </w:pPr>
            <w:r w:rsidRPr="00DE6E5D">
              <w:rPr>
                <w:rFonts w:ascii="Times New Roman" w:hAnsi="Times New Roman"/>
                <w:sz w:val="22"/>
                <w:szCs w:val="22"/>
              </w:rPr>
              <w:t>Main NLSY97:</w:t>
            </w:r>
          </w:p>
          <w:p w:rsidRPr="00E60FB0" w:rsidR="00F55431" w:rsidP="00523ED6" w:rsidRDefault="00DE6E5D" w14:paraId="762DB321" w14:textId="0024520F">
            <w:pPr>
              <w:spacing w:line="276" w:lineRule="auto"/>
              <w:jc w:val="center"/>
              <w:rPr>
                <w:rFonts w:ascii="Times New Roman" w:hAnsi="Times New Roman"/>
                <w:sz w:val="22"/>
                <w:szCs w:val="22"/>
              </w:rPr>
            </w:pPr>
            <w:r w:rsidRPr="00DE6E5D">
              <w:rPr>
                <w:rFonts w:ascii="Times New Roman" w:hAnsi="Times New Roman"/>
                <w:sz w:val="22"/>
                <w:szCs w:val="22"/>
              </w:rPr>
              <w:t>September 20</w:t>
            </w:r>
            <w:r>
              <w:rPr>
                <w:rFonts w:ascii="Times New Roman" w:hAnsi="Times New Roman"/>
                <w:sz w:val="22"/>
                <w:szCs w:val="22"/>
              </w:rPr>
              <w:t>21</w:t>
            </w:r>
            <w:r w:rsidRPr="00DE6E5D">
              <w:rPr>
                <w:rFonts w:ascii="Times New Roman" w:hAnsi="Times New Roman"/>
                <w:sz w:val="22"/>
                <w:szCs w:val="22"/>
              </w:rPr>
              <w:t>-</w:t>
            </w:r>
            <w:r w:rsidR="00523ED6">
              <w:rPr>
                <w:rFonts w:ascii="Times New Roman" w:hAnsi="Times New Roman"/>
                <w:sz w:val="22"/>
                <w:szCs w:val="22"/>
              </w:rPr>
              <w:t>June</w:t>
            </w:r>
            <w:r w:rsidRPr="00DE6E5D" w:rsidR="00523ED6">
              <w:rPr>
                <w:rFonts w:ascii="Times New Roman" w:hAnsi="Times New Roman"/>
                <w:sz w:val="22"/>
                <w:szCs w:val="22"/>
              </w:rPr>
              <w:t xml:space="preserve"> </w:t>
            </w:r>
            <w:r w:rsidRPr="00DE6E5D">
              <w:rPr>
                <w:rFonts w:ascii="Times New Roman" w:hAnsi="Times New Roman"/>
                <w:sz w:val="22"/>
                <w:szCs w:val="22"/>
              </w:rPr>
              <w:t>202</w:t>
            </w:r>
            <w:r>
              <w:rPr>
                <w:rFonts w:ascii="Times New Roman" w:hAnsi="Times New Roman"/>
                <w:sz w:val="22"/>
                <w:szCs w:val="22"/>
              </w:rPr>
              <w:t>2</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B65823" w:rsidRDefault="006626FF" w14:paraId="523DFE49" w14:textId="77777777">
            <w:pPr>
              <w:spacing w:line="276" w:lineRule="auto"/>
              <w:jc w:val="center"/>
              <w:rPr>
                <w:rFonts w:ascii="Times New Roman" w:hAnsi="Times New Roman"/>
                <w:sz w:val="22"/>
                <w:szCs w:val="22"/>
              </w:rPr>
            </w:pPr>
          </w:p>
          <w:p w:rsidRPr="00E60FB0" w:rsidR="006626FF" w:rsidP="00B65823" w:rsidRDefault="00DE6E5D" w14:paraId="2F5115C1" w14:textId="09666917">
            <w:pPr>
              <w:spacing w:line="276" w:lineRule="auto"/>
              <w:jc w:val="center"/>
              <w:rPr>
                <w:rFonts w:ascii="Times New Roman" w:hAnsi="Times New Roman"/>
                <w:sz w:val="22"/>
                <w:szCs w:val="22"/>
              </w:rPr>
            </w:pPr>
            <w:r>
              <w:rPr>
                <w:rFonts w:ascii="Times New Roman" w:hAnsi="Times New Roman"/>
                <w:sz w:val="22"/>
                <w:szCs w:val="22"/>
              </w:rPr>
              <w:t>6,650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626FF" w:rsidP="0052513D" w:rsidRDefault="006626FF" w14:paraId="54BC61C8" w14:textId="77777777">
            <w:pPr>
              <w:spacing w:line="276" w:lineRule="auto"/>
              <w:jc w:val="center"/>
              <w:rPr>
                <w:rFonts w:ascii="Times New Roman" w:hAnsi="Times New Roman"/>
                <w:sz w:val="22"/>
                <w:szCs w:val="22"/>
              </w:rPr>
            </w:pPr>
          </w:p>
          <w:p w:rsidRPr="00E60FB0" w:rsidR="006626FF" w:rsidRDefault="00DE6E5D" w14:paraId="5A00193C" w14:textId="38DA4836">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0D4FBFF" w14:textId="77777777">
            <w:pPr>
              <w:spacing w:line="276" w:lineRule="auto"/>
              <w:jc w:val="center"/>
              <w:rPr>
                <w:rFonts w:ascii="Times New Roman" w:hAnsi="Times New Roman"/>
                <w:sz w:val="22"/>
                <w:szCs w:val="22"/>
              </w:rPr>
            </w:pPr>
          </w:p>
          <w:p w:rsidRPr="00E60FB0" w:rsidR="006626FF" w:rsidRDefault="00DE6E5D" w14:paraId="15D44061" w14:textId="29110394">
            <w:pPr>
              <w:spacing w:line="276" w:lineRule="auto"/>
              <w:jc w:val="center"/>
              <w:rPr>
                <w:rFonts w:ascii="Times New Roman" w:hAnsi="Times New Roman"/>
                <w:sz w:val="22"/>
                <w:szCs w:val="22"/>
              </w:rPr>
            </w:pPr>
            <w:r>
              <w:rPr>
                <w:rFonts w:ascii="Times New Roman" w:hAnsi="Times New Roman"/>
                <w:sz w:val="22"/>
                <w:szCs w:val="22"/>
              </w:rPr>
              <w:t>6,650</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Pr="00E60FB0" w:rsidR="006626FF" w:rsidP="007E06C9" w:rsidRDefault="007E06C9" w14:paraId="460B8B6B" w14:textId="77C45D0B">
            <w:pPr>
              <w:spacing w:line="276" w:lineRule="auto"/>
              <w:jc w:val="center"/>
              <w:rPr>
                <w:rFonts w:ascii="Times New Roman" w:hAnsi="Times New Roman"/>
                <w:sz w:val="22"/>
                <w:szCs w:val="22"/>
              </w:rPr>
            </w:pPr>
            <w:r>
              <w:rPr>
                <w:rFonts w:ascii="Times New Roman" w:hAnsi="Times New Roman"/>
                <w:sz w:val="22"/>
                <w:szCs w:val="22"/>
              </w:rPr>
              <w:t xml:space="preserve">75 </w:t>
            </w:r>
            <w:r w:rsidR="00DE6E5D">
              <w:rPr>
                <w:rFonts w:ascii="Times New Roman" w:hAnsi="Times New Roman"/>
                <w:sz w:val="22"/>
                <w:szCs w:val="22"/>
              </w:rPr>
              <w:t>minutes</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RDefault="007E06C9" w14:paraId="752F73D3" w14:textId="4332738B">
            <w:pPr>
              <w:spacing w:line="276" w:lineRule="auto"/>
              <w:jc w:val="center"/>
              <w:rPr>
                <w:rFonts w:ascii="Times New Roman" w:hAnsi="Times New Roman"/>
                <w:sz w:val="22"/>
                <w:szCs w:val="22"/>
              </w:rPr>
            </w:pPr>
            <w:r>
              <w:rPr>
                <w:rFonts w:ascii="Times New Roman" w:hAnsi="Times New Roman"/>
                <w:sz w:val="22"/>
                <w:szCs w:val="22"/>
              </w:rPr>
              <w:t>8,312.5</w:t>
            </w:r>
            <w:r w:rsidR="007E1D22">
              <w:rPr>
                <w:rFonts w:ascii="Times New Roman" w:hAnsi="Times New Roman"/>
                <w:sz w:val="22"/>
                <w:szCs w:val="22"/>
              </w:rPr>
              <w:t xml:space="preserve"> hours</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7E1D22" w14:paraId="6FAC2390" w14:textId="6824196E">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P="007E06C9" w:rsidRDefault="007E1D22" w14:paraId="78C3C2D7" w14:textId="018781C7">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60,265.63</w:t>
            </w:r>
          </w:p>
        </w:tc>
      </w:tr>
      <w:tr w:rsidRPr="00E60FB0" w:rsidR="00492A76" w:rsidTr="00B65823" w14:paraId="16496143" w14:textId="77777777">
        <w:tc>
          <w:tcPr>
            <w:tcW w:w="1439" w:type="dxa"/>
            <w:tcBorders>
              <w:top w:val="single" w:color="auto" w:sz="4" w:space="0"/>
              <w:left w:val="single" w:color="auto" w:sz="4" w:space="0"/>
              <w:bottom w:val="single" w:color="auto" w:sz="4" w:space="0"/>
              <w:right w:val="single" w:color="auto" w:sz="4" w:space="0"/>
            </w:tcBorders>
            <w:vAlign w:val="center"/>
          </w:tcPr>
          <w:p w:rsidR="007E1D22" w:rsidP="007E1D22" w:rsidRDefault="007E1D22" w14:paraId="2D8688F0" w14:textId="7B636FA3">
            <w:pPr>
              <w:spacing w:line="276" w:lineRule="auto"/>
              <w:jc w:val="center"/>
              <w:rPr>
                <w:rFonts w:ascii="Times New Roman" w:hAnsi="Times New Roman"/>
                <w:sz w:val="22"/>
                <w:szCs w:val="22"/>
              </w:rPr>
            </w:pPr>
            <w:r w:rsidRPr="007E1D22">
              <w:rPr>
                <w:rFonts w:ascii="Times New Roman" w:hAnsi="Times New Roman"/>
                <w:sz w:val="22"/>
                <w:szCs w:val="22"/>
              </w:rPr>
              <w:t>Validation interview: October 20</w:t>
            </w:r>
            <w:r>
              <w:rPr>
                <w:rFonts w:ascii="Times New Roman" w:hAnsi="Times New Roman"/>
                <w:sz w:val="22"/>
                <w:szCs w:val="22"/>
              </w:rPr>
              <w:t>21</w:t>
            </w:r>
            <w:r w:rsidRPr="007E1D22">
              <w:rPr>
                <w:rFonts w:ascii="Times New Roman" w:hAnsi="Times New Roman"/>
                <w:sz w:val="22"/>
                <w:szCs w:val="22"/>
              </w:rPr>
              <w:t xml:space="preserve"> – June 202</w:t>
            </w:r>
            <w:r>
              <w:rPr>
                <w:rFonts w:ascii="Times New Roman" w:hAnsi="Times New Roman"/>
                <w:sz w:val="22"/>
                <w:szCs w:val="22"/>
              </w:rPr>
              <w:t>2</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7E1D22" w:rsidP="00B65823" w:rsidRDefault="00EC731E" w14:paraId="1D403B6D" w14:textId="0A031B84">
            <w:pPr>
              <w:spacing w:line="276" w:lineRule="auto"/>
              <w:jc w:val="center"/>
              <w:rPr>
                <w:rFonts w:ascii="Times New Roman" w:hAnsi="Times New Roman"/>
                <w:sz w:val="22"/>
                <w:szCs w:val="22"/>
              </w:rPr>
            </w:pPr>
            <w:r>
              <w:rPr>
                <w:rFonts w:ascii="Times New Roman" w:hAnsi="Times New Roman"/>
                <w:sz w:val="22"/>
                <w:szCs w:val="22"/>
              </w:rPr>
              <w:t>133</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7E1D22" w:rsidP="0052513D" w:rsidRDefault="007E1D22" w14:paraId="44348F14" w14:textId="7733E9AB">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EC731E" w14:paraId="2F61BADF" w14:textId="3443426A">
            <w:pPr>
              <w:spacing w:line="276" w:lineRule="auto"/>
              <w:jc w:val="center"/>
              <w:rPr>
                <w:rFonts w:ascii="Times New Roman" w:hAnsi="Times New Roman"/>
                <w:sz w:val="22"/>
                <w:szCs w:val="22"/>
              </w:rPr>
            </w:pPr>
            <w:r>
              <w:rPr>
                <w:rFonts w:ascii="Times New Roman" w:hAnsi="Times New Roman"/>
                <w:sz w:val="22"/>
                <w:szCs w:val="22"/>
              </w:rPr>
              <w:t>133</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534AD739" w14:textId="1D984D0C">
            <w:pPr>
              <w:spacing w:line="276" w:lineRule="auto"/>
              <w:jc w:val="center"/>
              <w:rPr>
                <w:rFonts w:ascii="Times New Roman" w:hAnsi="Times New Roman"/>
                <w:sz w:val="22"/>
                <w:szCs w:val="22"/>
              </w:rPr>
            </w:pPr>
            <w:r>
              <w:rPr>
                <w:rFonts w:ascii="Times New Roman" w:hAnsi="Times New Roman"/>
                <w:sz w:val="22"/>
                <w:szCs w:val="22"/>
              </w:rPr>
              <w:t>4 minutes</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792F9A38" w14:textId="13579D79">
            <w:pPr>
              <w:spacing w:line="276" w:lineRule="auto"/>
              <w:jc w:val="center"/>
              <w:rPr>
                <w:rFonts w:ascii="Times New Roman" w:hAnsi="Times New Roman"/>
                <w:sz w:val="22"/>
                <w:szCs w:val="22"/>
              </w:rPr>
            </w:pPr>
            <w:r>
              <w:rPr>
                <w:rFonts w:ascii="Times New Roman" w:hAnsi="Times New Roman"/>
                <w:sz w:val="22"/>
                <w:szCs w:val="22"/>
              </w:rPr>
              <w:t>8.</w:t>
            </w:r>
            <w:r w:rsidR="00EC731E">
              <w:rPr>
                <w:rFonts w:ascii="Times New Roman" w:hAnsi="Times New Roman"/>
                <w:sz w:val="22"/>
                <w:szCs w:val="22"/>
              </w:rPr>
              <w:t>9</w:t>
            </w:r>
            <w:r>
              <w:rPr>
                <w:rFonts w:ascii="Times New Roman" w:hAnsi="Times New Roman"/>
                <w:sz w:val="22"/>
                <w:szCs w:val="22"/>
              </w:rPr>
              <w:t xml:space="preserve"> hours</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323C417E" w14:textId="374834F3">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7E1D22" w:rsidP="00492A76" w:rsidRDefault="007E1D22" w14:paraId="4CA94F05" w14:textId="0D681A0E">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w:t>
            </w:r>
            <w:r w:rsidR="00EC731E">
              <w:rPr>
                <w:rFonts w:ascii="Times New Roman" w:hAnsi="Times New Roman"/>
                <w:sz w:val="22"/>
                <w:szCs w:val="22"/>
              </w:rPr>
              <w:t>4</w:t>
            </w:r>
            <w:r w:rsidR="007E06C9">
              <w:rPr>
                <w:rFonts w:ascii="Times New Roman" w:hAnsi="Times New Roman"/>
                <w:sz w:val="22"/>
                <w:szCs w:val="22"/>
              </w:rPr>
              <w:t>.</w:t>
            </w:r>
            <w:r w:rsidR="00492A76">
              <w:rPr>
                <w:rFonts w:ascii="Times New Roman" w:hAnsi="Times New Roman"/>
                <w:sz w:val="22"/>
                <w:szCs w:val="22"/>
              </w:rPr>
              <w:t>53</w:t>
            </w:r>
          </w:p>
        </w:tc>
      </w:tr>
      <w:tr w:rsidRPr="00E60FB0" w:rsidR="00492A76" w:rsidTr="00B65823" w14:paraId="10BCDF96" w14:textId="77777777">
        <w:tc>
          <w:tcPr>
            <w:tcW w:w="1439" w:type="dxa"/>
            <w:tcBorders>
              <w:top w:val="single" w:color="auto" w:sz="4" w:space="0"/>
              <w:left w:val="single" w:color="auto" w:sz="4" w:space="0"/>
              <w:bottom w:val="single" w:color="auto" w:sz="4" w:space="0"/>
              <w:right w:val="single" w:color="auto" w:sz="4" w:space="0"/>
            </w:tcBorders>
            <w:vAlign w:val="center"/>
          </w:tcPr>
          <w:p w:rsidR="007E1D22" w:rsidP="00B65823" w:rsidRDefault="007E1D22" w14:paraId="4BC12972" w14:textId="624F1FDB">
            <w:pPr>
              <w:spacing w:line="276" w:lineRule="auto"/>
              <w:jc w:val="center"/>
              <w:rPr>
                <w:rFonts w:ascii="Times New Roman" w:hAnsi="Times New Roman"/>
                <w:sz w:val="22"/>
                <w:szCs w:val="22"/>
              </w:rPr>
            </w:pPr>
            <w:r>
              <w:rPr>
                <w:rFonts w:ascii="Times New Roman" w:hAnsi="Times New Roman"/>
                <w:sz w:val="22"/>
                <w:szCs w:val="22"/>
              </w:rPr>
              <w:t>TOTALS</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7E1D22" w:rsidP="00B65823" w:rsidRDefault="007E1D22" w14:paraId="4C5FD082" w14:textId="10860C72">
            <w:pPr>
              <w:spacing w:line="276" w:lineRule="auto"/>
              <w:jc w:val="center"/>
              <w:rPr>
                <w:rFonts w:ascii="Times New Roman" w:hAnsi="Times New Roman"/>
                <w:sz w:val="22"/>
                <w:szCs w:val="22"/>
              </w:rPr>
            </w:pPr>
            <w:r>
              <w:rPr>
                <w:rFonts w:ascii="Times New Roman" w:hAnsi="Times New Roman"/>
                <w:sz w:val="22"/>
                <w:szCs w:val="22"/>
              </w:rPr>
              <w:t>6,650</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7E1D22" w:rsidP="0052513D" w:rsidRDefault="007E1D22" w14:paraId="12CED9C1" w14:textId="1EA802F7">
            <w:pPr>
              <w:spacing w:line="276" w:lineRule="auto"/>
              <w:jc w:val="center"/>
              <w:rPr>
                <w:rFonts w:ascii="Times New Roman" w:hAnsi="Times New Roman"/>
                <w:sz w:val="22"/>
                <w:szCs w:val="22"/>
              </w:rPr>
            </w:pPr>
            <w:r>
              <w:rPr>
                <w:rFonts w:ascii="Times New Roman" w:hAnsi="Times New Roman"/>
                <w:sz w:val="22"/>
                <w:szCs w:val="22"/>
              </w:rPr>
              <w:t>--</w:t>
            </w: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24848261" w14:textId="6DBC5004">
            <w:pPr>
              <w:spacing w:line="276" w:lineRule="auto"/>
              <w:jc w:val="center"/>
              <w:rPr>
                <w:rFonts w:ascii="Times New Roman" w:hAnsi="Times New Roman"/>
                <w:sz w:val="22"/>
                <w:szCs w:val="22"/>
              </w:rPr>
            </w:pPr>
            <w:r>
              <w:rPr>
                <w:rFonts w:ascii="Times New Roman" w:hAnsi="Times New Roman"/>
                <w:sz w:val="22"/>
                <w:szCs w:val="22"/>
              </w:rPr>
              <w:t>6,78</w:t>
            </w:r>
            <w:r w:rsidR="00EC731E">
              <w:rPr>
                <w:rFonts w:ascii="Times New Roman" w:hAnsi="Times New Roman"/>
                <w:sz w:val="22"/>
                <w:szCs w:val="22"/>
              </w:rPr>
              <w:t>3</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7E1D22" w:rsidRDefault="007E1D22" w14:paraId="0A8A7EBC" w14:textId="2E866F1C">
            <w:pPr>
              <w:spacing w:line="276" w:lineRule="auto"/>
              <w:jc w:val="center"/>
              <w:rPr>
                <w:rFonts w:ascii="Times New Roman" w:hAnsi="Times New Roman"/>
                <w:sz w:val="22"/>
                <w:szCs w:val="22"/>
              </w:rPr>
            </w:pPr>
            <w:r>
              <w:rPr>
                <w:rFonts w:ascii="Times New Roman" w:hAnsi="Times New Roman"/>
                <w:sz w:val="22"/>
                <w:szCs w:val="22"/>
              </w:rPr>
              <w:t>--</w:t>
            </w: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EC731E" w14:paraId="7E2CAE50" w14:textId="23177F56">
            <w:pPr>
              <w:spacing w:line="276" w:lineRule="auto"/>
              <w:jc w:val="center"/>
              <w:rPr>
                <w:rFonts w:ascii="Times New Roman" w:hAnsi="Times New Roman"/>
                <w:sz w:val="22"/>
                <w:szCs w:val="22"/>
              </w:rPr>
            </w:pPr>
            <w:r>
              <w:rPr>
                <w:rFonts w:ascii="Times New Roman" w:hAnsi="Times New Roman"/>
                <w:sz w:val="22"/>
                <w:szCs w:val="22"/>
              </w:rPr>
              <w:t>8</w:t>
            </w:r>
            <w:r w:rsidR="00B60D18">
              <w:rPr>
                <w:rFonts w:ascii="Times New Roman" w:hAnsi="Times New Roman"/>
                <w:sz w:val="22"/>
                <w:szCs w:val="22"/>
              </w:rPr>
              <w:t>,</w:t>
            </w:r>
            <w:r>
              <w:rPr>
                <w:rFonts w:ascii="Times New Roman" w:hAnsi="Times New Roman"/>
                <w:sz w:val="22"/>
                <w:szCs w:val="22"/>
              </w:rPr>
              <w:t>321</w:t>
            </w:r>
            <w:r w:rsidR="00641EB3">
              <w:rPr>
                <w:rFonts w:ascii="Times New Roman" w:hAnsi="Times New Roman"/>
                <w:sz w:val="22"/>
                <w:szCs w:val="22"/>
              </w:rPr>
              <w:t xml:space="preserve"> (rounded)</w:t>
            </w: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7E1D22" w:rsidP="00EC731E" w:rsidRDefault="007E1D22" w14:paraId="13281FDD" w14:textId="04DCA100">
            <w:pPr>
              <w:spacing w:line="276" w:lineRule="auto"/>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7E1D22" w:rsidP="00492A76" w:rsidRDefault="007E1D22" w14:paraId="055B0AE0" w14:textId="69FB3C93">
            <w:pPr>
              <w:spacing w:line="276" w:lineRule="auto"/>
              <w:jc w:val="center"/>
              <w:rPr>
                <w:rFonts w:ascii="Times New Roman" w:hAnsi="Times New Roman"/>
                <w:sz w:val="22"/>
                <w:szCs w:val="22"/>
              </w:rPr>
            </w:pPr>
            <w:r>
              <w:rPr>
                <w:rFonts w:ascii="Times New Roman" w:hAnsi="Times New Roman"/>
                <w:sz w:val="22"/>
                <w:szCs w:val="22"/>
              </w:rPr>
              <w:t>$</w:t>
            </w:r>
            <w:r w:rsidR="007E06C9">
              <w:rPr>
                <w:rFonts w:ascii="Times New Roman" w:hAnsi="Times New Roman"/>
                <w:sz w:val="22"/>
                <w:szCs w:val="22"/>
              </w:rPr>
              <w:t>60,3</w:t>
            </w:r>
            <w:r w:rsidR="00492A76">
              <w:rPr>
                <w:rFonts w:ascii="Times New Roman" w:hAnsi="Times New Roman"/>
                <w:sz w:val="22"/>
                <w:szCs w:val="22"/>
              </w:rPr>
              <w:t>30.16</w:t>
            </w:r>
          </w:p>
        </w:tc>
      </w:tr>
    </w:tbl>
    <w:p w:rsidRPr="00B65823" w:rsidR="006626FF" w:rsidP="00B65823" w:rsidRDefault="006626FF" w14:paraId="43BE154F" w14:textId="77777777">
      <w:pPr>
        <w:widowControl/>
        <w:rPr>
          <w:rFonts w:ascii="Times New Roman" w:hAnsi="Times New Roman"/>
          <w:bCs/>
        </w:rPr>
      </w:pPr>
    </w:p>
    <w:p w:rsidR="00690F56" w:rsidP="00B65823" w:rsidRDefault="00690F56" w14:paraId="6E445B0D" w14:textId="77777777">
      <w:pPr>
        <w:widowControl/>
        <w:autoSpaceDE/>
        <w:autoSpaceDN/>
        <w:adjustRightInd/>
        <w:rPr>
          <w:rFonts w:ascii="Times New Roman" w:hAnsi="Times New Roman"/>
          <w:highlight w:val="yellow"/>
        </w:rPr>
      </w:pPr>
    </w:p>
    <w:p w:rsidR="007E1D22" w:rsidP="007E1D22" w:rsidRDefault="007E1D22" w14:paraId="1512C796" w14:textId="2E553FE2">
      <w:pPr>
        <w:pStyle w:val="FootnoteText"/>
        <w:rPr>
          <w:sz w:val="24"/>
          <w:szCs w:val="24"/>
        </w:rPr>
      </w:pPr>
      <w:r>
        <w:rPr>
          <w:sz w:val="24"/>
          <w:szCs w:val="24"/>
        </w:rPr>
        <w:t xml:space="preserve">The total response burden for the survey is </w:t>
      </w:r>
      <w:r w:rsidR="007E06C9">
        <w:rPr>
          <w:sz w:val="24"/>
          <w:szCs w:val="24"/>
        </w:rPr>
        <w:t>8,3</w:t>
      </w:r>
      <w:r w:rsidR="00EC731E">
        <w:rPr>
          <w:sz w:val="24"/>
          <w:szCs w:val="24"/>
        </w:rPr>
        <w:t>21</w:t>
      </w:r>
      <w:r>
        <w:rPr>
          <w:sz w:val="24"/>
          <w:szCs w:val="24"/>
        </w:rPr>
        <w:t xml:space="preserve"> hours.  The total annualized cost to respondents, based on burden hours and the Federal minimum wage of $7.25 per hour, is </w:t>
      </w:r>
      <w:r w:rsidRPr="00C94FEA">
        <w:rPr>
          <w:sz w:val="24"/>
          <w:szCs w:val="24"/>
        </w:rPr>
        <w:t>$</w:t>
      </w:r>
      <w:r w:rsidRPr="00C94FEA" w:rsidR="007E06C9">
        <w:rPr>
          <w:sz w:val="24"/>
          <w:szCs w:val="24"/>
        </w:rPr>
        <w:t>60,</w:t>
      </w:r>
      <w:r w:rsidRPr="00C94FEA" w:rsidR="00492A76">
        <w:rPr>
          <w:sz w:val="24"/>
          <w:szCs w:val="24"/>
        </w:rPr>
        <w:t>330.16</w:t>
      </w:r>
      <w:r w:rsidRPr="00C94FEA">
        <w:rPr>
          <w:sz w:val="24"/>
          <w:szCs w:val="24"/>
        </w:rPr>
        <w:t>.</w:t>
      </w:r>
    </w:p>
    <w:p w:rsidR="007E1D22" w:rsidP="00B65823" w:rsidRDefault="007E1D22" w14:paraId="35951409" w14:textId="77777777">
      <w:pPr>
        <w:widowControl/>
        <w:autoSpaceDE/>
        <w:autoSpaceDN/>
        <w:adjustRightInd/>
        <w:rPr>
          <w:rFonts w:ascii="Times New Roman" w:hAnsi="Times New Roman"/>
          <w:highlight w:val="yellow"/>
        </w:rPr>
      </w:pPr>
    </w:p>
    <w:p w:rsidR="007E1D22" w:rsidP="00B65823" w:rsidRDefault="007E1D22" w14:paraId="332E5F82" w14:textId="77777777">
      <w:pPr>
        <w:widowControl/>
        <w:autoSpaceDE/>
        <w:autoSpaceDN/>
        <w:adjustRightInd/>
        <w:rPr>
          <w:rFonts w:ascii="Times New Roman" w:hAnsi="Times New Roman"/>
          <w:highlight w:val="yellow"/>
        </w:rPr>
      </w:pPr>
    </w:p>
    <w:p w:rsidR="00940938" w:rsidP="00B65823" w:rsidRDefault="00940938" w14:paraId="1569CDBA" w14:textId="77777777">
      <w:pPr>
        <w:widowControl/>
        <w:autoSpaceDE/>
        <w:autoSpaceDN/>
        <w:adjustRightInd/>
        <w:rPr>
          <w:rFonts w:ascii="Times New Roman" w:hAnsi="Times New Roman"/>
          <w:highlight w:val="yellow"/>
        </w:rPr>
      </w:pPr>
    </w:p>
    <w:p w:rsidR="00940938" w:rsidP="00B65823" w:rsidRDefault="00940938" w14:paraId="17062693" w14:textId="77777777">
      <w:pPr>
        <w:widowControl/>
        <w:autoSpaceDE/>
        <w:autoSpaceDN/>
        <w:adjustRightInd/>
        <w:rPr>
          <w:rFonts w:ascii="Times New Roman" w:hAnsi="Times New Roman"/>
          <w:highlight w:val="yellow"/>
        </w:rPr>
      </w:pPr>
    </w:p>
    <w:p w:rsidRPr="00F72D66" w:rsidR="00940938" w:rsidP="00B65823" w:rsidRDefault="00940938" w14:paraId="62028C40" w14:textId="77777777">
      <w:pPr>
        <w:widowControl/>
        <w:autoSpaceDE/>
        <w:autoSpaceDN/>
        <w:adjustRightInd/>
        <w:rPr>
          <w:rFonts w:ascii="Times New Roman" w:hAnsi="Times New Roman"/>
          <w:highlight w:val="yellow"/>
        </w:rPr>
      </w:pPr>
    </w:p>
    <w:p w:rsidRPr="00D53DEB" w:rsidR="00CD215D" w:rsidP="00B65823" w:rsidRDefault="00690F56" w14:paraId="4F65FC61" w14:textId="64D820DF">
      <w:pPr>
        <w:widowControl/>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7E06C9">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1F59CB" w:rsidRDefault="006F6E13" w14:paraId="10DEAAA9" w14:textId="30E9A3FC">
      <w:pPr>
        <w:widowControl/>
        <w:numPr>
          <w:ilvl w:val="0"/>
          <w:numId w:val="4"/>
        </w:numPr>
        <w:tabs>
          <w:tab w:val="clear" w:pos="1080"/>
        </w:tabs>
        <w:spacing w:after="6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sidR="00CD215D">
        <w:rPr>
          <w:rFonts w:ascii="Times New Roman" w:hAnsi="Times New Roman"/>
          <w:b/>
          <w:bCs/>
        </w:rPr>
        <w:t xml:space="preserve">up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1F59CB" w:rsidRDefault="00CD215D" w14:paraId="148E4C51" w14:textId="6C8EE790">
      <w:pPr>
        <w:widowControl/>
        <w:numPr>
          <w:ilvl w:val="0"/>
          <w:numId w:val="4"/>
        </w:numPr>
        <w:tabs>
          <w:tab w:val="clear" w:pos="1080"/>
        </w:tabs>
        <w:spacing w:after="6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1F59CB" w:rsidRDefault="00CD215D" w14:paraId="32127F6A" w14:textId="77777777">
      <w:pPr>
        <w:widowControl/>
        <w:numPr>
          <w:ilvl w:val="0"/>
          <w:numId w:val="4"/>
        </w:numPr>
        <w:tabs>
          <w:tab w:val="clear" w:pos="1080"/>
        </w:tabs>
        <w:spacing w:after="6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P="00CD215D" w:rsidRDefault="00254619" w14:paraId="7B6D5726" w14:textId="40D72F3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Respondents for this survey will not incur any capital and start-up costs; respondents will not incur any operation and maintenance or purchase of service costs.</w:t>
      </w:r>
    </w:p>
    <w:p w:rsidRPr="00F4518C" w:rsidR="00254619" w:rsidP="00254619" w:rsidRDefault="00254619" w14:paraId="491E7C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3A3100" w:rsidP="00254619" w:rsidRDefault="003A3100" w14:paraId="45C509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254619" w:rsidP="00254619" w:rsidRDefault="00254619" w14:paraId="31A9C331"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54619" w:rsidP="00CD215D" w:rsidRDefault="00254619" w14:paraId="4784B4F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254619" w:rsidP="00CD215D" w:rsidRDefault="00254619" w14:paraId="6920E642" w14:textId="0C6CA97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 xml:space="preserve">The total estimated cost for the main NLSY97 in Round </w:t>
      </w:r>
      <w:r>
        <w:rPr>
          <w:rFonts w:ascii="Times New Roman" w:hAnsi="Times New Roman"/>
        </w:rPr>
        <w:t>20</w:t>
      </w:r>
      <w:r w:rsidRPr="00254619">
        <w:rPr>
          <w:rFonts w:ascii="Times New Roman" w:hAnsi="Times New Roman"/>
        </w:rPr>
        <w:t xml:space="preserve"> is $</w:t>
      </w:r>
      <w:r w:rsidR="009B262E">
        <w:rPr>
          <w:rFonts w:ascii="Times New Roman" w:hAnsi="Times New Roman"/>
        </w:rPr>
        <w:t>1</w:t>
      </w:r>
      <w:r w:rsidR="00AE01B7">
        <w:rPr>
          <w:rFonts w:ascii="Times New Roman" w:hAnsi="Times New Roman"/>
        </w:rPr>
        <w:t>2</w:t>
      </w:r>
      <w:r w:rsidR="009B262E">
        <w:rPr>
          <w:rFonts w:ascii="Times New Roman" w:hAnsi="Times New Roman"/>
        </w:rPr>
        <w:t xml:space="preserve"> million</w:t>
      </w:r>
      <w:r w:rsidRPr="00254619">
        <w:rPr>
          <w:rFonts w:ascii="Times New Roman" w:hAnsi="Times New Roman"/>
        </w:rPr>
        <w:t>.  This cost includes survey management, questionnaire design, instrument development, pretest and main data collection including incentive payments, cleaning and preparation of data files for users, and services to users of the data files.</w:t>
      </w:r>
    </w:p>
    <w:p w:rsidRPr="00D53DEB" w:rsidR="003A3100" w:rsidP="00CD215D" w:rsidRDefault="003A3100" w14:paraId="27D2319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71CA6" w:rsidR="00690F56" w:rsidP="00B65823" w:rsidRDefault="00690F56" w14:paraId="3F8C7E1B"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B65823" w:rsidRDefault="00690F56" w14:paraId="13EF01B8" w14:textId="77777777">
      <w:pPr>
        <w:widowControl/>
        <w:rPr>
          <w:rFonts w:ascii="Times New Roman" w:hAnsi="Times New Roman"/>
        </w:rPr>
      </w:pPr>
    </w:p>
    <w:p w:rsidRPr="00A90F14" w:rsidR="00254619" w:rsidP="00254619" w:rsidRDefault="00254619" w14:paraId="461AD3C3" w14:textId="1B636027">
      <w:pPr>
        <w:pStyle w:val="FootnoteText"/>
        <w:rPr>
          <w:sz w:val="24"/>
          <w:szCs w:val="24"/>
        </w:rPr>
      </w:pPr>
      <w:r w:rsidRPr="00A90F14">
        <w:rPr>
          <w:sz w:val="24"/>
          <w:szCs w:val="24"/>
        </w:rPr>
        <w:t>Th</w:t>
      </w:r>
      <w:r>
        <w:rPr>
          <w:sz w:val="24"/>
          <w:szCs w:val="24"/>
        </w:rPr>
        <w:t xml:space="preserve">e expected </w:t>
      </w:r>
      <w:r w:rsidRPr="00A90F14">
        <w:rPr>
          <w:sz w:val="24"/>
          <w:szCs w:val="24"/>
        </w:rPr>
        <w:t xml:space="preserve">burden </w:t>
      </w:r>
      <w:r>
        <w:rPr>
          <w:sz w:val="24"/>
          <w:szCs w:val="24"/>
        </w:rPr>
        <w:t xml:space="preserve">for Round 20 is </w:t>
      </w:r>
      <w:r w:rsidR="00492A76">
        <w:rPr>
          <w:sz w:val="24"/>
          <w:szCs w:val="24"/>
        </w:rPr>
        <w:t xml:space="preserve">705 </w:t>
      </w:r>
      <w:r>
        <w:rPr>
          <w:sz w:val="24"/>
          <w:szCs w:val="24"/>
        </w:rPr>
        <w:t>hours higher than</w:t>
      </w:r>
      <w:r w:rsidRPr="00A90F14">
        <w:rPr>
          <w:sz w:val="24"/>
          <w:szCs w:val="24"/>
        </w:rPr>
        <w:t xml:space="preserve"> </w:t>
      </w:r>
      <w:r>
        <w:rPr>
          <w:sz w:val="24"/>
          <w:szCs w:val="24"/>
        </w:rPr>
        <w:t xml:space="preserve">that </w:t>
      </w:r>
      <w:r w:rsidR="00492A76">
        <w:rPr>
          <w:sz w:val="24"/>
          <w:szCs w:val="24"/>
        </w:rPr>
        <w:t>as recorded</w:t>
      </w:r>
      <w:r>
        <w:rPr>
          <w:sz w:val="24"/>
          <w:szCs w:val="24"/>
        </w:rPr>
        <w:t xml:space="preserve"> for</w:t>
      </w:r>
      <w:r w:rsidRPr="00A90F14">
        <w:rPr>
          <w:sz w:val="24"/>
          <w:szCs w:val="24"/>
        </w:rPr>
        <w:t xml:space="preserve"> Round </w:t>
      </w:r>
      <w:r>
        <w:rPr>
          <w:sz w:val="24"/>
          <w:szCs w:val="24"/>
        </w:rPr>
        <w:t>19</w:t>
      </w:r>
      <w:r w:rsidRPr="00A90F14">
        <w:rPr>
          <w:sz w:val="24"/>
          <w:szCs w:val="24"/>
        </w:rPr>
        <w:t>.</w:t>
      </w:r>
      <w:r>
        <w:rPr>
          <w:sz w:val="24"/>
          <w:szCs w:val="24"/>
        </w:rPr>
        <w:t xml:space="preserve">  </w:t>
      </w:r>
      <w:r w:rsidR="003A26F7">
        <w:rPr>
          <w:sz w:val="24"/>
          <w:szCs w:val="24"/>
        </w:rPr>
        <w:t xml:space="preserve">(Note:  </w:t>
      </w:r>
      <w:r w:rsidR="00492A76">
        <w:rPr>
          <w:sz w:val="24"/>
          <w:szCs w:val="24"/>
        </w:rPr>
        <w:t>The current burden reflected in ROCIS of 1</w:t>
      </w:r>
      <w:r w:rsidR="003A373F">
        <w:rPr>
          <w:sz w:val="24"/>
          <w:szCs w:val="24"/>
        </w:rPr>
        <w:t>,</w:t>
      </w:r>
      <w:r w:rsidR="00492A76">
        <w:rPr>
          <w:sz w:val="24"/>
          <w:szCs w:val="24"/>
        </w:rPr>
        <w:t xml:space="preserve">058 hours is for the interim supplement covering the </w:t>
      </w:r>
      <w:r w:rsidR="005330CF">
        <w:rPr>
          <w:sz w:val="24"/>
          <w:szCs w:val="24"/>
        </w:rPr>
        <w:t>C</w:t>
      </w:r>
      <w:r w:rsidR="00492A76">
        <w:rPr>
          <w:sz w:val="24"/>
          <w:szCs w:val="24"/>
        </w:rPr>
        <w:t>oronavirus pandemic</w:t>
      </w:r>
      <w:r w:rsidR="003A373F">
        <w:rPr>
          <w:sz w:val="24"/>
          <w:szCs w:val="24"/>
        </w:rPr>
        <w:t>.</w:t>
      </w:r>
      <w:r w:rsidR="003A26F7">
        <w:rPr>
          <w:sz w:val="24"/>
          <w:szCs w:val="24"/>
        </w:rPr>
        <w:t>)</w:t>
      </w:r>
      <w:r w:rsidR="00492A76">
        <w:rPr>
          <w:sz w:val="24"/>
          <w:szCs w:val="24"/>
        </w:rPr>
        <w:t xml:space="preserve"> </w:t>
      </w:r>
      <w:r>
        <w:rPr>
          <w:sz w:val="24"/>
          <w:szCs w:val="24"/>
        </w:rPr>
        <w:t xml:space="preserve">This </w:t>
      </w:r>
      <w:r w:rsidR="007E06C9">
        <w:rPr>
          <w:sz w:val="24"/>
          <w:szCs w:val="24"/>
        </w:rPr>
        <w:t>moderate (9</w:t>
      </w:r>
      <w:r w:rsidR="00E81D80">
        <w:rPr>
          <w:sz w:val="24"/>
          <w:szCs w:val="24"/>
        </w:rPr>
        <w:t xml:space="preserve"> percent</w:t>
      </w:r>
      <w:r w:rsidR="007E06C9">
        <w:rPr>
          <w:sz w:val="24"/>
          <w:szCs w:val="24"/>
        </w:rPr>
        <w:t xml:space="preserve"> </w:t>
      </w:r>
      <w:r>
        <w:rPr>
          <w:sz w:val="24"/>
          <w:szCs w:val="24"/>
        </w:rPr>
        <w:t>increase owes to</w:t>
      </w:r>
      <w:r w:rsidR="007E06C9">
        <w:rPr>
          <w:sz w:val="24"/>
          <w:szCs w:val="24"/>
        </w:rPr>
        <w:t xml:space="preserve"> two factors.  First, </w:t>
      </w:r>
      <w:r w:rsidR="003A373F">
        <w:rPr>
          <w:sz w:val="24"/>
          <w:szCs w:val="24"/>
        </w:rPr>
        <w:t>NLS is</w:t>
      </w:r>
      <w:r w:rsidR="007E06C9">
        <w:rPr>
          <w:sz w:val="24"/>
          <w:szCs w:val="24"/>
        </w:rPr>
        <w:t xml:space="preserve"> projecting</w:t>
      </w:r>
      <w:r>
        <w:rPr>
          <w:sz w:val="24"/>
          <w:szCs w:val="24"/>
        </w:rPr>
        <w:t xml:space="preserve"> an increase in the expected response rate</w:t>
      </w:r>
      <w:r w:rsidR="007E06C9">
        <w:rPr>
          <w:sz w:val="24"/>
          <w:szCs w:val="24"/>
        </w:rPr>
        <w:t xml:space="preserve"> relative to </w:t>
      </w:r>
      <w:r w:rsidR="003A373F">
        <w:rPr>
          <w:sz w:val="24"/>
          <w:szCs w:val="24"/>
        </w:rPr>
        <w:t xml:space="preserve">the </w:t>
      </w:r>
      <w:r w:rsidR="007E06C9">
        <w:rPr>
          <w:sz w:val="24"/>
          <w:szCs w:val="24"/>
        </w:rPr>
        <w:t>expectations for Round 19</w:t>
      </w:r>
      <w:r>
        <w:rPr>
          <w:sz w:val="24"/>
          <w:szCs w:val="24"/>
        </w:rPr>
        <w:t xml:space="preserve">.  </w:t>
      </w:r>
      <w:r w:rsidR="002C0BB8">
        <w:rPr>
          <w:sz w:val="24"/>
          <w:szCs w:val="24"/>
        </w:rPr>
        <w:t xml:space="preserve">After instituting some changes in </w:t>
      </w:r>
      <w:r w:rsidR="003A373F">
        <w:rPr>
          <w:sz w:val="24"/>
          <w:szCs w:val="24"/>
        </w:rPr>
        <w:t xml:space="preserve">the </w:t>
      </w:r>
      <w:r w:rsidR="002C0BB8">
        <w:rPr>
          <w:sz w:val="24"/>
          <w:szCs w:val="24"/>
        </w:rPr>
        <w:t xml:space="preserve">approach, </w:t>
      </w:r>
      <w:r w:rsidR="003A373F">
        <w:rPr>
          <w:sz w:val="24"/>
          <w:szCs w:val="24"/>
        </w:rPr>
        <w:t xml:space="preserve">NLS </w:t>
      </w:r>
      <w:r w:rsidR="002C0BB8">
        <w:rPr>
          <w:sz w:val="24"/>
          <w:szCs w:val="24"/>
        </w:rPr>
        <w:t>achieved a greater response rate i</w:t>
      </w:r>
      <w:r>
        <w:rPr>
          <w:sz w:val="24"/>
          <w:szCs w:val="24"/>
        </w:rPr>
        <w:t xml:space="preserve">n Round 19 </w:t>
      </w:r>
      <w:r w:rsidR="002C0BB8">
        <w:rPr>
          <w:sz w:val="24"/>
          <w:szCs w:val="24"/>
        </w:rPr>
        <w:t xml:space="preserve">than </w:t>
      </w:r>
      <w:r w:rsidR="003A373F">
        <w:rPr>
          <w:sz w:val="24"/>
          <w:szCs w:val="24"/>
        </w:rPr>
        <w:t>it did</w:t>
      </w:r>
      <w:r w:rsidR="002C0BB8">
        <w:rPr>
          <w:sz w:val="24"/>
          <w:szCs w:val="24"/>
        </w:rPr>
        <w:t xml:space="preserve"> in Round 18.  This experience gives greater confidence in </w:t>
      </w:r>
      <w:r w:rsidR="003A373F">
        <w:rPr>
          <w:sz w:val="24"/>
          <w:szCs w:val="24"/>
        </w:rPr>
        <w:t xml:space="preserve">NLS’ </w:t>
      </w:r>
      <w:r w:rsidR="002C0BB8">
        <w:rPr>
          <w:sz w:val="24"/>
          <w:szCs w:val="24"/>
        </w:rPr>
        <w:t xml:space="preserve">ability </w:t>
      </w:r>
      <w:r>
        <w:rPr>
          <w:sz w:val="24"/>
          <w:szCs w:val="24"/>
        </w:rPr>
        <w:t>to se</w:t>
      </w:r>
      <w:r w:rsidR="002C0BB8">
        <w:rPr>
          <w:sz w:val="24"/>
          <w:szCs w:val="24"/>
        </w:rPr>
        <w:t>cure cooperation for</w:t>
      </w:r>
      <w:r>
        <w:rPr>
          <w:sz w:val="24"/>
          <w:szCs w:val="24"/>
        </w:rPr>
        <w:t xml:space="preserve"> telephone interview</w:t>
      </w:r>
      <w:r w:rsidR="002C0BB8">
        <w:rPr>
          <w:sz w:val="24"/>
          <w:szCs w:val="24"/>
        </w:rPr>
        <w:t>s</w:t>
      </w:r>
      <w:r>
        <w:rPr>
          <w:sz w:val="24"/>
          <w:szCs w:val="24"/>
        </w:rPr>
        <w:t xml:space="preserve"> for this age group.  </w:t>
      </w:r>
      <w:r w:rsidR="007E06C9">
        <w:rPr>
          <w:sz w:val="24"/>
          <w:szCs w:val="24"/>
        </w:rPr>
        <w:t xml:space="preserve">Second, due to the incorporation of additional questions to capture the effects of the </w:t>
      </w:r>
      <w:r w:rsidR="005330CF">
        <w:rPr>
          <w:sz w:val="24"/>
          <w:szCs w:val="24"/>
        </w:rPr>
        <w:t>C</w:t>
      </w:r>
      <w:r w:rsidR="007E06C9">
        <w:rPr>
          <w:sz w:val="24"/>
          <w:szCs w:val="24"/>
        </w:rPr>
        <w:t>oronavirus pandemic,</w:t>
      </w:r>
      <w:r w:rsidR="00C36B3F">
        <w:rPr>
          <w:sz w:val="24"/>
          <w:szCs w:val="24"/>
        </w:rPr>
        <w:t xml:space="preserve"> the questionnaire is slightly longer than it was in Round 19.  As described in </w:t>
      </w:r>
      <w:r w:rsidR="00A3540D">
        <w:rPr>
          <w:sz w:val="24"/>
          <w:szCs w:val="24"/>
        </w:rPr>
        <w:t xml:space="preserve">Attachment </w:t>
      </w:r>
      <w:r w:rsidR="00C36B3F">
        <w:rPr>
          <w:sz w:val="24"/>
          <w:szCs w:val="24"/>
        </w:rPr>
        <w:t xml:space="preserve">5, </w:t>
      </w:r>
      <w:r w:rsidR="003A373F">
        <w:rPr>
          <w:sz w:val="24"/>
          <w:szCs w:val="24"/>
        </w:rPr>
        <w:t>NLS has</w:t>
      </w:r>
      <w:r w:rsidR="00C36B3F">
        <w:rPr>
          <w:sz w:val="24"/>
          <w:szCs w:val="24"/>
        </w:rPr>
        <w:t xml:space="preserve"> tried to offset this increase by streamlining other parts of the survey, but the importance of measuring the unique effects of the pandemic have caused </w:t>
      </w:r>
      <w:r w:rsidR="003A373F">
        <w:rPr>
          <w:sz w:val="24"/>
          <w:szCs w:val="24"/>
        </w:rPr>
        <w:t xml:space="preserve">NLS </w:t>
      </w:r>
      <w:r w:rsidR="00C36B3F">
        <w:rPr>
          <w:sz w:val="24"/>
          <w:szCs w:val="24"/>
        </w:rPr>
        <w:t>to extend the questionnaire for this round.</w:t>
      </w:r>
      <w:r>
        <w:rPr>
          <w:sz w:val="24"/>
          <w:szCs w:val="24"/>
        </w:rPr>
        <w:t xml:space="preserve"> </w:t>
      </w:r>
    </w:p>
    <w:p w:rsidRPr="00F4518C" w:rsidR="00690F56" w:rsidP="00B65823" w:rsidRDefault="00690F56" w14:paraId="5321AF4F" w14:textId="77777777">
      <w:pPr>
        <w:widowControl/>
        <w:rPr>
          <w:rFonts w:ascii="Times New Roman" w:hAnsi="Times New Roman"/>
        </w:rPr>
      </w:pPr>
    </w:p>
    <w:p w:rsidRPr="00F4518C" w:rsidR="003A3100" w:rsidP="00B65823" w:rsidRDefault="003A3100" w14:paraId="78A8E75A"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rsidRDefault="00690F56" w14:paraId="510180C3" w14:textId="77777777">
      <w:pPr>
        <w:widowControl/>
        <w:rPr>
          <w:rFonts w:ascii="Times New Roman" w:hAnsi="Times New Roman"/>
        </w:rPr>
      </w:pPr>
    </w:p>
    <w:p w:rsidRPr="002C0BB8" w:rsidR="002C0BB8" w:rsidP="002C0BB8" w:rsidRDefault="002C0BB8" w14:paraId="497B4D77" w14:textId="03876A96">
      <w:pPr>
        <w:widowControl/>
        <w:rPr>
          <w:rFonts w:ascii="Times New Roman" w:hAnsi="Times New Roman"/>
        </w:rPr>
      </w:pPr>
      <w:r w:rsidRPr="002C0BB8">
        <w:rPr>
          <w:rFonts w:ascii="Times New Roman" w:hAnsi="Times New Roman"/>
        </w:rPr>
        <w:t xml:space="preserve">The following is the planned schedule for the data collection for Round </w:t>
      </w:r>
      <w:r w:rsidR="00E57A41">
        <w:rPr>
          <w:rFonts w:ascii="Times New Roman" w:hAnsi="Times New Roman"/>
        </w:rPr>
        <w:t>20</w:t>
      </w:r>
      <w:r w:rsidRPr="002C0BB8">
        <w:rPr>
          <w:rFonts w:ascii="Times New Roman" w:hAnsi="Times New Roman"/>
        </w:rPr>
        <w:t>.</w:t>
      </w:r>
    </w:p>
    <w:p w:rsidRPr="002C0BB8" w:rsidR="002C0BB8" w:rsidP="002C0BB8" w:rsidRDefault="002C0BB8" w14:paraId="1A57AED1" w14:textId="77777777">
      <w:pPr>
        <w:widowControl/>
        <w:rPr>
          <w:rFonts w:ascii="Times New Roman" w:hAnsi="Times New Roman"/>
        </w:rPr>
      </w:pPr>
    </w:p>
    <w:p w:rsidRPr="002C0BB8" w:rsidR="002C0BB8" w:rsidP="002C0BB8" w:rsidRDefault="002C0BB8" w14:paraId="30DA4093" w14:textId="71A8596E">
      <w:pPr>
        <w:widowControl/>
        <w:rPr>
          <w:rFonts w:ascii="Times New Roman" w:hAnsi="Times New Roman"/>
        </w:rPr>
      </w:pPr>
      <w:r w:rsidRPr="002C0BB8">
        <w:rPr>
          <w:rFonts w:ascii="Times New Roman" w:hAnsi="Times New Roman"/>
        </w:rPr>
        <w:t>Questionnaire Development</w:t>
      </w:r>
      <w:r w:rsidRPr="002C0BB8">
        <w:rPr>
          <w:rFonts w:ascii="Times New Roman" w:hAnsi="Times New Roman"/>
        </w:rPr>
        <w:tab/>
      </w:r>
      <w:r w:rsidRPr="002C0BB8">
        <w:rPr>
          <w:rFonts w:ascii="Times New Roman" w:hAnsi="Times New Roman"/>
        </w:rPr>
        <w:tab/>
      </w:r>
      <w:r w:rsidR="007E06C9">
        <w:rPr>
          <w:rFonts w:ascii="Times New Roman" w:hAnsi="Times New Roman"/>
        </w:rPr>
        <w:tab/>
      </w:r>
      <w:r w:rsidRPr="002C0BB8">
        <w:rPr>
          <w:rFonts w:ascii="Times New Roman" w:hAnsi="Times New Roman"/>
        </w:rPr>
        <w:t>December 201</w:t>
      </w:r>
      <w:r w:rsidR="00E57A41">
        <w:rPr>
          <w:rFonts w:ascii="Times New Roman" w:hAnsi="Times New Roman"/>
        </w:rPr>
        <w:t>9</w:t>
      </w:r>
      <w:r w:rsidRPr="002C0BB8">
        <w:rPr>
          <w:rFonts w:ascii="Times New Roman" w:hAnsi="Times New Roman"/>
        </w:rPr>
        <w:t xml:space="preserve"> – </w:t>
      </w:r>
      <w:r w:rsidR="006D07AC">
        <w:rPr>
          <w:rFonts w:ascii="Times New Roman" w:hAnsi="Times New Roman"/>
        </w:rPr>
        <w:t>November</w:t>
      </w:r>
      <w:r w:rsidRPr="002C0BB8">
        <w:rPr>
          <w:rFonts w:ascii="Times New Roman" w:hAnsi="Times New Roman"/>
        </w:rPr>
        <w:t xml:space="preserve"> </w:t>
      </w:r>
      <w:r w:rsidR="00E57A41">
        <w:rPr>
          <w:rFonts w:ascii="Times New Roman" w:hAnsi="Times New Roman"/>
        </w:rPr>
        <w:t>2020</w:t>
      </w:r>
    </w:p>
    <w:p w:rsidRPr="002C0BB8" w:rsidR="002C0BB8" w:rsidP="002C0BB8" w:rsidRDefault="002C0BB8" w14:paraId="3FEC072B" w14:textId="7B0FE77D">
      <w:pPr>
        <w:widowControl/>
        <w:rPr>
          <w:rFonts w:ascii="Times New Roman" w:hAnsi="Times New Roman"/>
        </w:rPr>
      </w:pPr>
      <w:r w:rsidRPr="002C0BB8">
        <w:rPr>
          <w:rFonts w:ascii="Times New Roman" w:hAnsi="Times New Roman"/>
        </w:rPr>
        <w:t>Respondent Materials Development</w:t>
      </w:r>
      <w:r w:rsidRPr="002C0BB8">
        <w:rPr>
          <w:rFonts w:ascii="Times New Roman" w:hAnsi="Times New Roman"/>
        </w:rPr>
        <w:tab/>
      </w:r>
      <w:r w:rsidRPr="002C0BB8">
        <w:rPr>
          <w:rFonts w:ascii="Times New Roman" w:hAnsi="Times New Roman"/>
        </w:rPr>
        <w:tab/>
        <w:t>January 20</w:t>
      </w:r>
      <w:r w:rsidR="00E57A41">
        <w:rPr>
          <w:rFonts w:ascii="Times New Roman" w:hAnsi="Times New Roman"/>
        </w:rPr>
        <w:t>21</w:t>
      </w:r>
      <w:r w:rsidRPr="002C0BB8">
        <w:rPr>
          <w:rFonts w:ascii="Times New Roman" w:hAnsi="Times New Roman"/>
        </w:rPr>
        <w:t xml:space="preserve"> – June 20</w:t>
      </w:r>
      <w:r w:rsidR="00E57A41">
        <w:rPr>
          <w:rFonts w:ascii="Times New Roman" w:hAnsi="Times New Roman"/>
        </w:rPr>
        <w:t>21</w:t>
      </w:r>
    </w:p>
    <w:p w:rsidRPr="002C0BB8" w:rsidR="002C0BB8" w:rsidP="002C0BB8" w:rsidRDefault="002C0BB8" w14:paraId="5CDBC633" w14:textId="6B9C990C">
      <w:pPr>
        <w:widowControl/>
        <w:rPr>
          <w:rFonts w:ascii="Times New Roman" w:hAnsi="Times New Roman"/>
        </w:rPr>
      </w:pPr>
      <w:r w:rsidRPr="002C0BB8">
        <w:rPr>
          <w:rFonts w:ascii="Times New Roman" w:hAnsi="Times New Roman"/>
        </w:rPr>
        <w:t>Main</w:t>
      </w:r>
      <w:r w:rsidR="00E57A41">
        <w:rPr>
          <w:rFonts w:ascii="Times New Roman" w:hAnsi="Times New Roman"/>
        </w:rPr>
        <w:t xml:space="preserve"> Data Collection</w:t>
      </w:r>
      <w:r w:rsidR="00E57A41">
        <w:rPr>
          <w:rFonts w:ascii="Times New Roman" w:hAnsi="Times New Roman"/>
        </w:rPr>
        <w:tab/>
      </w:r>
      <w:r w:rsidR="00E57A41">
        <w:rPr>
          <w:rFonts w:ascii="Times New Roman" w:hAnsi="Times New Roman"/>
        </w:rPr>
        <w:tab/>
      </w:r>
      <w:r w:rsidR="007E06C9">
        <w:rPr>
          <w:rFonts w:ascii="Times New Roman" w:hAnsi="Times New Roman"/>
        </w:rPr>
        <w:tab/>
      </w:r>
      <w:r w:rsidR="007E06C9">
        <w:rPr>
          <w:rFonts w:ascii="Times New Roman" w:hAnsi="Times New Roman"/>
        </w:rPr>
        <w:tab/>
      </w:r>
      <w:r w:rsidR="00E57A41">
        <w:rPr>
          <w:rFonts w:ascii="Times New Roman" w:hAnsi="Times New Roman"/>
        </w:rPr>
        <w:t>September 2021 – June 2022</w:t>
      </w:r>
    </w:p>
    <w:p w:rsidRPr="002C0BB8" w:rsidR="002C0BB8" w:rsidP="002C0BB8" w:rsidRDefault="00E57A41" w14:paraId="764F7A9A" w14:textId="116F4F81">
      <w:pPr>
        <w:widowControl/>
        <w:rPr>
          <w:rFonts w:ascii="Times New Roman" w:hAnsi="Times New Roman"/>
        </w:rPr>
      </w:pPr>
      <w:r>
        <w:rPr>
          <w:rFonts w:ascii="Times New Roman" w:hAnsi="Times New Roman"/>
        </w:rPr>
        <w:t>Data Processing</w:t>
      </w:r>
      <w:r>
        <w:rPr>
          <w:rFonts w:ascii="Times New Roman" w:hAnsi="Times New Roman"/>
        </w:rPr>
        <w:tab/>
      </w:r>
      <w:r>
        <w:rPr>
          <w:rFonts w:ascii="Times New Roman" w:hAnsi="Times New Roman"/>
        </w:rPr>
        <w:tab/>
      </w:r>
      <w:r w:rsidR="007E06C9">
        <w:rPr>
          <w:rFonts w:ascii="Times New Roman" w:hAnsi="Times New Roman"/>
        </w:rPr>
        <w:tab/>
      </w:r>
      <w:r w:rsidR="007E06C9">
        <w:rPr>
          <w:rFonts w:ascii="Times New Roman" w:hAnsi="Times New Roman"/>
        </w:rPr>
        <w:tab/>
      </w:r>
      <w:r w:rsidR="001D2550">
        <w:rPr>
          <w:rFonts w:ascii="Times New Roman" w:hAnsi="Times New Roman"/>
        </w:rPr>
        <w:t>May 2022</w:t>
      </w:r>
      <w:r>
        <w:rPr>
          <w:rFonts w:ascii="Times New Roman" w:hAnsi="Times New Roman"/>
        </w:rPr>
        <w:t xml:space="preserve"> – November 202</w:t>
      </w:r>
      <w:r w:rsidR="001D2550">
        <w:rPr>
          <w:rFonts w:ascii="Times New Roman" w:hAnsi="Times New Roman"/>
        </w:rPr>
        <w:t>3</w:t>
      </w:r>
    </w:p>
    <w:p w:rsidRPr="00A47DA7" w:rsidR="002C0BB8" w:rsidP="002C0BB8" w:rsidRDefault="002C0BB8" w14:paraId="4434DA72" w14:textId="2AA8CAFA">
      <w:pPr>
        <w:widowControl/>
        <w:rPr>
          <w:rFonts w:ascii="Times New Roman" w:hAnsi="Times New Roman"/>
        </w:rPr>
      </w:pPr>
      <w:r w:rsidRPr="002C0BB8">
        <w:rPr>
          <w:rFonts w:ascii="Times New Roman" w:hAnsi="Times New Roman"/>
        </w:rPr>
        <w:t>Release of Public-Use Main Data Files</w:t>
      </w:r>
      <w:r w:rsidRPr="002C0BB8">
        <w:rPr>
          <w:rFonts w:ascii="Times New Roman" w:hAnsi="Times New Roman"/>
        </w:rPr>
        <w:tab/>
      </w:r>
      <w:r w:rsidR="00E57A41">
        <w:rPr>
          <w:rFonts w:ascii="Times New Roman" w:hAnsi="Times New Roman"/>
        </w:rPr>
        <w:t>December</w:t>
      </w:r>
      <w:r w:rsidRPr="002C0BB8">
        <w:rPr>
          <w:rFonts w:ascii="Times New Roman" w:hAnsi="Times New Roman"/>
        </w:rPr>
        <w:t xml:space="preserve"> 202</w:t>
      </w:r>
      <w:r w:rsidR="00E57A41">
        <w:rPr>
          <w:rFonts w:ascii="Times New Roman" w:hAnsi="Times New Roman"/>
        </w:rPr>
        <w:t>3</w:t>
      </w:r>
    </w:p>
    <w:p w:rsidRPr="002C0BB8" w:rsidR="007E06C9" w:rsidP="007E06C9" w:rsidRDefault="007E06C9" w14:paraId="20FEAE73" w14:textId="77777777">
      <w:pPr>
        <w:widowControl/>
        <w:rPr>
          <w:rFonts w:ascii="Times New Roman" w:hAnsi="Times New Roman"/>
        </w:rPr>
      </w:pPr>
      <w:r w:rsidRPr="002C0BB8">
        <w:rPr>
          <w:rFonts w:ascii="Times New Roman" w:hAnsi="Times New Roman"/>
        </w:rPr>
        <w:t>Publicatio</w:t>
      </w:r>
      <w:r>
        <w:rPr>
          <w:rFonts w:ascii="Times New Roman" w:hAnsi="Times New Roman"/>
        </w:rPr>
        <w:t>n of BLS News Release</w:t>
      </w:r>
      <w:r>
        <w:rPr>
          <w:rFonts w:ascii="Times New Roman" w:hAnsi="Times New Roman"/>
        </w:rPr>
        <w:tab/>
      </w:r>
      <w:r>
        <w:rPr>
          <w:rFonts w:ascii="Times New Roman" w:hAnsi="Times New Roman"/>
        </w:rPr>
        <w:tab/>
        <w:t>June 2024</w:t>
      </w:r>
    </w:p>
    <w:p w:rsidRPr="00871CA6" w:rsidR="00690F56" w:rsidP="00B65823" w:rsidRDefault="00690F56" w14:paraId="41B59CA5" w14:textId="77777777">
      <w:pPr>
        <w:widowControl/>
        <w:rPr>
          <w:rFonts w:ascii="Times New Roman" w:hAnsi="Times New Roman"/>
        </w:rPr>
      </w:pPr>
    </w:p>
    <w:p w:rsidRPr="00871CA6" w:rsidR="003A3100" w:rsidP="00B65823" w:rsidRDefault="003A3100" w14:paraId="45B2D52D"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B65823" w:rsidRDefault="00690F56" w14:paraId="1B1630F4" w14:textId="77777777">
      <w:pPr>
        <w:widowControl/>
        <w:rPr>
          <w:rFonts w:ascii="Times New Roman" w:hAnsi="Times New Roman"/>
        </w:rPr>
      </w:pPr>
    </w:p>
    <w:p w:rsidR="000C3A92" w:rsidP="00B65823" w:rsidRDefault="00E57A41" w14:paraId="3D60B41E" w14:textId="5E2271F2">
      <w:pPr>
        <w:widowControl/>
        <w:rPr>
          <w:rFonts w:ascii="Times New Roman" w:hAnsi="Times New Roman"/>
        </w:rPr>
      </w:pPr>
      <w:r w:rsidRPr="00E57A41">
        <w:rPr>
          <w:rFonts w:ascii="Times New Roman" w:hAnsi="Times New Roman"/>
        </w:rPr>
        <w:t>The OMB number and expiration date will be provided in the advance letter.</w:t>
      </w:r>
    </w:p>
    <w:p w:rsidRPr="00A973AA" w:rsidR="00E57A41" w:rsidP="00B65823" w:rsidRDefault="00E57A41" w14:paraId="6A7A3517" w14:textId="77777777">
      <w:pPr>
        <w:widowControl/>
        <w:rPr>
          <w:rFonts w:ascii="Times New Roman" w:hAnsi="Times New Roman"/>
        </w:rPr>
      </w:pPr>
    </w:p>
    <w:p w:rsidRPr="00A973AA" w:rsidR="003A3100" w:rsidP="00B65823" w:rsidRDefault="003A3100" w14:paraId="02C056E5"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A47DA7" w:rsidR="000C3A92" w:rsidP="00B65823" w:rsidRDefault="000C3A92" w14:paraId="641E1E6D" w14:textId="77777777">
      <w:pPr>
        <w:widowControl/>
        <w:rPr>
          <w:rFonts w:ascii="Times New Roman" w:hAnsi="Times New Roman"/>
        </w:rPr>
      </w:pPr>
    </w:p>
    <w:p w:rsidRPr="00871CA6" w:rsidR="00690F56" w:rsidP="00B65823" w:rsidRDefault="003A373F" w14:paraId="7282302F" w14:textId="13D8B8AE">
      <w:pPr>
        <w:widowControl/>
        <w:rPr>
          <w:rFonts w:ascii="Times New Roman" w:hAnsi="Times New Roman"/>
        </w:rPr>
      </w:pPr>
      <w:r>
        <w:rPr>
          <w:rFonts w:ascii="Times New Roman" w:hAnsi="Times New Roman"/>
        </w:rPr>
        <w:t xml:space="preserve">There are no </w:t>
      </w:r>
      <w:r w:rsidRPr="00E57A41" w:rsidR="00E57A41">
        <w:rPr>
          <w:rFonts w:ascii="Times New Roman" w:hAnsi="Times New Roman"/>
        </w:rPr>
        <w:t>exceptions to the “Certificate for Paperwork Reduction Act Submissions” statement.</w:t>
      </w: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18"/>
      <w:footerReference w:type="even" r:id="rId19"/>
      <w:footerReference w:type="default" r:id="rId20"/>
      <w:headerReference w:type="first" r:id="rId2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496B2" w14:textId="77777777" w:rsidR="00101E2E" w:rsidRDefault="00101E2E">
      <w:r>
        <w:separator/>
      </w:r>
    </w:p>
  </w:endnote>
  <w:endnote w:type="continuationSeparator" w:id="0">
    <w:p w14:paraId="4E383805" w14:textId="77777777" w:rsidR="00101E2E" w:rsidRDefault="00101E2E">
      <w:r>
        <w:continuationSeparator/>
      </w:r>
    </w:p>
  </w:endnote>
  <w:endnote w:type="continuationNotice" w:id="1">
    <w:p w14:paraId="2A0BABE4" w14:textId="77777777" w:rsidR="00101E2E" w:rsidRDefault="0010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1F59CB" w:rsidRDefault="001F59CB"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1F59CB" w:rsidRDefault="001F59CB"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1B526430" w:rsidR="001F59CB" w:rsidRPr="00B26E3E" w:rsidRDefault="001F59CB"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641EB3">
      <w:rPr>
        <w:rStyle w:val="PageNumber"/>
        <w:rFonts w:ascii="Times New Roman" w:hAnsi="Times New Roman"/>
        <w:noProof/>
      </w:rPr>
      <w:t>28</w:t>
    </w:r>
    <w:r w:rsidRPr="00B26E3E">
      <w:rPr>
        <w:rStyle w:val="PageNumber"/>
        <w:rFonts w:ascii="Times New Roman" w:hAnsi="Times New Roman"/>
      </w:rPr>
      <w:fldChar w:fldCharType="end"/>
    </w:r>
  </w:p>
  <w:p w14:paraId="5808C3E4" w14:textId="77777777" w:rsidR="001F59CB" w:rsidRDefault="001F59CB"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AD29" w14:textId="77777777" w:rsidR="00101E2E" w:rsidRDefault="00101E2E">
      <w:r>
        <w:separator/>
      </w:r>
    </w:p>
  </w:footnote>
  <w:footnote w:type="continuationSeparator" w:id="0">
    <w:p w14:paraId="44FC2DD5" w14:textId="77777777" w:rsidR="00101E2E" w:rsidRDefault="00101E2E">
      <w:r>
        <w:continuationSeparator/>
      </w:r>
    </w:p>
  </w:footnote>
  <w:footnote w:type="continuationNotice" w:id="1">
    <w:p w14:paraId="075F5815" w14:textId="77777777" w:rsidR="00101E2E" w:rsidRDefault="00101E2E"/>
  </w:footnote>
  <w:footnote w:id="2">
    <w:p w14:paraId="138127EF" w14:textId="12778279" w:rsidR="001F59CB" w:rsidRDefault="001F59CB" w:rsidP="00824667">
      <w:pPr>
        <w:pStyle w:val="FootnoteText"/>
      </w:pPr>
      <w:r>
        <w:rPr>
          <w:rStyle w:val="FootnoteReference"/>
        </w:rPr>
        <w:footnoteRef/>
      </w:r>
      <w:r>
        <w:t xml:space="preserve"> Note: In addition, there are just over 200 sample members that are considered “blocked” from collection outreach due to past interactions with the survey.  These figure into the 8,750 total (non-deceased) sample members but are not included in the targeted segments.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64833AB9" w:rsidR="001F59CB" w:rsidRPr="006626FF" w:rsidRDefault="001F59CB" w:rsidP="00F8164B">
    <w:pPr>
      <w:pStyle w:val="Header"/>
      <w:rPr>
        <w:rFonts w:ascii="Times New Roman" w:hAnsi="Times New Roman"/>
        <w:bCs/>
        <w:sz w:val="20"/>
        <w:szCs w:val="20"/>
      </w:rPr>
    </w:pPr>
    <w:r>
      <w:rPr>
        <w:rFonts w:ascii="Times New Roman" w:hAnsi="Times New Roman"/>
        <w:bCs/>
        <w:sz w:val="20"/>
        <w:szCs w:val="20"/>
      </w:rPr>
      <w:t>National Longitudinal Survey of Youth 1997</w:t>
    </w:r>
  </w:p>
  <w:p w14:paraId="52F50703" w14:textId="77FEB4BE" w:rsidR="001F59CB" w:rsidRDefault="001F59CB">
    <w:pPr>
      <w:pStyle w:val="Header"/>
      <w:rPr>
        <w:rFonts w:ascii="Times New Roman" w:hAnsi="Times New Roman"/>
        <w:sz w:val="20"/>
        <w:szCs w:val="20"/>
      </w:rPr>
    </w:pPr>
    <w:r>
      <w:rPr>
        <w:rFonts w:ascii="Times New Roman" w:hAnsi="Times New Roman"/>
        <w:sz w:val="20"/>
        <w:szCs w:val="20"/>
      </w:rPr>
      <w:t>OMB Control Number 1220-0157</w:t>
    </w:r>
  </w:p>
  <w:p w14:paraId="1D1AD862" w14:textId="1E2F46B4" w:rsidR="001F59CB" w:rsidRPr="00F8164B" w:rsidRDefault="001F59CB">
    <w:pPr>
      <w:pStyle w:val="Header"/>
      <w:rPr>
        <w:rFonts w:ascii="Times New Roman" w:hAnsi="Times New Roman"/>
        <w:sz w:val="20"/>
        <w:szCs w:val="20"/>
      </w:rPr>
    </w:pPr>
    <w:r>
      <w:rPr>
        <w:rFonts w:ascii="Times New Roman" w:hAnsi="Times New Roman"/>
        <w:sz w:val="20"/>
        <w:szCs w:val="20"/>
      </w:rPr>
      <w:t>OMB Expiration Date: 8/31/2022</w:t>
    </w:r>
  </w:p>
  <w:p w14:paraId="29EBD65C" w14:textId="77777777" w:rsidR="001F59CB" w:rsidRDefault="001F59CB">
    <w:pPr>
      <w:pStyle w:val="Header"/>
      <w:rPr>
        <w:rFonts w:ascii="Times New Roman" w:hAnsi="Times New Roman"/>
        <w:sz w:val="20"/>
        <w:szCs w:val="20"/>
      </w:rPr>
    </w:pPr>
  </w:p>
  <w:p w14:paraId="578B4815" w14:textId="77777777" w:rsidR="001F59CB" w:rsidRDefault="001F59CB">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1F59CB" w:rsidRDefault="001F59CB">
    <w:pPr>
      <w:pStyle w:val="Header"/>
    </w:pPr>
    <w:r>
      <w:t>[Type text]</w:t>
    </w:r>
  </w:p>
  <w:p w14:paraId="29913AA8" w14:textId="77777777" w:rsidR="001F59CB" w:rsidRDefault="001F5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A3E"/>
    <w:multiLevelType w:val="hybridMultilevel"/>
    <w:tmpl w:val="A9A6EC6E"/>
    <w:lvl w:ilvl="0" w:tplc="B59234D8">
      <w:numFmt w:val="bullet"/>
      <w:lvlText w:val="-"/>
      <w:lvlJc w:val="left"/>
      <w:pPr>
        <w:ind w:left="720" w:hanging="360"/>
      </w:pPr>
      <w:rPr>
        <w:rFonts w:ascii="Courier 12cpi" w:eastAsia="Times New Roman" w:hAnsi="Courier 12cp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33C11"/>
    <w:multiLevelType w:val="hybridMultilevel"/>
    <w:tmpl w:val="6A5255EE"/>
    <w:lvl w:ilvl="0" w:tplc="05608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F27D4"/>
    <w:multiLevelType w:val="hybridMultilevel"/>
    <w:tmpl w:val="FD900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0"/>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8"/>
  </w:num>
  <w:num w:numId="12">
    <w:abstractNumId w:val="9"/>
  </w:num>
  <w:num w:numId="13">
    <w:abstractNumId w:val="7"/>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3FD"/>
    <w:rsid w:val="00014158"/>
    <w:rsid w:val="00020F69"/>
    <w:rsid w:val="00022303"/>
    <w:rsid w:val="00027953"/>
    <w:rsid w:val="00033D73"/>
    <w:rsid w:val="0004107F"/>
    <w:rsid w:val="00042CBD"/>
    <w:rsid w:val="00044C94"/>
    <w:rsid w:val="00052174"/>
    <w:rsid w:val="00061F6C"/>
    <w:rsid w:val="00064E28"/>
    <w:rsid w:val="000668A2"/>
    <w:rsid w:val="0007383F"/>
    <w:rsid w:val="00073C01"/>
    <w:rsid w:val="00090929"/>
    <w:rsid w:val="00094A5E"/>
    <w:rsid w:val="00095C30"/>
    <w:rsid w:val="00096CED"/>
    <w:rsid w:val="000A6374"/>
    <w:rsid w:val="000A7853"/>
    <w:rsid w:val="000B0391"/>
    <w:rsid w:val="000B4875"/>
    <w:rsid w:val="000B6FB6"/>
    <w:rsid w:val="000C257C"/>
    <w:rsid w:val="000C3A92"/>
    <w:rsid w:val="000C74FB"/>
    <w:rsid w:val="000D00C5"/>
    <w:rsid w:val="000D52D4"/>
    <w:rsid w:val="000D7F95"/>
    <w:rsid w:val="000E1C64"/>
    <w:rsid w:val="000E24E0"/>
    <w:rsid w:val="000F6836"/>
    <w:rsid w:val="00101E2E"/>
    <w:rsid w:val="0010285A"/>
    <w:rsid w:val="001040D4"/>
    <w:rsid w:val="00104FF9"/>
    <w:rsid w:val="001052BE"/>
    <w:rsid w:val="001078BB"/>
    <w:rsid w:val="001137AA"/>
    <w:rsid w:val="00116CD5"/>
    <w:rsid w:val="001279E8"/>
    <w:rsid w:val="00133C47"/>
    <w:rsid w:val="00144584"/>
    <w:rsid w:val="0014556E"/>
    <w:rsid w:val="001460B6"/>
    <w:rsid w:val="0015322B"/>
    <w:rsid w:val="0015365E"/>
    <w:rsid w:val="00153665"/>
    <w:rsid w:val="00157A90"/>
    <w:rsid w:val="00180E5A"/>
    <w:rsid w:val="0019368A"/>
    <w:rsid w:val="00194B1C"/>
    <w:rsid w:val="001A0281"/>
    <w:rsid w:val="001A47D9"/>
    <w:rsid w:val="001C4319"/>
    <w:rsid w:val="001D10ED"/>
    <w:rsid w:val="001D2550"/>
    <w:rsid w:val="001D2D09"/>
    <w:rsid w:val="001D43F4"/>
    <w:rsid w:val="001D67BB"/>
    <w:rsid w:val="001E0E7F"/>
    <w:rsid w:val="001E2932"/>
    <w:rsid w:val="001E3596"/>
    <w:rsid w:val="001E5213"/>
    <w:rsid w:val="001F2E8E"/>
    <w:rsid w:val="001F3288"/>
    <w:rsid w:val="001F4046"/>
    <w:rsid w:val="001F59CB"/>
    <w:rsid w:val="002036A1"/>
    <w:rsid w:val="00207EB2"/>
    <w:rsid w:val="002134B4"/>
    <w:rsid w:val="002203C9"/>
    <w:rsid w:val="00221002"/>
    <w:rsid w:val="00237044"/>
    <w:rsid w:val="00237691"/>
    <w:rsid w:val="00242CA0"/>
    <w:rsid w:val="00243432"/>
    <w:rsid w:val="00247146"/>
    <w:rsid w:val="00254619"/>
    <w:rsid w:val="002704A1"/>
    <w:rsid w:val="00273D58"/>
    <w:rsid w:val="00277C1F"/>
    <w:rsid w:val="002809C6"/>
    <w:rsid w:val="002857BF"/>
    <w:rsid w:val="002866AD"/>
    <w:rsid w:val="00286BE3"/>
    <w:rsid w:val="0029135D"/>
    <w:rsid w:val="00292951"/>
    <w:rsid w:val="00293CD1"/>
    <w:rsid w:val="002A0AC9"/>
    <w:rsid w:val="002A247A"/>
    <w:rsid w:val="002A2CDA"/>
    <w:rsid w:val="002A3962"/>
    <w:rsid w:val="002A5972"/>
    <w:rsid w:val="002B3761"/>
    <w:rsid w:val="002B4075"/>
    <w:rsid w:val="002B7737"/>
    <w:rsid w:val="002C0BB8"/>
    <w:rsid w:val="002C373D"/>
    <w:rsid w:val="002D125A"/>
    <w:rsid w:val="002D74B5"/>
    <w:rsid w:val="002E0B55"/>
    <w:rsid w:val="002E0E08"/>
    <w:rsid w:val="002E238B"/>
    <w:rsid w:val="002E4200"/>
    <w:rsid w:val="002E636E"/>
    <w:rsid w:val="002F1685"/>
    <w:rsid w:val="00304132"/>
    <w:rsid w:val="003110E6"/>
    <w:rsid w:val="00312124"/>
    <w:rsid w:val="00313820"/>
    <w:rsid w:val="0031407B"/>
    <w:rsid w:val="00314DA4"/>
    <w:rsid w:val="0032649A"/>
    <w:rsid w:val="00326D9A"/>
    <w:rsid w:val="00332F98"/>
    <w:rsid w:val="00342127"/>
    <w:rsid w:val="003430A6"/>
    <w:rsid w:val="003448FC"/>
    <w:rsid w:val="003517D5"/>
    <w:rsid w:val="0035303B"/>
    <w:rsid w:val="003548D8"/>
    <w:rsid w:val="00363CC2"/>
    <w:rsid w:val="00371EEC"/>
    <w:rsid w:val="00373C4D"/>
    <w:rsid w:val="003876F3"/>
    <w:rsid w:val="00390426"/>
    <w:rsid w:val="00394AEB"/>
    <w:rsid w:val="003A0CA0"/>
    <w:rsid w:val="003A13F0"/>
    <w:rsid w:val="003A26F7"/>
    <w:rsid w:val="003A3100"/>
    <w:rsid w:val="003A373F"/>
    <w:rsid w:val="003A5F9D"/>
    <w:rsid w:val="003A6353"/>
    <w:rsid w:val="003B13A8"/>
    <w:rsid w:val="003C13C6"/>
    <w:rsid w:val="003C2A47"/>
    <w:rsid w:val="003C2E53"/>
    <w:rsid w:val="003C68B3"/>
    <w:rsid w:val="003D0E38"/>
    <w:rsid w:val="003D5958"/>
    <w:rsid w:val="003D5991"/>
    <w:rsid w:val="003D6AC7"/>
    <w:rsid w:val="003E1039"/>
    <w:rsid w:val="003E1D79"/>
    <w:rsid w:val="003E49A6"/>
    <w:rsid w:val="003E5E34"/>
    <w:rsid w:val="003F0301"/>
    <w:rsid w:val="003F53FB"/>
    <w:rsid w:val="003F5C19"/>
    <w:rsid w:val="00400B4D"/>
    <w:rsid w:val="00401F18"/>
    <w:rsid w:val="004056B7"/>
    <w:rsid w:val="00405B6C"/>
    <w:rsid w:val="00410AC8"/>
    <w:rsid w:val="00414664"/>
    <w:rsid w:val="00424A92"/>
    <w:rsid w:val="00425767"/>
    <w:rsid w:val="004347EE"/>
    <w:rsid w:val="00440720"/>
    <w:rsid w:val="00443460"/>
    <w:rsid w:val="0044773C"/>
    <w:rsid w:val="00452DC2"/>
    <w:rsid w:val="004672B5"/>
    <w:rsid w:val="004844D1"/>
    <w:rsid w:val="0048559D"/>
    <w:rsid w:val="00492A76"/>
    <w:rsid w:val="00494A93"/>
    <w:rsid w:val="00494D75"/>
    <w:rsid w:val="004A1763"/>
    <w:rsid w:val="004A7B92"/>
    <w:rsid w:val="004B1E83"/>
    <w:rsid w:val="004B7972"/>
    <w:rsid w:val="004C1451"/>
    <w:rsid w:val="004C4217"/>
    <w:rsid w:val="004D1C78"/>
    <w:rsid w:val="004D441E"/>
    <w:rsid w:val="004D46D1"/>
    <w:rsid w:val="004E1D9E"/>
    <w:rsid w:val="004E40F3"/>
    <w:rsid w:val="004F1E70"/>
    <w:rsid w:val="004F4B0A"/>
    <w:rsid w:val="004F67EA"/>
    <w:rsid w:val="005164DC"/>
    <w:rsid w:val="005236DE"/>
    <w:rsid w:val="00523ED6"/>
    <w:rsid w:val="0052513D"/>
    <w:rsid w:val="00530EBD"/>
    <w:rsid w:val="00533041"/>
    <w:rsid w:val="005330CF"/>
    <w:rsid w:val="00534744"/>
    <w:rsid w:val="00553AAF"/>
    <w:rsid w:val="00554CAA"/>
    <w:rsid w:val="00564772"/>
    <w:rsid w:val="00567912"/>
    <w:rsid w:val="00570098"/>
    <w:rsid w:val="00572745"/>
    <w:rsid w:val="005805E7"/>
    <w:rsid w:val="005812A6"/>
    <w:rsid w:val="00583F5D"/>
    <w:rsid w:val="0058424C"/>
    <w:rsid w:val="00584F8D"/>
    <w:rsid w:val="00591087"/>
    <w:rsid w:val="005A0350"/>
    <w:rsid w:val="005A65AC"/>
    <w:rsid w:val="005B1055"/>
    <w:rsid w:val="005B1EBE"/>
    <w:rsid w:val="005B5990"/>
    <w:rsid w:val="005C6147"/>
    <w:rsid w:val="005C6E13"/>
    <w:rsid w:val="005D3495"/>
    <w:rsid w:val="005D5F8C"/>
    <w:rsid w:val="005E09D5"/>
    <w:rsid w:val="005E1292"/>
    <w:rsid w:val="005E28CD"/>
    <w:rsid w:val="005E31DC"/>
    <w:rsid w:val="005E5148"/>
    <w:rsid w:val="005E562E"/>
    <w:rsid w:val="005F0B37"/>
    <w:rsid w:val="0060114B"/>
    <w:rsid w:val="00606F39"/>
    <w:rsid w:val="00611DE2"/>
    <w:rsid w:val="0061640D"/>
    <w:rsid w:val="006227B3"/>
    <w:rsid w:val="0063690B"/>
    <w:rsid w:val="00641EB3"/>
    <w:rsid w:val="00642220"/>
    <w:rsid w:val="00652ED1"/>
    <w:rsid w:val="006608D0"/>
    <w:rsid w:val="00661E5E"/>
    <w:rsid w:val="006626FF"/>
    <w:rsid w:val="006650A8"/>
    <w:rsid w:val="00675B7E"/>
    <w:rsid w:val="0067772C"/>
    <w:rsid w:val="00685435"/>
    <w:rsid w:val="00690F56"/>
    <w:rsid w:val="006914B4"/>
    <w:rsid w:val="006A1025"/>
    <w:rsid w:val="006A450E"/>
    <w:rsid w:val="006A4637"/>
    <w:rsid w:val="006A7451"/>
    <w:rsid w:val="006B137D"/>
    <w:rsid w:val="006B2853"/>
    <w:rsid w:val="006B2DC7"/>
    <w:rsid w:val="006C39F8"/>
    <w:rsid w:val="006D07AC"/>
    <w:rsid w:val="006D0E92"/>
    <w:rsid w:val="006E1525"/>
    <w:rsid w:val="006E1A08"/>
    <w:rsid w:val="006F3E30"/>
    <w:rsid w:val="006F66F9"/>
    <w:rsid w:val="006F6E13"/>
    <w:rsid w:val="007010C5"/>
    <w:rsid w:val="007011F1"/>
    <w:rsid w:val="007127A1"/>
    <w:rsid w:val="00712D99"/>
    <w:rsid w:val="00713ACE"/>
    <w:rsid w:val="00715F82"/>
    <w:rsid w:val="0071749C"/>
    <w:rsid w:val="007220D8"/>
    <w:rsid w:val="00734BD6"/>
    <w:rsid w:val="007412B6"/>
    <w:rsid w:val="007636EC"/>
    <w:rsid w:val="00767D37"/>
    <w:rsid w:val="00774503"/>
    <w:rsid w:val="00777CD2"/>
    <w:rsid w:val="0078038F"/>
    <w:rsid w:val="00785FE9"/>
    <w:rsid w:val="00786E04"/>
    <w:rsid w:val="007A7F79"/>
    <w:rsid w:val="007B0FE2"/>
    <w:rsid w:val="007B3F8E"/>
    <w:rsid w:val="007C5527"/>
    <w:rsid w:val="007D46C2"/>
    <w:rsid w:val="007E06C9"/>
    <w:rsid w:val="007E1D22"/>
    <w:rsid w:val="007E4763"/>
    <w:rsid w:val="007E6E8A"/>
    <w:rsid w:val="007F0FDC"/>
    <w:rsid w:val="00801458"/>
    <w:rsid w:val="008043E5"/>
    <w:rsid w:val="00804A1A"/>
    <w:rsid w:val="0081073D"/>
    <w:rsid w:val="00812350"/>
    <w:rsid w:val="008142BF"/>
    <w:rsid w:val="00816726"/>
    <w:rsid w:val="00817CC3"/>
    <w:rsid w:val="008202FA"/>
    <w:rsid w:val="00823983"/>
    <w:rsid w:val="00824667"/>
    <w:rsid w:val="008323ED"/>
    <w:rsid w:val="00835955"/>
    <w:rsid w:val="00843596"/>
    <w:rsid w:val="00846701"/>
    <w:rsid w:val="00854FEB"/>
    <w:rsid w:val="00857282"/>
    <w:rsid w:val="00860517"/>
    <w:rsid w:val="008624D5"/>
    <w:rsid w:val="00871CA6"/>
    <w:rsid w:val="008749C1"/>
    <w:rsid w:val="00882AB5"/>
    <w:rsid w:val="00882B1D"/>
    <w:rsid w:val="00885067"/>
    <w:rsid w:val="0088672C"/>
    <w:rsid w:val="008A1F0C"/>
    <w:rsid w:val="008A40D1"/>
    <w:rsid w:val="008B0C9E"/>
    <w:rsid w:val="008B541B"/>
    <w:rsid w:val="008C0B41"/>
    <w:rsid w:val="008C0EA7"/>
    <w:rsid w:val="008F0114"/>
    <w:rsid w:val="008F71CC"/>
    <w:rsid w:val="00901003"/>
    <w:rsid w:val="0090158E"/>
    <w:rsid w:val="00901EF6"/>
    <w:rsid w:val="0090413E"/>
    <w:rsid w:val="00911B03"/>
    <w:rsid w:val="00911E07"/>
    <w:rsid w:val="009271B1"/>
    <w:rsid w:val="00940938"/>
    <w:rsid w:val="00943051"/>
    <w:rsid w:val="009441E2"/>
    <w:rsid w:val="00963680"/>
    <w:rsid w:val="00964D3F"/>
    <w:rsid w:val="009700D9"/>
    <w:rsid w:val="0097388C"/>
    <w:rsid w:val="00983416"/>
    <w:rsid w:val="00985C15"/>
    <w:rsid w:val="00996AFE"/>
    <w:rsid w:val="009A6DCA"/>
    <w:rsid w:val="009B00FD"/>
    <w:rsid w:val="009B25A9"/>
    <w:rsid w:val="009B262E"/>
    <w:rsid w:val="009B3336"/>
    <w:rsid w:val="009B38D1"/>
    <w:rsid w:val="009B4116"/>
    <w:rsid w:val="009C2A10"/>
    <w:rsid w:val="009D1EA2"/>
    <w:rsid w:val="009D1EAD"/>
    <w:rsid w:val="009E0141"/>
    <w:rsid w:val="009E234B"/>
    <w:rsid w:val="009E35FD"/>
    <w:rsid w:val="009E5CB3"/>
    <w:rsid w:val="009F52F3"/>
    <w:rsid w:val="00A019C0"/>
    <w:rsid w:val="00A07B4A"/>
    <w:rsid w:val="00A10441"/>
    <w:rsid w:val="00A15094"/>
    <w:rsid w:val="00A21F98"/>
    <w:rsid w:val="00A25539"/>
    <w:rsid w:val="00A3540D"/>
    <w:rsid w:val="00A41C21"/>
    <w:rsid w:val="00A47DA7"/>
    <w:rsid w:val="00A52DE7"/>
    <w:rsid w:val="00A55023"/>
    <w:rsid w:val="00A56B86"/>
    <w:rsid w:val="00A56C99"/>
    <w:rsid w:val="00A632EF"/>
    <w:rsid w:val="00A644E0"/>
    <w:rsid w:val="00A677E9"/>
    <w:rsid w:val="00A740AB"/>
    <w:rsid w:val="00A834BF"/>
    <w:rsid w:val="00A90769"/>
    <w:rsid w:val="00A973AA"/>
    <w:rsid w:val="00AA177A"/>
    <w:rsid w:val="00AA7466"/>
    <w:rsid w:val="00AA7499"/>
    <w:rsid w:val="00AB357D"/>
    <w:rsid w:val="00AB4DC3"/>
    <w:rsid w:val="00AC3092"/>
    <w:rsid w:val="00AC74FE"/>
    <w:rsid w:val="00AC775D"/>
    <w:rsid w:val="00AD022F"/>
    <w:rsid w:val="00AD113F"/>
    <w:rsid w:val="00AD75AC"/>
    <w:rsid w:val="00AE01B7"/>
    <w:rsid w:val="00AF2C11"/>
    <w:rsid w:val="00AF3788"/>
    <w:rsid w:val="00AF482D"/>
    <w:rsid w:val="00AF5262"/>
    <w:rsid w:val="00AF7928"/>
    <w:rsid w:val="00B036CD"/>
    <w:rsid w:val="00B27250"/>
    <w:rsid w:val="00B278B1"/>
    <w:rsid w:val="00B35DAD"/>
    <w:rsid w:val="00B41337"/>
    <w:rsid w:val="00B47443"/>
    <w:rsid w:val="00B47572"/>
    <w:rsid w:val="00B524AD"/>
    <w:rsid w:val="00B5377A"/>
    <w:rsid w:val="00B60D18"/>
    <w:rsid w:val="00B6181C"/>
    <w:rsid w:val="00B65823"/>
    <w:rsid w:val="00B66231"/>
    <w:rsid w:val="00B778D8"/>
    <w:rsid w:val="00B90C35"/>
    <w:rsid w:val="00B95D50"/>
    <w:rsid w:val="00BA0EED"/>
    <w:rsid w:val="00BA6C9C"/>
    <w:rsid w:val="00BB3BEF"/>
    <w:rsid w:val="00BD34F2"/>
    <w:rsid w:val="00C02E4A"/>
    <w:rsid w:val="00C05B88"/>
    <w:rsid w:val="00C07F7F"/>
    <w:rsid w:val="00C1045C"/>
    <w:rsid w:val="00C12530"/>
    <w:rsid w:val="00C14429"/>
    <w:rsid w:val="00C15606"/>
    <w:rsid w:val="00C2235B"/>
    <w:rsid w:val="00C247D8"/>
    <w:rsid w:val="00C34009"/>
    <w:rsid w:val="00C36B3F"/>
    <w:rsid w:val="00C4618E"/>
    <w:rsid w:val="00C4763A"/>
    <w:rsid w:val="00C63D1E"/>
    <w:rsid w:val="00C6417F"/>
    <w:rsid w:val="00C667F3"/>
    <w:rsid w:val="00C712D2"/>
    <w:rsid w:val="00C77B5C"/>
    <w:rsid w:val="00C824C6"/>
    <w:rsid w:val="00C8275F"/>
    <w:rsid w:val="00C83D3C"/>
    <w:rsid w:val="00C87068"/>
    <w:rsid w:val="00C9162F"/>
    <w:rsid w:val="00C94FEA"/>
    <w:rsid w:val="00CA21AC"/>
    <w:rsid w:val="00CA2F0A"/>
    <w:rsid w:val="00CA6EAA"/>
    <w:rsid w:val="00CB3579"/>
    <w:rsid w:val="00CB3CBE"/>
    <w:rsid w:val="00CC0731"/>
    <w:rsid w:val="00CC260C"/>
    <w:rsid w:val="00CC770C"/>
    <w:rsid w:val="00CD215D"/>
    <w:rsid w:val="00CD6628"/>
    <w:rsid w:val="00CE0295"/>
    <w:rsid w:val="00CE4251"/>
    <w:rsid w:val="00CE4EEF"/>
    <w:rsid w:val="00CE78AF"/>
    <w:rsid w:val="00D00B37"/>
    <w:rsid w:val="00D11918"/>
    <w:rsid w:val="00D17924"/>
    <w:rsid w:val="00D209AB"/>
    <w:rsid w:val="00D2331B"/>
    <w:rsid w:val="00D30636"/>
    <w:rsid w:val="00D36BB6"/>
    <w:rsid w:val="00D37912"/>
    <w:rsid w:val="00D53409"/>
    <w:rsid w:val="00D53DEB"/>
    <w:rsid w:val="00D56B1D"/>
    <w:rsid w:val="00D56CF3"/>
    <w:rsid w:val="00D57DE8"/>
    <w:rsid w:val="00D618A1"/>
    <w:rsid w:val="00D65FB4"/>
    <w:rsid w:val="00D733FE"/>
    <w:rsid w:val="00D73AAD"/>
    <w:rsid w:val="00D75842"/>
    <w:rsid w:val="00D857F8"/>
    <w:rsid w:val="00D86FF7"/>
    <w:rsid w:val="00D87E16"/>
    <w:rsid w:val="00D87ED3"/>
    <w:rsid w:val="00D966A9"/>
    <w:rsid w:val="00DB0C2C"/>
    <w:rsid w:val="00DB7B7C"/>
    <w:rsid w:val="00DD6DF0"/>
    <w:rsid w:val="00DE0814"/>
    <w:rsid w:val="00DE6E5D"/>
    <w:rsid w:val="00E0031C"/>
    <w:rsid w:val="00E0138A"/>
    <w:rsid w:val="00E06430"/>
    <w:rsid w:val="00E16D7D"/>
    <w:rsid w:val="00E2203E"/>
    <w:rsid w:val="00E22463"/>
    <w:rsid w:val="00E23871"/>
    <w:rsid w:val="00E322E9"/>
    <w:rsid w:val="00E32C77"/>
    <w:rsid w:val="00E35EE5"/>
    <w:rsid w:val="00E400EA"/>
    <w:rsid w:val="00E45611"/>
    <w:rsid w:val="00E46EE5"/>
    <w:rsid w:val="00E57A41"/>
    <w:rsid w:val="00E57F5E"/>
    <w:rsid w:val="00E60FB0"/>
    <w:rsid w:val="00E614A1"/>
    <w:rsid w:val="00E700AD"/>
    <w:rsid w:val="00E70A45"/>
    <w:rsid w:val="00E74ABD"/>
    <w:rsid w:val="00E76490"/>
    <w:rsid w:val="00E81D80"/>
    <w:rsid w:val="00E83023"/>
    <w:rsid w:val="00E833E4"/>
    <w:rsid w:val="00E84B17"/>
    <w:rsid w:val="00E91201"/>
    <w:rsid w:val="00E92EED"/>
    <w:rsid w:val="00E93A0F"/>
    <w:rsid w:val="00EA3E66"/>
    <w:rsid w:val="00EA59E8"/>
    <w:rsid w:val="00EC0B43"/>
    <w:rsid w:val="00EC2687"/>
    <w:rsid w:val="00EC731E"/>
    <w:rsid w:val="00ED3F69"/>
    <w:rsid w:val="00EE5567"/>
    <w:rsid w:val="00EF09D2"/>
    <w:rsid w:val="00F11AA8"/>
    <w:rsid w:val="00F22903"/>
    <w:rsid w:val="00F24787"/>
    <w:rsid w:val="00F27223"/>
    <w:rsid w:val="00F34D38"/>
    <w:rsid w:val="00F3623C"/>
    <w:rsid w:val="00F41116"/>
    <w:rsid w:val="00F44D20"/>
    <w:rsid w:val="00F4518C"/>
    <w:rsid w:val="00F4529D"/>
    <w:rsid w:val="00F53F09"/>
    <w:rsid w:val="00F55431"/>
    <w:rsid w:val="00F56B20"/>
    <w:rsid w:val="00F56F91"/>
    <w:rsid w:val="00F61351"/>
    <w:rsid w:val="00F6219B"/>
    <w:rsid w:val="00F62A9A"/>
    <w:rsid w:val="00F64E0B"/>
    <w:rsid w:val="00F704C2"/>
    <w:rsid w:val="00F71DCF"/>
    <w:rsid w:val="00F72D66"/>
    <w:rsid w:val="00F8164B"/>
    <w:rsid w:val="00F81841"/>
    <w:rsid w:val="00F935EE"/>
    <w:rsid w:val="00FA092D"/>
    <w:rsid w:val="00FA3D8C"/>
    <w:rsid w:val="00FB4F97"/>
    <w:rsid w:val="00FB587F"/>
    <w:rsid w:val="00FD56A4"/>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433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137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F71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2809C6"/>
    <w:pPr>
      <w:widowControl/>
      <w:autoSpaceDE/>
      <w:autoSpaceDN/>
      <w:adjustRightInd/>
      <w:ind w:left="720" w:right="720"/>
    </w:pPr>
    <w:rPr>
      <w:rFonts w:ascii="Times New Roman" w:hAnsi="Times New Roman"/>
      <w:b/>
      <w:i/>
      <w:sz w:val="20"/>
      <w:szCs w:val="20"/>
    </w:rPr>
  </w:style>
  <w:style w:type="character" w:styleId="Hyperlink">
    <w:name w:val="Hyperlink"/>
    <w:basedOn w:val="DefaultParagraphFont"/>
    <w:rsid w:val="00EC2687"/>
    <w:rPr>
      <w:color w:val="0000FF"/>
      <w:u w:val="single"/>
    </w:rPr>
  </w:style>
  <w:style w:type="character" w:customStyle="1" w:styleId="Heading3Char">
    <w:name w:val="Heading 3 Char"/>
    <w:basedOn w:val="DefaultParagraphFont"/>
    <w:link w:val="Heading3"/>
    <w:rsid w:val="001137A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0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06F39"/>
    <w:pPr>
      <w:widowControl/>
      <w:pBdr>
        <w:bottom w:val="single" w:sz="4" w:space="4" w:color="5B9BD5" w:themeColor="accent1"/>
      </w:pBdr>
      <w:autoSpaceDE/>
      <w:autoSpaceDN/>
      <w:adjustRightInd/>
      <w:spacing w:before="200" w:after="280"/>
      <w:ind w:left="936" w:right="936"/>
    </w:pPr>
    <w:rPr>
      <w:rFonts w:ascii="Calibri" w:eastAsiaTheme="minorHAnsi" w:hAnsi="Calibri"/>
      <w:b/>
      <w:bCs/>
      <w:i/>
      <w:iCs/>
      <w:color w:val="5B9BD5" w:themeColor="accent1"/>
      <w:sz w:val="22"/>
      <w:szCs w:val="22"/>
    </w:rPr>
  </w:style>
  <w:style w:type="character" w:customStyle="1" w:styleId="IntenseQuoteChar">
    <w:name w:val="Intense Quote Char"/>
    <w:basedOn w:val="DefaultParagraphFont"/>
    <w:link w:val="IntenseQuote"/>
    <w:uiPriority w:val="30"/>
    <w:rsid w:val="00606F39"/>
    <w:rPr>
      <w:rFonts w:ascii="Calibri" w:eastAsiaTheme="minorHAnsi" w:hAnsi="Calibri"/>
      <w:b/>
      <w:bCs/>
      <w:i/>
      <w:iCs/>
      <w:color w:val="5B9BD5" w:themeColor="accent1"/>
      <w:sz w:val="22"/>
      <w:szCs w:val="22"/>
    </w:rPr>
  </w:style>
  <w:style w:type="character" w:styleId="BookTitle">
    <w:name w:val="Book Title"/>
    <w:basedOn w:val="DefaultParagraphFont"/>
    <w:uiPriority w:val="33"/>
    <w:qFormat/>
    <w:rsid w:val="00606F39"/>
    <w:rPr>
      <w:b/>
      <w:bCs/>
      <w:i/>
      <w:iCs/>
      <w:spacing w:val="5"/>
    </w:rPr>
  </w:style>
  <w:style w:type="paragraph" w:styleId="PlainText">
    <w:name w:val="Plain Text"/>
    <w:basedOn w:val="Normal"/>
    <w:link w:val="PlainTextChar"/>
    <w:uiPriority w:val="99"/>
    <w:rsid w:val="00F704C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F704C2"/>
    <w:rPr>
      <w:rFonts w:ascii="Courier New" w:hAnsi="Courier New" w:cs="Courier New"/>
    </w:rPr>
  </w:style>
  <w:style w:type="character" w:customStyle="1" w:styleId="Heading4Char">
    <w:name w:val="Heading 4 Char"/>
    <w:basedOn w:val="DefaultParagraphFont"/>
    <w:link w:val="Heading4"/>
    <w:semiHidden/>
    <w:rsid w:val="008F71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rsid w:val="008F71C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8F71CC"/>
  </w:style>
  <w:style w:type="paragraph" w:styleId="BodyText2">
    <w:name w:val="Body Text 2"/>
    <w:basedOn w:val="Normal"/>
    <w:link w:val="BodyText2Char"/>
    <w:rsid w:val="008F71CC"/>
    <w:pPr>
      <w:widowControl/>
      <w:tabs>
        <w:tab w:val="left" w:pos="-720"/>
      </w:tabs>
      <w:suppressAutoHyphens/>
      <w:autoSpaceDE/>
      <w:autoSpaceDN/>
      <w:adjustRightInd/>
      <w:ind w:right="4320"/>
    </w:pPr>
    <w:rPr>
      <w:rFonts w:ascii="Times New Roman" w:hAnsi="Times New Roman"/>
      <w:sz w:val="20"/>
      <w:szCs w:val="20"/>
    </w:rPr>
  </w:style>
  <w:style w:type="character" w:customStyle="1" w:styleId="BodyText2Char">
    <w:name w:val="Body Text 2 Char"/>
    <w:basedOn w:val="DefaultParagraphFont"/>
    <w:link w:val="BodyText2"/>
    <w:rsid w:val="008F71CC"/>
  </w:style>
  <w:style w:type="paragraph" w:styleId="BodyTextIndent3">
    <w:name w:val="Body Text Indent 3"/>
    <w:basedOn w:val="Normal"/>
    <w:link w:val="BodyTextIndent3Char"/>
    <w:rsid w:val="008F71CC"/>
    <w:pPr>
      <w:widowControl/>
      <w:autoSpaceDE/>
      <w:autoSpaceDN/>
      <w:adjustRightInd/>
      <w:spacing w:after="120"/>
      <w:ind w:left="1008" w:hanging="288"/>
    </w:pPr>
    <w:rPr>
      <w:rFonts w:ascii="Times New Roman" w:hAnsi="Times New Roman"/>
      <w:sz w:val="20"/>
      <w:szCs w:val="20"/>
    </w:rPr>
  </w:style>
  <w:style w:type="character" w:customStyle="1" w:styleId="BodyTextIndent3Char">
    <w:name w:val="Body Text Indent 3 Char"/>
    <w:basedOn w:val="DefaultParagraphFont"/>
    <w:link w:val="BodyTextIndent3"/>
    <w:rsid w:val="008F71CC"/>
  </w:style>
  <w:style w:type="paragraph" w:styleId="BodyTextIndent">
    <w:name w:val="Body Text Indent"/>
    <w:basedOn w:val="Normal"/>
    <w:link w:val="BodyTextIndentChar"/>
    <w:rsid w:val="00C2235B"/>
    <w:pPr>
      <w:spacing w:after="120"/>
      <w:ind w:left="360"/>
    </w:pPr>
  </w:style>
  <w:style w:type="character" w:customStyle="1" w:styleId="BodyTextIndentChar">
    <w:name w:val="Body Text Indent Char"/>
    <w:basedOn w:val="DefaultParagraphFont"/>
    <w:link w:val="BodyTextIndent"/>
    <w:rsid w:val="00C2235B"/>
    <w:rPr>
      <w:rFonts w:ascii="Courier 12cpi" w:hAnsi="Courier 12cpi"/>
      <w:sz w:val="24"/>
      <w:szCs w:val="24"/>
    </w:rPr>
  </w:style>
  <w:style w:type="paragraph" w:customStyle="1" w:styleId="Default">
    <w:name w:val="Default"/>
    <w:rsid w:val="009430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185901215">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456754170">
      <w:bodyDiv w:val="1"/>
      <w:marLeft w:val="0"/>
      <w:marRight w:val="0"/>
      <w:marTop w:val="0"/>
      <w:marBottom w:val="0"/>
      <w:divBdr>
        <w:top w:val="none" w:sz="0" w:space="0" w:color="auto"/>
        <w:left w:val="none" w:sz="0" w:space="0" w:color="auto"/>
        <w:bottom w:val="none" w:sz="0" w:space="0" w:color="auto"/>
        <w:right w:val="none" w:sz="0" w:space="0" w:color="auto"/>
      </w:divBdr>
    </w:div>
    <w:div w:id="1533955258">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62363047">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lsbibliography.org/"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nlsyth.pdf"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19 completers who have missed at least one round</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C7E7888E-E0E1-4000-A922-C0FFA4F4A369}">
      <dgm:prSet phldrT="[Text]" custT="1"/>
      <dgm:spPr/>
      <dgm:t>
        <a:bodyPr/>
        <a:lstStyle/>
        <a:p>
          <a:r>
            <a:rPr lang="en-US" sz="1200" b="1" i="0"/>
            <a:t>Round 20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Round 19 non-completers</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50147BF5-6E59-4F76-825A-87D43313F3D9}">
      <dgm:prSet phldrT="[Text]" custT="1"/>
      <dgm:spPr>
        <a:solidFill>
          <a:schemeClr val="accent3">
            <a:lumMod val="20000"/>
            <a:lumOff val="80000"/>
          </a:schemeClr>
        </a:solidFill>
      </dgm:spPr>
      <dgm:t>
        <a:bodyPr/>
        <a:lstStyle/>
        <a:p>
          <a:r>
            <a:rPr lang="en-US" sz="1200" b="1"/>
            <a:t>Perfect responders</a:t>
          </a:r>
        </a:p>
      </dgm:t>
    </dgm:pt>
    <dgm:pt modelId="{E2F97F43-2A1C-465C-B2C6-D1F7FAFE58F2}" type="parTrans" cxnId="{B36C3A91-E8DB-4F35-8A93-21ADAC156C15}">
      <dgm:prSet/>
      <dgm:spPr/>
      <dgm:t>
        <a:bodyPr/>
        <a:lstStyle/>
        <a:p>
          <a:endParaRPr lang="en-US"/>
        </a:p>
      </dgm:t>
    </dgm:pt>
    <dgm:pt modelId="{E1831208-D863-4D85-B617-E7E995697772}" type="sibTrans" cxnId="{B36C3A91-E8DB-4F35-8A93-21ADAC156C15}">
      <dgm:prSet/>
      <dgm:spPr/>
      <dgm:t>
        <a:bodyPr/>
        <a:lstStyle/>
        <a:p>
          <a:endParaRPr lang="en-US"/>
        </a:p>
      </dgm:t>
    </dgm:pt>
    <dgm:pt modelId="{27997DC4-FF4C-4FA2-8F35-7BE0100DBD9D}">
      <dgm:prSet/>
      <dgm:spPr/>
      <dgm:t>
        <a:bodyPr/>
        <a:lstStyle/>
        <a:p>
          <a:endParaRPr lang="en-US"/>
        </a:p>
      </dgm:t>
    </dgm:pt>
    <dgm:pt modelId="{AF99F8DF-4401-4413-9592-838FCD9A487E}" type="sibTrans" cxnId="{E3D58F20-2493-4EF3-826E-38A2B7ECED55}">
      <dgm:prSet/>
      <dgm:spPr/>
      <dgm:t>
        <a:bodyPr/>
        <a:lstStyle/>
        <a:p>
          <a:endParaRPr lang="en-US"/>
        </a:p>
      </dgm:t>
    </dgm:pt>
    <dgm:pt modelId="{68F43019-149E-4490-9F81-825BCC2AF9EB}" type="parTrans" cxnId="{E3D58F20-2493-4EF3-826E-38A2B7ECED55}">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t>
        <a:bodyPr/>
        <a:lstStyle/>
        <a:p>
          <a:endParaRPr lang="en-US"/>
        </a:p>
      </dgm:t>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2" custScaleX="99306" custLinFactNeighborX="-958" custLinFactNeighborY="-35119">
        <dgm:presLayoutVars>
          <dgm:chPref val="3"/>
        </dgm:presLayoutVars>
      </dgm:prSet>
      <dgm:spPr/>
      <dgm:t>
        <a:bodyPr/>
        <a:lstStyle/>
        <a:p>
          <a:endParaRPr lang="en-US"/>
        </a:p>
      </dgm:t>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3"/>
      <dgm:spPr/>
      <dgm:t>
        <a:bodyPr/>
        <a:lstStyle/>
        <a:p>
          <a:endParaRPr lang="en-US"/>
        </a:p>
      </dgm:t>
    </dgm:pt>
    <dgm:pt modelId="{90BFEE09-DD26-4B83-9B8A-E474FD50F1B2}" type="pres">
      <dgm:prSet presAssocID="{5380643E-B75B-4CA2-B2F3-84B83159A60E}" presName="connTx" presStyleLbl="parChTrans1D2" presStyleIdx="0" presStyleCnt="3"/>
      <dgm:spPr/>
      <dgm:t>
        <a:bodyPr/>
        <a:lstStyle/>
        <a:p>
          <a:endParaRPr lang="en-US"/>
        </a:p>
      </dgm:t>
    </dgm:pt>
    <dgm:pt modelId="{9AAB7A76-0215-4DEA-8B61-E741CB484CB6}" type="pres">
      <dgm:prSet presAssocID="{49CB40EA-4B4C-44C5-905E-57FEBA70E771}" presName="root2" presStyleCnt="0"/>
      <dgm:spPr/>
      <dgm:t>
        <a:bodyPr/>
        <a:lstStyle/>
        <a:p>
          <a:endParaRPr lang="en-US"/>
        </a:p>
      </dgm:t>
    </dgm:pt>
    <dgm:pt modelId="{B942576D-C7D4-4DC0-A7B8-E56C348C6860}" type="pres">
      <dgm:prSet presAssocID="{49CB40EA-4B4C-44C5-905E-57FEBA70E771}" presName="LevelTwoTextNode" presStyleLbl="node2" presStyleIdx="0" presStyleCnt="3" custScaleY="61339" custLinFactNeighborX="638" custLinFactNeighborY="62575">
        <dgm:presLayoutVars>
          <dgm:chPref val="3"/>
        </dgm:presLayoutVars>
      </dgm:prSet>
      <dgm:spPr/>
      <dgm:t>
        <a:bodyPr/>
        <a:lstStyle/>
        <a:p>
          <a:endParaRPr lang="en-US"/>
        </a:p>
      </dgm:t>
    </dgm:pt>
    <dgm:pt modelId="{8A2D7875-FF5F-468C-B050-0EB2B2734CB2}" type="pres">
      <dgm:prSet presAssocID="{49CB40EA-4B4C-44C5-905E-57FEBA70E771}" presName="level3hierChild" presStyleCnt="0"/>
      <dgm:spPr/>
      <dgm:t>
        <a:bodyPr/>
        <a:lstStyle/>
        <a:p>
          <a:endParaRPr lang="en-US"/>
        </a:p>
      </dgm:t>
    </dgm:pt>
    <dgm:pt modelId="{E47144D3-BAE7-4AAA-9225-12004BA0CE17}" type="pres">
      <dgm:prSet presAssocID="{68F43019-149E-4490-9F81-825BCC2AF9EB}" presName="conn2-1" presStyleLbl="parChTrans1D2" presStyleIdx="1" presStyleCnt="3"/>
      <dgm:spPr/>
      <dgm:t>
        <a:bodyPr/>
        <a:lstStyle/>
        <a:p>
          <a:endParaRPr lang="en-US"/>
        </a:p>
      </dgm:t>
    </dgm:pt>
    <dgm:pt modelId="{400A1E39-7A5B-4AB4-A8CE-BDA5BB0DED39}" type="pres">
      <dgm:prSet presAssocID="{68F43019-149E-4490-9F81-825BCC2AF9EB}" presName="connTx" presStyleLbl="parChTrans1D2" presStyleIdx="1" presStyleCnt="3"/>
      <dgm:spPr/>
      <dgm:t>
        <a:bodyPr/>
        <a:lstStyle/>
        <a:p>
          <a:endParaRPr lang="en-US"/>
        </a:p>
      </dgm:t>
    </dgm:pt>
    <dgm:pt modelId="{5F1B097A-DFAC-4CAA-B6ED-78A72A629169}" type="pres">
      <dgm:prSet presAssocID="{27997DC4-FF4C-4FA2-8F35-7BE0100DBD9D}" presName="root2" presStyleCnt="0"/>
      <dgm:spPr/>
    </dgm:pt>
    <dgm:pt modelId="{0D311FE3-7335-47FB-8578-5BDE69E7C9A4}" type="pres">
      <dgm:prSet presAssocID="{27997DC4-FF4C-4FA2-8F35-7BE0100DBD9D}" presName="LevelTwoTextNode" presStyleLbl="node2" presStyleIdx="1" presStyleCnt="3" custScaleY="61339" custLinFactNeighborX="88" custLinFactNeighborY="-98332">
        <dgm:presLayoutVars>
          <dgm:chPref val="3"/>
        </dgm:presLayoutVars>
      </dgm:prSet>
      <dgm:spPr/>
      <dgm:t>
        <a:bodyPr/>
        <a:lstStyle/>
        <a:p>
          <a:endParaRPr lang="en-US"/>
        </a:p>
      </dgm:t>
    </dgm:pt>
    <dgm:pt modelId="{6D398E3C-6BF2-49A1-B15F-74DDB4C0580E}" type="pres">
      <dgm:prSet presAssocID="{27997DC4-FF4C-4FA2-8F35-7BE0100DBD9D}" presName="level3hierChild" presStyleCnt="0"/>
      <dgm:spPr/>
    </dgm:pt>
    <dgm:pt modelId="{8DC1A2D4-747B-4AE4-99DB-F5A8F2BFDED4}" type="pres">
      <dgm:prSet presAssocID="{F91F0884-8F77-42DD-A669-5D8A69D634EC}" presName="conn2-1" presStyleLbl="parChTrans1D2" presStyleIdx="2" presStyleCnt="3"/>
      <dgm:spPr/>
      <dgm:t>
        <a:bodyPr/>
        <a:lstStyle/>
        <a:p>
          <a:endParaRPr lang="en-US"/>
        </a:p>
      </dgm:t>
    </dgm:pt>
    <dgm:pt modelId="{98D3A047-8537-491B-A0D8-2F66151E9863}" type="pres">
      <dgm:prSet presAssocID="{F91F0884-8F77-42DD-A669-5D8A69D634EC}" presName="connTx" presStyleLbl="parChTrans1D2" presStyleIdx="2" presStyleCnt="3"/>
      <dgm:spPr/>
      <dgm:t>
        <a:bodyPr/>
        <a:lstStyle/>
        <a:p>
          <a:endParaRPr lang="en-US"/>
        </a:p>
      </dgm:t>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3" custScaleY="57889" custLinFactNeighborX="-1205" custLinFactNeighborY="2411">
        <dgm:presLayoutVars>
          <dgm:chPref val="3"/>
        </dgm:presLayoutVars>
      </dgm:prSet>
      <dgm:spPr/>
      <dgm:t>
        <a:bodyPr/>
        <a:lstStyle/>
        <a:p>
          <a:endParaRPr lang="en-US"/>
        </a:p>
      </dgm:t>
    </dgm:pt>
    <dgm:pt modelId="{88035093-81B7-4E89-806D-D120D89D4D99}" type="pres">
      <dgm:prSet presAssocID="{3513CCCC-05D9-4A09-BFAE-3A1D95C1E9BE}" presName="level3hierChild" presStyleCnt="0"/>
      <dgm:spPr/>
    </dgm:pt>
    <dgm:pt modelId="{0E9B1E19-8559-4A2D-92FE-019DBFAE3BD8}" type="pres">
      <dgm:prSet presAssocID="{50147BF5-6E59-4F76-825A-87D43313F3D9}" presName="root1" presStyleCnt="0"/>
      <dgm:spPr/>
    </dgm:pt>
    <dgm:pt modelId="{711B9344-9D0B-4CB4-93E2-7A00EF9CD20E}" type="pres">
      <dgm:prSet presAssocID="{50147BF5-6E59-4F76-825A-87D43313F3D9}" presName="LevelOneTextNode" presStyleLbl="node0" presStyleIdx="1" presStyleCnt="2" custScaleY="61339" custLinFactX="39342" custLinFactY="-93468" custLinFactNeighborX="100000" custLinFactNeighborY="-100000">
        <dgm:presLayoutVars>
          <dgm:chPref val="3"/>
        </dgm:presLayoutVars>
      </dgm:prSet>
      <dgm:spPr/>
      <dgm:t>
        <a:bodyPr/>
        <a:lstStyle/>
        <a:p>
          <a:endParaRPr lang="en-US"/>
        </a:p>
      </dgm:t>
    </dgm:pt>
    <dgm:pt modelId="{E14615EA-206A-4D2E-883E-709784E42866}" type="pres">
      <dgm:prSet presAssocID="{50147BF5-6E59-4F76-825A-87D43313F3D9}" presName="level2hierChild" presStyleCnt="0"/>
      <dgm:spPr/>
    </dgm:pt>
  </dgm:ptLst>
  <dgm:cxnLst>
    <dgm:cxn modelId="{8A93C7E5-AD80-467F-84D1-5DE5C84EC0BA}" type="presOf" srcId="{5380643E-B75B-4CA2-B2F3-84B83159A60E}" destId="{90BFEE09-DD26-4B83-9B8A-E474FD50F1B2}" srcOrd="1" destOrd="0" presId="urn:microsoft.com/office/officeart/2005/8/layout/hierarchy2"/>
    <dgm:cxn modelId="{E815A327-D3DD-483E-9F70-FA50789FFD9C}" type="presOf" srcId="{68F43019-149E-4490-9F81-825BCC2AF9EB}" destId="{E47144D3-BAE7-4AAA-9225-12004BA0CE17}" srcOrd="0" destOrd="0" presId="urn:microsoft.com/office/officeart/2005/8/layout/hierarchy2"/>
    <dgm:cxn modelId="{983F48AE-959E-45EC-8BF2-CFF595197C55}" srcId="{CA314AAA-A094-4EB4-8D2D-9470EA633DD0}" destId="{C7E7888E-E0E1-4000-A922-C0FFA4F4A369}" srcOrd="0" destOrd="0" parTransId="{0E8E8FC8-E3A6-4B93-8193-7EB504475629}" sibTransId="{8EE05371-0B8A-4A52-9081-BD828377A5E4}"/>
    <dgm:cxn modelId="{FE6F4595-9588-4860-98B9-203C963850EF}" srcId="{C7E7888E-E0E1-4000-A922-C0FFA4F4A369}" destId="{3513CCCC-05D9-4A09-BFAE-3A1D95C1E9BE}" srcOrd="2" destOrd="0" parTransId="{F91F0884-8F77-42DD-A669-5D8A69D634EC}" sibTransId="{F6A7F4D9-7593-46C8-AA6F-8259E19C1E72}"/>
    <dgm:cxn modelId="{38280BC3-2178-4238-B60F-A16135B81A8E}" type="presOf" srcId="{27997DC4-FF4C-4FA2-8F35-7BE0100DBD9D}" destId="{0D311FE3-7335-47FB-8578-5BDE69E7C9A4}" srcOrd="0" destOrd="0" presId="urn:microsoft.com/office/officeart/2005/8/layout/hierarchy2"/>
    <dgm:cxn modelId="{A6E4C6E0-D2BC-4B28-81E9-89ECE77ADEE2}" type="presOf" srcId="{CA314AAA-A094-4EB4-8D2D-9470EA633DD0}" destId="{0464EC22-CB50-4171-AA91-64F604CD6473}" srcOrd="0" destOrd="0" presId="urn:microsoft.com/office/officeart/2005/8/layout/hierarchy2"/>
    <dgm:cxn modelId="{B36C3A91-E8DB-4F35-8A93-21ADAC156C15}" srcId="{CA314AAA-A094-4EB4-8D2D-9470EA633DD0}" destId="{50147BF5-6E59-4F76-825A-87D43313F3D9}" srcOrd="1" destOrd="0" parTransId="{E2F97F43-2A1C-465C-B2C6-D1F7FAFE58F2}" sibTransId="{E1831208-D863-4D85-B617-E7E995697772}"/>
    <dgm:cxn modelId="{67E1DBFB-60D3-47C9-B8D4-B1A8D628D9B4}" type="presOf" srcId="{5380643E-B75B-4CA2-B2F3-84B83159A60E}" destId="{D5D28CF2-D051-48DA-8B28-50C661B97087}" srcOrd="0" destOrd="0" presId="urn:microsoft.com/office/officeart/2005/8/layout/hierarchy2"/>
    <dgm:cxn modelId="{5CCEFB62-50A9-4DEE-B730-78BB6EDC6AC1}" type="presOf" srcId="{68F43019-149E-4490-9F81-825BCC2AF9EB}" destId="{400A1E39-7A5B-4AB4-A8CE-BDA5BB0DED39}" srcOrd="1" destOrd="0" presId="urn:microsoft.com/office/officeart/2005/8/layout/hierarchy2"/>
    <dgm:cxn modelId="{E3D58F20-2493-4EF3-826E-38A2B7ECED55}" srcId="{C7E7888E-E0E1-4000-A922-C0FFA4F4A369}" destId="{27997DC4-FF4C-4FA2-8F35-7BE0100DBD9D}" srcOrd="1" destOrd="0" parTransId="{68F43019-149E-4490-9F81-825BCC2AF9EB}" sibTransId="{AF99F8DF-4401-4413-9592-838FCD9A487E}"/>
    <dgm:cxn modelId="{12C1F719-8A4F-48AC-AC5C-C0807976A721}" srcId="{C7E7888E-E0E1-4000-A922-C0FFA4F4A369}" destId="{49CB40EA-4B4C-44C5-905E-57FEBA70E771}" srcOrd="0" destOrd="0" parTransId="{5380643E-B75B-4CA2-B2F3-84B83159A60E}" sibTransId="{2F6F63C7-C289-4D4C-AA7F-DA0B80916CD7}"/>
    <dgm:cxn modelId="{68ABDE6A-111F-4FE3-848C-B76BEBF028E8}" type="presOf" srcId="{C7E7888E-E0E1-4000-A922-C0FFA4F4A369}" destId="{B54C56CB-A6D7-4B76-BF56-51B8114B9CF5}" srcOrd="0" destOrd="0" presId="urn:microsoft.com/office/officeart/2005/8/layout/hierarchy2"/>
    <dgm:cxn modelId="{4D9603E4-A622-4E8F-9E1C-6C13C89810E1}" type="presOf" srcId="{F91F0884-8F77-42DD-A669-5D8A69D634EC}" destId="{8DC1A2D4-747B-4AE4-99DB-F5A8F2BFDED4}" srcOrd="0" destOrd="0" presId="urn:microsoft.com/office/officeart/2005/8/layout/hierarchy2"/>
    <dgm:cxn modelId="{AB14E338-ABF8-4A91-A2CA-C499C42BB5E8}" type="presOf" srcId="{3513CCCC-05D9-4A09-BFAE-3A1D95C1E9BE}" destId="{3C63DAFF-65F5-4B0B-BD83-E57604CCD577}" srcOrd="0" destOrd="0" presId="urn:microsoft.com/office/officeart/2005/8/layout/hierarchy2"/>
    <dgm:cxn modelId="{9FF79BF4-CCA6-40E4-A1FF-0378AC818FC9}" type="presOf" srcId="{49CB40EA-4B4C-44C5-905E-57FEBA70E771}" destId="{B942576D-C7D4-4DC0-A7B8-E56C348C6860}" srcOrd="0" destOrd="0" presId="urn:microsoft.com/office/officeart/2005/8/layout/hierarchy2"/>
    <dgm:cxn modelId="{4467D0F2-BBF9-43A1-85F7-F069EB4D8979}" type="presOf" srcId="{50147BF5-6E59-4F76-825A-87D43313F3D9}" destId="{711B9344-9D0B-4CB4-93E2-7A00EF9CD20E}" srcOrd="0" destOrd="0" presId="urn:microsoft.com/office/officeart/2005/8/layout/hierarchy2"/>
    <dgm:cxn modelId="{EDAC35C2-CB11-41D5-9696-16B657633E46}" type="presOf" srcId="{F91F0884-8F77-42DD-A669-5D8A69D634EC}" destId="{98D3A047-8537-491B-A0D8-2F66151E9863}" srcOrd="1" destOrd="0" presId="urn:microsoft.com/office/officeart/2005/8/layout/hierarchy2"/>
    <dgm:cxn modelId="{8AC2BFAB-5A30-405B-8A7B-1C11076356E6}" type="presParOf" srcId="{0464EC22-CB50-4171-AA91-64F604CD6473}" destId="{2B3CAA3B-7A74-41A1-B089-F38225EAA2B0}" srcOrd="0" destOrd="0" presId="urn:microsoft.com/office/officeart/2005/8/layout/hierarchy2"/>
    <dgm:cxn modelId="{E5B319FC-C8DD-4873-96B6-5284EF54FBEC}" type="presParOf" srcId="{2B3CAA3B-7A74-41A1-B089-F38225EAA2B0}" destId="{B54C56CB-A6D7-4B76-BF56-51B8114B9CF5}" srcOrd="0" destOrd="0" presId="urn:microsoft.com/office/officeart/2005/8/layout/hierarchy2"/>
    <dgm:cxn modelId="{DCBBD592-8AFD-41FF-9D78-23444EA90F7D}" type="presParOf" srcId="{2B3CAA3B-7A74-41A1-B089-F38225EAA2B0}" destId="{A2A18229-64BC-4ED5-93F8-061EAEC12D9A}" srcOrd="1" destOrd="0" presId="urn:microsoft.com/office/officeart/2005/8/layout/hierarchy2"/>
    <dgm:cxn modelId="{C08E6923-2D1E-4B1E-96FE-2E774649A05D}" type="presParOf" srcId="{A2A18229-64BC-4ED5-93F8-061EAEC12D9A}" destId="{D5D28CF2-D051-48DA-8B28-50C661B97087}" srcOrd="0" destOrd="0" presId="urn:microsoft.com/office/officeart/2005/8/layout/hierarchy2"/>
    <dgm:cxn modelId="{688E145E-42FA-4435-BBA7-14DB07390D10}" type="presParOf" srcId="{D5D28CF2-D051-48DA-8B28-50C661B97087}" destId="{90BFEE09-DD26-4B83-9B8A-E474FD50F1B2}" srcOrd="0" destOrd="0" presId="urn:microsoft.com/office/officeart/2005/8/layout/hierarchy2"/>
    <dgm:cxn modelId="{E6BD27B9-C9D7-47ED-82C3-97CE20C9FED3}" type="presParOf" srcId="{A2A18229-64BC-4ED5-93F8-061EAEC12D9A}" destId="{9AAB7A76-0215-4DEA-8B61-E741CB484CB6}" srcOrd="1" destOrd="0" presId="urn:microsoft.com/office/officeart/2005/8/layout/hierarchy2"/>
    <dgm:cxn modelId="{D18FE371-B466-4926-8896-83A6DF6A5A37}" type="presParOf" srcId="{9AAB7A76-0215-4DEA-8B61-E741CB484CB6}" destId="{B942576D-C7D4-4DC0-A7B8-E56C348C6860}" srcOrd="0" destOrd="0" presId="urn:microsoft.com/office/officeart/2005/8/layout/hierarchy2"/>
    <dgm:cxn modelId="{3FCBA178-1456-4498-BE91-9289875635AF}" type="presParOf" srcId="{9AAB7A76-0215-4DEA-8B61-E741CB484CB6}" destId="{8A2D7875-FF5F-468C-B050-0EB2B2734CB2}" srcOrd="1" destOrd="0" presId="urn:microsoft.com/office/officeart/2005/8/layout/hierarchy2"/>
    <dgm:cxn modelId="{1E06BF7E-AF3A-413C-BB74-1AA6F73D8676}" type="presParOf" srcId="{A2A18229-64BC-4ED5-93F8-061EAEC12D9A}" destId="{E47144D3-BAE7-4AAA-9225-12004BA0CE17}" srcOrd="2" destOrd="0" presId="urn:microsoft.com/office/officeart/2005/8/layout/hierarchy2"/>
    <dgm:cxn modelId="{87577B9B-8C04-47B3-962A-78F811ABB6D7}" type="presParOf" srcId="{E47144D3-BAE7-4AAA-9225-12004BA0CE17}" destId="{400A1E39-7A5B-4AB4-A8CE-BDA5BB0DED39}" srcOrd="0" destOrd="0" presId="urn:microsoft.com/office/officeart/2005/8/layout/hierarchy2"/>
    <dgm:cxn modelId="{213A1933-5902-495D-9C77-FDC5599AEAFD}" type="presParOf" srcId="{A2A18229-64BC-4ED5-93F8-061EAEC12D9A}" destId="{5F1B097A-DFAC-4CAA-B6ED-78A72A629169}" srcOrd="3" destOrd="0" presId="urn:microsoft.com/office/officeart/2005/8/layout/hierarchy2"/>
    <dgm:cxn modelId="{43025EC6-DEBF-4535-952C-5CBAF95C7901}" type="presParOf" srcId="{5F1B097A-DFAC-4CAA-B6ED-78A72A629169}" destId="{0D311FE3-7335-47FB-8578-5BDE69E7C9A4}" srcOrd="0" destOrd="0" presId="urn:microsoft.com/office/officeart/2005/8/layout/hierarchy2"/>
    <dgm:cxn modelId="{68C7BE5B-6EF1-46A5-99B5-5D5EA4C6564C}" type="presParOf" srcId="{5F1B097A-DFAC-4CAA-B6ED-78A72A629169}" destId="{6D398E3C-6BF2-49A1-B15F-74DDB4C0580E}" srcOrd="1" destOrd="0" presId="urn:microsoft.com/office/officeart/2005/8/layout/hierarchy2"/>
    <dgm:cxn modelId="{00DCF004-8DE4-47BE-8232-1E06486EE460}" type="presParOf" srcId="{A2A18229-64BC-4ED5-93F8-061EAEC12D9A}" destId="{8DC1A2D4-747B-4AE4-99DB-F5A8F2BFDED4}" srcOrd="4" destOrd="0" presId="urn:microsoft.com/office/officeart/2005/8/layout/hierarchy2"/>
    <dgm:cxn modelId="{21D87D12-4205-48C2-B32D-02F716B07529}" type="presParOf" srcId="{8DC1A2D4-747B-4AE4-99DB-F5A8F2BFDED4}" destId="{98D3A047-8537-491B-A0D8-2F66151E9863}" srcOrd="0" destOrd="0" presId="urn:microsoft.com/office/officeart/2005/8/layout/hierarchy2"/>
    <dgm:cxn modelId="{6B6AC3B3-1C12-49EE-B422-B2B6C22BA2DC}" type="presParOf" srcId="{A2A18229-64BC-4ED5-93F8-061EAEC12D9A}" destId="{EAEC6F0E-6EFE-4B33-A8A6-172D1B97DC8D}" srcOrd="5" destOrd="0" presId="urn:microsoft.com/office/officeart/2005/8/layout/hierarchy2"/>
    <dgm:cxn modelId="{3D5658D6-9D3E-46C1-9859-5DEB76288D3F}" type="presParOf" srcId="{EAEC6F0E-6EFE-4B33-A8A6-172D1B97DC8D}" destId="{3C63DAFF-65F5-4B0B-BD83-E57604CCD577}" srcOrd="0" destOrd="0" presId="urn:microsoft.com/office/officeart/2005/8/layout/hierarchy2"/>
    <dgm:cxn modelId="{F01AF63B-5F18-48CB-B126-75C7A96DAF1D}" type="presParOf" srcId="{EAEC6F0E-6EFE-4B33-A8A6-172D1B97DC8D}" destId="{88035093-81B7-4E89-806D-D120D89D4D99}" srcOrd="1" destOrd="0" presId="urn:microsoft.com/office/officeart/2005/8/layout/hierarchy2"/>
    <dgm:cxn modelId="{25E8732A-899F-4F52-BAFC-2FDADC9D0E39}" type="presParOf" srcId="{0464EC22-CB50-4171-AA91-64F604CD6473}" destId="{0E9B1E19-8559-4A2D-92FE-019DBFAE3BD8}" srcOrd="1" destOrd="0" presId="urn:microsoft.com/office/officeart/2005/8/layout/hierarchy2"/>
    <dgm:cxn modelId="{CC79A529-920E-435E-83BE-A4C3B5FEF440}" type="presParOf" srcId="{0E9B1E19-8559-4A2D-92FE-019DBFAE3BD8}" destId="{711B9344-9D0B-4CB4-93E2-7A00EF9CD20E}" srcOrd="0" destOrd="0" presId="urn:microsoft.com/office/officeart/2005/8/layout/hierarchy2"/>
    <dgm:cxn modelId="{6086253F-CEF4-40BE-A5BD-6255B78E82FD}" type="presParOf" srcId="{0E9B1E19-8559-4A2D-92FE-019DBFAE3BD8}" destId="{E14615EA-206A-4D2E-883E-709784E42866}"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0" y="388140"/>
          <a:ext cx="2467414" cy="124232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a:t>Round 20 Sample</a:t>
          </a:r>
        </a:p>
      </dsp:txBody>
      <dsp:txXfrm>
        <a:off x="36387" y="424527"/>
        <a:ext cx="2394640" cy="1169554"/>
      </dsp:txXfrm>
    </dsp:sp>
    <dsp:sp modelId="{D5D28CF2-D051-48DA-8B28-50C661B97087}">
      <dsp:nvSpPr>
        <dsp:cNvPr id="0" name=""/>
        <dsp:cNvSpPr/>
      </dsp:nvSpPr>
      <dsp:spPr>
        <a:xfrm rot="958991">
          <a:off x="2447286" y="1117205"/>
          <a:ext cx="1041307" cy="70927"/>
        </a:xfrm>
        <a:custGeom>
          <a:avLst/>
          <a:gdLst/>
          <a:ahLst/>
          <a:cxnLst/>
          <a:rect l="0" t="0" r="0" b="0"/>
          <a:pathLst>
            <a:path>
              <a:moveTo>
                <a:pt x="0" y="35463"/>
              </a:moveTo>
              <a:lnTo>
                <a:pt x="1041307"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41908" y="1126636"/>
        <a:ext cx="52065" cy="52065"/>
      </dsp:txXfrm>
    </dsp:sp>
    <dsp:sp modelId="{B942576D-C7D4-4DC0-A7B8-E56C348C6860}">
      <dsp:nvSpPr>
        <dsp:cNvPr id="0" name=""/>
        <dsp:cNvSpPr/>
      </dsp:nvSpPr>
      <dsp:spPr>
        <a:xfrm>
          <a:off x="3468467" y="915018"/>
          <a:ext cx="2484657" cy="762032"/>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Round 19 completers who have missed at least one round</a:t>
          </a:r>
        </a:p>
      </dsp:txBody>
      <dsp:txXfrm>
        <a:off x="3490786" y="937337"/>
        <a:ext cx="2440019" cy="717394"/>
      </dsp:txXfrm>
    </dsp:sp>
    <dsp:sp modelId="{E47144D3-BAE7-4AAA-9225-12004BA0CE17}">
      <dsp:nvSpPr>
        <dsp:cNvPr id="0" name=""/>
        <dsp:cNvSpPr/>
      </dsp:nvSpPr>
      <dsp:spPr>
        <a:xfrm rot="19671009">
          <a:off x="2376889" y="659696"/>
          <a:ext cx="1180693" cy="70927"/>
        </a:xfrm>
        <a:custGeom>
          <a:avLst/>
          <a:gdLst/>
          <a:ahLst/>
          <a:cxnLst/>
          <a:rect l="0" t="0" r="0" b="0"/>
          <a:pathLst>
            <a:path>
              <a:moveTo>
                <a:pt x="0" y="35463"/>
              </a:moveTo>
              <a:lnTo>
                <a:pt x="1180693"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37719" y="665643"/>
        <a:ext cx="59034" cy="59034"/>
      </dsp:txXfrm>
    </dsp:sp>
    <dsp:sp modelId="{0D311FE3-7335-47FB-8578-5BDE69E7C9A4}">
      <dsp:nvSpPr>
        <dsp:cNvPr id="0" name=""/>
        <dsp:cNvSpPr/>
      </dsp:nvSpPr>
      <dsp:spPr>
        <a:xfrm>
          <a:off x="3467058" y="0"/>
          <a:ext cx="2484657" cy="762032"/>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lvl="0" algn="ctr" defTabSz="2089150">
            <a:lnSpc>
              <a:spcPct val="90000"/>
            </a:lnSpc>
            <a:spcBef>
              <a:spcPct val="0"/>
            </a:spcBef>
            <a:spcAft>
              <a:spcPct val="35000"/>
            </a:spcAft>
          </a:pPr>
          <a:endParaRPr lang="en-US" sz="4700" kern="1200"/>
        </a:p>
      </dsp:txBody>
      <dsp:txXfrm>
        <a:off x="3489377" y="22319"/>
        <a:ext cx="2440019" cy="717394"/>
      </dsp:txXfrm>
    </dsp:sp>
    <dsp:sp modelId="{8DC1A2D4-747B-4AE4-99DB-F5A8F2BFDED4}">
      <dsp:nvSpPr>
        <dsp:cNvPr id="0" name=""/>
        <dsp:cNvSpPr/>
      </dsp:nvSpPr>
      <dsp:spPr>
        <a:xfrm rot="3337817">
          <a:off x="2094251" y="1681154"/>
          <a:ext cx="1713844" cy="70927"/>
        </a:xfrm>
        <a:custGeom>
          <a:avLst/>
          <a:gdLst/>
          <a:ahLst/>
          <a:cxnLst/>
          <a:rect l="0" t="0" r="0" b="0"/>
          <a:pathLst>
            <a:path>
              <a:moveTo>
                <a:pt x="0" y="35463"/>
              </a:moveTo>
              <a:lnTo>
                <a:pt x="1713844" y="3546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2908327" y="1673772"/>
        <a:ext cx="85692" cy="85692"/>
      </dsp:txXfrm>
    </dsp:sp>
    <dsp:sp modelId="{3C63DAFF-65F5-4B0B-BD83-E57604CCD577}">
      <dsp:nvSpPr>
        <dsp:cNvPr id="0" name=""/>
        <dsp:cNvSpPr/>
      </dsp:nvSpPr>
      <dsp:spPr>
        <a:xfrm>
          <a:off x="3434932" y="2064346"/>
          <a:ext cx="2484657" cy="719171"/>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Round 19 non-completers</a:t>
          </a:r>
        </a:p>
      </dsp:txBody>
      <dsp:txXfrm>
        <a:off x="3455996" y="2085410"/>
        <a:ext cx="2442529" cy="677043"/>
      </dsp:txXfrm>
    </dsp:sp>
    <dsp:sp modelId="{711B9344-9D0B-4CB4-93E2-7A00EF9CD20E}">
      <dsp:nvSpPr>
        <dsp:cNvPr id="0" name=""/>
        <dsp:cNvSpPr/>
      </dsp:nvSpPr>
      <dsp:spPr>
        <a:xfrm>
          <a:off x="3465766" y="0"/>
          <a:ext cx="2484657" cy="762032"/>
        </a:xfrm>
        <a:prstGeom prst="roundRect">
          <a:avLst>
            <a:gd name="adj" fmla="val 10000"/>
          </a:avLst>
        </a:prstGeom>
        <a:solidFill>
          <a:schemeClr val="accent3">
            <a:lumMod val="20000"/>
            <a:lumOff val="80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Perfect responders</a:t>
          </a:r>
        </a:p>
      </dsp:txBody>
      <dsp:txXfrm>
        <a:off x="3488085" y="22319"/>
        <a:ext cx="2440019" cy="7173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AED7-504D-4401-9399-E374D9683248}">
  <ds:schemaRefs>
    <ds:schemaRef ds:uri="http://schemas.microsoft.com/sharepoint/v3/contenttype/forms"/>
  </ds:schemaRefs>
</ds:datastoreItem>
</file>

<file path=customXml/itemProps2.xml><?xml version="1.0" encoding="utf-8"?>
<ds:datastoreItem xmlns:ds="http://schemas.openxmlformats.org/officeDocument/2006/customXml" ds:itemID="{A4A2AC70-87F3-41B6-A1A3-7C10AF4B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D0DE8-E14A-491F-A00D-48BAA2F32CFA}">
  <ds:schemaRefs>
    <ds:schemaRef ds:uri="http://purl.org/dc/dcmitype/"/>
    <ds:schemaRef ds:uri="http://schemas.microsoft.com/office/infopath/2007/PartnerControls"/>
    <ds:schemaRef ds:uri="2a1ba486-ff2f-4459-80ac-1ab5aa17f82f"/>
    <ds:schemaRef ds:uri="http://purl.org/dc/elements/1.1/"/>
    <ds:schemaRef ds:uri="http://www.w3.org/XML/1998/namespace"/>
    <ds:schemaRef ds:uri="2b487234-2a61-45b0-86e3-998bf12a0e9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1F444B2-28C3-48AF-8795-F97B10C6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12154</Words>
  <Characters>69280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81272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2</cp:revision>
  <cp:lastPrinted>2020-02-19T15:46:00Z</cp:lastPrinted>
  <dcterms:created xsi:type="dcterms:W3CDTF">2021-05-27T15:43:00Z</dcterms:created>
  <dcterms:modified xsi:type="dcterms:W3CDTF">2021-05-27T15:43:00Z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