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A6051" w:rsidR="00643252" w:rsidP="009829C3" w:rsidRDefault="00643252" w14:paraId="4CE26164" w14:textId="77777777">
      <w:pPr>
        <w:pStyle w:val="PlainText"/>
        <w:jc w:val="center"/>
        <w:rPr>
          <w:rFonts w:ascii="Times New Roman" w:hAnsi="Times New Roman" w:eastAsia="MS Mincho" w:cs="Times New Roman"/>
          <w:sz w:val="24"/>
          <w:u w:val="single"/>
        </w:rPr>
      </w:pPr>
      <w:r w:rsidRPr="00AA6051">
        <w:rPr>
          <w:rFonts w:ascii="Times New Roman" w:hAnsi="Times New Roman" w:eastAsia="MS Mincho" w:cs="Times New Roman"/>
          <w:sz w:val="24"/>
          <w:u w:val="single"/>
        </w:rPr>
        <w:t>Supp</w:t>
      </w:r>
      <w:r w:rsidRPr="00AA6051" w:rsidR="00C538B7">
        <w:rPr>
          <w:rFonts w:ascii="Times New Roman" w:hAnsi="Times New Roman" w:eastAsia="MS Mincho" w:cs="Times New Roman"/>
          <w:sz w:val="24"/>
          <w:u w:val="single"/>
        </w:rPr>
        <w:t xml:space="preserve">orting </w:t>
      </w:r>
      <w:r w:rsidRPr="00AA6051">
        <w:rPr>
          <w:rFonts w:ascii="Times New Roman" w:hAnsi="Times New Roman" w:eastAsia="MS Mincho" w:cs="Times New Roman"/>
          <w:sz w:val="24"/>
          <w:u w:val="single"/>
        </w:rPr>
        <w:t>Statement</w:t>
      </w:r>
    </w:p>
    <w:p w:rsidRPr="00AA6051" w:rsidR="00F22B68" w:rsidP="009829C3" w:rsidRDefault="00F22B68" w14:paraId="23BF1604" w14:textId="77777777">
      <w:pPr>
        <w:pStyle w:val="PlainText"/>
        <w:jc w:val="center"/>
        <w:rPr>
          <w:rFonts w:ascii="Times New Roman" w:hAnsi="Times New Roman" w:eastAsia="MS Mincho" w:cs="Times New Roman"/>
          <w:sz w:val="24"/>
          <w:u w:val="single"/>
        </w:rPr>
      </w:pPr>
      <w:r w:rsidRPr="00AA6051">
        <w:rPr>
          <w:rFonts w:ascii="Times New Roman" w:hAnsi="Times New Roman" w:eastAsia="MS Mincho" w:cs="Times New Roman"/>
          <w:sz w:val="24"/>
          <w:u w:val="single"/>
        </w:rPr>
        <w:t>OMB Control Number 1506-</w:t>
      </w:r>
      <w:r w:rsidRPr="00AA6051" w:rsidR="007764F3">
        <w:rPr>
          <w:rFonts w:ascii="Times New Roman" w:hAnsi="Times New Roman" w:eastAsia="MS Mincho" w:cs="Times New Roman"/>
          <w:sz w:val="24"/>
          <w:u w:val="single"/>
        </w:rPr>
        <w:t>00</w:t>
      </w:r>
      <w:r w:rsidR="007764F3">
        <w:rPr>
          <w:rFonts w:ascii="Times New Roman" w:hAnsi="Times New Roman" w:eastAsia="MS Mincho" w:cs="Times New Roman"/>
          <w:sz w:val="24"/>
          <w:u w:val="single"/>
        </w:rPr>
        <w:t>18</w:t>
      </w:r>
    </w:p>
    <w:p w:rsidRPr="00AA6051" w:rsidR="00F22B68" w:rsidP="009829C3" w:rsidRDefault="00F22B68" w14:paraId="74BC6560" w14:textId="77777777">
      <w:pPr>
        <w:pStyle w:val="PlainText"/>
        <w:jc w:val="center"/>
        <w:rPr>
          <w:rFonts w:ascii="Times New Roman" w:hAnsi="Times New Roman" w:eastAsia="MS Mincho" w:cs="Times New Roman"/>
          <w:sz w:val="24"/>
          <w:u w:val="single"/>
        </w:rPr>
      </w:pPr>
    </w:p>
    <w:p w:rsidRPr="00AA6051" w:rsidR="00F22B68" w:rsidP="00417F2A" w:rsidRDefault="00417F2A" w14:paraId="7A8A107A" w14:textId="77777777">
      <w:pPr>
        <w:pStyle w:val="PlainText"/>
        <w:rPr>
          <w:rFonts w:ascii="Times New Roman" w:hAnsi="Times New Roman" w:eastAsia="MS Mincho" w:cs="Times New Roman"/>
          <w:sz w:val="24"/>
          <w:szCs w:val="24"/>
          <w:u w:val="single"/>
        </w:rPr>
      </w:pPr>
      <w:r w:rsidRPr="00417F2A">
        <w:rPr>
          <w:rFonts w:ascii="Times New Roman" w:hAnsi="Times New Roman" w:eastAsia="MS Mincho" w:cs="Times New Roman"/>
          <w:bCs/>
          <w:sz w:val="24"/>
          <w:szCs w:val="24"/>
          <w:u w:val="single"/>
        </w:rPr>
        <w:t>Renewal Without</w:t>
      </w:r>
      <w:r>
        <w:rPr>
          <w:rFonts w:ascii="Times New Roman" w:hAnsi="Times New Roman" w:eastAsia="MS Mincho" w:cs="Times New Roman"/>
          <w:bCs/>
          <w:sz w:val="24"/>
          <w:szCs w:val="24"/>
          <w:u w:val="single"/>
        </w:rPr>
        <w:t xml:space="preserve"> </w:t>
      </w:r>
      <w:r w:rsidRPr="00417F2A">
        <w:rPr>
          <w:rFonts w:ascii="Times New Roman" w:hAnsi="Times New Roman" w:eastAsia="MS Mincho" w:cs="Times New Roman"/>
          <w:bCs/>
          <w:sz w:val="24"/>
          <w:szCs w:val="24"/>
          <w:u w:val="single"/>
        </w:rPr>
        <w:t>Change of Reports Relating to</w:t>
      </w:r>
      <w:r>
        <w:rPr>
          <w:rFonts w:ascii="Times New Roman" w:hAnsi="Times New Roman" w:eastAsia="MS Mincho" w:cs="Times New Roman"/>
          <w:bCs/>
          <w:sz w:val="24"/>
          <w:szCs w:val="24"/>
          <w:u w:val="single"/>
        </w:rPr>
        <w:t xml:space="preserve"> </w:t>
      </w:r>
      <w:r w:rsidRPr="00417F2A">
        <w:rPr>
          <w:rFonts w:ascii="Times New Roman" w:hAnsi="Times New Roman" w:eastAsia="MS Mincho" w:cs="Times New Roman"/>
          <w:bCs/>
          <w:sz w:val="24"/>
          <w:szCs w:val="24"/>
          <w:u w:val="single"/>
        </w:rPr>
        <w:t>Currency in Excess of $10,000</w:t>
      </w:r>
      <w:r>
        <w:rPr>
          <w:rFonts w:ascii="Times New Roman" w:hAnsi="Times New Roman" w:eastAsia="MS Mincho" w:cs="Times New Roman"/>
          <w:bCs/>
          <w:sz w:val="24"/>
          <w:szCs w:val="24"/>
          <w:u w:val="single"/>
        </w:rPr>
        <w:t xml:space="preserve"> </w:t>
      </w:r>
      <w:r w:rsidRPr="00417F2A">
        <w:rPr>
          <w:rFonts w:ascii="Times New Roman" w:hAnsi="Times New Roman" w:eastAsia="MS Mincho" w:cs="Times New Roman"/>
          <w:bCs/>
          <w:sz w:val="24"/>
          <w:szCs w:val="24"/>
          <w:u w:val="single"/>
        </w:rPr>
        <w:t>Received in a Trade or Business, or</w:t>
      </w:r>
      <w:r>
        <w:rPr>
          <w:rFonts w:ascii="Times New Roman" w:hAnsi="Times New Roman" w:eastAsia="MS Mincho" w:cs="Times New Roman"/>
          <w:bCs/>
          <w:sz w:val="24"/>
          <w:szCs w:val="24"/>
          <w:u w:val="single"/>
        </w:rPr>
        <w:t xml:space="preserve"> </w:t>
      </w:r>
      <w:r w:rsidRPr="00417F2A">
        <w:rPr>
          <w:rFonts w:ascii="Times New Roman" w:hAnsi="Times New Roman" w:eastAsia="MS Mincho" w:cs="Times New Roman"/>
          <w:bCs/>
          <w:sz w:val="24"/>
          <w:szCs w:val="24"/>
          <w:u w:val="single"/>
        </w:rPr>
        <w:t>Received as Bail by Court Clerks;</w:t>
      </w:r>
      <w:r w:rsidR="00AD1062">
        <w:rPr>
          <w:rFonts w:ascii="Times New Roman" w:hAnsi="Times New Roman" w:eastAsia="MS Mincho" w:cs="Times New Roman"/>
          <w:bCs/>
          <w:sz w:val="24"/>
          <w:szCs w:val="24"/>
          <w:u w:val="single"/>
        </w:rPr>
        <w:t xml:space="preserve"> </w:t>
      </w:r>
      <w:r w:rsidRPr="00417F2A">
        <w:rPr>
          <w:rFonts w:ascii="Times New Roman" w:hAnsi="Times New Roman" w:eastAsia="MS Mincho" w:cs="Times New Roman"/>
          <w:bCs/>
          <w:sz w:val="24"/>
          <w:szCs w:val="24"/>
          <w:u w:val="single"/>
        </w:rPr>
        <w:t>Form 8300</w:t>
      </w:r>
      <w:r>
        <w:rPr>
          <w:rFonts w:ascii="Times New Roman" w:hAnsi="Times New Roman" w:eastAsia="MS Mincho" w:cs="Times New Roman"/>
          <w:bCs/>
          <w:sz w:val="24"/>
          <w:szCs w:val="24"/>
          <w:u w:val="single"/>
        </w:rPr>
        <w:t xml:space="preserve"> </w:t>
      </w:r>
      <w:r w:rsidRPr="00417F2A">
        <w:rPr>
          <w:rFonts w:ascii="Times New Roman" w:hAnsi="Times New Roman" w:eastAsia="MS Mincho" w:cs="Times New Roman"/>
          <w:bCs/>
          <w:sz w:val="24"/>
          <w:szCs w:val="24"/>
          <w:u w:val="single"/>
        </w:rPr>
        <w:t>(31 CFR</w:t>
      </w:r>
      <w:r w:rsidR="00AD1062">
        <w:rPr>
          <w:rFonts w:ascii="Times New Roman" w:hAnsi="Times New Roman" w:eastAsia="MS Mincho" w:cs="Times New Roman"/>
          <w:bCs/>
          <w:sz w:val="24"/>
          <w:szCs w:val="24"/>
          <w:u w:val="single"/>
        </w:rPr>
        <w:t xml:space="preserve"> </w:t>
      </w:r>
      <w:r w:rsidRPr="00417F2A">
        <w:rPr>
          <w:rFonts w:ascii="Times New Roman" w:hAnsi="Times New Roman" w:eastAsia="MS Mincho" w:cs="Times New Roman"/>
          <w:bCs/>
          <w:sz w:val="24"/>
          <w:szCs w:val="24"/>
          <w:u w:val="single"/>
        </w:rPr>
        <w:t>1010.330 and 31 CFR 1010.331).</w:t>
      </w:r>
      <w:r w:rsidRPr="00AA6051" w:rsidR="00F22B68">
        <w:rPr>
          <w:rFonts w:ascii="Times New Roman" w:hAnsi="Times New Roman" w:cs="Times New Roman"/>
          <w:sz w:val="24"/>
          <w:szCs w:val="24"/>
          <w:u w:val="single"/>
        </w:rPr>
        <w:t xml:space="preserve"> </w:t>
      </w:r>
    </w:p>
    <w:p w:rsidRPr="00AA6051" w:rsidR="00643252" w:rsidP="009829C3" w:rsidRDefault="00643252" w14:paraId="1DA71B39" w14:textId="77777777">
      <w:pPr>
        <w:pStyle w:val="PlainText"/>
        <w:rPr>
          <w:rFonts w:ascii="Times New Roman" w:hAnsi="Times New Roman" w:eastAsia="MS Mincho" w:cs="Times New Roman"/>
          <w:sz w:val="24"/>
        </w:rPr>
      </w:pPr>
    </w:p>
    <w:p w:rsidRPr="00AA6051" w:rsidR="00643252" w:rsidP="009829C3" w:rsidRDefault="00643252" w14:paraId="2ECC19C6" w14:textId="77777777">
      <w:pPr>
        <w:pStyle w:val="PlainText"/>
        <w:rPr>
          <w:rFonts w:ascii="Times New Roman" w:hAnsi="Times New Roman" w:eastAsia="MS Mincho" w:cs="Times New Roman"/>
          <w:sz w:val="24"/>
        </w:rPr>
      </w:pPr>
      <w:r w:rsidRPr="00AA6051">
        <w:rPr>
          <w:rFonts w:ascii="Times New Roman" w:hAnsi="Times New Roman" w:eastAsia="MS Mincho" w:cs="Times New Roman"/>
          <w:sz w:val="24"/>
        </w:rPr>
        <w:t xml:space="preserve">1. </w:t>
      </w:r>
      <w:r w:rsidRPr="00AA6051">
        <w:rPr>
          <w:rFonts w:ascii="Times New Roman" w:hAnsi="Times New Roman" w:cs="Times New Roman"/>
          <w:sz w:val="24"/>
          <w:szCs w:val="22"/>
          <w:u w:val="single"/>
        </w:rPr>
        <w:t xml:space="preserve">Circumstances </w:t>
      </w:r>
      <w:r w:rsidRPr="00AA6051" w:rsidR="00F22B68">
        <w:rPr>
          <w:rFonts w:ascii="Times New Roman" w:hAnsi="Times New Roman" w:cs="Times New Roman"/>
          <w:sz w:val="24"/>
          <w:szCs w:val="22"/>
          <w:u w:val="single"/>
        </w:rPr>
        <w:t>n</w:t>
      </w:r>
      <w:r w:rsidRPr="00AA6051">
        <w:rPr>
          <w:rFonts w:ascii="Times New Roman" w:hAnsi="Times New Roman" w:cs="Times New Roman"/>
          <w:sz w:val="24"/>
          <w:szCs w:val="22"/>
          <w:u w:val="single"/>
        </w:rPr>
        <w:t xml:space="preserve">ecessitating </w:t>
      </w:r>
      <w:r w:rsidRPr="00AA6051" w:rsidR="00F22B68">
        <w:rPr>
          <w:rFonts w:ascii="Times New Roman" w:hAnsi="Times New Roman" w:cs="Times New Roman"/>
          <w:sz w:val="24"/>
          <w:szCs w:val="22"/>
          <w:u w:val="single"/>
        </w:rPr>
        <w:t>c</w:t>
      </w:r>
      <w:r w:rsidRPr="00AA6051">
        <w:rPr>
          <w:rFonts w:ascii="Times New Roman" w:hAnsi="Times New Roman" w:cs="Times New Roman"/>
          <w:sz w:val="24"/>
          <w:szCs w:val="22"/>
          <w:u w:val="single"/>
        </w:rPr>
        <w:t xml:space="preserve">ollection of </w:t>
      </w:r>
      <w:r w:rsidRPr="00AA6051" w:rsidR="00F22B68">
        <w:rPr>
          <w:rFonts w:ascii="Times New Roman" w:hAnsi="Times New Roman" w:cs="Times New Roman"/>
          <w:sz w:val="24"/>
          <w:szCs w:val="22"/>
          <w:u w:val="single"/>
        </w:rPr>
        <w:t>i</w:t>
      </w:r>
      <w:r w:rsidRPr="00AA6051">
        <w:rPr>
          <w:rFonts w:ascii="Times New Roman" w:hAnsi="Times New Roman" w:cs="Times New Roman"/>
          <w:sz w:val="24"/>
          <w:szCs w:val="22"/>
          <w:u w:val="single"/>
        </w:rPr>
        <w:t>nformation.</w:t>
      </w:r>
    </w:p>
    <w:p w:rsidRPr="00AA6051" w:rsidR="00F22B68" w:rsidP="009829C3" w:rsidRDefault="00F22B68" w14:paraId="67058004" w14:textId="77777777">
      <w:pPr>
        <w:pStyle w:val="PlainText"/>
        <w:rPr>
          <w:rFonts w:ascii="Times New Roman" w:hAnsi="Times New Roman" w:eastAsia="MS Mincho" w:cs="Times New Roman"/>
          <w:sz w:val="24"/>
        </w:rPr>
      </w:pPr>
    </w:p>
    <w:p w:rsidRPr="000370B5" w:rsidR="00D51E90" w:rsidP="000370B5" w:rsidRDefault="00D51E90" w14:paraId="14BBE763" w14:textId="1B8E7BFB">
      <w:pPr>
        <w:pStyle w:val="BodyTextIndent"/>
        <w:ind w:left="0" w:firstLine="720"/>
        <w:rPr>
          <w:color w:val="000000" w:themeColor="text1"/>
        </w:rPr>
      </w:pPr>
      <w:r>
        <w:t>The legislative framework generally referred to as the Bank Secrecy Act (BSA) consists of the Currency and Financial Transactions Reporting Act of 1970, as amended by the Uniting and Strengthening America by Providing Appropriate Tools Required to Intercept and Obstruct Terrorism Act of 2001 (USA PATRIOT Act) (Public Law 107–56) and other legislati</w:t>
      </w:r>
      <w:r w:rsidRPr="00D51E90">
        <w:t xml:space="preserve">on, </w:t>
      </w:r>
      <w:r w:rsidRPr="000370B5">
        <w:t>including most recently the Anti-Money Laundering Act of 2020 (AML Act) (Division F of Public Law 116-283)</w:t>
      </w:r>
      <w:r w:rsidRPr="00D51E90">
        <w:t>. The BSA is codified at 12 U.S.C. 1829b, 12 U.S.C. 1951–1959, 31 U.S.C. 5311–5314 and 5316–</w:t>
      </w:r>
      <w:r w:rsidRPr="000370B5">
        <w:t>5336</w:t>
      </w:r>
      <w:r w:rsidRPr="00D51E90">
        <w:t>,</w:t>
      </w:r>
      <w:r>
        <w:t xml:space="preserve"> and notes thereto, with implementing regulations at 31 CFR Chapter X.</w:t>
      </w:r>
    </w:p>
    <w:p w:rsidRPr="00821BCA" w:rsidR="00D51E90" w:rsidP="00D9645C" w:rsidRDefault="00D51E90" w14:paraId="488083C6" w14:textId="77777777">
      <w:pPr>
        <w:pStyle w:val="BodyTextIndent"/>
        <w:ind w:left="0" w:firstLine="720"/>
        <w:rPr>
          <w:color w:val="000000" w:themeColor="text1"/>
        </w:rPr>
      </w:pPr>
    </w:p>
    <w:p w:rsidRPr="00120B54" w:rsidR="00D9645C" w:rsidP="00D9645C" w:rsidRDefault="00D9645C" w14:paraId="6647D795" w14:textId="77777777">
      <w:pPr>
        <w:ind w:firstLine="720"/>
        <w:rPr>
          <w:vertAlign w:val="superscript"/>
        </w:rPr>
      </w:pPr>
      <w:r w:rsidRPr="00120B54">
        <w:t xml:space="preserve">The BSA authorizes the Secretary of the Treasury, </w:t>
      </w:r>
      <w:r w:rsidRPr="00120B54">
        <w:rPr>
          <w:i/>
        </w:rPr>
        <w:t>inter alia</w:t>
      </w:r>
      <w:r w:rsidRPr="00120B54">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anti-money laundering (AML) programs and compliance procedures.</w:t>
      </w:r>
      <w:r w:rsidRPr="00120B54">
        <w:rPr>
          <w:rStyle w:val="FootnoteReference"/>
        </w:rPr>
        <w:footnoteReference w:id="1"/>
      </w:r>
      <w:r w:rsidRPr="00120B54">
        <w:rPr>
          <w:vertAlign w:val="superscript"/>
        </w:rPr>
        <w:t xml:space="preserve"> </w:t>
      </w:r>
      <w:r w:rsidRPr="00120B54">
        <w:t>Regulations implementing the BSA appear at 31 CFR Chapter X. The authority of the Secretary to administer the BSA has been delegated to the Director of FinCEN.</w:t>
      </w:r>
      <w:r w:rsidRPr="00120B54">
        <w:rPr>
          <w:rStyle w:val="FootnoteReference"/>
        </w:rPr>
        <w:footnoteReference w:id="2"/>
      </w:r>
    </w:p>
    <w:p w:rsidRPr="00AA6051" w:rsidR="005A7DEE" w:rsidP="009E75DB" w:rsidRDefault="005A7DEE" w14:paraId="6D26510F" w14:textId="77777777">
      <w:pPr>
        <w:pStyle w:val="PlainText"/>
        <w:rPr>
          <w:rFonts w:ascii="Times New Roman" w:hAnsi="Times New Roman" w:cs="Times New Roman"/>
          <w:sz w:val="24"/>
          <w:szCs w:val="24"/>
        </w:rPr>
      </w:pPr>
    </w:p>
    <w:p w:rsidR="003359D8" w:rsidP="00097749" w:rsidRDefault="003359D8" w14:paraId="720095CC" w14:textId="77777777">
      <w:pPr>
        <w:shd w:val="clear" w:color="auto" w:fill="FFFFFF"/>
        <w:ind w:firstLine="720"/>
      </w:pPr>
      <w:r w:rsidRPr="003359D8">
        <w:t>31 U.S.C. 5331 of the BSA and 26</w:t>
      </w:r>
      <w:r>
        <w:t xml:space="preserve"> </w:t>
      </w:r>
      <w:r w:rsidRPr="003359D8">
        <w:t>U.S.C. 6050I of the Internal Revenue</w:t>
      </w:r>
      <w:r>
        <w:t xml:space="preserve"> </w:t>
      </w:r>
      <w:r w:rsidRPr="003359D8">
        <w:t>Code require that certain transactions be</w:t>
      </w:r>
      <w:r>
        <w:t xml:space="preserve"> </w:t>
      </w:r>
      <w:r w:rsidRPr="003359D8">
        <w:t>reported to both FinCEN and the</w:t>
      </w:r>
      <w:r w:rsidR="00241BD1">
        <w:t xml:space="preserve"> </w:t>
      </w:r>
      <w:r w:rsidRPr="003359D8">
        <w:t>Internal Revenue Service (IRS) in the</w:t>
      </w:r>
      <w:r>
        <w:t xml:space="preserve"> </w:t>
      </w:r>
      <w:r w:rsidRPr="003359D8">
        <w:t>form and manner prescribed by the</w:t>
      </w:r>
      <w:r>
        <w:t xml:space="preserve"> </w:t>
      </w:r>
      <w:r w:rsidRPr="003359D8">
        <w:t xml:space="preserve">Secretary of the Treasury. </w:t>
      </w:r>
      <w:r w:rsidR="00083C2F">
        <w:t xml:space="preserve">The </w:t>
      </w:r>
      <w:r w:rsidR="00D33B35">
        <w:t xml:space="preserve">BSA </w:t>
      </w:r>
      <w:r w:rsidR="00083C2F">
        <w:t xml:space="preserve">implementing regulations are found at </w:t>
      </w:r>
      <w:r w:rsidR="0010722B">
        <w:t xml:space="preserve">31 CFR 1010.330 </w:t>
      </w:r>
      <w:r w:rsidR="00083C2F">
        <w:t xml:space="preserve">and </w:t>
      </w:r>
      <w:r w:rsidR="0010722B">
        <w:t>31 CFR 1010.331,</w:t>
      </w:r>
      <w:r w:rsidR="00083C2F">
        <w:t xml:space="preserve"> respectively</w:t>
      </w:r>
      <w:r w:rsidR="0010722B">
        <w:t xml:space="preserve">, and require: (1) </w:t>
      </w:r>
      <w:r w:rsidRPr="003359D8">
        <w:t>any person</w:t>
      </w:r>
      <w:r>
        <w:t xml:space="preserve"> </w:t>
      </w:r>
      <w:r w:rsidRPr="003359D8">
        <w:t xml:space="preserve">engaged in a trade or business </w:t>
      </w:r>
      <w:r w:rsidR="006F3925">
        <w:t xml:space="preserve">(other than a financial institution required to file currency transaction reports under FinCEN regulations) </w:t>
      </w:r>
      <w:r w:rsidRPr="003359D8">
        <w:t>who, in</w:t>
      </w:r>
      <w:r>
        <w:t xml:space="preserve"> </w:t>
      </w:r>
      <w:r w:rsidRPr="003359D8">
        <w:t xml:space="preserve">the course of </w:t>
      </w:r>
      <w:r w:rsidR="00F326B9">
        <w:t>th</w:t>
      </w:r>
      <w:r w:rsidR="00B42608">
        <w:t>at</w:t>
      </w:r>
      <w:r w:rsidRPr="003359D8">
        <w:t xml:space="preserve"> trade or business,</w:t>
      </w:r>
      <w:r>
        <w:t xml:space="preserve"> </w:t>
      </w:r>
      <w:r w:rsidRPr="003359D8">
        <w:t>receives more than $10,000 in coins or</w:t>
      </w:r>
      <w:r>
        <w:t xml:space="preserve"> </w:t>
      </w:r>
      <w:r w:rsidRPr="003359D8">
        <w:t>currency in one transaction or two or</w:t>
      </w:r>
      <w:r>
        <w:t xml:space="preserve"> </w:t>
      </w:r>
      <w:r w:rsidRPr="003359D8">
        <w:t>more related transactions</w:t>
      </w:r>
      <w:r w:rsidR="0010722B">
        <w:t xml:space="preserve">, </w:t>
      </w:r>
      <w:r w:rsidR="00120A4D">
        <w:t xml:space="preserve">and </w:t>
      </w:r>
      <w:r w:rsidR="0010722B">
        <w:t>(2) any</w:t>
      </w:r>
      <w:r w:rsidRPr="003359D8">
        <w:t xml:space="preserve"> clerk of a federal</w:t>
      </w:r>
      <w:r w:rsidR="00097749">
        <w:t xml:space="preserve"> or state court who receives more than $10,000 in currency as bail for any individual charged with a specified</w:t>
      </w:r>
      <w:r w:rsidR="0024739E">
        <w:t xml:space="preserve"> </w:t>
      </w:r>
      <w:r w:rsidR="00097749">
        <w:t>criminal offense</w:t>
      </w:r>
      <w:r w:rsidR="00053A47">
        <w:t>,</w:t>
      </w:r>
      <w:r w:rsidR="00F326B9">
        <w:t xml:space="preserve"> t</w:t>
      </w:r>
      <w:r w:rsidRPr="00F326B9" w:rsidR="00F326B9">
        <w:t xml:space="preserve">o </w:t>
      </w:r>
      <w:r w:rsidR="00A87124">
        <w:t xml:space="preserve">report these transactions on </w:t>
      </w:r>
      <w:r w:rsidR="00461D10">
        <w:t xml:space="preserve">the </w:t>
      </w:r>
      <w:r w:rsidR="00C24EF8">
        <w:t>F</w:t>
      </w:r>
      <w:r w:rsidRPr="00C24EF8" w:rsidR="00C24EF8">
        <w:t>orm 8300</w:t>
      </w:r>
      <w:r w:rsidR="00A87124">
        <w:t>.</w:t>
      </w:r>
    </w:p>
    <w:p w:rsidRPr="00AA6051" w:rsidR="00C70EA9" w:rsidP="009829C3" w:rsidRDefault="00C70EA9" w14:paraId="1B7F9BF0" w14:textId="77777777">
      <w:pPr>
        <w:shd w:val="clear" w:color="auto" w:fill="FFFFFF"/>
        <w:ind w:firstLine="720"/>
        <w:rPr>
          <w:rFonts w:eastAsia="MS Mincho"/>
          <w:bCs/>
        </w:rPr>
      </w:pPr>
    </w:p>
    <w:p w:rsidR="000370B5" w:rsidP="009829C3" w:rsidRDefault="000370B5" w14:paraId="326A657F" w14:textId="77777777">
      <w:pPr>
        <w:rPr>
          <w:bCs/>
        </w:rPr>
      </w:pPr>
    </w:p>
    <w:p w:rsidR="000370B5" w:rsidP="009829C3" w:rsidRDefault="000370B5" w14:paraId="07C11AD0" w14:textId="77777777">
      <w:pPr>
        <w:rPr>
          <w:bCs/>
        </w:rPr>
      </w:pPr>
    </w:p>
    <w:p w:rsidR="000370B5" w:rsidP="009829C3" w:rsidRDefault="000370B5" w14:paraId="23B89668" w14:textId="77777777">
      <w:pPr>
        <w:rPr>
          <w:bCs/>
        </w:rPr>
      </w:pPr>
    </w:p>
    <w:p w:rsidRPr="00AA6051" w:rsidR="00643252" w:rsidP="009829C3" w:rsidRDefault="00643252" w14:paraId="098DFE2A" w14:textId="34A11BE9">
      <w:pPr>
        <w:rPr>
          <w:bCs/>
        </w:rPr>
      </w:pPr>
      <w:r w:rsidRPr="00AA6051">
        <w:rPr>
          <w:bCs/>
        </w:rPr>
        <w:lastRenderedPageBreak/>
        <w:t xml:space="preserve">2. </w:t>
      </w:r>
      <w:r w:rsidRPr="00AA6051">
        <w:rPr>
          <w:bCs/>
          <w:u w:val="single"/>
        </w:rPr>
        <w:t>M</w:t>
      </w:r>
      <w:r w:rsidRPr="00AA6051" w:rsidR="00E667ED">
        <w:rPr>
          <w:bCs/>
          <w:u w:val="single"/>
        </w:rPr>
        <w:t>ethod of collection and use of d</w:t>
      </w:r>
      <w:r w:rsidRPr="00AA6051">
        <w:rPr>
          <w:bCs/>
          <w:u w:val="single"/>
        </w:rPr>
        <w:t>ata.</w:t>
      </w:r>
      <w:r w:rsidRPr="00AA6051">
        <w:rPr>
          <w:bCs/>
        </w:rPr>
        <w:t xml:space="preserve"> </w:t>
      </w:r>
    </w:p>
    <w:p w:rsidRPr="00AA6051" w:rsidR="009829C3" w:rsidP="009829C3" w:rsidRDefault="009829C3" w14:paraId="275C38AC" w14:textId="77777777">
      <w:pPr>
        <w:rPr>
          <w:bCs/>
        </w:rPr>
      </w:pPr>
    </w:p>
    <w:p w:rsidR="004277FD" w:rsidP="00C90EF6" w:rsidRDefault="00A87124" w14:paraId="17F6E6CB" w14:textId="77777777">
      <w:pPr>
        <w:ind w:firstLine="720"/>
      </w:pPr>
      <w:r>
        <w:t>Persons engage</w:t>
      </w:r>
      <w:r w:rsidR="0049415C">
        <w:t>d</w:t>
      </w:r>
      <w:r>
        <w:t xml:space="preserve"> in a trade or business</w:t>
      </w:r>
      <w:r w:rsidR="00123CA3">
        <w:t xml:space="preserve"> and </w:t>
      </w:r>
      <w:r>
        <w:t xml:space="preserve">court clerks </w:t>
      </w:r>
      <w:r w:rsidR="00A6557A">
        <w:t xml:space="preserve">can </w:t>
      </w:r>
      <w:r>
        <w:t>submit</w:t>
      </w:r>
      <w:r w:rsidR="0020343E">
        <w:t xml:space="preserve"> the</w:t>
      </w:r>
      <w:r>
        <w:t xml:space="preserve"> Form 8300 electronically via the BSA E-filing system.</w:t>
      </w:r>
      <w:r w:rsidR="00A6557A">
        <w:t xml:space="preserve"> Filers may also mail a paper version of the Form 8300 to the IRS. The IRS incorporates the data from paper-filed 8300s into the BSA database.</w:t>
      </w:r>
    </w:p>
    <w:p w:rsidR="006F3925" w:rsidP="00C90EF6" w:rsidRDefault="006F3925" w14:paraId="7600B815" w14:textId="77777777">
      <w:pPr>
        <w:ind w:firstLine="720"/>
      </w:pPr>
    </w:p>
    <w:p w:rsidRPr="00274DF4" w:rsidR="0067734C" w:rsidP="00A406C0" w:rsidRDefault="004277FD" w14:paraId="14A302A1" w14:textId="77777777">
      <w:pPr>
        <w:ind w:firstLine="720"/>
      </w:pPr>
      <w:r>
        <w:t xml:space="preserve">The information collected and retained under this regulation assists Federal, state and local law enforcement in tracing the proceeds of illegal activity and in identifying, investigating, and prosecuting individuals and entities involved in a variety of financial crimes. </w:t>
      </w:r>
    </w:p>
    <w:p w:rsidRPr="00AA6051" w:rsidR="009829C3" w:rsidP="00EC4954" w:rsidRDefault="009829C3" w14:paraId="4CA89DD9" w14:textId="77777777"/>
    <w:p w:rsidRPr="00C34B95" w:rsidR="00643252" w:rsidP="009829C3" w:rsidRDefault="00643252" w14:paraId="7BBC72FB" w14:textId="77777777">
      <w:pPr>
        <w:rPr>
          <w:szCs w:val="22"/>
        </w:rPr>
      </w:pPr>
      <w:r w:rsidRPr="00C34B95">
        <w:rPr>
          <w:szCs w:val="22"/>
        </w:rPr>
        <w:t xml:space="preserve">3. </w:t>
      </w:r>
      <w:r w:rsidRPr="00C34B95" w:rsidR="00E667ED">
        <w:rPr>
          <w:szCs w:val="22"/>
          <w:u w:val="single"/>
        </w:rPr>
        <w:t>Use of i</w:t>
      </w:r>
      <w:r w:rsidRPr="00C34B95">
        <w:rPr>
          <w:szCs w:val="22"/>
          <w:u w:val="single"/>
        </w:rPr>
        <w:t xml:space="preserve">mproved </w:t>
      </w:r>
      <w:r w:rsidRPr="00C34B95" w:rsidR="00E667ED">
        <w:rPr>
          <w:szCs w:val="22"/>
          <w:u w:val="single"/>
        </w:rPr>
        <w:t>information technology to reduce b</w:t>
      </w:r>
      <w:r w:rsidRPr="00C34B95">
        <w:rPr>
          <w:szCs w:val="22"/>
          <w:u w:val="single"/>
        </w:rPr>
        <w:t>urden.</w:t>
      </w:r>
      <w:r w:rsidRPr="00C34B95">
        <w:rPr>
          <w:szCs w:val="22"/>
        </w:rPr>
        <w:t xml:space="preserve"> </w:t>
      </w:r>
    </w:p>
    <w:p w:rsidRPr="007B770B" w:rsidR="00C879E5" w:rsidP="00C879E5" w:rsidRDefault="00C879E5" w14:paraId="07940FA2" w14:textId="77777777"/>
    <w:p w:rsidRPr="00B6644C" w:rsidR="00100D77" w:rsidP="00100D77" w:rsidRDefault="00EC4954" w14:paraId="5628647C" w14:textId="77777777">
      <w:pPr>
        <w:pStyle w:val="BodyTextIndent3"/>
        <w:ind w:left="0" w:firstLine="720"/>
        <w:rPr>
          <w:sz w:val="24"/>
          <w:szCs w:val="24"/>
        </w:rPr>
      </w:pPr>
      <w:r w:rsidRPr="00545D32">
        <w:rPr>
          <w:color w:val="1B1B1B"/>
          <w:sz w:val="24"/>
          <w:szCs w:val="24"/>
          <w:shd w:val="clear" w:color="auto" w:fill="FFFFFF"/>
        </w:rPr>
        <w:t>The BSA E-filing system supports electronic filing of BSA reports, including Form 8300s (either individually or in batches)</w:t>
      </w:r>
      <w:r w:rsidRPr="00545D32">
        <w:rPr>
          <w:rStyle w:val="FootnoteReference"/>
          <w:color w:val="1B1B1B"/>
          <w:sz w:val="24"/>
          <w:szCs w:val="24"/>
          <w:shd w:val="clear" w:color="auto" w:fill="FFFFFF"/>
        </w:rPr>
        <w:footnoteReference w:id="3"/>
      </w:r>
      <w:r w:rsidRPr="00545D32">
        <w:rPr>
          <w:color w:val="1B1B1B"/>
          <w:sz w:val="24"/>
          <w:szCs w:val="24"/>
          <w:shd w:val="clear" w:color="auto" w:fill="FFFFFF"/>
          <w:vertAlign w:val="superscript"/>
        </w:rPr>
        <w:t xml:space="preserve"> </w:t>
      </w:r>
      <w:r w:rsidRPr="00545D32">
        <w:rPr>
          <w:color w:val="1B1B1B"/>
          <w:sz w:val="24"/>
          <w:szCs w:val="24"/>
          <w:shd w:val="clear" w:color="auto" w:fill="FFFFFF"/>
        </w:rPr>
        <w:t>through a FinCEN secure network.</w:t>
      </w:r>
      <w:r w:rsidRPr="00545D32">
        <w:rPr>
          <w:sz w:val="24"/>
          <w:szCs w:val="24"/>
        </w:rPr>
        <w:t xml:space="preserve"> </w:t>
      </w:r>
      <w:r w:rsidRPr="00545D32">
        <w:rPr>
          <w:color w:val="1B1B1B"/>
          <w:sz w:val="24"/>
          <w:szCs w:val="24"/>
          <w:shd w:val="clear" w:color="auto" w:fill="FFFFFF"/>
        </w:rPr>
        <w:t xml:space="preserve">BSA E-filing provides a faster and more convenient, secure and cost-effective method for submitting BSA reports. </w:t>
      </w:r>
      <w:r w:rsidRPr="00545D32">
        <w:rPr>
          <w:sz w:val="24"/>
          <w:szCs w:val="24"/>
        </w:rPr>
        <w:t xml:space="preserve">Discrete and batch versions are available on the FinCEN BSA E-File website at </w:t>
      </w:r>
      <w:hyperlink w:history="1" r:id="rId8">
        <w:r w:rsidRPr="00545D32" w:rsidR="009E75DB">
          <w:rPr>
            <w:rStyle w:val="Hyperlink"/>
            <w:sz w:val="24"/>
            <w:szCs w:val="24"/>
          </w:rPr>
          <w:t>http://bsaefiling.fincen.treas.gov/main.html</w:t>
        </w:r>
      </w:hyperlink>
      <w:r w:rsidRPr="00545D32">
        <w:rPr>
          <w:sz w:val="24"/>
          <w:szCs w:val="24"/>
        </w:rPr>
        <w:t>. FinCEN also upgraded to the industry standard of XML file format for both discrete and batch filers of Form 8300s.</w:t>
      </w:r>
    </w:p>
    <w:p w:rsidRPr="00AA6051" w:rsidR="009829C3" w:rsidP="00714FE5" w:rsidRDefault="009829C3" w14:paraId="66A3D072" w14:textId="77777777">
      <w:pPr>
        <w:ind w:firstLine="720"/>
        <w:rPr>
          <w:szCs w:val="22"/>
        </w:rPr>
      </w:pPr>
    </w:p>
    <w:p w:rsidRPr="00AA6051" w:rsidR="00643252" w:rsidP="009829C3" w:rsidRDefault="00643252" w14:paraId="358098BB" w14:textId="77777777">
      <w:pPr>
        <w:rPr>
          <w:szCs w:val="22"/>
          <w:u w:val="single"/>
        </w:rPr>
      </w:pPr>
      <w:r w:rsidRPr="00AA6051">
        <w:rPr>
          <w:szCs w:val="22"/>
        </w:rPr>
        <w:t xml:space="preserve">4. </w:t>
      </w:r>
      <w:r w:rsidRPr="00AA6051" w:rsidR="00E667ED">
        <w:rPr>
          <w:szCs w:val="22"/>
          <w:u w:val="single"/>
        </w:rPr>
        <w:t>Efforts to identify d</w:t>
      </w:r>
      <w:r w:rsidRPr="00AA6051">
        <w:rPr>
          <w:szCs w:val="22"/>
          <w:u w:val="single"/>
        </w:rPr>
        <w:t>uplication</w:t>
      </w:r>
      <w:r w:rsidRPr="00AA6051" w:rsidR="003E69DC">
        <w:rPr>
          <w:szCs w:val="22"/>
          <w:u w:val="single"/>
        </w:rPr>
        <w:t>.</w:t>
      </w:r>
      <w:r w:rsidRPr="00AA6051">
        <w:rPr>
          <w:szCs w:val="22"/>
          <w:u w:val="single"/>
        </w:rPr>
        <w:t xml:space="preserve"> </w:t>
      </w:r>
    </w:p>
    <w:p w:rsidRPr="00AA6051" w:rsidR="009829C3" w:rsidP="009829C3" w:rsidRDefault="009829C3" w14:paraId="21700651" w14:textId="77777777">
      <w:pPr>
        <w:rPr>
          <w:szCs w:val="22"/>
          <w:u w:val="single"/>
        </w:rPr>
      </w:pPr>
    </w:p>
    <w:p w:rsidRPr="00274DF4" w:rsidR="00C879E5" w:rsidP="00120A4D" w:rsidRDefault="00C879E5" w14:paraId="61AF16BC" w14:textId="77777777">
      <w:pPr>
        <w:ind w:firstLine="720"/>
      </w:pPr>
      <w:r>
        <w:t xml:space="preserve">FinCEN </w:t>
      </w:r>
      <w:r w:rsidR="001D647A">
        <w:t>does not require</w:t>
      </w:r>
      <w:r w:rsidR="00100D77">
        <w:t xml:space="preserve"> </w:t>
      </w:r>
      <w:r w:rsidRPr="00274DF4">
        <w:t>financial institutions</w:t>
      </w:r>
      <w:r w:rsidR="001D647A">
        <w:t xml:space="preserve"> to file </w:t>
      </w:r>
      <w:r w:rsidRPr="00274DF4" w:rsidR="001D647A">
        <w:t>Form 8300</w:t>
      </w:r>
      <w:r w:rsidR="001D647A">
        <w:t>s</w:t>
      </w:r>
      <w:r w:rsidR="00100D77">
        <w:t xml:space="preserve"> because financial institutions are required to file currency transaction reports for </w:t>
      </w:r>
      <w:r w:rsidRPr="00274DF4">
        <w:t>currency transactions in excess of $10,000</w:t>
      </w:r>
      <w:r w:rsidR="00E76A9F">
        <w:t>; thus there is no similar information available and no duplication</w:t>
      </w:r>
      <w:r w:rsidR="00100D77">
        <w:t>.</w:t>
      </w:r>
    </w:p>
    <w:p w:rsidRPr="00AA6051" w:rsidR="009829C3" w:rsidP="009829C3" w:rsidRDefault="009829C3" w14:paraId="150804D0" w14:textId="77777777">
      <w:pPr>
        <w:ind w:firstLine="720"/>
      </w:pPr>
    </w:p>
    <w:p w:rsidRPr="00AA6051" w:rsidR="00643252" w:rsidP="009829C3" w:rsidRDefault="00643252" w14:paraId="6FAD6338" w14:textId="77777777">
      <w:pPr>
        <w:rPr>
          <w:szCs w:val="22"/>
          <w:u w:val="single"/>
        </w:rPr>
      </w:pPr>
      <w:r w:rsidRPr="00AA6051">
        <w:rPr>
          <w:szCs w:val="22"/>
        </w:rPr>
        <w:t xml:space="preserve">5. </w:t>
      </w:r>
      <w:r w:rsidRPr="00AA6051" w:rsidR="00E667ED">
        <w:rPr>
          <w:szCs w:val="22"/>
          <w:u w:val="single"/>
        </w:rPr>
        <w:t>Methods to minimize burden on small businesses or other small e</w:t>
      </w:r>
      <w:r w:rsidRPr="00AA6051">
        <w:rPr>
          <w:szCs w:val="22"/>
          <w:u w:val="single"/>
        </w:rPr>
        <w:t>ntities</w:t>
      </w:r>
      <w:r w:rsidRPr="00AA6051" w:rsidR="003E69DC">
        <w:rPr>
          <w:szCs w:val="22"/>
          <w:u w:val="single"/>
        </w:rPr>
        <w:t>.</w:t>
      </w:r>
    </w:p>
    <w:p w:rsidRPr="00AA6051" w:rsidR="009829C3" w:rsidP="009829C3" w:rsidRDefault="009829C3" w14:paraId="69C45C5E" w14:textId="77777777">
      <w:pPr>
        <w:ind w:firstLine="720"/>
        <w:rPr>
          <w:szCs w:val="22"/>
        </w:rPr>
      </w:pPr>
    </w:p>
    <w:p w:rsidRPr="0015749B" w:rsidR="0015749B" w:rsidP="0015749B" w:rsidRDefault="0015749B" w14:paraId="2D187A43" w14:textId="117E0CCF">
      <w:pPr>
        <w:ind w:firstLine="720"/>
        <w:rPr>
          <w:szCs w:val="22"/>
        </w:rPr>
      </w:pPr>
      <w:r w:rsidRPr="0015749B">
        <w:rPr>
          <w:szCs w:val="22"/>
        </w:rPr>
        <w:t>The reporting and recordkeeping requirements of these regulations and report</w:t>
      </w:r>
      <w:r w:rsidR="002C3647">
        <w:rPr>
          <w:szCs w:val="22"/>
        </w:rPr>
        <w:t>s</w:t>
      </w:r>
      <w:r w:rsidRPr="0015749B">
        <w:rPr>
          <w:szCs w:val="22"/>
        </w:rPr>
        <w:t xml:space="preserve"> should not pose any adverse impact on small businesses</w:t>
      </w:r>
      <w:r w:rsidR="003216E8">
        <w:rPr>
          <w:szCs w:val="22"/>
        </w:rPr>
        <w:t xml:space="preserve">.  The reports only need to be filed when a business or court clerk </w:t>
      </w:r>
      <w:r>
        <w:rPr>
          <w:szCs w:val="22"/>
        </w:rPr>
        <w:t>receive</w:t>
      </w:r>
      <w:r w:rsidR="003216E8">
        <w:rPr>
          <w:szCs w:val="22"/>
        </w:rPr>
        <w:t>s</w:t>
      </w:r>
      <w:r>
        <w:rPr>
          <w:szCs w:val="22"/>
        </w:rPr>
        <w:t xml:space="preserve"> </w:t>
      </w:r>
      <w:r w:rsidR="00B7246F">
        <w:rPr>
          <w:szCs w:val="22"/>
        </w:rPr>
        <w:t xml:space="preserve">more than </w:t>
      </w:r>
      <w:r w:rsidRPr="0015749B">
        <w:rPr>
          <w:szCs w:val="22"/>
        </w:rPr>
        <w:t xml:space="preserve">$10,000 </w:t>
      </w:r>
      <w:r w:rsidR="00B7246F">
        <w:rPr>
          <w:szCs w:val="22"/>
        </w:rPr>
        <w:t xml:space="preserve">in </w:t>
      </w:r>
      <w:r w:rsidR="00930573">
        <w:rPr>
          <w:szCs w:val="22"/>
        </w:rPr>
        <w:t>currency i</w:t>
      </w:r>
      <w:r w:rsidRPr="003359D8" w:rsidR="00930573">
        <w:t>n one transaction or two or</w:t>
      </w:r>
      <w:r w:rsidR="00930573">
        <w:t xml:space="preserve"> </w:t>
      </w:r>
      <w:r w:rsidRPr="003359D8" w:rsidR="00930573">
        <w:t>more related transactions</w:t>
      </w:r>
      <w:r w:rsidRPr="0015749B">
        <w:rPr>
          <w:szCs w:val="22"/>
        </w:rPr>
        <w:t xml:space="preserve">. </w:t>
      </w:r>
      <w:r w:rsidR="003216E8">
        <w:rPr>
          <w:szCs w:val="22"/>
        </w:rPr>
        <w:t>Small businesses are less likely to receive $10,000 in currency</w:t>
      </w:r>
      <w:r w:rsidR="000A5D78">
        <w:rPr>
          <w:szCs w:val="22"/>
        </w:rPr>
        <w:t xml:space="preserve"> for</w:t>
      </w:r>
      <w:r w:rsidR="003216E8">
        <w:rPr>
          <w:szCs w:val="22"/>
        </w:rPr>
        <w:t xml:space="preserve"> one or more related transactions. </w:t>
      </w:r>
      <w:r w:rsidRPr="0015749B">
        <w:rPr>
          <w:szCs w:val="22"/>
        </w:rPr>
        <w:t xml:space="preserve">Nonetheless, should a small business have to report, the recordkeeping impact should be minimal as these businesses generally retain these records as part of their regular business practice.  </w:t>
      </w:r>
    </w:p>
    <w:p w:rsidRPr="0015749B" w:rsidR="0015749B" w:rsidP="0015749B" w:rsidRDefault="0015749B" w14:paraId="1F171656" w14:textId="77777777">
      <w:pPr>
        <w:ind w:firstLine="720"/>
        <w:rPr>
          <w:szCs w:val="22"/>
        </w:rPr>
      </w:pPr>
    </w:p>
    <w:p w:rsidRPr="00AA6051" w:rsidR="00643252" w:rsidP="0015749B" w:rsidRDefault="0015749B" w14:paraId="53C0AB58" w14:textId="77777777">
      <w:pPr>
        <w:ind w:firstLine="720"/>
        <w:rPr>
          <w:szCs w:val="22"/>
        </w:rPr>
      </w:pPr>
      <w:r w:rsidRPr="0015749B">
        <w:rPr>
          <w:szCs w:val="22"/>
        </w:rPr>
        <w:t xml:space="preserve">With respect to the impact on individuals, the information required to be reported on the </w:t>
      </w:r>
      <w:r w:rsidR="00B7246F">
        <w:rPr>
          <w:szCs w:val="22"/>
        </w:rPr>
        <w:t>Form 8300</w:t>
      </w:r>
      <w:r w:rsidRPr="0015749B">
        <w:rPr>
          <w:szCs w:val="22"/>
        </w:rPr>
        <w:t xml:space="preserve"> is basic information </w:t>
      </w:r>
      <w:r w:rsidR="0083337A">
        <w:rPr>
          <w:szCs w:val="22"/>
        </w:rPr>
        <w:t xml:space="preserve">which the filer would have access to </w:t>
      </w:r>
      <w:r w:rsidR="00B7246F">
        <w:rPr>
          <w:szCs w:val="22"/>
        </w:rPr>
        <w:t xml:space="preserve">during the course of business. </w:t>
      </w:r>
      <w:r w:rsidRPr="0083337A" w:rsidR="0083337A">
        <w:rPr>
          <w:szCs w:val="22"/>
        </w:rPr>
        <w:t xml:space="preserve">For </w:t>
      </w:r>
      <w:r w:rsidR="0083337A">
        <w:rPr>
          <w:szCs w:val="22"/>
        </w:rPr>
        <w:t>example</w:t>
      </w:r>
      <w:r w:rsidRPr="0083337A" w:rsidR="0083337A">
        <w:rPr>
          <w:szCs w:val="22"/>
        </w:rPr>
        <w:t xml:space="preserve">, the Form 8300 requires a trade or business or court clerk to report identifying information about the individual from whom the cash was </w:t>
      </w:r>
      <w:r w:rsidRPr="0083337A" w:rsidR="0083337A">
        <w:rPr>
          <w:szCs w:val="22"/>
        </w:rPr>
        <w:lastRenderedPageBreak/>
        <w:t>received, as well as any person on whose behalf the transaction was conducted.</w:t>
      </w:r>
      <w:r w:rsidR="0083337A">
        <w:rPr>
          <w:szCs w:val="22"/>
        </w:rPr>
        <w:t xml:space="preserve"> </w:t>
      </w:r>
      <w:r w:rsidRPr="0015749B">
        <w:rPr>
          <w:szCs w:val="22"/>
        </w:rPr>
        <w:t>No special accounting or legal skills will be necessary to transfer the basic information required to be reported</w:t>
      </w:r>
      <w:r w:rsidR="008F0894">
        <w:rPr>
          <w:szCs w:val="22"/>
        </w:rPr>
        <w:t xml:space="preserve"> to </w:t>
      </w:r>
      <w:r w:rsidR="00930573">
        <w:rPr>
          <w:szCs w:val="22"/>
        </w:rPr>
        <w:t xml:space="preserve">the </w:t>
      </w:r>
      <w:r w:rsidR="008F0894">
        <w:rPr>
          <w:szCs w:val="22"/>
        </w:rPr>
        <w:t xml:space="preserve">Form 8300. </w:t>
      </w:r>
    </w:p>
    <w:p w:rsidRPr="00AA6051" w:rsidR="009829C3" w:rsidP="009829C3" w:rsidRDefault="009829C3" w14:paraId="217A4176" w14:textId="77777777">
      <w:pPr>
        <w:ind w:firstLine="720"/>
        <w:rPr>
          <w:szCs w:val="22"/>
        </w:rPr>
      </w:pPr>
    </w:p>
    <w:p w:rsidRPr="00AA6051" w:rsidR="00643252" w:rsidP="009829C3" w:rsidRDefault="00643252" w14:paraId="6A2E1452" w14:textId="77777777">
      <w:pPr>
        <w:rPr>
          <w:szCs w:val="22"/>
        </w:rPr>
      </w:pPr>
      <w:r w:rsidRPr="00AA6051">
        <w:rPr>
          <w:szCs w:val="22"/>
        </w:rPr>
        <w:t xml:space="preserve">6. </w:t>
      </w:r>
      <w:r w:rsidRPr="00AA6051" w:rsidR="00E667ED">
        <w:rPr>
          <w:szCs w:val="22"/>
          <w:u w:val="single"/>
        </w:rPr>
        <w:t>Consequences to the Federal g</w:t>
      </w:r>
      <w:r w:rsidRPr="00AA6051">
        <w:rPr>
          <w:szCs w:val="22"/>
          <w:u w:val="single"/>
        </w:rPr>
        <w:t>o</w:t>
      </w:r>
      <w:r w:rsidRPr="00AA6051" w:rsidR="00E667ED">
        <w:rPr>
          <w:szCs w:val="22"/>
          <w:u w:val="single"/>
        </w:rPr>
        <w:t>vernment of not collecting the i</w:t>
      </w:r>
      <w:r w:rsidRPr="00AA6051">
        <w:rPr>
          <w:szCs w:val="22"/>
          <w:u w:val="single"/>
        </w:rPr>
        <w:t>nformation.</w:t>
      </w:r>
      <w:r w:rsidRPr="00AA6051">
        <w:rPr>
          <w:szCs w:val="22"/>
        </w:rPr>
        <w:t xml:space="preserve"> </w:t>
      </w:r>
    </w:p>
    <w:p w:rsidR="00C96B45" w:rsidP="009829C3" w:rsidRDefault="00C96B45" w14:paraId="04CE806F" w14:textId="77777777">
      <w:pPr>
        <w:ind w:firstLine="720"/>
        <w:rPr>
          <w:szCs w:val="22"/>
        </w:rPr>
      </w:pPr>
    </w:p>
    <w:p w:rsidRPr="00E23A40" w:rsidR="00643252" w:rsidP="00E23A40" w:rsidRDefault="00E23A40" w14:paraId="0121D25B" w14:textId="77777777">
      <w:pPr>
        <w:ind w:firstLine="720"/>
      </w:pPr>
      <w:r>
        <w:rPr>
          <w:szCs w:val="22"/>
        </w:rPr>
        <w:t xml:space="preserve">Because the </w:t>
      </w:r>
      <w:r w:rsidR="001B1740">
        <w:rPr>
          <w:szCs w:val="22"/>
        </w:rPr>
        <w:t>Form 8300</w:t>
      </w:r>
      <w:r>
        <w:rPr>
          <w:szCs w:val="22"/>
        </w:rPr>
        <w:t xml:space="preserve"> is filed at the time of the currency transaction, </w:t>
      </w:r>
      <w:r>
        <w:t xml:space="preserve">a failure to collect this information could hamper law enforcement efforts to detect illegal activity while it is still ongoing and discernible. The timely reporting of this information provides law enforcement with important investigative leads in order to take appropriate action, including tracing criminal proceeds, gathering additional evidence, seizing funds, and stopping the movement of funds before criminal elements can change their schemes for disposing of the profits of illegal activity.  </w:t>
      </w:r>
    </w:p>
    <w:p w:rsidRPr="00AA6051" w:rsidR="009829C3" w:rsidP="009829C3" w:rsidRDefault="009829C3" w14:paraId="098FB119" w14:textId="77777777">
      <w:pPr>
        <w:ind w:firstLine="720"/>
        <w:rPr>
          <w:szCs w:val="22"/>
        </w:rPr>
      </w:pPr>
    </w:p>
    <w:p w:rsidRPr="00AA6051" w:rsidR="00643252" w:rsidP="009829C3" w:rsidRDefault="00643252" w14:paraId="6889BCDC" w14:textId="77777777">
      <w:pPr>
        <w:rPr>
          <w:szCs w:val="22"/>
          <w:u w:val="single"/>
        </w:rPr>
      </w:pPr>
      <w:r w:rsidRPr="00AA6051">
        <w:rPr>
          <w:szCs w:val="22"/>
        </w:rPr>
        <w:t xml:space="preserve">7. </w:t>
      </w:r>
      <w:r w:rsidRPr="00AA6051" w:rsidR="00E667ED">
        <w:rPr>
          <w:szCs w:val="22"/>
          <w:u w:val="single"/>
        </w:rPr>
        <w:t>Special circumstances requiring data collection inconsistent with g</w:t>
      </w:r>
      <w:r w:rsidRPr="00AA6051">
        <w:rPr>
          <w:szCs w:val="22"/>
          <w:u w:val="single"/>
        </w:rPr>
        <w:t>uidelines.</w:t>
      </w:r>
    </w:p>
    <w:p w:rsidRPr="00AA6051" w:rsidR="00643252" w:rsidP="009829C3" w:rsidRDefault="00643252" w14:paraId="071F32C8" w14:textId="77777777">
      <w:pPr>
        <w:widowControl w:val="0"/>
        <w:autoSpaceDE w:val="0"/>
        <w:autoSpaceDN w:val="0"/>
        <w:adjustRightInd w:val="0"/>
        <w:spacing w:line="240" w:lineRule="exact"/>
        <w:ind w:firstLine="710"/>
        <w:rPr>
          <w:szCs w:val="22"/>
        </w:rPr>
      </w:pPr>
    </w:p>
    <w:p w:rsidRPr="00AA6051" w:rsidR="00104F2C" w:rsidP="00104F2C" w:rsidRDefault="00414797" w14:paraId="52EBDF33" w14:textId="77777777">
      <w:pPr>
        <w:ind w:firstLine="720"/>
        <w:rPr>
          <w:szCs w:val="4"/>
        </w:rPr>
      </w:pPr>
      <w:r w:rsidRPr="006E609E">
        <w:rPr>
          <w:szCs w:val="4"/>
        </w:rPr>
        <w:t>Und</w:t>
      </w:r>
      <w:r w:rsidRPr="006E609E">
        <w:t xml:space="preserve">er 31 CFR 1010.430(d), </w:t>
      </w:r>
      <w:r w:rsidRPr="006E609E">
        <w:rPr>
          <w:lang w:val="en"/>
        </w:rPr>
        <w:t xml:space="preserve">all records that are required to be retained by 31 CFR Chapter X must be retained for a period of five years. </w:t>
      </w:r>
      <w:r w:rsidRPr="006E609E" w:rsidR="00B83216">
        <w:rPr>
          <w:lang w:val="en"/>
        </w:rPr>
        <w:t>This</w:t>
      </w:r>
      <w:r w:rsidR="00B83216">
        <w:rPr>
          <w:lang w:val="en"/>
        </w:rPr>
        <w:t xml:space="preserve"> allows such records to be used in connection with investigations and prosecutions for substantive violations of law for which the statute of limitations is longer than three years. </w:t>
      </w:r>
    </w:p>
    <w:p w:rsidRPr="00AA6051" w:rsidR="00D52D6F" w:rsidP="00AA6051" w:rsidRDefault="00D52D6F" w14:paraId="3DDE7860" w14:textId="77777777"/>
    <w:p w:rsidRPr="00AA6051" w:rsidR="00643252" w:rsidP="009829C3" w:rsidRDefault="00643252" w14:paraId="1ABCD458" w14:textId="77777777">
      <w:pPr>
        <w:rPr>
          <w:szCs w:val="22"/>
        </w:rPr>
      </w:pPr>
      <w:r w:rsidRPr="00AA6051">
        <w:rPr>
          <w:szCs w:val="22"/>
        </w:rPr>
        <w:t xml:space="preserve">8. </w:t>
      </w:r>
      <w:r w:rsidRPr="00AA6051">
        <w:rPr>
          <w:szCs w:val="22"/>
          <w:u w:val="single"/>
        </w:rPr>
        <w:t>Consultation w</w:t>
      </w:r>
      <w:r w:rsidRPr="00AA6051" w:rsidR="00E667ED">
        <w:rPr>
          <w:szCs w:val="22"/>
          <w:u w:val="single"/>
        </w:rPr>
        <w:t>ith individuals outside of the a</w:t>
      </w:r>
      <w:r w:rsidRPr="00AA6051">
        <w:rPr>
          <w:szCs w:val="22"/>
          <w:u w:val="single"/>
        </w:rPr>
        <w:t>g</w:t>
      </w:r>
      <w:r w:rsidRPr="00AA6051" w:rsidR="00E667ED">
        <w:rPr>
          <w:szCs w:val="22"/>
          <w:u w:val="single"/>
        </w:rPr>
        <w:t>ency on availability of data f</w:t>
      </w:r>
      <w:r w:rsidRPr="00AA6051">
        <w:rPr>
          <w:szCs w:val="22"/>
          <w:u w:val="single"/>
        </w:rPr>
        <w:t>requ</w:t>
      </w:r>
      <w:r w:rsidRPr="00AA6051" w:rsidR="00E667ED">
        <w:rPr>
          <w:szCs w:val="22"/>
          <w:u w:val="single"/>
        </w:rPr>
        <w:t>ency of collection, clarity of i</w:t>
      </w:r>
      <w:r w:rsidRPr="00AA6051">
        <w:rPr>
          <w:szCs w:val="22"/>
          <w:u w:val="single"/>
        </w:rPr>
        <w:t>n</w:t>
      </w:r>
      <w:r w:rsidRPr="00AA6051" w:rsidR="00E667ED">
        <w:rPr>
          <w:szCs w:val="22"/>
          <w:u w:val="single"/>
        </w:rPr>
        <w:t>structions and forms, and data e</w:t>
      </w:r>
      <w:r w:rsidRPr="00AA6051">
        <w:rPr>
          <w:szCs w:val="22"/>
          <w:u w:val="single"/>
        </w:rPr>
        <w:t>lements.</w:t>
      </w:r>
      <w:r w:rsidRPr="00AA6051">
        <w:rPr>
          <w:szCs w:val="22"/>
        </w:rPr>
        <w:t xml:space="preserve"> </w:t>
      </w:r>
    </w:p>
    <w:p w:rsidRPr="00AA6051" w:rsidR="00643252" w:rsidP="009829C3" w:rsidRDefault="00643252" w14:paraId="592AE2CC" w14:textId="77777777">
      <w:pPr>
        <w:rPr>
          <w:szCs w:val="22"/>
        </w:rPr>
      </w:pPr>
    </w:p>
    <w:p w:rsidRPr="00642760" w:rsidR="00642760" w:rsidP="00154790" w:rsidRDefault="00154790" w14:paraId="5D4B9A1A" w14:textId="77777777">
      <w:pPr>
        <w:ind w:firstLine="720"/>
      </w:pPr>
      <w:r>
        <w:t>The 60-day notice was published</w:t>
      </w:r>
      <w:r w:rsidRPr="00AA6051" w:rsidR="00414797">
        <w:t xml:space="preserve"> on </w:t>
      </w:r>
      <w:r w:rsidR="007458BE">
        <w:t>December 7, 2020</w:t>
      </w:r>
      <w:r w:rsidRPr="00AA6051" w:rsidR="00414797">
        <w:t>.</w:t>
      </w:r>
      <w:r w:rsidRPr="00AA6051" w:rsidR="00414797">
        <w:rPr>
          <w:rStyle w:val="FootnoteReference"/>
        </w:rPr>
        <w:footnoteReference w:id="4"/>
      </w:r>
      <w:r w:rsidRPr="00AA6051" w:rsidR="00414797">
        <w:t xml:space="preserve"> The notice requested public comments on the proposed renewal, without change, of currently approved information c</w:t>
      </w:r>
      <w:r w:rsidRPr="00AA6051" w:rsidR="00E667ED">
        <w:t>ollections relating</w:t>
      </w:r>
      <w:r w:rsidR="00773249">
        <w:t xml:space="preserve"> to</w:t>
      </w:r>
      <w:r w:rsidRPr="004811B1" w:rsidR="004811B1">
        <w:t xml:space="preserve"> reports of</w:t>
      </w:r>
      <w:r w:rsidR="00FD004B">
        <w:t xml:space="preserve"> </w:t>
      </w:r>
      <w:r w:rsidRPr="004811B1" w:rsidR="004811B1">
        <w:t xml:space="preserve">currency </w:t>
      </w:r>
      <w:r w:rsidR="002A7D1B">
        <w:t>of more than</w:t>
      </w:r>
      <w:r w:rsidRPr="004811B1" w:rsidR="004811B1">
        <w:t xml:space="preserve"> $10,000 received by a trade or business or by </w:t>
      </w:r>
      <w:r w:rsidR="00340D0E">
        <w:t xml:space="preserve">a </w:t>
      </w:r>
      <w:r w:rsidRPr="004811B1" w:rsidR="004811B1">
        <w:t xml:space="preserve">court clerk as </w:t>
      </w:r>
      <w:r w:rsidRPr="00DD2C65" w:rsidR="004811B1">
        <w:t>bail</w:t>
      </w:r>
      <w:r w:rsidR="00CC22E5">
        <w:t xml:space="preserve"> (Form 8300).</w:t>
      </w:r>
      <w:r w:rsidRPr="00AA6051" w:rsidR="00414797">
        <w:t xml:space="preserve"> </w:t>
      </w:r>
      <w:r w:rsidRPr="00642760" w:rsidR="00642760">
        <w:t xml:space="preserve">FinCEN received </w:t>
      </w:r>
      <w:r w:rsidR="00642760">
        <w:t xml:space="preserve">one </w:t>
      </w:r>
      <w:r w:rsidR="008965A2">
        <w:t xml:space="preserve">anonymous public </w:t>
      </w:r>
      <w:r w:rsidRPr="00642760" w:rsidR="00642760">
        <w:t>comment</w:t>
      </w:r>
      <w:r w:rsidR="00642760">
        <w:t xml:space="preserve"> </w:t>
      </w:r>
      <w:r w:rsidRPr="00642760" w:rsidR="00642760">
        <w:t xml:space="preserve">during the comment period </w:t>
      </w:r>
      <w:r w:rsidR="008965A2">
        <w:t>in connection with this notice</w:t>
      </w:r>
      <w:r w:rsidRPr="00642760" w:rsidR="00642760">
        <w:t xml:space="preserve">. </w:t>
      </w:r>
    </w:p>
    <w:p w:rsidRPr="00AA6051" w:rsidR="00414797" w:rsidP="009829C3" w:rsidRDefault="00414797" w14:paraId="3863CA29" w14:textId="77777777"/>
    <w:p w:rsidR="00E667ED" w:rsidP="00C24AA8" w:rsidRDefault="00E46C31" w14:paraId="674F6441" w14:textId="77777777">
      <w:r>
        <w:tab/>
      </w:r>
      <w:r w:rsidR="00324A84">
        <w:t xml:space="preserve">The </w:t>
      </w:r>
      <w:r w:rsidR="00C24AA8">
        <w:t>commenter</w:t>
      </w:r>
      <w:r w:rsidR="00324A84">
        <w:t xml:space="preserve"> </w:t>
      </w:r>
      <w:r w:rsidR="00C24AA8">
        <w:t xml:space="preserve">noted that </w:t>
      </w:r>
      <w:r w:rsidRPr="001B1740" w:rsidR="00C24AA8">
        <w:t>the</w:t>
      </w:r>
      <w:r w:rsidRPr="001B1740" w:rsidR="004F7737">
        <w:t xml:space="preserve"> $10,000 </w:t>
      </w:r>
      <w:r w:rsidRPr="001B1740" w:rsidR="003C5B92">
        <w:t xml:space="preserve">reporting </w:t>
      </w:r>
      <w:r w:rsidR="00CC22E5">
        <w:t>threshold</w:t>
      </w:r>
      <w:r w:rsidRPr="001B1740" w:rsidR="004F7737">
        <w:t xml:space="preserve"> needs to be adjusted for inflation because $10,000 in 1970 </w:t>
      </w:r>
      <w:r w:rsidRPr="006D4A97" w:rsidR="00CC22E5">
        <w:t>would be</w:t>
      </w:r>
      <w:r w:rsidRPr="001B1740" w:rsidR="004F7737">
        <w:t xml:space="preserve"> $70,000 today. The commenter </w:t>
      </w:r>
      <w:r w:rsidR="00256988">
        <w:t>stated</w:t>
      </w:r>
      <w:r w:rsidRPr="001B1740" w:rsidR="004F7737">
        <w:t xml:space="preserve"> that the </w:t>
      </w:r>
      <w:r w:rsidRPr="001B1740" w:rsidR="003C5B92">
        <w:t>reporting limit</w:t>
      </w:r>
      <w:r w:rsidRPr="001B1740" w:rsidR="004F7737">
        <w:t xml:space="preserve"> is arbitrary and opens another door for government overreach into the lives of citizens. The commenter </w:t>
      </w:r>
      <w:r w:rsidR="006F3925">
        <w:t>asserts</w:t>
      </w:r>
      <w:r w:rsidRPr="001B1740" w:rsidR="004F7737">
        <w:t xml:space="preserve"> that if the goal is to prevent </w:t>
      </w:r>
      <w:r w:rsidRPr="001B1740" w:rsidR="007534B0">
        <w:t xml:space="preserve">criminal activity, then retaining the $10,000 </w:t>
      </w:r>
      <w:r w:rsidR="00CC22E5">
        <w:t>threshold</w:t>
      </w:r>
      <w:r w:rsidRPr="001B1740" w:rsidR="001B1740">
        <w:t xml:space="preserve"> </w:t>
      </w:r>
      <w:r w:rsidRPr="001B1740" w:rsidR="007534B0">
        <w:t>is counterproductive</w:t>
      </w:r>
      <w:r w:rsidR="00CC22E5">
        <w:t xml:space="preserve"> because it </w:t>
      </w:r>
      <w:r w:rsidRPr="001B1740" w:rsidR="003C5B92">
        <w:t xml:space="preserve">creates a diluted pool </w:t>
      </w:r>
      <w:r w:rsidR="00CC22E5">
        <w:t>of Form 8300s</w:t>
      </w:r>
      <w:r w:rsidRPr="001B1740" w:rsidR="007534B0">
        <w:t xml:space="preserve">, </w:t>
      </w:r>
      <w:r w:rsidR="00CC22E5">
        <w:t xml:space="preserve">which could assist in </w:t>
      </w:r>
      <w:r w:rsidRPr="001B1740" w:rsidR="003C5B92">
        <w:t>allowing</w:t>
      </w:r>
      <w:r w:rsidRPr="001B1740" w:rsidR="007534B0">
        <w:t xml:space="preserve"> actual criminals to fly under the radar</w:t>
      </w:r>
      <w:r w:rsidRPr="001B1740" w:rsidR="003C5B92">
        <w:t>.</w:t>
      </w:r>
    </w:p>
    <w:p w:rsidR="00B21FFF" w:rsidP="00C24AA8" w:rsidRDefault="00B21FFF" w14:paraId="6BC5F7E3" w14:textId="77777777"/>
    <w:p w:rsidR="00CC22E5" w:rsidP="004F77C1" w:rsidRDefault="00CC22E5" w14:paraId="24C3BD59" w14:textId="0E3E2C63">
      <w:pPr>
        <w:ind w:firstLine="720"/>
      </w:pPr>
      <w:r>
        <w:t xml:space="preserve">The </w:t>
      </w:r>
      <w:r w:rsidRPr="00893753" w:rsidR="00B21FFF">
        <w:t>suggestions for modifications to the applicable regulations will be taken into account in FinCEN’s review of existing regulations, consistent with Treasury’s 2011 Plan for Retrospective Analysis of Existing Rules</w:t>
      </w:r>
      <w:r w:rsidR="00B21FFF">
        <w:t>, and as part of the formal review of regulations implementing the BSA and BSA-related guidance, a</w:t>
      </w:r>
      <w:r w:rsidR="004423A6">
        <w:t xml:space="preserve">s required by Section 6216 of </w:t>
      </w:r>
      <w:r w:rsidR="000D2B64">
        <w:t>the AML Act</w:t>
      </w:r>
      <w:r w:rsidRPr="00925C64" w:rsidR="00B21FFF">
        <w:t>.</w:t>
      </w:r>
      <w:r w:rsidRPr="00925C64" w:rsidR="00B21FFF">
        <w:rPr>
          <w:vertAlign w:val="superscript"/>
        </w:rPr>
        <w:t xml:space="preserve"> </w:t>
      </w:r>
      <w:r w:rsidRPr="00925C64" w:rsidR="00B21FFF">
        <w:t xml:space="preserve">FinCEN will continue </w:t>
      </w:r>
      <w:r w:rsidR="00A32382">
        <w:t xml:space="preserve">to evaluate ways to clarify </w:t>
      </w:r>
      <w:r>
        <w:t xml:space="preserve">the </w:t>
      </w:r>
      <w:r w:rsidR="00A32382">
        <w:t>Form 8300</w:t>
      </w:r>
      <w:r w:rsidRPr="00925C64" w:rsidR="00B21FFF">
        <w:t xml:space="preserve"> reporting requiremen</w:t>
      </w:r>
      <w:r>
        <w:t xml:space="preserve">ts </w:t>
      </w:r>
      <w:r w:rsidR="00B21FFF">
        <w:t>and minimize burden to the public.</w:t>
      </w:r>
    </w:p>
    <w:p w:rsidR="00AE6BFA" w:rsidP="009829C3" w:rsidRDefault="00AE6BFA" w14:paraId="0443B8CE" w14:textId="77777777">
      <w:pPr>
        <w:widowControl w:val="0"/>
        <w:autoSpaceDE w:val="0"/>
        <w:autoSpaceDN w:val="0"/>
        <w:adjustRightInd w:val="0"/>
        <w:ind w:right="220" w:firstLine="720"/>
      </w:pPr>
    </w:p>
    <w:p w:rsidRPr="00AA6051" w:rsidR="00414797" w:rsidP="009829C3" w:rsidRDefault="00414797" w14:paraId="35157687" w14:textId="77777777">
      <w:pPr>
        <w:widowControl w:val="0"/>
        <w:autoSpaceDE w:val="0"/>
        <w:autoSpaceDN w:val="0"/>
        <w:adjustRightInd w:val="0"/>
        <w:ind w:right="220" w:firstLine="720"/>
      </w:pPr>
      <w:r w:rsidRPr="00B21FFF">
        <w:lastRenderedPageBreak/>
        <w:t xml:space="preserve">FinCEN appreciates the recommendations and intends to use that information as part of a larger project FinCEN is undertaking to better understand the </w:t>
      </w:r>
      <w:r w:rsidR="004D2C40">
        <w:t>Paperwork Reduction Act of 1995 (</w:t>
      </w:r>
      <w:r w:rsidRPr="00B21FFF">
        <w:t>PRA</w:t>
      </w:r>
      <w:r w:rsidR="004D2C40">
        <w:t>)</w:t>
      </w:r>
      <w:r w:rsidRPr="00B21FFF">
        <w:t xml:space="preserve"> hourly burden and cost of the BSA as a whole. </w:t>
      </w:r>
    </w:p>
    <w:p w:rsidRPr="00AA6051" w:rsidR="009829C3" w:rsidP="009829C3" w:rsidRDefault="009829C3" w14:paraId="1370DBA8" w14:textId="77777777">
      <w:pPr>
        <w:widowControl w:val="0"/>
        <w:autoSpaceDE w:val="0"/>
        <w:autoSpaceDN w:val="0"/>
        <w:adjustRightInd w:val="0"/>
        <w:ind w:right="220" w:firstLine="720"/>
      </w:pPr>
    </w:p>
    <w:p w:rsidRPr="00A16AFB" w:rsidR="00F70456" w:rsidP="009829C3" w:rsidRDefault="00F70456" w14:paraId="6BA781DD" w14:textId="77777777">
      <w:pPr>
        <w:rPr>
          <w:szCs w:val="22"/>
        </w:rPr>
      </w:pPr>
      <w:r w:rsidRPr="00A16AFB">
        <w:rPr>
          <w:szCs w:val="22"/>
        </w:rPr>
        <w:t xml:space="preserve">9. </w:t>
      </w:r>
      <w:r w:rsidRPr="00A16AFB">
        <w:rPr>
          <w:u w:val="single"/>
        </w:rPr>
        <w:t>Explanation of decision to provide any payment or gift to respondents.</w:t>
      </w:r>
    </w:p>
    <w:p w:rsidRPr="00A16AFB" w:rsidR="009829C3" w:rsidP="009829C3" w:rsidRDefault="009829C3" w14:paraId="142DE037" w14:textId="77777777">
      <w:pPr>
        <w:ind w:firstLine="720"/>
        <w:rPr>
          <w:szCs w:val="22"/>
        </w:rPr>
      </w:pPr>
    </w:p>
    <w:p w:rsidRPr="00AA6051" w:rsidR="00F70456" w:rsidP="009829C3" w:rsidRDefault="00F70456" w14:paraId="3EFF6B3B" w14:textId="77777777">
      <w:pPr>
        <w:ind w:firstLine="720"/>
        <w:rPr>
          <w:szCs w:val="22"/>
        </w:rPr>
      </w:pPr>
      <w:r w:rsidRPr="00A16AFB">
        <w:rPr>
          <w:szCs w:val="22"/>
        </w:rPr>
        <w:t>No payments or gifts were made to respondents.</w:t>
      </w:r>
      <w:r w:rsidRPr="00AA6051">
        <w:rPr>
          <w:szCs w:val="22"/>
        </w:rPr>
        <w:t xml:space="preserve"> </w:t>
      </w:r>
    </w:p>
    <w:p w:rsidRPr="00AA6051" w:rsidR="009829C3" w:rsidP="009829C3" w:rsidRDefault="009829C3" w14:paraId="67C19AAF" w14:textId="77777777">
      <w:pPr>
        <w:ind w:firstLine="720"/>
        <w:rPr>
          <w:szCs w:val="22"/>
        </w:rPr>
      </w:pPr>
    </w:p>
    <w:p w:rsidRPr="00AA6051" w:rsidR="0000789D" w:rsidP="009829C3" w:rsidRDefault="0000789D" w14:paraId="09582D21" w14:textId="77777777">
      <w:pPr>
        <w:pStyle w:val="BodyText"/>
        <w:spacing w:before="0"/>
        <w:rPr>
          <w:sz w:val="24"/>
          <w:u w:val="single"/>
        </w:rPr>
      </w:pPr>
      <w:r w:rsidRPr="00AA6051">
        <w:rPr>
          <w:sz w:val="24"/>
        </w:rPr>
        <w:t xml:space="preserve">10. </w:t>
      </w:r>
      <w:r w:rsidRPr="00AA6051">
        <w:rPr>
          <w:sz w:val="24"/>
          <w:u w:val="single"/>
        </w:rPr>
        <w:t>Assurance of confidentiality of responses.</w:t>
      </w:r>
    </w:p>
    <w:p w:rsidRPr="00AA6051" w:rsidR="009829C3" w:rsidP="009829C3" w:rsidRDefault="009829C3" w14:paraId="16C800A4" w14:textId="77777777">
      <w:pPr>
        <w:pStyle w:val="BodyText"/>
        <w:spacing w:before="0"/>
        <w:rPr>
          <w:sz w:val="24"/>
        </w:rPr>
      </w:pPr>
    </w:p>
    <w:p w:rsidRPr="00AE6BFA" w:rsidR="009829C3" w:rsidP="00AE6BFA" w:rsidRDefault="00E46C31" w14:paraId="11CD4928" w14:textId="77777777">
      <w:pPr>
        <w:tabs>
          <w:tab w:val="left" w:pos="0"/>
        </w:tabs>
        <w:rPr>
          <w:vertAlign w:val="superscript"/>
        </w:rPr>
      </w:pPr>
      <w:r>
        <w:tab/>
      </w:r>
      <w:r w:rsidRPr="001F7618" w:rsidR="00B970D7">
        <w:t>The information collected under this requirement is made available to appropriate agencies and organizations as disclosed in FinCEN's Privacy Act System of Records Notice relating to BSA reports.</w:t>
      </w:r>
      <w:r w:rsidRPr="001F7618" w:rsidR="00B970D7">
        <w:rPr>
          <w:rStyle w:val="FootnoteReference"/>
        </w:rPr>
        <w:footnoteReference w:id="5"/>
      </w:r>
    </w:p>
    <w:p w:rsidRPr="00AA6051" w:rsidR="007534B0" w:rsidP="009829C3" w:rsidRDefault="007534B0" w14:paraId="0B7C3224" w14:textId="77777777">
      <w:pPr>
        <w:widowControl w:val="0"/>
        <w:autoSpaceDE w:val="0"/>
        <w:autoSpaceDN w:val="0"/>
        <w:adjustRightInd w:val="0"/>
        <w:spacing w:line="235" w:lineRule="exact"/>
        <w:ind w:firstLine="720"/>
        <w:rPr>
          <w:szCs w:val="22"/>
        </w:rPr>
      </w:pPr>
    </w:p>
    <w:p w:rsidRPr="00AA6051" w:rsidR="0000789D" w:rsidP="009829C3" w:rsidRDefault="0000789D" w14:paraId="369C41CE" w14:textId="77777777">
      <w:pPr>
        <w:rPr>
          <w:szCs w:val="22"/>
        </w:rPr>
      </w:pPr>
      <w:r w:rsidRPr="00AA6051">
        <w:rPr>
          <w:szCs w:val="22"/>
        </w:rPr>
        <w:t xml:space="preserve">11. </w:t>
      </w:r>
      <w:r w:rsidRPr="00AA6051">
        <w:rPr>
          <w:szCs w:val="22"/>
          <w:u w:val="single"/>
        </w:rPr>
        <w:t>Justification of sensitive questions.</w:t>
      </w:r>
      <w:r w:rsidRPr="00AA6051">
        <w:rPr>
          <w:szCs w:val="22"/>
        </w:rPr>
        <w:t xml:space="preserve"> </w:t>
      </w:r>
    </w:p>
    <w:p w:rsidR="009F04CE" w:rsidP="009829C3" w:rsidRDefault="009F04CE" w14:paraId="2395548E" w14:textId="77777777">
      <w:pPr>
        <w:ind w:firstLine="720"/>
      </w:pPr>
    </w:p>
    <w:p w:rsidRPr="00AA6051" w:rsidR="0000789D" w:rsidP="009829C3" w:rsidRDefault="0000789D" w14:paraId="32D98176" w14:textId="77777777">
      <w:pPr>
        <w:ind w:firstLine="720"/>
        <w:rPr>
          <w:szCs w:val="22"/>
        </w:rPr>
      </w:pPr>
      <w:r w:rsidRPr="00DF2016">
        <w:t xml:space="preserve">There are no questions of a sensitive nature in the collection of information.  Any personally identifiable information collected under the BSA is strictly controlled as outlined in FinCEN’s Systems of Records Notice. </w:t>
      </w:r>
      <w:r w:rsidRPr="00DF2016">
        <w:rPr>
          <w:i/>
        </w:rPr>
        <w:t>See</w:t>
      </w:r>
      <w:r w:rsidRPr="00DF2016">
        <w:rPr>
          <w:color w:val="1F497D"/>
        </w:rPr>
        <w:t xml:space="preserve"> </w:t>
      </w:r>
      <w:r w:rsidRPr="00DF2016">
        <w:t>https://www.gpo.gov/fdsys/pkg/FR-2014-04-14/pdf/2014-08254.pdf.</w:t>
      </w:r>
      <w:r w:rsidRPr="00AA6051">
        <w:rPr>
          <w:szCs w:val="22"/>
        </w:rPr>
        <w:t xml:space="preserve"> </w:t>
      </w:r>
    </w:p>
    <w:p w:rsidRPr="00AA6051" w:rsidR="009829C3" w:rsidP="009829C3" w:rsidRDefault="009829C3" w14:paraId="5D485658" w14:textId="77777777">
      <w:pPr>
        <w:ind w:firstLine="720"/>
        <w:rPr>
          <w:szCs w:val="22"/>
        </w:rPr>
      </w:pPr>
    </w:p>
    <w:p w:rsidRPr="00AA6051" w:rsidR="00643252" w:rsidP="009829C3" w:rsidRDefault="008722D3" w14:paraId="3B255CF0" w14:textId="77777777">
      <w:pPr>
        <w:rPr>
          <w:szCs w:val="22"/>
          <w:u w:val="single"/>
        </w:rPr>
      </w:pPr>
      <w:r w:rsidRPr="00AA6051">
        <w:rPr>
          <w:szCs w:val="22"/>
        </w:rPr>
        <w:t xml:space="preserve">12.  </w:t>
      </w:r>
      <w:r w:rsidRPr="00AA6051">
        <w:rPr>
          <w:szCs w:val="22"/>
          <w:u w:val="single"/>
        </w:rPr>
        <w:t>Estimated burden of information collection.</w:t>
      </w:r>
    </w:p>
    <w:p w:rsidRPr="00AA6051" w:rsidR="00AC4543" w:rsidP="009829C3" w:rsidRDefault="00AC4543" w14:paraId="236B3D67" w14:textId="77777777">
      <w:pPr>
        <w:rPr>
          <w:szCs w:val="22"/>
        </w:rPr>
      </w:pPr>
    </w:p>
    <w:p w:rsidRPr="00AA6051" w:rsidR="00643252" w:rsidP="009829C3" w:rsidRDefault="00643252" w14:paraId="641F6691" w14:textId="77777777">
      <w:pPr>
        <w:rPr>
          <w:szCs w:val="22"/>
        </w:rPr>
      </w:pPr>
      <w:r w:rsidRPr="00A16AFB">
        <w:rPr>
          <w:szCs w:val="22"/>
          <w:u w:val="single"/>
        </w:rPr>
        <w:t>Frequency</w:t>
      </w:r>
      <w:r w:rsidRPr="00A406C0">
        <w:rPr>
          <w:szCs w:val="22"/>
          <w:u w:val="single"/>
        </w:rPr>
        <w:t>:</w:t>
      </w:r>
      <w:r w:rsidRPr="00AA6051">
        <w:rPr>
          <w:szCs w:val="22"/>
        </w:rPr>
        <w:t xml:space="preserve"> As required. </w:t>
      </w:r>
    </w:p>
    <w:p w:rsidRPr="00AA6051" w:rsidR="00643252" w:rsidP="009829C3" w:rsidRDefault="00643252" w14:paraId="23AEB3D3" w14:textId="77777777">
      <w:pPr>
        <w:widowControl w:val="0"/>
        <w:autoSpaceDE w:val="0"/>
        <w:autoSpaceDN w:val="0"/>
        <w:adjustRightInd w:val="0"/>
        <w:spacing w:line="273" w:lineRule="exact"/>
        <w:jc w:val="both"/>
        <w:rPr>
          <w:szCs w:val="22"/>
        </w:rPr>
      </w:pPr>
    </w:p>
    <w:p w:rsidRPr="00AA6051" w:rsidR="00643252" w:rsidP="009829C3" w:rsidRDefault="00643252" w14:paraId="003575C1" w14:textId="77777777">
      <w:pPr>
        <w:widowControl w:val="0"/>
        <w:autoSpaceDE w:val="0"/>
        <w:autoSpaceDN w:val="0"/>
        <w:adjustRightInd w:val="0"/>
        <w:spacing w:line="273" w:lineRule="exact"/>
        <w:jc w:val="both"/>
        <w:rPr>
          <w:szCs w:val="22"/>
        </w:rPr>
      </w:pPr>
      <w:r w:rsidRPr="00335FA8">
        <w:rPr>
          <w:szCs w:val="22"/>
          <w:u w:val="single"/>
        </w:rPr>
        <w:t>Est</w:t>
      </w:r>
      <w:r w:rsidRPr="00335FA8" w:rsidR="007F6DDB">
        <w:rPr>
          <w:szCs w:val="22"/>
          <w:u w:val="single"/>
        </w:rPr>
        <w:t>imated Number of Respondents:</w:t>
      </w:r>
      <w:r w:rsidRPr="00AA6051" w:rsidR="007F6DDB">
        <w:rPr>
          <w:szCs w:val="22"/>
        </w:rPr>
        <w:t xml:space="preserve"> </w:t>
      </w:r>
      <w:r w:rsidR="00C400D5">
        <w:rPr>
          <w:szCs w:val="22"/>
        </w:rPr>
        <w:t>32,500</w:t>
      </w:r>
      <w:r w:rsidR="00F47494">
        <w:rPr>
          <w:szCs w:val="22"/>
        </w:rPr>
        <w:t>.</w:t>
      </w:r>
      <w:r w:rsidR="00984FDE">
        <w:rPr>
          <w:rStyle w:val="FootnoteReference"/>
          <w:szCs w:val="22"/>
        </w:rPr>
        <w:footnoteReference w:id="6"/>
      </w:r>
    </w:p>
    <w:p w:rsidR="0088143A" w:rsidP="0067540B" w:rsidRDefault="0088143A" w14:paraId="1DF32743" w14:textId="77777777">
      <w:pPr>
        <w:widowControl w:val="0"/>
        <w:autoSpaceDE w:val="0"/>
        <w:autoSpaceDN w:val="0"/>
        <w:adjustRightInd w:val="0"/>
        <w:spacing w:line="268" w:lineRule="exact"/>
        <w:jc w:val="both"/>
        <w:rPr>
          <w:szCs w:val="22"/>
        </w:rPr>
      </w:pPr>
    </w:p>
    <w:p w:rsidR="0067540B" w:rsidP="0067540B" w:rsidRDefault="0067540B" w14:paraId="1435E706" w14:textId="77777777">
      <w:pPr>
        <w:widowControl w:val="0"/>
        <w:autoSpaceDE w:val="0"/>
        <w:autoSpaceDN w:val="0"/>
        <w:adjustRightInd w:val="0"/>
        <w:spacing w:line="268" w:lineRule="exact"/>
        <w:jc w:val="both"/>
        <w:rPr>
          <w:szCs w:val="22"/>
        </w:rPr>
      </w:pPr>
      <w:r w:rsidRPr="00A16AFB">
        <w:rPr>
          <w:szCs w:val="22"/>
          <w:u w:val="single"/>
        </w:rPr>
        <w:t xml:space="preserve">Estimated </w:t>
      </w:r>
      <w:r w:rsidRPr="00335FA8">
        <w:rPr>
          <w:szCs w:val="22"/>
          <w:u w:val="single"/>
        </w:rPr>
        <w:t>Total Annual Reponses:</w:t>
      </w:r>
      <w:r>
        <w:rPr>
          <w:szCs w:val="22"/>
        </w:rPr>
        <w:t xml:space="preserve"> </w:t>
      </w:r>
      <w:r w:rsidR="00F84FBD">
        <w:rPr>
          <w:szCs w:val="22"/>
        </w:rPr>
        <w:t xml:space="preserve">323,067 Form 8300s </w:t>
      </w:r>
      <w:r w:rsidR="00E667FB">
        <w:rPr>
          <w:szCs w:val="22"/>
        </w:rPr>
        <w:t xml:space="preserve">were </w:t>
      </w:r>
      <w:r w:rsidRPr="0067540B">
        <w:rPr>
          <w:szCs w:val="22"/>
        </w:rPr>
        <w:t>filed in</w:t>
      </w:r>
      <w:r w:rsidR="0086040B">
        <w:rPr>
          <w:szCs w:val="22"/>
        </w:rPr>
        <w:t xml:space="preserve"> </w:t>
      </w:r>
      <w:r w:rsidRPr="0067540B">
        <w:rPr>
          <w:szCs w:val="22"/>
        </w:rPr>
        <w:t>calendar year 2019.</w:t>
      </w:r>
    </w:p>
    <w:p w:rsidR="00885FC7" w:rsidP="0067540B" w:rsidRDefault="00885FC7" w14:paraId="72EC7D16" w14:textId="77777777">
      <w:pPr>
        <w:widowControl w:val="0"/>
        <w:autoSpaceDE w:val="0"/>
        <w:autoSpaceDN w:val="0"/>
        <w:adjustRightInd w:val="0"/>
        <w:spacing w:line="268" w:lineRule="exact"/>
        <w:jc w:val="both"/>
        <w:rPr>
          <w:szCs w:val="22"/>
        </w:rPr>
      </w:pPr>
    </w:p>
    <w:p w:rsidRPr="000465E4" w:rsidR="00885FC7" w:rsidP="00885FC7" w:rsidRDefault="00885FC7" w14:paraId="75879FC3" w14:textId="77777777">
      <w:pPr>
        <w:spacing w:line="480" w:lineRule="auto"/>
      </w:pPr>
      <w:r w:rsidRPr="000465E4">
        <w:rPr>
          <w:rFonts w:eastAsia="MS Mincho"/>
          <w:u w:val="single"/>
        </w:rPr>
        <w:t>Estimated Recordkeeping and Reporting Burden</w:t>
      </w:r>
      <w:r w:rsidR="00CC7B8B">
        <w:rPr>
          <w:rFonts w:eastAsia="MS Mincho"/>
          <w:u w:val="single"/>
        </w:rPr>
        <w:t xml:space="preserve"> per Response</w:t>
      </w:r>
      <w:r w:rsidRPr="000465E4">
        <w:rPr>
          <w:rFonts w:eastAsia="MS Mincho"/>
          <w:u w:val="single"/>
        </w:rPr>
        <w:t>:</w:t>
      </w:r>
      <w:r w:rsidRPr="000465E4">
        <w:t xml:space="preserve"> </w:t>
      </w:r>
    </w:p>
    <w:p w:rsidRPr="000465E4" w:rsidR="00885FC7" w:rsidP="00885FC7" w:rsidRDefault="00885FC7" w14:paraId="6F08F5E5" w14:textId="77777777">
      <w:pPr>
        <w:ind w:firstLine="706"/>
        <w:rPr>
          <w:lang w:val="en-GB"/>
        </w:rPr>
      </w:pPr>
      <w:r w:rsidRPr="000465E4">
        <w:rPr>
          <w:lang w:val="en-GB"/>
        </w:rPr>
        <w:t xml:space="preserve">The information required to be reported on the Form 8300 is basic information to which a filer would have access to in the course of doing business. For instance, the Form 8300 requires a trade or business or court clerk to report identifying information about the individual from whom the cash was received, as well as any person on whose behalf the transaction was conducted. The Form 8300 also requires the filer to report a description of the transaction and method of payment, as well as identifying information for the business that received the cash. As this information is readily available to a trade or business or court clerk, FinCEN estimates that reporting this information will take 20 minutes on average. Additionally, while the Form 8300 may be filed electronically, which allows the filer to save an electronic version of the form and satisfy the recordkeeping requirement, many filers choose to file a paper copy of the Form 8300.  </w:t>
      </w:r>
      <w:r w:rsidRPr="000465E4">
        <w:rPr>
          <w:lang w:val="en-GB"/>
        </w:rPr>
        <w:lastRenderedPageBreak/>
        <w:t xml:space="preserve">Therefore, FinCEN estimates that the recordkeeping requirement will take 10 minutes on average. FinCEN estimates total hourly burden of reporting and recordkeeping for each Form 8300 is 30 minutes.  </w:t>
      </w:r>
    </w:p>
    <w:p w:rsidR="0067540B" w:rsidP="009829C3" w:rsidRDefault="0067540B" w14:paraId="45CE4E59" w14:textId="77777777">
      <w:pPr>
        <w:widowControl w:val="0"/>
        <w:autoSpaceDE w:val="0"/>
        <w:autoSpaceDN w:val="0"/>
        <w:adjustRightInd w:val="0"/>
        <w:spacing w:line="268" w:lineRule="exact"/>
        <w:jc w:val="both"/>
        <w:rPr>
          <w:szCs w:val="22"/>
        </w:rPr>
      </w:pPr>
    </w:p>
    <w:p w:rsidR="0071519C" w:rsidP="009829C3" w:rsidRDefault="003A525C" w14:paraId="16A0856D" w14:textId="77777777">
      <w:pPr>
        <w:widowControl w:val="0"/>
        <w:autoSpaceDE w:val="0"/>
        <w:autoSpaceDN w:val="0"/>
        <w:adjustRightInd w:val="0"/>
        <w:spacing w:line="268" w:lineRule="exact"/>
        <w:jc w:val="both"/>
        <w:rPr>
          <w:szCs w:val="22"/>
        </w:rPr>
      </w:pPr>
      <w:r w:rsidRPr="00CA04F1">
        <w:rPr>
          <w:szCs w:val="22"/>
          <w:u w:val="single"/>
        </w:rPr>
        <w:t xml:space="preserve">Estimated Total Annual </w:t>
      </w:r>
      <w:r w:rsidRPr="00CA04F1" w:rsidR="00F47494">
        <w:rPr>
          <w:szCs w:val="22"/>
          <w:u w:val="single"/>
        </w:rPr>
        <w:t xml:space="preserve">Reporting and Recordkeeping </w:t>
      </w:r>
      <w:r w:rsidRPr="00CA04F1" w:rsidR="0067540B">
        <w:rPr>
          <w:szCs w:val="22"/>
          <w:u w:val="single"/>
        </w:rPr>
        <w:t xml:space="preserve">Burden </w:t>
      </w:r>
      <w:r w:rsidRPr="00CA04F1">
        <w:rPr>
          <w:szCs w:val="22"/>
          <w:u w:val="single"/>
        </w:rPr>
        <w:t>Hours:</w:t>
      </w:r>
      <w:r w:rsidRPr="004831D7">
        <w:rPr>
          <w:szCs w:val="22"/>
        </w:rPr>
        <w:t xml:space="preserve"> </w:t>
      </w:r>
      <w:r w:rsidR="00C400D5">
        <w:rPr>
          <w:szCs w:val="22"/>
        </w:rPr>
        <w:t>161,534</w:t>
      </w:r>
      <w:r w:rsidR="0071519C">
        <w:rPr>
          <w:szCs w:val="22"/>
        </w:rPr>
        <w:t xml:space="preserve"> </w:t>
      </w:r>
    </w:p>
    <w:p w:rsidRPr="00AA6051" w:rsidR="003A525C" w:rsidP="009829C3" w:rsidRDefault="0071519C" w14:paraId="272B58F4" w14:textId="77777777">
      <w:pPr>
        <w:widowControl w:val="0"/>
        <w:autoSpaceDE w:val="0"/>
        <w:autoSpaceDN w:val="0"/>
        <w:adjustRightInd w:val="0"/>
        <w:spacing w:line="268" w:lineRule="exact"/>
        <w:jc w:val="both"/>
        <w:rPr>
          <w:szCs w:val="22"/>
        </w:rPr>
      </w:pPr>
      <w:r w:rsidRPr="000465E4">
        <w:rPr>
          <w:color w:val="000000"/>
        </w:rPr>
        <w:t>(</w:t>
      </w:r>
      <w:r w:rsidRPr="00E25824">
        <w:rPr>
          <w:color w:val="000000"/>
        </w:rPr>
        <w:t>323,067</w:t>
      </w:r>
      <w:r w:rsidRPr="000465E4">
        <w:rPr>
          <w:color w:val="000000"/>
        </w:rPr>
        <w:t xml:space="preserve"> Form 8300s filed in calendar year 2019 multiplied by 30 minutes </w:t>
      </w:r>
      <w:r w:rsidR="00CC7B8B">
        <w:rPr>
          <w:color w:val="000000"/>
        </w:rPr>
        <w:t xml:space="preserve">per form </w:t>
      </w:r>
      <w:r w:rsidRPr="000465E4">
        <w:rPr>
          <w:color w:val="000000"/>
        </w:rPr>
        <w:t>and converted to hours)</w:t>
      </w:r>
      <w:r w:rsidRPr="00AA6051" w:rsidR="003A525C">
        <w:rPr>
          <w:szCs w:val="22"/>
        </w:rPr>
        <w:t>.</w:t>
      </w:r>
    </w:p>
    <w:p w:rsidRPr="00AA6051" w:rsidR="003A525C" w:rsidP="009829C3" w:rsidRDefault="003A525C" w14:paraId="45003E84" w14:textId="77777777">
      <w:pPr>
        <w:widowControl w:val="0"/>
        <w:autoSpaceDE w:val="0"/>
        <w:autoSpaceDN w:val="0"/>
        <w:adjustRightInd w:val="0"/>
        <w:spacing w:line="268" w:lineRule="exact"/>
        <w:jc w:val="both"/>
        <w:rPr>
          <w:szCs w:val="22"/>
        </w:rPr>
      </w:pPr>
    </w:p>
    <w:p w:rsidRPr="00AA6051" w:rsidR="00114F02" w:rsidP="009829C3" w:rsidRDefault="00BC1675" w14:paraId="356B186F" w14:textId="77777777">
      <w:pPr>
        <w:widowControl w:val="0"/>
        <w:autoSpaceDE w:val="0"/>
        <w:autoSpaceDN w:val="0"/>
        <w:adjustRightInd w:val="0"/>
        <w:spacing w:line="268" w:lineRule="exact"/>
        <w:jc w:val="both"/>
        <w:rPr>
          <w:szCs w:val="22"/>
        </w:rPr>
      </w:pPr>
      <w:bookmarkStart w:name="_GoBack" w:id="0"/>
      <w:r>
        <w:rPr>
          <w:szCs w:val="22"/>
        </w:rPr>
        <w:t xml:space="preserve">13. </w:t>
      </w:r>
      <w:r w:rsidRPr="008965A2">
        <w:rPr>
          <w:szCs w:val="22"/>
          <w:u w:val="single"/>
        </w:rPr>
        <w:t>Estimated</w:t>
      </w:r>
      <w:r w:rsidRPr="008965A2" w:rsidR="00CD7498">
        <w:rPr>
          <w:szCs w:val="22"/>
          <w:u w:val="single"/>
        </w:rPr>
        <w:t xml:space="preserve"> total annual cost burden of information collection</w:t>
      </w:r>
      <w:r w:rsidR="00A16AFB">
        <w:rPr>
          <w:szCs w:val="22"/>
          <w:u w:val="single"/>
        </w:rPr>
        <w:t>.</w:t>
      </w:r>
    </w:p>
    <w:p w:rsidR="00BC1675" w:rsidP="009829C3" w:rsidRDefault="00BC1675" w14:paraId="689522ED" w14:textId="77777777">
      <w:pPr>
        <w:widowControl w:val="0"/>
        <w:autoSpaceDE w:val="0"/>
        <w:autoSpaceDN w:val="0"/>
        <w:adjustRightInd w:val="0"/>
        <w:spacing w:line="268" w:lineRule="exact"/>
        <w:jc w:val="both"/>
        <w:rPr>
          <w:szCs w:val="22"/>
        </w:rPr>
      </w:pPr>
    </w:p>
    <w:p w:rsidR="003A525C" w:rsidP="009829C3" w:rsidRDefault="008722D3" w14:paraId="3C69DEAD" w14:textId="1B7B7E7F">
      <w:pPr>
        <w:widowControl w:val="0"/>
        <w:autoSpaceDE w:val="0"/>
        <w:autoSpaceDN w:val="0"/>
        <w:adjustRightInd w:val="0"/>
        <w:spacing w:line="268" w:lineRule="exact"/>
        <w:jc w:val="both"/>
        <w:rPr>
          <w:szCs w:val="22"/>
        </w:rPr>
      </w:pPr>
      <w:r w:rsidRPr="00CA04F1">
        <w:rPr>
          <w:szCs w:val="22"/>
          <w:u w:val="single"/>
        </w:rPr>
        <w:t xml:space="preserve">Estimated Total Annual </w:t>
      </w:r>
      <w:r w:rsidRPr="00CA04F1" w:rsidR="00C34A34">
        <w:rPr>
          <w:szCs w:val="22"/>
          <w:u w:val="single"/>
        </w:rPr>
        <w:t xml:space="preserve">Reporting and </w:t>
      </w:r>
      <w:r w:rsidRPr="00CA04F1" w:rsidR="000434A7">
        <w:rPr>
          <w:szCs w:val="22"/>
          <w:u w:val="single"/>
        </w:rPr>
        <w:t xml:space="preserve">Recordkeeping </w:t>
      </w:r>
      <w:r w:rsidR="00FD4D39">
        <w:rPr>
          <w:szCs w:val="22"/>
          <w:u w:val="single"/>
        </w:rPr>
        <w:t xml:space="preserve">Labor </w:t>
      </w:r>
      <w:r w:rsidRPr="00CA04F1">
        <w:rPr>
          <w:szCs w:val="22"/>
          <w:u w:val="single"/>
        </w:rPr>
        <w:t>Cost:</w:t>
      </w:r>
      <w:r w:rsidRPr="00AA6051">
        <w:rPr>
          <w:szCs w:val="22"/>
        </w:rPr>
        <w:t xml:space="preserve"> </w:t>
      </w:r>
      <w:r w:rsidRPr="0071519C" w:rsidR="0071519C">
        <w:rPr>
          <w:szCs w:val="22"/>
        </w:rPr>
        <w:t>$4,942,940</w:t>
      </w:r>
    </w:p>
    <w:p w:rsidR="009829C3" w:rsidP="009829C3" w:rsidRDefault="00CD7498" w14:paraId="71E601C8" w14:textId="21E61AE6">
      <w:r>
        <w:t>(161,534 X $30.60 per hour</w:t>
      </w:r>
      <w:r w:rsidRPr="000465E4" w:rsidR="0071519C">
        <w:rPr>
          <w:rStyle w:val="FootnoteReference"/>
        </w:rPr>
        <w:footnoteReference w:id="7"/>
      </w:r>
      <w:r w:rsidR="0071519C">
        <w:t>)</w:t>
      </w:r>
      <w:r w:rsidR="001168CE">
        <w:t>.</w:t>
      </w:r>
      <w:r w:rsidR="00FD4D39">
        <w:t xml:space="preserve"> T</w:t>
      </w:r>
      <w:r w:rsidR="00FD4D39">
        <w:t xml:space="preserve">here are no out-of-pocket costs to respondents. </w:t>
      </w:r>
    </w:p>
    <w:p w:rsidRPr="00AA6051" w:rsidR="00FD4D39" w:rsidP="009829C3" w:rsidRDefault="00FD4D39" w14:paraId="13A2C08D" w14:textId="77777777">
      <w:pPr>
        <w:rPr>
          <w:szCs w:val="22"/>
        </w:rPr>
      </w:pPr>
    </w:p>
    <w:bookmarkEnd w:id="0"/>
    <w:p w:rsidRPr="00AA6051" w:rsidR="00643252" w:rsidP="009829C3" w:rsidRDefault="00643252" w14:paraId="1FDF4C1F" w14:textId="77777777">
      <w:pPr>
        <w:rPr>
          <w:szCs w:val="22"/>
        </w:rPr>
      </w:pPr>
      <w:r w:rsidRPr="00D700D9">
        <w:rPr>
          <w:szCs w:val="22"/>
        </w:rPr>
        <w:t xml:space="preserve">14. </w:t>
      </w:r>
      <w:r w:rsidRPr="00D700D9">
        <w:rPr>
          <w:szCs w:val="22"/>
          <w:u w:val="single"/>
        </w:rPr>
        <w:t>Estima</w:t>
      </w:r>
      <w:r w:rsidRPr="00D700D9" w:rsidR="00D8554E">
        <w:rPr>
          <w:szCs w:val="22"/>
          <w:u w:val="single"/>
        </w:rPr>
        <w:t>ted annual cost to the Federal g</w:t>
      </w:r>
      <w:r w:rsidRPr="00D700D9">
        <w:rPr>
          <w:szCs w:val="22"/>
          <w:u w:val="single"/>
        </w:rPr>
        <w:t>overnment.</w:t>
      </w:r>
      <w:r w:rsidRPr="00AA6051">
        <w:rPr>
          <w:szCs w:val="22"/>
        </w:rPr>
        <w:t xml:space="preserve"> </w:t>
      </w:r>
    </w:p>
    <w:p w:rsidRPr="00AA6051" w:rsidR="009829C3" w:rsidP="009829C3" w:rsidRDefault="009829C3" w14:paraId="5477FB7B" w14:textId="77777777">
      <w:pPr>
        <w:ind w:firstLine="720"/>
      </w:pPr>
    </w:p>
    <w:p w:rsidRPr="00C34A34" w:rsidR="00C34A34" w:rsidP="00C34A34" w:rsidRDefault="00C34A34" w14:paraId="19F77CB2" w14:textId="77777777">
      <w:pPr>
        <w:ind w:firstLine="720"/>
      </w:pPr>
      <w:r w:rsidRPr="00C34A34">
        <w:t>Electronic processing cost to the Federal Government</w:t>
      </w:r>
      <w:r w:rsidR="00136C99">
        <w:t>:</w:t>
      </w:r>
      <w:r w:rsidRPr="00C34A34">
        <w:t xml:space="preserve"> </w:t>
      </w:r>
      <w:r w:rsidR="00073267">
        <w:t>323,067 Form 8300s</w:t>
      </w:r>
      <w:r w:rsidRPr="00C34A34">
        <w:t xml:space="preserve"> </w:t>
      </w:r>
      <w:r w:rsidR="0088143A">
        <w:t>x</w:t>
      </w:r>
      <w:r w:rsidRPr="00C34A34" w:rsidR="0088143A">
        <w:t xml:space="preserve"> </w:t>
      </w:r>
      <w:r w:rsidRPr="00C34A34">
        <w:t xml:space="preserve">$0.10 per </w:t>
      </w:r>
      <w:r w:rsidR="00073267">
        <w:t>form</w:t>
      </w:r>
      <w:r w:rsidRPr="00C34A34">
        <w:t xml:space="preserve"> = </w:t>
      </w:r>
      <w:r w:rsidR="00073267">
        <w:t>$32,306.70</w:t>
      </w:r>
      <w:r w:rsidR="00136C99">
        <w:t>.</w:t>
      </w:r>
      <w:r w:rsidRPr="00C34A34">
        <w:rPr>
          <w:vertAlign w:val="superscript"/>
        </w:rPr>
        <w:footnoteReference w:id="8"/>
      </w:r>
    </w:p>
    <w:p w:rsidRPr="00AA6051" w:rsidR="009829C3" w:rsidP="009829C3" w:rsidRDefault="009829C3" w14:paraId="4677786E" w14:textId="77777777">
      <w:pPr>
        <w:ind w:firstLine="720"/>
      </w:pPr>
    </w:p>
    <w:p w:rsidRPr="00AA6051" w:rsidR="00643252" w:rsidP="009829C3" w:rsidRDefault="00643252" w14:paraId="7053DD8A" w14:textId="77777777">
      <w:pPr>
        <w:rPr>
          <w:szCs w:val="22"/>
        </w:rPr>
      </w:pPr>
      <w:r w:rsidRPr="00AA6051">
        <w:rPr>
          <w:szCs w:val="22"/>
        </w:rPr>
        <w:t xml:space="preserve">15. </w:t>
      </w:r>
      <w:r w:rsidRPr="00AA6051" w:rsidR="00D8554E">
        <w:rPr>
          <w:szCs w:val="22"/>
          <w:u w:val="single"/>
        </w:rPr>
        <w:t>Reason for change in b</w:t>
      </w:r>
      <w:r w:rsidRPr="00AA6051">
        <w:rPr>
          <w:szCs w:val="22"/>
          <w:u w:val="single"/>
        </w:rPr>
        <w:t>urden.</w:t>
      </w:r>
      <w:r w:rsidRPr="00AA6051">
        <w:rPr>
          <w:szCs w:val="22"/>
        </w:rPr>
        <w:t xml:space="preserve"> </w:t>
      </w:r>
    </w:p>
    <w:p w:rsidRPr="00AA6051" w:rsidR="00F2243A" w:rsidP="009829C3" w:rsidRDefault="00553D43" w14:paraId="5C66DF35" w14:textId="77777777">
      <w:pPr>
        <w:pStyle w:val="CommentText"/>
        <w:rPr>
          <w:szCs w:val="22"/>
        </w:rPr>
      </w:pPr>
      <w:r w:rsidRPr="00AA6051">
        <w:rPr>
          <w:szCs w:val="22"/>
        </w:rPr>
        <w:t xml:space="preserve"> </w:t>
      </w:r>
      <w:r w:rsidRPr="00AA6051">
        <w:rPr>
          <w:szCs w:val="22"/>
        </w:rPr>
        <w:tab/>
      </w:r>
    </w:p>
    <w:p w:rsidRPr="00AA6051" w:rsidR="00643252" w:rsidP="00803C63" w:rsidRDefault="00803C63" w14:paraId="718DD9A1" w14:textId="77777777">
      <w:pPr>
        <w:widowControl w:val="0"/>
        <w:ind w:firstLine="720"/>
        <w:rPr>
          <w:snapToGrid w:val="0"/>
        </w:rPr>
      </w:pPr>
      <w:r w:rsidRPr="00AA6051">
        <w:rPr>
          <w:snapToGrid w:val="0"/>
        </w:rPr>
        <w:t xml:space="preserve">The </w:t>
      </w:r>
      <w:r w:rsidRPr="00AA6051" w:rsidR="005C739E">
        <w:rPr>
          <w:snapToGrid w:val="0"/>
        </w:rPr>
        <w:t xml:space="preserve">estimated </w:t>
      </w:r>
      <w:r w:rsidRPr="00AA6051">
        <w:rPr>
          <w:snapToGrid w:val="0"/>
        </w:rPr>
        <w:t xml:space="preserve">total annual burden hours decreased from </w:t>
      </w:r>
      <w:r w:rsidR="004C4B62">
        <w:rPr>
          <w:snapToGrid w:val="0"/>
        </w:rPr>
        <w:t>164,952</w:t>
      </w:r>
      <w:r w:rsidRPr="00AA6051">
        <w:rPr>
          <w:snapToGrid w:val="0"/>
        </w:rPr>
        <w:t xml:space="preserve"> hours to </w:t>
      </w:r>
      <w:r w:rsidR="004C4B62">
        <w:rPr>
          <w:snapToGrid w:val="0"/>
        </w:rPr>
        <w:t>161,534</w:t>
      </w:r>
      <w:r w:rsidRPr="00AA6051">
        <w:rPr>
          <w:snapToGrid w:val="0"/>
        </w:rPr>
        <w:t xml:space="preserve"> hours</w:t>
      </w:r>
      <w:r w:rsidRPr="00AA6051" w:rsidR="00181256">
        <w:rPr>
          <w:snapToGrid w:val="0"/>
        </w:rPr>
        <w:t xml:space="preserve"> since the last control number renewal in </w:t>
      </w:r>
      <w:r w:rsidRPr="00AA6051" w:rsidR="005C739E">
        <w:rPr>
          <w:snapToGrid w:val="0"/>
        </w:rPr>
        <w:t>2017</w:t>
      </w:r>
      <w:r w:rsidRPr="00AA6051">
        <w:rPr>
          <w:snapToGrid w:val="0"/>
        </w:rPr>
        <w:t xml:space="preserve">. The estimated burden </w:t>
      </w:r>
      <w:r w:rsidR="003C3D66">
        <w:rPr>
          <w:snapToGrid w:val="0"/>
        </w:rPr>
        <w:t xml:space="preserve">for reporting and recordkeeping </w:t>
      </w:r>
      <w:r w:rsidRPr="00AA6051">
        <w:rPr>
          <w:snapToGrid w:val="0"/>
        </w:rPr>
        <w:t xml:space="preserve">remained at </w:t>
      </w:r>
      <w:r w:rsidR="004F77C1">
        <w:rPr>
          <w:snapToGrid w:val="0"/>
        </w:rPr>
        <w:t>30 minute</w:t>
      </w:r>
      <w:r w:rsidRPr="00AA6051">
        <w:rPr>
          <w:snapToGrid w:val="0"/>
        </w:rPr>
        <w:t xml:space="preserve"> per </w:t>
      </w:r>
      <w:r w:rsidR="003C3D66">
        <w:rPr>
          <w:snapToGrid w:val="0"/>
        </w:rPr>
        <w:t>respondent</w:t>
      </w:r>
      <w:r w:rsidRPr="00AA6051">
        <w:rPr>
          <w:snapToGrid w:val="0"/>
        </w:rPr>
        <w:t xml:space="preserve">. The decrease in burden is a result of a decrease in the </w:t>
      </w:r>
      <w:r w:rsidRPr="00AA6051" w:rsidR="005C065F">
        <w:rPr>
          <w:snapToGrid w:val="0"/>
        </w:rPr>
        <w:t xml:space="preserve">estimated </w:t>
      </w:r>
      <w:r w:rsidRPr="00AA6051">
        <w:rPr>
          <w:snapToGrid w:val="0"/>
        </w:rPr>
        <w:t>numbe</w:t>
      </w:r>
      <w:r w:rsidR="00325298">
        <w:rPr>
          <w:snapToGrid w:val="0"/>
        </w:rPr>
        <w:t>r of Form 8300s filed in 2017 (</w:t>
      </w:r>
      <w:r w:rsidRPr="009D1D5F" w:rsidR="00325298">
        <w:rPr>
          <w:snapToGrid w:val="0"/>
        </w:rPr>
        <w:t>329,903</w:t>
      </w:r>
      <w:r w:rsidRPr="00AE6BFA" w:rsidR="00325298">
        <w:rPr>
          <w:snapToGrid w:val="0"/>
        </w:rPr>
        <w:t xml:space="preserve"> x</w:t>
      </w:r>
      <w:r w:rsidR="00325298">
        <w:rPr>
          <w:snapToGrid w:val="0"/>
        </w:rPr>
        <w:t xml:space="preserve"> 30 minutes = 164,952</w:t>
      </w:r>
      <w:r w:rsidR="00B96C39">
        <w:rPr>
          <w:snapToGrid w:val="0"/>
        </w:rPr>
        <w:t xml:space="preserve"> hours</w:t>
      </w:r>
      <w:r w:rsidR="00325298">
        <w:rPr>
          <w:snapToGrid w:val="0"/>
        </w:rPr>
        <w:t>) and 2019 (</w:t>
      </w:r>
      <w:r w:rsidR="00B96C39">
        <w:rPr>
          <w:snapToGrid w:val="0"/>
        </w:rPr>
        <w:t>323</w:t>
      </w:r>
      <w:r w:rsidR="00325298">
        <w:rPr>
          <w:snapToGrid w:val="0"/>
        </w:rPr>
        <w:t>,067 x 30 minutes = 161,534</w:t>
      </w:r>
      <w:r w:rsidR="00B96C39">
        <w:rPr>
          <w:snapToGrid w:val="0"/>
        </w:rPr>
        <w:t xml:space="preserve"> hours</w:t>
      </w:r>
      <w:r w:rsidR="00325298">
        <w:rPr>
          <w:snapToGrid w:val="0"/>
        </w:rPr>
        <w:t>).</w:t>
      </w:r>
    </w:p>
    <w:p w:rsidRPr="00AA6051" w:rsidR="009829C3" w:rsidP="009829C3" w:rsidRDefault="009829C3" w14:paraId="69E2EC79" w14:textId="77777777">
      <w:pPr>
        <w:pStyle w:val="CommentText"/>
        <w:ind w:firstLine="720"/>
        <w:rPr>
          <w:sz w:val="24"/>
          <w:szCs w:val="24"/>
        </w:rPr>
      </w:pPr>
    </w:p>
    <w:p w:rsidRPr="00A16AFB" w:rsidR="00D8554E" w:rsidP="009829C3" w:rsidRDefault="00D8554E" w14:paraId="4196C8E1" w14:textId="77777777">
      <w:pPr>
        <w:rPr>
          <w:szCs w:val="22"/>
        </w:rPr>
      </w:pPr>
      <w:r w:rsidRPr="00A16AFB">
        <w:rPr>
          <w:szCs w:val="22"/>
        </w:rPr>
        <w:t xml:space="preserve">16. </w:t>
      </w:r>
      <w:r w:rsidRPr="00A16AFB">
        <w:rPr>
          <w:szCs w:val="22"/>
          <w:u w:val="single"/>
        </w:rPr>
        <w:t>Plans for tabulation, statistical analysis, and publication.</w:t>
      </w:r>
    </w:p>
    <w:p w:rsidRPr="00A16AFB" w:rsidR="009829C3" w:rsidP="009829C3" w:rsidRDefault="009829C3" w14:paraId="50A5414B" w14:textId="77777777">
      <w:pPr>
        <w:ind w:firstLine="720"/>
      </w:pPr>
    </w:p>
    <w:p w:rsidRPr="00AA6051" w:rsidR="00D8554E" w:rsidP="009829C3" w:rsidRDefault="00D8554E" w14:paraId="6EC6C71D" w14:textId="77777777">
      <w:pPr>
        <w:ind w:firstLine="720"/>
        <w:rPr>
          <w:szCs w:val="22"/>
        </w:rPr>
      </w:pPr>
      <w:r w:rsidRPr="00A16AFB">
        <w:t>This collection of information will not be published.</w:t>
      </w:r>
      <w:r w:rsidRPr="00AA6051">
        <w:rPr>
          <w:szCs w:val="22"/>
        </w:rPr>
        <w:t xml:space="preserve"> </w:t>
      </w:r>
    </w:p>
    <w:p w:rsidRPr="00AA6051" w:rsidR="009829C3" w:rsidP="009829C3" w:rsidRDefault="009829C3" w14:paraId="5AD1A0D0" w14:textId="77777777">
      <w:pPr>
        <w:ind w:firstLine="720"/>
        <w:rPr>
          <w:szCs w:val="22"/>
        </w:rPr>
      </w:pPr>
    </w:p>
    <w:p w:rsidRPr="00D700D9" w:rsidR="00D8554E" w:rsidP="009829C3" w:rsidRDefault="00D8554E" w14:paraId="37134060" w14:textId="77777777">
      <w:pPr>
        <w:rPr>
          <w:szCs w:val="22"/>
          <w:highlight w:val="lightGray"/>
        </w:rPr>
      </w:pPr>
      <w:r w:rsidRPr="00CA04F1">
        <w:rPr>
          <w:szCs w:val="22"/>
        </w:rPr>
        <w:t xml:space="preserve">17. </w:t>
      </w:r>
      <w:r w:rsidRPr="00CA04F1">
        <w:rPr>
          <w:u w:val="single"/>
        </w:rPr>
        <w:t>Request not to display the expiration date of the OMB control number.</w:t>
      </w:r>
    </w:p>
    <w:p w:rsidRPr="00D700D9" w:rsidR="009829C3" w:rsidP="009829C3" w:rsidRDefault="009829C3" w14:paraId="78998388" w14:textId="77777777">
      <w:pPr>
        <w:ind w:firstLine="720"/>
        <w:rPr>
          <w:szCs w:val="22"/>
          <w:highlight w:val="lightGray"/>
        </w:rPr>
      </w:pPr>
    </w:p>
    <w:p w:rsidR="0089545E" w:rsidP="0089545E" w:rsidRDefault="0089545E" w14:paraId="3457DE62" w14:textId="77777777">
      <w:pPr>
        <w:ind w:firstLine="720"/>
      </w:pPr>
      <w:r w:rsidRPr="001F7618">
        <w:t>FinCEN requests that the expiration date of th</w:t>
      </w:r>
      <w:r>
        <w:t xml:space="preserve">e control </w:t>
      </w:r>
      <w:r w:rsidR="002125F2">
        <w:t>number of the Form 8300</w:t>
      </w:r>
      <w:r w:rsidRPr="001F7618">
        <w:t xml:space="preserve"> not be displayed on the report so that there is no c</w:t>
      </w:r>
      <w:r>
        <w:t>onfusion as to whether the</w:t>
      </w:r>
      <w:r w:rsidRPr="001F7618">
        <w:t xml:space="preserve"> report is still valid. This request will not affect the normal 3-year PRA renewal process.</w:t>
      </w:r>
    </w:p>
    <w:p w:rsidRPr="00AA6051" w:rsidR="00D8554E" w:rsidP="009829C3" w:rsidRDefault="00D8554E" w14:paraId="29FB37AF" w14:textId="77777777">
      <w:pPr>
        <w:rPr>
          <w:szCs w:val="22"/>
        </w:rPr>
      </w:pPr>
    </w:p>
    <w:p w:rsidRPr="00A16AFB" w:rsidR="00D8554E" w:rsidP="009829C3" w:rsidRDefault="00D8554E" w14:paraId="25940580" w14:textId="77777777">
      <w:pPr>
        <w:widowControl w:val="0"/>
        <w:autoSpaceDE w:val="0"/>
        <w:autoSpaceDN w:val="0"/>
        <w:adjustRightInd w:val="0"/>
        <w:spacing w:line="240" w:lineRule="exact"/>
        <w:ind w:right="220"/>
        <w:jc w:val="both"/>
        <w:rPr>
          <w:szCs w:val="22"/>
          <w:u w:val="single"/>
        </w:rPr>
      </w:pPr>
      <w:r w:rsidRPr="00A16AFB">
        <w:rPr>
          <w:szCs w:val="22"/>
        </w:rPr>
        <w:t xml:space="preserve">18.  </w:t>
      </w:r>
      <w:r w:rsidRPr="00A16AFB">
        <w:rPr>
          <w:szCs w:val="22"/>
          <w:u w:val="single"/>
        </w:rPr>
        <w:t>Exceptions to the certification statement.</w:t>
      </w:r>
    </w:p>
    <w:p w:rsidRPr="00A16AFB" w:rsidR="00D8554E" w:rsidP="009829C3" w:rsidRDefault="00D8554E" w14:paraId="3AA3B992" w14:textId="77777777">
      <w:pPr>
        <w:widowControl w:val="0"/>
        <w:autoSpaceDE w:val="0"/>
        <w:autoSpaceDN w:val="0"/>
        <w:adjustRightInd w:val="0"/>
        <w:spacing w:line="240" w:lineRule="exact"/>
        <w:ind w:right="220"/>
        <w:jc w:val="both"/>
        <w:rPr>
          <w:szCs w:val="22"/>
        </w:rPr>
      </w:pPr>
    </w:p>
    <w:p w:rsidR="00643252" w:rsidP="009D1D5F" w:rsidRDefault="00D8554E" w14:paraId="3612E71D" w14:textId="77777777">
      <w:pPr>
        <w:ind w:firstLine="720"/>
      </w:pPr>
      <w:r w:rsidRPr="00A16AFB">
        <w:rPr>
          <w:szCs w:val="22"/>
        </w:rPr>
        <w:lastRenderedPageBreak/>
        <w:t>There are no exceptions to the certification statement.</w:t>
      </w:r>
    </w:p>
    <w:sectPr w:rsidR="0064325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D3378" w14:textId="77777777" w:rsidR="00DF1331" w:rsidRDefault="00DF1331">
      <w:r>
        <w:separator/>
      </w:r>
    </w:p>
  </w:endnote>
  <w:endnote w:type="continuationSeparator" w:id="0">
    <w:p w14:paraId="2DF010AE" w14:textId="77777777" w:rsidR="00DF1331" w:rsidRDefault="00DF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270776"/>
      <w:docPartObj>
        <w:docPartGallery w:val="Page Numbers (Bottom of Page)"/>
        <w:docPartUnique/>
      </w:docPartObj>
    </w:sdtPr>
    <w:sdtEndPr>
      <w:rPr>
        <w:noProof/>
      </w:rPr>
    </w:sdtEndPr>
    <w:sdtContent>
      <w:p w14:paraId="7BCA579C" w14:textId="57F85CF9" w:rsidR="00622D68" w:rsidRDefault="00622D68">
        <w:pPr>
          <w:pStyle w:val="Footer"/>
          <w:jc w:val="center"/>
        </w:pPr>
        <w:r>
          <w:fldChar w:fldCharType="begin"/>
        </w:r>
        <w:r>
          <w:instrText xml:space="preserve"> PAGE   \* MERGEFORMAT </w:instrText>
        </w:r>
        <w:r>
          <w:fldChar w:fldCharType="separate"/>
        </w:r>
        <w:r w:rsidR="00343866">
          <w:rPr>
            <w:noProof/>
          </w:rPr>
          <w:t>5</w:t>
        </w:r>
        <w:r>
          <w:rPr>
            <w:noProof/>
          </w:rPr>
          <w:fldChar w:fldCharType="end"/>
        </w:r>
      </w:p>
    </w:sdtContent>
  </w:sdt>
  <w:p w14:paraId="1C8FE7CC" w14:textId="77777777" w:rsidR="00622D68" w:rsidRDefault="00622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17B97" w14:textId="77777777" w:rsidR="00DF1331" w:rsidRDefault="00DF1331">
      <w:r>
        <w:separator/>
      </w:r>
    </w:p>
  </w:footnote>
  <w:footnote w:type="continuationSeparator" w:id="0">
    <w:p w14:paraId="11573BDB" w14:textId="77777777" w:rsidR="00DF1331" w:rsidRDefault="00DF1331">
      <w:r>
        <w:continuationSeparator/>
      </w:r>
    </w:p>
  </w:footnote>
  <w:footnote w:id="1">
    <w:p w14:paraId="75C69A85" w14:textId="4F1085D6" w:rsidR="00D9645C" w:rsidRPr="00120B54" w:rsidRDefault="00D9645C" w:rsidP="00D9645C">
      <w:pPr>
        <w:pStyle w:val="FootnoteText"/>
      </w:pPr>
      <w:r w:rsidRPr="008B5BD1">
        <w:rPr>
          <w:rStyle w:val="FootnoteReference"/>
        </w:rPr>
        <w:footnoteRef/>
      </w:r>
      <w:r w:rsidRPr="008B5BD1">
        <w:rPr>
          <w:vertAlign w:val="superscript"/>
        </w:rPr>
        <w:t xml:space="preserve"> </w:t>
      </w:r>
      <w:r w:rsidRPr="00120B54">
        <w:t>Section 358 of the USA PATRIOT Act added language expanding the scope of the BSA to intelligence or counter-intelligence activities to protect against international terrorism. Section 6101</w:t>
      </w:r>
      <w:r w:rsidR="000370B5">
        <w:t xml:space="preserve"> </w:t>
      </w:r>
      <w:r w:rsidRPr="00120B54">
        <w:t>of the</w:t>
      </w:r>
      <w:r w:rsidR="004277FD">
        <w:t xml:space="preserve"> AML Act</w:t>
      </w:r>
      <w:r w:rsidRPr="00120B54">
        <w:t xml:space="preserve"> added language further expanding the scope of the BSA but did not disturb these longstanding purposes.  </w:t>
      </w:r>
    </w:p>
  </w:footnote>
  <w:footnote w:id="2">
    <w:p w14:paraId="5F22E9E2" w14:textId="77777777" w:rsidR="00D9645C" w:rsidRPr="00120B54" w:rsidRDefault="00D9645C" w:rsidP="00D9645C">
      <w:pPr>
        <w:pStyle w:val="FootnoteText"/>
      </w:pPr>
      <w:r w:rsidRPr="008B5BD1">
        <w:rPr>
          <w:rStyle w:val="FootnoteReference"/>
        </w:rPr>
        <w:footnoteRef/>
      </w:r>
      <w:r w:rsidRPr="00120B54">
        <w:t xml:space="preserve"> Treasury Order 180-01 (re-affirmed Jan. 14, 2020). </w:t>
      </w:r>
    </w:p>
  </w:footnote>
  <w:footnote w:id="3">
    <w:p w14:paraId="59736FD2" w14:textId="77777777" w:rsidR="00EC4954" w:rsidRPr="00B71A3D" w:rsidRDefault="00EC4954" w:rsidP="00EC4954">
      <w:pPr>
        <w:pStyle w:val="FootnoteText"/>
      </w:pPr>
      <w:r w:rsidRPr="00B71A3D">
        <w:rPr>
          <w:rStyle w:val="FootnoteReference"/>
        </w:rPr>
        <w:footnoteRef/>
      </w:r>
      <w:r w:rsidRPr="00B71A3D">
        <w:t xml:space="preserve"> In batch-filing, a filer submits a single electronic file containing several reports. In discrete-filing, the filer fills in an electronic form individually, using a data entry screen that FinCEN provides.</w:t>
      </w:r>
    </w:p>
  </w:footnote>
  <w:footnote w:id="4">
    <w:p w14:paraId="3C95BAA2" w14:textId="530E366F" w:rsidR="00622D68" w:rsidRDefault="00622D68" w:rsidP="00414797">
      <w:pPr>
        <w:pStyle w:val="FootnoteText"/>
      </w:pPr>
      <w:r>
        <w:rPr>
          <w:rStyle w:val="FootnoteReference"/>
        </w:rPr>
        <w:footnoteRef/>
      </w:r>
      <w:r>
        <w:t xml:space="preserve"> </w:t>
      </w:r>
      <w:r w:rsidR="00A27B2F" w:rsidRPr="000370B5">
        <w:t xml:space="preserve">See </w:t>
      </w:r>
      <w:r>
        <w:t xml:space="preserve">85 FR </w:t>
      </w:r>
      <w:r w:rsidR="009A405A">
        <w:t>78932</w:t>
      </w:r>
      <w:r w:rsidR="00A27B2F">
        <w:t>,</w:t>
      </w:r>
      <w:r w:rsidR="004E042A">
        <w:t xml:space="preserve"> </w:t>
      </w:r>
      <w:hyperlink r:id="rId1" w:history="1">
        <w:r w:rsidR="000D2B64" w:rsidRPr="00643B1B">
          <w:rPr>
            <w:rStyle w:val="Hyperlink"/>
          </w:rPr>
          <w:t>https://www.federalregister.gov/documents/2020/12/07/2020-26883/agency-information-collection-activities-proposed-renewal-comment-request-renewal-without-change-of</w:t>
        </w:r>
      </w:hyperlink>
      <w:r w:rsidR="00154790">
        <w:t>.</w:t>
      </w:r>
      <w:r w:rsidR="000D2B64">
        <w:t xml:space="preserve"> </w:t>
      </w:r>
    </w:p>
  </w:footnote>
  <w:footnote w:id="5">
    <w:p w14:paraId="5BCC4767" w14:textId="267D4A95" w:rsidR="00B970D7" w:rsidRDefault="00B970D7" w:rsidP="00B970D7">
      <w:pPr>
        <w:pStyle w:val="HTMLPreformatted"/>
        <w:shd w:val="clear" w:color="auto" w:fill="FFFFFF"/>
      </w:pPr>
      <w:r w:rsidRPr="001F7618">
        <w:rPr>
          <w:rStyle w:val="FootnoteReference"/>
          <w:rFonts w:ascii="Times New Roman" w:hAnsi="Times New Roman" w:cs="Times New Roman"/>
        </w:rPr>
        <w:footnoteRef/>
      </w:r>
      <w:r w:rsidR="00F1271B">
        <w:t xml:space="preserve"> </w:t>
      </w:r>
      <w:r w:rsidRPr="000370B5">
        <w:rPr>
          <w:rFonts w:ascii="Times New Roman" w:eastAsia="Courier New" w:hAnsi="Times New Roman"/>
          <w:lang w:val="x-none" w:eastAsia="x-none"/>
        </w:rPr>
        <w:t>See</w:t>
      </w:r>
      <w:r w:rsidRPr="001F7618">
        <w:rPr>
          <w:rFonts w:ascii="Times New Roman" w:eastAsia="Courier New" w:hAnsi="Times New Roman"/>
          <w:lang w:eastAsia="x-none"/>
        </w:rPr>
        <w:t xml:space="preserve"> </w:t>
      </w:r>
      <w:r w:rsidRPr="001F7618">
        <w:rPr>
          <w:rFonts w:ascii="Times New Roman" w:eastAsia="Courier New" w:hAnsi="Times New Roman"/>
          <w:color w:val="000000"/>
          <w:lang w:val="x-none" w:eastAsia="x-none"/>
        </w:rPr>
        <w:t>FinCEN's System of Records Notice for</w:t>
      </w:r>
      <w:r w:rsidRPr="001F7618">
        <w:rPr>
          <w:rFonts w:ascii="Times New Roman" w:eastAsia="Courier New" w:hAnsi="Times New Roman"/>
          <w:color w:val="000000"/>
          <w:lang w:eastAsia="x-none"/>
        </w:rPr>
        <w:t xml:space="preserve"> the</w:t>
      </w:r>
      <w:r w:rsidRPr="001F7618">
        <w:rPr>
          <w:rFonts w:ascii="Times New Roman" w:eastAsia="Courier New" w:hAnsi="Times New Roman"/>
          <w:color w:val="000000"/>
          <w:lang w:val="x-none" w:eastAsia="x-none"/>
        </w:rPr>
        <w:t xml:space="preserve"> BSA System at </w:t>
      </w:r>
      <w:r w:rsidRPr="001F7618">
        <w:rPr>
          <w:rFonts w:ascii="Times New Roman" w:eastAsia="Courier New" w:hAnsi="Times New Roman"/>
          <w:lang w:eastAsia="x-none"/>
        </w:rPr>
        <w:t>79 FR</w:t>
      </w:r>
      <w:r w:rsidR="00124F37">
        <w:rPr>
          <w:rFonts w:ascii="Times New Roman" w:eastAsia="Courier New" w:hAnsi="Times New Roman"/>
          <w:lang w:eastAsia="x-none"/>
        </w:rPr>
        <w:t xml:space="preserve"> </w:t>
      </w:r>
      <w:r w:rsidRPr="001F7618">
        <w:rPr>
          <w:rFonts w:ascii="Times New Roman" w:eastAsia="Courier New" w:hAnsi="Times New Roman"/>
          <w:lang w:eastAsia="x-none"/>
        </w:rPr>
        <w:t>20974</w:t>
      </w:r>
      <w:r w:rsidR="006565FC">
        <w:rPr>
          <w:rFonts w:ascii="Times New Roman" w:eastAsia="Courier New" w:hAnsi="Times New Roman"/>
          <w:lang w:eastAsia="x-none"/>
        </w:rPr>
        <w:t xml:space="preserve"> (</w:t>
      </w:r>
      <w:r w:rsidRPr="001F7618">
        <w:rPr>
          <w:rFonts w:ascii="Times New Roman" w:eastAsia="Courier New" w:hAnsi="Times New Roman"/>
          <w:lang w:eastAsia="x-none"/>
        </w:rPr>
        <w:t>April 14, 2014</w:t>
      </w:r>
      <w:r w:rsidR="006565FC">
        <w:rPr>
          <w:rFonts w:ascii="Times New Roman" w:eastAsia="Courier New" w:hAnsi="Times New Roman"/>
          <w:lang w:eastAsia="x-none"/>
        </w:rPr>
        <w:t xml:space="preserve">), </w:t>
      </w:r>
      <w:hyperlink r:id="rId2" w:history="1">
        <w:r w:rsidRPr="001F7618">
          <w:rPr>
            <w:rFonts w:ascii="Times New Roman" w:eastAsia="Courier New" w:hAnsi="Times New Roman"/>
            <w:color w:val="0000FF"/>
            <w:u w:val="single"/>
            <w:lang w:val="x-none" w:eastAsia="x-none"/>
          </w:rPr>
          <w:t>https://www.federalregister.gov/documents/2014/04/14/2014-08254/privacy-act-of-1974-as-amended-system-of-records-notice</w:t>
        </w:r>
      </w:hyperlink>
      <w:r w:rsidRPr="001F7618">
        <w:rPr>
          <w:rFonts w:ascii="Times New Roman" w:eastAsia="Courier New" w:hAnsi="Times New Roman"/>
          <w:color w:val="000000"/>
          <w:lang w:eastAsia="x-none"/>
        </w:rPr>
        <w:t xml:space="preserve">. </w:t>
      </w:r>
    </w:p>
  </w:footnote>
  <w:footnote w:id="6">
    <w:p w14:paraId="46DC2770" w14:textId="77777777" w:rsidR="00984FDE" w:rsidRDefault="00984FDE" w:rsidP="00AE6BFA">
      <w:pPr>
        <w:pStyle w:val="CommentText"/>
      </w:pPr>
      <w:r>
        <w:rPr>
          <w:rStyle w:val="FootnoteReference"/>
        </w:rPr>
        <w:footnoteRef/>
      </w:r>
      <w:r>
        <w:t xml:space="preserve"> In 2019, FinCEN received form 8300s from 32,462 unique filers based on their tax identification numbers (TIN). FinCEN is conservatively rounding this estimate to 32,500 respondents annually.</w:t>
      </w:r>
    </w:p>
  </w:footnote>
  <w:footnote w:id="7">
    <w:p w14:paraId="06E1D88B" w14:textId="77777777" w:rsidR="0071519C" w:rsidRDefault="0071519C" w:rsidP="0071519C">
      <w:pPr>
        <w:pStyle w:val="FootnoteText"/>
      </w:pPr>
      <w:r>
        <w:rPr>
          <w:rStyle w:val="FootnoteReference"/>
        </w:rPr>
        <w:footnoteRef/>
      </w:r>
      <w:r>
        <w:t xml:space="preserve"> </w:t>
      </w:r>
      <w:r w:rsidRPr="000A2A15">
        <w:t>The U.S. Bureau of Labor Statistics, Occupational Employment Statistics-National, May 2019, available at https</w:t>
      </w:r>
      <w:r>
        <w:t xml:space="preserve">://www.bls.gov/oes/tables.htm. </w:t>
      </w:r>
      <w:r w:rsidRPr="000A2A15">
        <w:t>The most recent data from the BLS corresponds to May 2019. For the benefits component of total compensation, see U.S. Bureau of Labor Statistics, Employer’s Cost per Employee Compensation as of December 2019, available at https://www.bls.gov/oes/tables.htm. The ratio between benefits and wages for financial activities is $15.95 (hourly benefits)/$32.05 (hourly wages) = 0.50. The benefit factor is 1 plus the benefit/wages ratio, or 1.50.</w:t>
      </w:r>
      <w:r w:rsidR="009A405A">
        <w:t xml:space="preserve"> </w:t>
      </w:r>
      <w:r w:rsidRPr="000A2A15">
        <w:t>Multiplying each hourly wage by the benefit factor produces the fully-loaded hourly wage per position.</w:t>
      </w:r>
      <w:r>
        <w:t xml:space="preserve"> </w:t>
      </w:r>
      <w:r w:rsidRPr="000A2A15">
        <w:t>The May 2019 Bureau of Labor Statistics average hourly wage for “</w:t>
      </w:r>
      <w:r>
        <w:t>43-3099</w:t>
      </w:r>
      <w:r w:rsidRPr="000A2A15">
        <w:t xml:space="preserve"> </w:t>
      </w:r>
      <w:r>
        <w:t>Financial Clerk</w:t>
      </w:r>
      <w:r w:rsidRPr="000A2A15">
        <w:t>” is $</w:t>
      </w:r>
      <w:r>
        <w:t>20.40</w:t>
      </w:r>
      <w:r w:rsidRPr="000A2A15">
        <w:t>. ($</w:t>
      </w:r>
      <w:r>
        <w:t>20.40</w:t>
      </w:r>
      <w:r w:rsidRPr="000A2A15">
        <w:t xml:space="preserve"> x 1.50 = $</w:t>
      </w:r>
      <w:r>
        <w:t>30.60</w:t>
      </w:r>
      <w:r w:rsidRPr="000A2A15">
        <w:t>).</w:t>
      </w:r>
    </w:p>
  </w:footnote>
  <w:footnote w:id="8">
    <w:p w14:paraId="213D12B5" w14:textId="77777777" w:rsidR="00C34A34" w:rsidRPr="00403FD1" w:rsidRDefault="00C34A34" w:rsidP="00394FF7">
      <w:pPr>
        <w:pStyle w:val="FootnoteText"/>
      </w:pPr>
      <w:r>
        <w:rPr>
          <w:rStyle w:val="FootnoteReference"/>
        </w:rPr>
        <w:footnoteRef/>
      </w:r>
      <w:r>
        <w:t xml:space="preserve"> </w:t>
      </w:r>
      <w:r w:rsidR="00136C99" w:rsidRPr="008A536D">
        <w:rPr>
          <w:color w:val="000000" w:themeColor="text1"/>
        </w:rPr>
        <w:t xml:space="preserve">The estimated cost per electronic response </w:t>
      </w:r>
      <w:r w:rsidR="00136C99" w:rsidRPr="008A536D">
        <w:t>is calculated as part of an annual report FinCEN creates and provides to the Department of the Treasury and OMB, entitled the Cost per BSA Filing Transaction.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lowerLetter"/>
      <w:lvlText w:val="(%1)"/>
      <w:lvlJc w:val="left"/>
      <w:pPr>
        <w:ind w:left="412" w:hanging="301"/>
      </w:pPr>
      <w:rPr>
        <w:rFonts w:ascii="Arial" w:hAnsi="Arial" w:cs="Arial"/>
        <w:b w:val="0"/>
        <w:bCs w:val="0"/>
        <w:w w:val="100"/>
        <w:sz w:val="20"/>
        <w:szCs w:val="20"/>
      </w:rPr>
    </w:lvl>
    <w:lvl w:ilvl="1">
      <w:numFmt w:val="bullet"/>
      <w:lvlText w:val="•"/>
      <w:lvlJc w:val="left"/>
      <w:pPr>
        <w:ind w:left="1404" w:hanging="301"/>
      </w:pPr>
    </w:lvl>
    <w:lvl w:ilvl="2">
      <w:numFmt w:val="bullet"/>
      <w:lvlText w:val="•"/>
      <w:lvlJc w:val="left"/>
      <w:pPr>
        <w:ind w:left="2388" w:hanging="301"/>
      </w:pPr>
    </w:lvl>
    <w:lvl w:ilvl="3">
      <w:numFmt w:val="bullet"/>
      <w:lvlText w:val="•"/>
      <w:lvlJc w:val="left"/>
      <w:pPr>
        <w:ind w:left="3372" w:hanging="301"/>
      </w:pPr>
    </w:lvl>
    <w:lvl w:ilvl="4">
      <w:numFmt w:val="bullet"/>
      <w:lvlText w:val="•"/>
      <w:lvlJc w:val="left"/>
      <w:pPr>
        <w:ind w:left="4356" w:hanging="301"/>
      </w:pPr>
    </w:lvl>
    <w:lvl w:ilvl="5">
      <w:numFmt w:val="bullet"/>
      <w:lvlText w:val="•"/>
      <w:lvlJc w:val="left"/>
      <w:pPr>
        <w:ind w:left="5340" w:hanging="301"/>
      </w:pPr>
    </w:lvl>
    <w:lvl w:ilvl="6">
      <w:numFmt w:val="bullet"/>
      <w:lvlText w:val="•"/>
      <w:lvlJc w:val="left"/>
      <w:pPr>
        <w:ind w:left="6324" w:hanging="301"/>
      </w:pPr>
    </w:lvl>
    <w:lvl w:ilvl="7">
      <w:numFmt w:val="bullet"/>
      <w:lvlText w:val="•"/>
      <w:lvlJc w:val="left"/>
      <w:pPr>
        <w:ind w:left="7308" w:hanging="301"/>
      </w:pPr>
    </w:lvl>
    <w:lvl w:ilvl="8">
      <w:numFmt w:val="bullet"/>
      <w:lvlText w:val="•"/>
      <w:lvlJc w:val="left"/>
      <w:pPr>
        <w:ind w:left="8292" w:hanging="301"/>
      </w:pPr>
    </w:lvl>
  </w:abstractNum>
  <w:abstractNum w:abstractNumId="1" w15:restartNumberingAfterBreak="0">
    <w:nsid w:val="00000403"/>
    <w:multiLevelType w:val="multilevel"/>
    <w:tmpl w:val="00000886"/>
    <w:lvl w:ilvl="0">
      <w:start w:val="4"/>
      <w:numFmt w:val="lowerLetter"/>
      <w:lvlText w:val="(%1)"/>
      <w:lvlJc w:val="left"/>
      <w:pPr>
        <w:ind w:left="413" w:hanging="302"/>
      </w:pPr>
      <w:rPr>
        <w:rFonts w:ascii="Arial" w:hAnsi="Arial" w:cs="Arial"/>
        <w:b w:val="0"/>
        <w:bCs w:val="0"/>
        <w:w w:val="100"/>
        <w:sz w:val="20"/>
        <w:szCs w:val="20"/>
      </w:rPr>
    </w:lvl>
    <w:lvl w:ilvl="1">
      <w:start w:val="1"/>
      <w:numFmt w:val="lowerRoman"/>
      <w:lvlText w:val="(%2)"/>
      <w:lvlJc w:val="left"/>
      <w:pPr>
        <w:ind w:left="732" w:hanging="344"/>
      </w:pPr>
      <w:rPr>
        <w:rFonts w:ascii="Arial" w:hAnsi="Arial" w:cs="Arial"/>
        <w:b w:val="0"/>
        <w:bCs w:val="0"/>
        <w:spacing w:val="-1"/>
        <w:w w:val="100"/>
        <w:sz w:val="20"/>
        <w:szCs w:val="20"/>
      </w:rPr>
    </w:lvl>
    <w:lvl w:ilvl="2">
      <w:numFmt w:val="bullet"/>
      <w:lvlText w:val="•"/>
      <w:lvlJc w:val="left"/>
      <w:pPr>
        <w:ind w:left="1797" w:hanging="344"/>
      </w:pPr>
    </w:lvl>
    <w:lvl w:ilvl="3">
      <w:numFmt w:val="bullet"/>
      <w:lvlText w:val="•"/>
      <w:lvlJc w:val="left"/>
      <w:pPr>
        <w:ind w:left="2855" w:hanging="344"/>
      </w:pPr>
    </w:lvl>
    <w:lvl w:ilvl="4">
      <w:numFmt w:val="bullet"/>
      <w:lvlText w:val="•"/>
      <w:lvlJc w:val="left"/>
      <w:pPr>
        <w:ind w:left="3913" w:hanging="344"/>
      </w:pPr>
    </w:lvl>
    <w:lvl w:ilvl="5">
      <w:numFmt w:val="bullet"/>
      <w:lvlText w:val="•"/>
      <w:lvlJc w:val="left"/>
      <w:pPr>
        <w:ind w:left="4971" w:hanging="344"/>
      </w:pPr>
    </w:lvl>
    <w:lvl w:ilvl="6">
      <w:numFmt w:val="bullet"/>
      <w:lvlText w:val="•"/>
      <w:lvlJc w:val="left"/>
      <w:pPr>
        <w:ind w:left="6028" w:hanging="344"/>
      </w:pPr>
    </w:lvl>
    <w:lvl w:ilvl="7">
      <w:numFmt w:val="bullet"/>
      <w:lvlText w:val="•"/>
      <w:lvlJc w:val="left"/>
      <w:pPr>
        <w:ind w:left="7086" w:hanging="344"/>
      </w:pPr>
    </w:lvl>
    <w:lvl w:ilvl="8">
      <w:numFmt w:val="bullet"/>
      <w:lvlText w:val="•"/>
      <w:lvlJc w:val="left"/>
      <w:pPr>
        <w:ind w:left="8144" w:hanging="344"/>
      </w:pPr>
    </w:lvl>
  </w:abstractNum>
  <w:abstractNum w:abstractNumId="2" w15:restartNumberingAfterBreak="0">
    <w:nsid w:val="00000404"/>
    <w:multiLevelType w:val="multilevel"/>
    <w:tmpl w:val="00000887"/>
    <w:lvl w:ilvl="0">
      <w:start w:val="2"/>
      <w:numFmt w:val="lowerRoman"/>
      <w:lvlText w:val="(%1)"/>
      <w:lvlJc w:val="left"/>
      <w:pPr>
        <w:ind w:left="721" w:hanging="333"/>
      </w:pPr>
      <w:rPr>
        <w:rFonts w:ascii="Arial" w:hAnsi="Arial" w:cs="Arial"/>
        <w:b w:val="0"/>
        <w:bCs w:val="0"/>
        <w:spacing w:val="-1"/>
        <w:w w:val="100"/>
        <w:sz w:val="20"/>
        <w:szCs w:val="20"/>
      </w:rPr>
    </w:lvl>
    <w:lvl w:ilvl="1">
      <w:numFmt w:val="bullet"/>
      <w:lvlText w:val="•"/>
      <w:lvlJc w:val="left"/>
      <w:pPr>
        <w:ind w:left="1674" w:hanging="333"/>
      </w:pPr>
    </w:lvl>
    <w:lvl w:ilvl="2">
      <w:numFmt w:val="bullet"/>
      <w:lvlText w:val="•"/>
      <w:lvlJc w:val="left"/>
      <w:pPr>
        <w:ind w:left="2628" w:hanging="333"/>
      </w:pPr>
    </w:lvl>
    <w:lvl w:ilvl="3">
      <w:numFmt w:val="bullet"/>
      <w:lvlText w:val="•"/>
      <w:lvlJc w:val="left"/>
      <w:pPr>
        <w:ind w:left="3582" w:hanging="333"/>
      </w:pPr>
    </w:lvl>
    <w:lvl w:ilvl="4">
      <w:numFmt w:val="bullet"/>
      <w:lvlText w:val="•"/>
      <w:lvlJc w:val="left"/>
      <w:pPr>
        <w:ind w:left="4536" w:hanging="333"/>
      </w:pPr>
    </w:lvl>
    <w:lvl w:ilvl="5">
      <w:numFmt w:val="bullet"/>
      <w:lvlText w:val="•"/>
      <w:lvlJc w:val="left"/>
      <w:pPr>
        <w:ind w:left="5490" w:hanging="333"/>
      </w:pPr>
    </w:lvl>
    <w:lvl w:ilvl="6">
      <w:numFmt w:val="bullet"/>
      <w:lvlText w:val="•"/>
      <w:lvlJc w:val="left"/>
      <w:pPr>
        <w:ind w:left="6444" w:hanging="333"/>
      </w:pPr>
    </w:lvl>
    <w:lvl w:ilvl="7">
      <w:numFmt w:val="bullet"/>
      <w:lvlText w:val="•"/>
      <w:lvlJc w:val="left"/>
      <w:pPr>
        <w:ind w:left="7398" w:hanging="333"/>
      </w:pPr>
    </w:lvl>
    <w:lvl w:ilvl="8">
      <w:numFmt w:val="bullet"/>
      <w:lvlText w:val="•"/>
      <w:lvlJc w:val="left"/>
      <w:pPr>
        <w:ind w:left="8352" w:hanging="333"/>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es-A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A1838"/>
    <w:rsid w:val="000053C2"/>
    <w:rsid w:val="0000789D"/>
    <w:rsid w:val="00012EFF"/>
    <w:rsid w:val="00015AE3"/>
    <w:rsid w:val="00022A08"/>
    <w:rsid w:val="000300DC"/>
    <w:rsid w:val="000370B5"/>
    <w:rsid w:val="000377C7"/>
    <w:rsid w:val="000434A7"/>
    <w:rsid w:val="00047959"/>
    <w:rsid w:val="00053A47"/>
    <w:rsid w:val="00060110"/>
    <w:rsid w:val="0007127E"/>
    <w:rsid w:val="00073267"/>
    <w:rsid w:val="00073D6C"/>
    <w:rsid w:val="00081EE2"/>
    <w:rsid w:val="000821DE"/>
    <w:rsid w:val="00083C2F"/>
    <w:rsid w:val="00085C49"/>
    <w:rsid w:val="00097749"/>
    <w:rsid w:val="000A1838"/>
    <w:rsid w:val="000A5D78"/>
    <w:rsid w:val="000B126D"/>
    <w:rsid w:val="000D2B64"/>
    <w:rsid w:val="000D6DE3"/>
    <w:rsid w:val="000F0E89"/>
    <w:rsid w:val="00100D77"/>
    <w:rsid w:val="00104F2C"/>
    <w:rsid w:val="0010722B"/>
    <w:rsid w:val="00114F02"/>
    <w:rsid w:val="001168CE"/>
    <w:rsid w:val="00117650"/>
    <w:rsid w:val="00120A4D"/>
    <w:rsid w:val="00123CA3"/>
    <w:rsid w:val="00124F37"/>
    <w:rsid w:val="00125470"/>
    <w:rsid w:val="00127FAF"/>
    <w:rsid w:val="00136C99"/>
    <w:rsid w:val="001406A8"/>
    <w:rsid w:val="001423FB"/>
    <w:rsid w:val="00154790"/>
    <w:rsid w:val="0015749B"/>
    <w:rsid w:val="00170F67"/>
    <w:rsid w:val="0017516A"/>
    <w:rsid w:val="001801A2"/>
    <w:rsid w:val="00181256"/>
    <w:rsid w:val="001A01B1"/>
    <w:rsid w:val="001A271C"/>
    <w:rsid w:val="001A367E"/>
    <w:rsid w:val="001B0BFD"/>
    <w:rsid w:val="001B1740"/>
    <w:rsid w:val="001C5AC1"/>
    <w:rsid w:val="001C5B9B"/>
    <w:rsid w:val="001D4496"/>
    <w:rsid w:val="001D647A"/>
    <w:rsid w:val="0020076C"/>
    <w:rsid w:val="002015CC"/>
    <w:rsid w:val="0020343E"/>
    <w:rsid w:val="00211F04"/>
    <w:rsid w:val="002125F2"/>
    <w:rsid w:val="00212D01"/>
    <w:rsid w:val="00213F40"/>
    <w:rsid w:val="00226AF1"/>
    <w:rsid w:val="00240765"/>
    <w:rsid w:val="00241BD1"/>
    <w:rsid w:val="00242A50"/>
    <w:rsid w:val="0024739E"/>
    <w:rsid w:val="00250B4A"/>
    <w:rsid w:val="00256988"/>
    <w:rsid w:val="002646FA"/>
    <w:rsid w:val="00293155"/>
    <w:rsid w:val="00294604"/>
    <w:rsid w:val="002A20A2"/>
    <w:rsid w:val="002A271A"/>
    <w:rsid w:val="002A7D1B"/>
    <w:rsid w:val="002B288E"/>
    <w:rsid w:val="002C2BFB"/>
    <w:rsid w:val="002C3647"/>
    <w:rsid w:val="002C658C"/>
    <w:rsid w:val="002E72EC"/>
    <w:rsid w:val="0030221B"/>
    <w:rsid w:val="00302EAE"/>
    <w:rsid w:val="00307E1F"/>
    <w:rsid w:val="003216E8"/>
    <w:rsid w:val="00324A84"/>
    <w:rsid w:val="00325298"/>
    <w:rsid w:val="003359D8"/>
    <w:rsid w:val="00335FA8"/>
    <w:rsid w:val="003408A6"/>
    <w:rsid w:val="00340D0E"/>
    <w:rsid w:val="00343866"/>
    <w:rsid w:val="00353A24"/>
    <w:rsid w:val="003804BB"/>
    <w:rsid w:val="00381A59"/>
    <w:rsid w:val="00392AE3"/>
    <w:rsid w:val="00392EA3"/>
    <w:rsid w:val="00394327"/>
    <w:rsid w:val="00394FF7"/>
    <w:rsid w:val="003A525C"/>
    <w:rsid w:val="003C1A61"/>
    <w:rsid w:val="003C3D66"/>
    <w:rsid w:val="003C5B92"/>
    <w:rsid w:val="003E1728"/>
    <w:rsid w:val="003E69DC"/>
    <w:rsid w:val="003E7BF2"/>
    <w:rsid w:val="003F5AA4"/>
    <w:rsid w:val="00407A8D"/>
    <w:rsid w:val="00410409"/>
    <w:rsid w:val="00414797"/>
    <w:rsid w:val="00417F2A"/>
    <w:rsid w:val="0042337C"/>
    <w:rsid w:val="0042486C"/>
    <w:rsid w:val="004277FD"/>
    <w:rsid w:val="0043047D"/>
    <w:rsid w:val="0043638D"/>
    <w:rsid w:val="004423A6"/>
    <w:rsid w:val="00446329"/>
    <w:rsid w:val="00450F3E"/>
    <w:rsid w:val="00456E96"/>
    <w:rsid w:val="00461D10"/>
    <w:rsid w:val="00461F7C"/>
    <w:rsid w:val="004811B1"/>
    <w:rsid w:val="004831D7"/>
    <w:rsid w:val="0049415C"/>
    <w:rsid w:val="00496D32"/>
    <w:rsid w:val="004A775A"/>
    <w:rsid w:val="004B373F"/>
    <w:rsid w:val="004B4B68"/>
    <w:rsid w:val="004C2D27"/>
    <w:rsid w:val="004C4B62"/>
    <w:rsid w:val="004C7594"/>
    <w:rsid w:val="004D15F4"/>
    <w:rsid w:val="004D2C40"/>
    <w:rsid w:val="004D66F6"/>
    <w:rsid w:val="004E042A"/>
    <w:rsid w:val="004E5C06"/>
    <w:rsid w:val="004E7AA2"/>
    <w:rsid w:val="004F7737"/>
    <w:rsid w:val="004F77C1"/>
    <w:rsid w:val="005014FE"/>
    <w:rsid w:val="00501DC2"/>
    <w:rsid w:val="00503EF3"/>
    <w:rsid w:val="005164C2"/>
    <w:rsid w:val="0051798E"/>
    <w:rsid w:val="00544A40"/>
    <w:rsid w:val="00545D32"/>
    <w:rsid w:val="00551A6C"/>
    <w:rsid w:val="00553D43"/>
    <w:rsid w:val="00554F9B"/>
    <w:rsid w:val="00562228"/>
    <w:rsid w:val="00563FE6"/>
    <w:rsid w:val="00572D22"/>
    <w:rsid w:val="005778A3"/>
    <w:rsid w:val="005815DA"/>
    <w:rsid w:val="00584F33"/>
    <w:rsid w:val="005923DE"/>
    <w:rsid w:val="00594904"/>
    <w:rsid w:val="005A7DEE"/>
    <w:rsid w:val="005B2B77"/>
    <w:rsid w:val="005B4BB4"/>
    <w:rsid w:val="005B617B"/>
    <w:rsid w:val="005C065F"/>
    <w:rsid w:val="005C62B0"/>
    <w:rsid w:val="005C739E"/>
    <w:rsid w:val="005D0671"/>
    <w:rsid w:val="005D18FC"/>
    <w:rsid w:val="005E23FA"/>
    <w:rsid w:val="005F09CC"/>
    <w:rsid w:val="005F247D"/>
    <w:rsid w:val="00603DE7"/>
    <w:rsid w:val="0061083D"/>
    <w:rsid w:val="00616FDD"/>
    <w:rsid w:val="00622D68"/>
    <w:rsid w:val="006365F6"/>
    <w:rsid w:val="00642760"/>
    <w:rsid w:val="00643252"/>
    <w:rsid w:val="00646D87"/>
    <w:rsid w:val="006565FC"/>
    <w:rsid w:val="006664C7"/>
    <w:rsid w:val="00670C7F"/>
    <w:rsid w:val="00671888"/>
    <w:rsid w:val="0067540B"/>
    <w:rsid w:val="0067734C"/>
    <w:rsid w:val="00681794"/>
    <w:rsid w:val="00682453"/>
    <w:rsid w:val="00692CAE"/>
    <w:rsid w:val="006936CB"/>
    <w:rsid w:val="006A48AC"/>
    <w:rsid w:val="006A60EB"/>
    <w:rsid w:val="006C5EF4"/>
    <w:rsid w:val="006D0A90"/>
    <w:rsid w:val="006D3B06"/>
    <w:rsid w:val="006D4A97"/>
    <w:rsid w:val="006E609E"/>
    <w:rsid w:val="006E7A9B"/>
    <w:rsid w:val="006F29C7"/>
    <w:rsid w:val="006F3925"/>
    <w:rsid w:val="0071417F"/>
    <w:rsid w:val="00714FE5"/>
    <w:rsid w:val="0071519C"/>
    <w:rsid w:val="00726BA4"/>
    <w:rsid w:val="007458BE"/>
    <w:rsid w:val="007502E7"/>
    <w:rsid w:val="00751E07"/>
    <w:rsid w:val="007534B0"/>
    <w:rsid w:val="00755229"/>
    <w:rsid w:val="00755252"/>
    <w:rsid w:val="00773249"/>
    <w:rsid w:val="007764F3"/>
    <w:rsid w:val="007A5948"/>
    <w:rsid w:val="007B770B"/>
    <w:rsid w:val="007D7E85"/>
    <w:rsid w:val="007E568B"/>
    <w:rsid w:val="007F6DDB"/>
    <w:rsid w:val="00803C63"/>
    <w:rsid w:val="00803FF5"/>
    <w:rsid w:val="00816D07"/>
    <w:rsid w:val="008174B5"/>
    <w:rsid w:val="00832239"/>
    <w:rsid w:val="0083259B"/>
    <w:rsid w:val="0083337A"/>
    <w:rsid w:val="008342C4"/>
    <w:rsid w:val="00847B93"/>
    <w:rsid w:val="0085254E"/>
    <w:rsid w:val="0086040B"/>
    <w:rsid w:val="008722D3"/>
    <w:rsid w:val="008745C3"/>
    <w:rsid w:val="00874CE3"/>
    <w:rsid w:val="0088143A"/>
    <w:rsid w:val="00885FC7"/>
    <w:rsid w:val="008872D8"/>
    <w:rsid w:val="0089545E"/>
    <w:rsid w:val="008965A2"/>
    <w:rsid w:val="00897FFD"/>
    <w:rsid w:val="008A7CB3"/>
    <w:rsid w:val="008B0EB3"/>
    <w:rsid w:val="008C299E"/>
    <w:rsid w:val="008C54F0"/>
    <w:rsid w:val="008D785C"/>
    <w:rsid w:val="008F0894"/>
    <w:rsid w:val="008F7673"/>
    <w:rsid w:val="0090605F"/>
    <w:rsid w:val="00930573"/>
    <w:rsid w:val="00942AFC"/>
    <w:rsid w:val="009821B4"/>
    <w:rsid w:val="009829C3"/>
    <w:rsid w:val="00982B62"/>
    <w:rsid w:val="00984FDE"/>
    <w:rsid w:val="0098532F"/>
    <w:rsid w:val="00993F48"/>
    <w:rsid w:val="00995764"/>
    <w:rsid w:val="00995B77"/>
    <w:rsid w:val="009A405A"/>
    <w:rsid w:val="009A4D98"/>
    <w:rsid w:val="009A5F8C"/>
    <w:rsid w:val="009A6C50"/>
    <w:rsid w:val="009B5E03"/>
    <w:rsid w:val="009C4C6C"/>
    <w:rsid w:val="009C6CDB"/>
    <w:rsid w:val="009D0F6B"/>
    <w:rsid w:val="009D1D5F"/>
    <w:rsid w:val="009D52DC"/>
    <w:rsid w:val="009E0F28"/>
    <w:rsid w:val="009E75DB"/>
    <w:rsid w:val="009F04CE"/>
    <w:rsid w:val="00A11208"/>
    <w:rsid w:val="00A16AFB"/>
    <w:rsid w:val="00A27B2F"/>
    <w:rsid w:val="00A32382"/>
    <w:rsid w:val="00A3749C"/>
    <w:rsid w:val="00A406C0"/>
    <w:rsid w:val="00A6557A"/>
    <w:rsid w:val="00A665E7"/>
    <w:rsid w:val="00A87124"/>
    <w:rsid w:val="00A91DFC"/>
    <w:rsid w:val="00A91F4D"/>
    <w:rsid w:val="00A921D0"/>
    <w:rsid w:val="00A93AE0"/>
    <w:rsid w:val="00A94199"/>
    <w:rsid w:val="00AA6051"/>
    <w:rsid w:val="00AA6D89"/>
    <w:rsid w:val="00AB5E47"/>
    <w:rsid w:val="00AC4543"/>
    <w:rsid w:val="00AC5340"/>
    <w:rsid w:val="00AD1062"/>
    <w:rsid w:val="00AE6BFA"/>
    <w:rsid w:val="00AF152A"/>
    <w:rsid w:val="00AF3DAE"/>
    <w:rsid w:val="00B02D80"/>
    <w:rsid w:val="00B1626E"/>
    <w:rsid w:val="00B21FFF"/>
    <w:rsid w:val="00B33773"/>
    <w:rsid w:val="00B42608"/>
    <w:rsid w:val="00B50B8D"/>
    <w:rsid w:val="00B512E2"/>
    <w:rsid w:val="00B6644C"/>
    <w:rsid w:val="00B67F2D"/>
    <w:rsid w:val="00B7246F"/>
    <w:rsid w:val="00B83216"/>
    <w:rsid w:val="00B96C39"/>
    <w:rsid w:val="00B96E9D"/>
    <w:rsid w:val="00B970D7"/>
    <w:rsid w:val="00BA2C75"/>
    <w:rsid w:val="00BA381A"/>
    <w:rsid w:val="00BB0F0A"/>
    <w:rsid w:val="00BB31F6"/>
    <w:rsid w:val="00BB3954"/>
    <w:rsid w:val="00BB6826"/>
    <w:rsid w:val="00BB6976"/>
    <w:rsid w:val="00BC1675"/>
    <w:rsid w:val="00BC1C24"/>
    <w:rsid w:val="00BF4B59"/>
    <w:rsid w:val="00C0248A"/>
    <w:rsid w:val="00C03111"/>
    <w:rsid w:val="00C03484"/>
    <w:rsid w:val="00C05B2A"/>
    <w:rsid w:val="00C13E8A"/>
    <w:rsid w:val="00C241A6"/>
    <w:rsid w:val="00C24AA8"/>
    <w:rsid w:val="00C24EF8"/>
    <w:rsid w:val="00C2534D"/>
    <w:rsid w:val="00C339FC"/>
    <w:rsid w:val="00C34A34"/>
    <w:rsid w:val="00C34B95"/>
    <w:rsid w:val="00C400D5"/>
    <w:rsid w:val="00C41175"/>
    <w:rsid w:val="00C4238E"/>
    <w:rsid w:val="00C5326A"/>
    <w:rsid w:val="00C538B7"/>
    <w:rsid w:val="00C70EA9"/>
    <w:rsid w:val="00C71B0F"/>
    <w:rsid w:val="00C879E5"/>
    <w:rsid w:val="00C90EF6"/>
    <w:rsid w:val="00C910F4"/>
    <w:rsid w:val="00C96B45"/>
    <w:rsid w:val="00C97510"/>
    <w:rsid w:val="00CA04F1"/>
    <w:rsid w:val="00CA6948"/>
    <w:rsid w:val="00CB59D2"/>
    <w:rsid w:val="00CC22E5"/>
    <w:rsid w:val="00CC7B8B"/>
    <w:rsid w:val="00CD7306"/>
    <w:rsid w:val="00CD7498"/>
    <w:rsid w:val="00CF7CFF"/>
    <w:rsid w:val="00D04CB2"/>
    <w:rsid w:val="00D06181"/>
    <w:rsid w:val="00D06A32"/>
    <w:rsid w:val="00D06EA5"/>
    <w:rsid w:val="00D17EF3"/>
    <w:rsid w:val="00D26691"/>
    <w:rsid w:val="00D33B35"/>
    <w:rsid w:val="00D3774C"/>
    <w:rsid w:val="00D47FF1"/>
    <w:rsid w:val="00D51E90"/>
    <w:rsid w:val="00D52D6F"/>
    <w:rsid w:val="00D53ED6"/>
    <w:rsid w:val="00D546A8"/>
    <w:rsid w:val="00D700D9"/>
    <w:rsid w:val="00D77E1D"/>
    <w:rsid w:val="00D8554E"/>
    <w:rsid w:val="00D87A8B"/>
    <w:rsid w:val="00D90DDF"/>
    <w:rsid w:val="00D9645C"/>
    <w:rsid w:val="00DB1137"/>
    <w:rsid w:val="00DB22A3"/>
    <w:rsid w:val="00DB6B70"/>
    <w:rsid w:val="00DC6627"/>
    <w:rsid w:val="00DD2C65"/>
    <w:rsid w:val="00DD5DE6"/>
    <w:rsid w:val="00DF1331"/>
    <w:rsid w:val="00DF2016"/>
    <w:rsid w:val="00E0252C"/>
    <w:rsid w:val="00E06083"/>
    <w:rsid w:val="00E13A83"/>
    <w:rsid w:val="00E156C7"/>
    <w:rsid w:val="00E23A40"/>
    <w:rsid w:val="00E25824"/>
    <w:rsid w:val="00E35061"/>
    <w:rsid w:val="00E46C31"/>
    <w:rsid w:val="00E61555"/>
    <w:rsid w:val="00E667ED"/>
    <w:rsid w:val="00E667FB"/>
    <w:rsid w:val="00E70A1A"/>
    <w:rsid w:val="00E76A9F"/>
    <w:rsid w:val="00E84D78"/>
    <w:rsid w:val="00E864BF"/>
    <w:rsid w:val="00E8723F"/>
    <w:rsid w:val="00EA2F26"/>
    <w:rsid w:val="00EB2CBC"/>
    <w:rsid w:val="00EB6516"/>
    <w:rsid w:val="00EB7764"/>
    <w:rsid w:val="00EC4954"/>
    <w:rsid w:val="00ED0685"/>
    <w:rsid w:val="00EE1121"/>
    <w:rsid w:val="00EE5400"/>
    <w:rsid w:val="00EF7C39"/>
    <w:rsid w:val="00F1271B"/>
    <w:rsid w:val="00F13112"/>
    <w:rsid w:val="00F2243A"/>
    <w:rsid w:val="00F22B68"/>
    <w:rsid w:val="00F326B9"/>
    <w:rsid w:val="00F47494"/>
    <w:rsid w:val="00F50EE6"/>
    <w:rsid w:val="00F56074"/>
    <w:rsid w:val="00F6507B"/>
    <w:rsid w:val="00F6712B"/>
    <w:rsid w:val="00F70456"/>
    <w:rsid w:val="00F80F5C"/>
    <w:rsid w:val="00F837A8"/>
    <w:rsid w:val="00F84FBD"/>
    <w:rsid w:val="00F913B5"/>
    <w:rsid w:val="00F91C42"/>
    <w:rsid w:val="00F97FE0"/>
    <w:rsid w:val="00FB077C"/>
    <w:rsid w:val="00FB493C"/>
    <w:rsid w:val="00FD004B"/>
    <w:rsid w:val="00FD0573"/>
    <w:rsid w:val="00FD49E4"/>
    <w:rsid w:val="00FD4D39"/>
    <w:rsid w:val="00FD4DAC"/>
    <w:rsid w:val="00FF3433"/>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F2668"/>
  <w15:docId w15:val="{83DB78AD-E59F-459B-BD04-7853874D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r,12"/>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0"/>
        <w:tab w:val="left" w:pos="720"/>
        <w:tab w:val="left" w:pos="5040"/>
        <w:tab w:val="left" w:pos="5760"/>
        <w:tab w:val="left" w:pos="6480"/>
        <w:tab w:val="left" w:pos="7200"/>
        <w:tab w:val="left" w:pos="7920"/>
        <w:tab w:val="left" w:pos="8640"/>
      </w:tabs>
    </w:pPr>
    <w:rPr>
      <w:b/>
      <w:snapToGrid w:val="0"/>
      <w:szCs w:val="20"/>
    </w:rPr>
  </w:style>
  <w:style w:type="character" w:styleId="Hyperlink">
    <w:name w:val="Hyperlink"/>
    <w:rsid w:val="008C299E"/>
    <w:rPr>
      <w:color w:val="0563C1"/>
      <w:u w:val="single"/>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unhideWhenUsed/>
    <w:rsid w:val="003E69DC"/>
    <w:rPr>
      <w:sz w:val="20"/>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rsid w:val="003E69DC"/>
  </w:style>
  <w:style w:type="character" w:styleId="CommentReference">
    <w:name w:val="annotation reference"/>
    <w:uiPriority w:val="99"/>
    <w:semiHidden/>
    <w:unhideWhenUsed/>
    <w:rsid w:val="00A93AE0"/>
    <w:rPr>
      <w:sz w:val="16"/>
      <w:szCs w:val="16"/>
    </w:rPr>
  </w:style>
  <w:style w:type="paragraph" w:styleId="CommentText">
    <w:name w:val="annotation text"/>
    <w:basedOn w:val="Normal"/>
    <w:link w:val="CommentTextChar"/>
    <w:uiPriority w:val="99"/>
    <w:unhideWhenUsed/>
    <w:rsid w:val="00A93AE0"/>
    <w:rPr>
      <w:sz w:val="20"/>
      <w:szCs w:val="20"/>
    </w:rPr>
  </w:style>
  <w:style w:type="character" w:customStyle="1" w:styleId="CommentTextChar">
    <w:name w:val="Comment Text Char"/>
    <w:basedOn w:val="DefaultParagraphFont"/>
    <w:link w:val="CommentText"/>
    <w:uiPriority w:val="99"/>
    <w:rsid w:val="00A93AE0"/>
  </w:style>
  <w:style w:type="paragraph" w:styleId="CommentSubject">
    <w:name w:val="annotation subject"/>
    <w:basedOn w:val="CommentText"/>
    <w:next w:val="CommentText"/>
    <w:link w:val="CommentSubjectChar"/>
    <w:uiPriority w:val="99"/>
    <w:semiHidden/>
    <w:unhideWhenUsed/>
    <w:rsid w:val="00A93AE0"/>
    <w:rPr>
      <w:b/>
      <w:bCs/>
    </w:rPr>
  </w:style>
  <w:style w:type="character" w:customStyle="1" w:styleId="CommentSubjectChar">
    <w:name w:val="Comment Subject Char"/>
    <w:link w:val="CommentSubject"/>
    <w:uiPriority w:val="99"/>
    <w:semiHidden/>
    <w:rsid w:val="00A93AE0"/>
    <w:rPr>
      <w:b/>
      <w:bCs/>
    </w:rPr>
  </w:style>
  <w:style w:type="character" w:customStyle="1" w:styleId="PlainTextChar">
    <w:name w:val="Plain Text Char"/>
    <w:link w:val="PlainText"/>
    <w:rsid w:val="00F22B68"/>
    <w:rPr>
      <w:rFonts w:ascii="Courier New" w:hAnsi="Courier New" w:cs="Courier New"/>
    </w:rPr>
  </w:style>
  <w:style w:type="paragraph" w:styleId="NormalWeb">
    <w:name w:val="Normal (Web)"/>
    <w:basedOn w:val="Normal"/>
    <w:uiPriority w:val="99"/>
    <w:unhideWhenUsed/>
    <w:rsid w:val="005A7DEE"/>
    <w:pPr>
      <w:spacing w:before="100" w:beforeAutospacing="1" w:after="100" w:afterAutospacing="1"/>
    </w:pPr>
  </w:style>
  <w:style w:type="paragraph" w:styleId="ListParagraph">
    <w:name w:val="List Paragraph"/>
    <w:basedOn w:val="Normal"/>
    <w:uiPriority w:val="34"/>
    <w:qFormat/>
    <w:rsid w:val="00414797"/>
    <w:pPr>
      <w:ind w:left="720"/>
      <w:contextualSpacing/>
    </w:pPr>
  </w:style>
  <w:style w:type="table" w:styleId="TableGrid">
    <w:name w:val="Table Grid"/>
    <w:basedOn w:val="TableNormal"/>
    <w:uiPriority w:val="39"/>
    <w:rsid w:val="007F6DDB"/>
    <w:rPr>
      <w:rFonts w:asciiTheme="minorHAnsi" w:eastAsiaTheme="minorHAnsi" w:hAnsiTheme="minorHAnsi" w:cstheme="minorBid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F02"/>
    <w:pPr>
      <w:tabs>
        <w:tab w:val="center" w:pos="4680"/>
        <w:tab w:val="right" w:pos="9360"/>
      </w:tabs>
    </w:pPr>
  </w:style>
  <w:style w:type="character" w:customStyle="1" w:styleId="HeaderChar">
    <w:name w:val="Header Char"/>
    <w:basedOn w:val="DefaultParagraphFont"/>
    <w:link w:val="Header"/>
    <w:uiPriority w:val="99"/>
    <w:rsid w:val="00114F02"/>
    <w:rPr>
      <w:sz w:val="24"/>
      <w:szCs w:val="24"/>
    </w:rPr>
  </w:style>
  <w:style w:type="paragraph" w:styleId="Footer">
    <w:name w:val="footer"/>
    <w:basedOn w:val="Normal"/>
    <w:link w:val="FooterChar"/>
    <w:uiPriority w:val="99"/>
    <w:unhideWhenUsed/>
    <w:rsid w:val="00114F02"/>
    <w:pPr>
      <w:tabs>
        <w:tab w:val="center" w:pos="4680"/>
        <w:tab w:val="right" w:pos="9360"/>
      </w:tabs>
    </w:pPr>
  </w:style>
  <w:style w:type="character" w:customStyle="1" w:styleId="FooterChar">
    <w:name w:val="Footer Char"/>
    <w:basedOn w:val="DefaultParagraphFont"/>
    <w:link w:val="Footer"/>
    <w:uiPriority w:val="99"/>
    <w:rsid w:val="00114F02"/>
    <w:rPr>
      <w:sz w:val="24"/>
      <w:szCs w:val="24"/>
    </w:rPr>
  </w:style>
  <w:style w:type="paragraph" w:styleId="BodyTextIndent">
    <w:name w:val="Body Text Indent"/>
    <w:basedOn w:val="Normal"/>
    <w:link w:val="BodyTextIndentChar"/>
    <w:uiPriority w:val="99"/>
    <w:unhideWhenUsed/>
    <w:rsid w:val="000821DE"/>
    <w:pPr>
      <w:spacing w:after="120"/>
      <w:ind w:left="360"/>
    </w:pPr>
  </w:style>
  <w:style w:type="character" w:customStyle="1" w:styleId="BodyTextIndentChar">
    <w:name w:val="Body Text Indent Char"/>
    <w:basedOn w:val="DefaultParagraphFont"/>
    <w:link w:val="BodyTextIndent"/>
    <w:uiPriority w:val="99"/>
    <w:rsid w:val="000821DE"/>
    <w:rPr>
      <w:sz w:val="24"/>
      <w:szCs w:val="24"/>
    </w:rPr>
  </w:style>
  <w:style w:type="character" w:styleId="FollowedHyperlink">
    <w:name w:val="FollowedHyperlink"/>
    <w:basedOn w:val="DefaultParagraphFont"/>
    <w:uiPriority w:val="99"/>
    <w:semiHidden/>
    <w:unhideWhenUsed/>
    <w:rsid w:val="009A405A"/>
    <w:rPr>
      <w:color w:val="800080" w:themeColor="followedHyperlink"/>
      <w:u w:val="single"/>
    </w:rPr>
  </w:style>
  <w:style w:type="paragraph" w:styleId="BodyTextIndent3">
    <w:name w:val="Body Text Indent 3"/>
    <w:basedOn w:val="Normal"/>
    <w:link w:val="BodyTextIndent3Char"/>
    <w:uiPriority w:val="99"/>
    <w:unhideWhenUsed/>
    <w:rsid w:val="004277FD"/>
    <w:pPr>
      <w:spacing w:after="120"/>
      <w:ind w:left="360"/>
    </w:pPr>
    <w:rPr>
      <w:sz w:val="16"/>
      <w:szCs w:val="16"/>
    </w:rPr>
  </w:style>
  <w:style w:type="character" w:customStyle="1" w:styleId="BodyTextIndent3Char">
    <w:name w:val="Body Text Indent 3 Char"/>
    <w:basedOn w:val="DefaultParagraphFont"/>
    <w:link w:val="BodyTextIndent3"/>
    <w:uiPriority w:val="99"/>
    <w:rsid w:val="004277FD"/>
    <w:rPr>
      <w:sz w:val="16"/>
      <w:szCs w:val="16"/>
    </w:rPr>
  </w:style>
  <w:style w:type="paragraph" w:styleId="HTMLPreformatted">
    <w:name w:val="HTML Preformatted"/>
    <w:basedOn w:val="Normal"/>
    <w:link w:val="HTMLPreformattedChar"/>
    <w:unhideWhenUsed/>
    <w:rsid w:val="008D785C"/>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8D785C"/>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84384">
      <w:bodyDiv w:val="1"/>
      <w:marLeft w:val="0"/>
      <w:marRight w:val="0"/>
      <w:marTop w:val="0"/>
      <w:marBottom w:val="0"/>
      <w:divBdr>
        <w:top w:val="none" w:sz="0" w:space="0" w:color="auto"/>
        <w:left w:val="none" w:sz="0" w:space="0" w:color="auto"/>
        <w:bottom w:val="none" w:sz="0" w:space="0" w:color="auto"/>
        <w:right w:val="none" w:sz="0" w:space="0" w:color="auto"/>
      </w:divBdr>
    </w:div>
    <w:div w:id="838302589">
      <w:bodyDiv w:val="1"/>
      <w:marLeft w:val="0"/>
      <w:marRight w:val="0"/>
      <w:marTop w:val="0"/>
      <w:marBottom w:val="0"/>
      <w:divBdr>
        <w:top w:val="none" w:sz="0" w:space="0" w:color="auto"/>
        <w:left w:val="none" w:sz="0" w:space="0" w:color="auto"/>
        <w:bottom w:val="none" w:sz="0" w:space="0" w:color="auto"/>
        <w:right w:val="none" w:sz="0" w:space="0" w:color="auto"/>
      </w:divBdr>
    </w:div>
    <w:div w:id="933588154">
      <w:bodyDiv w:val="1"/>
      <w:marLeft w:val="0"/>
      <w:marRight w:val="0"/>
      <w:marTop w:val="0"/>
      <w:marBottom w:val="0"/>
      <w:divBdr>
        <w:top w:val="none" w:sz="0" w:space="0" w:color="auto"/>
        <w:left w:val="none" w:sz="0" w:space="0" w:color="auto"/>
        <w:bottom w:val="none" w:sz="0" w:space="0" w:color="auto"/>
        <w:right w:val="none" w:sz="0" w:space="0" w:color="auto"/>
      </w:divBdr>
    </w:div>
    <w:div w:id="17094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saefiling.fincen.treas.gov/mai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register.gov/documents/2014/04/14/2014-08254/privacy-act-of-1974-as-amended-system-of-records-notice" TargetMode="External"/><Relationship Id="rId1" Type="http://schemas.openxmlformats.org/officeDocument/2006/relationships/hyperlink" Target="https://www.federalregister.gov/documents/2020/12/07/2020-26883/agency-information-collection-activities-proposed-renewal-comment-request-renewal-without-change-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88863-55C1-4456-B35A-B1F4EE78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1792</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11665</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2</cp:revision>
  <cp:lastPrinted>2017-05-18T13:14:00Z</cp:lastPrinted>
  <dcterms:created xsi:type="dcterms:W3CDTF">2021-02-12T14:40:00Z</dcterms:created>
  <dcterms:modified xsi:type="dcterms:W3CDTF">2021-02-12T14:40:00Z</dcterms:modified>
</cp:coreProperties>
</file>