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659ABA22"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7BE38995" w14:textId="40BCF25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 1506-00</w:t>
      </w:r>
      <w:r w:rsidR="0025100D">
        <w:rPr>
          <w:rFonts w:ascii="Times New Roman" w:hAnsi="Times New Roman" w:eastAsia="MS Mincho" w:cs="Times New Roman"/>
          <w:sz w:val="24"/>
          <w:u w:val="single"/>
        </w:rPr>
        <w:t>51</w:t>
      </w:r>
    </w:p>
    <w:p w:rsidRPr="00AA6051" w:rsidR="00F22B68" w:rsidP="009829C3" w:rsidRDefault="00F22B68" w14:paraId="63221429" w14:textId="77777777">
      <w:pPr>
        <w:pStyle w:val="PlainText"/>
        <w:jc w:val="center"/>
        <w:rPr>
          <w:rFonts w:ascii="Times New Roman" w:hAnsi="Times New Roman" w:eastAsia="MS Mincho" w:cs="Times New Roman"/>
          <w:sz w:val="24"/>
          <w:u w:val="single"/>
        </w:rPr>
      </w:pPr>
    </w:p>
    <w:p w:rsidRPr="00AA6051" w:rsidR="00F22B68" w:rsidP="009829C3" w:rsidRDefault="00F22B68" w14:paraId="2D6C4CA0" w14:textId="6F654FB8">
      <w:pPr>
        <w:pStyle w:val="PlainText"/>
        <w:rPr>
          <w:rFonts w:ascii="Times New Roman" w:hAnsi="Times New Roman" w:eastAsia="MS Mincho" w:cs="Times New Roman"/>
          <w:sz w:val="24"/>
          <w:szCs w:val="24"/>
          <w:u w:val="single"/>
        </w:rPr>
      </w:pPr>
      <w:r w:rsidRPr="00AA6051">
        <w:rPr>
          <w:rFonts w:ascii="Times New Roman" w:hAnsi="Times New Roman" w:eastAsia="MS Mincho" w:cs="Times New Roman"/>
          <w:bCs/>
          <w:sz w:val="24"/>
          <w:szCs w:val="24"/>
          <w:u w:val="single"/>
        </w:rPr>
        <w:t>Anti-Money Laundering Programs</w:t>
      </w:r>
      <w:r w:rsidR="0025100D">
        <w:rPr>
          <w:rFonts w:ascii="Times New Roman" w:hAnsi="Times New Roman" w:cs="Times New Roman"/>
          <w:sz w:val="24"/>
          <w:szCs w:val="24"/>
          <w:u w:val="single"/>
        </w:rPr>
        <w:t xml:space="preserve"> for Casinos</w:t>
      </w:r>
      <w:r w:rsidRPr="00AA6051">
        <w:rPr>
          <w:rFonts w:ascii="Times New Roman" w:hAnsi="Times New Roman" w:cs="Times New Roman"/>
          <w:sz w:val="24"/>
          <w:szCs w:val="24"/>
          <w:u w:val="single"/>
        </w:rPr>
        <w:t>.</w:t>
      </w:r>
    </w:p>
    <w:p w:rsidRPr="00AA6051" w:rsidR="00643252" w:rsidP="009829C3" w:rsidRDefault="00643252" w14:paraId="2EC466E6" w14:textId="77777777">
      <w:pPr>
        <w:pStyle w:val="PlainText"/>
        <w:rPr>
          <w:rFonts w:ascii="Times New Roman" w:hAnsi="Times New Roman" w:eastAsia="MS Mincho" w:cs="Times New Roman"/>
          <w:sz w:val="24"/>
        </w:rPr>
      </w:pPr>
    </w:p>
    <w:p w:rsidRPr="00AA6051" w:rsidR="00643252" w:rsidP="009829C3" w:rsidRDefault="00643252" w14:paraId="3FAC580D" w14:textId="77777777">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r w:rsidRPr="00AA6051">
        <w:rPr>
          <w:rFonts w:ascii="Times New Roman" w:hAnsi="Times New Roman" w:eastAsia="MS Mincho" w:cs="Times New Roman"/>
          <w:sz w:val="24"/>
        </w:rPr>
        <w:tab/>
      </w:r>
    </w:p>
    <w:p w:rsidRPr="00AA6051" w:rsidR="00F22B68" w:rsidP="009829C3" w:rsidRDefault="00F22B68" w14:paraId="51BAC409" w14:textId="77777777">
      <w:pPr>
        <w:pStyle w:val="PlainText"/>
        <w:rPr>
          <w:rFonts w:ascii="Times New Roman" w:hAnsi="Times New Roman" w:eastAsia="MS Mincho" w:cs="Times New Roman"/>
          <w:sz w:val="24"/>
        </w:rPr>
      </w:pPr>
    </w:p>
    <w:p w:rsidRPr="00821BCA" w:rsidR="00984211" w:rsidP="00A45579" w:rsidRDefault="00984211" w14:paraId="7B6BBC30" w14:textId="3B1EF36E">
      <w:pPr>
        <w:pStyle w:val="BodyTextIndent"/>
        <w:ind w:left="0" w:firstLine="720"/>
        <w:rPr>
          <w:color w:val="000000" w:themeColor="text1"/>
        </w:rPr>
      </w:pPr>
      <w:r w:rsidRPr="00821BCA">
        <w:rPr>
          <w:color w:val="000000" w:themeColor="text1"/>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w:t>
      </w:r>
      <w:r w:rsidR="00C74C28">
        <w:rPr>
          <w:color w:val="000000" w:themeColor="text1"/>
        </w:rPr>
        <w:t>, including most recently the Anti-Money Laundering Act of 2020 (AML Act) (Division F of Public Law 116-283)</w:t>
      </w:r>
      <w:r w:rsidRPr="00821BCA">
        <w:rPr>
          <w:color w:val="000000" w:themeColor="text1"/>
        </w:rPr>
        <w:t>. The BSA is codified at 12 U.S.C. 1829b, 12 U.S.C. 1951–1959, 31 U.S.C. 5311–5314 and 5316–533</w:t>
      </w:r>
      <w:r w:rsidR="009A34A6">
        <w:rPr>
          <w:color w:val="000000" w:themeColor="text1"/>
        </w:rPr>
        <w:t>6</w:t>
      </w:r>
      <w:r w:rsidRPr="00821BCA">
        <w:rPr>
          <w:color w:val="000000" w:themeColor="text1"/>
        </w:rPr>
        <w:t xml:space="preserve">, and notes thereto, with implementing regulations at 31 CFR Chapter X.  </w:t>
      </w:r>
    </w:p>
    <w:p w:rsidRPr="00120B54" w:rsidR="00984211" w:rsidP="00984211" w:rsidRDefault="00984211" w14:paraId="6F1F741F" w14:textId="77777777">
      <w:pPr>
        <w:ind w:firstLine="720"/>
        <w:rPr>
          <w:vertAlign w:val="superscript"/>
        </w:rPr>
      </w:pPr>
      <w:r w:rsidRPr="00120B54">
        <w:t xml:space="preserve">The BSA authorizes the Secretary of the Treasury, </w:t>
      </w:r>
      <w:r w:rsidRPr="00120B54">
        <w:rPr>
          <w:i/>
        </w:rPr>
        <w:t>inter alia</w:t>
      </w:r>
      <w:r w:rsidRPr="00120B54">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anti-money laundering (AML) programs and compliance procedures.</w:t>
      </w:r>
      <w:r w:rsidRPr="00120B54">
        <w:rPr>
          <w:rStyle w:val="FootnoteReference"/>
        </w:rPr>
        <w:footnoteReference w:id="1"/>
      </w:r>
      <w:r w:rsidRPr="00120B54">
        <w:rPr>
          <w:vertAlign w:val="superscript"/>
        </w:rPr>
        <w:t xml:space="preserve"> </w:t>
      </w:r>
      <w:r w:rsidRPr="00120B54">
        <w:t>Regulations implementing the BSA appear at 31 CFR Chapter X. The authority of the Secretary to administer the BSA has been delegated to the Director of FinCEN.</w:t>
      </w:r>
      <w:r w:rsidRPr="00120B54">
        <w:rPr>
          <w:rStyle w:val="FootnoteReference"/>
        </w:rPr>
        <w:footnoteReference w:id="2"/>
      </w:r>
    </w:p>
    <w:p w:rsidRPr="00AA6051" w:rsidR="005A7DEE" w:rsidP="009829C3" w:rsidRDefault="005A7DEE" w14:paraId="581A4CB3" w14:textId="77777777">
      <w:pPr>
        <w:pStyle w:val="PlainText"/>
        <w:ind w:firstLine="720"/>
        <w:rPr>
          <w:rFonts w:ascii="Times New Roman" w:hAnsi="Times New Roman" w:cs="Times New Roman"/>
          <w:sz w:val="24"/>
          <w:szCs w:val="24"/>
        </w:rPr>
      </w:pPr>
    </w:p>
    <w:p w:rsidRPr="00AA6051" w:rsidR="00643252" w:rsidP="009829C3" w:rsidRDefault="005A7DEE" w14:paraId="03FD60FF" w14:textId="076EFF60">
      <w:pPr>
        <w:shd w:val="clear" w:color="auto" w:fill="FFFFFF"/>
        <w:ind w:firstLine="720"/>
        <w:rPr>
          <w:rFonts w:eastAsia="MS Mincho"/>
          <w:bCs/>
        </w:rPr>
      </w:pPr>
      <w:r w:rsidRPr="00AA6051">
        <w:t>Section 3</w:t>
      </w:r>
      <w:r w:rsidR="0073663C">
        <w:t>5</w:t>
      </w:r>
      <w:r w:rsidRPr="00AA6051">
        <w:t xml:space="preserve">2 of the USA PATRIOT Act added subsection </w:t>
      </w:r>
      <w:r w:rsidRPr="00B778FA" w:rsidR="0073663C">
        <w:rPr>
          <w:rFonts w:eastAsia="MS Mincho"/>
        </w:rPr>
        <w:t>(h) to</w:t>
      </w:r>
      <w:r w:rsidR="00B53A63">
        <w:rPr>
          <w:rFonts w:eastAsia="MS Mincho"/>
        </w:rPr>
        <w:t xml:space="preserve"> 31 U.S.C. 5318 of the BSA</w:t>
      </w:r>
      <w:r w:rsidR="00DE4B16">
        <w:rPr>
          <w:rFonts w:eastAsia="MS Mincho"/>
        </w:rPr>
        <w:t xml:space="preserve">. </w:t>
      </w:r>
      <w:r w:rsidRPr="00B778FA" w:rsidR="005950D1">
        <w:rPr>
          <w:rFonts w:eastAsia="MS Mincho"/>
        </w:rPr>
        <w:t>Section 352 mandates that financial institutions establish AML programs in order to guard against money laundering.</w:t>
      </w:r>
      <w:r w:rsidRPr="00B778FA" w:rsidR="005950D1">
        <w:t xml:space="preserve"> Such AML programs must include, at a minimum, the following: (a) the development of internal policies, procedures, and controls, (b) the designation of a compliance officer, (c) an ongoing employee training program, and (d) an independent audit function to test programs. Pursuant to section 352, FinCEN issued a regulation requiring casinos to develop and implement written AML programs.</w:t>
      </w:r>
      <w:r w:rsidRPr="00B778FA" w:rsidR="005950D1">
        <w:rPr>
          <w:rStyle w:val="FootnoteReference"/>
        </w:rPr>
        <w:footnoteReference w:id="3"/>
      </w:r>
      <w:r w:rsidR="00B53A63">
        <w:t xml:space="preserve"> </w:t>
      </w:r>
      <w:r w:rsidR="00121F9A">
        <w:t>Among other things, t</w:t>
      </w:r>
      <w:r w:rsidRPr="0073663C" w:rsidR="0073663C">
        <w:t xml:space="preserve">he casino AML program regulations </w:t>
      </w:r>
      <w:r w:rsidR="00121F9A">
        <w:t xml:space="preserve">require </w:t>
      </w:r>
      <w:r w:rsidRPr="0073663C" w:rsidR="0073663C">
        <w:t>that a casino mu</w:t>
      </w:r>
      <w:r w:rsidR="00A15199">
        <w:t xml:space="preserve">st </w:t>
      </w:r>
      <w:r w:rsidR="00121F9A">
        <w:t xml:space="preserve">implement </w:t>
      </w:r>
      <w:r w:rsidR="00A15199">
        <w:t>procedures</w:t>
      </w:r>
      <w:r w:rsidRPr="00A15199" w:rsidR="00A15199">
        <w:rPr>
          <w:lang w:val="en-GB"/>
        </w:rPr>
        <w:t xml:space="preserve"> </w:t>
      </w:r>
      <w:r w:rsidR="00121F9A">
        <w:rPr>
          <w:lang w:val="en-GB"/>
        </w:rPr>
        <w:t xml:space="preserve">for obtaining and verifying </w:t>
      </w:r>
      <w:r w:rsidRPr="00B778FA" w:rsidR="00A15199">
        <w:rPr>
          <w:lang w:val="en-GB"/>
        </w:rPr>
        <w:t>customer identif</w:t>
      </w:r>
      <w:r w:rsidR="00121F9A">
        <w:rPr>
          <w:lang w:val="en-GB"/>
        </w:rPr>
        <w:t xml:space="preserve">ying </w:t>
      </w:r>
      <w:r w:rsidRPr="00B778FA" w:rsidR="00A15199">
        <w:rPr>
          <w:lang w:val="en-GB"/>
        </w:rPr>
        <w:t xml:space="preserve">information, </w:t>
      </w:r>
      <w:r w:rsidR="00121F9A">
        <w:rPr>
          <w:lang w:val="en-GB"/>
        </w:rPr>
        <w:t xml:space="preserve">detecting </w:t>
      </w:r>
      <w:r w:rsidRPr="00B778FA" w:rsidR="00A15199">
        <w:rPr>
          <w:lang w:val="en-GB"/>
        </w:rPr>
        <w:t>the occurrence of transactions</w:t>
      </w:r>
      <w:r w:rsidR="00DE4B16">
        <w:rPr>
          <w:lang w:val="en-GB"/>
        </w:rPr>
        <w:t xml:space="preserve"> that must be reported as suspicious</w:t>
      </w:r>
      <w:r w:rsidR="00A15199">
        <w:rPr>
          <w:lang w:val="en-GB"/>
        </w:rPr>
        <w:t xml:space="preserve">, </w:t>
      </w:r>
      <w:r w:rsidR="00DE4B16">
        <w:rPr>
          <w:lang w:val="en-GB"/>
        </w:rPr>
        <w:t xml:space="preserve">and </w:t>
      </w:r>
      <w:r w:rsidR="00121F9A">
        <w:rPr>
          <w:lang w:val="en-GB"/>
        </w:rPr>
        <w:t xml:space="preserve">making and retaining </w:t>
      </w:r>
      <w:r w:rsidR="00DE4B16">
        <w:rPr>
          <w:lang w:val="en-GB"/>
        </w:rPr>
        <w:t xml:space="preserve">specific records, </w:t>
      </w:r>
      <w:r w:rsidR="00121F9A">
        <w:rPr>
          <w:lang w:val="en-GB"/>
        </w:rPr>
        <w:t>including a copy of its written AML program.</w:t>
      </w:r>
      <w:r w:rsidRPr="0073663C" w:rsidR="0073663C">
        <w:t xml:space="preserve"> </w:t>
      </w:r>
    </w:p>
    <w:p w:rsidRPr="00AA6051" w:rsidR="00C70EA9" w:rsidP="009829C3" w:rsidRDefault="00C70EA9" w14:paraId="2A7ED4AE" w14:textId="77777777">
      <w:pPr>
        <w:shd w:val="clear" w:color="auto" w:fill="FFFFFF"/>
        <w:ind w:firstLine="720"/>
        <w:rPr>
          <w:rFonts w:eastAsia="MS Mincho"/>
          <w:bCs/>
        </w:rPr>
      </w:pPr>
    </w:p>
    <w:p w:rsidRPr="00AA6051" w:rsidR="00643252" w:rsidP="009829C3" w:rsidRDefault="00643252" w14:paraId="5EB1D9F8" w14:textId="77777777">
      <w:pPr>
        <w:rPr>
          <w:bCs/>
        </w:rPr>
      </w:pPr>
      <w:r w:rsidRPr="00AA6051">
        <w:rPr>
          <w:bCs/>
        </w:rPr>
        <w:t xml:space="preserve">2. </w:t>
      </w:r>
      <w:r w:rsidRPr="00AA6051">
        <w:rPr>
          <w:bCs/>
          <w:u w:val="single"/>
        </w:rPr>
        <w:t>M</w:t>
      </w:r>
      <w:r w:rsidRPr="00AA6051" w:rsidR="00E667ED">
        <w:rPr>
          <w:bCs/>
          <w:u w:val="single"/>
        </w:rPr>
        <w:t>ethod of collection and use of d</w:t>
      </w:r>
      <w:r w:rsidRPr="00AA6051">
        <w:rPr>
          <w:bCs/>
          <w:u w:val="single"/>
        </w:rPr>
        <w:t>ata.</w:t>
      </w:r>
      <w:r w:rsidRPr="00AA6051">
        <w:rPr>
          <w:bCs/>
        </w:rPr>
        <w:t xml:space="preserve"> </w:t>
      </w:r>
    </w:p>
    <w:p w:rsidRPr="00AA6051" w:rsidR="009829C3" w:rsidP="009829C3" w:rsidRDefault="009829C3" w14:paraId="6803F93A" w14:textId="77777777">
      <w:pPr>
        <w:rPr>
          <w:bCs/>
        </w:rPr>
      </w:pPr>
    </w:p>
    <w:p w:rsidRPr="00AA6051" w:rsidR="003E69DC" w:rsidP="009829C3" w:rsidRDefault="00643252" w14:paraId="7B7D02C1" w14:textId="43C63920">
      <w:pPr>
        <w:ind w:firstLine="720"/>
      </w:pPr>
      <w:r w:rsidRPr="00261070">
        <w:rPr>
          <w:bCs/>
        </w:rPr>
        <w:lastRenderedPageBreak/>
        <w:t>The collection of info</w:t>
      </w:r>
      <w:r w:rsidRPr="00261070" w:rsidR="00C70EA9">
        <w:rPr>
          <w:bCs/>
        </w:rPr>
        <w:t>rmation is not reported to the F</w:t>
      </w:r>
      <w:r w:rsidRPr="00261070">
        <w:rPr>
          <w:bCs/>
        </w:rPr>
        <w:t>ederal government. Inst</w:t>
      </w:r>
      <w:r w:rsidRPr="00261070">
        <w:t xml:space="preserve">ead, </w:t>
      </w:r>
      <w:r w:rsidRPr="00261070" w:rsidR="000167A1">
        <w:t>casinos</w:t>
      </w:r>
      <w:r w:rsidRPr="00261070">
        <w:t xml:space="preserve"> </w:t>
      </w:r>
      <w:r w:rsidRPr="00261070" w:rsidR="00544A40">
        <w:t>are</w:t>
      </w:r>
      <w:r w:rsidRPr="00261070">
        <w:t xml:space="preserve"> required to </w:t>
      </w:r>
      <w:r w:rsidRPr="00261070" w:rsidR="00C70EA9">
        <w:t xml:space="preserve">document and maintain records reflecting the </w:t>
      </w:r>
      <w:r w:rsidRPr="00261070" w:rsidR="00D61BCD">
        <w:t xml:space="preserve">development and implementation of </w:t>
      </w:r>
      <w:r w:rsidRPr="00261070" w:rsidR="002A3E05">
        <w:t>a written AML program</w:t>
      </w:r>
      <w:r w:rsidRPr="00261070">
        <w:t xml:space="preserve">. </w:t>
      </w:r>
      <w:r w:rsidRPr="00261070" w:rsidR="004B3F83">
        <w:t xml:space="preserve">AML programs help to ensure that casinos are not used to facilitate money laundering, other </w:t>
      </w:r>
      <w:r w:rsidRPr="00261070">
        <w:t>financial crimes</w:t>
      </w:r>
      <w:r w:rsidRPr="00261070" w:rsidR="004B3F83">
        <w:t>, or</w:t>
      </w:r>
      <w:r w:rsidRPr="00261070">
        <w:t xml:space="preserve"> terroris</w:t>
      </w:r>
      <w:r w:rsidRPr="00261070" w:rsidR="004B3F83">
        <w:t>t</w:t>
      </w:r>
      <w:r w:rsidRPr="00261070">
        <w:t xml:space="preserve"> financing.</w:t>
      </w:r>
      <w:r w:rsidRPr="00261070" w:rsidR="00C70EA9">
        <w:t xml:space="preserve"> </w:t>
      </w:r>
      <w:r w:rsidRPr="00261070" w:rsidR="004B3F83">
        <w:t xml:space="preserve">AML programs also help casinos to detect transactions that must be reported or recorded under other BSA requirements. The AML program will be reviewed by regulatory agencies </w:t>
      </w:r>
      <w:r w:rsidRPr="00261070" w:rsidR="00C70EA9">
        <w:t>during the course of BSA examinations.</w:t>
      </w:r>
    </w:p>
    <w:p w:rsidRPr="00AA6051" w:rsidR="009829C3" w:rsidP="009829C3" w:rsidRDefault="009829C3" w14:paraId="05DF9A68" w14:textId="77777777">
      <w:pPr>
        <w:ind w:firstLine="720"/>
      </w:pPr>
    </w:p>
    <w:p w:rsidRPr="00C34B95" w:rsidR="00643252" w:rsidP="009829C3" w:rsidRDefault="00643252" w14:paraId="6E3337A8" w14:textId="77777777">
      <w:pPr>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information technology to reduce b</w:t>
      </w:r>
      <w:r w:rsidRPr="00C34B95">
        <w:rPr>
          <w:szCs w:val="22"/>
          <w:u w:val="single"/>
        </w:rPr>
        <w:t>urden.</w:t>
      </w:r>
      <w:r w:rsidRPr="00C34B95">
        <w:rPr>
          <w:szCs w:val="22"/>
        </w:rPr>
        <w:t xml:space="preserve"> </w:t>
      </w:r>
    </w:p>
    <w:p w:rsidRPr="00C34B95" w:rsidR="009829C3" w:rsidP="009829C3" w:rsidRDefault="009829C3" w14:paraId="3DEB2ADB" w14:textId="77777777">
      <w:pPr>
        <w:rPr>
          <w:szCs w:val="22"/>
        </w:rPr>
      </w:pPr>
    </w:p>
    <w:p w:rsidRPr="00AA6051" w:rsidR="00643252" w:rsidP="009829C3" w:rsidRDefault="00E03DE1" w14:paraId="01D7F319" w14:textId="7C362FB0">
      <w:pPr>
        <w:ind w:firstLine="720"/>
        <w:rPr>
          <w:szCs w:val="22"/>
        </w:rPr>
      </w:pPr>
      <w:r>
        <w:rPr>
          <w:szCs w:val="22"/>
        </w:rPr>
        <w:t xml:space="preserve">Casinos are not required to automate their systems to meet AML requirements, but </w:t>
      </w:r>
      <w:r w:rsidRPr="0073663C">
        <w:t>31 CFR 1021.210(b)(</w:t>
      </w:r>
      <w:r>
        <w:t>2)(vi) provides that</w:t>
      </w:r>
      <w:r w:rsidRPr="00B778FA">
        <w:rPr>
          <w:lang w:val="en-GB"/>
        </w:rPr>
        <w:t>, if the casino has automated data processing systems</w:t>
      </w:r>
      <w:r>
        <w:rPr>
          <w:lang w:val="en-GB"/>
        </w:rPr>
        <w:t xml:space="preserve">, it </w:t>
      </w:r>
      <w:r>
        <w:t xml:space="preserve">must </w:t>
      </w:r>
      <w:r w:rsidRPr="00B778FA">
        <w:rPr>
          <w:lang w:val="en-GB"/>
        </w:rPr>
        <w:t>use automated programs to aid in ensuring compliance</w:t>
      </w:r>
      <w:r w:rsidRPr="0073663C">
        <w:t>.</w:t>
      </w:r>
    </w:p>
    <w:p w:rsidRPr="00AA6051" w:rsidR="009829C3" w:rsidP="009829C3" w:rsidRDefault="009829C3" w14:paraId="5495A9E6" w14:textId="77777777">
      <w:pPr>
        <w:ind w:firstLine="720"/>
        <w:rPr>
          <w:szCs w:val="22"/>
        </w:rPr>
      </w:pPr>
    </w:p>
    <w:p w:rsidRPr="00AA6051" w:rsidR="00643252" w:rsidP="009829C3" w:rsidRDefault="00643252" w14:paraId="0CA3AFA8"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7E967501" w14:textId="77777777">
      <w:pPr>
        <w:rPr>
          <w:szCs w:val="22"/>
          <w:u w:val="single"/>
        </w:rPr>
      </w:pPr>
    </w:p>
    <w:p w:rsidRPr="00AA6051" w:rsidR="00C4238E" w:rsidP="009829C3" w:rsidRDefault="00C4238E" w14:paraId="6D13914F" w14:textId="77777777">
      <w:pPr>
        <w:ind w:firstLine="720"/>
      </w:pPr>
      <w:r w:rsidRPr="00AA6051">
        <w:t>There is no similar information available; thus there is no duplication.</w:t>
      </w:r>
    </w:p>
    <w:p w:rsidRPr="00AA6051" w:rsidR="009829C3" w:rsidP="009829C3" w:rsidRDefault="009829C3" w14:paraId="22BA7DE9" w14:textId="77777777">
      <w:pPr>
        <w:ind w:firstLine="720"/>
      </w:pPr>
    </w:p>
    <w:p w:rsidRPr="00AA6051" w:rsidR="00643252" w:rsidP="009829C3" w:rsidRDefault="00643252" w14:paraId="677D1102"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440270DD" w14:textId="77777777">
      <w:pPr>
        <w:ind w:firstLine="720"/>
        <w:rPr>
          <w:szCs w:val="22"/>
        </w:rPr>
      </w:pPr>
    </w:p>
    <w:p w:rsidRPr="00AA6051" w:rsidR="00643252" w:rsidP="009829C3" w:rsidRDefault="00643252" w14:paraId="2CB0A0C8" w14:textId="129A230D">
      <w:pPr>
        <w:ind w:firstLine="720"/>
        <w:rPr>
          <w:szCs w:val="22"/>
        </w:rPr>
      </w:pPr>
      <w:r w:rsidRPr="00D263F3">
        <w:rPr>
          <w:szCs w:val="22"/>
        </w:rPr>
        <w:t xml:space="preserve">All financial institutions </w:t>
      </w:r>
      <w:r w:rsidRPr="00D263F3" w:rsidR="00E20E5E">
        <w:rPr>
          <w:szCs w:val="22"/>
        </w:rPr>
        <w:t>ar</w:t>
      </w:r>
      <w:r w:rsidRPr="00E20E5E" w:rsidR="00E20E5E">
        <w:rPr>
          <w:szCs w:val="22"/>
        </w:rPr>
        <w:t>e required to document their AML programs and are permitted to use the method most suitable to their requirements.</w:t>
      </w:r>
    </w:p>
    <w:p w:rsidRPr="00AA6051" w:rsidR="009829C3" w:rsidP="009829C3" w:rsidRDefault="009829C3" w14:paraId="0F14F1F9" w14:textId="77777777">
      <w:pPr>
        <w:ind w:firstLine="720"/>
        <w:rPr>
          <w:szCs w:val="22"/>
        </w:rPr>
      </w:pPr>
    </w:p>
    <w:p w:rsidRPr="00AA6051" w:rsidR="00643252" w:rsidP="009829C3" w:rsidRDefault="00643252" w14:paraId="3193A4B7" w14:textId="77777777">
      <w:pPr>
        <w:rPr>
          <w:szCs w:val="22"/>
        </w:rPr>
      </w:pPr>
      <w:r w:rsidRPr="00AA6051">
        <w:rPr>
          <w:szCs w:val="22"/>
        </w:rPr>
        <w:t xml:space="preserve">6. </w:t>
      </w:r>
      <w:r w:rsidRPr="00AA6051" w:rsidR="00E667ED">
        <w:rPr>
          <w:szCs w:val="22"/>
          <w:u w:val="single"/>
        </w:rPr>
        <w:t>Consequences to the Federal g</w:t>
      </w:r>
      <w:r w:rsidRPr="00AA6051">
        <w:rPr>
          <w:szCs w:val="22"/>
          <w:u w:val="single"/>
        </w:rPr>
        <w:t>o</w:t>
      </w:r>
      <w:r w:rsidRPr="00AA6051" w:rsidR="00E667ED">
        <w:rPr>
          <w:szCs w:val="22"/>
          <w:u w:val="single"/>
        </w:rPr>
        <w:t>vernment of not collecting the i</w:t>
      </w:r>
      <w:r w:rsidRPr="00AA6051">
        <w:rPr>
          <w:szCs w:val="22"/>
          <w:u w:val="single"/>
        </w:rPr>
        <w:t>nformation.</w:t>
      </w:r>
      <w:r w:rsidRPr="00AA6051">
        <w:rPr>
          <w:szCs w:val="22"/>
        </w:rPr>
        <w:t xml:space="preserve"> </w:t>
      </w:r>
    </w:p>
    <w:p w:rsidRPr="00AA6051" w:rsidR="009829C3" w:rsidP="009829C3" w:rsidRDefault="009829C3" w14:paraId="0822D05C" w14:textId="77777777">
      <w:pPr>
        <w:ind w:firstLine="720"/>
        <w:rPr>
          <w:szCs w:val="22"/>
        </w:rPr>
      </w:pPr>
    </w:p>
    <w:p w:rsidRPr="00AA6051" w:rsidR="00643252" w:rsidP="009829C3" w:rsidRDefault="00414797" w14:paraId="3A9FFEA9" w14:textId="77777777">
      <w:pPr>
        <w:ind w:firstLine="720"/>
        <w:rPr>
          <w:szCs w:val="22"/>
        </w:rPr>
      </w:pPr>
      <w:r w:rsidRPr="00AA6051">
        <w:rPr>
          <w:szCs w:val="22"/>
        </w:rPr>
        <w:t xml:space="preserve">The Federal government requires reporting of this information only upon request.  </w:t>
      </w:r>
    </w:p>
    <w:p w:rsidRPr="00AA6051" w:rsidR="009829C3" w:rsidP="009829C3" w:rsidRDefault="009829C3" w14:paraId="26F97DCD" w14:textId="77777777">
      <w:pPr>
        <w:ind w:firstLine="720"/>
        <w:rPr>
          <w:szCs w:val="22"/>
        </w:rPr>
      </w:pPr>
    </w:p>
    <w:p w:rsidRPr="00AA6051" w:rsidR="00643252" w:rsidP="009829C3" w:rsidRDefault="00643252" w14:paraId="4C5BE43C" w14:textId="77777777">
      <w:pPr>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Pr="00AA6051" w:rsidR="00643252" w:rsidP="009829C3" w:rsidRDefault="00643252" w14:paraId="7C4FA590" w14:textId="77777777">
      <w:pPr>
        <w:widowControl w:val="0"/>
        <w:autoSpaceDE w:val="0"/>
        <w:autoSpaceDN w:val="0"/>
        <w:adjustRightInd w:val="0"/>
        <w:spacing w:line="240" w:lineRule="exact"/>
        <w:ind w:firstLine="710"/>
        <w:rPr>
          <w:szCs w:val="22"/>
        </w:rPr>
      </w:pPr>
    </w:p>
    <w:p w:rsidRPr="00AA6051" w:rsidR="00104F2C" w:rsidP="00104F2C" w:rsidRDefault="003F5783" w14:paraId="168F885D" w14:textId="5473A5A8">
      <w:pPr>
        <w:ind w:firstLine="720"/>
        <w:rPr>
          <w:szCs w:val="4"/>
        </w:rPr>
      </w:pPr>
      <w:r>
        <w:rPr>
          <w:szCs w:val="4"/>
        </w:rPr>
        <w:t>Pursuant to</w:t>
      </w:r>
      <w:r w:rsidRPr="00E87FBA">
        <w:t xml:space="preserve"> </w:t>
      </w:r>
      <w:r w:rsidRPr="00E87FBA" w:rsidR="00414797">
        <w:t xml:space="preserve">31 CFR 1010.430(d), </w:t>
      </w:r>
      <w:r w:rsidRPr="00E87FBA" w:rsidR="00414797">
        <w:rPr>
          <w:lang w:val="en"/>
        </w:rPr>
        <w:t xml:space="preserve">all records that are required to be retained by 31 CFR Chapter X must be retained for a period of five years. </w:t>
      </w:r>
      <w:r w:rsidR="00E03DE1">
        <w:rPr>
          <w:lang w:val="en"/>
        </w:rPr>
        <w:t xml:space="preserve">The five year retention period </w:t>
      </w:r>
      <w:r w:rsidR="00AF0148">
        <w:rPr>
          <w:lang w:val="en"/>
        </w:rPr>
        <w:t xml:space="preserve">ensures that law enforcement will have access to records for a reasonable period of time and </w:t>
      </w:r>
      <w:r w:rsidR="00E03DE1">
        <w:rPr>
          <w:lang w:val="en"/>
        </w:rPr>
        <w:t>allows</w:t>
      </w:r>
      <w:r w:rsidR="00AF0148">
        <w:rPr>
          <w:lang w:val="en"/>
        </w:rPr>
        <w:t xml:space="preserve"> for</w:t>
      </w:r>
      <w:r w:rsidR="00E03DE1">
        <w:rPr>
          <w:lang w:val="en"/>
        </w:rPr>
        <w:t xml:space="preserve"> verification of </w:t>
      </w:r>
      <w:r w:rsidRPr="00AA6051" w:rsidR="00104F2C">
        <w:t xml:space="preserve">compliance with </w:t>
      </w:r>
      <w:r w:rsidR="00E03DE1">
        <w:t xml:space="preserve">specific </w:t>
      </w:r>
      <w:r w:rsidRPr="00AA6051" w:rsidR="00104F2C">
        <w:t>requirement</w:t>
      </w:r>
      <w:r w:rsidR="00E03DE1">
        <w:t>s</w:t>
      </w:r>
      <w:r w:rsidR="00AF0148">
        <w:t>.</w:t>
      </w:r>
    </w:p>
    <w:p w:rsidRPr="00AA6051" w:rsidR="00D52D6F" w:rsidP="00AA6051" w:rsidRDefault="00D52D6F" w14:paraId="12096D3C" w14:textId="5CEECF43"/>
    <w:p w:rsidRPr="00AA6051" w:rsidR="00643252" w:rsidP="009829C3" w:rsidRDefault="00643252" w14:paraId="0EB048C7" w14:textId="326CD220">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ency on availability of data</w:t>
      </w:r>
      <w:r w:rsidR="004B3F83">
        <w:rPr>
          <w:szCs w:val="22"/>
          <w:u w:val="single"/>
        </w:rPr>
        <w:t>,</w:t>
      </w:r>
      <w:r w:rsidRPr="00AA6051" w:rsidR="00E667ED">
        <w:rPr>
          <w:szCs w:val="22"/>
          <w:u w:val="single"/>
        </w:rPr>
        <w:t xml:space="preserve"> f</w:t>
      </w:r>
      <w:r w:rsidRPr="00AA6051">
        <w:rPr>
          <w:szCs w:val="22"/>
          <w:u w:val="single"/>
        </w:rPr>
        <w:t>requ</w:t>
      </w:r>
      <w:r w:rsidRPr="00AA6051" w:rsidR="00E667ED">
        <w:rPr>
          <w:szCs w:val="22"/>
          <w:u w:val="single"/>
        </w:rPr>
        <w:t>ency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9829C3" w:rsidRDefault="00643252" w14:paraId="1BE4B3B1" w14:textId="77777777">
      <w:pPr>
        <w:rPr>
          <w:szCs w:val="22"/>
        </w:rPr>
      </w:pPr>
    </w:p>
    <w:p w:rsidRPr="00B66405" w:rsidR="00414797" w:rsidP="00B66405" w:rsidRDefault="00414797" w14:paraId="17611AEA" w14:textId="426FE870">
      <w:pPr>
        <w:ind w:firstLine="720"/>
      </w:pPr>
      <w:r w:rsidRPr="00AA6051">
        <w:t xml:space="preserve">The 60-day notice was published on </w:t>
      </w:r>
      <w:r w:rsidR="00410C98">
        <w:t>December 22</w:t>
      </w:r>
      <w:r w:rsidRPr="00AA6051">
        <w:t>, 2020.</w:t>
      </w:r>
      <w:r w:rsidRPr="00AA6051">
        <w:rPr>
          <w:rStyle w:val="FootnoteReference"/>
        </w:rPr>
        <w:footnoteReference w:id="4"/>
      </w:r>
      <w:r w:rsidRPr="00AA6051">
        <w:t xml:space="preserve"> The notice requested public comments on the proposed renewal, without change, of currently approved information c</w:t>
      </w:r>
      <w:r w:rsidRPr="00AA6051" w:rsidR="00E667ED">
        <w:t xml:space="preserve">ollections relating to </w:t>
      </w:r>
      <w:r w:rsidR="000167A1">
        <w:t xml:space="preserve">AML </w:t>
      </w:r>
      <w:r w:rsidR="00410C98">
        <w:t>program requirements for casinos</w:t>
      </w:r>
      <w:r w:rsidRPr="00AA6051" w:rsidR="00E667ED">
        <w:t>.</w:t>
      </w:r>
      <w:r w:rsidRPr="00AA6051">
        <w:t xml:space="preserve"> Although no changes were proposed to the information collections themselves, the notice proposed for review and comment (a) a renewal of the portion of the Paperwork Reduction Act </w:t>
      </w:r>
      <w:r w:rsidR="003F5783">
        <w:t xml:space="preserve">of 1995 </w:t>
      </w:r>
      <w:r w:rsidRPr="00AA6051">
        <w:t xml:space="preserve">(PRA) burden that has been subject to notice and comment in the past (the </w:t>
      </w:r>
      <w:r w:rsidRPr="00AA6051">
        <w:lastRenderedPageBreak/>
        <w:t>“traditional annual PRA burden”), and (b) an expansion of the scope of the PRA burden in the future (the “</w:t>
      </w:r>
      <w:r w:rsidR="000167A1">
        <w:t>future</w:t>
      </w:r>
      <w:r w:rsidRPr="00AA6051">
        <w:t xml:space="preserve"> annual PRA burden”).</w:t>
      </w:r>
    </w:p>
    <w:p w:rsidRPr="00AA6051" w:rsidR="00414797" w:rsidP="009829C3" w:rsidRDefault="00414797" w14:paraId="06B2E5AF" w14:textId="28EF8372"/>
    <w:p w:rsidR="005141AD" w:rsidP="00A82AC5" w:rsidRDefault="00C24AA8" w14:paraId="0B8C9CA6" w14:textId="2366A08E">
      <w:pPr>
        <w:ind w:firstLine="720"/>
      </w:pPr>
      <w:r>
        <w:t xml:space="preserve">FinCEN received </w:t>
      </w:r>
      <w:r w:rsidR="00025188">
        <w:t>two</w:t>
      </w:r>
      <w:r>
        <w:t xml:space="preserve"> public comment</w:t>
      </w:r>
      <w:r w:rsidR="00025188">
        <w:t>s</w:t>
      </w:r>
      <w:r>
        <w:t xml:space="preserve"> in connection with this notice.</w:t>
      </w:r>
      <w:r w:rsidR="008540CC">
        <w:t xml:space="preserve"> </w:t>
      </w:r>
      <w:r w:rsidR="00025188">
        <w:t>One</w:t>
      </w:r>
      <w:r w:rsidR="00DE5754">
        <w:t xml:space="preserve"> commenter </w:t>
      </w:r>
      <w:r w:rsidR="005141AD">
        <w:t xml:space="preserve">inquired about what the AML program requirements are, whether </w:t>
      </w:r>
      <w:r w:rsidR="0021217F">
        <w:t xml:space="preserve">AML program records </w:t>
      </w:r>
      <w:r w:rsidR="005141AD">
        <w:t xml:space="preserve">are useful </w:t>
      </w:r>
      <w:r w:rsidR="00340236">
        <w:t>to law enforcement</w:t>
      </w:r>
      <w:r w:rsidR="005141AD">
        <w:t xml:space="preserve">, </w:t>
      </w:r>
      <w:r w:rsidR="0021217F">
        <w:t xml:space="preserve">and </w:t>
      </w:r>
      <w:r w:rsidR="00DE23DC">
        <w:t xml:space="preserve">whether there are any </w:t>
      </w:r>
      <w:r w:rsidR="0021217F">
        <w:t>privacy concerns</w:t>
      </w:r>
      <w:r w:rsidR="00340236">
        <w:t xml:space="preserve"> with the data in these records.</w:t>
      </w:r>
      <w:r w:rsidR="00025188">
        <w:t xml:space="preserve"> The other commenter recommended that all casinos be investigated for money laundering and other criminal activity.</w:t>
      </w:r>
    </w:p>
    <w:p w:rsidR="00AB57E5" w:rsidP="00035F97" w:rsidRDefault="00AB57E5" w14:paraId="32552C31" w14:textId="77777777"/>
    <w:p w:rsidR="00AB57E5" w:rsidP="00AB57E5" w:rsidRDefault="00AB57E5" w14:paraId="59F6A979" w14:textId="332A2960">
      <w:pPr>
        <w:ind w:firstLine="720"/>
      </w:pPr>
      <w:r w:rsidRPr="00D263F3">
        <w:t>Th</w:t>
      </w:r>
      <w:r w:rsidR="00025188">
        <w:t>ese</w:t>
      </w:r>
      <w:r w:rsidR="00B57A05">
        <w:t xml:space="preserve"> </w:t>
      </w:r>
      <w:r w:rsidR="005141AD">
        <w:t>request</w:t>
      </w:r>
      <w:r w:rsidR="00025188">
        <w:t>s</w:t>
      </w:r>
      <w:r w:rsidR="005141AD">
        <w:t xml:space="preserve"> </w:t>
      </w:r>
      <w:r w:rsidR="00B57A05">
        <w:t xml:space="preserve">in connection with </w:t>
      </w:r>
      <w:r w:rsidRPr="00D263F3">
        <w:t>applicabl</w:t>
      </w:r>
      <w:bookmarkStart w:name="_GoBack" w:id="0"/>
      <w:bookmarkEnd w:id="0"/>
      <w:r w:rsidRPr="00D263F3">
        <w:t>e regulations will be taken into account in FinCEN’s review of existing regulations, consistent with Treasury’s 2011 Plan for Retrospective Analysis of Existing Rules, and as part of the formal review of regulations implementing the BSA and BSA-related guidance, as required by Section 6216 of</w:t>
      </w:r>
      <w:r w:rsidR="00F67F27">
        <w:t xml:space="preserve"> </w:t>
      </w:r>
      <w:r w:rsidRPr="00D263F3" w:rsidR="00C72B78">
        <w:t>the AML Act.</w:t>
      </w:r>
      <w:r w:rsidRPr="00925C64">
        <w:rPr>
          <w:vertAlign w:val="superscript"/>
        </w:rPr>
        <w:t xml:space="preserve"> </w:t>
      </w:r>
      <w:r w:rsidRPr="00925C64">
        <w:t>FinCEN will continue to evaluate ways to c</w:t>
      </w:r>
      <w:r>
        <w:t>larify the AML program requirements.</w:t>
      </w:r>
    </w:p>
    <w:p w:rsidRPr="00AA6051" w:rsidR="00C72B78" w:rsidP="00C24AA8" w:rsidRDefault="00C72B78" w14:paraId="4C4D3093" w14:textId="0C62021F"/>
    <w:p w:rsidRPr="00AA6051" w:rsidR="00414797" w:rsidP="009829C3" w:rsidRDefault="00414797" w14:paraId="521AB2D0" w14:textId="1E15B700">
      <w:pPr>
        <w:widowControl w:val="0"/>
        <w:autoSpaceDE w:val="0"/>
        <w:autoSpaceDN w:val="0"/>
        <w:adjustRightInd w:val="0"/>
        <w:ind w:right="220" w:firstLine="720"/>
      </w:pPr>
      <w:r w:rsidRPr="00B66405">
        <w:t xml:space="preserve">FinCEN appreciates the recommendations and intends to use that information as part of a larger project FinCEN is undertaking to better understand the PRA hourly burden and cost of the BSA as a whole. </w:t>
      </w:r>
    </w:p>
    <w:p w:rsidRPr="00AA6051" w:rsidR="009829C3" w:rsidP="009829C3" w:rsidRDefault="009829C3" w14:paraId="654ABAA4" w14:textId="77777777">
      <w:pPr>
        <w:widowControl w:val="0"/>
        <w:autoSpaceDE w:val="0"/>
        <w:autoSpaceDN w:val="0"/>
        <w:adjustRightInd w:val="0"/>
        <w:ind w:right="220" w:firstLine="720"/>
      </w:pPr>
    </w:p>
    <w:p w:rsidRPr="00467793" w:rsidR="00F70456" w:rsidP="009829C3" w:rsidRDefault="00F70456" w14:paraId="7EE700B0" w14:textId="77777777">
      <w:pPr>
        <w:rPr>
          <w:szCs w:val="22"/>
        </w:rPr>
      </w:pPr>
      <w:r w:rsidRPr="00467793">
        <w:rPr>
          <w:szCs w:val="22"/>
        </w:rPr>
        <w:t xml:space="preserve">9. </w:t>
      </w:r>
      <w:r w:rsidRPr="00467793">
        <w:rPr>
          <w:u w:val="single"/>
        </w:rPr>
        <w:t>Explanation of decision to provide any payment or gift to respondents.</w:t>
      </w:r>
    </w:p>
    <w:p w:rsidRPr="00467793" w:rsidR="009829C3" w:rsidP="009829C3" w:rsidRDefault="009829C3" w14:paraId="7F125B57" w14:textId="77777777">
      <w:pPr>
        <w:ind w:firstLine="720"/>
        <w:rPr>
          <w:szCs w:val="22"/>
        </w:rPr>
      </w:pPr>
    </w:p>
    <w:p w:rsidRPr="00AA6051" w:rsidR="00F70456" w:rsidP="009829C3" w:rsidRDefault="00F70456" w14:paraId="7E471F19" w14:textId="77777777">
      <w:pPr>
        <w:ind w:firstLine="720"/>
        <w:rPr>
          <w:szCs w:val="22"/>
        </w:rPr>
      </w:pPr>
      <w:r w:rsidRPr="00467793">
        <w:rPr>
          <w:szCs w:val="22"/>
        </w:rPr>
        <w:t>No payments or gifts were made to respondents.</w:t>
      </w:r>
      <w:r w:rsidRPr="00AA6051">
        <w:rPr>
          <w:szCs w:val="22"/>
        </w:rPr>
        <w:t xml:space="preserve"> </w:t>
      </w:r>
    </w:p>
    <w:p w:rsidRPr="00AA6051" w:rsidR="009829C3" w:rsidP="009829C3" w:rsidRDefault="009829C3" w14:paraId="09810416" w14:textId="77777777">
      <w:pPr>
        <w:ind w:firstLine="720"/>
        <w:rPr>
          <w:szCs w:val="22"/>
        </w:rPr>
      </w:pPr>
    </w:p>
    <w:p w:rsidRPr="00AA6051" w:rsidR="0000789D" w:rsidP="009829C3" w:rsidRDefault="0000789D" w14:paraId="3586792A" w14:textId="77777777">
      <w:pPr>
        <w:pStyle w:val="BodyText"/>
        <w:spacing w:before="0"/>
        <w:rPr>
          <w:sz w:val="24"/>
          <w:u w:val="single"/>
        </w:rPr>
      </w:pPr>
      <w:r w:rsidRPr="00AA6051">
        <w:rPr>
          <w:sz w:val="24"/>
        </w:rPr>
        <w:t xml:space="preserve">10. </w:t>
      </w:r>
      <w:r w:rsidRPr="00AA6051">
        <w:rPr>
          <w:sz w:val="24"/>
          <w:u w:val="single"/>
        </w:rPr>
        <w:t>Assurance of confidentiality of responses.</w:t>
      </w:r>
    </w:p>
    <w:p w:rsidRPr="00AA6051" w:rsidR="009829C3" w:rsidP="009829C3" w:rsidRDefault="009829C3" w14:paraId="02E30A71" w14:textId="77777777">
      <w:pPr>
        <w:pStyle w:val="BodyText"/>
        <w:spacing w:before="0"/>
        <w:rPr>
          <w:sz w:val="24"/>
        </w:rPr>
      </w:pPr>
    </w:p>
    <w:p w:rsidRPr="00AA6051" w:rsidR="0000789D" w:rsidP="009829C3" w:rsidRDefault="0000789D" w14:paraId="5B143DC8" w14:textId="616209EA">
      <w:pPr>
        <w:widowControl w:val="0"/>
        <w:autoSpaceDE w:val="0"/>
        <w:autoSpaceDN w:val="0"/>
        <w:adjustRightInd w:val="0"/>
        <w:spacing w:line="235" w:lineRule="exact"/>
        <w:ind w:firstLine="720"/>
        <w:rPr>
          <w:szCs w:val="22"/>
        </w:rPr>
      </w:pPr>
      <w:r w:rsidRPr="00E8723F">
        <w:rPr>
          <w:szCs w:val="22"/>
        </w:rPr>
        <w:t xml:space="preserve">Information collected under 31 U.S.C. 5318(i) may be made available to </w:t>
      </w:r>
      <w:r w:rsidRPr="00E8723F" w:rsidR="00212D01">
        <w:rPr>
          <w:szCs w:val="22"/>
        </w:rPr>
        <w:t xml:space="preserve">FinCEN and other </w:t>
      </w:r>
      <w:r w:rsidRPr="00E8723F">
        <w:rPr>
          <w:szCs w:val="22"/>
        </w:rPr>
        <w:t>appropriate</w:t>
      </w:r>
      <w:r w:rsidRPr="00E8723F" w:rsidR="009E0F28">
        <w:rPr>
          <w:szCs w:val="22"/>
        </w:rPr>
        <w:t xml:space="preserve"> </w:t>
      </w:r>
      <w:r w:rsidRPr="00E8723F">
        <w:rPr>
          <w:szCs w:val="22"/>
        </w:rPr>
        <w:t>agencies.</w:t>
      </w:r>
    </w:p>
    <w:p w:rsidRPr="00AA6051" w:rsidR="009829C3" w:rsidP="009829C3" w:rsidRDefault="009829C3" w14:paraId="32930C5C" w14:textId="77777777">
      <w:pPr>
        <w:widowControl w:val="0"/>
        <w:autoSpaceDE w:val="0"/>
        <w:autoSpaceDN w:val="0"/>
        <w:adjustRightInd w:val="0"/>
        <w:spacing w:line="235" w:lineRule="exact"/>
        <w:ind w:firstLine="720"/>
        <w:rPr>
          <w:szCs w:val="22"/>
        </w:rPr>
      </w:pPr>
    </w:p>
    <w:p w:rsidR="009F04CE" w:rsidP="00EE5FA6" w:rsidRDefault="0000789D" w14:paraId="2BB231BE" w14:textId="5037EB7D">
      <w:r w:rsidRPr="00AA6051">
        <w:rPr>
          <w:szCs w:val="22"/>
        </w:rPr>
        <w:t xml:space="preserve">11. </w:t>
      </w:r>
      <w:r w:rsidRPr="00AA6051">
        <w:rPr>
          <w:szCs w:val="22"/>
          <w:u w:val="single"/>
        </w:rPr>
        <w:t>Justification of sensitive questions.</w:t>
      </w:r>
      <w:r w:rsidRPr="00AA6051">
        <w:rPr>
          <w:szCs w:val="22"/>
        </w:rPr>
        <w:t xml:space="preserve"> </w:t>
      </w:r>
    </w:p>
    <w:p w:rsidR="006A6925" w:rsidP="006A6925" w:rsidRDefault="006A6925" w14:paraId="280034B7" w14:textId="0EF4D251">
      <w:pPr>
        <w:widowControl w:val="0"/>
        <w:autoSpaceDE w:val="0"/>
        <w:autoSpaceDN w:val="0"/>
        <w:adjustRightInd w:val="0"/>
        <w:spacing w:before="244" w:line="235" w:lineRule="exact"/>
        <w:ind w:firstLine="734"/>
        <w:rPr>
          <w:szCs w:val="22"/>
        </w:rPr>
      </w:pPr>
      <w:r>
        <w:rPr>
          <w:szCs w:val="22"/>
        </w:rPr>
        <w:t>Information retained under the regulations implementing the BSA may be made available to FinCEN and appropriate government agencies upon their request or as part of an examination</w:t>
      </w:r>
      <w:r w:rsidR="00E03DE1">
        <w:rPr>
          <w:szCs w:val="22"/>
        </w:rPr>
        <w:t xml:space="preserve"> or investigation</w:t>
      </w:r>
      <w:r>
        <w:rPr>
          <w:szCs w:val="22"/>
        </w:rPr>
        <w:t>.</w:t>
      </w:r>
    </w:p>
    <w:p w:rsidRPr="00AA6051" w:rsidR="009829C3" w:rsidP="009829C3" w:rsidRDefault="009829C3" w14:paraId="09B7D724" w14:textId="77777777">
      <w:pPr>
        <w:ind w:firstLine="720"/>
        <w:rPr>
          <w:szCs w:val="22"/>
        </w:rPr>
      </w:pPr>
    </w:p>
    <w:p w:rsidRPr="00AA6051" w:rsidR="00643252" w:rsidP="009829C3" w:rsidRDefault="008722D3" w14:paraId="6CC532A7" w14:textId="77777777">
      <w:pPr>
        <w:rPr>
          <w:szCs w:val="22"/>
          <w:u w:val="single"/>
        </w:rPr>
      </w:pPr>
      <w:r w:rsidRPr="00AA6051">
        <w:rPr>
          <w:szCs w:val="22"/>
        </w:rPr>
        <w:t xml:space="preserve">12 &amp; 13.  </w:t>
      </w:r>
      <w:r w:rsidRPr="00AA6051">
        <w:rPr>
          <w:szCs w:val="22"/>
          <w:u w:val="single"/>
        </w:rPr>
        <w:t>Estimated burden &amp; cost of information collection.</w:t>
      </w:r>
    </w:p>
    <w:p w:rsidRPr="00AA6051" w:rsidR="00AC4543" w:rsidP="009829C3" w:rsidRDefault="00AC4543" w14:paraId="643521CF" w14:textId="77777777">
      <w:pPr>
        <w:rPr>
          <w:szCs w:val="22"/>
        </w:rPr>
      </w:pPr>
    </w:p>
    <w:p w:rsidRPr="00AA6051" w:rsidR="00643252" w:rsidP="009829C3" w:rsidRDefault="00643252" w14:paraId="655EE6D3" w14:textId="77777777">
      <w:pPr>
        <w:rPr>
          <w:szCs w:val="22"/>
        </w:rPr>
      </w:pPr>
      <w:r w:rsidRPr="00467793">
        <w:rPr>
          <w:szCs w:val="22"/>
          <w:u w:val="single"/>
        </w:rPr>
        <w:t>Frequency:</w:t>
      </w:r>
      <w:r w:rsidRPr="00AA6051">
        <w:rPr>
          <w:szCs w:val="22"/>
        </w:rPr>
        <w:t xml:space="preserve">  As required. </w:t>
      </w:r>
    </w:p>
    <w:p w:rsidR="00B65C77" w:rsidP="009829C3" w:rsidRDefault="00B65C77" w14:paraId="4DCE369A" w14:textId="77777777">
      <w:pPr>
        <w:widowControl w:val="0"/>
        <w:autoSpaceDE w:val="0"/>
        <w:autoSpaceDN w:val="0"/>
        <w:adjustRightInd w:val="0"/>
        <w:spacing w:line="273" w:lineRule="exact"/>
        <w:jc w:val="both"/>
        <w:rPr>
          <w:szCs w:val="22"/>
        </w:rPr>
      </w:pPr>
    </w:p>
    <w:p w:rsidR="00B65C77" w:rsidP="009829C3" w:rsidRDefault="00B65C77" w14:paraId="72342BEF" w14:textId="77777777">
      <w:pPr>
        <w:widowControl w:val="0"/>
        <w:autoSpaceDE w:val="0"/>
        <w:autoSpaceDN w:val="0"/>
        <w:adjustRightInd w:val="0"/>
        <w:spacing w:line="273" w:lineRule="exact"/>
        <w:jc w:val="both"/>
        <w:rPr>
          <w:szCs w:val="22"/>
        </w:rPr>
      </w:pPr>
    </w:p>
    <w:p w:rsidR="00B65C77" w:rsidP="009829C3" w:rsidRDefault="00B65C77" w14:paraId="7E865E83" w14:textId="77777777">
      <w:pPr>
        <w:widowControl w:val="0"/>
        <w:autoSpaceDE w:val="0"/>
        <w:autoSpaceDN w:val="0"/>
        <w:adjustRightInd w:val="0"/>
        <w:spacing w:line="273" w:lineRule="exact"/>
        <w:jc w:val="both"/>
        <w:rPr>
          <w:szCs w:val="22"/>
        </w:rPr>
      </w:pPr>
    </w:p>
    <w:p w:rsidR="00B65C77" w:rsidP="009829C3" w:rsidRDefault="00B65C77" w14:paraId="1BB07404" w14:textId="77777777">
      <w:pPr>
        <w:widowControl w:val="0"/>
        <w:autoSpaceDE w:val="0"/>
        <w:autoSpaceDN w:val="0"/>
        <w:adjustRightInd w:val="0"/>
        <w:spacing w:line="273" w:lineRule="exact"/>
        <w:jc w:val="both"/>
        <w:rPr>
          <w:szCs w:val="22"/>
        </w:rPr>
      </w:pPr>
    </w:p>
    <w:p w:rsidR="00B65C77" w:rsidP="009829C3" w:rsidRDefault="00B65C77" w14:paraId="29B3932E" w14:textId="77777777">
      <w:pPr>
        <w:widowControl w:val="0"/>
        <w:autoSpaceDE w:val="0"/>
        <w:autoSpaceDN w:val="0"/>
        <w:adjustRightInd w:val="0"/>
        <w:spacing w:line="273" w:lineRule="exact"/>
        <w:jc w:val="both"/>
        <w:rPr>
          <w:szCs w:val="22"/>
        </w:rPr>
      </w:pPr>
    </w:p>
    <w:p w:rsidR="00B65C77" w:rsidP="009829C3" w:rsidRDefault="00B65C77" w14:paraId="15A40ACE" w14:textId="77777777">
      <w:pPr>
        <w:widowControl w:val="0"/>
        <w:autoSpaceDE w:val="0"/>
        <w:autoSpaceDN w:val="0"/>
        <w:adjustRightInd w:val="0"/>
        <w:spacing w:line="273" w:lineRule="exact"/>
        <w:jc w:val="both"/>
        <w:rPr>
          <w:szCs w:val="22"/>
        </w:rPr>
      </w:pPr>
    </w:p>
    <w:p w:rsidR="00B65C77" w:rsidP="009829C3" w:rsidRDefault="00B65C77" w14:paraId="1A7C264C" w14:textId="77777777">
      <w:pPr>
        <w:widowControl w:val="0"/>
        <w:autoSpaceDE w:val="0"/>
        <w:autoSpaceDN w:val="0"/>
        <w:adjustRightInd w:val="0"/>
        <w:spacing w:line="273" w:lineRule="exact"/>
        <w:jc w:val="both"/>
        <w:rPr>
          <w:szCs w:val="22"/>
        </w:rPr>
      </w:pPr>
    </w:p>
    <w:p w:rsidR="00B65C77" w:rsidP="009829C3" w:rsidRDefault="00B65C77" w14:paraId="4DFBAE4A" w14:textId="77777777">
      <w:pPr>
        <w:widowControl w:val="0"/>
        <w:autoSpaceDE w:val="0"/>
        <w:autoSpaceDN w:val="0"/>
        <w:adjustRightInd w:val="0"/>
        <w:spacing w:line="273" w:lineRule="exact"/>
        <w:jc w:val="both"/>
        <w:rPr>
          <w:szCs w:val="22"/>
        </w:rPr>
      </w:pPr>
    </w:p>
    <w:p w:rsidR="00B65C77" w:rsidP="009829C3" w:rsidRDefault="00B65C77" w14:paraId="2C5476CB" w14:textId="77777777">
      <w:pPr>
        <w:widowControl w:val="0"/>
        <w:autoSpaceDE w:val="0"/>
        <w:autoSpaceDN w:val="0"/>
        <w:adjustRightInd w:val="0"/>
        <w:spacing w:line="273" w:lineRule="exact"/>
        <w:jc w:val="both"/>
        <w:rPr>
          <w:szCs w:val="22"/>
        </w:rPr>
      </w:pPr>
    </w:p>
    <w:p w:rsidR="00B65C77" w:rsidP="009829C3" w:rsidRDefault="00B65C77" w14:paraId="1D450545" w14:textId="77777777">
      <w:pPr>
        <w:widowControl w:val="0"/>
        <w:autoSpaceDE w:val="0"/>
        <w:autoSpaceDN w:val="0"/>
        <w:adjustRightInd w:val="0"/>
        <w:spacing w:line="273" w:lineRule="exact"/>
        <w:jc w:val="both"/>
        <w:rPr>
          <w:szCs w:val="22"/>
        </w:rPr>
      </w:pPr>
    </w:p>
    <w:p w:rsidR="00B65C77" w:rsidP="009829C3" w:rsidRDefault="00B65C77" w14:paraId="3703E834" w14:textId="77777777">
      <w:pPr>
        <w:widowControl w:val="0"/>
        <w:autoSpaceDE w:val="0"/>
        <w:autoSpaceDN w:val="0"/>
        <w:adjustRightInd w:val="0"/>
        <w:spacing w:line="273" w:lineRule="exact"/>
        <w:jc w:val="both"/>
        <w:rPr>
          <w:szCs w:val="22"/>
        </w:rPr>
      </w:pPr>
    </w:p>
    <w:p w:rsidRPr="00AA6051" w:rsidR="00643252" w:rsidP="009829C3" w:rsidRDefault="00643252" w14:paraId="5AD442FB" w14:textId="699FEAE9">
      <w:pPr>
        <w:widowControl w:val="0"/>
        <w:autoSpaceDE w:val="0"/>
        <w:autoSpaceDN w:val="0"/>
        <w:adjustRightInd w:val="0"/>
        <w:spacing w:line="273" w:lineRule="exact"/>
        <w:jc w:val="both"/>
        <w:rPr>
          <w:szCs w:val="22"/>
        </w:rPr>
      </w:pPr>
      <w:r w:rsidRPr="00467793">
        <w:rPr>
          <w:szCs w:val="22"/>
          <w:u w:val="single"/>
        </w:rPr>
        <w:t>Est</w:t>
      </w:r>
      <w:r w:rsidRPr="00467793" w:rsidR="007F6DDB">
        <w:rPr>
          <w:szCs w:val="22"/>
          <w:u w:val="single"/>
        </w:rPr>
        <w:t>imated Number of Respondents:</w:t>
      </w:r>
      <w:r w:rsidRPr="00AA6051" w:rsidR="007F6DDB">
        <w:rPr>
          <w:szCs w:val="22"/>
        </w:rPr>
        <w:t xml:space="preserve"> </w:t>
      </w:r>
      <w:r w:rsidR="008446C6">
        <w:rPr>
          <w:szCs w:val="22"/>
        </w:rPr>
        <w:t>993</w:t>
      </w:r>
    </w:p>
    <w:p w:rsidRPr="00AA6051" w:rsidR="008745C3" w:rsidP="009829C3" w:rsidRDefault="008745C3" w14:paraId="1C1A74FF" w14:textId="77777777">
      <w:pPr>
        <w:widowControl w:val="0"/>
        <w:autoSpaceDE w:val="0"/>
        <w:autoSpaceDN w:val="0"/>
        <w:adjustRightInd w:val="0"/>
        <w:spacing w:line="273" w:lineRule="exact"/>
        <w:jc w:val="both"/>
        <w:rPr>
          <w:szCs w:val="22"/>
        </w:rPr>
      </w:pPr>
    </w:p>
    <w:tbl>
      <w:tblPr>
        <w:tblStyle w:val="TableGrid"/>
        <w:tblW w:w="0" w:type="auto"/>
        <w:tblLook w:val="04A0" w:firstRow="1" w:lastRow="0" w:firstColumn="1" w:lastColumn="0" w:noHBand="0" w:noVBand="1"/>
      </w:tblPr>
      <w:tblGrid>
        <w:gridCol w:w="3308"/>
        <w:gridCol w:w="4337"/>
      </w:tblGrid>
      <w:tr w:rsidRPr="00AA6051" w:rsidR="007F6DDB" w:rsidTr="00622D68" w14:paraId="29BCBB77" w14:textId="77777777">
        <w:trPr>
          <w:tblHeader/>
        </w:trPr>
        <w:tc>
          <w:tcPr>
            <w:tcW w:w="3308" w:type="dxa"/>
            <w:vAlign w:val="center"/>
          </w:tcPr>
          <w:p w:rsidRPr="00AF137A" w:rsidR="007F6DDB" w:rsidP="009829C3" w:rsidRDefault="007F6DDB" w14:paraId="3E071DFF" w14:textId="4F7C7029">
            <w:pPr>
              <w:rPr>
                <w:rFonts w:ascii="Times New Roman" w:hAnsi="Times New Roman" w:cs="Times New Roman"/>
                <w:b/>
                <w:lang w:val="en-GB"/>
              </w:rPr>
            </w:pPr>
            <w:r w:rsidRPr="00AF137A">
              <w:rPr>
                <w:rFonts w:ascii="Times New Roman" w:hAnsi="Times New Roman" w:cs="Times New Roman"/>
                <w:b/>
                <w:lang w:val="en-GB"/>
              </w:rPr>
              <w:t xml:space="preserve">Type of </w:t>
            </w:r>
            <w:r w:rsidRPr="00AF137A" w:rsidR="008446C6">
              <w:rPr>
                <w:rFonts w:ascii="Times New Roman" w:hAnsi="Times New Roman" w:cs="Times New Roman"/>
                <w:b/>
                <w:lang w:val="en-GB"/>
              </w:rPr>
              <w:t>Casino</w:t>
            </w:r>
          </w:p>
        </w:tc>
        <w:tc>
          <w:tcPr>
            <w:tcW w:w="4337" w:type="dxa"/>
            <w:vAlign w:val="center"/>
          </w:tcPr>
          <w:p w:rsidRPr="00AF137A" w:rsidR="007F6DDB" w:rsidP="009829C3" w:rsidRDefault="007F6DDB" w14:paraId="3216A4CB" w14:textId="6D76A023">
            <w:pPr>
              <w:rPr>
                <w:rFonts w:ascii="Times New Roman" w:hAnsi="Times New Roman" w:cs="Times New Roman"/>
                <w:b/>
                <w:lang w:val="en-GB"/>
              </w:rPr>
            </w:pPr>
            <w:r w:rsidRPr="00AF137A">
              <w:rPr>
                <w:rFonts w:ascii="Times New Roman" w:hAnsi="Times New Roman" w:cs="Times New Roman"/>
                <w:b/>
                <w:lang w:val="en-GB"/>
              </w:rPr>
              <w:t xml:space="preserve">Number of </w:t>
            </w:r>
            <w:r w:rsidRPr="00AF137A" w:rsidR="008446C6">
              <w:rPr>
                <w:rFonts w:ascii="Times New Roman" w:hAnsi="Times New Roman" w:cs="Times New Roman"/>
                <w:b/>
                <w:lang w:val="en-GB"/>
              </w:rPr>
              <w:t>Casinos</w:t>
            </w:r>
          </w:p>
        </w:tc>
      </w:tr>
      <w:tr w:rsidRPr="00AA6051" w:rsidR="007F6DDB" w:rsidTr="00622D68" w14:paraId="61A6BA04" w14:textId="77777777">
        <w:tc>
          <w:tcPr>
            <w:tcW w:w="3308" w:type="dxa"/>
            <w:vAlign w:val="center"/>
          </w:tcPr>
          <w:p w:rsidRPr="00AA6051" w:rsidR="007F6DDB" w:rsidP="009829C3" w:rsidRDefault="008446C6" w14:paraId="48709527" w14:textId="7E7B152F">
            <w:pPr>
              <w:rPr>
                <w:rFonts w:ascii="Times New Roman" w:hAnsi="Times New Roman" w:cs="Times New Roman"/>
                <w:lang w:val="en-GB"/>
              </w:rPr>
            </w:pPr>
            <w:r>
              <w:rPr>
                <w:rFonts w:ascii="Times New Roman" w:hAnsi="Times New Roman" w:cs="Times New Roman"/>
                <w:lang w:val="en-GB"/>
              </w:rPr>
              <w:t>Casino</w:t>
            </w:r>
          </w:p>
        </w:tc>
        <w:tc>
          <w:tcPr>
            <w:tcW w:w="4337" w:type="dxa"/>
            <w:vAlign w:val="center"/>
          </w:tcPr>
          <w:p w:rsidRPr="00AA6051" w:rsidR="007F6DDB" w:rsidP="008446C6" w:rsidRDefault="008446C6" w14:paraId="2216D99A" w14:textId="727C88C8">
            <w:pPr>
              <w:jc w:val="right"/>
              <w:rPr>
                <w:rFonts w:ascii="Times New Roman" w:hAnsi="Times New Roman" w:cs="Times New Roman"/>
                <w:lang w:val="en-GB"/>
              </w:rPr>
            </w:pPr>
            <w:r>
              <w:rPr>
                <w:rFonts w:ascii="Times New Roman" w:hAnsi="Times New Roman" w:cs="Times New Roman"/>
                <w:lang w:val="en-GB"/>
              </w:rPr>
              <w:t>466</w:t>
            </w:r>
            <w:r>
              <w:rPr>
                <w:rStyle w:val="FootnoteReference"/>
                <w:rFonts w:ascii="Times New Roman" w:hAnsi="Times New Roman" w:cs="Times New Roman"/>
                <w:lang w:val="en-GB"/>
              </w:rPr>
              <w:footnoteReference w:id="5"/>
            </w:r>
          </w:p>
        </w:tc>
      </w:tr>
      <w:tr w:rsidRPr="00AA6051" w:rsidR="007F6DDB" w:rsidTr="00622D68" w14:paraId="7C6669CD" w14:textId="77777777">
        <w:tc>
          <w:tcPr>
            <w:tcW w:w="3308" w:type="dxa"/>
            <w:vAlign w:val="center"/>
          </w:tcPr>
          <w:p w:rsidRPr="00AA6051" w:rsidR="007F6DDB" w:rsidP="009829C3" w:rsidRDefault="008446C6" w14:paraId="543B19D2" w14:textId="14599C40">
            <w:pPr>
              <w:rPr>
                <w:rFonts w:ascii="Times New Roman" w:hAnsi="Times New Roman" w:cs="Times New Roman"/>
                <w:lang w:val="en-GB"/>
              </w:rPr>
            </w:pPr>
            <w:r>
              <w:rPr>
                <w:rFonts w:ascii="Times New Roman" w:hAnsi="Times New Roman" w:cs="Times New Roman"/>
                <w:lang w:val="en-GB"/>
              </w:rPr>
              <w:t>Tribal Casino</w:t>
            </w:r>
          </w:p>
        </w:tc>
        <w:tc>
          <w:tcPr>
            <w:tcW w:w="4337" w:type="dxa"/>
            <w:vAlign w:val="center"/>
          </w:tcPr>
          <w:p w:rsidRPr="00AA6051" w:rsidR="007F6DDB" w:rsidP="008446C6" w:rsidRDefault="008446C6" w14:paraId="7A5A7C7B" w14:textId="4F7D9CE7">
            <w:pPr>
              <w:jc w:val="right"/>
              <w:rPr>
                <w:rFonts w:ascii="Times New Roman" w:hAnsi="Times New Roman" w:cs="Times New Roman"/>
                <w:lang w:val="en-GB"/>
              </w:rPr>
            </w:pPr>
            <w:r>
              <w:rPr>
                <w:rFonts w:ascii="Times New Roman" w:hAnsi="Times New Roman" w:cs="Times New Roman"/>
                <w:lang w:val="en-GB"/>
              </w:rPr>
              <w:t>527</w:t>
            </w:r>
            <w:r>
              <w:rPr>
                <w:rStyle w:val="FootnoteReference"/>
                <w:rFonts w:ascii="Times New Roman" w:hAnsi="Times New Roman" w:cs="Times New Roman"/>
                <w:lang w:val="en-GB"/>
              </w:rPr>
              <w:footnoteReference w:id="6"/>
            </w:r>
          </w:p>
        </w:tc>
      </w:tr>
      <w:tr w:rsidRPr="00AA6051" w:rsidR="007F6DDB" w:rsidTr="00622D68" w14:paraId="2C9904B8" w14:textId="77777777">
        <w:trPr>
          <w:trHeight w:val="440"/>
        </w:trPr>
        <w:tc>
          <w:tcPr>
            <w:tcW w:w="3308" w:type="dxa"/>
            <w:tcBorders>
              <w:top w:val="single" w:color="auto" w:sz="12" w:space="0"/>
              <w:left w:val="single" w:color="auto" w:sz="12" w:space="0"/>
              <w:bottom w:val="single" w:color="auto" w:sz="12" w:space="0"/>
              <w:right w:val="single" w:color="auto" w:sz="12" w:space="0"/>
            </w:tcBorders>
            <w:vAlign w:val="center"/>
          </w:tcPr>
          <w:p w:rsidRPr="00AA6051" w:rsidR="007F6DDB" w:rsidP="009829C3" w:rsidRDefault="007F6DDB" w14:paraId="02AC047C" w14:textId="3E03690C">
            <w:pPr>
              <w:rPr>
                <w:rFonts w:ascii="Times New Roman" w:hAnsi="Times New Roman" w:cs="Times New Roman"/>
                <w:b/>
                <w:lang w:val="en-GB"/>
              </w:rPr>
            </w:pPr>
            <w:r w:rsidRPr="00AA6051">
              <w:rPr>
                <w:rFonts w:ascii="Times New Roman" w:hAnsi="Times New Roman" w:cs="Times New Roman"/>
                <w:b/>
                <w:lang w:val="en-GB"/>
              </w:rPr>
              <w:t xml:space="preserve">Total number of </w:t>
            </w:r>
            <w:r w:rsidR="008446C6">
              <w:rPr>
                <w:rFonts w:ascii="Times New Roman" w:hAnsi="Times New Roman" w:cs="Times New Roman"/>
                <w:b/>
                <w:lang w:val="en-GB"/>
              </w:rPr>
              <w:t>casinos</w:t>
            </w:r>
          </w:p>
        </w:tc>
        <w:tc>
          <w:tcPr>
            <w:tcW w:w="4337" w:type="dxa"/>
            <w:tcBorders>
              <w:top w:val="single" w:color="auto" w:sz="12" w:space="0"/>
              <w:left w:val="single" w:color="auto" w:sz="12" w:space="0"/>
              <w:bottom w:val="single" w:color="auto" w:sz="12" w:space="0"/>
              <w:right w:val="single" w:color="auto" w:sz="12" w:space="0"/>
            </w:tcBorders>
            <w:vAlign w:val="center"/>
          </w:tcPr>
          <w:p w:rsidRPr="00AA6051" w:rsidR="007F6DDB" w:rsidP="009829C3" w:rsidRDefault="008446C6" w14:paraId="1C34B1E3" w14:textId="6F2F6D2A">
            <w:pPr>
              <w:jc w:val="right"/>
              <w:rPr>
                <w:rFonts w:ascii="Times New Roman" w:hAnsi="Times New Roman" w:cs="Times New Roman"/>
                <w:b/>
                <w:lang w:val="en-GB"/>
              </w:rPr>
            </w:pPr>
            <w:r>
              <w:rPr>
                <w:rFonts w:ascii="Times New Roman" w:hAnsi="Times New Roman" w:cs="Times New Roman"/>
                <w:b/>
                <w:lang w:val="en-GB"/>
              </w:rPr>
              <w:t>993</w:t>
            </w:r>
            <w:r>
              <w:rPr>
                <w:rStyle w:val="FootnoteReference"/>
                <w:rFonts w:ascii="Times New Roman" w:hAnsi="Times New Roman" w:cs="Times New Roman"/>
                <w:b/>
                <w:lang w:val="en-GB"/>
              </w:rPr>
              <w:footnoteReference w:id="7"/>
            </w:r>
          </w:p>
        </w:tc>
      </w:tr>
    </w:tbl>
    <w:p w:rsidRPr="00AA6051" w:rsidR="00643252" w:rsidP="009829C3" w:rsidRDefault="00643252" w14:paraId="0556DA9E" w14:textId="77777777">
      <w:pPr>
        <w:widowControl w:val="0"/>
        <w:autoSpaceDE w:val="0"/>
        <w:autoSpaceDN w:val="0"/>
        <w:adjustRightInd w:val="0"/>
        <w:spacing w:line="268" w:lineRule="exact"/>
        <w:jc w:val="both"/>
        <w:rPr>
          <w:szCs w:val="22"/>
        </w:rPr>
      </w:pPr>
    </w:p>
    <w:p w:rsidRPr="00AA6051" w:rsidR="003A525C" w:rsidP="009829C3" w:rsidRDefault="003A525C" w14:paraId="700D95B8" w14:textId="0547DB1A">
      <w:pPr>
        <w:widowControl w:val="0"/>
        <w:autoSpaceDE w:val="0"/>
        <w:autoSpaceDN w:val="0"/>
        <w:adjustRightInd w:val="0"/>
        <w:spacing w:line="268" w:lineRule="exact"/>
        <w:jc w:val="both"/>
        <w:rPr>
          <w:szCs w:val="22"/>
        </w:rPr>
      </w:pPr>
      <w:r w:rsidRPr="00D616F2">
        <w:rPr>
          <w:szCs w:val="22"/>
          <w:u w:val="single"/>
        </w:rPr>
        <w:t>Estimated Total Annual Burden Hours:</w:t>
      </w:r>
      <w:r w:rsidRPr="00AA6051">
        <w:rPr>
          <w:szCs w:val="22"/>
        </w:rPr>
        <w:t xml:space="preserve"> </w:t>
      </w:r>
      <w:r w:rsidR="008446C6">
        <w:rPr>
          <w:szCs w:val="22"/>
        </w:rPr>
        <w:t>99,466</w:t>
      </w:r>
      <w:r w:rsidRPr="00AA6051">
        <w:rPr>
          <w:szCs w:val="22"/>
        </w:rPr>
        <w:t>.</w:t>
      </w:r>
    </w:p>
    <w:p w:rsidRPr="00AA6051" w:rsidR="003A525C" w:rsidP="009829C3" w:rsidRDefault="003A525C" w14:paraId="5435A822" w14:textId="77777777">
      <w:pPr>
        <w:widowControl w:val="0"/>
        <w:autoSpaceDE w:val="0"/>
        <w:autoSpaceDN w:val="0"/>
        <w:adjustRightInd w:val="0"/>
        <w:spacing w:line="268" w:lineRule="exact"/>
        <w:jc w:val="both"/>
        <w:rPr>
          <w:szCs w:val="22"/>
        </w:rPr>
      </w:pPr>
    </w:p>
    <w:p w:rsidRPr="00B778FA" w:rsidR="00B45722" w:rsidP="00B45722" w:rsidRDefault="00B45722" w14:paraId="5ADFD255" w14:textId="25EA4B41">
      <w:pPr>
        <w:rPr>
          <w:b/>
          <w:sz w:val="22"/>
          <w:szCs w:val="22"/>
        </w:rPr>
      </w:pPr>
      <w:r w:rsidRPr="00B778FA">
        <w:rPr>
          <w:b/>
          <w:sz w:val="22"/>
          <w:szCs w:val="22"/>
        </w:rPr>
        <w:t>Burden associated with each portion of the traditional annual PRA estimate</w:t>
      </w:r>
    </w:p>
    <w:tbl>
      <w:tblPr>
        <w:tblStyle w:val="TableGrid"/>
        <w:tblW w:w="8559" w:type="dxa"/>
        <w:tblLook w:val="04A0" w:firstRow="1" w:lastRow="0" w:firstColumn="1" w:lastColumn="0" w:noHBand="0" w:noVBand="1"/>
      </w:tblPr>
      <w:tblGrid>
        <w:gridCol w:w="2316"/>
        <w:gridCol w:w="1893"/>
        <w:gridCol w:w="986"/>
        <w:gridCol w:w="2073"/>
        <w:gridCol w:w="1291"/>
      </w:tblGrid>
      <w:tr w:rsidRPr="00B778FA" w:rsidR="00B45722" w:rsidTr="00892C3D" w14:paraId="35E2F0EC" w14:textId="77777777">
        <w:trPr>
          <w:tblHeader/>
        </w:trPr>
        <w:tc>
          <w:tcPr>
            <w:tcW w:w="2171" w:type="dxa"/>
            <w:vAlign w:val="center"/>
          </w:tcPr>
          <w:p w:rsidRPr="00B778FA" w:rsidR="00B45722" w:rsidP="00892C3D" w:rsidRDefault="00B45722" w14:paraId="5794DF85" w14:textId="77777777">
            <w:pPr>
              <w:jc w:val="center"/>
              <w:rPr>
                <w:rFonts w:ascii="Times New Roman" w:hAnsi="Times New Roman" w:cs="Times New Roman"/>
                <w:b/>
                <w:sz w:val="22"/>
                <w:szCs w:val="22"/>
                <w:lang w:val="en-US"/>
              </w:rPr>
            </w:pPr>
            <w:r w:rsidRPr="00B778FA">
              <w:rPr>
                <w:rFonts w:ascii="Times New Roman" w:hAnsi="Times New Roman" w:cs="Times New Roman"/>
                <w:b/>
                <w:sz w:val="22"/>
                <w:szCs w:val="22"/>
                <w:lang w:val="en-US"/>
              </w:rPr>
              <w:t>Action</w:t>
            </w:r>
          </w:p>
        </w:tc>
        <w:tc>
          <w:tcPr>
            <w:tcW w:w="1944" w:type="dxa"/>
            <w:vAlign w:val="center"/>
          </w:tcPr>
          <w:p w:rsidRPr="00B778FA" w:rsidR="00B45722" w:rsidP="00892C3D" w:rsidRDefault="00B45722" w14:paraId="054FC697" w14:textId="77777777">
            <w:pPr>
              <w:jc w:val="center"/>
              <w:rPr>
                <w:rFonts w:ascii="Times New Roman" w:hAnsi="Times New Roman" w:cs="Times New Roman"/>
                <w:b/>
                <w:sz w:val="22"/>
                <w:szCs w:val="22"/>
                <w:lang w:val="en-US"/>
              </w:rPr>
            </w:pPr>
            <w:r w:rsidRPr="00B778FA">
              <w:rPr>
                <w:rFonts w:ascii="Times New Roman" w:hAnsi="Times New Roman" w:cs="Times New Roman"/>
                <w:b/>
                <w:sz w:val="22"/>
                <w:szCs w:val="22"/>
                <w:lang w:val="en-US"/>
              </w:rPr>
              <w:t>Instances per year</w:t>
            </w:r>
          </w:p>
        </w:tc>
        <w:tc>
          <w:tcPr>
            <w:tcW w:w="986" w:type="dxa"/>
            <w:vAlign w:val="center"/>
          </w:tcPr>
          <w:p w:rsidRPr="00B778FA" w:rsidR="00B45722" w:rsidP="00892C3D" w:rsidRDefault="00B45722" w14:paraId="60823717" w14:textId="77777777">
            <w:pPr>
              <w:jc w:val="center"/>
              <w:rPr>
                <w:rFonts w:ascii="Times New Roman" w:hAnsi="Times New Roman" w:cs="Times New Roman"/>
                <w:b/>
                <w:sz w:val="22"/>
                <w:szCs w:val="22"/>
                <w:lang w:val="en-US"/>
              </w:rPr>
            </w:pPr>
            <w:r w:rsidRPr="00B778FA">
              <w:rPr>
                <w:rFonts w:ascii="Times New Roman" w:hAnsi="Times New Roman" w:cs="Times New Roman"/>
                <w:b/>
                <w:sz w:val="22"/>
                <w:szCs w:val="22"/>
                <w:lang w:val="en-US"/>
              </w:rPr>
              <w:t>Time per instance</w:t>
            </w:r>
          </w:p>
        </w:tc>
        <w:tc>
          <w:tcPr>
            <w:tcW w:w="2142" w:type="dxa"/>
            <w:vAlign w:val="center"/>
          </w:tcPr>
          <w:p w:rsidRPr="00B778FA" w:rsidR="00B45722" w:rsidP="001C53C9" w:rsidRDefault="00B45722" w14:paraId="7E885BF2" w14:textId="3E3C11A2">
            <w:pPr>
              <w:jc w:val="center"/>
              <w:rPr>
                <w:rFonts w:ascii="Times New Roman" w:hAnsi="Times New Roman" w:cs="Times New Roman"/>
                <w:b/>
                <w:sz w:val="22"/>
                <w:szCs w:val="22"/>
                <w:lang w:val="en-US"/>
              </w:rPr>
            </w:pPr>
            <w:r w:rsidRPr="00B778FA">
              <w:rPr>
                <w:rFonts w:ascii="Times New Roman" w:hAnsi="Times New Roman" w:cs="Times New Roman"/>
                <w:b/>
                <w:sz w:val="22"/>
                <w:szCs w:val="22"/>
                <w:lang w:val="en-US"/>
              </w:rPr>
              <w:t>Number of Casinos</w:t>
            </w:r>
          </w:p>
        </w:tc>
        <w:tc>
          <w:tcPr>
            <w:tcW w:w="1316" w:type="dxa"/>
            <w:vAlign w:val="center"/>
          </w:tcPr>
          <w:p w:rsidRPr="00B778FA" w:rsidR="00B45722" w:rsidP="00892C3D" w:rsidRDefault="00B45722" w14:paraId="503C5703" w14:textId="77777777">
            <w:pPr>
              <w:jc w:val="center"/>
              <w:rPr>
                <w:rFonts w:ascii="Times New Roman" w:hAnsi="Times New Roman" w:cs="Times New Roman"/>
                <w:b/>
                <w:sz w:val="22"/>
                <w:szCs w:val="22"/>
                <w:lang w:val="en-US"/>
              </w:rPr>
            </w:pPr>
            <w:r w:rsidRPr="00B778FA">
              <w:rPr>
                <w:rFonts w:ascii="Times New Roman" w:hAnsi="Times New Roman" w:cs="Times New Roman"/>
                <w:b/>
                <w:sz w:val="22"/>
                <w:szCs w:val="22"/>
                <w:lang w:val="en-US"/>
              </w:rPr>
              <w:t>Total hourly burden</w:t>
            </w:r>
          </w:p>
        </w:tc>
      </w:tr>
      <w:tr w:rsidRPr="00B778FA" w:rsidR="00B45722" w:rsidTr="00892C3D" w14:paraId="23CD2106" w14:textId="77777777">
        <w:tc>
          <w:tcPr>
            <w:tcW w:w="2171" w:type="dxa"/>
            <w:vAlign w:val="center"/>
          </w:tcPr>
          <w:p w:rsidRPr="00B778FA" w:rsidR="00B45722" w:rsidP="00B45722" w:rsidRDefault="00B45722" w14:paraId="5E41579D" w14:textId="77777777">
            <w:pPr>
              <w:pStyle w:val="ListParagraph"/>
              <w:numPr>
                <w:ilvl w:val="0"/>
                <w:numId w:val="4"/>
              </w:numPr>
              <w:rPr>
                <w:rFonts w:ascii="Times New Roman" w:hAnsi="Times New Roman" w:cs="Times New Roman"/>
                <w:lang w:val="en-US"/>
              </w:rPr>
            </w:pPr>
            <w:r w:rsidRPr="00B778FA">
              <w:rPr>
                <w:rFonts w:ascii="Times New Roman" w:hAnsi="Times New Roman" w:cs="Times New Roman"/>
                <w:lang w:val="en-US"/>
              </w:rPr>
              <w:t>Maintaining and updating the written AML program</w:t>
            </w:r>
          </w:p>
        </w:tc>
        <w:tc>
          <w:tcPr>
            <w:tcW w:w="1944" w:type="dxa"/>
            <w:vAlign w:val="center"/>
          </w:tcPr>
          <w:p w:rsidRPr="00B778FA" w:rsidR="00B45722" w:rsidP="00892C3D" w:rsidRDefault="00B45722" w14:paraId="0BCAFFA0"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1 per casino</w:t>
            </w:r>
          </w:p>
        </w:tc>
        <w:tc>
          <w:tcPr>
            <w:tcW w:w="986" w:type="dxa"/>
            <w:vAlign w:val="center"/>
          </w:tcPr>
          <w:p w:rsidRPr="00B778FA" w:rsidR="00B45722" w:rsidP="001C53C9" w:rsidRDefault="00B45722" w14:paraId="05BD4B96" w14:textId="7EB9E7B5">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1 hour</w:t>
            </w:r>
          </w:p>
        </w:tc>
        <w:tc>
          <w:tcPr>
            <w:tcW w:w="2142" w:type="dxa"/>
            <w:vAlign w:val="center"/>
          </w:tcPr>
          <w:p w:rsidRPr="00B778FA" w:rsidR="00B45722" w:rsidP="00892C3D" w:rsidRDefault="00B45722" w14:paraId="4A095E48"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993</w:t>
            </w:r>
          </w:p>
        </w:tc>
        <w:tc>
          <w:tcPr>
            <w:tcW w:w="1316" w:type="dxa"/>
            <w:vAlign w:val="center"/>
          </w:tcPr>
          <w:p w:rsidRPr="00B778FA" w:rsidR="00B45722" w:rsidP="00892C3D" w:rsidRDefault="00B45722" w14:paraId="6472D11D"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993</w:t>
            </w:r>
          </w:p>
        </w:tc>
      </w:tr>
      <w:tr w:rsidRPr="00B778FA" w:rsidR="00B45722" w:rsidTr="00892C3D" w14:paraId="282C8F8E" w14:textId="77777777">
        <w:tc>
          <w:tcPr>
            <w:tcW w:w="2171" w:type="dxa"/>
            <w:vAlign w:val="center"/>
          </w:tcPr>
          <w:p w:rsidRPr="00B778FA" w:rsidR="00B45722" w:rsidP="00B45722" w:rsidRDefault="00B45722" w14:paraId="0F78B4B4" w14:textId="77777777">
            <w:pPr>
              <w:pStyle w:val="ListParagraph"/>
              <w:numPr>
                <w:ilvl w:val="0"/>
                <w:numId w:val="4"/>
              </w:numPr>
              <w:rPr>
                <w:rFonts w:ascii="Times New Roman" w:hAnsi="Times New Roman" w:cs="Times New Roman"/>
                <w:lang w:val="en-US"/>
              </w:rPr>
            </w:pPr>
            <w:r w:rsidRPr="00B778FA">
              <w:rPr>
                <w:rFonts w:ascii="Times New Roman" w:hAnsi="Times New Roman" w:cs="Times New Roman"/>
              </w:rPr>
              <w:t xml:space="preserve">Storing the written AML program </w:t>
            </w:r>
          </w:p>
        </w:tc>
        <w:tc>
          <w:tcPr>
            <w:tcW w:w="1944" w:type="dxa"/>
            <w:vAlign w:val="center"/>
          </w:tcPr>
          <w:p w:rsidRPr="00B778FA" w:rsidR="00B45722" w:rsidP="00892C3D" w:rsidRDefault="00B45722" w14:paraId="24B928D8"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1 per casino</w:t>
            </w:r>
          </w:p>
        </w:tc>
        <w:tc>
          <w:tcPr>
            <w:tcW w:w="986" w:type="dxa"/>
            <w:vAlign w:val="center"/>
          </w:tcPr>
          <w:p w:rsidRPr="00B778FA" w:rsidR="00B45722" w:rsidP="00892C3D" w:rsidRDefault="00B45722" w14:paraId="6E60BCEF"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5 minutes</w:t>
            </w:r>
          </w:p>
        </w:tc>
        <w:tc>
          <w:tcPr>
            <w:tcW w:w="2142" w:type="dxa"/>
            <w:vAlign w:val="center"/>
          </w:tcPr>
          <w:p w:rsidRPr="00B778FA" w:rsidR="00B45722" w:rsidP="00892C3D" w:rsidRDefault="00B45722" w14:paraId="103D0E32" w14:textId="77777777">
            <w:pPr>
              <w:jc w:val="center"/>
              <w:rPr>
                <w:rFonts w:ascii="Times New Roman" w:hAnsi="Times New Roman" w:cs="Times New Roman"/>
                <w:sz w:val="22"/>
                <w:szCs w:val="22"/>
                <w:lang w:val="en-US"/>
              </w:rPr>
            </w:pPr>
          </w:p>
          <w:p w:rsidRPr="00B778FA" w:rsidR="00B45722" w:rsidP="00892C3D" w:rsidRDefault="00B45722" w14:paraId="115640E6"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993</w:t>
            </w:r>
          </w:p>
          <w:p w:rsidRPr="00B778FA" w:rsidR="00B45722" w:rsidP="00892C3D" w:rsidRDefault="00B45722" w14:paraId="35047BE4" w14:textId="77777777">
            <w:pPr>
              <w:jc w:val="center"/>
              <w:rPr>
                <w:rFonts w:ascii="Times New Roman" w:hAnsi="Times New Roman" w:cs="Times New Roman"/>
                <w:sz w:val="22"/>
                <w:szCs w:val="22"/>
                <w:lang w:val="en-US"/>
              </w:rPr>
            </w:pPr>
          </w:p>
        </w:tc>
        <w:tc>
          <w:tcPr>
            <w:tcW w:w="1316" w:type="dxa"/>
            <w:vAlign w:val="center"/>
          </w:tcPr>
          <w:p w:rsidRPr="00B778FA" w:rsidR="00B45722" w:rsidP="00892C3D" w:rsidRDefault="00B45722" w14:paraId="0811A67C"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83*</w:t>
            </w:r>
          </w:p>
        </w:tc>
      </w:tr>
      <w:tr w:rsidRPr="00B778FA" w:rsidR="00B45722" w:rsidTr="00892C3D" w14:paraId="05ED0381" w14:textId="77777777">
        <w:tc>
          <w:tcPr>
            <w:tcW w:w="2171" w:type="dxa"/>
            <w:vAlign w:val="center"/>
          </w:tcPr>
          <w:p w:rsidRPr="00B778FA" w:rsidR="00B45722" w:rsidP="00B45722" w:rsidRDefault="00B45722" w14:paraId="508C1061" w14:textId="77777777">
            <w:pPr>
              <w:pStyle w:val="ListParagraph"/>
              <w:numPr>
                <w:ilvl w:val="0"/>
                <w:numId w:val="4"/>
              </w:numPr>
              <w:rPr>
                <w:rFonts w:ascii="Times New Roman" w:hAnsi="Times New Roman" w:cs="Times New Roman"/>
                <w:lang w:val="en-US"/>
              </w:rPr>
            </w:pPr>
            <w:r w:rsidRPr="00B778FA">
              <w:rPr>
                <w:rFonts w:ascii="Times New Roman" w:hAnsi="Times New Roman" w:cs="Times New Roman"/>
                <w:lang w:val="en-US"/>
              </w:rPr>
              <w:t>Producing the AML program upon request</w:t>
            </w:r>
          </w:p>
        </w:tc>
        <w:tc>
          <w:tcPr>
            <w:tcW w:w="1944" w:type="dxa"/>
            <w:vAlign w:val="center"/>
          </w:tcPr>
          <w:p w:rsidRPr="00B778FA" w:rsidR="00B45722" w:rsidP="00892C3D" w:rsidRDefault="00B45722" w14:paraId="285D3241"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1 per casino</w:t>
            </w:r>
          </w:p>
        </w:tc>
        <w:tc>
          <w:tcPr>
            <w:tcW w:w="986" w:type="dxa"/>
            <w:vAlign w:val="center"/>
          </w:tcPr>
          <w:p w:rsidRPr="00B778FA" w:rsidR="00B45722" w:rsidP="00892C3D" w:rsidRDefault="00B45722" w14:paraId="1A5DB95D"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5 minutes</w:t>
            </w:r>
          </w:p>
        </w:tc>
        <w:tc>
          <w:tcPr>
            <w:tcW w:w="2142" w:type="dxa"/>
            <w:vAlign w:val="center"/>
          </w:tcPr>
          <w:p w:rsidRPr="00B778FA" w:rsidR="00B45722" w:rsidP="00892C3D" w:rsidRDefault="00B45722" w14:paraId="189CDEC8" w14:textId="77777777">
            <w:pPr>
              <w:jc w:val="center"/>
              <w:rPr>
                <w:rFonts w:ascii="Times New Roman" w:hAnsi="Times New Roman" w:cs="Times New Roman"/>
                <w:sz w:val="22"/>
                <w:szCs w:val="22"/>
                <w:lang w:val="en-US"/>
              </w:rPr>
            </w:pPr>
          </w:p>
          <w:p w:rsidRPr="00B778FA" w:rsidR="00B45722" w:rsidP="00892C3D" w:rsidRDefault="00B45722" w14:paraId="551B68C2"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993</w:t>
            </w:r>
          </w:p>
          <w:p w:rsidRPr="00B778FA" w:rsidR="00B45722" w:rsidP="00892C3D" w:rsidRDefault="00B45722" w14:paraId="178ECCF8" w14:textId="77777777">
            <w:pPr>
              <w:jc w:val="center"/>
              <w:rPr>
                <w:rFonts w:ascii="Times New Roman" w:hAnsi="Times New Roman" w:cs="Times New Roman"/>
                <w:sz w:val="22"/>
                <w:szCs w:val="22"/>
                <w:lang w:val="en-US"/>
              </w:rPr>
            </w:pPr>
          </w:p>
        </w:tc>
        <w:tc>
          <w:tcPr>
            <w:tcW w:w="1316" w:type="dxa"/>
            <w:vAlign w:val="center"/>
          </w:tcPr>
          <w:p w:rsidRPr="00B778FA" w:rsidR="00B45722" w:rsidP="00892C3D" w:rsidRDefault="00B45722" w14:paraId="5C5A0E8C" w14:textId="77777777">
            <w:pPr>
              <w:jc w:val="center"/>
              <w:rPr>
                <w:rFonts w:ascii="Times New Roman" w:hAnsi="Times New Roman" w:cs="Times New Roman"/>
                <w:sz w:val="22"/>
                <w:szCs w:val="22"/>
                <w:lang w:val="en-US"/>
              </w:rPr>
            </w:pPr>
            <w:r w:rsidRPr="00B778FA">
              <w:rPr>
                <w:rFonts w:ascii="Times New Roman" w:hAnsi="Times New Roman" w:cs="Times New Roman"/>
                <w:sz w:val="22"/>
                <w:szCs w:val="22"/>
                <w:lang w:val="en-US"/>
              </w:rPr>
              <w:t>83*</w:t>
            </w:r>
          </w:p>
        </w:tc>
      </w:tr>
      <w:tr w:rsidRPr="00B778FA" w:rsidR="00B45722" w:rsidTr="00892C3D" w14:paraId="757AD6D9" w14:textId="77777777">
        <w:tc>
          <w:tcPr>
            <w:tcW w:w="2171" w:type="dxa"/>
            <w:vAlign w:val="center"/>
          </w:tcPr>
          <w:p w:rsidRPr="00B778FA" w:rsidR="00B45722" w:rsidP="00B45722" w:rsidRDefault="00B45722" w14:paraId="70AC1BE4" w14:textId="484C519C">
            <w:pPr>
              <w:pStyle w:val="ListParagraph"/>
              <w:numPr>
                <w:ilvl w:val="0"/>
                <w:numId w:val="4"/>
              </w:numPr>
              <w:rPr>
                <w:rFonts w:ascii="Times New Roman" w:hAnsi="Times New Roman" w:cs="Times New Roman"/>
              </w:rPr>
            </w:pPr>
            <w:r w:rsidRPr="00B778FA">
              <w:rPr>
                <w:rFonts w:ascii="Times New Roman" w:hAnsi="Times New Roman" w:cs="Times New Roman"/>
              </w:rPr>
              <w:t xml:space="preserve">Ongoing </w:t>
            </w:r>
            <w:r w:rsidR="009D67E4">
              <w:rPr>
                <w:rFonts w:ascii="Times New Roman" w:hAnsi="Times New Roman" w:cs="Times New Roman"/>
              </w:rPr>
              <w:t>c</w:t>
            </w:r>
            <w:r w:rsidRPr="00B778FA">
              <w:rPr>
                <w:rFonts w:ascii="Times New Roman" w:hAnsi="Times New Roman" w:cs="Times New Roman"/>
              </w:rPr>
              <w:t>ompliance with the requirements in 31 CFR 1021.210(b)(2)(v) and (vi)</w:t>
            </w:r>
          </w:p>
        </w:tc>
        <w:tc>
          <w:tcPr>
            <w:tcW w:w="1944" w:type="dxa"/>
            <w:vAlign w:val="center"/>
          </w:tcPr>
          <w:p w:rsidRPr="00B778FA" w:rsidR="00B45722" w:rsidP="00892C3D" w:rsidRDefault="00B45722" w14:paraId="15B6E43B" w14:textId="77777777">
            <w:pPr>
              <w:jc w:val="center"/>
              <w:rPr>
                <w:rFonts w:ascii="Times New Roman" w:hAnsi="Times New Roman" w:cs="Times New Roman"/>
                <w:sz w:val="22"/>
                <w:szCs w:val="22"/>
              </w:rPr>
            </w:pPr>
            <w:r w:rsidRPr="00B778FA">
              <w:rPr>
                <w:rFonts w:ascii="Times New Roman" w:hAnsi="Times New Roman" w:cs="Times New Roman"/>
                <w:sz w:val="22"/>
                <w:szCs w:val="22"/>
              </w:rPr>
              <w:t>1 per casino</w:t>
            </w:r>
          </w:p>
        </w:tc>
        <w:tc>
          <w:tcPr>
            <w:tcW w:w="986" w:type="dxa"/>
            <w:vAlign w:val="center"/>
          </w:tcPr>
          <w:p w:rsidRPr="00B778FA" w:rsidR="00B45722" w:rsidP="00892C3D" w:rsidRDefault="00B45722" w14:paraId="245E5C37" w14:textId="77777777">
            <w:pPr>
              <w:jc w:val="center"/>
              <w:rPr>
                <w:rFonts w:ascii="Times New Roman" w:hAnsi="Times New Roman" w:cs="Times New Roman"/>
                <w:sz w:val="22"/>
                <w:szCs w:val="22"/>
              </w:rPr>
            </w:pPr>
            <w:r w:rsidRPr="00B778FA">
              <w:rPr>
                <w:rFonts w:ascii="Times New Roman" w:hAnsi="Times New Roman" w:cs="Times New Roman"/>
                <w:sz w:val="22"/>
                <w:szCs w:val="22"/>
              </w:rPr>
              <w:t>99 hours</w:t>
            </w:r>
          </w:p>
        </w:tc>
        <w:tc>
          <w:tcPr>
            <w:tcW w:w="2142" w:type="dxa"/>
            <w:vAlign w:val="center"/>
          </w:tcPr>
          <w:p w:rsidRPr="00B778FA" w:rsidR="00B45722" w:rsidP="00892C3D" w:rsidRDefault="00B45722" w14:paraId="530466F9" w14:textId="77777777">
            <w:pPr>
              <w:jc w:val="center"/>
              <w:rPr>
                <w:rFonts w:ascii="Times New Roman" w:hAnsi="Times New Roman" w:cs="Times New Roman"/>
                <w:sz w:val="22"/>
                <w:szCs w:val="22"/>
              </w:rPr>
            </w:pPr>
            <w:r w:rsidRPr="00B778FA">
              <w:rPr>
                <w:rFonts w:ascii="Times New Roman" w:hAnsi="Times New Roman" w:cs="Times New Roman"/>
                <w:sz w:val="22"/>
                <w:szCs w:val="22"/>
              </w:rPr>
              <w:t>993</w:t>
            </w:r>
          </w:p>
        </w:tc>
        <w:tc>
          <w:tcPr>
            <w:tcW w:w="1316" w:type="dxa"/>
            <w:vAlign w:val="center"/>
          </w:tcPr>
          <w:p w:rsidRPr="00B778FA" w:rsidR="00B45722" w:rsidP="00892C3D" w:rsidRDefault="00B45722" w14:paraId="6AEF32C0" w14:textId="77777777">
            <w:pPr>
              <w:jc w:val="center"/>
              <w:rPr>
                <w:rFonts w:ascii="Times New Roman" w:hAnsi="Times New Roman" w:cs="Times New Roman"/>
                <w:sz w:val="22"/>
                <w:szCs w:val="22"/>
              </w:rPr>
            </w:pPr>
            <w:r w:rsidRPr="00B778FA">
              <w:rPr>
                <w:rFonts w:ascii="Times New Roman" w:hAnsi="Times New Roman" w:cs="Times New Roman"/>
                <w:sz w:val="22"/>
                <w:szCs w:val="22"/>
              </w:rPr>
              <w:t>98,307</w:t>
            </w:r>
          </w:p>
        </w:tc>
      </w:tr>
      <w:tr w:rsidRPr="00B778FA" w:rsidR="00B45722" w:rsidTr="00892C3D" w14:paraId="124C7750" w14:textId="77777777">
        <w:trPr>
          <w:trHeight w:val="458"/>
        </w:trPr>
        <w:tc>
          <w:tcPr>
            <w:tcW w:w="7243" w:type="dxa"/>
            <w:gridSpan w:val="4"/>
            <w:tcBorders>
              <w:top w:val="single" w:color="auto" w:sz="12" w:space="0"/>
              <w:left w:val="single" w:color="auto" w:sz="6" w:space="0"/>
              <w:bottom w:val="single" w:color="auto" w:sz="12" w:space="0"/>
            </w:tcBorders>
            <w:vAlign w:val="center"/>
          </w:tcPr>
          <w:p w:rsidRPr="00F83F61" w:rsidR="00B45722" w:rsidP="00892C3D" w:rsidRDefault="00B45722" w14:paraId="049140A4" w14:textId="77777777">
            <w:pPr>
              <w:rPr>
                <w:rFonts w:ascii="Times New Roman" w:hAnsi="Times New Roman" w:cs="Times New Roman"/>
                <w:b/>
                <w:sz w:val="22"/>
                <w:szCs w:val="22"/>
              </w:rPr>
            </w:pPr>
            <w:r w:rsidRPr="00F83F61">
              <w:rPr>
                <w:rFonts w:ascii="Times New Roman" w:hAnsi="Times New Roman" w:cs="Times New Roman"/>
                <w:b/>
                <w:sz w:val="22"/>
                <w:szCs w:val="22"/>
              </w:rPr>
              <w:t xml:space="preserve">Total Hourly Burden </w:t>
            </w:r>
          </w:p>
        </w:tc>
        <w:tc>
          <w:tcPr>
            <w:tcW w:w="1316" w:type="dxa"/>
            <w:tcBorders>
              <w:top w:val="single" w:color="auto" w:sz="12" w:space="0"/>
              <w:left w:val="single" w:color="auto" w:sz="6" w:space="0"/>
              <w:bottom w:val="single" w:color="auto" w:sz="12" w:space="0"/>
            </w:tcBorders>
            <w:vAlign w:val="center"/>
          </w:tcPr>
          <w:p w:rsidRPr="00B778FA" w:rsidR="00B45722" w:rsidP="00892C3D" w:rsidRDefault="00B45722" w14:paraId="53698627" w14:textId="77777777">
            <w:pPr>
              <w:jc w:val="center"/>
              <w:rPr>
                <w:rFonts w:ascii="Times New Roman" w:hAnsi="Times New Roman" w:cs="Times New Roman"/>
                <w:b/>
                <w:sz w:val="22"/>
                <w:szCs w:val="22"/>
                <w:lang w:val="en-US"/>
              </w:rPr>
            </w:pPr>
            <w:r w:rsidRPr="00B778FA">
              <w:rPr>
                <w:rFonts w:ascii="Times New Roman" w:hAnsi="Times New Roman" w:cs="Times New Roman"/>
                <w:b/>
                <w:sz w:val="22"/>
                <w:szCs w:val="22"/>
                <w:lang w:val="en-US"/>
              </w:rPr>
              <w:t>99,466</w:t>
            </w:r>
          </w:p>
        </w:tc>
      </w:tr>
    </w:tbl>
    <w:p w:rsidRPr="00AA6051" w:rsidR="00114F02" w:rsidP="00F83F61" w:rsidRDefault="00B45722" w14:paraId="202B7C97" w14:textId="19F870E4">
      <w:pPr>
        <w:spacing w:line="480" w:lineRule="auto"/>
        <w:rPr>
          <w:szCs w:val="22"/>
        </w:rPr>
      </w:pPr>
      <w:r w:rsidRPr="00B778FA">
        <w:rPr>
          <w:sz w:val="22"/>
          <w:szCs w:val="22"/>
        </w:rPr>
        <w:t>*82.75 rounded to 83</w:t>
      </w:r>
    </w:p>
    <w:p w:rsidR="009016C2" w:rsidP="009829C3" w:rsidRDefault="009016C2" w14:paraId="6F8610DC" w14:textId="77777777">
      <w:pPr>
        <w:widowControl w:val="0"/>
        <w:autoSpaceDE w:val="0"/>
        <w:autoSpaceDN w:val="0"/>
        <w:adjustRightInd w:val="0"/>
        <w:spacing w:line="268" w:lineRule="exact"/>
        <w:jc w:val="both"/>
        <w:rPr>
          <w:szCs w:val="22"/>
          <w:u w:val="single"/>
        </w:rPr>
      </w:pPr>
    </w:p>
    <w:p w:rsidR="009016C2" w:rsidP="009829C3" w:rsidRDefault="009016C2" w14:paraId="3CFB2CE8" w14:textId="77777777">
      <w:pPr>
        <w:widowControl w:val="0"/>
        <w:autoSpaceDE w:val="0"/>
        <w:autoSpaceDN w:val="0"/>
        <w:adjustRightInd w:val="0"/>
        <w:spacing w:line="268" w:lineRule="exact"/>
        <w:jc w:val="both"/>
        <w:rPr>
          <w:szCs w:val="22"/>
          <w:u w:val="single"/>
        </w:rPr>
      </w:pPr>
    </w:p>
    <w:p w:rsidR="009016C2" w:rsidP="009829C3" w:rsidRDefault="009016C2" w14:paraId="6AFA88C4" w14:textId="77777777">
      <w:pPr>
        <w:widowControl w:val="0"/>
        <w:autoSpaceDE w:val="0"/>
        <w:autoSpaceDN w:val="0"/>
        <w:adjustRightInd w:val="0"/>
        <w:spacing w:line="268" w:lineRule="exact"/>
        <w:jc w:val="both"/>
        <w:rPr>
          <w:szCs w:val="22"/>
          <w:u w:val="single"/>
        </w:rPr>
      </w:pPr>
    </w:p>
    <w:p w:rsidR="009016C2" w:rsidP="009829C3" w:rsidRDefault="009016C2" w14:paraId="485881E6" w14:textId="77777777">
      <w:pPr>
        <w:widowControl w:val="0"/>
        <w:autoSpaceDE w:val="0"/>
        <w:autoSpaceDN w:val="0"/>
        <w:adjustRightInd w:val="0"/>
        <w:spacing w:line="268" w:lineRule="exact"/>
        <w:jc w:val="both"/>
        <w:rPr>
          <w:szCs w:val="22"/>
          <w:u w:val="single"/>
        </w:rPr>
      </w:pPr>
    </w:p>
    <w:p w:rsidR="009016C2" w:rsidP="009829C3" w:rsidRDefault="009016C2" w14:paraId="18A52EF6" w14:textId="77777777">
      <w:pPr>
        <w:widowControl w:val="0"/>
        <w:autoSpaceDE w:val="0"/>
        <w:autoSpaceDN w:val="0"/>
        <w:adjustRightInd w:val="0"/>
        <w:spacing w:line="268" w:lineRule="exact"/>
        <w:jc w:val="both"/>
        <w:rPr>
          <w:szCs w:val="22"/>
          <w:u w:val="single"/>
        </w:rPr>
      </w:pPr>
    </w:p>
    <w:p w:rsidR="009016C2" w:rsidP="009829C3" w:rsidRDefault="009016C2" w14:paraId="15885975" w14:textId="77777777">
      <w:pPr>
        <w:widowControl w:val="0"/>
        <w:autoSpaceDE w:val="0"/>
        <w:autoSpaceDN w:val="0"/>
        <w:adjustRightInd w:val="0"/>
        <w:spacing w:line="268" w:lineRule="exact"/>
        <w:jc w:val="both"/>
        <w:rPr>
          <w:szCs w:val="22"/>
          <w:u w:val="single"/>
        </w:rPr>
      </w:pPr>
    </w:p>
    <w:p w:rsidRPr="00AA6051" w:rsidR="003A525C" w:rsidP="009829C3" w:rsidRDefault="008722D3" w14:paraId="3F57626E" w14:textId="1A67A742">
      <w:pPr>
        <w:widowControl w:val="0"/>
        <w:autoSpaceDE w:val="0"/>
        <w:autoSpaceDN w:val="0"/>
        <w:adjustRightInd w:val="0"/>
        <w:spacing w:line="268" w:lineRule="exact"/>
        <w:jc w:val="both"/>
        <w:rPr>
          <w:szCs w:val="22"/>
        </w:rPr>
      </w:pPr>
      <w:r w:rsidRPr="00D616F2">
        <w:rPr>
          <w:szCs w:val="22"/>
          <w:u w:val="single"/>
        </w:rPr>
        <w:t>Estimated Total Annual Cost:</w:t>
      </w:r>
      <w:r w:rsidRPr="00AA6051">
        <w:rPr>
          <w:szCs w:val="22"/>
        </w:rPr>
        <w:t xml:space="preserve"> $</w:t>
      </w:r>
      <w:r w:rsidRPr="00B45722" w:rsidR="00B45722">
        <w:rPr>
          <w:szCs w:val="22"/>
        </w:rPr>
        <w:t>3,297,273</w:t>
      </w:r>
      <w:r w:rsidRPr="00AA6051">
        <w:rPr>
          <w:szCs w:val="22"/>
        </w:rPr>
        <w:t>.</w:t>
      </w:r>
    </w:p>
    <w:p w:rsidRPr="00AA6051" w:rsidR="008722D3" w:rsidP="009829C3" w:rsidRDefault="008722D3" w14:paraId="1667EAEF" w14:textId="77777777">
      <w:pPr>
        <w:widowControl w:val="0"/>
        <w:autoSpaceDE w:val="0"/>
        <w:autoSpaceDN w:val="0"/>
        <w:adjustRightInd w:val="0"/>
        <w:spacing w:line="268" w:lineRule="exact"/>
        <w:jc w:val="both"/>
        <w:rPr>
          <w:szCs w:val="22"/>
        </w:rPr>
      </w:pPr>
    </w:p>
    <w:p w:rsidRPr="00B778FA" w:rsidR="00B45722" w:rsidP="00B45722" w:rsidRDefault="00B45722" w14:paraId="78060CC2" w14:textId="3A388185">
      <w:pPr>
        <w:rPr>
          <w:b/>
          <w:sz w:val="22"/>
          <w:szCs w:val="22"/>
        </w:rPr>
      </w:pPr>
      <w:r w:rsidRPr="00B778FA">
        <w:rPr>
          <w:b/>
          <w:sz w:val="22"/>
          <w:szCs w:val="22"/>
        </w:rPr>
        <w:t>Total cost of traditional annual PRA burden</w:t>
      </w:r>
    </w:p>
    <w:tbl>
      <w:tblPr>
        <w:tblStyle w:val="TableGrid"/>
        <w:tblW w:w="9577" w:type="dxa"/>
        <w:tblInd w:w="-5" w:type="dxa"/>
        <w:tblLook w:val="04A0" w:firstRow="1" w:lastRow="0" w:firstColumn="1" w:lastColumn="0" w:noHBand="0" w:noVBand="1"/>
      </w:tblPr>
      <w:tblGrid>
        <w:gridCol w:w="4018"/>
        <w:gridCol w:w="1922"/>
        <w:gridCol w:w="1551"/>
        <w:gridCol w:w="2086"/>
      </w:tblGrid>
      <w:tr w:rsidRPr="00B778FA" w:rsidR="00B45722" w:rsidTr="00AD09CC" w14:paraId="5FD47AD6" w14:textId="77777777">
        <w:trPr>
          <w:trHeight w:val="1022"/>
          <w:tblHeader/>
        </w:trPr>
        <w:tc>
          <w:tcPr>
            <w:tcW w:w="4018" w:type="dxa"/>
            <w:vAlign w:val="center"/>
          </w:tcPr>
          <w:p w:rsidRPr="00B778FA" w:rsidR="00B45722" w:rsidP="00892C3D" w:rsidRDefault="00AD09CC" w14:paraId="1B246D08" w14:textId="0357E305">
            <w:pPr>
              <w:rPr>
                <w:rFonts w:ascii="Times New Roman" w:hAnsi="Times New Roman" w:cs="Times New Roman"/>
                <w:b/>
                <w:sz w:val="22"/>
                <w:szCs w:val="22"/>
                <w:lang w:val="en-US"/>
              </w:rPr>
            </w:pPr>
            <w:r>
              <w:rPr>
                <w:rFonts w:ascii="Times New Roman" w:hAnsi="Times New Roman" w:cs="Times New Roman"/>
                <w:b/>
                <w:sz w:val="22"/>
                <w:szCs w:val="22"/>
                <w:lang w:val="en-US"/>
              </w:rPr>
              <w:t>Steps</w:t>
            </w:r>
          </w:p>
        </w:tc>
        <w:tc>
          <w:tcPr>
            <w:tcW w:w="1922" w:type="dxa"/>
            <w:vAlign w:val="center"/>
          </w:tcPr>
          <w:p w:rsidRPr="00B778FA" w:rsidR="00B45722" w:rsidP="00892C3D" w:rsidRDefault="00AD09CC" w14:paraId="5F779DCD" w14:textId="018D6A5A">
            <w:pPr>
              <w:rPr>
                <w:rFonts w:ascii="Times New Roman" w:hAnsi="Times New Roman" w:cs="Times New Roman"/>
                <w:b/>
                <w:sz w:val="22"/>
                <w:szCs w:val="22"/>
                <w:lang w:val="en-US"/>
              </w:rPr>
            </w:pPr>
            <w:r>
              <w:rPr>
                <w:rFonts w:ascii="Times New Roman" w:hAnsi="Times New Roman" w:cs="Times New Roman"/>
                <w:b/>
                <w:sz w:val="22"/>
                <w:szCs w:val="22"/>
                <w:lang w:val="en-US"/>
              </w:rPr>
              <w:t>Hourly Burden</w:t>
            </w:r>
          </w:p>
        </w:tc>
        <w:tc>
          <w:tcPr>
            <w:tcW w:w="1551" w:type="dxa"/>
            <w:vAlign w:val="center"/>
          </w:tcPr>
          <w:p w:rsidRPr="00B778FA" w:rsidR="00B45722" w:rsidP="00892C3D" w:rsidRDefault="00AD09CC" w14:paraId="0AEDAFC5" w14:textId="5AB02966">
            <w:pPr>
              <w:rPr>
                <w:rFonts w:ascii="Times New Roman" w:hAnsi="Times New Roman" w:cs="Times New Roman"/>
                <w:b/>
                <w:sz w:val="22"/>
                <w:szCs w:val="22"/>
                <w:lang w:val="en-US"/>
              </w:rPr>
            </w:pPr>
            <w:r>
              <w:rPr>
                <w:rFonts w:ascii="Times New Roman" w:hAnsi="Times New Roman" w:cs="Times New Roman"/>
                <w:b/>
                <w:sz w:val="22"/>
                <w:szCs w:val="22"/>
                <w:lang w:val="en-US"/>
              </w:rPr>
              <w:t>Hourly C</w:t>
            </w:r>
            <w:r w:rsidRPr="00B778FA" w:rsidR="00B45722">
              <w:rPr>
                <w:rFonts w:ascii="Times New Roman" w:hAnsi="Times New Roman" w:cs="Times New Roman"/>
                <w:b/>
                <w:sz w:val="22"/>
                <w:szCs w:val="22"/>
                <w:lang w:val="en-US"/>
              </w:rPr>
              <w:t>ost</w:t>
            </w:r>
          </w:p>
        </w:tc>
        <w:tc>
          <w:tcPr>
            <w:tcW w:w="2086" w:type="dxa"/>
            <w:vAlign w:val="center"/>
          </w:tcPr>
          <w:p w:rsidRPr="00B778FA" w:rsidR="00B45722" w:rsidP="00892C3D" w:rsidRDefault="00AD09CC" w14:paraId="5B7CDA6D" w14:textId="5B02A367">
            <w:pPr>
              <w:rPr>
                <w:rFonts w:ascii="Times New Roman" w:hAnsi="Times New Roman" w:cs="Times New Roman"/>
                <w:b/>
                <w:sz w:val="22"/>
                <w:szCs w:val="22"/>
                <w:lang w:val="en-US"/>
              </w:rPr>
            </w:pPr>
            <w:r>
              <w:rPr>
                <w:rFonts w:ascii="Times New Roman" w:hAnsi="Times New Roman" w:cs="Times New Roman"/>
                <w:b/>
                <w:sz w:val="22"/>
                <w:szCs w:val="22"/>
                <w:lang w:val="en-US"/>
              </w:rPr>
              <w:t>Total C</w:t>
            </w:r>
            <w:r w:rsidRPr="00B778FA" w:rsidR="00B45722">
              <w:rPr>
                <w:rFonts w:ascii="Times New Roman" w:hAnsi="Times New Roman" w:cs="Times New Roman"/>
                <w:b/>
                <w:sz w:val="22"/>
                <w:szCs w:val="22"/>
                <w:lang w:val="en-US"/>
              </w:rPr>
              <w:t>ost</w:t>
            </w:r>
          </w:p>
        </w:tc>
      </w:tr>
      <w:tr w:rsidRPr="00B778FA" w:rsidR="00B45722" w:rsidTr="00AD09CC" w14:paraId="6459A7AB" w14:textId="77777777">
        <w:tc>
          <w:tcPr>
            <w:tcW w:w="4018" w:type="dxa"/>
            <w:vAlign w:val="center"/>
          </w:tcPr>
          <w:p w:rsidRPr="00B778FA" w:rsidR="00B45722" w:rsidP="00B45722" w:rsidRDefault="00B45722" w14:paraId="4E329865" w14:textId="77777777">
            <w:pPr>
              <w:pStyle w:val="ListParagraph"/>
              <w:numPr>
                <w:ilvl w:val="0"/>
                <w:numId w:val="5"/>
              </w:numPr>
              <w:rPr>
                <w:rFonts w:ascii="Times New Roman" w:hAnsi="Times New Roman" w:cs="Times New Roman"/>
                <w:lang w:val="en-US"/>
              </w:rPr>
            </w:pPr>
            <w:r w:rsidRPr="00B778FA">
              <w:rPr>
                <w:rFonts w:ascii="Times New Roman" w:hAnsi="Times New Roman" w:cs="Times New Roman"/>
                <w:lang w:val="en-US"/>
              </w:rPr>
              <w:t>Maintaining and updating the written AML program</w:t>
            </w:r>
          </w:p>
        </w:tc>
        <w:tc>
          <w:tcPr>
            <w:tcW w:w="1922" w:type="dxa"/>
            <w:vAlign w:val="center"/>
          </w:tcPr>
          <w:p w:rsidRPr="00B778FA" w:rsidR="00B45722" w:rsidP="00AD09CC" w:rsidRDefault="00B45722" w14:paraId="060D4338" w14:textId="77777777">
            <w:pPr>
              <w:rPr>
                <w:rFonts w:ascii="Times New Roman" w:hAnsi="Times New Roman" w:cs="Times New Roman"/>
                <w:sz w:val="22"/>
                <w:szCs w:val="22"/>
                <w:lang w:val="en-US"/>
              </w:rPr>
            </w:pPr>
            <w:r w:rsidRPr="00B778FA">
              <w:rPr>
                <w:rFonts w:ascii="Times New Roman" w:hAnsi="Times New Roman" w:cs="Times New Roman"/>
                <w:sz w:val="22"/>
                <w:szCs w:val="22"/>
                <w:lang w:val="en-US"/>
              </w:rPr>
              <w:t>993</w:t>
            </w:r>
          </w:p>
        </w:tc>
        <w:tc>
          <w:tcPr>
            <w:tcW w:w="1551" w:type="dxa"/>
            <w:vAlign w:val="center"/>
          </w:tcPr>
          <w:p w:rsidRPr="00B778FA" w:rsidR="00B45722" w:rsidP="00892C3D" w:rsidRDefault="00B45722" w14:paraId="6C966636" w14:textId="77777777">
            <w:pPr>
              <w:jc w:val="right"/>
              <w:rPr>
                <w:rFonts w:ascii="Times New Roman" w:hAnsi="Times New Roman" w:cs="Times New Roman"/>
                <w:sz w:val="22"/>
                <w:szCs w:val="22"/>
                <w:lang w:val="en-US"/>
              </w:rPr>
            </w:pPr>
          </w:p>
          <w:p w:rsidRPr="00B778FA" w:rsidR="00B45722" w:rsidP="00AD09CC" w:rsidRDefault="00B45722" w14:paraId="60DC2990" w14:textId="5AAAC1F4">
            <w:pPr>
              <w:rPr>
                <w:rFonts w:ascii="Times New Roman" w:hAnsi="Times New Roman" w:cs="Times New Roman"/>
                <w:sz w:val="22"/>
                <w:szCs w:val="22"/>
                <w:lang w:val="en-US"/>
              </w:rPr>
            </w:pPr>
            <w:r w:rsidRPr="00B778FA">
              <w:rPr>
                <w:rFonts w:ascii="Times New Roman" w:hAnsi="Times New Roman" w:cs="Times New Roman"/>
                <w:sz w:val="22"/>
                <w:szCs w:val="22"/>
                <w:lang w:val="en-US"/>
              </w:rPr>
              <w:t>$48.00</w:t>
            </w:r>
            <w:r w:rsidR="00AD09CC">
              <w:rPr>
                <w:rStyle w:val="FootnoteReference"/>
                <w:rFonts w:ascii="Times New Roman" w:hAnsi="Times New Roman" w:cs="Times New Roman"/>
                <w:sz w:val="22"/>
                <w:szCs w:val="22"/>
                <w:lang w:val="en-US"/>
              </w:rPr>
              <w:footnoteReference w:id="8"/>
            </w:r>
          </w:p>
          <w:p w:rsidRPr="00B778FA" w:rsidR="00B45722" w:rsidP="00892C3D" w:rsidRDefault="00B45722" w14:paraId="0963CE0E" w14:textId="38125869">
            <w:pPr>
              <w:rPr>
                <w:rFonts w:ascii="Times New Roman" w:hAnsi="Times New Roman" w:cs="Times New Roman"/>
                <w:sz w:val="22"/>
                <w:szCs w:val="22"/>
                <w:lang w:val="en-US"/>
              </w:rPr>
            </w:pPr>
          </w:p>
        </w:tc>
        <w:tc>
          <w:tcPr>
            <w:tcW w:w="2086" w:type="dxa"/>
            <w:vAlign w:val="center"/>
          </w:tcPr>
          <w:p w:rsidRPr="00B778FA" w:rsidR="00B45722" w:rsidP="00892C3D" w:rsidRDefault="00B45722" w14:paraId="54E4B0A6" w14:textId="77777777">
            <w:pPr>
              <w:jc w:val="right"/>
              <w:rPr>
                <w:rFonts w:ascii="Times New Roman" w:hAnsi="Times New Roman" w:cs="Times New Roman"/>
                <w:sz w:val="22"/>
                <w:szCs w:val="22"/>
                <w:lang w:val="en-US"/>
              </w:rPr>
            </w:pPr>
            <w:r w:rsidRPr="00B778FA">
              <w:rPr>
                <w:rFonts w:ascii="Times New Roman" w:hAnsi="Times New Roman" w:cs="Times New Roman"/>
                <w:sz w:val="22"/>
                <w:szCs w:val="22"/>
                <w:lang w:val="en-US"/>
              </w:rPr>
              <w:t>$47,664</w:t>
            </w:r>
          </w:p>
        </w:tc>
      </w:tr>
      <w:tr w:rsidRPr="00B778FA" w:rsidR="00B45722" w:rsidTr="00AD09CC" w14:paraId="565EF0C3" w14:textId="77777777">
        <w:tc>
          <w:tcPr>
            <w:tcW w:w="4018" w:type="dxa"/>
            <w:vAlign w:val="center"/>
          </w:tcPr>
          <w:p w:rsidRPr="00B778FA" w:rsidR="00B45722" w:rsidP="00B45722" w:rsidRDefault="00B45722" w14:paraId="5E824361" w14:textId="77777777">
            <w:pPr>
              <w:pStyle w:val="ListParagraph"/>
              <w:numPr>
                <w:ilvl w:val="0"/>
                <w:numId w:val="5"/>
              </w:numPr>
              <w:rPr>
                <w:rFonts w:ascii="Times New Roman" w:hAnsi="Times New Roman" w:cs="Times New Roman"/>
                <w:lang w:val="en-US"/>
              </w:rPr>
            </w:pPr>
            <w:r w:rsidRPr="00B778FA">
              <w:rPr>
                <w:rFonts w:ascii="Times New Roman" w:hAnsi="Times New Roman" w:cs="Times New Roman"/>
              </w:rPr>
              <w:t xml:space="preserve">Storing the written AML program </w:t>
            </w:r>
          </w:p>
        </w:tc>
        <w:tc>
          <w:tcPr>
            <w:tcW w:w="1922" w:type="dxa"/>
            <w:vAlign w:val="center"/>
          </w:tcPr>
          <w:p w:rsidRPr="00B778FA" w:rsidR="00B45722" w:rsidP="00AD09CC" w:rsidRDefault="00B45722" w14:paraId="465FCE88" w14:textId="77777777">
            <w:pPr>
              <w:rPr>
                <w:rFonts w:ascii="Times New Roman" w:hAnsi="Times New Roman" w:cs="Times New Roman"/>
                <w:sz w:val="22"/>
                <w:szCs w:val="22"/>
                <w:lang w:val="en-US"/>
              </w:rPr>
            </w:pPr>
            <w:r w:rsidRPr="00B778FA">
              <w:rPr>
                <w:rFonts w:ascii="Times New Roman" w:hAnsi="Times New Roman" w:cs="Times New Roman"/>
                <w:sz w:val="22"/>
                <w:szCs w:val="22"/>
                <w:lang w:val="en-US"/>
              </w:rPr>
              <w:t>83*</w:t>
            </w:r>
          </w:p>
        </w:tc>
        <w:tc>
          <w:tcPr>
            <w:tcW w:w="1551" w:type="dxa"/>
            <w:vAlign w:val="center"/>
          </w:tcPr>
          <w:p w:rsidRPr="00B778FA" w:rsidR="00B45722" w:rsidP="00892C3D" w:rsidRDefault="00B45722" w14:paraId="156156BB" w14:textId="13D76E3E">
            <w:pPr>
              <w:rPr>
                <w:rFonts w:ascii="Times New Roman" w:hAnsi="Times New Roman" w:cs="Times New Roman"/>
                <w:sz w:val="22"/>
                <w:szCs w:val="22"/>
                <w:lang w:val="en-US"/>
              </w:rPr>
            </w:pPr>
            <w:r w:rsidRPr="00B778FA">
              <w:rPr>
                <w:rFonts w:ascii="Times New Roman" w:hAnsi="Times New Roman" w:cs="Times New Roman"/>
                <w:sz w:val="22"/>
                <w:szCs w:val="22"/>
                <w:lang w:val="en-US"/>
              </w:rPr>
              <w:t>$33.00</w:t>
            </w:r>
            <w:r w:rsidR="00AD09CC">
              <w:rPr>
                <w:rStyle w:val="FootnoteReference"/>
                <w:rFonts w:ascii="Times New Roman" w:hAnsi="Times New Roman" w:cs="Times New Roman"/>
                <w:sz w:val="22"/>
                <w:szCs w:val="22"/>
                <w:lang w:val="en-US"/>
              </w:rPr>
              <w:footnoteReference w:id="9"/>
            </w:r>
          </w:p>
        </w:tc>
        <w:tc>
          <w:tcPr>
            <w:tcW w:w="2086" w:type="dxa"/>
            <w:vAlign w:val="center"/>
          </w:tcPr>
          <w:p w:rsidRPr="00B778FA" w:rsidR="00B45722" w:rsidP="00892C3D" w:rsidRDefault="00B45722" w14:paraId="52490558" w14:textId="77777777">
            <w:pPr>
              <w:jc w:val="right"/>
              <w:rPr>
                <w:rFonts w:ascii="Times New Roman" w:hAnsi="Times New Roman" w:cs="Times New Roman"/>
                <w:sz w:val="22"/>
                <w:szCs w:val="22"/>
                <w:lang w:val="en-US"/>
              </w:rPr>
            </w:pPr>
            <w:r w:rsidRPr="00B778FA">
              <w:rPr>
                <w:rFonts w:ascii="Times New Roman" w:hAnsi="Times New Roman" w:cs="Times New Roman"/>
                <w:sz w:val="22"/>
                <w:szCs w:val="22"/>
                <w:lang w:val="en-US"/>
              </w:rPr>
              <w:t>$2,739</w:t>
            </w:r>
          </w:p>
        </w:tc>
      </w:tr>
      <w:tr w:rsidRPr="00B778FA" w:rsidR="00B45722" w:rsidTr="00AD09CC" w14:paraId="2D2983B8" w14:textId="77777777">
        <w:tc>
          <w:tcPr>
            <w:tcW w:w="4018" w:type="dxa"/>
            <w:vAlign w:val="center"/>
          </w:tcPr>
          <w:p w:rsidRPr="00B778FA" w:rsidR="00B45722" w:rsidP="00B45722" w:rsidRDefault="00B45722" w14:paraId="134742FB" w14:textId="77777777">
            <w:pPr>
              <w:pStyle w:val="ListParagraph"/>
              <w:numPr>
                <w:ilvl w:val="0"/>
                <w:numId w:val="5"/>
              </w:numPr>
              <w:rPr>
                <w:rFonts w:ascii="Times New Roman" w:hAnsi="Times New Roman" w:cs="Times New Roman"/>
                <w:lang w:val="en-US"/>
              </w:rPr>
            </w:pPr>
            <w:r w:rsidRPr="00B778FA">
              <w:rPr>
                <w:rFonts w:ascii="Times New Roman" w:hAnsi="Times New Roman" w:cs="Times New Roman"/>
                <w:lang w:val="en-US"/>
              </w:rPr>
              <w:t>Producing the written AML program upon request</w:t>
            </w:r>
          </w:p>
        </w:tc>
        <w:tc>
          <w:tcPr>
            <w:tcW w:w="1922" w:type="dxa"/>
            <w:vAlign w:val="center"/>
          </w:tcPr>
          <w:p w:rsidRPr="00B778FA" w:rsidR="00B45722" w:rsidP="00AD09CC" w:rsidRDefault="00B45722" w14:paraId="2FE15E5E" w14:textId="77777777">
            <w:pPr>
              <w:rPr>
                <w:rFonts w:ascii="Times New Roman" w:hAnsi="Times New Roman" w:cs="Times New Roman"/>
                <w:sz w:val="22"/>
                <w:szCs w:val="22"/>
                <w:lang w:val="en-US"/>
              </w:rPr>
            </w:pPr>
            <w:r w:rsidRPr="00B778FA">
              <w:rPr>
                <w:rFonts w:ascii="Times New Roman" w:hAnsi="Times New Roman" w:cs="Times New Roman"/>
                <w:sz w:val="22"/>
                <w:szCs w:val="22"/>
                <w:lang w:val="en-US"/>
              </w:rPr>
              <w:t>83*</w:t>
            </w:r>
          </w:p>
        </w:tc>
        <w:tc>
          <w:tcPr>
            <w:tcW w:w="1551" w:type="dxa"/>
            <w:vAlign w:val="center"/>
          </w:tcPr>
          <w:p w:rsidRPr="00B778FA" w:rsidR="00B45722" w:rsidP="00892C3D" w:rsidRDefault="00B45722" w14:paraId="0D44B9D0" w14:textId="5BDC8881">
            <w:pPr>
              <w:rPr>
                <w:rFonts w:ascii="Times New Roman" w:hAnsi="Times New Roman" w:cs="Times New Roman"/>
                <w:sz w:val="22"/>
                <w:szCs w:val="22"/>
                <w:lang w:val="en-US"/>
              </w:rPr>
            </w:pPr>
            <w:r w:rsidRPr="00B778FA">
              <w:rPr>
                <w:rFonts w:ascii="Times New Roman" w:hAnsi="Times New Roman" w:cs="Times New Roman"/>
                <w:sz w:val="22"/>
                <w:szCs w:val="22"/>
                <w:lang w:val="en-US"/>
              </w:rPr>
              <w:t>$33.00</w:t>
            </w:r>
            <w:r w:rsidR="00AD09CC">
              <w:rPr>
                <w:rStyle w:val="FootnoteReference"/>
                <w:rFonts w:ascii="Times New Roman" w:hAnsi="Times New Roman" w:cs="Times New Roman"/>
                <w:sz w:val="22"/>
                <w:szCs w:val="22"/>
                <w:lang w:val="en-US"/>
              </w:rPr>
              <w:footnoteReference w:id="10"/>
            </w:r>
          </w:p>
        </w:tc>
        <w:tc>
          <w:tcPr>
            <w:tcW w:w="2086" w:type="dxa"/>
            <w:vAlign w:val="center"/>
          </w:tcPr>
          <w:p w:rsidRPr="00B778FA" w:rsidR="00B45722" w:rsidP="00892C3D" w:rsidRDefault="00B45722" w14:paraId="20991E3B" w14:textId="77777777">
            <w:pPr>
              <w:jc w:val="right"/>
              <w:rPr>
                <w:rFonts w:ascii="Times New Roman" w:hAnsi="Times New Roman" w:cs="Times New Roman"/>
                <w:sz w:val="22"/>
                <w:szCs w:val="22"/>
                <w:lang w:val="en-US"/>
              </w:rPr>
            </w:pPr>
            <w:r w:rsidRPr="00B778FA">
              <w:rPr>
                <w:rFonts w:ascii="Times New Roman" w:hAnsi="Times New Roman" w:cs="Times New Roman"/>
                <w:sz w:val="22"/>
                <w:szCs w:val="22"/>
                <w:lang w:val="en-US"/>
              </w:rPr>
              <w:t>$2,739</w:t>
            </w:r>
          </w:p>
        </w:tc>
      </w:tr>
      <w:tr w:rsidRPr="00B778FA" w:rsidR="00B45722" w:rsidTr="00AD09CC" w14:paraId="4301C5C5" w14:textId="77777777">
        <w:tc>
          <w:tcPr>
            <w:tcW w:w="4018" w:type="dxa"/>
            <w:vAlign w:val="center"/>
          </w:tcPr>
          <w:p w:rsidRPr="00B778FA" w:rsidR="00B45722" w:rsidP="00B45722" w:rsidRDefault="00B45722" w14:paraId="2CAEEBDB" w14:textId="77777777">
            <w:pPr>
              <w:pStyle w:val="ListParagraph"/>
              <w:numPr>
                <w:ilvl w:val="0"/>
                <w:numId w:val="5"/>
              </w:numPr>
              <w:rPr>
                <w:rFonts w:ascii="Times New Roman" w:hAnsi="Times New Roman"/>
              </w:rPr>
            </w:pPr>
            <w:r w:rsidRPr="00B778FA">
              <w:rPr>
                <w:rFonts w:ascii="Times New Roman" w:hAnsi="Times New Roman" w:cs="Times New Roman"/>
              </w:rPr>
              <w:t>Ongoing compliance with the requirements in 31 CFR 1021.210(b)(2)(v) and (vi)</w:t>
            </w:r>
          </w:p>
        </w:tc>
        <w:tc>
          <w:tcPr>
            <w:tcW w:w="1922" w:type="dxa"/>
            <w:vAlign w:val="center"/>
          </w:tcPr>
          <w:p w:rsidRPr="00B778FA" w:rsidR="00B45722" w:rsidP="00AD09CC" w:rsidRDefault="00B45722" w14:paraId="4D9B0B5F" w14:textId="77777777">
            <w:pPr>
              <w:rPr>
                <w:rFonts w:ascii="Times New Roman" w:hAnsi="Times New Roman" w:cs="Times New Roman"/>
                <w:sz w:val="22"/>
                <w:szCs w:val="22"/>
              </w:rPr>
            </w:pPr>
            <w:r w:rsidRPr="00B778FA">
              <w:rPr>
                <w:rFonts w:ascii="Times New Roman" w:hAnsi="Times New Roman" w:cs="Times New Roman"/>
                <w:sz w:val="22"/>
                <w:szCs w:val="22"/>
              </w:rPr>
              <w:t>98,307</w:t>
            </w:r>
          </w:p>
        </w:tc>
        <w:tc>
          <w:tcPr>
            <w:tcW w:w="1551" w:type="dxa"/>
            <w:vAlign w:val="center"/>
          </w:tcPr>
          <w:p w:rsidRPr="00B778FA" w:rsidR="00B45722" w:rsidP="00892C3D" w:rsidRDefault="00B45722" w14:paraId="14EA658B" w14:textId="65D75BDB">
            <w:pPr>
              <w:rPr>
                <w:rFonts w:ascii="Times New Roman" w:hAnsi="Times New Roman" w:cs="Times New Roman"/>
                <w:sz w:val="22"/>
                <w:szCs w:val="22"/>
              </w:rPr>
            </w:pPr>
            <w:r w:rsidRPr="00B778FA">
              <w:rPr>
                <w:rFonts w:ascii="Times New Roman" w:hAnsi="Times New Roman" w:cs="Times New Roman"/>
                <w:sz w:val="22"/>
                <w:szCs w:val="22"/>
              </w:rPr>
              <w:t>$33.00</w:t>
            </w:r>
            <w:r w:rsidR="00CB02A3">
              <w:rPr>
                <w:rStyle w:val="FootnoteReference"/>
                <w:rFonts w:ascii="Times New Roman" w:hAnsi="Times New Roman" w:cs="Times New Roman"/>
                <w:sz w:val="22"/>
                <w:szCs w:val="22"/>
              </w:rPr>
              <w:footnoteReference w:id="11"/>
            </w:r>
          </w:p>
        </w:tc>
        <w:tc>
          <w:tcPr>
            <w:tcW w:w="2086" w:type="dxa"/>
            <w:vAlign w:val="center"/>
          </w:tcPr>
          <w:p w:rsidRPr="00B778FA" w:rsidR="00B45722" w:rsidP="00892C3D" w:rsidRDefault="00B45722" w14:paraId="7F46323A" w14:textId="77777777">
            <w:pPr>
              <w:jc w:val="right"/>
              <w:rPr>
                <w:rFonts w:ascii="Times New Roman" w:hAnsi="Times New Roman" w:cs="Times New Roman"/>
                <w:sz w:val="22"/>
                <w:szCs w:val="22"/>
              </w:rPr>
            </w:pPr>
            <w:r w:rsidRPr="00B778FA">
              <w:rPr>
                <w:rFonts w:ascii="Times New Roman" w:hAnsi="Times New Roman" w:cs="Times New Roman"/>
                <w:sz w:val="22"/>
                <w:szCs w:val="22"/>
              </w:rPr>
              <w:t>$3,244,131</w:t>
            </w:r>
          </w:p>
        </w:tc>
      </w:tr>
      <w:tr w:rsidRPr="00B778FA" w:rsidR="00B45722" w:rsidTr="00892C3D" w14:paraId="68A949C5" w14:textId="77777777">
        <w:trPr>
          <w:trHeight w:val="413"/>
        </w:trPr>
        <w:tc>
          <w:tcPr>
            <w:tcW w:w="7491" w:type="dxa"/>
            <w:gridSpan w:val="3"/>
            <w:tcBorders>
              <w:top w:val="single" w:color="auto" w:sz="12" w:space="0"/>
              <w:left w:val="single" w:color="auto" w:sz="12" w:space="0"/>
              <w:bottom w:val="single" w:color="auto" w:sz="12" w:space="0"/>
              <w:right w:val="nil"/>
            </w:tcBorders>
            <w:vAlign w:val="center"/>
          </w:tcPr>
          <w:p w:rsidRPr="00B778FA" w:rsidR="00B45722" w:rsidP="00892C3D" w:rsidRDefault="00B45722" w14:paraId="360CE338" w14:textId="77777777">
            <w:pPr>
              <w:rPr>
                <w:rFonts w:ascii="Times New Roman" w:hAnsi="Times New Roman" w:cs="Times New Roman"/>
                <w:b/>
                <w:sz w:val="22"/>
                <w:szCs w:val="22"/>
                <w:lang w:val="en-US"/>
              </w:rPr>
            </w:pPr>
            <w:r w:rsidRPr="00B778FA">
              <w:rPr>
                <w:rFonts w:ascii="Times New Roman" w:hAnsi="Times New Roman" w:cs="Times New Roman"/>
                <w:b/>
                <w:sz w:val="22"/>
                <w:szCs w:val="22"/>
              </w:rPr>
              <w:t xml:space="preserve">Total </w:t>
            </w:r>
            <w:r w:rsidRPr="00B778FA">
              <w:rPr>
                <w:rFonts w:ascii="Times New Roman" w:hAnsi="Times New Roman" w:cs="Times New Roman"/>
                <w:b/>
                <w:sz w:val="22"/>
                <w:szCs w:val="22"/>
                <w:lang w:val="en-US"/>
              </w:rPr>
              <w:t>C</w:t>
            </w:r>
            <w:r w:rsidRPr="00B778FA">
              <w:rPr>
                <w:rFonts w:ascii="Times New Roman" w:hAnsi="Times New Roman" w:cs="Times New Roman"/>
                <w:b/>
                <w:sz w:val="22"/>
                <w:szCs w:val="22"/>
              </w:rPr>
              <w:t>ost</w:t>
            </w:r>
          </w:p>
        </w:tc>
        <w:tc>
          <w:tcPr>
            <w:tcW w:w="2086" w:type="dxa"/>
            <w:tcBorders>
              <w:top w:val="single" w:color="auto" w:sz="12" w:space="0"/>
              <w:left w:val="nil"/>
              <w:bottom w:val="single" w:color="auto" w:sz="12" w:space="0"/>
              <w:right w:val="single" w:color="auto" w:sz="12" w:space="0"/>
            </w:tcBorders>
            <w:vAlign w:val="center"/>
          </w:tcPr>
          <w:p w:rsidRPr="00B778FA" w:rsidR="00B45722" w:rsidP="00892C3D" w:rsidRDefault="00B45722" w14:paraId="2775AE37" w14:textId="77777777">
            <w:pPr>
              <w:jc w:val="right"/>
              <w:rPr>
                <w:rFonts w:ascii="Times New Roman" w:hAnsi="Times New Roman" w:cs="Times New Roman"/>
                <w:b/>
                <w:sz w:val="22"/>
                <w:szCs w:val="22"/>
                <w:lang w:val="en-US"/>
              </w:rPr>
            </w:pPr>
            <w:r w:rsidRPr="00B778FA">
              <w:rPr>
                <w:rFonts w:ascii="Times New Roman" w:hAnsi="Times New Roman" w:cs="Times New Roman"/>
                <w:b/>
                <w:sz w:val="22"/>
                <w:szCs w:val="22"/>
                <w:lang w:val="en-US"/>
              </w:rPr>
              <w:t>$3,297,273</w:t>
            </w:r>
          </w:p>
        </w:tc>
      </w:tr>
    </w:tbl>
    <w:p w:rsidRPr="00B778FA" w:rsidR="00B45722" w:rsidP="00B45722" w:rsidRDefault="00B45722" w14:paraId="418009F2" w14:textId="77777777">
      <w:pPr>
        <w:spacing w:line="480" w:lineRule="auto"/>
        <w:rPr>
          <w:b/>
        </w:rPr>
      </w:pPr>
      <w:r w:rsidRPr="00B778FA">
        <w:rPr>
          <w:sz w:val="22"/>
          <w:szCs w:val="22"/>
        </w:rPr>
        <w:t>*82.75 rounded to 83</w:t>
      </w:r>
    </w:p>
    <w:p w:rsidR="00373ACA" w:rsidP="00373ACA" w:rsidRDefault="00373ACA" w14:paraId="745D698C" w14:textId="77777777">
      <w:pPr>
        <w:ind w:left="720"/>
        <w:rPr>
          <w:iCs/>
        </w:rPr>
      </w:pPr>
      <w:r w:rsidRPr="0037232E">
        <w:rPr>
          <w:iCs/>
        </w:rPr>
        <w:t>There are no non-labor costs associated with this collection of information.</w:t>
      </w:r>
    </w:p>
    <w:p w:rsidRPr="00AA6051" w:rsidR="009829C3" w:rsidP="009829C3" w:rsidRDefault="009829C3" w14:paraId="7FD3C98A" w14:textId="77777777">
      <w:pPr>
        <w:rPr>
          <w:szCs w:val="22"/>
        </w:rPr>
      </w:pPr>
    </w:p>
    <w:p w:rsidRPr="00AA6051" w:rsidR="00643252" w:rsidP="009829C3" w:rsidRDefault="00643252" w14:paraId="7AE7B940"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Pr="00AA6051" w:rsidR="009829C3" w:rsidP="009829C3" w:rsidRDefault="009829C3" w14:paraId="26BAD1D9" w14:textId="77777777">
      <w:pPr>
        <w:ind w:firstLine="720"/>
      </w:pPr>
    </w:p>
    <w:p w:rsidRPr="00AA6051" w:rsidR="00643252" w:rsidP="009829C3" w:rsidRDefault="00BB6976" w14:paraId="68114693" w14:textId="5C34C97D">
      <w:pPr>
        <w:ind w:firstLine="720"/>
      </w:pPr>
      <w:r w:rsidRPr="00AA6051">
        <w:t xml:space="preserve">There is no cost to the </w:t>
      </w:r>
      <w:r w:rsidR="001F0492">
        <w:t xml:space="preserve">Federal </w:t>
      </w:r>
      <w:r w:rsidRPr="00AA6051">
        <w:t>government; this is a recordkeeping requirement only.</w:t>
      </w:r>
    </w:p>
    <w:p w:rsidRPr="00AA6051" w:rsidR="009829C3" w:rsidP="009829C3" w:rsidRDefault="009829C3" w14:paraId="79CD5FF2" w14:textId="77777777">
      <w:pPr>
        <w:ind w:firstLine="720"/>
      </w:pPr>
    </w:p>
    <w:p w:rsidRPr="00AA6051" w:rsidR="00643252" w:rsidP="009829C3" w:rsidRDefault="00643252" w14:paraId="56E6D25B" w14:textId="77777777">
      <w:pPr>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Pr="00AA6051" w:rsidR="00F2243A" w:rsidP="009829C3" w:rsidRDefault="00553D43" w14:paraId="7020C83E" w14:textId="77777777">
      <w:pPr>
        <w:pStyle w:val="CommentText"/>
        <w:rPr>
          <w:szCs w:val="22"/>
        </w:rPr>
      </w:pPr>
      <w:r w:rsidRPr="00AA6051">
        <w:rPr>
          <w:szCs w:val="22"/>
        </w:rPr>
        <w:t xml:space="preserve"> </w:t>
      </w:r>
      <w:r w:rsidRPr="00AA6051">
        <w:rPr>
          <w:szCs w:val="22"/>
        </w:rPr>
        <w:tab/>
      </w:r>
    </w:p>
    <w:p w:rsidRPr="00DC274D" w:rsidR="0031398A" w:rsidP="00D65007" w:rsidRDefault="00803C63" w14:paraId="6824219B" w14:textId="686832EA">
      <w:pPr>
        <w:widowControl w:val="0"/>
        <w:ind w:firstLine="720"/>
        <w:rPr>
          <w:snapToGrid w:val="0"/>
        </w:rPr>
      </w:pPr>
      <w:r w:rsidRPr="00D616F2">
        <w:rPr>
          <w:snapToGrid w:val="0"/>
        </w:rPr>
        <w:t xml:space="preserve">The </w:t>
      </w:r>
      <w:r w:rsidRPr="00D616F2" w:rsidR="005C739E">
        <w:rPr>
          <w:snapToGrid w:val="0"/>
        </w:rPr>
        <w:t xml:space="preserve">estimated </w:t>
      </w:r>
      <w:r w:rsidRPr="00D616F2">
        <w:rPr>
          <w:snapToGrid w:val="0"/>
        </w:rPr>
        <w:t xml:space="preserve">total annual burden hours </w:t>
      </w:r>
      <w:r w:rsidRPr="00D616F2" w:rsidR="00F83F61">
        <w:rPr>
          <w:snapToGrid w:val="0"/>
        </w:rPr>
        <w:t>increased</w:t>
      </w:r>
      <w:r w:rsidRPr="00D616F2">
        <w:rPr>
          <w:snapToGrid w:val="0"/>
        </w:rPr>
        <w:t xml:space="preserve"> from </w:t>
      </w:r>
      <w:r w:rsidRPr="00D616F2" w:rsidR="00D65007">
        <w:rPr>
          <w:snapToGrid w:val="0"/>
        </w:rPr>
        <w:t>92,500</w:t>
      </w:r>
      <w:r w:rsidRPr="00D616F2" w:rsidR="00E92F6A">
        <w:t xml:space="preserve"> </w:t>
      </w:r>
      <w:r w:rsidRPr="00D616F2">
        <w:rPr>
          <w:snapToGrid w:val="0"/>
        </w:rPr>
        <w:t xml:space="preserve">hours </w:t>
      </w:r>
      <w:r w:rsidRPr="00D616F2" w:rsidR="00D65007">
        <w:rPr>
          <w:snapToGrid w:val="0"/>
        </w:rPr>
        <w:t xml:space="preserve">in 2017 </w:t>
      </w:r>
      <w:r w:rsidRPr="00D616F2">
        <w:rPr>
          <w:snapToGrid w:val="0"/>
        </w:rPr>
        <w:t xml:space="preserve">to </w:t>
      </w:r>
      <w:r w:rsidRPr="00D616F2" w:rsidR="00C909C9">
        <w:t>99,466</w:t>
      </w:r>
      <w:r w:rsidRPr="00D616F2">
        <w:rPr>
          <w:snapToGrid w:val="0"/>
        </w:rPr>
        <w:t xml:space="preserve"> </w:t>
      </w:r>
      <w:r w:rsidR="00FA42EF">
        <w:rPr>
          <w:snapToGrid w:val="0"/>
        </w:rPr>
        <w:t xml:space="preserve">hours </w:t>
      </w:r>
      <w:r w:rsidRPr="00D616F2" w:rsidR="00D65007">
        <w:rPr>
          <w:snapToGrid w:val="0"/>
        </w:rPr>
        <w:t>in 2020.</w:t>
      </w:r>
      <w:r w:rsidRPr="00D616F2">
        <w:rPr>
          <w:snapToGrid w:val="0"/>
        </w:rPr>
        <w:t xml:space="preserve"> </w:t>
      </w:r>
      <w:r w:rsidRPr="00D616F2" w:rsidR="00E92F6A">
        <w:rPr>
          <w:snapToGrid w:val="0"/>
        </w:rPr>
        <w:t>The estimated burden</w:t>
      </w:r>
      <w:r w:rsidRPr="00D616F2" w:rsidR="00384CA6">
        <w:rPr>
          <w:snapToGrid w:val="0"/>
        </w:rPr>
        <w:t xml:space="preserve"> </w:t>
      </w:r>
      <w:r w:rsidR="00DC274D">
        <w:rPr>
          <w:snapToGrid w:val="0"/>
        </w:rPr>
        <w:t xml:space="preserve">for casinos </w:t>
      </w:r>
      <w:r w:rsidRPr="00D616F2" w:rsidR="00384CA6">
        <w:rPr>
          <w:snapToGrid w:val="0"/>
        </w:rPr>
        <w:t xml:space="preserve">to implement and maintain an AML compliance program remained at approximately 100 </w:t>
      </w:r>
      <w:r w:rsidRPr="00D616F2" w:rsidR="00E92F6A">
        <w:rPr>
          <w:snapToGrid w:val="0"/>
        </w:rPr>
        <w:t>hours per casino</w:t>
      </w:r>
      <w:r w:rsidRPr="00D616F2" w:rsidR="00D65007">
        <w:rPr>
          <w:snapToGrid w:val="0"/>
        </w:rPr>
        <w:t>, with the addition of 5 minutes to store the written AML program and 5 minutes to produce the written program upon request</w:t>
      </w:r>
      <w:r w:rsidRPr="00D616F2" w:rsidR="00E92F6A">
        <w:rPr>
          <w:snapToGrid w:val="0"/>
        </w:rPr>
        <w:t xml:space="preserve">. </w:t>
      </w:r>
      <w:r w:rsidRPr="00D616F2">
        <w:rPr>
          <w:snapToGrid w:val="0"/>
        </w:rPr>
        <w:t xml:space="preserve">The </w:t>
      </w:r>
      <w:r w:rsidRPr="00D616F2" w:rsidR="00D65007">
        <w:rPr>
          <w:snapToGrid w:val="0"/>
        </w:rPr>
        <w:t>increase in burden</w:t>
      </w:r>
      <w:r w:rsidR="003F5783">
        <w:rPr>
          <w:snapToGrid w:val="0"/>
        </w:rPr>
        <w:t xml:space="preserve"> is due to</w:t>
      </w:r>
      <w:r w:rsidRPr="00D616F2" w:rsidR="00D65007">
        <w:rPr>
          <w:snapToGrid w:val="0"/>
        </w:rPr>
        <w:t xml:space="preserve"> a combination of the increase in burden of 10 minutes per casino</w:t>
      </w:r>
      <w:r w:rsidR="00DC274D">
        <w:rPr>
          <w:snapToGrid w:val="0"/>
        </w:rPr>
        <w:t>,</w:t>
      </w:r>
      <w:r w:rsidRPr="00D616F2" w:rsidR="00D65007">
        <w:rPr>
          <w:snapToGrid w:val="0"/>
        </w:rPr>
        <w:t xml:space="preserve"> and an increase in the number of casinos from 925 in 2017 to 993 in 2020.</w:t>
      </w:r>
    </w:p>
    <w:p w:rsidRPr="00AA6051" w:rsidR="009829C3" w:rsidP="009829C3" w:rsidRDefault="009829C3" w14:paraId="36F5F77E" w14:textId="77777777">
      <w:pPr>
        <w:pStyle w:val="CommentText"/>
        <w:ind w:firstLine="720"/>
        <w:rPr>
          <w:sz w:val="24"/>
          <w:szCs w:val="24"/>
        </w:rPr>
      </w:pPr>
    </w:p>
    <w:p w:rsidRPr="00D616F2" w:rsidR="00D8554E" w:rsidP="009829C3" w:rsidRDefault="00D8554E" w14:paraId="152471BF" w14:textId="77777777">
      <w:pPr>
        <w:rPr>
          <w:szCs w:val="22"/>
        </w:rPr>
      </w:pPr>
      <w:r w:rsidRPr="00D616F2">
        <w:rPr>
          <w:szCs w:val="22"/>
        </w:rPr>
        <w:t xml:space="preserve">16. </w:t>
      </w:r>
      <w:r w:rsidRPr="00D616F2">
        <w:rPr>
          <w:szCs w:val="22"/>
          <w:u w:val="single"/>
        </w:rPr>
        <w:t>Plans for tabulation, statistical analysis, and publication.</w:t>
      </w:r>
    </w:p>
    <w:p w:rsidRPr="00D616F2" w:rsidR="009829C3" w:rsidP="009829C3" w:rsidRDefault="009829C3" w14:paraId="322C5F1D" w14:textId="77777777">
      <w:pPr>
        <w:ind w:firstLine="720"/>
      </w:pPr>
    </w:p>
    <w:p w:rsidRPr="00D616F2" w:rsidR="00D8554E" w:rsidP="009829C3" w:rsidRDefault="00D8554E" w14:paraId="6B49B43F" w14:textId="77777777">
      <w:pPr>
        <w:ind w:firstLine="720"/>
        <w:rPr>
          <w:szCs w:val="22"/>
        </w:rPr>
      </w:pPr>
      <w:r w:rsidRPr="00D616F2">
        <w:t>This collection of information will not be published.</w:t>
      </w:r>
      <w:r w:rsidRPr="00D616F2">
        <w:rPr>
          <w:szCs w:val="22"/>
        </w:rPr>
        <w:t xml:space="preserve"> </w:t>
      </w:r>
    </w:p>
    <w:p w:rsidRPr="00D616F2" w:rsidR="009829C3" w:rsidP="009829C3" w:rsidRDefault="009829C3" w14:paraId="0594D77E" w14:textId="77777777">
      <w:pPr>
        <w:ind w:firstLine="720"/>
        <w:rPr>
          <w:szCs w:val="22"/>
        </w:rPr>
      </w:pPr>
    </w:p>
    <w:p w:rsidRPr="00D616F2" w:rsidR="00D8554E" w:rsidP="009829C3" w:rsidRDefault="00D8554E" w14:paraId="3A1BA0F7" w14:textId="77777777">
      <w:pPr>
        <w:rPr>
          <w:szCs w:val="22"/>
        </w:rPr>
      </w:pPr>
      <w:r w:rsidRPr="00D616F2">
        <w:rPr>
          <w:szCs w:val="22"/>
        </w:rPr>
        <w:t xml:space="preserve">17. </w:t>
      </w:r>
      <w:r w:rsidRPr="00D616F2">
        <w:rPr>
          <w:u w:val="single"/>
        </w:rPr>
        <w:t>Request not to display the expiration date of the OMB control number.</w:t>
      </w:r>
    </w:p>
    <w:p w:rsidRPr="00D616F2" w:rsidR="009829C3" w:rsidP="009829C3" w:rsidRDefault="009829C3" w14:paraId="50FAF34E" w14:textId="77777777">
      <w:pPr>
        <w:ind w:firstLine="720"/>
        <w:rPr>
          <w:szCs w:val="22"/>
        </w:rPr>
      </w:pPr>
    </w:p>
    <w:p w:rsidRPr="00D616F2" w:rsidR="00D8554E" w:rsidP="009829C3" w:rsidRDefault="00D8554E" w14:paraId="4654CD6E" w14:textId="77777777">
      <w:pPr>
        <w:ind w:firstLine="720"/>
        <w:rPr>
          <w:szCs w:val="22"/>
        </w:rPr>
      </w:pPr>
      <w:r w:rsidRPr="00D616F2">
        <w:rPr>
          <w:szCs w:val="22"/>
        </w:rPr>
        <w:t xml:space="preserve">FinCEN requests that it not be required to display the expiration date so that the regulations will not have to be amended for the new expiration date every three years.  </w:t>
      </w:r>
    </w:p>
    <w:p w:rsidRPr="00D616F2" w:rsidR="00D8554E" w:rsidP="009829C3" w:rsidRDefault="00D8554E" w14:paraId="3E59C37C" w14:textId="77777777">
      <w:pPr>
        <w:rPr>
          <w:szCs w:val="22"/>
        </w:rPr>
      </w:pPr>
    </w:p>
    <w:p w:rsidRPr="00D616F2" w:rsidR="00D8554E" w:rsidP="009829C3" w:rsidRDefault="00D8554E" w14:paraId="14AD53AD" w14:textId="77777777">
      <w:pPr>
        <w:widowControl w:val="0"/>
        <w:autoSpaceDE w:val="0"/>
        <w:autoSpaceDN w:val="0"/>
        <w:adjustRightInd w:val="0"/>
        <w:spacing w:line="240" w:lineRule="exact"/>
        <w:ind w:right="220"/>
        <w:jc w:val="both"/>
        <w:rPr>
          <w:szCs w:val="22"/>
          <w:u w:val="single"/>
        </w:rPr>
      </w:pPr>
      <w:r w:rsidRPr="00D616F2">
        <w:rPr>
          <w:szCs w:val="22"/>
        </w:rPr>
        <w:t xml:space="preserve">18.  </w:t>
      </w:r>
      <w:r w:rsidRPr="00D616F2">
        <w:rPr>
          <w:szCs w:val="22"/>
          <w:u w:val="single"/>
        </w:rPr>
        <w:t>Exceptions to the certification statement.</w:t>
      </w:r>
    </w:p>
    <w:p w:rsidRPr="00D616F2" w:rsidR="00D8554E" w:rsidP="009829C3" w:rsidRDefault="00D8554E" w14:paraId="586FCF57" w14:textId="77777777">
      <w:pPr>
        <w:widowControl w:val="0"/>
        <w:autoSpaceDE w:val="0"/>
        <w:autoSpaceDN w:val="0"/>
        <w:adjustRightInd w:val="0"/>
        <w:spacing w:line="240" w:lineRule="exact"/>
        <w:ind w:right="220"/>
        <w:jc w:val="both"/>
        <w:rPr>
          <w:szCs w:val="22"/>
        </w:rPr>
      </w:pPr>
    </w:p>
    <w:p w:rsidRPr="00CB146A" w:rsidR="00643252" w:rsidP="00CB146A" w:rsidRDefault="00D8554E" w14:paraId="6DE272F1" w14:textId="42AE59D2">
      <w:pPr>
        <w:widowControl w:val="0"/>
        <w:autoSpaceDE w:val="0"/>
        <w:autoSpaceDN w:val="0"/>
        <w:adjustRightInd w:val="0"/>
        <w:spacing w:line="240" w:lineRule="exact"/>
        <w:ind w:right="220" w:firstLine="720"/>
        <w:jc w:val="both"/>
        <w:rPr>
          <w:rFonts w:eastAsia="MS Mincho"/>
        </w:rPr>
      </w:pPr>
      <w:r w:rsidRPr="00D616F2">
        <w:rPr>
          <w:szCs w:val="22"/>
        </w:rPr>
        <w:t>There are no exceptions to the certification statement</w:t>
      </w:r>
      <w:r w:rsidRPr="00D616F2" w:rsidR="002D6FD1">
        <w:rPr>
          <w:szCs w:val="22"/>
        </w:rPr>
        <w:t>.</w:t>
      </w:r>
    </w:p>
    <w:sectPr w:rsidRPr="00CB146A" w:rsidR="0064325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06FF" w14:textId="77777777" w:rsidR="00B53A63" w:rsidRDefault="00B53A63">
      <w:r>
        <w:separator/>
      </w:r>
    </w:p>
  </w:endnote>
  <w:endnote w:type="continuationSeparator" w:id="0">
    <w:p w14:paraId="1E1D9157" w14:textId="77777777" w:rsidR="00B53A63" w:rsidRDefault="00B5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270776"/>
      <w:docPartObj>
        <w:docPartGallery w:val="Page Numbers (Bottom of Page)"/>
        <w:docPartUnique/>
      </w:docPartObj>
    </w:sdtPr>
    <w:sdtEndPr>
      <w:rPr>
        <w:noProof/>
      </w:rPr>
    </w:sdtEndPr>
    <w:sdtContent>
      <w:p w14:paraId="70F19450" w14:textId="65DC6648" w:rsidR="00B53A63" w:rsidRDefault="00B53A63">
        <w:pPr>
          <w:pStyle w:val="Footer"/>
          <w:jc w:val="center"/>
        </w:pPr>
        <w:r>
          <w:fldChar w:fldCharType="begin"/>
        </w:r>
        <w:r>
          <w:instrText xml:space="preserve"> PAGE   \* MERGEFORMAT </w:instrText>
        </w:r>
        <w:r>
          <w:fldChar w:fldCharType="separate"/>
        </w:r>
        <w:r w:rsidR="0046100F">
          <w:rPr>
            <w:noProof/>
          </w:rPr>
          <w:t>6</w:t>
        </w:r>
        <w:r>
          <w:rPr>
            <w:noProof/>
          </w:rPr>
          <w:fldChar w:fldCharType="end"/>
        </w:r>
      </w:p>
    </w:sdtContent>
  </w:sdt>
  <w:p w14:paraId="7ED3A517" w14:textId="77777777" w:rsidR="00B53A63" w:rsidRDefault="00B5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87224" w14:textId="77777777" w:rsidR="00B53A63" w:rsidRDefault="00B53A63">
      <w:r>
        <w:separator/>
      </w:r>
    </w:p>
  </w:footnote>
  <w:footnote w:type="continuationSeparator" w:id="0">
    <w:p w14:paraId="60725FBA" w14:textId="77777777" w:rsidR="00B53A63" w:rsidRDefault="00B53A63">
      <w:r>
        <w:continuationSeparator/>
      </w:r>
    </w:p>
  </w:footnote>
  <w:footnote w:id="1">
    <w:p w14:paraId="24B6BEAD" w14:textId="77777777" w:rsidR="00984211" w:rsidRPr="00120B54" w:rsidRDefault="00984211" w:rsidP="00984211">
      <w:pPr>
        <w:pStyle w:val="FootnoteText"/>
      </w:pPr>
      <w:r w:rsidRPr="008B5BD1">
        <w:rPr>
          <w:rStyle w:val="FootnoteReference"/>
        </w:rPr>
        <w:footnoteRef/>
      </w:r>
      <w:r w:rsidRPr="008B5BD1">
        <w:rPr>
          <w:vertAlign w:val="superscript"/>
        </w:rPr>
        <w:t xml:space="preserve"> </w:t>
      </w:r>
      <w:r w:rsidRPr="00120B54">
        <w:t xml:space="preserve">Section 358 of the USA PATRIOT Act added language expanding the scope of the BSA to intelligence or counter-intelligence activities to protect against international terrorism. Section 6101 of the Anti-Money Laundering Act of 2020 added language further expanding the scope of the BSA but did not disturb these longstanding purposes.  </w:t>
      </w:r>
    </w:p>
  </w:footnote>
  <w:footnote w:id="2">
    <w:p w14:paraId="11BDBE9A" w14:textId="77777777" w:rsidR="00984211" w:rsidRPr="00120B54" w:rsidRDefault="00984211" w:rsidP="00984211">
      <w:pPr>
        <w:pStyle w:val="FootnoteText"/>
      </w:pPr>
      <w:r w:rsidRPr="008B5BD1">
        <w:rPr>
          <w:rStyle w:val="FootnoteReference"/>
        </w:rPr>
        <w:footnoteRef/>
      </w:r>
      <w:r w:rsidRPr="00120B54">
        <w:t xml:space="preserve"> Treasury Order 180-01 (re-affirmed Jan. 14, 2020). </w:t>
      </w:r>
    </w:p>
  </w:footnote>
  <w:footnote w:id="3">
    <w:p w14:paraId="57250BAC" w14:textId="5B7D9A0B" w:rsidR="005950D1" w:rsidRDefault="005950D1" w:rsidP="005950D1">
      <w:pPr>
        <w:pStyle w:val="FootnoteText"/>
      </w:pPr>
      <w:r w:rsidRPr="00B778FA">
        <w:rPr>
          <w:rStyle w:val="FootnoteReference"/>
        </w:rPr>
        <w:footnoteRef/>
      </w:r>
      <w:r w:rsidRPr="00B778FA">
        <w:t xml:space="preserve"> 31 CFR 1021.210.</w:t>
      </w:r>
      <w:r w:rsidR="009B0728">
        <w:t xml:space="preserve"> Card clubs are included in the casino AML program regulations, and any reference to casinos used in BSA regulations includes card clubs, </w:t>
      </w:r>
      <w:r w:rsidR="009B0728" w:rsidRPr="00D727FA">
        <w:t xml:space="preserve">unless </w:t>
      </w:r>
      <w:r w:rsidR="009B0728">
        <w:t xml:space="preserve">specifically noted. </w:t>
      </w:r>
      <w:r w:rsidR="009B0728">
        <w:rPr>
          <w:i/>
        </w:rPr>
        <w:t>See</w:t>
      </w:r>
      <w:r w:rsidR="009B0728">
        <w:t xml:space="preserve"> 31 CFR 1010.100(t)(5)(iii).</w:t>
      </w:r>
    </w:p>
  </w:footnote>
  <w:footnote w:id="4">
    <w:p w14:paraId="469F9949" w14:textId="494BFC2E" w:rsidR="00B53A63" w:rsidRDefault="00B53A63" w:rsidP="00414797">
      <w:pPr>
        <w:pStyle w:val="FootnoteText"/>
      </w:pPr>
      <w:r>
        <w:rPr>
          <w:rStyle w:val="FootnoteReference"/>
        </w:rPr>
        <w:footnoteRef/>
      </w:r>
      <w:r>
        <w:t xml:space="preserve"> 85 FR </w:t>
      </w:r>
      <w:r w:rsidR="00410C98">
        <w:t>83676</w:t>
      </w:r>
      <w:r>
        <w:t xml:space="preserve"> at </w:t>
      </w:r>
      <w:hyperlink r:id="rId1" w:history="1">
        <w:r w:rsidR="00410C98" w:rsidRPr="00830B7B">
          <w:rPr>
            <w:rStyle w:val="Hyperlink"/>
          </w:rPr>
          <w:t>https://www.federalregister.gov/documents/2020/12/22/2020-28255/agency-information-collection-activities-proposed-renewal-comment-request-renewal-without-change-of</w:t>
        </w:r>
      </w:hyperlink>
      <w:r>
        <w:t>.</w:t>
      </w:r>
    </w:p>
  </w:footnote>
  <w:footnote w:id="5">
    <w:p w14:paraId="74FB74B4" w14:textId="4AAE65D9" w:rsidR="00B53A63" w:rsidRDefault="00B53A63">
      <w:pPr>
        <w:pStyle w:val="FootnoteText"/>
      </w:pPr>
      <w:r>
        <w:rPr>
          <w:rStyle w:val="FootnoteReference"/>
        </w:rPr>
        <w:footnoteRef/>
      </w:r>
      <w:r>
        <w:t xml:space="preserve"> </w:t>
      </w:r>
      <w:r w:rsidRPr="00B778FA">
        <w:t>According to numbers provided to FinCEN by the American Gaming Association (AGA), there are 466 commercial casinos as of October 20, 2020.</w:t>
      </w:r>
    </w:p>
  </w:footnote>
  <w:footnote w:id="6">
    <w:p w14:paraId="3E743BC3" w14:textId="6D91B0F2" w:rsidR="00B53A63" w:rsidRDefault="00B53A63">
      <w:pPr>
        <w:pStyle w:val="FootnoteText"/>
      </w:pPr>
      <w:r>
        <w:rPr>
          <w:rStyle w:val="FootnoteReference"/>
        </w:rPr>
        <w:footnoteRef/>
      </w:r>
      <w:r>
        <w:t xml:space="preserve"> </w:t>
      </w:r>
      <w:r w:rsidRPr="00B778FA">
        <w:t>According to numbers provided to FinCEN by the AGA, there are 527 tribal properties as of October 20, 2020.</w:t>
      </w:r>
    </w:p>
  </w:footnote>
  <w:footnote w:id="7">
    <w:p w14:paraId="621589FF" w14:textId="4392417D" w:rsidR="00B53A63" w:rsidRDefault="00B53A63">
      <w:pPr>
        <w:pStyle w:val="FootnoteText"/>
      </w:pPr>
      <w:r>
        <w:rPr>
          <w:rStyle w:val="FootnoteReference"/>
        </w:rPr>
        <w:footnoteRef/>
      </w:r>
      <w:r>
        <w:t xml:space="preserve"> </w:t>
      </w:r>
      <w:r w:rsidRPr="00B778FA">
        <w:t xml:space="preserve">According to numbers provided to FinCEN by the AGA, the total number of casinos includes 223 commercial and tribal casinos in Nevada as of October 20, 2020. This number does not include restricted locations, </w:t>
      </w:r>
      <w:r w:rsidRPr="00B778FA">
        <w:rPr>
          <w:i/>
        </w:rPr>
        <w:t>i.e.</w:t>
      </w:r>
      <w:r w:rsidRPr="00B778FA">
        <w:t>, those with 15 slot machines or fewer.</w:t>
      </w:r>
    </w:p>
  </w:footnote>
  <w:footnote w:id="8">
    <w:p w14:paraId="63DF8EAC" w14:textId="52223971" w:rsidR="00AD09CC" w:rsidRDefault="00AD09CC">
      <w:pPr>
        <w:pStyle w:val="FootnoteText"/>
      </w:pPr>
      <w:r>
        <w:rPr>
          <w:rStyle w:val="FootnoteReference"/>
        </w:rPr>
        <w:footnoteRef/>
      </w:r>
      <w:r>
        <w:t xml:space="preserve"> See 85 FR 83676 (Dec. 22, 2020) for the weighted average hourly cost of maintaining and updating the written AML program.</w:t>
      </w:r>
    </w:p>
  </w:footnote>
  <w:footnote w:id="9">
    <w:p w14:paraId="4AAD00BD" w14:textId="60F882A6" w:rsidR="00AD09CC" w:rsidRDefault="00AD09CC">
      <w:pPr>
        <w:pStyle w:val="FootnoteText"/>
      </w:pPr>
      <w:r>
        <w:rPr>
          <w:rStyle w:val="FootnoteReference"/>
        </w:rPr>
        <w:footnoteRef/>
      </w:r>
      <w:r>
        <w:t xml:space="preserve"> See 85 FR 83676 (Dec. 22, 2020) for the weighted average hourly cost of storing the written AML program.</w:t>
      </w:r>
    </w:p>
  </w:footnote>
  <w:footnote w:id="10">
    <w:p w14:paraId="366DAADC" w14:textId="3E5C650D" w:rsidR="00AD09CC" w:rsidRDefault="00AD09CC">
      <w:pPr>
        <w:pStyle w:val="FootnoteText"/>
      </w:pPr>
      <w:r>
        <w:rPr>
          <w:rStyle w:val="FootnoteReference"/>
        </w:rPr>
        <w:footnoteRef/>
      </w:r>
      <w:r>
        <w:t xml:space="preserve"> See 85 FR 83676 (Dec. 22, 2020) for the weighted average hourly cost of producing the written AML program upon request.</w:t>
      </w:r>
    </w:p>
  </w:footnote>
  <w:footnote w:id="11">
    <w:p w14:paraId="11EBD992" w14:textId="732C7647" w:rsidR="00CB02A3" w:rsidRDefault="00CB02A3">
      <w:pPr>
        <w:pStyle w:val="FootnoteText"/>
      </w:pPr>
      <w:r>
        <w:rPr>
          <w:rStyle w:val="FootnoteReference"/>
        </w:rPr>
        <w:footnoteRef/>
      </w:r>
      <w:r>
        <w:t xml:space="preserve"> See 85 FR 83676 (Dec. 22, 2020) for the weighted average hourly cost</w:t>
      </w:r>
      <w:r w:rsidR="00F30B7F">
        <w:t xml:space="preserve"> of complying with the requirements in </w:t>
      </w:r>
      <w:r w:rsidR="00F30B7F" w:rsidRPr="00F30B7F">
        <w:t>31 CFR 1021.210(b)(2)(v) and (vi)</w:t>
      </w:r>
      <w:r w:rsidR="00F30B7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abstractNum w:abstractNumId="3" w15:restartNumberingAfterBreak="0">
    <w:nsid w:val="119D6251"/>
    <w:multiLevelType w:val="hybridMultilevel"/>
    <w:tmpl w:val="678E32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CF3424"/>
    <w:multiLevelType w:val="hybridMultilevel"/>
    <w:tmpl w:val="92762A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789D"/>
    <w:rsid w:val="00015AE3"/>
    <w:rsid w:val="000167A1"/>
    <w:rsid w:val="00025188"/>
    <w:rsid w:val="000300DC"/>
    <w:rsid w:val="00035F97"/>
    <w:rsid w:val="000377C7"/>
    <w:rsid w:val="00081EE2"/>
    <w:rsid w:val="000821DE"/>
    <w:rsid w:val="00085C49"/>
    <w:rsid w:val="00096CDB"/>
    <w:rsid w:val="000A1838"/>
    <w:rsid w:val="000A26A8"/>
    <w:rsid w:val="000C788D"/>
    <w:rsid w:val="000D1906"/>
    <w:rsid w:val="00104F2C"/>
    <w:rsid w:val="00114F02"/>
    <w:rsid w:val="00121F9A"/>
    <w:rsid w:val="0012306E"/>
    <w:rsid w:val="00127FAF"/>
    <w:rsid w:val="001423FB"/>
    <w:rsid w:val="0017516A"/>
    <w:rsid w:val="001801A2"/>
    <w:rsid w:val="00181256"/>
    <w:rsid w:val="001C53C9"/>
    <w:rsid w:val="001D4496"/>
    <w:rsid w:val="001F0492"/>
    <w:rsid w:val="002015CC"/>
    <w:rsid w:val="00203767"/>
    <w:rsid w:val="00204D14"/>
    <w:rsid w:val="00211F04"/>
    <w:rsid w:val="0021217F"/>
    <w:rsid w:val="00212D01"/>
    <w:rsid w:val="0023217B"/>
    <w:rsid w:val="00240765"/>
    <w:rsid w:val="00242930"/>
    <w:rsid w:val="00250B4A"/>
    <w:rsid w:val="0025100D"/>
    <w:rsid w:val="00261070"/>
    <w:rsid w:val="00263749"/>
    <w:rsid w:val="00293155"/>
    <w:rsid w:val="00297836"/>
    <w:rsid w:val="002A20A2"/>
    <w:rsid w:val="002A271A"/>
    <w:rsid w:val="002A3E05"/>
    <w:rsid w:val="002C2BFB"/>
    <w:rsid w:val="002D6FD1"/>
    <w:rsid w:val="002E72EC"/>
    <w:rsid w:val="0030221B"/>
    <w:rsid w:val="0031398A"/>
    <w:rsid w:val="00320BA2"/>
    <w:rsid w:val="00340236"/>
    <w:rsid w:val="003408A6"/>
    <w:rsid w:val="00353A24"/>
    <w:rsid w:val="003616E2"/>
    <w:rsid w:val="00373ACA"/>
    <w:rsid w:val="00384CA6"/>
    <w:rsid w:val="00392EA3"/>
    <w:rsid w:val="003A525C"/>
    <w:rsid w:val="003A588C"/>
    <w:rsid w:val="003C0E11"/>
    <w:rsid w:val="003C1A61"/>
    <w:rsid w:val="003E58E3"/>
    <w:rsid w:val="003E69DC"/>
    <w:rsid w:val="003E7BF2"/>
    <w:rsid w:val="003F3384"/>
    <w:rsid w:val="003F5783"/>
    <w:rsid w:val="003F5AA4"/>
    <w:rsid w:val="00401C97"/>
    <w:rsid w:val="00410409"/>
    <w:rsid w:val="00410C98"/>
    <w:rsid w:val="00414797"/>
    <w:rsid w:val="0042486C"/>
    <w:rsid w:val="00441A53"/>
    <w:rsid w:val="0044439C"/>
    <w:rsid w:val="0046100F"/>
    <w:rsid w:val="00461F7C"/>
    <w:rsid w:val="00467793"/>
    <w:rsid w:val="00484EA1"/>
    <w:rsid w:val="00491ACB"/>
    <w:rsid w:val="004B3F83"/>
    <w:rsid w:val="004B4B68"/>
    <w:rsid w:val="004C2D27"/>
    <w:rsid w:val="004C7594"/>
    <w:rsid w:val="004D15F4"/>
    <w:rsid w:val="004E4513"/>
    <w:rsid w:val="0050621E"/>
    <w:rsid w:val="005141AD"/>
    <w:rsid w:val="00544A40"/>
    <w:rsid w:val="00551A6C"/>
    <w:rsid w:val="00553D43"/>
    <w:rsid w:val="00554F9B"/>
    <w:rsid w:val="00562228"/>
    <w:rsid w:val="00563FE6"/>
    <w:rsid w:val="00572D22"/>
    <w:rsid w:val="005815DA"/>
    <w:rsid w:val="005950D1"/>
    <w:rsid w:val="005A15A6"/>
    <w:rsid w:val="005A7DEE"/>
    <w:rsid w:val="005B617B"/>
    <w:rsid w:val="005C065F"/>
    <w:rsid w:val="005C62B0"/>
    <w:rsid w:val="005C739E"/>
    <w:rsid w:val="005D0671"/>
    <w:rsid w:val="005D18FC"/>
    <w:rsid w:val="005E23FA"/>
    <w:rsid w:val="005F09CC"/>
    <w:rsid w:val="005F3D8E"/>
    <w:rsid w:val="006015C9"/>
    <w:rsid w:val="00616FDD"/>
    <w:rsid w:val="00622D68"/>
    <w:rsid w:val="006365F6"/>
    <w:rsid w:val="00643252"/>
    <w:rsid w:val="00646D87"/>
    <w:rsid w:val="00666BD7"/>
    <w:rsid w:val="00670C7F"/>
    <w:rsid w:val="00671888"/>
    <w:rsid w:val="006936CB"/>
    <w:rsid w:val="006A60EB"/>
    <w:rsid w:val="006A6925"/>
    <w:rsid w:val="006C5EF4"/>
    <w:rsid w:val="006D5960"/>
    <w:rsid w:val="006F29C7"/>
    <w:rsid w:val="0071417F"/>
    <w:rsid w:val="00726BA4"/>
    <w:rsid w:val="0073663C"/>
    <w:rsid w:val="00751E07"/>
    <w:rsid w:val="00767A40"/>
    <w:rsid w:val="007A5948"/>
    <w:rsid w:val="007E568B"/>
    <w:rsid w:val="007F6DDB"/>
    <w:rsid w:val="00803C63"/>
    <w:rsid w:val="00803FF5"/>
    <w:rsid w:val="00816D07"/>
    <w:rsid w:val="008174B5"/>
    <w:rsid w:val="008446C6"/>
    <w:rsid w:val="008540CC"/>
    <w:rsid w:val="008722D3"/>
    <w:rsid w:val="008745C3"/>
    <w:rsid w:val="008A4827"/>
    <w:rsid w:val="008B280C"/>
    <w:rsid w:val="008C299E"/>
    <w:rsid w:val="008E645D"/>
    <w:rsid w:val="008F7673"/>
    <w:rsid w:val="009016C2"/>
    <w:rsid w:val="00935069"/>
    <w:rsid w:val="00942AFC"/>
    <w:rsid w:val="009821B4"/>
    <w:rsid w:val="009829C3"/>
    <w:rsid w:val="00984211"/>
    <w:rsid w:val="00990686"/>
    <w:rsid w:val="00993F48"/>
    <w:rsid w:val="00995764"/>
    <w:rsid w:val="00995B77"/>
    <w:rsid w:val="00997B22"/>
    <w:rsid w:val="009A34A6"/>
    <w:rsid w:val="009A5F8C"/>
    <w:rsid w:val="009A6C50"/>
    <w:rsid w:val="009B0728"/>
    <w:rsid w:val="009B5E03"/>
    <w:rsid w:val="009C4C6C"/>
    <w:rsid w:val="009C6CDB"/>
    <w:rsid w:val="009D67E4"/>
    <w:rsid w:val="009E0F28"/>
    <w:rsid w:val="009F0488"/>
    <w:rsid w:val="009F04CE"/>
    <w:rsid w:val="00A15199"/>
    <w:rsid w:val="00A3749C"/>
    <w:rsid w:val="00A45579"/>
    <w:rsid w:val="00A618CD"/>
    <w:rsid w:val="00A665E7"/>
    <w:rsid w:val="00A82AC5"/>
    <w:rsid w:val="00A876A1"/>
    <w:rsid w:val="00A91DFC"/>
    <w:rsid w:val="00A921D0"/>
    <w:rsid w:val="00A93AE0"/>
    <w:rsid w:val="00A953CC"/>
    <w:rsid w:val="00AA6051"/>
    <w:rsid w:val="00AA6D89"/>
    <w:rsid w:val="00AB57E5"/>
    <w:rsid w:val="00AB5E47"/>
    <w:rsid w:val="00AC4543"/>
    <w:rsid w:val="00AC5340"/>
    <w:rsid w:val="00AD09CC"/>
    <w:rsid w:val="00AF0148"/>
    <w:rsid w:val="00AF137A"/>
    <w:rsid w:val="00AF152A"/>
    <w:rsid w:val="00AF7EBA"/>
    <w:rsid w:val="00B15E35"/>
    <w:rsid w:val="00B1626E"/>
    <w:rsid w:val="00B17692"/>
    <w:rsid w:val="00B45722"/>
    <w:rsid w:val="00B512E2"/>
    <w:rsid w:val="00B53A63"/>
    <w:rsid w:val="00B57A05"/>
    <w:rsid w:val="00B65C77"/>
    <w:rsid w:val="00B66405"/>
    <w:rsid w:val="00B96E9D"/>
    <w:rsid w:val="00BB6976"/>
    <w:rsid w:val="00BF4B59"/>
    <w:rsid w:val="00C0248A"/>
    <w:rsid w:val="00C03111"/>
    <w:rsid w:val="00C03484"/>
    <w:rsid w:val="00C2320E"/>
    <w:rsid w:val="00C24AA8"/>
    <w:rsid w:val="00C31AE4"/>
    <w:rsid w:val="00C339FC"/>
    <w:rsid w:val="00C34B95"/>
    <w:rsid w:val="00C41175"/>
    <w:rsid w:val="00C4238E"/>
    <w:rsid w:val="00C5001B"/>
    <w:rsid w:val="00C538B7"/>
    <w:rsid w:val="00C577C8"/>
    <w:rsid w:val="00C60662"/>
    <w:rsid w:val="00C70EA9"/>
    <w:rsid w:val="00C72B78"/>
    <w:rsid w:val="00C74C28"/>
    <w:rsid w:val="00C909C9"/>
    <w:rsid w:val="00C910F4"/>
    <w:rsid w:val="00CA58E1"/>
    <w:rsid w:val="00CB02A3"/>
    <w:rsid w:val="00CB146A"/>
    <w:rsid w:val="00CD7306"/>
    <w:rsid w:val="00D06181"/>
    <w:rsid w:val="00D06EA5"/>
    <w:rsid w:val="00D10875"/>
    <w:rsid w:val="00D1640E"/>
    <w:rsid w:val="00D263F3"/>
    <w:rsid w:val="00D26691"/>
    <w:rsid w:val="00D3774C"/>
    <w:rsid w:val="00D47FF1"/>
    <w:rsid w:val="00D5062F"/>
    <w:rsid w:val="00D52D6F"/>
    <w:rsid w:val="00D569C9"/>
    <w:rsid w:val="00D616F2"/>
    <w:rsid w:val="00D61BCD"/>
    <w:rsid w:val="00D65007"/>
    <w:rsid w:val="00D700D9"/>
    <w:rsid w:val="00D74124"/>
    <w:rsid w:val="00D77E1D"/>
    <w:rsid w:val="00D8554E"/>
    <w:rsid w:val="00D87A8B"/>
    <w:rsid w:val="00D90DDF"/>
    <w:rsid w:val="00DB1137"/>
    <w:rsid w:val="00DB22A3"/>
    <w:rsid w:val="00DB6B70"/>
    <w:rsid w:val="00DC274D"/>
    <w:rsid w:val="00DD5DE6"/>
    <w:rsid w:val="00DE23DC"/>
    <w:rsid w:val="00DE4B16"/>
    <w:rsid w:val="00DE5754"/>
    <w:rsid w:val="00E0252C"/>
    <w:rsid w:val="00E03DE1"/>
    <w:rsid w:val="00E06083"/>
    <w:rsid w:val="00E156C7"/>
    <w:rsid w:val="00E20E5E"/>
    <w:rsid w:val="00E27422"/>
    <w:rsid w:val="00E301BC"/>
    <w:rsid w:val="00E35061"/>
    <w:rsid w:val="00E61555"/>
    <w:rsid w:val="00E667ED"/>
    <w:rsid w:val="00E8723F"/>
    <w:rsid w:val="00E87FBA"/>
    <w:rsid w:val="00E92F6A"/>
    <w:rsid w:val="00EA2F26"/>
    <w:rsid w:val="00EA69F3"/>
    <w:rsid w:val="00EB6516"/>
    <w:rsid w:val="00ED0685"/>
    <w:rsid w:val="00EE1121"/>
    <w:rsid w:val="00EE5FA6"/>
    <w:rsid w:val="00F13112"/>
    <w:rsid w:val="00F2243A"/>
    <w:rsid w:val="00F22B68"/>
    <w:rsid w:val="00F30B7F"/>
    <w:rsid w:val="00F32B67"/>
    <w:rsid w:val="00F42E23"/>
    <w:rsid w:val="00F507C0"/>
    <w:rsid w:val="00F50EE6"/>
    <w:rsid w:val="00F6507B"/>
    <w:rsid w:val="00F67F27"/>
    <w:rsid w:val="00F70456"/>
    <w:rsid w:val="00F80F5C"/>
    <w:rsid w:val="00F813D0"/>
    <w:rsid w:val="00F83F61"/>
    <w:rsid w:val="00F91C42"/>
    <w:rsid w:val="00FA42EF"/>
    <w:rsid w:val="00FD1808"/>
    <w:rsid w:val="00FD2687"/>
    <w:rsid w:val="00FE42B3"/>
    <w:rsid w:val="00FF67DD"/>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49157"/>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iPriority w:val="99"/>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410C98"/>
    <w:rPr>
      <w:color w:val="800080" w:themeColor="followedHyperlink"/>
      <w:u w:val="single"/>
    </w:rPr>
  </w:style>
  <w:style w:type="paragraph" w:styleId="Revision">
    <w:name w:val="Revision"/>
    <w:hidden/>
    <w:uiPriority w:val="99"/>
    <w:semiHidden/>
    <w:rsid w:val="00F32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0/12/22/2020-28255/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C617-FF85-4BD1-B79A-39DC305D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1382</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8977</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3</cp:revision>
  <cp:lastPrinted>2017-05-18T13:14:00Z</cp:lastPrinted>
  <dcterms:created xsi:type="dcterms:W3CDTF">2021-02-24T16:14:00Z</dcterms:created>
  <dcterms:modified xsi:type="dcterms:W3CDTF">2021-02-24T16:16:00Z</dcterms:modified>
</cp:coreProperties>
</file>