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A6051" w:rsidR="00643252" w:rsidP="009829C3" w:rsidRDefault="00643252" w14:paraId="659ABA22" w14:textId="77777777">
      <w:pPr>
        <w:pStyle w:val="PlainText"/>
        <w:jc w:val="center"/>
        <w:rPr>
          <w:rFonts w:ascii="Times New Roman" w:hAnsi="Times New Roman" w:eastAsia="MS Mincho" w:cs="Times New Roman"/>
          <w:sz w:val="24"/>
          <w:u w:val="single"/>
        </w:rPr>
      </w:pPr>
      <w:r w:rsidRPr="00AA6051">
        <w:rPr>
          <w:rFonts w:ascii="Times New Roman" w:hAnsi="Times New Roman" w:eastAsia="MS Mincho" w:cs="Times New Roman"/>
          <w:sz w:val="24"/>
          <w:u w:val="single"/>
        </w:rPr>
        <w:t>Supp</w:t>
      </w:r>
      <w:r w:rsidRPr="00AA6051" w:rsidR="00C538B7">
        <w:rPr>
          <w:rFonts w:ascii="Times New Roman" w:hAnsi="Times New Roman" w:eastAsia="MS Mincho" w:cs="Times New Roman"/>
          <w:sz w:val="24"/>
          <w:u w:val="single"/>
        </w:rPr>
        <w:t xml:space="preserve">orting </w:t>
      </w:r>
      <w:r w:rsidRPr="00AA6051">
        <w:rPr>
          <w:rFonts w:ascii="Times New Roman" w:hAnsi="Times New Roman" w:eastAsia="MS Mincho" w:cs="Times New Roman"/>
          <w:sz w:val="24"/>
          <w:u w:val="single"/>
        </w:rPr>
        <w:t>Statement</w:t>
      </w:r>
    </w:p>
    <w:p w:rsidRPr="00AA6051" w:rsidR="00F22B68" w:rsidP="009829C3" w:rsidRDefault="00F22B68" w14:paraId="7BE38995" w14:textId="7E31AC51">
      <w:pPr>
        <w:pStyle w:val="PlainText"/>
        <w:jc w:val="center"/>
        <w:rPr>
          <w:rFonts w:ascii="Times New Roman" w:hAnsi="Times New Roman" w:eastAsia="MS Mincho" w:cs="Times New Roman"/>
          <w:sz w:val="24"/>
          <w:u w:val="single"/>
        </w:rPr>
      </w:pPr>
      <w:r w:rsidRPr="00AA6051">
        <w:rPr>
          <w:rFonts w:ascii="Times New Roman" w:hAnsi="Times New Roman" w:eastAsia="MS Mincho" w:cs="Times New Roman"/>
          <w:sz w:val="24"/>
          <w:u w:val="single"/>
        </w:rPr>
        <w:t>OMB Control Number 1506-</w:t>
      </w:r>
      <w:r w:rsidRPr="00AA6051" w:rsidR="00F557A1">
        <w:rPr>
          <w:rFonts w:ascii="Times New Roman" w:hAnsi="Times New Roman" w:eastAsia="MS Mincho" w:cs="Times New Roman"/>
          <w:sz w:val="24"/>
          <w:u w:val="single"/>
        </w:rPr>
        <w:t>00</w:t>
      </w:r>
      <w:r w:rsidR="00F557A1">
        <w:rPr>
          <w:rFonts w:ascii="Times New Roman" w:hAnsi="Times New Roman" w:eastAsia="MS Mincho" w:cs="Times New Roman"/>
          <w:sz w:val="24"/>
          <w:u w:val="single"/>
        </w:rPr>
        <w:t>50</w:t>
      </w:r>
    </w:p>
    <w:p w:rsidRPr="00AA6051" w:rsidR="00F22B68" w:rsidP="009829C3" w:rsidRDefault="00F22B68" w14:paraId="63221429" w14:textId="77777777">
      <w:pPr>
        <w:pStyle w:val="PlainText"/>
        <w:jc w:val="center"/>
        <w:rPr>
          <w:rFonts w:ascii="Times New Roman" w:hAnsi="Times New Roman" w:eastAsia="MS Mincho" w:cs="Times New Roman"/>
          <w:sz w:val="24"/>
          <w:u w:val="single"/>
        </w:rPr>
      </w:pPr>
    </w:p>
    <w:p w:rsidR="00C9713F" w:rsidP="00787BDD" w:rsidRDefault="00F557A1" w14:paraId="4E4DF178" w14:textId="0818E4DA">
      <w:pPr>
        <w:pStyle w:val="PlainText"/>
        <w:rPr>
          <w:rFonts w:ascii="Times New Roman" w:hAnsi="Times New Roman" w:eastAsia="MS Mincho" w:cs="Times New Roman"/>
          <w:bCs/>
          <w:sz w:val="24"/>
          <w:szCs w:val="24"/>
          <w:u w:val="single"/>
        </w:rPr>
      </w:pPr>
      <w:r>
        <w:rPr>
          <w:rFonts w:ascii="Times New Roman" w:hAnsi="Times New Roman" w:eastAsia="MS Mincho" w:cs="Times New Roman"/>
          <w:bCs/>
          <w:sz w:val="24"/>
          <w:szCs w:val="24"/>
          <w:u w:val="single"/>
        </w:rPr>
        <w:t xml:space="preserve">Renewal Without Change of Administrative Ruling </w:t>
      </w:r>
      <w:r w:rsidR="00D51055">
        <w:rPr>
          <w:rFonts w:ascii="Times New Roman" w:hAnsi="Times New Roman" w:eastAsia="MS Mincho" w:cs="Times New Roman"/>
          <w:bCs/>
          <w:sz w:val="24"/>
          <w:szCs w:val="24"/>
          <w:u w:val="single"/>
        </w:rPr>
        <w:t>Regulations</w:t>
      </w:r>
      <w:r w:rsidR="00787BDD">
        <w:rPr>
          <w:rFonts w:ascii="Times New Roman" w:hAnsi="Times New Roman" w:eastAsia="MS Mincho" w:cs="Times New Roman"/>
          <w:bCs/>
          <w:sz w:val="24"/>
          <w:szCs w:val="24"/>
          <w:u w:val="single"/>
        </w:rPr>
        <w:t xml:space="preserve"> </w:t>
      </w:r>
      <w:r w:rsidRPr="00787BDD" w:rsidR="00787BDD">
        <w:rPr>
          <w:rFonts w:ascii="Times New Roman" w:hAnsi="Times New Roman" w:eastAsia="MS Mincho" w:cs="Times New Roman"/>
          <w:bCs/>
          <w:sz w:val="24"/>
          <w:szCs w:val="24"/>
          <w:u w:val="single"/>
        </w:rPr>
        <w:t>(Subpart G</w:t>
      </w:r>
      <w:r w:rsidR="00C9713F">
        <w:rPr>
          <w:rFonts w:ascii="Times New Roman" w:hAnsi="Times New Roman" w:eastAsia="MS Mincho" w:cs="Times New Roman"/>
          <w:bCs/>
          <w:sz w:val="24"/>
          <w:szCs w:val="24"/>
          <w:u w:val="single"/>
        </w:rPr>
        <w:t xml:space="preserve"> – </w:t>
      </w:r>
    </w:p>
    <w:p w:rsidRPr="00AA6051" w:rsidR="00F22B68" w:rsidP="00787BDD" w:rsidRDefault="00787BDD" w14:paraId="2D6C4CA0" w14:textId="348B7966">
      <w:pPr>
        <w:pStyle w:val="PlainText"/>
        <w:rPr>
          <w:rFonts w:ascii="Times New Roman" w:hAnsi="Times New Roman" w:eastAsia="MS Mincho" w:cs="Times New Roman"/>
          <w:sz w:val="24"/>
          <w:szCs w:val="24"/>
          <w:u w:val="single"/>
        </w:rPr>
      </w:pPr>
      <w:r w:rsidRPr="00787BDD">
        <w:rPr>
          <w:rFonts w:ascii="Times New Roman" w:hAnsi="Times New Roman" w:eastAsia="MS Mincho" w:cs="Times New Roman"/>
          <w:bCs/>
          <w:sz w:val="24"/>
          <w:szCs w:val="24"/>
          <w:u w:val="single"/>
        </w:rPr>
        <w:t>31 CFR</w:t>
      </w:r>
      <w:r w:rsidR="00C9713F">
        <w:rPr>
          <w:rFonts w:ascii="Times New Roman" w:hAnsi="Times New Roman" w:eastAsia="MS Mincho" w:cs="Times New Roman"/>
          <w:bCs/>
          <w:sz w:val="24"/>
          <w:szCs w:val="24"/>
          <w:u w:val="single"/>
        </w:rPr>
        <w:t xml:space="preserve"> </w:t>
      </w:r>
      <w:r w:rsidRPr="00787BDD">
        <w:rPr>
          <w:rFonts w:ascii="Times New Roman" w:hAnsi="Times New Roman" w:eastAsia="MS Mincho" w:cs="Times New Roman"/>
          <w:bCs/>
          <w:sz w:val="24"/>
          <w:szCs w:val="24"/>
          <w:u w:val="single"/>
        </w:rPr>
        <w:t>1010.710 through 31 CFR 1010.717)</w:t>
      </w:r>
      <w:r w:rsidRPr="00AA6051" w:rsidR="00F22B68">
        <w:rPr>
          <w:rFonts w:ascii="Times New Roman" w:hAnsi="Times New Roman" w:cs="Times New Roman"/>
          <w:sz w:val="24"/>
          <w:szCs w:val="24"/>
          <w:u w:val="single"/>
        </w:rPr>
        <w:t>.</w:t>
      </w:r>
    </w:p>
    <w:p w:rsidRPr="00AA6051" w:rsidR="00643252" w:rsidP="009829C3" w:rsidRDefault="00643252" w14:paraId="2EC466E6" w14:textId="77777777">
      <w:pPr>
        <w:pStyle w:val="PlainText"/>
        <w:rPr>
          <w:rFonts w:ascii="Times New Roman" w:hAnsi="Times New Roman" w:eastAsia="MS Mincho" w:cs="Times New Roman"/>
          <w:sz w:val="24"/>
        </w:rPr>
      </w:pPr>
    </w:p>
    <w:p w:rsidRPr="00AA6051" w:rsidR="00643252" w:rsidP="009829C3" w:rsidRDefault="00643252" w14:paraId="3FAC580D" w14:textId="77777777">
      <w:pPr>
        <w:pStyle w:val="PlainText"/>
        <w:rPr>
          <w:rFonts w:ascii="Times New Roman" w:hAnsi="Times New Roman" w:eastAsia="MS Mincho" w:cs="Times New Roman"/>
          <w:sz w:val="24"/>
        </w:rPr>
      </w:pPr>
      <w:r w:rsidRPr="00AA6051">
        <w:rPr>
          <w:rFonts w:ascii="Times New Roman" w:hAnsi="Times New Roman" w:eastAsia="MS Mincho" w:cs="Times New Roman"/>
          <w:sz w:val="24"/>
        </w:rPr>
        <w:t xml:space="preserve">1. </w:t>
      </w:r>
      <w:r w:rsidRPr="00AA6051">
        <w:rPr>
          <w:rFonts w:ascii="Times New Roman" w:hAnsi="Times New Roman" w:cs="Times New Roman"/>
          <w:sz w:val="24"/>
          <w:szCs w:val="22"/>
          <w:u w:val="single"/>
        </w:rPr>
        <w:t xml:space="preserve">Circumstances </w:t>
      </w:r>
      <w:r w:rsidRPr="00AA6051" w:rsidR="00F22B68">
        <w:rPr>
          <w:rFonts w:ascii="Times New Roman" w:hAnsi="Times New Roman" w:cs="Times New Roman"/>
          <w:sz w:val="24"/>
          <w:szCs w:val="22"/>
          <w:u w:val="single"/>
        </w:rPr>
        <w:t>n</w:t>
      </w:r>
      <w:r w:rsidRPr="00AA6051">
        <w:rPr>
          <w:rFonts w:ascii="Times New Roman" w:hAnsi="Times New Roman" w:cs="Times New Roman"/>
          <w:sz w:val="24"/>
          <w:szCs w:val="22"/>
          <w:u w:val="single"/>
        </w:rPr>
        <w:t xml:space="preserve">ecessitating </w:t>
      </w:r>
      <w:r w:rsidRPr="00AA6051" w:rsidR="00F22B68">
        <w:rPr>
          <w:rFonts w:ascii="Times New Roman" w:hAnsi="Times New Roman" w:cs="Times New Roman"/>
          <w:sz w:val="24"/>
          <w:szCs w:val="22"/>
          <w:u w:val="single"/>
        </w:rPr>
        <w:t>c</w:t>
      </w:r>
      <w:r w:rsidRPr="00AA6051">
        <w:rPr>
          <w:rFonts w:ascii="Times New Roman" w:hAnsi="Times New Roman" w:cs="Times New Roman"/>
          <w:sz w:val="24"/>
          <w:szCs w:val="22"/>
          <w:u w:val="single"/>
        </w:rPr>
        <w:t xml:space="preserve">ollection of </w:t>
      </w:r>
      <w:r w:rsidRPr="00AA6051" w:rsidR="00F22B68">
        <w:rPr>
          <w:rFonts w:ascii="Times New Roman" w:hAnsi="Times New Roman" w:cs="Times New Roman"/>
          <w:sz w:val="24"/>
          <w:szCs w:val="22"/>
          <w:u w:val="single"/>
        </w:rPr>
        <w:t>i</w:t>
      </w:r>
      <w:r w:rsidRPr="00AA6051">
        <w:rPr>
          <w:rFonts w:ascii="Times New Roman" w:hAnsi="Times New Roman" w:cs="Times New Roman"/>
          <w:sz w:val="24"/>
          <w:szCs w:val="22"/>
          <w:u w:val="single"/>
        </w:rPr>
        <w:t>nformation.</w:t>
      </w:r>
      <w:r w:rsidRPr="00AA6051">
        <w:rPr>
          <w:rFonts w:ascii="Times New Roman" w:hAnsi="Times New Roman" w:eastAsia="MS Mincho" w:cs="Times New Roman"/>
          <w:sz w:val="24"/>
        </w:rPr>
        <w:tab/>
      </w:r>
    </w:p>
    <w:p w:rsidRPr="00AA6051" w:rsidR="00F22B68" w:rsidP="009829C3" w:rsidRDefault="00F22B68" w14:paraId="51BAC409" w14:textId="77777777">
      <w:pPr>
        <w:pStyle w:val="PlainText"/>
        <w:rPr>
          <w:rFonts w:ascii="Times New Roman" w:hAnsi="Times New Roman" w:eastAsia="MS Mincho" w:cs="Times New Roman"/>
          <w:sz w:val="24"/>
        </w:rPr>
      </w:pPr>
    </w:p>
    <w:p w:rsidRPr="00127A5D" w:rsidR="00127A5D" w:rsidP="00127A5D" w:rsidRDefault="00127A5D" w14:paraId="209E5622" w14:textId="5E991686">
      <w:pPr>
        <w:pStyle w:val="PlainText"/>
        <w:ind w:firstLine="720"/>
        <w:rPr>
          <w:rFonts w:ascii="Times New Roman" w:hAnsi="Times New Roman" w:cs="Times New Roman"/>
          <w:sz w:val="24"/>
          <w:szCs w:val="24"/>
        </w:rPr>
      </w:pPr>
      <w:r w:rsidRPr="00127A5D">
        <w:rPr>
          <w:rFonts w:ascii="Times New Roman" w:hAnsi="Times New Roman" w:cs="Times New Roman"/>
          <w:sz w:val="24"/>
          <w:szCs w:val="24"/>
        </w:rPr>
        <w:t>The legislative framework generally referred to as the Bank Secrecy Act (BSA) consists of the Currency and Financial Transactions Reporting Act of 1970, as amended by the Uniting and Strengthening America by Providing Appropriate Tools Required to Intercept and Obstruct Terrorism Act of 2001 (USA PATRIOT Act) (Public Law 107–56) and other legislation</w:t>
      </w:r>
      <w:r w:rsidR="00DF4C2E">
        <w:rPr>
          <w:rFonts w:ascii="Times New Roman" w:hAnsi="Times New Roman" w:cs="Times New Roman"/>
          <w:sz w:val="24"/>
          <w:szCs w:val="24"/>
        </w:rPr>
        <w:t>, including most recently the Anti-Money Laundering Act of 2020 (AML Act) (Division F of Public Law 116-283)</w:t>
      </w:r>
      <w:r w:rsidRPr="00127A5D">
        <w:rPr>
          <w:rFonts w:ascii="Times New Roman" w:hAnsi="Times New Roman" w:cs="Times New Roman"/>
          <w:sz w:val="24"/>
          <w:szCs w:val="24"/>
        </w:rPr>
        <w:t>. The BSA is codified at 12 U.S.C. 1829b, 12 U.S.C. 1951–1959, 31 U.S.C. 5311–5314 and 5316–533</w:t>
      </w:r>
      <w:r w:rsidR="00DF4C2E">
        <w:rPr>
          <w:rFonts w:ascii="Times New Roman" w:hAnsi="Times New Roman" w:cs="Times New Roman"/>
          <w:sz w:val="24"/>
          <w:szCs w:val="24"/>
        </w:rPr>
        <w:t>6</w:t>
      </w:r>
      <w:r w:rsidRPr="00127A5D">
        <w:rPr>
          <w:rFonts w:ascii="Times New Roman" w:hAnsi="Times New Roman" w:cs="Times New Roman"/>
          <w:sz w:val="24"/>
          <w:szCs w:val="24"/>
        </w:rPr>
        <w:t xml:space="preserve">, and notes thereto, with implementing regulations at 31 CFR Chapter X.  </w:t>
      </w:r>
    </w:p>
    <w:p w:rsidRPr="00127A5D" w:rsidR="00127A5D" w:rsidP="00127A5D" w:rsidRDefault="00127A5D" w14:paraId="755B1D28" w14:textId="77777777">
      <w:pPr>
        <w:pStyle w:val="PlainText"/>
        <w:ind w:firstLine="720"/>
        <w:rPr>
          <w:rFonts w:ascii="Times New Roman" w:hAnsi="Times New Roman" w:cs="Times New Roman"/>
          <w:sz w:val="24"/>
          <w:szCs w:val="24"/>
        </w:rPr>
      </w:pPr>
    </w:p>
    <w:p w:rsidRPr="00531C0C" w:rsidR="00336B06" w:rsidP="00336B06" w:rsidRDefault="00127A5D" w14:paraId="4B5D4F3B" w14:textId="1696DD9E">
      <w:pPr>
        <w:ind w:firstLine="720"/>
      </w:pPr>
      <w:r w:rsidRPr="00531C0C">
        <w:t xml:space="preserve">The BSA authorizes the Secretary of the Treasury, </w:t>
      </w:r>
      <w:r w:rsidRPr="00423B16">
        <w:rPr>
          <w:i/>
        </w:rPr>
        <w:t>inter alia,</w:t>
      </w:r>
      <w:r w:rsidRPr="00531C0C">
        <w:t xml:space="preserve"> to require financial institutions to keep records and file reports that are determined to have a high degree of usefulness in criminal, tax, and regulatory matters, or in the conduct of intelligence or counter-intelligence activities to protect against international terrorism, and to implement AML programs and compliance procedures.</w:t>
      </w:r>
      <w:r w:rsidRPr="00531C0C" w:rsidR="00336B06">
        <w:rPr>
          <w:rStyle w:val="FootnoteReference"/>
        </w:rPr>
        <w:footnoteReference w:id="1"/>
      </w:r>
      <w:r w:rsidRPr="00531C0C" w:rsidR="00336B06">
        <w:rPr>
          <w:vertAlign w:val="superscript"/>
        </w:rPr>
        <w:t xml:space="preserve"> </w:t>
      </w:r>
      <w:r w:rsidRPr="00531C0C">
        <w:t xml:space="preserve"> Regulations implementing the BSA appear at 31 CFR Chapter X. The authority of the Secretary to administer the BSA has been delegated to the </w:t>
      </w:r>
      <w:r w:rsidRPr="00AB2CE4">
        <w:t>Director of FinCEN.</w:t>
      </w:r>
      <w:r w:rsidRPr="00531C0C">
        <w:rPr>
          <w:rStyle w:val="FootnoteReference"/>
        </w:rPr>
        <w:footnoteReference w:id="2"/>
      </w:r>
    </w:p>
    <w:p w:rsidRPr="00AB2CE4" w:rsidR="005A7DEE" w:rsidP="009829C3" w:rsidRDefault="005A7DEE" w14:paraId="581A4CB3" w14:textId="25F5BA70">
      <w:pPr>
        <w:pStyle w:val="PlainText"/>
        <w:ind w:firstLine="720"/>
        <w:rPr>
          <w:rFonts w:ascii="Times New Roman" w:hAnsi="Times New Roman" w:cs="Times New Roman"/>
          <w:sz w:val="24"/>
          <w:szCs w:val="24"/>
        </w:rPr>
      </w:pPr>
    </w:p>
    <w:p w:rsidR="00FA08CF" w:rsidP="00A035F3" w:rsidRDefault="00DC201B" w14:paraId="166A744E" w14:textId="31B40851">
      <w:pPr>
        <w:pStyle w:val="PlainText"/>
        <w:ind w:firstLine="720"/>
        <w:rPr>
          <w:rFonts w:ascii="Times New Roman" w:hAnsi="Times New Roman"/>
          <w:sz w:val="24"/>
        </w:rPr>
      </w:pPr>
      <w:r w:rsidRPr="00DC201B">
        <w:rPr>
          <w:rFonts w:ascii="Times New Roman" w:hAnsi="Times New Roman"/>
          <w:sz w:val="24"/>
        </w:rPr>
        <w:t>A FinCEN administrative ruling is a written ruling interpreting the relationship between the regulations implementing the BSA at 31 CFR Chapter X and each situation for which such a ruling has been requested in conformity with the regulatory requirements. The regulations implementing the procedures for requestors to submit, and for FinCEN to issue, administrative rulings appear in Part 1010, Subpart G—Administrative Rulings</w:t>
      </w:r>
      <w:r>
        <w:rPr>
          <w:rFonts w:ascii="Times New Roman" w:hAnsi="Times New Roman"/>
          <w:sz w:val="24"/>
        </w:rPr>
        <w:t xml:space="preserve">, </w:t>
      </w:r>
      <w:r w:rsidR="00856021">
        <w:rPr>
          <w:rFonts w:ascii="Times New Roman" w:hAnsi="Times New Roman"/>
          <w:sz w:val="24"/>
        </w:rPr>
        <w:t>31 CFR 1010.711-717</w:t>
      </w:r>
      <w:r>
        <w:rPr>
          <w:rFonts w:ascii="Times New Roman" w:hAnsi="Times New Roman"/>
          <w:sz w:val="24"/>
        </w:rPr>
        <w:t xml:space="preserve">. These </w:t>
      </w:r>
      <w:r w:rsidR="00105B2C">
        <w:rPr>
          <w:rFonts w:ascii="Times New Roman" w:hAnsi="Times New Roman"/>
          <w:sz w:val="24"/>
        </w:rPr>
        <w:t>sub</w:t>
      </w:r>
      <w:r>
        <w:rPr>
          <w:rFonts w:ascii="Times New Roman" w:hAnsi="Times New Roman"/>
          <w:sz w:val="24"/>
        </w:rPr>
        <w:t>sections</w:t>
      </w:r>
      <w:r w:rsidR="00856021">
        <w:rPr>
          <w:rFonts w:ascii="Times New Roman" w:hAnsi="Times New Roman"/>
          <w:sz w:val="24"/>
        </w:rPr>
        <w:t xml:space="preserve"> </w:t>
      </w:r>
      <w:r w:rsidR="00CC1253">
        <w:rPr>
          <w:rFonts w:ascii="Times New Roman" w:hAnsi="Times New Roman"/>
          <w:sz w:val="24"/>
        </w:rPr>
        <w:t xml:space="preserve">address administrative rulings under the </w:t>
      </w:r>
      <w:r w:rsidR="00182E90">
        <w:rPr>
          <w:rFonts w:ascii="Times New Roman" w:hAnsi="Times New Roman"/>
          <w:sz w:val="24"/>
        </w:rPr>
        <w:t>BSA</w:t>
      </w:r>
      <w:r>
        <w:rPr>
          <w:rFonts w:ascii="Times New Roman" w:hAnsi="Times New Roman"/>
          <w:sz w:val="24"/>
        </w:rPr>
        <w:t xml:space="preserve"> and </w:t>
      </w:r>
      <w:r w:rsidR="00CC1253">
        <w:rPr>
          <w:rFonts w:ascii="Times New Roman" w:hAnsi="Times New Roman"/>
          <w:sz w:val="24"/>
        </w:rPr>
        <w:t>explain how</w:t>
      </w:r>
      <w:r w:rsidR="00B352C1">
        <w:rPr>
          <w:rFonts w:ascii="Times New Roman" w:hAnsi="Times New Roman"/>
          <w:sz w:val="24"/>
        </w:rPr>
        <w:t>: (i)</w:t>
      </w:r>
      <w:r w:rsidR="00CC1253">
        <w:rPr>
          <w:rFonts w:ascii="Times New Roman" w:hAnsi="Times New Roman"/>
          <w:sz w:val="24"/>
        </w:rPr>
        <w:t xml:space="preserve"> to submit a ruling request (1010.711), </w:t>
      </w:r>
      <w:r w:rsidR="00B352C1">
        <w:rPr>
          <w:rFonts w:ascii="Times New Roman" w:hAnsi="Times New Roman"/>
          <w:sz w:val="24"/>
        </w:rPr>
        <w:t xml:space="preserve">(ii) </w:t>
      </w:r>
      <w:r w:rsidR="00CC1253">
        <w:rPr>
          <w:rFonts w:ascii="Times New Roman" w:hAnsi="Times New Roman"/>
          <w:sz w:val="24"/>
        </w:rPr>
        <w:t xml:space="preserve">nonconforming requests are handled (1010.712), </w:t>
      </w:r>
      <w:r w:rsidR="00B352C1">
        <w:rPr>
          <w:rFonts w:ascii="Times New Roman" w:hAnsi="Times New Roman"/>
          <w:sz w:val="24"/>
        </w:rPr>
        <w:t>(iii)</w:t>
      </w:r>
      <w:r w:rsidR="00A14043">
        <w:rPr>
          <w:rFonts w:ascii="Times New Roman" w:hAnsi="Times New Roman"/>
          <w:sz w:val="24"/>
        </w:rPr>
        <w:t xml:space="preserve"> </w:t>
      </w:r>
      <w:r w:rsidR="00CC1253">
        <w:rPr>
          <w:rFonts w:ascii="Times New Roman" w:hAnsi="Times New Roman"/>
          <w:sz w:val="24"/>
        </w:rPr>
        <w:t xml:space="preserve">oral communications are treated (1010.713), </w:t>
      </w:r>
      <w:r w:rsidR="00B352C1">
        <w:rPr>
          <w:rFonts w:ascii="Times New Roman" w:hAnsi="Times New Roman"/>
          <w:sz w:val="24"/>
        </w:rPr>
        <w:t xml:space="preserve">(iv) </w:t>
      </w:r>
      <w:r w:rsidR="00CC1253">
        <w:rPr>
          <w:rFonts w:ascii="Times New Roman" w:hAnsi="Times New Roman"/>
          <w:sz w:val="24"/>
        </w:rPr>
        <w:t xml:space="preserve">to withdraw a request (1010.714), </w:t>
      </w:r>
      <w:r w:rsidR="00B352C1">
        <w:rPr>
          <w:rFonts w:ascii="Times New Roman" w:hAnsi="Times New Roman"/>
          <w:sz w:val="24"/>
        </w:rPr>
        <w:t xml:space="preserve">(v) </w:t>
      </w:r>
      <w:r w:rsidR="00CC1253">
        <w:rPr>
          <w:rFonts w:ascii="Times New Roman" w:hAnsi="Times New Roman"/>
          <w:sz w:val="24"/>
        </w:rPr>
        <w:t xml:space="preserve">rulings are issued (1010.715), modified or rescinded (1010.716), and </w:t>
      </w:r>
      <w:r w:rsidR="00B352C1">
        <w:rPr>
          <w:rFonts w:ascii="Times New Roman" w:hAnsi="Times New Roman"/>
          <w:sz w:val="24"/>
        </w:rPr>
        <w:t xml:space="preserve">(vi) </w:t>
      </w:r>
      <w:r w:rsidR="00CC1253">
        <w:rPr>
          <w:rFonts w:ascii="Times New Roman" w:hAnsi="Times New Roman"/>
          <w:sz w:val="24"/>
        </w:rPr>
        <w:t>information may be disclosed (1010.717).</w:t>
      </w:r>
      <w:r w:rsidR="00E24CAE">
        <w:rPr>
          <w:rFonts w:ascii="Times New Roman" w:hAnsi="Times New Roman"/>
          <w:sz w:val="24"/>
        </w:rPr>
        <w:t xml:space="preserve"> </w:t>
      </w:r>
      <w:r w:rsidRPr="00FA08CF" w:rsidR="00FA08CF">
        <w:rPr>
          <w:rFonts w:ascii="Times New Roman" w:hAnsi="Times New Roman"/>
          <w:sz w:val="24"/>
        </w:rPr>
        <w:t xml:space="preserve">An administrative ruling has precedential value, and may be relied upon by others similarly situated, only if FinCEN makes </w:t>
      </w:r>
      <w:r w:rsidR="00105B2C">
        <w:rPr>
          <w:rFonts w:ascii="Times New Roman" w:hAnsi="Times New Roman"/>
          <w:sz w:val="24"/>
        </w:rPr>
        <w:t xml:space="preserve">it </w:t>
      </w:r>
      <w:r w:rsidRPr="00FA08CF" w:rsidR="00FA08CF">
        <w:rPr>
          <w:rFonts w:ascii="Times New Roman" w:hAnsi="Times New Roman"/>
          <w:sz w:val="24"/>
        </w:rPr>
        <w:t>available to the public through publication on the FinCEN website or other appropriate forum</w:t>
      </w:r>
      <w:r w:rsidRPr="002131F8" w:rsidR="00FA08CF">
        <w:rPr>
          <w:rFonts w:ascii="Times New Roman" w:hAnsi="Times New Roman"/>
          <w:sz w:val="24"/>
        </w:rPr>
        <w:t>.</w:t>
      </w:r>
      <w:r w:rsidDel="00EA0F04" w:rsidR="00EA0F04">
        <w:rPr>
          <w:rFonts w:ascii="Times New Roman" w:hAnsi="Times New Roman"/>
          <w:sz w:val="24"/>
        </w:rPr>
        <w:t xml:space="preserve"> </w:t>
      </w:r>
    </w:p>
    <w:p w:rsidR="003D556D" w:rsidP="00787BDD" w:rsidRDefault="003D556D" w14:paraId="6BF55DE0" w14:textId="77777777">
      <w:pPr>
        <w:pStyle w:val="PlainText"/>
        <w:ind w:firstLine="720"/>
        <w:rPr>
          <w:rFonts w:ascii="Times New Roman" w:hAnsi="Times New Roman"/>
          <w:sz w:val="24"/>
        </w:rPr>
      </w:pPr>
    </w:p>
    <w:p w:rsidRPr="00AA6051" w:rsidR="00643252" w:rsidP="009829C3" w:rsidRDefault="00643252" w14:paraId="5EB1D9F8" w14:textId="77777777">
      <w:pPr>
        <w:rPr>
          <w:bCs/>
        </w:rPr>
      </w:pPr>
      <w:r w:rsidRPr="00AA6051">
        <w:rPr>
          <w:bCs/>
        </w:rPr>
        <w:lastRenderedPageBreak/>
        <w:t xml:space="preserve">2. </w:t>
      </w:r>
      <w:r w:rsidRPr="00AA6051">
        <w:rPr>
          <w:bCs/>
          <w:u w:val="single"/>
        </w:rPr>
        <w:t>M</w:t>
      </w:r>
      <w:r w:rsidRPr="00AA6051" w:rsidR="00E667ED">
        <w:rPr>
          <w:bCs/>
          <w:u w:val="single"/>
        </w:rPr>
        <w:t xml:space="preserve">ethod </w:t>
      </w:r>
      <w:r w:rsidRPr="00027840" w:rsidR="00E667ED">
        <w:rPr>
          <w:bCs/>
          <w:u w:val="single"/>
        </w:rPr>
        <w:t>of collection</w:t>
      </w:r>
      <w:r w:rsidRPr="00AA6051" w:rsidR="00E667ED">
        <w:rPr>
          <w:bCs/>
          <w:u w:val="single"/>
        </w:rPr>
        <w:t xml:space="preserve"> and use of d</w:t>
      </w:r>
      <w:r w:rsidRPr="00AA6051">
        <w:rPr>
          <w:bCs/>
          <w:u w:val="single"/>
        </w:rPr>
        <w:t>ata.</w:t>
      </w:r>
      <w:r w:rsidRPr="00AA6051">
        <w:rPr>
          <w:bCs/>
        </w:rPr>
        <w:t xml:space="preserve"> </w:t>
      </w:r>
    </w:p>
    <w:p w:rsidRPr="00AA6051" w:rsidR="009829C3" w:rsidP="009829C3" w:rsidRDefault="009829C3" w14:paraId="6803F93A" w14:textId="77777777">
      <w:pPr>
        <w:rPr>
          <w:bCs/>
        </w:rPr>
      </w:pPr>
    </w:p>
    <w:p w:rsidR="001F1B99" w:rsidP="001F1B99" w:rsidRDefault="00E86A92" w14:paraId="0CFB16C6" w14:textId="17E682B5">
      <w:pPr>
        <w:ind w:left="720"/>
        <w:rPr>
          <w:bCs/>
        </w:rPr>
      </w:pPr>
      <w:r w:rsidRPr="00E86A92">
        <w:rPr>
          <w:bCs/>
        </w:rPr>
        <w:t>Administrative ruling</w:t>
      </w:r>
      <w:r w:rsidR="00E15C75">
        <w:rPr>
          <w:bCs/>
        </w:rPr>
        <w:t xml:space="preserve"> requests</w:t>
      </w:r>
      <w:r w:rsidRPr="00E86A92">
        <w:rPr>
          <w:bCs/>
        </w:rPr>
        <w:t xml:space="preserve"> </w:t>
      </w:r>
      <w:r w:rsidR="003E1AA2">
        <w:rPr>
          <w:bCs/>
        </w:rPr>
        <w:t>can be</w:t>
      </w:r>
      <w:r w:rsidRPr="00E86A92">
        <w:rPr>
          <w:bCs/>
        </w:rPr>
        <w:t xml:space="preserve"> sent to FinCEN </w:t>
      </w:r>
      <w:r w:rsidR="005C2690">
        <w:rPr>
          <w:bCs/>
        </w:rPr>
        <w:t>through</w:t>
      </w:r>
      <w:r w:rsidRPr="00E86A92" w:rsidR="005C2690">
        <w:rPr>
          <w:bCs/>
        </w:rPr>
        <w:t xml:space="preserve"> </w:t>
      </w:r>
      <w:r w:rsidRPr="00E86A92">
        <w:rPr>
          <w:bCs/>
        </w:rPr>
        <w:t>the U.S. Mail or</w:t>
      </w:r>
      <w:r w:rsidR="001F1B99">
        <w:rPr>
          <w:bCs/>
        </w:rPr>
        <w:t xml:space="preserve"> </w:t>
      </w:r>
    </w:p>
    <w:p w:rsidR="00346C73" w:rsidP="001F1B99" w:rsidRDefault="00E15C75" w14:paraId="15D55759" w14:textId="57F9D242">
      <w:r>
        <w:rPr>
          <w:bCs/>
        </w:rPr>
        <w:t>e</w:t>
      </w:r>
      <w:r w:rsidRPr="00E86A92" w:rsidR="00E86A92">
        <w:rPr>
          <w:bCs/>
        </w:rPr>
        <w:t>lectronically</w:t>
      </w:r>
      <w:r w:rsidR="003E1AA2">
        <w:rPr>
          <w:bCs/>
        </w:rPr>
        <w:t>,</w:t>
      </w:r>
      <w:r w:rsidRPr="00E86A92" w:rsidR="00E86A92">
        <w:rPr>
          <w:bCs/>
        </w:rPr>
        <w:t xml:space="preserve"> for consideration and determination. The </w:t>
      </w:r>
      <w:r w:rsidR="003E1AA2">
        <w:rPr>
          <w:bCs/>
        </w:rPr>
        <w:t>information</w:t>
      </w:r>
      <w:r w:rsidRPr="00E86A92" w:rsidR="00E86A92">
        <w:rPr>
          <w:bCs/>
        </w:rPr>
        <w:t xml:space="preserve"> presented in the request is used </w:t>
      </w:r>
      <w:r w:rsidR="00B352C1">
        <w:rPr>
          <w:bCs/>
        </w:rPr>
        <w:t xml:space="preserve">to respond </w:t>
      </w:r>
      <w:r w:rsidRPr="00E86A92" w:rsidR="00E86A92">
        <w:rPr>
          <w:bCs/>
        </w:rPr>
        <w:t>to the requestor</w:t>
      </w:r>
      <w:r w:rsidRPr="00AA6051" w:rsidR="00643252">
        <w:t xml:space="preserve">. </w:t>
      </w:r>
    </w:p>
    <w:p w:rsidR="0083153D" w:rsidP="001F1B99" w:rsidRDefault="0083153D" w14:paraId="4B4D927E" w14:textId="24447364"/>
    <w:p w:rsidR="0083153D" w:rsidP="00280037" w:rsidRDefault="000346B9" w14:paraId="710B8FD4" w14:textId="13E0D1C1">
      <w:pPr>
        <w:ind w:firstLine="720"/>
      </w:pPr>
      <w:r w:rsidRPr="007F792F">
        <w:t xml:space="preserve">The ability </w:t>
      </w:r>
      <w:r w:rsidRPr="007F792F" w:rsidR="00AE5D2F">
        <w:t xml:space="preserve">of </w:t>
      </w:r>
      <w:r w:rsidRPr="007F792F" w:rsidR="00EE2F83">
        <w:t xml:space="preserve">requestors </w:t>
      </w:r>
      <w:r w:rsidRPr="00A14043">
        <w:t xml:space="preserve">to submit administrative ruling requests and receive a ruling </w:t>
      </w:r>
      <w:r w:rsidRPr="00A14043" w:rsidR="00EE2F83">
        <w:t xml:space="preserve">from FinCEN </w:t>
      </w:r>
      <w:r w:rsidRPr="00A14043">
        <w:t xml:space="preserve">allows </w:t>
      </w:r>
      <w:r w:rsidRPr="00A14043" w:rsidR="00A035F3">
        <w:t xml:space="preserve">financial institutions and other requestors </w:t>
      </w:r>
      <w:r w:rsidRPr="00A14043">
        <w:t>to ensure they</w:t>
      </w:r>
      <w:r w:rsidRPr="00A14043" w:rsidR="00C25E9E">
        <w:t xml:space="preserve"> understand how to</w:t>
      </w:r>
      <w:r w:rsidRPr="00A14043">
        <w:t xml:space="preserve"> comply with the appropriate BSA regulations. </w:t>
      </w:r>
      <w:r w:rsidRPr="00A14043" w:rsidR="00EE2F83">
        <w:t>Administrative ruling r</w:t>
      </w:r>
      <w:r w:rsidRPr="00A14043" w:rsidR="00E66F2C">
        <w:rPr>
          <w:szCs w:val="22"/>
        </w:rPr>
        <w:t xml:space="preserve">esponses that would be useful to the general public are </w:t>
      </w:r>
      <w:r w:rsidRPr="00A14043" w:rsidR="00C25E9E">
        <w:rPr>
          <w:szCs w:val="22"/>
        </w:rPr>
        <w:t xml:space="preserve">modified </w:t>
      </w:r>
      <w:r w:rsidRPr="00A14043" w:rsidR="00E66F2C">
        <w:rPr>
          <w:szCs w:val="22"/>
        </w:rPr>
        <w:t xml:space="preserve">to </w:t>
      </w:r>
      <w:r w:rsidRPr="00A14043" w:rsidR="00C25E9E">
        <w:rPr>
          <w:szCs w:val="22"/>
        </w:rPr>
        <w:t xml:space="preserve">limit disclosure of sensitive </w:t>
      </w:r>
      <w:r w:rsidRPr="00A14043" w:rsidR="00077B25">
        <w:rPr>
          <w:szCs w:val="22"/>
        </w:rPr>
        <w:t xml:space="preserve">requestor </w:t>
      </w:r>
      <w:r w:rsidRPr="00A14043" w:rsidR="00C25E9E">
        <w:rPr>
          <w:szCs w:val="22"/>
        </w:rPr>
        <w:t xml:space="preserve">information </w:t>
      </w:r>
      <w:r w:rsidRPr="00A14043" w:rsidR="00E66F2C">
        <w:rPr>
          <w:szCs w:val="22"/>
        </w:rPr>
        <w:t>and posted on the FinCEN public website at www.fincen.gov.</w:t>
      </w:r>
      <w:r w:rsidRPr="00A14043" w:rsidR="00E66F2C">
        <w:t xml:space="preserve"> </w:t>
      </w:r>
      <w:r w:rsidRPr="00A14043">
        <w:t>Administrative rulings that are published on FinCEN’s website</w:t>
      </w:r>
      <w:r w:rsidR="00923335">
        <w:t xml:space="preserve"> provide guidance to </w:t>
      </w:r>
      <w:r w:rsidRPr="007F792F" w:rsidR="005A1255">
        <w:t>financial institutions</w:t>
      </w:r>
      <w:r w:rsidRPr="007F792F">
        <w:t xml:space="preserve"> </w:t>
      </w:r>
      <w:r w:rsidRPr="00A14043" w:rsidR="00EE2F83">
        <w:t xml:space="preserve">and other requestors </w:t>
      </w:r>
      <w:r w:rsidR="00923335">
        <w:t xml:space="preserve">in </w:t>
      </w:r>
      <w:r w:rsidRPr="00A14043">
        <w:t>comply</w:t>
      </w:r>
      <w:r w:rsidR="00923335">
        <w:t>ing</w:t>
      </w:r>
      <w:r w:rsidRPr="00A14043">
        <w:t xml:space="preserve"> with applicable BSA regulations</w:t>
      </w:r>
      <w:r w:rsidR="002E6388">
        <w:t xml:space="preserve">. </w:t>
      </w:r>
    </w:p>
    <w:p w:rsidRPr="00346C73" w:rsidR="001F1B99" w:rsidP="00346C73" w:rsidRDefault="00643252" w14:paraId="0C9F52F6" w14:textId="5FB89E50">
      <w:pPr>
        <w:ind w:firstLine="720"/>
        <w:rPr>
          <w:highlight w:val="lightGray"/>
        </w:rPr>
      </w:pPr>
      <w:r w:rsidRPr="00AA6051">
        <w:t xml:space="preserve"> </w:t>
      </w:r>
    </w:p>
    <w:p w:rsidRPr="00C34B95" w:rsidR="00643252" w:rsidP="009829C3" w:rsidRDefault="00643252" w14:paraId="6E3337A8" w14:textId="77777777">
      <w:pPr>
        <w:rPr>
          <w:szCs w:val="22"/>
        </w:rPr>
      </w:pPr>
      <w:r w:rsidRPr="00C34B95">
        <w:rPr>
          <w:szCs w:val="22"/>
        </w:rPr>
        <w:t xml:space="preserve">3. </w:t>
      </w:r>
      <w:r w:rsidRPr="00C34B95" w:rsidR="00E667ED">
        <w:rPr>
          <w:szCs w:val="22"/>
          <w:u w:val="single"/>
        </w:rPr>
        <w:t>Use of i</w:t>
      </w:r>
      <w:r w:rsidRPr="00C34B95">
        <w:rPr>
          <w:szCs w:val="22"/>
          <w:u w:val="single"/>
        </w:rPr>
        <w:t xml:space="preserve">mproved </w:t>
      </w:r>
      <w:r w:rsidRPr="00C34B95" w:rsidR="00E667ED">
        <w:rPr>
          <w:szCs w:val="22"/>
          <w:u w:val="single"/>
        </w:rPr>
        <w:t>information technology to reduce b</w:t>
      </w:r>
      <w:r w:rsidRPr="00C34B95">
        <w:rPr>
          <w:szCs w:val="22"/>
          <w:u w:val="single"/>
        </w:rPr>
        <w:t>urden.</w:t>
      </w:r>
      <w:r w:rsidRPr="00C34B95">
        <w:rPr>
          <w:szCs w:val="22"/>
        </w:rPr>
        <w:t xml:space="preserve"> </w:t>
      </w:r>
    </w:p>
    <w:p w:rsidRPr="00C34B95" w:rsidR="009829C3" w:rsidP="009829C3" w:rsidRDefault="009829C3" w14:paraId="3DEB2ADB" w14:textId="77777777">
      <w:pPr>
        <w:rPr>
          <w:szCs w:val="22"/>
        </w:rPr>
      </w:pPr>
    </w:p>
    <w:p w:rsidRPr="00AA6051" w:rsidR="00643252" w:rsidP="00637EC1" w:rsidRDefault="00E86A92" w14:paraId="01D7F319" w14:textId="7E268AC8">
      <w:pPr>
        <w:ind w:firstLine="720"/>
        <w:rPr>
          <w:szCs w:val="22"/>
        </w:rPr>
      </w:pPr>
      <w:r w:rsidRPr="00E86A92">
        <w:rPr>
          <w:szCs w:val="22"/>
        </w:rPr>
        <w:t>Formal requests are received and responded to through the U.S. Mail and</w:t>
      </w:r>
      <w:r w:rsidR="00E66F2C">
        <w:rPr>
          <w:szCs w:val="22"/>
        </w:rPr>
        <w:t>/or</w:t>
      </w:r>
      <w:r w:rsidRPr="00E86A92">
        <w:rPr>
          <w:szCs w:val="22"/>
        </w:rPr>
        <w:t xml:space="preserve"> electronically. </w:t>
      </w:r>
    </w:p>
    <w:p w:rsidRPr="00AA6051" w:rsidR="009829C3" w:rsidP="009829C3" w:rsidRDefault="009829C3" w14:paraId="5495A9E6" w14:textId="77777777">
      <w:pPr>
        <w:ind w:firstLine="720"/>
        <w:rPr>
          <w:szCs w:val="22"/>
        </w:rPr>
      </w:pPr>
    </w:p>
    <w:p w:rsidRPr="00AA6051" w:rsidR="00643252" w:rsidP="009829C3" w:rsidRDefault="00643252" w14:paraId="0CA3AFA8" w14:textId="77777777">
      <w:pPr>
        <w:rPr>
          <w:szCs w:val="22"/>
          <w:u w:val="single"/>
        </w:rPr>
      </w:pPr>
      <w:r w:rsidRPr="00AA6051">
        <w:rPr>
          <w:szCs w:val="22"/>
        </w:rPr>
        <w:t xml:space="preserve">4. </w:t>
      </w:r>
      <w:r w:rsidRPr="00AA6051" w:rsidR="00E667ED">
        <w:rPr>
          <w:szCs w:val="22"/>
          <w:u w:val="single"/>
        </w:rPr>
        <w:t>Efforts to identify d</w:t>
      </w:r>
      <w:r w:rsidRPr="00AA6051">
        <w:rPr>
          <w:szCs w:val="22"/>
          <w:u w:val="single"/>
        </w:rPr>
        <w:t>uplication</w:t>
      </w:r>
      <w:r w:rsidRPr="00AA6051" w:rsidR="003E69DC">
        <w:rPr>
          <w:szCs w:val="22"/>
          <w:u w:val="single"/>
        </w:rPr>
        <w:t>.</w:t>
      </w:r>
      <w:r w:rsidRPr="00AA6051">
        <w:rPr>
          <w:szCs w:val="22"/>
          <w:u w:val="single"/>
        </w:rPr>
        <w:t xml:space="preserve"> </w:t>
      </w:r>
    </w:p>
    <w:p w:rsidRPr="00AA6051" w:rsidR="009829C3" w:rsidP="009829C3" w:rsidRDefault="009829C3" w14:paraId="7E967501" w14:textId="77777777">
      <w:pPr>
        <w:rPr>
          <w:szCs w:val="22"/>
          <w:u w:val="single"/>
        </w:rPr>
      </w:pPr>
    </w:p>
    <w:p w:rsidR="009829C3" w:rsidP="009829C3" w:rsidRDefault="005E3DC3" w14:paraId="22BA7DE9" w14:textId="0F09F612">
      <w:pPr>
        <w:ind w:firstLine="720"/>
      </w:pPr>
      <w:r>
        <w:t>Because a</w:t>
      </w:r>
      <w:r w:rsidRPr="001A5B51" w:rsidR="001A5B51">
        <w:t>ll requests are unique to the issue addressed</w:t>
      </w:r>
      <w:r>
        <w:t xml:space="preserve">, there is no similar information available and </w:t>
      </w:r>
      <w:r w:rsidRPr="001A5B51" w:rsidR="001A5B51">
        <w:t>no duplication.</w:t>
      </w:r>
    </w:p>
    <w:p w:rsidRPr="00AA6051" w:rsidR="00637EC1" w:rsidP="009829C3" w:rsidRDefault="00637EC1" w14:paraId="30EE92AF" w14:textId="77777777">
      <w:pPr>
        <w:ind w:firstLine="720"/>
      </w:pPr>
    </w:p>
    <w:p w:rsidRPr="00AA6051" w:rsidR="00643252" w:rsidP="009829C3" w:rsidRDefault="00643252" w14:paraId="677D1102" w14:textId="77777777">
      <w:pPr>
        <w:rPr>
          <w:szCs w:val="22"/>
          <w:u w:val="single"/>
        </w:rPr>
      </w:pPr>
      <w:r w:rsidRPr="00AA6051">
        <w:rPr>
          <w:szCs w:val="22"/>
        </w:rPr>
        <w:t xml:space="preserve">5. </w:t>
      </w:r>
      <w:r w:rsidRPr="00AA6051" w:rsidR="00E667ED">
        <w:rPr>
          <w:szCs w:val="22"/>
          <w:u w:val="single"/>
        </w:rPr>
        <w:t>Methods to minimize burden on small businesses or other small e</w:t>
      </w:r>
      <w:r w:rsidRPr="00AA6051">
        <w:rPr>
          <w:szCs w:val="22"/>
          <w:u w:val="single"/>
        </w:rPr>
        <w:t>ntities</w:t>
      </w:r>
      <w:r w:rsidRPr="00AA6051" w:rsidR="003E69DC">
        <w:rPr>
          <w:szCs w:val="22"/>
          <w:u w:val="single"/>
        </w:rPr>
        <w:t>.</w:t>
      </w:r>
    </w:p>
    <w:p w:rsidRPr="00AA6051" w:rsidR="009829C3" w:rsidP="009829C3" w:rsidRDefault="009829C3" w14:paraId="440270DD" w14:textId="77777777">
      <w:pPr>
        <w:ind w:firstLine="720"/>
        <w:rPr>
          <w:szCs w:val="22"/>
        </w:rPr>
      </w:pPr>
    </w:p>
    <w:p w:rsidR="00C0522F" w:rsidP="009902A0" w:rsidRDefault="00262C00" w14:paraId="5C8C2BFD" w14:textId="1B40E7F7">
      <w:pPr>
        <w:ind w:firstLine="720"/>
      </w:pPr>
      <w:r>
        <w:rPr>
          <w:szCs w:val="22"/>
        </w:rPr>
        <w:t xml:space="preserve">The </w:t>
      </w:r>
      <w:r w:rsidRPr="0015749B">
        <w:rPr>
          <w:szCs w:val="22"/>
        </w:rPr>
        <w:t>requirements</w:t>
      </w:r>
      <w:r>
        <w:rPr>
          <w:szCs w:val="22"/>
        </w:rPr>
        <w:t xml:space="preserve"> </w:t>
      </w:r>
      <w:r w:rsidR="00C66F07">
        <w:rPr>
          <w:szCs w:val="22"/>
        </w:rPr>
        <w:t>in the administrative</w:t>
      </w:r>
      <w:r w:rsidR="004F22DF">
        <w:rPr>
          <w:szCs w:val="22"/>
        </w:rPr>
        <w:t xml:space="preserve"> ruling </w:t>
      </w:r>
      <w:r w:rsidR="00ED70FB">
        <w:rPr>
          <w:szCs w:val="22"/>
        </w:rPr>
        <w:t>regulations only apply</w:t>
      </w:r>
      <w:r w:rsidR="00C66F07">
        <w:rPr>
          <w:szCs w:val="22"/>
        </w:rPr>
        <w:t xml:space="preserve"> </w:t>
      </w:r>
      <w:r w:rsidR="00B352C1">
        <w:rPr>
          <w:szCs w:val="22"/>
        </w:rPr>
        <w:t xml:space="preserve">when </w:t>
      </w:r>
      <w:r w:rsidR="00C0522F">
        <w:rPr>
          <w:szCs w:val="22"/>
        </w:rPr>
        <w:t>a</w:t>
      </w:r>
      <w:r w:rsidR="009878AD">
        <w:rPr>
          <w:szCs w:val="22"/>
        </w:rPr>
        <w:t xml:space="preserve"> requestor</w:t>
      </w:r>
      <w:r w:rsidR="00C66F07">
        <w:rPr>
          <w:szCs w:val="22"/>
        </w:rPr>
        <w:t xml:space="preserve"> is requesting an interpretation of the BSA regulation</w:t>
      </w:r>
      <w:r w:rsidR="00ED70FB">
        <w:rPr>
          <w:szCs w:val="22"/>
        </w:rPr>
        <w:t>s</w:t>
      </w:r>
      <w:r w:rsidR="00342F59">
        <w:rPr>
          <w:szCs w:val="22"/>
        </w:rPr>
        <w:t>,</w:t>
      </w:r>
      <w:r w:rsidR="00ED70FB">
        <w:rPr>
          <w:szCs w:val="22"/>
        </w:rPr>
        <w:t xml:space="preserve"> </w:t>
      </w:r>
      <w:r w:rsidR="00C25E9E">
        <w:rPr>
          <w:szCs w:val="22"/>
        </w:rPr>
        <w:t xml:space="preserve">such </w:t>
      </w:r>
      <w:r w:rsidR="00ED70FB">
        <w:rPr>
          <w:szCs w:val="22"/>
        </w:rPr>
        <w:t xml:space="preserve">as </w:t>
      </w:r>
      <w:r w:rsidR="00C25E9E">
        <w:rPr>
          <w:szCs w:val="22"/>
        </w:rPr>
        <w:t xml:space="preserve">when the regulations may </w:t>
      </w:r>
      <w:r w:rsidR="00C66F07">
        <w:rPr>
          <w:szCs w:val="22"/>
        </w:rPr>
        <w:t>relat</w:t>
      </w:r>
      <w:r w:rsidR="00ED70FB">
        <w:rPr>
          <w:szCs w:val="22"/>
        </w:rPr>
        <w:t>e</w:t>
      </w:r>
      <w:r w:rsidR="00C66F07">
        <w:rPr>
          <w:szCs w:val="22"/>
        </w:rPr>
        <w:t xml:space="preserve"> to the </w:t>
      </w:r>
      <w:r w:rsidR="00C25E9E">
        <w:rPr>
          <w:szCs w:val="22"/>
        </w:rPr>
        <w:t xml:space="preserve">requestor’s </w:t>
      </w:r>
      <w:r w:rsidR="00C66F07">
        <w:rPr>
          <w:szCs w:val="22"/>
        </w:rPr>
        <w:t xml:space="preserve">business </w:t>
      </w:r>
      <w:r w:rsidR="00C25E9E">
        <w:rPr>
          <w:szCs w:val="22"/>
        </w:rPr>
        <w:t>activities</w:t>
      </w:r>
      <w:r w:rsidR="00C66F07">
        <w:rPr>
          <w:szCs w:val="22"/>
        </w:rPr>
        <w:t xml:space="preserve">. </w:t>
      </w:r>
      <w:r w:rsidR="00C25E9E">
        <w:rPr>
          <w:szCs w:val="22"/>
        </w:rPr>
        <w:t xml:space="preserve">Regardless of its size, an entity requesting an administrative ruling needs to </w:t>
      </w:r>
      <w:r w:rsidR="00B352C1">
        <w:rPr>
          <w:szCs w:val="22"/>
        </w:rPr>
        <w:t xml:space="preserve">be familiar </w:t>
      </w:r>
      <w:r w:rsidR="004F22DF">
        <w:rPr>
          <w:szCs w:val="22"/>
        </w:rPr>
        <w:t xml:space="preserve">with </w:t>
      </w:r>
      <w:r w:rsidR="00C25E9E">
        <w:rPr>
          <w:szCs w:val="22"/>
        </w:rPr>
        <w:t xml:space="preserve">its own </w:t>
      </w:r>
      <w:r w:rsidR="00C66F07">
        <w:rPr>
          <w:szCs w:val="22"/>
        </w:rPr>
        <w:t xml:space="preserve">business </w:t>
      </w:r>
      <w:r w:rsidR="00C25E9E">
        <w:rPr>
          <w:szCs w:val="22"/>
        </w:rPr>
        <w:t xml:space="preserve">activities </w:t>
      </w:r>
      <w:r w:rsidR="00C66F07">
        <w:rPr>
          <w:szCs w:val="22"/>
        </w:rPr>
        <w:t>in order to provide the information need</w:t>
      </w:r>
      <w:r w:rsidR="004F22DF">
        <w:rPr>
          <w:szCs w:val="22"/>
        </w:rPr>
        <w:t>ed</w:t>
      </w:r>
      <w:r w:rsidR="00C66F07">
        <w:rPr>
          <w:szCs w:val="22"/>
        </w:rPr>
        <w:t xml:space="preserve"> in an administrative ruling request. </w:t>
      </w:r>
      <w:r w:rsidRPr="0083337A" w:rsidR="00AE597D">
        <w:rPr>
          <w:szCs w:val="22"/>
        </w:rPr>
        <w:t xml:space="preserve">For </w:t>
      </w:r>
      <w:r w:rsidR="00AE597D">
        <w:rPr>
          <w:szCs w:val="22"/>
        </w:rPr>
        <w:t>example</w:t>
      </w:r>
      <w:r w:rsidRPr="0083337A" w:rsidR="00AE597D">
        <w:rPr>
          <w:szCs w:val="22"/>
        </w:rPr>
        <w:t xml:space="preserve">, the </w:t>
      </w:r>
      <w:r w:rsidR="00AE597D">
        <w:rPr>
          <w:szCs w:val="22"/>
        </w:rPr>
        <w:t>regulation</w:t>
      </w:r>
      <w:r w:rsidR="00342F59">
        <w:rPr>
          <w:szCs w:val="22"/>
        </w:rPr>
        <w:t>s require</w:t>
      </w:r>
      <w:r w:rsidRPr="0083337A" w:rsidR="00AE597D">
        <w:rPr>
          <w:szCs w:val="22"/>
        </w:rPr>
        <w:t xml:space="preserve"> </w:t>
      </w:r>
      <w:r w:rsidR="00AE597D">
        <w:rPr>
          <w:szCs w:val="22"/>
        </w:rPr>
        <w:t xml:space="preserve">each request to be in writing and include a complete description of the situation for which the ruling is requested, </w:t>
      </w:r>
      <w:r w:rsidRPr="0083337A" w:rsidR="00AE597D">
        <w:rPr>
          <w:szCs w:val="22"/>
        </w:rPr>
        <w:t xml:space="preserve">as well as </w:t>
      </w:r>
      <w:r w:rsidR="00AE597D">
        <w:rPr>
          <w:szCs w:val="22"/>
        </w:rPr>
        <w:t>a concise and unamb</w:t>
      </w:r>
      <w:r w:rsidR="00342F59">
        <w:rPr>
          <w:szCs w:val="22"/>
        </w:rPr>
        <w:t>iguous question to be answered. As a result</w:t>
      </w:r>
      <w:r w:rsidR="00C66F07">
        <w:rPr>
          <w:szCs w:val="22"/>
        </w:rPr>
        <w:t>,</w:t>
      </w:r>
      <w:r w:rsidR="00342F59">
        <w:rPr>
          <w:szCs w:val="22"/>
        </w:rPr>
        <w:t xml:space="preserve"> FinCEN concludes that</w:t>
      </w:r>
      <w:r w:rsidR="00C66F07">
        <w:rPr>
          <w:szCs w:val="22"/>
        </w:rPr>
        <w:t xml:space="preserve"> the regulatory requirements that must be followed in order to submit an administrative ruling request </w:t>
      </w:r>
      <w:r w:rsidRPr="0015749B">
        <w:rPr>
          <w:szCs w:val="22"/>
        </w:rPr>
        <w:t>should not pose any adverse impact on small businesses</w:t>
      </w:r>
      <w:r w:rsidR="00C66F07">
        <w:rPr>
          <w:szCs w:val="22"/>
        </w:rPr>
        <w:t>.</w:t>
      </w:r>
      <w:r w:rsidR="00ED70FB">
        <w:rPr>
          <w:szCs w:val="22"/>
        </w:rPr>
        <w:t xml:space="preserve"> </w:t>
      </w:r>
      <w:r w:rsidR="00C25E9E">
        <w:rPr>
          <w:szCs w:val="22"/>
        </w:rPr>
        <w:t xml:space="preserve">FinCEN does not consider it </w:t>
      </w:r>
      <w:r w:rsidRPr="001A5B51" w:rsidR="001A5B51">
        <w:rPr>
          <w:szCs w:val="22"/>
        </w:rPr>
        <w:t>possible to further reduce</w:t>
      </w:r>
      <w:r w:rsidR="00307847">
        <w:rPr>
          <w:szCs w:val="22"/>
        </w:rPr>
        <w:t xml:space="preserve"> the</w:t>
      </w:r>
      <w:r w:rsidRPr="001A5B51" w:rsidR="001A5B51">
        <w:rPr>
          <w:szCs w:val="22"/>
        </w:rPr>
        <w:t xml:space="preserve"> burden for small businesses.</w:t>
      </w:r>
      <w:r w:rsidR="001A5B51">
        <w:rPr>
          <w:szCs w:val="22"/>
        </w:rPr>
        <w:t xml:space="preserve"> </w:t>
      </w:r>
      <w:r w:rsidR="00FB66DC">
        <w:t xml:space="preserve"> </w:t>
      </w:r>
    </w:p>
    <w:p w:rsidR="00ED70FB" w:rsidP="009902A0" w:rsidRDefault="00FB66DC" w14:paraId="4CB8CAA6" w14:textId="5FE12D1A">
      <w:pPr>
        <w:ind w:firstLine="720"/>
        <w:rPr>
          <w:szCs w:val="22"/>
        </w:rPr>
      </w:pPr>
      <w:r>
        <w:rPr>
          <w:szCs w:val="22"/>
        </w:rPr>
        <w:t xml:space="preserve">  </w:t>
      </w:r>
    </w:p>
    <w:p w:rsidRPr="00AA6051" w:rsidR="00643252" w:rsidP="009829C3" w:rsidRDefault="00643252" w14:paraId="3193A4B7" w14:textId="77777777">
      <w:pPr>
        <w:rPr>
          <w:szCs w:val="22"/>
        </w:rPr>
      </w:pPr>
      <w:r w:rsidRPr="00AA6051">
        <w:rPr>
          <w:szCs w:val="22"/>
        </w:rPr>
        <w:t xml:space="preserve">6. </w:t>
      </w:r>
      <w:r w:rsidRPr="00AA6051" w:rsidR="00E667ED">
        <w:rPr>
          <w:szCs w:val="22"/>
          <w:u w:val="single"/>
        </w:rPr>
        <w:t xml:space="preserve">Consequences </w:t>
      </w:r>
      <w:r w:rsidRPr="005E3DC3" w:rsidR="00E667ED">
        <w:rPr>
          <w:szCs w:val="22"/>
          <w:u w:val="single"/>
        </w:rPr>
        <w:t xml:space="preserve">to the Federal </w:t>
      </w:r>
      <w:r w:rsidRPr="00CD6024" w:rsidR="00E667ED">
        <w:rPr>
          <w:szCs w:val="22"/>
          <w:u w:val="single"/>
        </w:rPr>
        <w:t>g</w:t>
      </w:r>
      <w:r w:rsidRPr="00CD6024">
        <w:rPr>
          <w:szCs w:val="22"/>
          <w:u w:val="single"/>
        </w:rPr>
        <w:t>o</w:t>
      </w:r>
      <w:r w:rsidRPr="00CD6024" w:rsidR="00E667ED">
        <w:rPr>
          <w:szCs w:val="22"/>
          <w:u w:val="single"/>
        </w:rPr>
        <w:t>vernment o</w:t>
      </w:r>
      <w:r w:rsidRPr="00AA6051" w:rsidR="00E667ED">
        <w:rPr>
          <w:szCs w:val="22"/>
          <w:u w:val="single"/>
        </w:rPr>
        <w:t>f not collecting the i</w:t>
      </w:r>
      <w:r w:rsidRPr="00AA6051">
        <w:rPr>
          <w:szCs w:val="22"/>
          <w:u w:val="single"/>
        </w:rPr>
        <w:t>nformation.</w:t>
      </w:r>
      <w:r w:rsidRPr="00AA6051">
        <w:rPr>
          <w:szCs w:val="22"/>
        </w:rPr>
        <w:t xml:space="preserve"> </w:t>
      </w:r>
    </w:p>
    <w:p w:rsidRPr="00AA6051" w:rsidR="009829C3" w:rsidP="009829C3" w:rsidRDefault="009829C3" w14:paraId="0822D05C" w14:textId="77777777">
      <w:pPr>
        <w:ind w:firstLine="720"/>
        <w:rPr>
          <w:szCs w:val="22"/>
        </w:rPr>
      </w:pPr>
    </w:p>
    <w:p w:rsidRPr="00346C73" w:rsidR="00342F59" w:rsidP="00342F59" w:rsidRDefault="00342F59" w14:paraId="79ABEEBD" w14:textId="085DB2AD">
      <w:pPr>
        <w:ind w:firstLine="720"/>
        <w:rPr>
          <w:highlight w:val="lightGray"/>
        </w:rPr>
      </w:pPr>
      <w:r>
        <w:t xml:space="preserve">The ability to submit administrative ruling requests </w:t>
      </w:r>
      <w:r w:rsidR="007E1989">
        <w:t xml:space="preserve">and receive a ruling </w:t>
      </w:r>
      <w:r w:rsidR="00565958">
        <w:t xml:space="preserve">assists a requestor </w:t>
      </w:r>
      <w:r>
        <w:t xml:space="preserve"> </w:t>
      </w:r>
      <w:r w:rsidR="00565958">
        <w:t xml:space="preserve">in </w:t>
      </w:r>
      <w:r>
        <w:t xml:space="preserve">complying with the appropriate BSA regulations. </w:t>
      </w:r>
      <w:r w:rsidRPr="00E86A92">
        <w:rPr>
          <w:szCs w:val="22"/>
        </w:rPr>
        <w:t xml:space="preserve">Responses that would be useful to the general public are </w:t>
      </w:r>
      <w:r w:rsidR="00C25E9E">
        <w:rPr>
          <w:szCs w:val="22"/>
        </w:rPr>
        <w:t xml:space="preserve">modified to limit the disclosure of sensitive </w:t>
      </w:r>
      <w:r>
        <w:rPr>
          <w:szCs w:val="22"/>
        </w:rPr>
        <w:t>request</w:t>
      </w:r>
      <w:r w:rsidR="00C9260F">
        <w:rPr>
          <w:szCs w:val="22"/>
        </w:rPr>
        <w:t>o</w:t>
      </w:r>
      <w:r>
        <w:rPr>
          <w:szCs w:val="22"/>
        </w:rPr>
        <w:t xml:space="preserve">r </w:t>
      </w:r>
      <w:r w:rsidR="00C25E9E">
        <w:rPr>
          <w:szCs w:val="22"/>
        </w:rPr>
        <w:t xml:space="preserve">information </w:t>
      </w:r>
      <w:r>
        <w:rPr>
          <w:szCs w:val="22"/>
        </w:rPr>
        <w:t xml:space="preserve">and posted on </w:t>
      </w:r>
      <w:r w:rsidRPr="00E86A92">
        <w:rPr>
          <w:szCs w:val="22"/>
        </w:rPr>
        <w:t xml:space="preserve">FinCEN </w:t>
      </w:r>
      <w:r w:rsidRPr="00E86A92">
        <w:rPr>
          <w:szCs w:val="22"/>
        </w:rPr>
        <w:lastRenderedPageBreak/>
        <w:t xml:space="preserve">public website at </w:t>
      </w:r>
      <w:r>
        <w:rPr>
          <w:szCs w:val="22"/>
        </w:rPr>
        <w:t>www.fincen.gov.</w:t>
      </w:r>
      <w:r>
        <w:t xml:space="preserve"> Administrative rulings that are published on FinCEN’s website, because they </w:t>
      </w:r>
      <w:r w:rsidR="00C0522F">
        <w:t>may be relied upon by others similarly situated</w:t>
      </w:r>
      <w:r>
        <w:t xml:space="preserve">, help </w:t>
      </w:r>
      <w:r w:rsidR="0020528E">
        <w:t xml:space="preserve">financial </w:t>
      </w:r>
      <w:r w:rsidR="009247B0">
        <w:t xml:space="preserve">institutions </w:t>
      </w:r>
      <w:r w:rsidR="0020528E">
        <w:t xml:space="preserve">and other entities </w:t>
      </w:r>
      <w:r>
        <w:t xml:space="preserve">ensure </w:t>
      </w:r>
      <w:r w:rsidR="0020528E">
        <w:t xml:space="preserve">that </w:t>
      </w:r>
      <w:r>
        <w:t xml:space="preserve">they are complying with applicable BSA regulations, and </w:t>
      </w:r>
      <w:r w:rsidR="00AE5D2F">
        <w:t xml:space="preserve">assist </w:t>
      </w:r>
      <w:r>
        <w:t xml:space="preserve">FinCEN </w:t>
      </w:r>
      <w:r w:rsidR="0020528E">
        <w:t xml:space="preserve">in ensuring that </w:t>
      </w:r>
      <w:r>
        <w:t xml:space="preserve">the BSA requirements are being uniformly applied to similarly situated entities.   </w:t>
      </w:r>
      <w:r w:rsidRPr="00AA6051">
        <w:t xml:space="preserve"> </w:t>
      </w:r>
    </w:p>
    <w:p w:rsidRPr="00C2199E" w:rsidR="00B06DCA" w:rsidP="00C2199E" w:rsidRDefault="00B06DCA" w14:paraId="23668403" w14:textId="77777777">
      <w:pPr>
        <w:ind w:firstLine="720"/>
        <w:rPr>
          <w:szCs w:val="22"/>
        </w:rPr>
      </w:pPr>
    </w:p>
    <w:p w:rsidRPr="00531C0C" w:rsidR="00643252" w:rsidP="009829C3" w:rsidRDefault="00643252" w14:paraId="4C5BE43C" w14:textId="77777777">
      <w:pPr>
        <w:rPr>
          <w:szCs w:val="22"/>
          <w:u w:val="single"/>
        </w:rPr>
      </w:pPr>
      <w:r w:rsidRPr="00846401">
        <w:rPr>
          <w:szCs w:val="22"/>
        </w:rPr>
        <w:t xml:space="preserve">7. </w:t>
      </w:r>
      <w:r w:rsidRPr="00531C0C" w:rsidR="00E667ED">
        <w:rPr>
          <w:szCs w:val="22"/>
          <w:u w:val="single"/>
        </w:rPr>
        <w:t>Special circumstances requiring data collection</w:t>
      </w:r>
      <w:r w:rsidRPr="00AB2CE4" w:rsidR="00E667ED">
        <w:rPr>
          <w:szCs w:val="22"/>
          <w:u w:val="single"/>
        </w:rPr>
        <w:t xml:space="preserve"> inconsistent with g</w:t>
      </w:r>
      <w:r w:rsidRPr="00D2333F">
        <w:rPr>
          <w:szCs w:val="22"/>
          <w:u w:val="single"/>
        </w:rPr>
        <w:t>uidelines.</w:t>
      </w:r>
    </w:p>
    <w:p w:rsidRPr="00AA6051" w:rsidR="00643252" w:rsidP="009829C3" w:rsidRDefault="00643252" w14:paraId="7C4FA590" w14:textId="77777777">
      <w:pPr>
        <w:widowControl w:val="0"/>
        <w:autoSpaceDE w:val="0"/>
        <w:autoSpaceDN w:val="0"/>
        <w:adjustRightInd w:val="0"/>
        <w:spacing w:line="240" w:lineRule="exact"/>
        <w:ind w:firstLine="710"/>
        <w:rPr>
          <w:szCs w:val="22"/>
        </w:rPr>
      </w:pPr>
    </w:p>
    <w:p w:rsidRPr="00FB6ADC" w:rsidR="00342F59" w:rsidP="00E85D2B" w:rsidRDefault="00D2333F" w14:paraId="4204A1B0" w14:textId="630BA691">
      <w:pPr>
        <w:ind w:firstLine="720"/>
      </w:pPr>
      <w:r>
        <w:rPr>
          <w:lang w:val="en"/>
        </w:rPr>
        <w:t xml:space="preserve">There are no special circumstances requiring data collection inconsistent with standard guidelines. </w:t>
      </w:r>
    </w:p>
    <w:p w:rsidRPr="00AA6051" w:rsidR="00104F2C" w:rsidP="00015029" w:rsidRDefault="00104F2C" w14:paraId="168F885D" w14:textId="41B13D09">
      <w:pPr>
        <w:ind w:firstLine="720"/>
        <w:rPr>
          <w:szCs w:val="4"/>
        </w:rPr>
      </w:pPr>
    </w:p>
    <w:p w:rsidRPr="00AA6051" w:rsidR="00643252" w:rsidP="009829C3" w:rsidRDefault="00643252" w14:paraId="0EB048C7" w14:textId="77777777">
      <w:pPr>
        <w:rPr>
          <w:szCs w:val="22"/>
        </w:rPr>
      </w:pPr>
      <w:r w:rsidRPr="00AA6051">
        <w:rPr>
          <w:szCs w:val="22"/>
        </w:rPr>
        <w:t xml:space="preserve">8. </w:t>
      </w:r>
      <w:r w:rsidRPr="00AA6051">
        <w:rPr>
          <w:szCs w:val="22"/>
          <w:u w:val="single"/>
        </w:rPr>
        <w:t>Consultation w</w:t>
      </w:r>
      <w:r w:rsidRPr="00AA6051" w:rsidR="00E667ED">
        <w:rPr>
          <w:szCs w:val="22"/>
          <w:u w:val="single"/>
        </w:rPr>
        <w:t>ith individuals outside of the a</w:t>
      </w:r>
      <w:r w:rsidRPr="00AA6051">
        <w:rPr>
          <w:szCs w:val="22"/>
          <w:u w:val="single"/>
        </w:rPr>
        <w:t>g</w:t>
      </w:r>
      <w:r w:rsidRPr="00AA6051" w:rsidR="00E667ED">
        <w:rPr>
          <w:szCs w:val="22"/>
          <w:u w:val="single"/>
        </w:rPr>
        <w:t>ency on availability of data f</w:t>
      </w:r>
      <w:r w:rsidRPr="00AA6051">
        <w:rPr>
          <w:szCs w:val="22"/>
          <w:u w:val="single"/>
        </w:rPr>
        <w:t>requ</w:t>
      </w:r>
      <w:r w:rsidRPr="00AA6051" w:rsidR="00E667ED">
        <w:rPr>
          <w:szCs w:val="22"/>
          <w:u w:val="single"/>
        </w:rPr>
        <w:t>ency of collection, clarity of i</w:t>
      </w:r>
      <w:r w:rsidRPr="00AA6051">
        <w:rPr>
          <w:szCs w:val="22"/>
          <w:u w:val="single"/>
        </w:rPr>
        <w:t>n</w:t>
      </w:r>
      <w:r w:rsidRPr="00AA6051" w:rsidR="00E667ED">
        <w:rPr>
          <w:szCs w:val="22"/>
          <w:u w:val="single"/>
        </w:rPr>
        <w:t>structions and forms, and data e</w:t>
      </w:r>
      <w:r w:rsidRPr="00AA6051">
        <w:rPr>
          <w:szCs w:val="22"/>
          <w:u w:val="single"/>
        </w:rPr>
        <w:t>lements.</w:t>
      </w:r>
      <w:r w:rsidRPr="00AA6051">
        <w:rPr>
          <w:szCs w:val="22"/>
        </w:rPr>
        <w:t xml:space="preserve"> </w:t>
      </w:r>
    </w:p>
    <w:p w:rsidRPr="00AA6051" w:rsidR="00643252" w:rsidP="009829C3" w:rsidRDefault="00643252" w14:paraId="1BE4B3B1" w14:textId="77777777">
      <w:pPr>
        <w:rPr>
          <w:szCs w:val="22"/>
        </w:rPr>
      </w:pPr>
    </w:p>
    <w:p w:rsidRPr="00AA6051" w:rsidR="00414797" w:rsidP="009829C3" w:rsidRDefault="00414797" w14:paraId="2FCE4606" w14:textId="4774EA04">
      <w:pPr>
        <w:ind w:firstLine="720"/>
      </w:pPr>
      <w:r w:rsidRPr="00AA6051">
        <w:t xml:space="preserve">The 60-day notice was published on </w:t>
      </w:r>
      <w:r w:rsidR="00984EFE">
        <w:t>December 11</w:t>
      </w:r>
      <w:r w:rsidRPr="00AA6051">
        <w:t>, 2020.</w:t>
      </w:r>
      <w:r w:rsidRPr="00AA6051">
        <w:rPr>
          <w:rStyle w:val="FootnoteReference"/>
        </w:rPr>
        <w:footnoteReference w:id="3"/>
      </w:r>
      <w:r w:rsidRPr="00AA6051">
        <w:t xml:space="preserve"> The notice requested public comments on the proposed renewal, without change, of currently approved information c</w:t>
      </w:r>
      <w:r w:rsidRPr="00AA6051" w:rsidR="00E667ED">
        <w:t xml:space="preserve">ollections relating to </w:t>
      </w:r>
      <w:r w:rsidR="00984EFE">
        <w:t>administrative ruling</w:t>
      </w:r>
      <w:r w:rsidR="00D209B2">
        <w:t xml:space="preserve"> requests</w:t>
      </w:r>
      <w:r w:rsidR="00984EFE">
        <w:t xml:space="preserve">. </w:t>
      </w:r>
      <w:r w:rsidR="00D209B2">
        <w:t>F</w:t>
      </w:r>
      <w:r w:rsidR="00984EFE">
        <w:t>inCEN received no comments</w:t>
      </w:r>
      <w:r w:rsidR="00E85D2B">
        <w:t xml:space="preserve"> in response to the notice</w:t>
      </w:r>
      <w:r w:rsidR="009E5C9F">
        <w:t>.</w:t>
      </w:r>
      <w:r w:rsidR="00984EFE">
        <w:t xml:space="preserve"> </w:t>
      </w:r>
    </w:p>
    <w:p w:rsidRPr="00AA6051" w:rsidR="009829C3" w:rsidP="009829C3" w:rsidRDefault="009829C3" w14:paraId="654ABAA4" w14:textId="77777777">
      <w:pPr>
        <w:widowControl w:val="0"/>
        <w:autoSpaceDE w:val="0"/>
        <w:autoSpaceDN w:val="0"/>
        <w:adjustRightInd w:val="0"/>
        <w:ind w:right="220" w:firstLine="720"/>
      </w:pPr>
    </w:p>
    <w:p w:rsidRPr="00584778" w:rsidR="00F70456" w:rsidP="009829C3" w:rsidRDefault="00F70456" w14:paraId="7EE700B0" w14:textId="77777777">
      <w:pPr>
        <w:rPr>
          <w:szCs w:val="22"/>
        </w:rPr>
      </w:pPr>
      <w:r w:rsidRPr="00584778">
        <w:rPr>
          <w:szCs w:val="22"/>
        </w:rPr>
        <w:t xml:space="preserve">9. </w:t>
      </w:r>
      <w:r w:rsidRPr="00584778">
        <w:rPr>
          <w:u w:val="single"/>
        </w:rPr>
        <w:t>Explanation of decision to provide any payment or gift to respondents.</w:t>
      </w:r>
    </w:p>
    <w:p w:rsidRPr="00584778" w:rsidR="009829C3" w:rsidP="009829C3" w:rsidRDefault="009829C3" w14:paraId="7F125B57" w14:textId="77777777">
      <w:pPr>
        <w:ind w:firstLine="720"/>
        <w:rPr>
          <w:szCs w:val="22"/>
        </w:rPr>
      </w:pPr>
    </w:p>
    <w:p w:rsidRPr="00AA6051" w:rsidR="00F70456" w:rsidP="009829C3" w:rsidRDefault="00F70456" w14:paraId="7E471F19" w14:textId="77777777">
      <w:pPr>
        <w:ind w:firstLine="720"/>
        <w:rPr>
          <w:szCs w:val="22"/>
        </w:rPr>
      </w:pPr>
      <w:r w:rsidRPr="00584778">
        <w:rPr>
          <w:szCs w:val="22"/>
        </w:rPr>
        <w:t>No payments or gifts were made to respondents.</w:t>
      </w:r>
      <w:r w:rsidRPr="00AA6051">
        <w:rPr>
          <w:szCs w:val="22"/>
        </w:rPr>
        <w:t xml:space="preserve"> </w:t>
      </w:r>
    </w:p>
    <w:p w:rsidRPr="00AA6051" w:rsidR="009829C3" w:rsidP="009829C3" w:rsidRDefault="009829C3" w14:paraId="09810416" w14:textId="77777777">
      <w:pPr>
        <w:ind w:firstLine="720"/>
        <w:rPr>
          <w:szCs w:val="22"/>
        </w:rPr>
      </w:pPr>
    </w:p>
    <w:p w:rsidRPr="00AA6051" w:rsidR="0000789D" w:rsidP="009829C3" w:rsidRDefault="0000789D" w14:paraId="3586792A" w14:textId="77777777">
      <w:pPr>
        <w:pStyle w:val="BodyText"/>
        <w:spacing w:before="0"/>
        <w:rPr>
          <w:sz w:val="24"/>
          <w:u w:val="single"/>
        </w:rPr>
      </w:pPr>
      <w:r w:rsidRPr="00AA6051">
        <w:rPr>
          <w:sz w:val="24"/>
        </w:rPr>
        <w:t xml:space="preserve">10. </w:t>
      </w:r>
      <w:r w:rsidRPr="00AA6051">
        <w:rPr>
          <w:sz w:val="24"/>
          <w:u w:val="single"/>
        </w:rPr>
        <w:t xml:space="preserve">Assurance </w:t>
      </w:r>
      <w:r w:rsidRPr="00E12F78">
        <w:rPr>
          <w:sz w:val="24"/>
          <w:u w:val="single"/>
        </w:rPr>
        <w:t>of confidentiality</w:t>
      </w:r>
      <w:r w:rsidRPr="00AA6051">
        <w:rPr>
          <w:sz w:val="24"/>
          <w:u w:val="single"/>
        </w:rPr>
        <w:t xml:space="preserve"> of responses.</w:t>
      </w:r>
    </w:p>
    <w:p w:rsidRPr="00AA6051" w:rsidR="009829C3" w:rsidP="009829C3" w:rsidRDefault="009829C3" w14:paraId="02E30A71" w14:textId="77777777">
      <w:pPr>
        <w:pStyle w:val="BodyText"/>
        <w:spacing w:before="0"/>
        <w:rPr>
          <w:sz w:val="24"/>
        </w:rPr>
      </w:pPr>
    </w:p>
    <w:p w:rsidRPr="00E85D2B" w:rsidR="00E85D2B" w:rsidP="00E85D2B" w:rsidRDefault="008C1876" w14:paraId="509CEDB3" w14:textId="629504C3">
      <w:pPr>
        <w:widowControl w:val="0"/>
        <w:autoSpaceDE w:val="0"/>
        <w:autoSpaceDN w:val="0"/>
        <w:adjustRightInd w:val="0"/>
        <w:spacing w:line="235" w:lineRule="exact"/>
        <w:ind w:firstLine="720"/>
        <w:rPr>
          <w:szCs w:val="22"/>
          <w:vertAlign w:val="superscript"/>
        </w:rPr>
      </w:pPr>
      <w:r>
        <w:rPr>
          <w:szCs w:val="22"/>
        </w:rPr>
        <w:t>31 CFR 1010.717</w:t>
      </w:r>
      <w:r w:rsidR="00C80EE1">
        <w:rPr>
          <w:szCs w:val="22"/>
        </w:rPr>
        <w:t xml:space="preserve"> outlines circumstances under which information submitted in an administrative ruling request will be disclosed.  </w:t>
      </w:r>
      <w:r w:rsidRPr="00E85D2B" w:rsidDel="008C1876">
        <w:rPr>
          <w:szCs w:val="22"/>
          <w:vertAlign w:val="superscript"/>
        </w:rPr>
        <w:t xml:space="preserve"> </w:t>
      </w:r>
    </w:p>
    <w:p w:rsidRPr="00AA6051" w:rsidR="0000789D" w:rsidP="009829C3" w:rsidRDefault="000F4038" w14:paraId="5B143DC8" w14:textId="06410F82">
      <w:pPr>
        <w:widowControl w:val="0"/>
        <w:autoSpaceDE w:val="0"/>
        <w:autoSpaceDN w:val="0"/>
        <w:adjustRightInd w:val="0"/>
        <w:spacing w:line="235" w:lineRule="exact"/>
        <w:ind w:firstLine="720"/>
        <w:rPr>
          <w:szCs w:val="22"/>
        </w:rPr>
      </w:pPr>
      <w:r>
        <w:rPr>
          <w:szCs w:val="22"/>
        </w:rPr>
        <w:t xml:space="preserve">  </w:t>
      </w:r>
    </w:p>
    <w:p w:rsidRPr="00AA6051" w:rsidR="0000789D" w:rsidP="009829C3" w:rsidRDefault="0000789D" w14:paraId="4E4DE2B6" w14:textId="77777777">
      <w:pPr>
        <w:rPr>
          <w:szCs w:val="22"/>
        </w:rPr>
      </w:pPr>
      <w:r w:rsidRPr="00AA6051">
        <w:rPr>
          <w:szCs w:val="22"/>
        </w:rPr>
        <w:t xml:space="preserve">11. </w:t>
      </w:r>
      <w:r w:rsidRPr="00AA6051">
        <w:rPr>
          <w:szCs w:val="22"/>
          <w:u w:val="single"/>
        </w:rPr>
        <w:t>Justification of sensitive questions.</w:t>
      </w:r>
      <w:r w:rsidRPr="00AA6051">
        <w:rPr>
          <w:szCs w:val="22"/>
        </w:rPr>
        <w:t xml:space="preserve"> </w:t>
      </w:r>
    </w:p>
    <w:p w:rsidR="009F04CE" w:rsidP="009829C3" w:rsidRDefault="009F04CE" w14:paraId="2BB231BE" w14:textId="77777777">
      <w:pPr>
        <w:ind w:firstLine="720"/>
      </w:pPr>
    </w:p>
    <w:p w:rsidRPr="00531C0C" w:rsidR="0000789D" w:rsidP="009829C3" w:rsidRDefault="0000789D" w14:paraId="1CFF504A" w14:textId="30BD09B6">
      <w:pPr>
        <w:ind w:firstLine="720"/>
      </w:pPr>
      <w:r w:rsidRPr="00514745">
        <w:t xml:space="preserve">There are </w:t>
      </w:r>
      <w:r w:rsidRPr="00514745" w:rsidR="00991949">
        <w:t>no requirement</w:t>
      </w:r>
      <w:r w:rsidR="00811D5F">
        <w:t>s</w:t>
      </w:r>
      <w:r w:rsidRPr="00514745" w:rsidR="00991949">
        <w:t xml:space="preserve"> to provide information of a sensitive nature in an administrative </w:t>
      </w:r>
      <w:r w:rsidRPr="00531C0C" w:rsidR="00D8781B">
        <w:t xml:space="preserve">ruling request. </w:t>
      </w:r>
      <w:r w:rsidRPr="00514745" w:rsidR="00991949">
        <w:t xml:space="preserve">However, in describing an entity’s </w:t>
      </w:r>
      <w:r w:rsidRPr="00A3219D" w:rsidR="00991949">
        <w:t>business</w:t>
      </w:r>
      <w:r w:rsidRPr="00514745" w:rsidR="00991949">
        <w:t xml:space="preserve">, the entity may view some of the information to be proprietary. 31 CFR 1010.717 (disclosing information) outlines how a </w:t>
      </w:r>
      <w:r w:rsidR="00FC40FA">
        <w:t>requestor</w:t>
      </w:r>
      <w:r w:rsidRPr="00514745" w:rsidR="00FC40FA">
        <w:t xml:space="preserve"> </w:t>
      </w:r>
      <w:r w:rsidRPr="00514745" w:rsidR="00991949">
        <w:t xml:space="preserve">can request that certain information be exempted </w:t>
      </w:r>
      <w:r w:rsidR="00FC40FA">
        <w:t xml:space="preserve">from disclosure under </w:t>
      </w:r>
      <w:r w:rsidRPr="00514745" w:rsidR="00991949">
        <w:t xml:space="preserve">the Freedom of Information Act. </w:t>
      </w:r>
    </w:p>
    <w:p w:rsidRPr="00AA6051" w:rsidR="009829C3" w:rsidP="009829C3" w:rsidRDefault="009829C3" w14:paraId="09B7D724" w14:textId="77777777">
      <w:pPr>
        <w:ind w:firstLine="720"/>
        <w:rPr>
          <w:szCs w:val="22"/>
        </w:rPr>
      </w:pPr>
    </w:p>
    <w:p w:rsidRPr="00AA6051" w:rsidR="00643252" w:rsidP="009829C3" w:rsidRDefault="008722D3" w14:paraId="6CC532A7" w14:textId="5C557278">
      <w:pPr>
        <w:rPr>
          <w:szCs w:val="22"/>
          <w:u w:val="single"/>
        </w:rPr>
      </w:pPr>
      <w:r w:rsidRPr="00AA6051">
        <w:rPr>
          <w:szCs w:val="22"/>
        </w:rPr>
        <w:t>12</w:t>
      </w:r>
      <w:r w:rsidR="00A3219D">
        <w:rPr>
          <w:szCs w:val="22"/>
        </w:rPr>
        <w:t>.</w:t>
      </w:r>
      <w:r w:rsidRPr="00AA6051">
        <w:rPr>
          <w:szCs w:val="22"/>
        </w:rPr>
        <w:t xml:space="preserve"> </w:t>
      </w:r>
      <w:r w:rsidRPr="00AA6051">
        <w:rPr>
          <w:szCs w:val="22"/>
          <w:u w:val="single"/>
        </w:rPr>
        <w:t>Estimated burden of information collection.</w:t>
      </w:r>
    </w:p>
    <w:p w:rsidRPr="00AA6051" w:rsidR="00AC4543" w:rsidP="009829C3" w:rsidRDefault="00AC4543" w14:paraId="643521CF" w14:textId="77777777">
      <w:pPr>
        <w:rPr>
          <w:szCs w:val="22"/>
        </w:rPr>
      </w:pPr>
    </w:p>
    <w:p w:rsidRPr="00AA6051" w:rsidR="00643252" w:rsidP="009829C3" w:rsidRDefault="00643252" w14:paraId="655EE6D3" w14:textId="6FCB6B22">
      <w:pPr>
        <w:rPr>
          <w:szCs w:val="22"/>
        </w:rPr>
      </w:pPr>
      <w:r w:rsidRPr="00FB6ADC">
        <w:rPr>
          <w:szCs w:val="22"/>
          <w:u w:val="single"/>
        </w:rPr>
        <w:t>Frequency</w:t>
      </w:r>
      <w:r w:rsidRPr="00B636C2">
        <w:rPr>
          <w:szCs w:val="22"/>
          <w:u w:val="single"/>
        </w:rPr>
        <w:t>:</w:t>
      </w:r>
      <w:r w:rsidRPr="00AA6051">
        <w:rPr>
          <w:szCs w:val="22"/>
        </w:rPr>
        <w:t xml:space="preserve"> As required. </w:t>
      </w:r>
    </w:p>
    <w:p w:rsidRPr="00AA6051" w:rsidR="00643252" w:rsidP="009829C3" w:rsidRDefault="00643252" w14:paraId="04CA2AB0" w14:textId="77777777">
      <w:pPr>
        <w:widowControl w:val="0"/>
        <w:autoSpaceDE w:val="0"/>
        <w:autoSpaceDN w:val="0"/>
        <w:adjustRightInd w:val="0"/>
        <w:spacing w:line="273" w:lineRule="exact"/>
        <w:jc w:val="both"/>
        <w:rPr>
          <w:szCs w:val="22"/>
        </w:rPr>
      </w:pPr>
    </w:p>
    <w:p w:rsidR="00643252" w:rsidP="009829C3" w:rsidRDefault="00643252" w14:paraId="5AD442FB" w14:textId="6E8B2BED">
      <w:pPr>
        <w:widowControl w:val="0"/>
        <w:autoSpaceDE w:val="0"/>
        <w:autoSpaceDN w:val="0"/>
        <w:adjustRightInd w:val="0"/>
        <w:spacing w:line="273" w:lineRule="exact"/>
        <w:jc w:val="both"/>
        <w:rPr>
          <w:szCs w:val="22"/>
        </w:rPr>
      </w:pPr>
      <w:r w:rsidRPr="00FB6ADC">
        <w:rPr>
          <w:szCs w:val="22"/>
          <w:u w:val="single"/>
        </w:rPr>
        <w:t>Est</w:t>
      </w:r>
      <w:r w:rsidRPr="00FB6ADC" w:rsidR="007F6DDB">
        <w:rPr>
          <w:szCs w:val="22"/>
          <w:u w:val="single"/>
        </w:rPr>
        <w:t>imated Number of Respondents</w:t>
      </w:r>
      <w:r w:rsidRPr="00B636C2" w:rsidR="007F6DDB">
        <w:rPr>
          <w:szCs w:val="22"/>
          <w:u w:val="single"/>
        </w:rPr>
        <w:t>:</w:t>
      </w:r>
      <w:r w:rsidRPr="00AA6051" w:rsidR="007F6DDB">
        <w:rPr>
          <w:szCs w:val="22"/>
        </w:rPr>
        <w:t xml:space="preserve"> </w:t>
      </w:r>
      <w:r w:rsidR="00287B1B">
        <w:rPr>
          <w:szCs w:val="22"/>
        </w:rPr>
        <w:t>33</w:t>
      </w:r>
      <w:r w:rsidR="004F22DF">
        <w:rPr>
          <w:szCs w:val="22"/>
        </w:rPr>
        <w:t xml:space="preserve"> administrative ruling requests.</w:t>
      </w:r>
      <w:r w:rsidR="00F54DB8">
        <w:rPr>
          <w:rStyle w:val="FootnoteReference"/>
          <w:szCs w:val="22"/>
        </w:rPr>
        <w:footnoteReference w:id="4"/>
      </w:r>
    </w:p>
    <w:p w:rsidR="00316714" w:rsidP="009829C3" w:rsidRDefault="00316714" w14:paraId="08454878" w14:textId="50130427">
      <w:pPr>
        <w:widowControl w:val="0"/>
        <w:autoSpaceDE w:val="0"/>
        <w:autoSpaceDN w:val="0"/>
        <w:adjustRightInd w:val="0"/>
        <w:spacing w:line="273" w:lineRule="exact"/>
        <w:jc w:val="both"/>
        <w:rPr>
          <w:szCs w:val="22"/>
        </w:rPr>
      </w:pPr>
    </w:p>
    <w:p w:rsidRPr="00AA6051" w:rsidR="00316714" w:rsidP="009829C3" w:rsidRDefault="00316714" w14:paraId="04932AA8" w14:textId="72CD29EC">
      <w:pPr>
        <w:widowControl w:val="0"/>
        <w:autoSpaceDE w:val="0"/>
        <w:autoSpaceDN w:val="0"/>
        <w:adjustRightInd w:val="0"/>
        <w:spacing w:line="273" w:lineRule="exact"/>
        <w:jc w:val="both"/>
        <w:rPr>
          <w:szCs w:val="22"/>
        </w:rPr>
      </w:pPr>
      <w:r w:rsidRPr="00FB6ADC">
        <w:rPr>
          <w:szCs w:val="22"/>
          <w:u w:val="single"/>
        </w:rPr>
        <w:t>Estimated Number of Annual Requests:</w:t>
      </w:r>
      <w:r w:rsidR="00F04F85">
        <w:rPr>
          <w:szCs w:val="22"/>
        </w:rPr>
        <w:t xml:space="preserve"> 33</w:t>
      </w:r>
      <w:r w:rsidR="004F22DF">
        <w:rPr>
          <w:szCs w:val="22"/>
        </w:rPr>
        <w:t xml:space="preserve"> administrative rulings.</w:t>
      </w:r>
    </w:p>
    <w:p w:rsidRPr="00AA6051" w:rsidR="00643252" w:rsidP="009829C3" w:rsidRDefault="00643252" w14:paraId="0556DA9E" w14:textId="77777777">
      <w:pPr>
        <w:widowControl w:val="0"/>
        <w:autoSpaceDE w:val="0"/>
        <w:autoSpaceDN w:val="0"/>
        <w:adjustRightInd w:val="0"/>
        <w:spacing w:line="268" w:lineRule="exact"/>
        <w:jc w:val="both"/>
        <w:rPr>
          <w:szCs w:val="22"/>
        </w:rPr>
      </w:pPr>
    </w:p>
    <w:p w:rsidR="003A525C" w:rsidP="009829C3" w:rsidRDefault="003A525C" w14:paraId="700D95B8" w14:textId="76B674EA">
      <w:pPr>
        <w:widowControl w:val="0"/>
        <w:autoSpaceDE w:val="0"/>
        <w:autoSpaceDN w:val="0"/>
        <w:adjustRightInd w:val="0"/>
        <w:spacing w:line="268" w:lineRule="exact"/>
        <w:jc w:val="both"/>
        <w:rPr>
          <w:szCs w:val="22"/>
        </w:rPr>
      </w:pPr>
      <w:r w:rsidRPr="00C4269A">
        <w:rPr>
          <w:szCs w:val="22"/>
          <w:u w:val="single"/>
        </w:rPr>
        <w:t xml:space="preserve">Estimated </w:t>
      </w:r>
      <w:r w:rsidR="00C4269A">
        <w:rPr>
          <w:szCs w:val="22"/>
          <w:u w:val="single"/>
        </w:rPr>
        <w:t>Total Annual</w:t>
      </w:r>
      <w:r w:rsidR="00ED70FB">
        <w:rPr>
          <w:szCs w:val="22"/>
          <w:u w:val="single"/>
        </w:rPr>
        <w:t xml:space="preserve"> Burden</w:t>
      </w:r>
      <w:r w:rsidRPr="00B636C2">
        <w:rPr>
          <w:szCs w:val="22"/>
          <w:u w:val="single"/>
        </w:rPr>
        <w:t>:</w:t>
      </w:r>
      <w:r w:rsidRPr="00AA6051">
        <w:rPr>
          <w:szCs w:val="22"/>
        </w:rPr>
        <w:t xml:space="preserve"> </w:t>
      </w:r>
    </w:p>
    <w:p w:rsidR="006A7C8F" w:rsidP="009829C3" w:rsidRDefault="006A7C8F" w14:paraId="73D91CDE" w14:textId="1A3C4DB3">
      <w:pPr>
        <w:widowControl w:val="0"/>
        <w:autoSpaceDE w:val="0"/>
        <w:autoSpaceDN w:val="0"/>
        <w:adjustRightInd w:val="0"/>
        <w:spacing w:line="268" w:lineRule="exact"/>
        <w:jc w:val="both"/>
        <w:rPr>
          <w:szCs w:val="22"/>
        </w:rPr>
      </w:pPr>
    </w:p>
    <w:p w:rsidR="00705597" w:rsidP="005145AB" w:rsidRDefault="006A7C8F" w14:paraId="2E82E387" w14:textId="65D75DDA">
      <w:pPr>
        <w:widowControl w:val="0"/>
        <w:autoSpaceDE w:val="0"/>
        <w:autoSpaceDN w:val="0"/>
        <w:adjustRightInd w:val="0"/>
        <w:spacing w:line="268" w:lineRule="exact"/>
        <w:rPr>
          <w:szCs w:val="22"/>
        </w:rPr>
      </w:pPr>
      <w:r>
        <w:rPr>
          <w:szCs w:val="22"/>
        </w:rPr>
        <w:tab/>
      </w:r>
      <w:r w:rsidR="004F22DF">
        <w:rPr>
          <w:szCs w:val="22"/>
        </w:rPr>
        <w:t xml:space="preserve">The </w:t>
      </w:r>
      <w:r w:rsidRPr="0015749B" w:rsidR="004F22DF">
        <w:rPr>
          <w:szCs w:val="22"/>
        </w:rPr>
        <w:t>requirements</w:t>
      </w:r>
      <w:r w:rsidR="004F22DF">
        <w:rPr>
          <w:szCs w:val="22"/>
        </w:rPr>
        <w:t xml:space="preserve"> in the administrative ruling regulations only apply in instances in which </w:t>
      </w:r>
      <w:r w:rsidR="004707ED">
        <w:rPr>
          <w:szCs w:val="22"/>
        </w:rPr>
        <w:t xml:space="preserve">a requestor </w:t>
      </w:r>
      <w:r w:rsidR="004F22DF">
        <w:rPr>
          <w:szCs w:val="22"/>
        </w:rPr>
        <w:t>is requesting an interpretation of the BSA regulation</w:t>
      </w:r>
      <w:r w:rsidR="00E62E53">
        <w:rPr>
          <w:szCs w:val="22"/>
        </w:rPr>
        <w:t>s</w:t>
      </w:r>
      <w:r w:rsidR="00FD127F">
        <w:rPr>
          <w:szCs w:val="22"/>
        </w:rPr>
        <w:t xml:space="preserve"> as they </w:t>
      </w:r>
      <w:r w:rsidR="004F22DF">
        <w:rPr>
          <w:szCs w:val="22"/>
        </w:rPr>
        <w:t>relat</w:t>
      </w:r>
      <w:r w:rsidR="00FD127F">
        <w:rPr>
          <w:szCs w:val="22"/>
        </w:rPr>
        <w:t>e</w:t>
      </w:r>
      <w:r w:rsidR="004F22DF">
        <w:rPr>
          <w:szCs w:val="22"/>
        </w:rPr>
        <w:t xml:space="preserve"> to the </w:t>
      </w:r>
      <w:r w:rsidR="001F01D2">
        <w:rPr>
          <w:szCs w:val="22"/>
        </w:rPr>
        <w:t xml:space="preserve">requestor’s </w:t>
      </w:r>
      <w:r w:rsidR="004F22DF">
        <w:rPr>
          <w:szCs w:val="22"/>
        </w:rPr>
        <w:t xml:space="preserve">business. </w:t>
      </w:r>
      <w:r w:rsidR="001F01D2">
        <w:rPr>
          <w:szCs w:val="22"/>
        </w:rPr>
        <w:t>Requestors</w:t>
      </w:r>
      <w:r w:rsidR="00E62E53">
        <w:rPr>
          <w:szCs w:val="22"/>
        </w:rPr>
        <w:t xml:space="preserve"> will</w:t>
      </w:r>
      <w:r w:rsidR="004F22DF">
        <w:rPr>
          <w:szCs w:val="22"/>
        </w:rPr>
        <w:t xml:space="preserve"> have familiarity with their </w:t>
      </w:r>
      <w:r w:rsidRPr="006D6691" w:rsidR="004F22DF">
        <w:rPr>
          <w:szCs w:val="22"/>
        </w:rPr>
        <w:t xml:space="preserve">business </w:t>
      </w:r>
      <w:r w:rsidR="004F22DF">
        <w:rPr>
          <w:szCs w:val="22"/>
        </w:rPr>
        <w:t xml:space="preserve">in order to provide the information needed in an administrative ruling request. For that reason, FinCEN estimates that </w:t>
      </w:r>
      <w:r w:rsidR="00E62E53">
        <w:rPr>
          <w:szCs w:val="22"/>
        </w:rPr>
        <w:t>it will take an entity approximately two hours to draft a</w:t>
      </w:r>
      <w:r w:rsidR="00ED70FB">
        <w:rPr>
          <w:szCs w:val="22"/>
        </w:rPr>
        <w:t>nd submit an administrative rul</w:t>
      </w:r>
      <w:r w:rsidR="00E62E53">
        <w:rPr>
          <w:szCs w:val="22"/>
        </w:rPr>
        <w:t>ing request.</w:t>
      </w:r>
    </w:p>
    <w:p w:rsidR="00E90FC1" w:rsidP="005145AB" w:rsidRDefault="00E90FC1" w14:paraId="02B26BB6" w14:textId="77777777">
      <w:pPr>
        <w:widowControl w:val="0"/>
        <w:autoSpaceDE w:val="0"/>
        <w:autoSpaceDN w:val="0"/>
        <w:adjustRightInd w:val="0"/>
        <w:spacing w:line="268" w:lineRule="exact"/>
        <w:rPr>
          <w:szCs w:val="22"/>
        </w:rPr>
      </w:pPr>
    </w:p>
    <w:p w:rsidR="006A7C8F" w:rsidP="005145AB" w:rsidRDefault="006A7C8F" w14:paraId="167D94EF" w14:textId="4F826EF5">
      <w:pPr>
        <w:widowControl w:val="0"/>
        <w:autoSpaceDE w:val="0"/>
        <w:autoSpaceDN w:val="0"/>
        <w:adjustRightInd w:val="0"/>
        <w:spacing w:line="268" w:lineRule="exact"/>
        <w:ind w:firstLine="720"/>
        <w:rPr>
          <w:szCs w:val="22"/>
        </w:rPr>
      </w:pPr>
      <w:r>
        <w:rPr>
          <w:szCs w:val="22"/>
        </w:rPr>
        <w:t xml:space="preserve">FinCEN receives approximately 33 administrative ruling requests per year. </w:t>
      </w:r>
      <w:r w:rsidRPr="00847AB9" w:rsidR="00E90FC1">
        <w:rPr>
          <w:szCs w:val="22"/>
        </w:rPr>
        <w:t xml:space="preserve">FinCEN </w:t>
      </w:r>
      <w:r w:rsidRPr="00847AB9" w:rsidR="00847AB9">
        <w:rPr>
          <w:szCs w:val="22"/>
        </w:rPr>
        <w:t xml:space="preserve">therefore </w:t>
      </w:r>
      <w:r w:rsidRPr="00847AB9" w:rsidR="00E90FC1">
        <w:rPr>
          <w:szCs w:val="22"/>
        </w:rPr>
        <w:t>estimate</w:t>
      </w:r>
      <w:r w:rsidRPr="00847AB9" w:rsidR="00E612D2">
        <w:rPr>
          <w:szCs w:val="22"/>
        </w:rPr>
        <w:t>s</w:t>
      </w:r>
      <w:r w:rsidRPr="00847AB9" w:rsidR="00E90FC1">
        <w:rPr>
          <w:szCs w:val="22"/>
        </w:rPr>
        <w:t xml:space="preserve"> the </w:t>
      </w:r>
      <w:r w:rsidRPr="00847AB9">
        <w:rPr>
          <w:szCs w:val="22"/>
        </w:rPr>
        <w:t xml:space="preserve">total annual </w:t>
      </w:r>
      <w:r w:rsidRPr="00847AB9" w:rsidR="00E90FC1">
        <w:rPr>
          <w:szCs w:val="22"/>
        </w:rPr>
        <w:t xml:space="preserve">recordkeeping </w:t>
      </w:r>
      <w:r w:rsidRPr="00847AB9">
        <w:rPr>
          <w:szCs w:val="22"/>
        </w:rPr>
        <w:t xml:space="preserve">burden </w:t>
      </w:r>
      <w:r w:rsidRPr="00847AB9" w:rsidR="00E90FC1">
        <w:rPr>
          <w:szCs w:val="22"/>
        </w:rPr>
        <w:t xml:space="preserve">will be </w:t>
      </w:r>
      <w:r w:rsidRPr="00847AB9">
        <w:rPr>
          <w:szCs w:val="22"/>
        </w:rPr>
        <w:t>66 hours (33 administrative ruling requests multiplied by two hours per request)</w:t>
      </w:r>
      <w:r>
        <w:rPr>
          <w:szCs w:val="22"/>
        </w:rPr>
        <w:t>.</w:t>
      </w:r>
    </w:p>
    <w:p w:rsidR="006A7C8F" w:rsidP="009829C3" w:rsidRDefault="006A7C8F" w14:paraId="5F6CC92D" w14:textId="77777777">
      <w:pPr>
        <w:widowControl w:val="0"/>
        <w:autoSpaceDE w:val="0"/>
        <w:autoSpaceDN w:val="0"/>
        <w:adjustRightInd w:val="0"/>
        <w:spacing w:line="268" w:lineRule="exact"/>
        <w:jc w:val="both"/>
        <w:rPr>
          <w:szCs w:val="22"/>
        </w:rPr>
      </w:pPr>
    </w:p>
    <w:p w:rsidR="00ED6E89" w:rsidP="009829C3" w:rsidRDefault="00ED6E89" w14:paraId="5CA9A0C0" w14:textId="04F50614">
      <w:pPr>
        <w:widowControl w:val="0"/>
        <w:autoSpaceDE w:val="0"/>
        <w:autoSpaceDN w:val="0"/>
        <w:adjustRightInd w:val="0"/>
        <w:spacing w:line="268" w:lineRule="exact"/>
        <w:jc w:val="both"/>
        <w:rPr>
          <w:szCs w:val="22"/>
        </w:rPr>
      </w:pPr>
      <w:r>
        <w:rPr>
          <w:szCs w:val="22"/>
        </w:rPr>
        <w:t xml:space="preserve">13. </w:t>
      </w:r>
      <w:r w:rsidRPr="00FB6ADC">
        <w:rPr>
          <w:szCs w:val="22"/>
          <w:u w:val="single"/>
        </w:rPr>
        <w:t>Estimated cost of information collection.</w:t>
      </w:r>
    </w:p>
    <w:p w:rsidR="00ED6E89" w:rsidP="009829C3" w:rsidRDefault="00ED6E89" w14:paraId="46F6EE3A" w14:textId="77777777">
      <w:pPr>
        <w:widowControl w:val="0"/>
        <w:autoSpaceDE w:val="0"/>
        <w:autoSpaceDN w:val="0"/>
        <w:adjustRightInd w:val="0"/>
        <w:spacing w:line="268" w:lineRule="exact"/>
        <w:jc w:val="both"/>
        <w:rPr>
          <w:szCs w:val="22"/>
        </w:rPr>
      </w:pPr>
    </w:p>
    <w:p w:rsidRPr="000C72D9" w:rsidR="000C72D9" w:rsidP="000C72D9" w:rsidRDefault="000C72D9" w14:paraId="291D6203" w14:textId="4B7CDF8C">
      <w:pPr>
        <w:widowControl w:val="0"/>
        <w:autoSpaceDE w:val="0"/>
        <w:autoSpaceDN w:val="0"/>
        <w:adjustRightInd w:val="0"/>
        <w:spacing w:line="268" w:lineRule="exact"/>
        <w:ind w:firstLine="720"/>
        <w:jc w:val="both"/>
        <w:rPr>
          <w:szCs w:val="22"/>
        </w:rPr>
      </w:pPr>
      <w:r w:rsidRPr="000C72D9">
        <w:rPr>
          <w:szCs w:val="22"/>
        </w:rPr>
        <w:t xml:space="preserve">Estimated Total Annual Labor Cost: </w:t>
      </w:r>
      <w:r w:rsidRPr="000C72D9" w:rsidR="00531C0C">
        <w:rPr>
          <w:szCs w:val="22"/>
        </w:rPr>
        <w:t xml:space="preserve">$6,916.14 </w:t>
      </w:r>
      <w:r w:rsidRPr="000C72D9" w:rsidR="00D8781B">
        <w:rPr>
          <w:szCs w:val="22"/>
        </w:rPr>
        <w:t xml:space="preserve">(66 hours x </w:t>
      </w:r>
      <w:r w:rsidRPr="000C72D9" w:rsidR="00E30F02">
        <w:rPr>
          <w:szCs w:val="22"/>
        </w:rPr>
        <w:t>$</w:t>
      </w:r>
      <w:r w:rsidRPr="000C72D9" w:rsidR="001E0FFB">
        <w:rPr>
          <w:szCs w:val="22"/>
        </w:rPr>
        <w:t>1</w:t>
      </w:r>
      <w:r w:rsidRPr="000C72D9" w:rsidR="00531C0C">
        <w:rPr>
          <w:szCs w:val="22"/>
        </w:rPr>
        <w:t>04.79</w:t>
      </w:r>
      <w:r w:rsidRPr="000C72D9" w:rsidR="00D8781B">
        <w:rPr>
          <w:rStyle w:val="FootnoteReference"/>
          <w:szCs w:val="22"/>
        </w:rPr>
        <w:footnoteReference w:id="5"/>
      </w:r>
      <w:r w:rsidRPr="000C72D9" w:rsidR="00D8781B">
        <w:rPr>
          <w:szCs w:val="22"/>
        </w:rPr>
        <w:t xml:space="preserve"> per request)</w:t>
      </w:r>
      <w:r w:rsidRPr="000C72D9" w:rsidR="003B5ABA">
        <w:rPr>
          <w:szCs w:val="22"/>
        </w:rPr>
        <w:t>.</w:t>
      </w:r>
      <w:r w:rsidRPr="000C72D9" w:rsidDel="00BA5714" w:rsidR="00846401">
        <w:rPr>
          <w:szCs w:val="22"/>
        </w:rPr>
        <w:t xml:space="preserve"> </w:t>
      </w:r>
      <w:r w:rsidRPr="000C72D9">
        <w:t xml:space="preserve"> There are no out-of-pocket costs to respondents.</w:t>
      </w:r>
      <w:r>
        <w:t xml:space="preserve"> </w:t>
      </w:r>
    </w:p>
    <w:p w:rsidRPr="00AA6051" w:rsidR="000C72D9" w:rsidP="00846401" w:rsidRDefault="000C72D9" w14:paraId="498F9DC6" w14:textId="77777777">
      <w:pPr>
        <w:widowControl w:val="0"/>
        <w:autoSpaceDE w:val="0"/>
        <w:autoSpaceDN w:val="0"/>
        <w:adjustRightInd w:val="0"/>
        <w:spacing w:line="268" w:lineRule="exact"/>
        <w:ind w:firstLine="720"/>
        <w:jc w:val="both"/>
        <w:rPr>
          <w:szCs w:val="22"/>
        </w:rPr>
      </w:pPr>
    </w:p>
    <w:p w:rsidRPr="00AA6051" w:rsidR="00643252" w:rsidP="009829C3" w:rsidRDefault="00643252" w14:paraId="7AE7B940" w14:textId="77777777">
      <w:pPr>
        <w:rPr>
          <w:szCs w:val="22"/>
        </w:rPr>
      </w:pPr>
      <w:r w:rsidRPr="00D700D9">
        <w:rPr>
          <w:szCs w:val="22"/>
        </w:rPr>
        <w:t xml:space="preserve">14. </w:t>
      </w:r>
      <w:r w:rsidRPr="00D700D9">
        <w:rPr>
          <w:szCs w:val="22"/>
          <w:u w:val="single"/>
        </w:rPr>
        <w:t>Estima</w:t>
      </w:r>
      <w:r w:rsidRPr="00D700D9" w:rsidR="00D8554E">
        <w:rPr>
          <w:szCs w:val="22"/>
          <w:u w:val="single"/>
        </w:rPr>
        <w:t>ted annual cost to the Federal g</w:t>
      </w:r>
      <w:r w:rsidRPr="00D700D9">
        <w:rPr>
          <w:szCs w:val="22"/>
          <w:u w:val="single"/>
        </w:rPr>
        <w:t>overnment.</w:t>
      </w:r>
      <w:r w:rsidRPr="00AA6051">
        <w:rPr>
          <w:szCs w:val="22"/>
        </w:rPr>
        <w:t xml:space="preserve"> </w:t>
      </w:r>
    </w:p>
    <w:p w:rsidRPr="00AA6051" w:rsidR="009829C3" w:rsidP="009829C3" w:rsidRDefault="009829C3" w14:paraId="26BAD1D9" w14:textId="77777777">
      <w:pPr>
        <w:ind w:firstLine="720"/>
      </w:pPr>
    </w:p>
    <w:p w:rsidRPr="00AA6051" w:rsidR="00643252" w:rsidP="009829C3" w:rsidRDefault="00E30F02" w14:paraId="68114693" w14:textId="672A236E">
      <w:pPr>
        <w:ind w:firstLine="720"/>
      </w:pPr>
      <w:r w:rsidRPr="00E30F02">
        <w:t xml:space="preserve">FinCEN receives </w:t>
      </w:r>
      <w:r w:rsidR="00C4269A">
        <w:t>33</w:t>
      </w:r>
      <w:r w:rsidRPr="00E30F02" w:rsidR="00C4269A">
        <w:t xml:space="preserve"> </w:t>
      </w:r>
      <w:r w:rsidRPr="00E30F02">
        <w:t>requests on an annual basis.</w:t>
      </w:r>
      <w:r w:rsidR="008238D0">
        <w:t xml:space="preserve"> </w:t>
      </w:r>
      <w:r w:rsidR="00AD5CAF">
        <w:t>FinCEN estimates that it will take a GS 14 step 1 ($58.71 per hour) t</w:t>
      </w:r>
      <w:r w:rsidR="00B4307B">
        <w:t>en</w:t>
      </w:r>
      <w:r w:rsidR="00AD5CAF">
        <w:t xml:space="preserve"> hours to review and respond to an administrative ruling request.  (</w:t>
      </w:r>
      <w:r w:rsidRPr="00E30F02">
        <w:t>$</w:t>
      </w:r>
      <w:r w:rsidR="00AD5CAF">
        <w:t>58.71</w:t>
      </w:r>
      <w:r w:rsidRPr="00E30F02">
        <w:t xml:space="preserve"> </w:t>
      </w:r>
      <w:r w:rsidR="00AD5CAF">
        <w:t>x</w:t>
      </w:r>
      <w:r w:rsidRPr="00E30F02">
        <w:t xml:space="preserve"> </w:t>
      </w:r>
      <w:r w:rsidR="00D20E70">
        <w:t>33</w:t>
      </w:r>
      <w:r w:rsidR="00AD5CAF">
        <w:t xml:space="preserve"> requests</w:t>
      </w:r>
      <w:r w:rsidRPr="00E30F02">
        <w:t xml:space="preserve"> </w:t>
      </w:r>
      <w:r w:rsidR="00AD5CAF">
        <w:t>x</w:t>
      </w:r>
      <w:r w:rsidRPr="00E30F02">
        <w:t xml:space="preserve"> </w:t>
      </w:r>
      <w:r w:rsidR="00B4307B">
        <w:t>10</w:t>
      </w:r>
      <w:r w:rsidRPr="00E30F02">
        <w:t xml:space="preserve"> hours</w:t>
      </w:r>
      <w:r w:rsidR="00AD5CAF">
        <w:t xml:space="preserve"> per request</w:t>
      </w:r>
      <w:r w:rsidRPr="00E30F02">
        <w:t xml:space="preserve"> = $</w:t>
      </w:r>
      <w:r w:rsidR="00B4307B">
        <w:t>19,374.30</w:t>
      </w:r>
      <w:r w:rsidR="001E3CE2">
        <w:t>)</w:t>
      </w:r>
      <w:r w:rsidRPr="00AA6051" w:rsidR="00BB6976">
        <w:t>.</w:t>
      </w:r>
    </w:p>
    <w:p w:rsidRPr="00AA6051" w:rsidR="009829C3" w:rsidP="009829C3" w:rsidRDefault="009829C3" w14:paraId="79CD5FF2" w14:textId="77777777">
      <w:pPr>
        <w:ind w:firstLine="720"/>
      </w:pPr>
    </w:p>
    <w:p w:rsidRPr="00AA6051" w:rsidR="00643252" w:rsidP="009829C3" w:rsidRDefault="00643252" w14:paraId="56E6D25B" w14:textId="77777777">
      <w:pPr>
        <w:rPr>
          <w:szCs w:val="22"/>
        </w:rPr>
      </w:pPr>
      <w:r w:rsidRPr="00AA6051">
        <w:rPr>
          <w:szCs w:val="22"/>
        </w:rPr>
        <w:t xml:space="preserve">15. </w:t>
      </w:r>
      <w:r w:rsidRPr="00AA6051" w:rsidR="00D8554E">
        <w:rPr>
          <w:szCs w:val="22"/>
          <w:u w:val="single"/>
        </w:rPr>
        <w:t>Reason for change in b</w:t>
      </w:r>
      <w:r w:rsidRPr="00AA6051">
        <w:rPr>
          <w:szCs w:val="22"/>
          <w:u w:val="single"/>
        </w:rPr>
        <w:t>urden.</w:t>
      </w:r>
      <w:r w:rsidRPr="00AA6051">
        <w:rPr>
          <w:szCs w:val="22"/>
        </w:rPr>
        <w:t xml:space="preserve"> </w:t>
      </w:r>
    </w:p>
    <w:p w:rsidRPr="00AA6051" w:rsidR="00F2243A" w:rsidP="009829C3" w:rsidRDefault="00553D43" w14:paraId="7020C83E" w14:textId="77777777">
      <w:pPr>
        <w:pStyle w:val="CommentText"/>
        <w:rPr>
          <w:szCs w:val="22"/>
        </w:rPr>
      </w:pPr>
      <w:r w:rsidRPr="00AA6051">
        <w:rPr>
          <w:szCs w:val="22"/>
        </w:rPr>
        <w:t xml:space="preserve"> </w:t>
      </w:r>
      <w:r w:rsidRPr="00AA6051">
        <w:rPr>
          <w:szCs w:val="22"/>
        </w:rPr>
        <w:tab/>
      </w:r>
    </w:p>
    <w:p w:rsidR="009166D8" w:rsidP="00AE5D2F" w:rsidRDefault="00803C63" w14:paraId="658789E6" w14:textId="18BBA75B">
      <w:pPr>
        <w:ind w:firstLine="720"/>
        <w:rPr>
          <w:snapToGrid w:val="0"/>
        </w:rPr>
      </w:pPr>
      <w:r w:rsidRPr="008238D0">
        <w:rPr>
          <w:snapToGrid w:val="0"/>
        </w:rPr>
        <w:t xml:space="preserve">The </w:t>
      </w:r>
      <w:r w:rsidRPr="00745052" w:rsidR="005C739E">
        <w:rPr>
          <w:snapToGrid w:val="0"/>
        </w:rPr>
        <w:t xml:space="preserve">estimated </w:t>
      </w:r>
      <w:r w:rsidRPr="00745052">
        <w:rPr>
          <w:snapToGrid w:val="0"/>
        </w:rPr>
        <w:t xml:space="preserve">total annual burden hours decreased from </w:t>
      </w:r>
      <w:r w:rsidRPr="00745052" w:rsidR="005D2C58">
        <w:rPr>
          <w:snapToGrid w:val="0"/>
        </w:rPr>
        <w:t>120</w:t>
      </w:r>
      <w:r w:rsidRPr="00745052">
        <w:rPr>
          <w:snapToGrid w:val="0"/>
        </w:rPr>
        <w:t xml:space="preserve"> hours to </w:t>
      </w:r>
      <w:r w:rsidRPr="00745052" w:rsidR="00B432C3">
        <w:rPr>
          <w:snapToGrid w:val="0"/>
        </w:rPr>
        <w:t>6</w:t>
      </w:r>
      <w:r w:rsidR="00B432C3">
        <w:rPr>
          <w:snapToGrid w:val="0"/>
        </w:rPr>
        <w:t>6</w:t>
      </w:r>
      <w:r w:rsidRPr="00745052" w:rsidR="00B432C3">
        <w:rPr>
          <w:snapToGrid w:val="0"/>
        </w:rPr>
        <w:t xml:space="preserve"> </w:t>
      </w:r>
      <w:r w:rsidRPr="00745052">
        <w:rPr>
          <w:snapToGrid w:val="0"/>
        </w:rPr>
        <w:t>hours</w:t>
      </w:r>
      <w:r w:rsidRPr="00745052" w:rsidR="00181256">
        <w:rPr>
          <w:snapToGrid w:val="0"/>
        </w:rPr>
        <w:t xml:space="preserve"> since the last control number renewal in</w:t>
      </w:r>
      <w:r w:rsidR="008C67EC">
        <w:rPr>
          <w:snapToGrid w:val="0"/>
        </w:rPr>
        <w:t xml:space="preserve"> calendar year</w:t>
      </w:r>
      <w:r w:rsidRPr="00745052" w:rsidR="00181256">
        <w:rPr>
          <w:snapToGrid w:val="0"/>
        </w:rPr>
        <w:t xml:space="preserve"> </w:t>
      </w:r>
      <w:r w:rsidRPr="00745052" w:rsidR="005C739E">
        <w:rPr>
          <w:snapToGrid w:val="0"/>
        </w:rPr>
        <w:t>2017</w:t>
      </w:r>
      <w:r w:rsidRPr="00745052">
        <w:rPr>
          <w:snapToGrid w:val="0"/>
        </w:rPr>
        <w:t>.</w:t>
      </w:r>
      <w:r w:rsidRPr="00B432C3">
        <w:rPr>
          <w:snapToGrid w:val="0"/>
        </w:rPr>
        <w:t xml:space="preserve"> </w:t>
      </w:r>
      <w:r w:rsidRPr="00745052">
        <w:rPr>
          <w:snapToGrid w:val="0"/>
        </w:rPr>
        <w:t xml:space="preserve">The estimated burden to </w:t>
      </w:r>
      <w:r w:rsidRPr="00745052" w:rsidR="005D2C58">
        <w:rPr>
          <w:snapToGrid w:val="0"/>
        </w:rPr>
        <w:t>submit a request</w:t>
      </w:r>
      <w:r w:rsidRPr="00745052" w:rsidR="002A21D5">
        <w:rPr>
          <w:snapToGrid w:val="0"/>
        </w:rPr>
        <w:t xml:space="preserve"> for administrative ruling to FinCEN</w:t>
      </w:r>
      <w:r w:rsidRPr="00745052">
        <w:rPr>
          <w:snapToGrid w:val="0"/>
        </w:rPr>
        <w:t xml:space="preserve"> remained at 2 hours per </w:t>
      </w:r>
      <w:r w:rsidR="00D2333F">
        <w:rPr>
          <w:snapToGrid w:val="0"/>
        </w:rPr>
        <w:t>entity</w:t>
      </w:r>
      <w:r w:rsidRPr="00745052">
        <w:rPr>
          <w:snapToGrid w:val="0"/>
        </w:rPr>
        <w:t>. The decrease in burden is a result of a decrease in the</w:t>
      </w:r>
      <w:r w:rsidR="00F01C76">
        <w:rPr>
          <w:snapToGrid w:val="0"/>
        </w:rPr>
        <w:t xml:space="preserve"> estimate of the number requests submitted from 60 in 2017 to the</w:t>
      </w:r>
      <w:r w:rsidRPr="00745052">
        <w:rPr>
          <w:snapToGrid w:val="0"/>
        </w:rPr>
        <w:t xml:space="preserve"> </w:t>
      </w:r>
      <w:r w:rsidR="00D2333F">
        <w:rPr>
          <w:snapToGrid w:val="0"/>
        </w:rPr>
        <w:t>average</w:t>
      </w:r>
      <w:r w:rsidRPr="00745052" w:rsidR="005C065F">
        <w:rPr>
          <w:snapToGrid w:val="0"/>
        </w:rPr>
        <w:t xml:space="preserve"> </w:t>
      </w:r>
      <w:r w:rsidRPr="00745052">
        <w:rPr>
          <w:snapToGrid w:val="0"/>
        </w:rPr>
        <w:t xml:space="preserve">number of </w:t>
      </w:r>
      <w:r w:rsidRPr="00745052" w:rsidR="002A21D5">
        <w:rPr>
          <w:snapToGrid w:val="0"/>
        </w:rPr>
        <w:t xml:space="preserve">requests </w:t>
      </w:r>
      <w:r w:rsidR="00AA75D6">
        <w:rPr>
          <w:snapToGrid w:val="0"/>
        </w:rPr>
        <w:t>submitted</w:t>
      </w:r>
      <w:r w:rsidR="00FC74F2">
        <w:rPr>
          <w:snapToGrid w:val="0"/>
        </w:rPr>
        <w:t xml:space="preserve"> </w:t>
      </w:r>
      <w:r w:rsidR="00D2333F">
        <w:rPr>
          <w:snapToGrid w:val="0"/>
        </w:rPr>
        <w:t xml:space="preserve">between </w:t>
      </w:r>
      <w:r w:rsidR="00F01C76">
        <w:rPr>
          <w:snapToGrid w:val="0"/>
        </w:rPr>
        <w:t>2018 and 2020 (33 requests).</w:t>
      </w:r>
    </w:p>
    <w:p w:rsidR="009166D8" w:rsidP="009829C3" w:rsidRDefault="009166D8" w14:paraId="22CB3DFC" w14:textId="77777777">
      <w:pPr>
        <w:rPr>
          <w:snapToGrid w:val="0"/>
        </w:rPr>
      </w:pPr>
    </w:p>
    <w:p w:rsidRPr="00A22B52" w:rsidR="00D8554E" w:rsidP="009829C3" w:rsidRDefault="00D8554E" w14:paraId="152471BF" w14:textId="0B5A5067">
      <w:pPr>
        <w:rPr>
          <w:szCs w:val="22"/>
        </w:rPr>
      </w:pPr>
      <w:r w:rsidRPr="00A22B52">
        <w:rPr>
          <w:szCs w:val="22"/>
        </w:rPr>
        <w:t xml:space="preserve">16. </w:t>
      </w:r>
      <w:r w:rsidRPr="00A22B52">
        <w:rPr>
          <w:szCs w:val="22"/>
          <w:u w:val="single"/>
        </w:rPr>
        <w:t>Plans for tabulation, statistical analysis, and publication.</w:t>
      </w:r>
    </w:p>
    <w:p w:rsidRPr="00A22B52" w:rsidR="009829C3" w:rsidP="009829C3" w:rsidRDefault="009829C3" w14:paraId="322C5F1D" w14:textId="77777777">
      <w:pPr>
        <w:ind w:firstLine="720"/>
      </w:pPr>
    </w:p>
    <w:p w:rsidRPr="00AA6051" w:rsidR="00D8554E" w:rsidP="009829C3" w:rsidRDefault="00D8554E" w14:paraId="6B49B43F" w14:textId="0618D597">
      <w:pPr>
        <w:ind w:firstLine="720"/>
        <w:rPr>
          <w:szCs w:val="22"/>
        </w:rPr>
      </w:pPr>
      <w:r w:rsidRPr="00A22B52">
        <w:t xml:space="preserve">This collection of information will not be </w:t>
      </w:r>
      <w:r w:rsidRPr="00A22B52" w:rsidR="008C67EC">
        <w:t>tabulated or compiled for publication</w:t>
      </w:r>
      <w:r w:rsidRPr="00A22B52">
        <w:t>.</w:t>
      </w:r>
      <w:r w:rsidRPr="00AA6051">
        <w:rPr>
          <w:szCs w:val="22"/>
        </w:rPr>
        <w:t xml:space="preserve"> </w:t>
      </w:r>
    </w:p>
    <w:p w:rsidRPr="00AA6051" w:rsidR="009829C3" w:rsidP="009829C3" w:rsidRDefault="009829C3" w14:paraId="0594D77E" w14:textId="77777777">
      <w:pPr>
        <w:ind w:firstLine="720"/>
        <w:rPr>
          <w:szCs w:val="22"/>
        </w:rPr>
      </w:pPr>
    </w:p>
    <w:p w:rsidRPr="00A22B52" w:rsidR="00D8554E" w:rsidP="009829C3" w:rsidRDefault="00D8554E" w14:paraId="3A1BA0F7" w14:textId="77777777">
      <w:pPr>
        <w:rPr>
          <w:szCs w:val="22"/>
        </w:rPr>
      </w:pPr>
      <w:r w:rsidRPr="00A22B52">
        <w:rPr>
          <w:szCs w:val="22"/>
        </w:rPr>
        <w:t xml:space="preserve">17. </w:t>
      </w:r>
      <w:r w:rsidRPr="00A22B52">
        <w:rPr>
          <w:u w:val="single"/>
        </w:rPr>
        <w:t>Request not to display the expiration date of the OMB control number.</w:t>
      </w:r>
    </w:p>
    <w:p w:rsidRPr="00A22B52" w:rsidR="009829C3" w:rsidP="009829C3" w:rsidRDefault="009829C3" w14:paraId="50FAF34E" w14:textId="77777777">
      <w:pPr>
        <w:ind w:firstLine="720"/>
        <w:rPr>
          <w:szCs w:val="22"/>
        </w:rPr>
      </w:pPr>
    </w:p>
    <w:p w:rsidRPr="00A22B52" w:rsidR="00D8554E" w:rsidP="009829C3" w:rsidRDefault="00D8554E" w14:paraId="4654CD6E" w14:textId="4F6906D2">
      <w:pPr>
        <w:ind w:firstLine="720"/>
        <w:rPr>
          <w:szCs w:val="22"/>
        </w:rPr>
      </w:pPr>
      <w:r w:rsidRPr="00A22B52">
        <w:rPr>
          <w:szCs w:val="22"/>
        </w:rPr>
        <w:t xml:space="preserve">FinCEN requests that </w:t>
      </w:r>
      <w:r w:rsidRPr="00A22B52" w:rsidR="009166D8">
        <w:rPr>
          <w:szCs w:val="22"/>
        </w:rPr>
        <w:t xml:space="preserve">the </w:t>
      </w:r>
      <w:r w:rsidRPr="00A22B52" w:rsidR="0053302D">
        <w:rPr>
          <w:szCs w:val="22"/>
        </w:rPr>
        <w:t xml:space="preserve">expiration date of the control number </w:t>
      </w:r>
      <w:r w:rsidRPr="00A22B52" w:rsidR="009166D8">
        <w:rPr>
          <w:szCs w:val="22"/>
        </w:rPr>
        <w:t xml:space="preserve">of the administrative ruling regulations </w:t>
      </w:r>
      <w:r w:rsidRPr="00A22B52">
        <w:rPr>
          <w:szCs w:val="22"/>
        </w:rPr>
        <w:t>not be display</w:t>
      </w:r>
      <w:r w:rsidRPr="00A22B52" w:rsidR="009166D8">
        <w:rPr>
          <w:szCs w:val="22"/>
        </w:rPr>
        <w:t>ed</w:t>
      </w:r>
      <w:r w:rsidRPr="00A22B52">
        <w:rPr>
          <w:szCs w:val="22"/>
        </w:rPr>
        <w:t xml:space="preserve"> so that </w:t>
      </w:r>
      <w:r w:rsidRPr="00A22B52" w:rsidR="0053302D">
        <w:rPr>
          <w:szCs w:val="22"/>
        </w:rPr>
        <w:t xml:space="preserve">there is no confusion as to whether the </w:t>
      </w:r>
      <w:r w:rsidRPr="00A22B52" w:rsidR="00544FDD">
        <w:rPr>
          <w:szCs w:val="22"/>
        </w:rPr>
        <w:t xml:space="preserve">regulation </w:t>
      </w:r>
      <w:r w:rsidRPr="00A22B52" w:rsidR="0053302D">
        <w:rPr>
          <w:szCs w:val="22"/>
        </w:rPr>
        <w:t>is still valid. This request will not affect the normal 3-year PRA renewal process.</w:t>
      </w:r>
      <w:r w:rsidRPr="00A22B52">
        <w:rPr>
          <w:szCs w:val="22"/>
        </w:rPr>
        <w:t xml:space="preserve">  </w:t>
      </w:r>
      <w:bookmarkStart w:name="_GoBack" w:id="0"/>
      <w:bookmarkEnd w:id="0"/>
    </w:p>
    <w:p w:rsidRPr="00A22B52" w:rsidR="00D8554E" w:rsidP="009829C3" w:rsidRDefault="00D8554E" w14:paraId="3E59C37C" w14:textId="77777777">
      <w:pPr>
        <w:rPr>
          <w:szCs w:val="22"/>
        </w:rPr>
      </w:pPr>
    </w:p>
    <w:p w:rsidRPr="00A22B52" w:rsidR="00D8554E" w:rsidP="009829C3" w:rsidRDefault="00D8554E" w14:paraId="14AD53AD" w14:textId="4583DDD7">
      <w:pPr>
        <w:widowControl w:val="0"/>
        <w:autoSpaceDE w:val="0"/>
        <w:autoSpaceDN w:val="0"/>
        <w:adjustRightInd w:val="0"/>
        <w:spacing w:line="240" w:lineRule="exact"/>
        <w:ind w:right="220"/>
        <w:jc w:val="both"/>
        <w:rPr>
          <w:szCs w:val="22"/>
          <w:u w:val="single"/>
        </w:rPr>
      </w:pPr>
      <w:r w:rsidRPr="00A22B52">
        <w:rPr>
          <w:szCs w:val="22"/>
        </w:rPr>
        <w:t xml:space="preserve">18. </w:t>
      </w:r>
      <w:r w:rsidRPr="00A22B52">
        <w:rPr>
          <w:szCs w:val="22"/>
          <w:u w:val="single"/>
        </w:rPr>
        <w:t>Exceptions to the certification statement.</w:t>
      </w:r>
    </w:p>
    <w:p w:rsidRPr="00A22B52" w:rsidR="00D8554E" w:rsidP="009829C3" w:rsidRDefault="00D8554E" w14:paraId="586FCF57" w14:textId="77777777">
      <w:pPr>
        <w:widowControl w:val="0"/>
        <w:autoSpaceDE w:val="0"/>
        <w:autoSpaceDN w:val="0"/>
        <w:adjustRightInd w:val="0"/>
        <w:spacing w:line="240" w:lineRule="exact"/>
        <w:ind w:right="220"/>
        <w:jc w:val="both"/>
        <w:rPr>
          <w:szCs w:val="22"/>
        </w:rPr>
      </w:pPr>
    </w:p>
    <w:p w:rsidR="00D8554E" w:rsidP="009829C3" w:rsidRDefault="00D8554E" w14:paraId="54721EFC" w14:textId="77777777">
      <w:pPr>
        <w:widowControl w:val="0"/>
        <w:autoSpaceDE w:val="0"/>
        <w:autoSpaceDN w:val="0"/>
        <w:adjustRightInd w:val="0"/>
        <w:spacing w:line="240" w:lineRule="exact"/>
        <w:ind w:right="220" w:firstLine="720"/>
        <w:jc w:val="both"/>
      </w:pPr>
      <w:r w:rsidRPr="00A22B52">
        <w:rPr>
          <w:szCs w:val="22"/>
        </w:rPr>
        <w:t>There are no exceptions to the certification statement.</w:t>
      </w:r>
    </w:p>
    <w:p w:rsidR="00D8554E" w:rsidP="009829C3" w:rsidRDefault="00D8554E" w14:paraId="391B9658" w14:textId="77777777">
      <w:pPr>
        <w:pStyle w:val="PlainText"/>
        <w:rPr>
          <w:rFonts w:ascii="Times New Roman" w:hAnsi="Times New Roman" w:eastAsia="MS Mincho" w:cs="Times New Roman"/>
          <w:sz w:val="24"/>
        </w:rPr>
      </w:pPr>
      <w:r>
        <w:rPr>
          <w:rFonts w:ascii="Times New Roman" w:hAnsi="Times New Roman" w:eastAsia="MS Mincho" w:cs="Times New Roman"/>
          <w:sz w:val="24"/>
        </w:rPr>
        <w:tab/>
        <w:t xml:space="preserve">    </w:t>
      </w:r>
    </w:p>
    <w:p w:rsidR="00D8554E" w:rsidP="009829C3" w:rsidRDefault="00D8554E" w14:paraId="72637DEA" w14:textId="77777777"/>
    <w:p w:rsidR="00643252" w:rsidP="009829C3" w:rsidRDefault="00643252" w14:paraId="6DE272F1" w14:textId="77777777"/>
    <w:sectPr w:rsidR="0064325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05A4F" w14:textId="77777777" w:rsidR="008C1876" w:rsidRDefault="008C1876">
      <w:r>
        <w:separator/>
      </w:r>
    </w:p>
  </w:endnote>
  <w:endnote w:type="continuationSeparator" w:id="0">
    <w:p w14:paraId="085DF050" w14:textId="77777777" w:rsidR="008C1876" w:rsidRDefault="008C1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248966"/>
      <w:docPartObj>
        <w:docPartGallery w:val="Page Numbers (Bottom of Page)"/>
        <w:docPartUnique/>
      </w:docPartObj>
    </w:sdtPr>
    <w:sdtEndPr>
      <w:rPr>
        <w:noProof/>
      </w:rPr>
    </w:sdtEndPr>
    <w:sdtContent>
      <w:p w14:paraId="288B9051" w14:textId="3085AB9D" w:rsidR="008C1876" w:rsidRDefault="008C1876">
        <w:pPr>
          <w:pStyle w:val="Footer"/>
          <w:jc w:val="center"/>
        </w:pPr>
        <w:r>
          <w:fldChar w:fldCharType="begin"/>
        </w:r>
        <w:r>
          <w:instrText xml:space="preserve"> PAGE   \* MERGEFORMAT </w:instrText>
        </w:r>
        <w:r>
          <w:fldChar w:fldCharType="separate"/>
        </w:r>
        <w:r w:rsidR="000B65DE">
          <w:rPr>
            <w:noProof/>
          </w:rPr>
          <w:t>5</w:t>
        </w:r>
        <w:r>
          <w:rPr>
            <w:noProof/>
          </w:rPr>
          <w:fldChar w:fldCharType="end"/>
        </w:r>
      </w:p>
    </w:sdtContent>
  </w:sdt>
  <w:p w14:paraId="7ED3A517" w14:textId="77777777" w:rsidR="008C1876" w:rsidRDefault="008C1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4271A" w14:textId="77777777" w:rsidR="008C1876" w:rsidRDefault="008C1876">
      <w:r>
        <w:separator/>
      </w:r>
    </w:p>
  </w:footnote>
  <w:footnote w:type="continuationSeparator" w:id="0">
    <w:p w14:paraId="5D58EDB0" w14:textId="77777777" w:rsidR="008C1876" w:rsidRDefault="008C1876">
      <w:r>
        <w:continuationSeparator/>
      </w:r>
    </w:p>
  </w:footnote>
  <w:footnote w:id="1">
    <w:p w14:paraId="40979B5F" w14:textId="78410996" w:rsidR="008C1876" w:rsidRPr="00120B54" w:rsidRDefault="008C1876" w:rsidP="00336B06">
      <w:pPr>
        <w:pStyle w:val="FootnoteText"/>
      </w:pPr>
      <w:r w:rsidRPr="008B5BD1">
        <w:rPr>
          <w:rStyle w:val="FootnoteReference"/>
        </w:rPr>
        <w:footnoteRef/>
      </w:r>
      <w:r w:rsidRPr="008B5BD1">
        <w:rPr>
          <w:vertAlign w:val="superscript"/>
        </w:rPr>
        <w:t xml:space="preserve"> </w:t>
      </w:r>
      <w:r w:rsidRPr="00120B54">
        <w:t>Section 358 of the USA PATRIOT Act added language expanding the scope of the BSA to intelligence or counter-intelligence activities to protect against international terrorism. Section 6101 of the Anti-Money Laundering Act of 2020 added language further expanding the scope of the BSA</w:t>
      </w:r>
      <w:r w:rsidR="00B352C1">
        <w:t>,</w:t>
      </w:r>
      <w:r w:rsidRPr="00120B54">
        <w:t xml:space="preserve"> but did not disturb these longstanding purposes.  </w:t>
      </w:r>
    </w:p>
  </w:footnote>
  <w:footnote w:id="2">
    <w:p w14:paraId="61AB79B3" w14:textId="77777777" w:rsidR="008C1876" w:rsidRPr="00120B54" w:rsidRDefault="008C1876" w:rsidP="00127A5D">
      <w:pPr>
        <w:pStyle w:val="FootnoteText"/>
      </w:pPr>
      <w:r w:rsidRPr="008B5BD1">
        <w:rPr>
          <w:rStyle w:val="FootnoteReference"/>
        </w:rPr>
        <w:footnoteRef/>
      </w:r>
      <w:r w:rsidRPr="00120B54">
        <w:t xml:space="preserve"> Treasury Order 180-01 (re-affirmed Jan. 14, 2020). </w:t>
      </w:r>
    </w:p>
  </w:footnote>
  <w:footnote w:id="3">
    <w:p w14:paraId="469F9949" w14:textId="51012EFE" w:rsidR="008C1876" w:rsidRDefault="008C1876" w:rsidP="00414797">
      <w:pPr>
        <w:pStyle w:val="FootnoteText"/>
      </w:pPr>
      <w:r w:rsidRPr="00D006D9">
        <w:rPr>
          <w:rStyle w:val="FootnoteReference"/>
        </w:rPr>
        <w:footnoteRef/>
      </w:r>
      <w:r w:rsidRPr="00D006D9">
        <w:t xml:space="preserve"> 85 FR 80227 at </w:t>
      </w:r>
      <w:hyperlink r:id="rId1" w:history="1">
        <w:r w:rsidRPr="00D006D9">
          <w:rPr>
            <w:rStyle w:val="Hyperlink"/>
          </w:rPr>
          <w:t>https://www.federalregister.gov/documents/2020/12/11/2020-27370/agency-information-collection-activities-proposed-renewal-comment-request-renewal-without-change-of</w:t>
        </w:r>
      </w:hyperlink>
      <w:r w:rsidRPr="00D006D9">
        <w:t>.</w:t>
      </w:r>
    </w:p>
  </w:footnote>
  <w:footnote w:id="4">
    <w:p w14:paraId="634148B2" w14:textId="374622DD" w:rsidR="008C1876" w:rsidRDefault="008C1876" w:rsidP="00F54DB8">
      <w:pPr>
        <w:pStyle w:val="FootnoteText"/>
      </w:pPr>
      <w:r>
        <w:rPr>
          <w:rStyle w:val="FootnoteReference"/>
        </w:rPr>
        <w:footnoteRef/>
      </w:r>
      <w:r>
        <w:t xml:space="preserve"> In 2018, 2019, and 2020, FinCEN received a </w:t>
      </w:r>
      <w:r w:rsidR="0020528E">
        <w:t xml:space="preserve">combined </w:t>
      </w:r>
      <w:r>
        <w:t>total of 98 administrative ruling requests.</w:t>
      </w:r>
    </w:p>
  </w:footnote>
  <w:footnote w:id="5">
    <w:p w14:paraId="02F5C8A6" w14:textId="3EBDF43C" w:rsidR="00D8781B" w:rsidRPr="00531C0C" w:rsidRDefault="00D8781B" w:rsidP="00D8781B">
      <w:pPr>
        <w:pStyle w:val="FootnoteText"/>
      </w:pPr>
      <w:r>
        <w:rPr>
          <w:rStyle w:val="FootnoteReference"/>
        </w:rPr>
        <w:footnoteRef/>
      </w:r>
      <w:r>
        <w:t xml:space="preserve"> </w:t>
      </w:r>
      <w:r w:rsidRPr="00D81F86">
        <w:rPr>
          <w:color w:val="000000" w:themeColor="text1"/>
        </w:rPr>
        <w:t xml:space="preserve">The U.S. Bureau of Labor Statistics, Occupational Employment Statistics-National, May 2019, available at </w:t>
      </w:r>
      <w:hyperlink r:id="rId2" w:history="1">
        <w:r w:rsidRPr="00D81F86">
          <w:rPr>
            <w:rStyle w:val="Hyperlink"/>
            <w:color w:val="000000" w:themeColor="text1"/>
          </w:rPr>
          <w:t>https://www.bls.gov/oes/tables.htm</w:t>
        </w:r>
      </w:hyperlink>
      <w:r w:rsidRPr="00D81F86">
        <w:rPr>
          <w:rStyle w:val="Hyperlink"/>
          <w:color w:val="000000" w:themeColor="text1"/>
        </w:rPr>
        <w:t>.</w:t>
      </w:r>
      <w:r w:rsidRPr="00D81F86">
        <w:rPr>
          <w:color w:val="000000" w:themeColor="text1"/>
        </w:rPr>
        <w:t xml:space="preserve"> The most recent data from the BLS corresponds to May 2019. For the benefits component of total compensation, see U.S. Bureau of Labor Statistics, Employer’s Cost per Employee Compensation as of December 2019, </w:t>
      </w:r>
      <w:r w:rsidRPr="001E0FFB">
        <w:rPr>
          <w:color w:val="000000" w:themeColor="text1"/>
        </w:rPr>
        <w:t xml:space="preserve">available at </w:t>
      </w:r>
      <w:hyperlink r:id="rId3" w:history="1">
        <w:r w:rsidRPr="001E0FFB">
          <w:rPr>
            <w:rStyle w:val="Hyperlink"/>
            <w:color w:val="000000" w:themeColor="text1"/>
          </w:rPr>
          <w:t>https://www.bls.gov/news.release/ecec.nr0.htm</w:t>
        </w:r>
      </w:hyperlink>
      <w:r w:rsidRPr="001E0FFB">
        <w:rPr>
          <w:color w:val="000000" w:themeColor="text1"/>
        </w:rPr>
        <w:t xml:space="preserve">. </w:t>
      </w:r>
      <w:r w:rsidRPr="00B06DCA">
        <w:rPr>
          <w:color w:val="000000" w:themeColor="text1"/>
        </w:rPr>
        <w:t xml:space="preserve">The ratio between benefits and wages for financial activities is $15.95 (hourly benefits)/$32.05 (hourly wages) = 0.50. The benefit factor is 1 plus the benefit/wages ratio, or 1.50. Multiplying each hourly wage by the benefit factor produces the fully-loaded hourly wage per position. </w:t>
      </w:r>
      <w:r w:rsidRPr="00B06DCA">
        <w:rPr>
          <w:iCs/>
          <w:color w:val="000000" w:themeColor="text1"/>
        </w:rPr>
        <w:t xml:space="preserve">The May 2019 Bureau of Labor Statistics average hourly wage for </w:t>
      </w:r>
      <w:r w:rsidRPr="00B06DCA">
        <w:rPr>
          <w:i/>
          <w:iCs/>
        </w:rPr>
        <w:t>“</w:t>
      </w:r>
      <w:r w:rsidR="00531C0C">
        <w:rPr>
          <w:iCs/>
        </w:rPr>
        <w:t>23-1011 Lawyers” is $104.79 (</w:t>
      </w:r>
      <w:r w:rsidR="00531C0C" w:rsidRPr="00A669B7">
        <w:rPr>
          <w:color w:val="000000"/>
          <w:shd w:val="clear" w:color="auto" w:fill="FFFFFF"/>
        </w:rPr>
        <w:t>$69.86</w:t>
      </w:r>
      <w:r w:rsidR="00531C0C" w:rsidRPr="00531C0C">
        <w:rPr>
          <w:iCs/>
        </w:rPr>
        <w:t xml:space="preserve"> x 1.50</w:t>
      </w:r>
      <w:r w:rsidRPr="00531C0C">
        <w:rPr>
          <w:iCs/>
        </w:rPr>
        <w:t xml:space="preserve">). </w:t>
      </w:r>
    </w:p>
    <w:p w14:paraId="2A1F3C88" w14:textId="77777777" w:rsidR="00D8781B" w:rsidRPr="00531C0C" w:rsidRDefault="00D8781B" w:rsidP="00D8781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2"/>
      <w:numFmt w:val="lowerLetter"/>
      <w:lvlText w:val="(%1)"/>
      <w:lvlJc w:val="left"/>
      <w:pPr>
        <w:ind w:left="412" w:hanging="301"/>
      </w:pPr>
      <w:rPr>
        <w:rFonts w:ascii="Arial" w:hAnsi="Arial" w:cs="Arial"/>
        <w:b w:val="0"/>
        <w:bCs w:val="0"/>
        <w:w w:val="100"/>
        <w:sz w:val="20"/>
        <w:szCs w:val="20"/>
      </w:rPr>
    </w:lvl>
    <w:lvl w:ilvl="1">
      <w:numFmt w:val="bullet"/>
      <w:lvlText w:val="•"/>
      <w:lvlJc w:val="left"/>
      <w:pPr>
        <w:ind w:left="1404" w:hanging="301"/>
      </w:pPr>
    </w:lvl>
    <w:lvl w:ilvl="2">
      <w:numFmt w:val="bullet"/>
      <w:lvlText w:val="•"/>
      <w:lvlJc w:val="left"/>
      <w:pPr>
        <w:ind w:left="2388" w:hanging="301"/>
      </w:pPr>
    </w:lvl>
    <w:lvl w:ilvl="3">
      <w:numFmt w:val="bullet"/>
      <w:lvlText w:val="•"/>
      <w:lvlJc w:val="left"/>
      <w:pPr>
        <w:ind w:left="3372" w:hanging="301"/>
      </w:pPr>
    </w:lvl>
    <w:lvl w:ilvl="4">
      <w:numFmt w:val="bullet"/>
      <w:lvlText w:val="•"/>
      <w:lvlJc w:val="left"/>
      <w:pPr>
        <w:ind w:left="4356" w:hanging="301"/>
      </w:pPr>
    </w:lvl>
    <w:lvl w:ilvl="5">
      <w:numFmt w:val="bullet"/>
      <w:lvlText w:val="•"/>
      <w:lvlJc w:val="left"/>
      <w:pPr>
        <w:ind w:left="5340" w:hanging="301"/>
      </w:pPr>
    </w:lvl>
    <w:lvl w:ilvl="6">
      <w:numFmt w:val="bullet"/>
      <w:lvlText w:val="•"/>
      <w:lvlJc w:val="left"/>
      <w:pPr>
        <w:ind w:left="6324" w:hanging="301"/>
      </w:pPr>
    </w:lvl>
    <w:lvl w:ilvl="7">
      <w:numFmt w:val="bullet"/>
      <w:lvlText w:val="•"/>
      <w:lvlJc w:val="left"/>
      <w:pPr>
        <w:ind w:left="7308" w:hanging="301"/>
      </w:pPr>
    </w:lvl>
    <w:lvl w:ilvl="8">
      <w:numFmt w:val="bullet"/>
      <w:lvlText w:val="•"/>
      <w:lvlJc w:val="left"/>
      <w:pPr>
        <w:ind w:left="8292" w:hanging="301"/>
      </w:pPr>
    </w:lvl>
  </w:abstractNum>
  <w:abstractNum w:abstractNumId="1" w15:restartNumberingAfterBreak="0">
    <w:nsid w:val="00000403"/>
    <w:multiLevelType w:val="multilevel"/>
    <w:tmpl w:val="00000886"/>
    <w:lvl w:ilvl="0">
      <w:start w:val="4"/>
      <w:numFmt w:val="lowerLetter"/>
      <w:lvlText w:val="(%1)"/>
      <w:lvlJc w:val="left"/>
      <w:pPr>
        <w:ind w:left="413" w:hanging="302"/>
      </w:pPr>
      <w:rPr>
        <w:rFonts w:ascii="Arial" w:hAnsi="Arial" w:cs="Arial"/>
        <w:b w:val="0"/>
        <w:bCs w:val="0"/>
        <w:w w:val="100"/>
        <w:sz w:val="20"/>
        <w:szCs w:val="20"/>
      </w:rPr>
    </w:lvl>
    <w:lvl w:ilvl="1">
      <w:start w:val="1"/>
      <w:numFmt w:val="lowerRoman"/>
      <w:lvlText w:val="(%2)"/>
      <w:lvlJc w:val="left"/>
      <w:pPr>
        <w:ind w:left="732" w:hanging="344"/>
      </w:pPr>
      <w:rPr>
        <w:rFonts w:ascii="Arial" w:hAnsi="Arial" w:cs="Arial"/>
        <w:b w:val="0"/>
        <w:bCs w:val="0"/>
        <w:spacing w:val="-1"/>
        <w:w w:val="100"/>
        <w:sz w:val="20"/>
        <w:szCs w:val="20"/>
      </w:rPr>
    </w:lvl>
    <w:lvl w:ilvl="2">
      <w:numFmt w:val="bullet"/>
      <w:lvlText w:val="•"/>
      <w:lvlJc w:val="left"/>
      <w:pPr>
        <w:ind w:left="1797" w:hanging="344"/>
      </w:pPr>
    </w:lvl>
    <w:lvl w:ilvl="3">
      <w:numFmt w:val="bullet"/>
      <w:lvlText w:val="•"/>
      <w:lvlJc w:val="left"/>
      <w:pPr>
        <w:ind w:left="2855" w:hanging="344"/>
      </w:pPr>
    </w:lvl>
    <w:lvl w:ilvl="4">
      <w:numFmt w:val="bullet"/>
      <w:lvlText w:val="•"/>
      <w:lvlJc w:val="left"/>
      <w:pPr>
        <w:ind w:left="3913" w:hanging="344"/>
      </w:pPr>
    </w:lvl>
    <w:lvl w:ilvl="5">
      <w:numFmt w:val="bullet"/>
      <w:lvlText w:val="•"/>
      <w:lvlJc w:val="left"/>
      <w:pPr>
        <w:ind w:left="4971" w:hanging="344"/>
      </w:pPr>
    </w:lvl>
    <w:lvl w:ilvl="6">
      <w:numFmt w:val="bullet"/>
      <w:lvlText w:val="•"/>
      <w:lvlJc w:val="left"/>
      <w:pPr>
        <w:ind w:left="6028" w:hanging="344"/>
      </w:pPr>
    </w:lvl>
    <w:lvl w:ilvl="7">
      <w:numFmt w:val="bullet"/>
      <w:lvlText w:val="•"/>
      <w:lvlJc w:val="left"/>
      <w:pPr>
        <w:ind w:left="7086" w:hanging="344"/>
      </w:pPr>
    </w:lvl>
    <w:lvl w:ilvl="8">
      <w:numFmt w:val="bullet"/>
      <w:lvlText w:val="•"/>
      <w:lvlJc w:val="left"/>
      <w:pPr>
        <w:ind w:left="8144" w:hanging="344"/>
      </w:pPr>
    </w:lvl>
  </w:abstractNum>
  <w:abstractNum w:abstractNumId="2" w15:restartNumberingAfterBreak="0">
    <w:nsid w:val="00000404"/>
    <w:multiLevelType w:val="multilevel"/>
    <w:tmpl w:val="00000887"/>
    <w:lvl w:ilvl="0">
      <w:start w:val="2"/>
      <w:numFmt w:val="lowerRoman"/>
      <w:lvlText w:val="(%1)"/>
      <w:lvlJc w:val="left"/>
      <w:pPr>
        <w:ind w:left="721" w:hanging="333"/>
      </w:pPr>
      <w:rPr>
        <w:rFonts w:ascii="Arial" w:hAnsi="Arial" w:cs="Arial"/>
        <w:b w:val="0"/>
        <w:bCs w:val="0"/>
        <w:spacing w:val="-1"/>
        <w:w w:val="100"/>
        <w:sz w:val="20"/>
        <w:szCs w:val="20"/>
      </w:rPr>
    </w:lvl>
    <w:lvl w:ilvl="1">
      <w:numFmt w:val="bullet"/>
      <w:lvlText w:val="•"/>
      <w:lvlJc w:val="left"/>
      <w:pPr>
        <w:ind w:left="1674" w:hanging="333"/>
      </w:pPr>
    </w:lvl>
    <w:lvl w:ilvl="2">
      <w:numFmt w:val="bullet"/>
      <w:lvlText w:val="•"/>
      <w:lvlJc w:val="left"/>
      <w:pPr>
        <w:ind w:left="2628" w:hanging="333"/>
      </w:pPr>
    </w:lvl>
    <w:lvl w:ilvl="3">
      <w:numFmt w:val="bullet"/>
      <w:lvlText w:val="•"/>
      <w:lvlJc w:val="left"/>
      <w:pPr>
        <w:ind w:left="3582" w:hanging="333"/>
      </w:pPr>
    </w:lvl>
    <w:lvl w:ilvl="4">
      <w:numFmt w:val="bullet"/>
      <w:lvlText w:val="•"/>
      <w:lvlJc w:val="left"/>
      <w:pPr>
        <w:ind w:left="4536" w:hanging="333"/>
      </w:pPr>
    </w:lvl>
    <w:lvl w:ilvl="5">
      <w:numFmt w:val="bullet"/>
      <w:lvlText w:val="•"/>
      <w:lvlJc w:val="left"/>
      <w:pPr>
        <w:ind w:left="5490" w:hanging="333"/>
      </w:pPr>
    </w:lvl>
    <w:lvl w:ilvl="6">
      <w:numFmt w:val="bullet"/>
      <w:lvlText w:val="•"/>
      <w:lvlJc w:val="left"/>
      <w:pPr>
        <w:ind w:left="6444" w:hanging="333"/>
      </w:pPr>
    </w:lvl>
    <w:lvl w:ilvl="7">
      <w:numFmt w:val="bullet"/>
      <w:lvlText w:val="•"/>
      <w:lvlJc w:val="left"/>
      <w:pPr>
        <w:ind w:left="7398" w:hanging="333"/>
      </w:pPr>
    </w:lvl>
    <w:lvl w:ilvl="8">
      <w:numFmt w:val="bullet"/>
      <w:lvlText w:val="•"/>
      <w:lvlJc w:val="left"/>
      <w:pPr>
        <w:ind w:left="8352" w:hanging="333"/>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es-A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0A1838"/>
    <w:rsid w:val="000060CB"/>
    <w:rsid w:val="0000789D"/>
    <w:rsid w:val="00013EA1"/>
    <w:rsid w:val="00015029"/>
    <w:rsid w:val="00015AE3"/>
    <w:rsid w:val="00027840"/>
    <w:rsid w:val="000300DC"/>
    <w:rsid w:val="000346B9"/>
    <w:rsid w:val="000377C7"/>
    <w:rsid w:val="000444E4"/>
    <w:rsid w:val="00077B25"/>
    <w:rsid w:val="00081EE2"/>
    <w:rsid w:val="000821DE"/>
    <w:rsid w:val="00083145"/>
    <w:rsid w:val="000859E0"/>
    <w:rsid w:val="00085C49"/>
    <w:rsid w:val="00087CC9"/>
    <w:rsid w:val="00096CAB"/>
    <w:rsid w:val="000A1838"/>
    <w:rsid w:val="000A4EB7"/>
    <w:rsid w:val="000B65DE"/>
    <w:rsid w:val="000C72D9"/>
    <w:rsid w:val="000D1A6B"/>
    <w:rsid w:val="000D42CB"/>
    <w:rsid w:val="000D6DE3"/>
    <w:rsid w:val="000E11EA"/>
    <w:rsid w:val="000F16F1"/>
    <w:rsid w:val="000F3C3E"/>
    <w:rsid w:val="000F4038"/>
    <w:rsid w:val="00100BFC"/>
    <w:rsid w:val="00104F2C"/>
    <w:rsid w:val="00105B2C"/>
    <w:rsid w:val="00114F02"/>
    <w:rsid w:val="0011747F"/>
    <w:rsid w:val="00127A5D"/>
    <w:rsid w:val="00127FAF"/>
    <w:rsid w:val="001423FB"/>
    <w:rsid w:val="001513FF"/>
    <w:rsid w:val="001515D2"/>
    <w:rsid w:val="00160B2F"/>
    <w:rsid w:val="001703B8"/>
    <w:rsid w:val="0017516A"/>
    <w:rsid w:val="001801A2"/>
    <w:rsid w:val="00181256"/>
    <w:rsid w:val="00182E90"/>
    <w:rsid w:val="001A0465"/>
    <w:rsid w:val="001A5B51"/>
    <w:rsid w:val="001C0404"/>
    <w:rsid w:val="001D0F10"/>
    <w:rsid w:val="001D3128"/>
    <w:rsid w:val="001D4496"/>
    <w:rsid w:val="001D6C6D"/>
    <w:rsid w:val="001D7110"/>
    <w:rsid w:val="001E0FFB"/>
    <w:rsid w:val="001E3CE2"/>
    <w:rsid w:val="001F01D2"/>
    <w:rsid w:val="001F1B99"/>
    <w:rsid w:val="002015CC"/>
    <w:rsid w:val="0020528E"/>
    <w:rsid w:val="00210141"/>
    <w:rsid w:val="00211F04"/>
    <w:rsid w:val="00212D01"/>
    <w:rsid w:val="002131F8"/>
    <w:rsid w:val="002203BB"/>
    <w:rsid w:val="002220FB"/>
    <w:rsid w:val="00240765"/>
    <w:rsid w:val="00244DCE"/>
    <w:rsid w:val="00250B4A"/>
    <w:rsid w:val="0025555F"/>
    <w:rsid w:val="00262C00"/>
    <w:rsid w:val="0026369A"/>
    <w:rsid w:val="00267909"/>
    <w:rsid w:val="00276D20"/>
    <w:rsid w:val="00277E87"/>
    <w:rsid w:val="00280037"/>
    <w:rsid w:val="00287B1B"/>
    <w:rsid w:val="00293155"/>
    <w:rsid w:val="00297B84"/>
    <w:rsid w:val="002A20A2"/>
    <w:rsid w:val="002A21D5"/>
    <w:rsid w:val="002A271A"/>
    <w:rsid w:val="002A7CD7"/>
    <w:rsid w:val="002C04B8"/>
    <w:rsid w:val="002C0BEB"/>
    <w:rsid w:val="002C2BFB"/>
    <w:rsid w:val="002D17C8"/>
    <w:rsid w:val="002D5328"/>
    <w:rsid w:val="002E06EE"/>
    <w:rsid w:val="002E6388"/>
    <w:rsid w:val="002E72EC"/>
    <w:rsid w:val="002F72C6"/>
    <w:rsid w:val="00301432"/>
    <w:rsid w:val="0030221B"/>
    <w:rsid w:val="003045EB"/>
    <w:rsid w:val="00307847"/>
    <w:rsid w:val="00316714"/>
    <w:rsid w:val="00327FF1"/>
    <w:rsid w:val="00336B06"/>
    <w:rsid w:val="003408A6"/>
    <w:rsid w:val="00342F59"/>
    <w:rsid w:val="00346C73"/>
    <w:rsid w:val="003525F0"/>
    <w:rsid w:val="00353A24"/>
    <w:rsid w:val="003570C2"/>
    <w:rsid w:val="00380B17"/>
    <w:rsid w:val="00392EA3"/>
    <w:rsid w:val="003A525C"/>
    <w:rsid w:val="003B5ABA"/>
    <w:rsid w:val="003C02BF"/>
    <w:rsid w:val="003C1A61"/>
    <w:rsid w:val="003C7F4B"/>
    <w:rsid w:val="003D556D"/>
    <w:rsid w:val="003E1AA2"/>
    <w:rsid w:val="003E4703"/>
    <w:rsid w:val="003E69DC"/>
    <w:rsid w:val="003E7BF2"/>
    <w:rsid w:val="003F16F6"/>
    <w:rsid w:val="003F5AA4"/>
    <w:rsid w:val="00410409"/>
    <w:rsid w:val="00414797"/>
    <w:rsid w:val="00423B16"/>
    <w:rsid w:val="0042486C"/>
    <w:rsid w:val="004311D0"/>
    <w:rsid w:val="0045471B"/>
    <w:rsid w:val="00461F7C"/>
    <w:rsid w:val="004654F9"/>
    <w:rsid w:val="004707ED"/>
    <w:rsid w:val="00491591"/>
    <w:rsid w:val="004944C7"/>
    <w:rsid w:val="004B2854"/>
    <w:rsid w:val="004B38D5"/>
    <w:rsid w:val="004B4B68"/>
    <w:rsid w:val="004C2D27"/>
    <w:rsid w:val="004C7594"/>
    <w:rsid w:val="004D15F4"/>
    <w:rsid w:val="004D669E"/>
    <w:rsid w:val="004E4D2F"/>
    <w:rsid w:val="004F22DF"/>
    <w:rsid w:val="00504A6B"/>
    <w:rsid w:val="005112AC"/>
    <w:rsid w:val="005145AB"/>
    <w:rsid w:val="00514745"/>
    <w:rsid w:val="00517223"/>
    <w:rsid w:val="00523E46"/>
    <w:rsid w:val="00531C0C"/>
    <w:rsid w:val="0053302D"/>
    <w:rsid w:val="00540D77"/>
    <w:rsid w:val="00544A40"/>
    <w:rsid w:val="00544FDD"/>
    <w:rsid w:val="00551A6C"/>
    <w:rsid w:val="00553D43"/>
    <w:rsid w:val="00554F9B"/>
    <w:rsid w:val="00562228"/>
    <w:rsid w:val="00563FE6"/>
    <w:rsid w:val="00565958"/>
    <w:rsid w:val="00571350"/>
    <w:rsid w:val="00572D22"/>
    <w:rsid w:val="0057502C"/>
    <w:rsid w:val="005815DA"/>
    <w:rsid w:val="00584778"/>
    <w:rsid w:val="00591C3C"/>
    <w:rsid w:val="0059286B"/>
    <w:rsid w:val="005A1255"/>
    <w:rsid w:val="005A7DEE"/>
    <w:rsid w:val="005B617B"/>
    <w:rsid w:val="005C065F"/>
    <w:rsid w:val="005C2690"/>
    <w:rsid w:val="005C62B0"/>
    <w:rsid w:val="005C739E"/>
    <w:rsid w:val="005D0671"/>
    <w:rsid w:val="005D18FC"/>
    <w:rsid w:val="005D2C58"/>
    <w:rsid w:val="005E23FA"/>
    <w:rsid w:val="005E3DC3"/>
    <w:rsid w:val="005F09CC"/>
    <w:rsid w:val="0060446E"/>
    <w:rsid w:val="006044A9"/>
    <w:rsid w:val="00616FDD"/>
    <w:rsid w:val="00622D68"/>
    <w:rsid w:val="00624A66"/>
    <w:rsid w:val="006365F6"/>
    <w:rsid w:val="00637EC1"/>
    <w:rsid w:val="00643252"/>
    <w:rsid w:val="00646D87"/>
    <w:rsid w:val="006520EC"/>
    <w:rsid w:val="00670C7F"/>
    <w:rsid w:val="00670F91"/>
    <w:rsid w:val="00671888"/>
    <w:rsid w:val="006746E8"/>
    <w:rsid w:val="00681A1C"/>
    <w:rsid w:val="00682556"/>
    <w:rsid w:val="006936CB"/>
    <w:rsid w:val="006A60EB"/>
    <w:rsid w:val="006A7C8F"/>
    <w:rsid w:val="006C5EF4"/>
    <w:rsid w:val="006D049C"/>
    <w:rsid w:val="006D6691"/>
    <w:rsid w:val="006E1FFC"/>
    <w:rsid w:val="006E6231"/>
    <w:rsid w:val="006F29C7"/>
    <w:rsid w:val="00705597"/>
    <w:rsid w:val="0071417F"/>
    <w:rsid w:val="00716BA0"/>
    <w:rsid w:val="007269E0"/>
    <w:rsid w:val="00726BA4"/>
    <w:rsid w:val="00745052"/>
    <w:rsid w:val="00751E07"/>
    <w:rsid w:val="00772978"/>
    <w:rsid w:val="00787BDD"/>
    <w:rsid w:val="007A5948"/>
    <w:rsid w:val="007B4097"/>
    <w:rsid w:val="007C706F"/>
    <w:rsid w:val="007D08CA"/>
    <w:rsid w:val="007E1989"/>
    <w:rsid w:val="007E568B"/>
    <w:rsid w:val="007F6DDB"/>
    <w:rsid w:val="007F792F"/>
    <w:rsid w:val="00803C63"/>
    <w:rsid w:val="00803FF5"/>
    <w:rsid w:val="00811D5F"/>
    <w:rsid w:val="00813AA2"/>
    <w:rsid w:val="00816D07"/>
    <w:rsid w:val="008174B5"/>
    <w:rsid w:val="0082252D"/>
    <w:rsid w:val="008238D0"/>
    <w:rsid w:val="0083153D"/>
    <w:rsid w:val="0083464B"/>
    <w:rsid w:val="00846401"/>
    <w:rsid w:val="00847AB9"/>
    <w:rsid w:val="00856021"/>
    <w:rsid w:val="008722D3"/>
    <w:rsid w:val="008745C3"/>
    <w:rsid w:val="008929D6"/>
    <w:rsid w:val="008B4D6E"/>
    <w:rsid w:val="008C1876"/>
    <w:rsid w:val="008C299E"/>
    <w:rsid w:val="008C67EC"/>
    <w:rsid w:val="008E5843"/>
    <w:rsid w:val="008E5B53"/>
    <w:rsid w:val="008F090D"/>
    <w:rsid w:val="008F3BE1"/>
    <w:rsid w:val="008F7673"/>
    <w:rsid w:val="009166D8"/>
    <w:rsid w:val="00923335"/>
    <w:rsid w:val="009247B0"/>
    <w:rsid w:val="00935C24"/>
    <w:rsid w:val="00942AFC"/>
    <w:rsid w:val="00952A6C"/>
    <w:rsid w:val="00954804"/>
    <w:rsid w:val="009821B4"/>
    <w:rsid w:val="009829C3"/>
    <w:rsid w:val="00984EFE"/>
    <w:rsid w:val="009878AD"/>
    <w:rsid w:val="009902A0"/>
    <w:rsid w:val="00991949"/>
    <w:rsid w:val="00993F48"/>
    <w:rsid w:val="00995764"/>
    <w:rsid w:val="00995B77"/>
    <w:rsid w:val="009A5F8C"/>
    <w:rsid w:val="009A6C50"/>
    <w:rsid w:val="009B5E03"/>
    <w:rsid w:val="009C4C6C"/>
    <w:rsid w:val="009C6CDB"/>
    <w:rsid w:val="009E0F28"/>
    <w:rsid w:val="009E5C9F"/>
    <w:rsid w:val="009F04CE"/>
    <w:rsid w:val="009F6677"/>
    <w:rsid w:val="00A035F3"/>
    <w:rsid w:val="00A14043"/>
    <w:rsid w:val="00A22B52"/>
    <w:rsid w:val="00A3219D"/>
    <w:rsid w:val="00A335F2"/>
    <w:rsid w:val="00A3749C"/>
    <w:rsid w:val="00A665E7"/>
    <w:rsid w:val="00A669B7"/>
    <w:rsid w:val="00A91DFC"/>
    <w:rsid w:val="00A921D0"/>
    <w:rsid w:val="00A93AE0"/>
    <w:rsid w:val="00AA2FD1"/>
    <w:rsid w:val="00AA6051"/>
    <w:rsid w:val="00AA6D89"/>
    <w:rsid w:val="00AA75D6"/>
    <w:rsid w:val="00AB2CE4"/>
    <w:rsid w:val="00AB5E47"/>
    <w:rsid w:val="00AC4543"/>
    <w:rsid w:val="00AC5340"/>
    <w:rsid w:val="00AD15AE"/>
    <w:rsid w:val="00AD5CAF"/>
    <w:rsid w:val="00AE597D"/>
    <w:rsid w:val="00AE5D2F"/>
    <w:rsid w:val="00AE7F3A"/>
    <w:rsid w:val="00AF152A"/>
    <w:rsid w:val="00AF2AA5"/>
    <w:rsid w:val="00B01561"/>
    <w:rsid w:val="00B06DCA"/>
    <w:rsid w:val="00B1626E"/>
    <w:rsid w:val="00B352C1"/>
    <w:rsid w:val="00B37E55"/>
    <w:rsid w:val="00B4307B"/>
    <w:rsid w:val="00B432C3"/>
    <w:rsid w:val="00B44BC2"/>
    <w:rsid w:val="00B512E2"/>
    <w:rsid w:val="00B636C2"/>
    <w:rsid w:val="00B7353B"/>
    <w:rsid w:val="00B77FCE"/>
    <w:rsid w:val="00B8204F"/>
    <w:rsid w:val="00B85E67"/>
    <w:rsid w:val="00B96E9D"/>
    <w:rsid w:val="00BA5714"/>
    <w:rsid w:val="00BB29A4"/>
    <w:rsid w:val="00BB6976"/>
    <w:rsid w:val="00BD0953"/>
    <w:rsid w:val="00BD3ED3"/>
    <w:rsid w:val="00BF4B59"/>
    <w:rsid w:val="00BF60D9"/>
    <w:rsid w:val="00BF7580"/>
    <w:rsid w:val="00C0248A"/>
    <w:rsid w:val="00C03111"/>
    <w:rsid w:val="00C03484"/>
    <w:rsid w:val="00C0522F"/>
    <w:rsid w:val="00C10656"/>
    <w:rsid w:val="00C2031A"/>
    <w:rsid w:val="00C2199E"/>
    <w:rsid w:val="00C21F79"/>
    <w:rsid w:val="00C24AA8"/>
    <w:rsid w:val="00C25E9E"/>
    <w:rsid w:val="00C339FC"/>
    <w:rsid w:val="00C34B95"/>
    <w:rsid w:val="00C41175"/>
    <w:rsid w:val="00C4238E"/>
    <w:rsid w:val="00C4269A"/>
    <w:rsid w:val="00C47782"/>
    <w:rsid w:val="00C538B7"/>
    <w:rsid w:val="00C55AD2"/>
    <w:rsid w:val="00C66F07"/>
    <w:rsid w:val="00C70EA9"/>
    <w:rsid w:val="00C80EE1"/>
    <w:rsid w:val="00C910F4"/>
    <w:rsid w:val="00C9260F"/>
    <w:rsid w:val="00C94BCF"/>
    <w:rsid w:val="00C9713F"/>
    <w:rsid w:val="00CA0C4D"/>
    <w:rsid w:val="00CC1253"/>
    <w:rsid w:val="00CD0564"/>
    <w:rsid w:val="00CD6024"/>
    <w:rsid w:val="00CD6B41"/>
    <w:rsid w:val="00CD7306"/>
    <w:rsid w:val="00CE1F3D"/>
    <w:rsid w:val="00D006D9"/>
    <w:rsid w:val="00D06181"/>
    <w:rsid w:val="00D06EA5"/>
    <w:rsid w:val="00D209B2"/>
    <w:rsid w:val="00D20E70"/>
    <w:rsid w:val="00D2333F"/>
    <w:rsid w:val="00D26691"/>
    <w:rsid w:val="00D30152"/>
    <w:rsid w:val="00D30536"/>
    <w:rsid w:val="00D308F2"/>
    <w:rsid w:val="00D36244"/>
    <w:rsid w:val="00D3774C"/>
    <w:rsid w:val="00D47FF1"/>
    <w:rsid w:val="00D51055"/>
    <w:rsid w:val="00D52D6F"/>
    <w:rsid w:val="00D53B28"/>
    <w:rsid w:val="00D65F5E"/>
    <w:rsid w:val="00D700D9"/>
    <w:rsid w:val="00D77E1D"/>
    <w:rsid w:val="00D8554E"/>
    <w:rsid w:val="00D8781B"/>
    <w:rsid w:val="00D87A8B"/>
    <w:rsid w:val="00D90DDF"/>
    <w:rsid w:val="00DB1137"/>
    <w:rsid w:val="00DB22A3"/>
    <w:rsid w:val="00DB6B70"/>
    <w:rsid w:val="00DC201B"/>
    <w:rsid w:val="00DC7D74"/>
    <w:rsid w:val="00DD5DE6"/>
    <w:rsid w:val="00DE5744"/>
    <w:rsid w:val="00DF493B"/>
    <w:rsid w:val="00DF4C2E"/>
    <w:rsid w:val="00E0252C"/>
    <w:rsid w:val="00E06083"/>
    <w:rsid w:val="00E12D05"/>
    <w:rsid w:val="00E12F78"/>
    <w:rsid w:val="00E156C7"/>
    <w:rsid w:val="00E15C75"/>
    <w:rsid w:val="00E24CAE"/>
    <w:rsid w:val="00E30F02"/>
    <w:rsid w:val="00E328C4"/>
    <w:rsid w:val="00E33819"/>
    <w:rsid w:val="00E35061"/>
    <w:rsid w:val="00E42BBF"/>
    <w:rsid w:val="00E43C30"/>
    <w:rsid w:val="00E51380"/>
    <w:rsid w:val="00E612D2"/>
    <w:rsid w:val="00E61555"/>
    <w:rsid w:val="00E62E53"/>
    <w:rsid w:val="00E667ED"/>
    <w:rsid w:val="00E66F2C"/>
    <w:rsid w:val="00E85D2B"/>
    <w:rsid w:val="00E86A92"/>
    <w:rsid w:val="00E8723F"/>
    <w:rsid w:val="00E90FC1"/>
    <w:rsid w:val="00E92C62"/>
    <w:rsid w:val="00EA0F04"/>
    <w:rsid w:val="00EA2D3F"/>
    <w:rsid w:val="00EA2F26"/>
    <w:rsid w:val="00EA42A4"/>
    <w:rsid w:val="00EA7F49"/>
    <w:rsid w:val="00EB04F6"/>
    <w:rsid w:val="00EB3613"/>
    <w:rsid w:val="00EB6516"/>
    <w:rsid w:val="00EC6E07"/>
    <w:rsid w:val="00ED0685"/>
    <w:rsid w:val="00ED3F9B"/>
    <w:rsid w:val="00ED6674"/>
    <w:rsid w:val="00ED6E89"/>
    <w:rsid w:val="00ED70FB"/>
    <w:rsid w:val="00EE1121"/>
    <w:rsid w:val="00EE188B"/>
    <w:rsid w:val="00EE2F83"/>
    <w:rsid w:val="00EE6F05"/>
    <w:rsid w:val="00F01C76"/>
    <w:rsid w:val="00F03DBA"/>
    <w:rsid w:val="00F04F85"/>
    <w:rsid w:val="00F13112"/>
    <w:rsid w:val="00F2243A"/>
    <w:rsid w:val="00F22B68"/>
    <w:rsid w:val="00F50EE6"/>
    <w:rsid w:val="00F54DB8"/>
    <w:rsid w:val="00F557A1"/>
    <w:rsid w:val="00F6507B"/>
    <w:rsid w:val="00F70456"/>
    <w:rsid w:val="00F773DE"/>
    <w:rsid w:val="00F80F5C"/>
    <w:rsid w:val="00F86EC1"/>
    <w:rsid w:val="00F91C42"/>
    <w:rsid w:val="00FA08CF"/>
    <w:rsid w:val="00FA67CF"/>
    <w:rsid w:val="00FA6E67"/>
    <w:rsid w:val="00FB66DC"/>
    <w:rsid w:val="00FB6ADC"/>
    <w:rsid w:val="00FC40FA"/>
    <w:rsid w:val="00FC74F2"/>
    <w:rsid w:val="00FD127F"/>
    <w:rsid w:val="00FE045C"/>
    <w:rsid w:val="00FF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49157"/>
  <w15:docId w15:val="{AC683894-B8D3-400E-9831-7AB6A738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link w:val="Heading3Char"/>
    <w:semiHidden/>
    <w:unhideWhenUsed/>
    <w:qFormat/>
    <w:rsid w:val="006E6231"/>
    <w:pPr>
      <w:keepNext/>
      <w:keepLines/>
      <w:widowControl w:val="0"/>
      <w:autoSpaceDE w:val="0"/>
      <w:autoSpaceDN w:val="0"/>
      <w:adjustRightInd w:val="0"/>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r,12"/>
    <w:uiPriority w:val="99"/>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tabs>
        <w:tab w:val="left" w:pos="0"/>
        <w:tab w:val="left" w:pos="720"/>
        <w:tab w:val="left" w:pos="5040"/>
        <w:tab w:val="left" w:pos="5760"/>
        <w:tab w:val="left" w:pos="6480"/>
        <w:tab w:val="left" w:pos="7200"/>
        <w:tab w:val="left" w:pos="7920"/>
        <w:tab w:val="left" w:pos="8640"/>
      </w:tabs>
    </w:pPr>
    <w:rPr>
      <w:b/>
      <w:snapToGrid w:val="0"/>
      <w:szCs w:val="20"/>
    </w:rPr>
  </w:style>
  <w:style w:type="character" w:styleId="Hyperlink">
    <w:name w:val="Hyperlink"/>
    <w:rsid w:val="008C299E"/>
    <w:rPr>
      <w:color w:val="0563C1"/>
      <w:u w:val="single"/>
    </w:rPr>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 Char,Footnote Text Char1"/>
    <w:basedOn w:val="Normal"/>
    <w:link w:val="FootnoteTextChar"/>
    <w:unhideWhenUsed/>
    <w:rsid w:val="003E69DC"/>
    <w:rPr>
      <w:sz w:val="20"/>
      <w:szCs w:val="20"/>
    </w:rPr>
  </w:style>
  <w:style w:type="character" w:customStyle="1" w:styleId="FootnoteTextChar">
    <w:name w:val="Footnote Text Char"/>
    <w:aliases w:val="Footnote Text Char1 Char Char1,Footnote Text Char Char Char Char,Footnote Text Char1 Char Char Char Char,Footnote Text Char Char Char Char Char Char,Footnote Text Char1 Char Char Char Char Char Char,Footnote Text Char1 Char Char Char1"/>
    <w:basedOn w:val="DefaultParagraphFont"/>
    <w:link w:val="FootnoteText"/>
    <w:rsid w:val="003E69DC"/>
  </w:style>
  <w:style w:type="character" w:styleId="CommentReference">
    <w:name w:val="annotation reference"/>
    <w:uiPriority w:val="99"/>
    <w:semiHidden/>
    <w:unhideWhenUsed/>
    <w:rsid w:val="00A93AE0"/>
    <w:rPr>
      <w:sz w:val="16"/>
      <w:szCs w:val="16"/>
    </w:rPr>
  </w:style>
  <w:style w:type="paragraph" w:styleId="CommentText">
    <w:name w:val="annotation text"/>
    <w:basedOn w:val="Normal"/>
    <w:link w:val="CommentTextChar"/>
    <w:uiPriority w:val="99"/>
    <w:unhideWhenUsed/>
    <w:rsid w:val="00A93AE0"/>
    <w:rPr>
      <w:sz w:val="20"/>
      <w:szCs w:val="20"/>
    </w:rPr>
  </w:style>
  <w:style w:type="character" w:customStyle="1" w:styleId="CommentTextChar">
    <w:name w:val="Comment Text Char"/>
    <w:basedOn w:val="DefaultParagraphFont"/>
    <w:link w:val="CommentText"/>
    <w:uiPriority w:val="99"/>
    <w:rsid w:val="00A93AE0"/>
  </w:style>
  <w:style w:type="paragraph" w:styleId="CommentSubject">
    <w:name w:val="annotation subject"/>
    <w:basedOn w:val="CommentText"/>
    <w:next w:val="CommentText"/>
    <w:link w:val="CommentSubjectChar"/>
    <w:uiPriority w:val="99"/>
    <w:semiHidden/>
    <w:unhideWhenUsed/>
    <w:rsid w:val="00A93AE0"/>
    <w:rPr>
      <w:b/>
      <w:bCs/>
    </w:rPr>
  </w:style>
  <w:style w:type="character" w:customStyle="1" w:styleId="CommentSubjectChar">
    <w:name w:val="Comment Subject Char"/>
    <w:link w:val="CommentSubject"/>
    <w:uiPriority w:val="99"/>
    <w:semiHidden/>
    <w:rsid w:val="00A93AE0"/>
    <w:rPr>
      <w:b/>
      <w:bCs/>
    </w:rPr>
  </w:style>
  <w:style w:type="character" w:customStyle="1" w:styleId="PlainTextChar">
    <w:name w:val="Plain Text Char"/>
    <w:link w:val="PlainText"/>
    <w:rsid w:val="00F22B68"/>
    <w:rPr>
      <w:rFonts w:ascii="Courier New" w:hAnsi="Courier New" w:cs="Courier New"/>
    </w:rPr>
  </w:style>
  <w:style w:type="paragraph" w:styleId="NormalWeb">
    <w:name w:val="Normal (Web)"/>
    <w:basedOn w:val="Normal"/>
    <w:uiPriority w:val="99"/>
    <w:unhideWhenUsed/>
    <w:rsid w:val="005A7DEE"/>
    <w:pPr>
      <w:spacing w:before="100" w:beforeAutospacing="1" w:after="100" w:afterAutospacing="1"/>
    </w:pPr>
  </w:style>
  <w:style w:type="paragraph" w:styleId="ListParagraph">
    <w:name w:val="List Paragraph"/>
    <w:basedOn w:val="Normal"/>
    <w:uiPriority w:val="34"/>
    <w:qFormat/>
    <w:rsid w:val="00414797"/>
    <w:pPr>
      <w:ind w:left="720"/>
      <w:contextualSpacing/>
    </w:pPr>
  </w:style>
  <w:style w:type="table" w:styleId="TableGrid">
    <w:name w:val="Table Grid"/>
    <w:basedOn w:val="TableNormal"/>
    <w:uiPriority w:val="39"/>
    <w:rsid w:val="007F6DDB"/>
    <w:rPr>
      <w:rFonts w:asciiTheme="minorHAnsi" w:eastAsiaTheme="minorHAnsi" w:hAnsiTheme="minorHAnsi" w:cstheme="minorBidi"/>
      <w:sz w:val="22"/>
      <w:szCs w:val="22"/>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F02"/>
    <w:pPr>
      <w:tabs>
        <w:tab w:val="center" w:pos="4680"/>
        <w:tab w:val="right" w:pos="9360"/>
      </w:tabs>
    </w:pPr>
  </w:style>
  <w:style w:type="character" w:customStyle="1" w:styleId="HeaderChar">
    <w:name w:val="Header Char"/>
    <w:basedOn w:val="DefaultParagraphFont"/>
    <w:link w:val="Header"/>
    <w:uiPriority w:val="99"/>
    <w:rsid w:val="00114F02"/>
    <w:rPr>
      <w:sz w:val="24"/>
      <w:szCs w:val="24"/>
    </w:rPr>
  </w:style>
  <w:style w:type="paragraph" w:styleId="Footer">
    <w:name w:val="footer"/>
    <w:basedOn w:val="Normal"/>
    <w:link w:val="FooterChar"/>
    <w:uiPriority w:val="99"/>
    <w:unhideWhenUsed/>
    <w:rsid w:val="00114F02"/>
    <w:pPr>
      <w:tabs>
        <w:tab w:val="center" w:pos="4680"/>
        <w:tab w:val="right" w:pos="9360"/>
      </w:tabs>
    </w:pPr>
  </w:style>
  <w:style w:type="character" w:customStyle="1" w:styleId="FooterChar">
    <w:name w:val="Footer Char"/>
    <w:basedOn w:val="DefaultParagraphFont"/>
    <w:link w:val="Footer"/>
    <w:uiPriority w:val="99"/>
    <w:rsid w:val="00114F02"/>
    <w:rPr>
      <w:sz w:val="24"/>
      <w:szCs w:val="24"/>
    </w:rPr>
  </w:style>
  <w:style w:type="paragraph" w:styleId="BodyTextIndent">
    <w:name w:val="Body Text Indent"/>
    <w:basedOn w:val="Normal"/>
    <w:link w:val="BodyTextIndentChar"/>
    <w:uiPriority w:val="99"/>
    <w:unhideWhenUsed/>
    <w:rsid w:val="000821DE"/>
    <w:pPr>
      <w:spacing w:after="120"/>
      <w:ind w:left="360"/>
    </w:pPr>
  </w:style>
  <w:style w:type="character" w:customStyle="1" w:styleId="BodyTextIndentChar">
    <w:name w:val="Body Text Indent Char"/>
    <w:basedOn w:val="DefaultParagraphFont"/>
    <w:link w:val="BodyTextIndent"/>
    <w:uiPriority w:val="99"/>
    <w:rsid w:val="000821DE"/>
    <w:rPr>
      <w:sz w:val="24"/>
      <w:szCs w:val="24"/>
    </w:rPr>
  </w:style>
  <w:style w:type="paragraph" w:styleId="HTMLPreformatted">
    <w:name w:val="HTML Preformatted"/>
    <w:basedOn w:val="Normal"/>
    <w:link w:val="HTMLPreformattedChar"/>
    <w:unhideWhenUsed/>
    <w:rsid w:val="00E85D2B"/>
    <w:pPr>
      <w:widowControl w:val="0"/>
      <w:autoSpaceDE w:val="0"/>
      <w:autoSpaceDN w:val="0"/>
      <w:adjustRightInd w:val="0"/>
    </w:pPr>
    <w:rPr>
      <w:rFonts w:ascii="Consolas" w:hAnsi="Consolas" w:cs="Consolas"/>
      <w:sz w:val="20"/>
      <w:szCs w:val="20"/>
    </w:rPr>
  </w:style>
  <w:style w:type="character" w:customStyle="1" w:styleId="HTMLPreformattedChar">
    <w:name w:val="HTML Preformatted Char"/>
    <w:basedOn w:val="DefaultParagraphFont"/>
    <w:link w:val="HTMLPreformatted"/>
    <w:rsid w:val="00E85D2B"/>
    <w:rPr>
      <w:rFonts w:ascii="Consolas" w:hAnsi="Consolas" w:cs="Consolas"/>
    </w:rPr>
  </w:style>
  <w:style w:type="character" w:customStyle="1" w:styleId="Heading3Char">
    <w:name w:val="Heading 3 Char"/>
    <w:basedOn w:val="DefaultParagraphFont"/>
    <w:link w:val="Heading3"/>
    <w:semiHidden/>
    <w:rsid w:val="006E6231"/>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8F3B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8142">
      <w:bodyDiv w:val="1"/>
      <w:marLeft w:val="0"/>
      <w:marRight w:val="0"/>
      <w:marTop w:val="0"/>
      <w:marBottom w:val="0"/>
      <w:divBdr>
        <w:top w:val="none" w:sz="0" w:space="0" w:color="auto"/>
        <w:left w:val="none" w:sz="0" w:space="0" w:color="auto"/>
        <w:bottom w:val="none" w:sz="0" w:space="0" w:color="auto"/>
        <w:right w:val="none" w:sz="0" w:space="0" w:color="auto"/>
      </w:divBdr>
    </w:div>
    <w:div w:id="518084384">
      <w:bodyDiv w:val="1"/>
      <w:marLeft w:val="0"/>
      <w:marRight w:val="0"/>
      <w:marTop w:val="0"/>
      <w:marBottom w:val="0"/>
      <w:divBdr>
        <w:top w:val="none" w:sz="0" w:space="0" w:color="auto"/>
        <w:left w:val="none" w:sz="0" w:space="0" w:color="auto"/>
        <w:bottom w:val="none" w:sz="0" w:space="0" w:color="auto"/>
        <w:right w:val="none" w:sz="0" w:space="0" w:color="auto"/>
      </w:divBdr>
    </w:div>
    <w:div w:id="1646087594">
      <w:bodyDiv w:val="1"/>
      <w:marLeft w:val="0"/>
      <w:marRight w:val="0"/>
      <w:marTop w:val="0"/>
      <w:marBottom w:val="0"/>
      <w:divBdr>
        <w:top w:val="none" w:sz="0" w:space="0" w:color="auto"/>
        <w:left w:val="none" w:sz="0" w:space="0" w:color="auto"/>
        <w:bottom w:val="none" w:sz="0" w:space="0" w:color="auto"/>
        <w:right w:val="none" w:sz="0" w:space="0" w:color="auto"/>
      </w:divBdr>
    </w:div>
    <w:div w:id="170944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ecec.nr0.htm" TargetMode="External"/><Relationship Id="rId2" Type="http://schemas.openxmlformats.org/officeDocument/2006/relationships/hyperlink" Target="https://www.bls.gov/oes/tables.htm" TargetMode="External"/><Relationship Id="rId1" Type="http://schemas.openxmlformats.org/officeDocument/2006/relationships/hyperlink" Target="https://www.federalregister.gov/documents/2020/12/11/2020-27370/agency-information-collection-activities-proposed-renewal-comment-request-renewal-without-change-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82BF7-B68B-45CB-83AD-817CDCD6D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1366</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9272</CharactersWithSpaces>
  <SharedDoc>false</SharedDoc>
  <HLinks>
    <vt:vector size="6" baseType="variant">
      <vt:variant>
        <vt:i4>2162714</vt:i4>
      </vt:variant>
      <vt:variant>
        <vt:i4>0</vt:i4>
      </vt:variant>
      <vt:variant>
        <vt:i4>0</vt:i4>
      </vt:variant>
      <vt:variant>
        <vt:i4>5</vt:i4>
      </vt:variant>
      <vt:variant>
        <vt:lpwstr>http://www.fincen.gov/foia/files/FinCEN_79_FR_20969.pdf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subject/>
  <dc:creator>StephR</dc:creator>
  <cp:keywords/>
  <dc:description/>
  <cp:lastModifiedBy>Stewart, Jaclyn</cp:lastModifiedBy>
  <cp:revision>3</cp:revision>
  <cp:lastPrinted>2017-05-18T13:14:00Z</cp:lastPrinted>
  <dcterms:created xsi:type="dcterms:W3CDTF">2021-02-25T15:22:00Z</dcterms:created>
  <dcterms:modified xsi:type="dcterms:W3CDTF">2021-02-25T15:23:00Z</dcterms:modified>
</cp:coreProperties>
</file>