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4EB88717" w14:textId="77777777">
      <w:pPr>
        <w:ind w:left="-90"/>
        <w:jc w:val="center"/>
        <w:rPr>
          <w:b/>
          <w:bCs/>
        </w:rPr>
      </w:pPr>
      <w:r w:rsidRPr="00702B07">
        <w:rPr>
          <w:b/>
          <w:bCs/>
        </w:rPr>
        <w:t>SUPPORTING STATEMENT</w:t>
      </w:r>
    </w:p>
    <w:p w:rsidRPr="00702B07" w:rsidR="00BE5210" w:rsidP="00695940" w:rsidRDefault="00BE5210" w14:paraId="18235254" w14:textId="77777777">
      <w:pPr>
        <w:ind w:left="-90"/>
        <w:jc w:val="center"/>
        <w:rPr>
          <w:bCs/>
        </w:rPr>
      </w:pPr>
      <w:r w:rsidRPr="00702B07">
        <w:rPr>
          <w:bCs/>
        </w:rPr>
        <w:t>Internal Revenue Service</w:t>
      </w:r>
    </w:p>
    <w:p w:rsidRPr="00A00E60" w:rsidR="00A00E60" w:rsidP="00A00E60" w:rsidRDefault="00331013" w14:paraId="1E1A133F" w14:textId="21CB28F8">
      <w:pPr>
        <w:ind w:left="-90"/>
        <w:jc w:val="center"/>
        <w:rPr>
          <w:bCs/>
        </w:rPr>
      </w:pPr>
      <w:r>
        <w:rPr>
          <w:bCs/>
        </w:rPr>
        <w:t xml:space="preserve">TD 9568, </w:t>
      </w:r>
      <w:r w:rsidRPr="00A00E60" w:rsidR="00A00E60">
        <w:rPr>
          <w:bCs/>
        </w:rPr>
        <w:t xml:space="preserve">Methods </w:t>
      </w:r>
      <w:r w:rsidR="00A00E60">
        <w:rPr>
          <w:bCs/>
        </w:rPr>
        <w:t>t</w:t>
      </w:r>
      <w:r w:rsidRPr="00A00E60" w:rsidR="00A00E60">
        <w:rPr>
          <w:bCs/>
        </w:rPr>
        <w:t>o Determine</w:t>
      </w:r>
      <w:r w:rsidR="00A00E60">
        <w:rPr>
          <w:bCs/>
        </w:rPr>
        <w:t xml:space="preserve"> </w:t>
      </w:r>
      <w:r w:rsidRPr="00A00E60" w:rsidR="00A00E60">
        <w:rPr>
          <w:bCs/>
        </w:rPr>
        <w:t xml:space="preserve">Taxable Income in </w:t>
      </w:r>
      <w:r w:rsidR="00A00E60">
        <w:rPr>
          <w:bCs/>
        </w:rPr>
        <w:t>c</w:t>
      </w:r>
      <w:r w:rsidRPr="00A00E60" w:rsidR="00A00E60">
        <w:rPr>
          <w:bCs/>
        </w:rPr>
        <w:t xml:space="preserve">onnection </w:t>
      </w:r>
      <w:r w:rsidR="00A00E60">
        <w:rPr>
          <w:bCs/>
        </w:rPr>
        <w:t>w</w:t>
      </w:r>
      <w:r w:rsidRPr="00A00E60" w:rsidR="00A00E60">
        <w:rPr>
          <w:bCs/>
        </w:rPr>
        <w:t>ith a</w:t>
      </w:r>
    </w:p>
    <w:p w:rsidR="00007D7B" w:rsidP="00A00E60" w:rsidRDefault="00A00E60" w14:paraId="69610A3D" w14:textId="3618AEFB">
      <w:pPr>
        <w:ind w:left="-90"/>
        <w:jc w:val="center"/>
        <w:rPr>
          <w:bCs/>
        </w:rPr>
      </w:pPr>
      <w:r w:rsidRPr="00A00E60">
        <w:rPr>
          <w:bCs/>
        </w:rPr>
        <w:t>Cost Sharing Arrangement</w:t>
      </w:r>
      <w:r w:rsidR="0065320B">
        <w:rPr>
          <w:bCs/>
        </w:rPr>
        <w:t>-IRC Section 482</w:t>
      </w:r>
    </w:p>
    <w:p w:rsidRPr="00702B07" w:rsidR="00636B94" w:rsidP="00695940" w:rsidRDefault="00636B94" w14:paraId="4AD2A266" w14:textId="59FA4ABD">
      <w:pPr>
        <w:ind w:left="-90"/>
        <w:jc w:val="center"/>
      </w:pPr>
      <w:r w:rsidRPr="00702B07">
        <w:rPr>
          <w:bCs/>
        </w:rPr>
        <w:t xml:space="preserve">OMB </w:t>
      </w:r>
      <w:r w:rsidR="00331013">
        <w:rPr>
          <w:bCs/>
        </w:rPr>
        <w:t>Control Number</w:t>
      </w:r>
      <w:r w:rsidRPr="00702B07">
        <w:rPr>
          <w:bCs/>
        </w:rPr>
        <w:t xml:space="preserve"> </w:t>
      </w:r>
      <w:r w:rsidRPr="00702B07">
        <w:rPr>
          <w:b/>
          <w:bCs/>
        </w:rPr>
        <w:t>1545-</w:t>
      </w:r>
      <w:r w:rsidR="0024297E">
        <w:rPr>
          <w:b/>
          <w:bCs/>
        </w:rPr>
        <w:t>1364</w:t>
      </w:r>
    </w:p>
    <w:p w:rsidRPr="00702B07" w:rsidR="00C573C8" w:rsidP="00BE5210" w:rsidRDefault="00C573C8" w14:paraId="0DACED89" w14:textId="77777777">
      <w:pPr>
        <w:ind w:left="-90"/>
      </w:pPr>
      <w:r w:rsidRPr="00702B07">
        <w:t xml:space="preserve">                           </w:t>
      </w:r>
    </w:p>
    <w:p w:rsidRPr="0065320B" w:rsidR="00C573C8" w:rsidP="00AA539A" w:rsidRDefault="00C573C8" w14:paraId="3E216960" w14:textId="77777777">
      <w:pPr>
        <w:ind w:right="-72"/>
        <w:rPr>
          <w:b/>
        </w:rPr>
      </w:pPr>
      <w:r w:rsidRPr="0065320B">
        <w:rPr>
          <w:b/>
        </w:rPr>
        <w:t xml:space="preserve">1.   </w:t>
      </w:r>
      <w:r w:rsidRPr="0065320B">
        <w:rPr>
          <w:b/>
          <w:u w:val="single"/>
        </w:rPr>
        <w:t>CIRCUMSTANCES NECESSITATING COLLECTION OF INFORMATION</w:t>
      </w:r>
    </w:p>
    <w:p w:rsidRPr="00702B07" w:rsidR="00C573C8" w:rsidRDefault="00C573C8" w14:paraId="22D46217" w14:textId="77777777">
      <w:pPr>
        <w:ind w:left="-72" w:right="-72"/>
      </w:pPr>
    </w:p>
    <w:p w:rsidR="0024297E" w:rsidP="00591B4A" w:rsidRDefault="0024297E" w14:paraId="48C3DA81" w14:textId="424D947D">
      <w:pPr>
        <w:ind w:left="360" w:right="-72"/>
        <w:rPr>
          <w:lang w:val="en"/>
        </w:rPr>
      </w:pPr>
      <w:r w:rsidRPr="0024297E">
        <w:rPr>
          <w:lang w:val="en"/>
        </w:rPr>
        <w:t xml:space="preserve">The purpose of </w:t>
      </w:r>
      <w:r>
        <w:rPr>
          <w:lang w:val="en"/>
        </w:rPr>
        <w:t>Internal Revenue Code (</w:t>
      </w:r>
      <w:r w:rsidRPr="0024297E">
        <w:rPr>
          <w:lang w:val="en"/>
        </w:rPr>
        <w:t>IRC</w:t>
      </w:r>
      <w:r>
        <w:rPr>
          <w:lang w:val="en"/>
        </w:rPr>
        <w:t>)</w:t>
      </w:r>
      <w:r w:rsidRPr="0024297E">
        <w:rPr>
          <w:lang w:val="en"/>
        </w:rPr>
        <w:t xml:space="preserve"> </w:t>
      </w:r>
      <w:r w:rsidR="00331013">
        <w:rPr>
          <w:lang w:val="en"/>
        </w:rPr>
        <w:t>S</w:t>
      </w:r>
      <w:r w:rsidRPr="0024297E">
        <w:rPr>
          <w:lang w:val="en"/>
        </w:rPr>
        <w:t>ection 482 is to ensure taxpayers clearly reflect income attributable to controlled transactions and to prevent avoidance of taxes regarding such transactions. IRC section 482 places a controlled taxpayer on a tax parity with an uncontrolled taxpayer by determining true taxable income.</w:t>
      </w:r>
    </w:p>
    <w:p w:rsidR="0024297E" w:rsidP="00591B4A" w:rsidRDefault="0024297E" w14:paraId="1CA27203" w14:textId="77777777">
      <w:pPr>
        <w:ind w:left="360" w:right="-72"/>
        <w:rPr>
          <w:lang w:val="en"/>
        </w:rPr>
      </w:pPr>
    </w:p>
    <w:p w:rsidR="00591B4A" w:rsidP="0024297E" w:rsidRDefault="00591B4A" w14:paraId="1EFCAD31" w14:textId="379779AF">
      <w:pPr>
        <w:ind w:left="360" w:right="-72"/>
        <w:rPr>
          <w:lang w:val="en"/>
        </w:rPr>
      </w:pPr>
      <w:r>
        <w:rPr>
          <w:lang w:val="en"/>
        </w:rPr>
        <w:t xml:space="preserve">TD </w:t>
      </w:r>
      <w:r w:rsidR="0024297E">
        <w:rPr>
          <w:lang w:val="en"/>
        </w:rPr>
        <w:t>9568</w:t>
      </w:r>
      <w:r>
        <w:rPr>
          <w:lang w:val="en"/>
        </w:rPr>
        <w:t xml:space="preserve"> (</w:t>
      </w:r>
      <w:r w:rsidR="0024297E">
        <w:rPr>
          <w:lang w:val="en"/>
        </w:rPr>
        <w:t>76</w:t>
      </w:r>
      <w:r>
        <w:rPr>
          <w:lang w:val="en"/>
        </w:rPr>
        <w:t xml:space="preserve"> FR </w:t>
      </w:r>
      <w:r w:rsidR="0024297E">
        <w:rPr>
          <w:lang w:val="en"/>
        </w:rPr>
        <w:t>80082</w:t>
      </w:r>
      <w:r w:rsidR="001A5F9F">
        <w:rPr>
          <w:lang w:val="en"/>
        </w:rPr>
        <w:t>)</w:t>
      </w:r>
      <w:r>
        <w:rPr>
          <w:lang w:val="en"/>
        </w:rPr>
        <w:t xml:space="preserve">, </w:t>
      </w:r>
      <w:r w:rsidR="00331013">
        <w:rPr>
          <w:lang w:val="en"/>
        </w:rPr>
        <w:t xml:space="preserve">provides guidance for the </w:t>
      </w:r>
      <w:r w:rsidRPr="0024297E" w:rsidR="0024297E">
        <w:rPr>
          <w:lang w:val="en"/>
        </w:rPr>
        <w:t>methods</w:t>
      </w:r>
      <w:r w:rsidR="00331013">
        <w:rPr>
          <w:lang w:val="en"/>
        </w:rPr>
        <w:t xml:space="preserve"> used</w:t>
      </w:r>
      <w:r w:rsidRPr="0024297E" w:rsidR="0024297E">
        <w:rPr>
          <w:lang w:val="en"/>
        </w:rPr>
        <w:t xml:space="preserve"> to</w:t>
      </w:r>
      <w:r w:rsidR="0024297E">
        <w:rPr>
          <w:lang w:val="en"/>
        </w:rPr>
        <w:t xml:space="preserve"> </w:t>
      </w:r>
      <w:r w:rsidRPr="0024297E" w:rsidR="0024297E">
        <w:rPr>
          <w:lang w:val="en"/>
        </w:rPr>
        <w:t>determine taxable income in connection</w:t>
      </w:r>
      <w:r w:rsidR="0024297E">
        <w:rPr>
          <w:lang w:val="en"/>
        </w:rPr>
        <w:t xml:space="preserve"> </w:t>
      </w:r>
      <w:r w:rsidRPr="0024297E" w:rsidR="0024297E">
        <w:rPr>
          <w:lang w:val="en"/>
        </w:rPr>
        <w:t>with a cost sharing arrangement under</w:t>
      </w:r>
      <w:r w:rsidR="0024297E">
        <w:rPr>
          <w:lang w:val="en"/>
        </w:rPr>
        <w:t xml:space="preserve"> </w:t>
      </w:r>
      <w:r w:rsidRPr="0024297E" w:rsidR="0024297E">
        <w:rPr>
          <w:lang w:val="en"/>
        </w:rPr>
        <w:t>section 482 of the Internal Revenue</w:t>
      </w:r>
      <w:r w:rsidR="0024297E">
        <w:rPr>
          <w:lang w:val="en"/>
        </w:rPr>
        <w:t xml:space="preserve"> </w:t>
      </w:r>
      <w:r w:rsidRPr="0024297E" w:rsidR="0024297E">
        <w:rPr>
          <w:lang w:val="en"/>
        </w:rPr>
        <w:t>Code (Code). The regulations</w:t>
      </w:r>
      <w:r w:rsidR="0024297E">
        <w:rPr>
          <w:lang w:val="en"/>
        </w:rPr>
        <w:t xml:space="preserve"> </w:t>
      </w:r>
      <w:r w:rsidRPr="0024297E" w:rsidR="0024297E">
        <w:rPr>
          <w:lang w:val="en"/>
        </w:rPr>
        <w:t>address issues that ha</w:t>
      </w:r>
      <w:r w:rsidR="00460F0B">
        <w:rPr>
          <w:lang w:val="en"/>
        </w:rPr>
        <w:t>d</w:t>
      </w:r>
      <w:r w:rsidRPr="0024297E" w:rsidR="0024297E">
        <w:rPr>
          <w:lang w:val="en"/>
        </w:rPr>
        <w:t xml:space="preserve"> arisen in</w:t>
      </w:r>
      <w:r w:rsidR="00460F0B">
        <w:rPr>
          <w:lang w:val="en"/>
        </w:rPr>
        <w:t xml:space="preserve"> </w:t>
      </w:r>
      <w:r w:rsidRPr="0024297E" w:rsidR="0024297E">
        <w:rPr>
          <w:lang w:val="en"/>
        </w:rPr>
        <w:t>administering the cost sharing</w:t>
      </w:r>
      <w:r w:rsidR="0024297E">
        <w:rPr>
          <w:lang w:val="en"/>
        </w:rPr>
        <w:t xml:space="preserve"> </w:t>
      </w:r>
      <w:r w:rsidRPr="0024297E" w:rsidR="0024297E">
        <w:rPr>
          <w:lang w:val="en"/>
        </w:rPr>
        <w:t>regulations</w:t>
      </w:r>
      <w:r w:rsidR="00331013">
        <w:rPr>
          <w:lang w:val="en"/>
        </w:rPr>
        <w:t>; and how</w:t>
      </w:r>
      <w:r w:rsidR="0024297E">
        <w:rPr>
          <w:lang w:val="en"/>
        </w:rPr>
        <w:t xml:space="preserve"> </w:t>
      </w:r>
      <w:r w:rsidRPr="0024297E" w:rsidR="0024297E">
        <w:rPr>
          <w:lang w:val="en"/>
        </w:rPr>
        <w:t xml:space="preserve">domestic and foreign entities that </w:t>
      </w:r>
      <w:proofErr w:type="gramStart"/>
      <w:r w:rsidRPr="0024297E" w:rsidR="0024297E">
        <w:rPr>
          <w:lang w:val="en"/>
        </w:rPr>
        <w:t>enter</w:t>
      </w:r>
      <w:r w:rsidR="0024297E">
        <w:rPr>
          <w:lang w:val="en"/>
        </w:rPr>
        <w:t xml:space="preserve"> </w:t>
      </w:r>
      <w:r w:rsidRPr="0024297E" w:rsidR="0024297E">
        <w:rPr>
          <w:lang w:val="en"/>
        </w:rPr>
        <w:t>into</w:t>
      </w:r>
      <w:proofErr w:type="gramEnd"/>
      <w:r w:rsidRPr="0024297E" w:rsidR="0024297E">
        <w:rPr>
          <w:lang w:val="en"/>
        </w:rPr>
        <w:t xml:space="preserve"> cost sharing arrangements</w:t>
      </w:r>
      <w:r w:rsidR="0024297E">
        <w:rPr>
          <w:lang w:val="en"/>
        </w:rPr>
        <w:t xml:space="preserve"> </w:t>
      </w:r>
      <w:r w:rsidR="00331013">
        <w:rPr>
          <w:lang w:val="en"/>
        </w:rPr>
        <w:t>are impacted</w:t>
      </w:r>
      <w:r w:rsidRPr="0024297E" w:rsidR="0024297E">
        <w:rPr>
          <w:lang w:val="en"/>
        </w:rPr>
        <w:t>.</w:t>
      </w:r>
    </w:p>
    <w:p w:rsidR="0024297E" w:rsidP="0024297E" w:rsidRDefault="0024297E" w14:paraId="5E8CEAF2" w14:textId="77777777">
      <w:pPr>
        <w:ind w:left="360" w:right="-72"/>
        <w:rPr>
          <w:lang w:val="en"/>
        </w:rPr>
      </w:pPr>
    </w:p>
    <w:p w:rsidRPr="0065320B" w:rsidR="00C573C8" w:rsidP="00AA539A" w:rsidRDefault="00C573C8" w14:paraId="5F1E1DF4" w14:textId="77777777">
      <w:pPr>
        <w:ind w:right="-72"/>
        <w:rPr>
          <w:b/>
        </w:rPr>
      </w:pPr>
      <w:r w:rsidRPr="0065320B">
        <w:rPr>
          <w:b/>
        </w:rPr>
        <w:t xml:space="preserve">2.   </w:t>
      </w:r>
      <w:r w:rsidRPr="0065320B">
        <w:rPr>
          <w:b/>
          <w:u w:val="single"/>
        </w:rPr>
        <w:t>USE OF DATA</w:t>
      </w:r>
      <w:r w:rsidRPr="0065320B">
        <w:rPr>
          <w:b/>
        </w:rPr>
        <w:t xml:space="preserve">              </w:t>
      </w:r>
    </w:p>
    <w:p w:rsidRPr="00702B07" w:rsidR="00C573C8" w:rsidP="00702B07" w:rsidRDefault="00C573C8" w14:paraId="217003E4" w14:textId="77777777"/>
    <w:p w:rsidR="006E0A4D" w:rsidP="006E0A4D" w:rsidRDefault="00DE7D8D" w14:paraId="61520B08" w14:textId="77777777">
      <w:pPr>
        <w:ind w:left="360" w:right="-72"/>
      </w:pPr>
      <w:r w:rsidRPr="00DE7D8D">
        <w:t>The information will be used to administer and enforce section 482 of the Internal Revenue Code</w:t>
      </w:r>
      <w:r w:rsidRPr="0009423B" w:rsidR="0009423B">
        <w:t>.</w:t>
      </w:r>
      <w:r w:rsidR="006E0A4D">
        <w:t xml:space="preserve">  Responses to the collections of information are required by the IRS to monitor</w:t>
      </w:r>
    </w:p>
    <w:p w:rsidR="006E0A4D" w:rsidP="006E0A4D" w:rsidRDefault="006E0A4D" w14:paraId="237E1D81" w14:textId="77777777">
      <w:pPr>
        <w:ind w:left="360" w:right="-72"/>
      </w:pPr>
      <w:r>
        <w:t>compliance of controlled taxpayers with the provisions applicable to cost sharing</w:t>
      </w:r>
    </w:p>
    <w:p w:rsidR="00C573C8" w:rsidP="006E0A4D" w:rsidRDefault="006E0A4D" w14:paraId="383EB169" w14:textId="77777777">
      <w:pPr>
        <w:ind w:left="360" w:right="-72"/>
      </w:pPr>
      <w:r>
        <w:t>arrangements.</w:t>
      </w:r>
    </w:p>
    <w:p w:rsidRPr="00702B07" w:rsidR="0009423B" w:rsidP="0009423B" w:rsidRDefault="0009423B" w14:paraId="5828D0ED" w14:textId="77777777">
      <w:pPr>
        <w:ind w:left="360" w:right="-72"/>
      </w:pPr>
    </w:p>
    <w:p w:rsidRPr="0065320B" w:rsidR="00C573C8" w:rsidP="00AA539A" w:rsidRDefault="00C573C8" w14:paraId="30E3EE63" w14:textId="77777777">
      <w:pPr>
        <w:ind w:right="-72"/>
        <w:rPr>
          <w:b/>
        </w:rPr>
      </w:pPr>
      <w:r w:rsidRPr="0065320B">
        <w:rPr>
          <w:b/>
        </w:rPr>
        <w:t xml:space="preserve">3.   </w:t>
      </w:r>
      <w:r w:rsidRPr="0065320B">
        <w:rPr>
          <w:b/>
          <w:u w:val="single"/>
        </w:rPr>
        <w:t>USE OF IMPROVED INFORMATION TECHNOLOGY TO REDUCE BURDEN</w:t>
      </w:r>
    </w:p>
    <w:p w:rsidRPr="00702B07" w:rsidR="00C573C8" w:rsidRDefault="00C573C8" w14:paraId="333D2116" w14:textId="77777777">
      <w:pPr>
        <w:ind w:left="-72" w:right="-72"/>
      </w:pPr>
    </w:p>
    <w:p w:rsidRPr="00331013" w:rsidR="00331013" w:rsidP="00331013" w:rsidRDefault="00331013" w14:paraId="1C6DFF46" w14:textId="4EC2FF24">
      <w:pPr>
        <w:ind w:left="360" w:right="-72"/>
        <w:rPr>
          <w:bCs/>
        </w:rPr>
      </w:pPr>
      <w:bookmarkStart w:name="_Hlk67316423" w:id="0"/>
      <w:r w:rsidRPr="00331013">
        <w:rPr>
          <w:bCs/>
        </w:rPr>
        <w:t xml:space="preserve">The IRS has no plans to offer electronic enabling because this collection is a notification of the </w:t>
      </w:r>
      <w:r>
        <w:rPr>
          <w:bCs/>
        </w:rPr>
        <w:t>methods used to determine taxable income within a cost sharing arrangement.</w:t>
      </w:r>
    </w:p>
    <w:bookmarkEnd w:id="0"/>
    <w:p w:rsidRPr="00702B07" w:rsidR="00973BBF" w:rsidP="00973BBF" w:rsidRDefault="00973BBF" w14:paraId="4D1E4281" w14:textId="77777777">
      <w:pPr>
        <w:ind w:left="360" w:right="-72"/>
      </w:pPr>
    </w:p>
    <w:p w:rsidRPr="0065320B" w:rsidR="00C573C8" w:rsidP="00AA539A" w:rsidRDefault="00C573C8" w14:paraId="1CEA2BDA" w14:textId="77777777">
      <w:pPr>
        <w:ind w:right="-72"/>
        <w:rPr>
          <w:b/>
        </w:rPr>
      </w:pPr>
      <w:r w:rsidRPr="0065320B">
        <w:rPr>
          <w:b/>
        </w:rPr>
        <w:t xml:space="preserve">4.   </w:t>
      </w:r>
      <w:r w:rsidRPr="0065320B">
        <w:rPr>
          <w:b/>
          <w:u w:val="single"/>
        </w:rPr>
        <w:t>EFFORTS TO IDENTIFY DUPLICATION</w:t>
      </w:r>
    </w:p>
    <w:p w:rsidRPr="00702B07" w:rsidR="00C573C8" w:rsidRDefault="00C573C8" w14:paraId="5EA10DA1" w14:textId="77777777">
      <w:pPr>
        <w:ind w:left="-72" w:right="-72"/>
      </w:pPr>
    </w:p>
    <w:p w:rsidRPr="00E341E0" w:rsidR="00E341E0" w:rsidP="00E341E0" w:rsidRDefault="00E341E0" w14:paraId="6394C59C" w14:textId="77777777">
      <w:pPr>
        <w:ind w:left="360" w:right="-72"/>
        <w:rPr>
          <w:iCs/>
        </w:rPr>
      </w:pPr>
      <w:bookmarkStart w:name="_Hlk497985603" w:id="1"/>
      <w:bookmarkStart w:name="_Hlk498001376" w:id="2"/>
      <w:r w:rsidRPr="00E341E0">
        <w:rPr>
          <w:iCs/>
        </w:rPr>
        <w:t>The information obtained through this collection is unique and is not already available for use or adaptation from another source.</w:t>
      </w:r>
      <w:bookmarkEnd w:id="1"/>
    </w:p>
    <w:bookmarkEnd w:id="2"/>
    <w:p w:rsidRPr="00702B07" w:rsidR="00C573C8" w:rsidP="0033329E" w:rsidRDefault="00C573C8" w14:paraId="5D6DCFA1" w14:textId="77777777">
      <w:pPr>
        <w:ind w:left="360" w:right="-72"/>
      </w:pPr>
    </w:p>
    <w:p w:rsidRPr="0065320B" w:rsidR="00C573C8" w:rsidP="00AA539A" w:rsidRDefault="00C573C8" w14:paraId="5726CDB7" w14:textId="77777777">
      <w:pPr>
        <w:ind w:left="360" w:right="-72" w:hanging="360"/>
        <w:rPr>
          <w:b/>
        </w:rPr>
      </w:pPr>
      <w:r w:rsidRPr="0065320B">
        <w:rPr>
          <w:b/>
        </w:rPr>
        <w:t xml:space="preserve">5.   </w:t>
      </w:r>
      <w:r w:rsidRPr="0065320B">
        <w:rPr>
          <w:b/>
          <w:u w:val="single"/>
        </w:rPr>
        <w:t>METHODS TO MINIMIZE BURDEN ON SMALL BUSINESSES OR OTHER</w:t>
      </w:r>
      <w:r w:rsidRPr="0065320B" w:rsidR="00CC6C32">
        <w:rPr>
          <w:b/>
          <w:u w:val="single"/>
        </w:rPr>
        <w:t xml:space="preserve"> </w:t>
      </w:r>
      <w:r w:rsidRPr="0065320B">
        <w:rPr>
          <w:b/>
          <w:u w:val="single"/>
        </w:rPr>
        <w:t>SMALL</w:t>
      </w:r>
      <w:r w:rsidRPr="0065320B" w:rsidR="00AA539A">
        <w:rPr>
          <w:b/>
          <w:u w:val="single"/>
        </w:rPr>
        <w:t xml:space="preserve"> </w:t>
      </w:r>
      <w:r w:rsidRPr="0065320B">
        <w:rPr>
          <w:b/>
          <w:u w:val="single"/>
        </w:rPr>
        <w:t>ENTITIES</w:t>
      </w:r>
    </w:p>
    <w:p w:rsidRPr="00702B07" w:rsidR="00C573C8" w:rsidRDefault="00C573C8" w14:paraId="06AEC851" w14:textId="77777777">
      <w:pPr>
        <w:ind w:left="-72" w:right="-72"/>
      </w:pPr>
    </w:p>
    <w:p w:rsidRPr="00331013" w:rsidR="00331013" w:rsidP="00331013" w:rsidRDefault="00331013" w14:paraId="1ECF3C49" w14:textId="77777777">
      <w:pPr>
        <w:ind w:left="360" w:right="-72"/>
      </w:pPr>
      <w:bookmarkStart w:name="_Hlk68108696" w:id="3"/>
      <w:bookmarkStart w:name="_Hlk67957564" w:id="4"/>
      <w:r w:rsidRPr="00331013">
        <w:rPr>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331013">
        <w:t>to reduce the burden on small businesses or other small entities</w:t>
      </w:r>
      <w:bookmarkEnd w:id="3"/>
      <w:r w:rsidRPr="00331013">
        <w:t>.</w:t>
      </w:r>
    </w:p>
    <w:bookmarkEnd w:id="4"/>
    <w:p w:rsidRPr="0065320B" w:rsidR="00C573C8" w:rsidP="00AA539A" w:rsidRDefault="00C573C8" w14:paraId="116AA09D" w14:textId="77777777">
      <w:pPr>
        <w:ind w:left="360" w:right="-72" w:hanging="360"/>
        <w:rPr>
          <w:b/>
        </w:rPr>
      </w:pPr>
      <w:r w:rsidRPr="0065320B">
        <w:rPr>
          <w:b/>
        </w:rPr>
        <w:t xml:space="preserve">6.   </w:t>
      </w:r>
      <w:r w:rsidRPr="0065320B">
        <w:rPr>
          <w:b/>
          <w:u w:val="single"/>
        </w:rPr>
        <w:t>CONSEQUENCES OF LESS FREQUENT COLLECTION ON FEDERAL</w:t>
      </w:r>
      <w:r w:rsidRPr="0065320B" w:rsidR="000A2988">
        <w:rPr>
          <w:b/>
          <w:u w:val="single"/>
        </w:rPr>
        <w:t xml:space="preserve"> </w:t>
      </w:r>
      <w:r w:rsidRPr="0065320B">
        <w:rPr>
          <w:b/>
          <w:u w:val="single"/>
        </w:rPr>
        <w:t>PROGRAMS</w:t>
      </w:r>
      <w:r w:rsidRPr="0065320B" w:rsidR="000A2988">
        <w:rPr>
          <w:b/>
          <w:u w:val="single"/>
        </w:rPr>
        <w:t xml:space="preserve"> </w:t>
      </w:r>
      <w:r w:rsidRPr="0065320B">
        <w:rPr>
          <w:b/>
          <w:u w:val="single"/>
        </w:rPr>
        <w:t>OR POLICY ACTIVITIES</w:t>
      </w:r>
    </w:p>
    <w:p w:rsidRPr="00702B07" w:rsidR="00C573C8" w:rsidRDefault="00C573C8" w14:paraId="42A052CB" w14:textId="77777777">
      <w:pPr>
        <w:ind w:left="-72" w:right="-72"/>
      </w:pPr>
    </w:p>
    <w:p w:rsidRPr="00895AED" w:rsidR="00C573C8" w:rsidP="00D05E8B" w:rsidRDefault="00331013" w14:paraId="544A1346" w14:textId="30B5758D">
      <w:pPr>
        <w:ind w:left="360" w:right="-72"/>
      </w:pPr>
      <w:r>
        <w:lastRenderedPageBreak/>
        <w:t xml:space="preserve">Consequences of less frequent collection </w:t>
      </w:r>
      <w:r w:rsidR="007453AC">
        <w:t>and retain</w:t>
      </w:r>
      <w:r>
        <w:t>ing</w:t>
      </w:r>
      <w:r w:rsidR="007453AC">
        <w:t xml:space="preserve"> the information outlined in the regulations will complicate the taxpayer’s ability to receive </w:t>
      </w:r>
      <w:r w:rsidR="00C653B6">
        <w:t xml:space="preserve">and the IRS’ ability to verify </w:t>
      </w:r>
      <w:r w:rsidR="007453AC">
        <w:t>the proper tax credit</w:t>
      </w:r>
      <w:r w:rsidR="00C653B6">
        <w:t>, thereby engendering the inability of the IRS to meet its mission.</w:t>
      </w:r>
      <w:r w:rsidR="007453AC">
        <w:t xml:space="preserve">  </w:t>
      </w:r>
      <w:r w:rsidRPr="00895AED" w:rsidR="00895AED">
        <w:t xml:space="preserve"> </w:t>
      </w:r>
    </w:p>
    <w:p w:rsidRPr="00702B07" w:rsidR="003F2C5D" w:rsidP="00D85B57" w:rsidRDefault="003F2C5D" w14:paraId="38D241A4" w14:textId="77777777">
      <w:pPr>
        <w:ind w:left="720" w:right="-72"/>
      </w:pPr>
    </w:p>
    <w:p w:rsidRPr="00702B07" w:rsidR="00C573C8" w:rsidP="00AA539A" w:rsidRDefault="00AA539A" w14:paraId="752D08EA" w14:textId="77777777">
      <w:pPr>
        <w:ind w:left="360" w:right="-72" w:hanging="360"/>
        <w:rPr>
          <w:bCs/>
        </w:rPr>
      </w:pPr>
      <w:r w:rsidRPr="0065320B">
        <w:rPr>
          <w:b/>
        </w:rPr>
        <w:t xml:space="preserve">7.   </w:t>
      </w:r>
      <w:r w:rsidRPr="0065320B" w:rsidR="00C573C8">
        <w:rPr>
          <w:b/>
          <w:u w:val="single"/>
        </w:rPr>
        <w:t>SPECIAL CIRCUMSTANCES REQUIRING DATA COLLECTION TO BE</w:t>
      </w:r>
      <w:r w:rsidRPr="0065320B">
        <w:rPr>
          <w:b/>
          <w:u w:val="single"/>
        </w:rPr>
        <w:t xml:space="preserve"> </w:t>
      </w:r>
      <w:r w:rsidRPr="0065320B" w:rsidR="00C573C8">
        <w:rPr>
          <w:b/>
          <w:u w:val="single"/>
        </w:rPr>
        <w:t>INCONSISTENT WITH GUIDELINES IN 5 CFR 1320.5(d)(2</w:t>
      </w:r>
      <w:r w:rsidRPr="00702B07" w:rsidR="00C573C8">
        <w:rPr>
          <w:bCs/>
          <w:u w:val="single"/>
        </w:rPr>
        <w:t>)</w:t>
      </w:r>
    </w:p>
    <w:p w:rsidRPr="00702B07" w:rsidR="00C573C8" w:rsidRDefault="00C573C8" w14:paraId="5BBBFF21" w14:textId="77777777">
      <w:pPr>
        <w:ind w:left="-72" w:right="-72" w:firstLine="7920"/>
      </w:pPr>
    </w:p>
    <w:p w:rsidR="00C573C8" w:rsidP="00E47B4F" w:rsidRDefault="00E47B4F" w14:paraId="56377439"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28728361" w14:textId="77777777">
      <w:pPr>
        <w:ind w:left="360" w:right="-72" w:hanging="18"/>
      </w:pPr>
    </w:p>
    <w:p w:rsidRPr="0065320B" w:rsidR="00C573C8" w:rsidP="00AA539A" w:rsidRDefault="00C573C8" w14:paraId="4C26DD74" w14:textId="77777777">
      <w:pPr>
        <w:ind w:left="360" w:right="-72" w:hanging="360"/>
        <w:rPr>
          <w:b/>
        </w:rPr>
      </w:pPr>
      <w:r w:rsidRPr="0065320B">
        <w:rPr>
          <w:b/>
        </w:rPr>
        <w:t xml:space="preserve">8.   </w:t>
      </w:r>
      <w:r w:rsidRPr="0065320B">
        <w:rPr>
          <w:b/>
          <w:u w:val="single"/>
        </w:rPr>
        <w:t>CONSULTATION WITH INDIVIDUALS OUTSIDE OF THE AGENCY ON</w:t>
      </w:r>
      <w:r w:rsidRPr="0065320B">
        <w:rPr>
          <w:b/>
        </w:rPr>
        <w:t xml:space="preserve">    </w:t>
      </w:r>
      <w:r w:rsidRPr="0065320B">
        <w:rPr>
          <w:b/>
          <w:u w:val="single"/>
        </w:rPr>
        <w:t>AVAILABILITY OF DATA, FREQUENCY OF COLLECTION, CLARITY</w:t>
      </w:r>
      <w:r w:rsidRPr="0065320B" w:rsidR="00AA539A">
        <w:rPr>
          <w:b/>
          <w:u w:val="single"/>
        </w:rPr>
        <w:t xml:space="preserve"> </w:t>
      </w:r>
      <w:r w:rsidRPr="0065320B">
        <w:rPr>
          <w:b/>
          <w:u w:val="single"/>
        </w:rPr>
        <w:t>OF INSTRUCTIONS AND FORMS, AND DATA ELEMENTS</w:t>
      </w:r>
    </w:p>
    <w:p w:rsidRPr="00702B07" w:rsidR="00C573C8" w:rsidRDefault="00C573C8" w14:paraId="0A0A9458" w14:textId="77777777">
      <w:pPr>
        <w:ind w:left="-72" w:right="-72"/>
      </w:pPr>
    </w:p>
    <w:p w:rsidRPr="00702B07" w:rsidR="00C573C8" w:rsidRDefault="00C573C8" w14:paraId="52E9A858" w14:textId="77777777">
      <w:pPr>
        <w:ind w:left="-72" w:right="-72"/>
        <w:sectPr w:rsidRPr="00702B07" w:rsidR="00C573C8">
          <w:pgSz w:w="12240" w:h="15840"/>
          <w:pgMar w:top="1368" w:right="1440" w:bottom="1368" w:left="1440" w:header="1368" w:footer="1368" w:gutter="0"/>
          <w:cols w:space="720"/>
          <w:noEndnote/>
        </w:sectPr>
      </w:pPr>
    </w:p>
    <w:p w:rsidR="00145362" w:rsidP="00D33035" w:rsidRDefault="00C573C8" w14:paraId="33FD5C73" w14:textId="77777777">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973BBF">
        <w:t>November 23, 2020</w:t>
      </w:r>
      <w:r w:rsidRPr="00702B07" w:rsidR="00A84CA1">
        <w:t xml:space="preserve"> (</w:t>
      </w:r>
      <w:r w:rsidR="003F2C5D">
        <w:t>8</w:t>
      </w:r>
      <w:r w:rsidR="00973BBF">
        <w:t>5</w:t>
      </w:r>
      <w:r w:rsidRPr="00702B07" w:rsidR="00A84CA1">
        <w:t xml:space="preserve"> FR </w:t>
      </w:r>
      <w:r w:rsidR="00973BBF">
        <w:t>74792</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Pr="00702B07" w:rsidR="00C573C8" w:rsidP="00D33035" w:rsidRDefault="00C573C8" w14:paraId="19D0745B" w14:textId="77777777">
      <w:pPr>
        <w:ind w:left="450"/>
      </w:pPr>
      <w:r w:rsidRPr="00702B07">
        <w:t xml:space="preserve">  </w:t>
      </w:r>
    </w:p>
    <w:p w:rsidRPr="0065320B" w:rsidR="00C573C8" w:rsidP="00AA539A" w:rsidRDefault="00C573C8" w14:paraId="166EC149" w14:textId="77777777">
      <w:pPr>
        <w:ind w:left="360" w:hanging="360"/>
        <w:rPr>
          <w:b/>
        </w:rPr>
      </w:pPr>
      <w:r w:rsidRPr="0065320B">
        <w:rPr>
          <w:b/>
        </w:rPr>
        <w:t xml:space="preserve">9.   </w:t>
      </w:r>
      <w:r w:rsidRPr="0065320B">
        <w:rPr>
          <w:b/>
          <w:u w:val="single"/>
        </w:rPr>
        <w:t>EXPLANATION OF DECISION TO PROVIDE ANY PAYMENT OR GIFT TO</w:t>
      </w:r>
      <w:r w:rsidRPr="0065320B">
        <w:rPr>
          <w:b/>
        </w:rPr>
        <w:t xml:space="preserve">   </w:t>
      </w:r>
      <w:r w:rsidRPr="0065320B">
        <w:rPr>
          <w:b/>
          <w:u w:val="single"/>
        </w:rPr>
        <w:t>RESPONDENTS</w:t>
      </w:r>
    </w:p>
    <w:p w:rsidRPr="00702B07" w:rsidR="00C573C8" w:rsidRDefault="00C573C8" w14:paraId="31F9BFCC" w14:textId="77777777"/>
    <w:p w:rsidRPr="00702B07" w:rsidR="00A00E60" w:rsidP="00D33035" w:rsidRDefault="00C653B6" w14:paraId="0B43B9D7" w14:textId="5F2440E7">
      <w:pPr>
        <w:ind w:left="360"/>
      </w:pPr>
      <w:r w:rsidRPr="00C653B6">
        <w:t>No payment or gift has been provided to any respondents.</w:t>
      </w:r>
    </w:p>
    <w:p w:rsidRPr="00702B07" w:rsidR="00C573C8" w:rsidRDefault="00C573C8" w14:paraId="403D3556" w14:textId="77777777"/>
    <w:p w:rsidRPr="0065320B" w:rsidR="00C573C8" w:rsidRDefault="00C573C8" w14:paraId="073401FB" w14:textId="77777777">
      <w:pPr>
        <w:rPr>
          <w:b/>
        </w:rPr>
      </w:pPr>
      <w:r w:rsidRPr="0065320B">
        <w:rPr>
          <w:b/>
        </w:rPr>
        <w:t xml:space="preserve">10.  </w:t>
      </w:r>
      <w:r w:rsidRPr="0065320B">
        <w:rPr>
          <w:b/>
          <w:u w:val="single"/>
        </w:rPr>
        <w:t>ASSURANCE OF CONFIDENTIALITY OF RESPONSES</w:t>
      </w:r>
    </w:p>
    <w:p w:rsidRPr="00702B07" w:rsidR="00C573C8" w:rsidRDefault="00C573C8" w14:paraId="713CB693" w14:textId="77777777"/>
    <w:p w:rsidRPr="00702B07" w:rsidR="00C573C8" w:rsidP="00D33035" w:rsidRDefault="00C573C8" w14:paraId="41350EAD" w14:textId="77777777">
      <w:pPr>
        <w:ind w:left="450"/>
      </w:pPr>
      <w:r w:rsidRPr="00702B07">
        <w:t>Generally, tax returns and tax return information are confidential as required by 26 USC 6103.</w:t>
      </w:r>
    </w:p>
    <w:p w:rsidRPr="00702B07" w:rsidR="00C573C8" w:rsidRDefault="00C573C8" w14:paraId="2B80E4A1" w14:textId="77777777">
      <w:r w:rsidRPr="00702B07">
        <w:t xml:space="preserve">     </w:t>
      </w:r>
    </w:p>
    <w:p w:rsidRPr="0065320B" w:rsidR="00C573C8" w:rsidRDefault="00C573C8" w14:paraId="0ACFCFE8" w14:textId="77777777">
      <w:pPr>
        <w:rPr>
          <w:b/>
          <w:u w:val="single"/>
        </w:rPr>
      </w:pPr>
      <w:r w:rsidRPr="0065320B">
        <w:rPr>
          <w:b/>
        </w:rPr>
        <w:t xml:space="preserve">11.  </w:t>
      </w:r>
      <w:r w:rsidRPr="0065320B">
        <w:rPr>
          <w:b/>
          <w:u w:val="single"/>
        </w:rPr>
        <w:t>JUSTIFICATION OF SENSITIVE QUESTIONS</w:t>
      </w:r>
    </w:p>
    <w:p w:rsidRPr="00702B07" w:rsidR="00C573C8" w:rsidRDefault="00C573C8" w14:paraId="61679B78" w14:textId="77777777">
      <w:pPr>
        <w:rPr>
          <w:u w:val="single"/>
        </w:rPr>
      </w:pPr>
    </w:p>
    <w:p w:rsidRPr="00C85FC1" w:rsidR="00C85FC1" w:rsidP="00C85FC1" w:rsidRDefault="00C85FC1" w14:paraId="5EC44088"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C85FC1">
          <w:rPr>
            <w:rStyle w:val="Hyperlink"/>
          </w:rPr>
          <w:t>http://www.irs.gov/uac/Privacy-Impact-Assessments-PIA</w:t>
        </w:r>
      </w:hyperlink>
      <w:r w:rsidRPr="00C85FC1">
        <w:t xml:space="preserve">.  </w:t>
      </w:r>
    </w:p>
    <w:p w:rsidRPr="00C85FC1" w:rsidR="00C85FC1" w:rsidP="00C85FC1" w:rsidRDefault="00C85FC1" w14:paraId="29EC7780" w14:textId="77777777">
      <w:pPr>
        <w:ind w:left="450"/>
      </w:pPr>
    </w:p>
    <w:p w:rsidR="00C85FC1" w:rsidP="00C85FC1" w:rsidRDefault="00C85FC1" w14:paraId="6FB13806"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65EE8AC4" w14:textId="77777777"/>
    <w:p w:rsidRPr="0065320B" w:rsidR="00C573C8" w:rsidRDefault="00C573C8" w14:paraId="0B4E73C6" w14:textId="77777777">
      <w:pPr>
        <w:rPr>
          <w:b/>
          <w:u w:val="single"/>
        </w:rPr>
      </w:pPr>
      <w:r w:rsidRPr="0065320B">
        <w:rPr>
          <w:b/>
        </w:rPr>
        <w:t xml:space="preserve">12.  </w:t>
      </w:r>
      <w:r w:rsidRPr="0065320B">
        <w:rPr>
          <w:b/>
          <w:u w:val="single"/>
        </w:rPr>
        <w:t>ESTIMATED BURDEN OF INFORMATION COLLECTION</w:t>
      </w:r>
    </w:p>
    <w:p w:rsidR="00C573C8" w:rsidRDefault="00C573C8" w14:paraId="5BBC1BFD" w14:textId="77777777">
      <w:pPr>
        <w:rPr>
          <w:u w:val="single"/>
        </w:rPr>
      </w:pPr>
    </w:p>
    <w:p w:rsidRPr="006E0A4D" w:rsidR="006E0A4D" w:rsidP="006E0A4D" w:rsidRDefault="006E0A4D" w14:paraId="53EADDC0" w14:textId="3F384E98">
      <w:pPr>
        <w:ind w:left="450"/>
      </w:pPr>
      <w:r w:rsidRPr="006E0A4D">
        <w:t xml:space="preserve">We estimate that approximately 500 </w:t>
      </w:r>
      <w:r w:rsidR="00C653B6">
        <w:t>r</w:t>
      </w:r>
      <w:r w:rsidRPr="006E0A4D">
        <w:t>espondents will file a response, with each response requiring an average of 18 hours and 42 minutes, resulting in a total burden of 9,350 hours.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7"/>
        <w:gridCol w:w="1280"/>
        <w:gridCol w:w="1562"/>
        <w:gridCol w:w="1497"/>
        <w:gridCol w:w="1443"/>
        <w:gridCol w:w="1181"/>
      </w:tblGrid>
      <w:tr w:rsidRPr="00C653B6" w:rsidR="00C653B6" w:rsidTr="00C653B6" w14:paraId="6D8FC446" w14:textId="77777777">
        <w:tc>
          <w:tcPr>
            <w:tcW w:w="1687" w:type="dxa"/>
          </w:tcPr>
          <w:p w:rsidRPr="00C653B6" w:rsidR="00C653B6" w:rsidP="002B7094" w:rsidRDefault="00C653B6" w14:paraId="2A6DB592" w14:textId="77777777">
            <w:pPr>
              <w:numPr>
                <w:ilvl w:val="12"/>
                <w:numId w:val="0"/>
              </w:numPr>
              <w:jc w:val="center"/>
              <w:rPr>
                <w:rFonts w:ascii="Arial Narrow" w:hAnsi="Arial Narrow"/>
                <w:bCs/>
                <w:sz w:val="22"/>
                <w:szCs w:val="22"/>
              </w:rPr>
            </w:pPr>
          </w:p>
          <w:p w:rsidRPr="00C653B6" w:rsidR="00C653B6" w:rsidP="002B7094" w:rsidRDefault="00C653B6" w14:paraId="4DDB7D3A" w14:textId="77777777">
            <w:pPr>
              <w:numPr>
                <w:ilvl w:val="12"/>
                <w:numId w:val="0"/>
              </w:numPr>
              <w:jc w:val="center"/>
              <w:rPr>
                <w:rFonts w:ascii="Arial Narrow" w:hAnsi="Arial Narrow"/>
                <w:bCs/>
                <w:sz w:val="22"/>
                <w:szCs w:val="22"/>
              </w:rPr>
            </w:pPr>
            <w:r w:rsidRPr="00C653B6">
              <w:rPr>
                <w:rFonts w:ascii="Arial Narrow" w:hAnsi="Arial Narrow"/>
                <w:bCs/>
                <w:sz w:val="22"/>
                <w:szCs w:val="22"/>
              </w:rPr>
              <w:t>Authority</w:t>
            </w:r>
          </w:p>
        </w:tc>
        <w:tc>
          <w:tcPr>
            <w:tcW w:w="1152" w:type="dxa"/>
            <w:shd w:val="clear" w:color="auto" w:fill="auto"/>
            <w:vAlign w:val="center"/>
          </w:tcPr>
          <w:p w:rsidRPr="00C653B6" w:rsidR="00C653B6" w:rsidP="002B7094" w:rsidRDefault="00C653B6" w14:paraId="785FF614" w14:textId="77777777">
            <w:pPr>
              <w:numPr>
                <w:ilvl w:val="12"/>
                <w:numId w:val="0"/>
              </w:numPr>
              <w:jc w:val="center"/>
              <w:rPr>
                <w:rFonts w:ascii="Arial Narrow" w:hAnsi="Arial Narrow"/>
                <w:bCs/>
                <w:sz w:val="22"/>
                <w:szCs w:val="22"/>
              </w:rPr>
            </w:pPr>
            <w:r w:rsidRPr="00C653B6">
              <w:rPr>
                <w:rFonts w:ascii="Arial Narrow" w:hAnsi="Arial Narrow"/>
                <w:bCs/>
                <w:sz w:val="22"/>
                <w:szCs w:val="22"/>
              </w:rPr>
              <w:t># Respondents</w:t>
            </w:r>
          </w:p>
        </w:tc>
        <w:tc>
          <w:tcPr>
            <w:tcW w:w="1562" w:type="dxa"/>
            <w:shd w:val="clear" w:color="auto" w:fill="auto"/>
            <w:vAlign w:val="center"/>
          </w:tcPr>
          <w:p w:rsidRPr="00C653B6" w:rsidR="00C653B6" w:rsidP="002B7094" w:rsidRDefault="00C653B6" w14:paraId="14705F92" w14:textId="77777777">
            <w:pPr>
              <w:numPr>
                <w:ilvl w:val="12"/>
                <w:numId w:val="0"/>
              </w:numPr>
              <w:jc w:val="center"/>
              <w:rPr>
                <w:rFonts w:ascii="Arial Narrow" w:hAnsi="Arial Narrow"/>
                <w:bCs/>
                <w:sz w:val="22"/>
                <w:szCs w:val="22"/>
              </w:rPr>
            </w:pPr>
            <w:r w:rsidRPr="00C653B6">
              <w:rPr>
                <w:rFonts w:ascii="Arial Narrow" w:hAnsi="Arial Narrow"/>
                <w:bCs/>
                <w:sz w:val="22"/>
                <w:szCs w:val="22"/>
              </w:rPr>
              <w:t># Responses Per Respondent</w:t>
            </w:r>
          </w:p>
        </w:tc>
        <w:tc>
          <w:tcPr>
            <w:tcW w:w="1497" w:type="dxa"/>
            <w:shd w:val="clear" w:color="auto" w:fill="auto"/>
            <w:vAlign w:val="center"/>
          </w:tcPr>
          <w:p w:rsidRPr="00C653B6" w:rsidR="00C653B6" w:rsidP="002B7094" w:rsidRDefault="00C653B6" w14:paraId="360F12B8" w14:textId="77777777">
            <w:pPr>
              <w:numPr>
                <w:ilvl w:val="12"/>
                <w:numId w:val="0"/>
              </w:numPr>
              <w:jc w:val="center"/>
              <w:rPr>
                <w:rFonts w:ascii="Arial Narrow" w:hAnsi="Arial Narrow"/>
                <w:bCs/>
                <w:sz w:val="22"/>
                <w:szCs w:val="22"/>
              </w:rPr>
            </w:pPr>
            <w:r w:rsidRPr="00C653B6">
              <w:rPr>
                <w:rFonts w:ascii="Arial Narrow" w:hAnsi="Arial Narrow"/>
                <w:bCs/>
                <w:sz w:val="22"/>
                <w:szCs w:val="22"/>
              </w:rPr>
              <w:t>Total Annual Responses</w:t>
            </w:r>
          </w:p>
        </w:tc>
        <w:tc>
          <w:tcPr>
            <w:tcW w:w="1443" w:type="dxa"/>
            <w:shd w:val="clear" w:color="auto" w:fill="auto"/>
            <w:vAlign w:val="center"/>
          </w:tcPr>
          <w:p w:rsidRPr="00C653B6" w:rsidR="00C653B6" w:rsidP="002B7094" w:rsidRDefault="00C653B6" w14:paraId="7B4DFCE6" w14:textId="77777777">
            <w:pPr>
              <w:numPr>
                <w:ilvl w:val="12"/>
                <w:numId w:val="0"/>
              </w:numPr>
              <w:jc w:val="center"/>
              <w:rPr>
                <w:rFonts w:ascii="Arial Narrow" w:hAnsi="Arial Narrow"/>
                <w:bCs/>
                <w:sz w:val="22"/>
                <w:szCs w:val="22"/>
              </w:rPr>
            </w:pPr>
            <w:r w:rsidRPr="00C653B6">
              <w:rPr>
                <w:rFonts w:ascii="Arial Narrow" w:hAnsi="Arial Narrow"/>
                <w:bCs/>
                <w:sz w:val="22"/>
                <w:szCs w:val="22"/>
              </w:rPr>
              <w:t>Hours Per Response</w:t>
            </w:r>
          </w:p>
        </w:tc>
        <w:tc>
          <w:tcPr>
            <w:tcW w:w="1181" w:type="dxa"/>
            <w:shd w:val="clear" w:color="auto" w:fill="auto"/>
            <w:vAlign w:val="center"/>
          </w:tcPr>
          <w:p w:rsidRPr="00C653B6" w:rsidR="00C653B6" w:rsidP="002B7094" w:rsidRDefault="00C653B6" w14:paraId="79EBFE82" w14:textId="77777777">
            <w:pPr>
              <w:numPr>
                <w:ilvl w:val="12"/>
                <w:numId w:val="0"/>
              </w:numPr>
              <w:jc w:val="center"/>
              <w:rPr>
                <w:rFonts w:ascii="Arial Narrow" w:hAnsi="Arial Narrow"/>
                <w:bCs/>
                <w:sz w:val="22"/>
                <w:szCs w:val="22"/>
              </w:rPr>
            </w:pPr>
            <w:r w:rsidRPr="00C653B6">
              <w:rPr>
                <w:rFonts w:ascii="Arial Narrow" w:hAnsi="Arial Narrow"/>
                <w:bCs/>
                <w:sz w:val="22"/>
                <w:szCs w:val="22"/>
              </w:rPr>
              <w:t>Total Burden</w:t>
            </w:r>
          </w:p>
        </w:tc>
      </w:tr>
      <w:tr w:rsidRPr="00C653B6" w:rsidR="00C653B6" w:rsidTr="00C653B6" w14:paraId="15D4C400" w14:textId="77777777">
        <w:trPr>
          <w:trHeight w:val="557"/>
        </w:trPr>
        <w:tc>
          <w:tcPr>
            <w:tcW w:w="1687" w:type="dxa"/>
          </w:tcPr>
          <w:p w:rsidRPr="00C653B6" w:rsidR="00C653B6" w:rsidP="002B7094" w:rsidRDefault="00C653B6" w14:paraId="3F69A5CB" w14:textId="77777777">
            <w:pPr>
              <w:numPr>
                <w:ilvl w:val="12"/>
                <w:numId w:val="0"/>
              </w:numPr>
              <w:jc w:val="center"/>
              <w:rPr>
                <w:rFonts w:ascii="Arial Narrow" w:hAnsi="Arial Narrow"/>
                <w:bCs/>
                <w:sz w:val="22"/>
                <w:szCs w:val="22"/>
              </w:rPr>
            </w:pPr>
          </w:p>
          <w:p w:rsidRPr="00C653B6" w:rsidR="00C653B6" w:rsidP="002B7094" w:rsidRDefault="00C653B6" w14:paraId="530A3A08" w14:textId="7B15B259">
            <w:pPr>
              <w:numPr>
                <w:ilvl w:val="12"/>
                <w:numId w:val="0"/>
              </w:numPr>
              <w:jc w:val="center"/>
              <w:rPr>
                <w:rFonts w:ascii="Arial Narrow" w:hAnsi="Arial Narrow"/>
                <w:bCs/>
                <w:sz w:val="22"/>
                <w:szCs w:val="22"/>
              </w:rPr>
            </w:pPr>
            <w:r w:rsidRPr="00C653B6">
              <w:rPr>
                <w:rFonts w:ascii="Arial Narrow" w:hAnsi="Arial Narrow"/>
                <w:bCs/>
                <w:sz w:val="22"/>
                <w:szCs w:val="22"/>
              </w:rPr>
              <w:t xml:space="preserve">§ </w:t>
            </w:r>
            <w:r>
              <w:rPr>
                <w:rFonts w:ascii="Arial Narrow" w:hAnsi="Arial Narrow"/>
                <w:bCs/>
                <w:sz w:val="22"/>
                <w:szCs w:val="22"/>
              </w:rPr>
              <w:t>1.482-7(b)(2) and 1.482-7(k)</w:t>
            </w:r>
          </w:p>
        </w:tc>
        <w:tc>
          <w:tcPr>
            <w:tcW w:w="1152" w:type="dxa"/>
            <w:shd w:val="clear" w:color="auto" w:fill="auto"/>
            <w:vAlign w:val="center"/>
          </w:tcPr>
          <w:p w:rsidRPr="00C653B6" w:rsidR="00C653B6" w:rsidP="002B7094" w:rsidRDefault="00C653B6" w14:paraId="4A612437" w14:textId="70D7E083">
            <w:pPr>
              <w:numPr>
                <w:ilvl w:val="12"/>
                <w:numId w:val="0"/>
              </w:numPr>
              <w:jc w:val="center"/>
              <w:rPr>
                <w:rFonts w:ascii="Arial Narrow" w:hAnsi="Arial Narrow"/>
                <w:bCs/>
                <w:sz w:val="22"/>
                <w:szCs w:val="22"/>
              </w:rPr>
            </w:pPr>
            <w:r>
              <w:rPr>
                <w:rFonts w:ascii="Arial Narrow" w:hAnsi="Arial Narrow"/>
                <w:bCs/>
                <w:sz w:val="22"/>
                <w:szCs w:val="22"/>
              </w:rPr>
              <w:t>5</w:t>
            </w:r>
            <w:r w:rsidRPr="00C653B6">
              <w:rPr>
                <w:rFonts w:ascii="Arial Narrow" w:hAnsi="Arial Narrow"/>
                <w:bCs/>
                <w:sz w:val="22"/>
                <w:szCs w:val="22"/>
              </w:rPr>
              <w:t>00</w:t>
            </w:r>
          </w:p>
        </w:tc>
        <w:tc>
          <w:tcPr>
            <w:tcW w:w="1562" w:type="dxa"/>
            <w:shd w:val="clear" w:color="auto" w:fill="auto"/>
            <w:vAlign w:val="center"/>
          </w:tcPr>
          <w:p w:rsidRPr="00C653B6" w:rsidR="00C653B6" w:rsidP="002B7094" w:rsidRDefault="00C653B6" w14:paraId="0BB72D9F" w14:textId="77777777">
            <w:pPr>
              <w:numPr>
                <w:ilvl w:val="12"/>
                <w:numId w:val="0"/>
              </w:numPr>
              <w:jc w:val="center"/>
              <w:rPr>
                <w:rFonts w:ascii="Arial Narrow" w:hAnsi="Arial Narrow"/>
                <w:bCs/>
                <w:sz w:val="22"/>
                <w:szCs w:val="22"/>
              </w:rPr>
            </w:pPr>
            <w:r w:rsidRPr="00C653B6">
              <w:rPr>
                <w:rFonts w:ascii="Arial Narrow" w:hAnsi="Arial Narrow"/>
                <w:bCs/>
                <w:sz w:val="22"/>
                <w:szCs w:val="22"/>
              </w:rPr>
              <w:t>1</w:t>
            </w:r>
          </w:p>
        </w:tc>
        <w:tc>
          <w:tcPr>
            <w:tcW w:w="1497" w:type="dxa"/>
            <w:shd w:val="clear" w:color="auto" w:fill="auto"/>
            <w:vAlign w:val="center"/>
          </w:tcPr>
          <w:p w:rsidRPr="00C653B6" w:rsidR="00C653B6" w:rsidP="002B7094" w:rsidRDefault="00C653B6" w14:paraId="0D5DE5DC" w14:textId="555F9DA3">
            <w:pPr>
              <w:numPr>
                <w:ilvl w:val="12"/>
                <w:numId w:val="0"/>
              </w:numPr>
              <w:jc w:val="center"/>
              <w:rPr>
                <w:rFonts w:ascii="Arial Narrow" w:hAnsi="Arial Narrow"/>
                <w:bCs/>
                <w:sz w:val="22"/>
                <w:szCs w:val="22"/>
              </w:rPr>
            </w:pPr>
            <w:r>
              <w:rPr>
                <w:rFonts w:ascii="Arial Narrow" w:hAnsi="Arial Narrow"/>
                <w:bCs/>
                <w:sz w:val="22"/>
                <w:szCs w:val="22"/>
              </w:rPr>
              <w:t>5</w:t>
            </w:r>
            <w:r w:rsidRPr="00C653B6">
              <w:rPr>
                <w:rFonts w:ascii="Arial Narrow" w:hAnsi="Arial Narrow"/>
                <w:bCs/>
                <w:sz w:val="22"/>
                <w:szCs w:val="22"/>
              </w:rPr>
              <w:t>00</w:t>
            </w:r>
          </w:p>
        </w:tc>
        <w:tc>
          <w:tcPr>
            <w:tcW w:w="1443" w:type="dxa"/>
            <w:shd w:val="clear" w:color="auto" w:fill="auto"/>
            <w:vAlign w:val="center"/>
          </w:tcPr>
          <w:p w:rsidRPr="00C653B6" w:rsidR="00C653B6" w:rsidP="002B7094" w:rsidRDefault="00C653B6" w14:paraId="6647EC21" w14:textId="523AB786">
            <w:pPr>
              <w:numPr>
                <w:ilvl w:val="12"/>
                <w:numId w:val="0"/>
              </w:numPr>
              <w:jc w:val="center"/>
              <w:rPr>
                <w:rFonts w:ascii="Arial Narrow" w:hAnsi="Arial Narrow"/>
                <w:bCs/>
                <w:sz w:val="22"/>
                <w:szCs w:val="22"/>
              </w:rPr>
            </w:pPr>
            <w:r>
              <w:rPr>
                <w:rFonts w:ascii="Arial Narrow" w:hAnsi="Arial Narrow"/>
                <w:bCs/>
                <w:sz w:val="22"/>
                <w:szCs w:val="22"/>
              </w:rPr>
              <w:t>18</w:t>
            </w:r>
            <w:r w:rsidRPr="00C653B6">
              <w:rPr>
                <w:rFonts w:ascii="Arial Narrow" w:hAnsi="Arial Narrow"/>
                <w:bCs/>
                <w:sz w:val="22"/>
                <w:szCs w:val="22"/>
              </w:rPr>
              <w:t>.</w:t>
            </w:r>
            <w:r>
              <w:rPr>
                <w:rFonts w:ascii="Arial Narrow" w:hAnsi="Arial Narrow"/>
                <w:bCs/>
                <w:sz w:val="22"/>
                <w:szCs w:val="22"/>
              </w:rPr>
              <w:t>70</w:t>
            </w:r>
          </w:p>
        </w:tc>
        <w:tc>
          <w:tcPr>
            <w:tcW w:w="1181" w:type="dxa"/>
            <w:shd w:val="clear" w:color="auto" w:fill="auto"/>
            <w:vAlign w:val="center"/>
          </w:tcPr>
          <w:p w:rsidRPr="00C653B6" w:rsidR="00C653B6" w:rsidP="002B7094" w:rsidRDefault="00C653B6" w14:paraId="703AAB91" w14:textId="0B2A81DF">
            <w:pPr>
              <w:numPr>
                <w:ilvl w:val="12"/>
                <w:numId w:val="0"/>
              </w:numPr>
              <w:jc w:val="center"/>
              <w:rPr>
                <w:rFonts w:ascii="Arial Narrow" w:hAnsi="Arial Narrow"/>
                <w:bCs/>
                <w:sz w:val="22"/>
                <w:szCs w:val="22"/>
              </w:rPr>
            </w:pPr>
            <w:r>
              <w:rPr>
                <w:rFonts w:ascii="Arial Narrow" w:hAnsi="Arial Narrow"/>
                <w:bCs/>
                <w:sz w:val="22"/>
                <w:szCs w:val="22"/>
              </w:rPr>
              <w:t>9,3</w:t>
            </w:r>
            <w:r w:rsidRPr="00C653B6">
              <w:rPr>
                <w:rFonts w:ascii="Arial Narrow" w:hAnsi="Arial Narrow"/>
                <w:bCs/>
                <w:sz w:val="22"/>
                <w:szCs w:val="22"/>
              </w:rPr>
              <w:t>5</w:t>
            </w:r>
            <w:r>
              <w:rPr>
                <w:rFonts w:ascii="Arial Narrow" w:hAnsi="Arial Narrow"/>
                <w:bCs/>
                <w:sz w:val="22"/>
                <w:szCs w:val="22"/>
              </w:rPr>
              <w:t>0</w:t>
            </w:r>
          </w:p>
        </w:tc>
      </w:tr>
      <w:tr w:rsidRPr="00C653B6" w:rsidR="00C653B6" w:rsidTr="00C653B6" w14:paraId="23004053" w14:textId="77777777">
        <w:trPr>
          <w:trHeight w:val="314"/>
        </w:trPr>
        <w:tc>
          <w:tcPr>
            <w:tcW w:w="1687" w:type="dxa"/>
            <w:vAlign w:val="bottom"/>
          </w:tcPr>
          <w:p w:rsidRPr="00C653B6" w:rsidR="00C653B6" w:rsidP="002B7094" w:rsidRDefault="00C653B6" w14:paraId="401032E3" w14:textId="77777777">
            <w:pPr>
              <w:numPr>
                <w:ilvl w:val="12"/>
                <w:numId w:val="0"/>
              </w:numPr>
              <w:jc w:val="center"/>
              <w:rPr>
                <w:rFonts w:ascii="Arial" w:hAnsi="Arial" w:cs="Arial"/>
                <w:bCs/>
                <w:sz w:val="22"/>
                <w:szCs w:val="22"/>
              </w:rPr>
            </w:pPr>
            <w:r w:rsidRPr="00C653B6">
              <w:rPr>
                <w:rFonts w:ascii="Arial" w:hAnsi="Arial" w:cs="Arial"/>
                <w:sz w:val="22"/>
                <w:szCs w:val="22"/>
              </w:rPr>
              <w:t>Totals</w:t>
            </w:r>
          </w:p>
        </w:tc>
        <w:tc>
          <w:tcPr>
            <w:tcW w:w="1152" w:type="dxa"/>
            <w:shd w:val="clear" w:color="auto" w:fill="auto"/>
            <w:vAlign w:val="bottom"/>
          </w:tcPr>
          <w:p w:rsidRPr="00C653B6" w:rsidR="00C653B6" w:rsidP="002B7094" w:rsidRDefault="00C653B6" w14:paraId="487CFA84" w14:textId="6418E51D">
            <w:pPr>
              <w:numPr>
                <w:ilvl w:val="12"/>
                <w:numId w:val="0"/>
              </w:numPr>
              <w:jc w:val="center"/>
              <w:rPr>
                <w:rFonts w:ascii="Arial Narrow" w:hAnsi="Arial Narrow"/>
                <w:bCs/>
                <w:sz w:val="22"/>
                <w:szCs w:val="22"/>
              </w:rPr>
            </w:pPr>
            <w:r>
              <w:rPr>
                <w:rFonts w:ascii="Arial Narrow" w:hAnsi="Arial Narrow"/>
                <w:bCs/>
                <w:sz w:val="22"/>
                <w:szCs w:val="22"/>
              </w:rPr>
              <w:t>5</w:t>
            </w:r>
            <w:r w:rsidRPr="00C653B6">
              <w:rPr>
                <w:rFonts w:ascii="Arial Narrow" w:hAnsi="Arial Narrow"/>
                <w:bCs/>
                <w:sz w:val="22"/>
                <w:szCs w:val="22"/>
              </w:rPr>
              <w:t>00</w:t>
            </w:r>
          </w:p>
        </w:tc>
        <w:tc>
          <w:tcPr>
            <w:tcW w:w="1562" w:type="dxa"/>
            <w:shd w:val="clear" w:color="auto" w:fill="auto"/>
            <w:vAlign w:val="bottom"/>
          </w:tcPr>
          <w:p w:rsidRPr="00C653B6" w:rsidR="00C653B6" w:rsidP="002B7094" w:rsidRDefault="00C653B6" w14:paraId="7DA381CD" w14:textId="77777777">
            <w:pPr>
              <w:numPr>
                <w:ilvl w:val="12"/>
                <w:numId w:val="0"/>
              </w:numPr>
              <w:jc w:val="center"/>
              <w:rPr>
                <w:rFonts w:ascii="Arial Narrow" w:hAnsi="Arial Narrow"/>
                <w:bCs/>
                <w:sz w:val="22"/>
                <w:szCs w:val="22"/>
              </w:rPr>
            </w:pPr>
          </w:p>
        </w:tc>
        <w:tc>
          <w:tcPr>
            <w:tcW w:w="1497" w:type="dxa"/>
            <w:shd w:val="clear" w:color="auto" w:fill="auto"/>
            <w:vAlign w:val="bottom"/>
          </w:tcPr>
          <w:p w:rsidRPr="00C653B6" w:rsidR="00C653B6" w:rsidP="002B7094" w:rsidRDefault="00C653B6" w14:paraId="04B78C3D" w14:textId="41476475">
            <w:pPr>
              <w:numPr>
                <w:ilvl w:val="12"/>
                <w:numId w:val="0"/>
              </w:numPr>
              <w:jc w:val="center"/>
              <w:rPr>
                <w:rFonts w:ascii="Arial Narrow" w:hAnsi="Arial Narrow"/>
                <w:bCs/>
                <w:sz w:val="22"/>
                <w:szCs w:val="22"/>
              </w:rPr>
            </w:pPr>
            <w:r>
              <w:rPr>
                <w:rFonts w:ascii="Arial Narrow" w:hAnsi="Arial Narrow"/>
                <w:bCs/>
                <w:sz w:val="22"/>
                <w:szCs w:val="22"/>
              </w:rPr>
              <w:t>5</w:t>
            </w:r>
            <w:r w:rsidRPr="00C653B6">
              <w:rPr>
                <w:rFonts w:ascii="Arial Narrow" w:hAnsi="Arial Narrow"/>
                <w:bCs/>
                <w:sz w:val="22"/>
                <w:szCs w:val="22"/>
              </w:rPr>
              <w:t>00</w:t>
            </w:r>
          </w:p>
        </w:tc>
        <w:tc>
          <w:tcPr>
            <w:tcW w:w="1443" w:type="dxa"/>
            <w:shd w:val="clear" w:color="auto" w:fill="auto"/>
            <w:vAlign w:val="bottom"/>
          </w:tcPr>
          <w:p w:rsidRPr="00C653B6" w:rsidR="00C653B6" w:rsidP="002B7094" w:rsidRDefault="00C653B6" w14:paraId="108BAFE5" w14:textId="77777777">
            <w:pPr>
              <w:numPr>
                <w:ilvl w:val="12"/>
                <w:numId w:val="0"/>
              </w:numPr>
              <w:jc w:val="center"/>
              <w:rPr>
                <w:rFonts w:ascii="Arial Narrow" w:hAnsi="Arial Narrow"/>
                <w:bCs/>
                <w:sz w:val="22"/>
                <w:szCs w:val="22"/>
              </w:rPr>
            </w:pPr>
          </w:p>
        </w:tc>
        <w:tc>
          <w:tcPr>
            <w:tcW w:w="1181" w:type="dxa"/>
            <w:shd w:val="clear" w:color="auto" w:fill="auto"/>
            <w:vAlign w:val="bottom"/>
          </w:tcPr>
          <w:p w:rsidRPr="00C653B6" w:rsidR="00C653B6" w:rsidP="002B7094" w:rsidRDefault="00C653B6" w14:paraId="59E78C5A" w14:textId="2AB791AB">
            <w:pPr>
              <w:numPr>
                <w:ilvl w:val="12"/>
                <w:numId w:val="0"/>
              </w:numPr>
              <w:jc w:val="center"/>
              <w:rPr>
                <w:rFonts w:ascii="Arial Narrow" w:hAnsi="Arial Narrow"/>
                <w:bCs/>
                <w:sz w:val="22"/>
                <w:szCs w:val="22"/>
              </w:rPr>
            </w:pPr>
            <w:r>
              <w:rPr>
                <w:rFonts w:ascii="Arial Narrow" w:hAnsi="Arial Narrow"/>
                <w:bCs/>
                <w:sz w:val="22"/>
                <w:szCs w:val="22"/>
              </w:rPr>
              <w:t>9,350</w:t>
            </w:r>
          </w:p>
        </w:tc>
      </w:tr>
    </w:tbl>
    <w:p w:rsidR="006E0A4D" w:rsidRDefault="006E0A4D" w14:paraId="7449FAD5" w14:textId="2942ED09">
      <w:pPr>
        <w:rPr>
          <w:u w:val="single"/>
        </w:rPr>
      </w:pPr>
    </w:p>
    <w:p w:rsidR="00DD4327" w:rsidP="00DD4327" w:rsidRDefault="00DD4327" w14:paraId="5282028C" w14:textId="6068E759">
      <w:pPr>
        <w:pStyle w:val="SupportingStatementSTANDARD"/>
        <w:ind w:firstLine="0"/>
      </w:pPr>
      <w:r>
        <w:t>Please continue to assign OMB number 1545-0284 to these regulations.</w:t>
      </w:r>
    </w:p>
    <w:p w:rsidR="00C653B6" w:rsidP="00DD4327" w:rsidRDefault="00C653B6" w14:paraId="3380236A" w14:textId="77777777">
      <w:pPr>
        <w:pStyle w:val="SupportingStatementSTANDARD"/>
        <w:ind w:firstLine="0"/>
      </w:pPr>
    </w:p>
    <w:tbl>
      <w:tblPr>
        <w:tblStyle w:val="TableGrid"/>
        <w:tblW w:w="0" w:type="auto"/>
        <w:tblInd w:w="720" w:type="dxa"/>
        <w:tblLook w:val="04A0" w:firstRow="1" w:lastRow="0" w:firstColumn="1" w:lastColumn="0" w:noHBand="0" w:noVBand="1"/>
      </w:tblPr>
      <w:tblGrid>
        <w:gridCol w:w="2924"/>
        <w:gridCol w:w="2925"/>
        <w:gridCol w:w="2925"/>
      </w:tblGrid>
      <w:tr w:rsidR="00C653B6" w:rsidTr="00C653B6" w14:paraId="47995544" w14:textId="77777777">
        <w:tc>
          <w:tcPr>
            <w:tcW w:w="3164" w:type="dxa"/>
          </w:tcPr>
          <w:p w:rsidR="00C653B6" w:rsidP="00DD4327" w:rsidRDefault="00C653B6" w14:paraId="2229A9DF" w14:textId="5792D225">
            <w:pPr>
              <w:pStyle w:val="SupportingStatementSTANDARD"/>
              <w:ind w:left="0" w:firstLine="0"/>
            </w:pPr>
            <w:r w:rsidRPr="00C653B6">
              <w:t>1.482-1</w:t>
            </w:r>
          </w:p>
        </w:tc>
        <w:tc>
          <w:tcPr>
            <w:tcW w:w="3165" w:type="dxa"/>
          </w:tcPr>
          <w:p w:rsidR="00C653B6" w:rsidP="00DD4327" w:rsidRDefault="00C653B6" w14:paraId="33669BFD" w14:textId="52384220">
            <w:pPr>
              <w:pStyle w:val="SupportingStatementSTANDARD"/>
              <w:ind w:left="0" w:firstLine="0"/>
            </w:pPr>
            <w:r w:rsidRPr="00C653B6">
              <w:t>1.482-4</w:t>
            </w:r>
          </w:p>
        </w:tc>
        <w:tc>
          <w:tcPr>
            <w:tcW w:w="3165" w:type="dxa"/>
          </w:tcPr>
          <w:p w:rsidR="00C653B6" w:rsidP="00DD4327" w:rsidRDefault="00C653B6" w14:paraId="027B19CC" w14:textId="0D20CCC3">
            <w:pPr>
              <w:pStyle w:val="SupportingStatementSTANDARD"/>
              <w:ind w:left="0" w:firstLine="0"/>
            </w:pPr>
            <w:r w:rsidRPr="00C653B6">
              <w:t>1.482-7</w:t>
            </w:r>
          </w:p>
        </w:tc>
      </w:tr>
    </w:tbl>
    <w:p w:rsidR="00DD4327" w:rsidP="00DD4327" w:rsidRDefault="00DD4327" w14:paraId="60A89690" w14:textId="77777777">
      <w:pPr>
        <w:pStyle w:val="SupportingStatementSTANDARD"/>
        <w:ind w:firstLine="0"/>
      </w:pPr>
    </w:p>
    <w:p w:rsidRPr="00702B07" w:rsidR="00007D7B" w:rsidRDefault="00007D7B" w14:paraId="0B332995" w14:textId="77777777"/>
    <w:p w:rsidRPr="0065320B" w:rsidR="00C573C8" w:rsidRDefault="00C573C8" w14:paraId="44CEF5E5" w14:textId="77777777">
      <w:pPr>
        <w:rPr>
          <w:b/>
        </w:rPr>
      </w:pPr>
      <w:r w:rsidRPr="0065320B">
        <w:rPr>
          <w:b/>
        </w:rPr>
        <w:t xml:space="preserve">13.  </w:t>
      </w:r>
      <w:r w:rsidRPr="0065320B">
        <w:rPr>
          <w:b/>
          <w:u w:val="single"/>
        </w:rPr>
        <w:t>ESTIMATED TOTAL ANNUAL COST BURDEN TO RESPONDENTS</w:t>
      </w:r>
    </w:p>
    <w:p w:rsidRPr="00702B07" w:rsidR="00C573C8" w:rsidRDefault="00C573C8" w14:paraId="52BC37F1" w14:textId="77777777"/>
    <w:p w:rsidR="00C573C8" w:rsidP="00145362" w:rsidRDefault="00E341E0" w14:paraId="19BB0C05" w14:textId="77777777">
      <w:pPr>
        <w:tabs>
          <w:tab w:val="left" w:pos="-1440"/>
        </w:tabs>
        <w:ind w:left="450"/>
      </w:pPr>
      <w:r w:rsidRPr="00E341E0">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B07" w:rsidR="00D33035" w:rsidRDefault="00D33035" w14:paraId="37C8CBC5" w14:textId="77777777"/>
    <w:p w:rsidRPr="0065320B" w:rsidR="00C573C8" w:rsidRDefault="00C573C8" w14:paraId="2D3E27FF" w14:textId="77777777">
      <w:pPr>
        <w:rPr>
          <w:b/>
        </w:rPr>
      </w:pPr>
      <w:r w:rsidRPr="0065320B">
        <w:rPr>
          <w:b/>
        </w:rPr>
        <w:t xml:space="preserve">14.  </w:t>
      </w:r>
      <w:r w:rsidRPr="0065320B">
        <w:rPr>
          <w:b/>
          <w:u w:val="single"/>
        </w:rPr>
        <w:t>ESTIMATED ANNUALIZED COST TO THE FEDERAL GOVERNMENT</w:t>
      </w:r>
    </w:p>
    <w:p w:rsidRPr="00702B07" w:rsidR="00C573C8" w:rsidRDefault="00C573C8" w14:paraId="44913CE6" w14:textId="77777777"/>
    <w:p w:rsidRPr="00702B07" w:rsidR="00C573C8" w:rsidP="00D33035" w:rsidRDefault="00C573C8" w14:paraId="12DA268A" w14:textId="77777777">
      <w:pPr>
        <w:ind w:left="450"/>
      </w:pPr>
      <w:r w:rsidRPr="00702B07">
        <w:t>After consultation with various functions within the Service, we have determined that the cost of developing, printing, processing, distribution and overhead for the</w:t>
      </w:r>
      <w:r w:rsidRPr="00702B07" w:rsidR="00CC6C32">
        <w:t xml:space="preserve"> </w:t>
      </w:r>
      <w:r w:rsidRPr="00702B07">
        <w:t>Form is $</w:t>
      </w:r>
      <w:r w:rsidRPr="00844E7B">
        <w:t>8,162</w:t>
      </w:r>
      <w:r w:rsidRPr="00702B07">
        <w:t>.</w:t>
      </w:r>
    </w:p>
    <w:p w:rsidR="00C573C8" w:rsidRDefault="00C573C8" w14:paraId="56052D96" w14:textId="77777777"/>
    <w:p w:rsidRPr="0065320B" w:rsidR="00C573C8" w:rsidRDefault="00C573C8" w14:paraId="4600942C" w14:textId="77777777">
      <w:pPr>
        <w:rPr>
          <w:b/>
        </w:rPr>
      </w:pPr>
      <w:r w:rsidRPr="0065320B">
        <w:rPr>
          <w:b/>
        </w:rPr>
        <w:t xml:space="preserve">15.  </w:t>
      </w:r>
      <w:r w:rsidRPr="0065320B">
        <w:rPr>
          <w:b/>
          <w:u w:val="single"/>
        </w:rPr>
        <w:t>REASONS FOR CHANGE IN BURDEN</w:t>
      </w:r>
    </w:p>
    <w:p w:rsidRPr="00702B07" w:rsidR="00C573C8" w:rsidRDefault="00C573C8" w14:paraId="1F413A19" w14:textId="77777777">
      <w:pPr>
        <w:ind w:left="720" w:hanging="720"/>
        <w:rPr>
          <w:bCs/>
        </w:rPr>
      </w:pPr>
      <w:r w:rsidRPr="00702B07">
        <w:t xml:space="preserve">    </w:t>
      </w:r>
    </w:p>
    <w:p w:rsidRPr="00702B07" w:rsidR="00C573C8" w:rsidP="0065320B" w:rsidRDefault="003F2C5D" w14:paraId="6166FC47" w14:textId="1D57D171">
      <w:pPr>
        <w:ind w:left="450"/>
      </w:pPr>
      <w:r>
        <w:t>T</w:t>
      </w:r>
      <w:r w:rsidRPr="00702B07" w:rsidR="00C573C8">
        <w:t xml:space="preserve">here are no changes being made to </w:t>
      </w:r>
      <w:r w:rsidR="00153A01">
        <w:t>the burden previously approved.</w:t>
      </w:r>
      <w:r w:rsidRPr="00702B07" w:rsidR="00CC6C32">
        <w:t xml:space="preserve">  </w:t>
      </w:r>
      <w:r w:rsidRPr="00702B07" w:rsidR="00E3396B">
        <w:t>T</w:t>
      </w:r>
      <w:r w:rsidRPr="00702B07" w:rsidR="00C573C8">
        <w:t>h</w:t>
      </w:r>
      <w:r w:rsidR="0065320B">
        <w:t xml:space="preserve">e IRS </w:t>
      </w:r>
      <w:r w:rsidRPr="00702B07" w:rsidR="00C573C8">
        <w:t>is</w:t>
      </w:r>
      <w:r w:rsidR="0065320B">
        <w:t xml:space="preserve"> making this</w:t>
      </w:r>
      <w:r w:rsidRPr="00702B07" w:rsidR="00C573C8">
        <w:t xml:space="preserve"> submission </w:t>
      </w:r>
      <w:r w:rsidR="0065320B">
        <w:t>to</w:t>
      </w:r>
      <w:r w:rsidRPr="00702B07" w:rsidR="00C573C8">
        <w:t xml:space="preserve"> renew</w:t>
      </w:r>
      <w:r w:rsidR="0065320B">
        <w:t xml:space="preserve"> the OMB approval</w:t>
      </w:r>
      <w:r w:rsidRPr="00702B07" w:rsidR="00C573C8">
        <w:t>.</w:t>
      </w:r>
    </w:p>
    <w:p w:rsidRPr="00702B07" w:rsidR="00C573C8" w:rsidRDefault="00C573C8" w14:paraId="46E918FE" w14:textId="77777777">
      <w:pPr>
        <w:rPr>
          <w:bCs/>
        </w:rPr>
      </w:pPr>
    </w:p>
    <w:p w:rsidRPr="0065320B" w:rsidR="00C573C8" w:rsidRDefault="00C573C8" w14:paraId="7770A302" w14:textId="77777777">
      <w:pPr>
        <w:rPr>
          <w:b/>
        </w:rPr>
      </w:pPr>
      <w:r w:rsidRPr="0065320B">
        <w:rPr>
          <w:b/>
        </w:rPr>
        <w:t xml:space="preserve">16.  </w:t>
      </w:r>
      <w:r w:rsidRPr="0065320B">
        <w:rPr>
          <w:b/>
          <w:u w:val="single"/>
        </w:rPr>
        <w:t>PLANS FOR TABULATION, STATISTICAL ANALYSIS AND PUBLICATION</w:t>
      </w:r>
    </w:p>
    <w:p w:rsidRPr="00702B07" w:rsidR="00C573C8" w:rsidRDefault="00C573C8" w14:paraId="372A82A8" w14:textId="77777777"/>
    <w:p w:rsidRPr="00702B07" w:rsidR="00C573C8" w:rsidP="00D33035" w:rsidRDefault="003F2C5D" w14:paraId="74E3357A" w14:textId="77777777">
      <w:pPr>
        <w:ind w:left="450"/>
      </w:pPr>
      <w:r w:rsidRPr="003F2C5D">
        <w:t>There are no plans for tabulation, statistical analysis and publication</w:t>
      </w:r>
      <w:r w:rsidRPr="00702B07" w:rsidR="00C573C8">
        <w:t>.</w:t>
      </w:r>
    </w:p>
    <w:p w:rsidRPr="00702B07" w:rsidR="00C573C8" w:rsidRDefault="00C573C8" w14:paraId="4B879057" w14:textId="77777777">
      <w:pPr>
        <w:rPr>
          <w:bCs/>
        </w:rPr>
      </w:pPr>
    </w:p>
    <w:p w:rsidRPr="0065320B" w:rsidR="00C573C8" w:rsidP="00AA539A" w:rsidRDefault="00C573C8" w14:paraId="2AB93FBC" w14:textId="77777777">
      <w:pPr>
        <w:ind w:left="450" w:hanging="450"/>
        <w:rPr>
          <w:b/>
        </w:rPr>
      </w:pPr>
      <w:r w:rsidRPr="0065320B">
        <w:rPr>
          <w:b/>
        </w:rPr>
        <w:t xml:space="preserve">17.  </w:t>
      </w:r>
      <w:r w:rsidRPr="0065320B">
        <w:rPr>
          <w:b/>
          <w:u w:val="single"/>
        </w:rPr>
        <w:t>REASONS WHY DISPLAYING THE OMB EXPIRATION DATE IS</w:t>
      </w:r>
      <w:r w:rsidRPr="0065320B" w:rsidR="00AA539A">
        <w:rPr>
          <w:b/>
          <w:u w:val="single"/>
        </w:rPr>
        <w:t xml:space="preserve"> </w:t>
      </w:r>
      <w:r w:rsidRPr="0065320B">
        <w:rPr>
          <w:b/>
          <w:u w:val="single"/>
        </w:rPr>
        <w:t>INAPPROPRIATE</w:t>
      </w:r>
    </w:p>
    <w:p w:rsidR="00D33035" w:rsidP="00D33035" w:rsidRDefault="00D33035" w14:paraId="1FCED8E1" w14:textId="77777777"/>
    <w:p w:rsidRPr="00702B07" w:rsidR="00C573C8" w:rsidP="00D33035" w:rsidRDefault="00973BBF" w14:paraId="5D62F173" w14:textId="77777777">
      <w:pPr>
        <w:ind w:left="450"/>
      </w:pPr>
      <w:r w:rsidRPr="00973BBF">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702B07" w:rsidR="00C573C8" w:rsidRDefault="00C573C8" w14:paraId="37D5AE15" w14:textId="77777777">
      <w:pPr>
        <w:rPr>
          <w:bCs/>
        </w:rPr>
      </w:pPr>
    </w:p>
    <w:p w:rsidRPr="0065320B" w:rsidR="00C573C8" w:rsidRDefault="00C573C8" w14:paraId="1B842549" w14:textId="77777777">
      <w:pPr>
        <w:rPr>
          <w:b/>
          <w:u w:val="single"/>
        </w:rPr>
      </w:pPr>
      <w:r w:rsidRPr="0065320B">
        <w:rPr>
          <w:b/>
        </w:rPr>
        <w:t xml:space="preserve">18.  </w:t>
      </w:r>
      <w:r w:rsidRPr="0065320B">
        <w:rPr>
          <w:b/>
          <w:u w:val="single"/>
        </w:rPr>
        <w:t xml:space="preserve">EXCEPTIONS TO THE CERTIFICATION STATEMENT </w:t>
      </w:r>
    </w:p>
    <w:p w:rsidRPr="00702B07" w:rsidR="00AA539A" w:rsidRDefault="00AA539A" w14:paraId="37972A33" w14:textId="77777777"/>
    <w:p w:rsidRPr="00702B07" w:rsidR="00C573C8" w:rsidP="006642C2" w:rsidRDefault="006642C2" w14:paraId="3D3AC7B6"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130C5B26" w14:textId="77777777"/>
    <w:p w:rsidRPr="00702B07" w:rsidR="00C573C8" w:rsidP="006642C2" w:rsidRDefault="00C573C8" w14:paraId="5C1185F6"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274D214F" w14:textId="77777777"/>
    <w:p w:rsidRPr="00702B07" w:rsidR="00C573C8" w:rsidP="006642C2" w:rsidRDefault="00C573C8" w14:paraId="55039F9A"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w:t>
      </w:r>
      <w:r w:rsidRPr="00702B07">
        <w:lastRenderedPageBreak/>
        <w:t xml:space="preserve">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070EB0DD" w14:textId="77777777"/>
    <w:p w:rsidRPr="00702B07" w:rsidR="00576081" w:rsidRDefault="00576081" w14:paraId="59A3C090" w14:textId="77777777">
      <w:pPr>
        <w:ind w:firstLine="720"/>
      </w:pPr>
    </w:p>
    <w:sectPr w:rsidRPr="00702B07"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9423B"/>
    <w:rsid w:val="000A1B91"/>
    <w:rsid w:val="000A2988"/>
    <w:rsid w:val="00145362"/>
    <w:rsid w:val="00153A01"/>
    <w:rsid w:val="001A5F9F"/>
    <w:rsid w:val="001D179F"/>
    <w:rsid w:val="00204931"/>
    <w:rsid w:val="0024297E"/>
    <w:rsid w:val="0028041B"/>
    <w:rsid w:val="002F69D6"/>
    <w:rsid w:val="00331013"/>
    <w:rsid w:val="0033329E"/>
    <w:rsid w:val="003B5334"/>
    <w:rsid w:val="003B5891"/>
    <w:rsid w:val="003B7275"/>
    <w:rsid w:val="003F2C5D"/>
    <w:rsid w:val="00427EF7"/>
    <w:rsid w:val="00460F0B"/>
    <w:rsid w:val="00475207"/>
    <w:rsid w:val="004A0041"/>
    <w:rsid w:val="004E06B1"/>
    <w:rsid w:val="004E4007"/>
    <w:rsid w:val="005238E8"/>
    <w:rsid w:val="00551531"/>
    <w:rsid w:val="00576081"/>
    <w:rsid w:val="005853BC"/>
    <w:rsid w:val="00591B4A"/>
    <w:rsid w:val="00597B2F"/>
    <w:rsid w:val="006122BC"/>
    <w:rsid w:val="00636B94"/>
    <w:rsid w:val="0065320B"/>
    <w:rsid w:val="006642C2"/>
    <w:rsid w:val="00695940"/>
    <w:rsid w:val="00695D49"/>
    <w:rsid w:val="006E0A4D"/>
    <w:rsid w:val="00702B07"/>
    <w:rsid w:val="007226BA"/>
    <w:rsid w:val="007453AC"/>
    <w:rsid w:val="00792586"/>
    <w:rsid w:val="007E2115"/>
    <w:rsid w:val="00844E7B"/>
    <w:rsid w:val="008708F6"/>
    <w:rsid w:val="00895AED"/>
    <w:rsid w:val="008E5D42"/>
    <w:rsid w:val="00910116"/>
    <w:rsid w:val="00923919"/>
    <w:rsid w:val="0096082C"/>
    <w:rsid w:val="00973BBF"/>
    <w:rsid w:val="00A00E60"/>
    <w:rsid w:val="00A34C7C"/>
    <w:rsid w:val="00A84CA1"/>
    <w:rsid w:val="00A91E00"/>
    <w:rsid w:val="00AA539A"/>
    <w:rsid w:val="00AD42FD"/>
    <w:rsid w:val="00B03E6E"/>
    <w:rsid w:val="00B77265"/>
    <w:rsid w:val="00B81690"/>
    <w:rsid w:val="00BC2563"/>
    <w:rsid w:val="00BE2174"/>
    <w:rsid w:val="00BE5210"/>
    <w:rsid w:val="00BF3A51"/>
    <w:rsid w:val="00C358CE"/>
    <w:rsid w:val="00C51C6D"/>
    <w:rsid w:val="00C573C8"/>
    <w:rsid w:val="00C653B6"/>
    <w:rsid w:val="00C8357C"/>
    <w:rsid w:val="00C85FC1"/>
    <w:rsid w:val="00CC6C32"/>
    <w:rsid w:val="00CE5344"/>
    <w:rsid w:val="00CF20D2"/>
    <w:rsid w:val="00D05E8B"/>
    <w:rsid w:val="00D33035"/>
    <w:rsid w:val="00D84A35"/>
    <w:rsid w:val="00D85B57"/>
    <w:rsid w:val="00DD4327"/>
    <w:rsid w:val="00DE7D8D"/>
    <w:rsid w:val="00E3396B"/>
    <w:rsid w:val="00E341E0"/>
    <w:rsid w:val="00E47B4F"/>
    <w:rsid w:val="00E86D28"/>
    <w:rsid w:val="00F2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8B07BB"/>
  <w15:chartTrackingRefBased/>
  <w15:docId w15:val="{EA90FC78-1074-47E3-86BF-1B3C588F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973BBF"/>
    <w:rPr>
      <w:rFonts w:ascii="Segoe UI" w:hAnsi="Segoe UI" w:cs="Segoe UI"/>
      <w:sz w:val="18"/>
      <w:szCs w:val="18"/>
    </w:rPr>
  </w:style>
  <w:style w:type="character" w:customStyle="1" w:styleId="BalloonTextChar">
    <w:name w:val="Balloon Text Char"/>
    <w:basedOn w:val="DefaultParagraphFont"/>
    <w:link w:val="BalloonText"/>
    <w:rsid w:val="00973BBF"/>
    <w:rPr>
      <w:rFonts w:ascii="Segoe UI" w:hAnsi="Segoe UI" w:cs="Segoe UI"/>
      <w:sz w:val="18"/>
      <w:szCs w:val="18"/>
    </w:rPr>
  </w:style>
  <w:style w:type="character" w:styleId="FollowedHyperlink">
    <w:name w:val="FollowedHyperlink"/>
    <w:basedOn w:val="DefaultParagraphFont"/>
    <w:rsid w:val="00C653B6"/>
    <w:rPr>
      <w:color w:val="954F72" w:themeColor="followedHyperlink"/>
      <w:u w:val="single"/>
    </w:rPr>
  </w:style>
  <w:style w:type="table" w:styleId="TableGrid">
    <w:name w:val="Table Grid"/>
    <w:basedOn w:val="TableNormal"/>
    <w:rsid w:val="00C65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D42FD"/>
    <w:rPr>
      <w:sz w:val="16"/>
      <w:szCs w:val="16"/>
    </w:rPr>
  </w:style>
  <w:style w:type="paragraph" w:styleId="CommentText">
    <w:name w:val="annotation text"/>
    <w:basedOn w:val="Normal"/>
    <w:link w:val="CommentTextChar"/>
    <w:rsid w:val="00AD42FD"/>
    <w:rPr>
      <w:sz w:val="20"/>
      <w:szCs w:val="20"/>
    </w:rPr>
  </w:style>
  <w:style w:type="character" w:customStyle="1" w:styleId="CommentTextChar">
    <w:name w:val="Comment Text Char"/>
    <w:basedOn w:val="DefaultParagraphFont"/>
    <w:link w:val="CommentText"/>
    <w:rsid w:val="00AD42FD"/>
  </w:style>
  <w:style w:type="paragraph" w:styleId="CommentSubject">
    <w:name w:val="annotation subject"/>
    <w:basedOn w:val="CommentText"/>
    <w:next w:val="CommentText"/>
    <w:link w:val="CommentSubjectChar"/>
    <w:rsid w:val="00AD42FD"/>
    <w:rPr>
      <w:b/>
      <w:bCs/>
    </w:rPr>
  </w:style>
  <w:style w:type="character" w:customStyle="1" w:styleId="CommentSubjectChar">
    <w:name w:val="Comment Subject Char"/>
    <w:basedOn w:val="CommentTextChar"/>
    <w:link w:val="CommentSubject"/>
    <w:rsid w:val="00AD4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6671</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Adams Paul D</cp:lastModifiedBy>
  <cp:revision>2</cp:revision>
  <cp:lastPrinted>2005-05-18T14:13:00Z</cp:lastPrinted>
  <dcterms:created xsi:type="dcterms:W3CDTF">2021-04-27T01:16:00Z</dcterms:created>
  <dcterms:modified xsi:type="dcterms:W3CDTF">2021-04-27T01:16:00Z</dcterms:modified>
</cp:coreProperties>
</file>