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7A01" w:rsidR="004D08EF" w:rsidP="00730193" w:rsidRDefault="004D08EF" w14:paraId="047531F9" w14:textId="77777777">
      <w:pPr>
        <w:spacing w:after="0" w:line="240" w:lineRule="auto"/>
        <w:jc w:val="center"/>
        <w:rPr>
          <w:rFonts w:ascii="Times New Roman" w:hAnsi="Times New Roman" w:cs="Times New Roman"/>
          <w:sz w:val="24"/>
          <w:szCs w:val="24"/>
        </w:rPr>
      </w:pPr>
      <w:r w:rsidRPr="00257A01">
        <w:rPr>
          <w:rFonts w:ascii="Times New Roman" w:hAnsi="Times New Roman" w:cs="Times New Roman"/>
          <w:sz w:val="24"/>
          <w:szCs w:val="24"/>
        </w:rPr>
        <w:t>SUPPORTING STATEMENT</w:t>
      </w:r>
    </w:p>
    <w:p w:rsidRPr="00257A01" w:rsidR="00B641E3" w:rsidP="00730193" w:rsidRDefault="00B641E3" w14:paraId="1F0ADF8C" w14:textId="77777777">
      <w:pPr>
        <w:spacing w:after="0" w:line="240" w:lineRule="auto"/>
        <w:jc w:val="center"/>
        <w:rPr>
          <w:rFonts w:ascii="Times New Roman" w:hAnsi="Times New Roman" w:cs="Times New Roman"/>
          <w:sz w:val="24"/>
          <w:szCs w:val="24"/>
        </w:rPr>
      </w:pPr>
      <w:r w:rsidRPr="00257A01">
        <w:rPr>
          <w:rFonts w:ascii="Times New Roman" w:hAnsi="Times New Roman" w:cs="Times New Roman"/>
          <w:sz w:val="24"/>
          <w:szCs w:val="24"/>
        </w:rPr>
        <w:t>Internal Revenue Service</w:t>
      </w:r>
    </w:p>
    <w:p w:rsidRPr="00257A01" w:rsidR="00EA3656" w:rsidP="00730193" w:rsidRDefault="00BB4385" w14:paraId="77586826" w14:textId="77777777">
      <w:pPr>
        <w:spacing w:after="0" w:line="240" w:lineRule="auto"/>
        <w:jc w:val="center"/>
        <w:rPr>
          <w:rFonts w:ascii="Times New Roman" w:hAnsi="Times New Roman" w:cs="Times New Roman"/>
          <w:sz w:val="24"/>
          <w:szCs w:val="24"/>
        </w:rPr>
      </w:pPr>
      <w:r w:rsidRPr="00257A01">
        <w:rPr>
          <w:rFonts w:ascii="Times New Roman" w:hAnsi="Times New Roman" w:cs="Times New Roman"/>
          <w:sz w:val="24"/>
          <w:szCs w:val="24"/>
        </w:rPr>
        <w:t>TD 9494</w:t>
      </w:r>
      <w:r w:rsidRPr="00257A01" w:rsidR="00EA3656">
        <w:rPr>
          <w:rFonts w:ascii="Times New Roman" w:hAnsi="Times New Roman" w:cs="Times New Roman"/>
          <w:sz w:val="24"/>
          <w:szCs w:val="24"/>
        </w:rPr>
        <w:t xml:space="preserve">, </w:t>
      </w:r>
      <w:r w:rsidRPr="00257A01" w:rsidR="00D760E1">
        <w:rPr>
          <w:rFonts w:ascii="Times New Roman" w:hAnsi="Times New Roman" w:cs="Times New Roman"/>
          <w:sz w:val="24"/>
          <w:szCs w:val="24"/>
        </w:rPr>
        <w:t xml:space="preserve">Patient Protection and Affordable Care Act Internal Claims and </w:t>
      </w:r>
    </w:p>
    <w:p w:rsidRPr="00257A01" w:rsidR="00D760E1" w:rsidP="00730193" w:rsidRDefault="00D760E1" w14:paraId="50BC1FCF" w14:textId="575BC9C5">
      <w:pPr>
        <w:spacing w:after="0" w:line="240" w:lineRule="auto"/>
        <w:jc w:val="center"/>
        <w:rPr>
          <w:rFonts w:ascii="Times New Roman" w:hAnsi="Times New Roman" w:cs="Times New Roman"/>
          <w:sz w:val="24"/>
          <w:szCs w:val="24"/>
        </w:rPr>
      </w:pPr>
      <w:r w:rsidRPr="00257A01">
        <w:rPr>
          <w:rFonts w:ascii="Times New Roman" w:hAnsi="Times New Roman" w:cs="Times New Roman"/>
          <w:sz w:val="24"/>
          <w:szCs w:val="24"/>
        </w:rPr>
        <w:t>Appeals and External review Disclosures.</w:t>
      </w:r>
    </w:p>
    <w:p w:rsidRPr="00257A01" w:rsidR="00EA3656" w:rsidP="00EA3656" w:rsidRDefault="00EA3656" w14:paraId="5D009B47" w14:textId="77777777">
      <w:pPr>
        <w:spacing w:after="0" w:line="240" w:lineRule="auto"/>
        <w:jc w:val="center"/>
        <w:rPr>
          <w:rFonts w:ascii="Times New Roman" w:hAnsi="Times New Roman" w:cs="Times New Roman"/>
          <w:b/>
          <w:bCs/>
          <w:sz w:val="24"/>
          <w:szCs w:val="24"/>
        </w:rPr>
      </w:pPr>
      <w:r w:rsidRPr="00257A01">
        <w:rPr>
          <w:rFonts w:ascii="Times New Roman" w:hAnsi="Times New Roman" w:cs="Times New Roman"/>
          <w:b/>
          <w:bCs/>
          <w:sz w:val="24"/>
          <w:szCs w:val="24"/>
        </w:rPr>
        <w:t>OMB Control Number 1545-2182</w:t>
      </w:r>
    </w:p>
    <w:p w:rsidRPr="00257A01" w:rsidR="00EA3656" w:rsidP="00730193" w:rsidRDefault="00EA3656" w14:paraId="14AD7224" w14:textId="77777777">
      <w:pPr>
        <w:spacing w:after="0" w:line="240" w:lineRule="auto"/>
        <w:jc w:val="center"/>
        <w:rPr>
          <w:rFonts w:ascii="Times New Roman" w:hAnsi="Times New Roman" w:cs="Times New Roman"/>
          <w:b/>
          <w:bCs/>
          <w:sz w:val="28"/>
          <w:szCs w:val="28"/>
        </w:rPr>
      </w:pPr>
    </w:p>
    <w:p w:rsidRPr="00257A01" w:rsidR="00730193" w:rsidP="00730193" w:rsidRDefault="00730193" w14:paraId="5C1D17C6" w14:textId="77777777">
      <w:pPr>
        <w:spacing w:after="0" w:line="240" w:lineRule="auto"/>
        <w:jc w:val="center"/>
        <w:rPr>
          <w:rFonts w:ascii="Times New Roman" w:hAnsi="Times New Roman" w:cs="Times New Roman"/>
          <w:b/>
          <w:bCs/>
          <w:sz w:val="28"/>
          <w:szCs w:val="28"/>
        </w:rPr>
      </w:pPr>
    </w:p>
    <w:p w:rsidRPr="00257A01" w:rsidR="00257A01" w:rsidP="00257A01" w:rsidRDefault="00257A01" w14:paraId="700E0650" w14:textId="77777777">
      <w:pPr>
        <w:pStyle w:val="Level1"/>
        <w:tabs>
          <w:tab w:val="left" w:pos="-1440"/>
          <w:tab w:val="num" w:pos="720"/>
        </w:tabs>
        <w:rPr>
          <w:rFonts w:ascii="Times New Roman" w:hAnsi="Times New Roman"/>
          <w:b/>
          <w:bCs/>
          <w:u w:val="single"/>
        </w:rPr>
      </w:pPr>
      <w:r w:rsidRPr="00257A01">
        <w:rPr>
          <w:rFonts w:ascii="Times New Roman" w:hAnsi="Times New Roman"/>
          <w:b/>
          <w:bCs/>
          <w:u w:val="single"/>
        </w:rPr>
        <w:t>CIRCUMSTANCES NECESSITATING COLLECTION OF INFORMATION</w:t>
      </w:r>
    </w:p>
    <w:p w:rsidRPr="00257A01" w:rsidR="00257A01" w:rsidP="00257A01" w:rsidRDefault="00257A01" w14:paraId="767A74D9" w14:textId="77777777">
      <w:pPr>
        <w:spacing w:after="0" w:line="240" w:lineRule="auto"/>
        <w:ind w:left="720"/>
        <w:rPr>
          <w:rFonts w:ascii="Times New Roman" w:hAnsi="Times New Roman" w:cs="Times New Roman"/>
          <w:sz w:val="23"/>
          <w:szCs w:val="23"/>
        </w:rPr>
      </w:pPr>
    </w:p>
    <w:p w:rsidR="004D08EF" w:rsidP="00257A01" w:rsidRDefault="004D08EF" w14:paraId="3E9CFDB4" w14:textId="37873EAF">
      <w:pPr>
        <w:spacing w:after="0" w:line="240" w:lineRule="auto"/>
        <w:ind w:left="720"/>
        <w:rPr>
          <w:rFonts w:ascii="Times New Roman" w:hAnsi="Times New Roman" w:cs="Times New Roman"/>
          <w:sz w:val="23"/>
          <w:szCs w:val="23"/>
        </w:rPr>
      </w:pPr>
      <w:r w:rsidRPr="00257A01">
        <w:rPr>
          <w:rFonts w:ascii="Times New Roman" w:hAnsi="Times New Roman" w:cs="Times New Roman"/>
          <w:sz w:val="23"/>
          <w:szCs w:val="23"/>
        </w:rPr>
        <w:t>Section 2719 of the Public Health Service Act, incorporated into Code section 9815 by section 1563(f) of the Patient Protection and Affordable Care Act, Public Law 111-148, requires group health plans and issuers of group health insurance coverage, in connection with internal appeals of claims denials, to provide claimants free of charge with any evidence relied upon in deciding the appeal that was not relied on in making the initial denial of the claim.</w:t>
      </w:r>
    </w:p>
    <w:p w:rsidR="001371A0" w:rsidP="00257A01" w:rsidRDefault="001371A0" w14:paraId="5A7C9D02" w14:textId="79A042F8">
      <w:pPr>
        <w:spacing w:after="0" w:line="240" w:lineRule="auto"/>
        <w:ind w:left="720"/>
        <w:rPr>
          <w:rFonts w:ascii="Times New Roman" w:hAnsi="Times New Roman" w:cs="Times New Roman"/>
          <w:sz w:val="23"/>
          <w:szCs w:val="23"/>
        </w:rPr>
      </w:pPr>
    </w:p>
    <w:p w:rsidRPr="00257A01" w:rsidR="001371A0" w:rsidP="00257A01" w:rsidRDefault="001371A0" w14:paraId="14361DDB" w14:textId="2E4A3B83">
      <w:pPr>
        <w:spacing w:after="0" w:line="240" w:lineRule="auto"/>
        <w:ind w:left="720"/>
        <w:rPr>
          <w:rFonts w:ascii="Times New Roman" w:hAnsi="Times New Roman" w:cs="Times New Roman"/>
          <w:sz w:val="23"/>
          <w:szCs w:val="23"/>
        </w:rPr>
      </w:pPr>
      <w:proofErr w:type="gramStart"/>
      <w:r>
        <w:rPr>
          <w:rFonts w:ascii="Times New Roman" w:hAnsi="Times New Roman" w:cs="Times New Roman"/>
          <w:sz w:val="23"/>
          <w:szCs w:val="23"/>
        </w:rPr>
        <w:t>TD 9494,</w:t>
      </w:r>
      <w:proofErr w:type="gramEnd"/>
      <w:r>
        <w:rPr>
          <w:rFonts w:ascii="Times New Roman" w:hAnsi="Times New Roman" w:cs="Times New Roman"/>
          <w:sz w:val="23"/>
          <w:szCs w:val="23"/>
        </w:rPr>
        <w:t xml:space="preserve"> address </w:t>
      </w:r>
      <w:r>
        <w:rPr>
          <w:rFonts w:ascii="Times New Roman" w:hAnsi="Times New Roman"/>
        </w:rPr>
        <w:t>the requirements regarding internal claims and appeals and external review processes for group health plans and health insurance coverage in the group and individual markets under the Patient Protection and Affordable Care Act</w:t>
      </w:r>
      <w:r>
        <w:rPr>
          <w:rFonts w:ascii="Times New Roman" w:hAnsi="Times New Roman"/>
        </w:rPr>
        <w:t>.</w:t>
      </w:r>
    </w:p>
    <w:p w:rsidRPr="00257A01" w:rsidR="00257A01" w:rsidP="00257A01" w:rsidRDefault="00257A01" w14:paraId="32EC23AD" w14:textId="77777777">
      <w:pPr>
        <w:spacing w:after="0" w:line="240" w:lineRule="auto"/>
        <w:ind w:left="720"/>
        <w:rPr>
          <w:rFonts w:ascii="Times New Roman" w:hAnsi="Times New Roman" w:cs="Times New Roman"/>
          <w:sz w:val="23"/>
          <w:szCs w:val="23"/>
        </w:rPr>
      </w:pPr>
    </w:p>
    <w:p w:rsidR="00257A01" w:rsidP="00257A01" w:rsidRDefault="00257A01" w14:paraId="734F17AE" w14:textId="77777777">
      <w:pPr>
        <w:pStyle w:val="Level1"/>
        <w:tabs>
          <w:tab w:val="left" w:pos="-1440"/>
          <w:tab w:val="num" w:pos="720"/>
        </w:tabs>
        <w:rPr>
          <w:rFonts w:ascii="Times New Roman" w:hAnsi="Times New Roman"/>
          <w:b/>
          <w:bCs/>
        </w:rPr>
      </w:pPr>
      <w:r w:rsidRPr="00257A01">
        <w:rPr>
          <w:rFonts w:ascii="Times New Roman" w:hAnsi="Times New Roman"/>
          <w:b/>
          <w:bCs/>
          <w:u w:val="single"/>
        </w:rPr>
        <w:t>USE OF DATA</w:t>
      </w:r>
      <w:r w:rsidRPr="00257A01">
        <w:rPr>
          <w:rFonts w:ascii="Times New Roman" w:hAnsi="Times New Roman"/>
          <w:b/>
          <w:bCs/>
        </w:rPr>
        <w:t xml:space="preserve">  </w:t>
      </w:r>
    </w:p>
    <w:p w:rsidRPr="00257A01" w:rsidR="00257A01" w:rsidP="00257A01" w:rsidRDefault="00257A01" w14:paraId="23A3EB5E" w14:textId="137B1130">
      <w:pPr>
        <w:pStyle w:val="Level1"/>
        <w:numPr>
          <w:ilvl w:val="0"/>
          <w:numId w:val="0"/>
        </w:numPr>
        <w:tabs>
          <w:tab w:val="left" w:pos="-1440"/>
        </w:tabs>
        <w:ind w:left="720"/>
        <w:rPr>
          <w:rFonts w:ascii="Times New Roman" w:hAnsi="Times New Roman"/>
          <w:b/>
          <w:bCs/>
        </w:rPr>
      </w:pPr>
      <w:r w:rsidRPr="00257A01">
        <w:rPr>
          <w:rFonts w:ascii="Times New Roman" w:hAnsi="Times New Roman"/>
          <w:b/>
          <w:bCs/>
        </w:rPr>
        <w:t xml:space="preserve">            </w:t>
      </w:r>
    </w:p>
    <w:p w:rsidRPr="00257A01" w:rsidR="004D08EF" w:rsidP="00257A01" w:rsidRDefault="004D08EF" w14:paraId="36FBDD4F" w14:textId="1BB20937">
      <w:pPr>
        <w:ind w:left="720"/>
        <w:rPr>
          <w:rFonts w:ascii="Times New Roman" w:hAnsi="Times New Roman" w:cs="Times New Roman"/>
          <w:sz w:val="23"/>
          <w:szCs w:val="23"/>
        </w:rPr>
      </w:pPr>
      <w:r w:rsidRPr="00257A01">
        <w:rPr>
          <w:rFonts w:ascii="Times New Roman" w:hAnsi="Times New Roman" w:cs="Times New Roman"/>
          <w:sz w:val="23"/>
          <w:szCs w:val="23"/>
        </w:rPr>
        <w:t xml:space="preserve">This is a </w:t>
      </w:r>
      <w:r w:rsidRPr="00257A01" w:rsidR="00257A01">
        <w:rPr>
          <w:rFonts w:ascii="Times New Roman" w:hAnsi="Times New Roman" w:cs="Times New Roman"/>
          <w:sz w:val="23"/>
          <w:szCs w:val="23"/>
        </w:rPr>
        <w:t>third-party</w:t>
      </w:r>
      <w:r w:rsidRPr="00257A01">
        <w:rPr>
          <w:rFonts w:ascii="Times New Roman" w:hAnsi="Times New Roman" w:cs="Times New Roman"/>
          <w:sz w:val="23"/>
          <w:szCs w:val="23"/>
        </w:rPr>
        <w:t xml:space="preserve"> disclosure requirement.  Individuals appealing a denial of a claim should be able to respond to any new evidence the plan or issuer relies on in the appeal, and this disclosure requirement is essential so that the claimant knows of the new evidence.</w:t>
      </w:r>
    </w:p>
    <w:p w:rsidRPr="008F22C9" w:rsidR="00257A01" w:rsidP="00257A01" w:rsidRDefault="00257A01" w14:paraId="1405627A" w14:textId="27C1243B">
      <w:pPr>
        <w:pStyle w:val="Level1"/>
        <w:tabs>
          <w:tab w:val="left" w:pos="-1440"/>
          <w:tab w:val="num" w:pos="720"/>
        </w:tabs>
        <w:rPr>
          <w:rFonts w:ascii="Times New Roman" w:hAnsi="Times New Roman"/>
          <w:b/>
          <w:bCs/>
        </w:rPr>
      </w:pPr>
      <w:r w:rsidRPr="008F22C9">
        <w:rPr>
          <w:rFonts w:ascii="Times New Roman" w:hAnsi="Times New Roman"/>
          <w:b/>
          <w:bCs/>
          <w:u w:val="single"/>
        </w:rPr>
        <w:t>USE OF IMPROVED INFORMATION TECHNOLOGY TO REDUCE BURDEN</w:t>
      </w:r>
    </w:p>
    <w:p w:rsidR="008F22C9" w:rsidP="008F22C9" w:rsidRDefault="008F22C9" w14:paraId="3797BE74" w14:textId="53724BDF">
      <w:pPr>
        <w:pStyle w:val="Level1"/>
        <w:numPr>
          <w:ilvl w:val="0"/>
          <w:numId w:val="0"/>
        </w:numPr>
        <w:tabs>
          <w:tab w:val="left" w:pos="-1440"/>
        </w:tabs>
        <w:ind w:left="720" w:hanging="720"/>
        <w:rPr>
          <w:rFonts w:ascii="Times New Roman" w:hAnsi="Times New Roman"/>
          <w:b/>
          <w:bCs/>
          <w:u w:val="single"/>
        </w:rPr>
      </w:pPr>
    </w:p>
    <w:p w:rsidRPr="00257A01" w:rsidR="008F22C9" w:rsidP="008F22C9" w:rsidRDefault="008F22C9" w14:paraId="6EEBDE06" w14:textId="49F5028F">
      <w:pPr>
        <w:spacing w:after="0" w:line="240" w:lineRule="auto"/>
        <w:ind w:left="720"/>
        <w:rPr>
          <w:rFonts w:ascii="Times New Roman" w:hAnsi="Times New Roman" w:cs="Times New Roman"/>
          <w:sz w:val="23"/>
          <w:szCs w:val="23"/>
        </w:rPr>
      </w:pPr>
      <w:r w:rsidRPr="008F22C9">
        <w:rPr>
          <w:rFonts w:ascii="Times New Roman" w:hAnsi="Times New Roman" w:cs="Times New Roman"/>
          <w:sz w:val="23"/>
          <w:szCs w:val="23"/>
        </w:rPr>
        <w:t xml:space="preserve">The IRS has no plans to offer electronic enabling because this collection is a notification of the rules for </w:t>
      </w:r>
      <w:r>
        <w:rPr>
          <w:rFonts w:ascii="Times New Roman" w:hAnsi="Times New Roman" w:cs="Times New Roman"/>
          <w:sz w:val="23"/>
          <w:szCs w:val="23"/>
        </w:rPr>
        <w:t>appeals and external review disclosures</w:t>
      </w:r>
      <w:r w:rsidRPr="00257A01">
        <w:rPr>
          <w:rFonts w:ascii="Times New Roman" w:hAnsi="Times New Roman" w:cs="Times New Roman"/>
          <w:sz w:val="23"/>
          <w:szCs w:val="23"/>
        </w:rPr>
        <w:t>.</w:t>
      </w:r>
    </w:p>
    <w:p w:rsidRPr="008F22C9" w:rsidR="008F22C9" w:rsidP="008F22C9" w:rsidRDefault="008F22C9" w14:paraId="142EF845" w14:textId="77777777">
      <w:pPr>
        <w:pStyle w:val="Level1"/>
        <w:numPr>
          <w:ilvl w:val="0"/>
          <w:numId w:val="0"/>
        </w:numPr>
        <w:tabs>
          <w:tab w:val="left" w:pos="-1440"/>
        </w:tabs>
        <w:ind w:left="720" w:hanging="720"/>
        <w:rPr>
          <w:rFonts w:ascii="Times New Roman" w:hAnsi="Times New Roman"/>
          <w:b/>
          <w:bCs/>
        </w:rPr>
      </w:pPr>
    </w:p>
    <w:p w:rsidRPr="008F22C9" w:rsidR="008F22C9" w:rsidP="00257A01" w:rsidRDefault="008F22C9" w14:paraId="0DCCF709" w14:textId="7556DDC6">
      <w:pPr>
        <w:pStyle w:val="Level1"/>
        <w:tabs>
          <w:tab w:val="left" w:pos="-1440"/>
          <w:tab w:val="num" w:pos="720"/>
        </w:tabs>
        <w:rPr>
          <w:rFonts w:ascii="Times New Roman" w:hAnsi="Times New Roman"/>
          <w:b/>
          <w:bCs/>
        </w:rPr>
      </w:pPr>
      <w:r>
        <w:rPr>
          <w:rFonts w:ascii="Times New Roman" w:hAnsi="Times New Roman"/>
          <w:b/>
          <w:bCs/>
          <w:u w:val="single"/>
        </w:rPr>
        <w:t>EFFORTS TO IDENTIFY DUPLICATION</w:t>
      </w:r>
    </w:p>
    <w:p w:rsidR="008F22C9" w:rsidP="008F22C9" w:rsidRDefault="008F22C9" w14:paraId="139A7682" w14:textId="77777777">
      <w:pPr>
        <w:pStyle w:val="Level1"/>
        <w:numPr>
          <w:ilvl w:val="0"/>
          <w:numId w:val="0"/>
        </w:numPr>
        <w:ind w:left="720"/>
        <w:rPr>
          <w:rFonts w:ascii="Calibri Light" w:hAnsi="Calibri Light" w:cs="Calibri Light"/>
          <w:iCs/>
        </w:rPr>
      </w:pPr>
    </w:p>
    <w:p w:rsidRPr="008F22C9" w:rsidR="008F22C9" w:rsidP="008F22C9" w:rsidRDefault="008F22C9" w14:paraId="70ED73C2" w14:textId="097CCB93">
      <w:pPr>
        <w:pStyle w:val="Level1"/>
        <w:numPr>
          <w:ilvl w:val="0"/>
          <w:numId w:val="0"/>
        </w:numPr>
        <w:ind w:left="720"/>
        <w:rPr>
          <w:rFonts w:ascii="Calibri Light" w:hAnsi="Calibri Light" w:cs="Calibri Light"/>
          <w:iCs/>
        </w:rPr>
      </w:pPr>
      <w:r w:rsidRPr="008F22C9">
        <w:rPr>
          <w:rFonts w:ascii="Times New Roman" w:hAnsi="Times New Roman"/>
          <w:iCs/>
        </w:rPr>
        <w:t>The information obtained through this collection is unique and is not already available for use or adaptation from another source</w:t>
      </w:r>
      <w:r w:rsidRPr="008F22C9">
        <w:rPr>
          <w:rFonts w:ascii="Calibri Light" w:hAnsi="Calibri Light" w:cs="Calibri Light"/>
          <w:iCs/>
        </w:rPr>
        <w:t>.</w:t>
      </w:r>
    </w:p>
    <w:p w:rsidRPr="008F22C9" w:rsidR="008F22C9" w:rsidP="008F22C9" w:rsidRDefault="008F22C9" w14:paraId="2086DD88" w14:textId="77777777">
      <w:pPr>
        <w:pStyle w:val="Level1"/>
        <w:numPr>
          <w:ilvl w:val="0"/>
          <w:numId w:val="0"/>
        </w:numPr>
        <w:tabs>
          <w:tab w:val="left" w:pos="-1440"/>
        </w:tabs>
        <w:ind w:left="720"/>
        <w:rPr>
          <w:rFonts w:ascii="Times New Roman" w:hAnsi="Times New Roman"/>
          <w:b/>
          <w:bCs/>
        </w:rPr>
      </w:pPr>
    </w:p>
    <w:p w:rsidRPr="008F22C9" w:rsidR="008F22C9" w:rsidP="00257A01" w:rsidRDefault="008F22C9" w14:paraId="6E40D659" w14:textId="7FD80EA3">
      <w:pPr>
        <w:pStyle w:val="Level1"/>
        <w:tabs>
          <w:tab w:val="left" w:pos="-1440"/>
          <w:tab w:val="num" w:pos="720"/>
        </w:tabs>
        <w:rPr>
          <w:rFonts w:ascii="Times New Roman" w:hAnsi="Times New Roman"/>
          <w:b/>
          <w:bCs/>
          <w:u w:val="single"/>
        </w:rPr>
      </w:pPr>
      <w:r w:rsidRPr="008F22C9">
        <w:rPr>
          <w:rFonts w:ascii="Times New Roman" w:hAnsi="Times New Roman"/>
          <w:b/>
          <w:bCs/>
          <w:u w:val="single"/>
        </w:rPr>
        <w:t>METHODS TO MINIMIZE BURDEN ON SMALL BUSINESSES OR OTHER SMALL ENTITIES</w:t>
      </w:r>
    </w:p>
    <w:p w:rsidR="008F22C9" w:rsidP="008F22C9" w:rsidRDefault="008F22C9" w14:paraId="1EB66D3E" w14:textId="578997E6">
      <w:pPr>
        <w:pStyle w:val="Level1"/>
        <w:numPr>
          <w:ilvl w:val="0"/>
          <w:numId w:val="0"/>
        </w:numPr>
        <w:tabs>
          <w:tab w:val="left" w:pos="-1440"/>
        </w:tabs>
        <w:ind w:left="720" w:hanging="720"/>
        <w:rPr>
          <w:rFonts w:ascii="Times New Roman" w:hAnsi="Times New Roman"/>
          <w:sz w:val="23"/>
          <w:szCs w:val="23"/>
        </w:rPr>
      </w:pPr>
    </w:p>
    <w:p w:rsidRPr="00257A01" w:rsidR="008F22C9" w:rsidP="008F22C9" w:rsidRDefault="008F22C9" w14:paraId="22F3AE21" w14:textId="77777777">
      <w:pPr>
        <w:ind w:left="720"/>
        <w:rPr>
          <w:rFonts w:ascii="Times New Roman" w:hAnsi="Times New Roman" w:cs="Times New Roman"/>
          <w:sz w:val="23"/>
          <w:szCs w:val="23"/>
        </w:rPr>
      </w:pPr>
      <w:r w:rsidRPr="00257A01">
        <w:rPr>
          <w:rFonts w:ascii="Times New Roman" w:hAnsi="Times New Roman" w:cs="Times New Roman"/>
          <w:sz w:val="23"/>
          <w:szCs w:val="23"/>
        </w:rPr>
        <w:t xml:space="preserve">The regulations provide that disclosure by either the plan or the issuer will satisfy the obligation for both parties responsible for the disclosure.  Most small businesses maintaining a group health plan provide benefits through health insurance coverage.  In such a case, it is expected that the issuer of the health insurance coverage will satisfy the disclosure obligation on behalf of both the plan and the issuer. </w:t>
      </w:r>
    </w:p>
    <w:p w:rsidR="008F22C9" w:rsidP="008F22C9" w:rsidRDefault="008F22C9" w14:paraId="54952B1E" w14:textId="6DF591C9">
      <w:pPr>
        <w:pStyle w:val="Level1"/>
        <w:numPr>
          <w:ilvl w:val="0"/>
          <w:numId w:val="0"/>
        </w:numPr>
        <w:tabs>
          <w:tab w:val="left" w:pos="-1440"/>
        </w:tabs>
        <w:ind w:left="720" w:hanging="720"/>
        <w:rPr>
          <w:rFonts w:ascii="Times New Roman" w:hAnsi="Times New Roman"/>
          <w:b/>
          <w:bCs/>
        </w:rPr>
      </w:pPr>
    </w:p>
    <w:p w:rsidRPr="008F22C9" w:rsidR="008F22C9" w:rsidP="008F22C9" w:rsidRDefault="008F22C9" w14:paraId="00E6CF13" w14:textId="77777777">
      <w:pPr>
        <w:pStyle w:val="Level1"/>
        <w:numPr>
          <w:ilvl w:val="0"/>
          <w:numId w:val="0"/>
        </w:numPr>
        <w:tabs>
          <w:tab w:val="left" w:pos="-1440"/>
        </w:tabs>
        <w:ind w:left="720" w:hanging="720"/>
        <w:rPr>
          <w:rFonts w:ascii="Times New Roman" w:hAnsi="Times New Roman"/>
          <w:b/>
          <w:bCs/>
        </w:rPr>
      </w:pPr>
    </w:p>
    <w:p w:rsidRPr="008F22C9" w:rsidR="004D08EF" w:rsidP="004D08EF" w:rsidRDefault="004D08EF" w14:paraId="1B7AF847" w14:textId="05908328">
      <w:pPr>
        <w:pStyle w:val="Level1"/>
        <w:tabs>
          <w:tab w:val="left" w:pos="-1440"/>
          <w:tab w:val="num" w:pos="720"/>
        </w:tabs>
        <w:rPr>
          <w:rFonts w:ascii="Times New Roman" w:hAnsi="Times New Roman"/>
          <w:b/>
          <w:bCs/>
          <w:u w:val="single"/>
        </w:rPr>
      </w:pPr>
      <w:r w:rsidRPr="008F22C9">
        <w:rPr>
          <w:rFonts w:ascii="Times New Roman" w:hAnsi="Times New Roman"/>
          <w:b/>
          <w:bCs/>
          <w:u w:val="single"/>
        </w:rPr>
        <w:t xml:space="preserve">CONSEQUENCES OF LESS FREQUENT COLLECTION ON FEDERAL PROGRAMS OR POLICY ACTIVITIES </w:t>
      </w:r>
    </w:p>
    <w:p w:rsidR="008F22C9" w:rsidP="008F22C9" w:rsidRDefault="008F22C9" w14:paraId="77CD9F55" w14:textId="77777777">
      <w:pPr>
        <w:spacing w:after="0" w:line="240" w:lineRule="auto"/>
        <w:ind w:left="720"/>
        <w:rPr>
          <w:rFonts w:ascii="Times New Roman" w:hAnsi="Times New Roman" w:cs="Times New Roman"/>
          <w:bCs/>
          <w:sz w:val="23"/>
          <w:szCs w:val="23"/>
        </w:rPr>
      </w:pPr>
    </w:p>
    <w:p w:rsidR="004D08EF" w:rsidP="008F22C9" w:rsidRDefault="00B641E3" w14:paraId="579386B8" w14:textId="5E9B0893">
      <w:pPr>
        <w:spacing w:after="0" w:line="240" w:lineRule="auto"/>
        <w:ind w:left="720"/>
        <w:rPr>
          <w:rFonts w:ascii="Times New Roman" w:hAnsi="Times New Roman" w:cs="Times New Roman"/>
          <w:bCs/>
          <w:sz w:val="23"/>
          <w:szCs w:val="23"/>
        </w:rPr>
      </w:pPr>
      <w:r w:rsidRPr="00257A01">
        <w:rPr>
          <w:rFonts w:ascii="Times New Roman" w:hAnsi="Times New Roman" w:cs="Times New Roman"/>
          <w:bCs/>
          <w:sz w:val="23"/>
          <w:szCs w:val="23"/>
        </w:rPr>
        <w:t>The information collection requirements arise in connection with the occurrence of individual claims for benefits and consist of third-party notices and disclosures.  No information is reported to the Federal government.  Every claim event is normally of importance to the specific participant who relies on an employee benefit plan to provide the promised benefit.  The information collection provisions of the regulation ensure that sufficient information is provided to: a) participants and beneficiaries so that they may fully exercise their rights under their employee benefit plans, and b) to fiduciaries responsible for operating plans in accordance with their terms.</w:t>
      </w:r>
    </w:p>
    <w:p w:rsidR="008F22C9" w:rsidP="008F22C9" w:rsidRDefault="008F22C9" w14:paraId="7CA4C8DD" w14:textId="7802B98B">
      <w:pPr>
        <w:spacing w:after="0" w:line="240" w:lineRule="auto"/>
        <w:ind w:left="720"/>
        <w:rPr>
          <w:rFonts w:ascii="Times New Roman" w:hAnsi="Times New Roman" w:cs="Times New Roman"/>
          <w:bCs/>
          <w:sz w:val="23"/>
          <w:szCs w:val="23"/>
        </w:rPr>
      </w:pPr>
    </w:p>
    <w:p w:rsidRPr="002A774F" w:rsidR="002A774F" w:rsidP="002A774F" w:rsidRDefault="002A774F" w14:paraId="3D15670F" w14:textId="77777777">
      <w:pPr>
        <w:pStyle w:val="Level1"/>
        <w:tabs>
          <w:tab w:val="left" w:pos="-1440"/>
          <w:tab w:val="num" w:pos="720"/>
        </w:tabs>
        <w:rPr>
          <w:rFonts w:ascii="Times New Roman" w:hAnsi="Times New Roman"/>
          <w:b/>
          <w:bCs/>
        </w:rPr>
      </w:pPr>
      <w:r w:rsidRPr="002A774F">
        <w:rPr>
          <w:rFonts w:ascii="Times New Roman" w:hAnsi="Times New Roman"/>
          <w:b/>
          <w:bCs/>
          <w:u w:val="single"/>
        </w:rPr>
        <w:t>SPECIAL CIRCUMSTANCES REQUIRING DATA COLLECTION TO BE</w:t>
      </w:r>
      <w:r w:rsidRPr="002A774F">
        <w:rPr>
          <w:rFonts w:ascii="Times New Roman" w:hAnsi="Times New Roman"/>
          <w:b/>
          <w:bCs/>
        </w:rPr>
        <w:t xml:space="preserve"> </w:t>
      </w:r>
      <w:r w:rsidRPr="002A774F">
        <w:rPr>
          <w:rFonts w:ascii="Times New Roman" w:hAnsi="Times New Roman"/>
          <w:b/>
          <w:bCs/>
          <w:u w:val="single"/>
        </w:rPr>
        <w:t>INCONSISTENT WITH GUIDELINES IN 5 CFR 1320.5(d)(2)</w:t>
      </w:r>
    </w:p>
    <w:p w:rsidRPr="00257A01" w:rsidR="002A774F" w:rsidP="008F22C9" w:rsidRDefault="002A774F" w14:paraId="1B94F8B1" w14:textId="77777777">
      <w:pPr>
        <w:spacing w:after="0" w:line="240" w:lineRule="auto"/>
        <w:ind w:left="720"/>
        <w:rPr>
          <w:rFonts w:ascii="Times New Roman" w:hAnsi="Times New Roman" w:cs="Times New Roman"/>
          <w:bCs/>
          <w:sz w:val="23"/>
          <w:szCs w:val="23"/>
        </w:rPr>
      </w:pPr>
    </w:p>
    <w:p w:rsidR="004D08EF" w:rsidP="002A774F" w:rsidRDefault="00B641E3" w14:paraId="234F52D4" w14:textId="207D4BA4">
      <w:pPr>
        <w:ind w:left="720"/>
        <w:rPr>
          <w:rFonts w:ascii="Times New Roman" w:hAnsi="Times New Roman" w:cs="Times New Roman"/>
          <w:sz w:val="23"/>
          <w:szCs w:val="23"/>
        </w:rPr>
      </w:pPr>
      <w:r w:rsidRPr="00257A01">
        <w:rPr>
          <w:rFonts w:ascii="Times New Roman" w:hAnsi="Times New Roman" w:cs="Times New Roman"/>
          <w:sz w:val="23"/>
          <w:szCs w:val="23"/>
        </w:rPr>
        <w:t>There are no special circumstances requiring data collection to be inconsistent with guidelines in 5 CFR 1320.5(d)(2)</w:t>
      </w:r>
      <w:r w:rsidRPr="00257A01" w:rsidR="004D08EF">
        <w:rPr>
          <w:rFonts w:ascii="Times New Roman" w:hAnsi="Times New Roman" w:cs="Times New Roman"/>
          <w:sz w:val="23"/>
          <w:szCs w:val="23"/>
        </w:rPr>
        <w:t>.</w:t>
      </w:r>
    </w:p>
    <w:p w:rsidRPr="002A774F" w:rsidR="002A774F" w:rsidP="002A774F" w:rsidRDefault="002A774F" w14:paraId="7D6DDF26" w14:textId="77777777">
      <w:pPr>
        <w:pStyle w:val="Level1"/>
        <w:tabs>
          <w:tab w:val="left" w:pos="-1440"/>
          <w:tab w:val="num" w:pos="720"/>
        </w:tabs>
        <w:rPr>
          <w:rFonts w:ascii="Times New Roman" w:hAnsi="Times New Roman"/>
          <w:b/>
          <w:bCs/>
        </w:rPr>
      </w:pPr>
      <w:r w:rsidRPr="002A774F">
        <w:rPr>
          <w:rFonts w:ascii="Times New Roman" w:hAnsi="Times New Roman"/>
          <w:b/>
          <w:bCs/>
          <w:u w:val="single"/>
        </w:rPr>
        <w:t>CONSULTATION WITH INDIVIDUALS OUTSIDE OF THE AGENCY ON</w:t>
      </w:r>
      <w:r w:rsidRPr="002A774F">
        <w:rPr>
          <w:rFonts w:ascii="Times New Roman" w:hAnsi="Times New Roman"/>
          <w:b/>
          <w:bCs/>
        </w:rPr>
        <w:t xml:space="preserve">     </w:t>
      </w:r>
      <w:r w:rsidRPr="002A774F">
        <w:rPr>
          <w:rFonts w:ascii="Times New Roman" w:hAnsi="Times New Roman"/>
          <w:b/>
          <w:bCs/>
          <w:u w:val="single"/>
        </w:rPr>
        <w:t>AVAILABILITY OF DATA, FREQUENCY OF COLLECTION, CLARITY OF INSTRUCTIONS AND FORMS, AND DATA ELEMENTS</w:t>
      </w:r>
    </w:p>
    <w:p w:rsidR="002A774F" w:rsidP="002A774F" w:rsidRDefault="002A774F" w14:paraId="52C02C99" w14:textId="77777777">
      <w:pPr>
        <w:spacing w:after="0" w:line="240" w:lineRule="auto"/>
        <w:rPr>
          <w:rFonts w:ascii="Times New Roman" w:hAnsi="Times New Roman" w:cs="Times New Roman"/>
          <w:sz w:val="23"/>
          <w:szCs w:val="23"/>
        </w:rPr>
      </w:pPr>
    </w:p>
    <w:p w:rsidR="00F33903" w:rsidP="002A774F" w:rsidRDefault="004D08EF" w14:paraId="0F3E3B87" w14:textId="44C6C855">
      <w:pPr>
        <w:spacing w:after="0" w:line="240" w:lineRule="auto"/>
        <w:ind w:left="720"/>
        <w:rPr>
          <w:rFonts w:ascii="Times New Roman" w:hAnsi="Times New Roman" w:cs="Times New Roman"/>
          <w:sz w:val="23"/>
          <w:szCs w:val="23"/>
        </w:rPr>
      </w:pPr>
      <w:r w:rsidRPr="00257A01">
        <w:rPr>
          <w:rFonts w:ascii="Times New Roman" w:hAnsi="Times New Roman" w:cs="Times New Roman"/>
          <w:sz w:val="23"/>
          <w:szCs w:val="23"/>
        </w:rPr>
        <w:t xml:space="preserve">In response to the </w:t>
      </w:r>
      <w:r w:rsidRPr="00257A01">
        <w:rPr>
          <w:rFonts w:ascii="Times New Roman" w:hAnsi="Times New Roman" w:cs="Times New Roman"/>
          <w:b/>
          <w:sz w:val="23"/>
          <w:szCs w:val="23"/>
        </w:rPr>
        <w:t>Federal Register</w:t>
      </w:r>
      <w:r w:rsidRPr="00257A01">
        <w:rPr>
          <w:rFonts w:ascii="Times New Roman" w:hAnsi="Times New Roman" w:cs="Times New Roman"/>
          <w:sz w:val="23"/>
          <w:szCs w:val="23"/>
        </w:rPr>
        <w:t xml:space="preserve"> Notice dated </w:t>
      </w:r>
      <w:r w:rsidRPr="00257A01" w:rsidR="00963CD4">
        <w:rPr>
          <w:rFonts w:ascii="Times New Roman" w:hAnsi="Times New Roman" w:cs="Times New Roman"/>
          <w:sz w:val="23"/>
          <w:szCs w:val="23"/>
        </w:rPr>
        <w:t xml:space="preserve">March </w:t>
      </w:r>
      <w:r w:rsidRPr="00257A01" w:rsidR="00B641E3">
        <w:rPr>
          <w:rFonts w:ascii="Times New Roman" w:hAnsi="Times New Roman" w:cs="Times New Roman"/>
          <w:sz w:val="23"/>
          <w:szCs w:val="23"/>
        </w:rPr>
        <w:t>2, 20</w:t>
      </w:r>
      <w:r w:rsidRPr="00257A01" w:rsidR="00963CD4">
        <w:rPr>
          <w:rFonts w:ascii="Times New Roman" w:hAnsi="Times New Roman" w:cs="Times New Roman"/>
          <w:sz w:val="23"/>
          <w:szCs w:val="23"/>
        </w:rPr>
        <w:t>21</w:t>
      </w:r>
      <w:r w:rsidRPr="00257A01" w:rsidR="00B641E3">
        <w:rPr>
          <w:rFonts w:ascii="Times New Roman" w:hAnsi="Times New Roman" w:cs="Times New Roman"/>
          <w:sz w:val="23"/>
          <w:szCs w:val="23"/>
        </w:rPr>
        <w:t>,</w:t>
      </w:r>
      <w:r w:rsidRPr="00257A01">
        <w:rPr>
          <w:rFonts w:ascii="Times New Roman" w:hAnsi="Times New Roman" w:cs="Times New Roman"/>
          <w:sz w:val="23"/>
          <w:szCs w:val="23"/>
        </w:rPr>
        <w:t xml:space="preserve"> (</w:t>
      </w:r>
      <w:r w:rsidRPr="00257A01" w:rsidR="00B641E3">
        <w:rPr>
          <w:rFonts w:ascii="Times New Roman" w:hAnsi="Times New Roman" w:cs="Times New Roman"/>
          <w:sz w:val="23"/>
          <w:szCs w:val="23"/>
        </w:rPr>
        <w:t>8</w:t>
      </w:r>
      <w:r w:rsidRPr="00257A01" w:rsidR="00963CD4">
        <w:rPr>
          <w:rFonts w:ascii="Times New Roman" w:hAnsi="Times New Roman" w:cs="Times New Roman"/>
          <w:sz w:val="23"/>
          <w:szCs w:val="23"/>
        </w:rPr>
        <w:t>6</w:t>
      </w:r>
      <w:r w:rsidRPr="00257A01">
        <w:rPr>
          <w:rFonts w:ascii="Times New Roman" w:hAnsi="Times New Roman" w:cs="Times New Roman"/>
          <w:sz w:val="23"/>
          <w:szCs w:val="23"/>
        </w:rPr>
        <w:t xml:space="preserve"> FR </w:t>
      </w:r>
      <w:r w:rsidRPr="00257A01" w:rsidR="00963CD4">
        <w:rPr>
          <w:rFonts w:ascii="Times New Roman" w:hAnsi="Times New Roman" w:cs="Times New Roman"/>
          <w:sz w:val="23"/>
          <w:szCs w:val="23"/>
        </w:rPr>
        <w:t>12254</w:t>
      </w:r>
      <w:r w:rsidRPr="00257A01">
        <w:rPr>
          <w:rFonts w:ascii="Times New Roman" w:hAnsi="Times New Roman" w:cs="Times New Roman"/>
          <w:sz w:val="23"/>
          <w:szCs w:val="23"/>
        </w:rPr>
        <w:t>), we received no comments during the comment period regarding Reg-125592-10</w:t>
      </w:r>
      <w:r w:rsidRPr="00257A01" w:rsidR="00BB4385">
        <w:rPr>
          <w:rFonts w:ascii="Times New Roman" w:hAnsi="Times New Roman" w:cs="Times New Roman"/>
          <w:sz w:val="23"/>
          <w:szCs w:val="23"/>
        </w:rPr>
        <w:t>/TD 9494</w:t>
      </w:r>
      <w:r w:rsidRPr="00257A01">
        <w:rPr>
          <w:rFonts w:ascii="Times New Roman" w:hAnsi="Times New Roman" w:cs="Times New Roman"/>
          <w:sz w:val="23"/>
          <w:szCs w:val="23"/>
        </w:rPr>
        <w:t>.</w:t>
      </w:r>
    </w:p>
    <w:p w:rsidR="002A774F" w:rsidP="002A774F" w:rsidRDefault="002A774F" w14:paraId="1900355B" w14:textId="380B9AAF">
      <w:pPr>
        <w:spacing w:after="0" w:line="240" w:lineRule="auto"/>
        <w:ind w:left="720"/>
        <w:rPr>
          <w:rFonts w:ascii="Times New Roman" w:hAnsi="Times New Roman" w:cs="Times New Roman"/>
          <w:sz w:val="23"/>
          <w:szCs w:val="23"/>
        </w:rPr>
      </w:pPr>
    </w:p>
    <w:p w:rsidRPr="002A774F" w:rsidR="002A774F" w:rsidP="002A774F" w:rsidRDefault="002A774F" w14:paraId="68B9A06D" w14:textId="77777777">
      <w:pPr>
        <w:pStyle w:val="Level1"/>
        <w:tabs>
          <w:tab w:val="left" w:pos="-1440"/>
          <w:tab w:val="num" w:pos="720"/>
        </w:tabs>
        <w:rPr>
          <w:rFonts w:ascii="Times New Roman" w:hAnsi="Times New Roman"/>
          <w:b/>
          <w:bCs/>
        </w:rPr>
      </w:pPr>
      <w:r w:rsidRPr="002A774F">
        <w:rPr>
          <w:rFonts w:ascii="Times New Roman" w:hAnsi="Times New Roman"/>
          <w:b/>
          <w:bCs/>
          <w:u w:val="single"/>
        </w:rPr>
        <w:t>EXPLANATION OF DECISION TO PROVIDE ANY PAYMENT OR GIFT TO RESPONDENTS</w:t>
      </w:r>
    </w:p>
    <w:p w:rsidRPr="00257A01" w:rsidR="002A774F" w:rsidP="002A774F" w:rsidRDefault="002A774F" w14:paraId="3039EF03" w14:textId="77777777">
      <w:pPr>
        <w:spacing w:after="0" w:line="240" w:lineRule="auto"/>
        <w:ind w:left="720"/>
        <w:rPr>
          <w:rFonts w:ascii="Times New Roman" w:hAnsi="Times New Roman" w:cs="Times New Roman"/>
          <w:sz w:val="23"/>
          <w:szCs w:val="23"/>
        </w:rPr>
      </w:pPr>
    </w:p>
    <w:p w:rsidR="00B641E3" w:rsidP="002A774F" w:rsidRDefault="00B641E3" w14:paraId="4AD8E654" w14:textId="16E5C636">
      <w:pPr>
        <w:ind w:firstLine="720"/>
        <w:rPr>
          <w:rFonts w:ascii="Times New Roman" w:hAnsi="Times New Roman" w:cs="Times New Roman"/>
          <w:sz w:val="23"/>
          <w:szCs w:val="23"/>
        </w:rPr>
      </w:pPr>
      <w:r w:rsidRPr="00257A01">
        <w:rPr>
          <w:rFonts w:ascii="Times New Roman" w:hAnsi="Times New Roman" w:cs="Times New Roman"/>
          <w:sz w:val="23"/>
          <w:szCs w:val="23"/>
        </w:rPr>
        <w:t>There has been no payments or gifts provided to respondents.</w:t>
      </w:r>
    </w:p>
    <w:p w:rsidRPr="002A774F" w:rsidR="002A774F" w:rsidP="002A774F" w:rsidRDefault="002A774F" w14:paraId="301F6698" w14:textId="77777777">
      <w:pPr>
        <w:pStyle w:val="Level1"/>
        <w:tabs>
          <w:tab w:val="left" w:pos="-1440"/>
          <w:tab w:val="num" w:pos="720"/>
        </w:tabs>
        <w:rPr>
          <w:rFonts w:ascii="Times New Roman" w:hAnsi="Times New Roman"/>
          <w:b/>
          <w:bCs/>
        </w:rPr>
      </w:pPr>
      <w:r w:rsidRPr="002A774F">
        <w:rPr>
          <w:rFonts w:ascii="Times New Roman" w:hAnsi="Times New Roman"/>
          <w:b/>
          <w:bCs/>
          <w:u w:val="single"/>
        </w:rPr>
        <w:t>ASSURANCE OF CONFIDENTIALITY OF RESPONSES</w:t>
      </w:r>
    </w:p>
    <w:p w:rsidR="002A774F" w:rsidP="002A774F" w:rsidRDefault="002A774F" w14:paraId="15091447" w14:textId="77777777">
      <w:pPr>
        <w:spacing w:after="0" w:line="240" w:lineRule="auto"/>
        <w:rPr>
          <w:rFonts w:ascii="Times New Roman" w:hAnsi="Times New Roman" w:cs="Times New Roman"/>
          <w:sz w:val="23"/>
          <w:szCs w:val="23"/>
        </w:rPr>
      </w:pPr>
    </w:p>
    <w:p w:rsidR="00F33903" w:rsidP="002A774F" w:rsidRDefault="00F33903" w14:paraId="3B37ED8A" w14:textId="49190E4F">
      <w:pPr>
        <w:spacing w:after="0" w:line="240" w:lineRule="auto"/>
        <w:ind w:left="720"/>
        <w:rPr>
          <w:rFonts w:ascii="Times New Roman" w:hAnsi="Times New Roman" w:cs="Times New Roman"/>
          <w:sz w:val="23"/>
          <w:szCs w:val="23"/>
        </w:rPr>
      </w:pPr>
      <w:r w:rsidRPr="00257A01">
        <w:rPr>
          <w:rFonts w:ascii="Times New Roman" w:hAnsi="Times New Roman" w:cs="Times New Roman"/>
          <w:sz w:val="23"/>
          <w:szCs w:val="23"/>
        </w:rPr>
        <w:t>Generally, tax returns and tax return information are confidential as required by 26 USC 6103.</w:t>
      </w:r>
    </w:p>
    <w:p w:rsidR="002A774F" w:rsidP="002A774F" w:rsidRDefault="002A774F" w14:paraId="6146D479" w14:textId="755215BF">
      <w:pPr>
        <w:spacing w:after="0" w:line="240" w:lineRule="auto"/>
        <w:rPr>
          <w:rFonts w:ascii="Times New Roman" w:hAnsi="Times New Roman" w:cs="Times New Roman"/>
          <w:sz w:val="23"/>
          <w:szCs w:val="23"/>
        </w:rPr>
      </w:pPr>
    </w:p>
    <w:p w:rsidRPr="00257A01" w:rsidR="002A774F" w:rsidP="002A774F" w:rsidRDefault="002A774F" w14:paraId="691940E3" w14:textId="77777777">
      <w:pPr>
        <w:spacing w:after="0" w:line="240" w:lineRule="auto"/>
        <w:rPr>
          <w:rFonts w:ascii="Times New Roman" w:hAnsi="Times New Roman" w:cs="Times New Roman"/>
          <w:sz w:val="23"/>
          <w:szCs w:val="23"/>
        </w:rPr>
      </w:pPr>
    </w:p>
    <w:p w:rsidRPr="002A774F" w:rsidR="002A774F" w:rsidP="002A774F" w:rsidRDefault="002A774F" w14:paraId="0AF14A85" w14:textId="77777777">
      <w:pPr>
        <w:pStyle w:val="Level1"/>
        <w:tabs>
          <w:tab w:val="left" w:pos="-1440"/>
          <w:tab w:val="num" w:pos="720"/>
        </w:tabs>
        <w:rPr>
          <w:rFonts w:ascii="Times New Roman" w:hAnsi="Times New Roman"/>
          <w:b/>
          <w:bCs/>
          <w:u w:val="single"/>
        </w:rPr>
      </w:pPr>
      <w:r w:rsidRPr="002A774F">
        <w:rPr>
          <w:rFonts w:ascii="Times New Roman" w:hAnsi="Times New Roman"/>
          <w:b/>
          <w:bCs/>
          <w:u w:val="single"/>
        </w:rPr>
        <w:t>JUSTIFICATION OF SENSITIVE QUESTIONS</w:t>
      </w:r>
    </w:p>
    <w:p w:rsidRPr="002A774F" w:rsidR="002A774F" w:rsidP="002A774F" w:rsidRDefault="002A774F" w14:paraId="65C486A3" w14:textId="77777777">
      <w:pPr>
        <w:spacing w:after="0" w:line="240" w:lineRule="auto"/>
        <w:rPr>
          <w:rFonts w:ascii="Times New Roman" w:hAnsi="Times New Roman" w:cs="Times New Roman"/>
          <w:u w:val="single"/>
        </w:rPr>
      </w:pPr>
    </w:p>
    <w:p w:rsidRPr="002A774F" w:rsidR="002A774F" w:rsidP="002A774F" w:rsidRDefault="002A774F" w14:paraId="3F6E0F81" w14:textId="77777777">
      <w:pPr>
        <w:spacing w:after="0" w:line="240" w:lineRule="auto"/>
        <w:ind w:left="720"/>
        <w:rPr>
          <w:rFonts w:ascii="Times New Roman" w:hAnsi="Times New Roman" w:cs="Times New Roman"/>
        </w:rPr>
      </w:pPr>
      <w:r w:rsidRPr="002A774F">
        <w:rPr>
          <w:rFonts w:ascii="Times New Roman" w:hAnsi="Times New Roman" w:cs="Times New Roman"/>
        </w:rPr>
        <w:t>A privacy impact assessment (PIA) has been conducted for information collected under                  this request as part of the  “</w:t>
      </w:r>
      <w:r w:rsidRPr="002A774F">
        <w:rPr>
          <w:rFonts w:ascii="Times New Roman" w:hAnsi="Times New Roman" w:cs="Times New Roman"/>
          <w:color w:val="000000"/>
        </w:rPr>
        <w:t>Business Master File (BMF)</w:t>
      </w:r>
      <w:r w:rsidRPr="002A774F">
        <w:rPr>
          <w:rFonts w:ascii="Times New Roman" w:hAnsi="Times New Roman" w:cs="Times New Roman"/>
        </w:rPr>
        <w:t xml:space="preserve">” system and a Privacy Act System             of Records notice (SORN) has been issued for this system under IRS 24.046-Customer                     Account Data Engine Business Master File.  The Internal Revenue Service PIAs can be                      found at </w:t>
      </w:r>
      <w:hyperlink w:history="1" r:id="rId7">
        <w:r w:rsidRPr="002A774F">
          <w:rPr>
            <w:rStyle w:val="Hyperlink"/>
            <w:rFonts w:ascii="Times New Roman" w:hAnsi="Times New Roman" w:cs="Times New Roman"/>
          </w:rPr>
          <w:t>https://www.irs.gov/uac/Privacy-Impact-Assessments-PIA</w:t>
        </w:r>
      </w:hyperlink>
      <w:r w:rsidRPr="002A774F">
        <w:rPr>
          <w:rFonts w:ascii="Times New Roman" w:hAnsi="Times New Roman" w:cs="Times New Roman"/>
        </w:rPr>
        <w:t>.</w:t>
      </w:r>
    </w:p>
    <w:p w:rsidRPr="002A774F" w:rsidR="002A774F" w:rsidP="002A774F" w:rsidRDefault="002A774F" w14:paraId="7C559E1A" w14:textId="77777777">
      <w:pPr>
        <w:pStyle w:val="ListParagraph"/>
        <w:spacing w:after="0" w:line="240" w:lineRule="auto"/>
        <w:rPr>
          <w:rFonts w:ascii="Times New Roman" w:hAnsi="Times New Roman" w:cs="Times New Roman"/>
        </w:rPr>
      </w:pPr>
    </w:p>
    <w:p w:rsidR="002A774F" w:rsidP="002A774F" w:rsidRDefault="002A774F" w14:paraId="4D1DDC26" w14:textId="022F25AB">
      <w:pPr>
        <w:spacing w:after="0" w:line="240" w:lineRule="auto"/>
        <w:ind w:left="720"/>
        <w:rPr>
          <w:rFonts w:ascii="Times New Roman" w:hAnsi="Times New Roman" w:cs="Times New Roman"/>
        </w:rPr>
      </w:pPr>
      <w:r w:rsidRPr="002A774F">
        <w:rPr>
          <w:rFonts w:ascii="Times New Roman" w:hAnsi="Times New Roman" w:cs="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A774F" w:rsidP="002A774F" w:rsidRDefault="002A774F" w14:paraId="65C4C532" w14:textId="48CDF239">
      <w:pPr>
        <w:spacing w:after="0" w:line="240" w:lineRule="auto"/>
        <w:ind w:left="720"/>
        <w:rPr>
          <w:rFonts w:ascii="Times New Roman" w:hAnsi="Times New Roman" w:cs="Times New Roman"/>
        </w:rPr>
      </w:pPr>
    </w:p>
    <w:p w:rsidRPr="002A774F" w:rsidR="002A774F" w:rsidP="002A774F" w:rsidRDefault="002A774F" w14:paraId="1FD24422" w14:textId="77777777">
      <w:pPr>
        <w:spacing w:after="0" w:line="240" w:lineRule="auto"/>
        <w:ind w:left="720"/>
        <w:rPr>
          <w:rFonts w:ascii="Times New Roman" w:hAnsi="Times New Roman" w:cs="Times New Roman"/>
        </w:rPr>
      </w:pPr>
    </w:p>
    <w:p w:rsidRPr="002A774F" w:rsidR="002A774F" w:rsidP="002A774F" w:rsidRDefault="002A774F" w14:paraId="3B0F692B" w14:textId="77777777">
      <w:pPr>
        <w:pStyle w:val="Level1"/>
        <w:tabs>
          <w:tab w:val="left" w:pos="-1440"/>
          <w:tab w:val="num" w:pos="720"/>
        </w:tabs>
        <w:rPr>
          <w:rFonts w:ascii="Times New Roman" w:hAnsi="Times New Roman"/>
          <w:b/>
          <w:bCs/>
          <w:u w:val="single"/>
        </w:rPr>
      </w:pPr>
      <w:r w:rsidRPr="002A774F">
        <w:rPr>
          <w:rFonts w:ascii="Times New Roman" w:hAnsi="Times New Roman"/>
          <w:b/>
          <w:bCs/>
          <w:u w:val="single"/>
        </w:rPr>
        <w:t>ESTIMATED BURDEN OF INFORMATION COLLECTION</w:t>
      </w:r>
    </w:p>
    <w:p w:rsidR="002A774F" w:rsidP="002A774F" w:rsidRDefault="002A774F" w14:paraId="28625EE4" w14:textId="77777777">
      <w:pPr>
        <w:spacing w:after="0" w:line="240" w:lineRule="auto"/>
        <w:rPr>
          <w:rFonts w:ascii="Times New Roman" w:hAnsi="Times New Roman" w:cs="Times New Roman"/>
          <w:sz w:val="23"/>
          <w:szCs w:val="23"/>
        </w:rPr>
      </w:pPr>
    </w:p>
    <w:p w:rsidRPr="00257A01" w:rsidR="00D12C9C" w:rsidP="002A774F" w:rsidRDefault="00D12C9C" w14:paraId="7C18AB72" w14:textId="499D08AB">
      <w:pPr>
        <w:spacing w:after="0" w:line="240" w:lineRule="auto"/>
        <w:ind w:left="720"/>
        <w:rPr>
          <w:rFonts w:ascii="Times New Roman" w:hAnsi="Times New Roman" w:cs="Times New Roman"/>
          <w:sz w:val="23"/>
          <w:szCs w:val="23"/>
        </w:rPr>
      </w:pPr>
      <w:r w:rsidRPr="00257A01">
        <w:rPr>
          <w:rFonts w:ascii="Times New Roman" w:hAnsi="Times New Roman" w:cs="Times New Roman"/>
          <w:sz w:val="23"/>
          <w:szCs w:val="23"/>
        </w:rPr>
        <w:t xml:space="preserve">Numbers provided in the narrative are rounded.  </w:t>
      </w:r>
    </w:p>
    <w:p w:rsidRPr="00257A01" w:rsidR="00DA3C1C" w:rsidP="002A774F" w:rsidRDefault="00037AD2" w14:paraId="597632AB" w14:textId="77777777">
      <w:pPr>
        <w:ind w:left="720"/>
        <w:rPr>
          <w:rFonts w:ascii="Times New Roman" w:hAnsi="Times New Roman" w:cs="Times New Roman"/>
          <w:sz w:val="23"/>
          <w:szCs w:val="23"/>
        </w:rPr>
      </w:pPr>
      <w:r w:rsidRPr="00257A01">
        <w:rPr>
          <w:rFonts w:ascii="Times New Roman" w:hAnsi="Times New Roman" w:cs="Times New Roman"/>
          <w:sz w:val="23"/>
          <w:szCs w:val="23"/>
        </w:rPr>
        <w:t>The Departments estimate that there are approximately</w:t>
      </w:r>
      <w:r w:rsidRPr="00257A01" w:rsidR="00496F62">
        <w:rPr>
          <w:rFonts w:ascii="Times New Roman" w:hAnsi="Times New Roman" w:cs="Times New Roman"/>
          <w:sz w:val="23"/>
          <w:szCs w:val="23"/>
        </w:rPr>
        <w:t xml:space="preserve"> 1,769,264 Group health covered plans that are required to respond</w:t>
      </w:r>
      <w:r w:rsidRPr="00257A01">
        <w:rPr>
          <w:rFonts w:ascii="Times New Roman" w:hAnsi="Times New Roman" w:cs="Times New Roman"/>
          <w:sz w:val="23"/>
          <w:szCs w:val="23"/>
        </w:rPr>
        <w:t xml:space="preserve"> 278,413</w:t>
      </w:r>
      <w:r w:rsidRPr="00257A01" w:rsidR="00496F62">
        <w:rPr>
          <w:rFonts w:ascii="Times New Roman" w:hAnsi="Times New Roman" w:cs="Times New Roman"/>
          <w:sz w:val="23"/>
          <w:szCs w:val="23"/>
        </w:rPr>
        <w:t xml:space="preserve"> times</w:t>
      </w:r>
      <w:r w:rsidRPr="00257A01">
        <w:rPr>
          <w:rFonts w:ascii="Times New Roman" w:hAnsi="Times New Roman" w:cs="Times New Roman"/>
          <w:sz w:val="23"/>
          <w:szCs w:val="23"/>
        </w:rPr>
        <w:t>.</w:t>
      </w:r>
      <w:r w:rsidRPr="00257A01" w:rsidR="00D12C9C">
        <w:rPr>
          <w:rFonts w:ascii="Times New Roman" w:hAnsi="Times New Roman" w:cs="Times New Roman"/>
          <w:sz w:val="23"/>
          <w:szCs w:val="23"/>
        </w:rPr>
        <w:t xml:space="preserve"> </w:t>
      </w:r>
      <w:r w:rsidRPr="00257A01" w:rsidR="00DA3C1C">
        <w:rPr>
          <w:rFonts w:ascii="Times New Roman" w:hAnsi="Times New Roman" w:cs="Times New Roman"/>
          <w:sz w:val="23"/>
          <w:szCs w:val="23"/>
        </w:rPr>
        <w:t>The Departments estimate that there are an estimated 1.3 external appeals for every 10,000 participants,</w:t>
      </w:r>
      <w:r w:rsidRPr="00257A01">
        <w:rPr>
          <w:rFonts w:ascii="Times New Roman" w:hAnsi="Times New Roman" w:cs="Times New Roman"/>
          <w:sz w:val="23"/>
          <w:szCs w:val="23"/>
        </w:rPr>
        <w:t xml:space="preserve"> </w:t>
      </w:r>
      <w:r w:rsidRPr="00257A01" w:rsidR="00DA3C1C">
        <w:rPr>
          <w:rFonts w:ascii="Times New Roman" w:hAnsi="Times New Roman" w:cs="Times New Roman"/>
          <w:sz w:val="23"/>
          <w:szCs w:val="23"/>
        </w:rPr>
        <w:t xml:space="preserve">and that there will be approximately 8,360 external appeals annually. Experience from North Carolina indicates that about 75 percent of requests for external appeals are </w:t>
      </w:r>
      <w:proofErr w:type="gramStart"/>
      <w:r w:rsidRPr="00257A01" w:rsidR="00DA3C1C">
        <w:rPr>
          <w:rFonts w:ascii="Times New Roman" w:hAnsi="Times New Roman" w:cs="Times New Roman"/>
          <w:sz w:val="23"/>
          <w:szCs w:val="23"/>
        </w:rPr>
        <w:t>actually eligible</w:t>
      </w:r>
      <w:proofErr w:type="gramEnd"/>
      <w:r w:rsidRPr="00257A01" w:rsidR="00DA3C1C">
        <w:rPr>
          <w:rFonts w:ascii="Times New Roman" w:hAnsi="Times New Roman" w:cs="Times New Roman"/>
          <w:sz w:val="23"/>
          <w:szCs w:val="23"/>
        </w:rPr>
        <w:t xml:space="preserve"> to proceed to an external review, therefore it is expected that there will be about 11,070 (8,630/0.75) requests for appeals.  </w:t>
      </w:r>
    </w:p>
    <w:p w:rsidRPr="00257A01" w:rsidR="00D12C9C" w:rsidP="002A774F" w:rsidRDefault="00D12C9C" w14:paraId="2682A682" w14:textId="77777777">
      <w:pPr>
        <w:ind w:left="720"/>
        <w:rPr>
          <w:rFonts w:ascii="Times New Roman" w:hAnsi="Times New Roman" w:cs="Times New Roman"/>
          <w:sz w:val="23"/>
          <w:szCs w:val="23"/>
        </w:rPr>
      </w:pPr>
      <w:r w:rsidRPr="00257A01">
        <w:rPr>
          <w:rFonts w:ascii="Times New Roman" w:hAnsi="Times New Roman" w:cs="Times New Roman"/>
          <w:sz w:val="23"/>
          <w:szCs w:val="23"/>
        </w:rPr>
        <w:t xml:space="preserve">Once an eligibility determination is made, plans must provide the IRO with all documentation and other information considered in making an adverse benefit determination.  For the 8,360 verified requests for external the hour burden is estimated as </w:t>
      </w:r>
      <w:r w:rsidRPr="00257A01">
        <w:rPr>
          <w:rFonts w:ascii="Times New Roman" w:hAnsi="Times New Roman" w:cs="Times New Roman"/>
          <w:b/>
          <w:sz w:val="23"/>
          <w:szCs w:val="23"/>
        </w:rPr>
        <w:t>700 hours</w:t>
      </w:r>
      <w:r w:rsidRPr="00257A01">
        <w:rPr>
          <w:rFonts w:ascii="Times New Roman" w:hAnsi="Times New Roman" w:cs="Times New Roman"/>
          <w:sz w:val="23"/>
          <w:szCs w:val="23"/>
        </w:rPr>
        <w:t xml:space="preserve"> (8,360* 5 minutes).</w:t>
      </w:r>
    </w:p>
    <w:p w:rsidRPr="00257A01" w:rsidR="00DA3C1C" w:rsidP="002A774F" w:rsidRDefault="00DA3C1C" w14:paraId="7D3AA1A3" w14:textId="77777777">
      <w:pPr>
        <w:ind w:left="720"/>
        <w:rPr>
          <w:rFonts w:ascii="Times New Roman" w:hAnsi="Times New Roman" w:cs="Times New Roman"/>
          <w:sz w:val="23"/>
          <w:szCs w:val="23"/>
        </w:rPr>
      </w:pPr>
      <w:r w:rsidRPr="00257A01">
        <w:rPr>
          <w:rFonts w:ascii="Times New Roman" w:hAnsi="Times New Roman" w:cs="Times New Roman"/>
          <w:sz w:val="23"/>
          <w:szCs w:val="23"/>
        </w:rPr>
        <w:t xml:space="preserve">The hour burden related to the preliminary review by plans of the request for external review is estimated to be </w:t>
      </w:r>
      <w:r w:rsidRPr="00257A01">
        <w:rPr>
          <w:rFonts w:ascii="Times New Roman" w:hAnsi="Times New Roman" w:cs="Times New Roman"/>
          <w:b/>
          <w:sz w:val="23"/>
          <w:szCs w:val="23"/>
        </w:rPr>
        <w:t>2,770 hours</w:t>
      </w:r>
      <w:r w:rsidRPr="00257A01">
        <w:rPr>
          <w:rFonts w:ascii="Times New Roman" w:hAnsi="Times New Roman" w:cs="Times New Roman"/>
          <w:sz w:val="23"/>
          <w:szCs w:val="23"/>
        </w:rPr>
        <w:t xml:space="preserve"> (11,070*0.25 </w:t>
      </w:r>
      <w:proofErr w:type="gramStart"/>
      <w:r w:rsidRPr="00257A01">
        <w:rPr>
          <w:rFonts w:ascii="Times New Roman" w:hAnsi="Times New Roman" w:cs="Times New Roman"/>
          <w:sz w:val="23"/>
          <w:szCs w:val="23"/>
        </w:rPr>
        <w:t>hours)  .</w:t>
      </w:r>
      <w:proofErr w:type="gramEnd"/>
      <w:r w:rsidRPr="00257A01">
        <w:rPr>
          <w:rFonts w:ascii="Times New Roman" w:hAnsi="Times New Roman" w:cs="Times New Roman"/>
          <w:sz w:val="23"/>
          <w:szCs w:val="23"/>
        </w:rPr>
        <w:t xml:space="preserve">  It is estimated that it will require an average of 15 minutes for each of the requests, for a plan to make an eligibility determination.  Plans will already have conducted internal reviews for eligible claimants; therefore, the required information for plans to make this determination should be readily available.  </w:t>
      </w:r>
      <w:r w:rsidRPr="00257A01" w:rsidR="00D12C9C">
        <w:rPr>
          <w:rFonts w:ascii="Times New Roman" w:hAnsi="Times New Roman" w:cs="Times New Roman"/>
          <w:sz w:val="23"/>
          <w:szCs w:val="23"/>
        </w:rPr>
        <w:t xml:space="preserve">Added to the </w:t>
      </w:r>
      <w:r w:rsidRPr="00257A01" w:rsidR="00D12C9C">
        <w:rPr>
          <w:rFonts w:ascii="Times New Roman" w:hAnsi="Times New Roman" w:cs="Times New Roman"/>
        </w:rPr>
        <w:t xml:space="preserve">burden hours for claims and appeals estimated at </w:t>
      </w:r>
      <w:r w:rsidRPr="00257A01" w:rsidR="00D12C9C">
        <w:rPr>
          <w:rFonts w:ascii="Times New Roman" w:hAnsi="Times New Roman" w:cs="Times New Roman"/>
          <w:b/>
        </w:rPr>
        <w:t>1,000 hours</w:t>
      </w:r>
      <w:r w:rsidRPr="00257A01" w:rsidR="00D12C9C">
        <w:rPr>
          <w:rFonts w:ascii="Times New Roman" w:hAnsi="Times New Roman" w:cs="Times New Roman"/>
        </w:rPr>
        <w:t xml:space="preserve"> annually</w:t>
      </w:r>
      <w:r w:rsidRPr="00257A01" w:rsidR="00D12C9C">
        <w:rPr>
          <w:rFonts w:ascii="Times New Roman" w:hAnsi="Times New Roman" w:cs="Times New Roman"/>
          <w:sz w:val="23"/>
          <w:szCs w:val="23"/>
        </w:rPr>
        <w:t xml:space="preserve"> </w:t>
      </w:r>
      <w:r w:rsidRPr="00257A01">
        <w:rPr>
          <w:rFonts w:ascii="Times New Roman" w:hAnsi="Times New Roman" w:cs="Times New Roman"/>
          <w:sz w:val="23"/>
          <w:szCs w:val="23"/>
        </w:rPr>
        <w:t>This leads to an hour burden of 3,470 hours related to external reviews.</w:t>
      </w:r>
    </w:p>
    <w:p w:rsidRPr="00257A01" w:rsidR="00037AD2" w:rsidP="002A774F" w:rsidRDefault="00037AD2" w14:paraId="4D57F74E" w14:textId="77777777">
      <w:pPr>
        <w:ind w:left="720"/>
        <w:rPr>
          <w:rFonts w:ascii="Times New Roman" w:hAnsi="Times New Roman" w:cs="Times New Roman"/>
          <w:sz w:val="23"/>
          <w:szCs w:val="23"/>
        </w:rPr>
      </w:pPr>
      <w:r w:rsidRPr="00257A01">
        <w:rPr>
          <w:rFonts w:ascii="Times New Roman" w:hAnsi="Times New Roman" w:cs="Times New Roman"/>
          <w:sz w:val="23"/>
          <w:szCs w:val="23"/>
        </w:rPr>
        <w:t xml:space="preserve">External appeals </w:t>
      </w:r>
      <w:r w:rsidRPr="00257A01">
        <w:rPr>
          <w:rFonts w:ascii="Times New Roman" w:hAnsi="Times New Roman" w:cs="Times New Roman"/>
          <w:sz w:val="23"/>
          <w:szCs w:val="23"/>
        </w:rPr>
        <w:tab/>
        <w:t>8, 360 x.08 (5 minutes)</w:t>
      </w:r>
      <w:r w:rsidRPr="00257A01">
        <w:rPr>
          <w:rFonts w:ascii="Times New Roman" w:hAnsi="Times New Roman" w:cs="Times New Roman"/>
          <w:sz w:val="23"/>
          <w:szCs w:val="23"/>
        </w:rPr>
        <w:tab/>
      </w:r>
      <w:r w:rsidRPr="00257A01">
        <w:rPr>
          <w:rFonts w:ascii="Times New Roman" w:hAnsi="Times New Roman" w:cs="Times New Roman"/>
          <w:sz w:val="23"/>
          <w:szCs w:val="23"/>
        </w:rPr>
        <w:tab/>
        <w:t>=</w:t>
      </w:r>
      <w:r w:rsidRPr="00257A01">
        <w:rPr>
          <w:rFonts w:ascii="Times New Roman" w:hAnsi="Times New Roman" w:cs="Times New Roman"/>
          <w:sz w:val="23"/>
          <w:szCs w:val="23"/>
        </w:rPr>
        <w:tab/>
        <w:t>700 hours</w:t>
      </w:r>
    </w:p>
    <w:p w:rsidRPr="00257A01" w:rsidR="00037AD2" w:rsidP="002A774F" w:rsidRDefault="00037AD2" w14:paraId="42B74660" w14:textId="77777777">
      <w:pPr>
        <w:ind w:left="720"/>
        <w:rPr>
          <w:rFonts w:ascii="Times New Roman" w:hAnsi="Times New Roman" w:cs="Times New Roman"/>
          <w:sz w:val="23"/>
          <w:szCs w:val="23"/>
        </w:rPr>
      </w:pPr>
      <w:r w:rsidRPr="00257A01">
        <w:rPr>
          <w:rFonts w:ascii="Times New Roman" w:hAnsi="Times New Roman" w:cs="Times New Roman"/>
          <w:sz w:val="23"/>
          <w:szCs w:val="23"/>
        </w:rPr>
        <w:t>Claims</w:t>
      </w:r>
      <w:r w:rsidRPr="00257A01" w:rsidR="00D12C9C">
        <w:rPr>
          <w:rFonts w:ascii="Times New Roman" w:hAnsi="Times New Roman" w:cs="Times New Roman"/>
          <w:sz w:val="23"/>
          <w:szCs w:val="23"/>
        </w:rPr>
        <w:t xml:space="preserve"> and Appeals</w:t>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t>=</w:t>
      </w:r>
      <w:r w:rsidRPr="00257A01">
        <w:rPr>
          <w:rFonts w:ascii="Times New Roman" w:hAnsi="Times New Roman" w:cs="Times New Roman"/>
          <w:sz w:val="23"/>
          <w:szCs w:val="23"/>
        </w:rPr>
        <w:tab/>
        <w:t>1,000 hours</w:t>
      </w:r>
    </w:p>
    <w:p w:rsidRPr="00257A01" w:rsidR="00DA3C1C" w:rsidP="002A774F" w:rsidRDefault="00037AD2" w14:paraId="0C139EF4" w14:textId="77777777">
      <w:pPr>
        <w:ind w:left="720"/>
        <w:rPr>
          <w:rFonts w:ascii="Times New Roman" w:hAnsi="Times New Roman" w:cs="Times New Roman"/>
          <w:sz w:val="23"/>
          <w:szCs w:val="23"/>
        </w:rPr>
      </w:pPr>
      <w:r w:rsidRPr="00257A01">
        <w:rPr>
          <w:rFonts w:ascii="Times New Roman" w:hAnsi="Times New Roman" w:cs="Times New Roman"/>
          <w:sz w:val="23"/>
          <w:szCs w:val="23"/>
        </w:rPr>
        <w:t xml:space="preserve">Grandfathered, </w:t>
      </w:r>
      <w:r w:rsidRPr="00257A01">
        <w:rPr>
          <w:rFonts w:ascii="Times New Roman" w:hAnsi="Times New Roman" w:cs="Times New Roman"/>
          <w:sz w:val="23"/>
          <w:szCs w:val="23"/>
        </w:rPr>
        <w:tab/>
        <w:t>11,070 x .25 (15 minutes)</w:t>
      </w:r>
      <w:r w:rsidRPr="00257A01">
        <w:rPr>
          <w:rFonts w:ascii="Times New Roman" w:hAnsi="Times New Roman" w:cs="Times New Roman"/>
          <w:sz w:val="23"/>
          <w:szCs w:val="23"/>
        </w:rPr>
        <w:tab/>
        <w:t>=</w:t>
      </w:r>
      <w:r w:rsidRPr="00257A01">
        <w:rPr>
          <w:rFonts w:ascii="Times New Roman" w:hAnsi="Times New Roman" w:cs="Times New Roman"/>
          <w:sz w:val="23"/>
          <w:szCs w:val="23"/>
        </w:rPr>
        <w:tab/>
      </w:r>
      <w:r w:rsidRPr="00257A01">
        <w:rPr>
          <w:rFonts w:ascii="Times New Roman" w:hAnsi="Times New Roman" w:cs="Times New Roman"/>
          <w:sz w:val="23"/>
          <w:szCs w:val="23"/>
          <w:u w:val="single"/>
        </w:rPr>
        <w:t>2,</w:t>
      </w:r>
      <w:r w:rsidRPr="00257A01" w:rsidR="00D12C9C">
        <w:rPr>
          <w:rFonts w:ascii="Times New Roman" w:hAnsi="Times New Roman" w:cs="Times New Roman"/>
          <w:sz w:val="23"/>
          <w:szCs w:val="23"/>
          <w:u w:val="single"/>
        </w:rPr>
        <w:t>7</w:t>
      </w:r>
      <w:r w:rsidRPr="00257A01">
        <w:rPr>
          <w:rFonts w:ascii="Times New Roman" w:hAnsi="Times New Roman" w:cs="Times New Roman"/>
          <w:sz w:val="23"/>
          <w:szCs w:val="23"/>
          <w:u w:val="single"/>
        </w:rPr>
        <w:t>70 hours</w:t>
      </w:r>
    </w:p>
    <w:p w:rsidRPr="00257A01" w:rsidR="00037AD2" w:rsidP="002A774F" w:rsidRDefault="00037AD2" w14:paraId="67C5B474" w14:textId="77777777">
      <w:pPr>
        <w:ind w:left="720"/>
        <w:rPr>
          <w:rFonts w:ascii="Times New Roman" w:hAnsi="Times New Roman" w:cs="Times New Roman"/>
          <w:sz w:val="23"/>
          <w:szCs w:val="23"/>
        </w:rPr>
      </w:pPr>
      <w:r w:rsidRPr="00257A01">
        <w:rPr>
          <w:rFonts w:ascii="Times New Roman" w:hAnsi="Times New Roman" w:cs="Times New Roman"/>
          <w:sz w:val="23"/>
          <w:szCs w:val="23"/>
        </w:rPr>
        <w:t>Total</w:t>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r>
      <w:r w:rsidRPr="00257A01">
        <w:rPr>
          <w:rFonts w:ascii="Times New Roman" w:hAnsi="Times New Roman" w:cs="Times New Roman"/>
          <w:sz w:val="23"/>
          <w:szCs w:val="23"/>
        </w:rPr>
        <w:tab/>
        <w:t>4,</w:t>
      </w:r>
      <w:r w:rsidRPr="00257A01" w:rsidR="00D12C9C">
        <w:rPr>
          <w:rFonts w:ascii="Times New Roman" w:hAnsi="Times New Roman" w:cs="Times New Roman"/>
          <w:sz w:val="23"/>
          <w:szCs w:val="23"/>
        </w:rPr>
        <w:t>7</w:t>
      </w:r>
      <w:r w:rsidRPr="00257A01">
        <w:rPr>
          <w:rFonts w:ascii="Times New Roman" w:hAnsi="Times New Roman" w:cs="Times New Roman"/>
          <w:sz w:val="23"/>
          <w:szCs w:val="23"/>
        </w:rPr>
        <w:t>70 hours</w:t>
      </w:r>
      <w:r w:rsidRPr="00257A01" w:rsidR="00D12C9C">
        <w:rPr>
          <w:rFonts w:ascii="Times New Roman" w:hAnsi="Times New Roman" w:cs="Times New Roman"/>
          <w:sz w:val="23"/>
          <w:szCs w:val="23"/>
        </w:rPr>
        <w:t xml:space="preserve"> (rounding differences)</w:t>
      </w:r>
    </w:p>
    <w:p w:rsidRPr="00257A01" w:rsidR="00642381" w:rsidP="002A774F" w:rsidRDefault="00642381" w14:paraId="32F65957" w14:textId="77777777">
      <w:pPr>
        <w:ind w:left="720"/>
        <w:rPr>
          <w:rFonts w:ascii="Times New Roman" w:hAnsi="Times New Roman" w:cs="Times New Roman"/>
          <w:sz w:val="23"/>
          <w:szCs w:val="23"/>
        </w:rPr>
      </w:pPr>
      <w:r w:rsidRPr="00257A01">
        <w:rPr>
          <w:rFonts w:ascii="Times New Roman" w:hAnsi="Times New Roman" w:cs="Times New Roman"/>
          <w:sz w:val="23"/>
          <w:szCs w:val="23"/>
        </w:rPr>
        <w:t xml:space="preserve">In </w:t>
      </w:r>
      <w:r w:rsidRPr="00257A01" w:rsidR="00D12C9C">
        <w:rPr>
          <w:rFonts w:ascii="Times New Roman" w:hAnsi="Times New Roman" w:cs="Times New Roman"/>
          <w:sz w:val="23"/>
          <w:szCs w:val="23"/>
        </w:rPr>
        <w:t>Summary</w:t>
      </w:r>
      <w:r w:rsidRPr="00257A01">
        <w:rPr>
          <w:rFonts w:ascii="Times New Roman" w:hAnsi="Times New Roman" w:cs="Times New Roman"/>
          <w:sz w:val="23"/>
          <w:szCs w:val="23"/>
        </w:rPr>
        <w:t>, the burden associated with claims, appeals, and external review is 4,5</w:t>
      </w:r>
      <w:r w:rsidRPr="00257A01" w:rsidR="00D12C9C">
        <w:rPr>
          <w:rFonts w:ascii="Times New Roman" w:hAnsi="Times New Roman" w:cs="Times New Roman"/>
          <w:sz w:val="23"/>
          <w:szCs w:val="23"/>
        </w:rPr>
        <w:t>42</w:t>
      </w:r>
      <w:r w:rsidRPr="00257A01">
        <w:rPr>
          <w:rFonts w:ascii="Times New Roman" w:hAnsi="Times New Roman" w:cs="Times New Roman"/>
          <w:sz w:val="23"/>
          <w:szCs w:val="23"/>
        </w:rPr>
        <w:t xml:space="preserve"> hours annually</w:t>
      </w:r>
      <w:r w:rsidRPr="00257A01" w:rsidR="00876544">
        <w:rPr>
          <w:rFonts w:ascii="Times New Roman" w:hAnsi="Times New Roman" w:cs="Times New Roman"/>
          <w:sz w:val="23"/>
          <w:szCs w:val="23"/>
        </w:rPr>
        <w:t xml:space="preserve"> for 556,826 respondents</w:t>
      </w:r>
      <w:r w:rsidRPr="00257A01">
        <w:rPr>
          <w:rFonts w:ascii="Times New Roman" w:hAnsi="Times New Roman" w:cs="Times New Roman"/>
          <w:sz w:val="23"/>
          <w:szCs w:val="23"/>
        </w:rPr>
        <w:t>.  Because the burden is shared equally between the Department of Labor and the Department of the Treasury, the Department of Treasury’s share is 2,</w:t>
      </w:r>
      <w:r w:rsidRPr="00257A01" w:rsidR="00D12C9C">
        <w:rPr>
          <w:rFonts w:ascii="Times New Roman" w:hAnsi="Times New Roman" w:cs="Times New Roman"/>
          <w:sz w:val="23"/>
          <w:szCs w:val="23"/>
        </w:rPr>
        <w:t>271</w:t>
      </w:r>
      <w:r w:rsidRPr="00257A01">
        <w:rPr>
          <w:rFonts w:ascii="Times New Roman" w:hAnsi="Times New Roman" w:cs="Times New Roman"/>
          <w:sz w:val="23"/>
          <w:szCs w:val="23"/>
        </w:rPr>
        <w:t xml:space="preserve"> </w:t>
      </w:r>
      <w:r w:rsidRPr="00257A01" w:rsidR="00106075">
        <w:rPr>
          <w:rFonts w:ascii="Times New Roman" w:hAnsi="Times New Roman" w:cs="Times New Roman"/>
          <w:sz w:val="23"/>
          <w:szCs w:val="23"/>
        </w:rPr>
        <w:t>hours</w:t>
      </w:r>
      <w:r w:rsidRPr="00257A01">
        <w:rPr>
          <w:rFonts w:ascii="Times New Roman" w:hAnsi="Times New Roman" w:cs="Times New Roman"/>
          <w:sz w:val="23"/>
          <w:szCs w:val="23"/>
        </w:rPr>
        <w:t>.</w:t>
      </w:r>
      <w:r w:rsidRPr="00257A01" w:rsidR="00D12C9C">
        <w:rPr>
          <w:rFonts w:ascii="Times New Roman" w:hAnsi="Times New Roman" w:cs="Times New Roman"/>
          <w:sz w:val="23"/>
          <w:szCs w:val="23"/>
        </w:rPr>
        <w:t xml:space="preserve"> </w:t>
      </w:r>
    </w:p>
    <w:tbl>
      <w:tblPr>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2"/>
        <w:gridCol w:w="2441"/>
        <w:gridCol w:w="1197"/>
        <w:gridCol w:w="1127"/>
        <w:gridCol w:w="1040"/>
        <w:gridCol w:w="1041"/>
        <w:gridCol w:w="954"/>
      </w:tblGrid>
      <w:tr w:rsidRPr="00257A01" w:rsidR="00496F62" w:rsidTr="002A774F" w14:paraId="22AE85FE" w14:textId="77777777">
        <w:trPr>
          <w:jc w:val="center"/>
        </w:trPr>
        <w:tc>
          <w:tcPr>
            <w:tcW w:w="1082" w:type="dxa"/>
            <w:shd w:val="clear" w:color="auto" w:fill="auto"/>
            <w:vAlign w:val="bottom"/>
          </w:tcPr>
          <w:p w:rsidRPr="00257A01" w:rsidR="00496F62" w:rsidP="00EE3D05" w:rsidRDefault="00496F62" w14:paraId="2FCE3A2B" w14:textId="77777777">
            <w:pPr>
              <w:keepNext/>
              <w:keepLines/>
              <w:numPr>
                <w:ilvl w:val="12"/>
                <w:numId w:val="0"/>
              </w:numPr>
              <w:jc w:val="center"/>
              <w:rPr>
                <w:rFonts w:ascii="Times New Roman" w:hAnsi="Times New Roman" w:cs="Times New Roman"/>
                <w:b/>
                <w:sz w:val="18"/>
                <w:szCs w:val="18"/>
              </w:rPr>
            </w:pPr>
            <w:bookmarkStart w:name="_Hlk495931810" w:id="0"/>
            <w:r w:rsidRPr="00257A01">
              <w:rPr>
                <w:rFonts w:ascii="Times New Roman" w:hAnsi="Times New Roman" w:cs="Times New Roman"/>
                <w:b/>
                <w:sz w:val="18"/>
                <w:szCs w:val="18"/>
              </w:rPr>
              <w:lastRenderedPageBreak/>
              <w:t>Authority</w:t>
            </w:r>
          </w:p>
        </w:tc>
        <w:tc>
          <w:tcPr>
            <w:tcW w:w="2441" w:type="dxa"/>
            <w:vAlign w:val="bottom"/>
          </w:tcPr>
          <w:p w:rsidRPr="00257A01" w:rsidR="00496F62" w:rsidP="00EE3D05" w:rsidRDefault="00496F62" w14:paraId="159A5C1D" w14:textId="77777777">
            <w:pPr>
              <w:keepNext/>
              <w:keepLines/>
              <w:numPr>
                <w:ilvl w:val="12"/>
                <w:numId w:val="0"/>
              </w:numPr>
              <w:jc w:val="center"/>
              <w:rPr>
                <w:rFonts w:ascii="Times New Roman" w:hAnsi="Times New Roman" w:cs="Times New Roman"/>
                <w:b/>
                <w:sz w:val="18"/>
                <w:szCs w:val="18"/>
              </w:rPr>
            </w:pPr>
            <w:r w:rsidRPr="00257A01">
              <w:rPr>
                <w:rFonts w:ascii="Times New Roman" w:hAnsi="Times New Roman" w:cs="Times New Roman"/>
                <w:b/>
                <w:sz w:val="18"/>
                <w:szCs w:val="18"/>
              </w:rPr>
              <w:t>Description</w:t>
            </w:r>
          </w:p>
        </w:tc>
        <w:tc>
          <w:tcPr>
            <w:tcW w:w="1197" w:type="dxa"/>
            <w:vAlign w:val="center"/>
          </w:tcPr>
          <w:p w:rsidRPr="00257A01" w:rsidR="00496F62" w:rsidP="00496F62" w:rsidRDefault="00496F62" w14:paraId="5DCC8BDE" w14:textId="77777777">
            <w:pPr>
              <w:keepNext/>
              <w:keepLines/>
              <w:numPr>
                <w:ilvl w:val="12"/>
                <w:numId w:val="0"/>
              </w:numPr>
              <w:jc w:val="center"/>
              <w:rPr>
                <w:rFonts w:ascii="Times New Roman" w:hAnsi="Times New Roman" w:cs="Times New Roman"/>
                <w:b/>
                <w:sz w:val="18"/>
                <w:szCs w:val="18"/>
              </w:rPr>
            </w:pPr>
            <w:r w:rsidRPr="00257A01">
              <w:rPr>
                <w:rFonts w:ascii="Times New Roman" w:hAnsi="Times New Roman" w:cs="Times New Roman"/>
                <w:b/>
                <w:sz w:val="18"/>
                <w:szCs w:val="18"/>
              </w:rPr>
              <w:t>Respondents</w:t>
            </w:r>
          </w:p>
        </w:tc>
        <w:tc>
          <w:tcPr>
            <w:tcW w:w="1127" w:type="dxa"/>
            <w:vAlign w:val="center"/>
          </w:tcPr>
          <w:p w:rsidRPr="00257A01" w:rsidR="00496F62" w:rsidP="00496F62" w:rsidRDefault="00496F62" w14:paraId="0B1E9A7E" w14:textId="77777777">
            <w:pPr>
              <w:keepNext/>
              <w:keepLines/>
              <w:numPr>
                <w:ilvl w:val="12"/>
                <w:numId w:val="0"/>
              </w:numPr>
              <w:jc w:val="center"/>
              <w:rPr>
                <w:rFonts w:ascii="Times New Roman" w:hAnsi="Times New Roman" w:cs="Times New Roman"/>
                <w:b/>
                <w:sz w:val="18"/>
                <w:szCs w:val="18"/>
              </w:rPr>
            </w:pPr>
            <w:r w:rsidRPr="00257A01">
              <w:rPr>
                <w:rFonts w:ascii="Times New Roman" w:hAnsi="Times New Roman" w:cs="Times New Roman"/>
                <w:b/>
                <w:sz w:val="18"/>
                <w:szCs w:val="18"/>
              </w:rPr>
              <w:t># of responses per Respondent</w:t>
            </w:r>
          </w:p>
        </w:tc>
        <w:tc>
          <w:tcPr>
            <w:tcW w:w="1040" w:type="dxa"/>
            <w:shd w:val="clear" w:color="auto" w:fill="auto"/>
            <w:vAlign w:val="bottom"/>
          </w:tcPr>
          <w:p w:rsidRPr="00257A01" w:rsidR="00496F62" w:rsidP="00EE3D05" w:rsidRDefault="00496F62" w14:paraId="30199B42" w14:textId="77777777">
            <w:pPr>
              <w:keepNext/>
              <w:keepLines/>
              <w:numPr>
                <w:ilvl w:val="12"/>
                <w:numId w:val="0"/>
              </w:numPr>
              <w:jc w:val="center"/>
              <w:rPr>
                <w:rFonts w:ascii="Times New Roman" w:hAnsi="Times New Roman" w:cs="Times New Roman"/>
                <w:b/>
                <w:sz w:val="18"/>
                <w:szCs w:val="18"/>
              </w:rPr>
            </w:pPr>
            <w:r w:rsidRPr="00257A01">
              <w:rPr>
                <w:rFonts w:ascii="Times New Roman" w:hAnsi="Times New Roman" w:cs="Times New Roman"/>
                <w:b/>
                <w:sz w:val="18"/>
                <w:szCs w:val="18"/>
              </w:rPr>
              <w:t>Annual Responses</w:t>
            </w:r>
          </w:p>
        </w:tc>
        <w:tc>
          <w:tcPr>
            <w:tcW w:w="1041" w:type="dxa"/>
            <w:vAlign w:val="bottom"/>
          </w:tcPr>
          <w:p w:rsidRPr="00257A01" w:rsidR="00496F62" w:rsidP="00EE3D05" w:rsidRDefault="00496F62" w14:paraId="6165F164" w14:textId="77777777">
            <w:pPr>
              <w:keepNext/>
              <w:keepLines/>
              <w:numPr>
                <w:ilvl w:val="12"/>
                <w:numId w:val="0"/>
              </w:numPr>
              <w:jc w:val="center"/>
              <w:rPr>
                <w:rFonts w:ascii="Times New Roman" w:hAnsi="Times New Roman" w:cs="Times New Roman"/>
                <w:b/>
                <w:sz w:val="18"/>
                <w:szCs w:val="18"/>
              </w:rPr>
            </w:pPr>
            <w:r w:rsidRPr="00257A01">
              <w:rPr>
                <w:rFonts w:ascii="Times New Roman" w:hAnsi="Times New Roman" w:cs="Times New Roman"/>
                <w:b/>
                <w:sz w:val="18"/>
                <w:szCs w:val="18"/>
              </w:rPr>
              <w:t>Hours per Response</w:t>
            </w:r>
          </w:p>
        </w:tc>
        <w:tc>
          <w:tcPr>
            <w:tcW w:w="954" w:type="dxa"/>
            <w:shd w:val="clear" w:color="auto" w:fill="auto"/>
            <w:vAlign w:val="bottom"/>
          </w:tcPr>
          <w:p w:rsidRPr="00257A01" w:rsidR="00496F62" w:rsidP="00EE3D05" w:rsidRDefault="00496F62" w14:paraId="1EEA6EEF" w14:textId="77777777">
            <w:pPr>
              <w:keepNext/>
              <w:keepLines/>
              <w:numPr>
                <w:ilvl w:val="12"/>
                <w:numId w:val="0"/>
              </w:numPr>
              <w:jc w:val="center"/>
              <w:rPr>
                <w:rFonts w:ascii="Times New Roman" w:hAnsi="Times New Roman" w:cs="Times New Roman"/>
                <w:b/>
                <w:sz w:val="18"/>
                <w:szCs w:val="18"/>
              </w:rPr>
            </w:pPr>
            <w:r w:rsidRPr="00257A01">
              <w:rPr>
                <w:rFonts w:ascii="Times New Roman" w:hAnsi="Times New Roman" w:cs="Times New Roman"/>
                <w:b/>
                <w:sz w:val="18"/>
                <w:szCs w:val="18"/>
              </w:rPr>
              <w:t>Total Burden</w:t>
            </w:r>
          </w:p>
        </w:tc>
      </w:tr>
      <w:tr w:rsidRPr="00257A01" w:rsidR="00496F62" w:rsidTr="002A774F" w14:paraId="2557AF50" w14:textId="77777777">
        <w:trPr>
          <w:jc w:val="center"/>
        </w:trPr>
        <w:tc>
          <w:tcPr>
            <w:tcW w:w="1082" w:type="dxa"/>
            <w:shd w:val="clear" w:color="auto" w:fill="auto"/>
            <w:vAlign w:val="bottom"/>
          </w:tcPr>
          <w:p w:rsidRPr="00257A01" w:rsidR="00496F62" w:rsidP="00EE3D05" w:rsidRDefault="00496F62" w14:paraId="1C571979"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Public Law 111-148</w:t>
            </w:r>
          </w:p>
        </w:tc>
        <w:tc>
          <w:tcPr>
            <w:tcW w:w="2441" w:type="dxa"/>
            <w:vAlign w:val="bottom"/>
          </w:tcPr>
          <w:p w:rsidRPr="00257A01" w:rsidR="00496F62" w:rsidP="00496F62" w:rsidRDefault="00496F62" w14:paraId="5478F346"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Affordable Care Act Internal Claims and Appeals and External review Disclosures.</w:t>
            </w:r>
          </w:p>
        </w:tc>
        <w:tc>
          <w:tcPr>
            <w:tcW w:w="1197" w:type="dxa"/>
            <w:vAlign w:val="bottom"/>
          </w:tcPr>
          <w:p w:rsidRPr="00257A01" w:rsidR="00496F62" w:rsidP="00496F62" w:rsidRDefault="00496F62" w14:paraId="3F19A6BC"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1,769,264</w:t>
            </w:r>
          </w:p>
        </w:tc>
        <w:tc>
          <w:tcPr>
            <w:tcW w:w="1127" w:type="dxa"/>
            <w:vAlign w:val="bottom"/>
          </w:tcPr>
          <w:p w:rsidRPr="00257A01" w:rsidR="00496F62" w:rsidP="00496F62" w:rsidRDefault="00496F62" w14:paraId="561E6020"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0.1573603</w:t>
            </w:r>
          </w:p>
        </w:tc>
        <w:tc>
          <w:tcPr>
            <w:tcW w:w="1040" w:type="dxa"/>
            <w:shd w:val="clear" w:color="auto" w:fill="auto"/>
            <w:vAlign w:val="bottom"/>
          </w:tcPr>
          <w:p w:rsidRPr="00257A01" w:rsidR="00496F62" w:rsidP="00EE3D05" w:rsidRDefault="00496F62" w14:paraId="665A7FB1"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278,413</w:t>
            </w:r>
          </w:p>
        </w:tc>
        <w:tc>
          <w:tcPr>
            <w:tcW w:w="1041" w:type="dxa"/>
            <w:vAlign w:val="bottom"/>
          </w:tcPr>
          <w:p w:rsidRPr="00257A01" w:rsidR="00496F62" w:rsidP="00EE3D05" w:rsidRDefault="00496F62" w14:paraId="38E1A1DC"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.5 minute</w:t>
            </w:r>
          </w:p>
        </w:tc>
        <w:tc>
          <w:tcPr>
            <w:tcW w:w="954" w:type="dxa"/>
            <w:shd w:val="clear" w:color="auto" w:fill="auto"/>
            <w:vAlign w:val="bottom"/>
          </w:tcPr>
          <w:p w:rsidRPr="00257A01" w:rsidR="00496F62" w:rsidP="00EE3D05" w:rsidRDefault="00496F62" w14:paraId="430B58BA"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2,271</w:t>
            </w:r>
          </w:p>
        </w:tc>
      </w:tr>
      <w:tr w:rsidRPr="00257A01" w:rsidR="00496F62" w:rsidTr="002A774F" w14:paraId="2239CD1F" w14:textId="77777777">
        <w:trPr>
          <w:jc w:val="center"/>
        </w:trPr>
        <w:tc>
          <w:tcPr>
            <w:tcW w:w="1082" w:type="dxa"/>
            <w:shd w:val="clear" w:color="auto" w:fill="auto"/>
            <w:vAlign w:val="bottom"/>
          </w:tcPr>
          <w:p w:rsidRPr="00257A01" w:rsidR="00496F62" w:rsidP="00EE3D05" w:rsidRDefault="00496F62" w14:paraId="2FED5E70"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Totals</w:t>
            </w:r>
          </w:p>
        </w:tc>
        <w:tc>
          <w:tcPr>
            <w:tcW w:w="2441" w:type="dxa"/>
            <w:vAlign w:val="bottom"/>
          </w:tcPr>
          <w:p w:rsidRPr="00257A01" w:rsidR="00496F62" w:rsidP="00EE3D05" w:rsidRDefault="00496F62" w14:paraId="404CC861" w14:textId="77777777">
            <w:pPr>
              <w:keepNext/>
              <w:keepLines/>
              <w:numPr>
                <w:ilvl w:val="12"/>
                <w:numId w:val="0"/>
              </w:numPr>
              <w:jc w:val="center"/>
              <w:rPr>
                <w:rFonts w:ascii="Times New Roman" w:hAnsi="Times New Roman" w:cs="Times New Roman"/>
                <w:sz w:val="18"/>
                <w:szCs w:val="18"/>
              </w:rPr>
            </w:pPr>
          </w:p>
        </w:tc>
        <w:tc>
          <w:tcPr>
            <w:tcW w:w="1197" w:type="dxa"/>
          </w:tcPr>
          <w:p w:rsidRPr="00257A01" w:rsidR="00496F62" w:rsidP="00EE3D05" w:rsidRDefault="00496F62" w14:paraId="5CAFF4F9" w14:textId="77777777">
            <w:pPr>
              <w:keepNext/>
              <w:keepLines/>
              <w:numPr>
                <w:ilvl w:val="12"/>
                <w:numId w:val="0"/>
              </w:numPr>
              <w:jc w:val="center"/>
              <w:rPr>
                <w:rFonts w:ascii="Times New Roman" w:hAnsi="Times New Roman" w:cs="Times New Roman"/>
                <w:sz w:val="18"/>
                <w:szCs w:val="18"/>
              </w:rPr>
            </w:pPr>
          </w:p>
        </w:tc>
        <w:tc>
          <w:tcPr>
            <w:tcW w:w="1127" w:type="dxa"/>
          </w:tcPr>
          <w:p w:rsidRPr="00257A01" w:rsidR="00496F62" w:rsidP="00EE3D05" w:rsidRDefault="00496F62" w14:paraId="6555D616" w14:textId="77777777">
            <w:pPr>
              <w:keepNext/>
              <w:keepLines/>
              <w:numPr>
                <w:ilvl w:val="12"/>
                <w:numId w:val="0"/>
              </w:numPr>
              <w:jc w:val="center"/>
              <w:rPr>
                <w:rFonts w:ascii="Times New Roman" w:hAnsi="Times New Roman" w:cs="Times New Roman"/>
                <w:sz w:val="18"/>
                <w:szCs w:val="18"/>
              </w:rPr>
            </w:pPr>
          </w:p>
        </w:tc>
        <w:tc>
          <w:tcPr>
            <w:tcW w:w="1040" w:type="dxa"/>
            <w:shd w:val="clear" w:color="auto" w:fill="auto"/>
            <w:vAlign w:val="bottom"/>
          </w:tcPr>
          <w:p w:rsidRPr="00257A01" w:rsidR="00496F62" w:rsidP="00EE3D05" w:rsidRDefault="00496F62" w14:paraId="2902FDD5"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278,413</w:t>
            </w:r>
          </w:p>
        </w:tc>
        <w:tc>
          <w:tcPr>
            <w:tcW w:w="1041" w:type="dxa"/>
            <w:vAlign w:val="bottom"/>
          </w:tcPr>
          <w:p w:rsidRPr="00257A01" w:rsidR="00496F62" w:rsidP="00EE3D05" w:rsidRDefault="00496F62" w14:paraId="72D0A72C" w14:textId="77777777">
            <w:pPr>
              <w:keepNext/>
              <w:keepLines/>
              <w:numPr>
                <w:ilvl w:val="12"/>
                <w:numId w:val="0"/>
              </w:numPr>
              <w:jc w:val="center"/>
              <w:rPr>
                <w:rFonts w:ascii="Times New Roman" w:hAnsi="Times New Roman" w:cs="Times New Roman"/>
                <w:sz w:val="18"/>
                <w:szCs w:val="18"/>
              </w:rPr>
            </w:pPr>
          </w:p>
        </w:tc>
        <w:tc>
          <w:tcPr>
            <w:tcW w:w="954" w:type="dxa"/>
            <w:shd w:val="clear" w:color="auto" w:fill="auto"/>
            <w:vAlign w:val="bottom"/>
          </w:tcPr>
          <w:p w:rsidRPr="00257A01" w:rsidR="00496F62" w:rsidP="00EE3D05" w:rsidRDefault="00496F62" w14:paraId="49AA382C" w14:textId="77777777">
            <w:pPr>
              <w:keepNext/>
              <w:keepLines/>
              <w:numPr>
                <w:ilvl w:val="12"/>
                <w:numId w:val="0"/>
              </w:numPr>
              <w:jc w:val="center"/>
              <w:rPr>
                <w:rFonts w:ascii="Times New Roman" w:hAnsi="Times New Roman" w:cs="Times New Roman"/>
                <w:sz w:val="18"/>
                <w:szCs w:val="18"/>
              </w:rPr>
            </w:pPr>
            <w:r w:rsidRPr="00257A01">
              <w:rPr>
                <w:rFonts w:ascii="Times New Roman" w:hAnsi="Times New Roman" w:cs="Times New Roman"/>
                <w:sz w:val="18"/>
                <w:szCs w:val="18"/>
              </w:rPr>
              <w:t>2,271</w:t>
            </w:r>
          </w:p>
        </w:tc>
      </w:tr>
    </w:tbl>
    <w:p w:rsidRPr="001371A0" w:rsidR="001371A0" w:rsidP="001371A0" w:rsidRDefault="001371A0" w14:paraId="18855F07" w14:textId="2B8279C5">
      <w:pPr>
        <w:ind w:left="720"/>
        <w:rPr>
          <w:rFonts w:ascii="Times New Roman" w:hAnsi="Times New Roman" w:cs="Times New Roman"/>
          <w:b/>
          <w:bCs/>
        </w:rPr>
      </w:pPr>
      <w:bookmarkStart w:name="_Hlk65079402" w:id="1"/>
      <w:bookmarkEnd w:id="0"/>
      <w:r w:rsidRPr="001371A0">
        <w:rPr>
          <w:rFonts w:ascii="Times New Roman" w:hAnsi="Times New Roman" w:cs="Times New Roman"/>
        </w:rPr>
        <w:t>The following regulation impose</w:t>
      </w:r>
      <w:r>
        <w:rPr>
          <w:rFonts w:ascii="Times New Roman" w:hAnsi="Times New Roman" w:cs="Times New Roman"/>
        </w:rPr>
        <w:t>s</w:t>
      </w:r>
      <w:r w:rsidRPr="001371A0">
        <w:rPr>
          <w:rFonts w:ascii="Times New Roman" w:hAnsi="Times New Roman" w:cs="Times New Roman"/>
        </w:rPr>
        <w:t xml:space="preserve"> no additional burden.  Please continue to assign OMB number 1545-</w:t>
      </w:r>
      <w:r>
        <w:rPr>
          <w:rFonts w:ascii="Times New Roman" w:hAnsi="Times New Roman" w:cs="Times New Roman"/>
        </w:rPr>
        <w:t>2</w:t>
      </w:r>
      <w:r w:rsidRPr="001371A0">
        <w:rPr>
          <w:rFonts w:ascii="Times New Roman" w:hAnsi="Times New Roman" w:cs="Times New Roman"/>
        </w:rPr>
        <w:t>1</w:t>
      </w:r>
      <w:r>
        <w:rPr>
          <w:rFonts w:ascii="Times New Roman" w:hAnsi="Times New Roman" w:cs="Times New Roman"/>
        </w:rPr>
        <w:t>82</w:t>
      </w:r>
      <w:r w:rsidRPr="001371A0">
        <w:rPr>
          <w:rFonts w:ascii="Times New Roman" w:hAnsi="Times New Roman" w:cs="Times New Roman"/>
        </w:rPr>
        <w:t>0 to th</w:t>
      </w:r>
      <w:r>
        <w:rPr>
          <w:rFonts w:ascii="Times New Roman" w:hAnsi="Times New Roman" w:cs="Times New Roman"/>
        </w:rPr>
        <w:t>i</w:t>
      </w:r>
      <w:r w:rsidRPr="001371A0">
        <w:rPr>
          <w:rFonts w:ascii="Times New Roman" w:hAnsi="Times New Roman" w:cs="Times New Roman"/>
        </w:rPr>
        <w:t>s regulation</w:t>
      </w:r>
      <w:r>
        <w:rPr>
          <w:rFonts w:ascii="Times New Roman" w:hAnsi="Times New Roman" w:cs="Times New Roman"/>
        </w:rPr>
        <w:t xml:space="preserve">:  </w:t>
      </w:r>
      <w:r>
        <w:rPr>
          <w:rFonts w:ascii="Times New Roman" w:hAnsi="Times New Roman" w:cs="Times New Roman"/>
          <w:b/>
          <w:bCs/>
        </w:rPr>
        <w:t>54.9815-2719T</w:t>
      </w:r>
    </w:p>
    <w:bookmarkEnd w:id="1"/>
    <w:p w:rsidRPr="00257A01" w:rsidR="00642381" w:rsidP="004D08EF" w:rsidRDefault="00642381" w14:paraId="1E7EEFA3" w14:textId="77777777">
      <w:pPr>
        <w:rPr>
          <w:rFonts w:ascii="Times New Roman" w:hAnsi="Times New Roman" w:cs="Times New Roman"/>
          <w:sz w:val="23"/>
          <w:szCs w:val="23"/>
        </w:rPr>
      </w:pPr>
    </w:p>
    <w:p w:rsidRPr="009F629E" w:rsidR="009F629E" w:rsidP="009F629E" w:rsidRDefault="009F629E" w14:paraId="101210D6" w14:textId="77777777">
      <w:pPr>
        <w:pStyle w:val="Level1"/>
        <w:tabs>
          <w:tab w:val="left" w:pos="-1440"/>
          <w:tab w:val="num" w:pos="360"/>
        </w:tabs>
        <w:ind w:left="360" w:hanging="360"/>
        <w:rPr>
          <w:rFonts w:ascii="Times New Roman" w:hAnsi="Times New Roman"/>
          <w:b/>
          <w:bCs/>
          <w:u w:val="single"/>
        </w:rPr>
      </w:pPr>
      <w:r w:rsidRPr="009F629E">
        <w:rPr>
          <w:rFonts w:ascii="Times New Roman" w:hAnsi="Times New Roman"/>
          <w:b/>
          <w:bCs/>
          <w:u w:val="single"/>
        </w:rPr>
        <w:t>ESTIMATED TOTAL ANNUAL COST BURDEN TO RESPONDENTS</w:t>
      </w:r>
    </w:p>
    <w:p w:rsidRPr="009F629E" w:rsidR="009F629E" w:rsidP="009F629E" w:rsidRDefault="009F629E" w14:paraId="201C9C90" w14:textId="77777777">
      <w:pPr>
        <w:spacing w:after="0" w:line="240" w:lineRule="auto"/>
        <w:rPr>
          <w:rFonts w:ascii="Times New Roman" w:hAnsi="Times New Roman" w:cs="Times New Roman"/>
        </w:rPr>
      </w:pPr>
      <w:r w:rsidRPr="009F629E">
        <w:rPr>
          <w:rFonts w:ascii="Times New Roman" w:hAnsi="Times New Roman" w:cs="Times New Roman"/>
        </w:rPr>
        <w:t xml:space="preserve">    </w:t>
      </w:r>
    </w:p>
    <w:p w:rsidRPr="009F629E" w:rsidR="009F629E" w:rsidP="009F629E" w:rsidRDefault="009F629E" w14:paraId="04AF0A58" w14:textId="39F6B4B4">
      <w:pPr>
        <w:spacing w:after="0" w:line="240" w:lineRule="auto"/>
        <w:ind w:left="720"/>
        <w:rPr>
          <w:rFonts w:ascii="Times New Roman" w:hAnsi="Times New Roman" w:cs="Times New Roman"/>
          <w:sz w:val="23"/>
          <w:szCs w:val="23"/>
        </w:rPr>
      </w:pPr>
      <w:r w:rsidRPr="009F629E">
        <w:rPr>
          <w:rFonts w:ascii="Times New Roman" w:hAnsi="Times New Roman" w:cs="Times New Roman"/>
          <w:sz w:val="23"/>
          <w:szCs w:val="23"/>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64739" w:rsidR="009F629E" w:rsidP="009F629E" w:rsidRDefault="009F629E" w14:paraId="487F2180" w14:textId="77777777">
      <w:pPr>
        <w:spacing w:after="0" w:line="240" w:lineRule="auto"/>
        <w:ind w:left="720"/>
        <w:rPr>
          <w:rFonts w:ascii="Calibri Light" w:hAnsi="Calibri Light" w:cs="Calibri Light"/>
        </w:rPr>
      </w:pPr>
    </w:p>
    <w:p w:rsidRPr="009F629E" w:rsidR="009F629E" w:rsidP="009F629E" w:rsidRDefault="009F629E" w14:paraId="04F80018" w14:textId="77777777">
      <w:pPr>
        <w:pStyle w:val="Level1"/>
        <w:tabs>
          <w:tab w:val="left" w:pos="-1440"/>
          <w:tab w:val="num" w:pos="720"/>
        </w:tabs>
        <w:rPr>
          <w:rFonts w:ascii="Times New Roman" w:hAnsi="Times New Roman"/>
          <w:b/>
          <w:bCs/>
        </w:rPr>
      </w:pPr>
      <w:r w:rsidRPr="009F629E">
        <w:rPr>
          <w:rFonts w:ascii="Times New Roman" w:hAnsi="Times New Roman"/>
          <w:b/>
          <w:bCs/>
          <w:u w:val="single"/>
        </w:rPr>
        <w:t>ESTIMATED ANNUALIZED COST TO THE FEDERAL GOVERNMENT</w:t>
      </w:r>
    </w:p>
    <w:p w:rsidRPr="00764739" w:rsidR="009F629E" w:rsidP="009F629E" w:rsidRDefault="009F629E" w14:paraId="361F851D" w14:textId="7F9151B1">
      <w:pPr>
        <w:pStyle w:val="Level1"/>
        <w:numPr>
          <w:ilvl w:val="0"/>
          <w:numId w:val="0"/>
        </w:numPr>
        <w:tabs>
          <w:tab w:val="left" w:pos="-1440"/>
        </w:tabs>
        <w:ind w:left="720"/>
        <w:rPr>
          <w:rFonts w:ascii="Calibri Light" w:hAnsi="Calibri Light" w:cs="Calibri Light"/>
        </w:rPr>
      </w:pPr>
      <w:r w:rsidRPr="00764739">
        <w:rPr>
          <w:rFonts w:ascii="Calibri Light" w:hAnsi="Calibri Light" w:cs="Calibri Light"/>
        </w:rPr>
        <w:t xml:space="preserve">  </w:t>
      </w:r>
    </w:p>
    <w:p w:rsidR="00F33903" w:rsidP="009F629E" w:rsidRDefault="00D2307B" w14:paraId="2F10414E" w14:textId="5E5F8072">
      <w:pPr>
        <w:spacing w:after="0" w:line="240" w:lineRule="auto"/>
        <w:ind w:left="720"/>
        <w:rPr>
          <w:rFonts w:ascii="Times New Roman" w:hAnsi="Times New Roman" w:cs="Times New Roman"/>
          <w:sz w:val="23"/>
          <w:szCs w:val="23"/>
        </w:rPr>
      </w:pPr>
      <w:r w:rsidRPr="00257A01">
        <w:rPr>
          <w:rFonts w:ascii="Times New Roman" w:hAnsi="Times New Roman" w:cs="Times New Roman"/>
          <w:sz w:val="23"/>
          <w:szCs w:val="23"/>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IRS has estimated the printing costs to be </w:t>
      </w:r>
      <w:r w:rsidRPr="00257A01" w:rsidR="00222E99">
        <w:rPr>
          <w:rFonts w:ascii="Times New Roman" w:hAnsi="Times New Roman" w:cs="Times New Roman"/>
          <w:sz w:val="23"/>
          <w:szCs w:val="23"/>
        </w:rPr>
        <w:t>$26,000.</w:t>
      </w:r>
    </w:p>
    <w:p w:rsidRPr="00257A01" w:rsidR="009F629E" w:rsidP="009F629E" w:rsidRDefault="009F629E" w14:paraId="10CF7686" w14:textId="77777777">
      <w:pPr>
        <w:spacing w:after="0" w:line="240" w:lineRule="auto"/>
        <w:rPr>
          <w:rFonts w:ascii="Times New Roman" w:hAnsi="Times New Roman" w:cs="Times New Roman"/>
          <w:sz w:val="23"/>
          <w:szCs w:val="23"/>
        </w:rPr>
      </w:pPr>
    </w:p>
    <w:p w:rsidRPr="009F629E" w:rsidR="009F629E" w:rsidP="009F629E" w:rsidRDefault="009F629E" w14:paraId="2E1B97E4" w14:textId="00ADC118">
      <w:pPr>
        <w:pStyle w:val="Level1"/>
        <w:ind w:left="360" w:hanging="360"/>
        <w:rPr>
          <w:rFonts w:ascii="Times New Roman" w:hAnsi="Times New Roman"/>
          <w:b/>
          <w:bCs/>
          <w:u w:val="single"/>
        </w:rPr>
      </w:pPr>
      <w:r w:rsidRPr="009F629E">
        <w:rPr>
          <w:rFonts w:ascii="Times New Roman" w:hAnsi="Times New Roman"/>
          <w:b/>
          <w:bCs/>
          <w:u w:val="single"/>
        </w:rPr>
        <w:t xml:space="preserve">REASONS FOR CHANGE IN BURDEN </w:t>
      </w:r>
    </w:p>
    <w:p w:rsidRPr="009F629E" w:rsidR="009F629E" w:rsidP="009F629E" w:rsidRDefault="009F629E" w14:paraId="24D57735" w14:textId="77777777">
      <w:pPr>
        <w:pStyle w:val="Level1"/>
        <w:numPr>
          <w:ilvl w:val="0"/>
          <w:numId w:val="0"/>
        </w:numPr>
        <w:ind w:left="360"/>
        <w:rPr>
          <w:rFonts w:ascii="Times New Roman" w:hAnsi="Times New Roman"/>
          <w:sz w:val="23"/>
          <w:szCs w:val="23"/>
        </w:rPr>
      </w:pPr>
    </w:p>
    <w:p w:rsidR="00B80682" w:rsidP="009F629E" w:rsidRDefault="004C7C19" w14:paraId="214B896F" w14:textId="62C87F62">
      <w:pPr>
        <w:pStyle w:val="Level1"/>
        <w:numPr>
          <w:ilvl w:val="0"/>
          <w:numId w:val="0"/>
        </w:numPr>
        <w:ind w:left="360" w:firstLine="360"/>
        <w:rPr>
          <w:rFonts w:ascii="Times New Roman" w:hAnsi="Times New Roman"/>
          <w:sz w:val="23"/>
          <w:szCs w:val="23"/>
        </w:rPr>
      </w:pPr>
      <w:r w:rsidRPr="009F629E">
        <w:rPr>
          <w:rFonts w:ascii="Times New Roman" w:hAnsi="Times New Roman"/>
          <w:sz w:val="23"/>
          <w:szCs w:val="23"/>
        </w:rPr>
        <w:t xml:space="preserve">There are no changes to the regulation or burden </w:t>
      </w:r>
      <w:proofErr w:type="gramStart"/>
      <w:r w:rsidRPr="009F629E">
        <w:rPr>
          <w:rFonts w:ascii="Times New Roman" w:hAnsi="Times New Roman"/>
          <w:sz w:val="23"/>
          <w:szCs w:val="23"/>
        </w:rPr>
        <w:t>at this time</w:t>
      </w:r>
      <w:proofErr w:type="gramEnd"/>
      <w:r w:rsidRPr="009F629E">
        <w:rPr>
          <w:rFonts w:ascii="Times New Roman" w:hAnsi="Times New Roman"/>
          <w:sz w:val="23"/>
          <w:szCs w:val="23"/>
        </w:rPr>
        <w:t>.</w:t>
      </w:r>
    </w:p>
    <w:p w:rsidRPr="009F629E" w:rsidR="009F629E" w:rsidP="009F629E" w:rsidRDefault="009F629E" w14:paraId="40CBBAAD" w14:textId="77777777">
      <w:pPr>
        <w:pStyle w:val="Level1"/>
        <w:numPr>
          <w:ilvl w:val="0"/>
          <w:numId w:val="0"/>
        </w:numPr>
        <w:ind w:left="360" w:firstLine="360"/>
        <w:rPr>
          <w:rFonts w:ascii="Times New Roman" w:hAnsi="Times New Roman" w:eastAsiaTheme="minorEastAsia"/>
          <w:sz w:val="23"/>
          <w:szCs w:val="23"/>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6"/>
        <w:gridCol w:w="1308"/>
        <w:gridCol w:w="1308"/>
        <w:gridCol w:w="1308"/>
        <w:gridCol w:w="1308"/>
        <w:gridCol w:w="1308"/>
        <w:gridCol w:w="1308"/>
      </w:tblGrid>
      <w:tr w:rsidRPr="00257A01" w:rsidR="00EE3D05" w:rsidTr="00EE3D05" w14:paraId="13ACA857"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69E424FD"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706BEA8E"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771231F5"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10138542"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57EBF530"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122A25D5"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57A01" w:rsidR="00EE3D05" w:rsidP="00EE3D05" w:rsidRDefault="00EE3D05" w14:paraId="75FA055D" w14:textId="77777777">
            <w:pPr>
              <w:spacing w:after="0" w:line="240" w:lineRule="auto"/>
              <w:jc w:val="center"/>
              <w:rPr>
                <w:rFonts w:ascii="Times New Roman" w:hAnsi="Times New Roman" w:eastAsia="Times New Roman" w:cs="Times New Roman"/>
                <w:b/>
                <w:bCs/>
                <w:color w:val="000000"/>
                <w:sz w:val="18"/>
                <w:szCs w:val="18"/>
              </w:rPr>
            </w:pPr>
            <w:r w:rsidRPr="00257A01">
              <w:rPr>
                <w:rFonts w:ascii="Times New Roman" w:hAnsi="Times New Roman" w:eastAsia="Times New Roman" w:cs="Times New Roman"/>
                <w:b/>
                <w:bCs/>
                <w:color w:val="000000"/>
                <w:sz w:val="18"/>
                <w:szCs w:val="18"/>
              </w:rPr>
              <w:t>Previously Approved</w:t>
            </w:r>
          </w:p>
        </w:tc>
      </w:tr>
      <w:tr w:rsidRPr="00257A01" w:rsidR="00EE3D05" w:rsidTr="00EE3D05" w14:paraId="1236A1E7" w14:textId="77777777">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61C2C647"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083D863C"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278,412</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3B53699D"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0A078042"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5CD01DBF" w14:textId="10A4C91A">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xml:space="preserve">  </w:t>
            </w:r>
            <w:r w:rsidRPr="00257A01" w:rsidR="004C7C19">
              <w:rPr>
                <w:rFonts w:ascii="Times New Roman" w:hAnsi="Times New Roman" w:eastAsia="Times New Roman" w:cs="Times New Roman"/>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371203F3"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4C7C19" w14:paraId="492E59C4" w14:textId="0AE7B858">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278,412</w:t>
            </w:r>
          </w:p>
        </w:tc>
      </w:tr>
      <w:tr w:rsidRPr="00257A01" w:rsidR="00EE3D05" w:rsidTr="00EE3D05" w14:paraId="593041C4" w14:textId="77777777">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54EDCB65"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Annual Time Burden (</w:t>
            </w:r>
            <w:proofErr w:type="spellStart"/>
            <w:r w:rsidRPr="00257A01">
              <w:rPr>
                <w:rFonts w:ascii="Times New Roman" w:hAnsi="Times New Roman" w:eastAsia="Times New Roman" w:cs="Times New Roman"/>
                <w:color w:val="000000"/>
                <w:sz w:val="18"/>
                <w:szCs w:val="18"/>
              </w:rPr>
              <w:t>Hr</w:t>
            </w:r>
            <w:proofErr w:type="spellEnd"/>
            <w:r w:rsidRPr="00257A01">
              <w:rPr>
                <w:rFonts w:ascii="Times New Roman" w:hAnsi="Times New Roman" w:eastAsia="Times New Roman" w:cs="Times New Roman"/>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41A0CF89"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2,271</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51469F8C"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1D63A377"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1282CB66" w14:textId="1CC3AD5C">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xml:space="preserve">  </w:t>
            </w:r>
            <w:r w:rsidRPr="00257A01" w:rsidR="004C7C19">
              <w:rPr>
                <w:rFonts w:ascii="Times New Roman" w:hAnsi="Times New Roman" w:eastAsia="Times New Roman" w:cs="Times New Roman"/>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3EC1C040" w14:textId="77777777">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57A01" w:rsidR="00EE3D05" w:rsidP="00EE3D05" w:rsidRDefault="00EE3D05" w14:paraId="29F939EF" w14:textId="18063810">
            <w:pPr>
              <w:spacing w:after="0" w:line="240" w:lineRule="auto"/>
              <w:rPr>
                <w:rFonts w:ascii="Times New Roman" w:hAnsi="Times New Roman" w:eastAsia="Times New Roman" w:cs="Times New Roman"/>
                <w:color w:val="000000"/>
                <w:sz w:val="18"/>
                <w:szCs w:val="18"/>
              </w:rPr>
            </w:pPr>
            <w:r w:rsidRPr="00257A01">
              <w:rPr>
                <w:rFonts w:ascii="Times New Roman" w:hAnsi="Times New Roman" w:eastAsia="Times New Roman" w:cs="Times New Roman"/>
                <w:color w:val="000000"/>
                <w:sz w:val="18"/>
                <w:szCs w:val="18"/>
              </w:rPr>
              <w:t xml:space="preserve">  </w:t>
            </w:r>
            <w:r w:rsidRPr="00257A01" w:rsidR="004C7C19">
              <w:rPr>
                <w:rFonts w:ascii="Times New Roman" w:hAnsi="Times New Roman" w:eastAsia="Times New Roman" w:cs="Times New Roman"/>
                <w:color w:val="000000"/>
                <w:sz w:val="18"/>
                <w:szCs w:val="18"/>
              </w:rPr>
              <w:t>2,271</w:t>
            </w:r>
          </w:p>
        </w:tc>
      </w:tr>
    </w:tbl>
    <w:p w:rsidRPr="00257A01" w:rsidR="00B45B7B" w:rsidP="00B45B7B" w:rsidRDefault="00B45B7B" w14:paraId="2B57E208" w14:textId="77777777">
      <w:pPr>
        <w:rPr>
          <w:rFonts w:ascii="Times New Roman" w:hAnsi="Times New Roman" w:cs="Times New Roman" w:eastAsiaTheme="minorEastAsia"/>
          <w:sz w:val="23"/>
          <w:szCs w:val="23"/>
        </w:rPr>
      </w:pPr>
    </w:p>
    <w:p w:rsidRPr="009F629E" w:rsidR="009F629E" w:rsidP="009F629E" w:rsidRDefault="009F629E" w14:paraId="29A388BF" w14:textId="77777777">
      <w:pPr>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9F629E">
        <w:rPr>
          <w:rFonts w:ascii="Times New Roman" w:hAnsi="Times New Roman" w:cs="Times New Roman"/>
          <w:b/>
          <w:bCs/>
          <w:sz w:val="24"/>
          <w:szCs w:val="24"/>
          <w:u w:val="single"/>
        </w:rPr>
        <w:t>PLANS FOR TABULATION, STATISTICAL ANALYSIS AND PUBLICATION</w:t>
      </w:r>
    </w:p>
    <w:p w:rsidR="009F629E" w:rsidP="009F629E" w:rsidRDefault="009F629E" w14:paraId="5C851C34" w14:textId="77777777">
      <w:pPr>
        <w:spacing w:after="0" w:line="240" w:lineRule="auto"/>
        <w:ind w:left="720"/>
        <w:rPr>
          <w:rFonts w:ascii="Times New Roman" w:hAnsi="Times New Roman" w:cs="Times New Roman"/>
        </w:rPr>
      </w:pPr>
    </w:p>
    <w:p w:rsidR="009F629E" w:rsidP="009F629E" w:rsidRDefault="009F629E" w14:paraId="03523D9F" w14:textId="47863B14">
      <w:pPr>
        <w:spacing w:after="0" w:line="240" w:lineRule="auto"/>
        <w:ind w:left="720"/>
        <w:rPr>
          <w:rFonts w:ascii="Times New Roman" w:hAnsi="Times New Roman" w:cs="Times New Roman"/>
          <w:sz w:val="23"/>
          <w:szCs w:val="23"/>
        </w:rPr>
      </w:pPr>
      <w:r w:rsidRPr="009F629E">
        <w:rPr>
          <w:rFonts w:ascii="Times New Roman" w:hAnsi="Times New Roman" w:cs="Times New Roman"/>
          <w:sz w:val="23"/>
          <w:szCs w:val="23"/>
        </w:rPr>
        <w:t xml:space="preserve">There are no plans for tabulation, statistical </w:t>
      </w:r>
      <w:proofErr w:type="gramStart"/>
      <w:r w:rsidRPr="009F629E">
        <w:rPr>
          <w:rFonts w:ascii="Times New Roman" w:hAnsi="Times New Roman" w:cs="Times New Roman"/>
          <w:sz w:val="23"/>
          <w:szCs w:val="23"/>
        </w:rPr>
        <w:t>analysis</w:t>
      </w:r>
      <w:proofErr w:type="gramEnd"/>
      <w:r w:rsidRPr="009F629E">
        <w:rPr>
          <w:rFonts w:ascii="Times New Roman" w:hAnsi="Times New Roman" w:cs="Times New Roman"/>
          <w:sz w:val="23"/>
          <w:szCs w:val="23"/>
        </w:rPr>
        <w:t xml:space="preserve"> and publication.</w:t>
      </w:r>
    </w:p>
    <w:p w:rsidRPr="009F629E" w:rsidR="001371A0" w:rsidP="009F629E" w:rsidRDefault="001371A0" w14:paraId="0395572B" w14:textId="77777777">
      <w:pPr>
        <w:spacing w:after="0" w:line="240" w:lineRule="auto"/>
        <w:ind w:left="720"/>
        <w:rPr>
          <w:rFonts w:ascii="Times New Roman" w:hAnsi="Times New Roman" w:cs="Times New Roman"/>
          <w:sz w:val="23"/>
          <w:szCs w:val="23"/>
        </w:rPr>
      </w:pPr>
    </w:p>
    <w:p w:rsidR="009F629E" w:rsidP="009F629E" w:rsidRDefault="009F629E" w14:paraId="6D552FAC" w14:textId="77777777">
      <w:pPr>
        <w:pStyle w:val="Level1"/>
        <w:tabs>
          <w:tab w:val="left" w:pos="-1440"/>
          <w:tab w:val="left" w:pos="630"/>
        </w:tabs>
        <w:ind w:left="360" w:hanging="360"/>
        <w:rPr>
          <w:rFonts w:ascii="Times New Roman" w:hAnsi="Times New Roman"/>
          <w:b/>
          <w:bCs/>
        </w:rPr>
      </w:pPr>
      <w:r w:rsidRPr="009F629E">
        <w:rPr>
          <w:rFonts w:ascii="Times New Roman" w:hAnsi="Times New Roman"/>
        </w:rPr>
        <w:t xml:space="preserve">  </w:t>
      </w:r>
      <w:r w:rsidRPr="009F629E">
        <w:rPr>
          <w:rFonts w:ascii="Times New Roman" w:hAnsi="Times New Roman"/>
          <w:b/>
          <w:bCs/>
          <w:u w:val="single"/>
        </w:rPr>
        <w:t>REASONS WHY DISPLAYING THE OMB EXPIRATION DATE IS</w:t>
      </w:r>
    </w:p>
    <w:p w:rsidRPr="009F629E" w:rsidR="009F629E" w:rsidP="009F629E" w:rsidRDefault="009F629E" w14:paraId="37DDA9E5" w14:textId="622AC727">
      <w:pPr>
        <w:pStyle w:val="Level1"/>
        <w:numPr>
          <w:ilvl w:val="0"/>
          <w:numId w:val="0"/>
        </w:numPr>
        <w:tabs>
          <w:tab w:val="left" w:pos="-1440"/>
          <w:tab w:val="left" w:pos="630"/>
        </w:tabs>
        <w:ind w:left="360"/>
        <w:rPr>
          <w:rFonts w:ascii="Times New Roman" w:hAnsi="Times New Roman"/>
          <w:b/>
          <w:bCs/>
        </w:rPr>
      </w:pPr>
      <w:r>
        <w:rPr>
          <w:rFonts w:ascii="Times New Roman" w:hAnsi="Times New Roman"/>
          <w:b/>
          <w:bCs/>
        </w:rPr>
        <w:t xml:space="preserve">  </w:t>
      </w:r>
      <w:r w:rsidRPr="009F629E">
        <w:rPr>
          <w:rFonts w:ascii="Times New Roman" w:hAnsi="Times New Roman"/>
          <w:b/>
          <w:bCs/>
          <w:u w:val="single"/>
        </w:rPr>
        <w:t>INAPPROPRIATE</w:t>
      </w:r>
    </w:p>
    <w:p w:rsidRPr="009F629E" w:rsidR="009F629E" w:rsidP="009F629E" w:rsidRDefault="009F629E" w14:paraId="4DCB791E" w14:textId="77777777">
      <w:pPr>
        <w:spacing w:after="0" w:line="240" w:lineRule="auto"/>
        <w:rPr>
          <w:rFonts w:ascii="Times New Roman" w:hAnsi="Times New Roman" w:cs="Times New Roman"/>
        </w:rPr>
      </w:pPr>
    </w:p>
    <w:p w:rsidRPr="009F629E" w:rsidR="009F629E" w:rsidP="009F629E" w:rsidRDefault="009F629E" w14:paraId="11F24619" w14:textId="7F9EF572">
      <w:pPr>
        <w:spacing w:after="0" w:line="240" w:lineRule="auto"/>
        <w:ind w:left="720"/>
        <w:rPr>
          <w:rFonts w:ascii="Times New Roman" w:hAnsi="Times New Roman" w:cs="Times New Roman"/>
          <w:sz w:val="23"/>
          <w:szCs w:val="23"/>
        </w:rPr>
      </w:pPr>
      <w:r w:rsidRPr="009F629E">
        <w:rPr>
          <w:rFonts w:ascii="Times New Roman" w:hAnsi="Times New Roman" w:cs="Times New Roman"/>
          <w:sz w:val="23"/>
          <w:szCs w:val="23"/>
        </w:rPr>
        <w:lastRenderedPageBreak/>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9F629E" w:rsidR="009F629E" w:rsidP="009F629E" w:rsidRDefault="009F629E" w14:paraId="103B1BCA" w14:textId="77777777">
      <w:pPr>
        <w:spacing w:after="0" w:line="240" w:lineRule="auto"/>
        <w:ind w:left="720"/>
        <w:rPr>
          <w:rFonts w:ascii="Times New Roman" w:hAnsi="Times New Roman" w:cs="Times New Roman"/>
        </w:rPr>
      </w:pPr>
    </w:p>
    <w:p w:rsidRPr="009F629E" w:rsidR="009F629E" w:rsidP="009F629E" w:rsidRDefault="009F629E" w14:paraId="116CEE6D" w14:textId="77777777">
      <w:pPr>
        <w:pStyle w:val="Level1"/>
        <w:numPr>
          <w:ilvl w:val="0"/>
          <w:numId w:val="0"/>
        </w:numPr>
        <w:tabs>
          <w:tab w:val="left" w:pos="-1440"/>
        </w:tabs>
        <w:rPr>
          <w:rFonts w:ascii="Times New Roman" w:hAnsi="Times New Roman"/>
        </w:rPr>
      </w:pPr>
      <w:r w:rsidRPr="009F629E">
        <w:rPr>
          <w:rFonts w:ascii="Times New Roman" w:hAnsi="Times New Roman"/>
        </w:rPr>
        <w:t xml:space="preserve">18.       </w:t>
      </w:r>
      <w:r w:rsidRPr="009F629E">
        <w:rPr>
          <w:rFonts w:ascii="Times New Roman" w:hAnsi="Times New Roman"/>
          <w:b/>
          <w:bCs/>
          <w:u w:val="single"/>
        </w:rPr>
        <w:t>EXCEPTIONS TO THE CERTIFICATION STATEMENT</w:t>
      </w:r>
      <w:r w:rsidRPr="009F629E">
        <w:rPr>
          <w:rFonts w:ascii="Times New Roman" w:hAnsi="Times New Roman"/>
        </w:rPr>
        <w:t xml:space="preserve"> </w:t>
      </w:r>
    </w:p>
    <w:p w:rsidR="009F629E" w:rsidP="009F629E" w:rsidRDefault="009F629E" w14:paraId="0FDC1374" w14:textId="77777777">
      <w:pPr>
        <w:spacing w:after="0" w:line="240" w:lineRule="auto"/>
        <w:ind w:left="720"/>
        <w:rPr>
          <w:rFonts w:ascii="Times New Roman" w:hAnsi="Times New Roman" w:cs="Times New Roman"/>
        </w:rPr>
      </w:pPr>
    </w:p>
    <w:p w:rsidR="009F629E" w:rsidP="009F629E" w:rsidRDefault="009F629E" w14:paraId="6E77015C" w14:textId="08DF7C28">
      <w:pPr>
        <w:spacing w:after="0" w:line="240" w:lineRule="auto"/>
        <w:ind w:left="720"/>
        <w:rPr>
          <w:rFonts w:ascii="Times New Roman" w:hAnsi="Times New Roman" w:cs="Times New Roman"/>
          <w:sz w:val="23"/>
          <w:szCs w:val="23"/>
        </w:rPr>
      </w:pPr>
      <w:r w:rsidRPr="009F629E">
        <w:rPr>
          <w:rFonts w:ascii="Times New Roman" w:hAnsi="Times New Roman" w:cs="Times New Roman"/>
          <w:sz w:val="23"/>
          <w:szCs w:val="23"/>
        </w:rPr>
        <w:t>There are no exceptions to the certification statement for this collection.</w:t>
      </w:r>
    </w:p>
    <w:p w:rsidRPr="009F629E" w:rsidR="009F629E" w:rsidP="009F629E" w:rsidRDefault="009F629E" w14:paraId="00AAC355" w14:textId="77777777">
      <w:pPr>
        <w:spacing w:after="0" w:line="240" w:lineRule="auto"/>
        <w:ind w:left="720"/>
        <w:rPr>
          <w:rFonts w:ascii="Times New Roman" w:hAnsi="Times New Roman" w:cs="Times New Roman"/>
          <w:sz w:val="23"/>
          <w:szCs w:val="23"/>
        </w:rPr>
      </w:pPr>
    </w:p>
    <w:p w:rsidR="009F629E" w:rsidP="009F629E" w:rsidRDefault="009F629E" w14:paraId="40929FF3" w14:textId="32143B38">
      <w:pPr>
        <w:spacing w:after="0" w:line="240" w:lineRule="auto"/>
        <w:ind w:left="720"/>
        <w:rPr>
          <w:rFonts w:ascii="Times New Roman" w:hAnsi="Times New Roman" w:cs="Times New Roman"/>
          <w:sz w:val="23"/>
          <w:szCs w:val="23"/>
        </w:rPr>
      </w:pPr>
      <w:r w:rsidRPr="009F629E">
        <w:rPr>
          <w:rFonts w:ascii="Times New Roman" w:hAnsi="Times New Roman" w:cs="Times New Roman"/>
          <w:b/>
          <w:bCs/>
          <w:sz w:val="23"/>
          <w:szCs w:val="23"/>
          <w:u w:val="single"/>
        </w:rPr>
        <w:t>Note:</w:t>
      </w:r>
      <w:r w:rsidRPr="009F629E">
        <w:rPr>
          <w:rFonts w:ascii="Times New Roman" w:hAnsi="Times New Roman" w:cs="Times New Roman"/>
          <w:sz w:val="23"/>
          <w:szCs w:val="23"/>
        </w:rPr>
        <w:t xml:space="preserve">  The following paragraph applies to </w:t>
      </w:r>
      <w:proofErr w:type="gramStart"/>
      <w:r w:rsidRPr="009F629E">
        <w:rPr>
          <w:rFonts w:ascii="Times New Roman" w:hAnsi="Times New Roman" w:cs="Times New Roman"/>
          <w:sz w:val="23"/>
          <w:szCs w:val="23"/>
        </w:rPr>
        <w:t>all of</w:t>
      </w:r>
      <w:proofErr w:type="gramEnd"/>
      <w:r w:rsidRPr="009F629E">
        <w:rPr>
          <w:rFonts w:ascii="Times New Roman" w:hAnsi="Times New Roman" w:cs="Times New Roman"/>
          <w:sz w:val="23"/>
          <w:szCs w:val="23"/>
        </w:rPr>
        <w:t xml:space="preserve"> the collections of information in this submission:</w:t>
      </w:r>
    </w:p>
    <w:p w:rsidRPr="009F629E" w:rsidR="009F629E" w:rsidP="009F629E" w:rsidRDefault="009F629E" w14:paraId="4D3094AF" w14:textId="77777777">
      <w:pPr>
        <w:spacing w:after="0" w:line="240" w:lineRule="auto"/>
        <w:ind w:left="720"/>
        <w:rPr>
          <w:rFonts w:ascii="Times New Roman" w:hAnsi="Times New Roman" w:cs="Times New Roman"/>
          <w:sz w:val="23"/>
          <w:szCs w:val="23"/>
        </w:rPr>
      </w:pPr>
    </w:p>
    <w:p w:rsidRPr="009F629E" w:rsidR="00D760E1" w:rsidP="009F629E" w:rsidRDefault="009F629E" w14:paraId="77762754" w14:textId="4A144DB7">
      <w:pPr>
        <w:spacing w:after="0" w:line="240" w:lineRule="auto"/>
        <w:ind w:left="720"/>
        <w:rPr>
          <w:rFonts w:ascii="Times New Roman" w:hAnsi="Times New Roman" w:cs="Times New Roman"/>
          <w:sz w:val="23"/>
          <w:szCs w:val="23"/>
        </w:rPr>
      </w:pPr>
      <w:r w:rsidRPr="009F629E">
        <w:rPr>
          <w:rFonts w:ascii="Times New Roman" w:hAnsi="Times New Roman" w:cs="Times New Roman"/>
          <w:sz w:val="23"/>
          <w:szCs w:val="23"/>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9F629E">
        <w:rPr>
          <w:rFonts w:ascii="Times New Roman" w:hAnsi="Times New Roman" w:cs="Times New Roman"/>
          <w:sz w:val="23"/>
          <w:szCs w:val="23"/>
        </w:rPr>
        <w:t>as long as</w:t>
      </w:r>
      <w:proofErr w:type="gramEnd"/>
      <w:r w:rsidRPr="009F629E">
        <w:rPr>
          <w:rFonts w:ascii="Times New Roman" w:hAnsi="Times New Roman" w:cs="Times New Roman"/>
          <w:sz w:val="23"/>
          <w:szCs w:val="23"/>
        </w:rPr>
        <w:t xml:space="preserve"> their contents may become material in the administration of any internal revenue law.  Generally, tax returns and tax return information are confidential, as required by 26 U.S.C. 6103.</w:t>
      </w:r>
    </w:p>
    <w:sectPr w:rsidRPr="009F629E" w:rsidR="00D76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2B514" w14:textId="77777777" w:rsidR="00A626D9" w:rsidRDefault="00A626D9" w:rsidP="000C29B8">
      <w:pPr>
        <w:spacing w:after="0" w:line="240" w:lineRule="auto"/>
      </w:pPr>
      <w:r>
        <w:separator/>
      </w:r>
    </w:p>
  </w:endnote>
  <w:endnote w:type="continuationSeparator" w:id="0">
    <w:p w14:paraId="7E3F0249" w14:textId="77777777" w:rsidR="00A626D9" w:rsidRDefault="00A626D9" w:rsidP="000C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AA594" w14:textId="77777777" w:rsidR="00A626D9" w:rsidRDefault="00A626D9" w:rsidP="000C29B8">
      <w:pPr>
        <w:spacing w:after="0" w:line="240" w:lineRule="auto"/>
      </w:pPr>
      <w:r>
        <w:separator/>
      </w:r>
    </w:p>
  </w:footnote>
  <w:footnote w:type="continuationSeparator" w:id="0">
    <w:p w14:paraId="1F69F447" w14:textId="77777777" w:rsidR="00A626D9" w:rsidRDefault="00A626D9" w:rsidP="000C2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EF"/>
    <w:rsid w:val="00037AD2"/>
    <w:rsid w:val="000C29B8"/>
    <w:rsid w:val="000F6BE2"/>
    <w:rsid w:val="00106075"/>
    <w:rsid w:val="001371A0"/>
    <w:rsid w:val="00163CD1"/>
    <w:rsid w:val="00222E99"/>
    <w:rsid w:val="00257A01"/>
    <w:rsid w:val="002A774F"/>
    <w:rsid w:val="0040364E"/>
    <w:rsid w:val="004177ED"/>
    <w:rsid w:val="00496F62"/>
    <w:rsid w:val="004C7C19"/>
    <w:rsid w:val="004D08EF"/>
    <w:rsid w:val="00505C04"/>
    <w:rsid w:val="005D6551"/>
    <w:rsid w:val="00642381"/>
    <w:rsid w:val="00654F95"/>
    <w:rsid w:val="0070225B"/>
    <w:rsid w:val="00730193"/>
    <w:rsid w:val="00734473"/>
    <w:rsid w:val="0074341D"/>
    <w:rsid w:val="00810F0B"/>
    <w:rsid w:val="00876544"/>
    <w:rsid w:val="008C4030"/>
    <w:rsid w:val="008D43EA"/>
    <w:rsid w:val="008F22C9"/>
    <w:rsid w:val="009466E0"/>
    <w:rsid w:val="00963CD4"/>
    <w:rsid w:val="009D4983"/>
    <w:rsid w:val="009F629E"/>
    <w:rsid w:val="00A626D9"/>
    <w:rsid w:val="00A95305"/>
    <w:rsid w:val="00AA5EBF"/>
    <w:rsid w:val="00B065DA"/>
    <w:rsid w:val="00B45B7B"/>
    <w:rsid w:val="00B641E3"/>
    <w:rsid w:val="00B80682"/>
    <w:rsid w:val="00BB4385"/>
    <w:rsid w:val="00BE21BB"/>
    <w:rsid w:val="00CE157D"/>
    <w:rsid w:val="00D12C9C"/>
    <w:rsid w:val="00D2307B"/>
    <w:rsid w:val="00D760E1"/>
    <w:rsid w:val="00DA3C1C"/>
    <w:rsid w:val="00E97B16"/>
    <w:rsid w:val="00EA3656"/>
    <w:rsid w:val="00EE3D05"/>
    <w:rsid w:val="00F04FF7"/>
    <w:rsid w:val="00F33903"/>
    <w:rsid w:val="00FC05B6"/>
    <w:rsid w:val="00FC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87AE"/>
  <w15:docId w15:val="{80B85A98-3909-4BE3-A4D9-76D64580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8EF"/>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rsid w:val="00DA3C1C"/>
  </w:style>
  <w:style w:type="paragraph" w:styleId="FootnoteText">
    <w:name w:val="footnote text"/>
    <w:basedOn w:val="Normal"/>
    <w:link w:val="FootnoteTextChar"/>
    <w:uiPriority w:val="99"/>
    <w:rsid w:val="00DA3C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A3C1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656"/>
    <w:rPr>
      <w:rFonts w:ascii="Segoe UI" w:hAnsi="Segoe UI" w:cs="Segoe UI"/>
      <w:sz w:val="18"/>
      <w:szCs w:val="18"/>
    </w:rPr>
  </w:style>
  <w:style w:type="paragraph" w:styleId="ListParagraph">
    <w:name w:val="List Paragraph"/>
    <w:basedOn w:val="Normal"/>
    <w:uiPriority w:val="34"/>
    <w:qFormat/>
    <w:rsid w:val="00257A01"/>
    <w:pPr>
      <w:ind w:left="720"/>
      <w:contextualSpacing/>
    </w:pPr>
  </w:style>
  <w:style w:type="paragraph" w:customStyle="1" w:styleId="Level1">
    <w:name w:val="Level 1"/>
    <w:basedOn w:val="Normal"/>
    <w:rsid w:val="00257A01"/>
    <w:pPr>
      <w:widowControl w:val="0"/>
      <w:numPr>
        <w:numId w:val="1"/>
      </w:numPr>
      <w:autoSpaceDE w:val="0"/>
      <w:autoSpaceDN w:val="0"/>
      <w:adjustRightInd w:val="0"/>
      <w:spacing w:after="0" w:line="240" w:lineRule="auto"/>
      <w:ind w:left="720" w:hanging="720"/>
      <w:outlineLvl w:val="0"/>
    </w:pPr>
    <w:rPr>
      <w:rFonts w:ascii="Courier" w:eastAsia="Times New Roman" w:hAnsi="Courier" w:cs="Times New Roman"/>
      <w:sz w:val="24"/>
      <w:szCs w:val="24"/>
    </w:rPr>
  </w:style>
  <w:style w:type="character" w:styleId="Hyperlink">
    <w:name w:val="Hyperlink"/>
    <w:uiPriority w:val="99"/>
    <w:unhideWhenUsed/>
    <w:rsid w:val="002A774F"/>
    <w:rPr>
      <w:color w:val="0000FF"/>
      <w:u w:val="single"/>
    </w:rPr>
  </w:style>
  <w:style w:type="character" w:styleId="FollowedHyperlink">
    <w:name w:val="FollowedHyperlink"/>
    <w:basedOn w:val="DefaultParagraphFont"/>
    <w:uiPriority w:val="99"/>
    <w:semiHidden/>
    <w:unhideWhenUsed/>
    <w:rsid w:val="002A7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448046">
      <w:bodyDiv w:val="1"/>
      <w:marLeft w:val="0"/>
      <w:marRight w:val="0"/>
      <w:marTop w:val="0"/>
      <w:marBottom w:val="0"/>
      <w:divBdr>
        <w:top w:val="none" w:sz="0" w:space="0" w:color="auto"/>
        <w:left w:val="none" w:sz="0" w:space="0" w:color="auto"/>
        <w:bottom w:val="none" w:sz="0" w:space="0" w:color="auto"/>
        <w:right w:val="none" w:sz="0" w:space="0" w:color="auto"/>
      </w:divBdr>
      <w:divsChild>
        <w:div w:id="2049604190">
          <w:marLeft w:val="0"/>
          <w:marRight w:val="0"/>
          <w:marTop w:val="0"/>
          <w:marBottom w:val="0"/>
          <w:divBdr>
            <w:top w:val="none" w:sz="0" w:space="0" w:color="auto"/>
            <w:left w:val="none" w:sz="0" w:space="0" w:color="auto"/>
            <w:bottom w:val="none" w:sz="0" w:space="0" w:color="auto"/>
            <w:right w:val="none" w:sz="0" w:space="0" w:color="auto"/>
          </w:divBdr>
          <w:divsChild>
            <w:div w:id="2058626401">
              <w:marLeft w:val="0"/>
              <w:marRight w:val="0"/>
              <w:marTop w:val="0"/>
              <w:marBottom w:val="0"/>
              <w:divBdr>
                <w:top w:val="single" w:sz="6" w:space="11" w:color="FCFCFC"/>
                <w:left w:val="single" w:sz="6" w:space="11" w:color="ECECEC"/>
                <w:bottom w:val="single" w:sz="6" w:space="4" w:color="ECECEC"/>
                <w:right w:val="single" w:sz="6" w:space="11" w:color="ECECEC"/>
              </w:divBdr>
              <w:divsChild>
                <w:div w:id="9205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Adams Paul D</cp:lastModifiedBy>
  <cp:revision>4</cp:revision>
  <dcterms:created xsi:type="dcterms:W3CDTF">2021-04-25T00:43:00Z</dcterms:created>
  <dcterms:modified xsi:type="dcterms:W3CDTF">2021-04-27T21:36:00Z</dcterms:modified>
</cp:coreProperties>
</file>