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6C7A06FA" w14:textId="77777777">
      <w:pPr>
        <w:ind w:left="-90"/>
        <w:jc w:val="center"/>
        <w:rPr>
          <w:b/>
          <w:bCs/>
        </w:rPr>
      </w:pPr>
      <w:r w:rsidRPr="00702B07">
        <w:rPr>
          <w:b/>
          <w:bCs/>
        </w:rPr>
        <w:t>SUPPORTING STATEMENT</w:t>
      </w:r>
    </w:p>
    <w:p w:rsidRPr="00702B07" w:rsidR="00BE5210" w:rsidP="00695940" w:rsidRDefault="00BE5210" w14:paraId="206A8914" w14:textId="77777777">
      <w:pPr>
        <w:ind w:left="-90"/>
        <w:jc w:val="center"/>
        <w:rPr>
          <w:bCs/>
        </w:rPr>
      </w:pPr>
      <w:r w:rsidRPr="00702B07">
        <w:rPr>
          <w:bCs/>
        </w:rPr>
        <w:t>Internal Revenue Service</w:t>
      </w:r>
    </w:p>
    <w:p w:rsidRPr="000004CA" w:rsidR="000004CA" w:rsidP="005E6063" w:rsidRDefault="00B53DE8" w14:paraId="164D031D" w14:textId="08F8BD13">
      <w:pPr>
        <w:ind w:left="-90"/>
        <w:jc w:val="center"/>
        <w:rPr>
          <w:bCs/>
        </w:rPr>
      </w:pPr>
      <w:r>
        <w:rPr>
          <w:bCs/>
        </w:rPr>
        <w:t>Form 13976, Itemized Statement Component of Advisee List</w:t>
      </w:r>
    </w:p>
    <w:p w:rsidRPr="00702B07" w:rsidR="00636B94" w:rsidP="000004CA" w:rsidRDefault="00636B94" w14:paraId="237D1CDE" w14:textId="7F67A4B4">
      <w:pPr>
        <w:ind w:left="-90"/>
        <w:jc w:val="center"/>
      </w:pPr>
      <w:r w:rsidRPr="00702B07">
        <w:rPr>
          <w:bCs/>
        </w:rPr>
        <w:t xml:space="preserve">OMB </w:t>
      </w:r>
      <w:r w:rsidR="005E6063">
        <w:rPr>
          <w:bCs/>
        </w:rPr>
        <w:t>Control Number</w:t>
      </w:r>
      <w:r w:rsidRPr="00702B07">
        <w:rPr>
          <w:bCs/>
        </w:rPr>
        <w:t xml:space="preserve"> </w:t>
      </w:r>
      <w:r w:rsidRPr="00702B07">
        <w:rPr>
          <w:b/>
          <w:bCs/>
        </w:rPr>
        <w:t>1545-</w:t>
      </w:r>
      <w:r w:rsidR="006149C7">
        <w:rPr>
          <w:b/>
          <w:bCs/>
        </w:rPr>
        <w:t>1686</w:t>
      </w:r>
    </w:p>
    <w:p w:rsidRPr="00702B07" w:rsidR="00C573C8" w:rsidP="00BE5210" w:rsidRDefault="00C573C8" w14:paraId="11C9465F" w14:textId="77777777">
      <w:pPr>
        <w:ind w:left="-90"/>
      </w:pPr>
      <w:r w:rsidRPr="00702B07">
        <w:t xml:space="preserve">                           </w:t>
      </w:r>
    </w:p>
    <w:p w:rsidRPr="00702B07" w:rsidR="00C573C8" w:rsidP="00AA539A" w:rsidRDefault="00C573C8" w14:paraId="719D5631"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3C009208" w14:textId="77777777">
      <w:pPr>
        <w:ind w:left="-72" w:right="-72"/>
      </w:pPr>
    </w:p>
    <w:p w:rsidRPr="006149C7" w:rsidR="006149C7" w:rsidP="006149C7" w:rsidRDefault="00BA4DF8" w14:paraId="7C39E431" w14:textId="532959A7">
      <w:pPr>
        <w:ind w:left="360" w:right="-72"/>
        <w:rPr>
          <w:lang w:val="en"/>
        </w:rPr>
      </w:pPr>
      <w:r>
        <w:rPr>
          <w:lang w:val="en"/>
        </w:rPr>
        <w:t xml:space="preserve">Internal Revenue Code (IRC) </w:t>
      </w:r>
      <w:r w:rsidRPr="006149C7" w:rsidR="006149C7">
        <w:rPr>
          <w:lang w:val="en"/>
        </w:rPr>
        <w:t xml:space="preserve">Section </w:t>
      </w:r>
      <w:r w:rsidRPr="00F03CCB" w:rsidR="006149C7">
        <w:rPr>
          <w:lang w:val="en"/>
        </w:rPr>
        <w:t>6112</w:t>
      </w:r>
      <w:r w:rsidRPr="006149C7" w:rsidR="006149C7">
        <w:rPr>
          <w:lang w:val="en"/>
        </w:rPr>
        <w:t xml:space="preserve">, </w:t>
      </w:r>
      <w:r>
        <w:rPr>
          <w:lang w:val="en"/>
        </w:rPr>
        <w:t>(</w:t>
      </w:r>
      <w:r w:rsidRPr="006149C7" w:rsidR="006149C7">
        <w:rPr>
          <w:lang w:val="en"/>
        </w:rPr>
        <w:t>as amended by the</w:t>
      </w:r>
      <w:r w:rsidR="006149C7">
        <w:rPr>
          <w:lang w:val="en"/>
        </w:rPr>
        <w:t xml:space="preserve"> </w:t>
      </w:r>
      <w:r w:rsidRPr="006149C7" w:rsidR="006149C7">
        <w:rPr>
          <w:lang w:val="en"/>
        </w:rPr>
        <w:t>American Jobs Creation Act of 2004,</w:t>
      </w:r>
      <w:r w:rsidR="006149C7">
        <w:rPr>
          <w:lang w:val="en"/>
        </w:rPr>
        <w:t xml:space="preserve"> </w:t>
      </w:r>
      <w:r w:rsidRPr="006149C7" w:rsidR="006149C7">
        <w:rPr>
          <w:lang w:val="en"/>
        </w:rPr>
        <w:t>P.L. 108–357</w:t>
      </w:r>
      <w:r>
        <w:rPr>
          <w:lang w:val="en"/>
        </w:rPr>
        <w:t>)</w:t>
      </w:r>
      <w:r w:rsidRPr="006149C7" w:rsidR="006149C7">
        <w:rPr>
          <w:lang w:val="en"/>
        </w:rPr>
        <w:t>, requires</w:t>
      </w:r>
      <w:r w:rsidR="006149C7">
        <w:rPr>
          <w:lang w:val="en"/>
        </w:rPr>
        <w:t xml:space="preserve"> </w:t>
      </w:r>
      <w:r w:rsidRPr="006149C7" w:rsidR="006149C7">
        <w:rPr>
          <w:lang w:val="en"/>
        </w:rPr>
        <w:t>that each material advisor with respect</w:t>
      </w:r>
      <w:r w:rsidR="006149C7">
        <w:rPr>
          <w:lang w:val="en"/>
        </w:rPr>
        <w:t xml:space="preserve"> </w:t>
      </w:r>
      <w:r w:rsidRPr="006149C7" w:rsidR="006149C7">
        <w:rPr>
          <w:lang w:val="en"/>
        </w:rPr>
        <w:t>to any reportable transaction shall</w:t>
      </w:r>
      <w:r>
        <w:rPr>
          <w:lang w:val="en"/>
        </w:rPr>
        <w:t xml:space="preserve"> </w:t>
      </w:r>
      <w:r w:rsidRPr="006149C7" w:rsidR="006149C7">
        <w:rPr>
          <w:lang w:val="en"/>
        </w:rPr>
        <w:t>maintain (in such manner as the Secretary</w:t>
      </w:r>
      <w:r w:rsidR="006149C7">
        <w:rPr>
          <w:lang w:val="en"/>
        </w:rPr>
        <w:t xml:space="preserve"> </w:t>
      </w:r>
      <w:r w:rsidRPr="006149C7" w:rsidR="006149C7">
        <w:rPr>
          <w:lang w:val="en"/>
        </w:rPr>
        <w:t>may by regulations prescribe) a list</w:t>
      </w:r>
      <w:r w:rsidR="006149C7">
        <w:rPr>
          <w:lang w:val="en"/>
        </w:rPr>
        <w:t xml:space="preserve"> </w:t>
      </w:r>
      <w:r w:rsidRPr="006149C7" w:rsidR="006149C7">
        <w:rPr>
          <w:lang w:val="en"/>
        </w:rPr>
        <w:t>identifying each person with respect to</w:t>
      </w:r>
      <w:r w:rsidR="006149C7">
        <w:rPr>
          <w:lang w:val="en"/>
        </w:rPr>
        <w:t xml:space="preserve"> </w:t>
      </w:r>
      <w:r w:rsidRPr="006149C7" w:rsidR="006149C7">
        <w:rPr>
          <w:lang w:val="en"/>
        </w:rPr>
        <w:t>whom the advisor acted as a material</w:t>
      </w:r>
      <w:r w:rsidR="006149C7">
        <w:rPr>
          <w:lang w:val="en"/>
        </w:rPr>
        <w:t xml:space="preserve"> </w:t>
      </w:r>
      <w:r w:rsidRPr="006149C7" w:rsidR="006149C7">
        <w:rPr>
          <w:lang w:val="en"/>
        </w:rPr>
        <w:t>advisor</w:t>
      </w:r>
      <w:r w:rsidR="00F97177">
        <w:rPr>
          <w:lang w:val="en"/>
        </w:rPr>
        <w:t>.</w:t>
      </w:r>
    </w:p>
    <w:p w:rsidR="006149C7" w:rsidP="006149C7" w:rsidRDefault="006149C7" w14:paraId="53F42ACE" w14:textId="002CE350">
      <w:pPr>
        <w:ind w:left="360" w:right="-72"/>
        <w:rPr>
          <w:lang w:val="en"/>
        </w:rPr>
      </w:pPr>
    </w:p>
    <w:p w:rsidR="000F5ED2" w:rsidP="006149C7" w:rsidRDefault="00F97177" w14:paraId="7FBF918A" w14:textId="2517C14D">
      <w:pPr>
        <w:ind w:left="360" w:right="-72"/>
        <w:rPr>
          <w:lang w:val="en"/>
        </w:rPr>
      </w:pPr>
      <w:r>
        <w:rPr>
          <w:lang w:val="en"/>
        </w:rPr>
        <w:t>IRC Section 6011</w:t>
      </w:r>
      <w:r w:rsidR="000F5ED2">
        <w:rPr>
          <w:lang w:val="en"/>
        </w:rPr>
        <w:t xml:space="preserve"> suspends the tax assessment statute of limitations for any tax year a taxpayer </w:t>
      </w:r>
      <w:proofErr w:type="gramStart"/>
      <w:r w:rsidR="000F5ED2">
        <w:rPr>
          <w:lang w:val="en"/>
        </w:rPr>
        <w:t>entered into</w:t>
      </w:r>
      <w:proofErr w:type="gramEnd"/>
      <w:r w:rsidR="000F5ED2">
        <w:rPr>
          <w:lang w:val="en"/>
        </w:rPr>
        <w:t xml:space="preserve"> a listed transaction, has yet to disclose said transaction to the IRS.</w:t>
      </w:r>
    </w:p>
    <w:p w:rsidR="000F5ED2" w:rsidP="006149C7" w:rsidRDefault="000F5ED2" w14:paraId="5F3B5406" w14:textId="77777777">
      <w:pPr>
        <w:ind w:left="360" w:right="-72"/>
        <w:rPr>
          <w:lang w:val="en"/>
        </w:rPr>
      </w:pPr>
    </w:p>
    <w:p w:rsidR="00F97177" w:rsidP="006149C7" w:rsidRDefault="000F5ED2" w14:paraId="55191D46" w14:textId="0BFD74EA">
      <w:pPr>
        <w:ind w:left="360" w:right="-72"/>
        <w:rPr>
          <w:lang w:val="en"/>
        </w:rPr>
      </w:pPr>
      <w:r>
        <w:rPr>
          <w:lang w:val="en"/>
        </w:rPr>
        <w:t xml:space="preserve">IRS Section 6111 defines </w:t>
      </w:r>
      <w:r w:rsidR="00F03CCB">
        <w:rPr>
          <w:lang w:val="en"/>
        </w:rPr>
        <w:t>a material advisor and requires; that a material advisor must provide the identities of any material advisor(s) who the material advisor knows or has reason to know participated in any reportable transaction.</w:t>
      </w:r>
      <w:r>
        <w:rPr>
          <w:lang w:val="en"/>
        </w:rPr>
        <w:t xml:space="preserve">  </w:t>
      </w:r>
    </w:p>
    <w:p w:rsidR="00F97177" w:rsidP="006149C7" w:rsidRDefault="00F97177" w14:paraId="670CDD97" w14:textId="77777777">
      <w:pPr>
        <w:ind w:left="360" w:right="-72"/>
        <w:rPr>
          <w:lang w:val="en"/>
        </w:rPr>
      </w:pPr>
    </w:p>
    <w:p w:rsidR="00591B4A" w:rsidP="006149C7" w:rsidRDefault="006149C7" w14:paraId="591AF62E" w14:textId="78AAF3FB">
      <w:pPr>
        <w:ind w:left="360" w:right="-72"/>
        <w:rPr>
          <w:lang w:val="en"/>
        </w:rPr>
      </w:pPr>
      <w:r w:rsidRPr="006149C7">
        <w:rPr>
          <w:lang w:val="en"/>
        </w:rPr>
        <w:t>Under § 301.6112–1</w:t>
      </w:r>
      <w:r w:rsidR="00F03CCB">
        <w:rPr>
          <w:lang w:val="en"/>
        </w:rPr>
        <w:t xml:space="preserve"> of the Procedure and Administration Regulations</w:t>
      </w:r>
      <w:r w:rsidRPr="006149C7">
        <w:rPr>
          <w:lang w:val="en"/>
        </w:rPr>
        <w:t>, material advisors</w:t>
      </w:r>
      <w:r>
        <w:rPr>
          <w:lang w:val="en"/>
        </w:rPr>
        <w:t xml:space="preserve"> </w:t>
      </w:r>
      <w:r w:rsidRPr="006149C7">
        <w:rPr>
          <w:lang w:val="en"/>
        </w:rPr>
        <w:t>are required to prepare and maintain a</w:t>
      </w:r>
      <w:r>
        <w:rPr>
          <w:lang w:val="en"/>
        </w:rPr>
        <w:t xml:space="preserve"> </w:t>
      </w:r>
      <w:r w:rsidRPr="006149C7">
        <w:rPr>
          <w:lang w:val="en"/>
        </w:rPr>
        <w:t>list as described in the regulations and</w:t>
      </w:r>
      <w:r>
        <w:rPr>
          <w:lang w:val="en"/>
        </w:rPr>
        <w:t xml:space="preserve"> </w:t>
      </w:r>
      <w:r w:rsidRPr="006149C7">
        <w:rPr>
          <w:lang w:val="en"/>
        </w:rPr>
        <w:t>are required to furnish the list to the</w:t>
      </w:r>
      <w:r>
        <w:rPr>
          <w:lang w:val="en"/>
        </w:rPr>
        <w:t xml:space="preserve"> </w:t>
      </w:r>
      <w:r w:rsidRPr="006149C7">
        <w:rPr>
          <w:lang w:val="en"/>
        </w:rPr>
        <w:t>IRS upon written request by the IRS.</w:t>
      </w:r>
    </w:p>
    <w:p w:rsidR="0024297E" w:rsidP="0024297E" w:rsidRDefault="0024297E" w14:paraId="7A631847" w14:textId="77777777">
      <w:pPr>
        <w:ind w:left="360" w:right="-72"/>
        <w:rPr>
          <w:lang w:val="en"/>
        </w:rPr>
      </w:pPr>
    </w:p>
    <w:p w:rsidR="00B54DC7" w:rsidP="00B54DC7" w:rsidRDefault="00F03CCB" w14:paraId="10A6F6AC" w14:textId="7AB595A1">
      <w:pPr>
        <w:ind w:left="360" w:right="-72"/>
        <w:rPr>
          <w:lang w:val="en"/>
        </w:rPr>
      </w:pPr>
      <w:r>
        <w:rPr>
          <w:lang w:val="en"/>
        </w:rPr>
        <w:t>F</w:t>
      </w:r>
      <w:r w:rsidRPr="00B54DC7" w:rsidR="00B54DC7">
        <w:rPr>
          <w:lang w:val="en"/>
        </w:rPr>
        <w:t xml:space="preserve">orm </w:t>
      </w:r>
      <w:r>
        <w:rPr>
          <w:lang w:val="en"/>
        </w:rPr>
        <w:t>13976, Itemized Statement Component of Advisee List, may be used by Material Advisors for the purpose of preparing and maintaining list with respect to reportable transaction under section 6112, but the form is</w:t>
      </w:r>
      <w:r w:rsidR="006E0ACF">
        <w:rPr>
          <w:lang w:val="en"/>
        </w:rPr>
        <w:t xml:space="preserve"> no</w:t>
      </w:r>
      <w:r>
        <w:rPr>
          <w:lang w:val="en"/>
        </w:rPr>
        <w:t>t required to be used under 301.6112-1, but is offered as an option for maintaining the transaction participants list.</w:t>
      </w:r>
    </w:p>
    <w:p w:rsidR="00B54DC7" w:rsidP="0024297E" w:rsidRDefault="00B54DC7" w14:paraId="7051CEAB" w14:textId="77777777">
      <w:pPr>
        <w:ind w:left="360" w:right="-72"/>
        <w:rPr>
          <w:lang w:val="en"/>
        </w:rPr>
      </w:pPr>
    </w:p>
    <w:p w:rsidRPr="00702B07" w:rsidR="00C573C8" w:rsidP="00AA539A" w:rsidRDefault="00C573C8" w14:paraId="76F670BA"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674F8A00" w14:textId="77777777"/>
    <w:p w:rsidR="00B53DE8" w:rsidP="000004CA" w:rsidRDefault="00DE7D8D" w14:paraId="5652C2ED" w14:textId="415BBEE0">
      <w:pPr>
        <w:ind w:left="360" w:right="-72"/>
      </w:pPr>
      <w:r w:rsidRPr="00DE7D8D">
        <w:t xml:space="preserve">The information will be used to </w:t>
      </w:r>
      <w:r w:rsidR="00F03CCB">
        <w:t xml:space="preserve">verify </w:t>
      </w:r>
      <w:r w:rsidR="005E6063">
        <w:t>the material advisors with respect to any reportable transactions that must disclose information regarding said transactions.</w:t>
      </w:r>
    </w:p>
    <w:p w:rsidRPr="00702B07" w:rsidR="0009423B" w:rsidP="0009423B" w:rsidRDefault="0009423B" w14:paraId="29D86ECA" w14:textId="77777777">
      <w:pPr>
        <w:ind w:left="360" w:right="-72"/>
      </w:pPr>
    </w:p>
    <w:p w:rsidRPr="00702B07" w:rsidR="00C573C8" w:rsidP="00AA539A" w:rsidRDefault="00C573C8" w14:paraId="6F1EF214"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1139DA09" w14:textId="77777777">
      <w:pPr>
        <w:ind w:left="-72" w:right="-72"/>
      </w:pPr>
    </w:p>
    <w:p w:rsidRPr="007727B6" w:rsidR="007727B6" w:rsidP="007727B6" w:rsidRDefault="007727B6" w14:paraId="58E5E306" w14:textId="3AEA8219">
      <w:pPr>
        <w:numPr>
          <w:ilvl w:val="12"/>
          <w:numId w:val="0"/>
        </w:numPr>
        <w:ind w:left="360"/>
        <w:rPr>
          <w:bCs/>
        </w:rPr>
      </w:pPr>
      <w:bookmarkStart w:name="_Hlk68260959" w:id="0"/>
      <w:r w:rsidRPr="007727B6">
        <w:rPr>
          <w:bCs/>
        </w:rPr>
        <w:t xml:space="preserve">The Agency </w:t>
      </w:r>
      <w:r w:rsidRPr="007727B6" w:rsidR="004167AC">
        <w:rPr>
          <w:bCs/>
        </w:rPr>
        <w:t>does</w:t>
      </w:r>
      <w:r w:rsidR="004167AC">
        <w:rPr>
          <w:bCs/>
        </w:rPr>
        <w:t xml:space="preserve"> no</w:t>
      </w:r>
      <w:r w:rsidRPr="007727B6" w:rsidR="004167AC">
        <w:rPr>
          <w:bCs/>
        </w:rPr>
        <w:t xml:space="preserve">t </w:t>
      </w:r>
      <w:r w:rsidRPr="007727B6">
        <w:rPr>
          <w:bCs/>
        </w:rPr>
        <w:t>plan to offer electronic filing for F</w:t>
      </w:r>
      <w:r>
        <w:rPr>
          <w:bCs/>
        </w:rPr>
        <w:t>13976</w:t>
      </w:r>
      <w:r w:rsidRPr="007727B6">
        <w:rPr>
          <w:bCs/>
        </w:rPr>
        <w:t xml:space="preserve"> </w:t>
      </w:r>
      <w:proofErr w:type="gramStart"/>
      <w:r w:rsidRPr="007727B6">
        <w:rPr>
          <w:bCs/>
        </w:rPr>
        <w:t>at this time</w:t>
      </w:r>
      <w:proofErr w:type="gramEnd"/>
      <w:r w:rsidRPr="007727B6">
        <w:rPr>
          <w:bCs/>
        </w:rPr>
        <w:t xml:space="preserve">, </w:t>
      </w:r>
      <w:r>
        <w:rPr>
          <w:bCs/>
        </w:rPr>
        <w:t>since this form is only an option to fulfill the reportable transaction requirements and has small number of active respondents.</w:t>
      </w:r>
    </w:p>
    <w:bookmarkEnd w:id="0"/>
    <w:p w:rsidRPr="00702B07" w:rsidR="00C573C8" w:rsidRDefault="00C573C8" w14:paraId="698C1E7C" w14:textId="77777777">
      <w:pPr>
        <w:ind w:left="-72" w:right="-72"/>
      </w:pPr>
    </w:p>
    <w:p w:rsidRPr="00702B07" w:rsidR="00C573C8" w:rsidP="00AA539A" w:rsidRDefault="00C573C8" w14:paraId="3F7A6B11" w14:textId="77777777">
      <w:pPr>
        <w:ind w:right="-72"/>
        <w:rPr>
          <w:bCs/>
        </w:rPr>
      </w:pPr>
      <w:r w:rsidRPr="00702B07">
        <w:rPr>
          <w:bCs/>
        </w:rPr>
        <w:t xml:space="preserve">4.   </w:t>
      </w:r>
      <w:r w:rsidRPr="00702B07">
        <w:rPr>
          <w:bCs/>
          <w:u w:val="single"/>
        </w:rPr>
        <w:t>EFFORTS TO IDENTIFY DUPLICATION</w:t>
      </w:r>
    </w:p>
    <w:p w:rsidRPr="00702B07" w:rsidR="00C573C8" w:rsidRDefault="00C573C8" w14:paraId="566A33DB" w14:textId="77777777">
      <w:pPr>
        <w:ind w:left="-72" w:right="-72"/>
      </w:pPr>
    </w:p>
    <w:p w:rsidR="00C573C8" w:rsidP="0033329E" w:rsidRDefault="0033088E" w14:paraId="435439BE" w14:textId="2697FF3C">
      <w:pPr>
        <w:ind w:left="360" w:right="-72"/>
      </w:pPr>
      <w:bookmarkStart w:name="_Hlk497985603" w:id="1"/>
      <w:r w:rsidRPr="0033088E">
        <w:rPr>
          <w:iCs/>
        </w:rPr>
        <w:t>The information obtained through this collection is unique and is not already available for use or adaptation from another source.</w:t>
      </w:r>
      <w:bookmarkEnd w:id="1"/>
    </w:p>
    <w:p w:rsidRPr="00702B07" w:rsidR="00C573C8" w:rsidP="00AA539A" w:rsidRDefault="00C573C8" w14:paraId="2B33F63F" w14:textId="2140BE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037A9B78" w14:textId="77777777">
      <w:pPr>
        <w:ind w:left="-72" w:right="-72"/>
      </w:pPr>
    </w:p>
    <w:p w:rsidR="00D05E8B" w:rsidP="0033329E" w:rsidRDefault="00695D49" w14:paraId="11AAF023" w14:textId="77777777">
      <w:pPr>
        <w:ind w:left="360" w:right="-72"/>
      </w:pPr>
      <w:r w:rsidRPr="00695D49">
        <w:lastRenderedPageBreak/>
        <w:t>There are no small entities affected by this collection.</w:t>
      </w:r>
    </w:p>
    <w:p w:rsidR="00695D49" w:rsidP="0033329E" w:rsidRDefault="00695D49" w14:paraId="65CB2243" w14:textId="77777777">
      <w:pPr>
        <w:ind w:left="360" w:right="-72"/>
      </w:pPr>
    </w:p>
    <w:p w:rsidRPr="00702B07" w:rsidR="00C573C8" w:rsidP="00AA539A" w:rsidRDefault="00C573C8" w14:paraId="3CEE6358"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2065FC3D" w14:textId="77777777">
      <w:pPr>
        <w:ind w:left="-72" w:right="-72"/>
      </w:pPr>
    </w:p>
    <w:p w:rsidRPr="00895AED" w:rsidR="00C573C8" w:rsidP="00D05E8B" w:rsidRDefault="008C7BED" w14:paraId="3E3ADB46" w14:textId="6149471E">
      <w:pPr>
        <w:ind w:left="360" w:right="-72"/>
      </w:pPr>
      <w:r>
        <w:t xml:space="preserve">Consequences of a less frequent collection would </w:t>
      </w:r>
      <w:r w:rsidR="007453AC">
        <w:t>complicate the taxpayer’s ability to receive the proper tax credit and the IRS’s ability to verify its accuracy</w:t>
      </w:r>
      <w:r w:rsidR="0033088E">
        <w:t xml:space="preserve"> and hinder the IRS from meeting its m</w:t>
      </w:r>
      <w:r w:rsidR="009E5138">
        <w:t>i</w:t>
      </w:r>
      <w:r w:rsidR="0033088E">
        <w:t>ssion</w:t>
      </w:r>
      <w:r w:rsidR="007453AC">
        <w:t xml:space="preserve">.  </w:t>
      </w:r>
      <w:r w:rsidRPr="00895AED" w:rsidR="00895AED">
        <w:t xml:space="preserve"> </w:t>
      </w:r>
    </w:p>
    <w:p w:rsidRPr="00702B07" w:rsidR="003F2C5D" w:rsidP="00D85B57" w:rsidRDefault="003F2C5D" w14:paraId="72FAEF42" w14:textId="77777777">
      <w:pPr>
        <w:ind w:left="720" w:right="-72"/>
      </w:pPr>
    </w:p>
    <w:p w:rsidRPr="00702B07" w:rsidR="00C573C8" w:rsidP="00AA539A" w:rsidRDefault="00AA539A" w14:paraId="1FB9A739"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3050ED15" w14:textId="77777777">
      <w:pPr>
        <w:ind w:left="-72" w:right="-72" w:firstLine="7920"/>
      </w:pPr>
    </w:p>
    <w:p w:rsidR="00C573C8" w:rsidP="00E47B4F" w:rsidRDefault="00E47B4F" w14:paraId="2BA3FB06"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4CE1D817" w14:textId="77777777">
      <w:pPr>
        <w:ind w:left="360" w:right="-72" w:hanging="18"/>
      </w:pPr>
    </w:p>
    <w:p w:rsidRPr="00702B07" w:rsidR="00C573C8" w:rsidP="00AA539A" w:rsidRDefault="00C573C8" w14:paraId="0F2BCC11"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1E405642" w14:textId="77777777">
      <w:pPr>
        <w:ind w:left="-72" w:right="-72"/>
      </w:pPr>
    </w:p>
    <w:p w:rsidRPr="00702B07" w:rsidR="00C573C8" w:rsidRDefault="00C573C8" w14:paraId="2539F0A7" w14:textId="77777777">
      <w:pPr>
        <w:ind w:left="-72" w:right="-72"/>
        <w:sectPr w:rsidRPr="00702B07" w:rsidR="00C573C8" w:rsidSect="004D0C67">
          <w:pgSz w:w="12240" w:h="15840"/>
          <w:pgMar w:top="1368" w:right="1440" w:bottom="1710" w:left="1440" w:header="1368" w:footer="1368" w:gutter="0"/>
          <w:cols w:space="720"/>
          <w:noEndnote/>
        </w:sectPr>
      </w:pPr>
    </w:p>
    <w:p w:rsidR="00145362" w:rsidP="00D33035" w:rsidRDefault="00C573C8" w14:paraId="7D012425" w14:textId="217EB63F">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BE42D7">
        <w:t>November 23, 2020</w:t>
      </w:r>
      <w:r w:rsidRPr="00702B07" w:rsidR="00A84CA1">
        <w:t xml:space="preserve"> (</w:t>
      </w:r>
      <w:r w:rsidR="003F2C5D">
        <w:t>8</w:t>
      </w:r>
      <w:r w:rsidR="00BE42D7">
        <w:t>5</w:t>
      </w:r>
      <w:r w:rsidRPr="00702B07" w:rsidR="00A84CA1">
        <w:t xml:space="preserve"> FR </w:t>
      </w:r>
      <w:r w:rsidR="00BE42D7">
        <w:t>74793</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Pr="00702B07" w:rsidR="00C573C8" w:rsidP="00D33035" w:rsidRDefault="00C573C8" w14:paraId="0B1FCD24" w14:textId="77777777">
      <w:pPr>
        <w:ind w:left="450"/>
      </w:pPr>
    </w:p>
    <w:p w:rsidRPr="00702B07" w:rsidR="00C573C8" w:rsidP="00AA539A" w:rsidRDefault="00C573C8" w14:paraId="5E0D8CFB"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48E66E25" w14:textId="77777777"/>
    <w:p w:rsidR="00C573C8" w:rsidP="00D33035" w:rsidRDefault="00D85B57" w14:paraId="4B1C7009"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1364F41F" w14:textId="77777777"/>
    <w:p w:rsidRPr="00702B07" w:rsidR="00C573C8" w:rsidRDefault="00C573C8" w14:paraId="22F60C2D" w14:textId="77777777">
      <w:pPr>
        <w:rPr>
          <w:bCs/>
        </w:rPr>
      </w:pPr>
      <w:r w:rsidRPr="00702B07">
        <w:rPr>
          <w:bCs/>
        </w:rPr>
        <w:t xml:space="preserve">10.  </w:t>
      </w:r>
      <w:r w:rsidRPr="00702B07">
        <w:rPr>
          <w:bCs/>
          <w:u w:val="single"/>
        </w:rPr>
        <w:t>ASSURANCE OF CONFIDENTIALITY OF RESPONSES</w:t>
      </w:r>
    </w:p>
    <w:p w:rsidRPr="00702B07" w:rsidR="00C573C8" w:rsidRDefault="00C573C8" w14:paraId="543DD5B1" w14:textId="77777777"/>
    <w:p w:rsidRPr="00702B07" w:rsidR="00C573C8" w:rsidP="00D33035" w:rsidRDefault="00C573C8" w14:paraId="633BBBBE" w14:textId="77777777">
      <w:pPr>
        <w:ind w:left="450"/>
      </w:pPr>
      <w:r w:rsidRPr="00702B07">
        <w:t>Generally, tax returns and tax return information are confidential as required by 26 USC 6103.</w:t>
      </w:r>
    </w:p>
    <w:p w:rsidRPr="00702B07" w:rsidR="00C573C8" w:rsidRDefault="00C573C8" w14:paraId="059E5D11" w14:textId="77777777">
      <w:r w:rsidRPr="00702B07">
        <w:t xml:space="preserve">     </w:t>
      </w:r>
    </w:p>
    <w:p w:rsidRPr="00702B07" w:rsidR="00C573C8" w:rsidRDefault="00C573C8" w14:paraId="2764FE03"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687192B4" w14:textId="77777777">
      <w:pPr>
        <w:rPr>
          <w:u w:val="single"/>
        </w:rPr>
      </w:pPr>
    </w:p>
    <w:p w:rsidRPr="00C85FC1" w:rsidR="00C85FC1" w:rsidP="00C85FC1" w:rsidRDefault="00C85FC1" w14:paraId="6815E685"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2B396212" w14:textId="77777777">
      <w:pPr>
        <w:ind w:left="450"/>
      </w:pPr>
    </w:p>
    <w:p w:rsidRPr="00C85FC1" w:rsidR="00C85FC1" w:rsidP="00C85FC1" w:rsidRDefault="00C85FC1" w14:paraId="537419A4"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28087EE6" w14:textId="77777777"/>
    <w:p w:rsidRPr="00702B07" w:rsidR="00C573C8" w:rsidRDefault="00C573C8" w14:paraId="68F8FA9E" w14:textId="77777777">
      <w:pPr>
        <w:rPr>
          <w:bCs/>
          <w:u w:val="single"/>
        </w:rPr>
      </w:pPr>
      <w:r w:rsidRPr="00702B07">
        <w:rPr>
          <w:bCs/>
        </w:rPr>
        <w:lastRenderedPageBreak/>
        <w:t xml:space="preserve">12.  </w:t>
      </w:r>
      <w:r w:rsidRPr="00702B07">
        <w:rPr>
          <w:bCs/>
          <w:u w:val="single"/>
        </w:rPr>
        <w:t>ESTIMATED BURDEN OF INFORMATION COLLECTION</w:t>
      </w:r>
    </w:p>
    <w:p w:rsidR="00C573C8" w:rsidRDefault="00C573C8" w14:paraId="32B38107" w14:textId="77777777">
      <w:pPr>
        <w:rPr>
          <w:u w:val="single"/>
        </w:rPr>
      </w:pPr>
    </w:p>
    <w:p w:rsidR="00222F8C" w:rsidP="006E0A4D" w:rsidRDefault="00222F8C" w14:paraId="2B69A629" w14:textId="77777777">
      <w:pPr>
        <w:ind w:left="450"/>
      </w:pPr>
      <w:r w:rsidRPr="00222F8C">
        <w:t>Section 301.6112-1(b)(3) provides guidance as to which investors must be included on the list, enumerates the items that must be included in the list, and provides a procedure for asserting a claim of privilege.  We estimate that this burden will be 100 hours per respondent due to the time it takes to gather the required information.  Accordingly, we estimate that 500 persons annually will be required to maintain lists and that the burden will be 100 hours per person, for a total burden of 50,000 recordkeeping hours</w:t>
      </w:r>
      <w:r w:rsidR="00F54DAA">
        <w:t>.</w:t>
      </w:r>
    </w:p>
    <w:p w:rsidRPr="006E0A4D" w:rsidR="006E0A4D" w:rsidP="004351D5" w:rsidRDefault="006E0A4D" w14:paraId="0F184AB7" w14:textId="0947E0B5"/>
    <w:p w:rsidR="00C573C8" w:rsidRDefault="00C573C8" w14:paraId="068C5B7D" w14:textId="78398252">
      <w:r w:rsidRPr="00702B07">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65"/>
        <w:gridCol w:w="1150"/>
        <w:gridCol w:w="1239"/>
        <w:gridCol w:w="1690"/>
        <w:gridCol w:w="1224"/>
        <w:gridCol w:w="1059"/>
        <w:gridCol w:w="1039"/>
      </w:tblGrid>
      <w:tr w:rsidRPr="000A46F1" w:rsidR="000A46F1" w:rsidTr="004351D5" w14:paraId="25069BF0" w14:textId="77777777">
        <w:trPr>
          <w:jc w:val="center"/>
        </w:trPr>
        <w:tc>
          <w:tcPr>
            <w:tcW w:w="1265" w:type="dxa"/>
            <w:vAlign w:val="bottom"/>
          </w:tcPr>
          <w:p w:rsidRPr="000A46F1" w:rsidR="000A46F1" w:rsidP="000A46F1" w:rsidRDefault="000A46F1" w14:paraId="0E8F5B07" w14:textId="77777777">
            <w:pPr>
              <w:jc w:val="center"/>
              <w:rPr>
                <w:bCs/>
                <w:sz w:val="20"/>
                <w:szCs w:val="20"/>
              </w:rPr>
            </w:pPr>
          </w:p>
          <w:p w:rsidRPr="000A46F1" w:rsidR="000A46F1" w:rsidP="000A46F1" w:rsidRDefault="000A46F1" w14:paraId="2CA3D4F1" w14:textId="77777777">
            <w:pPr>
              <w:jc w:val="center"/>
              <w:rPr>
                <w:bCs/>
                <w:sz w:val="20"/>
                <w:szCs w:val="20"/>
              </w:rPr>
            </w:pPr>
            <w:r w:rsidRPr="000A46F1">
              <w:rPr>
                <w:bCs/>
                <w:sz w:val="20"/>
                <w:szCs w:val="20"/>
              </w:rPr>
              <w:t>Authority</w:t>
            </w:r>
          </w:p>
        </w:tc>
        <w:tc>
          <w:tcPr>
            <w:tcW w:w="1150" w:type="dxa"/>
            <w:vAlign w:val="bottom"/>
          </w:tcPr>
          <w:p w:rsidRPr="000A46F1" w:rsidR="000A46F1" w:rsidP="000A46F1" w:rsidRDefault="000A46F1" w14:paraId="2C498961" w14:textId="65576235">
            <w:pPr>
              <w:jc w:val="center"/>
              <w:rPr>
                <w:bCs/>
                <w:sz w:val="20"/>
                <w:szCs w:val="20"/>
              </w:rPr>
            </w:pPr>
            <w:r>
              <w:rPr>
                <w:bCs/>
                <w:sz w:val="20"/>
                <w:szCs w:val="20"/>
              </w:rPr>
              <w:t>Description</w:t>
            </w:r>
          </w:p>
        </w:tc>
        <w:tc>
          <w:tcPr>
            <w:tcW w:w="1239" w:type="dxa"/>
            <w:shd w:val="clear" w:color="auto" w:fill="auto"/>
            <w:vAlign w:val="bottom"/>
          </w:tcPr>
          <w:p w:rsidRPr="000A46F1" w:rsidR="000A46F1" w:rsidP="000A46F1" w:rsidRDefault="000A46F1" w14:paraId="242CDA46" w14:textId="055183E1">
            <w:pPr>
              <w:jc w:val="center"/>
              <w:rPr>
                <w:bCs/>
                <w:sz w:val="20"/>
                <w:szCs w:val="20"/>
              </w:rPr>
            </w:pPr>
            <w:r w:rsidRPr="000A46F1">
              <w:rPr>
                <w:bCs/>
                <w:sz w:val="20"/>
                <w:szCs w:val="20"/>
              </w:rPr>
              <w:t xml:space="preserve"># </w:t>
            </w:r>
            <w:r>
              <w:rPr>
                <w:bCs/>
                <w:sz w:val="20"/>
                <w:szCs w:val="20"/>
              </w:rPr>
              <w:t xml:space="preserve">of </w:t>
            </w:r>
            <w:r w:rsidRPr="000A46F1">
              <w:rPr>
                <w:bCs/>
                <w:sz w:val="20"/>
                <w:szCs w:val="20"/>
              </w:rPr>
              <w:t>Respondents</w:t>
            </w:r>
          </w:p>
        </w:tc>
        <w:tc>
          <w:tcPr>
            <w:tcW w:w="1690" w:type="dxa"/>
            <w:shd w:val="clear" w:color="auto" w:fill="auto"/>
            <w:vAlign w:val="bottom"/>
          </w:tcPr>
          <w:p w:rsidRPr="000A46F1" w:rsidR="000A46F1" w:rsidP="000A46F1" w:rsidRDefault="000A46F1" w14:paraId="67BE7629" w14:textId="77777777">
            <w:pPr>
              <w:jc w:val="center"/>
              <w:rPr>
                <w:bCs/>
                <w:sz w:val="20"/>
                <w:szCs w:val="20"/>
              </w:rPr>
            </w:pPr>
            <w:r w:rsidRPr="000A46F1">
              <w:rPr>
                <w:bCs/>
                <w:sz w:val="20"/>
                <w:szCs w:val="20"/>
              </w:rPr>
              <w:t># Responses Per Respondent</w:t>
            </w:r>
          </w:p>
        </w:tc>
        <w:tc>
          <w:tcPr>
            <w:tcW w:w="1224" w:type="dxa"/>
            <w:shd w:val="clear" w:color="auto" w:fill="auto"/>
            <w:vAlign w:val="bottom"/>
          </w:tcPr>
          <w:p w:rsidRPr="000A46F1" w:rsidR="000A46F1" w:rsidP="000A46F1" w:rsidRDefault="000A46F1" w14:paraId="10C7EEB8" w14:textId="77777777">
            <w:pPr>
              <w:jc w:val="center"/>
              <w:rPr>
                <w:bCs/>
                <w:sz w:val="20"/>
                <w:szCs w:val="20"/>
              </w:rPr>
            </w:pPr>
            <w:r w:rsidRPr="000A46F1">
              <w:rPr>
                <w:bCs/>
                <w:sz w:val="20"/>
                <w:szCs w:val="20"/>
              </w:rPr>
              <w:t>Total Annual Responses</w:t>
            </w:r>
          </w:p>
        </w:tc>
        <w:tc>
          <w:tcPr>
            <w:tcW w:w="1059" w:type="dxa"/>
            <w:shd w:val="clear" w:color="auto" w:fill="auto"/>
            <w:vAlign w:val="bottom"/>
          </w:tcPr>
          <w:p w:rsidRPr="000A46F1" w:rsidR="000A46F1" w:rsidP="000A46F1" w:rsidRDefault="000A46F1" w14:paraId="611DCAEE" w14:textId="77777777">
            <w:pPr>
              <w:jc w:val="center"/>
              <w:rPr>
                <w:bCs/>
                <w:sz w:val="20"/>
                <w:szCs w:val="20"/>
              </w:rPr>
            </w:pPr>
            <w:r w:rsidRPr="000A46F1">
              <w:rPr>
                <w:bCs/>
                <w:sz w:val="20"/>
                <w:szCs w:val="20"/>
              </w:rPr>
              <w:t>Hours Per Response</w:t>
            </w:r>
          </w:p>
        </w:tc>
        <w:tc>
          <w:tcPr>
            <w:tcW w:w="1039" w:type="dxa"/>
            <w:shd w:val="clear" w:color="auto" w:fill="auto"/>
            <w:vAlign w:val="bottom"/>
          </w:tcPr>
          <w:p w:rsidRPr="000A46F1" w:rsidR="000A46F1" w:rsidP="000A46F1" w:rsidRDefault="000A46F1" w14:paraId="4EFEEE3E" w14:textId="77777777">
            <w:pPr>
              <w:jc w:val="center"/>
              <w:rPr>
                <w:bCs/>
                <w:sz w:val="20"/>
                <w:szCs w:val="20"/>
              </w:rPr>
            </w:pPr>
            <w:r w:rsidRPr="000A46F1">
              <w:rPr>
                <w:bCs/>
                <w:sz w:val="20"/>
                <w:szCs w:val="20"/>
              </w:rPr>
              <w:t>Total Burden</w:t>
            </w:r>
          </w:p>
        </w:tc>
      </w:tr>
      <w:tr w:rsidRPr="000A46F1" w:rsidR="000A46F1" w:rsidTr="004351D5" w14:paraId="3669EA69" w14:textId="77777777">
        <w:trPr>
          <w:trHeight w:val="557"/>
          <w:jc w:val="center"/>
        </w:trPr>
        <w:tc>
          <w:tcPr>
            <w:tcW w:w="1265" w:type="dxa"/>
            <w:vAlign w:val="bottom"/>
          </w:tcPr>
          <w:p w:rsidRPr="000A46F1" w:rsidR="000A46F1" w:rsidP="000A46F1" w:rsidRDefault="000A46F1" w14:paraId="099910BF" w14:textId="77777777">
            <w:pPr>
              <w:jc w:val="center"/>
              <w:rPr>
                <w:bCs/>
                <w:sz w:val="20"/>
                <w:szCs w:val="20"/>
              </w:rPr>
            </w:pPr>
          </w:p>
          <w:p w:rsidRPr="000A46F1" w:rsidR="000A46F1" w:rsidP="000A46F1" w:rsidRDefault="000A46F1" w14:paraId="50241899" w14:textId="521CB2D4">
            <w:pPr>
              <w:rPr>
                <w:bCs/>
                <w:sz w:val="20"/>
                <w:szCs w:val="20"/>
              </w:rPr>
            </w:pPr>
            <w:r w:rsidRPr="000A46F1">
              <w:rPr>
                <w:bCs/>
                <w:sz w:val="20"/>
                <w:szCs w:val="20"/>
              </w:rPr>
              <w:t>§</w:t>
            </w:r>
            <w:r>
              <w:rPr>
                <w:bCs/>
                <w:sz w:val="20"/>
                <w:szCs w:val="20"/>
              </w:rPr>
              <w:t>301.6112-1</w:t>
            </w:r>
          </w:p>
        </w:tc>
        <w:tc>
          <w:tcPr>
            <w:tcW w:w="1150" w:type="dxa"/>
            <w:vAlign w:val="bottom"/>
          </w:tcPr>
          <w:p w:rsidRPr="000A46F1" w:rsidR="000A46F1" w:rsidP="000A46F1" w:rsidRDefault="000A46F1" w14:paraId="490CB62A" w14:textId="3DFE058E">
            <w:pPr>
              <w:jc w:val="center"/>
              <w:rPr>
                <w:bCs/>
                <w:sz w:val="20"/>
                <w:szCs w:val="20"/>
              </w:rPr>
            </w:pPr>
            <w:r>
              <w:rPr>
                <w:bCs/>
                <w:sz w:val="20"/>
                <w:szCs w:val="20"/>
              </w:rPr>
              <w:t>Form 13976</w:t>
            </w:r>
          </w:p>
        </w:tc>
        <w:tc>
          <w:tcPr>
            <w:tcW w:w="1239" w:type="dxa"/>
            <w:shd w:val="clear" w:color="auto" w:fill="auto"/>
            <w:vAlign w:val="bottom"/>
          </w:tcPr>
          <w:p w:rsidRPr="000A46F1" w:rsidR="000A46F1" w:rsidP="000A46F1" w:rsidRDefault="004351D5" w14:paraId="13D07BAD" w14:textId="6CFCE54A">
            <w:pPr>
              <w:jc w:val="center"/>
              <w:rPr>
                <w:bCs/>
                <w:sz w:val="20"/>
                <w:szCs w:val="20"/>
              </w:rPr>
            </w:pPr>
            <w:r>
              <w:rPr>
                <w:bCs/>
                <w:sz w:val="20"/>
                <w:szCs w:val="20"/>
              </w:rPr>
              <w:t>5</w:t>
            </w:r>
            <w:r w:rsidRPr="000A46F1" w:rsidR="000A46F1">
              <w:rPr>
                <w:bCs/>
                <w:sz w:val="20"/>
                <w:szCs w:val="20"/>
              </w:rPr>
              <w:t>00</w:t>
            </w:r>
          </w:p>
        </w:tc>
        <w:tc>
          <w:tcPr>
            <w:tcW w:w="1690" w:type="dxa"/>
            <w:shd w:val="clear" w:color="auto" w:fill="auto"/>
            <w:vAlign w:val="bottom"/>
          </w:tcPr>
          <w:p w:rsidRPr="000A46F1" w:rsidR="000A46F1" w:rsidP="000A46F1" w:rsidRDefault="000A46F1" w14:paraId="40256A5F" w14:textId="77777777">
            <w:pPr>
              <w:jc w:val="center"/>
              <w:rPr>
                <w:bCs/>
                <w:sz w:val="20"/>
                <w:szCs w:val="20"/>
              </w:rPr>
            </w:pPr>
            <w:r w:rsidRPr="000A46F1">
              <w:rPr>
                <w:bCs/>
                <w:sz w:val="20"/>
                <w:szCs w:val="20"/>
              </w:rPr>
              <w:t>1</w:t>
            </w:r>
          </w:p>
        </w:tc>
        <w:tc>
          <w:tcPr>
            <w:tcW w:w="1224" w:type="dxa"/>
            <w:shd w:val="clear" w:color="auto" w:fill="auto"/>
            <w:vAlign w:val="bottom"/>
          </w:tcPr>
          <w:p w:rsidRPr="000A46F1" w:rsidR="000A46F1" w:rsidP="000A46F1" w:rsidRDefault="004351D5" w14:paraId="766EA622" w14:textId="27881500">
            <w:pPr>
              <w:jc w:val="center"/>
              <w:rPr>
                <w:bCs/>
                <w:sz w:val="20"/>
                <w:szCs w:val="20"/>
              </w:rPr>
            </w:pPr>
            <w:r>
              <w:rPr>
                <w:bCs/>
                <w:sz w:val="20"/>
                <w:szCs w:val="20"/>
              </w:rPr>
              <w:t>5</w:t>
            </w:r>
            <w:r w:rsidRPr="000A46F1" w:rsidR="000A46F1">
              <w:rPr>
                <w:bCs/>
                <w:sz w:val="20"/>
                <w:szCs w:val="20"/>
              </w:rPr>
              <w:t>00</w:t>
            </w:r>
          </w:p>
        </w:tc>
        <w:tc>
          <w:tcPr>
            <w:tcW w:w="1059" w:type="dxa"/>
            <w:shd w:val="clear" w:color="auto" w:fill="auto"/>
            <w:vAlign w:val="bottom"/>
          </w:tcPr>
          <w:p w:rsidRPr="000A46F1" w:rsidR="000A46F1" w:rsidP="000A46F1" w:rsidRDefault="004351D5" w14:paraId="0DE86E93" w14:textId="019B64BD">
            <w:pPr>
              <w:jc w:val="center"/>
              <w:rPr>
                <w:bCs/>
                <w:sz w:val="20"/>
                <w:szCs w:val="20"/>
              </w:rPr>
            </w:pPr>
            <w:r>
              <w:rPr>
                <w:bCs/>
                <w:sz w:val="20"/>
                <w:szCs w:val="20"/>
              </w:rPr>
              <w:t>100</w:t>
            </w:r>
          </w:p>
        </w:tc>
        <w:tc>
          <w:tcPr>
            <w:tcW w:w="1039" w:type="dxa"/>
            <w:shd w:val="clear" w:color="auto" w:fill="auto"/>
            <w:vAlign w:val="bottom"/>
          </w:tcPr>
          <w:p w:rsidRPr="000A46F1" w:rsidR="000A46F1" w:rsidP="000A46F1" w:rsidRDefault="004351D5" w14:paraId="28E6B992" w14:textId="58EFF245">
            <w:pPr>
              <w:jc w:val="center"/>
              <w:rPr>
                <w:bCs/>
                <w:sz w:val="20"/>
                <w:szCs w:val="20"/>
              </w:rPr>
            </w:pPr>
            <w:r>
              <w:rPr>
                <w:bCs/>
                <w:sz w:val="20"/>
                <w:szCs w:val="20"/>
              </w:rPr>
              <w:t>50,000</w:t>
            </w:r>
          </w:p>
        </w:tc>
      </w:tr>
      <w:tr w:rsidRPr="000A46F1" w:rsidR="000A46F1" w:rsidTr="004351D5" w14:paraId="0F77041B" w14:textId="77777777">
        <w:trPr>
          <w:trHeight w:val="350"/>
          <w:jc w:val="center"/>
        </w:trPr>
        <w:tc>
          <w:tcPr>
            <w:tcW w:w="1265" w:type="dxa"/>
            <w:vAlign w:val="bottom"/>
          </w:tcPr>
          <w:p w:rsidRPr="000A46F1" w:rsidR="000A46F1" w:rsidP="000A46F1" w:rsidRDefault="000A46F1" w14:paraId="41649218" w14:textId="77777777">
            <w:pPr>
              <w:jc w:val="center"/>
              <w:rPr>
                <w:bCs/>
                <w:sz w:val="20"/>
                <w:szCs w:val="20"/>
              </w:rPr>
            </w:pPr>
            <w:r w:rsidRPr="000A46F1">
              <w:rPr>
                <w:sz w:val="20"/>
                <w:szCs w:val="20"/>
              </w:rPr>
              <w:t>Totals</w:t>
            </w:r>
          </w:p>
        </w:tc>
        <w:tc>
          <w:tcPr>
            <w:tcW w:w="1150" w:type="dxa"/>
            <w:vAlign w:val="bottom"/>
          </w:tcPr>
          <w:p w:rsidRPr="000A46F1" w:rsidR="000A46F1" w:rsidP="000A46F1" w:rsidRDefault="000A46F1" w14:paraId="5348AEAA" w14:textId="77777777">
            <w:pPr>
              <w:jc w:val="center"/>
              <w:rPr>
                <w:bCs/>
                <w:sz w:val="20"/>
                <w:szCs w:val="20"/>
              </w:rPr>
            </w:pPr>
          </w:p>
        </w:tc>
        <w:tc>
          <w:tcPr>
            <w:tcW w:w="1239" w:type="dxa"/>
            <w:shd w:val="clear" w:color="auto" w:fill="auto"/>
            <w:vAlign w:val="bottom"/>
          </w:tcPr>
          <w:p w:rsidRPr="000A46F1" w:rsidR="000A46F1" w:rsidP="000A46F1" w:rsidRDefault="004351D5" w14:paraId="4A456D92" w14:textId="381953FF">
            <w:pPr>
              <w:jc w:val="center"/>
              <w:rPr>
                <w:bCs/>
                <w:sz w:val="20"/>
                <w:szCs w:val="20"/>
              </w:rPr>
            </w:pPr>
            <w:r>
              <w:rPr>
                <w:bCs/>
                <w:sz w:val="20"/>
                <w:szCs w:val="20"/>
              </w:rPr>
              <w:t>5</w:t>
            </w:r>
            <w:r w:rsidRPr="000A46F1" w:rsidR="000A46F1">
              <w:rPr>
                <w:bCs/>
                <w:sz w:val="20"/>
                <w:szCs w:val="20"/>
              </w:rPr>
              <w:t>00</w:t>
            </w:r>
          </w:p>
        </w:tc>
        <w:tc>
          <w:tcPr>
            <w:tcW w:w="1690" w:type="dxa"/>
            <w:shd w:val="clear" w:color="auto" w:fill="auto"/>
            <w:vAlign w:val="bottom"/>
          </w:tcPr>
          <w:p w:rsidRPr="000A46F1" w:rsidR="000A46F1" w:rsidP="000A46F1" w:rsidRDefault="000A46F1" w14:paraId="6489657C" w14:textId="77777777">
            <w:pPr>
              <w:jc w:val="center"/>
              <w:rPr>
                <w:bCs/>
                <w:sz w:val="20"/>
                <w:szCs w:val="20"/>
              </w:rPr>
            </w:pPr>
          </w:p>
        </w:tc>
        <w:tc>
          <w:tcPr>
            <w:tcW w:w="1224" w:type="dxa"/>
            <w:shd w:val="clear" w:color="auto" w:fill="auto"/>
            <w:vAlign w:val="bottom"/>
          </w:tcPr>
          <w:p w:rsidRPr="000A46F1" w:rsidR="000A46F1" w:rsidP="000A46F1" w:rsidRDefault="004351D5" w14:paraId="06073206" w14:textId="6DAB125A">
            <w:pPr>
              <w:jc w:val="center"/>
              <w:rPr>
                <w:bCs/>
                <w:sz w:val="20"/>
                <w:szCs w:val="20"/>
              </w:rPr>
            </w:pPr>
            <w:r>
              <w:rPr>
                <w:bCs/>
                <w:sz w:val="20"/>
                <w:szCs w:val="20"/>
              </w:rPr>
              <w:t>5</w:t>
            </w:r>
            <w:r w:rsidRPr="000A46F1" w:rsidR="000A46F1">
              <w:rPr>
                <w:bCs/>
                <w:sz w:val="20"/>
                <w:szCs w:val="20"/>
              </w:rPr>
              <w:t>00</w:t>
            </w:r>
          </w:p>
        </w:tc>
        <w:tc>
          <w:tcPr>
            <w:tcW w:w="1059" w:type="dxa"/>
            <w:shd w:val="clear" w:color="auto" w:fill="auto"/>
            <w:vAlign w:val="bottom"/>
          </w:tcPr>
          <w:p w:rsidRPr="000A46F1" w:rsidR="000A46F1" w:rsidP="000A46F1" w:rsidRDefault="000A46F1" w14:paraId="5D16B9D7" w14:textId="77777777">
            <w:pPr>
              <w:jc w:val="center"/>
              <w:rPr>
                <w:bCs/>
                <w:sz w:val="20"/>
                <w:szCs w:val="20"/>
              </w:rPr>
            </w:pPr>
          </w:p>
        </w:tc>
        <w:tc>
          <w:tcPr>
            <w:tcW w:w="1039" w:type="dxa"/>
            <w:shd w:val="clear" w:color="auto" w:fill="auto"/>
            <w:vAlign w:val="bottom"/>
          </w:tcPr>
          <w:p w:rsidRPr="000A46F1" w:rsidR="000A46F1" w:rsidP="000A46F1" w:rsidRDefault="000A46F1" w14:paraId="4BE446A5" w14:textId="5F559C04">
            <w:pPr>
              <w:jc w:val="center"/>
              <w:rPr>
                <w:bCs/>
                <w:sz w:val="20"/>
                <w:szCs w:val="20"/>
              </w:rPr>
            </w:pPr>
            <w:r w:rsidRPr="000A46F1">
              <w:rPr>
                <w:bCs/>
                <w:sz w:val="20"/>
                <w:szCs w:val="20"/>
              </w:rPr>
              <w:t>5</w:t>
            </w:r>
            <w:r w:rsidR="004351D5">
              <w:rPr>
                <w:bCs/>
                <w:sz w:val="20"/>
                <w:szCs w:val="20"/>
              </w:rPr>
              <w:t>0,000</w:t>
            </w:r>
          </w:p>
        </w:tc>
      </w:tr>
    </w:tbl>
    <w:p w:rsidR="000A46F1" w:rsidRDefault="000A46F1" w14:paraId="514971A2" w14:textId="099938C9"/>
    <w:p w:rsidR="000A46F1" w:rsidRDefault="000A46F1" w14:paraId="56241DD5" w14:textId="77777777"/>
    <w:p w:rsidR="00DD4327" w:rsidP="00DD4327" w:rsidRDefault="00DD4327" w14:paraId="519E744B" w14:textId="77777777">
      <w:pPr>
        <w:pStyle w:val="SupportingStatementSTANDARD"/>
        <w:ind w:firstLine="0"/>
      </w:pPr>
      <w:r>
        <w:t>Please continue to assign OMB number 1545-</w:t>
      </w:r>
      <w:r w:rsidR="006C101B">
        <w:t>1686</w:t>
      </w:r>
      <w:r>
        <w:t xml:space="preserve"> to these regulations.</w:t>
      </w:r>
    </w:p>
    <w:p w:rsidR="00DD4327" w:rsidP="00DD4327" w:rsidRDefault="00DD4327" w14:paraId="46E04FB1" w14:textId="77777777">
      <w:pPr>
        <w:pStyle w:val="SupportingStatementSTANDARD"/>
        <w:ind w:firstLine="0"/>
      </w:pPr>
    </w:p>
    <w:p w:rsidRPr="007727B6" w:rsidR="00792586" w:rsidP="00DD4327" w:rsidRDefault="00F54DAA" w14:paraId="265E091A" w14:textId="77777777">
      <w:pPr>
        <w:pStyle w:val="SupportingStatementSTANDARD"/>
        <w:ind w:firstLine="0"/>
        <w:rPr>
          <w:b/>
          <w:bCs/>
        </w:rPr>
      </w:pPr>
      <w:r w:rsidRPr="007727B6">
        <w:rPr>
          <w:b/>
          <w:bCs/>
        </w:rPr>
        <w:t>30</w:t>
      </w:r>
      <w:r w:rsidRPr="007727B6" w:rsidR="00792586">
        <w:rPr>
          <w:b/>
          <w:bCs/>
        </w:rPr>
        <w:t>1.</w:t>
      </w:r>
      <w:r w:rsidRPr="007727B6">
        <w:rPr>
          <w:b/>
          <w:bCs/>
        </w:rPr>
        <w:t>6112-</w:t>
      </w:r>
      <w:r w:rsidRPr="007727B6" w:rsidR="00792586">
        <w:rPr>
          <w:b/>
          <w:bCs/>
        </w:rPr>
        <w:t>1</w:t>
      </w:r>
    </w:p>
    <w:p w:rsidRPr="00702B07" w:rsidR="00007D7B" w:rsidRDefault="00007D7B" w14:paraId="008FEF15" w14:textId="77777777"/>
    <w:p w:rsidRPr="00702B07" w:rsidR="00C573C8" w:rsidRDefault="00C573C8" w14:paraId="2CD3BACB"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51B1C022" w14:textId="77777777"/>
    <w:p w:rsidRPr="0033088E" w:rsidR="0033088E" w:rsidP="0033088E" w:rsidRDefault="0033088E" w14:paraId="2B24BB25" w14:textId="77777777">
      <w:pPr>
        <w:tabs>
          <w:tab w:val="left" w:pos="-1440"/>
        </w:tabs>
        <w:ind w:left="450"/>
      </w:pPr>
      <w:r w:rsidRPr="0033088E">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C573C8" w:rsidP="00145362" w:rsidRDefault="00C573C8" w14:paraId="3B2C540E" w14:textId="77777777">
      <w:pPr>
        <w:tabs>
          <w:tab w:val="left" w:pos="-1440"/>
        </w:tabs>
        <w:ind w:left="450"/>
      </w:pPr>
    </w:p>
    <w:p w:rsidRPr="00702B07" w:rsidR="00D33035" w:rsidRDefault="00D33035" w14:paraId="2EA18038" w14:textId="77777777"/>
    <w:p w:rsidRPr="00702B07" w:rsidR="00C573C8" w:rsidRDefault="00C573C8" w14:paraId="04C0A3BD"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6D563065" w14:textId="77777777"/>
    <w:p w:rsidRPr="00702B07" w:rsidR="00C573C8" w:rsidP="00D33035" w:rsidRDefault="00C573C8" w14:paraId="1E8B8F60" w14:textId="77777777">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004D0C67">
        <w:t>4,864</w:t>
      </w:r>
      <w:r w:rsidRPr="00702B07">
        <w:t>.</w:t>
      </w:r>
    </w:p>
    <w:p w:rsidRPr="00702B07" w:rsidR="00153A01" w:rsidRDefault="00153A01" w14:paraId="6B0812F0" w14:textId="77777777"/>
    <w:p w:rsidRPr="00702B07" w:rsidR="00C573C8" w:rsidRDefault="00C573C8" w14:paraId="2FCB82D1" w14:textId="77777777">
      <w:r w:rsidRPr="00702B07">
        <w:rPr>
          <w:bCs/>
        </w:rPr>
        <w:t xml:space="preserve">15.  </w:t>
      </w:r>
      <w:r w:rsidRPr="00702B07">
        <w:rPr>
          <w:bCs/>
          <w:u w:val="single"/>
        </w:rPr>
        <w:t>REASONS FOR CHANGE IN BURDEN</w:t>
      </w:r>
    </w:p>
    <w:p w:rsidRPr="00702B07" w:rsidR="00C573C8" w:rsidRDefault="00C573C8" w14:paraId="2D6648B2" w14:textId="77777777">
      <w:pPr>
        <w:ind w:left="720" w:hanging="720"/>
        <w:rPr>
          <w:bCs/>
        </w:rPr>
      </w:pPr>
      <w:r w:rsidRPr="00702B07">
        <w:t xml:space="preserve">    </w:t>
      </w:r>
    </w:p>
    <w:p w:rsidRPr="00702B07" w:rsidR="00C573C8" w:rsidP="00D33035" w:rsidRDefault="003F2C5D" w14:paraId="4990C9C1" w14:textId="6A60E229">
      <w:pPr>
        <w:ind w:left="450"/>
      </w:pPr>
      <w:r>
        <w:t>T</w:t>
      </w:r>
      <w:r w:rsidRPr="00702B07" w:rsidR="00C573C8">
        <w:t xml:space="preserve">here are no changes being made to </w:t>
      </w:r>
      <w:r w:rsidR="00153A01">
        <w:t>the burden previously approved</w:t>
      </w:r>
      <w:r w:rsidR="006010C1">
        <w:t xml:space="preserve">.  </w:t>
      </w:r>
      <w:r w:rsidRPr="00702B07" w:rsidR="00E3396B">
        <w:t>T</w:t>
      </w:r>
      <w:r w:rsidRPr="00702B07" w:rsidR="00C573C8">
        <w:t>his submission is being made for renewal purposes.</w:t>
      </w:r>
    </w:p>
    <w:p w:rsidRPr="00702B07" w:rsidR="00C573C8" w:rsidRDefault="00C573C8" w14:paraId="5298D48B" w14:textId="77777777">
      <w:pPr>
        <w:rPr>
          <w:bCs/>
        </w:rPr>
      </w:pPr>
    </w:p>
    <w:p w:rsidRPr="00702B07" w:rsidR="00C573C8" w:rsidRDefault="00C573C8" w14:paraId="4C1EB3C2" w14:textId="77777777">
      <w:r w:rsidRPr="00702B07">
        <w:rPr>
          <w:bCs/>
        </w:rPr>
        <w:t xml:space="preserve">16.  </w:t>
      </w:r>
      <w:r w:rsidRPr="00702B07">
        <w:rPr>
          <w:bCs/>
          <w:u w:val="single"/>
        </w:rPr>
        <w:t>PLANS FOR TABULATION, STATISTICAL ANALYSIS AND PUBLICATION</w:t>
      </w:r>
    </w:p>
    <w:p w:rsidRPr="00702B07" w:rsidR="00C573C8" w:rsidRDefault="00C573C8" w14:paraId="50E2FC75" w14:textId="77777777"/>
    <w:p w:rsidR="00C573C8" w:rsidP="00D33035" w:rsidRDefault="003F2C5D" w14:paraId="2EFBEC52" w14:textId="23542C40">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00E627FA" w:rsidP="00D33035" w:rsidRDefault="00E627FA" w14:paraId="6F3269F1" w14:textId="7C172275">
      <w:pPr>
        <w:ind w:left="450"/>
      </w:pPr>
    </w:p>
    <w:p w:rsidR="00E627FA" w:rsidP="00D33035" w:rsidRDefault="00E627FA" w14:paraId="1E91CF87" w14:textId="5AD32C9B">
      <w:pPr>
        <w:ind w:left="450"/>
      </w:pPr>
    </w:p>
    <w:p w:rsidRPr="00702B07" w:rsidR="00E627FA" w:rsidP="00D33035" w:rsidRDefault="00E627FA" w14:paraId="726329D8" w14:textId="77777777">
      <w:pPr>
        <w:ind w:left="450"/>
      </w:pPr>
    </w:p>
    <w:p w:rsidRPr="00702B07" w:rsidR="00C573C8" w:rsidRDefault="00C573C8" w14:paraId="11A5DB23" w14:textId="77777777">
      <w:pPr>
        <w:rPr>
          <w:bCs/>
        </w:rPr>
      </w:pPr>
    </w:p>
    <w:p w:rsidRPr="00702B07" w:rsidR="00C573C8" w:rsidP="00AA539A" w:rsidRDefault="00C573C8" w14:paraId="22D47CEC" w14:textId="77777777">
      <w:pPr>
        <w:ind w:left="450" w:hanging="450"/>
        <w:rPr>
          <w:bCs/>
        </w:rPr>
      </w:pPr>
      <w:r w:rsidRPr="00702B07">
        <w:rPr>
          <w:bCs/>
        </w:rPr>
        <w:lastRenderedPageBreak/>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4CC92DD8" w14:textId="77777777"/>
    <w:p w:rsidRPr="0033088E" w:rsidR="0033088E" w:rsidP="0033088E" w:rsidRDefault="00C63B15" w14:paraId="5CF09594" w14:textId="2BA99209">
      <w:pPr>
        <w:ind w:left="450"/>
      </w:pPr>
      <w:bookmarkStart w:name="_Hlk497829097" w:id="2"/>
      <w:bookmarkStart w:name="_Hlk498001825" w:id="3"/>
      <w:r>
        <w:t>IRS believes</w:t>
      </w:r>
      <w:r w:rsidRPr="0033088E" w:rsidR="0033088E">
        <w:t xml:space="preserve"> that displaying the OMB expiration date is inappropriate because it could cause confusion by leading taxpayers to believe that the form and / or regulation sunsets as of the expiration date.  Taxpayers are not likely to be aware that the Service intends to request renewal of the OMB approval and obtain a new expiration date before the old one expires.</w:t>
      </w:r>
      <w:bookmarkEnd w:id="2"/>
    </w:p>
    <w:bookmarkEnd w:id="3"/>
    <w:p w:rsidRPr="00702B07" w:rsidR="00C573C8" w:rsidRDefault="00C573C8" w14:paraId="14A72E01" w14:textId="77777777">
      <w:pPr>
        <w:rPr>
          <w:bCs/>
        </w:rPr>
      </w:pPr>
    </w:p>
    <w:p w:rsidR="00C573C8" w:rsidRDefault="00C573C8" w14:paraId="6C9C8AAB"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4C80A5B3" w14:textId="77777777"/>
    <w:p w:rsidRPr="00702B07" w:rsidR="00C573C8" w:rsidP="006642C2" w:rsidRDefault="006642C2" w14:paraId="7E61AD4C"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044244AF" w14:textId="77777777"/>
    <w:p w:rsidRPr="00702B07" w:rsidR="00C573C8" w:rsidP="006642C2" w:rsidRDefault="00C573C8" w14:paraId="7D519BA7"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3ECD4AB5" w14:textId="77777777"/>
    <w:p w:rsidRPr="00702B07" w:rsidR="00C573C8" w:rsidP="006642C2" w:rsidRDefault="00C573C8" w14:paraId="64B7D11A"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7ADDB9FE" w14:textId="77777777"/>
    <w:p w:rsidR="00702B07" w:rsidRDefault="00702B07" w14:paraId="27354687" w14:textId="77777777">
      <w:pPr>
        <w:ind w:firstLine="720"/>
      </w:pPr>
    </w:p>
    <w:p w:rsidRPr="00702B07" w:rsidR="00576081" w:rsidP="0033088E" w:rsidRDefault="00576081" w14:paraId="41DF6942" w14:textId="77777777">
      <w:pPr>
        <w:ind w:firstLine="720"/>
      </w:pPr>
    </w:p>
    <w:sectPr w:rsidRPr="00702B07"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639E1"/>
    <w:rsid w:val="0009423B"/>
    <w:rsid w:val="000A1B91"/>
    <w:rsid w:val="000A2988"/>
    <w:rsid w:val="000A46F1"/>
    <w:rsid w:val="000F5ED2"/>
    <w:rsid w:val="00145362"/>
    <w:rsid w:val="00153A01"/>
    <w:rsid w:val="00170DDF"/>
    <w:rsid w:val="001A5F9F"/>
    <w:rsid w:val="001C681C"/>
    <w:rsid w:val="00204931"/>
    <w:rsid w:val="00222F8C"/>
    <w:rsid w:val="0024297E"/>
    <w:rsid w:val="0028041B"/>
    <w:rsid w:val="002C2E90"/>
    <w:rsid w:val="002F1F1B"/>
    <w:rsid w:val="002F69D6"/>
    <w:rsid w:val="0033088E"/>
    <w:rsid w:val="00330948"/>
    <w:rsid w:val="0033329E"/>
    <w:rsid w:val="003B5334"/>
    <w:rsid w:val="003B5891"/>
    <w:rsid w:val="003B7275"/>
    <w:rsid w:val="003F2C5D"/>
    <w:rsid w:val="004167AC"/>
    <w:rsid w:val="00427EF7"/>
    <w:rsid w:val="004351D5"/>
    <w:rsid w:val="00460F0B"/>
    <w:rsid w:val="004D0C67"/>
    <w:rsid w:val="004E06B1"/>
    <w:rsid w:val="004E4007"/>
    <w:rsid w:val="005238E8"/>
    <w:rsid w:val="00576081"/>
    <w:rsid w:val="00580784"/>
    <w:rsid w:val="005853BC"/>
    <w:rsid w:val="00591B4A"/>
    <w:rsid w:val="005E6063"/>
    <w:rsid w:val="006010C1"/>
    <w:rsid w:val="006149C7"/>
    <w:rsid w:val="00636B94"/>
    <w:rsid w:val="006642C2"/>
    <w:rsid w:val="00695940"/>
    <w:rsid w:val="00695D49"/>
    <w:rsid w:val="006C101B"/>
    <w:rsid w:val="006E0A4D"/>
    <w:rsid w:val="006E0ACF"/>
    <w:rsid w:val="00702B07"/>
    <w:rsid w:val="007453AC"/>
    <w:rsid w:val="007727B6"/>
    <w:rsid w:val="007811F7"/>
    <w:rsid w:val="00792586"/>
    <w:rsid w:val="007C4439"/>
    <w:rsid w:val="008708F6"/>
    <w:rsid w:val="00895AED"/>
    <w:rsid w:val="008C7BED"/>
    <w:rsid w:val="00910116"/>
    <w:rsid w:val="00923919"/>
    <w:rsid w:val="0096082C"/>
    <w:rsid w:val="009967B9"/>
    <w:rsid w:val="009C057F"/>
    <w:rsid w:val="009C6B4D"/>
    <w:rsid w:val="009E5138"/>
    <w:rsid w:val="00A00E60"/>
    <w:rsid w:val="00A34C7C"/>
    <w:rsid w:val="00A35D5B"/>
    <w:rsid w:val="00A84CA1"/>
    <w:rsid w:val="00A91E00"/>
    <w:rsid w:val="00AA539A"/>
    <w:rsid w:val="00B03E6E"/>
    <w:rsid w:val="00B53DE8"/>
    <w:rsid w:val="00B54DC7"/>
    <w:rsid w:val="00B73C86"/>
    <w:rsid w:val="00B77265"/>
    <w:rsid w:val="00B81690"/>
    <w:rsid w:val="00BA4DF8"/>
    <w:rsid w:val="00BB736E"/>
    <w:rsid w:val="00BC2563"/>
    <w:rsid w:val="00BE2174"/>
    <w:rsid w:val="00BE42D7"/>
    <w:rsid w:val="00BE5210"/>
    <w:rsid w:val="00BF3A51"/>
    <w:rsid w:val="00BF503E"/>
    <w:rsid w:val="00C358CE"/>
    <w:rsid w:val="00C53DF5"/>
    <w:rsid w:val="00C573C8"/>
    <w:rsid w:val="00C63B15"/>
    <w:rsid w:val="00C8357C"/>
    <w:rsid w:val="00C85FC1"/>
    <w:rsid w:val="00C9154E"/>
    <w:rsid w:val="00CC6C32"/>
    <w:rsid w:val="00CE5344"/>
    <w:rsid w:val="00CF20D2"/>
    <w:rsid w:val="00D05E8B"/>
    <w:rsid w:val="00D33035"/>
    <w:rsid w:val="00D47A31"/>
    <w:rsid w:val="00D84A35"/>
    <w:rsid w:val="00D85B57"/>
    <w:rsid w:val="00DD4327"/>
    <w:rsid w:val="00DE7D8D"/>
    <w:rsid w:val="00E3396B"/>
    <w:rsid w:val="00E47B4F"/>
    <w:rsid w:val="00E56009"/>
    <w:rsid w:val="00E627FA"/>
    <w:rsid w:val="00E86D28"/>
    <w:rsid w:val="00F03CCB"/>
    <w:rsid w:val="00F2351F"/>
    <w:rsid w:val="00F54DAA"/>
    <w:rsid w:val="00F71925"/>
    <w:rsid w:val="00F847F5"/>
    <w:rsid w:val="00F9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7FB3B6"/>
  <w15:chartTrackingRefBased/>
  <w15:docId w15:val="{7CA476C1-2E54-4256-8714-291DC18F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33088E"/>
    <w:rPr>
      <w:rFonts w:ascii="Segoe UI" w:hAnsi="Segoe UI" w:cs="Segoe UI"/>
      <w:sz w:val="18"/>
      <w:szCs w:val="18"/>
    </w:rPr>
  </w:style>
  <w:style w:type="character" w:customStyle="1" w:styleId="BalloonTextChar">
    <w:name w:val="Balloon Text Char"/>
    <w:link w:val="BalloonText"/>
    <w:rsid w:val="0033088E"/>
    <w:rPr>
      <w:rFonts w:ascii="Segoe UI" w:hAnsi="Segoe UI" w:cs="Segoe UI"/>
      <w:sz w:val="18"/>
      <w:szCs w:val="18"/>
    </w:rPr>
  </w:style>
  <w:style w:type="character" w:styleId="CommentReference">
    <w:name w:val="annotation reference"/>
    <w:basedOn w:val="DefaultParagraphFont"/>
    <w:rsid w:val="004167AC"/>
    <w:rPr>
      <w:sz w:val="16"/>
      <w:szCs w:val="16"/>
    </w:rPr>
  </w:style>
  <w:style w:type="paragraph" w:styleId="CommentText">
    <w:name w:val="annotation text"/>
    <w:basedOn w:val="Normal"/>
    <w:link w:val="CommentTextChar"/>
    <w:rsid w:val="004167AC"/>
    <w:rPr>
      <w:sz w:val="20"/>
      <w:szCs w:val="20"/>
    </w:rPr>
  </w:style>
  <w:style w:type="character" w:customStyle="1" w:styleId="CommentTextChar">
    <w:name w:val="Comment Text Char"/>
    <w:basedOn w:val="DefaultParagraphFont"/>
    <w:link w:val="CommentText"/>
    <w:rsid w:val="004167AC"/>
  </w:style>
  <w:style w:type="paragraph" w:styleId="CommentSubject">
    <w:name w:val="annotation subject"/>
    <w:basedOn w:val="CommentText"/>
    <w:next w:val="CommentText"/>
    <w:link w:val="CommentSubjectChar"/>
    <w:rsid w:val="004167AC"/>
    <w:rPr>
      <w:b/>
      <w:bCs/>
    </w:rPr>
  </w:style>
  <w:style w:type="character" w:customStyle="1" w:styleId="CommentSubjectChar">
    <w:name w:val="Comment Subject Char"/>
    <w:basedOn w:val="CommentTextChar"/>
    <w:link w:val="CommentSubject"/>
    <w:rsid w:val="004167AC"/>
    <w:rPr>
      <w:b/>
      <w:bCs/>
    </w:rPr>
  </w:style>
  <w:style w:type="character" w:styleId="FollowedHyperlink">
    <w:name w:val="FollowedHyperlink"/>
    <w:basedOn w:val="DefaultParagraphFont"/>
    <w:rsid w:val="00C63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7214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2021-04-27T01:38:00Z</dcterms:created>
  <dcterms:modified xsi:type="dcterms:W3CDTF">2021-04-27T01:38:00Z</dcterms:modified>
</cp:coreProperties>
</file>