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6D2642" w14:paraId="16E0B7FA" w14:textId="270DC611">
      <w:pPr>
        <w:ind w:left="-90"/>
        <w:jc w:val="center"/>
        <w:rPr>
          <w:b/>
          <w:bCs/>
        </w:rPr>
      </w:pPr>
      <w:r>
        <w:rPr>
          <w:b/>
          <w:bCs/>
        </w:rPr>
        <w:t xml:space="preserve"> </w:t>
      </w:r>
      <w:r w:rsidRPr="00702B07" w:rsidR="00C573C8">
        <w:rPr>
          <w:b/>
          <w:bCs/>
        </w:rPr>
        <w:t>SUPPORTING STATEMENT</w:t>
      </w:r>
    </w:p>
    <w:p w:rsidRPr="00702B07" w:rsidR="00BE5210" w:rsidP="00695940" w:rsidRDefault="00BE5210" w14:paraId="45FEBA6D" w14:textId="77777777">
      <w:pPr>
        <w:ind w:left="-90"/>
        <w:jc w:val="center"/>
        <w:rPr>
          <w:bCs/>
        </w:rPr>
      </w:pPr>
      <w:r w:rsidRPr="00702B07">
        <w:rPr>
          <w:bCs/>
        </w:rPr>
        <w:t>Internal Revenue Service</w:t>
      </w:r>
    </w:p>
    <w:p w:rsidRPr="00467A74" w:rsidR="00467A74" w:rsidP="000004CA" w:rsidRDefault="00D906B9" w14:paraId="5842C1CF" w14:textId="1924C1FB">
      <w:pPr>
        <w:ind w:left="-90"/>
        <w:jc w:val="center"/>
        <w:rPr>
          <w:bCs/>
        </w:rPr>
      </w:pPr>
      <w:r>
        <w:rPr>
          <w:bCs/>
        </w:rPr>
        <w:t xml:space="preserve">Form 12854, </w:t>
      </w:r>
      <w:r w:rsidRPr="00467A74" w:rsidR="00467A74">
        <w:rPr>
          <w:bCs/>
        </w:rPr>
        <w:t xml:space="preserve">Government Service Information </w:t>
      </w:r>
    </w:p>
    <w:p w:rsidRPr="00702B07" w:rsidR="00636B94" w:rsidP="000004CA" w:rsidRDefault="00636B94" w14:paraId="141216B7" w14:textId="242D7045">
      <w:pPr>
        <w:ind w:left="-90"/>
        <w:jc w:val="center"/>
      </w:pPr>
      <w:r w:rsidRPr="00702B07">
        <w:rPr>
          <w:bCs/>
        </w:rPr>
        <w:t xml:space="preserve">OMB </w:t>
      </w:r>
      <w:r w:rsidR="00D906B9">
        <w:rPr>
          <w:bCs/>
        </w:rPr>
        <w:t>Control Number</w:t>
      </w:r>
      <w:r w:rsidRPr="00702B07">
        <w:rPr>
          <w:bCs/>
        </w:rPr>
        <w:t xml:space="preserve"> </w:t>
      </w:r>
      <w:r w:rsidRPr="00702B07">
        <w:rPr>
          <w:b/>
          <w:bCs/>
        </w:rPr>
        <w:t>1545-</w:t>
      </w:r>
      <w:r w:rsidR="001F12FB">
        <w:rPr>
          <w:b/>
          <w:bCs/>
        </w:rPr>
        <w:t>1919</w:t>
      </w:r>
    </w:p>
    <w:p w:rsidRPr="00702B07" w:rsidR="00C573C8" w:rsidP="00BE5210" w:rsidRDefault="00C573C8" w14:paraId="14FE2F45" w14:textId="77777777">
      <w:pPr>
        <w:ind w:left="-90"/>
      </w:pPr>
      <w:r w:rsidRPr="00702B07">
        <w:t xml:space="preserve">                           </w:t>
      </w:r>
    </w:p>
    <w:p w:rsidRPr="003B1CCF" w:rsidR="00C573C8" w:rsidP="00AA539A" w:rsidRDefault="00C573C8" w14:paraId="766813CC" w14:textId="77777777">
      <w:pPr>
        <w:ind w:right="-72"/>
        <w:rPr>
          <w:b/>
        </w:rPr>
      </w:pPr>
      <w:r w:rsidRPr="003B1CCF">
        <w:rPr>
          <w:b/>
        </w:rPr>
        <w:t xml:space="preserve">1.   </w:t>
      </w:r>
      <w:r w:rsidRPr="003B1CCF">
        <w:rPr>
          <w:b/>
          <w:u w:val="single"/>
        </w:rPr>
        <w:t>CIRCUMSTANCES NECESSITATING COLLECTION OF INFORMATION</w:t>
      </w:r>
    </w:p>
    <w:p w:rsidRPr="00702B07" w:rsidR="00C573C8" w:rsidRDefault="00C573C8" w14:paraId="11CC7FFC" w14:textId="77777777">
      <w:pPr>
        <w:ind w:left="-72" w:right="-72"/>
      </w:pPr>
    </w:p>
    <w:p w:rsidR="002057FE" w:rsidP="002057FE" w:rsidRDefault="00B46341" w14:paraId="4F2F5C29" w14:textId="3B257B0F">
      <w:pPr>
        <w:ind w:left="360" w:right="-72"/>
        <w:rPr>
          <w:lang w:val="en"/>
        </w:rPr>
      </w:pPr>
      <w:r>
        <w:rPr>
          <w:lang w:val="en"/>
        </w:rPr>
        <w:t xml:space="preserve">Form 12854, </w:t>
      </w:r>
      <w:r w:rsidRPr="00B46341">
        <w:rPr>
          <w:i/>
          <w:lang w:val="en"/>
        </w:rPr>
        <w:t>Government Service Information</w:t>
      </w:r>
      <w:r>
        <w:rPr>
          <w:lang w:val="en"/>
        </w:rPr>
        <w:t xml:space="preserve">, </w:t>
      </w:r>
      <w:r w:rsidRPr="00B55912" w:rsidR="00B55912">
        <w:rPr>
          <w:lang w:val="en"/>
        </w:rPr>
        <w:t xml:space="preserve">requests information from </w:t>
      </w:r>
      <w:r w:rsidR="00DC2780">
        <w:rPr>
          <w:lang w:val="en"/>
        </w:rPr>
        <w:t xml:space="preserve">IRS </w:t>
      </w:r>
      <w:r w:rsidR="00BB5D87">
        <w:rPr>
          <w:lang w:val="en"/>
        </w:rPr>
        <w:t xml:space="preserve">job </w:t>
      </w:r>
      <w:r w:rsidRPr="00B55912" w:rsidR="00B55912">
        <w:rPr>
          <w:lang w:val="en"/>
        </w:rPr>
        <w:t>applicants who were previously employed by the Federal Government.  The information on the form is needed to assist in providing information for pay setting determinations</w:t>
      </w:r>
      <w:r w:rsidR="002E7C70">
        <w:rPr>
          <w:lang w:val="en"/>
        </w:rPr>
        <w:t xml:space="preserve"> of potential new employees.  </w:t>
      </w:r>
      <w:r w:rsidR="002057FE">
        <w:rPr>
          <w:lang w:val="en"/>
        </w:rPr>
        <w:t>Part of the hiring process requires applicants</w:t>
      </w:r>
      <w:r w:rsidR="00BB5D87">
        <w:rPr>
          <w:lang w:val="en"/>
        </w:rPr>
        <w:t xml:space="preserve"> to</w:t>
      </w:r>
      <w:r w:rsidR="002057FE">
        <w:rPr>
          <w:lang w:val="en"/>
        </w:rPr>
        <w:t xml:space="preserve"> provide the IRS with specific information to verify previous employment history.  </w:t>
      </w:r>
    </w:p>
    <w:p w:rsidR="00BB5D87" w:rsidP="002057FE" w:rsidRDefault="00BB5D87" w14:paraId="57B00D67" w14:textId="17FF040F">
      <w:pPr>
        <w:ind w:left="360" w:right="-72"/>
        <w:rPr>
          <w:lang w:val="en"/>
        </w:rPr>
      </w:pPr>
    </w:p>
    <w:p w:rsidR="00BB5D87" w:rsidP="00BB5D87" w:rsidRDefault="00BB5D87" w14:paraId="418FFA12" w14:textId="0B7402D9">
      <w:pPr>
        <w:ind w:left="360" w:right="-72"/>
        <w:rPr>
          <w:lang w:val="en"/>
        </w:rPr>
      </w:pPr>
      <w:r>
        <w:rPr>
          <w:lang w:val="en"/>
        </w:rPr>
        <w:t>The authority for this collection</w:t>
      </w:r>
      <w:r w:rsidR="00DC2780">
        <w:rPr>
          <w:lang w:val="en"/>
        </w:rPr>
        <w:t>,</w:t>
      </w:r>
      <w:r>
        <w:rPr>
          <w:lang w:val="en"/>
        </w:rPr>
        <w:t xml:space="preserve"> </w:t>
      </w:r>
      <w:r w:rsidR="00DC2780">
        <w:rPr>
          <w:lang w:val="en"/>
        </w:rPr>
        <w:t xml:space="preserve">5 </w:t>
      </w:r>
      <w:r>
        <w:rPr>
          <w:lang w:val="en"/>
        </w:rPr>
        <w:t xml:space="preserve">USC Section 5334 details how an employee’s rate of pay is determined when there is a change in one’s federal position or appointment. </w:t>
      </w:r>
    </w:p>
    <w:p w:rsidR="000D603F" w:rsidP="000D603F" w:rsidRDefault="000D603F" w14:paraId="6D569839" w14:textId="66EF66E9">
      <w:pPr>
        <w:ind w:left="360" w:right="-72"/>
        <w:rPr>
          <w:lang w:val="en"/>
        </w:rPr>
      </w:pPr>
    </w:p>
    <w:p w:rsidRPr="003B1CCF" w:rsidR="00C573C8" w:rsidP="00AA539A" w:rsidRDefault="00C573C8" w14:paraId="5069FC5C" w14:textId="77777777">
      <w:pPr>
        <w:ind w:right="-72"/>
        <w:rPr>
          <w:b/>
        </w:rPr>
      </w:pPr>
      <w:r w:rsidRPr="003B1CCF">
        <w:rPr>
          <w:b/>
        </w:rPr>
        <w:t xml:space="preserve">2.   </w:t>
      </w:r>
      <w:r w:rsidRPr="003B1CCF">
        <w:rPr>
          <w:b/>
          <w:u w:val="single"/>
        </w:rPr>
        <w:t>USE OF DATA</w:t>
      </w:r>
      <w:r w:rsidRPr="003B1CCF">
        <w:rPr>
          <w:b/>
        </w:rPr>
        <w:t xml:space="preserve">              </w:t>
      </w:r>
    </w:p>
    <w:p w:rsidRPr="00702B07" w:rsidR="00C573C8" w:rsidP="00702B07" w:rsidRDefault="00C573C8" w14:paraId="0D032899" w14:textId="77777777"/>
    <w:p w:rsidR="00C573C8" w:rsidP="000004CA" w:rsidRDefault="002E7C70" w14:paraId="4D391A85" w14:textId="0C0B28CC">
      <w:pPr>
        <w:ind w:left="360" w:right="-72"/>
      </w:pPr>
      <w:r>
        <w:t xml:space="preserve">The </w:t>
      </w:r>
      <w:r w:rsidR="00BB5D87">
        <w:t xml:space="preserve">IRS will use the </w:t>
      </w:r>
      <w:r>
        <w:t xml:space="preserve">data collected to help verify </w:t>
      </w:r>
      <w:r w:rsidR="00BB5D87">
        <w:t xml:space="preserve">whether a job applicant had </w:t>
      </w:r>
      <w:r>
        <w:t xml:space="preserve">any previous </w:t>
      </w:r>
      <w:r w:rsidRPr="002E7C70">
        <w:t>federal service</w:t>
      </w:r>
      <w:r w:rsidR="00BB5D87">
        <w:t>, for the purposes of setting pay in their new position</w:t>
      </w:r>
      <w:r w:rsidRPr="002E7C70">
        <w:t xml:space="preserve">. </w:t>
      </w:r>
    </w:p>
    <w:p w:rsidRPr="00702B07" w:rsidR="0009423B" w:rsidP="0009423B" w:rsidRDefault="0009423B" w14:paraId="22BB4F36" w14:textId="77777777">
      <w:pPr>
        <w:ind w:left="360" w:right="-72"/>
      </w:pPr>
    </w:p>
    <w:p w:rsidRPr="003B1CCF" w:rsidR="00C573C8" w:rsidP="00AA539A" w:rsidRDefault="00C573C8" w14:paraId="06DA9DDE" w14:textId="576ACF8D">
      <w:pPr>
        <w:ind w:right="-72"/>
        <w:rPr>
          <w:b/>
          <w:u w:val="single"/>
        </w:rPr>
      </w:pPr>
      <w:r w:rsidRPr="003B1CCF">
        <w:rPr>
          <w:b/>
        </w:rPr>
        <w:t xml:space="preserve">3.   </w:t>
      </w:r>
      <w:r w:rsidRPr="003B1CCF">
        <w:rPr>
          <w:b/>
          <w:u w:val="single"/>
        </w:rPr>
        <w:t>USE OF IMPROVED INFORMATION TECHNOLOGY TO REDUCE BURDEN</w:t>
      </w:r>
    </w:p>
    <w:p w:rsidRPr="00702B07" w:rsidR="00FD0131" w:rsidP="00AA539A" w:rsidRDefault="00FD0131" w14:paraId="37A9358E" w14:textId="321CE481">
      <w:pPr>
        <w:ind w:right="-72"/>
      </w:pPr>
    </w:p>
    <w:p w:rsidRPr="009332B8" w:rsidR="00FD0131" w:rsidP="00FD0131" w:rsidRDefault="00FD0131" w14:paraId="6E8E432C" w14:textId="0E0578DD">
      <w:pPr>
        <w:numPr>
          <w:ilvl w:val="12"/>
          <w:numId w:val="0"/>
        </w:numPr>
        <w:ind w:left="360"/>
        <w:rPr>
          <w:bCs/>
        </w:rPr>
      </w:pPr>
      <w:r w:rsidRPr="009332B8">
        <w:rPr>
          <w:bCs/>
        </w:rPr>
        <w:t xml:space="preserve">IRS Publications, regulations, published guidance, e.g., revenue rulings and revenue procedures, notices, letters, and letter rulings are to be electronically enabled on an ‘as practicable’ basis in accordance with the IRS Reform and Restructuring Act of 1998. </w:t>
      </w:r>
      <w:r>
        <w:rPr>
          <w:bCs/>
        </w:rPr>
        <w:t>The Agency doesn’t plan to offer electronic filing for Form 8823 at this time</w:t>
      </w:r>
      <w:bookmarkStart w:name="_Hlk68452299" w:id="0"/>
      <w:r>
        <w:rPr>
          <w:bCs/>
        </w:rPr>
        <w:t xml:space="preserve">, but the paper-only filing method maybe </w:t>
      </w:r>
      <w:r w:rsidR="00BB5D87">
        <w:rPr>
          <w:bCs/>
        </w:rPr>
        <w:t>re</w:t>
      </w:r>
      <w:r w:rsidRPr="009332B8">
        <w:rPr>
          <w:bCs/>
        </w:rPr>
        <w:t>assessed</w:t>
      </w:r>
      <w:r>
        <w:rPr>
          <w:bCs/>
        </w:rPr>
        <w:t xml:space="preserve"> in the future</w:t>
      </w:r>
      <w:r w:rsidRPr="009332B8">
        <w:rPr>
          <w:bCs/>
        </w:rPr>
        <w:t>.</w:t>
      </w:r>
      <w:bookmarkEnd w:id="0"/>
    </w:p>
    <w:p w:rsidRPr="00702B07" w:rsidR="00C573C8" w:rsidRDefault="00C573C8" w14:paraId="0BE6F98F" w14:textId="62B3F22F">
      <w:pPr>
        <w:ind w:left="-72" w:right="-72"/>
      </w:pPr>
    </w:p>
    <w:p w:rsidRPr="003B1CCF" w:rsidR="00C573C8" w:rsidP="00AA539A" w:rsidRDefault="00C573C8" w14:paraId="2AD59CBF" w14:textId="77777777">
      <w:pPr>
        <w:ind w:right="-72"/>
        <w:rPr>
          <w:b/>
        </w:rPr>
      </w:pPr>
      <w:r w:rsidRPr="003B1CCF">
        <w:rPr>
          <w:b/>
        </w:rPr>
        <w:t xml:space="preserve">4.   </w:t>
      </w:r>
      <w:r w:rsidRPr="003B1CCF">
        <w:rPr>
          <w:b/>
          <w:u w:val="single"/>
        </w:rPr>
        <w:t>EFFORTS TO IDENTIFY DUPLICATION</w:t>
      </w:r>
    </w:p>
    <w:p w:rsidRPr="00702B07" w:rsidR="00C573C8" w:rsidRDefault="00C573C8" w14:paraId="5FEB218D" w14:textId="77777777">
      <w:pPr>
        <w:ind w:left="-72" w:right="-72"/>
      </w:pPr>
    </w:p>
    <w:p w:rsidRPr="00702B07" w:rsidR="00C573C8" w:rsidP="0033329E" w:rsidRDefault="00725405" w14:paraId="5A731A14" w14:textId="77777777">
      <w:pPr>
        <w:ind w:left="360" w:right="-72"/>
      </w:pPr>
      <w:r>
        <w:rPr>
          <w:iCs/>
        </w:rPr>
        <w:t>The information obtained through this collection is unique and is not already available for use or adaptation from another source</w:t>
      </w:r>
      <w:r w:rsidRPr="00702B07" w:rsidR="00C573C8">
        <w:t xml:space="preserve">.  </w:t>
      </w:r>
    </w:p>
    <w:p w:rsidRPr="00702B07" w:rsidR="00C573C8" w:rsidRDefault="00C573C8" w14:paraId="0CBC54C6" w14:textId="77777777">
      <w:pPr>
        <w:ind w:left="-72" w:right="-72"/>
      </w:pPr>
    </w:p>
    <w:p w:rsidRPr="003B1CCF" w:rsidR="00C573C8" w:rsidP="00AA539A" w:rsidRDefault="00C573C8" w14:paraId="300CEBCC" w14:textId="77777777">
      <w:pPr>
        <w:ind w:left="360" w:right="-72" w:hanging="360"/>
        <w:rPr>
          <w:b/>
        </w:rPr>
      </w:pPr>
      <w:r w:rsidRPr="003B1CCF">
        <w:rPr>
          <w:b/>
        </w:rPr>
        <w:t xml:space="preserve">5.   </w:t>
      </w:r>
      <w:r w:rsidRPr="003B1CCF">
        <w:rPr>
          <w:b/>
          <w:u w:val="single"/>
        </w:rPr>
        <w:t>METHODS TO MINIMIZE BURDEN ON SMALL BUSINESSES OR OTHER</w:t>
      </w:r>
      <w:r w:rsidRPr="003B1CCF" w:rsidR="00CC6C32">
        <w:rPr>
          <w:b/>
          <w:u w:val="single"/>
        </w:rPr>
        <w:t xml:space="preserve"> </w:t>
      </w:r>
      <w:r w:rsidRPr="003B1CCF">
        <w:rPr>
          <w:b/>
          <w:u w:val="single"/>
        </w:rPr>
        <w:t>SMALL</w:t>
      </w:r>
      <w:r w:rsidRPr="003B1CCF" w:rsidR="00AA539A">
        <w:rPr>
          <w:b/>
          <w:u w:val="single"/>
        </w:rPr>
        <w:t xml:space="preserve"> </w:t>
      </w:r>
      <w:r w:rsidRPr="003B1CCF">
        <w:rPr>
          <w:b/>
          <w:u w:val="single"/>
        </w:rPr>
        <w:t>ENTITIES</w:t>
      </w:r>
    </w:p>
    <w:p w:rsidRPr="00702B07" w:rsidR="00C573C8" w:rsidRDefault="00C573C8" w14:paraId="7ABECFF7" w14:textId="77777777">
      <w:pPr>
        <w:ind w:left="-72" w:right="-72"/>
      </w:pPr>
    </w:p>
    <w:p w:rsidR="00695D49" w:rsidP="0033329E" w:rsidRDefault="003B1CCF" w14:paraId="1832036B" w14:textId="7298D035">
      <w:pPr>
        <w:ind w:left="360" w:right="-72"/>
      </w:pPr>
      <w:bookmarkStart w:name="_Hlk68469058" w:id="1"/>
      <w:bookmarkStart w:name="_Hlk68439199" w:id="2"/>
      <w:r w:rsidRPr="003B1CCF">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information collection is for individual taxpayers; therefore, </w:t>
      </w:r>
      <w:r>
        <w:t xml:space="preserve">we do not estimate </w:t>
      </w:r>
      <w:r w:rsidRPr="003B1CCF">
        <w:t>there will be</w:t>
      </w:r>
      <w:r>
        <w:t xml:space="preserve"> </w:t>
      </w:r>
      <w:r w:rsidRPr="003B1CCF">
        <w:t>any impact to small businesses</w:t>
      </w:r>
      <w:bookmarkEnd w:id="1"/>
      <w:r w:rsidRPr="003B1CCF">
        <w:t>.</w:t>
      </w:r>
      <w:bookmarkEnd w:id="2"/>
    </w:p>
    <w:p w:rsidR="003B1CCF" w:rsidP="0033329E" w:rsidRDefault="003B1CCF" w14:paraId="3E9F3BC9" w14:textId="7DC57558">
      <w:pPr>
        <w:ind w:left="360" w:right="-72"/>
      </w:pPr>
    </w:p>
    <w:p w:rsidR="003B1CCF" w:rsidP="0033329E" w:rsidRDefault="003B1CCF" w14:paraId="1B339D51" w14:textId="3F689E1B">
      <w:pPr>
        <w:ind w:left="360" w:right="-72"/>
      </w:pPr>
    </w:p>
    <w:p w:rsidR="00BF6355" w:rsidP="0033329E" w:rsidRDefault="00BF6355" w14:paraId="2B86420F" w14:textId="77777777">
      <w:pPr>
        <w:ind w:left="360" w:right="-72"/>
      </w:pPr>
    </w:p>
    <w:p w:rsidR="003B1CCF" w:rsidP="0033329E" w:rsidRDefault="003B1CCF" w14:paraId="402E4723" w14:textId="77777777">
      <w:pPr>
        <w:ind w:left="360" w:right="-72"/>
      </w:pPr>
    </w:p>
    <w:p w:rsidRPr="003B1CCF" w:rsidR="00C573C8" w:rsidP="00AA539A" w:rsidRDefault="00C573C8" w14:paraId="51B9E7CD" w14:textId="77777777">
      <w:pPr>
        <w:ind w:left="360" w:right="-72" w:hanging="360"/>
        <w:rPr>
          <w:b/>
        </w:rPr>
      </w:pPr>
      <w:r w:rsidRPr="003B1CCF">
        <w:rPr>
          <w:b/>
        </w:rPr>
        <w:t xml:space="preserve">6.   </w:t>
      </w:r>
      <w:r w:rsidRPr="003B1CCF">
        <w:rPr>
          <w:b/>
          <w:u w:val="single"/>
        </w:rPr>
        <w:t>CONSEQUENCES OF LESS FREQUENT COLLECTION ON FEDERAL</w:t>
      </w:r>
      <w:r w:rsidRPr="003B1CCF" w:rsidR="000A2988">
        <w:rPr>
          <w:b/>
          <w:u w:val="single"/>
        </w:rPr>
        <w:t xml:space="preserve"> </w:t>
      </w:r>
      <w:r w:rsidRPr="003B1CCF">
        <w:rPr>
          <w:b/>
          <w:u w:val="single"/>
        </w:rPr>
        <w:lastRenderedPageBreak/>
        <w:t>PROGRAMS</w:t>
      </w:r>
      <w:r w:rsidRPr="003B1CCF" w:rsidR="000A2988">
        <w:rPr>
          <w:b/>
          <w:u w:val="single"/>
        </w:rPr>
        <w:t xml:space="preserve"> </w:t>
      </w:r>
      <w:r w:rsidRPr="003B1CCF">
        <w:rPr>
          <w:b/>
          <w:u w:val="single"/>
        </w:rPr>
        <w:t>OR POLICY ACTIVITIES</w:t>
      </w:r>
    </w:p>
    <w:p w:rsidRPr="00702B07" w:rsidR="00C573C8" w:rsidRDefault="00C573C8" w14:paraId="63FE8BB2" w14:textId="77777777">
      <w:pPr>
        <w:ind w:left="-72" w:right="-72"/>
      </w:pPr>
    </w:p>
    <w:p w:rsidR="00725405" w:rsidP="001A5F9F" w:rsidRDefault="00B46341" w14:paraId="1E385519" w14:textId="79A7B5FC">
      <w:pPr>
        <w:ind w:left="360" w:right="-72"/>
        <w:rPr>
          <w:lang w:val="en"/>
        </w:rPr>
      </w:pPr>
      <w:r w:rsidRPr="00B46341">
        <w:rPr>
          <w:lang w:val="en"/>
        </w:rPr>
        <w:t xml:space="preserve">In reviewing the application, the </w:t>
      </w:r>
      <w:r>
        <w:rPr>
          <w:lang w:val="en"/>
        </w:rPr>
        <w:t>IRS</w:t>
      </w:r>
      <w:r w:rsidRPr="00B46341">
        <w:rPr>
          <w:lang w:val="en"/>
        </w:rPr>
        <w:t xml:space="preserve"> </w:t>
      </w:r>
      <w:r w:rsidR="00BB5D87">
        <w:rPr>
          <w:lang w:val="en"/>
        </w:rPr>
        <w:t xml:space="preserve">Human Resources </w:t>
      </w:r>
      <w:r w:rsidRPr="00B46341">
        <w:rPr>
          <w:lang w:val="en"/>
        </w:rPr>
        <w:t>specialist should identify if the applicant has had prior federal service. This is pertinent for several reasons. If applicants have received a Buyout within the last 5 years, they may be required to repay the entire amount of the buyout to their former agency if they are re-employed. If applicants are currently receiving severance pay, it may be suspended while employed, and if applicants are receiving an annuity, it may be offset dollar for dollar</w:t>
      </w:r>
    </w:p>
    <w:p w:rsidRPr="00702B07" w:rsidR="003F2C5D" w:rsidP="00D85B57" w:rsidRDefault="003F2C5D" w14:paraId="1D0EE61B" w14:textId="77777777">
      <w:pPr>
        <w:ind w:left="720" w:right="-72"/>
      </w:pPr>
    </w:p>
    <w:p w:rsidRPr="003B1CCF" w:rsidR="00C573C8" w:rsidP="00AA539A" w:rsidRDefault="00AA539A" w14:paraId="5F9E62DD" w14:textId="77777777">
      <w:pPr>
        <w:ind w:left="360" w:right="-72" w:hanging="360"/>
        <w:rPr>
          <w:b/>
        </w:rPr>
      </w:pPr>
      <w:r w:rsidRPr="003B1CCF">
        <w:rPr>
          <w:b/>
        </w:rPr>
        <w:t xml:space="preserve">7.   </w:t>
      </w:r>
      <w:r w:rsidRPr="003B1CCF" w:rsidR="00C573C8">
        <w:rPr>
          <w:b/>
          <w:u w:val="single"/>
        </w:rPr>
        <w:t>SPECIAL CIRCUMSTANCES REQUIRING DATA COLLECTION TO BE</w:t>
      </w:r>
      <w:r w:rsidRPr="003B1CCF">
        <w:rPr>
          <w:b/>
          <w:u w:val="single"/>
        </w:rPr>
        <w:t xml:space="preserve"> </w:t>
      </w:r>
      <w:r w:rsidRPr="003B1CCF" w:rsidR="00C573C8">
        <w:rPr>
          <w:b/>
          <w:u w:val="single"/>
        </w:rPr>
        <w:t>INCONSISTENT WITH GUIDELINES IN 5 CFR 1320.5(d)(2)</w:t>
      </w:r>
    </w:p>
    <w:p w:rsidRPr="00702B07" w:rsidR="00C573C8" w:rsidRDefault="00C573C8" w14:paraId="5A4395F2" w14:textId="77777777">
      <w:pPr>
        <w:ind w:left="-72" w:right="-72" w:firstLine="7920"/>
      </w:pPr>
    </w:p>
    <w:p w:rsidR="00C573C8" w:rsidP="00E47B4F" w:rsidRDefault="00E47B4F" w14:paraId="6DDC40B3"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35AB006C" w14:textId="77777777">
      <w:pPr>
        <w:ind w:left="360" w:right="-72" w:hanging="18"/>
      </w:pPr>
    </w:p>
    <w:p w:rsidRPr="003B1CCF" w:rsidR="00C573C8" w:rsidP="00AA539A" w:rsidRDefault="00C573C8" w14:paraId="7C3C1090" w14:textId="77777777">
      <w:pPr>
        <w:ind w:left="360" w:right="-72" w:hanging="360"/>
        <w:rPr>
          <w:b/>
        </w:rPr>
      </w:pPr>
      <w:r w:rsidRPr="003B1CCF">
        <w:rPr>
          <w:b/>
        </w:rPr>
        <w:t xml:space="preserve">8.   </w:t>
      </w:r>
      <w:r w:rsidRPr="003B1CCF">
        <w:rPr>
          <w:b/>
          <w:u w:val="single"/>
        </w:rPr>
        <w:t>CONSULTATION WITH INDIVIDUALS OUTSIDE OF THE AGENCY ON</w:t>
      </w:r>
      <w:r w:rsidRPr="003B1CCF">
        <w:rPr>
          <w:b/>
        </w:rPr>
        <w:t xml:space="preserve">    </w:t>
      </w:r>
      <w:r w:rsidRPr="003B1CCF">
        <w:rPr>
          <w:b/>
          <w:u w:val="single"/>
        </w:rPr>
        <w:t>AVAILABILITY OF DATA, FREQUENCY OF COLLECTION, CLARITY</w:t>
      </w:r>
      <w:r w:rsidRPr="003B1CCF" w:rsidR="00AA539A">
        <w:rPr>
          <w:b/>
          <w:u w:val="single"/>
        </w:rPr>
        <w:t xml:space="preserve"> </w:t>
      </w:r>
      <w:r w:rsidRPr="003B1CCF">
        <w:rPr>
          <w:b/>
          <w:u w:val="single"/>
        </w:rPr>
        <w:t>OF INSTRUCTIONS AND FORMS, AND DATA ELEMENTS</w:t>
      </w:r>
    </w:p>
    <w:p w:rsidRPr="00702B07" w:rsidR="00C573C8" w:rsidRDefault="00C573C8" w14:paraId="275462A5" w14:textId="77777777">
      <w:pPr>
        <w:ind w:left="-72" w:right="-72"/>
      </w:pPr>
    </w:p>
    <w:p w:rsidRPr="00702B07" w:rsidR="00C573C8" w:rsidRDefault="00C573C8" w14:paraId="6B591101" w14:textId="77777777">
      <w:pPr>
        <w:ind w:left="-72" w:right="-72"/>
        <w:sectPr w:rsidRPr="00702B07" w:rsidR="00C573C8">
          <w:pgSz w:w="12240" w:h="15840"/>
          <w:pgMar w:top="1368" w:right="1440" w:bottom="1368" w:left="1440" w:header="1368" w:footer="1368" w:gutter="0"/>
          <w:cols w:space="720"/>
          <w:noEndnote/>
        </w:sectPr>
      </w:pPr>
    </w:p>
    <w:p w:rsidR="00145362" w:rsidP="00D33035" w:rsidRDefault="00C573C8" w14:paraId="4414D263" w14:textId="4D258887">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3B1CCF">
        <w:t>November</w:t>
      </w:r>
      <w:r w:rsidR="003F2C5D">
        <w:t xml:space="preserve"> </w:t>
      </w:r>
      <w:r w:rsidR="003B1CCF">
        <w:t>19</w:t>
      </w:r>
      <w:r w:rsidR="003F2C5D">
        <w:t>, 20</w:t>
      </w:r>
      <w:r w:rsidR="003B1CCF">
        <w:t>20</w:t>
      </w:r>
      <w:r w:rsidRPr="00702B07" w:rsidR="00A84CA1">
        <w:t xml:space="preserve"> (</w:t>
      </w:r>
      <w:r w:rsidR="003F2C5D">
        <w:t>8</w:t>
      </w:r>
      <w:r w:rsidR="00BF6355">
        <w:t>5</w:t>
      </w:r>
      <w:r w:rsidRPr="00702B07" w:rsidR="00A84CA1">
        <w:t xml:space="preserve"> FR </w:t>
      </w:r>
      <w:r w:rsidR="00BF6355">
        <w:t>73</w:t>
      </w:r>
      <w:r w:rsidR="00632DFD">
        <w:t>8</w:t>
      </w:r>
      <w:r w:rsidR="00BF6355">
        <w:t>45</w:t>
      </w:r>
      <w:r w:rsidRPr="00702B07" w:rsidR="00A84CA1">
        <w:t>)</w:t>
      </w:r>
      <w:r w:rsidRPr="00702B07">
        <w:rPr>
          <w:bCs/>
        </w:rPr>
        <w:t>,</w:t>
      </w:r>
      <w:r w:rsidRPr="00702B07">
        <w:t xml:space="preserve"> we received no comments during the comment period regarding </w:t>
      </w:r>
      <w:r w:rsidR="00A00E60">
        <w:t>this collection effort</w:t>
      </w:r>
      <w:r w:rsidRPr="00702B07">
        <w:t xml:space="preserve">.    </w:t>
      </w:r>
    </w:p>
    <w:p w:rsidRPr="00702B07" w:rsidR="00C573C8" w:rsidP="00D33035" w:rsidRDefault="00C573C8" w14:paraId="6DD7ED10" w14:textId="77777777">
      <w:pPr>
        <w:ind w:left="450"/>
      </w:pPr>
      <w:r w:rsidRPr="00702B07">
        <w:t xml:space="preserve">  </w:t>
      </w:r>
    </w:p>
    <w:p w:rsidRPr="00BF6355" w:rsidR="00C573C8" w:rsidP="00AA539A" w:rsidRDefault="00C573C8" w14:paraId="0FAE7B7F" w14:textId="77777777">
      <w:pPr>
        <w:ind w:left="360" w:hanging="360"/>
        <w:rPr>
          <w:b/>
        </w:rPr>
      </w:pPr>
      <w:r w:rsidRPr="00BF6355">
        <w:rPr>
          <w:b/>
        </w:rPr>
        <w:t xml:space="preserve">9.   </w:t>
      </w:r>
      <w:r w:rsidRPr="00BF6355">
        <w:rPr>
          <w:b/>
          <w:u w:val="single"/>
        </w:rPr>
        <w:t>EXPLANATION OF DECISION TO PROVIDE ANY PAYMENT OR GIFT TO</w:t>
      </w:r>
      <w:r w:rsidRPr="00BF6355">
        <w:rPr>
          <w:b/>
        </w:rPr>
        <w:t xml:space="preserve">   </w:t>
      </w:r>
      <w:r w:rsidRPr="00BF6355">
        <w:rPr>
          <w:b/>
          <w:u w:val="single"/>
        </w:rPr>
        <w:t>RESPONDENTS</w:t>
      </w:r>
    </w:p>
    <w:p w:rsidRPr="00702B07" w:rsidR="00C573C8" w:rsidRDefault="00C573C8" w14:paraId="33C47434" w14:textId="77777777"/>
    <w:p w:rsidR="00C573C8" w:rsidP="00D33035" w:rsidRDefault="00BF6355" w14:paraId="12AACA28" w14:textId="0AF90279">
      <w:pPr>
        <w:ind w:left="360"/>
      </w:pPr>
      <w:r>
        <w:t>No payment or gift has been provided to any respondents.</w:t>
      </w:r>
    </w:p>
    <w:p w:rsidRPr="00702B07" w:rsidR="00A00E60" w:rsidP="00D33035" w:rsidRDefault="00A00E60" w14:paraId="3D1A1D26" w14:textId="77777777">
      <w:pPr>
        <w:ind w:left="360"/>
      </w:pPr>
    </w:p>
    <w:p w:rsidRPr="00BF6355" w:rsidR="00C573C8" w:rsidRDefault="00C573C8" w14:paraId="1520331C" w14:textId="77777777">
      <w:pPr>
        <w:rPr>
          <w:b/>
        </w:rPr>
      </w:pPr>
      <w:r w:rsidRPr="00BF6355">
        <w:rPr>
          <w:b/>
        </w:rPr>
        <w:t xml:space="preserve">10.  </w:t>
      </w:r>
      <w:r w:rsidRPr="00BF6355">
        <w:rPr>
          <w:b/>
          <w:u w:val="single"/>
        </w:rPr>
        <w:t>ASSURANCE OF CONFIDENTIALITY OF RESPONSES</w:t>
      </w:r>
    </w:p>
    <w:p w:rsidRPr="00702B07" w:rsidR="00C573C8" w:rsidRDefault="00C573C8" w14:paraId="0F556861" w14:textId="77777777"/>
    <w:p w:rsidRPr="00702B07" w:rsidR="00C573C8" w:rsidP="00D33035" w:rsidRDefault="00C573C8" w14:paraId="5A921559" w14:textId="77777777">
      <w:pPr>
        <w:ind w:left="450"/>
      </w:pPr>
      <w:r w:rsidRPr="00702B07">
        <w:t>Generally, tax returns and tax return information are confidential as required by 26 USC 6103.</w:t>
      </w:r>
    </w:p>
    <w:p w:rsidRPr="00702B07" w:rsidR="00C573C8" w:rsidRDefault="00C573C8" w14:paraId="3149D571" w14:textId="77777777">
      <w:r w:rsidRPr="00702B07">
        <w:t xml:space="preserve">     </w:t>
      </w:r>
    </w:p>
    <w:p w:rsidRPr="00BF6355" w:rsidR="00C573C8" w:rsidRDefault="00C573C8" w14:paraId="788E2F48" w14:textId="77777777">
      <w:pPr>
        <w:rPr>
          <w:b/>
          <w:u w:val="single"/>
        </w:rPr>
      </w:pPr>
      <w:r w:rsidRPr="00BF6355">
        <w:rPr>
          <w:b/>
        </w:rPr>
        <w:t xml:space="preserve">11.  </w:t>
      </w:r>
      <w:r w:rsidRPr="00BF6355">
        <w:rPr>
          <w:b/>
          <w:u w:val="single"/>
        </w:rPr>
        <w:t>JUSTIFICATION OF SENSITIVE QUESTIONS</w:t>
      </w:r>
    </w:p>
    <w:p w:rsidRPr="00702B07" w:rsidR="00C573C8" w:rsidRDefault="00C573C8" w14:paraId="01B8D831" w14:textId="77777777">
      <w:pPr>
        <w:rPr>
          <w:u w:val="single"/>
        </w:rPr>
      </w:pPr>
    </w:p>
    <w:p w:rsidRPr="0029015D" w:rsidR="00BF6355" w:rsidP="00BF6355" w:rsidRDefault="00BF6355" w14:paraId="7983BFD6" w14:textId="394EF469">
      <w:pPr>
        <w:numPr>
          <w:ilvl w:val="12"/>
          <w:numId w:val="0"/>
        </w:numPr>
        <w:ind w:left="420"/>
        <w:rPr>
          <w:bCs/>
        </w:rPr>
      </w:pPr>
      <w:r w:rsidRPr="0029015D">
        <w:rPr>
          <w:bCs/>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29015D">
          <w:rPr>
            <w:rStyle w:val="Hyperlink"/>
            <w:bCs/>
          </w:rPr>
          <w:t>https://www.irs.gov/uac/Privacy-Impact-Assessments-PIA</w:t>
        </w:r>
      </w:hyperlink>
      <w:r w:rsidRPr="0029015D">
        <w:rPr>
          <w:bCs/>
        </w:rPr>
        <w:t>.</w:t>
      </w:r>
    </w:p>
    <w:p w:rsidRPr="0029015D" w:rsidR="00BF6355" w:rsidP="00BF6355" w:rsidRDefault="00BF6355" w14:paraId="4E6378B1" w14:textId="77777777">
      <w:pPr>
        <w:numPr>
          <w:ilvl w:val="12"/>
          <w:numId w:val="0"/>
        </w:numPr>
        <w:ind w:left="720"/>
        <w:rPr>
          <w:bCs/>
        </w:rPr>
      </w:pPr>
    </w:p>
    <w:p w:rsidR="00BF6355" w:rsidP="00BF6355" w:rsidRDefault="00BF6355" w14:paraId="5919F331" w14:textId="1E895A5D">
      <w:pPr>
        <w:numPr>
          <w:ilvl w:val="12"/>
          <w:numId w:val="0"/>
        </w:numPr>
        <w:ind w:left="420"/>
        <w:rPr>
          <w:bCs/>
        </w:rPr>
      </w:pPr>
      <w:r w:rsidRPr="0029015D">
        <w:rPr>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BF6355" w:rsidP="00BF6355" w:rsidRDefault="00BF6355" w14:paraId="165C745C" w14:textId="77777777">
      <w:pPr>
        <w:numPr>
          <w:ilvl w:val="12"/>
          <w:numId w:val="0"/>
        </w:numPr>
        <w:ind w:left="420"/>
        <w:rPr>
          <w:bCs/>
        </w:rPr>
      </w:pPr>
    </w:p>
    <w:p w:rsidRPr="00702B07" w:rsidR="003F2C5D" w:rsidRDefault="003F2C5D" w14:paraId="2382170D" w14:textId="77777777"/>
    <w:p w:rsidRPr="00BF6355" w:rsidR="00C573C8" w:rsidRDefault="00C573C8" w14:paraId="50BB15CE" w14:textId="77777777">
      <w:pPr>
        <w:rPr>
          <w:b/>
          <w:u w:val="single"/>
        </w:rPr>
      </w:pPr>
      <w:r w:rsidRPr="00BF6355">
        <w:rPr>
          <w:b/>
        </w:rPr>
        <w:t xml:space="preserve">12.  </w:t>
      </w:r>
      <w:r w:rsidRPr="00BF6355">
        <w:rPr>
          <w:b/>
          <w:u w:val="single"/>
        </w:rPr>
        <w:t>ESTIMATED BURDEN OF INFORMATION COLLECTION</w:t>
      </w:r>
    </w:p>
    <w:p w:rsidR="00C573C8" w:rsidRDefault="00C573C8" w14:paraId="34404FA3" w14:textId="77777777">
      <w:pPr>
        <w:rPr>
          <w:u w:val="single"/>
        </w:rPr>
      </w:pPr>
    </w:p>
    <w:p w:rsidR="00571458" w:rsidP="00571458" w:rsidRDefault="00D906B9" w14:paraId="223BE4DA" w14:textId="20268697">
      <w:pPr>
        <w:ind w:left="450"/>
      </w:pPr>
      <w:r>
        <w:t xml:space="preserve">Form 12854 </w:t>
      </w:r>
      <w:r w:rsidRPr="00D906B9">
        <w:t>is used by the Human Capital Office (HCO) to identify external, delegated examining applicants with prior government service for the purpose of requesting their Official Personnel Folder (OPF) to set pay according and notify them regarding their probationary period.</w:t>
      </w:r>
      <w:r>
        <w:t xml:space="preserve">  </w:t>
      </w:r>
      <w:r w:rsidR="00571458">
        <w:t xml:space="preserve">We estimate that the total burden for this requirement is </w:t>
      </w:r>
      <w:r w:rsidR="00686923">
        <w:t>6,203</w:t>
      </w:r>
      <w:r w:rsidR="00571458">
        <w:t xml:space="preserve"> hours, based on </w:t>
      </w:r>
      <w:r w:rsidR="00686923">
        <w:t>24,813</w:t>
      </w:r>
      <w:r w:rsidR="00571458">
        <w:t xml:space="preserve"> respondents and .</w:t>
      </w:r>
      <w:r w:rsidR="00686923">
        <w:t>2</w:t>
      </w:r>
      <w:r w:rsidR="00571458">
        <w:t xml:space="preserve">5 hour per </w:t>
      </w:r>
      <w:r w:rsidR="00686923">
        <w:t>response</w:t>
      </w:r>
      <w:r w:rsidR="00571458">
        <w:t>.</w:t>
      </w:r>
    </w:p>
    <w:p w:rsidR="00D906B9" w:rsidP="00571458" w:rsidRDefault="00D906B9" w14:paraId="01060482" w14:textId="5EE7A4CC">
      <w:pPr>
        <w:ind w:left="450"/>
      </w:pPr>
    </w:p>
    <w:p w:rsidR="00D906B9" w:rsidP="00571458" w:rsidRDefault="00D906B9" w14:paraId="77AA2170" w14:textId="07F9064A">
      <w:pPr>
        <w:ind w:left="450"/>
      </w:pPr>
      <w:r>
        <w:tab/>
        <w:t>The burden estimate is below:</w:t>
      </w:r>
    </w:p>
    <w:p w:rsidR="00D906B9" w:rsidP="00571458" w:rsidRDefault="00D906B9" w14:paraId="77730A0A" w14:textId="13551493">
      <w:pPr>
        <w:ind w:left="450"/>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0"/>
        <w:gridCol w:w="1870"/>
        <w:gridCol w:w="1255"/>
        <w:gridCol w:w="1170"/>
        <w:gridCol w:w="1091"/>
        <w:gridCol w:w="1160"/>
        <w:gridCol w:w="1148"/>
      </w:tblGrid>
      <w:tr w:rsidRPr="00D906B9" w:rsidR="00D906B9" w:rsidTr="002B7094" w14:paraId="0B3A559F" w14:textId="77777777">
        <w:tc>
          <w:tcPr>
            <w:tcW w:w="1258" w:type="dxa"/>
            <w:shd w:val="clear" w:color="auto" w:fill="auto"/>
            <w:vAlign w:val="bottom"/>
          </w:tcPr>
          <w:p w:rsidRPr="00D906B9" w:rsidR="00D906B9" w:rsidP="002B7094" w:rsidRDefault="00D906B9" w14:paraId="0BA7A4FF"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Authority</w:t>
            </w:r>
          </w:p>
        </w:tc>
        <w:tc>
          <w:tcPr>
            <w:tcW w:w="1916" w:type="dxa"/>
            <w:vAlign w:val="bottom"/>
          </w:tcPr>
          <w:p w:rsidRPr="00D906B9" w:rsidR="00D906B9" w:rsidP="002B7094" w:rsidRDefault="00D906B9" w14:paraId="397174AC"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Description</w:t>
            </w:r>
          </w:p>
        </w:tc>
        <w:tc>
          <w:tcPr>
            <w:tcW w:w="1170" w:type="dxa"/>
            <w:vAlign w:val="bottom"/>
          </w:tcPr>
          <w:p w:rsidRPr="00D906B9" w:rsidR="00D906B9" w:rsidP="002B7094" w:rsidRDefault="00D906B9" w14:paraId="5095C080"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 of Respondents</w:t>
            </w:r>
          </w:p>
        </w:tc>
        <w:tc>
          <w:tcPr>
            <w:tcW w:w="1170" w:type="dxa"/>
            <w:vAlign w:val="bottom"/>
          </w:tcPr>
          <w:p w:rsidRPr="00D906B9" w:rsidR="00D906B9" w:rsidP="002B7094" w:rsidRDefault="00D906B9" w14:paraId="1C06DC6C"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 Responses per Respondent</w:t>
            </w:r>
          </w:p>
        </w:tc>
        <w:tc>
          <w:tcPr>
            <w:tcW w:w="1080" w:type="dxa"/>
            <w:shd w:val="clear" w:color="auto" w:fill="auto"/>
            <w:vAlign w:val="bottom"/>
          </w:tcPr>
          <w:p w:rsidRPr="00D906B9" w:rsidR="00D906B9" w:rsidP="002B7094" w:rsidRDefault="00D906B9" w14:paraId="4E42E09E"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Annual Responses</w:t>
            </w:r>
          </w:p>
        </w:tc>
        <w:tc>
          <w:tcPr>
            <w:tcW w:w="1170" w:type="dxa"/>
            <w:vAlign w:val="bottom"/>
          </w:tcPr>
          <w:p w:rsidRPr="00D906B9" w:rsidR="00D906B9" w:rsidP="002B7094" w:rsidRDefault="00D906B9" w14:paraId="76AFEEE1"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Hours per Response</w:t>
            </w:r>
          </w:p>
        </w:tc>
        <w:tc>
          <w:tcPr>
            <w:tcW w:w="1170" w:type="dxa"/>
            <w:shd w:val="clear" w:color="auto" w:fill="auto"/>
            <w:vAlign w:val="bottom"/>
          </w:tcPr>
          <w:p w:rsidRPr="00D906B9" w:rsidR="00D906B9" w:rsidP="002B7094" w:rsidRDefault="00D906B9" w14:paraId="566C13A4" w14:textId="77777777">
            <w:pPr>
              <w:keepNext/>
              <w:keepLines/>
              <w:numPr>
                <w:ilvl w:val="12"/>
                <w:numId w:val="0"/>
              </w:numPr>
              <w:jc w:val="center"/>
              <w:rPr>
                <w:rFonts w:ascii="Arial Narrow" w:hAnsi="Arial Narrow"/>
                <w:b/>
                <w:sz w:val="20"/>
                <w:szCs w:val="20"/>
              </w:rPr>
            </w:pPr>
            <w:r w:rsidRPr="00D906B9">
              <w:rPr>
                <w:rFonts w:ascii="Arial Narrow" w:hAnsi="Arial Narrow"/>
                <w:b/>
                <w:sz w:val="20"/>
                <w:szCs w:val="20"/>
              </w:rPr>
              <w:t>Total Burden</w:t>
            </w:r>
          </w:p>
        </w:tc>
      </w:tr>
      <w:tr w:rsidRPr="00D906B9" w:rsidR="00D906B9" w:rsidTr="002B7094" w14:paraId="7A883AB9" w14:textId="77777777">
        <w:tc>
          <w:tcPr>
            <w:tcW w:w="1258" w:type="dxa"/>
            <w:shd w:val="clear" w:color="auto" w:fill="auto"/>
            <w:vAlign w:val="bottom"/>
          </w:tcPr>
          <w:p w:rsidRPr="00D906B9" w:rsidR="00D906B9" w:rsidP="002B7094" w:rsidRDefault="00D906B9" w14:paraId="57F35C79" w14:textId="4EF9D3C9">
            <w:pPr>
              <w:keepNext/>
              <w:keepLines/>
              <w:numPr>
                <w:ilvl w:val="12"/>
                <w:numId w:val="0"/>
              </w:numPr>
              <w:jc w:val="center"/>
              <w:rPr>
                <w:rFonts w:ascii="Arial Narrow" w:hAnsi="Arial Narrow"/>
                <w:sz w:val="20"/>
                <w:szCs w:val="20"/>
              </w:rPr>
            </w:pPr>
            <w:r w:rsidRPr="007B1C36">
              <w:rPr>
                <w:rFonts w:ascii="Arial Narrow" w:hAnsi="Arial Narrow"/>
                <w:bCs/>
                <w:sz w:val="18"/>
                <w:szCs w:val="18"/>
              </w:rPr>
              <w:t>§</w:t>
            </w:r>
            <w:r>
              <w:rPr>
                <w:rFonts w:ascii="Arial Narrow" w:hAnsi="Arial Narrow"/>
                <w:bCs/>
                <w:sz w:val="18"/>
                <w:szCs w:val="18"/>
              </w:rPr>
              <w:t>315.801</w:t>
            </w:r>
          </w:p>
        </w:tc>
        <w:tc>
          <w:tcPr>
            <w:tcW w:w="1916" w:type="dxa"/>
            <w:vAlign w:val="bottom"/>
          </w:tcPr>
          <w:p w:rsidRPr="00D906B9" w:rsidR="00D906B9" w:rsidP="002B7094" w:rsidRDefault="00D906B9" w14:paraId="2E2F7223" w14:textId="7C95A899">
            <w:pPr>
              <w:keepNext/>
              <w:keepLines/>
              <w:numPr>
                <w:ilvl w:val="12"/>
                <w:numId w:val="0"/>
              </w:numPr>
              <w:jc w:val="center"/>
              <w:rPr>
                <w:rFonts w:ascii="Arial Narrow" w:hAnsi="Arial Narrow"/>
                <w:sz w:val="20"/>
                <w:szCs w:val="20"/>
              </w:rPr>
            </w:pPr>
            <w:r>
              <w:rPr>
                <w:rFonts w:ascii="Arial Narrow" w:hAnsi="Arial Narrow"/>
                <w:sz w:val="20"/>
                <w:szCs w:val="20"/>
              </w:rPr>
              <w:t>Form 12854</w:t>
            </w:r>
          </w:p>
        </w:tc>
        <w:tc>
          <w:tcPr>
            <w:tcW w:w="1170" w:type="dxa"/>
            <w:vAlign w:val="bottom"/>
          </w:tcPr>
          <w:p w:rsidRPr="00D906B9" w:rsidR="00D906B9" w:rsidP="002B7094" w:rsidRDefault="00D906B9" w14:paraId="6D3A7CEF" w14:textId="5E6B34E9">
            <w:pPr>
              <w:keepNext/>
              <w:keepLines/>
              <w:numPr>
                <w:ilvl w:val="12"/>
                <w:numId w:val="0"/>
              </w:numPr>
              <w:jc w:val="center"/>
              <w:rPr>
                <w:rFonts w:ascii="Arial Narrow" w:hAnsi="Arial Narrow"/>
                <w:sz w:val="20"/>
                <w:szCs w:val="20"/>
              </w:rPr>
            </w:pPr>
            <w:r>
              <w:rPr>
                <w:rFonts w:ascii="Arial Narrow" w:hAnsi="Arial Narrow"/>
                <w:sz w:val="20"/>
                <w:szCs w:val="20"/>
              </w:rPr>
              <w:t>24,813</w:t>
            </w:r>
          </w:p>
        </w:tc>
        <w:tc>
          <w:tcPr>
            <w:tcW w:w="1170" w:type="dxa"/>
            <w:vAlign w:val="bottom"/>
          </w:tcPr>
          <w:p w:rsidRPr="00D906B9" w:rsidR="00D906B9" w:rsidP="002B7094" w:rsidRDefault="00D906B9" w14:paraId="77D7BCF4" w14:textId="51D9B18D">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80" w:type="dxa"/>
            <w:shd w:val="clear" w:color="auto" w:fill="auto"/>
            <w:vAlign w:val="bottom"/>
          </w:tcPr>
          <w:p w:rsidRPr="00D906B9" w:rsidR="00D906B9" w:rsidP="002B7094" w:rsidRDefault="00D906B9" w14:paraId="2A78DEA5" w14:textId="08340F0C">
            <w:pPr>
              <w:keepNext/>
              <w:keepLines/>
              <w:numPr>
                <w:ilvl w:val="12"/>
                <w:numId w:val="0"/>
              </w:numPr>
              <w:jc w:val="center"/>
              <w:rPr>
                <w:rFonts w:ascii="Arial Narrow" w:hAnsi="Arial Narrow"/>
                <w:sz w:val="20"/>
                <w:szCs w:val="20"/>
              </w:rPr>
            </w:pPr>
            <w:r>
              <w:rPr>
                <w:rFonts w:ascii="Arial Narrow" w:hAnsi="Arial Narrow"/>
                <w:sz w:val="20"/>
                <w:szCs w:val="20"/>
              </w:rPr>
              <w:t>24,813</w:t>
            </w:r>
          </w:p>
        </w:tc>
        <w:tc>
          <w:tcPr>
            <w:tcW w:w="1170" w:type="dxa"/>
            <w:vAlign w:val="bottom"/>
          </w:tcPr>
          <w:p w:rsidRPr="00D906B9" w:rsidR="00D906B9" w:rsidP="002B7094" w:rsidRDefault="00D906B9" w14:paraId="7A02191C" w14:textId="0AA6DEC0">
            <w:pPr>
              <w:keepNext/>
              <w:keepLines/>
              <w:numPr>
                <w:ilvl w:val="12"/>
                <w:numId w:val="0"/>
              </w:numPr>
              <w:jc w:val="center"/>
              <w:rPr>
                <w:rFonts w:ascii="Arial Narrow" w:hAnsi="Arial Narrow"/>
                <w:sz w:val="20"/>
                <w:szCs w:val="20"/>
              </w:rPr>
            </w:pPr>
            <w:r>
              <w:rPr>
                <w:rFonts w:ascii="Arial Narrow" w:hAnsi="Arial Narrow"/>
                <w:sz w:val="20"/>
                <w:szCs w:val="20"/>
              </w:rPr>
              <w:t>.25</w:t>
            </w:r>
          </w:p>
        </w:tc>
        <w:tc>
          <w:tcPr>
            <w:tcW w:w="1170" w:type="dxa"/>
            <w:shd w:val="clear" w:color="auto" w:fill="auto"/>
            <w:vAlign w:val="bottom"/>
          </w:tcPr>
          <w:p w:rsidRPr="00D906B9" w:rsidR="00D906B9" w:rsidP="002B7094" w:rsidRDefault="00D906B9" w14:paraId="3D8A37B7" w14:textId="35234432">
            <w:pPr>
              <w:keepNext/>
              <w:keepLines/>
              <w:numPr>
                <w:ilvl w:val="12"/>
                <w:numId w:val="0"/>
              </w:numPr>
              <w:jc w:val="center"/>
              <w:rPr>
                <w:rFonts w:ascii="Arial Narrow" w:hAnsi="Arial Narrow"/>
                <w:sz w:val="20"/>
                <w:szCs w:val="20"/>
              </w:rPr>
            </w:pPr>
            <w:r>
              <w:rPr>
                <w:rFonts w:ascii="Arial Narrow" w:hAnsi="Arial Narrow"/>
                <w:sz w:val="20"/>
                <w:szCs w:val="20"/>
              </w:rPr>
              <w:t>6,203</w:t>
            </w:r>
          </w:p>
        </w:tc>
      </w:tr>
      <w:tr w:rsidRPr="00D906B9" w:rsidR="00D906B9" w:rsidTr="002B7094" w14:paraId="2E958B19" w14:textId="77777777">
        <w:tc>
          <w:tcPr>
            <w:tcW w:w="1258" w:type="dxa"/>
            <w:shd w:val="clear" w:color="auto" w:fill="auto"/>
            <w:vAlign w:val="bottom"/>
          </w:tcPr>
          <w:p w:rsidRPr="00D906B9" w:rsidR="00D906B9" w:rsidP="002B7094" w:rsidRDefault="00D906B9" w14:paraId="5741C3D7" w14:textId="77777777">
            <w:pPr>
              <w:keepNext/>
              <w:keepLines/>
              <w:numPr>
                <w:ilvl w:val="12"/>
                <w:numId w:val="0"/>
              </w:numPr>
              <w:jc w:val="center"/>
              <w:rPr>
                <w:rFonts w:ascii="Arial Narrow" w:hAnsi="Arial Narrow"/>
                <w:sz w:val="20"/>
                <w:szCs w:val="20"/>
              </w:rPr>
            </w:pPr>
            <w:r w:rsidRPr="00D906B9">
              <w:rPr>
                <w:rFonts w:ascii="Arial Narrow" w:hAnsi="Arial Narrow"/>
                <w:sz w:val="20"/>
                <w:szCs w:val="20"/>
              </w:rPr>
              <w:t>Totals</w:t>
            </w:r>
          </w:p>
        </w:tc>
        <w:tc>
          <w:tcPr>
            <w:tcW w:w="1916" w:type="dxa"/>
            <w:vAlign w:val="bottom"/>
          </w:tcPr>
          <w:p w:rsidRPr="00D906B9" w:rsidR="00D906B9" w:rsidP="002B7094" w:rsidRDefault="00D906B9" w14:paraId="1102FA08" w14:textId="77777777">
            <w:pPr>
              <w:keepNext/>
              <w:keepLines/>
              <w:numPr>
                <w:ilvl w:val="12"/>
                <w:numId w:val="0"/>
              </w:numPr>
              <w:jc w:val="center"/>
              <w:rPr>
                <w:rFonts w:ascii="Arial Narrow" w:hAnsi="Arial Narrow"/>
                <w:sz w:val="20"/>
                <w:szCs w:val="20"/>
              </w:rPr>
            </w:pPr>
          </w:p>
        </w:tc>
        <w:tc>
          <w:tcPr>
            <w:tcW w:w="1170" w:type="dxa"/>
            <w:vAlign w:val="bottom"/>
          </w:tcPr>
          <w:p w:rsidRPr="00A42617" w:rsidR="00D906B9" w:rsidP="002B7094" w:rsidRDefault="00D906B9" w14:paraId="3A3EC01A" w14:textId="0DD83D86">
            <w:pPr>
              <w:keepNext/>
              <w:keepLines/>
              <w:numPr>
                <w:ilvl w:val="12"/>
                <w:numId w:val="0"/>
              </w:numPr>
              <w:jc w:val="center"/>
              <w:rPr>
                <w:rFonts w:ascii="Arial Narrow" w:hAnsi="Arial Narrow"/>
                <w:b/>
                <w:bCs/>
                <w:sz w:val="20"/>
                <w:szCs w:val="20"/>
              </w:rPr>
            </w:pPr>
            <w:r w:rsidRPr="00A42617">
              <w:rPr>
                <w:rFonts w:ascii="Arial Narrow" w:hAnsi="Arial Narrow"/>
                <w:b/>
                <w:bCs/>
                <w:sz w:val="20"/>
                <w:szCs w:val="20"/>
              </w:rPr>
              <w:t>24,813</w:t>
            </w:r>
          </w:p>
        </w:tc>
        <w:tc>
          <w:tcPr>
            <w:tcW w:w="1170" w:type="dxa"/>
            <w:vAlign w:val="bottom"/>
          </w:tcPr>
          <w:p w:rsidRPr="00D906B9" w:rsidR="00D906B9" w:rsidP="002B7094" w:rsidRDefault="00D906B9" w14:paraId="145C6BF5" w14:textId="77777777">
            <w:pPr>
              <w:keepNext/>
              <w:keepLines/>
              <w:numPr>
                <w:ilvl w:val="12"/>
                <w:numId w:val="0"/>
              </w:numPr>
              <w:jc w:val="center"/>
              <w:rPr>
                <w:rFonts w:ascii="Arial Narrow" w:hAnsi="Arial Narrow"/>
                <w:sz w:val="20"/>
                <w:szCs w:val="20"/>
              </w:rPr>
            </w:pPr>
          </w:p>
        </w:tc>
        <w:tc>
          <w:tcPr>
            <w:tcW w:w="1080" w:type="dxa"/>
            <w:shd w:val="clear" w:color="auto" w:fill="auto"/>
            <w:vAlign w:val="bottom"/>
          </w:tcPr>
          <w:p w:rsidRPr="00A42617" w:rsidR="00D906B9" w:rsidP="002B7094" w:rsidRDefault="00D906B9" w14:paraId="38A6468F" w14:textId="38F3705B">
            <w:pPr>
              <w:keepNext/>
              <w:keepLines/>
              <w:numPr>
                <w:ilvl w:val="12"/>
                <w:numId w:val="0"/>
              </w:numPr>
              <w:jc w:val="center"/>
              <w:rPr>
                <w:rFonts w:ascii="Arial Narrow" w:hAnsi="Arial Narrow"/>
                <w:b/>
                <w:bCs/>
                <w:sz w:val="20"/>
                <w:szCs w:val="20"/>
              </w:rPr>
            </w:pPr>
            <w:r w:rsidRPr="00A42617">
              <w:rPr>
                <w:rFonts w:ascii="Arial Narrow" w:hAnsi="Arial Narrow"/>
                <w:b/>
                <w:bCs/>
                <w:sz w:val="20"/>
                <w:szCs w:val="20"/>
              </w:rPr>
              <w:t>24,813</w:t>
            </w:r>
          </w:p>
        </w:tc>
        <w:tc>
          <w:tcPr>
            <w:tcW w:w="1170" w:type="dxa"/>
            <w:vAlign w:val="bottom"/>
          </w:tcPr>
          <w:p w:rsidRPr="00D906B9" w:rsidR="00D906B9" w:rsidP="002B7094" w:rsidRDefault="00D906B9" w14:paraId="5DEDAA66" w14:textId="77777777">
            <w:pPr>
              <w:keepNext/>
              <w:keepLines/>
              <w:numPr>
                <w:ilvl w:val="12"/>
                <w:numId w:val="0"/>
              </w:numPr>
              <w:jc w:val="center"/>
              <w:rPr>
                <w:rFonts w:ascii="Arial Narrow" w:hAnsi="Arial Narrow"/>
                <w:sz w:val="20"/>
                <w:szCs w:val="20"/>
              </w:rPr>
            </w:pPr>
          </w:p>
        </w:tc>
        <w:tc>
          <w:tcPr>
            <w:tcW w:w="1170" w:type="dxa"/>
            <w:shd w:val="clear" w:color="auto" w:fill="auto"/>
            <w:vAlign w:val="bottom"/>
          </w:tcPr>
          <w:p w:rsidRPr="00A42617" w:rsidR="00D906B9" w:rsidP="002B7094" w:rsidRDefault="00D906B9" w14:paraId="01AEEBB7" w14:textId="3A6602BD">
            <w:pPr>
              <w:keepNext/>
              <w:keepLines/>
              <w:numPr>
                <w:ilvl w:val="12"/>
                <w:numId w:val="0"/>
              </w:numPr>
              <w:jc w:val="center"/>
              <w:rPr>
                <w:rFonts w:ascii="Arial Narrow" w:hAnsi="Arial Narrow"/>
                <w:b/>
                <w:bCs/>
                <w:sz w:val="20"/>
                <w:szCs w:val="20"/>
              </w:rPr>
            </w:pPr>
            <w:r w:rsidRPr="00A42617">
              <w:rPr>
                <w:rFonts w:ascii="Arial Narrow" w:hAnsi="Arial Narrow"/>
                <w:b/>
                <w:bCs/>
                <w:sz w:val="20"/>
                <w:szCs w:val="20"/>
              </w:rPr>
              <w:t>6,203</w:t>
            </w:r>
          </w:p>
        </w:tc>
      </w:tr>
    </w:tbl>
    <w:p w:rsidR="00C573C8" w:rsidRDefault="00C573C8" w14:paraId="7E49BEEF" w14:textId="77777777">
      <w:r w:rsidRPr="00702B07">
        <w:t xml:space="preserve">  </w:t>
      </w:r>
    </w:p>
    <w:p w:rsidR="00DD4327" w:rsidP="00DD4327" w:rsidRDefault="00A42617" w14:paraId="6E2EE410" w14:textId="1ACEDD0C">
      <w:pPr>
        <w:pStyle w:val="SupportingStatementSTANDARD"/>
        <w:ind w:firstLine="0"/>
      </w:pPr>
      <w:r w:rsidRPr="0029015D">
        <w:rPr>
          <w:rFonts w:ascii="CG Times" w:hAnsi="CG Times" w:cs="CG Times"/>
          <w:bCs/>
        </w:rPr>
        <w:t xml:space="preserve">The following regulations impose no additional burden.  </w:t>
      </w:r>
      <w:r w:rsidR="00DD4327">
        <w:t>Please continue to assign OMB number 1545-</w:t>
      </w:r>
      <w:r w:rsidR="00DF682E">
        <w:t>1919</w:t>
      </w:r>
      <w:r w:rsidR="00DD4327">
        <w:t xml:space="preserve"> to these regulations</w:t>
      </w:r>
      <w:r>
        <w:t>:</w:t>
      </w:r>
    </w:p>
    <w:p w:rsidR="00DD4327" w:rsidP="00DD4327" w:rsidRDefault="00DD4327" w14:paraId="17F022CA" w14:textId="316F2A51">
      <w:pPr>
        <w:pStyle w:val="SupportingStatementSTANDARD"/>
        <w:ind w:firstLine="0"/>
      </w:pPr>
    </w:p>
    <w:tbl>
      <w:tblPr>
        <w:tblStyle w:val="TableGrid"/>
        <w:tblW w:w="0" w:type="auto"/>
        <w:tblInd w:w="720" w:type="dxa"/>
        <w:tblLook w:val="04A0" w:firstRow="1" w:lastRow="0" w:firstColumn="1" w:lastColumn="0" w:noHBand="0" w:noVBand="1"/>
      </w:tblPr>
      <w:tblGrid>
        <w:gridCol w:w="1857"/>
        <w:gridCol w:w="2091"/>
        <w:gridCol w:w="2375"/>
        <w:gridCol w:w="2451"/>
      </w:tblGrid>
      <w:tr w:rsidR="00A42617" w:rsidTr="00A42617" w14:paraId="3D44E8F6" w14:textId="77777777">
        <w:tc>
          <w:tcPr>
            <w:tcW w:w="1857" w:type="dxa"/>
          </w:tcPr>
          <w:p w:rsidR="00A42617" w:rsidP="00A42617" w:rsidRDefault="00A42617" w14:paraId="267A1AB5" w14:textId="72A68BAD">
            <w:pPr>
              <w:numPr>
                <w:ilvl w:val="12"/>
                <w:numId w:val="0"/>
              </w:numPr>
              <w:jc w:val="center"/>
              <w:rPr>
                <w:rFonts w:ascii="CG Times" w:hAnsi="CG Times" w:cs="CG Times"/>
                <w:bCs/>
              </w:rPr>
            </w:pPr>
            <w:r w:rsidRPr="00DF682E">
              <w:t>315.801</w:t>
            </w:r>
          </w:p>
        </w:tc>
        <w:tc>
          <w:tcPr>
            <w:tcW w:w="2091" w:type="dxa"/>
          </w:tcPr>
          <w:p w:rsidRPr="00A42617" w:rsidR="00A42617" w:rsidP="00A42617" w:rsidRDefault="00A42617" w14:paraId="178A57E8" w14:textId="0BB6009F">
            <w:pPr>
              <w:ind w:left="720"/>
              <w:jc w:val="center"/>
            </w:pPr>
            <w:r>
              <w:t>315.</w:t>
            </w:r>
            <w:r w:rsidRPr="00DF682E">
              <w:t>802</w:t>
            </w:r>
          </w:p>
        </w:tc>
        <w:tc>
          <w:tcPr>
            <w:tcW w:w="2375" w:type="dxa"/>
          </w:tcPr>
          <w:p w:rsidRPr="00A42617" w:rsidR="00A42617" w:rsidP="00A42617" w:rsidRDefault="00A42617" w14:paraId="61F45A83" w14:textId="5B3DE44A">
            <w:pPr>
              <w:ind w:left="720"/>
              <w:jc w:val="center"/>
            </w:pPr>
            <w:r w:rsidRPr="00DF682E">
              <w:t>531.202</w:t>
            </w:r>
          </w:p>
        </w:tc>
        <w:tc>
          <w:tcPr>
            <w:tcW w:w="2451" w:type="dxa"/>
          </w:tcPr>
          <w:p w:rsidRPr="00A42617" w:rsidR="00A42617" w:rsidP="00A42617" w:rsidRDefault="00A42617" w14:paraId="76412C14" w14:textId="14D34AE3">
            <w:pPr>
              <w:ind w:left="720"/>
              <w:jc w:val="center"/>
            </w:pPr>
            <w:r w:rsidRPr="00DF682E">
              <w:t>531.203 (c)</w:t>
            </w:r>
          </w:p>
        </w:tc>
      </w:tr>
    </w:tbl>
    <w:p w:rsidR="00A42617" w:rsidP="00DD4327" w:rsidRDefault="00A42617" w14:paraId="10B74590" w14:textId="77777777">
      <w:pPr>
        <w:pStyle w:val="SupportingStatementSTANDARD"/>
        <w:ind w:firstLine="0"/>
      </w:pPr>
    </w:p>
    <w:p w:rsidRPr="00702B07" w:rsidR="00DF682E" w:rsidP="00A42617" w:rsidRDefault="00DF682E" w14:paraId="3EE06D3B" w14:textId="5DFBB1B4">
      <w:pPr>
        <w:ind w:left="720"/>
      </w:pPr>
    </w:p>
    <w:p w:rsidRPr="00BF6355" w:rsidR="00C573C8" w:rsidRDefault="00C573C8" w14:paraId="42CB457A" w14:textId="77777777">
      <w:pPr>
        <w:rPr>
          <w:b/>
        </w:rPr>
      </w:pPr>
      <w:r w:rsidRPr="00BF6355">
        <w:rPr>
          <w:b/>
        </w:rPr>
        <w:t xml:space="preserve">13.  </w:t>
      </w:r>
      <w:r w:rsidRPr="00BF6355">
        <w:rPr>
          <w:b/>
          <w:u w:val="single"/>
        </w:rPr>
        <w:t>ESTIMATED TOTAL ANNUAL COST BURDEN TO RESPONDENTS</w:t>
      </w:r>
    </w:p>
    <w:p w:rsidRPr="00702B07" w:rsidR="00C573C8" w:rsidRDefault="00C573C8" w14:paraId="0B353962" w14:textId="77777777"/>
    <w:p w:rsidR="00C573C8" w:rsidP="00145362" w:rsidRDefault="00725405" w14:paraId="13E712D6" w14:textId="77777777">
      <w:pPr>
        <w:tabs>
          <w:tab w:val="left" w:pos="-1440"/>
        </w:tabs>
        <w:ind w:left="450"/>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02B07" w:rsidR="00C573C8">
        <w:t>.</w:t>
      </w:r>
    </w:p>
    <w:p w:rsidRPr="00702B07" w:rsidR="00D33035" w:rsidRDefault="00D33035" w14:paraId="22CA51FE" w14:textId="77777777"/>
    <w:p w:rsidRPr="00BF6355" w:rsidR="00C573C8" w:rsidRDefault="00C573C8" w14:paraId="46B8443B" w14:textId="77777777">
      <w:pPr>
        <w:rPr>
          <w:b/>
        </w:rPr>
      </w:pPr>
      <w:r w:rsidRPr="00BF6355">
        <w:rPr>
          <w:b/>
        </w:rPr>
        <w:t xml:space="preserve">14.  </w:t>
      </w:r>
      <w:r w:rsidRPr="00BF6355">
        <w:rPr>
          <w:b/>
          <w:u w:val="single"/>
        </w:rPr>
        <w:t>ESTIMATED ANNUALIZED COST TO THE FEDERAL GOVERNMENT</w:t>
      </w:r>
    </w:p>
    <w:p w:rsidRPr="00702B07" w:rsidR="00C573C8" w:rsidRDefault="00C573C8" w14:paraId="261E65CD" w14:textId="77777777"/>
    <w:p w:rsidRPr="00702B07" w:rsidR="00C573C8" w:rsidP="00D33035" w:rsidRDefault="00C573C8" w14:paraId="77341F31" w14:textId="77777777">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00632DFD">
        <w:t>9,586</w:t>
      </w:r>
      <w:r w:rsidRPr="00702B07">
        <w:t>.</w:t>
      </w:r>
    </w:p>
    <w:p w:rsidRPr="00702B07" w:rsidR="00153A01" w:rsidRDefault="00153A01" w14:paraId="259DA412" w14:textId="77777777"/>
    <w:p w:rsidRPr="00BF6355" w:rsidR="00C573C8" w:rsidRDefault="00C573C8" w14:paraId="2BAC1763" w14:textId="77777777">
      <w:pPr>
        <w:rPr>
          <w:b/>
        </w:rPr>
      </w:pPr>
      <w:r w:rsidRPr="00BF6355">
        <w:rPr>
          <w:b/>
        </w:rPr>
        <w:t xml:space="preserve">15.  </w:t>
      </w:r>
      <w:r w:rsidRPr="00BF6355">
        <w:rPr>
          <w:b/>
          <w:u w:val="single"/>
        </w:rPr>
        <w:t>REASONS FOR CHANGE IN BURDEN</w:t>
      </w:r>
    </w:p>
    <w:p w:rsidRPr="00702B07" w:rsidR="00C573C8" w:rsidRDefault="00C573C8" w14:paraId="040A0A6F" w14:textId="77777777">
      <w:pPr>
        <w:ind w:left="720" w:hanging="720"/>
        <w:rPr>
          <w:bCs/>
        </w:rPr>
      </w:pPr>
      <w:r w:rsidRPr="00702B07">
        <w:t xml:space="preserve">    </w:t>
      </w:r>
    </w:p>
    <w:p w:rsidRPr="00702B07" w:rsidR="00C573C8" w:rsidP="00A42617" w:rsidRDefault="003F2C5D" w14:paraId="421CD09C" w14:textId="1BDD2E9E">
      <w:pPr>
        <w:ind w:left="450"/>
      </w:pPr>
      <w:r>
        <w:t>T</w:t>
      </w:r>
      <w:r w:rsidRPr="00702B07" w:rsidR="00C573C8">
        <w:t xml:space="preserve">here are no changes being made to </w:t>
      </w:r>
      <w:r w:rsidR="00153A01">
        <w:t>the burden previously approved.</w:t>
      </w:r>
      <w:r w:rsidRPr="00702B07" w:rsidR="00CC6C32">
        <w:t xml:space="preserve">  </w:t>
      </w:r>
      <w:r w:rsidRPr="00702B07" w:rsidR="00E3396B">
        <w:t>T</w:t>
      </w:r>
      <w:r w:rsidRPr="00702B07" w:rsidR="00C573C8">
        <w:t>his submission is being made for renewal purposes.</w:t>
      </w:r>
    </w:p>
    <w:p w:rsidRPr="00702B07" w:rsidR="00C573C8" w:rsidRDefault="00C573C8" w14:paraId="667BCE08" w14:textId="77777777">
      <w:pPr>
        <w:rPr>
          <w:bCs/>
        </w:rPr>
      </w:pPr>
    </w:p>
    <w:p w:rsidRPr="00BF6355" w:rsidR="00C573C8" w:rsidRDefault="00C573C8" w14:paraId="369BEF2F" w14:textId="77777777">
      <w:pPr>
        <w:rPr>
          <w:b/>
        </w:rPr>
      </w:pPr>
      <w:r w:rsidRPr="00BF6355">
        <w:rPr>
          <w:b/>
        </w:rPr>
        <w:t xml:space="preserve">16.  </w:t>
      </w:r>
      <w:r w:rsidRPr="00BF6355">
        <w:rPr>
          <w:b/>
          <w:u w:val="single"/>
        </w:rPr>
        <w:t>PLANS FOR TABULATION, STATISTICAL ANALYSIS AND PUBLICATION</w:t>
      </w:r>
    </w:p>
    <w:p w:rsidRPr="00702B07" w:rsidR="00C573C8" w:rsidRDefault="00C573C8" w14:paraId="1733B598" w14:textId="77777777"/>
    <w:p w:rsidR="00C573C8" w:rsidP="00D33035" w:rsidRDefault="003F2C5D" w14:paraId="35CA41B1" w14:textId="0F523047">
      <w:pPr>
        <w:ind w:left="450"/>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00A42617" w:rsidP="00D33035" w:rsidRDefault="00A42617" w14:paraId="5F12D534" w14:textId="708A1BAE">
      <w:pPr>
        <w:ind w:left="450"/>
      </w:pPr>
    </w:p>
    <w:p w:rsidRPr="00702B07" w:rsidR="00C573C8" w:rsidRDefault="00C573C8" w14:paraId="2B46E2FE" w14:textId="77777777">
      <w:pPr>
        <w:rPr>
          <w:bCs/>
        </w:rPr>
      </w:pPr>
    </w:p>
    <w:p w:rsidRPr="00BF6355" w:rsidR="00C573C8" w:rsidP="00AA539A" w:rsidRDefault="00C573C8" w14:paraId="597EECE2" w14:textId="77777777">
      <w:pPr>
        <w:ind w:left="450" w:hanging="450"/>
        <w:rPr>
          <w:b/>
        </w:rPr>
      </w:pPr>
      <w:r w:rsidRPr="00BF6355">
        <w:rPr>
          <w:b/>
        </w:rPr>
        <w:t xml:space="preserve">17.  </w:t>
      </w:r>
      <w:r w:rsidRPr="00BF6355">
        <w:rPr>
          <w:b/>
          <w:u w:val="single"/>
        </w:rPr>
        <w:t>REASONS WHY DISPLAYING THE OMB EXPIRATION DATE IS</w:t>
      </w:r>
      <w:r w:rsidRPr="00BF6355" w:rsidR="00AA539A">
        <w:rPr>
          <w:b/>
          <w:u w:val="single"/>
        </w:rPr>
        <w:t xml:space="preserve"> </w:t>
      </w:r>
      <w:r w:rsidRPr="00BF6355">
        <w:rPr>
          <w:b/>
          <w:u w:val="single"/>
        </w:rPr>
        <w:t>INAPPROPRIATE</w:t>
      </w:r>
    </w:p>
    <w:p w:rsidR="00D33035" w:rsidP="00D33035" w:rsidRDefault="00D33035" w14:paraId="7552864C" w14:textId="77777777"/>
    <w:p w:rsidRPr="00702B07" w:rsidR="00C573C8" w:rsidP="00D33035" w:rsidRDefault="00725405" w14:paraId="79F6F689" w14:textId="77777777">
      <w:pPr>
        <w:ind w:left="450"/>
      </w:pPr>
      <w:r>
        <w:t xml:space="preserve">IRS believes that displaying the OMB expiration date is inappropriate because it could cause </w:t>
      </w:r>
      <w:r>
        <w:lastRenderedPageBreak/>
        <w:t>confusion by leading taxpayers to believe that the form and / or regulation sunsets as of the expiration date.  Taxpayers are not likely to be aware that the Service intends to request renewal of the OMB approval and obtain a new expiration date before the old one expires</w:t>
      </w:r>
      <w:r w:rsidRPr="00702B07" w:rsidR="00C573C8">
        <w:t>.</w:t>
      </w:r>
    </w:p>
    <w:p w:rsidR="006D2642" w:rsidRDefault="006D2642" w14:paraId="00BC3800" w14:textId="77777777">
      <w:pPr>
        <w:rPr>
          <w:bCs/>
        </w:rPr>
      </w:pPr>
    </w:p>
    <w:p w:rsidR="006D2642" w:rsidRDefault="006D2642" w14:paraId="20C4AC23" w14:textId="77777777">
      <w:pPr>
        <w:rPr>
          <w:bCs/>
        </w:rPr>
      </w:pPr>
    </w:p>
    <w:p w:rsidRPr="00BF6355" w:rsidR="00C573C8" w:rsidRDefault="00C573C8" w14:paraId="6A22549D" w14:textId="4FBD0063">
      <w:pPr>
        <w:rPr>
          <w:b/>
          <w:u w:val="single"/>
        </w:rPr>
      </w:pPr>
      <w:r w:rsidRPr="00BF6355">
        <w:rPr>
          <w:b/>
        </w:rPr>
        <w:t xml:space="preserve">18.  </w:t>
      </w:r>
      <w:r w:rsidRPr="00BF6355">
        <w:rPr>
          <w:b/>
          <w:u w:val="single"/>
        </w:rPr>
        <w:t xml:space="preserve">EXCEPTIONS TO THE CERTIFICATION STATEMENT </w:t>
      </w:r>
    </w:p>
    <w:p w:rsidRPr="00702B07" w:rsidR="00AA539A" w:rsidRDefault="00AA539A" w14:paraId="4215094A" w14:textId="77777777"/>
    <w:p w:rsidRPr="00702B07" w:rsidR="00C573C8" w:rsidP="006642C2" w:rsidRDefault="003F2C5D" w14:paraId="3C123832" w14:textId="73E8A757">
      <w:pPr>
        <w:ind w:left="360"/>
      </w:pPr>
      <w:r w:rsidRPr="003F2C5D">
        <w:t>There are no exceptions to the certification statement</w:t>
      </w:r>
      <w:r w:rsidRPr="00702B07" w:rsidR="00C573C8">
        <w:t xml:space="preserve">. </w:t>
      </w:r>
    </w:p>
    <w:p w:rsidRPr="00702B07" w:rsidR="00C573C8" w:rsidRDefault="00C573C8" w14:paraId="2202A79D" w14:textId="77777777"/>
    <w:p w:rsidRPr="00702B07" w:rsidR="00C573C8" w:rsidP="006642C2" w:rsidRDefault="00C573C8" w14:paraId="5AE4F685"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1CD226E8" w14:textId="77777777"/>
    <w:p w:rsidRPr="00702B07" w:rsidR="00C573C8" w:rsidP="006642C2" w:rsidRDefault="00C573C8" w14:paraId="452B5CE9"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Pr="00702B07" w:rsidR="00C573C8" w:rsidRDefault="00C573C8" w14:paraId="2B982D30" w14:textId="77777777"/>
    <w:p w:rsidR="00702B07" w:rsidRDefault="00702B07" w14:paraId="080A5C6A" w14:textId="77777777">
      <w:pPr>
        <w:ind w:firstLine="720"/>
      </w:pPr>
    </w:p>
    <w:p w:rsidR="00702B07" w:rsidRDefault="00702B07" w14:paraId="1087F70C" w14:textId="77777777">
      <w:pPr>
        <w:ind w:firstLine="720"/>
      </w:pPr>
    </w:p>
    <w:p w:rsidR="003F2C5D" w:rsidRDefault="003F2C5D" w14:paraId="4B1D451A" w14:textId="77777777">
      <w:pPr>
        <w:ind w:firstLine="720"/>
      </w:pPr>
    </w:p>
    <w:p w:rsidR="003F2C5D" w:rsidRDefault="003F2C5D" w14:paraId="3CF0C3B2" w14:textId="77777777">
      <w:pPr>
        <w:ind w:firstLine="720"/>
      </w:pPr>
    </w:p>
    <w:sectPr w:rsidR="003F2C5D"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04CA"/>
    <w:rsid w:val="00007D7B"/>
    <w:rsid w:val="000115AC"/>
    <w:rsid w:val="0009423B"/>
    <w:rsid w:val="000A1B91"/>
    <w:rsid w:val="000A2988"/>
    <w:rsid w:val="000D603F"/>
    <w:rsid w:val="000F1134"/>
    <w:rsid w:val="00145362"/>
    <w:rsid w:val="00153A01"/>
    <w:rsid w:val="001A5F9F"/>
    <w:rsid w:val="001F12FB"/>
    <w:rsid w:val="00204931"/>
    <w:rsid w:val="002057FE"/>
    <w:rsid w:val="00222F8C"/>
    <w:rsid w:val="0024297E"/>
    <w:rsid w:val="0028041B"/>
    <w:rsid w:val="002E7C70"/>
    <w:rsid w:val="002F69D6"/>
    <w:rsid w:val="0033329E"/>
    <w:rsid w:val="00366682"/>
    <w:rsid w:val="003B1CCF"/>
    <w:rsid w:val="003B5334"/>
    <w:rsid w:val="003B5891"/>
    <w:rsid w:val="003B7275"/>
    <w:rsid w:val="003F2C5D"/>
    <w:rsid w:val="00427EF7"/>
    <w:rsid w:val="00460F0B"/>
    <w:rsid w:val="00467A74"/>
    <w:rsid w:val="004A04AA"/>
    <w:rsid w:val="004E06B1"/>
    <w:rsid w:val="004E4007"/>
    <w:rsid w:val="005238E8"/>
    <w:rsid w:val="00571458"/>
    <w:rsid w:val="00576081"/>
    <w:rsid w:val="005853BC"/>
    <w:rsid w:val="00591B4A"/>
    <w:rsid w:val="006149C7"/>
    <w:rsid w:val="00632DFD"/>
    <w:rsid w:val="0063596E"/>
    <w:rsid w:val="00636B94"/>
    <w:rsid w:val="006642C2"/>
    <w:rsid w:val="006830ED"/>
    <w:rsid w:val="00686923"/>
    <w:rsid w:val="00695940"/>
    <w:rsid w:val="00695D49"/>
    <w:rsid w:val="006D2642"/>
    <w:rsid w:val="006E0A4D"/>
    <w:rsid w:val="00702B07"/>
    <w:rsid w:val="00720D3E"/>
    <w:rsid w:val="00725405"/>
    <w:rsid w:val="007453AC"/>
    <w:rsid w:val="007811F7"/>
    <w:rsid w:val="00792586"/>
    <w:rsid w:val="008321F0"/>
    <w:rsid w:val="008708F6"/>
    <w:rsid w:val="008808E9"/>
    <w:rsid w:val="00895AED"/>
    <w:rsid w:val="00910116"/>
    <w:rsid w:val="00923919"/>
    <w:rsid w:val="0096082C"/>
    <w:rsid w:val="009C6B4D"/>
    <w:rsid w:val="00A00E60"/>
    <w:rsid w:val="00A17EEF"/>
    <w:rsid w:val="00A34C7C"/>
    <w:rsid w:val="00A42617"/>
    <w:rsid w:val="00A84CA1"/>
    <w:rsid w:val="00A91E00"/>
    <w:rsid w:val="00AA539A"/>
    <w:rsid w:val="00B03E6E"/>
    <w:rsid w:val="00B46341"/>
    <w:rsid w:val="00B54DC7"/>
    <w:rsid w:val="00B55912"/>
    <w:rsid w:val="00B73C86"/>
    <w:rsid w:val="00B77265"/>
    <w:rsid w:val="00B81690"/>
    <w:rsid w:val="00BB5D87"/>
    <w:rsid w:val="00BC2563"/>
    <w:rsid w:val="00BE2174"/>
    <w:rsid w:val="00BE5210"/>
    <w:rsid w:val="00BF3A51"/>
    <w:rsid w:val="00BF6355"/>
    <w:rsid w:val="00C358CE"/>
    <w:rsid w:val="00C53DF5"/>
    <w:rsid w:val="00C573C8"/>
    <w:rsid w:val="00C8357C"/>
    <w:rsid w:val="00C85FC1"/>
    <w:rsid w:val="00CC6C32"/>
    <w:rsid w:val="00CE5344"/>
    <w:rsid w:val="00CF20D2"/>
    <w:rsid w:val="00D05E8B"/>
    <w:rsid w:val="00D33035"/>
    <w:rsid w:val="00D84A35"/>
    <w:rsid w:val="00D85B57"/>
    <w:rsid w:val="00D906B9"/>
    <w:rsid w:val="00DC2780"/>
    <w:rsid w:val="00DD4327"/>
    <w:rsid w:val="00DE7D8D"/>
    <w:rsid w:val="00DF682E"/>
    <w:rsid w:val="00E3396B"/>
    <w:rsid w:val="00E47B4F"/>
    <w:rsid w:val="00E56009"/>
    <w:rsid w:val="00E86D28"/>
    <w:rsid w:val="00F01DBD"/>
    <w:rsid w:val="00F2351F"/>
    <w:rsid w:val="00F54DAA"/>
    <w:rsid w:val="00FD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EF7D8E"/>
  <w15:chartTrackingRefBased/>
  <w15:docId w15:val="{046D3275-D21A-40F0-8EDB-17218BE3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D906B9"/>
    <w:rPr>
      <w:rFonts w:ascii="Segoe UI" w:hAnsi="Segoe UI" w:cs="Segoe UI"/>
      <w:sz w:val="18"/>
      <w:szCs w:val="18"/>
    </w:rPr>
  </w:style>
  <w:style w:type="character" w:customStyle="1" w:styleId="BalloonTextChar">
    <w:name w:val="Balloon Text Char"/>
    <w:basedOn w:val="DefaultParagraphFont"/>
    <w:link w:val="BalloonText"/>
    <w:rsid w:val="00D906B9"/>
    <w:rPr>
      <w:rFonts w:ascii="Segoe UI" w:hAnsi="Segoe UI" w:cs="Segoe UI"/>
      <w:sz w:val="18"/>
      <w:szCs w:val="18"/>
    </w:rPr>
  </w:style>
  <w:style w:type="table" w:styleId="TableGrid">
    <w:name w:val="Table Grid"/>
    <w:basedOn w:val="TableNormal"/>
    <w:uiPriority w:val="59"/>
    <w:rsid w:val="00A4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61354">
      <w:bodyDiv w:val="1"/>
      <w:marLeft w:val="0"/>
      <w:marRight w:val="0"/>
      <w:marTop w:val="30"/>
      <w:marBottom w:val="750"/>
      <w:divBdr>
        <w:top w:val="none" w:sz="0" w:space="0" w:color="auto"/>
        <w:left w:val="none" w:sz="0" w:space="0" w:color="auto"/>
        <w:bottom w:val="none" w:sz="0" w:space="0" w:color="auto"/>
        <w:right w:val="none" w:sz="0" w:space="0" w:color="auto"/>
      </w:divBdr>
      <w:divsChild>
        <w:div w:id="1901284509">
          <w:marLeft w:val="0"/>
          <w:marRight w:val="0"/>
          <w:marTop w:val="0"/>
          <w:marBottom w:val="0"/>
          <w:divBdr>
            <w:top w:val="none" w:sz="0" w:space="0" w:color="auto"/>
            <w:left w:val="none" w:sz="0" w:space="0" w:color="auto"/>
            <w:bottom w:val="none" w:sz="0" w:space="0" w:color="auto"/>
            <w:right w:val="none" w:sz="0" w:space="0" w:color="auto"/>
          </w:divBdr>
          <w:divsChild>
            <w:div w:id="1685131491">
              <w:marLeft w:val="0"/>
              <w:marRight w:val="0"/>
              <w:marTop w:val="0"/>
              <w:marBottom w:val="0"/>
              <w:divBdr>
                <w:top w:val="none" w:sz="0" w:space="0" w:color="auto"/>
                <w:left w:val="none" w:sz="0" w:space="0" w:color="auto"/>
                <w:bottom w:val="none" w:sz="0" w:space="0" w:color="auto"/>
                <w:right w:val="none" w:sz="0" w:space="0" w:color="auto"/>
              </w:divBdr>
              <w:divsChild>
                <w:div w:id="158186984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1056</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7223</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Clark, Spencer</cp:lastModifiedBy>
  <cp:revision>2</cp:revision>
  <cp:lastPrinted>2005-05-18T14:13:00Z</cp:lastPrinted>
  <dcterms:created xsi:type="dcterms:W3CDTF">2021-04-27T19:48:00Z</dcterms:created>
  <dcterms:modified xsi:type="dcterms:W3CDTF">2021-04-27T19:48:00Z</dcterms:modified>
</cp:coreProperties>
</file>