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5F1F" w:rsidR="00215F1F" w:rsidP="00215F1F" w:rsidRDefault="00215F1F">
      <w:pPr>
        <w:pStyle w:val="BodyText"/>
        <w:ind w:firstLine="720"/>
        <w:jc w:val="center"/>
        <w:rPr>
          <w:rFonts w:ascii="Times New Roman" w:hAnsi="Times New Roman"/>
          <w:bCs w:val="0"/>
          <w:szCs w:val="24"/>
        </w:rPr>
      </w:pPr>
      <w:r w:rsidRPr="00215F1F">
        <w:rPr>
          <w:rFonts w:ascii="Times New Roman" w:hAnsi="Times New Roman"/>
          <w:bCs w:val="0"/>
          <w:szCs w:val="24"/>
        </w:rPr>
        <w:t>Justification for No Material Change</w:t>
      </w:r>
    </w:p>
    <w:p w:rsidRPr="00215F1F" w:rsidR="00215F1F" w:rsidP="00215F1F" w:rsidRDefault="00215F1F">
      <w:pPr>
        <w:pStyle w:val="BodyText"/>
        <w:ind w:firstLine="720"/>
        <w:jc w:val="center"/>
        <w:rPr>
          <w:rFonts w:ascii="Times New Roman" w:hAnsi="Times New Roman"/>
          <w:bCs w:val="0"/>
          <w:szCs w:val="24"/>
        </w:rPr>
      </w:pPr>
      <w:r w:rsidRPr="00215F1F">
        <w:rPr>
          <w:rFonts w:ascii="Times New Roman" w:hAnsi="Times New Roman"/>
          <w:bCs w:val="0"/>
          <w:szCs w:val="24"/>
        </w:rPr>
        <w:t>Licensing Manual</w:t>
      </w:r>
    </w:p>
    <w:p w:rsidRPr="00215F1F" w:rsidR="00215F1F" w:rsidP="00215F1F" w:rsidRDefault="00215F1F">
      <w:pPr>
        <w:pStyle w:val="BodyText"/>
        <w:ind w:firstLine="720"/>
        <w:jc w:val="center"/>
        <w:rPr>
          <w:rFonts w:ascii="Times New Roman" w:hAnsi="Times New Roman"/>
          <w:bCs w:val="0"/>
          <w:szCs w:val="24"/>
        </w:rPr>
      </w:pPr>
      <w:r w:rsidRPr="00215F1F">
        <w:rPr>
          <w:rFonts w:ascii="Times New Roman" w:hAnsi="Times New Roman"/>
          <w:bCs w:val="0"/>
          <w:szCs w:val="24"/>
        </w:rPr>
        <w:t>OMB Control No. 1557-0014</w:t>
      </w:r>
    </w:p>
    <w:p w:rsidR="00215F1F" w:rsidP="00215F1F" w:rsidRDefault="00215F1F">
      <w:pPr>
        <w:pStyle w:val="BodyText"/>
        <w:ind w:firstLine="720"/>
        <w:rPr>
          <w:rFonts w:ascii="Times New Roman" w:hAnsi="Times New Roman"/>
          <w:b w:val="0"/>
          <w:szCs w:val="24"/>
        </w:rPr>
      </w:pPr>
    </w:p>
    <w:p w:rsidR="00215F1F" w:rsidP="00215F1F" w:rsidRDefault="00215F1F">
      <w:pPr>
        <w:pStyle w:val="BodyText"/>
        <w:ind w:firstLine="720"/>
        <w:rPr>
          <w:rFonts w:ascii="Times New Roman" w:hAnsi="Times New Roman"/>
          <w:b w:val="0"/>
          <w:szCs w:val="24"/>
        </w:rPr>
      </w:pPr>
      <w:r>
        <w:rPr>
          <w:rFonts w:ascii="Times New Roman" w:hAnsi="Times New Roman"/>
          <w:b w:val="0"/>
          <w:szCs w:val="24"/>
        </w:rPr>
        <w:t>The burden from OMB Control No. 1557-0320 is being merged into OMB Control No. 1557-0014.  The requirements contained in OMB Control No. 1557-0320 are found in part 5 and belong in the Licensing Manual collection where the remainder of the part 5 information collection requirements are found.</w:t>
      </w:r>
    </w:p>
    <w:p w:rsidR="00215F1F" w:rsidP="00215F1F" w:rsidRDefault="00215F1F">
      <w:pPr>
        <w:pStyle w:val="BodyText"/>
        <w:ind w:firstLine="720"/>
        <w:rPr>
          <w:rFonts w:ascii="Times New Roman" w:hAnsi="Times New Roman"/>
          <w:b w:val="0"/>
          <w:szCs w:val="24"/>
        </w:rPr>
      </w:pPr>
    </w:p>
    <w:p w:rsidR="00215F1F" w:rsidP="00215F1F" w:rsidRDefault="00215F1F">
      <w:pPr>
        <w:pStyle w:val="BodyText"/>
        <w:ind w:firstLine="720"/>
        <w:rPr>
          <w:rFonts w:ascii="Times New Roman" w:hAnsi="Times New Roman"/>
          <w:b w:val="0"/>
          <w:szCs w:val="24"/>
        </w:rPr>
      </w:pPr>
      <w:r>
        <w:rPr>
          <w:rFonts w:ascii="Times New Roman" w:hAnsi="Times New Roman"/>
          <w:b w:val="0"/>
          <w:szCs w:val="24"/>
        </w:rPr>
        <w:t>The information collection requirements contained in OMB Control No. 1557-0320 include:</w:t>
      </w:r>
      <w:bookmarkStart w:name="_GoBack" w:id="0"/>
      <w:bookmarkEnd w:id="0"/>
      <w:r>
        <w:rPr>
          <w:rFonts w:ascii="Times New Roman" w:hAnsi="Times New Roman"/>
          <w:b w:val="0"/>
          <w:szCs w:val="24"/>
        </w:rPr>
        <w:t xml:space="preserve"> </w:t>
      </w:r>
      <w:r>
        <w:rPr>
          <w:rFonts w:ascii="Times New Roman" w:hAnsi="Times New Roman"/>
          <w:b w:val="0"/>
          <w:szCs w:val="24"/>
        </w:rPr>
        <w:t xml:space="preserve">(1) the 12 CFR 5.47(g) and 12 CFR 5.56(b) requirements that national banks and Federal savings associations (collectively, “institutions”) apply for OCC approval prior to prepaying subordinated debt if the prepayment is in the form of a call option; and (2) the 12 CFR 5.47(d)(ii)(C) requirement that national banks issuing subordinated debt disclose the OCC’s authority under 12 CFR 3.11 to limit distributions. </w:t>
      </w:r>
    </w:p>
    <w:p w:rsidR="00A20147" w:rsidRDefault="00A20147"/>
    <w:sectPr w:rsidR="00A201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1F"/>
    <w:rsid w:val="00215F1F"/>
    <w:rsid w:val="00297C5C"/>
    <w:rsid w:val="00305D0E"/>
    <w:rsid w:val="003C7DA5"/>
    <w:rsid w:val="0043786B"/>
    <w:rsid w:val="009E7F5B"/>
    <w:rsid w:val="00A20147"/>
    <w:rsid w:val="00CB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CFCB8"/>
  <w15:chartTrackingRefBased/>
  <w15:docId w15:val="{078D36E1-8670-43BE-B66B-31174042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15F1F"/>
    <w:pPr>
      <w:widowControl w:val="0"/>
      <w:snapToGrid w:val="0"/>
    </w:pPr>
    <w:rPr>
      <w:rFonts w:ascii="Arial Narrow" w:hAnsi="Arial Narrow"/>
      <w:b/>
      <w:bCs/>
      <w:szCs w:val="20"/>
    </w:rPr>
  </w:style>
  <w:style w:type="character" w:customStyle="1" w:styleId="BodyTextChar">
    <w:name w:val="Body Text Char"/>
    <w:basedOn w:val="DefaultParagraphFont"/>
    <w:link w:val="BodyText"/>
    <w:rsid w:val="00215F1F"/>
    <w:rPr>
      <w:rFonts w:ascii="Arial Narrow" w:hAnsi="Arial Narrow"/>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74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132</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Mary</dc:creator>
  <cp:keywords/>
  <dc:description/>
  <cp:lastModifiedBy>Gottlieb, Mary</cp:lastModifiedBy>
  <cp:revision>1</cp:revision>
  <dcterms:created xsi:type="dcterms:W3CDTF">2021-02-09T19:21:00Z</dcterms:created>
  <dcterms:modified xsi:type="dcterms:W3CDTF">2021-02-09T19:28:00Z</dcterms:modified>
</cp:coreProperties>
</file>