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1F1" w:rsidP="00DB31F1" w:rsidRDefault="00DB31F1" w14:paraId="17B446A9" w14:textId="77777777">
      <w:pPr>
        <w:jc w:val="center"/>
        <w:rPr>
          <w:rFonts w:ascii="Times New Roman" w:hAnsi="Times New Roman"/>
          <w:b/>
          <w:bCs/>
        </w:rPr>
      </w:pPr>
      <w:r>
        <w:rPr>
          <w:rFonts w:ascii="Times New Roman" w:hAnsi="Times New Roman"/>
          <w:b/>
          <w:bCs/>
        </w:rPr>
        <w:t xml:space="preserve">SUPPORTING STATEMENT FOR </w:t>
      </w:r>
    </w:p>
    <w:p w:rsidR="00DB31F1" w:rsidP="00DB31F1" w:rsidRDefault="00DB31F1" w14:paraId="7A077325" w14:textId="77777777">
      <w:pPr>
        <w:jc w:val="center"/>
        <w:rPr>
          <w:rFonts w:ascii="Times New Roman" w:hAnsi="Times New Roman"/>
          <w:b/>
        </w:rPr>
      </w:pPr>
      <w:r>
        <w:rPr>
          <w:rFonts w:ascii="Times New Roman" w:hAnsi="Times New Roman"/>
          <w:b/>
        </w:rPr>
        <w:t>Petition for Nonimmigrant Worker</w:t>
      </w:r>
    </w:p>
    <w:p w:rsidR="00DB31F1" w:rsidP="00DB31F1" w:rsidRDefault="00DB31F1" w14:paraId="0AD943A9" w14:textId="77777777">
      <w:pPr>
        <w:jc w:val="center"/>
        <w:rPr>
          <w:rFonts w:ascii="Times New Roman" w:hAnsi="Times New Roman"/>
          <w:b/>
          <w:bCs/>
          <w:color w:val="FF0000"/>
        </w:rPr>
      </w:pPr>
      <w:r>
        <w:rPr>
          <w:rFonts w:ascii="Times New Roman" w:hAnsi="Times New Roman"/>
          <w:b/>
          <w:bCs/>
        </w:rPr>
        <w:t>OMB Control No.: 1615-0009</w:t>
      </w:r>
    </w:p>
    <w:p w:rsidR="00DB31F1" w:rsidP="00DB31F1" w:rsidRDefault="00DB31F1" w14:paraId="4C056F8E" w14:textId="77777777">
      <w:pPr>
        <w:jc w:val="center"/>
        <w:rPr>
          <w:rFonts w:ascii="Times New Roman" w:hAnsi="Times New Roman"/>
          <w:b/>
          <w:bCs/>
          <w:color w:val="FF0000"/>
        </w:rPr>
      </w:pPr>
      <w:r>
        <w:rPr>
          <w:rFonts w:ascii="Times New Roman" w:hAnsi="Times New Roman"/>
          <w:b/>
          <w:bCs/>
        </w:rPr>
        <w:t>COLLECTION INSTRUMENT(S): Form I-129</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DB31F1" w:rsidP="00DB31F1" w:rsidRDefault="00DB31F1" w14:paraId="4EE1E5D9"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proofErr w:type="spellStart"/>
      <w:r>
        <w:rPr>
          <w:rFonts w:ascii="Times New Roman" w:hAnsi="Times New Roman"/>
        </w:rPr>
        <w:t>ies</w:t>
      </w:r>
      <w:proofErr w:type="spellEnd"/>
      <w:r>
        <w:rPr>
          <w:rFonts w:ascii="Times New Roman" w:hAnsi="Times New Roman"/>
        </w:rPr>
        <w:t xml:space="preserve">) is (are) eligible for the nonimmigrant classification.  The statutory authority is section 101(a)(15) and 214(c)(1); 8 U.S.C. 1101(a)(15) and 1184(c)(1) of the Immigration and Nationality Act (Act) and the regulatory authority is 8 CFR 214.2 (h)(2)(i)(A), (l)(2)(i), (o)(2)(i), (p)(2)(i), (q)(3)(i), and (r)(3).  A U.S. employer, or agent in some instances, may file a petition for nonimmigrant worker to employ foreign nationals under the following nonimmigrant classifications:  H-1B, H-2A, H-2B, H-3, L-1, O-1, O-2, P-1, P-2, P-3, P-1S, P-2S, P-3S, Q-1, or R-1 nonimmigrant worker.  </w:t>
      </w:r>
    </w:p>
    <w:p w:rsidR="00DB31F1" w:rsidP="00DB31F1" w:rsidRDefault="00DB31F1" w14:paraId="4B3B881A" w14:textId="77777777">
      <w:pPr>
        <w:ind w:left="720"/>
        <w:rPr>
          <w:rFonts w:ascii="Times New Roman" w:hAnsi="Times New Roman"/>
        </w:rPr>
      </w:pPr>
    </w:p>
    <w:p w:rsidR="00DB31F1" w:rsidP="00DB31F1" w:rsidRDefault="00DB31F1" w14:paraId="45E13838" w14:textId="77777777">
      <w:pPr>
        <w:ind w:left="720"/>
        <w:rPr>
          <w:rFonts w:ascii="Times New Roman" w:hAnsi="Times New Roman"/>
        </w:rPr>
      </w:pPr>
      <w:r>
        <w:rPr>
          <w:rFonts w:ascii="Times New Roman" w:hAnsi="Times New Roman"/>
        </w:rPr>
        <w:t>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w:t>
      </w:r>
      <w:proofErr w:type="gramStart"/>
      <w:r>
        <w:rPr>
          <w:rFonts w:ascii="Times New Roman" w:hAnsi="Times New Roman"/>
        </w:rPr>
        <w:t>i)(</w:t>
      </w:r>
      <w:proofErr w:type="gramEnd"/>
      <w:r>
        <w:rPr>
          <w:rFonts w:ascii="Times New Roman" w:hAnsi="Times New Roman"/>
        </w:rPr>
        <w:t xml:space="preserve">b1) of the Act.  The additional regulatory authority for collection of this information for E-1s, E-2s, and TNs is found in 8 CFR 214.2(e)(1) and 8 CFR 214.6.   </w:t>
      </w:r>
    </w:p>
    <w:p w:rsidR="00DB31F1" w:rsidP="00DB31F1" w:rsidRDefault="00DB31F1" w14:paraId="6C368FF6"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DB31F1" w:rsidP="00DB31F1" w:rsidRDefault="00DB31F1" w14:paraId="7E7B0480" w14:textId="65E464C8">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petition, and perform other functions related to administering and enforcing the immigrant and nationality laws. </w:t>
      </w:r>
    </w:p>
    <w:p w:rsidR="00DB31F1" w:rsidP="00DB31F1" w:rsidRDefault="00DB31F1" w14:paraId="50689690" w14:textId="77777777">
      <w:pPr>
        <w:tabs>
          <w:tab w:val="left" w:pos="-1440"/>
        </w:tabs>
        <w:ind w:left="720"/>
        <w:rPr>
          <w:rFonts w:ascii="Times New Roman" w:hAnsi="Times New Roman"/>
        </w:rPr>
      </w:pPr>
      <w:r>
        <w:rPr>
          <w:rFonts w:ascii="Times New Roman" w:hAnsi="Times New Roman"/>
          <w:b/>
        </w:rPr>
        <w:lastRenderedPageBreak/>
        <w:t>Authority</w:t>
      </w:r>
      <w:r>
        <w:rPr>
          <w:rFonts w:ascii="Times New Roman" w:hAnsi="Times New Roman"/>
        </w:rPr>
        <w:t>: See section 214 of the Act and 8 CFR 214.2, especially 8 CFR and 8 CFR 214.2(h)(19)(iii)(B).  Also see 8 CFR 214.1 and 8 CFR 248.1.</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DB31F1" w:rsidP="00DB31F1" w:rsidRDefault="00DB31F1" w14:paraId="074A1287" w14:textId="49F0E678">
      <w:pPr>
        <w:ind w:left="720"/>
        <w:rPr>
          <w:rFonts w:ascii="Times New Roman" w:hAnsi="Times New Roman"/>
        </w:rPr>
      </w:pPr>
      <w:r>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DB31F1" w:rsidP="00DB31F1" w:rsidRDefault="00DB31F1" w14:paraId="23C8A2D1" w14:textId="77777777">
      <w:pPr>
        <w:tabs>
          <w:tab w:val="left" w:pos="-1440"/>
        </w:tabs>
        <w:ind w:left="720"/>
        <w:rPr>
          <w:rFonts w:ascii="Times New Roman" w:hAnsi="Times New Roman"/>
          <w:color w:val="FF0000"/>
        </w:rPr>
      </w:pPr>
      <w:r>
        <w:rPr>
          <w:rFonts w:ascii="Times New Roman" w:hAnsi="Times New Roman"/>
        </w:rPr>
        <w:t xml:space="preserve">The use of the Form I-129 provides the most efficient means for collecting and processing the required data.  This form and its instructions reside on the USCIS website at </w:t>
      </w:r>
      <w:hyperlink w:history="1" r:id="rId10">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w:t>
      </w:r>
      <w:proofErr w:type="gramStart"/>
      <w:r>
        <w:rPr>
          <w:rFonts w:ascii="Times New Roman" w:hAnsi="Times New Roman"/>
        </w:rPr>
        <w:t>completed</w:t>
      </w:r>
      <w:proofErr w:type="gramEnd"/>
      <w:r>
        <w:rPr>
          <w:rFonts w:ascii="Times New Roman" w:hAnsi="Times New Roman"/>
        </w:rPr>
        <w:t xml:space="preserve"> and saved electronically, but must be printed out and submitted to USCIS by mail.</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DB31F1" w:rsidP="00DB31F1" w:rsidRDefault="00DB31F1" w14:paraId="3E1ECE90"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USCIS has investigated its internal processes, </w:t>
      </w:r>
      <w:proofErr w:type="gramStart"/>
      <w:r>
        <w:rPr>
          <w:rFonts w:ascii="Times New Roman" w:hAnsi="Times New Roman"/>
        </w:rPr>
        <w:t>files</w:t>
      </w:r>
      <w:proofErr w:type="gramEnd"/>
      <w:r>
        <w:rPr>
          <w:rFonts w:ascii="Times New Roman" w:hAnsi="Times New Roman"/>
        </w:rPr>
        <w:t xml:space="preserve">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 xml:space="preserve">If the collection of information impacts small businesses or other small entities (Item </w:t>
      </w:r>
      <w:r w:rsidRPr="00914A5D">
        <w:rPr>
          <w:rFonts w:ascii="Times New Roman" w:hAnsi="Times New Roman"/>
          <w:b/>
        </w:rPr>
        <w:lastRenderedPageBreak/>
        <w:t>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DB31F1" w:rsidP="00DB31F1" w:rsidRDefault="00DB31F1" w14:paraId="4EC00961" w14:textId="77777777">
      <w:pPr>
        <w:tabs>
          <w:tab w:val="left" w:pos="-1440"/>
        </w:tabs>
        <w:ind w:left="720"/>
        <w:rPr>
          <w:rFonts w:ascii="Times New Roman" w:hAnsi="Times New Roman"/>
          <w:color w:val="FF0000"/>
        </w:rPr>
      </w:pPr>
      <w:r>
        <w:rPr>
          <w:rFonts w:ascii="Times New Roman" w:hAnsi="Times New Roman"/>
        </w:rPr>
        <w:t>USCIS has minimized the amount of information collected from the affected small businesses so as to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DB31F1" w:rsidP="00DB31F1" w:rsidRDefault="00DB31F1" w14:paraId="0455A1B9" w14:textId="77777777">
      <w:pPr>
        <w:tabs>
          <w:tab w:val="left" w:pos="-1440"/>
        </w:tabs>
        <w:ind w:left="720"/>
        <w:rPr>
          <w:rFonts w:ascii="Times New Roman" w:hAnsi="Times New Roman"/>
          <w:color w:val="FF0000"/>
        </w:rPr>
      </w:pPr>
      <w:r>
        <w:rPr>
          <w:rFonts w:ascii="Times New Roman" w:hAnsi="Times New Roman"/>
        </w:rPr>
        <w:t xml:space="preserve">The form is only submitted, collected, and used on an as-needed basis.  Employers submit petitions for a foreign national to be classified as a nonimmigrant worker under sections 101 and 214 of the Act, when they have the need for the employee.  This form asks questions necessary to determine eligibility.  The technical and legal obstacles to reducing the burden are that no unnecessary information is </w:t>
      </w:r>
      <w:proofErr w:type="gramStart"/>
      <w:r>
        <w:rPr>
          <w:rFonts w:ascii="Times New Roman" w:hAnsi="Times New Roman"/>
        </w:rPr>
        <w:t>obtained</w:t>
      </w:r>
      <w:proofErr w:type="gramEnd"/>
      <w:r>
        <w:rPr>
          <w:rFonts w:ascii="Times New Roman" w:hAnsi="Times New Roman"/>
        </w:rPr>
        <w:t xml:space="preserve"> or questions asked that can be removed.</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established in statute or regulation, that is not supported by disclosure and data </w:t>
      </w:r>
      <w:r w:rsidRPr="00B1471A">
        <w:rPr>
          <w:rFonts w:ascii="Times New Roman" w:hAnsi="Times New Roman"/>
          <w:b/>
        </w:rPr>
        <w:lastRenderedPageBreak/>
        <w:t>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DB31F1" w:rsidR="00DB31F1" w:rsidP="00914A5D" w:rsidRDefault="00DB31F1" w14:paraId="2D6FB7FD" w14:textId="2E8CB9F0">
      <w:pPr>
        <w:tabs>
          <w:tab w:val="left" w:pos="-1440"/>
        </w:tabs>
        <w:ind w:left="720"/>
        <w:rPr>
          <w:rFonts w:ascii="Times New Roman" w:hAnsi="Times New Roman"/>
        </w:rPr>
      </w:pPr>
      <w:bookmarkStart w:name="_Hlk65156105" w:id="0"/>
      <w:r>
        <w:rPr>
          <w:rFonts w:ascii="Times New Roman" w:hAnsi="Times New Roman"/>
        </w:rPr>
        <w:t>USCIS did not publish a notice in the Federal Register. This s</w:t>
      </w:r>
      <w:r w:rsidRPr="00DB31F1">
        <w:rPr>
          <w:rFonts w:ascii="Times New Roman" w:hAnsi="Times New Roman"/>
        </w:rPr>
        <w:t xml:space="preserve">ubmission </w:t>
      </w:r>
      <w:r>
        <w:rPr>
          <w:rFonts w:ascii="Times New Roman" w:hAnsi="Times New Roman"/>
        </w:rPr>
        <w:t xml:space="preserve">is </w:t>
      </w:r>
      <w:r w:rsidRPr="00DB31F1">
        <w:rPr>
          <w:rFonts w:ascii="Times New Roman" w:hAnsi="Times New Roman"/>
        </w:rPr>
        <w:t>made under 5 CFR 1320.13</w:t>
      </w:r>
      <w:r>
        <w:rPr>
          <w:rFonts w:ascii="Times New Roman" w:hAnsi="Times New Roman"/>
        </w:rPr>
        <w:t>.</w:t>
      </w:r>
    </w:p>
    <w:bookmarkEnd w:id="0"/>
    <w:p w:rsidRPr="00914A5D" w:rsidR="00B27061" w:rsidP="00914A5D" w:rsidRDefault="007312F9" w14:paraId="3F044073" w14:textId="4340F124">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proofErr w:type="gramStart"/>
      <w:r w:rsidRPr="00914A5D">
        <w:rPr>
          <w:rFonts w:ascii="Times New Roman" w:hAnsi="Times New Roman"/>
          <w:b/>
        </w:rPr>
        <w:t>regulation</w:t>
      </w:r>
      <w:proofErr w:type="gramEnd"/>
      <w:r w:rsidRPr="00914A5D">
        <w:rPr>
          <w:rFonts w:ascii="Times New Roman" w:hAnsi="Times New Roman"/>
          <w:b/>
        </w:rPr>
        <w:t xml:space="preserve">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DB31F1" w:rsidP="00DB31F1" w:rsidRDefault="00DB31F1" w14:paraId="47CB8F1C"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DB31F1" w:rsidP="00DB31F1" w:rsidRDefault="00DB31F1" w14:paraId="673E07A0"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DHS/USCIS/PIA-003 Integrated Digitization Document Management Program; and </w:t>
      </w:r>
    </w:p>
    <w:p w:rsidR="00DB31F1" w:rsidP="00DB31F1" w:rsidRDefault="00DB31F1" w14:paraId="51B778E3" w14:textId="77777777">
      <w:pPr>
        <w:pStyle w:val="ListParagraph"/>
        <w:numPr>
          <w:ilvl w:val="0"/>
          <w:numId w:val="9"/>
        </w:numPr>
        <w:tabs>
          <w:tab w:val="left" w:pos="-1440"/>
        </w:tabs>
        <w:rPr>
          <w:rFonts w:ascii="Times New Roman" w:hAnsi="Times New Roman"/>
        </w:rPr>
      </w:pPr>
      <w:r>
        <w:rPr>
          <w:rFonts w:ascii="Times New Roman" w:hAnsi="Times New Roman"/>
        </w:rPr>
        <w:lastRenderedPageBreak/>
        <w:t>DHS/USCIS/PIA 016(a) Computer Linked Application Information Management System (CLAIMS 3) and Associated Systems.</w:t>
      </w:r>
    </w:p>
    <w:p w:rsidR="00DB31F1" w:rsidP="00DB31F1" w:rsidRDefault="00DB31F1" w14:paraId="06A58EA9" w14:textId="77777777">
      <w:pPr>
        <w:tabs>
          <w:tab w:val="left" w:pos="-1440"/>
        </w:tabs>
        <w:ind w:left="720"/>
        <w:rPr>
          <w:rFonts w:ascii="Times New Roman" w:hAnsi="Times New Roman"/>
        </w:rPr>
      </w:pPr>
    </w:p>
    <w:p w:rsidR="00DB31F1" w:rsidP="00DB31F1" w:rsidRDefault="00DB31F1" w14:paraId="185E95F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DB31F1" w:rsidP="00DB31F1" w:rsidRDefault="00DB31F1" w14:paraId="7FAC7494"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18, 2017, 82 FR </w:t>
      </w:r>
      <w:proofErr w:type="gramStart"/>
      <w:r>
        <w:rPr>
          <w:rFonts w:ascii="Times New Roman" w:hAnsi="Times New Roman"/>
        </w:rPr>
        <w:t>43556;</w:t>
      </w:r>
      <w:proofErr w:type="gramEnd"/>
    </w:p>
    <w:p w:rsidR="00DB31F1" w:rsidP="00DB31F1" w:rsidRDefault="00DB31F1" w14:paraId="16014D07" w14:textId="77777777">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 81 FR 72069; and</w:t>
      </w:r>
    </w:p>
    <w:p w:rsidRPr="00DB31F1" w:rsidR="00EC5F60" w:rsidP="00DB31F1" w:rsidRDefault="00DB31F1" w14:paraId="5E3A935B" w14:textId="45FF07B6">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DB31F1" w:rsidP="00DB31F1" w:rsidRDefault="00DB31F1" w14:paraId="40E7E681" w14:textId="77777777">
      <w:pPr>
        <w:tabs>
          <w:tab w:val="left" w:pos="-1440"/>
        </w:tabs>
        <w:ind w:left="720"/>
        <w:rPr>
          <w:rFonts w:ascii="Times New Roman" w:hAnsi="Times New Roman"/>
          <w:color w:val="FF0000"/>
        </w:rPr>
      </w:pPr>
      <w:r>
        <w:rPr>
          <w:rFonts w:ascii="Times New Roman" w:hAnsi="Times New Roman"/>
        </w:rPr>
        <w:t>The only information collection of a sensitive nature is the Social Security Number (SSN) of the alien worker, if one exists.  The SSN is required to ensure proper identification of the alien worker.  The SSN is pertinent for I-129 adjudication as it assists in making positive identifications of individuals.  For example, there may be multiple individuals with the same/similar name and date of birth.  In that instance, SSN may be beneficial in determining whether this is one and the same person.  Since we currently do not collect fingerprints for most I-129s (with the exception of a very limited number of filings from the CNMI), fields like the SSN are some of the only ways we have of checking the background information of the requested beneficiary.</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proofErr w:type="gramStart"/>
      <w:r w:rsidRPr="00914A5D">
        <w:rPr>
          <w:rFonts w:ascii="Times New Roman" w:hAnsi="Times New Roman"/>
          <w:b/>
        </w:rPr>
        <w:t>form</w:t>
      </w:r>
      <w:proofErr w:type="gramEnd"/>
      <w:r w:rsidRPr="00914A5D">
        <w:rPr>
          <w:rFonts w:ascii="Times New Roman" w:hAnsi="Times New Roman"/>
          <w:b/>
        </w:rPr>
        <w:t xml:space="preserve">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770" w:type="dxa"/>
        <w:tblInd w:w="-252" w:type="dxa"/>
        <w:tblLayout w:type="fixed"/>
        <w:tblLook w:val="04A0" w:firstRow="1" w:lastRow="0" w:firstColumn="1" w:lastColumn="0" w:noHBand="0" w:noVBand="1"/>
      </w:tblPr>
      <w:tblGrid>
        <w:gridCol w:w="1343"/>
        <w:gridCol w:w="1460"/>
        <w:gridCol w:w="1350"/>
        <w:gridCol w:w="1170"/>
        <w:gridCol w:w="1080"/>
        <w:gridCol w:w="1080"/>
        <w:gridCol w:w="1127"/>
        <w:gridCol w:w="900"/>
        <w:gridCol w:w="1260"/>
      </w:tblGrid>
      <w:tr w:rsidR="00DB31F1" w:rsidTr="002E0CB3" w14:paraId="719DE86B" w14:textId="77777777">
        <w:trPr>
          <w:trHeight w:val="315"/>
        </w:trPr>
        <w:tc>
          <w:tcPr>
            <w:tcW w:w="1343" w:type="dxa"/>
            <w:tcBorders>
              <w:top w:val="single" w:color="auto" w:sz="8" w:space="0"/>
              <w:left w:val="single" w:color="auto" w:sz="8" w:space="0"/>
              <w:bottom w:val="single" w:color="auto" w:sz="8" w:space="0"/>
              <w:right w:val="single" w:color="auto" w:sz="8" w:space="0"/>
            </w:tcBorders>
            <w:noWrap/>
            <w:vAlign w:val="center"/>
            <w:hideMark/>
          </w:tcPr>
          <w:p w:rsidR="00DB31F1" w:rsidRDefault="00DB31F1" w14:paraId="3DB1CFDC" w14:textId="77777777">
            <w:pPr>
              <w:widowControl/>
              <w:autoSpaceDE/>
              <w:autoSpaceDN/>
              <w:adjustRightInd/>
              <w:rPr>
                <w:rFonts w:ascii="Times New Roman" w:hAnsi="Times New Roman"/>
                <w:sz w:val="20"/>
                <w:szCs w:val="20"/>
              </w:rPr>
            </w:pPr>
          </w:p>
        </w:tc>
        <w:tc>
          <w:tcPr>
            <w:tcW w:w="1460" w:type="dxa"/>
            <w:tcBorders>
              <w:top w:val="single" w:color="auto" w:sz="8" w:space="0"/>
              <w:left w:val="nil"/>
              <w:bottom w:val="single" w:color="auto" w:sz="8" w:space="0"/>
              <w:right w:val="single" w:color="auto" w:sz="8" w:space="0"/>
            </w:tcBorders>
            <w:noWrap/>
            <w:vAlign w:val="center"/>
            <w:hideMark/>
          </w:tcPr>
          <w:p w:rsidR="00DB31F1" w:rsidRDefault="00DB31F1" w14:paraId="69800AC1" w14:textId="77777777">
            <w:pPr>
              <w:widowControl/>
              <w:autoSpaceDE/>
              <w:autoSpaceDN/>
              <w:adjustRightInd/>
              <w:rPr>
                <w:rFonts w:ascii="Times New Roman" w:hAnsi="Times New Roman"/>
                <w:sz w:val="20"/>
                <w:szCs w:val="20"/>
              </w:rPr>
            </w:pPr>
          </w:p>
        </w:tc>
        <w:tc>
          <w:tcPr>
            <w:tcW w:w="1350" w:type="dxa"/>
            <w:tcBorders>
              <w:top w:val="single" w:color="auto" w:sz="8" w:space="0"/>
              <w:left w:val="nil"/>
              <w:bottom w:val="single" w:color="auto" w:sz="8" w:space="0"/>
              <w:right w:val="single" w:color="auto" w:sz="8" w:space="0"/>
            </w:tcBorders>
            <w:noWrap/>
            <w:vAlign w:val="center"/>
            <w:hideMark/>
          </w:tcPr>
          <w:p w:rsidR="00DB31F1" w:rsidRDefault="00DB31F1" w14:paraId="7029742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w:t>
            </w:r>
          </w:p>
        </w:tc>
        <w:tc>
          <w:tcPr>
            <w:tcW w:w="1170" w:type="dxa"/>
            <w:tcBorders>
              <w:top w:val="single" w:color="auto" w:sz="8" w:space="0"/>
              <w:left w:val="nil"/>
              <w:bottom w:val="single" w:color="auto" w:sz="8" w:space="0"/>
              <w:right w:val="single" w:color="auto" w:sz="8" w:space="0"/>
            </w:tcBorders>
            <w:noWrap/>
            <w:vAlign w:val="center"/>
            <w:hideMark/>
          </w:tcPr>
          <w:p w:rsidR="00DB31F1" w:rsidRDefault="00DB31F1" w14:paraId="015A583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w:t>
            </w:r>
          </w:p>
        </w:tc>
        <w:tc>
          <w:tcPr>
            <w:tcW w:w="1080" w:type="dxa"/>
            <w:tcBorders>
              <w:top w:val="single" w:color="auto" w:sz="8" w:space="0"/>
              <w:left w:val="nil"/>
              <w:bottom w:val="single" w:color="auto" w:sz="8" w:space="0"/>
              <w:right w:val="single" w:color="auto" w:sz="8" w:space="0"/>
            </w:tcBorders>
            <w:noWrap/>
            <w:vAlign w:val="center"/>
            <w:hideMark/>
          </w:tcPr>
          <w:p w:rsidR="00DB31F1" w:rsidRDefault="00DB31F1" w14:paraId="01F7BBB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C (=</w:t>
            </w:r>
            <w:proofErr w:type="spellStart"/>
            <w:r>
              <w:rPr>
                <w:rFonts w:ascii="Times New Roman" w:hAnsi="Times New Roman"/>
                <w:color w:val="000000"/>
                <w:sz w:val="20"/>
                <w:szCs w:val="20"/>
              </w:rPr>
              <w:t>AxB</w:t>
            </w:r>
            <w:proofErr w:type="spellEnd"/>
            <w:r>
              <w:rPr>
                <w:rFonts w:ascii="Times New Roman" w:hAnsi="Times New Roman"/>
                <w:color w:val="000000"/>
                <w:sz w:val="20"/>
                <w:szCs w:val="20"/>
              </w:rPr>
              <w:t>)</w:t>
            </w:r>
          </w:p>
        </w:tc>
        <w:tc>
          <w:tcPr>
            <w:tcW w:w="1080" w:type="dxa"/>
            <w:tcBorders>
              <w:top w:val="single" w:color="auto" w:sz="8" w:space="0"/>
              <w:left w:val="nil"/>
              <w:bottom w:val="single" w:color="auto" w:sz="8" w:space="0"/>
              <w:right w:val="single" w:color="auto" w:sz="8" w:space="0"/>
            </w:tcBorders>
            <w:noWrap/>
            <w:vAlign w:val="center"/>
            <w:hideMark/>
          </w:tcPr>
          <w:p w:rsidR="00DB31F1" w:rsidRDefault="00DB31F1" w14:paraId="17E8D44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D</w:t>
            </w:r>
          </w:p>
        </w:tc>
        <w:tc>
          <w:tcPr>
            <w:tcW w:w="1127" w:type="dxa"/>
            <w:tcBorders>
              <w:top w:val="single" w:color="auto" w:sz="8" w:space="0"/>
              <w:left w:val="nil"/>
              <w:bottom w:val="single" w:color="auto" w:sz="8" w:space="0"/>
              <w:right w:val="single" w:color="auto" w:sz="8" w:space="0"/>
            </w:tcBorders>
            <w:noWrap/>
            <w:vAlign w:val="center"/>
            <w:hideMark/>
          </w:tcPr>
          <w:p w:rsidR="00DB31F1" w:rsidRDefault="00DB31F1" w14:paraId="5A24EF7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E (=</w:t>
            </w:r>
            <w:proofErr w:type="spellStart"/>
            <w:r>
              <w:rPr>
                <w:rFonts w:ascii="Times New Roman" w:hAnsi="Times New Roman"/>
                <w:color w:val="000000"/>
                <w:sz w:val="20"/>
                <w:szCs w:val="20"/>
              </w:rPr>
              <w:t>CxD</w:t>
            </w:r>
            <w:proofErr w:type="spellEnd"/>
            <w:r>
              <w:rPr>
                <w:rFonts w:ascii="Times New Roman" w:hAnsi="Times New Roman"/>
                <w:color w:val="000000"/>
                <w:sz w:val="20"/>
                <w:szCs w:val="20"/>
              </w:rPr>
              <w:t>)</w:t>
            </w:r>
          </w:p>
        </w:tc>
        <w:tc>
          <w:tcPr>
            <w:tcW w:w="900" w:type="dxa"/>
            <w:tcBorders>
              <w:top w:val="single" w:color="auto" w:sz="8" w:space="0"/>
              <w:left w:val="nil"/>
              <w:bottom w:val="single" w:color="auto" w:sz="8" w:space="0"/>
              <w:right w:val="single" w:color="auto" w:sz="8" w:space="0"/>
            </w:tcBorders>
            <w:noWrap/>
            <w:vAlign w:val="center"/>
            <w:hideMark/>
          </w:tcPr>
          <w:p w:rsidR="00DB31F1" w:rsidRDefault="00DB31F1" w14:paraId="560270F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w:t>
            </w:r>
          </w:p>
        </w:tc>
        <w:tc>
          <w:tcPr>
            <w:tcW w:w="1260" w:type="dxa"/>
            <w:tcBorders>
              <w:top w:val="single" w:color="auto" w:sz="8" w:space="0"/>
              <w:left w:val="nil"/>
              <w:bottom w:val="single" w:color="auto" w:sz="8" w:space="0"/>
              <w:right w:val="single" w:color="auto" w:sz="8" w:space="0"/>
            </w:tcBorders>
            <w:noWrap/>
            <w:vAlign w:val="center"/>
            <w:hideMark/>
          </w:tcPr>
          <w:p w:rsidR="00DB31F1" w:rsidRDefault="00DB31F1" w14:paraId="36B5A59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ExF</w:t>
            </w:r>
            <w:proofErr w:type="spellEnd"/>
            <w:r>
              <w:rPr>
                <w:rFonts w:ascii="Times New Roman" w:hAnsi="Times New Roman"/>
                <w:color w:val="000000"/>
                <w:sz w:val="20"/>
                <w:szCs w:val="20"/>
              </w:rPr>
              <w:t>)</w:t>
            </w:r>
          </w:p>
        </w:tc>
      </w:tr>
      <w:tr w:rsidR="00DB31F1" w:rsidTr="002E0CB3" w14:paraId="4C64E976" w14:textId="77777777">
        <w:trPr>
          <w:trHeight w:val="1290"/>
        </w:trPr>
        <w:tc>
          <w:tcPr>
            <w:tcW w:w="1343" w:type="dxa"/>
            <w:tcBorders>
              <w:top w:val="nil"/>
              <w:left w:val="single" w:color="auto" w:sz="8" w:space="0"/>
              <w:bottom w:val="single" w:color="auto" w:sz="8" w:space="0"/>
              <w:right w:val="single" w:color="auto" w:sz="8" w:space="0"/>
            </w:tcBorders>
            <w:vAlign w:val="center"/>
            <w:hideMark/>
          </w:tcPr>
          <w:p w:rsidR="00DB31F1" w:rsidRDefault="00DB31F1" w14:paraId="51EA3FE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Type of Respondent</w:t>
            </w:r>
          </w:p>
        </w:tc>
        <w:tc>
          <w:tcPr>
            <w:tcW w:w="1460" w:type="dxa"/>
            <w:tcBorders>
              <w:top w:val="nil"/>
              <w:left w:val="nil"/>
              <w:bottom w:val="single" w:color="auto" w:sz="8" w:space="0"/>
              <w:right w:val="single" w:color="auto" w:sz="8" w:space="0"/>
            </w:tcBorders>
            <w:vAlign w:val="center"/>
            <w:hideMark/>
          </w:tcPr>
          <w:p w:rsidR="00DB31F1" w:rsidRDefault="00DB31F1" w14:paraId="22A2D55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Form Name / Form Number</w:t>
            </w:r>
          </w:p>
        </w:tc>
        <w:tc>
          <w:tcPr>
            <w:tcW w:w="1350" w:type="dxa"/>
            <w:tcBorders>
              <w:top w:val="nil"/>
              <w:left w:val="nil"/>
              <w:bottom w:val="single" w:color="auto" w:sz="8" w:space="0"/>
              <w:right w:val="single" w:color="auto" w:sz="8" w:space="0"/>
            </w:tcBorders>
            <w:vAlign w:val="center"/>
            <w:hideMark/>
          </w:tcPr>
          <w:p w:rsidR="00DB31F1" w:rsidRDefault="00DB31F1" w14:paraId="5BDF429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Respondents</w:t>
            </w:r>
            <w:r>
              <w:rPr>
                <w:rStyle w:val="FootnoteReference"/>
                <w:rFonts w:ascii="Times New Roman" w:hAnsi="Times New Roman"/>
                <w:color w:val="000000"/>
                <w:sz w:val="20"/>
                <w:szCs w:val="20"/>
                <w:vertAlign w:val="superscript"/>
              </w:rPr>
              <w:footnoteReference w:id="1"/>
            </w:r>
          </w:p>
        </w:tc>
        <w:tc>
          <w:tcPr>
            <w:tcW w:w="1170" w:type="dxa"/>
            <w:tcBorders>
              <w:top w:val="nil"/>
              <w:left w:val="nil"/>
              <w:bottom w:val="single" w:color="auto" w:sz="8" w:space="0"/>
              <w:right w:val="single" w:color="auto" w:sz="8" w:space="0"/>
            </w:tcBorders>
            <w:vAlign w:val="center"/>
            <w:hideMark/>
          </w:tcPr>
          <w:p w:rsidR="00DB31F1" w:rsidRDefault="00DB31F1" w14:paraId="1F09BE5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 per Respondent</w:t>
            </w:r>
          </w:p>
        </w:tc>
        <w:tc>
          <w:tcPr>
            <w:tcW w:w="1080" w:type="dxa"/>
            <w:tcBorders>
              <w:top w:val="nil"/>
              <w:left w:val="nil"/>
              <w:bottom w:val="single" w:color="auto" w:sz="8" w:space="0"/>
              <w:right w:val="single" w:color="auto" w:sz="8" w:space="0"/>
            </w:tcBorders>
            <w:vAlign w:val="center"/>
            <w:hideMark/>
          </w:tcPr>
          <w:p w:rsidR="00DB31F1" w:rsidRDefault="00DB31F1" w14:paraId="53D71D1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w:t>
            </w:r>
          </w:p>
        </w:tc>
        <w:tc>
          <w:tcPr>
            <w:tcW w:w="1080" w:type="dxa"/>
            <w:tcBorders>
              <w:top w:val="nil"/>
              <w:left w:val="nil"/>
              <w:bottom w:val="single" w:color="auto" w:sz="8" w:space="0"/>
              <w:right w:val="single" w:color="auto" w:sz="8" w:space="0"/>
            </w:tcBorders>
            <w:vAlign w:val="center"/>
            <w:hideMark/>
          </w:tcPr>
          <w:p w:rsidR="00DB31F1" w:rsidRDefault="00DB31F1" w14:paraId="7E84CCC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Burden per Response (in hours)</w:t>
            </w:r>
          </w:p>
        </w:tc>
        <w:tc>
          <w:tcPr>
            <w:tcW w:w="1127" w:type="dxa"/>
            <w:tcBorders>
              <w:top w:val="nil"/>
              <w:left w:val="nil"/>
              <w:bottom w:val="single" w:color="auto" w:sz="8" w:space="0"/>
              <w:right w:val="single" w:color="auto" w:sz="8" w:space="0"/>
            </w:tcBorders>
            <w:vAlign w:val="center"/>
            <w:hideMark/>
          </w:tcPr>
          <w:p w:rsidR="00DB31F1" w:rsidRDefault="00DB31F1" w14:paraId="47B0058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Burden (in hours)</w:t>
            </w:r>
          </w:p>
        </w:tc>
        <w:tc>
          <w:tcPr>
            <w:tcW w:w="900" w:type="dxa"/>
            <w:tcBorders>
              <w:top w:val="nil"/>
              <w:left w:val="nil"/>
              <w:bottom w:val="single" w:color="auto" w:sz="8" w:space="0"/>
              <w:right w:val="single" w:color="auto" w:sz="8" w:space="0"/>
            </w:tcBorders>
            <w:vAlign w:val="center"/>
            <w:hideMark/>
          </w:tcPr>
          <w:p w:rsidR="00DB31F1" w:rsidRDefault="00DB31F1" w14:paraId="46D1820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Hourly Wage Rate*</w:t>
            </w:r>
          </w:p>
        </w:tc>
        <w:tc>
          <w:tcPr>
            <w:tcW w:w="1260" w:type="dxa"/>
            <w:tcBorders>
              <w:top w:val="nil"/>
              <w:left w:val="nil"/>
              <w:bottom w:val="single" w:color="auto" w:sz="8" w:space="0"/>
              <w:right w:val="single" w:color="auto" w:sz="8" w:space="0"/>
            </w:tcBorders>
            <w:vAlign w:val="center"/>
            <w:hideMark/>
          </w:tcPr>
          <w:p w:rsidR="00DB31F1" w:rsidRDefault="00DB31F1" w14:paraId="6E76534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Respondent Cost</w:t>
            </w:r>
          </w:p>
        </w:tc>
      </w:tr>
      <w:tr w:rsidR="002E0CB3" w:rsidTr="002E0CB3" w14:paraId="5C9AE26A"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565D2FA7"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4FFA0710"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Petition for Nonimmigrant Worker (Form I-129)</w:t>
            </w:r>
            <w:r>
              <w:rPr>
                <w:rFonts w:ascii="Times New Roman" w:hAnsi="Times New Roman"/>
                <w:bCs/>
                <w:color w:val="000000"/>
                <w:sz w:val="20"/>
                <w:szCs w:val="20"/>
                <w:vertAlign w:val="superscript"/>
              </w:rPr>
              <w:footnoteReference w:id="2"/>
            </w:r>
          </w:p>
        </w:tc>
        <w:tc>
          <w:tcPr>
            <w:tcW w:w="1350" w:type="dxa"/>
            <w:tcBorders>
              <w:top w:val="nil"/>
              <w:left w:val="nil"/>
              <w:bottom w:val="single" w:color="auto" w:sz="8" w:space="0"/>
              <w:right w:val="single" w:color="auto" w:sz="8" w:space="0"/>
            </w:tcBorders>
            <w:vAlign w:val="center"/>
            <w:hideMark/>
          </w:tcPr>
          <w:p w:rsidR="002E0CB3" w:rsidP="002E0CB3" w:rsidRDefault="002E0CB3" w14:paraId="45EDD225"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294,751</w:t>
            </w:r>
          </w:p>
        </w:tc>
        <w:tc>
          <w:tcPr>
            <w:tcW w:w="1170" w:type="dxa"/>
            <w:tcBorders>
              <w:top w:val="nil"/>
              <w:left w:val="nil"/>
              <w:bottom w:val="single" w:color="auto" w:sz="8" w:space="0"/>
              <w:right w:val="single" w:color="auto" w:sz="8" w:space="0"/>
            </w:tcBorders>
            <w:vAlign w:val="center"/>
            <w:hideMark/>
          </w:tcPr>
          <w:p w:rsidR="002E0CB3" w:rsidP="002E0CB3" w:rsidRDefault="002E0CB3" w14:paraId="4FA3AD6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5540520F"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294,751</w:t>
            </w:r>
          </w:p>
        </w:tc>
        <w:tc>
          <w:tcPr>
            <w:tcW w:w="1080" w:type="dxa"/>
            <w:tcBorders>
              <w:top w:val="nil"/>
              <w:left w:val="nil"/>
              <w:bottom w:val="single" w:color="auto" w:sz="8" w:space="0"/>
              <w:right w:val="single" w:color="auto" w:sz="8" w:space="0"/>
            </w:tcBorders>
            <w:vAlign w:val="center"/>
            <w:hideMark/>
          </w:tcPr>
          <w:p w:rsidR="002E0CB3" w:rsidP="002E0CB3" w:rsidRDefault="002E0CB3" w14:paraId="1F98FD24"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2.34</w:t>
            </w:r>
          </w:p>
        </w:tc>
        <w:tc>
          <w:tcPr>
            <w:tcW w:w="1127" w:type="dxa"/>
            <w:tcBorders>
              <w:top w:val="nil"/>
              <w:left w:val="nil"/>
              <w:bottom w:val="single" w:color="auto" w:sz="8" w:space="0"/>
              <w:right w:val="single" w:color="auto" w:sz="8" w:space="0"/>
            </w:tcBorders>
            <w:vAlign w:val="center"/>
            <w:hideMark/>
          </w:tcPr>
          <w:p w:rsidR="002E0CB3" w:rsidP="002E0CB3" w:rsidRDefault="002E0CB3" w14:paraId="4B3412F0"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689,717.34</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27C75842" w14:textId="152D4103">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25919200" w14:textId="6B34E1CB">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$37,824,099</w:t>
            </w:r>
          </w:p>
        </w:tc>
      </w:tr>
      <w:tr w:rsidR="002E0CB3" w:rsidTr="002E0CB3" w14:paraId="74E0D84E"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3CECE33C"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66D64FC2"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3"/>
            </w:r>
          </w:p>
        </w:tc>
        <w:tc>
          <w:tcPr>
            <w:tcW w:w="1350" w:type="dxa"/>
            <w:tcBorders>
              <w:top w:val="nil"/>
              <w:left w:val="nil"/>
              <w:bottom w:val="single" w:color="auto" w:sz="8" w:space="0"/>
              <w:right w:val="single" w:color="auto" w:sz="8" w:space="0"/>
            </w:tcBorders>
            <w:vAlign w:val="center"/>
            <w:hideMark/>
          </w:tcPr>
          <w:p w:rsidR="002E0CB3" w:rsidP="002E0CB3" w:rsidRDefault="002E0CB3" w14:paraId="46BEB2F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4,760</w:t>
            </w:r>
          </w:p>
        </w:tc>
        <w:tc>
          <w:tcPr>
            <w:tcW w:w="1170" w:type="dxa"/>
            <w:tcBorders>
              <w:top w:val="nil"/>
              <w:left w:val="nil"/>
              <w:bottom w:val="single" w:color="auto" w:sz="8" w:space="0"/>
              <w:right w:val="single" w:color="auto" w:sz="8" w:space="0"/>
            </w:tcBorders>
            <w:vAlign w:val="center"/>
            <w:hideMark/>
          </w:tcPr>
          <w:p w:rsidR="002E0CB3" w:rsidP="002E0CB3" w:rsidRDefault="002E0CB3" w14:paraId="1CE3D63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6B9DCFD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4,760</w:t>
            </w:r>
          </w:p>
        </w:tc>
        <w:tc>
          <w:tcPr>
            <w:tcW w:w="1080" w:type="dxa"/>
            <w:tcBorders>
              <w:top w:val="nil"/>
              <w:left w:val="nil"/>
              <w:bottom w:val="single" w:color="auto" w:sz="8" w:space="0"/>
              <w:right w:val="single" w:color="auto" w:sz="8" w:space="0"/>
            </w:tcBorders>
            <w:vAlign w:val="center"/>
            <w:hideMark/>
          </w:tcPr>
          <w:p w:rsidR="002E0CB3" w:rsidP="002E0CB3" w:rsidRDefault="002E0CB3" w14:paraId="203AB54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0.67</w:t>
            </w:r>
          </w:p>
        </w:tc>
        <w:tc>
          <w:tcPr>
            <w:tcW w:w="1127" w:type="dxa"/>
            <w:tcBorders>
              <w:top w:val="nil"/>
              <w:left w:val="nil"/>
              <w:bottom w:val="single" w:color="auto" w:sz="8" w:space="0"/>
              <w:right w:val="single" w:color="auto" w:sz="8" w:space="0"/>
            </w:tcBorders>
            <w:vAlign w:val="center"/>
            <w:hideMark/>
          </w:tcPr>
          <w:p w:rsidR="002E0CB3" w:rsidP="002E0CB3" w:rsidRDefault="002E0CB3" w14:paraId="074A61A8"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3,189.20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4B912839" w14:textId="7FC017F0">
            <w:pPr>
              <w:widowControl/>
              <w:autoSpaceDE/>
              <w:adjustRightInd/>
              <w:jc w:val="center"/>
              <w:rPr>
                <w:rFonts w:ascii="Times New Roman" w:hAnsi="Times New Roman"/>
                <w:color w:val="FF0000"/>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1AC0E368" w14:textId="06B60B04">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$174,896</w:t>
            </w:r>
          </w:p>
        </w:tc>
      </w:tr>
      <w:tr w:rsidR="002E0CB3" w:rsidTr="002E0CB3" w14:paraId="0355B958"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70D72C2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09C501AD"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4"/>
            </w:r>
          </w:p>
        </w:tc>
        <w:tc>
          <w:tcPr>
            <w:tcW w:w="1350" w:type="dxa"/>
            <w:tcBorders>
              <w:top w:val="nil"/>
              <w:left w:val="nil"/>
              <w:bottom w:val="single" w:color="auto" w:sz="8" w:space="0"/>
              <w:right w:val="single" w:color="auto" w:sz="8" w:space="0"/>
            </w:tcBorders>
            <w:vAlign w:val="center"/>
            <w:hideMark/>
          </w:tcPr>
          <w:p w:rsidR="002E0CB3" w:rsidP="002E0CB3" w:rsidRDefault="002E0CB3" w14:paraId="65DDFDEC"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3,057</w:t>
            </w:r>
          </w:p>
        </w:tc>
        <w:tc>
          <w:tcPr>
            <w:tcW w:w="1170" w:type="dxa"/>
            <w:tcBorders>
              <w:top w:val="nil"/>
              <w:left w:val="nil"/>
              <w:bottom w:val="single" w:color="auto" w:sz="8" w:space="0"/>
              <w:right w:val="single" w:color="auto" w:sz="8" w:space="0"/>
            </w:tcBorders>
            <w:vAlign w:val="center"/>
            <w:hideMark/>
          </w:tcPr>
          <w:p w:rsidR="002E0CB3" w:rsidP="002E0CB3" w:rsidRDefault="002E0CB3" w14:paraId="106329C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4747092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3,057</w:t>
            </w:r>
          </w:p>
        </w:tc>
        <w:tc>
          <w:tcPr>
            <w:tcW w:w="1080" w:type="dxa"/>
            <w:tcBorders>
              <w:top w:val="nil"/>
              <w:left w:val="nil"/>
              <w:bottom w:val="single" w:color="auto" w:sz="8" w:space="0"/>
              <w:right w:val="single" w:color="auto" w:sz="8" w:space="0"/>
            </w:tcBorders>
            <w:vAlign w:val="center"/>
            <w:hideMark/>
          </w:tcPr>
          <w:p w:rsidR="002E0CB3" w:rsidP="002E0CB3" w:rsidRDefault="002E0CB3" w14:paraId="0B3787D9"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0.67</w:t>
            </w:r>
          </w:p>
        </w:tc>
        <w:tc>
          <w:tcPr>
            <w:tcW w:w="1127" w:type="dxa"/>
            <w:tcBorders>
              <w:top w:val="nil"/>
              <w:left w:val="nil"/>
              <w:bottom w:val="single" w:color="auto" w:sz="8" w:space="0"/>
              <w:right w:val="single" w:color="auto" w:sz="8" w:space="0"/>
            </w:tcBorders>
            <w:vAlign w:val="center"/>
            <w:hideMark/>
          </w:tcPr>
          <w:p w:rsidR="002E0CB3" w:rsidP="002E0CB3" w:rsidRDefault="002E0CB3" w14:paraId="6C633F69"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2,048.19</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36848619" w14:textId="4715E9BF">
            <w:pPr>
              <w:widowControl/>
              <w:autoSpaceDE/>
              <w:adjustRightInd/>
              <w:jc w:val="center"/>
              <w:rPr>
                <w:rFonts w:ascii="Times New Roman" w:hAnsi="Times New Roman"/>
                <w:color w:val="FF0000"/>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151936BD" w14:textId="76104055">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$112,323</w:t>
            </w:r>
          </w:p>
        </w:tc>
      </w:tr>
      <w:tr w:rsidR="002E0CB3" w:rsidTr="002E0CB3" w14:paraId="5BBD1273"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0AB41FC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3B34526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5"/>
            </w:r>
          </w:p>
        </w:tc>
        <w:tc>
          <w:tcPr>
            <w:tcW w:w="1350" w:type="dxa"/>
            <w:tcBorders>
              <w:top w:val="nil"/>
              <w:left w:val="nil"/>
              <w:bottom w:val="single" w:color="auto" w:sz="8" w:space="0"/>
              <w:right w:val="single" w:color="auto" w:sz="8" w:space="0"/>
            </w:tcBorders>
            <w:vAlign w:val="center"/>
            <w:hideMark/>
          </w:tcPr>
          <w:p w:rsidR="002E0CB3" w:rsidP="002E0CB3" w:rsidRDefault="002E0CB3" w14:paraId="614A71A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170" w:type="dxa"/>
            <w:tcBorders>
              <w:top w:val="nil"/>
              <w:left w:val="nil"/>
              <w:bottom w:val="single" w:color="auto" w:sz="8" w:space="0"/>
              <w:right w:val="single" w:color="auto" w:sz="8" w:space="0"/>
            </w:tcBorders>
            <w:vAlign w:val="center"/>
            <w:hideMark/>
          </w:tcPr>
          <w:p w:rsidR="002E0CB3" w:rsidP="002E0CB3" w:rsidRDefault="002E0CB3" w14:paraId="7FF779B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540493E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080" w:type="dxa"/>
            <w:tcBorders>
              <w:top w:val="nil"/>
              <w:left w:val="nil"/>
              <w:bottom w:val="single" w:color="auto" w:sz="8" w:space="0"/>
              <w:right w:val="single" w:color="auto" w:sz="8" w:space="0"/>
            </w:tcBorders>
            <w:vAlign w:val="center"/>
            <w:hideMark/>
          </w:tcPr>
          <w:p w:rsidR="002E0CB3" w:rsidP="002E0CB3" w:rsidRDefault="002E0CB3" w14:paraId="4EABEB7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w:t>
            </w:r>
          </w:p>
        </w:tc>
        <w:tc>
          <w:tcPr>
            <w:tcW w:w="1127" w:type="dxa"/>
            <w:tcBorders>
              <w:top w:val="nil"/>
              <w:left w:val="nil"/>
              <w:bottom w:val="single" w:color="auto" w:sz="8" w:space="0"/>
              <w:right w:val="single" w:color="auto" w:sz="8" w:space="0"/>
            </w:tcBorders>
            <w:vAlign w:val="center"/>
            <w:hideMark/>
          </w:tcPr>
          <w:p w:rsidR="002E0CB3" w:rsidP="002E0CB3" w:rsidRDefault="002E0CB3" w14:paraId="34747A63"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192,582.00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7387F91C" w14:textId="37828010">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426C9C83" w14:textId="212B5967">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$10,561,197</w:t>
            </w:r>
          </w:p>
        </w:tc>
      </w:tr>
      <w:tr w:rsidR="002E0CB3" w:rsidTr="002E0CB3" w14:paraId="435CF709"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7F799CD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w:t>
            </w:r>
            <w:r>
              <w:rPr>
                <w:rFonts w:ascii="Times New Roman" w:hAnsi="Times New Roman"/>
                <w:bCs/>
                <w:color w:val="000000"/>
                <w:sz w:val="20"/>
                <w:szCs w:val="20"/>
              </w:rPr>
              <w:lastRenderedPageBreak/>
              <w: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7782E6D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lastRenderedPageBreak/>
              <w:t xml:space="preserve">H-1B and H-1B1 Data Collection and Filing Fee </w:t>
            </w:r>
            <w:r>
              <w:rPr>
                <w:rFonts w:ascii="Times New Roman" w:hAnsi="Times New Roman"/>
                <w:bCs/>
                <w:color w:val="000000"/>
                <w:sz w:val="20"/>
                <w:szCs w:val="20"/>
              </w:rPr>
              <w:lastRenderedPageBreak/>
              <w:t>Exemption Supplement</w:t>
            </w:r>
            <w:r>
              <w:rPr>
                <w:rFonts w:ascii="Times New Roman" w:hAnsi="Times New Roman"/>
                <w:bCs/>
                <w:color w:val="000000"/>
                <w:sz w:val="20"/>
                <w:szCs w:val="20"/>
                <w:vertAlign w:val="superscript"/>
              </w:rPr>
              <w:footnoteReference w:id="6"/>
            </w:r>
          </w:p>
        </w:tc>
        <w:tc>
          <w:tcPr>
            <w:tcW w:w="1350" w:type="dxa"/>
            <w:tcBorders>
              <w:top w:val="nil"/>
              <w:left w:val="nil"/>
              <w:bottom w:val="single" w:color="auto" w:sz="8" w:space="0"/>
              <w:right w:val="single" w:color="auto" w:sz="8" w:space="0"/>
            </w:tcBorders>
            <w:vAlign w:val="center"/>
            <w:hideMark/>
          </w:tcPr>
          <w:p w:rsidR="002E0CB3" w:rsidP="002E0CB3" w:rsidRDefault="002E0CB3" w14:paraId="73DF380C"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lastRenderedPageBreak/>
              <w:t>96,291</w:t>
            </w:r>
          </w:p>
        </w:tc>
        <w:tc>
          <w:tcPr>
            <w:tcW w:w="1170" w:type="dxa"/>
            <w:tcBorders>
              <w:top w:val="nil"/>
              <w:left w:val="nil"/>
              <w:bottom w:val="single" w:color="auto" w:sz="8" w:space="0"/>
              <w:right w:val="single" w:color="auto" w:sz="8" w:space="0"/>
            </w:tcBorders>
            <w:vAlign w:val="center"/>
            <w:hideMark/>
          </w:tcPr>
          <w:p w:rsidR="002E0CB3" w:rsidP="002E0CB3" w:rsidRDefault="002E0CB3" w14:paraId="5576122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2DA259E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96,291</w:t>
            </w:r>
          </w:p>
        </w:tc>
        <w:tc>
          <w:tcPr>
            <w:tcW w:w="1080" w:type="dxa"/>
            <w:tcBorders>
              <w:top w:val="nil"/>
              <w:left w:val="nil"/>
              <w:bottom w:val="single" w:color="auto" w:sz="8" w:space="0"/>
              <w:right w:val="single" w:color="auto" w:sz="8" w:space="0"/>
            </w:tcBorders>
            <w:vAlign w:val="center"/>
            <w:hideMark/>
          </w:tcPr>
          <w:p w:rsidR="002E0CB3" w:rsidP="002E0CB3" w:rsidRDefault="002E0CB3" w14:paraId="485EB0B4"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w:t>
            </w:r>
          </w:p>
        </w:tc>
        <w:tc>
          <w:tcPr>
            <w:tcW w:w="1127" w:type="dxa"/>
            <w:tcBorders>
              <w:top w:val="nil"/>
              <w:left w:val="nil"/>
              <w:bottom w:val="single" w:color="auto" w:sz="8" w:space="0"/>
              <w:right w:val="single" w:color="auto" w:sz="8" w:space="0"/>
            </w:tcBorders>
            <w:vAlign w:val="center"/>
            <w:hideMark/>
          </w:tcPr>
          <w:p w:rsidR="002E0CB3" w:rsidP="002E0CB3" w:rsidRDefault="002E0CB3" w14:paraId="73ADCA6C"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96,291.00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6D3B73B0" w14:textId="165C24E8">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1CD21ADB" w14:textId="7976F234">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$5,280,598</w:t>
            </w:r>
          </w:p>
        </w:tc>
      </w:tr>
      <w:tr w:rsidR="002E0CB3" w:rsidTr="002E0CB3" w14:paraId="589A2887"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607DE5F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58EB27F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7"/>
            </w:r>
          </w:p>
        </w:tc>
        <w:tc>
          <w:tcPr>
            <w:tcW w:w="1350" w:type="dxa"/>
            <w:tcBorders>
              <w:top w:val="nil"/>
              <w:left w:val="nil"/>
              <w:bottom w:val="single" w:color="auto" w:sz="8" w:space="0"/>
              <w:right w:val="single" w:color="auto" w:sz="8" w:space="0"/>
            </w:tcBorders>
            <w:vAlign w:val="center"/>
            <w:hideMark/>
          </w:tcPr>
          <w:p w:rsidR="002E0CB3" w:rsidP="002E0CB3" w:rsidRDefault="002E0CB3" w14:paraId="506816C6"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37,831</w:t>
            </w:r>
          </w:p>
        </w:tc>
        <w:tc>
          <w:tcPr>
            <w:tcW w:w="1170" w:type="dxa"/>
            <w:tcBorders>
              <w:top w:val="nil"/>
              <w:left w:val="nil"/>
              <w:bottom w:val="single" w:color="auto" w:sz="8" w:space="0"/>
              <w:right w:val="single" w:color="auto" w:sz="8" w:space="0"/>
            </w:tcBorders>
            <w:vAlign w:val="center"/>
            <w:hideMark/>
          </w:tcPr>
          <w:p w:rsidR="002E0CB3" w:rsidP="002E0CB3" w:rsidRDefault="002E0CB3" w14:paraId="443E9C0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30F5445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37,831</w:t>
            </w:r>
          </w:p>
        </w:tc>
        <w:tc>
          <w:tcPr>
            <w:tcW w:w="1080" w:type="dxa"/>
            <w:tcBorders>
              <w:top w:val="nil"/>
              <w:left w:val="nil"/>
              <w:bottom w:val="single" w:color="auto" w:sz="8" w:space="0"/>
              <w:right w:val="single" w:color="auto" w:sz="8" w:space="0"/>
            </w:tcBorders>
            <w:vAlign w:val="center"/>
            <w:hideMark/>
          </w:tcPr>
          <w:p w:rsidR="002E0CB3" w:rsidP="002E0CB3" w:rsidRDefault="002E0CB3" w14:paraId="4C4B782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1.34</w:t>
            </w:r>
          </w:p>
        </w:tc>
        <w:tc>
          <w:tcPr>
            <w:tcW w:w="1127" w:type="dxa"/>
            <w:tcBorders>
              <w:top w:val="nil"/>
              <w:left w:val="nil"/>
              <w:bottom w:val="single" w:color="auto" w:sz="8" w:space="0"/>
              <w:right w:val="single" w:color="auto" w:sz="8" w:space="0"/>
            </w:tcBorders>
            <w:vAlign w:val="center"/>
            <w:hideMark/>
          </w:tcPr>
          <w:p w:rsidR="002E0CB3" w:rsidP="002E0CB3" w:rsidRDefault="002E0CB3" w14:paraId="064C3826"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50,693.54</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3512B916" w14:textId="445290F4">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2A534C12" w14:textId="58B00C59">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$2,780,034</w:t>
            </w:r>
          </w:p>
        </w:tc>
      </w:tr>
      <w:tr w:rsidR="002E0CB3" w:rsidTr="002E0CB3" w14:paraId="2730AB23"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2D11A2A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1899B1D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8"/>
            </w:r>
          </w:p>
        </w:tc>
        <w:tc>
          <w:tcPr>
            <w:tcW w:w="1350" w:type="dxa"/>
            <w:tcBorders>
              <w:top w:val="nil"/>
              <w:left w:val="nil"/>
              <w:bottom w:val="single" w:color="auto" w:sz="8" w:space="0"/>
              <w:right w:val="single" w:color="auto" w:sz="8" w:space="0"/>
            </w:tcBorders>
            <w:vAlign w:val="center"/>
            <w:hideMark/>
          </w:tcPr>
          <w:p w:rsidR="002E0CB3" w:rsidP="002E0CB3" w:rsidRDefault="002E0CB3" w14:paraId="5B476DE6"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22,710</w:t>
            </w:r>
          </w:p>
        </w:tc>
        <w:tc>
          <w:tcPr>
            <w:tcW w:w="1170" w:type="dxa"/>
            <w:tcBorders>
              <w:top w:val="nil"/>
              <w:left w:val="nil"/>
              <w:bottom w:val="single" w:color="auto" w:sz="8" w:space="0"/>
              <w:right w:val="single" w:color="auto" w:sz="8" w:space="0"/>
            </w:tcBorders>
            <w:vAlign w:val="center"/>
            <w:hideMark/>
          </w:tcPr>
          <w:p w:rsidR="002E0CB3" w:rsidP="002E0CB3" w:rsidRDefault="002E0CB3" w14:paraId="5E4FFBA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3D75189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22,710</w:t>
            </w:r>
          </w:p>
        </w:tc>
        <w:tc>
          <w:tcPr>
            <w:tcW w:w="1080" w:type="dxa"/>
            <w:tcBorders>
              <w:top w:val="nil"/>
              <w:left w:val="nil"/>
              <w:bottom w:val="single" w:color="auto" w:sz="8" w:space="0"/>
              <w:right w:val="single" w:color="auto" w:sz="8" w:space="0"/>
            </w:tcBorders>
            <w:vAlign w:val="center"/>
            <w:hideMark/>
          </w:tcPr>
          <w:p w:rsidR="002E0CB3" w:rsidP="002E0CB3" w:rsidRDefault="002E0CB3" w14:paraId="503E4A0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w:t>
            </w:r>
          </w:p>
        </w:tc>
        <w:tc>
          <w:tcPr>
            <w:tcW w:w="1127" w:type="dxa"/>
            <w:tcBorders>
              <w:top w:val="nil"/>
              <w:left w:val="nil"/>
              <w:bottom w:val="single" w:color="auto" w:sz="8" w:space="0"/>
              <w:right w:val="single" w:color="auto" w:sz="8" w:space="0"/>
            </w:tcBorders>
            <w:vAlign w:val="center"/>
            <w:hideMark/>
          </w:tcPr>
          <w:p w:rsidR="002E0CB3" w:rsidP="002E0CB3" w:rsidRDefault="002E0CB3" w14:paraId="00AAC637"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22,710.00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3282CD06" w14:textId="6921FF3F">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5F003CFD" w14:textId="27B0448E">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$1,245,416</w:t>
            </w:r>
          </w:p>
        </w:tc>
      </w:tr>
      <w:tr w:rsidR="002E0CB3" w:rsidTr="002E0CB3" w14:paraId="6D76C6DB"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11222B3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66DFC99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9"/>
            </w:r>
          </w:p>
        </w:tc>
        <w:tc>
          <w:tcPr>
            <w:tcW w:w="1350" w:type="dxa"/>
            <w:tcBorders>
              <w:top w:val="nil"/>
              <w:left w:val="nil"/>
              <w:bottom w:val="single" w:color="auto" w:sz="8" w:space="0"/>
              <w:right w:val="single" w:color="auto" w:sz="8" w:space="0"/>
            </w:tcBorders>
            <w:vAlign w:val="center"/>
            <w:hideMark/>
          </w:tcPr>
          <w:p w:rsidR="002E0CB3" w:rsidP="002E0CB3" w:rsidRDefault="002E0CB3" w14:paraId="3245C16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155</w:t>
            </w:r>
          </w:p>
        </w:tc>
        <w:tc>
          <w:tcPr>
            <w:tcW w:w="1170" w:type="dxa"/>
            <w:tcBorders>
              <w:top w:val="nil"/>
              <w:left w:val="nil"/>
              <w:bottom w:val="single" w:color="auto" w:sz="8" w:space="0"/>
              <w:right w:val="single" w:color="auto" w:sz="8" w:space="0"/>
            </w:tcBorders>
            <w:vAlign w:val="center"/>
            <w:hideMark/>
          </w:tcPr>
          <w:p w:rsidR="002E0CB3" w:rsidP="002E0CB3" w:rsidRDefault="002E0CB3" w14:paraId="39198FEB"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24B2FBBF"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155</w:t>
            </w:r>
          </w:p>
        </w:tc>
        <w:tc>
          <w:tcPr>
            <w:tcW w:w="1080" w:type="dxa"/>
            <w:tcBorders>
              <w:top w:val="nil"/>
              <w:left w:val="nil"/>
              <w:bottom w:val="single" w:color="auto" w:sz="8" w:space="0"/>
              <w:right w:val="single" w:color="auto" w:sz="8" w:space="0"/>
            </w:tcBorders>
            <w:vAlign w:val="center"/>
            <w:hideMark/>
          </w:tcPr>
          <w:p w:rsidR="002E0CB3" w:rsidP="002E0CB3" w:rsidRDefault="002E0CB3" w14:paraId="01708BE8"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0.34</w:t>
            </w:r>
          </w:p>
        </w:tc>
        <w:tc>
          <w:tcPr>
            <w:tcW w:w="1127" w:type="dxa"/>
            <w:tcBorders>
              <w:top w:val="nil"/>
              <w:left w:val="nil"/>
              <w:bottom w:val="single" w:color="auto" w:sz="8" w:space="0"/>
              <w:right w:val="single" w:color="auto" w:sz="8" w:space="0"/>
            </w:tcBorders>
            <w:vAlign w:val="center"/>
            <w:hideMark/>
          </w:tcPr>
          <w:p w:rsidR="002E0CB3" w:rsidP="002E0CB3" w:rsidRDefault="002E0CB3" w14:paraId="55B3FBA0"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52.70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74C919BE" w14:textId="0AC3F929">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61ED738D" w14:textId="24612216">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$2,890</w:t>
            </w:r>
          </w:p>
        </w:tc>
      </w:tr>
      <w:tr w:rsidR="002E0CB3" w:rsidTr="002E0CB3" w14:paraId="14C2788E"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00B7A936"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Business or other for-profit; Not-for-profit organizations</w:t>
            </w:r>
          </w:p>
        </w:tc>
        <w:tc>
          <w:tcPr>
            <w:tcW w:w="1460" w:type="dxa"/>
            <w:tcBorders>
              <w:top w:val="nil"/>
              <w:left w:val="nil"/>
              <w:bottom w:val="single" w:color="auto" w:sz="8" w:space="0"/>
              <w:right w:val="single" w:color="auto" w:sz="8" w:space="0"/>
            </w:tcBorders>
            <w:vAlign w:val="center"/>
            <w:hideMark/>
          </w:tcPr>
          <w:p w:rsidR="002E0CB3" w:rsidP="002E0CB3" w:rsidRDefault="002E0CB3" w14:paraId="20E33497"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0"/>
            </w:r>
          </w:p>
        </w:tc>
        <w:tc>
          <w:tcPr>
            <w:tcW w:w="1350" w:type="dxa"/>
            <w:tcBorders>
              <w:top w:val="nil"/>
              <w:left w:val="nil"/>
              <w:bottom w:val="single" w:color="auto" w:sz="8" w:space="0"/>
              <w:right w:val="single" w:color="auto" w:sz="8" w:space="0"/>
            </w:tcBorders>
            <w:vAlign w:val="center"/>
            <w:hideMark/>
          </w:tcPr>
          <w:p w:rsidR="002E0CB3" w:rsidP="002E0CB3" w:rsidRDefault="002E0CB3" w14:paraId="476552A2"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6,635</w:t>
            </w:r>
          </w:p>
        </w:tc>
        <w:tc>
          <w:tcPr>
            <w:tcW w:w="1170" w:type="dxa"/>
            <w:tcBorders>
              <w:top w:val="nil"/>
              <w:left w:val="nil"/>
              <w:bottom w:val="single" w:color="auto" w:sz="8" w:space="0"/>
              <w:right w:val="single" w:color="auto" w:sz="8" w:space="0"/>
            </w:tcBorders>
            <w:vAlign w:val="center"/>
            <w:hideMark/>
          </w:tcPr>
          <w:p w:rsidR="002E0CB3" w:rsidP="002E0CB3" w:rsidRDefault="002E0CB3" w14:paraId="151FE4A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vAlign w:val="center"/>
            <w:hideMark/>
          </w:tcPr>
          <w:p w:rsidR="002E0CB3" w:rsidP="002E0CB3" w:rsidRDefault="002E0CB3" w14:paraId="0393F46D"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6,635</w:t>
            </w:r>
          </w:p>
        </w:tc>
        <w:tc>
          <w:tcPr>
            <w:tcW w:w="1080" w:type="dxa"/>
            <w:tcBorders>
              <w:top w:val="nil"/>
              <w:left w:val="nil"/>
              <w:bottom w:val="single" w:color="auto" w:sz="8" w:space="0"/>
              <w:right w:val="single" w:color="auto" w:sz="8" w:space="0"/>
            </w:tcBorders>
            <w:vAlign w:val="center"/>
            <w:hideMark/>
          </w:tcPr>
          <w:p w:rsidR="002E0CB3" w:rsidP="002E0CB3" w:rsidRDefault="002E0CB3" w14:paraId="5E14A29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2.34</w:t>
            </w:r>
          </w:p>
        </w:tc>
        <w:tc>
          <w:tcPr>
            <w:tcW w:w="1127" w:type="dxa"/>
            <w:tcBorders>
              <w:top w:val="nil"/>
              <w:left w:val="nil"/>
              <w:bottom w:val="single" w:color="auto" w:sz="8" w:space="0"/>
              <w:right w:val="single" w:color="auto" w:sz="8" w:space="0"/>
            </w:tcBorders>
            <w:vAlign w:val="center"/>
            <w:hideMark/>
          </w:tcPr>
          <w:p w:rsidR="002E0CB3" w:rsidP="002E0CB3" w:rsidRDefault="002E0CB3" w14:paraId="58AE15AE" w14:textId="77777777">
            <w:pPr>
              <w:widowControl/>
              <w:autoSpaceDE/>
              <w:adjustRightInd/>
              <w:jc w:val="center"/>
              <w:rPr>
                <w:rFonts w:ascii="Times New Roman" w:hAnsi="Times New Roman"/>
                <w:bCs/>
                <w:color w:val="000000"/>
                <w:sz w:val="20"/>
                <w:szCs w:val="20"/>
              </w:rPr>
            </w:pPr>
            <w:r>
              <w:rPr>
                <w:rFonts w:ascii="Times New Roman" w:hAnsi="Times New Roman"/>
                <w:sz w:val="20"/>
                <w:szCs w:val="20"/>
              </w:rPr>
              <w:t>15,525.90</w:t>
            </w:r>
          </w:p>
        </w:tc>
        <w:tc>
          <w:tcPr>
            <w:tcW w:w="900" w:type="dxa"/>
            <w:tcBorders>
              <w:top w:val="nil"/>
              <w:left w:val="nil"/>
              <w:bottom w:val="single" w:color="auto" w:sz="8" w:space="0"/>
              <w:right w:val="single" w:color="auto" w:sz="8" w:space="0"/>
            </w:tcBorders>
            <w:vAlign w:val="center"/>
            <w:hideMark/>
          </w:tcPr>
          <w:p w:rsidRPr="002E0CB3" w:rsidR="002E0CB3" w:rsidP="002E0CB3" w:rsidRDefault="002E0CB3" w14:paraId="29828F1A" w14:textId="760ECC47">
            <w:pPr>
              <w:widowControl/>
              <w:autoSpaceDE/>
              <w:adjustRightInd/>
              <w:jc w:val="center"/>
              <w:rPr>
                <w:rFonts w:ascii="Times New Roman" w:hAnsi="Times New Roman"/>
                <w:sz w:val="20"/>
                <w:szCs w:val="20"/>
              </w:rPr>
            </w:pPr>
            <w:r w:rsidRPr="002E0CB3">
              <w:rPr>
                <w:rFonts w:ascii="Times New Roman" w:hAnsi="Times New Roman"/>
                <w:sz w:val="20"/>
                <w:szCs w:val="20"/>
              </w:rPr>
              <w:t>$54.84</w:t>
            </w: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10B89896" w14:textId="45A2FD7D">
            <w:pPr>
              <w:widowControl/>
              <w:autoSpaceDE/>
              <w:adjustRightInd/>
              <w:jc w:val="center"/>
              <w:rPr>
                <w:rFonts w:ascii="Times New Roman" w:hAnsi="Times New Roman"/>
                <w:color w:val="000000"/>
                <w:sz w:val="20"/>
                <w:szCs w:val="20"/>
              </w:rPr>
            </w:pPr>
            <w:r w:rsidRPr="002E0CB3">
              <w:rPr>
                <w:rFonts w:ascii="Times New Roman" w:hAnsi="Times New Roman"/>
                <w:sz w:val="20"/>
                <w:szCs w:val="20"/>
              </w:rPr>
              <w:t>$851,440</w:t>
            </w:r>
          </w:p>
        </w:tc>
      </w:tr>
      <w:tr w:rsidR="002E0CB3" w:rsidTr="002E0CB3" w14:paraId="6AD46BE0" w14:textId="77777777">
        <w:trPr>
          <w:trHeight w:val="315"/>
        </w:trPr>
        <w:tc>
          <w:tcPr>
            <w:tcW w:w="1343" w:type="dxa"/>
            <w:tcBorders>
              <w:top w:val="nil"/>
              <w:left w:val="single" w:color="auto" w:sz="8" w:space="0"/>
              <w:bottom w:val="single" w:color="auto" w:sz="8" w:space="0"/>
              <w:right w:val="single" w:color="auto" w:sz="8" w:space="0"/>
            </w:tcBorders>
            <w:vAlign w:val="center"/>
            <w:hideMark/>
          </w:tcPr>
          <w:p w:rsidR="002E0CB3" w:rsidP="002E0CB3" w:rsidRDefault="002E0CB3" w14:paraId="03978CB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460" w:type="dxa"/>
            <w:tcBorders>
              <w:top w:val="nil"/>
              <w:left w:val="nil"/>
              <w:bottom w:val="single" w:color="auto" w:sz="8" w:space="0"/>
              <w:right w:val="single" w:color="auto" w:sz="8" w:space="0"/>
            </w:tcBorders>
            <w:shd w:val="clear" w:color="auto" w:fill="000000"/>
            <w:vAlign w:val="center"/>
            <w:hideMark/>
          </w:tcPr>
          <w:p w:rsidR="002E0CB3" w:rsidP="002E0CB3" w:rsidRDefault="002E0CB3" w14:paraId="67FD497A" w14:textId="77777777">
            <w:pPr>
              <w:rPr>
                <w:rFonts w:ascii="Times New Roman" w:hAnsi="Times New Roman"/>
                <w:color w:val="000000"/>
                <w:sz w:val="20"/>
                <w:szCs w:val="20"/>
              </w:rPr>
            </w:pPr>
          </w:p>
        </w:tc>
        <w:tc>
          <w:tcPr>
            <w:tcW w:w="1350" w:type="dxa"/>
            <w:tcBorders>
              <w:top w:val="nil"/>
              <w:left w:val="nil"/>
              <w:bottom w:val="single" w:color="auto" w:sz="8" w:space="0"/>
              <w:right w:val="single" w:color="auto" w:sz="8" w:space="0"/>
            </w:tcBorders>
            <w:shd w:val="clear" w:color="auto" w:fill="000000" w:themeFill="text1"/>
            <w:vAlign w:val="center"/>
          </w:tcPr>
          <w:p w:rsidR="002E0CB3" w:rsidP="002E0CB3" w:rsidRDefault="002E0CB3" w14:paraId="7AF8ABBA" w14:textId="77777777">
            <w:pPr>
              <w:widowControl/>
              <w:autoSpaceDE/>
              <w:adjustRightInd/>
              <w:jc w:val="center"/>
              <w:rPr>
                <w:rFonts w:ascii="Times New Roman" w:hAnsi="Times New Roman"/>
                <w:b/>
                <w:color w:val="FF0000"/>
                <w:sz w:val="20"/>
                <w:szCs w:val="20"/>
              </w:rPr>
            </w:pPr>
          </w:p>
        </w:tc>
        <w:tc>
          <w:tcPr>
            <w:tcW w:w="1170" w:type="dxa"/>
            <w:tcBorders>
              <w:top w:val="nil"/>
              <w:left w:val="nil"/>
              <w:bottom w:val="single" w:color="auto" w:sz="8" w:space="0"/>
              <w:right w:val="single" w:color="auto" w:sz="8" w:space="0"/>
            </w:tcBorders>
            <w:shd w:val="clear" w:color="auto" w:fill="000000" w:themeFill="text1"/>
            <w:vAlign w:val="center"/>
          </w:tcPr>
          <w:p w:rsidR="002E0CB3" w:rsidP="002E0CB3" w:rsidRDefault="002E0CB3" w14:paraId="30E0F9AE" w14:textId="77777777">
            <w:pPr>
              <w:widowControl/>
              <w:autoSpaceDE/>
              <w:adjustRightInd/>
              <w:rPr>
                <w:rFonts w:ascii="Times New Roman" w:hAnsi="Times New Roman"/>
                <w:b/>
                <w:color w:val="000000"/>
                <w:sz w:val="20"/>
                <w:szCs w:val="20"/>
              </w:rPr>
            </w:pPr>
          </w:p>
        </w:tc>
        <w:tc>
          <w:tcPr>
            <w:tcW w:w="1080" w:type="dxa"/>
            <w:tcBorders>
              <w:top w:val="nil"/>
              <w:left w:val="nil"/>
              <w:bottom w:val="single" w:color="auto" w:sz="8" w:space="0"/>
              <w:right w:val="single" w:color="auto" w:sz="8" w:space="0"/>
            </w:tcBorders>
            <w:vAlign w:val="center"/>
            <w:hideMark/>
          </w:tcPr>
          <w:p w:rsidR="002E0CB3" w:rsidP="002E0CB3" w:rsidRDefault="002E0CB3" w14:paraId="41D74C79" w14:textId="77777777">
            <w:pPr>
              <w:widowControl/>
              <w:autoSpaceDE/>
              <w:adjustRightInd/>
              <w:jc w:val="center"/>
              <w:rPr>
                <w:rFonts w:ascii="Times New Roman" w:hAnsi="Times New Roman"/>
                <w:b/>
                <w:color w:val="000000"/>
                <w:sz w:val="20"/>
                <w:szCs w:val="20"/>
              </w:rPr>
            </w:pPr>
            <w:r>
              <w:rPr>
                <w:rFonts w:ascii="Times New Roman" w:hAnsi="Times New Roman"/>
                <w:sz w:val="20"/>
                <w:szCs w:val="20"/>
              </w:rPr>
              <w:t>562,481</w:t>
            </w:r>
          </w:p>
        </w:tc>
        <w:tc>
          <w:tcPr>
            <w:tcW w:w="1080" w:type="dxa"/>
            <w:tcBorders>
              <w:top w:val="nil"/>
              <w:left w:val="nil"/>
              <w:bottom w:val="single" w:color="auto" w:sz="8" w:space="0"/>
              <w:right w:val="single" w:color="auto" w:sz="8" w:space="0"/>
            </w:tcBorders>
            <w:shd w:val="clear" w:color="auto" w:fill="000000"/>
            <w:vAlign w:val="center"/>
          </w:tcPr>
          <w:p w:rsidR="002E0CB3" w:rsidP="002E0CB3" w:rsidRDefault="002E0CB3" w14:paraId="7B9D83A3" w14:textId="77777777">
            <w:pPr>
              <w:widowControl/>
              <w:autoSpaceDE/>
              <w:adjustRightInd/>
              <w:jc w:val="center"/>
              <w:rPr>
                <w:rFonts w:ascii="Times New Roman" w:hAnsi="Times New Roman"/>
                <w:b/>
                <w:color w:val="000000"/>
                <w:sz w:val="20"/>
                <w:szCs w:val="20"/>
              </w:rPr>
            </w:pPr>
          </w:p>
        </w:tc>
        <w:tc>
          <w:tcPr>
            <w:tcW w:w="1127" w:type="dxa"/>
            <w:tcBorders>
              <w:top w:val="nil"/>
              <w:left w:val="nil"/>
              <w:bottom w:val="single" w:color="auto" w:sz="8" w:space="0"/>
              <w:right w:val="single" w:color="auto" w:sz="8" w:space="0"/>
            </w:tcBorders>
            <w:vAlign w:val="center"/>
            <w:hideMark/>
          </w:tcPr>
          <w:p w:rsidR="002E0CB3" w:rsidP="002E0CB3" w:rsidRDefault="002E0CB3" w14:paraId="64D00191" w14:textId="77777777">
            <w:pPr>
              <w:widowControl/>
              <w:autoSpaceDE/>
              <w:adjustRightInd/>
              <w:jc w:val="center"/>
              <w:rPr>
                <w:rFonts w:ascii="Times New Roman" w:hAnsi="Times New Roman"/>
                <w:b/>
                <w:color w:val="000000"/>
                <w:sz w:val="20"/>
                <w:szCs w:val="20"/>
              </w:rPr>
            </w:pPr>
            <w:r>
              <w:rPr>
                <w:rFonts w:ascii="Times New Roman" w:hAnsi="Times New Roman"/>
                <w:b/>
                <w:color w:val="000000"/>
                <w:sz w:val="20"/>
                <w:szCs w:val="20"/>
              </w:rPr>
              <w:t>1,072,810</w:t>
            </w:r>
          </w:p>
        </w:tc>
        <w:tc>
          <w:tcPr>
            <w:tcW w:w="900" w:type="dxa"/>
            <w:tcBorders>
              <w:top w:val="nil"/>
              <w:left w:val="nil"/>
              <w:bottom w:val="single" w:color="auto" w:sz="8" w:space="0"/>
              <w:right w:val="single" w:color="auto" w:sz="8" w:space="0"/>
            </w:tcBorders>
            <w:shd w:val="clear" w:color="auto" w:fill="000000"/>
            <w:vAlign w:val="center"/>
          </w:tcPr>
          <w:p w:rsidRPr="002E0CB3" w:rsidR="002E0CB3" w:rsidP="002E0CB3" w:rsidRDefault="002E0CB3" w14:paraId="1AD91389" w14:textId="77777777">
            <w:pPr>
              <w:widowControl/>
              <w:autoSpaceDE/>
              <w:adjustRightInd/>
              <w:jc w:val="center"/>
              <w:rPr>
                <w:rFonts w:ascii="Times New Roman" w:hAnsi="Times New Roman"/>
                <w:color w:val="000000"/>
                <w:sz w:val="20"/>
                <w:szCs w:val="20"/>
              </w:rPr>
            </w:pPr>
          </w:p>
        </w:tc>
        <w:tc>
          <w:tcPr>
            <w:tcW w:w="1260" w:type="dxa"/>
            <w:tcBorders>
              <w:top w:val="nil"/>
              <w:left w:val="nil"/>
              <w:bottom w:val="single" w:color="auto" w:sz="8" w:space="0"/>
              <w:right w:val="single" w:color="auto" w:sz="8" w:space="0"/>
            </w:tcBorders>
            <w:vAlign w:val="center"/>
            <w:hideMark/>
          </w:tcPr>
          <w:p w:rsidRPr="002E0CB3" w:rsidR="002E0CB3" w:rsidP="002E0CB3" w:rsidRDefault="002E0CB3" w14:paraId="14CF2BEA" w14:textId="6BA2C115">
            <w:pPr>
              <w:widowControl/>
              <w:autoSpaceDE/>
              <w:adjustRightInd/>
              <w:jc w:val="center"/>
              <w:rPr>
                <w:rFonts w:ascii="Times New Roman" w:hAnsi="Times New Roman"/>
                <w:b/>
                <w:color w:val="000000"/>
                <w:sz w:val="20"/>
                <w:szCs w:val="20"/>
              </w:rPr>
            </w:pPr>
            <w:r w:rsidRPr="002E0CB3">
              <w:rPr>
                <w:rFonts w:ascii="Times New Roman" w:hAnsi="Times New Roman"/>
                <w:sz w:val="20"/>
                <w:szCs w:val="20"/>
              </w:rPr>
              <w:t>$58,832,893</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DB31F1" w:rsidP="00DB31F1" w:rsidRDefault="00DB31F1" w14:paraId="1731049F" w14:textId="39E1052C">
      <w:pPr>
        <w:ind w:left="720"/>
        <w:jc w:val="both"/>
        <w:rPr>
          <w:sz w:val="20"/>
          <w:szCs w:val="20"/>
          <w:u w:val="single"/>
        </w:rPr>
      </w:pPr>
      <w:r>
        <w:rPr>
          <w:i/>
          <w:iCs/>
          <w:sz w:val="20"/>
          <w:szCs w:val="20"/>
        </w:rPr>
        <w:t xml:space="preserve">*  </w:t>
      </w:r>
      <w:r w:rsidRPr="002E0CB3" w:rsidR="002E0CB3">
        <w:rPr>
          <w:rFonts w:ascii="Times New Roman" w:hAnsi="Times New Roman"/>
          <w:i/>
          <w:iCs/>
          <w:sz w:val="20"/>
          <w:szCs w:val="20"/>
        </w:rPr>
        <w:t>The above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time </w:t>
      </w:r>
      <w:r w:rsidRPr="0029577A">
        <w:rPr>
          <w:rFonts w:ascii="Times New Roman" w:hAnsi="Times New Roman"/>
          <w:b/>
        </w:rPr>
        <w:lastRenderedPageBreak/>
        <w:t>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proofErr w:type="gramStart"/>
      <w:r w:rsidRPr="00D80E94">
        <w:rPr>
          <w:rFonts w:ascii="Times New Roman" w:hAnsi="Times New Roman"/>
          <w:b/>
        </w:rPr>
        <w:t>drilling</w:t>
      </w:r>
      <w:proofErr w:type="gramEnd"/>
      <w:r w:rsidRPr="00D80E94">
        <w:rPr>
          <w:rFonts w:ascii="Times New Roman" w:hAnsi="Times New Roman"/>
          <w:b/>
        </w:rPr>
        <w:t xml:space="preserve">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DB31F1" w:rsidP="00DB31F1" w:rsidRDefault="00DB31F1" w14:paraId="1FE08EA0" w14:textId="77777777">
      <w:pPr>
        <w:ind w:left="720"/>
        <w:rPr>
          <w:rFonts w:ascii="Times New Roman" w:hAnsi="Times New Roman"/>
        </w:rPr>
      </w:pPr>
      <w:r>
        <w:rPr>
          <w:rFonts w:ascii="Times New Roman" w:hAnsi="Times New Roman"/>
        </w:rPr>
        <w:t>There are no capital or start-up costs associated with this information collection.  There is a $460 fee for this information collection.</w:t>
      </w:r>
      <w:r>
        <w:rPr>
          <w:rFonts w:ascii="Times New Roman" w:hAnsi="Times New Roman"/>
          <w:vertAlign w:val="superscript"/>
        </w:rPr>
        <w:footnoteReference w:id="11"/>
      </w:r>
      <w:r>
        <w:rPr>
          <w:rFonts w:ascii="Times New Roman" w:hAnsi="Times New Roman"/>
        </w:rPr>
        <w:t xml:space="preserve">  </w:t>
      </w:r>
    </w:p>
    <w:p w:rsidR="00DB31F1" w:rsidP="00DB31F1" w:rsidRDefault="00DB31F1" w14:paraId="04CC5BBB" w14:textId="77777777">
      <w:pPr>
        <w:ind w:left="1440" w:hanging="720"/>
        <w:rPr>
          <w:rFonts w:ascii="Times New Roman" w:hAnsi="Times New Roman"/>
        </w:rPr>
      </w:pPr>
    </w:p>
    <w:p w:rsidR="00DB31F1" w:rsidP="00DB31F1" w:rsidRDefault="00DB31F1" w14:paraId="2EE7D2FA" w14:textId="77777777">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$239.80 per response. The total estimated cost burden to respondents is calculated by multiplying the number of respondents (</w:t>
      </w:r>
      <w:r>
        <w:rPr>
          <w:rFonts w:ascii="Times New Roman" w:hAnsi="Times New Roman"/>
          <w:bCs/>
          <w:color w:val="000000"/>
        </w:rPr>
        <w:t>294,751</w:t>
      </w:r>
      <w:r>
        <w:rPr>
          <w:rFonts w:ascii="Times New Roman" w:hAnsi="Times New Roman"/>
        </w:rPr>
        <w:t xml:space="preserve">) by the estimated cost per response ($239.80), which equals </w:t>
      </w:r>
      <w:r>
        <w:rPr>
          <w:rFonts w:ascii="Times New Roman" w:hAnsi="Times New Roman"/>
          <w:b/>
        </w:rPr>
        <w:t>$70,681,290.</w:t>
      </w:r>
      <w:r>
        <w:rPr>
          <w:rFonts w:ascii="Times New Roman" w:hAnsi="Times New Roman"/>
        </w:rPr>
        <w:t xml:space="preserve"> </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DB31F1" w:rsidP="00DB31F1" w:rsidRDefault="00DB31F1" w14:paraId="2004890F"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w:t>
      </w:r>
      <w:r>
        <w:rPr>
          <w:rFonts w:ascii="Times New Roman" w:hAnsi="Times New Roman"/>
        </w:rPr>
        <w:lastRenderedPageBreak/>
        <w:t>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 at $460.00.  </w:t>
      </w:r>
    </w:p>
    <w:p w:rsidR="00DB31F1" w:rsidP="00DB31F1" w:rsidRDefault="00DB31F1" w14:paraId="690AC303" w14:textId="77777777">
      <w:pPr>
        <w:tabs>
          <w:tab w:val="left" w:pos="-1440"/>
        </w:tabs>
        <w:ind w:left="720"/>
        <w:rPr>
          <w:rFonts w:ascii="Times New Roman" w:hAnsi="Times New Roman"/>
        </w:rPr>
      </w:pPr>
    </w:p>
    <w:p w:rsidR="00DB31F1" w:rsidP="00DB31F1" w:rsidRDefault="00DB31F1" w14:paraId="5CE83DA1" w14:textId="77777777">
      <w:pPr>
        <w:tabs>
          <w:tab w:val="left" w:pos="-1440"/>
        </w:tabs>
        <w:ind w:left="720"/>
        <w:rPr>
          <w:rFonts w:ascii="Times New Roman" w:hAnsi="Times New Roman"/>
        </w:rPr>
      </w:pPr>
      <w:r>
        <w:rPr>
          <w:rFonts w:ascii="Times New Roman" w:hAnsi="Times New Roman"/>
        </w:rPr>
        <w:t>The estimate is calculated by multiplying the estimated number of respondents (</w:t>
      </w:r>
      <w:r>
        <w:rPr>
          <w:rFonts w:ascii="Times New Roman" w:hAnsi="Times New Roman"/>
          <w:bCs/>
        </w:rPr>
        <w:t>294,751</w:t>
      </w:r>
      <w:r>
        <w:rPr>
          <w:rFonts w:ascii="Times New Roman" w:hAnsi="Times New Roman"/>
        </w:rPr>
        <w:t>) by the filing fee ($460), which equals $135,585,460.00 (this total includes the suggested average hourly rate for clerical, officer and supervisory time with benefits, plus a percent for the estimated overhead cost for printing, stocking, and distributing and processing of this form) and adding that product to the estimated cost for the Fraud Prevention and Detection Fee for H-1B and L-1 petitions, which equals $67,061,000.00 (134,122 respondents x $500 fee).</w:t>
      </w:r>
    </w:p>
    <w:p w:rsidR="00DB31F1" w:rsidP="00DB31F1" w:rsidRDefault="00DB31F1" w14:paraId="549126C6" w14:textId="77777777">
      <w:pPr>
        <w:tabs>
          <w:tab w:val="left" w:pos="-1440"/>
        </w:tabs>
        <w:ind w:left="720"/>
        <w:rPr>
          <w:rFonts w:ascii="Times New Roman" w:hAnsi="Times New Roman"/>
        </w:rPr>
      </w:pPr>
    </w:p>
    <w:p w:rsidR="00DB31F1" w:rsidP="00DB31F1" w:rsidRDefault="00DB31F1" w14:paraId="5F89593D" w14:textId="77777777">
      <w:pPr>
        <w:tabs>
          <w:tab w:val="left" w:pos="-1440"/>
        </w:tabs>
        <w:ind w:left="720"/>
        <w:rPr>
          <w:rFonts w:ascii="Times New Roman" w:hAnsi="Times New Roman"/>
        </w:rPr>
      </w:pPr>
      <w:r>
        <w:rPr>
          <w:rFonts w:ascii="Times New Roman" w:hAnsi="Times New Roman"/>
        </w:rPr>
        <w:t xml:space="preserve">The total estimated cost of the program to USCIS is </w:t>
      </w:r>
      <w:r>
        <w:rPr>
          <w:rFonts w:ascii="Times New Roman" w:hAnsi="Times New Roman"/>
          <w:b/>
        </w:rPr>
        <w:t>$202,646,460</w:t>
      </w:r>
      <w:r>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404A66" w:rsidR="00404A66" w:rsidP="00404A66" w:rsidRDefault="00B27061" w14:paraId="2D8D4B35" w14:textId="02958694">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C3488" w:rsidP="00914A5D" w:rsidRDefault="00BC3488" w14:paraId="211B1858" w14:textId="2781A0B1">
      <w:pPr>
        <w:tabs>
          <w:tab w:val="left" w:pos="-1440"/>
        </w:tabs>
        <w:ind w:left="720"/>
        <w:rPr>
          <w:rFonts w:ascii="Times New Roman" w:hAnsi="Times New Roman"/>
        </w:rPr>
      </w:pPr>
    </w:p>
    <w:tbl>
      <w:tblPr>
        <w:tblW w:w="10126" w:type="dxa"/>
        <w:tblLook w:val="04A0" w:firstRow="1" w:lastRow="0" w:firstColumn="1" w:lastColumn="0" w:noHBand="0" w:noVBand="1"/>
      </w:tblPr>
      <w:tblGrid>
        <w:gridCol w:w="2256"/>
        <w:gridCol w:w="1310"/>
        <w:gridCol w:w="1136"/>
        <w:gridCol w:w="1282"/>
        <w:gridCol w:w="1430"/>
        <w:gridCol w:w="1430"/>
        <w:gridCol w:w="1282"/>
      </w:tblGrid>
      <w:tr w:rsidRPr="00BC3488" w:rsidR="00BC3488" w:rsidTr="00BC3488" w14:paraId="735CFE4B" w14:textId="77777777">
        <w:trPr>
          <w:trHeight w:val="1890"/>
        </w:trPr>
        <w:tc>
          <w:tcPr>
            <w:tcW w:w="22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BC3488" w:rsidR="00BC3488" w:rsidP="00BC3488" w:rsidRDefault="00BC3488" w14:paraId="0D1BE60C"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Data collection Activity/Instrument</w:t>
            </w:r>
          </w:p>
        </w:tc>
        <w:tc>
          <w:tcPr>
            <w:tcW w:w="1310"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02551495"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 xml:space="preserve">Program Change (hours currently on OMB Inventory) </w:t>
            </w:r>
          </w:p>
        </w:tc>
        <w:tc>
          <w:tcPr>
            <w:tcW w:w="1136"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150350C7"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 xml:space="preserve">Program Change (New) </w:t>
            </w:r>
          </w:p>
        </w:tc>
        <w:tc>
          <w:tcPr>
            <w:tcW w:w="1282"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3B3EA20F"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Difference</w:t>
            </w:r>
          </w:p>
        </w:tc>
        <w:tc>
          <w:tcPr>
            <w:tcW w:w="1430"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6CDBFA08"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Adjustment (hours currently on OMB Inventory)</w:t>
            </w:r>
          </w:p>
        </w:tc>
        <w:tc>
          <w:tcPr>
            <w:tcW w:w="1430"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4E13E3EA"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Adjustment (New)</w:t>
            </w:r>
          </w:p>
        </w:tc>
        <w:tc>
          <w:tcPr>
            <w:tcW w:w="1282" w:type="dxa"/>
            <w:tcBorders>
              <w:top w:val="single" w:color="auto" w:sz="4" w:space="0"/>
              <w:left w:val="nil"/>
              <w:bottom w:val="single" w:color="auto" w:sz="4" w:space="0"/>
              <w:right w:val="single" w:color="auto" w:sz="4" w:space="0"/>
            </w:tcBorders>
            <w:shd w:val="clear" w:color="auto" w:fill="auto"/>
            <w:vAlign w:val="bottom"/>
            <w:hideMark/>
          </w:tcPr>
          <w:p w:rsidRPr="00BC3488" w:rsidR="00BC3488" w:rsidP="00BC3488" w:rsidRDefault="00BC3488" w14:paraId="6C1B6E22"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Difference</w:t>
            </w:r>
          </w:p>
        </w:tc>
      </w:tr>
      <w:tr w:rsidRPr="00BC3488" w:rsidR="00BC3488" w:rsidTr="00BC3488" w14:paraId="586371ED" w14:textId="77777777">
        <w:trPr>
          <w:trHeight w:val="315"/>
        </w:trPr>
        <w:tc>
          <w:tcPr>
            <w:tcW w:w="2256" w:type="dxa"/>
            <w:tcBorders>
              <w:top w:val="nil"/>
              <w:left w:val="single" w:color="auto" w:sz="4" w:space="0"/>
              <w:bottom w:val="single" w:color="auto" w:sz="4" w:space="0"/>
              <w:right w:val="single" w:color="auto" w:sz="4" w:space="0"/>
            </w:tcBorders>
            <w:shd w:val="clear" w:color="auto" w:fill="auto"/>
            <w:hideMark/>
          </w:tcPr>
          <w:p w:rsidRPr="00BC3488" w:rsidR="00BC3488" w:rsidP="00BC3488" w:rsidRDefault="00BC3488" w14:paraId="51946B78" w14:textId="5387407C">
            <w:pPr>
              <w:widowControl/>
              <w:autoSpaceDE/>
              <w:autoSpaceDN/>
              <w:adjustRightInd/>
              <w:rPr>
                <w:rFonts w:ascii="Times New Roman" w:hAnsi="Times New Roman"/>
                <w:color w:val="000000"/>
                <w:sz w:val="22"/>
                <w:szCs w:val="22"/>
              </w:rPr>
            </w:pPr>
            <w:r w:rsidRPr="00BC3488">
              <w:rPr>
                <w:rFonts w:ascii="Times New Roman" w:hAnsi="Times New Roman"/>
                <w:sz w:val="22"/>
                <w:szCs w:val="22"/>
              </w:rPr>
              <w:t>Petition for Nonimmigrant Worker (Form I-129)</w:t>
            </w:r>
          </w:p>
        </w:tc>
        <w:tc>
          <w:tcPr>
            <w:tcW w:w="1310"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45EBCDE9"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136"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02472C08"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282"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7F70CDD9"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430"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4918AD" w14:paraId="2595FEB7" w14:textId="46E78969">
            <w:pPr>
              <w:widowControl/>
              <w:autoSpaceDE/>
              <w:autoSpaceDN/>
              <w:adjustRightInd/>
              <w:jc w:val="right"/>
              <w:rPr>
                <w:rFonts w:ascii="Times New Roman" w:hAnsi="Times New Roman"/>
                <w:color w:val="000000"/>
                <w:sz w:val="22"/>
                <w:szCs w:val="22"/>
              </w:rPr>
            </w:pPr>
            <w:r w:rsidRPr="004918AD">
              <w:rPr>
                <w:rFonts w:ascii="Times New Roman" w:hAnsi="Times New Roman"/>
                <w:color w:val="000000"/>
                <w:sz w:val="22"/>
                <w:szCs w:val="22"/>
              </w:rPr>
              <w:t>1,608,136</w:t>
            </w:r>
          </w:p>
        </w:tc>
        <w:tc>
          <w:tcPr>
            <w:tcW w:w="1430" w:type="dxa"/>
            <w:tcBorders>
              <w:top w:val="nil"/>
              <w:left w:val="nil"/>
              <w:bottom w:val="single" w:color="auto" w:sz="4" w:space="0"/>
              <w:right w:val="single" w:color="auto" w:sz="4" w:space="0"/>
            </w:tcBorders>
            <w:shd w:val="clear" w:color="auto" w:fill="auto"/>
            <w:vAlign w:val="bottom"/>
            <w:hideMark/>
          </w:tcPr>
          <w:p w:rsidRPr="004918AD" w:rsidR="00BC3488" w:rsidP="00BC3488" w:rsidRDefault="004918AD" w14:paraId="065966DC" w14:textId="3A05D027">
            <w:pPr>
              <w:widowControl/>
              <w:autoSpaceDE/>
              <w:autoSpaceDN/>
              <w:adjustRightInd/>
              <w:jc w:val="right"/>
              <w:rPr>
                <w:rFonts w:ascii="Times New Roman" w:hAnsi="Times New Roman"/>
                <w:bCs/>
                <w:color w:val="000000"/>
                <w:sz w:val="22"/>
                <w:szCs w:val="22"/>
              </w:rPr>
            </w:pPr>
            <w:r w:rsidRPr="004918AD">
              <w:rPr>
                <w:rFonts w:ascii="Times New Roman" w:hAnsi="Times New Roman"/>
                <w:bCs/>
                <w:color w:val="000000"/>
                <w:sz w:val="22"/>
                <w:szCs w:val="22"/>
              </w:rPr>
              <w:t>1,072,810</w:t>
            </w:r>
          </w:p>
        </w:tc>
        <w:tc>
          <w:tcPr>
            <w:tcW w:w="1282"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F591B" w14:paraId="2ECBB820" w14:textId="104668C6">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w:t>
            </w:r>
            <w:r w:rsidRPr="004918AD" w:rsidR="004918AD">
              <w:rPr>
                <w:rFonts w:ascii="Times New Roman" w:hAnsi="Times New Roman"/>
                <w:color w:val="000000"/>
                <w:sz w:val="22"/>
                <w:szCs w:val="22"/>
              </w:rPr>
              <w:t>535,326</w:t>
            </w:r>
            <w:r>
              <w:rPr>
                <w:rFonts w:ascii="Times New Roman" w:hAnsi="Times New Roman"/>
                <w:color w:val="000000"/>
                <w:sz w:val="22"/>
                <w:szCs w:val="22"/>
              </w:rPr>
              <w:t>)</w:t>
            </w:r>
          </w:p>
        </w:tc>
      </w:tr>
      <w:tr w:rsidRPr="00BC3488" w:rsidR="00BC3488" w:rsidTr="004918AD" w14:paraId="2AD1FFC1" w14:textId="77777777">
        <w:trPr>
          <w:trHeight w:val="188"/>
        </w:trPr>
        <w:tc>
          <w:tcPr>
            <w:tcW w:w="2256" w:type="dxa"/>
            <w:tcBorders>
              <w:top w:val="nil"/>
              <w:left w:val="single" w:color="auto" w:sz="4" w:space="0"/>
              <w:bottom w:val="single" w:color="auto" w:sz="4" w:space="0"/>
              <w:right w:val="single" w:color="auto" w:sz="4" w:space="0"/>
            </w:tcBorders>
            <w:shd w:val="clear" w:color="auto" w:fill="auto"/>
            <w:vAlign w:val="bottom"/>
            <w:hideMark/>
          </w:tcPr>
          <w:p w:rsidRPr="00BC3488" w:rsidR="00BC3488" w:rsidP="00BC3488" w:rsidRDefault="00BC3488" w14:paraId="08C105A4"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Total(s)</w:t>
            </w:r>
          </w:p>
        </w:tc>
        <w:tc>
          <w:tcPr>
            <w:tcW w:w="1310"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70022ADC"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136"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1E33224D"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282"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2AB79880"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430"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4918AD" w14:paraId="606226A3" w14:textId="4BE4C1C7">
            <w:pPr>
              <w:widowControl/>
              <w:autoSpaceDE/>
              <w:autoSpaceDN/>
              <w:adjustRightInd/>
              <w:jc w:val="right"/>
              <w:rPr>
                <w:rFonts w:ascii="Times New Roman" w:hAnsi="Times New Roman"/>
                <w:b/>
                <w:bCs/>
                <w:color w:val="000000"/>
                <w:sz w:val="22"/>
                <w:szCs w:val="22"/>
              </w:rPr>
            </w:pPr>
            <w:r w:rsidRPr="004918AD">
              <w:rPr>
                <w:rFonts w:ascii="Times New Roman" w:hAnsi="Times New Roman"/>
                <w:b/>
                <w:bCs/>
                <w:color w:val="000000"/>
                <w:sz w:val="22"/>
                <w:szCs w:val="22"/>
              </w:rPr>
              <w:t>1,608,136</w:t>
            </w:r>
          </w:p>
        </w:tc>
        <w:tc>
          <w:tcPr>
            <w:tcW w:w="1430"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C3488" w14:paraId="307127A3"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1,072,810</w:t>
            </w:r>
          </w:p>
        </w:tc>
        <w:tc>
          <w:tcPr>
            <w:tcW w:w="1282" w:type="dxa"/>
            <w:tcBorders>
              <w:top w:val="nil"/>
              <w:left w:val="nil"/>
              <w:bottom w:val="single" w:color="auto" w:sz="4" w:space="0"/>
              <w:right w:val="single" w:color="auto" w:sz="4" w:space="0"/>
            </w:tcBorders>
            <w:shd w:val="clear" w:color="auto" w:fill="auto"/>
            <w:vAlign w:val="bottom"/>
            <w:hideMark/>
          </w:tcPr>
          <w:p w:rsidRPr="00BC3488" w:rsidR="00BC3488" w:rsidP="00BC3488" w:rsidRDefault="00BF591B" w14:paraId="000A6BB0" w14:textId="57C088A1">
            <w:pPr>
              <w:widowControl/>
              <w:autoSpaceDE/>
              <w:autoSpaceDN/>
              <w:adjustRightInd/>
              <w:jc w:val="right"/>
              <w:rPr>
                <w:rFonts w:ascii="Times New Roman" w:hAnsi="Times New Roman"/>
                <w:b/>
                <w:bCs/>
                <w:color w:val="000000"/>
                <w:sz w:val="22"/>
                <w:szCs w:val="22"/>
              </w:rPr>
            </w:pPr>
            <w:r>
              <w:rPr>
                <w:rFonts w:ascii="Times New Roman" w:hAnsi="Times New Roman"/>
                <w:b/>
                <w:bCs/>
                <w:color w:val="000000"/>
                <w:sz w:val="22"/>
                <w:szCs w:val="22"/>
              </w:rPr>
              <w:t>(</w:t>
            </w:r>
            <w:r w:rsidRPr="004918AD" w:rsidR="004918AD">
              <w:rPr>
                <w:rFonts w:ascii="Times New Roman" w:hAnsi="Times New Roman"/>
                <w:b/>
                <w:bCs/>
                <w:color w:val="000000"/>
                <w:sz w:val="22"/>
                <w:szCs w:val="22"/>
              </w:rPr>
              <w:t>535,326</w:t>
            </w:r>
            <w:r>
              <w:rPr>
                <w:rFonts w:ascii="Times New Roman" w:hAnsi="Times New Roman"/>
                <w:b/>
                <w:bCs/>
                <w:color w:val="000000"/>
                <w:sz w:val="22"/>
                <w:szCs w:val="22"/>
              </w:rPr>
              <w:t>)</w:t>
            </w:r>
          </w:p>
        </w:tc>
      </w:tr>
    </w:tbl>
    <w:p w:rsidRPr="00914A5D" w:rsidR="00BC3488" w:rsidP="00914A5D" w:rsidRDefault="00BC3488" w14:paraId="32FE6D09" w14:textId="77777777">
      <w:pPr>
        <w:tabs>
          <w:tab w:val="left" w:pos="-1440"/>
        </w:tabs>
        <w:ind w:left="720"/>
        <w:rPr>
          <w:rFonts w:ascii="Times New Roman" w:hAnsi="Times New Roman"/>
        </w:rPr>
      </w:pPr>
    </w:p>
    <w:p w:rsidR="00BF591B" w:rsidP="00914A5D" w:rsidRDefault="008531BF" w14:paraId="1B8E30C3" w14:textId="4249BB38">
      <w:pPr>
        <w:ind w:left="720"/>
        <w:rPr>
          <w:rFonts w:ascii="Times New Roman" w:hAnsi="Times New Roman"/>
        </w:rPr>
      </w:pPr>
      <w:r>
        <w:rPr>
          <w:rFonts w:ascii="Times New Roman" w:hAnsi="Times New Roman"/>
        </w:rPr>
        <w:t xml:space="preserve">USCIS is removing changes made to the form and instructions with the Public Charge Final Rule. </w:t>
      </w:r>
      <w:r w:rsidR="00404A66">
        <w:rPr>
          <w:rFonts w:ascii="Times New Roman" w:hAnsi="Times New Roman"/>
        </w:rPr>
        <w:t xml:space="preserve">This action also reverts </w:t>
      </w:r>
      <w:r w:rsidR="00D827D9">
        <w:rPr>
          <w:rFonts w:ascii="Times New Roman" w:hAnsi="Times New Roman"/>
        </w:rPr>
        <w:t xml:space="preserve">the information collection instrument under this OMB Control number to </w:t>
      </w:r>
      <w:r w:rsidR="00404A66">
        <w:rPr>
          <w:rFonts w:ascii="Times New Roman" w:hAnsi="Times New Roman"/>
        </w:rPr>
        <w:t>the Form I-129 instead of the Form I-129H1 that was created with the USCIS Fee Rule</w:t>
      </w:r>
      <w:r w:rsidR="003F3713">
        <w:rPr>
          <w:rFonts w:ascii="Times New Roman" w:hAnsi="Times New Roman"/>
        </w:rPr>
        <w:t xml:space="preserve">, which </w:t>
      </w:r>
      <w:r w:rsidR="004918AD">
        <w:rPr>
          <w:rFonts w:ascii="Times New Roman" w:hAnsi="Times New Roman"/>
        </w:rPr>
        <w:t>is</w:t>
      </w:r>
      <w:r w:rsidR="003F3713">
        <w:rPr>
          <w:rFonts w:ascii="Times New Roman" w:hAnsi="Times New Roman"/>
        </w:rPr>
        <w:t xml:space="preserve"> enjoined</w:t>
      </w:r>
      <w:r w:rsidR="00404A66">
        <w:rPr>
          <w:rFonts w:ascii="Times New Roman" w:hAnsi="Times New Roman"/>
        </w:rPr>
        <w:t xml:space="preserve">. </w:t>
      </w:r>
      <w:r w:rsidR="003F3713">
        <w:rPr>
          <w:rFonts w:ascii="Times New Roman" w:hAnsi="Times New Roman"/>
        </w:rPr>
        <w:t xml:space="preserve">Removal of the Public Charge rule </w:t>
      </w:r>
      <w:r w:rsidR="00BC3488">
        <w:rPr>
          <w:rFonts w:ascii="Times New Roman" w:hAnsi="Times New Roman"/>
        </w:rPr>
        <w:t xml:space="preserve">changes </w:t>
      </w:r>
      <w:r w:rsidR="003F3713">
        <w:rPr>
          <w:rFonts w:ascii="Times New Roman" w:hAnsi="Times New Roman"/>
        </w:rPr>
        <w:t xml:space="preserve">reduces the </w:t>
      </w:r>
      <w:r w:rsidR="00BC3488">
        <w:rPr>
          <w:rFonts w:ascii="Times New Roman" w:hAnsi="Times New Roman"/>
        </w:rPr>
        <w:t xml:space="preserve">time burden per response </w:t>
      </w:r>
      <w:r w:rsidR="00D827D9">
        <w:rPr>
          <w:rFonts w:ascii="Times New Roman" w:hAnsi="Times New Roman"/>
        </w:rPr>
        <w:t xml:space="preserve">for Form I-129 </w:t>
      </w:r>
      <w:r w:rsidR="00BC3488">
        <w:rPr>
          <w:rFonts w:ascii="Times New Roman" w:hAnsi="Times New Roman"/>
        </w:rPr>
        <w:t xml:space="preserve">from 2.84 hours per response to 2.34 hours per response. The annual time burden for this collection of information is decreasing by </w:t>
      </w:r>
      <w:r w:rsidR="004918AD">
        <w:rPr>
          <w:rFonts w:ascii="Times New Roman" w:hAnsi="Times New Roman"/>
        </w:rPr>
        <w:t>535,326</w:t>
      </w:r>
      <w:r w:rsidR="00BC3488">
        <w:rPr>
          <w:rFonts w:ascii="Times New Roman" w:hAnsi="Times New Roman"/>
        </w:rPr>
        <w:t xml:space="preserve"> hours as a result. </w:t>
      </w:r>
    </w:p>
    <w:p w:rsidR="004918AD" w:rsidP="00914A5D" w:rsidRDefault="004918AD" w14:paraId="21A028D7" w14:textId="184B7D40">
      <w:pPr>
        <w:ind w:left="720"/>
        <w:rPr>
          <w:rFonts w:ascii="Times New Roman" w:hAnsi="Times New Roman"/>
        </w:rPr>
      </w:pPr>
    </w:p>
    <w:tbl>
      <w:tblPr>
        <w:tblW w:w="10126" w:type="dxa"/>
        <w:tblLook w:val="04A0" w:firstRow="1" w:lastRow="0" w:firstColumn="1" w:lastColumn="0" w:noHBand="0" w:noVBand="1"/>
      </w:tblPr>
      <w:tblGrid>
        <w:gridCol w:w="2162"/>
        <w:gridCol w:w="1260"/>
        <w:gridCol w:w="1094"/>
        <w:gridCol w:w="1234"/>
        <w:gridCol w:w="1428"/>
        <w:gridCol w:w="1375"/>
        <w:gridCol w:w="1573"/>
      </w:tblGrid>
      <w:tr w:rsidRPr="00BC3488" w:rsidR="004918AD" w:rsidTr="001F5813" w14:paraId="3D7F45C2" w14:textId="77777777">
        <w:trPr>
          <w:trHeight w:val="1890"/>
        </w:trPr>
        <w:tc>
          <w:tcPr>
            <w:tcW w:w="22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BC3488" w:rsidR="004918AD" w:rsidP="001F5813" w:rsidRDefault="004918AD" w14:paraId="540DA9C2"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lastRenderedPageBreak/>
              <w:t>Data collection Activity/Instrument</w:t>
            </w:r>
          </w:p>
        </w:tc>
        <w:tc>
          <w:tcPr>
            <w:tcW w:w="1310"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2B364FAB" w14:textId="68D1D85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Program Change (</w:t>
            </w:r>
            <w:r>
              <w:rPr>
                <w:rFonts w:ascii="Times New Roman" w:hAnsi="Times New Roman"/>
                <w:b/>
                <w:bCs/>
                <w:color w:val="000000"/>
                <w:sz w:val="22"/>
                <w:szCs w:val="22"/>
              </w:rPr>
              <w:t>cost</w:t>
            </w:r>
            <w:r w:rsidRPr="00BC3488">
              <w:rPr>
                <w:rFonts w:ascii="Times New Roman" w:hAnsi="Times New Roman"/>
                <w:b/>
                <w:bCs/>
                <w:color w:val="000000"/>
                <w:sz w:val="22"/>
                <w:szCs w:val="22"/>
              </w:rPr>
              <w:t xml:space="preserve"> currently on OMB Inventory) </w:t>
            </w:r>
          </w:p>
        </w:tc>
        <w:tc>
          <w:tcPr>
            <w:tcW w:w="1136"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5D9B24F1"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 xml:space="preserve">Program Change (New) </w:t>
            </w:r>
          </w:p>
        </w:tc>
        <w:tc>
          <w:tcPr>
            <w:tcW w:w="1282"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23E518E1"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Difference</w:t>
            </w:r>
          </w:p>
        </w:tc>
        <w:tc>
          <w:tcPr>
            <w:tcW w:w="1430"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26F835B9" w14:textId="217B68B3">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Adjustment (</w:t>
            </w:r>
            <w:r>
              <w:rPr>
                <w:rFonts w:ascii="Times New Roman" w:hAnsi="Times New Roman"/>
                <w:b/>
                <w:bCs/>
                <w:color w:val="000000"/>
                <w:sz w:val="22"/>
                <w:szCs w:val="22"/>
              </w:rPr>
              <w:t>cost</w:t>
            </w:r>
            <w:r w:rsidRPr="00BC3488">
              <w:rPr>
                <w:rFonts w:ascii="Times New Roman" w:hAnsi="Times New Roman"/>
                <w:b/>
                <w:bCs/>
                <w:color w:val="000000"/>
                <w:sz w:val="22"/>
                <w:szCs w:val="22"/>
              </w:rPr>
              <w:t xml:space="preserve"> currently on OMB Inventory)</w:t>
            </w:r>
          </w:p>
        </w:tc>
        <w:tc>
          <w:tcPr>
            <w:tcW w:w="1430"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1B31C6B6"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Adjustment (New)</w:t>
            </w:r>
          </w:p>
        </w:tc>
        <w:tc>
          <w:tcPr>
            <w:tcW w:w="1282" w:type="dxa"/>
            <w:tcBorders>
              <w:top w:val="single" w:color="auto" w:sz="4" w:space="0"/>
              <w:left w:val="nil"/>
              <w:bottom w:val="single" w:color="auto" w:sz="4" w:space="0"/>
              <w:right w:val="single" w:color="auto" w:sz="4" w:space="0"/>
            </w:tcBorders>
            <w:shd w:val="clear" w:color="auto" w:fill="auto"/>
            <w:vAlign w:val="bottom"/>
            <w:hideMark/>
          </w:tcPr>
          <w:p w:rsidRPr="00BC3488" w:rsidR="004918AD" w:rsidP="001F5813" w:rsidRDefault="004918AD" w14:paraId="5FA0F90D"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Difference</w:t>
            </w:r>
          </w:p>
        </w:tc>
      </w:tr>
      <w:tr w:rsidRPr="00BC3488" w:rsidR="004918AD" w:rsidTr="001F5813" w14:paraId="7B597EC1" w14:textId="77777777">
        <w:trPr>
          <w:trHeight w:val="315"/>
        </w:trPr>
        <w:tc>
          <w:tcPr>
            <w:tcW w:w="2256" w:type="dxa"/>
            <w:tcBorders>
              <w:top w:val="nil"/>
              <w:left w:val="single" w:color="auto" w:sz="4" w:space="0"/>
              <w:bottom w:val="single" w:color="auto" w:sz="4" w:space="0"/>
              <w:right w:val="single" w:color="auto" w:sz="4" w:space="0"/>
            </w:tcBorders>
            <w:shd w:val="clear" w:color="auto" w:fill="auto"/>
            <w:hideMark/>
          </w:tcPr>
          <w:p w:rsidRPr="00BC3488" w:rsidR="004918AD" w:rsidP="001F5813" w:rsidRDefault="004918AD" w14:paraId="56A3FBBE" w14:textId="77777777">
            <w:pPr>
              <w:widowControl/>
              <w:autoSpaceDE/>
              <w:autoSpaceDN/>
              <w:adjustRightInd/>
              <w:rPr>
                <w:rFonts w:ascii="Times New Roman" w:hAnsi="Times New Roman"/>
                <w:color w:val="000000"/>
                <w:sz w:val="22"/>
                <w:szCs w:val="22"/>
              </w:rPr>
            </w:pPr>
            <w:r w:rsidRPr="00BC3488">
              <w:rPr>
                <w:rFonts w:ascii="Times New Roman" w:hAnsi="Times New Roman"/>
                <w:sz w:val="22"/>
                <w:szCs w:val="22"/>
              </w:rPr>
              <w:t>Petition for Nonimmigrant Worker (Form I-129)</w:t>
            </w:r>
          </w:p>
        </w:tc>
        <w:tc>
          <w:tcPr>
            <w:tcW w:w="1310"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6BFD80D0"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136"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77438EC4"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282"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75C8E1EC" w14:textId="77777777">
            <w:pPr>
              <w:widowControl/>
              <w:autoSpaceDE/>
              <w:autoSpaceDN/>
              <w:adjustRightInd/>
              <w:rPr>
                <w:rFonts w:ascii="Times New Roman" w:hAnsi="Times New Roman"/>
                <w:color w:val="000000"/>
                <w:sz w:val="22"/>
                <w:szCs w:val="22"/>
              </w:rPr>
            </w:pPr>
            <w:r w:rsidRPr="00BC3488">
              <w:rPr>
                <w:rFonts w:ascii="Times New Roman" w:hAnsi="Times New Roman"/>
                <w:color w:val="000000"/>
                <w:sz w:val="22"/>
                <w:szCs w:val="22"/>
              </w:rPr>
              <w:t> </w:t>
            </w:r>
          </w:p>
        </w:tc>
        <w:tc>
          <w:tcPr>
            <w:tcW w:w="1430"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36900A27" w14:textId="2F674795">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w:t>
            </w:r>
            <w:r w:rsidRPr="004918AD">
              <w:rPr>
                <w:rFonts w:ascii="Times New Roman" w:hAnsi="Times New Roman"/>
                <w:color w:val="000000"/>
                <w:sz w:val="22"/>
                <w:szCs w:val="22"/>
              </w:rPr>
              <w:t>207,047,510</w:t>
            </w:r>
          </w:p>
        </w:tc>
        <w:tc>
          <w:tcPr>
            <w:tcW w:w="1430" w:type="dxa"/>
            <w:tcBorders>
              <w:top w:val="nil"/>
              <w:left w:val="nil"/>
              <w:bottom w:val="single" w:color="auto" w:sz="4" w:space="0"/>
              <w:right w:val="single" w:color="auto" w:sz="4" w:space="0"/>
            </w:tcBorders>
            <w:shd w:val="clear" w:color="auto" w:fill="auto"/>
            <w:vAlign w:val="bottom"/>
            <w:hideMark/>
          </w:tcPr>
          <w:p w:rsidRPr="004918AD" w:rsidR="004918AD" w:rsidP="001F5813" w:rsidRDefault="004918AD" w14:paraId="4EE257E7" w14:textId="1CB3BB9A">
            <w:pPr>
              <w:widowControl/>
              <w:autoSpaceDE/>
              <w:autoSpaceDN/>
              <w:adjustRightInd/>
              <w:jc w:val="right"/>
              <w:rPr>
                <w:rFonts w:ascii="Times New Roman" w:hAnsi="Times New Roman"/>
                <w:bCs/>
                <w:color w:val="000000"/>
                <w:sz w:val="22"/>
                <w:szCs w:val="22"/>
              </w:rPr>
            </w:pPr>
            <w:r>
              <w:rPr>
                <w:rFonts w:ascii="Times New Roman" w:hAnsi="Times New Roman"/>
                <w:bCs/>
                <w:color w:val="000000"/>
                <w:sz w:val="22"/>
                <w:szCs w:val="22"/>
              </w:rPr>
              <w:t>$</w:t>
            </w:r>
            <w:r w:rsidRPr="004918AD">
              <w:rPr>
                <w:rFonts w:ascii="Times New Roman" w:hAnsi="Times New Roman"/>
                <w:bCs/>
                <w:color w:val="000000"/>
                <w:sz w:val="22"/>
                <w:szCs w:val="22"/>
              </w:rPr>
              <w:t>70,681,290</w:t>
            </w:r>
          </w:p>
        </w:tc>
        <w:tc>
          <w:tcPr>
            <w:tcW w:w="1282"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5C531BAC" w14:textId="5E51383B">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t>$</w:t>
            </w:r>
            <w:r w:rsidRPr="004918AD">
              <w:rPr>
                <w:rFonts w:ascii="Times New Roman" w:hAnsi="Times New Roman"/>
                <w:color w:val="000000"/>
                <w:sz w:val="22"/>
                <w:szCs w:val="22"/>
              </w:rPr>
              <w:t>136,366,220</w:t>
            </w:r>
            <w:r>
              <w:rPr>
                <w:rFonts w:ascii="Times New Roman" w:hAnsi="Times New Roman"/>
                <w:color w:val="000000"/>
                <w:sz w:val="22"/>
                <w:szCs w:val="22"/>
              </w:rPr>
              <w:t>)</w:t>
            </w:r>
          </w:p>
        </w:tc>
      </w:tr>
      <w:tr w:rsidRPr="00BC3488" w:rsidR="004918AD" w:rsidTr="001F5813" w14:paraId="548B8630" w14:textId="77777777">
        <w:trPr>
          <w:trHeight w:val="188"/>
        </w:trPr>
        <w:tc>
          <w:tcPr>
            <w:tcW w:w="2256" w:type="dxa"/>
            <w:tcBorders>
              <w:top w:val="nil"/>
              <w:left w:val="single" w:color="auto" w:sz="4" w:space="0"/>
              <w:bottom w:val="single" w:color="auto" w:sz="4" w:space="0"/>
              <w:right w:val="single" w:color="auto" w:sz="4" w:space="0"/>
            </w:tcBorders>
            <w:shd w:val="clear" w:color="auto" w:fill="auto"/>
            <w:vAlign w:val="bottom"/>
            <w:hideMark/>
          </w:tcPr>
          <w:p w:rsidRPr="00BC3488" w:rsidR="004918AD" w:rsidP="001F5813" w:rsidRDefault="004918AD" w14:paraId="3360BA2F" w14:textId="77777777">
            <w:pPr>
              <w:widowControl/>
              <w:autoSpaceDE/>
              <w:autoSpaceDN/>
              <w:adjustRightInd/>
              <w:rPr>
                <w:rFonts w:ascii="Times New Roman" w:hAnsi="Times New Roman"/>
                <w:b/>
                <w:bCs/>
                <w:color w:val="000000"/>
                <w:sz w:val="22"/>
                <w:szCs w:val="22"/>
              </w:rPr>
            </w:pPr>
            <w:r w:rsidRPr="00BC3488">
              <w:rPr>
                <w:rFonts w:ascii="Times New Roman" w:hAnsi="Times New Roman"/>
                <w:b/>
                <w:bCs/>
                <w:color w:val="000000"/>
                <w:sz w:val="22"/>
                <w:szCs w:val="22"/>
              </w:rPr>
              <w:t>Total(s)</w:t>
            </w:r>
          </w:p>
        </w:tc>
        <w:tc>
          <w:tcPr>
            <w:tcW w:w="1310"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20D37185"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136"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6AB6C9FD"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282"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016FE47A" w14:textId="77777777">
            <w:pPr>
              <w:widowControl/>
              <w:autoSpaceDE/>
              <w:autoSpaceDN/>
              <w:adjustRightInd/>
              <w:jc w:val="right"/>
              <w:rPr>
                <w:rFonts w:ascii="Times New Roman" w:hAnsi="Times New Roman"/>
                <w:b/>
                <w:bCs/>
                <w:color w:val="000000"/>
                <w:sz w:val="22"/>
                <w:szCs w:val="22"/>
              </w:rPr>
            </w:pPr>
            <w:r w:rsidRPr="00BC3488">
              <w:rPr>
                <w:rFonts w:ascii="Times New Roman" w:hAnsi="Times New Roman"/>
                <w:b/>
                <w:bCs/>
                <w:color w:val="000000"/>
                <w:sz w:val="22"/>
                <w:szCs w:val="22"/>
              </w:rPr>
              <w:t>0.00</w:t>
            </w:r>
          </w:p>
        </w:tc>
        <w:tc>
          <w:tcPr>
            <w:tcW w:w="1430"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3C9CCF92" w14:textId="2831E1E4">
            <w:pPr>
              <w:widowControl/>
              <w:autoSpaceDE/>
              <w:autoSpaceDN/>
              <w:adjustRightInd/>
              <w:jc w:val="right"/>
              <w:rPr>
                <w:rFonts w:ascii="Times New Roman" w:hAnsi="Times New Roman"/>
                <w:b/>
                <w:bCs/>
                <w:color w:val="000000"/>
                <w:sz w:val="22"/>
                <w:szCs w:val="22"/>
              </w:rPr>
            </w:pPr>
            <w:r>
              <w:rPr>
                <w:rFonts w:ascii="Times New Roman" w:hAnsi="Times New Roman"/>
                <w:b/>
                <w:bCs/>
                <w:color w:val="000000"/>
                <w:sz w:val="22"/>
                <w:szCs w:val="22"/>
              </w:rPr>
              <w:t>$</w:t>
            </w:r>
            <w:r w:rsidRPr="004918AD">
              <w:rPr>
                <w:rFonts w:ascii="Times New Roman" w:hAnsi="Times New Roman"/>
                <w:b/>
                <w:bCs/>
                <w:color w:val="000000"/>
                <w:sz w:val="22"/>
                <w:szCs w:val="22"/>
              </w:rPr>
              <w:t>207,047,510</w:t>
            </w:r>
          </w:p>
        </w:tc>
        <w:tc>
          <w:tcPr>
            <w:tcW w:w="1430"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66D3F72B" w14:textId="3630B945">
            <w:pPr>
              <w:widowControl/>
              <w:autoSpaceDE/>
              <w:autoSpaceDN/>
              <w:adjustRightInd/>
              <w:jc w:val="right"/>
              <w:rPr>
                <w:rFonts w:ascii="Times New Roman" w:hAnsi="Times New Roman"/>
                <w:b/>
                <w:bCs/>
                <w:color w:val="000000"/>
                <w:sz w:val="22"/>
                <w:szCs w:val="22"/>
              </w:rPr>
            </w:pPr>
            <w:r>
              <w:rPr>
                <w:rFonts w:ascii="Times New Roman" w:hAnsi="Times New Roman"/>
                <w:b/>
                <w:bCs/>
                <w:color w:val="000000"/>
                <w:sz w:val="22"/>
                <w:szCs w:val="22"/>
              </w:rPr>
              <w:t>$</w:t>
            </w:r>
            <w:r w:rsidRPr="004918AD">
              <w:rPr>
                <w:rFonts w:ascii="Times New Roman" w:hAnsi="Times New Roman"/>
                <w:b/>
                <w:bCs/>
                <w:color w:val="000000"/>
                <w:sz w:val="22"/>
                <w:szCs w:val="22"/>
              </w:rPr>
              <w:t>70,681,290</w:t>
            </w:r>
          </w:p>
        </w:tc>
        <w:tc>
          <w:tcPr>
            <w:tcW w:w="1282" w:type="dxa"/>
            <w:tcBorders>
              <w:top w:val="nil"/>
              <w:left w:val="nil"/>
              <w:bottom w:val="single" w:color="auto" w:sz="4" w:space="0"/>
              <w:right w:val="single" w:color="auto" w:sz="4" w:space="0"/>
            </w:tcBorders>
            <w:shd w:val="clear" w:color="auto" w:fill="auto"/>
            <w:vAlign w:val="bottom"/>
            <w:hideMark/>
          </w:tcPr>
          <w:p w:rsidRPr="00BC3488" w:rsidR="004918AD" w:rsidP="001F5813" w:rsidRDefault="004918AD" w14:paraId="6CBE1DD6" w14:textId="6CE72299">
            <w:pPr>
              <w:widowControl/>
              <w:autoSpaceDE/>
              <w:autoSpaceDN/>
              <w:adjustRightInd/>
              <w:jc w:val="right"/>
              <w:rPr>
                <w:rFonts w:ascii="Times New Roman" w:hAnsi="Times New Roman"/>
                <w:b/>
                <w:bCs/>
                <w:color w:val="000000"/>
                <w:sz w:val="22"/>
                <w:szCs w:val="22"/>
              </w:rPr>
            </w:pPr>
            <w:r>
              <w:rPr>
                <w:rFonts w:ascii="Times New Roman" w:hAnsi="Times New Roman"/>
                <w:b/>
                <w:bCs/>
                <w:color w:val="000000"/>
                <w:sz w:val="22"/>
                <w:szCs w:val="22"/>
              </w:rPr>
              <w:t>(</w:t>
            </w:r>
            <w:r>
              <w:rPr>
                <w:rFonts w:ascii="Times New Roman" w:hAnsi="Times New Roman"/>
                <w:b/>
                <w:bCs/>
                <w:color w:val="000000"/>
                <w:sz w:val="22"/>
                <w:szCs w:val="22"/>
              </w:rPr>
              <w:t>$</w:t>
            </w:r>
            <w:r w:rsidRPr="004918AD">
              <w:rPr>
                <w:rFonts w:ascii="Times New Roman" w:hAnsi="Times New Roman"/>
                <w:b/>
                <w:bCs/>
                <w:color w:val="000000"/>
                <w:sz w:val="22"/>
                <w:szCs w:val="22"/>
              </w:rPr>
              <w:t>136,366,220</w:t>
            </w:r>
            <w:r>
              <w:rPr>
                <w:rFonts w:ascii="Times New Roman" w:hAnsi="Times New Roman"/>
                <w:b/>
                <w:bCs/>
                <w:color w:val="000000"/>
                <w:sz w:val="22"/>
                <w:szCs w:val="22"/>
              </w:rPr>
              <w:t>)</w:t>
            </w:r>
          </w:p>
        </w:tc>
      </w:tr>
    </w:tbl>
    <w:p w:rsidR="00BF591B" w:rsidP="00914A5D" w:rsidRDefault="00BF591B" w14:paraId="1D920B0F" w14:textId="77777777">
      <w:pPr>
        <w:ind w:left="720"/>
        <w:rPr>
          <w:rFonts w:ascii="Times New Roman" w:hAnsi="Times New Roman"/>
        </w:rPr>
      </w:pPr>
    </w:p>
    <w:p w:rsidR="00DB31F1" w:rsidP="00914A5D" w:rsidRDefault="00D827D9" w14:paraId="27EE4451" w14:textId="025173AD">
      <w:pPr>
        <w:ind w:left="720"/>
        <w:rPr>
          <w:rFonts w:ascii="Times New Roman" w:hAnsi="Times New Roman"/>
        </w:rPr>
      </w:pPr>
      <w:r>
        <w:rPr>
          <w:rFonts w:ascii="Times New Roman" w:hAnsi="Times New Roman"/>
        </w:rPr>
        <w:t>The</w:t>
      </w:r>
      <w:r w:rsidR="004918AD">
        <w:rPr>
          <w:rFonts w:ascii="Times New Roman" w:hAnsi="Times New Roman"/>
        </w:rPr>
        <w:t xml:space="preserve">re is </w:t>
      </w:r>
      <w:proofErr w:type="spellStart"/>
      <w:r w:rsidR="004918AD">
        <w:rPr>
          <w:rFonts w:ascii="Times New Roman" w:hAnsi="Times New Roman"/>
        </w:rPr>
        <w:t>a</w:t>
      </w:r>
      <w:proofErr w:type="spellEnd"/>
      <w:r w:rsidR="004918AD">
        <w:rPr>
          <w:rFonts w:ascii="Times New Roman" w:hAnsi="Times New Roman"/>
        </w:rPr>
        <w:t xml:space="preserve"> decrease in the</w:t>
      </w:r>
      <w:r>
        <w:rPr>
          <w:rFonts w:ascii="Times New Roman" w:hAnsi="Times New Roman"/>
        </w:rPr>
        <w:t xml:space="preserve"> estimated </w:t>
      </w:r>
      <w:r w:rsidR="00DB31F1">
        <w:rPr>
          <w:rFonts w:ascii="Times New Roman" w:hAnsi="Times New Roman"/>
        </w:rPr>
        <w:t>annual cost burden</w:t>
      </w:r>
      <w:r w:rsidR="004918AD">
        <w:rPr>
          <w:rFonts w:ascii="Times New Roman" w:hAnsi="Times New Roman"/>
        </w:rPr>
        <w:t xml:space="preserve"> to respondents as a result of the Public Charge Rule Rescission. </w:t>
      </w:r>
    </w:p>
    <w:p w:rsidRPr="0029577A" w:rsidR="004918AD" w:rsidP="00914A5D" w:rsidRDefault="004918AD" w14:paraId="38A381DB"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 w:id="1">
    <w:p w14:paraId="723B4F3B" w14:textId="77777777" w:rsidR="00DB31F1" w:rsidRDefault="00DB31F1" w:rsidP="00DB31F1">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2">
    <w:p w14:paraId="685B8923"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3">
    <w:p w14:paraId="1AA8E38D"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4">
    <w:p w14:paraId="5C2E57E9"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TN or H-1B1 nonimmigrant status.</w:t>
      </w:r>
    </w:p>
  </w:footnote>
  <w:footnote w:id="5">
    <w:p w14:paraId="78EF6E9E"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6">
    <w:p w14:paraId="14738F99" w14:textId="77777777" w:rsidR="002E0CB3" w:rsidRDefault="002E0CB3" w:rsidP="002E0CB3">
      <w:pPr>
        <w:pStyle w:val="FootnoteText"/>
      </w:pPr>
      <w:r>
        <w:rPr>
          <w:rStyle w:val="FootnoteReference"/>
          <w:vertAlign w:val="superscript"/>
        </w:rPr>
        <w:footnoteRef/>
      </w:r>
      <w:r>
        <w:rPr>
          <w:rFonts w:ascii="Times New Roman" w:hAnsi="Times New Roman"/>
        </w:rPr>
        <w:t xml:space="preserve"> This includes all petitions filed for H-1B or H-1B1 nonimmigrant status.</w:t>
      </w:r>
    </w:p>
  </w:footnote>
  <w:footnote w:id="7">
    <w:p w14:paraId="30589F26"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8">
    <w:p w14:paraId="52DE41FB"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9">
    <w:p w14:paraId="33961778" w14:textId="77777777" w:rsidR="002E0CB3" w:rsidRDefault="002E0CB3" w:rsidP="002E0CB3">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0">
    <w:p w14:paraId="200F35E8" w14:textId="77777777" w:rsidR="002E0CB3" w:rsidRDefault="002E0CB3" w:rsidP="002E0CB3">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1">
    <w:p w14:paraId="0E958396" w14:textId="77777777" w:rsidR="00DB31F1" w:rsidRDefault="00DB31F1" w:rsidP="00DB31F1">
      <w:pPr>
        <w:pStyle w:val="FootnoteText"/>
        <w:rPr>
          <w:rFonts w:ascii="Times New Roman" w:hAnsi="Times New Roman"/>
        </w:rPr>
      </w:pPr>
      <w:r>
        <w:rPr>
          <w:rStyle w:val="FootnoteReference"/>
        </w:rPr>
        <w:footnoteRef/>
      </w:r>
      <w:r>
        <w:rPr>
          <w:rFonts w:ascii="Times New Roman" w:hAnsi="Times New Roman"/>
        </w:rPr>
        <w:t xml:space="preserve"> A $500</w:t>
      </w:r>
      <w:r>
        <w:rPr>
          <w:rFonts w:ascii="Times New Roman" w:hAnsi="Times New Roman"/>
          <w:i/>
        </w:rPr>
        <w:t xml:space="preserve"> </w:t>
      </w:r>
      <w:r>
        <w:rPr>
          <w:rFonts w:ascii="Times New Roman" w:hAnsi="Times New Roman"/>
        </w:rPr>
        <w:t xml:space="preserve">Fraud Prevention and Detection Fee is required by law for Forms I-129 filed for an H-1B and L-1 petition.  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6812"/>
    <w:rsid w:val="002C3934"/>
    <w:rsid w:val="002E0CB3"/>
    <w:rsid w:val="002E199D"/>
    <w:rsid w:val="002E7594"/>
    <w:rsid w:val="003338D4"/>
    <w:rsid w:val="0039427E"/>
    <w:rsid w:val="003A0F52"/>
    <w:rsid w:val="003F3713"/>
    <w:rsid w:val="00404A66"/>
    <w:rsid w:val="004918AD"/>
    <w:rsid w:val="00494557"/>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531BF"/>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E624D"/>
    <w:rsid w:val="009F15D0"/>
    <w:rsid w:val="00A05B27"/>
    <w:rsid w:val="00A146ED"/>
    <w:rsid w:val="00A3466A"/>
    <w:rsid w:val="00A447D7"/>
    <w:rsid w:val="00A5237F"/>
    <w:rsid w:val="00A56B2D"/>
    <w:rsid w:val="00A847D1"/>
    <w:rsid w:val="00AF45F2"/>
    <w:rsid w:val="00B0571D"/>
    <w:rsid w:val="00B1471A"/>
    <w:rsid w:val="00B27061"/>
    <w:rsid w:val="00B31EBB"/>
    <w:rsid w:val="00B635A9"/>
    <w:rsid w:val="00B7349D"/>
    <w:rsid w:val="00BC3488"/>
    <w:rsid w:val="00BD3260"/>
    <w:rsid w:val="00BE3C63"/>
    <w:rsid w:val="00BF591B"/>
    <w:rsid w:val="00C04531"/>
    <w:rsid w:val="00C3345E"/>
    <w:rsid w:val="00C62A1F"/>
    <w:rsid w:val="00C9224C"/>
    <w:rsid w:val="00C97339"/>
    <w:rsid w:val="00CD6D53"/>
    <w:rsid w:val="00D049AD"/>
    <w:rsid w:val="00D118B8"/>
    <w:rsid w:val="00D15779"/>
    <w:rsid w:val="00D22B13"/>
    <w:rsid w:val="00D3403B"/>
    <w:rsid w:val="00D80E94"/>
    <w:rsid w:val="00D827D9"/>
    <w:rsid w:val="00DA2D6B"/>
    <w:rsid w:val="00DB31F1"/>
    <w:rsid w:val="00DE08FF"/>
    <w:rsid w:val="00E15619"/>
    <w:rsid w:val="00E61E1B"/>
    <w:rsid w:val="00E77B24"/>
    <w:rsid w:val="00E85D6D"/>
    <w:rsid w:val="00E91139"/>
    <w:rsid w:val="00EA1FB2"/>
    <w:rsid w:val="00EC3504"/>
    <w:rsid w:val="00EC5F60"/>
    <w:rsid w:val="00ED4E0C"/>
    <w:rsid w:val="00F424E7"/>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DB31F1"/>
    <w:rPr>
      <w:sz w:val="20"/>
      <w:szCs w:val="20"/>
    </w:rPr>
  </w:style>
  <w:style w:type="character" w:customStyle="1" w:styleId="FootnoteTextChar">
    <w:name w:val="Footnote Text Char"/>
    <w:basedOn w:val="DefaultParagraphFont"/>
    <w:link w:val="FootnoteText"/>
    <w:semiHidden/>
    <w:rsid w:val="00DB31F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71642">
      <w:bodyDiv w:val="1"/>
      <w:marLeft w:val="0"/>
      <w:marRight w:val="0"/>
      <w:marTop w:val="0"/>
      <w:marBottom w:val="0"/>
      <w:divBdr>
        <w:top w:val="none" w:sz="0" w:space="0" w:color="auto"/>
        <w:left w:val="none" w:sz="0" w:space="0" w:color="auto"/>
        <w:bottom w:val="none" w:sz="0" w:space="0" w:color="auto"/>
        <w:right w:val="none" w:sz="0" w:space="0" w:color="auto"/>
      </w:divBdr>
    </w:div>
    <w:div w:id="390815178">
      <w:bodyDiv w:val="1"/>
      <w:marLeft w:val="0"/>
      <w:marRight w:val="0"/>
      <w:marTop w:val="0"/>
      <w:marBottom w:val="0"/>
      <w:divBdr>
        <w:top w:val="none" w:sz="0" w:space="0" w:color="auto"/>
        <w:left w:val="none" w:sz="0" w:space="0" w:color="auto"/>
        <w:bottom w:val="none" w:sz="0" w:space="0" w:color="auto"/>
        <w:right w:val="none" w:sz="0" w:space="0" w:color="auto"/>
      </w:divBdr>
    </w:div>
    <w:div w:id="403845077">
      <w:bodyDiv w:val="1"/>
      <w:marLeft w:val="0"/>
      <w:marRight w:val="0"/>
      <w:marTop w:val="0"/>
      <w:marBottom w:val="0"/>
      <w:divBdr>
        <w:top w:val="none" w:sz="0" w:space="0" w:color="auto"/>
        <w:left w:val="none" w:sz="0" w:space="0" w:color="auto"/>
        <w:bottom w:val="none" w:sz="0" w:space="0" w:color="auto"/>
        <w:right w:val="none" w:sz="0" w:space="0" w:color="auto"/>
      </w:divBdr>
    </w:div>
    <w:div w:id="413821304">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492376550">
      <w:bodyDiv w:val="1"/>
      <w:marLeft w:val="0"/>
      <w:marRight w:val="0"/>
      <w:marTop w:val="0"/>
      <w:marBottom w:val="0"/>
      <w:divBdr>
        <w:top w:val="none" w:sz="0" w:space="0" w:color="auto"/>
        <w:left w:val="none" w:sz="0" w:space="0" w:color="auto"/>
        <w:bottom w:val="none" w:sz="0" w:space="0" w:color="auto"/>
        <w:right w:val="none" w:sz="0" w:space="0" w:color="auto"/>
      </w:divBdr>
    </w:div>
    <w:div w:id="592472229">
      <w:bodyDiv w:val="1"/>
      <w:marLeft w:val="0"/>
      <w:marRight w:val="0"/>
      <w:marTop w:val="0"/>
      <w:marBottom w:val="0"/>
      <w:divBdr>
        <w:top w:val="none" w:sz="0" w:space="0" w:color="auto"/>
        <w:left w:val="none" w:sz="0" w:space="0" w:color="auto"/>
        <w:bottom w:val="none" w:sz="0" w:space="0" w:color="auto"/>
        <w:right w:val="none" w:sz="0" w:space="0" w:color="auto"/>
      </w:divBdr>
    </w:div>
    <w:div w:id="675616497">
      <w:bodyDiv w:val="1"/>
      <w:marLeft w:val="0"/>
      <w:marRight w:val="0"/>
      <w:marTop w:val="0"/>
      <w:marBottom w:val="0"/>
      <w:divBdr>
        <w:top w:val="none" w:sz="0" w:space="0" w:color="auto"/>
        <w:left w:val="none" w:sz="0" w:space="0" w:color="auto"/>
        <w:bottom w:val="none" w:sz="0" w:space="0" w:color="auto"/>
        <w:right w:val="none" w:sz="0" w:space="0" w:color="auto"/>
      </w:divBdr>
    </w:div>
    <w:div w:id="81363854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78277032">
      <w:bodyDiv w:val="1"/>
      <w:marLeft w:val="0"/>
      <w:marRight w:val="0"/>
      <w:marTop w:val="0"/>
      <w:marBottom w:val="0"/>
      <w:divBdr>
        <w:top w:val="none" w:sz="0" w:space="0" w:color="auto"/>
        <w:left w:val="none" w:sz="0" w:space="0" w:color="auto"/>
        <w:bottom w:val="none" w:sz="0" w:space="0" w:color="auto"/>
        <w:right w:val="none" w:sz="0" w:space="0" w:color="auto"/>
      </w:divBdr>
    </w:div>
    <w:div w:id="1229608065">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724135725">
      <w:bodyDiv w:val="1"/>
      <w:marLeft w:val="0"/>
      <w:marRight w:val="0"/>
      <w:marTop w:val="0"/>
      <w:marBottom w:val="0"/>
      <w:divBdr>
        <w:top w:val="none" w:sz="0" w:space="0" w:color="auto"/>
        <w:left w:val="none" w:sz="0" w:space="0" w:color="auto"/>
        <w:bottom w:val="none" w:sz="0" w:space="0" w:color="auto"/>
        <w:right w:val="none" w:sz="0" w:space="0" w:color="auto"/>
      </w:divBdr>
    </w:div>
    <w:div w:id="178056445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34128245">
      <w:bodyDiv w:val="1"/>
      <w:marLeft w:val="0"/>
      <w:marRight w:val="0"/>
      <w:marTop w:val="0"/>
      <w:marBottom w:val="0"/>
      <w:divBdr>
        <w:top w:val="none" w:sz="0" w:space="0" w:color="auto"/>
        <w:left w:val="none" w:sz="0" w:space="0" w:color="auto"/>
        <w:bottom w:val="none" w:sz="0" w:space="0" w:color="auto"/>
        <w:right w:val="none" w:sz="0" w:space="0" w:color="auto"/>
      </w:divBdr>
    </w:div>
    <w:div w:id="1948196857">
      <w:bodyDiv w:val="1"/>
      <w:marLeft w:val="0"/>
      <w:marRight w:val="0"/>
      <w:marTop w:val="0"/>
      <w:marBottom w:val="0"/>
      <w:divBdr>
        <w:top w:val="none" w:sz="0" w:space="0" w:color="auto"/>
        <w:left w:val="none" w:sz="0" w:space="0" w:color="auto"/>
        <w:bottom w:val="none" w:sz="0" w:space="0" w:color="auto"/>
        <w:right w:val="none" w:sz="0" w:space="0" w:color="auto"/>
      </w:divBdr>
    </w:div>
    <w:div w:id="1956017778">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32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scis.gov/i-1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2.xml><?xml version="1.0" encoding="utf-8"?>
<ds:datastoreItem xmlns:ds="http://schemas.openxmlformats.org/officeDocument/2006/customXml" ds:itemID="{B58A5565-BE23-48DC-8CAB-D31105DB0C65}">
  <ds:schemaRefs>
    <ds:schemaRef ds:uri="http://schemas.openxmlformats.org/package/2006/metadata/core-properties"/>
    <ds:schemaRef ds:uri="http://purl.org/dc/terms/"/>
    <ds:schemaRef ds:uri="http://www.w3.org/XML/1998/namespace"/>
    <ds:schemaRef ds:uri="2589310c-5316-40b3-b68d-4735ac72f265"/>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bf094c2b-8036-49e0-a2b2-a973ea273ca5"/>
  </ds:schemaRefs>
</ds:datastoreItem>
</file>

<file path=customXml/itemProps3.xml><?xml version="1.0" encoding="utf-8"?>
<ds:datastoreItem xmlns:ds="http://schemas.openxmlformats.org/officeDocument/2006/customXml" ds:itemID="{C5F5A370-AAE1-4122-9F20-18B3BAAA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3351</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22424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Jager, Kerstin A</cp:lastModifiedBy>
  <cp:revision>6</cp:revision>
  <cp:lastPrinted>2010-05-14T16:20:00Z</cp:lastPrinted>
  <dcterms:created xsi:type="dcterms:W3CDTF">2021-02-09T20:20:00Z</dcterms:created>
  <dcterms:modified xsi:type="dcterms:W3CDTF">2021-02-25T20:50:00Z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