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C44" w:rsidP="00B54C44" w:rsidRDefault="00B54C44" w14:paraId="4E0FB6D4" w14:textId="7F792512">
      <w:pPr>
        <w:rPr>
          <w:rFonts w:ascii="Arial" w:hAnsi="Arial"/>
          <w:caps/>
          <w:spacing w:val="28"/>
          <w:sz w:val="17"/>
          <w:szCs w:val="26"/>
        </w:rPr>
      </w:pPr>
      <w:bookmarkStart w:name="_GoBack" w:id="0"/>
      <w:bookmarkEnd w:id="0"/>
      <w:r>
        <w:rPr>
          <w:noProof/>
        </w:rPr>
        <w:drawing>
          <wp:anchor distT="0" distB="0" distL="114300" distR="114300" simplePos="0" relativeHeight="251658241" behindDoc="1" locked="0" layoutInCell="1" allowOverlap="1" wp14:editId="6C965AA6" wp14:anchorId="377C79A0">
            <wp:simplePos x="0" y="0"/>
            <wp:positionH relativeFrom="column">
              <wp:posOffset>-1808167</wp:posOffset>
            </wp:positionH>
            <wp:positionV relativeFrom="paragraph">
              <wp:posOffset>-258445</wp:posOffset>
            </wp:positionV>
            <wp:extent cx="1737360" cy="446812"/>
            <wp:effectExtent l="0" t="0" r="0" b="0"/>
            <wp:wrapNone/>
            <wp:docPr id="80" name="Picture 8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Mathematica logo. Progress togethe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737360" cy="446812"/>
                    </a:xfrm>
                    <a:prstGeom prst="rect">
                      <a:avLst/>
                    </a:prstGeom>
                  </pic:spPr>
                </pic:pic>
              </a:graphicData>
            </a:graphic>
            <wp14:sizeRelH relativeFrom="margin">
              <wp14:pctWidth>0</wp14:pctWidth>
            </wp14:sizeRelH>
            <wp14:sizeRelV relativeFrom="margin">
              <wp14:pctHeight>0</wp14:pctHeight>
            </wp14:sizeRelV>
          </wp:anchor>
        </w:drawing>
      </w:r>
    </w:p>
    <w:p w:rsidRPr="00030229" w:rsidR="00B54C44" w:rsidP="00B54C44" w:rsidRDefault="00030229" w14:paraId="668A5759" w14:textId="227862F5">
      <w:pPr>
        <w:rPr>
          <w:rFonts w:ascii="Arial" w:hAnsi="Arial"/>
          <w:caps/>
          <w:spacing w:val="28"/>
          <w:sz w:val="17"/>
          <w:szCs w:val="26"/>
        </w:rPr>
      </w:pPr>
      <w:r w:rsidRPr="00030229">
        <w:rPr>
          <w:noProof/>
        </w:rPr>
        <w:drawing>
          <wp:anchor distT="0" distB="0" distL="114300" distR="114300" simplePos="0" relativeHeight="251658240" behindDoc="0" locked="1" layoutInCell="1" allowOverlap="1" wp14:editId="401DC3DC" wp14:anchorId="144946A2">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bookmarkStart w:name="RepTitle" w:id="1"/>
      <w:bookmarkEnd w:id="1"/>
      <w:r w:rsidRPr="00030229" w:rsidR="00B54C44">
        <w:rPr>
          <w:rFonts w:ascii="Arial" w:hAnsi="Arial"/>
          <w:caps/>
          <w:noProof/>
          <w:spacing w:val="28"/>
          <w:sz w:val="17"/>
          <w:szCs w:val="26"/>
        </w:rPr>
        <w:drawing>
          <wp:anchor distT="0" distB="0" distL="114300" distR="114300" simplePos="0" relativeHeight="251658243" behindDoc="0" locked="1" layoutInCell="1" allowOverlap="1" wp14:editId="1E379036" wp14:anchorId="6476FE9C">
            <wp:simplePos x="0" y="0"/>
            <wp:positionH relativeFrom="margin">
              <wp:align>right</wp:align>
            </wp:positionH>
            <wp:positionV relativeFrom="margin">
              <wp:posOffset>-2143125</wp:posOffset>
            </wp:positionV>
            <wp:extent cx="4876800" cy="1247775"/>
            <wp:effectExtent l="19050" t="0" r="0" b="0"/>
            <wp:wrapSquare wrapText="bothSides"/>
            <wp:docPr id="4"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p>
    <w:p w:rsidRPr="0014189A" w:rsidR="00B54C44" w:rsidP="00B54C44" w:rsidRDefault="00B54C44" w14:paraId="6445D67C" w14:textId="2064F8D9">
      <w:pPr>
        <w:pStyle w:val="QCOVERSubline"/>
        <w:jc w:val="left"/>
        <w:rPr>
          <w:color w:val="046B5C"/>
        </w:rPr>
      </w:pPr>
      <w:r w:rsidRPr="0014189A">
        <w:rPr>
          <w:color w:val="046B5C"/>
        </w:rPr>
        <w:t>National Study to Inform the 21st Century Community Learning Centers Program</w:t>
      </w:r>
    </w:p>
    <w:p w:rsidRPr="0014189A" w:rsidR="00B54C44" w:rsidP="00B54C44" w:rsidRDefault="005F2306" w14:paraId="66423520" w14:textId="3F788D73">
      <w:pPr>
        <w:pBdr>
          <w:top w:val="single" w:color="auto" w:sz="4" w:space="5"/>
          <w:bottom w:val="single" w:color="auto" w:sz="4" w:space="5"/>
        </w:pBdr>
        <w:spacing w:after="184" w:line="440" w:lineRule="exact"/>
        <w:ind w:firstLine="0"/>
        <w:outlineLvl w:val="0"/>
        <w:rPr>
          <w:rFonts w:ascii="Arial Black" w:hAnsi="Arial Black"/>
          <w:color w:val="046B5C"/>
          <w:sz w:val="37"/>
        </w:rPr>
      </w:pPr>
      <w:r w:rsidRPr="0014189A">
        <w:rPr>
          <w:rFonts w:ascii="Arial Black" w:hAnsi="Arial Black"/>
          <w:color w:val="046B5C"/>
          <w:sz w:val="37"/>
        </w:rPr>
        <w:t xml:space="preserve">Part B: Collection of Information Employing Statistical Methods </w:t>
      </w:r>
      <w:r w:rsidRPr="0014189A">
        <w:rPr>
          <w:rFonts w:ascii="Arial Black" w:hAnsi="Arial Black"/>
          <w:noProof/>
          <w:color w:val="046B5C"/>
          <w:sz w:val="37"/>
        </w:rPr>
        <w:drawing>
          <wp:anchor distT="0" distB="0" distL="114300" distR="114300" simplePos="0" relativeHeight="251658245" behindDoc="0" locked="1" layoutInCell="1" allowOverlap="1" wp14:editId="56D8450A" wp14:anchorId="7B03AB87">
            <wp:simplePos x="0" y="0"/>
            <wp:positionH relativeFrom="margin">
              <wp:align>right</wp:align>
            </wp:positionH>
            <wp:positionV relativeFrom="margin">
              <wp:posOffset>-2143125</wp:posOffset>
            </wp:positionV>
            <wp:extent cx="4876800" cy="1247775"/>
            <wp:effectExtent l="1905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r w:rsidRPr="0014189A" w:rsidR="00B54C44">
        <w:rPr>
          <w:rFonts w:ascii="Arial Black" w:hAnsi="Arial Black"/>
          <w:noProof/>
          <w:color w:val="046B5C"/>
          <w:sz w:val="37"/>
        </w:rPr>
        <w:drawing>
          <wp:anchor distT="0" distB="0" distL="114300" distR="114300" simplePos="0" relativeHeight="251658242" behindDoc="0" locked="1" layoutInCell="1" allowOverlap="1" wp14:editId="43BE3646" wp14:anchorId="1900836A">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p>
    <w:p w:rsidRPr="00030229" w:rsidR="00B54C44" w:rsidP="00B54C44" w:rsidRDefault="00413717" w14:paraId="14FD03EA" w14:textId="489C7956">
      <w:pPr>
        <w:pBdr>
          <w:bottom w:val="single" w:color="auto" w:sz="4" w:space="7"/>
        </w:pBdr>
        <w:spacing w:before="240" w:line="440" w:lineRule="exact"/>
        <w:ind w:firstLine="0"/>
        <w:rPr>
          <w:rFonts w:ascii="Arial" w:hAnsi="Arial"/>
          <w:sz w:val="34"/>
          <w:szCs w:val="26"/>
        </w:rPr>
      </w:pPr>
      <w:bookmarkStart w:name="DateMark" w:id="2"/>
      <w:bookmarkEnd w:id="2"/>
      <w:r>
        <w:rPr>
          <w:rFonts w:ascii="Arial" w:hAnsi="Arial"/>
          <w:sz w:val="34"/>
          <w:szCs w:val="26"/>
        </w:rPr>
        <w:t>April 20</w:t>
      </w:r>
      <w:r w:rsidRPr="000E7CE0" w:rsidR="000E7CE0">
        <w:rPr>
          <w:rFonts w:ascii="Arial" w:hAnsi="Arial"/>
          <w:sz w:val="34"/>
          <w:szCs w:val="26"/>
        </w:rPr>
        <w:t>, 2021</w:t>
      </w:r>
    </w:p>
    <w:p w:rsidRPr="00030229" w:rsidR="00B54C44" w:rsidP="00B54C44" w:rsidRDefault="00B54C44" w14:paraId="166CEA57" w14:textId="77777777">
      <w:pPr>
        <w:spacing w:before="120" w:line="260" w:lineRule="exact"/>
        <w:ind w:firstLine="0"/>
        <w:rPr>
          <w:rFonts w:ascii="Arial Black" w:hAnsi="Arial Black"/>
          <w:noProof/>
          <w:sz w:val="16"/>
          <w:szCs w:val="19"/>
        </w:rPr>
      </w:pPr>
      <w:r w:rsidRPr="00030229">
        <w:rPr>
          <w:rFonts w:ascii="Arial Black" w:hAnsi="Arial Black"/>
          <w:noProof/>
          <w:sz w:val="16"/>
          <w:szCs w:val="19"/>
        </w:rPr>
        <w:t>Submitted to:</w:t>
      </w:r>
    </w:p>
    <w:p w:rsidRPr="00030229" w:rsidR="00B54C44" w:rsidP="00B54C44" w:rsidRDefault="00B54C44" w14:paraId="6B66D39C" w14:textId="77777777">
      <w:pPr>
        <w:spacing w:after="0" w:line="260" w:lineRule="exact"/>
        <w:ind w:firstLine="0"/>
        <w:rPr>
          <w:rFonts w:ascii="Arial" w:hAnsi="Arial"/>
          <w:sz w:val="16"/>
          <w:szCs w:val="19"/>
        </w:rPr>
      </w:pPr>
      <w:bookmarkStart w:name="Agency" w:id="3"/>
      <w:bookmarkEnd w:id="3"/>
      <w:r w:rsidRPr="00030229">
        <w:rPr>
          <w:rFonts w:ascii="Arial" w:hAnsi="Arial"/>
          <w:sz w:val="16"/>
          <w:szCs w:val="19"/>
        </w:rPr>
        <w:t>U.S. Department of Education</w:t>
      </w:r>
    </w:p>
    <w:p w:rsidRPr="00030229" w:rsidR="000A028C" w:rsidP="000A028C" w:rsidRDefault="000A028C" w14:paraId="671A6197" w14:textId="77777777">
      <w:pPr>
        <w:spacing w:after="0" w:line="260" w:lineRule="exact"/>
        <w:ind w:firstLine="0"/>
        <w:rPr>
          <w:rFonts w:ascii="Arial" w:hAnsi="Arial"/>
          <w:sz w:val="16"/>
          <w:szCs w:val="19"/>
        </w:rPr>
      </w:pPr>
      <w:bookmarkStart w:name="AgencyDept" w:id="4"/>
      <w:bookmarkEnd w:id="4"/>
      <w:r w:rsidRPr="00030229">
        <w:rPr>
          <w:rFonts w:ascii="Arial" w:hAnsi="Arial"/>
          <w:sz w:val="16"/>
          <w:szCs w:val="19"/>
        </w:rPr>
        <w:t>Institute of Education Sciences</w:t>
      </w:r>
    </w:p>
    <w:p w:rsidRPr="00030229" w:rsidR="00B54C44" w:rsidP="00B54C44" w:rsidRDefault="00B54C44" w14:paraId="62D0F6DD" w14:textId="09762A94">
      <w:pPr>
        <w:spacing w:after="0" w:line="260" w:lineRule="exact"/>
        <w:ind w:firstLine="0"/>
        <w:rPr>
          <w:rFonts w:ascii="Arial" w:hAnsi="Arial"/>
          <w:sz w:val="16"/>
          <w:szCs w:val="19"/>
        </w:rPr>
      </w:pPr>
      <w:r w:rsidRPr="00030229">
        <w:rPr>
          <w:rFonts w:ascii="Arial" w:hAnsi="Arial"/>
          <w:sz w:val="16"/>
          <w:szCs w:val="19"/>
        </w:rPr>
        <w:t>National Center for Education Evaluation</w:t>
      </w:r>
      <w:r w:rsidR="000A028C">
        <w:rPr>
          <w:rFonts w:ascii="Arial" w:hAnsi="Arial"/>
          <w:sz w:val="16"/>
          <w:szCs w:val="19"/>
        </w:rPr>
        <w:t xml:space="preserve"> and Regional Assistance</w:t>
      </w:r>
    </w:p>
    <w:p w:rsidRPr="00030229" w:rsidR="00B54C44" w:rsidP="00B54C44" w:rsidRDefault="00B54C44" w14:paraId="36743692" w14:textId="77777777">
      <w:pPr>
        <w:spacing w:after="0" w:line="260" w:lineRule="exact"/>
        <w:ind w:firstLine="0"/>
        <w:contextualSpacing/>
        <w:rPr>
          <w:rFonts w:ascii="Arial" w:hAnsi="Arial"/>
          <w:sz w:val="16"/>
          <w:szCs w:val="19"/>
        </w:rPr>
      </w:pPr>
      <w:bookmarkStart w:name="AgencyAddress1" w:id="5"/>
      <w:bookmarkStart w:name="AgencyAddress2" w:id="6"/>
      <w:bookmarkEnd w:id="5"/>
      <w:bookmarkEnd w:id="6"/>
      <w:r w:rsidRPr="00030229">
        <w:rPr>
          <w:rFonts w:ascii="Arial" w:hAnsi="Arial"/>
          <w:sz w:val="16"/>
          <w:szCs w:val="19"/>
        </w:rPr>
        <w:t>550 12th Street, S.W.</w:t>
      </w:r>
    </w:p>
    <w:p w:rsidRPr="00030229" w:rsidR="00B54C44" w:rsidP="00B54C44" w:rsidRDefault="00B54C44" w14:paraId="235E44F3" w14:textId="154C3095">
      <w:pPr>
        <w:spacing w:after="0" w:line="260" w:lineRule="exact"/>
        <w:ind w:firstLine="0"/>
        <w:contextualSpacing/>
        <w:rPr>
          <w:rFonts w:ascii="Arial" w:hAnsi="Arial"/>
          <w:sz w:val="16"/>
          <w:szCs w:val="19"/>
        </w:rPr>
      </w:pPr>
      <w:r w:rsidRPr="00030229">
        <w:rPr>
          <w:rFonts w:ascii="Arial" w:hAnsi="Arial"/>
          <w:sz w:val="16"/>
          <w:szCs w:val="19"/>
        </w:rPr>
        <w:t>Washington, DC 20</w:t>
      </w:r>
      <w:r>
        <w:rPr>
          <w:rFonts w:ascii="Arial" w:hAnsi="Arial"/>
          <w:sz w:val="16"/>
          <w:szCs w:val="19"/>
        </w:rPr>
        <w:t>202</w:t>
      </w:r>
    </w:p>
    <w:p w:rsidRPr="00030229" w:rsidR="00B54C44" w:rsidP="00B54C44" w:rsidRDefault="00B54C44" w14:paraId="7287E3CF" w14:textId="77777777">
      <w:pPr>
        <w:pBdr>
          <w:bottom w:val="single" w:color="auto" w:sz="2" w:space="4"/>
        </w:pBdr>
        <w:spacing w:after="100" w:line="260" w:lineRule="exact"/>
        <w:ind w:firstLine="0"/>
        <w:rPr>
          <w:rFonts w:ascii="Arial" w:hAnsi="Arial"/>
          <w:sz w:val="16"/>
          <w:szCs w:val="19"/>
        </w:rPr>
      </w:pPr>
      <w:r w:rsidRPr="00030229">
        <w:rPr>
          <w:rFonts w:ascii="Arial" w:hAnsi="Arial"/>
          <w:sz w:val="16"/>
          <w:szCs w:val="19"/>
        </w:rPr>
        <w:t xml:space="preserve">Project Officer: </w:t>
      </w:r>
      <w:bookmarkStart w:name="ProjOff" w:id="7"/>
      <w:bookmarkEnd w:id="7"/>
      <w:r w:rsidRPr="00030229">
        <w:rPr>
          <w:rFonts w:ascii="Arial" w:hAnsi="Arial"/>
          <w:sz w:val="16"/>
          <w:szCs w:val="19"/>
        </w:rPr>
        <w:t>E</w:t>
      </w:r>
      <w:r>
        <w:rPr>
          <w:rFonts w:ascii="Arial" w:hAnsi="Arial"/>
          <w:sz w:val="16"/>
          <w:szCs w:val="19"/>
        </w:rPr>
        <w:t>rica Johnson</w:t>
      </w:r>
      <w:r w:rsidRPr="00030229">
        <w:rPr>
          <w:rFonts w:ascii="Arial" w:hAnsi="Arial"/>
          <w:sz w:val="16"/>
          <w:szCs w:val="19"/>
        </w:rPr>
        <w:br/>
      </w:r>
      <w:r w:rsidRPr="000A49E0">
        <w:rPr>
          <w:rFonts w:ascii="Arial" w:hAnsi="Arial"/>
          <w:sz w:val="16"/>
          <w:szCs w:val="19"/>
        </w:rPr>
        <w:t xml:space="preserve">Contract Number: </w:t>
      </w:r>
      <w:bookmarkStart w:name="ContractNumber" w:id="8"/>
      <w:bookmarkEnd w:id="8"/>
      <w:r w:rsidRPr="000A49E0">
        <w:rPr>
          <w:rFonts w:ascii="Arial" w:hAnsi="Arial"/>
          <w:sz w:val="16"/>
          <w:szCs w:val="19"/>
        </w:rPr>
        <w:t>91990019C0056</w:t>
      </w:r>
    </w:p>
    <w:p w:rsidRPr="00030229" w:rsidR="00B54C44" w:rsidP="00B54C44" w:rsidRDefault="00B54C44" w14:paraId="623B6B9E" w14:textId="77777777">
      <w:pPr>
        <w:spacing w:line="260" w:lineRule="exact"/>
        <w:ind w:firstLine="0"/>
        <w:rPr>
          <w:rFonts w:ascii="Arial Black" w:hAnsi="Arial Black"/>
          <w:noProof/>
          <w:sz w:val="16"/>
          <w:szCs w:val="19"/>
        </w:rPr>
      </w:pPr>
      <w:r w:rsidRPr="00030229">
        <w:rPr>
          <w:rFonts w:ascii="Arial Black" w:hAnsi="Arial Black"/>
          <w:noProof/>
          <w:sz w:val="16"/>
          <w:szCs w:val="19"/>
        </w:rPr>
        <w:t>Submitted by:</w:t>
      </w:r>
    </w:p>
    <w:p w:rsidRPr="00030229" w:rsidR="001079B3" w:rsidP="001079B3" w:rsidRDefault="001079B3" w14:paraId="7DD657C1" w14:textId="205C4C82">
      <w:pPr>
        <w:spacing w:after="100" w:line="260" w:lineRule="exact"/>
        <w:ind w:firstLine="0"/>
        <w:contextualSpacing/>
        <w:rPr>
          <w:rFonts w:ascii="Arial" w:hAnsi="Arial"/>
          <w:sz w:val="16"/>
          <w:szCs w:val="19"/>
        </w:rPr>
      </w:pPr>
      <w:r w:rsidRPr="00030229">
        <w:rPr>
          <w:rFonts w:ascii="Arial" w:hAnsi="Arial"/>
          <w:sz w:val="16"/>
          <w:szCs w:val="19"/>
        </w:rPr>
        <w:t>Mathematica</w:t>
      </w:r>
    </w:p>
    <w:p w:rsidRPr="00030229" w:rsidR="001079B3" w:rsidP="001079B3" w:rsidRDefault="001079B3" w14:paraId="22F18AB1" w14:textId="77777777">
      <w:pPr>
        <w:spacing w:after="100" w:line="260" w:lineRule="exact"/>
        <w:ind w:firstLine="0"/>
        <w:contextualSpacing/>
        <w:rPr>
          <w:rFonts w:ascii="Arial" w:hAnsi="Arial"/>
          <w:sz w:val="16"/>
          <w:szCs w:val="19"/>
        </w:rPr>
      </w:pPr>
      <w:bookmarkStart w:name="Address2" w:id="9"/>
      <w:bookmarkEnd w:id="9"/>
      <w:r w:rsidRPr="00030229">
        <w:rPr>
          <w:rFonts w:ascii="Arial" w:hAnsi="Arial"/>
          <w:sz w:val="16"/>
          <w:szCs w:val="19"/>
        </w:rPr>
        <w:t>P.O. Box 2393</w:t>
      </w:r>
      <w:r w:rsidRPr="00030229">
        <w:rPr>
          <w:rFonts w:ascii="Arial" w:hAnsi="Arial"/>
          <w:sz w:val="16"/>
          <w:szCs w:val="19"/>
        </w:rPr>
        <w:br/>
        <w:t>Princeton, NJ 08543-2393</w:t>
      </w:r>
      <w:r w:rsidRPr="00030229">
        <w:rPr>
          <w:rFonts w:ascii="Arial" w:hAnsi="Arial"/>
          <w:sz w:val="16"/>
          <w:szCs w:val="19"/>
        </w:rPr>
        <w:br/>
        <w:t>Telephone: (609) 799-3535</w:t>
      </w:r>
      <w:r w:rsidRPr="00030229">
        <w:rPr>
          <w:rFonts w:ascii="Arial" w:hAnsi="Arial"/>
          <w:sz w:val="16"/>
          <w:szCs w:val="19"/>
        </w:rPr>
        <w:br/>
        <w:t>Facsimile: (609) 799-0005</w:t>
      </w:r>
    </w:p>
    <w:p w:rsidR="00030229" w:rsidP="001079B3" w:rsidRDefault="001079B3" w14:paraId="52FF00A1" w14:textId="7B5C1FE6">
      <w:pPr>
        <w:spacing w:after="100" w:line="260" w:lineRule="exact"/>
        <w:ind w:firstLine="0"/>
        <w:contextualSpacing/>
        <w:rPr>
          <w:rFonts w:ascii="Arial" w:hAnsi="Arial"/>
          <w:sz w:val="16"/>
          <w:szCs w:val="19"/>
        </w:rPr>
      </w:pPr>
      <w:r w:rsidRPr="00030229">
        <w:rPr>
          <w:rFonts w:ascii="Arial" w:hAnsi="Arial"/>
          <w:sz w:val="16"/>
          <w:szCs w:val="19"/>
        </w:rPr>
        <w:t xml:space="preserve">Project Director: </w:t>
      </w:r>
      <w:bookmarkStart w:name="ProjDir" w:id="10"/>
      <w:bookmarkEnd w:id="10"/>
      <w:r w:rsidRPr="00030229">
        <w:rPr>
          <w:rFonts w:ascii="Arial" w:hAnsi="Arial"/>
          <w:sz w:val="16"/>
          <w:szCs w:val="19"/>
        </w:rPr>
        <w:t>Susanne James-Burdumy</w:t>
      </w:r>
      <w:r w:rsidRPr="00030229">
        <w:rPr>
          <w:rFonts w:ascii="Arial" w:hAnsi="Arial"/>
          <w:sz w:val="16"/>
          <w:szCs w:val="19"/>
        </w:rPr>
        <w:br/>
        <w:t xml:space="preserve">Reference Number: </w:t>
      </w:r>
      <w:bookmarkStart w:name="MPRRef" w:id="11"/>
      <w:bookmarkEnd w:id="11"/>
      <w:r>
        <w:rPr>
          <w:rFonts w:ascii="Arial" w:hAnsi="Arial"/>
          <w:sz w:val="16"/>
          <w:szCs w:val="19"/>
        </w:rPr>
        <w:t>5084</w:t>
      </w:r>
      <w:r w:rsidR="000A028C">
        <w:rPr>
          <w:rFonts w:ascii="Arial" w:hAnsi="Arial"/>
          <w:sz w:val="16"/>
          <w:szCs w:val="19"/>
        </w:rPr>
        <w:t>6</w:t>
      </w:r>
    </w:p>
    <w:p w:rsidR="001079B3" w:rsidP="001079B3" w:rsidRDefault="001079B3" w14:paraId="6353C93E" w14:textId="77777777">
      <w:pPr>
        <w:rPr>
          <w:rFonts w:ascii="Arial" w:hAnsi="Arial"/>
          <w:sz w:val="16"/>
          <w:szCs w:val="19"/>
        </w:rPr>
      </w:pPr>
    </w:p>
    <w:p w:rsidRPr="00030229" w:rsidR="001079B3" w:rsidP="001079B3" w:rsidRDefault="001079B3" w14:paraId="68363DA4" w14:textId="1BC80425">
      <w:pPr>
        <w:sectPr w:rsidRPr="00030229" w:rsidR="001079B3" w:rsidSect="00D56759">
          <w:headerReference w:type="first" r:id="rId13"/>
          <w:footerReference w:type="first" r:id="rId14"/>
          <w:pgSz w:w="12240" w:h="15840"/>
          <w:pgMar w:top="1008" w:right="965" w:bottom="1195" w:left="3629" w:header="864" w:footer="576" w:gutter="0"/>
          <w:cols w:space="720"/>
          <w:titlePg/>
          <w:docGrid w:linePitch="326"/>
        </w:sectPr>
      </w:pPr>
    </w:p>
    <w:p w:rsidR="00983BED" w:rsidP="00C604A7" w:rsidRDefault="00030229" w14:paraId="3BCC6579" w14:textId="77777777">
      <w:pPr>
        <w:pStyle w:val="TOCHeading"/>
      </w:pPr>
      <w:r>
        <w:lastRenderedPageBreak/>
        <w:t>CONTENTS</w:t>
      </w:r>
    </w:p>
    <w:p w:rsidR="00FD5D55" w:rsidRDefault="00030229" w14:paraId="72075A2A" w14:textId="71F455D8">
      <w:pPr>
        <w:pStyle w:val="TOC1"/>
        <w:rPr>
          <w:rFonts w:asciiTheme="minorHAnsi" w:hAnsiTheme="minorHAnsi" w:eastAsiaTheme="minorEastAsia" w:cstheme="minorBidi"/>
          <w:caps w:val="0"/>
          <w:noProof/>
          <w:sz w:val="22"/>
          <w:szCs w:val="22"/>
        </w:rPr>
      </w:pPr>
      <w:r>
        <w:fldChar w:fldCharType="begin"/>
      </w:r>
      <w:r>
        <w:instrText xml:space="preserve"> TOC \o "2-4" \z \t "H2_Chapter,1,H3_Alpha,2,H4_Number,3,Mark for Attachment Title,8,Mark for Appendix Title,8" </w:instrText>
      </w:r>
      <w:r>
        <w:fldChar w:fldCharType="separate"/>
      </w:r>
      <w:r w:rsidR="00FD5D55">
        <w:rPr>
          <w:noProof/>
        </w:rPr>
        <w:t>PART B. Collection of information employing statistical methods</w:t>
      </w:r>
      <w:r w:rsidR="00FD5D55">
        <w:rPr>
          <w:noProof/>
          <w:webHidden/>
        </w:rPr>
        <w:tab/>
      </w:r>
      <w:r w:rsidR="00FD5D55">
        <w:rPr>
          <w:noProof/>
          <w:webHidden/>
        </w:rPr>
        <w:fldChar w:fldCharType="begin"/>
      </w:r>
      <w:r w:rsidR="00FD5D55">
        <w:rPr>
          <w:noProof/>
          <w:webHidden/>
        </w:rPr>
        <w:instrText xml:space="preserve"> PAGEREF _Toc69379653 \h </w:instrText>
      </w:r>
      <w:r w:rsidR="00FD5D55">
        <w:rPr>
          <w:noProof/>
          <w:webHidden/>
        </w:rPr>
      </w:r>
      <w:r w:rsidR="00FD5D55">
        <w:rPr>
          <w:noProof/>
          <w:webHidden/>
        </w:rPr>
        <w:fldChar w:fldCharType="separate"/>
      </w:r>
      <w:r w:rsidR="00FD5D55">
        <w:rPr>
          <w:noProof/>
          <w:webHidden/>
        </w:rPr>
        <w:t>1</w:t>
      </w:r>
      <w:r w:rsidR="00FD5D55">
        <w:rPr>
          <w:noProof/>
          <w:webHidden/>
        </w:rPr>
        <w:fldChar w:fldCharType="end"/>
      </w:r>
    </w:p>
    <w:p w:rsidR="00FD5D55" w:rsidRDefault="00FD5D55" w14:paraId="1F1AF538" w14:textId="316A3A93">
      <w:pPr>
        <w:pStyle w:val="TOC2"/>
        <w:rPr>
          <w:rFonts w:asciiTheme="minorHAnsi" w:hAnsiTheme="minorHAnsi" w:eastAsiaTheme="minorEastAsia" w:cstheme="minorBidi"/>
          <w:sz w:val="22"/>
          <w:szCs w:val="22"/>
        </w:rPr>
      </w:pPr>
      <w:r>
        <w:t>Introduction</w:t>
      </w:r>
      <w:r>
        <w:rPr>
          <w:webHidden/>
        </w:rPr>
        <w:tab/>
      </w:r>
      <w:r>
        <w:rPr>
          <w:webHidden/>
        </w:rPr>
        <w:fldChar w:fldCharType="begin"/>
      </w:r>
      <w:r>
        <w:rPr>
          <w:webHidden/>
        </w:rPr>
        <w:instrText xml:space="preserve"> PAGEREF _Toc69379654 \h </w:instrText>
      </w:r>
      <w:r>
        <w:rPr>
          <w:webHidden/>
        </w:rPr>
      </w:r>
      <w:r>
        <w:rPr>
          <w:webHidden/>
        </w:rPr>
        <w:fldChar w:fldCharType="separate"/>
      </w:r>
      <w:r>
        <w:rPr>
          <w:webHidden/>
        </w:rPr>
        <w:t>1</w:t>
      </w:r>
      <w:r>
        <w:rPr>
          <w:webHidden/>
        </w:rPr>
        <w:fldChar w:fldCharType="end"/>
      </w:r>
    </w:p>
    <w:p w:rsidR="00FD5D55" w:rsidRDefault="00FD5D55" w14:paraId="683E37D6" w14:textId="4324946C">
      <w:pPr>
        <w:pStyle w:val="TOC3"/>
        <w:tabs>
          <w:tab w:val="left" w:pos="1872"/>
        </w:tabs>
        <w:rPr>
          <w:rFonts w:asciiTheme="minorHAnsi" w:hAnsiTheme="minorHAnsi" w:eastAsiaTheme="minorEastAsia" w:cstheme="minorBidi"/>
          <w:sz w:val="22"/>
          <w:szCs w:val="22"/>
        </w:rPr>
      </w:pPr>
      <w:r>
        <w:t>B1.</w:t>
      </w:r>
      <w:r>
        <w:rPr>
          <w:rFonts w:asciiTheme="minorHAnsi" w:hAnsiTheme="minorHAnsi" w:eastAsiaTheme="minorEastAsia" w:cstheme="minorBidi"/>
          <w:sz w:val="22"/>
          <w:szCs w:val="22"/>
        </w:rPr>
        <w:tab/>
      </w:r>
      <w:r>
        <w:t>Respondent universe and sampling methods</w:t>
      </w:r>
      <w:r>
        <w:rPr>
          <w:webHidden/>
        </w:rPr>
        <w:tab/>
      </w:r>
      <w:r>
        <w:rPr>
          <w:webHidden/>
        </w:rPr>
        <w:fldChar w:fldCharType="begin"/>
      </w:r>
      <w:r>
        <w:rPr>
          <w:webHidden/>
        </w:rPr>
        <w:instrText xml:space="preserve"> PAGEREF _Toc69379655 \h </w:instrText>
      </w:r>
      <w:r>
        <w:rPr>
          <w:webHidden/>
        </w:rPr>
      </w:r>
      <w:r>
        <w:rPr>
          <w:webHidden/>
        </w:rPr>
        <w:fldChar w:fldCharType="separate"/>
      </w:r>
      <w:r>
        <w:rPr>
          <w:webHidden/>
        </w:rPr>
        <w:t>1</w:t>
      </w:r>
      <w:r>
        <w:rPr>
          <w:webHidden/>
        </w:rPr>
        <w:fldChar w:fldCharType="end"/>
      </w:r>
    </w:p>
    <w:p w:rsidR="00FD5D55" w:rsidRDefault="00FD5D55" w14:paraId="35F10C6C" w14:textId="24CF6831">
      <w:pPr>
        <w:pStyle w:val="TOC3"/>
        <w:tabs>
          <w:tab w:val="left" w:pos="2520"/>
        </w:tabs>
        <w:rPr>
          <w:rFonts w:asciiTheme="minorHAnsi" w:hAnsiTheme="minorHAnsi" w:eastAsiaTheme="minorEastAsia" w:cstheme="minorBidi"/>
          <w:sz w:val="22"/>
          <w:szCs w:val="22"/>
        </w:rPr>
      </w:pPr>
      <w:r>
        <w:t xml:space="preserve">B2. </w:t>
      </w:r>
      <w:r>
        <w:rPr>
          <w:rFonts w:asciiTheme="minorHAnsi" w:hAnsiTheme="minorHAnsi" w:eastAsiaTheme="minorEastAsia" w:cstheme="minorBidi"/>
          <w:sz w:val="22"/>
          <w:szCs w:val="22"/>
        </w:rPr>
        <w:tab/>
      </w:r>
      <w:r>
        <w:t>Statistical methods for sample selection and degree of accuracy needed</w:t>
      </w:r>
      <w:r>
        <w:rPr>
          <w:webHidden/>
        </w:rPr>
        <w:tab/>
      </w:r>
      <w:r>
        <w:rPr>
          <w:webHidden/>
        </w:rPr>
        <w:fldChar w:fldCharType="begin"/>
      </w:r>
      <w:r>
        <w:rPr>
          <w:webHidden/>
        </w:rPr>
        <w:instrText xml:space="preserve"> PAGEREF _Toc69379656 \h </w:instrText>
      </w:r>
      <w:r>
        <w:rPr>
          <w:webHidden/>
        </w:rPr>
      </w:r>
      <w:r>
        <w:rPr>
          <w:webHidden/>
        </w:rPr>
        <w:fldChar w:fldCharType="separate"/>
      </w:r>
      <w:r>
        <w:rPr>
          <w:webHidden/>
        </w:rPr>
        <w:t>5</w:t>
      </w:r>
      <w:r>
        <w:rPr>
          <w:webHidden/>
        </w:rPr>
        <w:fldChar w:fldCharType="end"/>
      </w:r>
    </w:p>
    <w:p w:rsidR="00FD5D55" w:rsidRDefault="00FD5D55" w14:paraId="7B76527D" w14:textId="699BD70D">
      <w:pPr>
        <w:pStyle w:val="TOC3"/>
        <w:tabs>
          <w:tab w:val="left" w:pos="1872"/>
        </w:tabs>
        <w:rPr>
          <w:rFonts w:asciiTheme="minorHAnsi" w:hAnsiTheme="minorHAnsi" w:eastAsiaTheme="minorEastAsia" w:cstheme="minorBidi"/>
          <w:sz w:val="22"/>
          <w:szCs w:val="22"/>
        </w:rPr>
      </w:pPr>
      <w:r>
        <w:t>B3.</w:t>
      </w:r>
      <w:r>
        <w:rPr>
          <w:rFonts w:asciiTheme="minorHAnsi" w:hAnsiTheme="minorHAnsi" w:eastAsiaTheme="minorEastAsia" w:cstheme="minorBidi"/>
          <w:sz w:val="22"/>
          <w:szCs w:val="22"/>
        </w:rPr>
        <w:tab/>
      </w:r>
      <w:r>
        <w:t>Methods to maximize response rates and deal with nonresponse</w:t>
      </w:r>
      <w:r>
        <w:rPr>
          <w:webHidden/>
        </w:rPr>
        <w:tab/>
      </w:r>
      <w:r>
        <w:rPr>
          <w:webHidden/>
        </w:rPr>
        <w:fldChar w:fldCharType="begin"/>
      </w:r>
      <w:r>
        <w:rPr>
          <w:webHidden/>
        </w:rPr>
        <w:instrText xml:space="preserve"> PAGEREF _Toc69379657 \h </w:instrText>
      </w:r>
      <w:r>
        <w:rPr>
          <w:webHidden/>
        </w:rPr>
      </w:r>
      <w:r>
        <w:rPr>
          <w:webHidden/>
        </w:rPr>
        <w:fldChar w:fldCharType="separate"/>
      </w:r>
      <w:r>
        <w:rPr>
          <w:webHidden/>
        </w:rPr>
        <w:t>11</w:t>
      </w:r>
      <w:r>
        <w:rPr>
          <w:webHidden/>
        </w:rPr>
        <w:fldChar w:fldCharType="end"/>
      </w:r>
    </w:p>
    <w:p w:rsidR="00FD5D55" w:rsidRDefault="00FD5D55" w14:paraId="05477BA7" w14:textId="4FD7EE03">
      <w:pPr>
        <w:pStyle w:val="TOC3"/>
        <w:tabs>
          <w:tab w:val="left" w:pos="1872"/>
        </w:tabs>
        <w:rPr>
          <w:rFonts w:asciiTheme="minorHAnsi" w:hAnsiTheme="minorHAnsi" w:eastAsiaTheme="minorEastAsia" w:cstheme="minorBidi"/>
          <w:sz w:val="22"/>
          <w:szCs w:val="22"/>
        </w:rPr>
      </w:pPr>
      <w:r>
        <w:t>B4.</w:t>
      </w:r>
      <w:r>
        <w:rPr>
          <w:rFonts w:asciiTheme="minorHAnsi" w:hAnsiTheme="minorHAnsi" w:eastAsiaTheme="minorEastAsia" w:cstheme="minorBidi"/>
          <w:sz w:val="22"/>
          <w:szCs w:val="22"/>
        </w:rPr>
        <w:tab/>
      </w:r>
      <w:r>
        <w:t>Tests of procedures and methods to be undertaken</w:t>
      </w:r>
      <w:r>
        <w:rPr>
          <w:webHidden/>
        </w:rPr>
        <w:tab/>
      </w:r>
      <w:r>
        <w:rPr>
          <w:webHidden/>
        </w:rPr>
        <w:fldChar w:fldCharType="begin"/>
      </w:r>
      <w:r>
        <w:rPr>
          <w:webHidden/>
        </w:rPr>
        <w:instrText xml:space="preserve"> PAGEREF _Toc69379658 \h </w:instrText>
      </w:r>
      <w:r>
        <w:rPr>
          <w:webHidden/>
        </w:rPr>
      </w:r>
      <w:r>
        <w:rPr>
          <w:webHidden/>
        </w:rPr>
        <w:fldChar w:fldCharType="separate"/>
      </w:r>
      <w:r>
        <w:rPr>
          <w:webHidden/>
        </w:rPr>
        <w:t>14</w:t>
      </w:r>
      <w:r>
        <w:rPr>
          <w:webHidden/>
        </w:rPr>
        <w:fldChar w:fldCharType="end"/>
      </w:r>
    </w:p>
    <w:p w:rsidR="00FD5D55" w:rsidRDefault="00FD5D55" w14:paraId="225F5B0F" w14:textId="32462003">
      <w:pPr>
        <w:pStyle w:val="TOC3"/>
        <w:tabs>
          <w:tab w:val="left" w:pos="1872"/>
        </w:tabs>
        <w:rPr>
          <w:rFonts w:asciiTheme="minorHAnsi" w:hAnsiTheme="minorHAnsi" w:eastAsiaTheme="minorEastAsia" w:cstheme="minorBidi"/>
          <w:sz w:val="22"/>
          <w:szCs w:val="22"/>
        </w:rPr>
      </w:pPr>
      <w:r>
        <w:t>B5.</w:t>
      </w:r>
      <w:r>
        <w:rPr>
          <w:rFonts w:asciiTheme="minorHAnsi" w:hAnsiTheme="minorHAnsi" w:eastAsiaTheme="minorEastAsia" w:cstheme="minorBidi"/>
          <w:sz w:val="22"/>
          <w:szCs w:val="22"/>
        </w:rPr>
        <w:tab/>
      </w:r>
      <w:r>
        <w:t>Individuals consulted on statistical aspects of the design</w:t>
      </w:r>
      <w:r>
        <w:rPr>
          <w:webHidden/>
        </w:rPr>
        <w:tab/>
      </w:r>
      <w:r>
        <w:rPr>
          <w:webHidden/>
        </w:rPr>
        <w:fldChar w:fldCharType="begin"/>
      </w:r>
      <w:r>
        <w:rPr>
          <w:webHidden/>
        </w:rPr>
        <w:instrText xml:space="preserve"> PAGEREF _Toc69379659 \h </w:instrText>
      </w:r>
      <w:r>
        <w:rPr>
          <w:webHidden/>
        </w:rPr>
      </w:r>
      <w:r>
        <w:rPr>
          <w:webHidden/>
        </w:rPr>
        <w:fldChar w:fldCharType="separate"/>
      </w:r>
      <w:r>
        <w:rPr>
          <w:webHidden/>
        </w:rPr>
        <w:t>15</w:t>
      </w:r>
      <w:r>
        <w:rPr>
          <w:webHidden/>
        </w:rPr>
        <w:fldChar w:fldCharType="end"/>
      </w:r>
    </w:p>
    <w:p w:rsidR="00FD5D55" w:rsidRDefault="00FD5D55" w14:paraId="3F351A6D" w14:textId="73F27603">
      <w:pPr>
        <w:pStyle w:val="TOC1"/>
        <w:rPr>
          <w:rFonts w:asciiTheme="minorHAnsi" w:hAnsiTheme="minorHAnsi" w:eastAsiaTheme="minorEastAsia"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_Toc69379660 \h </w:instrText>
      </w:r>
      <w:r>
        <w:rPr>
          <w:noProof/>
          <w:webHidden/>
        </w:rPr>
      </w:r>
      <w:r>
        <w:rPr>
          <w:noProof/>
          <w:webHidden/>
        </w:rPr>
        <w:fldChar w:fldCharType="separate"/>
      </w:r>
      <w:r>
        <w:rPr>
          <w:noProof/>
          <w:webHidden/>
        </w:rPr>
        <w:t>16</w:t>
      </w:r>
      <w:r>
        <w:rPr>
          <w:noProof/>
          <w:webHidden/>
        </w:rPr>
        <w:fldChar w:fldCharType="end"/>
      </w:r>
    </w:p>
    <w:p w:rsidRPr="00E70BD0" w:rsidR="00E70BD0" w:rsidP="00E70BD0" w:rsidRDefault="00030229" w14:paraId="38C96636" w14:textId="7343A87A">
      <w:pPr>
        <w:pStyle w:val="TOC1"/>
      </w:pPr>
      <w:r>
        <w:fldChar w:fldCharType="end"/>
      </w:r>
      <w:r w:rsidRPr="00E70BD0" w:rsidR="00E70BD0">
        <w:t>Appendix A: Confidentiality Agreement</w:t>
      </w:r>
    </w:p>
    <w:p w:rsidRPr="00E70BD0" w:rsidR="00E70BD0" w:rsidP="00E70BD0" w:rsidRDefault="00E70BD0" w14:paraId="2162F724" w14:textId="78585C2D">
      <w:pPr>
        <w:pStyle w:val="TOC1"/>
      </w:pPr>
      <w:r w:rsidRPr="00E70BD0">
        <w:t>Appendix B: Afterschool Center Coaching Log</w:t>
      </w:r>
    </w:p>
    <w:p w:rsidRPr="00E70BD0" w:rsidR="00E70BD0" w:rsidP="00E70BD0" w:rsidRDefault="00E70BD0" w14:paraId="6CAFEB87" w14:textId="1833E021">
      <w:pPr>
        <w:pStyle w:val="TOC1"/>
      </w:pPr>
      <w:r w:rsidRPr="00E70BD0">
        <w:t>Appendix C: Request for Student Afterschool Attendance Records</w:t>
      </w:r>
    </w:p>
    <w:p w:rsidRPr="00E70BD0" w:rsidR="00E70BD0" w:rsidP="00E70BD0" w:rsidRDefault="00E70BD0" w14:paraId="33EB96E0" w14:textId="679929BA">
      <w:pPr>
        <w:pStyle w:val="TOC1"/>
      </w:pPr>
      <w:r w:rsidRPr="00E70BD0">
        <w:t>Appendix D: Parent/Guardian Questionnaire</w:t>
      </w:r>
    </w:p>
    <w:p w:rsidRPr="00E70BD0" w:rsidR="00E70BD0" w:rsidP="00E70BD0" w:rsidRDefault="00E70BD0" w14:paraId="7007DA87" w14:textId="139E8069">
      <w:pPr>
        <w:pStyle w:val="TOC1"/>
      </w:pPr>
      <w:r w:rsidRPr="00E70BD0">
        <w:t>Appendix E: Parent/Guardian Permission Form</w:t>
      </w:r>
    </w:p>
    <w:p w:rsidR="00B53DE1" w:rsidP="00E70BD0" w:rsidRDefault="00B53DE1" w14:paraId="24EAC8BA" w14:textId="64E911B4">
      <w:pPr>
        <w:pStyle w:val="TOC1"/>
      </w:pPr>
    </w:p>
    <w:p w:rsidR="00E06D68" w:rsidP="00555901" w:rsidRDefault="00E06D68" w14:paraId="6640C2AE" w14:textId="77777777"/>
    <w:p w:rsidR="009D2B7A" w:rsidP="00555901" w:rsidRDefault="009D2B7A" w14:paraId="4ABC842D" w14:textId="19E0F5C2">
      <w:pPr>
        <w:sectPr w:rsidR="009D2B7A" w:rsidSect="00927400">
          <w:headerReference w:type="default" r:id="rId15"/>
          <w:footerReference w:type="default" r:id="rId16"/>
          <w:pgSz w:w="12240" w:h="15840"/>
          <w:pgMar w:top="1440" w:right="1440" w:bottom="1440" w:left="1440" w:header="720" w:footer="720" w:gutter="0"/>
          <w:pgNumType w:fmt="lowerRoman"/>
          <w:cols w:space="720"/>
          <w:docGrid w:linePitch="360"/>
        </w:sectPr>
      </w:pPr>
    </w:p>
    <w:p w:rsidRPr="0096196C" w:rsidR="0096196C" w:rsidP="00B40CFF" w:rsidRDefault="004A4DBD" w14:paraId="347F4638" w14:textId="1044E3C6">
      <w:pPr>
        <w:pStyle w:val="TOCHeading"/>
      </w:pPr>
      <w:r>
        <w:rPr>
          <w:rFonts w:ascii="Times New Roman" w:hAnsi="Times New Roman"/>
          <w:sz w:val="24"/>
        </w:rPr>
        <w:lastRenderedPageBreak/>
        <w:fldChar w:fldCharType="begin"/>
      </w:r>
      <w:r>
        <w:instrText xml:space="preserve"> TOC \z \t "Mark for Table Title,1" \c "Figure" </w:instrText>
      </w:r>
      <w:r>
        <w:rPr>
          <w:rFonts w:ascii="Times New Roman" w:hAnsi="Times New Roman"/>
          <w:sz w:val="24"/>
        </w:rPr>
        <w:fldChar w:fldCharType="separate"/>
      </w:r>
      <w:r w:rsidR="00555901">
        <w:t>EXHIBITS</w:t>
      </w:r>
    </w:p>
    <w:p w:rsidRPr="00394A40" w:rsidR="009D2637" w:rsidP="009D2637" w:rsidRDefault="004A4DBD" w14:paraId="228E8066" w14:textId="08A358DF">
      <w:pPr>
        <w:pStyle w:val="TableofFigures"/>
        <w:rPr>
          <w:rFonts w:asciiTheme="minorHAnsi" w:hAnsiTheme="minorHAnsi" w:eastAsiaTheme="minorEastAsia" w:cstheme="minorBidi"/>
          <w:noProof/>
          <w:color w:val="000000" w:themeColor="text1"/>
          <w:sz w:val="22"/>
          <w:szCs w:val="22"/>
        </w:rPr>
      </w:pPr>
      <w:r>
        <w:fldChar w:fldCharType="end"/>
      </w:r>
      <w:hyperlink w:history="1" w:anchor="_Toc62055079">
        <w:r w:rsidRPr="00394A40" w:rsidR="009D2637">
          <w:rPr>
            <w:rStyle w:val="Hyperlink"/>
            <w:noProof/>
            <w:color w:val="000000" w:themeColor="text1"/>
            <w:u w:val="none"/>
          </w:rPr>
          <w:t xml:space="preserve">B.1. </w:t>
        </w:r>
        <w:r w:rsidRPr="00A96382" w:rsidR="00A96382">
          <w:rPr>
            <w:rStyle w:val="Hyperlink"/>
            <w:noProof/>
            <w:color w:val="000000"/>
            <w:u w:val="none"/>
          </w:rPr>
          <w:t>Respondent universe, sample, and expected response rate for study data sources</w:t>
        </w:r>
        <w:r w:rsidRPr="00394A40" w:rsidR="009D2637">
          <w:rPr>
            <w:noProof/>
            <w:webHidden/>
            <w:color w:val="000000" w:themeColor="text1"/>
          </w:rPr>
          <w:tab/>
        </w:r>
        <w:r w:rsidRPr="00394A40" w:rsidR="009D2637">
          <w:rPr>
            <w:noProof/>
            <w:webHidden/>
            <w:color w:val="000000" w:themeColor="text1"/>
          </w:rPr>
          <w:fldChar w:fldCharType="begin"/>
        </w:r>
        <w:r w:rsidRPr="00394A40" w:rsidR="009D2637">
          <w:rPr>
            <w:noProof/>
            <w:webHidden/>
            <w:color w:val="000000" w:themeColor="text1"/>
          </w:rPr>
          <w:instrText xml:space="preserve"> PAGEREF _Toc62055079 \h </w:instrText>
        </w:r>
        <w:r w:rsidRPr="00394A40" w:rsidR="009D2637">
          <w:rPr>
            <w:noProof/>
            <w:webHidden/>
            <w:color w:val="000000" w:themeColor="text1"/>
          </w:rPr>
        </w:r>
        <w:r w:rsidRPr="00394A40" w:rsidR="009D2637">
          <w:rPr>
            <w:noProof/>
            <w:webHidden/>
            <w:color w:val="000000" w:themeColor="text1"/>
          </w:rPr>
          <w:fldChar w:fldCharType="separate"/>
        </w:r>
        <w:r w:rsidRPr="00394A40" w:rsidR="009D2637">
          <w:rPr>
            <w:noProof/>
            <w:webHidden/>
            <w:color w:val="000000" w:themeColor="text1"/>
          </w:rPr>
          <w:t>2</w:t>
        </w:r>
        <w:r w:rsidRPr="00394A40" w:rsidR="009D2637">
          <w:rPr>
            <w:noProof/>
            <w:webHidden/>
            <w:color w:val="000000" w:themeColor="text1"/>
          </w:rPr>
          <w:fldChar w:fldCharType="end"/>
        </w:r>
      </w:hyperlink>
    </w:p>
    <w:p w:rsidRPr="00394A40" w:rsidR="009D2637" w:rsidP="009D2637" w:rsidRDefault="001D164D" w14:paraId="4FE0854C" w14:textId="3B9D8116">
      <w:pPr>
        <w:pStyle w:val="TableofFigures"/>
        <w:rPr>
          <w:rFonts w:asciiTheme="minorHAnsi" w:hAnsiTheme="minorHAnsi" w:eastAsiaTheme="minorEastAsia" w:cstheme="minorBidi"/>
          <w:noProof/>
          <w:color w:val="000000" w:themeColor="text1"/>
          <w:sz w:val="22"/>
          <w:szCs w:val="22"/>
        </w:rPr>
      </w:pPr>
      <w:hyperlink w:history="1" w:anchor="_Toc62055080">
        <w:r w:rsidRPr="00394A40" w:rsidR="009D2637">
          <w:rPr>
            <w:rStyle w:val="Hyperlink"/>
            <w:noProof/>
            <w:color w:val="000000" w:themeColor="text1"/>
            <w:u w:val="none"/>
          </w:rPr>
          <w:t xml:space="preserve">B.2. </w:t>
        </w:r>
        <w:r w:rsidRPr="00D008C9" w:rsidR="00D008C9">
          <w:rPr>
            <w:rStyle w:val="Hyperlink"/>
            <w:noProof/>
            <w:color w:val="000000"/>
            <w:u w:val="none"/>
          </w:rPr>
          <w:t>Estimation methods for each study research question</w:t>
        </w:r>
        <w:r w:rsidRPr="00394A40" w:rsidR="009D2637">
          <w:rPr>
            <w:noProof/>
            <w:webHidden/>
            <w:color w:val="000000" w:themeColor="text1"/>
          </w:rPr>
          <w:tab/>
        </w:r>
        <w:r w:rsidR="00D008C9">
          <w:rPr>
            <w:noProof/>
            <w:webHidden/>
            <w:color w:val="000000" w:themeColor="text1"/>
          </w:rPr>
          <w:t>7</w:t>
        </w:r>
      </w:hyperlink>
    </w:p>
    <w:p w:rsidRPr="00394A40" w:rsidR="009D2637" w:rsidP="009D2637" w:rsidRDefault="001D164D" w14:paraId="73668FF2" w14:textId="017D0C37">
      <w:pPr>
        <w:pStyle w:val="TableofFigures"/>
        <w:rPr>
          <w:rFonts w:asciiTheme="minorHAnsi" w:hAnsiTheme="minorHAnsi" w:eastAsiaTheme="minorEastAsia" w:cstheme="minorBidi"/>
          <w:noProof/>
          <w:color w:val="000000" w:themeColor="text1"/>
          <w:sz w:val="22"/>
          <w:szCs w:val="22"/>
        </w:rPr>
      </w:pPr>
      <w:hyperlink w:history="1" w:anchor="_Toc62055081">
        <w:r w:rsidRPr="00394A40" w:rsidR="009D2637">
          <w:rPr>
            <w:rStyle w:val="Hyperlink"/>
            <w:noProof/>
            <w:color w:val="000000" w:themeColor="text1"/>
            <w:u w:val="none"/>
          </w:rPr>
          <w:t xml:space="preserve">B.3. </w:t>
        </w:r>
        <w:r w:rsidRPr="00D008C9" w:rsidR="00D008C9">
          <w:rPr>
            <w:rStyle w:val="Hyperlink"/>
            <w:noProof/>
            <w:color w:val="000000"/>
            <w:u w:val="none"/>
          </w:rPr>
          <w:t>Precision of estimates for the national snapshot of afterschool centers’ strategies</w:t>
        </w:r>
        <w:r w:rsidRPr="00394A40" w:rsidR="009D2637">
          <w:rPr>
            <w:noProof/>
            <w:webHidden/>
            <w:color w:val="000000" w:themeColor="text1"/>
          </w:rPr>
          <w:tab/>
        </w:r>
        <w:r w:rsidR="00D008C9">
          <w:rPr>
            <w:noProof/>
            <w:webHidden/>
            <w:color w:val="000000" w:themeColor="text1"/>
          </w:rPr>
          <w:t>9</w:t>
        </w:r>
      </w:hyperlink>
    </w:p>
    <w:p w:rsidRPr="00394A40" w:rsidR="009D2637" w:rsidP="009D2637" w:rsidRDefault="001D164D" w14:paraId="40AD20DD" w14:textId="0E2A56C1">
      <w:pPr>
        <w:pStyle w:val="TableofFigures"/>
        <w:rPr>
          <w:rFonts w:asciiTheme="minorHAnsi" w:hAnsiTheme="minorHAnsi" w:eastAsiaTheme="minorEastAsia" w:cstheme="minorBidi"/>
          <w:noProof/>
          <w:color w:val="000000" w:themeColor="text1"/>
          <w:sz w:val="22"/>
          <w:szCs w:val="22"/>
        </w:rPr>
      </w:pPr>
      <w:hyperlink w:history="1" w:anchor="_Toc62055082">
        <w:r w:rsidRPr="00394A40" w:rsidR="009D2637">
          <w:rPr>
            <w:rStyle w:val="Hyperlink"/>
            <w:noProof/>
            <w:color w:val="000000" w:themeColor="text1"/>
            <w:u w:val="none"/>
          </w:rPr>
          <w:t xml:space="preserve">B.4. </w:t>
        </w:r>
        <w:r w:rsidRPr="00D008C9" w:rsidR="00D008C9">
          <w:rPr>
            <w:rStyle w:val="Hyperlink"/>
            <w:noProof/>
            <w:color w:val="000000"/>
            <w:u w:val="none"/>
          </w:rPr>
          <w:t>Statistical power of the evaluation of a continuous quality improvement system</w:t>
        </w:r>
        <w:r w:rsidRPr="00394A40" w:rsidR="009D2637">
          <w:rPr>
            <w:noProof/>
            <w:webHidden/>
            <w:color w:val="000000" w:themeColor="text1"/>
          </w:rPr>
          <w:tab/>
        </w:r>
        <w:r w:rsidRPr="00394A40" w:rsidR="009D2637">
          <w:rPr>
            <w:noProof/>
            <w:webHidden/>
            <w:color w:val="000000" w:themeColor="text1"/>
          </w:rPr>
          <w:fldChar w:fldCharType="begin"/>
        </w:r>
        <w:r w:rsidRPr="00394A40" w:rsidR="009D2637">
          <w:rPr>
            <w:noProof/>
            <w:webHidden/>
            <w:color w:val="000000" w:themeColor="text1"/>
          </w:rPr>
          <w:instrText xml:space="preserve"> PAGEREF _Toc62055082 \h </w:instrText>
        </w:r>
        <w:r w:rsidRPr="00394A40" w:rsidR="009D2637">
          <w:rPr>
            <w:noProof/>
            <w:webHidden/>
            <w:color w:val="000000" w:themeColor="text1"/>
          </w:rPr>
        </w:r>
        <w:r w:rsidRPr="00394A40" w:rsidR="009D2637">
          <w:rPr>
            <w:noProof/>
            <w:webHidden/>
            <w:color w:val="000000" w:themeColor="text1"/>
          </w:rPr>
          <w:fldChar w:fldCharType="separate"/>
        </w:r>
        <w:r w:rsidRPr="00394A40" w:rsidR="009D2637">
          <w:rPr>
            <w:noProof/>
            <w:webHidden/>
            <w:color w:val="000000" w:themeColor="text1"/>
          </w:rPr>
          <w:t>10</w:t>
        </w:r>
        <w:r w:rsidRPr="00394A40" w:rsidR="009D2637">
          <w:rPr>
            <w:noProof/>
            <w:webHidden/>
            <w:color w:val="000000" w:themeColor="text1"/>
          </w:rPr>
          <w:fldChar w:fldCharType="end"/>
        </w:r>
      </w:hyperlink>
    </w:p>
    <w:p w:rsidR="009D2637" w:rsidRDefault="009010CB" w14:paraId="38914C8E" w14:textId="4B5C86BF">
      <w:pPr>
        <w:pStyle w:val="TableofFigures"/>
        <w:rPr>
          <w:noProof/>
        </w:rPr>
      </w:pPr>
      <w:r>
        <w:fldChar w:fldCharType="begin"/>
      </w:r>
      <w:r>
        <w:instrText xml:space="preserve"> TOC \h \z \t "Mark for Exhibit Title" \c </w:instrText>
      </w:r>
      <w:r>
        <w:fldChar w:fldCharType="separate"/>
      </w:r>
    </w:p>
    <w:p w:rsidR="00302F3C" w:rsidP="009010CB" w:rsidRDefault="009010CB" w14:paraId="4508C082" w14:textId="77777777">
      <w:pPr>
        <w:pStyle w:val="TableofFigures"/>
        <w:sectPr w:rsidR="00302F3C" w:rsidSect="00302F3C">
          <w:headerReference w:type="default" r:id="rId17"/>
          <w:footerReference w:type="default" r:id="rId18"/>
          <w:pgSz w:w="12240" w:h="15840"/>
          <w:pgMar w:top="1440" w:right="1440" w:bottom="1440" w:left="1440" w:header="720" w:footer="720" w:gutter="0"/>
          <w:pgNumType w:fmt="lowerRoman"/>
          <w:cols w:space="720"/>
          <w:docGrid w:linePitch="360"/>
        </w:sectPr>
      </w:pPr>
      <w:r>
        <w:fldChar w:fldCharType="end"/>
      </w:r>
    </w:p>
    <w:p w:rsidR="000A01AC" w:rsidP="009F3B0C" w:rsidRDefault="000A01AC" w14:paraId="16B56677" w14:textId="77777777">
      <w:pPr>
        <w:pStyle w:val="H2Chapter"/>
        <w:numPr>
          <w:ilvl w:val="0"/>
          <w:numId w:val="0"/>
        </w:numPr>
      </w:pPr>
      <w:bookmarkStart w:name="_Toc256361784" w:id="12"/>
      <w:bookmarkStart w:name="_Toc277342329" w:id="13"/>
      <w:bookmarkStart w:name="_Toc474313980" w:id="14"/>
      <w:bookmarkStart w:name="_Toc69379653" w:id="15"/>
      <w:r>
        <w:lastRenderedPageBreak/>
        <w:t xml:space="preserve">PART B. </w:t>
      </w:r>
      <w:bookmarkEnd w:id="12"/>
      <w:bookmarkEnd w:id="13"/>
      <w:bookmarkEnd w:id="14"/>
      <w:r>
        <w:t>Collection of information employing statistical methods</w:t>
      </w:r>
      <w:bookmarkEnd w:id="15"/>
    </w:p>
    <w:p w:rsidRPr="001A2B3F" w:rsidR="000A01AC" w:rsidP="00414F1B" w:rsidRDefault="000A01AC" w14:paraId="48289775" w14:textId="77777777">
      <w:pPr>
        <w:pStyle w:val="H3Alpha"/>
      </w:pPr>
      <w:bookmarkStart w:name="_Toc69379654" w:id="16"/>
      <w:r w:rsidRPr="001A2B3F">
        <w:t>Introduction</w:t>
      </w:r>
      <w:bookmarkEnd w:id="16"/>
    </w:p>
    <w:p w:rsidRPr="00555901" w:rsidR="00D55ED0" w:rsidP="00723A20" w:rsidRDefault="00BA0FD8" w14:paraId="54B882D7" w14:textId="495B86E7">
      <w:pPr>
        <w:pStyle w:val="NormalSS"/>
      </w:pPr>
      <w:bookmarkStart w:name="_Toc40971285" w:id="17"/>
      <w:r w:rsidRPr="00BA0FD8">
        <w:t>This package requests clearance for the initial</w:t>
      </w:r>
      <w:r w:rsidRPr="008B3B93" w:rsidR="0030381C">
        <w:t xml:space="preserve"> data collection a</w:t>
      </w:r>
      <w:r w:rsidR="0030381C">
        <w:t xml:space="preserve">ctivities to support a study of afterschool strategies in the Nita M. Lowey 21st </w:t>
      </w:r>
      <w:r w:rsidRPr="00952A2E" w:rsidR="0030381C">
        <w:t>Century Community Learning Centers (21st CCLC) program</w:t>
      </w:r>
      <w:r w:rsidR="0030381C">
        <w:t xml:space="preserve">. </w:t>
      </w:r>
      <w:r w:rsidRPr="00BA0FD8">
        <w:t xml:space="preserve">The </w:t>
      </w:r>
      <w:r w:rsidR="00134E5A">
        <w:t xml:space="preserve">U.S. Department of Education (ED)’s </w:t>
      </w:r>
      <w:r w:rsidRPr="00BA0FD8">
        <w:t>Institute of Education Sciences (IES)</w:t>
      </w:r>
      <w:r w:rsidR="00134E5A">
        <w:t xml:space="preserve"> </w:t>
      </w:r>
      <w:r w:rsidRPr="00BA0FD8">
        <w:t>has contracted with Mathematica and its partners</w:t>
      </w:r>
      <w:r w:rsidR="00134E5A">
        <w:t>—</w:t>
      </w:r>
      <w:r>
        <w:t>the Forum for Youth Investment’s Weikart Center for Youth Program Quality, Pemberton Research, Research for Action, and Synergy Enterprises (together, “</w:t>
      </w:r>
      <w:r>
        <w:rPr>
          <w:szCs w:val="24"/>
        </w:rPr>
        <w:t>the study team”)</w:t>
      </w:r>
      <w:r w:rsidR="00134E5A">
        <w:rPr>
          <w:szCs w:val="24"/>
        </w:rPr>
        <w:t>—</w:t>
      </w:r>
      <w:r>
        <w:rPr>
          <w:szCs w:val="24"/>
        </w:rPr>
        <w:t>to conduct this study.</w:t>
      </w:r>
      <w:bookmarkStart w:name="_Hlk55895519" w:id="18"/>
    </w:p>
    <w:bookmarkEnd w:id="18"/>
    <w:p w:rsidR="0030381C" w:rsidP="00723A20" w:rsidRDefault="00CF6550" w14:paraId="7247092A" w14:textId="344666C7">
      <w:pPr>
        <w:pStyle w:val="NormalSS"/>
        <w:spacing w:after="0"/>
        <w:rPr>
          <w:szCs w:val="24"/>
        </w:rPr>
      </w:pPr>
      <w:r>
        <w:rPr>
          <w:szCs w:val="24"/>
        </w:rPr>
        <w:t>The study</w:t>
      </w:r>
      <w:r w:rsidRPr="00C9638F" w:rsidR="0030381C">
        <w:t xml:space="preserve"> will have two components. The first </w:t>
      </w:r>
      <w:r w:rsidR="0030381C">
        <w:t>is</w:t>
      </w:r>
      <w:r w:rsidRPr="00C9638F" w:rsidR="0030381C">
        <w:t xml:space="preserve"> a </w:t>
      </w:r>
      <w:r w:rsidRPr="008C4B3F" w:rsidR="0030381C">
        <w:rPr>
          <w:b/>
          <w:bCs/>
        </w:rPr>
        <w:t xml:space="preserve">national snapshot of strategies </w:t>
      </w:r>
      <w:r w:rsidRPr="00C9638F" w:rsidR="0030381C">
        <w:t>that afterschool centers in the 21st CCLC program use to serve their students</w:t>
      </w:r>
      <w:r w:rsidR="0030381C">
        <w:t xml:space="preserve"> and families</w:t>
      </w:r>
      <w:r w:rsidRPr="00C9638F" w:rsidR="0030381C">
        <w:t xml:space="preserve">. </w:t>
      </w:r>
      <w:r w:rsidR="0030381C">
        <w:t>The national snapshot will complement and extend information from the program’s annual performance measures by providing an in-depth understanding of the outcomes centers aim to promote and the diverse ways their activities and services for students and families, supports for staff, and improvement strategies are designed to promote these outcomes.</w:t>
      </w:r>
      <w:r w:rsidRPr="00C9638F" w:rsidR="0030381C">
        <w:t xml:space="preserve"> The second component </w:t>
      </w:r>
      <w:r w:rsidR="0030381C">
        <w:t xml:space="preserve">is an </w:t>
      </w:r>
      <w:r w:rsidRPr="008C4B3F" w:rsidR="0030381C">
        <w:rPr>
          <w:b/>
          <w:bCs/>
        </w:rPr>
        <w:t>evaluation of a continuous quality improvement system</w:t>
      </w:r>
      <w:r w:rsidR="0030381C">
        <w:t xml:space="preserve"> implemented in the program’s afterschool centers</w:t>
      </w:r>
      <w:r w:rsidR="005965E2">
        <w:t xml:space="preserve"> (referred to as the “National Study of Continuous Quality Improvement to Inform the 21st CCLC Program”)</w:t>
      </w:r>
      <w:r w:rsidR="0030381C">
        <w:t xml:space="preserve">. The evaluation will </w:t>
      </w:r>
      <w:r w:rsidRPr="00C9638F" w:rsidR="0030381C">
        <w:t>examin</w:t>
      </w:r>
      <w:r w:rsidR="0030381C">
        <w:t>e</w:t>
      </w:r>
      <w:r w:rsidRPr="00C9638F" w:rsidR="0030381C">
        <w:t xml:space="preserve"> the implementation and effectiveness of a system focused on </w:t>
      </w:r>
      <w:r w:rsidR="0030381C">
        <w:t>improving staff practices that promote</w:t>
      </w:r>
      <w:r w:rsidRPr="00C9638F" w:rsidR="0030381C">
        <w:t xml:space="preserve"> students</w:t>
      </w:r>
      <w:r w:rsidR="0030381C">
        <w:t>’</w:t>
      </w:r>
      <w:r w:rsidRPr="00C9638F" w:rsidR="0030381C">
        <w:t xml:space="preserve"> social and emotional skills.</w:t>
      </w:r>
    </w:p>
    <w:p w:rsidR="003C0902" w:rsidP="00EC1D52" w:rsidRDefault="003C0902" w14:paraId="5AA420EC" w14:textId="77777777">
      <w:pPr>
        <w:pStyle w:val="NormalSScontinued"/>
      </w:pPr>
      <w:bookmarkStart w:name="_Toc470012097" w:id="19"/>
      <w:bookmarkStart w:name="_Toc474313982" w:id="20"/>
      <w:bookmarkEnd w:id="17"/>
      <w:r w:rsidRPr="001144EC">
        <w:t xml:space="preserve">This package </w:t>
      </w:r>
      <w:r>
        <w:t>discusses</w:t>
      </w:r>
      <w:r w:rsidRPr="001144EC">
        <w:t xml:space="preserve"> </w:t>
      </w:r>
      <w:r>
        <w:t>all data collection activities proposed for the two components of the study</w:t>
      </w:r>
      <w:r w:rsidRPr="001144EC">
        <w:t xml:space="preserve">. </w:t>
      </w:r>
      <w:r w:rsidRPr="004D5B47">
        <w:rPr>
          <w:b/>
          <w:bCs/>
          <w:i/>
          <w:iCs/>
        </w:rPr>
        <w:t xml:space="preserve">However, the package only requests clearance for data collection </w:t>
      </w:r>
      <w:r>
        <w:rPr>
          <w:b/>
          <w:bCs/>
          <w:i/>
          <w:iCs/>
        </w:rPr>
        <w:t>activities that will occur before March 2022 and impose burden on respondents. These activities, all part of</w:t>
      </w:r>
      <w:r w:rsidRPr="004D5B47">
        <w:rPr>
          <w:b/>
          <w:bCs/>
          <w:i/>
          <w:iCs/>
        </w:rPr>
        <w:t xml:space="preserve"> the evaluation of a continuous quality improvement system</w:t>
      </w:r>
      <w:r>
        <w:rPr>
          <w:b/>
          <w:bCs/>
          <w:i/>
          <w:iCs/>
        </w:rPr>
        <w:t>, involve collecting parent/guardian questionnaires and permission forms, afterschool center coaching logs, and student afterschool attendance records</w:t>
      </w:r>
      <w:r w:rsidRPr="004D5B47">
        <w:rPr>
          <w:b/>
          <w:bCs/>
          <w:i/>
          <w:iCs/>
        </w:rPr>
        <w:t xml:space="preserve">. </w:t>
      </w:r>
      <w:r w:rsidRPr="001144EC">
        <w:t xml:space="preserve">A separate package will be submitted at a later date </w:t>
      </w:r>
      <w:r>
        <w:t>to request clearance for data collection activities that will occur in March 2022 or later</w:t>
      </w:r>
      <w:r w:rsidRPr="001144EC">
        <w:t>.</w:t>
      </w:r>
    </w:p>
    <w:p w:rsidR="000A01AC" w:rsidP="004F28D7" w:rsidRDefault="000A01AC" w14:paraId="252E432D" w14:textId="6B5589CE">
      <w:pPr>
        <w:pStyle w:val="H4Number"/>
        <w:spacing w:before="240"/>
        <w:ind w:left="0" w:firstLine="0"/>
      </w:pPr>
      <w:bookmarkStart w:name="_Toc62054934" w:id="21"/>
      <w:bookmarkStart w:name="_Toc69379655" w:id="22"/>
      <w:r w:rsidRPr="00511B07">
        <w:t>B1.</w:t>
      </w:r>
      <w:r>
        <w:tab/>
      </w:r>
      <w:r w:rsidRPr="00511B07">
        <w:t>Respondent universe and sampling methods</w:t>
      </w:r>
      <w:bookmarkEnd w:id="19"/>
      <w:bookmarkEnd w:id="20"/>
      <w:bookmarkEnd w:id="21"/>
      <w:bookmarkEnd w:id="22"/>
    </w:p>
    <w:p w:rsidR="000A01AC" w:rsidP="000A01AC" w:rsidRDefault="000A01AC" w14:paraId="7AD3C9DE" w14:textId="54325EFC">
      <w:pPr>
        <w:pStyle w:val="NormalSS"/>
      </w:pPr>
      <w:r>
        <w:t>For each administrative and primary data source proposed, Exhibit B.</w:t>
      </w:r>
      <w:r w:rsidR="004B28C4">
        <w:t>1</w:t>
      </w:r>
      <w:r>
        <w:t xml:space="preserve"> summarizes the respondent universe, sampling method, and expected response rate.</w:t>
      </w:r>
    </w:p>
    <w:p w:rsidR="00F82FA4" w:rsidRDefault="00F82FA4" w14:paraId="1747BA58" w14:textId="77777777">
      <w:pPr>
        <w:ind w:firstLine="0"/>
        <w:rPr>
          <w:rFonts w:ascii="Arial Black" w:hAnsi="Arial Black"/>
          <w:sz w:val="22"/>
        </w:rPr>
      </w:pPr>
      <w:bookmarkStart w:name="_Toc40971292" w:id="23"/>
      <w:r>
        <w:br w:type="page"/>
      </w:r>
    </w:p>
    <w:p w:rsidRPr="00C9638F" w:rsidR="000A01AC" w:rsidP="00CF1F22" w:rsidRDefault="000A01AC" w14:paraId="29F45684" w14:textId="2B72D48C">
      <w:pPr>
        <w:pStyle w:val="MarkforExhibitTitle"/>
      </w:pPr>
      <w:bookmarkStart w:name="_Toc62055081" w:id="24"/>
      <w:r w:rsidRPr="00C9638F">
        <w:lastRenderedPageBreak/>
        <w:t xml:space="preserve">Exhibit </w:t>
      </w:r>
      <w:r>
        <w:t>B</w:t>
      </w:r>
      <w:r w:rsidRPr="00C9638F">
        <w:t>.</w:t>
      </w:r>
      <w:r w:rsidR="004B28C4">
        <w:t>1</w:t>
      </w:r>
      <w:r w:rsidRPr="00C9638F">
        <w:t xml:space="preserve">. </w:t>
      </w:r>
      <w:bookmarkEnd w:id="23"/>
      <w:r>
        <w:t>Respondent universe, sample, and expected response rate for study data sources</w:t>
      </w:r>
      <w:bookmarkEnd w:id="24"/>
    </w:p>
    <w:tbl>
      <w:tblPr>
        <w:tblStyle w:val="MPRBaseTable2"/>
        <w:tblW w:w="5000" w:type="pct"/>
        <w:tblLayout w:type="fixed"/>
        <w:tblLook w:val="0620" w:firstRow="1" w:lastRow="0" w:firstColumn="0" w:lastColumn="0" w:noHBand="1" w:noVBand="1"/>
      </w:tblPr>
      <w:tblGrid>
        <w:gridCol w:w="1760"/>
        <w:gridCol w:w="1655"/>
        <w:gridCol w:w="1359"/>
        <w:gridCol w:w="1896"/>
        <w:gridCol w:w="1254"/>
        <w:gridCol w:w="1436"/>
      </w:tblGrid>
      <w:tr w:rsidRPr="00B167A7" w:rsidR="003536EB" w:rsidTr="009D3D6D" w14:paraId="17209A1A"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940" w:type="pct"/>
          </w:tcPr>
          <w:p w:rsidRPr="009D3035" w:rsidR="000A01AC" w:rsidP="00CF1F22" w:rsidRDefault="000A01AC" w14:paraId="494A628F" w14:textId="77777777">
            <w:pPr>
              <w:pStyle w:val="TableHeaderLeft"/>
              <w:rPr>
                <w:b w:val="0"/>
              </w:rPr>
            </w:pPr>
            <w:bookmarkStart w:name="_Hlk52974126" w:id="25"/>
            <w:r w:rsidRPr="009D3035">
              <w:t>Data source</w:t>
            </w:r>
          </w:p>
        </w:tc>
        <w:tc>
          <w:tcPr>
            <w:tcW w:w="884" w:type="pct"/>
          </w:tcPr>
          <w:p w:rsidRPr="009D3035" w:rsidR="000A01AC" w:rsidP="00AB359C" w:rsidRDefault="000A01AC" w14:paraId="45B3EF20" w14:textId="77777777">
            <w:pPr>
              <w:pStyle w:val="TableHeaderCenter"/>
              <w:rPr>
                <w:b w:val="0"/>
              </w:rPr>
            </w:pPr>
            <w:r>
              <w:t>Respondent</w:t>
            </w:r>
          </w:p>
        </w:tc>
        <w:tc>
          <w:tcPr>
            <w:tcW w:w="726" w:type="pct"/>
          </w:tcPr>
          <w:p w:rsidRPr="009D3035" w:rsidR="000A01AC" w:rsidP="00AB359C" w:rsidRDefault="000A01AC" w14:paraId="22E97D09" w14:textId="77777777">
            <w:pPr>
              <w:pStyle w:val="TableHeaderCenter"/>
              <w:rPr>
                <w:b w:val="0"/>
              </w:rPr>
            </w:pPr>
            <w:r>
              <w:t>Respondent universe</w:t>
            </w:r>
          </w:p>
        </w:tc>
        <w:tc>
          <w:tcPr>
            <w:tcW w:w="1013" w:type="pct"/>
          </w:tcPr>
          <w:p w:rsidR="000A01AC" w:rsidP="00AB359C" w:rsidRDefault="000A01AC" w14:paraId="726E9703" w14:textId="77777777">
            <w:pPr>
              <w:pStyle w:val="TableHeaderCenter"/>
            </w:pPr>
            <w:r>
              <w:t>Type of sample</w:t>
            </w:r>
          </w:p>
        </w:tc>
        <w:tc>
          <w:tcPr>
            <w:tcW w:w="670" w:type="pct"/>
          </w:tcPr>
          <w:p w:rsidR="000A01AC" w:rsidP="00AB359C" w:rsidRDefault="000A01AC" w14:paraId="17A438A4" w14:textId="77777777">
            <w:pPr>
              <w:pStyle w:val="TableHeaderCenter"/>
            </w:pPr>
            <w:r>
              <w:t>Sample size</w:t>
            </w:r>
          </w:p>
        </w:tc>
        <w:tc>
          <w:tcPr>
            <w:tcW w:w="768" w:type="pct"/>
          </w:tcPr>
          <w:p w:rsidRPr="009D3035" w:rsidR="000A01AC" w:rsidP="00AB359C" w:rsidRDefault="000A01AC" w14:paraId="121DAA72" w14:textId="77777777">
            <w:pPr>
              <w:pStyle w:val="TableHeaderCenter"/>
              <w:rPr>
                <w:b w:val="0"/>
              </w:rPr>
            </w:pPr>
            <w:r>
              <w:t>Expected response rate</w:t>
            </w:r>
          </w:p>
        </w:tc>
      </w:tr>
      <w:tr w:rsidRPr="00B167A7" w:rsidR="000A01AC" w:rsidTr="009D3D6D" w14:paraId="0ADDE5B3" w14:textId="77777777">
        <w:trPr>
          <w:trHeight w:val="20"/>
        </w:trPr>
        <w:tc>
          <w:tcPr>
            <w:tcW w:w="5000" w:type="pct"/>
            <w:gridSpan w:val="6"/>
            <w:shd w:val="clear" w:color="auto" w:fill="auto"/>
          </w:tcPr>
          <w:p w:rsidR="000A01AC" w:rsidP="00AB359C" w:rsidRDefault="000A01AC" w14:paraId="58C4A43F" w14:textId="77777777">
            <w:pPr>
              <w:pStyle w:val="TableRowHead"/>
            </w:pPr>
            <w:r>
              <w:t>National snapshot of afterschool centers’ strategies</w:t>
            </w:r>
          </w:p>
        </w:tc>
      </w:tr>
      <w:tr w:rsidRPr="00B167A7" w:rsidR="003536EB" w:rsidTr="009D3D6D" w14:paraId="2ED25940" w14:textId="77777777">
        <w:trPr>
          <w:trHeight w:val="20"/>
        </w:trPr>
        <w:tc>
          <w:tcPr>
            <w:tcW w:w="940" w:type="pct"/>
          </w:tcPr>
          <w:p w:rsidRPr="00FD199A" w:rsidR="000A01AC" w:rsidP="009F3B0C" w:rsidRDefault="000A01AC" w14:paraId="7DC1AB36" w14:textId="77777777">
            <w:pPr>
              <w:pStyle w:val="TableTextLeft"/>
              <w:rPr>
                <w:highlight w:val="yellow"/>
              </w:rPr>
            </w:pPr>
            <w:r>
              <w:t>Afterschool center director survey</w:t>
            </w:r>
          </w:p>
        </w:tc>
        <w:tc>
          <w:tcPr>
            <w:tcW w:w="884" w:type="pct"/>
          </w:tcPr>
          <w:p w:rsidR="000A01AC" w:rsidP="009F3B0C" w:rsidRDefault="000A01AC" w14:paraId="09D236C0" w14:textId="77777777">
            <w:pPr>
              <w:pStyle w:val="TableTextLeft"/>
            </w:pPr>
            <w:r>
              <w:t>Afterschool center directors</w:t>
            </w:r>
          </w:p>
        </w:tc>
        <w:tc>
          <w:tcPr>
            <w:tcW w:w="726" w:type="pct"/>
          </w:tcPr>
          <w:p w:rsidRPr="00C9638F" w:rsidR="000A01AC" w:rsidP="00BC46F0" w:rsidRDefault="000A01AC" w14:paraId="608B083D" w14:textId="77777777">
            <w:pPr>
              <w:pStyle w:val="TableTextLeft"/>
              <w:tabs>
                <w:tab w:val="decimal" w:pos="650"/>
              </w:tabs>
            </w:pPr>
            <w:r>
              <w:t>6,700</w:t>
            </w:r>
          </w:p>
        </w:tc>
        <w:tc>
          <w:tcPr>
            <w:tcW w:w="1013" w:type="pct"/>
          </w:tcPr>
          <w:p w:rsidR="000A01AC" w:rsidP="009F3B0C" w:rsidRDefault="000A01AC" w14:paraId="50C7F79B" w14:textId="77777777">
            <w:pPr>
              <w:pStyle w:val="TableTextLeft"/>
            </w:pPr>
            <w:r>
              <w:t>Stratified random sample</w:t>
            </w:r>
          </w:p>
        </w:tc>
        <w:tc>
          <w:tcPr>
            <w:tcW w:w="670" w:type="pct"/>
          </w:tcPr>
          <w:p w:rsidR="000A01AC" w:rsidP="00E95A8A" w:rsidRDefault="000A01AC" w14:paraId="2272E148" w14:textId="77777777">
            <w:pPr>
              <w:pStyle w:val="TableTextLeft"/>
              <w:tabs>
                <w:tab w:val="decimal" w:pos="720"/>
              </w:tabs>
            </w:pPr>
            <w:r>
              <w:t>250</w:t>
            </w:r>
            <w:r>
              <w:rPr>
                <w:vertAlign w:val="superscript"/>
              </w:rPr>
              <w:t>a</w:t>
            </w:r>
          </w:p>
        </w:tc>
        <w:tc>
          <w:tcPr>
            <w:tcW w:w="768" w:type="pct"/>
          </w:tcPr>
          <w:p w:rsidR="000A01AC" w:rsidP="00E95A8A" w:rsidRDefault="000A01AC" w14:paraId="2C39572E" w14:textId="77777777">
            <w:pPr>
              <w:pStyle w:val="TableTextLeft"/>
              <w:tabs>
                <w:tab w:val="decimal" w:pos="740"/>
              </w:tabs>
            </w:pPr>
            <w:r>
              <w:t>85%</w:t>
            </w:r>
          </w:p>
        </w:tc>
      </w:tr>
      <w:tr w:rsidRPr="00B167A7" w:rsidR="000A01AC" w:rsidTr="009D3D6D" w14:paraId="3D334E05" w14:textId="77777777">
        <w:trPr>
          <w:trHeight w:val="368"/>
        </w:trPr>
        <w:tc>
          <w:tcPr>
            <w:tcW w:w="5000" w:type="pct"/>
            <w:gridSpan w:val="6"/>
          </w:tcPr>
          <w:p w:rsidR="000A01AC" w:rsidP="00AB359C" w:rsidRDefault="000A01AC" w14:paraId="56B6C869" w14:textId="77777777">
            <w:pPr>
              <w:pStyle w:val="TableRowHead"/>
            </w:pPr>
            <w:r>
              <w:t>Evaluation of a continuous quality improvement system</w:t>
            </w:r>
          </w:p>
        </w:tc>
      </w:tr>
      <w:tr w:rsidRPr="00B167A7" w:rsidR="003536EB" w:rsidTr="009D3D6D" w14:paraId="4F006BFD" w14:textId="77777777">
        <w:trPr>
          <w:trHeight w:val="792"/>
        </w:trPr>
        <w:tc>
          <w:tcPr>
            <w:tcW w:w="940" w:type="pct"/>
          </w:tcPr>
          <w:p w:rsidR="000A01AC" w:rsidP="009F3B0C" w:rsidRDefault="000A01AC" w14:paraId="7444E28A" w14:textId="77777777">
            <w:pPr>
              <w:pStyle w:val="TableTextLeft"/>
            </w:pPr>
            <w:r w:rsidRPr="009E6B15">
              <w:t>Afterschool center observations</w:t>
            </w:r>
          </w:p>
        </w:tc>
        <w:tc>
          <w:tcPr>
            <w:tcW w:w="884" w:type="pct"/>
          </w:tcPr>
          <w:p w:rsidR="000A01AC" w:rsidP="009F3B0C" w:rsidRDefault="005A4515" w14:paraId="11B3C857" w14:textId="6FAABF8F">
            <w:pPr>
              <w:pStyle w:val="TableTextLeft"/>
            </w:pPr>
            <w:r>
              <w:t>All centers to be observed by study team</w:t>
            </w:r>
            <w:r w:rsidR="00922BBA">
              <w:t xml:space="preserve"> </w:t>
            </w:r>
            <w:r w:rsidR="003C0902">
              <w:t>(no burden)</w:t>
            </w:r>
          </w:p>
        </w:tc>
        <w:tc>
          <w:tcPr>
            <w:tcW w:w="726" w:type="pct"/>
          </w:tcPr>
          <w:p w:rsidR="000A01AC" w:rsidP="00BC46F0" w:rsidRDefault="000A01AC" w14:paraId="39195CFD" w14:textId="77777777">
            <w:pPr>
              <w:pStyle w:val="TableTextLeft"/>
              <w:tabs>
                <w:tab w:val="decimal" w:pos="650"/>
              </w:tabs>
            </w:pPr>
            <w:r>
              <w:t xml:space="preserve">100 </w:t>
            </w:r>
          </w:p>
        </w:tc>
        <w:tc>
          <w:tcPr>
            <w:tcW w:w="1013" w:type="pct"/>
          </w:tcPr>
          <w:p w:rsidR="000A01AC" w:rsidP="009F3B0C" w:rsidRDefault="000A01AC" w14:paraId="1D113645" w14:textId="77777777">
            <w:pPr>
              <w:pStyle w:val="TableTextLeft"/>
            </w:pPr>
            <w:r>
              <w:t>Census</w:t>
            </w:r>
          </w:p>
        </w:tc>
        <w:tc>
          <w:tcPr>
            <w:tcW w:w="670" w:type="pct"/>
          </w:tcPr>
          <w:p w:rsidR="000A01AC" w:rsidP="00E95A8A" w:rsidRDefault="000A01AC" w14:paraId="385BBF2C" w14:textId="77777777">
            <w:pPr>
              <w:pStyle w:val="TableTextLeft"/>
              <w:tabs>
                <w:tab w:val="decimal" w:pos="720"/>
              </w:tabs>
            </w:pPr>
            <w:r>
              <w:t>100</w:t>
            </w:r>
          </w:p>
        </w:tc>
        <w:tc>
          <w:tcPr>
            <w:tcW w:w="768" w:type="pct"/>
          </w:tcPr>
          <w:p w:rsidR="000A01AC" w:rsidP="00E95A8A" w:rsidRDefault="000A01AC" w14:paraId="32C1C71D" w14:textId="77777777">
            <w:pPr>
              <w:pStyle w:val="TableTextLeft"/>
              <w:tabs>
                <w:tab w:val="decimal" w:pos="740"/>
              </w:tabs>
            </w:pPr>
            <w:r>
              <w:t>100%</w:t>
            </w:r>
          </w:p>
        </w:tc>
      </w:tr>
      <w:tr w:rsidRPr="00B167A7" w:rsidR="003536EB" w:rsidTr="0083218D" w14:paraId="05766020" w14:textId="77777777">
        <w:trPr>
          <w:trHeight w:val="20"/>
        </w:trPr>
        <w:tc>
          <w:tcPr>
            <w:tcW w:w="940" w:type="pct"/>
            <w:shd w:val="clear" w:color="auto" w:fill="D9D9D9" w:themeFill="background1" w:themeFillShade="D9"/>
          </w:tcPr>
          <w:p w:rsidRPr="00C9638F" w:rsidR="000A01AC" w:rsidP="009F3B0C" w:rsidRDefault="000A01AC" w14:paraId="5E3BBB8D" w14:textId="77777777">
            <w:pPr>
              <w:pStyle w:val="TableTextLeft"/>
            </w:pPr>
            <w:r>
              <w:t>Afterschool center coaching log</w:t>
            </w:r>
          </w:p>
        </w:tc>
        <w:tc>
          <w:tcPr>
            <w:tcW w:w="884" w:type="pct"/>
            <w:shd w:val="clear" w:color="auto" w:fill="D9D9D9" w:themeFill="background1" w:themeFillShade="D9"/>
          </w:tcPr>
          <w:p w:rsidR="000A01AC" w:rsidP="009F3B0C" w:rsidRDefault="000A01AC" w14:paraId="3496E69E" w14:textId="77777777">
            <w:pPr>
              <w:pStyle w:val="TableTextLeft"/>
            </w:pPr>
            <w:r>
              <w:t>Afterschool center directors and co-leads in centers assigned to the treatment group</w:t>
            </w:r>
          </w:p>
        </w:tc>
        <w:tc>
          <w:tcPr>
            <w:tcW w:w="726" w:type="pct"/>
            <w:shd w:val="clear" w:color="auto" w:fill="D9D9D9" w:themeFill="background1" w:themeFillShade="D9"/>
          </w:tcPr>
          <w:p w:rsidR="000A01AC" w:rsidP="00BC46F0" w:rsidRDefault="000A01AC" w14:paraId="1C19FF70" w14:textId="77777777">
            <w:pPr>
              <w:pStyle w:val="TableTextLeft"/>
              <w:tabs>
                <w:tab w:val="decimal" w:pos="650"/>
              </w:tabs>
            </w:pPr>
            <w:r>
              <w:t>100</w:t>
            </w:r>
          </w:p>
        </w:tc>
        <w:tc>
          <w:tcPr>
            <w:tcW w:w="1013" w:type="pct"/>
            <w:shd w:val="clear" w:color="auto" w:fill="D9D9D9" w:themeFill="background1" w:themeFillShade="D9"/>
          </w:tcPr>
          <w:p w:rsidR="000A01AC" w:rsidP="009F3B0C" w:rsidRDefault="000A01AC" w14:paraId="2C691C78" w14:textId="77777777">
            <w:pPr>
              <w:pStyle w:val="TableTextLeft"/>
            </w:pPr>
            <w:r>
              <w:t>Census</w:t>
            </w:r>
          </w:p>
        </w:tc>
        <w:tc>
          <w:tcPr>
            <w:tcW w:w="670" w:type="pct"/>
            <w:shd w:val="clear" w:color="auto" w:fill="D9D9D9" w:themeFill="background1" w:themeFillShade="D9"/>
          </w:tcPr>
          <w:p w:rsidR="000A01AC" w:rsidP="00E95A8A" w:rsidRDefault="000A01AC" w14:paraId="5775E496" w14:textId="77777777">
            <w:pPr>
              <w:pStyle w:val="TableTextLeft"/>
              <w:tabs>
                <w:tab w:val="decimal" w:pos="720"/>
              </w:tabs>
            </w:pPr>
            <w:r>
              <w:t>100</w:t>
            </w:r>
          </w:p>
        </w:tc>
        <w:tc>
          <w:tcPr>
            <w:tcW w:w="768" w:type="pct"/>
            <w:shd w:val="clear" w:color="auto" w:fill="D9D9D9" w:themeFill="background1" w:themeFillShade="D9"/>
          </w:tcPr>
          <w:p w:rsidR="000A01AC" w:rsidP="00E95A8A" w:rsidRDefault="000A01AC" w14:paraId="60CF22C9" w14:textId="77777777">
            <w:pPr>
              <w:pStyle w:val="TableTextLeft"/>
              <w:tabs>
                <w:tab w:val="decimal" w:pos="740"/>
              </w:tabs>
            </w:pPr>
            <w:r>
              <w:t>100%</w:t>
            </w:r>
          </w:p>
        </w:tc>
      </w:tr>
      <w:tr w:rsidRPr="00B167A7" w:rsidR="003536EB" w:rsidTr="00723A20" w14:paraId="600D6CD7" w14:textId="77777777">
        <w:trPr>
          <w:trHeight w:val="630"/>
        </w:trPr>
        <w:tc>
          <w:tcPr>
            <w:tcW w:w="0" w:type="pct"/>
          </w:tcPr>
          <w:p w:rsidR="000A01AC" w:rsidP="009F3B0C" w:rsidRDefault="000A01AC" w14:paraId="29525CB4" w14:textId="77777777">
            <w:pPr>
              <w:pStyle w:val="TableTextLeft"/>
            </w:pPr>
            <w:r w:rsidRPr="00C9638F">
              <w:t>Afterschool center director interview</w:t>
            </w:r>
          </w:p>
        </w:tc>
        <w:tc>
          <w:tcPr>
            <w:tcW w:w="0" w:type="pct"/>
          </w:tcPr>
          <w:p w:rsidR="000A01AC" w:rsidP="009F3B0C" w:rsidRDefault="000A01AC" w14:paraId="57BB3E41" w14:textId="77777777">
            <w:pPr>
              <w:pStyle w:val="TableTextLeft"/>
            </w:pPr>
            <w:r>
              <w:t>Afterschool center directors</w:t>
            </w:r>
          </w:p>
        </w:tc>
        <w:tc>
          <w:tcPr>
            <w:tcW w:w="0" w:type="pct"/>
          </w:tcPr>
          <w:p w:rsidR="000A01AC" w:rsidP="00BC46F0" w:rsidRDefault="000A01AC" w14:paraId="45502DC9" w14:textId="77777777">
            <w:pPr>
              <w:pStyle w:val="TableTextLeft"/>
              <w:tabs>
                <w:tab w:val="decimal" w:pos="650"/>
              </w:tabs>
            </w:pPr>
            <w:r>
              <w:t>100</w:t>
            </w:r>
          </w:p>
        </w:tc>
        <w:tc>
          <w:tcPr>
            <w:tcW w:w="0" w:type="pct"/>
          </w:tcPr>
          <w:p w:rsidR="000A01AC" w:rsidP="009F3B0C" w:rsidRDefault="000A01AC" w14:paraId="2FF9609F" w14:textId="77777777">
            <w:pPr>
              <w:pStyle w:val="TableTextLeft"/>
            </w:pPr>
            <w:r>
              <w:t>Census</w:t>
            </w:r>
          </w:p>
        </w:tc>
        <w:tc>
          <w:tcPr>
            <w:tcW w:w="0" w:type="pct"/>
          </w:tcPr>
          <w:p w:rsidR="000A01AC" w:rsidP="00E95A8A" w:rsidRDefault="000A01AC" w14:paraId="0CFC7D1F" w14:textId="77777777">
            <w:pPr>
              <w:pStyle w:val="TableTextLeft"/>
              <w:tabs>
                <w:tab w:val="decimal" w:pos="720"/>
              </w:tabs>
            </w:pPr>
            <w:r>
              <w:t>100</w:t>
            </w:r>
          </w:p>
        </w:tc>
        <w:tc>
          <w:tcPr>
            <w:tcW w:w="0" w:type="pct"/>
          </w:tcPr>
          <w:p w:rsidR="000A01AC" w:rsidP="00E95A8A" w:rsidRDefault="000A01AC" w14:paraId="4D58BB11" w14:textId="77777777">
            <w:pPr>
              <w:pStyle w:val="TableTextLeft"/>
              <w:tabs>
                <w:tab w:val="decimal" w:pos="740"/>
              </w:tabs>
            </w:pPr>
            <w:r>
              <w:t>85%</w:t>
            </w:r>
          </w:p>
        </w:tc>
      </w:tr>
      <w:tr w:rsidRPr="00B167A7" w:rsidR="003536EB" w:rsidTr="00723A20" w14:paraId="1EEADB6F" w14:textId="77777777">
        <w:trPr>
          <w:trHeight w:val="900"/>
        </w:trPr>
        <w:tc>
          <w:tcPr>
            <w:tcW w:w="0" w:type="pct"/>
            <w:shd w:val="clear" w:color="auto" w:fill="D9D9D9" w:themeFill="background1" w:themeFillShade="D9"/>
          </w:tcPr>
          <w:p w:rsidRPr="00C9638F" w:rsidR="000A01AC" w:rsidP="009F3B0C" w:rsidRDefault="000A01AC" w14:paraId="7E1562FF" w14:textId="77777777">
            <w:pPr>
              <w:pStyle w:val="TableTextLeft"/>
            </w:pPr>
            <w:r w:rsidRPr="00C9638F">
              <w:t xml:space="preserve">Student </w:t>
            </w:r>
            <w:r>
              <w:t xml:space="preserve">afterschool </w:t>
            </w:r>
            <w:r w:rsidRPr="00C9638F">
              <w:t>attendance records</w:t>
            </w:r>
          </w:p>
        </w:tc>
        <w:tc>
          <w:tcPr>
            <w:tcW w:w="0" w:type="pct"/>
            <w:shd w:val="clear" w:color="auto" w:fill="D9D9D9" w:themeFill="background1" w:themeFillShade="D9"/>
          </w:tcPr>
          <w:p w:rsidR="000A01AC" w:rsidP="009F3B0C" w:rsidRDefault="000A01AC" w14:paraId="1583CA40" w14:textId="77777777">
            <w:pPr>
              <w:pStyle w:val="TableTextLeft"/>
            </w:pPr>
            <w:r>
              <w:t>One staff member at each center to provide records</w:t>
            </w:r>
          </w:p>
        </w:tc>
        <w:tc>
          <w:tcPr>
            <w:tcW w:w="0" w:type="pct"/>
            <w:shd w:val="clear" w:color="auto" w:fill="D9D9D9" w:themeFill="background1" w:themeFillShade="D9"/>
          </w:tcPr>
          <w:p w:rsidR="000A01AC" w:rsidP="00BC46F0" w:rsidRDefault="000A01AC" w14:paraId="7BF2A53B" w14:textId="77777777">
            <w:pPr>
              <w:pStyle w:val="TableTextLeft"/>
              <w:tabs>
                <w:tab w:val="decimal" w:pos="650"/>
              </w:tabs>
            </w:pPr>
            <w:r>
              <w:t>100</w:t>
            </w:r>
          </w:p>
        </w:tc>
        <w:tc>
          <w:tcPr>
            <w:tcW w:w="0" w:type="pct"/>
            <w:shd w:val="clear" w:color="auto" w:fill="D9D9D9" w:themeFill="background1" w:themeFillShade="D9"/>
          </w:tcPr>
          <w:p w:rsidR="000A01AC" w:rsidP="009F3B0C" w:rsidRDefault="000A01AC" w14:paraId="26B9BA2D" w14:textId="77777777">
            <w:pPr>
              <w:pStyle w:val="TableTextLeft"/>
            </w:pPr>
            <w:r>
              <w:t>Census</w:t>
            </w:r>
          </w:p>
        </w:tc>
        <w:tc>
          <w:tcPr>
            <w:tcW w:w="0" w:type="pct"/>
            <w:shd w:val="clear" w:color="auto" w:fill="D9D9D9" w:themeFill="background1" w:themeFillShade="D9"/>
          </w:tcPr>
          <w:p w:rsidR="000A01AC" w:rsidP="00E95A8A" w:rsidRDefault="000A01AC" w14:paraId="3E281FFF" w14:textId="77777777">
            <w:pPr>
              <w:pStyle w:val="TableTextLeft"/>
              <w:tabs>
                <w:tab w:val="decimal" w:pos="720"/>
              </w:tabs>
            </w:pPr>
            <w:r>
              <w:t>100</w:t>
            </w:r>
          </w:p>
        </w:tc>
        <w:tc>
          <w:tcPr>
            <w:tcW w:w="0" w:type="pct"/>
            <w:shd w:val="clear" w:color="auto" w:fill="D9D9D9" w:themeFill="background1" w:themeFillShade="D9"/>
          </w:tcPr>
          <w:p w:rsidR="000A01AC" w:rsidP="00E95A8A" w:rsidRDefault="000A01AC" w14:paraId="246056B3" w14:textId="77777777">
            <w:pPr>
              <w:pStyle w:val="TableTextLeft"/>
              <w:tabs>
                <w:tab w:val="decimal" w:pos="740"/>
              </w:tabs>
            </w:pPr>
            <w:r>
              <w:t>100%</w:t>
            </w:r>
          </w:p>
        </w:tc>
      </w:tr>
      <w:tr w:rsidRPr="00B167A7" w:rsidR="003536EB" w:rsidTr="009D3D6D" w14:paraId="7812CD74" w14:textId="77777777">
        <w:trPr>
          <w:trHeight w:val="810"/>
        </w:trPr>
        <w:tc>
          <w:tcPr>
            <w:tcW w:w="940" w:type="pct"/>
          </w:tcPr>
          <w:p w:rsidRPr="00C9638F" w:rsidR="000A01AC" w:rsidP="009F3B0C" w:rsidRDefault="000A01AC" w14:paraId="32F0F2F6" w14:textId="77777777">
            <w:pPr>
              <w:pStyle w:val="TableTextLeft"/>
            </w:pPr>
            <w:r>
              <w:t>District a</w:t>
            </w:r>
            <w:r w:rsidRPr="00C9638F">
              <w:t>dministrative records</w:t>
            </w:r>
          </w:p>
        </w:tc>
        <w:tc>
          <w:tcPr>
            <w:tcW w:w="884" w:type="pct"/>
          </w:tcPr>
          <w:p w:rsidR="000A01AC" w:rsidP="009F3B0C" w:rsidRDefault="000A01AC" w14:paraId="60A5A5B3" w14:textId="77777777">
            <w:pPr>
              <w:pStyle w:val="TableTextLeft"/>
            </w:pPr>
            <w:r>
              <w:t>One staff member at each district to provide records</w:t>
            </w:r>
          </w:p>
        </w:tc>
        <w:tc>
          <w:tcPr>
            <w:tcW w:w="726" w:type="pct"/>
          </w:tcPr>
          <w:p w:rsidR="000A01AC" w:rsidP="00BC46F0" w:rsidRDefault="000A01AC" w14:paraId="4DD2B82A" w14:textId="77777777">
            <w:pPr>
              <w:pStyle w:val="TableTextLeft"/>
              <w:tabs>
                <w:tab w:val="decimal" w:pos="650"/>
              </w:tabs>
            </w:pPr>
            <w:r>
              <w:t>18</w:t>
            </w:r>
          </w:p>
        </w:tc>
        <w:tc>
          <w:tcPr>
            <w:tcW w:w="1013" w:type="pct"/>
          </w:tcPr>
          <w:p w:rsidR="000A01AC" w:rsidP="009F3B0C" w:rsidRDefault="000A01AC" w14:paraId="27F011EE" w14:textId="77777777">
            <w:pPr>
              <w:pStyle w:val="TableTextLeft"/>
            </w:pPr>
            <w:r>
              <w:t>Census</w:t>
            </w:r>
          </w:p>
        </w:tc>
        <w:tc>
          <w:tcPr>
            <w:tcW w:w="670" w:type="pct"/>
          </w:tcPr>
          <w:p w:rsidR="000A01AC" w:rsidP="00E95A8A" w:rsidRDefault="000A01AC" w14:paraId="3FEC95CD" w14:textId="77777777">
            <w:pPr>
              <w:pStyle w:val="TableTextLeft"/>
              <w:tabs>
                <w:tab w:val="decimal" w:pos="720"/>
              </w:tabs>
            </w:pPr>
            <w:r>
              <w:t>18</w:t>
            </w:r>
          </w:p>
        </w:tc>
        <w:tc>
          <w:tcPr>
            <w:tcW w:w="768" w:type="pct"/>
          </w:tcPr>
          <w:p w:rsidR="000A01AC" w:rsidP="00E95A8A" w:rsidRDefault="000A01AC" w14:paraId="723BB81B" w14:textId="77777777">
            <w:pPr>
              <w:pStyle w:val="TableTextLeft"/>
              <w:tabs>
                <w:tab w:val="decimal" w:pos="740"/>
              </w:tabs>
            </w:pPr>
            <w:r>
              <w:t>100%</w:t>
            </w:r>
          </w:p>
        </w:tc>
      </w:tr>
      <w:tr w:rsidRPr="00B167A7" w:rsidR="003536EB" w:rsidTr="009D3D6D" w14:paraId="6FC1A9E7" w14:textId="77777777">
        <w:trPr>
          <w:trHeight w:val="810"/>
        </w:trPr>
        <w:tc>
          <w:tcPr>
            <w:tcW w:w="940" w:type="pct"/>
          </w:tcPr>
          <w:p w:rsidRPr="00C9638F" w:rsidR="000A01AC" w:rsidP="009F3B0C" w:rsidRDefault="000A01AC" w14:paraId="0460DFD8" w14:textId="77777777">
            <w:pPr>
              <w:pStyle w:val="TableTextLeft"/>
            </w:pPr>
            <w:r>
              <w:t>Afterschool center staff</w:t>
            </w:r>
            <w:r w:rsidRPr="00C9638F">
              <w:t xml:space="preserve"> survey</w:t>
            </w:r>
          </w:p>
        </w:tc>
        <w:tc>
          <w:tcPr>
            <w:tcW w:w="884" w:type="pct"/>
          </w:tcPr>
          <w:p w:rsidRPr="00C9638F" w:rsidR="000A01AC" w:rsidP="009F3B0C" w:rsidRDefault="000A01AC" w14:paraId="137808F6" w14:textId="77777777">
            <w:pPr>
              <w:pStyle w:val="TableTextLeft"/>
            </w:pPr>
            <w:r>
              <w:t>Afterschool center staff who lead activities in the study grades</w:t>
            </w:r>
          </w:p>
        </w:tc>
        <w:tc>
          <w:tcPr>
            <w:tcW w:w="726" w:type="pct"/>
          </w:tcPr>
          <w:p w:rsidRPr="00C9638F" w:rsidR="000A01AC" w:rsidP="00BC46F0" w:rsidRDefault="000A01AC" w14:paraId="7EFC6E46" w14:textId="77777777">
            <w:pPr>
              <w:pStyle w:val="TableTextLeft"/>
              <w:tabs>
                <w:tab w:val="decimal" w:pos="650"/>
              </w:tabs>
            </w:pPr>
            <w:r>
              <w:t>600</w:t>
            </w:r>
          </w:p>
        </w:tc>
        <w:tc>
          <w:tcPr>
            <w:tcW w:w="1013" w:type="pct"/>
          </w:tcPr>
          <w:p w:rsidR="000A01AC" w:rsidP="009F3B0C" w:rsidRDefault="000A01AC" w14:paraId="351F7A60" w14:textId="77777777">
            <w:pPr>
              <w:pStyle w:val="TableTextLeft"/>
            </w:pPr>
            <w:r>
              <w:t>Simple random sample</w:t>
            </w:r>
          </w:p>
        </w:tc>
        <w:tc>
          <w:tcPr>
            <w:tcW w:w="670" w:type="pct"/>
          </w:tcPr>
          <w:p w:rsidR="000A01AC" w:rsidP="00E95A8A" w:rsidRDefault="000A01AC" w14:paraId="13A693F6" w14:textId="77777777">
            <w:pPr>
              <w:pStyle w:val="TableTextLeft"/>
              <w:tabs>
                <w:tab w:val="decimal" w:pos="720"/>
              </w:tabs>
            </w:pPr>
            <w:r>
              <w:t>300</w:t>
            </w:r>
          </w:p>
        </w:tc>
        <w:tc>
          <w:tcPr>
            <w:tcW w:w="768" w:type="pct"/>
          </w:tcPr>
          <w:p w:rsidRPr="00C9638F" w:rsidR="000A01AC" w:rsidP="00E95A8A" w:rsidRDefault="000A01AC" w14:paraId="78870B19" w14:textId="77777777">
            <w:pPr>
              <w:pStyle w:val="TableTextLeft"/>
              <w:tabs>
                <w:tab w:val="decimal" w:pos="740"/>
              </w:tabs>
            </w:pPr>
            <w:r>
              <w:t>85%</w:t>
            </w:r>
          </w:p>
        </w:tc>
      </w:tr>
      <w:tr w:rsidRPr="00B167A7" w:rsidR="003536EB" w:rsidTr="00723A20" w14:paraId="2D844F9D" w14:textId="77777777">
        <w:trPr>
          <w:trHeight w:val="1728"/>
        </w:trPr>
        <w:tc>
          <w:tcPr>
            <w:tcW w:w="0" w:type="pct"/>
          </w:tcPr>
          <w:p w:rsidRPr="00C9638F" w:rsidR="000A01AC" w:rsidP="009F3B0C" w:rsidRDefault="000A01AC" w14:paraId="739FEB71" w14:textId="77777777">
            <w:pPr>
              <w:pStyle w:val="TableTextLeft"/>
            </w:pPr>
            <w:r w:rsidRPr="00C9638F">
              <w:t>Student survey</w:t>
            </w:r>
          </w:p>
        </w:tc>
        <w:tc>
          <w:tcPr>
            <w:tcW w:w="0" w:type="pct"/>
          </w:tcPr>
          <w:p w:rsidRPr="00C9638F" w:rsidR="000A01AC" w:rsidP="009F3B0C" w:rsidRDefault="000A01AC" w14:paraId="591836E0" w14:textId="77777777">
            <w:pPr>
              <w:pStyle w:val="TableTextLeft"/>
            </w:pPr>
            <w:r>
              <w:t>Students who attend the study centers at any time in the first month of the 2021-2022 school year</w:t>
            </w:r>
          </w:p>
        </w:tc>
        <w:tc>
          <w:tcPr>
            <w:tcW w:w="0" w:type="pct"/>
          </w:tcPr>
          <w:p w:rsidRPr="00C9638F" w:rsidR="000A01AC" w:rsidP="00BC46F0" w:rsidRDefault="000A01AC" w14:paraId="10FE0DB7" w14:textId="3D4154F4">
            <w:pPr>
              <w:pStyle w:val="TableTextLeft"/>
              <w:tabs>
                <w:tab w:val="decimal" w:pos="650"/>
              </w:tabs>
            </w:pPr>
            <w:r>
              <w:t>3,</w:t>
            </w:r>
            <w:r w:rsidR="00710E1D">
              <w:t>485</w:t>
            </w:r>
          </w:p>
        </w:tc>
        <w:tc>
          <w:tcPr>
            <w:tcW w:w="0" w:type="pct"/>
          </w:tcPr>
          <w:p w:rsidR="000A01AC" w:rsidP="009F3B0C" w:rsidRDefault="000A01AC" w14:paraId="7D60CCE4" w14:textId="2A452D6B">
            <w:pPr>
              <w:pStyle w:val="TableTextLeft"/>
            </w:pPr>
            <w:r>
              <w:t>Random sample based on oversampling students who attend the center more frequently</w:t>
            </w:r>
          </w:p>
        </w:tc>
        <w:tc>
          <w:tcPr>
            <w:tcW w:w="0" w:type="pct"/>
          </w:tcPr>
          <w:p w:rsidR="000A01AC" w:rsidP="00E95A8A" w:rsidRDefault="000A01AC" w14:paraId="05A13580" w14:textId="77777777">
            <w:pPr>
              <w:pStyle w:val="TableTextLeft"/>
              <w:tabs>
                <w:tab w:val="decimal" w:pos="720"/>
              </w:tabs>
            </w:pPr>
            <w:r>
              <w:t>1,300</w:t>
            </w:r>
          </w:p>
        </w:tc>
        <w:tc>
          <w:tcPr>
            <w:tcW w:w="0" w:type="pct"/>
          </w:tcPr>
          <w:p w:rsidRPr="00C9638F" w:rsidR="000A01AC" w:rsidP="00E95A8A" w:rsidRDefault="000A01AC" w14:paraId="148E2DEB" w14:textId="77777777">
            <w:pPr>
              <w:pStyle w:val="TableTextLeft"/>
              <w:tabs>
                <w:tab w:val="decimal" w:pos="740"/>
              </w:tabs>
            </w:pPr>
            <w:r>
              <w:t>85%</w:t>
            </w:r>
          </w:p>
        </w:tc>
      </w:tr>
      <w:tr w:rsidRPr="00B167A7" w:rsidR="003536EB" w:rsidTr="00723A20" w14:paraId="1CD6C223" w14:textId="77777777">
        <w:trPr>
          <w:trHeight w:val="1440"/>
        </w:trPr>
        <w:tc>
          <w:tcPr>
            <w:tcW w:w="0" w:type="pct"/>
          </w:tcPr>
          <w:p w:rsidRPr="00C9638F" w:rsidR="000A01AC" w:rsidP="009F3B0C" w:rsidRDefault="000A01AC" w14:paraId="47EEF933" w14:textId="77777777">
            <w:pPr>
              <w:pStyle w:val="TableTextLeft"/>
            </w:pPr>
            <w:r w:rsidRPr="00C9638F">
              <w:t>School-day teacher survey</w:t>
            </w:r>
          </w:p>
        </w:tc>
        <w:tc>
          <w:tcPr>
            <w:tcW w:w="0" w:type="pct"/>
          </w:tcPr>
          <w:p w:rsidRPr="00C9638F" w:rsidR="000A01AC" w:rsidP="009F3B0C" w:rsidRDefault="000A01AC" w14:paraId="35DAF816" w14:textId="77777777">
            <w:pPr>
              <w:pStyle w:val="TableTextLeft"/>
            </w:pPr>
            <w:r>
              <w:t xml:space="preserve">School-day teachers of the students in the student survey respondent universe </w:t>
            </w:r>
          </w:p>
        </w:tc>
        <w:tc>
          <w:tcPr>
            <w:tcW w:w="0" w:type="pct"/>
          </w:tcPr>
          <w:p w:rsidRPr="00C9638F" w:rsidR="000A01AC" w:rsidP="00BC46F0" w:rsidRDefault="000A01AC" w14:paraId="2C6C46AD" w14:textId="141E5F95">
            <w:pPr>
              <w:pStyle w:val="TableTextLeft"/>
              <w:tabs>
                <w:tab w:val="decimal" w:pos="650"/>
              </w:tabs>
            </w:pPr>
            <w:r>
              <w:t>1,</w:t>
            </w:r>
            <w:r w:rsidR="00C017ED">
              <w:t>3</w:t>
            </w:r>
            <w:r>
              <w:t>00</w:t>
            </w:r>
          </w:p>
        </w:tc>
        <w:tc>
          <w:tcPr>
            <w:tcW w:w="0" w:type="pct"/>
          </w:tcPr>
          <w:p w:rsidR="000A01AC" w:rsidP="009F3B0C" w:rsidRDefault="000A01AC" w14:paraId="50E016CA" w14:textId="77777777">
            <w:pPr>
              <w:pStyle w:val="TableTextLeft"/>
            </w:pPr>
            <w:r>
              <w:t>Teachers of the random sample of students selected for the student survey</w:t>
            </w:r>
          </w:p>
        </w:tc>
        <w:tc>
          <w:tcPr>
            <w:tcW w:w="0" w:type="pct"/>
          </w:tcPr>
          <w:p w:rsidR="000A01AC" w:rsidP="003B458D" w:rsidRDefault="000A01AC" w14:paraId="3FD72936" w14:textId="77777777">
            <w:pPr>
              <w:pStyle w:val="TableTextLeft"/>
            </w:pPr>
            <w:r>
              <w:t>Determined by student survey sample</w:t>
            </w:r>
          </w:p>
        </w:tc>
        <w:tc>
          <w:tcPr>
            <w:tcW w:w="0" w:type="pct"/>
          </w:tcPr>
          <w:p w:rsidRPr="00C9638F" w:rsidR="000A01AC" w:rsidP="00E95A8A" w:rsidRDefault="000A01AC" w14:paraId="3C54D0B0" w14:textId="77777777">
            <w:pPr>
              <w:pStyle w:val="TableTextLeft"/>
              <w:tabs>
                <w:tab w:val="decimal" w:pos="740"/>
              </w:tabs>
            </w:pPr>
            <w:r>
              <w:t>85%</w:t>
            </w:r>
          </w:p>
        </w:tc>
      </w:tr>
      <w:tr w:rsidRPr="00B167A7" w:rsidR="003536EB" w:rsidTr="0083218D" w14:paraId="60B514F1" w14:textId="77777777">
        <w:trPr>
          <w:trHeight w:val="20"/>
        </w:trPr>
        <w:tc>
          <w:tcPr>
            <w:tcW w:w="940" w:type="pct"/>
            <w:shd w:val="clear" w:color="auto" w:fill="D9D9D9" w:themeFill="background1" w:themeFillShade="D9"/>
          </w:tcPr>
          <w:p w:rsidRPr="00C9638F" w:rsidR="000A01AC" w:rsidP="009F3B0C" w:rsidRDefault="000A01AC" w14:paraId="75E27627" w14:textId="27543864">
            <w:pPr>
              <w:pStyle w:val="TableTextLeft"/>
            </w:pPr>
            <w:r>
              <w:t>P</w:t>
            </w:r>
            <w:r w:rsidRPr="00C9638F">
              <w:t>arent/guardian questionnaire</w:t>
            </w:r>
            <w:r>
              <w:t xml:space="preserve"> and </w:t>
            </w:r>
            <w:r w:rsidR="005A4515">
              <w:t>permission</w:t>
            </w:r>
            <w:r>
              <w:t xml:space="preserve"> form</w:t>
            </w:r>
          </w:p>
        </w:tc>
        <w:tc>
          <w:tcPr>
            <w:tcW w:w="884" w:type="pct"/>
            <w:shd w:val="clear" w:color="auto" w:fill="D9D9D9" w:themeFill="background1" w:themeFillShade="D9"/>
          </w:tcPr>
          <w:p w:rsidRPr="00C9638F" w:rsidR="000A01AC" w:rsidP="009F3B0C" w:rsidRDefault="000A01AC" w14:paraId="0BDBB447" w14:textId="77777777">
            <w:pPr>
              <w:pStyle w:val="TableTextLeft"/>
            </w:pPr>
            <w:r>
              <w:t>Parents or guardians</w:t>
            </w:r>
          </w:p>
        </w:tc>
        <w:tc>
          <w:tcPr>
            <w:tcW w:w="726" w:type="pct"/>
            <w:shd w:val="clear" w:color="auto" w:fill="D9D9D9" w:themeFill="background1" w:themeFillShade="D9"/>
          </w:tcPr>
          <w:p w:rsidRPr="00C9638F" w:rsidR="000A01AC" w:rsidP="00BC46F0" w:rsidRDefault="000A01AC" w14:paraId="069FAFE2" w14:textId="77777777">
            <w:pPr>
              <w:pStyle w:val="TableTextLeft"/>
              <w:tabs>
                <w:tab w:val="decimal" w:pos="650"/>
              </w:tabs>
            </w:pPr>
            <w:r>
              <w:t>4,100</w:t>
            </w:r>
          </w:p>
        </w:tc>
        <w:tc>
          <w:tcPr>
            <w:tcW w:w="1013" w:type="pct"/>
            <w:shd w:val="clear" w:color="auto" w:fill="D9D9D9" w:themeFill="background1" w:themeFillShade="D9"/>
          </w:tcPr>
          <w:p w:rsidR="000A01AC" w:rsidP="009F3B0C" w:rsidRDefault="000A01AC" w14:paraId="372B2B66" w14:textId="77777777">
            <w:pPr>
              <w:pStyle w:val="TableTextLeft"/>
            </w:pPr>
            <w:r>
              <w:t>Census</w:t>
            </w:r>
          </w:p>
        </w:tc>
        <w:tc>
          <w:tcPr>
            <w:tcW w:w="670" w:type="pct"/>
            <w:shd w:val="clear" w:color="auto" w:fill="D9D9D9" w:themeFill="background1" w:themeFillShade="D9"/>
          </w:tcPr>
          <w:p w:rsidR="000A01AC" w:rsidP="00E95A8A" w:rsidRDefault="000A01AC" w14:paraId="0E2CA7AC" w14:textId="77777777">
            <w:pPr>
              <w:pStyle w:val="TableTextLeft"/>
              <w:tabs>
                <w:tab w:val="decimal" w:pos="720"/>
              </w:tabs>
            </w:pPr>
            <w:r>
              <w:t>4,100</w:t>
            </w:r>
          </w:p>
        </w:tc>
        <w:tc>
          <w:tcPr>
            <w:tcW w:w="768" w:type="pct"/>
            <w:shd w:val="clear" w:color="auto" w:fill="D9D9D9" w:themeFill="background1" w:themeFillShade="D9"/>
          </w:tcPr>
          <w:p w:rsidRPr="00C9638F" w:rsidR="000A01AC" w:rsidP="00E95A8A" w:rsidRDefault="000A01AC" w14:paraId="62292D20" w14:textId="77777777">
            <w:pPr>
              <w:pStyle w:val="TableTextLeft"/>
              <w:tabs>
                <w:tab w:val="decimal" w:pos="740"/>
              </w:tabs>
            </w:pPr>
            <w:r>
              <w:t>85%</w:t>
            </w:r>
          </w:p>
        </w:tc>
      </w:tr>
    </w:tbl>
    <w:bookmarkEnd w:id="25"/>
    <w:p w:rsidR="009D3D6D" w:rsidP="00723A20" w:rsidRDefault="009D3D6D" w14:paraId="2C612541" w14:textId="14679169">
      <w:pPr>
        <w:pStyle w:val="TableFootnoteCaption"/>
        <w:spacing w:after="60"/>
        <w:ind w:left="864" w:hanging="864"/>
      </w:pPr>
      <w:r w:rsidRPr="009D3D6D">
        <w:t>N</w:t>
      </w:r>
      <w:r w:rsidR="004B08BE">
        <w:t>ote</w:t>
      </w:r>
      <w:r w:rsidRPr="009D3D6D">
        <w:t>:</w:t>
      </w:r>
      <w:r w:rsidRPr="009D3D6D">
        <w:tab/>
        <w:t>Shaded rows indicate the data sources for which clearance is being requested in this submission. Clearance will be requested in a future submission for other rows.</w:t>
      </w:r>
    </w:p>
    <w:p w:rsidR="000A01AC" w:rsidP="000A01AC" w:rsidRDefault="000A01AC" w14:paraId="1DF1461B" w14:textId="41442341">
      <w:pPr>
        <w:pStyle w:val="TableFootnoteCaption"/>
      </w:pPr>
      <w:r>
        <w:rPr>
          <w:vertAlign w:val="superscript"/>
        </w:rPr>
        <w:t>a</w:t>
      </w:r>
      <w:r>
        <w:t xml:space="preserve"> The study will select 375 afterschool centers to answer a screening question that assesses eligibility for the survey. Of these 375 afterschool centers, the study team estimates that 250 will be eligible for the survey.</w:t>
      </w:r>
    </w:p>
    <w:p w:rsidR="009D3D6D" w:rsidP="0083218D" w:rsidRDefault="009D3D6D" w14:paraId="6E093BDE" w14:textId="2871AF5C">
      <w:pPr>
        <w:pStyle w:val="TableFootnoteCaption"/>
        <w:ind w:left="864" w:hanging="864"/>
      </w:pPr>
    </w:p>
    <w:p w:rsidRPr="004B28C4" w:rsidR="004B28C4" w:rsidP="000A01AC" w:rsidRDefault="004B28C4" w14:paraId="41F5B6B1" w14:textId="57CE7493">
      <w:pPr>
        <w:pStyle w:val="NormalSS"/>
      </w:pPr>
      <w:r>
        <w:lastRenderedPageBreak/>
        <w:t>The remainder of this section provides details o</w:t>
      </w:r>
      <w:r w:rsidR="005C55DC">
        <w:t>n</w:t>
      </w:r>
      <w:r>
        <w:t xml:space="preserve"> the respondent universe</w:t>
      </w:r>
      <w:r w:rsidR="00BB7E6A">
        <w:t xml:space="preserve"> and an overview of the sampling method</w:t>
      </w:r>
      <w:r w:rsidR="005C55DC">
        <w:t>s</w:t>
      </w:r>
      <w:r>
        <w:t>. Section B2 describes additional details o</w:t>
      </w:r>
      <w:r w:rsidR="005C55DC">
        <w:t>n</w:t>
      </w:r>
      <w:r>
        <w:t xml:space="preserve"> the sampling methods, while Section B3 </w:t>
      </w:r>
      <w:r w:rsidR="0041630C">
        <w:t>presents the expected response rates.</w:t>
      </w:r>
      <w:r>
        <w:t xml:space="preserve"> </w:t>
      </w:r>
    </w:p>
    <w:p w:rsidRPr="00723A20" w:rsidR="0041630C" w:rsidP="0041630C" w:rsidRDefault="00021E6B" w14:paraId="589B286F" w14:textId="3CBD05FE">
      <w:pPr>
        <w:pStyle w:val="Heading4NoTOC"/>
        <w:spacing w:before="120"/>
        <w:rPr>
          <w:i/>
          <w:iCs/>
          <w:color w:val="00B050"/>
        </w:rPr>
      </w:pPr>
      <w:r w:rsidRPr="00723A20">
        <w:rPr>
          <w:i/>
          <w:iCs/>
          <w:color w:val="00B050"/>
        </w:rPr>
        <w:tab/>
      </w:r>
      <w:r w:rsidRPr="00723A20" w:rsidR="0041630C">
        <w:rPr>
          <w:i/>
          <w:iCs/>
          <w:color w:val="00B050"/>
        </w:rPr>
        <w:t>National snapshot of afterschool centers’ strategies</w:t>
      </w:r>
    </w:p>
    <w:p w:rsidR="000A01AC" w:rsidP="000A01AC" w:rsidRDefault="000A01AC" w14:paraId="5D56518C" w14:textId="0564CADD">
      <w:pPr>
        <w:pStyle w:val="NormalSS"/>
      </w:pPr>
      <w:r>
        <w:t xml:space="preserve">For the afterschool center director survey—the sole data collection planned for the national snapshot—the respondent universe will consist of the directors of afterschool centers funded by 21st CCLC grants within the 50 U.S. states, the District of Columbia, and the Bureau of Indian Education in spring 2022. </w:t>
      </w:r>
      <w:r w:rsidR="00AC6214">
        <w:t>Among those centers, t</w:t>
      </w:r>
      <w:r>
        <w:t xml:space="preserve">he study will </w:t>
      </w:r>
      <w:r w:rsidR="00AC6214">
        <w:t>include only those</w:t>
      </w:r>
      <w:r>
        <w:t xml:space="preserve"> that are receiving 21st CCLC grants as of fall 2020 (the beginning of the prior school year). Centers that receive their grant funding after fall 2020 may not have sufficient opportunity to put their desired strategies into place by spring 2022. To estimate the size of the respondent universe, the study team used the most recent available year (2018–2019) of data from the 21st CCLC program’s annual reporting system and </w:t>
      </w:r>
      <w:r w:rsidRPr="001A4C59">
        <w:t>identified 10,093 centers receiving</w:t>
      </w:r>
      <w:r>
        <w:t xml:space="preserve"> funding. Because the typical length of grants is about </w:t>
      </w:r>
      <w:r w:rsidRPr="00193116">
        <w:t>3 years,</w:t>
      </w:r>
      <w:r>
        <w:t xml:space="preserve"> the study team estimates that about two-thirds of these centers—about 6,</w:t>
      </w:r>
      <w:r w:rsidRPr="00193116">
        <w:t>700</w:t>
      </w:r>
      <w:r>
        <w:t>—are in their second year of 21st CCLC grant funding or beyond, the best available approximation of the respondent universe</w:t>
      </w:r>
      <w:bookmarkStart w:name="_Hlk63160970" w:id="26"/>
      <w:r>
        <w:t>.</w:t>
      </w:r>
      <w:r w:rsidR="008C7D3A">
        <w:t xml:space="preserve"> T</w:t>
      </w:r>
      <w:r w:rsidDel="00D129EF" w:rsidR="008C7D3A">
        <w:t>he study team will</w:t>
      </w:r>
      <w:r w:rsidR="00715F80">
        <w:t xml:space="preserve"> randomly</w:t>
      </w:r>
      <w:r w:rsidDel="00D129EF" w:rsidR="008C7D3A">
        <w:t xml:space="preserve"> select a nationally representative sample of 250 centers that receive 21st CCLC funding in fall 2020 and still receive it in spring 2022</w:t>
      </w:r>
      <w:r w:rsidR="008C7D3A">
        <w:t xml:space="preserve"> (see Section B2 for additional details)</w:t>
      </w:r>
      <w:r w:rsidDel="00D129EF" w:rsidR="008C7D3A">
        <w:t>.</w:t>
      </w:r>
    </w:p>
    <w:p w:rsidRPr="00723A20" w:rsidR="0041630C" w:rsidP="0041630C" w:rsidRDefault="00021E6B" w14:paraId="3D9E3296" w14:textId="3A9BB173">
      <w:pPr>
        <w:pStyle w:val="Heading4NoTOC"/>
        <w:spacing w:before="120"/>
        <w:rPr>
          <w:i/>
          <w:iCs/>
          <w:color w:val="00B050"/>
        </w:rPr>
      </w:pPr>
      <w:r w:rsidRPr="00723A20">
        <w:rPr>
          <w:i/>
          <w:iCs/>
          <w:color w:val="00B050"/>
        </w:rPr>
        <w:tab/>
      </w:r>
      <w:r w:rsidRPr="00723A20" w:rsidR="0041630C">
        <w:rPr>
          <w:i/>
          <w:iCs/>
          <w:color w:val="00B050"/>
        </w:rPr>
        <w:t>Evaluation of a continuous quality improvement system</w:t>
      </w:r>
    </w:p>
    <w:p w:rsidR="000A01AC" w:rsidP="000A01AC" w:rsidRDefault="000A01AC" w14:paraId="5383551B" w14:textId="23F407AF">
      <w:pPr>
        <w:pStyle w:val="NormalSS"/>
      </w:pPr>
      <w:r>
        <w:t xml:space="preserve">The evaluation of a continuous quality improvement system will be based on an experimental design. The study is seeking to recruit 100 afterschool centers in the 21st CCLC program serving grades 3-6. To reach this target, the study team expects to recruit 18 grantees in which the study team will identify and recruit the 100 centers needed for the evaluation. </w:t>
      </w:r>
      <w:r w:rsidRPr="00C12967">
        <w:t xml:space="preserve">Within each grantee, </w:t>
      </w:r>
      <w:r>
        <w:t>the study team</w:t>
      </w:r>
      <w:r w:rsidRPr="00C12967">
        <w:t xml:space="preserve"> will identify pairs of afterschool centers that are similar on characteristics likely to be correlated with </w:t>
      </w:r>
      <w:r>
        <w:t xml:space="preserve">staff practices or </w:t>
      </w:r>
      <w:r w:rsidRPr="00C12967">
        <w:t xml:space="preserve">students’ social and emotional skills (such as baseline measures of proficiency on state reading and math assessments in the schools that the centers serve). Within each pair, </w:t>
      </w:r>
      <w:r>
        <w:t>the study team</w:t>
      </w:r>
      <w:r w:rsidRPr="00C12967">
        <w:t xml:space="preserve"> will randomly assign one of the centers to the </w:t>
      </w:r>
      <w:r>
        <w:t xml:space="preserve">treatment group that will implement the continuous quality improvement system </w:t>
      </w:r>
      <w:r w:rsidR="00EF5521">
        <w:t>during the 2021–2022 and 2022–2023 school years</w:t>
      </w:r>
      <w:r>
        <w:t xml:space="preserve">. </w:t>
      </w:r>
      <w:r w:rsidR="00EF5521">
        <w:t xml:space="preserve">Implementing the system over a two-year period will allow sufficient time for study-provided trainings and supports to influence the practices of afterschool center staff and for those practices to influence student outcomes. </w:t>
      </w:r>
      <w:r>
        <w:t>The study team will assign the other center in each pair to a control group that will not implement that system and, instead, will continue with its usual strategies for supporting staff and serving students. Within these grantees and centers, respondents will include the school districts that the grantees serve, afterschool centers, afterschool center directors and other center leaders, afterschool center staff, parents or guardians of the centers’ students, the centers’ students, and the students’ school-day teachers.</w:t>
      </w:r>
    </w:p>
    <w:p w:rsidR="000A01AC" w:rsidP="000A01AC" w:rsidRDefault="000A01AC" w14:paraId="7064C033" w14:textId="77777777">
      <w:pPr>
        <w:pStyle w:val="NormalSS"/>
      </w:pPr>
      <w:r>
        <w:t xml:space="preserve">For most data collection activities in this component of the study, the size of the respondent universe is based directly on the assumption of 18 grantees and 100 centers in the evaluation and does not require further estimation. Specifically, the study team will conduct observations of all 100 centers and collect their student attendance records; interview the directors of all 100 centers; and ask two center leaders (the afterschool center director and a co-lead) in each of the </w:t>
      </w:r>
      <w:r>
        <w:lastRenderedPageBreak/>
        <w:t>50 centers assigned to the treatment group to complete afterschool center coaching logs, for a total of 100 center leaders in the respondent universe for the afterschool center coaching logs.</w:t>
      </w:r>
    </w:p>
    <w:p w:rsidR="000A01AC" w:rsidP="000A01AC" w:rsidRDefault="000A01AC" w14:paraId="642E6B19" w14:textId="77777777">
      <w:pPr>
        <w:pStyle w:val="NormalSS"/>
      </w:pPr>
      <w:r>
        <w:t>For the remaining data collection activities, the study team has estimated the size of the respondent universe as follows:</w:t>
      </w:r>
    </w:p>
    <w:p w:rsidRPr="008C4B3F" w:rsidR="000A01AC" w:rsidP="000A01AC" w:rsidRDefault="000A01AC" w14:paraId="63CF809C" w14:textId="77777777">
      <w:pPr>
        <w:pStyle w:val="Bullet"/>
        <w:rPr>
          <w:b/>
          <w:bCs/>
        </w:rPr>
      </w:pPr>
      <w:r>
        <w:rPr>
          <w:b/>
          <w:bCs/>
        </w:rPr>
        <w:t xml:space="preserve">For the collection of district administrative records, the study team has estimated a respondent universe of 18 school districts. </w:t>
      </w:r>
      <w:r>
        <w:t>Although grantees could, in theory, serve more than one district, the study team expects that each of the 18 grantees recruited into the evaluation will serve only one district, for a total of 18 districts from which the study team will collect administrative records.</w:t>
      </w:r>
    </w:p>
    <w:p w:rsidRPr="008C4B3F" w:rsidR="000A01AC" w:rsidP="000A01AC" w:rsidRDefault="000A01AC" w14:paraId="2A85DB68" w14:textId="59979304">
      <w:pPr>
        <w:pStyle w:val="Bullet"/>
        <w:rPr>
          <w:b/>
          <w:bCs/>
        </w:rPr>
      </w:pPr>
      <w:bookmarkStart w:name="_Hlk60138140" w:id="27"/>
      <w:r>
        <w:rPr>
          <w:b/>
          <w:bCs/>
        </w:rPr>
        <w:t>For the student survey, the study team has estimated a respondent universe of 3,485 students.</w:t>
      </w:r>
      <w:r>
        <w:t xml:space="preserve"> The respondent universe will consist of students in grades 3–5 who attend a participating center at any time in the first month of the 2021–2022 school year</w:t>
      </w:r>
      <w:r w:rsidRPr="00F422F9">
        <w:t xml:space="preserve"> </w:t>
      </w:r>
      <w:r>
        <w:t xml:space="preserve">and whose parents </w:t>
      </w:r>
      <w:r w:rsidR="00710E1D">
        <w:t xml:space="preserve">or guardians </w:t>
      </w:r>
      <w:r w:rsidR="005A4515">
        <w:t>give permission</w:t>
      </w:r>
      <w:r>
        <w:t xml:space="preserve"> to them being surveyed. The study team will exclude from the respondent universe students who are in the final grade served by their center so the study can follow students in the participating centers for two school years (2021–2022 and 2022–2023). With on-time grade progression, these students are expected to be in grades 4–6 in the second year of the evaluation. Based on average center sizes and grade level distributions reported by James-Burdumy et al. (2005) and the U.S. Department of Education (2018b), the study team expects a typical elementary center serves about 41 students in grades 3–5 at the beginning of the year, implying a total of 4,100 students in the study grades across the 100 centers in the evaluation. Of those students, we expect 85 percent (3,485) to have parental </w:t>
      </w:r>
      <w:r w:rsidR="005A4515">
        <w:t>permission</w:t>
      </w:r>
      <w:r>
        <w:t xml:space="preserve"> to be eligible for the survey.</w:t>
      </w:r>
    </w:p>
    <w:p w:rsidRPr="008C4B3F" w:rsidR="000A01AC" w:rsidP="000A01AC" w:rsidRDefault="000A01AC" w14:paraId="6C3EEC7C" w14:textId="5AAD3FE2">
      <w:pPr>
        <w:pStyle w:val="Bullet"/>
        <w:rPr>
          <w:b/>
          <w:bCs/>
        </w:rPr>
      </w:pPr>
      <w:r>
        <w:rPr>
          <w:b/>
          <w:bCs/>
        </w:rPr>
        <w:t xml:space="preserve">For the parent/guardian questionnaire and </w:t>
      </w:r>
      <w:r w:rsidR="005A4515">
        <w:rPr>
          <w:b/>
          <w:bCs/>
        </w:rPr>
        <w:t>permission</w:t>
      </w:r>
      <w:r>
        <w:rPr>
          <w:b/>
          <w:bCs/>
        </w:rPr>
        <w:t xml:space="preserve"> form, the study team has estimated a respondent universe of 4,100 parents or guardians. </w:t>
      </w:r>
      <w:r>
        <w:t xml:space="preserve">The respondent universe will consist of one parent or guardian of each of the estimated 4,100 students in grades 3-5 who attend a participating center at any time during the first month of the 2021-2022 school year. </w:t>
      </w:r>
    </w:p>
    <w:p w:rsidRPr="008C4B3F" w:rsidR="000A01AC" w:rsidP="000A01AC" w:rsidRDefault="000A01AC" w14:paraId="45034ABB" w14:textId="0CF1D3D9">
      <w:pPr>
        <w:pStyle w:val="Bullet"/>
        <w:rPr>
          <w:b/>
          <w:bCs/>
        </w:rPr>
      </w:pPr>
      <w:r>
        <w:rPr>
          <w:b/>
          <w:bCs/>
        </w:rPr>
        <w:t>For the school-day teacher survey, the study team has estimated a respondent universe of 1,</w:t>
      </w:r>
      <w:r w:rsidR="00F82FA4">
        <w:rPr>
          <w:b/>
          <w:bCs/>
        </w:rPr>
        <w:t>3</w:t>
      </w:r>
      <w:r>
        <w:rPr>
          <w:b/>
          <w:bCs/>
        </w:rPr>
        <w:t xml:space="preserve">00 school-day teachers. </w:t>
      </w:r>
      <w:r>
        <w:t>The respondent universe will consist of school-day teachers who teach math or English language arts to the students in the evaluation. Based on average school sizes, grade level distributions, and class sizes reported by the U.S. Department of Education (2007 and 2013) and James-Burdumy et al. (2005), the study team estimates that 1</w:t>
      </w:r>
      <w:r w:rsidR="00C017ED">
        <w:t>3</w:t>
      </w:r>
      <w:r>
        <w:t xml:space="preserve"> school-day teachers will teach math or English language arts to the students enrolled at each center</w:t>
      </w:r>
      <w:r w:rsidR="00C017ED">
        <w:t xml:space="preserve"> in the study grades</w:t>
      </w:r>
      <w:r>
        <w:t>—a total of 1,</w:t>
      </w:r>
      <w:r w:rsidR="00C017ED">
        <w:t>3</w:t>
      </w:r>
      <w:r>
        <w:t>00 school-day teachers across the 100 centers in the evaluation.</w:t>
      </w:r>
    </w:p>
    <w:bookmarkEnd w:id="26"/>
    <w:bookmarkEnd w:id="27"/>
    <w:p w:rsidRPr="008C4B3F" w:rsidR="000A01AC" w:rsidP="000A01AC" w:rsidRDefault="000A01AC" w14:paraId="2A56C12D" w14:textId="77777777">
      <w:pPr>
        <w:pStyle w:val="Bullet"/>
        <w:rPr>
          <w:b/>
          <w:bCs/>
        </w:rPr>
      </w:pPr>
      <w:r>
        <w:rPr>
          <w:b/>
          <w:bCs/>
        </w:rPr>
        <w:t xml:space="preserve">For the afterschool center staff survey, the study team has estimated a respondent universe of 600 afterschool center staff. </w:t>
      </w:r>
      <w:r>
        <w:t>The respondent universe will consist of afterschool center staff at the participating centers who lead activities for the grades in the evaluation. Using a 7:1 ratio of staff to students (Smith et al. 2012), the study team estimates that 600 staff will lead activities for the 4,100 students at the participating centers within the grades in the evaluation.</w:t>
      </w:r>
    </w:p>
    <w:p w:rsidRPr="00264B11" w:rsidR="000A01AC" w:rsidP="000A01AC" w:rsidRDefault="00D40551" w14:paraId="1D2EC932" w14:textId="72327E6F">
      <w:pPr>
        <w:pStyle w:val="NormalSS"/>
      </w:pPr>
      <w:r>
        <w:lastRenderedPageBreak/>
        <w:t>For</w:t>
      </w:r>
      <w:r w:rsidDel="00D129EF" w:rsidR="008C7D3A">
        <w:t xml:space="preserve"> the evaluation, the study team will</w:t>
      </w:r>
      <w:r>
        <w:t xml:space="preserve"> only</w:t>
      </w:r>
      <w:r w:rsidDel="00D129EF" w:rsidR="008C7D3A">
        <w:t xml:space="preserve"> use sampling methods</w:t>
      </w:r>
      <w:r w:rsidR="00AD2918">
        <w:t xml:space="preserve"> </w:t>
      </w:r>
      <w:r w:rsidDel="00D129EF" w:rsidR="008C7D3A">
        <w:t xml:space="preserve">to select </w:t>
      </w:r>
      <w:r w:rsidR="00B144C0">
        <w:t xml:space="preserve">(1) </w:t>
      </w:r>
      <w:r w:rsidDel="00D129EF" w:rsidR="008C7D3A">
        <w:t>the sample of students who will take the student survey and whose teachers will take the school-day teacher survey and</w:t>
      </w:r>
      <w:r w:rsidR="008C7D3A">
        <w:t xml:space="preserve"> </w:t>
      </w:r>
      <w:r w:rsidR="00B144C0">
        <w:t xml:space="preserve">(2) </w:t>
      </w:r>
      <w:r w:rsidR="000C490A">
        <w:t>the</w:t>
      </w:r>
      <w:r w:rsidDel="00D129EF" w:rsidR="008C7D3A">
        <w:t xml:space="preserve"> center staff who will take the afterschool </w:t>
      </w:r>
      <w:r w:rsidR="008C7D3A">
        <w:t>c</w:t>
      </w:r>
      <w:r w:rsidDel="00D129EF" w:rsidR="008C7D3A">
        <w:t>enter staff survey</w:t>
      </w:r>
      <w:r w:rsidR="008C7D3A">
        <w:t xml:space="preserve"> (see Section B2 for additional details)</w:t>
      </w:r>
      <w:r w:rsidDel="00D129EF" w:rsidR="008C7D3A">
        <w:t>.</w:t>
      </w:r>
      <w:r w:rsidDel="000D124C" w:rsidR="008C7D3A">
        <w:t xml:space="preserve"> </w:t>
      </w:r>
    </w:p>
    <w:p w:rsidRPr="00511B07" w:rsidR="000A01AC" w:rsidP="000A01AC" w:rsidRDefault="000A01AC" w14:paraId="26E953A4" w14:textId="77777777">
      <w:pPr>
        <w:pStyle w:val="H4Number"/>
      </w:pPr>
      <w:bookmarkStart w:name="_Toc474313983" w:id="28"/>
      <w:bookmarkStart w:name="_Toc62054935" w:id="29"/>
      <w:bookmarkStart w:name="_Toc69379656" w:id="30"/>
      <w:r w:rsidRPr="00511B07">
        <w:t xml:space="preserve">B2. </w:t>
      </w:r>
      <w:r>
        <w:tab/>
      </w:r>
      <w:bookmarkEnd w:id="28"/>
      <w:r>
        <w:t>Statistical methods for sample selection and degree of accuracy needed</w:t>
      </w:r>
      <w:bookmarkEnd w:id="29"/>
      <w:bookmarkEnd w:id="30"/>
    </w:p>
    <w:p w:rsidR="000A01AC" w:rsidP="00723A20" w:rsidRDefault="000A01AC" w14:paraId="603A7133" w14:textId="77777777">
      <w:pPr>
        <w:pStyle w:val="H4NumberNoTOC"/>
        <w:spacing w:after="240"/>
      </w:pPr>
      <w:r>
        <w:t>a.</w:t>
      </w:r>
      <w:r>
        <w:tab/>
        <w:t>Sample selection</w:t>
      </w:r>
    </w:p>
    <w:p w:rsidRPr="00D51B2D" w:rsidR="00D129EF" w:rsidP="00D129EF" w:rsidRDefault="00D129EF" w14:paraId="5F06DABB" w14:textId="16294C82">
      <w:pPr>
        <w:pStyle w:val="NormalSS"/>
        <w:rPr>
          <w:b/>
          <w:bCs/>
          <w:color w:val="00B050"/>
        </w:rPr>
      </w:pPr>
      <w:r w:rsidRPr="00D51B2D">
        <w:rPr>
          <w:b/>
          <w:bCs/>
          <w:i/>
          <w:iCs/>
          <w:color w:val="00B050"/>
        </w:rPr>
        <w:t>National snapshot of afterschool centers’ strategies</w:t>
      </w:r>
      <w:r w:rsidRPr="00D51B2D">
        <w:rPr>
          <w:b/>
          <w:bCs/>
          <w:color w:val="00B050"/>
        </w:rPr>
        <w:t xml:space="preserve"> </w:t>
      </w:r>
    </w:p>
    <w:p w:rsidR="00D129EF" w:rsidP="00D129EF" w:rsidRDefault="00D129EF" w14:paraId="532330BE" w14:textId="1AEF07B1">
      <w:pPr>
        <w:pStyle w:val="NormalSS"/>
      </w:pPr>
      <w:r>
        <w:t>For the afterschool center director survey, the study team will select a nationally representative sample of 250 centers that receive 21st CCLC funding in fall 2020 and still receive it in spring 2022. The sample of centers will be randomly selected from a nationwide list of all centers receiving 21st CCLC funding in fall 2020, based on information in the program’s annual performance reporting system. The study team will stratify the center sampling frame into 16 strata based on</w:t>
      </w:r>
      <w:r w:rsidRPr="009A113C">
        <w:t xml:space="preserve"> </w:t>
      </w:r>
      <w:r>
        <w:t>grades served</w:t>
      </w:r>
      <w:r w:rsidRPr="009A113C">
        <w:t xml:space="preserve"> </w:t>
      </w:r>
      <w:r>
        <w:t>(elementary and secondary</w:t>
      </w:r>
      <w:r w:rsidRPr="009A113C">
        <w:t xml:space="preserve">), </w:t>
      </w:r>
      <w:r>
        <w:t xml:space="preserve">census </w:t>
      </w:r>
      <w:r w:rsidRPr="009A113C">
        <w:t>region</w:t>
      </w:r>
      <w:r>
        <w:t xml:space="preserve"> (Northeast, South, Midwest, and West)</w:t>
      </w:r>
      <w:r w:rsidRPr="009A113C">
        <w:t xml:space="preserve">, and grantee type (local education agency [LEA] or non-LEA). </w:t>
      </w:r>
      <w:r>
        <w:t>The sampling rate will be identical across strata so that the sample is nationally representative.</w:t>
      </w:r>
    </w:p>
    <w:p w:rsidR="00D129EF" w:rsidP="00D129EF" w:rsidRDefault="00D129EF" w14:paraId="0811C065" w14:textId="77777777">
      <w:pPr>
        <w:pStyle w:val="NormalSS"/>
      </w:pPr>
      <w:r>
        <w:t xml:space="preserve">Because the sampling frame will not have information on whether each center still receives 21st CCLC funding in spring 2022, the study team will initially select more than 250 centers and determine whether they still receive 21st CCLC funding through a single screening question. For centers that the study team does not successfully contact for screening (which may be due to the center not operating anymore), the study team will ask the center’s grantee to provide this information. Centers that the study team verifies are still receiving 21st CCLC funding in spring 2022 will be administered the full survey. The initial sample will consist of 375 centers, of which the study team expects 250 (two-thirds of the initial sample) will be eligible for the full survey. </w:t>
      </w:r>
    </w:p>
    <w:p w:rsidRPr="00D51B2D" w:rsidR="008C7D3A" w:rsidP="008C7D3A" w:rsidRDefault="008C7D3A" w14:paraId="0E351588" w14:textId="77777777">
      <w:pPr>
        <w:pStyle w:val="NormalSS"/>
        <w:rPr>
          <w:b/>
          <w:bCs/>
          <w:i/>
          <w:iCs/>
          <w:color w:val="00B050"/>
        </w:rPr>
      </w:pPr>
      <w:r w:rsidRPr="00D51B2D">
        <w:rPr>
          <w:b/>
          <w:bCs/>
          <w:i/>
          <w:iCs/>
          <w:color w:val="00B050"/>
        </w:rPr>
        <w:t xml:space="preserve">Evaluation of a continuous quality improvement system </w:t>
      </w:r>
    </w:p>
    <w:p w:rsidRPr="008C4B3F" w:rsidR="00D129EF" w:rsidP="00D129EF" w:rsidRDefault="00D129EF" w14:paraId="2C0E8E3A" w14:textId="36B3FC4B">
      <w:pPr>
        <w:pStyle w:val="NormalSS"/>
      </w:pPr>
      <w:r>
        <w:t>For most data collection activities for the evaluation, the study team will not use sampling methods but will collect data from the census of respondents in the respondent universe. The study team will use sampling methods in two cases: (1) to select the sample of students who will take the student survey and whose teachers will take the school-day teacher survey and (2) to select center staff who will take the afterschool center staff survey.</w:t>
      </w:r>
    </w:p>
    <w:p w:rsidR="00D129EF" w:rsidP="00D129EF" w:rsidRDefault="00D129EF" w14:paraId="45730F00" w14:textId="77777777">
      <w:pPr>
        <w:pStyle w:val="NormalSS"/>
      </w:pPr>
      <w:r w:rsidRPr="00FE0B88">
        <w:rPr>
          <w:b/>
          <w:bCs/>
        </w:rPr>
        <w:t xml:space="preserve">To </w:t>
      </w:r>
      <w:r>
        <w:rPr>
          <w:b/>
          <w:bCs/>
        </w:rPr>
        <w:t>select</w:t>
      </w:r>
      <w:r w:rsidRPr="00FE0B88">
        <w:rPr>
          <w:b/>
          <w:bCs/>
        </w:rPr>
        <w:t xml:space="preserve"> the </w:t>
      </w:r>
      <w:r>
        <w:rPr>
          <w:b/>
          <w:bCs/>
        </w:rPr>
        <w:t>students who will take the student survey and whose teachers will take the school-day teacher survey,</w:t>
      </w:r>
      <w:r>
        <w:t xml:space="preserve"> the study team</w:t>
      </w:r>
      <w:r w:rsidRPr="008C4B3F">
        <w:t xml:space="preserve"> will</w:t>
      </w:r>
      <w:r>
        <w:t xml:space="preserve"> </w:t>
      </w:r>
      <w:r w:rsidRPr="008C4B3F">
        <w:t>select students from the population of students who attend a study center on any given day during the first month of the 2021–2022 school year</w:t>
      </w:r>
      <w:r>
        <w:t>. The study team</w:t>
      </w:r>
      <w:r w:rsidRPr="008C4B3F">
        <w:t xml:space="preserve"> will randomly select </w:t>
      </w:r>
      <w:r>
        <w:t>18</w:t>
      </w:r>
      <w:r w:rsidRPr="008C4B3F">
        <w:t xml:space="preserve"> students per center with probability proportional to the number of days they attended the center in the first month</w:t>
      </w:r>
      <w:r>
        <w:t>, thereby oversampling students who attend more frequently during the first month</w:t>
      </w:r>
      <w:r w:rsidRPr="008C4B3F">
        <w:t>. The resulting sample will be representative of center attendees on a typical day in the first month of the 2021–2022 school year.</w:t>
      </w:r>
      <w:r>
        <w:t xml:space="preserve"> Of those 18 students, the first 13 will be designated as the main sample and the next 5 will be designated as a backup sample. During spring 2022, the 13 students in the main sample will be given the student survey, and their teachers will be given the school-day teacher survey. T</w:t>
      </w:r>
      <w:r w:rsidRPr="00C9638F">
        <w:t xml:space="preserve">he classroom teacher of the student at the time we administer the student survey will be asked to complete the school-day </w:t>
      </w:r>
      <w:r w:rsidRPr="00C9638F">
        <w:lastRenderedPageBreak/>
        <w:t>teacher survey.</w:t>
      </w:r>
      <w:r>
        <w:t xml:space="preserve"> </w:t>
      </w:r>
      <w:r w:rsidRPr="00C9638F">
        <w:t>If a student</w:t>
      </w:r>
      <w:r>
        <w:t>’</w:t>
      </w:r>
      <w:r w:rsidRPr="00C9638F">
        <w:t>s school is departmentalized, we will select a single teacher for each student. If the student</w:t>
      </w:r>
      <w:r>
        <w:t>’</w:t>
      </w:r>
      <w:r w:rsidRPr="00C9638F">
        <w:t>s homeroom teacher also teaches the student math or English</w:t>
      </w:r>
      <w:r>
        <w:t xml:space="preserve"> </w:t>
      </w:r>
      <w:r w:rsidRPr="00C9638F">
        <w:t>language arts, that teacher will be in the sample. If not, we will randomly select either the student</w:t>
      </w:r>
      <w:r>
        <w:t>’</w:t>
      </w:r>
      <w:r w:rsidRPr="00C9638F">
        <w:t>s math or English</w:t>
      </w:r>
      <w:r>
        <w:t xml:space="preserve"> </w:t>
      </w:r>
      <w:r w:rsidRPr="00C9638F">
        <w:t>language arts teacher.</w:t>
      </w:r>
    </w:p>
    <w:p w:rsidR="00D129EF" w:rsidP="00D129EF" w:rsidRDefault="00D129EF" w14:paraId="6A135B39" w14:textId="77777777">
      <w:pPr>
        <w:pStyle w:val="NormalSS"/>
        <w:rPr>
          <w:bCs/>
        </w:rPr>
      </w:pPr>
      <w:r>
        <w:t>The study team</w:t>
      </w:r>
      <w:r>
        <w:rPr>
          <w:bCs/>
        </w:rPr>
        <w:t xml:space="preserve"> will not survey the backup sample of 5 additional students per center in spring 2022 but could survey them in spring 2023 if needed. In spring 2023, the study team will reassess the sample for each center to ensure that at least 10 of the original 13 students in each center’s sample are still enrolled at the same school. Only students who are still enrolled will be surveyed in spring 2023. If fewer than 10 students are still enrolled, the study team will randomly select students from the backup sample for that center until the study gets 10 enrolled students in the spring 2023 sample. The students who are surveyed in spring 2023 will be the same students whose classroom teachers are asked to complete the school-day teacher survey in spring 2023. </w:t>
      </w:r>
    </w:p>
    <w:p w:rsidRPr="008C4B3F" w:rsidR="00D129EF" w:rsidP="00D129EF" w:rsidRDefault="00D129EF" w14:paraId="039F8CF3" w14:textId="77777777">
      <w:pPr>
        <w:pStyle w:val="NormalSS"/>
      </w:pPr>
      <w:r w:rsidRPr="005F7134">
        <w:rPr>
          <w:b/>
          <w:bCs/>
        </w:rPr>
        <w:t xml:space="preserve">To select staff for the </w:t>
      </w:r>
      <w:r>
        <w:rPr>
          <w:b/>
          <w:bCs/>
        </w:rPr>
        <w:t>afterschool center staff</w:t>
      </w:r>
      <w:r w:rsidRPr="005F7134">
        <w:rPr>
          <w:b/>
          <w:bCs/>
        </w:rPr>
        <w:t xml:space="preserve"> survey,</w:t>
      </w:r>
      <w:r>
        <w:t xml:space="preserve"> the study team will randomly select afterschool center staff during each year of the evaluation. B</w:t>
      </w:r>
      <w:r w:rsidRPr="008C4B3F">
        <w:t xml:space="preserve">ased on staff rosters from early spring of the survey year (2022 or 2023), </w:t>
      </w:r>
      <w:r>
        <w:t>the study team</w:t>
      </w:r>
      <w:r w:rsidRPr="008C4B3F">
        <w:t xml:space="preserve"> will identify the staff at each center who lead activities with students</w:t>
      </w:r>
      <w:r>
        <w:t xml:space="preserve"> who are in the grades of the evaluation (grades 3–5 in spring 2022, and grades 4–6 in spring 2023)</w:t>
      </w:r>
      <w:r w:rsidRPr="008C4B3F">
        <w:t xml:space="preserve">. </w:t>
      </w:r>
      <w:r>
        <w:t>Of those staff, the study team</w:t>
      </w:r>
      <w:r w:rsidRPr="008C4B3F">
        <w:t xml:space="preserve"> will randomly select three from each center to be included in the sample for that year</w:t>
      </w:r>
      <w:r>
        <w:t xml:space="preserve"> and will administer the afterschool center staff survey to them.</w:t>
      </w:r>
      <w:r w:rsidRPr="008C4B3F">
        <w:t xml:space="preserve"> </w:t>
      </w:r>
    </w:p>
    <w:p w:rsidR="000A01AC" w:rsidP="009A6644" w:rsidRDefault="000A01AC" w14:paraId="00F4AB47" w14:textId="77777777">
      <w:pPr>
        <w:pStyle w:val="H4NumberNoTOC"/>
      </w:pPr>
      <w:r>
        <w:t>b.</w:t>
      </w:r>
      <w:r>
        <w:tab/>
        <w:t>Estimation procedures</w:t>
      </w:r>
    </w:p>
    <w:p w:rsidR="00021E6B" w:rsidP="00021E6B" w:rsidRDefault="000A01AC" w14:paraId="5E883CAC" w14:textId="6E0776EC">
      <w:pPr>
        <w:pStyle w:val="NormalSS"/>
      </w:pPr>
      <w:bookmarkStart w:name="_Hlk63165703" w:id="31"/>
      <w:r>
        <w:t>Exhibit B.</w:t>
      </w:r>
      <w:r w:rsidR="000C1FE0">
        <w:t>2</w:t>
      </w:r>
      <w:r>
        <w:t xml:space="preserve"> indicates which analysis methods will be used for each research question. To address the research questions, the study team will use three types of analysis methods</w:t>
      </w:r>
      <w:r w:rsidR="00021E6B">
        <w:t xml:space="preserve"> across the two study components</w:t>
      </w:r>
      <w:r>
        <w:t>:</w:t>
      </w:r>
    </w:p>
    <w:p w:rsidRPr="00D51B2D" w:rsidR="000C1FE0" w:rsidP="00EC1D52" w:rsidRDefault="000C1FE0" w14:paraId="07DADD28" w14:textId="71D048DD">
      <w:pPr>
        <w:pStyle w:val="NormalSS"/>
        <w:rPr>
          <w:b/>
          <w:bCs/>
          <w:color w:val="00B050"/>
        </w:rPr>
      </w:pPr>
      <w:r w:rsidRPr="00D51B2D">
        <w:rPr>
          <w:b/>
          <w:bCs/>
          <w:i/>
          <w:iCs/>
          <w:color w:val="00B050"/>
        </w:rPr>
        <w:t>National snapshot of afterschool centers’ strategies</w:t>
      </w:r>
      <w:r w:rsidRPr="00D51B2D">
        <w:rPr>
          <w:b/>
          <w:bCs/>
          <w:color w:val="00B050"/>
        </w:rPr>
        <w:t xml:space="preserve"> </w:t>
      </w:r>
    </w:p>
    <w:p w:rsidR="000C1FE0" w:rsidP="000C1FE0" w:rsidRDefault="000C1FE0" w14:paraId="0AB78F85" w14:textId="77777777">
      <w:pPr>
        <w:pStyle w:val="Bullet"/>
      </w:pPr>
      <w:r w:rsidRPr="00471534">
        <w:rPr>
          <w:b/>
          <w:bCs/>
        </w:rPr>
        <w:t>Descriptive analyses:</w:t>
      </w:r>
      <w:r>
        <w:t xml:space="preserve"> The study team will calculate the average values of continuous variables. For categorical variables, the study team will calculate the percentage of sample members in each category. The study team will also report measures of the precision of these estimates, such as confidence intervals. </w:t>
      </w:r>
    </w:p>
    <w:p w:rsidRPr="00141516" w:rsidR="000C1FE0" w:rsidP="00723A20" w:rsidRDefault="000C1FE0" w14:paraId="43DD0AF0" w14:textId="3F4D3BEF">
      <w:pPr>
        <w:pStyle w:val="Bullet"/>
        <w:spacing w:after="240"/>
      </w:pPr>
      <w:r w:rsidRPr="000C1FE0">
        <w:rPr>
          <w:b/>
          <w:bCs/>
        </w:rPr>
        <w:t>Comparative analyses:</w:t>
      </w:r>
      <w:r>
        <w:t xml:space="preserve"> To compare groups, such as comparing characteristics of different types of centers, the study team will report the magnitudes of differences between groups and assess their statistical significance.</w:t>
      </w:r>
    </w:p>
    <w:p w:rsidRPr="00D51B2D" w:rsidR="000C1FE0" w:rsidP="00EC1D52" w:rsidRDefault="000C1FE0" w14:paraId="58FC9C24" w14:textId="2B8C6C06">
      <w:pPr>
        <w:pStyle w:val="NormalSS"/>
        <w:rPr>
          <w:b/>
          <w:bCs/>
          <w:i/>
          <w:iCs/>
          <w:color w:val="00B050"/>
        </w:rPr>
      </w:pPr>
      <w:r w:rsidRPr="00D51B2D">
        <w:rPr>
          <w:b/>
          <w:bCs/>
          <w:i/>
          <w:iCs/>
          <w:color w:val="00B050"/>
        </w:rPr>
        <w:t xml:space="preserve">Evaluation of a continuous quality improvement system </w:t>
      </w:r>
    </w:p>
    <w:p w:rsidR="000C1FE0" w:rsidP="000C1FE0" w:rsidRDefault="000C1FE0" w14:paraId="32F77DF5" w14:textId="46883137">
      <w:pPr>
        <w:pStyle w:val="Bullet"/>
      </w:pPr>
      <w:r w:rsidRPr="00471534">
        <w:rPr>
          <w:b/>
          <w:bCs/>
        </w:rPr>
        <w:t>Descriptive analyses:</w:t>
      </w:r>
      <w:r>
        <w:t xml:space="preserve"> The study team will apply the same approach for descriptive analyses as in the national snapshot of afterschool centers’ strategies.</w:t>
      </w:r>
    </w:p>
    <w:p w:rsidRPr="00141516" w:rsidR="000C1FE0" w:rsidP="00141516" w:rsidRDefault="000C1FE0" w14:paraId="68CD9C71" w14:textId="7E20184A">
      <w:pPr>
        <w:pStyle w:val="Bullet"/>
      </w:pPr>
      <w:r w:rsidRPr="000C1FE0">
        <w:rPr>
          <w:b/>
          <w:bCs/>
        </w:rPr>
        <w:t>Comparative analyses:</w:t>
      </w:r>
      <w:r>
        <w:t xml:space="preserve"> The study team will apply the same approach for </w:t>
      </w:r>
      <w:r w:rsidR="00C075FD">
        <w:t xml:space="preserve">comparative </w:t>
      </w:r>
      <w:r>
        <w:t>analyses as in the national snapshot of afterschool centers’ strategies.</w:t>
      </w:r>
    </w:p>
    <w:p w:rsidRPr="008C4B3F" w:rsidR="000C1FE0" w:rsidP="000C1FE0" w:rsidRDefault="000C1FE0" w14:paraId="767C09F4" w14:textId="6081A617">
      <w:pPr>
        <w:pStyle w:val="BulletLastSS"/>
      </w:pPr>
      <w:r w:rsidRPr="00471534">
        <w:rPr>
          <w:b/>
          <w:bCs/>
        </w:rPr>
        <w:lastRenderedPageBreak/>
        <w:t>Regression analyses:</w:t>
      </w:r>
      <w:r>
        <w:t xml:space="preserve"> The study team will use regression analyses in two ways. First, the study team will use them to estimate the effect of the continuous quality improvement system on afterschool center staff practices and student outcomes. The study team plans to control for covariates that represent baseline characteristics of students and their families, including students’ demographic characteristics and baseline social and emotional skills. Second, the study team will use regression analyses to understand the circumstances under which the continuous quality improvement system may be most successful. To do so, the study team will examine how effects on student outcomes and staff practices relate to key factors, such as characteristics of the centers and the ways they implemented the continuous quality improvement system. </w:t>
      </w:r>
    </w:p>
    <w:p w:rsidRPr="00C9638F" w:rsidR="000A01AC" w:rsidP="00723A20" w:rsidRDefault="000A01AC" w14:paraId="2C5D6DC3" w14:textId="670FED5F">
      <w:pPr>
        <w:pStyle w:val="MarkforExhibitTitle"/>
      </w:pPr>
      <w:bookmarkStart w:name="_Toc62055082" w:id="32"/>
      <w:bookmarkEnd w:id="31"/>
      <w:r w:rsidRPr="00C9638F">
        <w:t xml:space="preserve">Exhibit </w:t>
      </w:r>
      <w:r>
        <w:t>B</w:t>
      </w:r>
      <w:r w:rsidRPr="00C9638F">
        <w:t>.</w:t>
      </w:r>
      <w:r w:rsidR="000C1FE0">
        <w:t>2</w:t>
      </w:r>
      <w:r w:rsidRPr="00C9638F">
        <w:t xml:space="preserve">. </w:t>
      </w:r>
      <w:r>
        <w:t>Estimation methods for each study research question</w:t>
      </w:r>
      <w:bookmarkEnd w:id="32"/>
    </w:p>
    <w:tbl>
      <w:tblPr>
        <w:tblStyle w:val="MPRBaseTable2"/>
        <w:tblW w:w="5000" w:type="pct"/>
        <w:tblLayout w:type="fixed"/>
        <w:tblLook w:val="0620" w:firstRow="1" w:lastRow="0" w:firstColumn="0" w:lastColumn="0" w:noHBand="1" w:noVBand="1"/>
      </w:tblPr>
      <w:tblGrid>
        <w:gridCol w:w="5217"/>
        <w:gridCol w:w="1380"/>
        <w:gridCol w:w="1380"/>
        <w:gridCol w:w="1383"/>
      </w:tblGrid>
      <w:tr w:rsidRPr="00B167A7" w:rsidR="000A01AC" w:rsidTr="002967C7" w14:paraId="340CE741" w14:textId="77777777">
        <w:trPr>
          <w:cnfStyle w:val="100000000000" w:firstRow="1" w:lastRow="0" w:firstColumn="0" w:lastColumn="0" w:oddVBand="0" w:evenVBand="0" w:oddHBand="0" w:evenHBand="0" w:firstRowFirstColumn="0" w:firstRowLastColumn="0" w:lastRowFirstColumn="0" w:lastRowLastColumn="0"/>
          <w:trHeight w:val="432"/>
          <w:tblHeader/>
        </w:trPr>
        <w:tc>
          <w:tcPr>
            <w:tcW w:w="2787" w:type="pct"/>
          </w:tcPr>
          <w:p w:rsidRPr="009D3035" w:rsidR="000A01AC" w:rsidP="009F3B0C" w:rsidRDefault="000A01AC" w14:paraId="58EC4F85" w14:textId="77777777">
            <w:pPr>
              <w:pStyle w:val="TableHeaderLeft"/>
              <w:rPr>
                <w:b w:val="0"/>
                <w:bCs/>
              </w:rPr>
            </w:pPr>
            <w:r>
              <w:rPr>
                <w:bCs/>
              </w:rPr>
              <w:t>Research question</w:t>
            </w:r>
          </w:p>
        </w:tc>
        <w:tc>
          <w:tcPr>
            <w:tcW w:w="737" w:type="pct"/>
          </w:tcPr>
          <w:p w:rsidRPr="009D3035" w:rsidR="000A01AC" w:rsidP="009F3B0C" w:rsidRDefault="000A01AC" w14:paraId="7CB39454" w14:textId="77777777">
            <w:pPr>
              <w:pStyle w:val="TableHeaderCenter"/>
              <w:rPr>
                <w:b w:val="0"/>
                <w:bCs/>
              </w:rPr>
            </w:pPr>
            <w:r>
              <w:rPr>
                <w:bCs/>
              </w:rPr>
              <w:t>Descriptive analyses</w:t>
            </w:r>
          </w:p>
        </w:tc>
        <w:tc>
          <w:tcPr>
            <w:tcW w:w="737" w:type="pct"/>
          </w:tcPr>
          <w:p w:rsidRPr="009D3035" w:rsidR="000A01AC" w:rsidP="009F3B0C" w:rsidRDefault="000A01AC" w14:paraId="104E53C1" w14:textId="77777777">
            <w:pPr>
              <w:pStyle w:val="TableHeaderCenter"/>
              <w:rPr>
                <w:b w:val="0"/>
                <w:bCs/>
              </w:rPr>
            </w:pPr>
            <w:r>
              <w:rPr>
                <w:bCs/>
              </w:rPr>
              <w:t>Comparative analyses</w:t>
            </w:r>
          </w:p>
        </w:tc>
        <w:tc>
          <w:tcPr>
            <w:tcW w:w="739" w:type="pct"/>
          </w:tcPr>
          <w:p w:rsidR="000A01AC" w:rsidP="009F3B0C" w:rsidRDefault="000A01AC" w14:paraId="27EFC2B2" w14:textId="77777777">
            <w:pPr>
              <w:pStyle w:val="TableHeaderCenter"/>
              <w:rPr>
                <w:bCs/>
              </w:rPr>
            </w:pPr>
            <w:r>
              <w:rPr>
                <w:bCs/>
              </w:rPr>
              <w:t>Regression analyses</w:t>
            </w:r>
          </w:p>
        </w:tc>
      </w:tr>
      <w:tr w:rsidRPr="00B167A7" w:rsidR="000A01AC" w:rsidTr="00C017ED" w14:paraId="07F6CA02" w14:textId="77777777">
        <w:trPr>
          <w:trHeight w:val="41"/>
        </w:trPr>
        <w:tc>
          <w:tcPr>
            <w:tcW w:w="5000" w:type="pct"/>
            <w:gridSpan w:val="4"/>
            <w:shd w:val="clear" w:color="auto" w:fill="BFBFBF" w:themeFill="background1" w:themeFillShade="BF"/>
          </w:tcPr>
          <w:p w:rsidRPr="00937D4D" w:rsidR="000A01AC" w:rsidP="00A03337" w:rsidRDefault="000A01AC" w14:paraId="6E10721E" w14:textId="77777777">
            <w:pPr>
              <w:pStyle w:val="TableRowHead"/>
            </w:pPr>
            <w:r w:rsidRPr="00937D4D">
              <w:t>National snapshot of afterschool centers’ strategies</w:t>
            </w:r>
          </w:p>
        </w:tc>
      </w:tr>
      <w:tr w:rsidRPr="00B167A7" w:rsidR="000A01AC" w:rsidTr="00A03337" w14:paraId="3C0663E7" w14:textId="77777777">
        <w:trPr>
          <w:trHeight w:val="20"/>
        </w:trPr>
        <w:tc>
          <w:tcPr>
            <w:tcW w:w="2787" w:type="pct"/>
          </w:tcPr>
          <w:p w:rsidRPr="008A5C7A" w:rsidR="000A01AC" w:rsidP="009F3B0C" w:rsidRDefault="000A01AC" w14:paraId="21B071CA" w14:textId="7666869C">
            <w:pPr>
              <w:pStyle w:val="TableTextLeft"/>
              <w:rPr>
                <w:rFonts w:cs="Arial"/>
                <w:b/>
                <w:bCs/>
              </w:rPr>
            </w:pPr>
            <w:r w:rsidRPr="00937D4D">
              <w:rPr>
                <w:rFonts w:cs="Arial"/>
                <w:b/>
                <w:bCs/>
              </w:rPr>
              <w:t xml:space="preserve">RQ 1. </w:t>
            </w:r>
            <w:r w:rsidRPr="000129A8">
              <w:rPr>
                <w:rFonts w:cs="Arial"/>
                <w:b/>
                <w:bCs/>
              </w:rPr>
              <w:t xml:space="preserve">What </w:t>
            </w:r>
            <w:r w:rsidR="00D97505">
              <w:rPr>
                <w:rFonts w:cs="Arial"/>
                <w:b/>
                <w:bCs/>
              </w:rPr>
              <w:t>key</w:t>
            </w:r>
            <w:r w:rsidR="00ED1606">
              <w:rPr>
                <w:rFonts w:cs="Arial"/>
                <w:b/>
                <w:bCs/>
              </w:rPr>
              <w:t xml:space="preserve"> outcomes </w:t>
            </w:r>
            <w:r w:rsidR="00D97505">
              <w:rPr>
                <w:rFonts w:cs="Arial"/>
                <w:b/>
                <w:bCs/>
              </w:rPr>
              <w:t xml:space="preserve">for students and families </w:t>
            </w:r>
            <w:r w:rsidR="00ED1606">
              <w:rPr>
                <w:rFonts w:cs="Arial"/>
                <w:b/>
                <w:bCs/>
              </w:rPr>
              <w:t>do afterschool</w:t>
            </w:r>
            <w:r w:rsidRPr="000129A8">
              <w:rPr>
                <w:rFonts w:cs="Arial"/>
                <w:b/>
                <w:bCs/>
              </w:rPr>
              <w:t xml:space="preserve"> centers </w:t>
            </w:r>
            <w:r w:rsidR="00ED1606">
              <w:rPr>
                <w:rFonts w:cs="Arial"/>
                <w:b/>
                <w:bCs/>
              </w:rPr>
              <w:t>in</w:t>
            </w:r>
            <w:r w:rsidRPr="000129A8">
              <w:rPr>
                <w:rFonts w:cs="Arial"/>
                <w:b/>
                <w:bCs/>
              </w:rPr>
              <w:t xml:space="preserve"> the 21st CCLC program</w:t>
            </w:r>
            <w:r w:rsidR="00ED1606">
              <w:rPr>
                <w:rFonts w:cs="Arial"/>
                <w:b/>
                <w:bCs/>
              </w:rPr>
              <w:t xml:space="preserve"> aim to promote</w:t>
            </w:r>
            <w:r w:rsidRPr="000129A8">
              <w:rPr>
                <w:rFonts w:cs="Arial"/>
                <w:b/>
                <w:bCs/>
              </w:rPr>
              <w:t xml:space="preserve">, and what strategies do they use to </w:t>
            </w:r>
            <w:r w:rsidR="00ED1606">
              <w:rPr>
                <w:rFonts w:cs="Arial"/>
                <w:b/>
                <w:bCs/>
              </w:rPr>
              <w:t>promote them</w:t>
            </w:r>
            <w:r w:rsidRPr="000129A8">
              <w:rPr>
                <w:rFonts w:cs="Arial"/>
                <w:b/>
                <w:bCs/>
              </w:rPr>
              <w:t>?</w:t>
            </w:r>
          </w:p>
        </w:tc>
        <w:tc>
          <w:tcPr>
            <w:tcW w:w="737" w:type="pct"/>
          </w:tcPr>
          <w:p w:rsidRPr="00937D4D" w:rsidR="000A01AC" w:rsidP="002967C7" w:rsidRDefault="000A01AC" w14:paraId="090A1BAB" w14:textId="77777777">
            <w:pPr>
              <w:pStyle w:val="TableTextCentered"/>
            </w:pPr>
            <w:r w:rsidRPr="00937D4D">
              <w:t>X</w:t>
            </w:r>
          </w:p>
        </w:tc>
        <w:tc>
          <w:tcPr>
            <w:tcW w:w="737" w:type="pct"/>
          </w:tcPr>
          <w:p w:rsidRPr="00937D4D" w:rsidR="000A01AC" w:rsidP="002967C7" w:rsidRDefault="000A01AC" w14:paraId="63D414F5" w14:textId="77777777">
            <w:pPr>
              <w:pStyle w:val="TableTextCentered"/>
            </w:pPr>
            <w:r w:rsidRPr="00937D4D">
              <w:t>X</w:t>
            </w:r>
          </w:p>
        </w:tc>
        <w:tc>
          <w:tcPr>
            <w:tcW w:w="739" w:type="pct"/>
          </w:tcPr>
          <w:p w:rsidR="000A01AC" w:rsidP="002967C7" w:rsidRDefault="000A01AC" w14:paraId="5A34F0CA" w14:textId="77777777">
            <w:pPr>
              <w:pStyle w:val="TableTextCentered"/>
            </w:pPr>
          </w:p>
        </w:tc>
      </w:tr>
      <w:tr w:rsidRPr="008A5C7A" w:rsidR="000A01AC" w:rsidTr="00A03337" w14:paraId="41E6271D" w14:textId="77777777">
        <w:trPr>
          <w:trHeight w:val="20"/>
        </w:trPr>
        <w:tc>
          <w:tcPr>
            <w:tcW w:w="2787" w:type="pct"/>
          </w:tcPr>
          <w:p w:rsidRPr="002967C7" w:rsidR="000A01AC" w:rsidP="002967C7" w:rsidRDefault="00ED1606" w14:paraId="6FCE1F4F" w14:textId="77B9691A">
            <w:pPr>
              <w:pStyle w:val="TableListAlpha"/>
            </w:pPr>
            <w:r>
              <w:t>How do centers use activities</w:t>
            </w:r>
            <w:r w:rsidR="00D97505">
              <w:t xml:space="preserve"> and services for students and families</w:t>
            </w:r>
            <w:r>
              <w:t xml:space="preserve">, </w:t>
            </w:r>
            <w:r w:rsidR="00D97505">
              <w:t xml:space="preserve">supports for </w:t>
            </w:r>
            <w:r>
              <w:t>staff, and improvement strategies to promote student outcomes</w:t>
            </w:r>
            <w:r w:rsidRPr="002967C7" w:rsidR="000A01AC">
              <w:t>?</w:t>
            </w:r>
          </w:p>
        </w:tc>
        <w:tc>
          <w:tcPr>
            <w:tcW w:w="737" w:type="pct"/>
          </w:tcPr>
          <w:p w:rsidRPr="008A5C7A" w:rsidR="000A01AC" w:rsidP="002967C7" w:rsidRDefault="000A01AC" w14:paraId="51941CE6" w14:textId="77777777">
            <w:pPr>
              <w:pStyle w:val="TableTextCentered"/>
            </w:pPr>
            <w:r>
              <w:t>X</w:t>
            </w:r>
          </w:p>
        </w:tc>
        <w:tc>
          <w:tcPr>
            <w:tcW w:w="737" w:type="pct"/>
          </w:tcPr>
          <w:p w:rsidRPr="008A5C7A" w:rsidR="000A01AC" w:rsidP="002967C7" w:rsidRDefault="000A01AC" w14:paraId="3A257F7E" w14:textId="77777777">
            <w:pPr>
              <w:pStyle w:val="TableTextCentered"/>
            </w:pPr>
            <w:r>
              <w:t>X</w:t>
            </w:r>
          </w:p>
        </w:tc>
        <w:tc>
          <w:tcPr>
            <w:tcW w:w="739" w:type="pct"/>
          </w:tcPr>
          <w:p w:rsidRPr="008A5C7A" w:rsidR="000A01AC" w:rsidP="002967C7" w:rsidRDefault="000A01AC" w14:paraId="4B98D9BE" w14:textId="77777777">
            <w:pPr>
              <w:pStyle w:val="TableTextCentered"/>
            </w:pPr>
          </w:p>
        </w:tc>
      </w:tr>
      <w:tr w:rsidRPr="008A5C7A" w:rsidR="000A01AC" w:rsidTr="00A03337" w14:paraId="45EC8B8A" w14:textId="77777777">
        <w:trPr>
          <w:trHeight w:val="20"/>
        </w:trPr>
        <w:tc>
          <w:tcPr>
            <w:tcW w:w="2787" w:type="pct"/>
          </w:tcPr>
          <w:p w:rsidRPr="002967C7" w:rsidR="000A01AC" w:rsidP="002967C7" w:rsidRDefault="000A01AC" w14:paraId="35775C40" w14:textId="635FF18B">
            <w:pPr>
              <w:pStyle w:val="TableListAlpha"/>
            </w:pPr>
            <w:r w:rsidRPr="002967C7">
              <w:t xml:space="preserve">What challenges do centers face when trying to </w:t>
            </w:r>
            <w:r w:rsidR="00ED1606">
              <w:t xml:space="preserve">promote </w:t>
            </w:r>
            <w:r w:rsidR="00D97505">
              <w:t>key</w:t>
            </w:r>
            <w:r w:rsidR="00ED1606">
              <w:t xml:space="preserve"> outcomes</w:t>
            </w:r>
            <w:r w:rsidRPr="002967C7">
              <w:t>, and what are their approaches to addressing those challenges?</w:t>
            </w:r>
          </w:p>
        </w:tc>
        <w:tc>
          <w:tcPr>
            <w:tcW w:w="737" w:type="pct"/>
          </w:tcPr>
          <w:p w:rsidR="000A01AC" w:rsidP="002967C7" w:rsidRDefault="000A01AC" w14:paraId="3F1ADF7D" w14:textId="77777777">
            <w:pPr>
              <w:pStyle w:val="TableTextCentered"/>
            </w:pPr>
            <w:r>
              <w:t>X</w:t>
            </w:r>
          </w:p>
        </w:tc>
        <w:tc>
          <w:tcPr>
            <w:tcW w:w="737" w:type="pct"/>
          </w:tcPr>
          <w:p w:rsidR="000A01AC" w:rsidP="002967C7" w:rsidRDefault="000A01AC" w14:paraId="04FC88E5" w14:textId="77777777">
            <w:pPr>
              <w:pStyle w:val="TableTextCentered"/>
            </w:pPr>
            <w:r>
              <w:t>X</w:t>
            </w:r>
          </w:p>
        </w:tc>
        <w:tc>
          <w:tcPr>
            <w:tcW w:w="739" w:type="pct"/>
          </w:tcPr>
          <w:p w:rsidRPr="008A5C7A" w:rsidR="000A01AC" w:rsidP="002967C7" w:rsidRDefault="000A01AC" w14:paraId="671C5B6E" w14:textId="77777777">
            <w:pPr>
              <w:pStyle w:val="TableTextCentered"/>
            </w:pPr>
          </w:p>
        </w:tc>
      </w:tr>
      <w:tr w:rsidRPr="00B167A7" w:rsidR="000A01AC" w:rsidTr="00C017ED" w14:paraId="2D01E44E" w14:textId="77777777">
        <w:trPr>
          <w:trHeight w:val="20"/>
        </w:trPr>
        <w:tc>
          <w:tcPr>
            <w:tcW w:w="5000" w:type="pct"/>
            <w:gridSpan w:val="4"/>
            <w:shd w:val="clear" w:color="auto" w:fill="BFBFBF" w:themeFill="background1" w:themeFillShade="BF"/>
          </w:tcPr>
          <w:p w:rsidRPr="00937D4D" w:rsidR="000A01AC" w:rsidP="00A03337" w:rsidRDefault="000A01AC" w14:paraId="1EB1FB49" w14:textId="77777777">
            <w:pPr>
              <w:pStyle w:val="TableRowHead"/>
            </w:pPr>
            <w:r w:rsidRPr="00937D4D">
              <w:t>Evaluation of a continuous quality improvement system</w:t>
            </w:r>
          </w:p>
        </w:tc>
      </w:tr>
      <w:tr w:rsidRPr="00B167A7" w:rsidR="00C017ED" w:rsidTr="00A03337" w14:paraId="78B31F8D" w14:textId="77777777">
        <w:trPr>
          <w:trHeight w:val="20"/>
        </w:trPr>
        <w:tc>
          <w:tcPr>
            <w:tcW w:w="2787" w:type="pct"/>
          </w:tcPr>
          <w:p w:rsidRPr="00937D4D" w:rsidR="00C017ED" w:rsidP="009F3B0C" w:rsidRDefault="00C017ED" w14:paraId="7BAF2ED9" w14:textId="13409DA1">
            <w:pPr>
              <w:pStyle w:val="TableTextLeft"/>
              <w:rPr>
                <w:rFonts w:cs="Arial"/>
                <w:b/>
                <w:bCs/>
              </w:rPr>
            </w:pPr>
            <w:r>
              <w:rPr>
                <w:rFonts w:cs="Arial"/>
                <w:b/>
                <w:bCs/>
              </w:rPr>
              <w:t xml:space="preserve">RQ2. To what extent did centers implement key aspects of the continuous quality improvement system in the first year of the system? What challenges </w:t>
            </w:r>
            <w:r w:rsidRPr="007526ED">
              <w:rPr>
                <w:rFonts w:cs="Arial"/>
                <w:b/>
                <w:bCs/>
              </w:rPr>
              <w:t>did they encounter in implementing the system, and how did they address these challenges</w:t>
            </w:r>
            <w:r>
              <w:rPr>
                <w:rFonts w:cs="Arial"/>
                <w:b/>
                <w:bCs/>
              </w:rPr>
              <w:t>?</w:t>
            </w:r>
          </w:p>
        </w:tc>
        <w:tc>
          <w:tcPr>
            <w:tcW w:w="737" w:type="pct"/>
          </w:tcPr>
          <w:p w:rsidRPr="00603BB2" w:rsidR="00C017ED" w:rsidP="002967C7" w:rsidRDefault="00C017ED" w14:paraId="0AA530EC" w14:textId="683A5704">
            <w:pPr>
              <w:pStyle w:val="TableTextCentered"/>
            </w:pPr>
            <w:r>
              <w:t>X</w:t>
            </w:r>
          </w:p>
        </w:tc>
        <w:tc>
          <w:tcPr>
            <w:tcW w:w="737" w:type="pct"/>
          </w:tcPr>
          <w:p w:rsidRPr="00603BB2" w:rsidR="00C017ED" w:rsidP="002967C7" w:rsidRDefault="00C017ED" w14:paraId="7E528B66" w14:textId="77777777">
            <w:pPr>
              <w:pStyle w:val="TableTextCentered"/>
            </w:pPr>
          </w:p>
        </w:tc>
        <w:tc>
          <w:tcPr>
            <w:tcW w:w="739" w:type="pct"/>
          </w:tcPr>
          <w:p w:rsidR="00C017ED" w:rsidP="002967C7" w:rsidRDefault="00C017ED" w14:paraId="3FBAB4B3" w14:textId="77777777">
            <w:pPr>
              <w:pStyle w:val="TableTextCentered"/>
            </w:pPr>
          </w:p>
        </w:tc>
      </w:tr>
      <w:tr w:rsidRPr="00B167A7" w:rsidR="000A01AC" w:rsidTr="00A03337" w14:paraId="5B9ACE69" w14:textId="77777777">
        <w:trPr>
          <w:trHeight w:val="20"/>
        </w:trPr>
        <w:tc>
          <w:tcPr>
            <w:tcW w:w="2787" w:type="pct"/>
          </w:tcPr>
          <w:p w:rsidRPr="00A872C2" w:rsidR="000A01AC" w:rsidP="009F3B0C" w:rsidRDefault="000A01AC" w14:paraId="3CA0546F" w14:textId="61B8FA9B">
            <w:pPr>
              <w:pStyle w:val="TableTextLeft"/>
              <w:rPr>
                <w:rFonts w:cs="Arial"/>
                <w:b/>
                <w:bCs/>
              </w:rPr>
            </w:pPr>
            <w:r w:rsidRPr="00937D4D">
              <w:rPr>
                <w:rFonts w:cs="Arial"/>
                <w:b/>
                <w:bCs/>
              </w:rPr>
              <w:t>RQ</w:t>
            </w:r>
            <w:r w:rsidRPr="00C87CAB">
              <w:rPr>
                <w:rFonts w:cs="Arial"/>
                <w:b/>
                <w:bCs/>
              </w:rPr>
              <w:t xml:space="preserve"> </w:t>
            </w:r>
            <w:r w:rsidR="00C017ED">
              <w:rPr>
                <w:rFonts w:cs="Arial"/>
                <w:b/>
                <w:bCs/>
              </w:rPr>
              <w:t>3</w:t>
            </w:r>
            <w:r w:rsidRPr="00937D4D">
              <w:rPr>
                <w:rFonts w:cs="Arial"/>
                <w:b/>
                <w:bCs/>
              </w:rPr>
              <w:t>.</w:t>
            </w:r>
            <w:r>
              <w:rPr>
                <w:rFonts w:cs="Arial"/>
                <w:b/>
                <w:bCs/>
              </w:rPr>
              <w:t xml:space="preserve"> </w:t>
            </w:r>
            <w:r w:rsidR="00C017ED">
              <w:rPr>
                <w:rFonts w:cs="Arial"/>
                <w:b/>
                <w:bCs/>
              </w:rPr>
              <w:t>Across two years, w</w:t>
            </w:r>
            <w:r w:rsidRPr="000129A8">
              <w:rPr>
                <w:rFonts w:cs="Arial"/>
                <w:b/>
                <w:bCs/>
              </w:rPr>
              <w:t xml:space="preserve">hat improvement strategies </w:t>
            </w:r>
            <w:r w:rsidR="00ED1606">
              <w:rPr>
                <w:rFonts w:cs="Arial"/>
                <w:b/>
                <w:bCs/>
              </w:rPr>
              <w:t>were used by</w:t>
            </w:r>
            <w:r w:rsidRPr="000129A8" w:rsidR="00ED1606">
              <w:rPr>
                <w:rFonts w:cs="Arial"/>
                <w:b/>
                <w:bCs/>
              </w:rPr>
              <w:t xml:space="preserve"> </w:t>
            </w:r>
            <w:r w:rsidRPr="000129A8">
              <w:rPr>
                <w:rFonts w:cs="Arial"/>
                <w:b/>
                <w:bCs/>
              </w:rPr>
              <w:t>centers that implemented the continuous quality improvement system? How did these differ from centers that did not implement the system?</w:t>
            </w:r>
          </w:p>
        </w:tc>
        <w:tc>
          <w:tcPr>
            <w:tcW w:w="737" w:type="pct"/>
          </w:tcPr>
          <w:p w:rsidR="000A01AC" w:rsidP="002967C7" w:rsidRDefault="000A01AC" w14:paraId="6DD406D4" w14:textId="77777777">
            <w:pPr>
              <w:pStyle w:val="TableTextCentered"/>
            </w:pPr>
            <w:r w:rsidRPr="00603BB2">
              <w:t>X</w:t>
            </w:r>
          </w:p>
        </w:tc>
        <w:tc>
          <w:tcPr>
            <w:tcW w:w="737" w:type="pct"/>
          </w:tcPr>
          <w:p w:rsidR="000A01AC" w:rsidP="002967C7" w:rsidRDefault="000A01AC" w14:paraId="7A16F16B" w14:textId="77777777">
            <w:pPr>
              <w:pStyle w:val="TableTextCentered"/>
            </w:pPr>
            <w:r w:rsidRPr="00603BB2">
              <w:t>X</w:t>
            </w:r>
          </w:p>
        </w:tc>
        <w:tc>
          <w:tcPr>
            <w:tcW w:w="739" w:type="pct"/>
          </w:tcPr>
          <w:p w:rsidR="000A01AC" w:rsidP="002967C7" w:rsidRDefault="000A01AC" w14:paraId="5D388031" w14:textId="77777777">
            <w:pPr>
              <w:pStyle w:val="TableTextCentered"/>
            </w:pPr>
          </w:p>
        </w:tc>
      </w:tr>
      <w:tr w:rsidRPr="008A5C7A" w:rsidR="000A01AC" w:rsidTr="00A03337" w14:paraId="40E335E8" w14:textId="77777777">
        <w:trPr>
          <w:trHeight w:val="20"/>
        </w:trPr>
        <w:tc>
          <w:tcPr>
            <w:tcW w:w="2787" w:type="pct"/>
          </w:tcPr>
          <w:p w:rsidRPr="008A5C7A" w:rsidR="000A01AC" w:rsidP="002967C7" w:rsidRDefault="000A01AC" w14:paraId="5CED8096" w14:textId="77777777">
            <w:pPr>
              <w:pStyle w:val="TableListAlpha"/>
              <w:numPr>
                <w:ilvl w:val="0"/>
                <w:numId w:val="33"/>
              </w:numPr>
            </w:pPr>
            <w:r>
              <w:t>In centers that implemented the system, what strategies did center leaders and staff use to improve the quality of their center? How did these strategies differ from centers that did not implement the system?</w:t>
            </w:r>
          </w:p>
        </w:tc>
        <w:tc>
          <w:tcPr>
            <w:tcW w:w="737" w:type="pct"/>
          </w:tcPr>
          <w:p w:rsidRPr="008A5C7A" w:rsidR="000A01AC" w:rsidP="002967C7" w:rsidRDefault="000A01AC" w14:paraId="1E6AF0A8" w14:textId="77777777">
            <w:pPr>
              <w:pStyle w:val="TableTextCentered"/>
            </w:pPr>
            <w:r>
              <w:t>X</w:t>
            </w:r>
          </w:p>
        </w:tc>
        <w:tc>
          <w:tcPr>
            <w:tcW w:w="737" w:type="pct"/>
          </w:tcPr>
          <w:p w:rsidRPr="008A5C7A" w:rsidR="000A01AC" w:rsidP="002967C7" w:rsidRDefault="000A01AC" w14:paraId="079F21AB" w14:textId="77777777">
            <w:pPr>
              <w:pStyle w:val="TableTextCentered"/>
            </w:pPr>
            <w:r>
              <w:t>X</w:t>
            </w:r>
          </w:p>
        </w:tc>
        <w:tc>
          <w:tcPr>
            <w:tcW w:w="739" w:type="pct"/>
          </w:tcPr>
          <w:p w:rsidRPr="008A5C7A" w:rsidR="000A01AC" w:rsidP="002967C7" w:rsidRDefault="000A01AC" w14:paraId="7EDB5F47" w14:textId="77777777">
            <w:pPr>
              <w:pStyle w:val="TableTextCentered"/>
            </w:pPr>
          </w:p>
        </w:tc>
      </w:tr>
      <w:tr w:rsidRPr="008A5C7A" w:rsidR="000A01AC" w:rsidTr="00A03337" w14:paraId="555C0433" w14:textId="77777777">
        <w:trPr>
          <w:trHeight w:val="20"/>
        </w:trPr>
        <w:tc>
          <w:tcPr>
            <w:tcW w:w="2787" w:type="pct"/>
          </w:tcPr>
          <w:p w:rsidRPr="008A5C7A" w:rsidR="000A01AC" w:rsidP="002967C7" w:rsidRDefault="000A01AC" w14:paraId="6797DCB8" w14:textId="77777777">
            <w:pPr>
              <w:pStyle w:val="TableListAlpha"/>
            </w:pPr>
            <w:r>
              <w:t>In centers that implemented the system, what training and coaching did center staff receive? How did these differ from centers that did not implement the system?</w:t>
            </w:r>
          </w:p>
        </w:tc>
        <w:tc>
          <w:tcPr>
            <w:tcW w:w="737" w:type="pct"/>
          </w:tcPr>
          <w:p w:rsidRPr="008A5C7A" w:rsidR="000A01AC" w:rsidP="002967C7" w:rsidRDefault="000A01AC" w14:paraId="47FB7E12" w14:textId="77777777">
            <w:pPr>
              <w:pStyle w:val="TableTextCentered"/>
            </w:pPr>
            <w:r>
              <w:t>X</w:t>
            </w:r>
          </w:p>
        </w:tc>
        <w:tc>
          <w:tcPr>
            <w:tcW w:w="737" w:type="pct"/>
          </w:tcPr>
          <w:p w:rsidRPr="008A5C7A" w:rsidR="000A01AC" w:rsidP="002967C7" w:rsidRDefault="000A01AC" w14:paraId="162062B7" w14:textId="77777777">
            <w:pPr>
              <w:pStyle w:val="TableTextCentered"/>
            </w:pPr>
            <w:r>
              <w:t>X</w:t>
            </w:r>
          </w:p>
        </w:tc>
        <w:tc>
          <w:tcPr>
            <w:tcW w:w="739" w:type="pct"/>
          </w:tcPr>
          <w:p w:rsidRPr="008A5C7A" w:rsidR="000A01AC" w:rsidP="002967C7" w:rsidRDefault="000A01AC" w14:paraId="7377C8B7" w14:textId="77777777">
            <w:pPr>
              <w:pStyle w:val="TableTextCentered"/>
            </w:pPr>
          </w:p>
        </w:tc>
      </w:tr>
      <w:tr w:rsidRPr="00B167A7" w:rsidR="000A01AC" w:rsidTr="00A03337" w14:paraId="798C8B08" w14:textId="77777777">
        <w:trPr>
          <w:trHeight w:val="20"/>
        </w:trPr>
        <w:tc>
          <w:tcPr>
            <w:tcW w:w="2787" w:type="pct"/>
          </w:tcPr>
          <w:p w:rsidRPr="00EE0D5C" w:rsidR="000A01AC" w:rsidP="002967C7" w:rsidRDefault="000A01AC" w14:paraId="7661C827" w14:textId="1CD14D38">
            <w:pPr>
              <w:pStyle w:val="TableTextLeft"/>
              <w:keepNext/>
              <w:rPr>
                <w:rFonts w:cs="Arial"/>
                <w:b/>
                <w:bCs/>
              </w:rPr>
            </w:pPr>
            <w:r w:rsidRPr="00937D4D">
              <w:rPr>
                <w:rFonts w:cs="Arial"/>
                <w:b/>
                <w:bCs/>
              </w:rPr>
              <w:t xml:space="preserve">RQ </w:t>
            </w:r>
            <w:r w:rsidR="00C017ED">
              <w:rPr>
                <w:rFonts w:cs="Arial"/>
                <w:b/>
                <w:bCs/>
              </w:rPr>
              <w:t>4</w:t>
            </w:r>
            <w:r w:rsidRPr="00937D4D">
              <w:rPr>
                <w:rFonts w:cs="Arial"/>
                <w:b/>
                <w:bCs/>
              </w:rPr>
              <w:t xml:space="preserve">. </w:t>
            </w:r>
            <w:r w:rsidRPr="00AD3B0D">
              <w:rPr>
                <w:rFonts w:cs="Arial"/>
                <w:b/>
                <w:bCs/>
              </w:rPr>
              <w:t>How did the system affect the practices of center staff, including practices to promote students’ social and emotional skills?</w:t>
            </w:r>
            <w:r>
              <w:rPr>
                <w:rFonts w:cs="Arial"/>
                <w:b/>
                <w:bCs/>
              </w:rPr>
              <w:t xml:space="preserve"> </w:t>
            </w:r>
            <w:r w:rsidRPr="00AD3B0D">
              <w:rPr>
                <w:rFonts w:cs="Arial"/>
                <w:b/>
                <w:bCs/>
              </w:rPr>
              <w:t>How did the system affect students’ social and emotional skills?</w:t>
            </w:r>
          </w:p>
        </w:tc>
        <w:tc>
          <w:tcPr>
            <w:tcW w:w="737" w:type="pct"/>
          </w:tcPr>
          <w:p w:rsidR="000A01AC" w:rsidP="002967C7" w:rsidRDefault="000A01AC" w14:paraId="20486D0B" w14:textId="77777777">
            <w:pPr>
              <w:pStyle w:val="TableTextCentered"/>
            </w:pPr>
          </w:p>
        </w:tc>
        <w:tc>
          <w:tcPr>
            <w:tcW w:w="737" w:type="pct"/>
          </w:tcPr>
          <w:p w:rsidR="000A01AC" w:rsidP="002967C7" w:rsidRDefault="000A01AC" w14:paraId="158BEFA1" w14:textId="77777777">
            <w:pPr>
              <w:pStyle w:val="TableTextCentered"/>
            </w:pPr>
          </w:p>
        </w:tc>
        <w:tc>
          <w:tcPr>
            <w:tcW w:w="739" w:type="pct"/>
          </w:tcPr>
          <w:p w:rsidR="000A01AC" w:rsidP="002967C7" w:rsidRDefault="000A01AC" w14:paraId="3474A28B" w14:textId="77777777">
            <w:pPr>
              <w:pStyle w:val="TableTextCentered"/>
            </w:pPr>
            <w:r w:rsidRPr="00603BB2">
              <w:rPr>
                <w:rFonts w:cs="Arial"/>
              </w:rPr>
              <w:t>X</w:t>
            </w:r>
          </w:p>
        </w:tc>
      </w:tr>
      <w:tr w:rsidRPr="00A872C2" w:rsidR="000A01AC" w:rsidTr="00A03337" w14:paraId="4E091D66" w14:textId="77777777">
        <w:trPr>
          <w:trHeight w:val="20"/>
        </w:trPr>
        <w:tc>
          <w:tcPr>
            <w:tcW w:w="2787" w:type="pct"/>
          </w:tcPr>
          <w:p w:rsidRPr="00A872C2" w:rsidR="000A01AC" w:rsidP="002967C7" w:rsidRDefault="000A01AC" w14:paraId="1FBE9843" w14:textId="77777777">
            <w:pPr>
              <w:pStyle w:val="TableListAlpha"/>
              <w:numPr>
                <w:ilvl w:val="0"/>
                <w:numId w:val="34"/>
              </w:numPr>
            </w:pPr>
            <w:r>
              <w:t>How did the effects of the system differ according to students’ attendance at their afterschool center?</w:t>
            </w:r>
          </w:p>
        </w:tc>
        <w:tc>
          <w:tcPr>
            <w:tcW w:w="737" w:type="pct"/>
          </w:tcPr>
          <w:p w:rsidRPr="00A872C2" w:rsidR="000A01AC" w:rsidP="002967C7" w:rsidRDefault="000A01AC" w14:paraId="6DE3FA9C" w14:textId="77777777">
            <w:pPr>
              <w:pStyle w:val="TableTextCentered"/>
              <w:rPr>
                <w:rFonts w:cs="Arial"/>
              </w:rPr>
            </w:pPr>
          </w:p>
        </w:tc>
        <w:tc>
          <w:tcPr>
            <w:tcW w:w="737" w:type="pct"/>
          </w:tcPr>
          <w:p w:rsidRPr="00A872C2" w:rsidR="000A01AC" w:rsidP="002967C7" w:rsidRDefault="000A01AC" w14:paraId="5E121C52" w14:textId="77777777">
            <w:pPr>
              <w:pStyle w:val="TableTextCentered"/>
              <w:rPr>
                <w:rFonts w:cs="Arial"/>
              </w:rPr>
            </w:pPr>
          </w:p>
        </w:tc>
        <w:tc>
          <w:tcPr>
            <w:tcW w:w="739" w:type="pct"/>
          </w:tcPr>
          <w:p w:rsidRPr="00A872C2" w:rsidR="000A01AC" w:rsidP="002967C7" w:rsidRDefault="000A01AC" w14:paraId="77D5541F" w14:textId="77777777">
            <w:pPr>
              <w:pStyle w:val="TableTextCentered"/>
              <w:rPr>
                <w:rFonts w:cs="Arial"/>
              </w:rPr>
            </w:pPr>
            <w:r>
              <w:rPr>
                <w:rFonts w:cs="Arial"/>
              </w:rPr>
              <w:t>X</w:t>
            </w:r>
          </w:p>
        </w:tc>
      </w:tr>
      <w:tr w:rsidRPr="00A872C2" w:rsidR="000A01AC" w:rsidTr="00A03337" w14:paraId="411E56F9" w14:textId="77777777">
        <w:trPr>
          <w:trHeight w:val="20"/>
        </w:trPr>
        <w:tc>
          <w:tcPr>
            <w:tcW w:w="2787" w:type="pct"/>
          </w:tcPr>
          <w:p w:rsidRPr="00A872C2" w:rsidR="000A01AC" w:rsidP="002967C7" w:rsidRDefault="000A01AC" w14:paraId="4EB9C0E0" w14:textId="77777777">
            <w:pPr>
              <w:pStyle w:val="TableListAlpha"/>
            </w:pPr>
            <w:r>
              <w:lastRenderedPageBreak/>
              <w:t>Did the effects of the system differ according to other characteristics of students or their centers, or according to the ways in which centers implemented the system?</w:t>
            </w:r>
          </w:p>
        </w:tc>
        <w:tc>
          <w:tcPr>
            <w:tcW w:w="737" w:type="pct"/>
          </w:tcPr>
          <w:p w:rsidRPr="00A872C2" w:rsidR="000A01AC" w:rsidP="002967C7" w:rsidRDefault="000A01AC" w14:paraId="47291DA7" w14:textId="77777777">
            <w:pPr>
              <w:pStyle w:val="TableTextCentered"/>
              <w:rPr>
                <w:rFonts w:cs="Arial"/>
              </w:rPr>
            </w:pPr>
          </w:p>
        </w:tc>
        <w:tc>
          <w:tcPr>
            <w:tcW w:w="737" w:type="pct"/>
          </w:tcPr>
          <w:p w:rsidRPr="00A872C2" w:rsidR="000A01AC" w:rsidP="002967C7" w:rsidRDefault="000A01AC" w14:paraId="0F636610" w14:textId="77777777">
            <w:pPr>
              <w:pStyle w:val="TableTextCentered"/>
              <w:rPr>
                <w:rFonts w:cs="Arial"/>
              </w:rPr>
            </w:pPr>
          </w:p>
        </w:tc>
        <w:tc>
          <w:tcPr>
            <w:tcW w:w="739" w:type="pct"/>
          </w:tcPr>
          <w:p w:rsidRPr="00A872C2" w:rsidR="000A01AC" w:rsidP="002967C7" w:rsidRDefault="000A01AC" w14:paraId="734F37D8" w14:textId="77777777">
            <w:pPr>
              <w:pStyle w:val="TableTextCentered"/>
              <w:rPr>
                <w:rFonts w:cs="Arial"/>
              </w:rPr>
            </w:pPr>
            <w:r>
              <w:rPr>
                <w:rFonts w:cs="Arial"/>
              </w:rPr>
              <w:t>X</w:t>
            </w:r>
          </w:p>
        </w:tc>
      </w:tr>
      <w:tr w:rsidRPr="00B167A7" w:rsidR="000A01AC" w:rsidTr="00A03337" w14:paraId="6776B7F9" w14:textId="77777777">
        <w:trPr>
          <w:trHeight w:val="20"/>
        </w:trPr>
        <w:tc>
          <w:tcPr>
            <w:tcW w:w="2787" w:type="pct"/>
          </w:tcPr>
          <w:p w:rsidRPr="00937D4D" w:rsidR="000A01AC" w:rsidP="009F3B0C" w:rsidRDefault="000A01AC" w14:paraId="43FB71E3" w14:textId="3147E218">
            <w:pPr>
              <w:pStyle w:val="TableTextLeft"/>
              <w:rPr>
                <w:rFonts w:cs="Arial"/>
                <w:highlight w:val="yellow"/>
              </w:rPr>
            </w:pPr>
            <w:r w:rsidRPr="00937D4D">
              <w:rPr>
                <w:rFonts w:cs="Arial"/>
                <w:b/>
                <w:bCs/>
              </w:rPr>
              <w:t xml:space="preserve">RQ </w:t>
            </w:r>
            <w:r w:rsidR="00C017ED">
              <w:rPr>
                <w:rFonts w:cs="Arial"/>
                <w:b/>
                <w:bCs/>
              </w:rPr>
              <w:t>5</w:t>
            </w:r>
            <w:r w:rsidRPr="00937D4D">
              <w:rPr>
                <w:rFonts w:cs="Arial"/>
                <w:b/>
                <w:bCs/>
              </w:rPr>
              <w:t>. What is the cost-effectiveness of the continuous quality improvement system?</w:t>
            </w:r>
          </w:p>
        </w:tc>
        <w:tc>
          <w:tcPr>
            <w:tcW w:w="737" w:type="pct"/>
          </w:tcPr>
          <w:p w:rsidR="000A01AC" w:rsidP="002967C7" w:rsidRDefault="000A01AC" w14:paraId="204CECBB" w14:textId="77777777">
            <w:pPr>
              <w:pStyle w:val="TableTextCentered"/>
            </w:pPr>
            <w:r w:rsidRPr="00603BB2">
              <w:rPr>
                <w:rFonts w:cs="Arial"/>
              </w:rPr>
              <w:t>X</w:t>
            </w:r>
          </w:p>
        </w:tc>
        <w:tc>
          <w:tcPr>
            <w:tcW w:w="737" w:type="pct"/>
          </w:tcPr>
          <w:p w:rsidRPr="00C9638F" w:rsidR="000A01AC" w:rsidP="002967C7" w:rsidRDefault="000A01AC" w14:paraId="42227E8D" w14:textId="77777777">
            <w:pPr>
              <w:pStyle w:val="TableTextCentered"/>
            </w:pPr>
          </w:p>
        </w:tc>
        <w:tc>
          <w:tcPr>
            <w:tcW w:w="739" w:type="pct"/>
          </w:tcPr>
          <w:p w:rsidR="000A01AC" w:rsidP="002967C7" w:rsidRDefault="000A01AC" w14:paraId="405DBF0A" w14:textId="77777777">
            <w:pPr>
              <w:pStyle w:val="TableTextCentered"/>
            </w:pPr>
          </w:p>
        </w:tc>
      </w:tr>
    </w:tbl>
    <w:p w:rsidRPr="00DD1916" w:rsidR="000A01AC" w:rsidP="00754C38" w:rsidRDefault="000A01AC" w14:paraId="5DFA0B70" w14:textId="26B3E1CD">
      <w:pPr>
        <w:pStyle w:val="Heading4NoTOC"/>
        <w:spacing w:before="240"/>
      </w:pPr>
      <w:r w:rsidRPr="00DD1916">
        <w:t>Additional details on regression analyses</w:t>
      </w:r>
    </w:p>
    <w:p w:rsidRPr="00C74BDB" w:rsidR="000A01AC" w:rsidP="000A01AC" w:rsidRDefault="000A01AC" w14:paraId="5C95A5CC" w14:textId="77777777">
      <w:pPr>
        <w:pStyle w:val="NormalSS"/>
      </w:pPr>
      <w:r w:rsidRPr="00C74BDB">
        <w:t xml:space="preserve">To estimate the </w:t>
      </w:r>
      <w:r>
        <w:t>effect</w:t>
      </w:r>
      <w:r w:rsidRPr="00C74BDB">
        <w:t xml:space="preserve"> of the continuous quality improvement system on student outcomes, </w:t>
      </w:r>
      <w:r>
        <w:t>the study team</w:t>
      </w:r>
      <w:r w:rsidRPr="00C74BDB">
        <w:t xml:space="preserve"> will estimate the following equation: </w:t>
      </w:r>
    </w:p>
    <w:p w:rsidRPr="00FF6854" w:rsidR="000A01AC" w:rsidP="000A01AC" w:rsidRDefault="001D164D" w14:paraId="74066257" w14:textId="77777777">
      <w:pPr>
        <w:rPr>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ijb</m:t>
            </m:r>
          </m:sub>
          <m:sup>
            <m:r>
              <w:rPr>
                <w:rFonts w:ascii="Cambria Math" w:hAnsi="Cambria Math"/>
                <w:szCs w:val="24"/>
              </w:rPr>
              <m:t xml:space="preserve"> </m:t>
            </m:r>
          </m:sup>
        </m:sSubSup>
        <m:r>
          <w:rPr>
            <w:rFonts w:ascii="Cambria Math" w:hAnsi="Cambria Math"/>
            <w:szCs w:val="24"/>
          </w:rPr>
          <m:t>=</m:t>
        </m:r>
        <m:sSubSup>
          <m:sSubSupPr>
            <m:ctrlPr>
              <w:rPr>
                <w:rFonts w:ascii="Cambria Math" w:hAnsi="Cambria Math"/>
                <w:i/>
                <w:szCs w:val="24"/>
              </w:rPr>
            </m:ctrlPr>
          </m:sSubSupPr>
          <m:e>
            <m:nary>
              <m:naryPr>
                <m:chr m:val="∑"/>
                <m:limLoc m:val="undOvr"/>
                <m:ctrlPr>
                  <w:rPr>
                    <w:rFonts w:ascii="Cambria Math" w:hAnsi="Cambria Math"/>
                    <w:i/>
                    <w:szCs w:val="24"/>
                  </w:rPr>
                </m:ctrlPr>
              </m:naryPr>
              <m:sub>
                <m:r>
                  <w:rPr>
                    <w:rFonts w:ascii="Cambria Math" w:hAnsi="Cambria Math"/>
                    <w:szCs w:val="24"/>
                  </w:rPr>
                  <m:t>k=1</m:t>
                </m:r>
              </m:sub>
              <m:sup>
                <m:r>
                  <w:rPr>
                    <w:rFonts w:ascii="Cambria Math" w:hAnsi="Cambria Math"/>
                    <w:szCs w:val="24"/>
                  </w:rPr>
                  <m:t>h</m:t>
                </m:r>
              </m:sup>
              <m:e>
                <m:sSubSup>
                  <m:sSubSupPr>
                    <m:ctrlPr>
                      <w:rPr>
                        <w:rFonts w:ascii="Cambria Math" w:hAnsi="Cambria Math"/>
                        <w:i/>
                        <w:szCs w:val="24"/>
                      </w:rPr>
                    </m:ctrlPr>
                  </m:sSubSup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1,b</m:t>
                        </m:r>
                      </m:sub>
                    </m:sSub>
                    <m:sSub>
                      <m:sSubPr>
                        <m:ctrlPr>
                          <w:rPr>
                            <w:rFonts w:ascii="Cambria Math" w:hAnsi="Cambria Math"/>
                            <w:i/>
                            <w:szCs w:val="24"/>
                          </w:rPr>
                        </m:ctrlPr>
                      </m:sSubPr>
                      <m:e>
                        <m:r>
                          <w:rPr>
                            <w:rFonts w:ascii="Cambria Math" w:hAnsi="Cambria Math"/>
                            <w:szCs w:val="24"/>
                          </w:rPr>
                          <m:t>S</m:t>
                        </m:r>
                      </m:e>
                      <m:sub>
                        <m:r>
                          <w:rPr>
                            <w:rFonts w:ascii="Cambria Math" w:hAnsi="Cambria Math"/>
                            <w:szCs w:val="24"/>
                          </w:rPr>
                          <m:t>jb,k</m:t>
                        </m:r>
                      </m:sub>
                    </m:sSub>
                    <m:r>
                      <w:rPr>
                        <w:rFonts w:ascii="Cambria Math" w:hAnsi="Cambria Math"/>
                        <w:szCs w:val="24"/>
                      </w:rPr>
                      <m:t>T</m:t>
                    </m:r>
                  </m:e>
                  <m:sub>
                    <m:r>
                      <w:rPr>
                        <w:rFonts w:ascii="Cambria Math" w:hAnsi="Cambria Math"/>
                        <w:szCs w:val="24"/>
                      </w:rPr>
                      <m:t>jb</m:t>
                    </m:r>
                  </m:sub>
                  <m:sup>
                    <m:r>
                      <w:rPr>
                        <w:rFonts w:ascii="Cambria Math" w:hAnsi="Cambria Math"/>
                        <w:szCs w:val="24"/>
                      </w:rPr>
                      <m:t xml:space="preserve"> </m:t>
                    </m:r>
                  </m:sup>
                </m:sSubSup>
              </m:e>
            </m:nary>
          </m:e>
          <m:sub>
            <m:r>
              <w:rPr>
                <w:rFonts w:ascii="Cambria Math" w:hAnsi="Cambria Math"/>
                <w:szCs w:val="24"/>
              </w:rPr>
              <m:t xml:space="preserve"> </m:t>
            </m:r>
          </m:sub>
          <m:sup>
            <m:r>
              <w:rPr>
                <w:rFonts w:ascii="Cambria Math" w:hAnsi="Cambria Math"/>
                <w:szCs w:val="24"/>
              </w:rPr>
              <m:t xml:space="preserve"> </m:t>
            </m:r>
          </m:sup>
        </m:sSubSup>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k=1</m:t>
            </m:r>
          </m:sub>
          <m:sup>
            <m:r>
              <w:rPr>
                <w:rFonts w:ascii="Cambria Math" w:hAnsi="Cambria Math"/>
                <w:szCs w:val="24"/>
              </w:rPr>
              <m:t>h</m:t>
            </m:r>
          </m:sup>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0,b</m:t>
                </m:r>
              </m:sub>
            </m:sSub>
            <m:sSub>
              <m:sSubPr>
                <m:ctrlPr>
                  <w:rPr>
                    <w:rFonts w:ascii="Cambria Math" w:hAnsi="Cambria Math"/>
                    <w:i/>
                    <w:szCs w:val="24"/>
                  </w:rPr>
                </m:ctrlPr>
              </m:sSubPr>
              <m:e>
                <m:r>
                  <w:rPr>
                    <w:rFonts w:ascii="Cambria Math" w:hAnsi="Cambria Math"/>
                    <w:szCs w:val="24"/>
                  </w:rPr>
                  <m:t>S</m:t>
                </m:r>
              </m:e>
              <m:sub>
                <m:r>
                  <w:rPr>
                    <w:rFonts w:ascii="Cambria Math" w:hAnsi="Cambria Math"/>
                    <w:szCs w:val="24"/>
                  </w:rPr>
                  <m:t>ijb,k</m:t>
                </m:r>
              </m:sub>
            </m:sSub>
          </m:e>
        </m:nary>
        <m:r>
          <w:rPr>
            <w:rFonts w:ascii="Cambria Math" w:hAnsi="Cambria Math"/>
            <w:szCs w:val="24"/>
          </w:rPr>
          <m:t>+</m:t>
        </m:r>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ijb</m:t>
            </m:r>
          </m:sub>
        </m:sSub>
        <m:r>
          <m:rPr>
            <m:sty m:val="bi"/>
          </m:rPr>
          <w:rPr>
            <w:rFonts w:ascii="Cambria Math" w:hAnsi="Cambria Math"/>
            <w:szCs w:val="24"/>
          </w:rPr>
          <m:t>γ</m:t>
        </m:r>
        <m:r>
          <w:rPr>
            <w:rFonts w:ascii="Cambria Math" w:hAnsi="Cambria Math"/>
            <w:szCs w:val="24"/>
          </w:rPr>
          <m:t>+</m:t>
        </m:r>
        <m:sSubSup>
          <m:sSubSupPr>
            <m:ctrlPr>
              <w:rPr>
                <w:rFonts w:ascii="Cambria Math" w:hAnsi="Cambria Math"/>
                <w:i/>
                <w:szCs w:val="24"/>
              </w:rPr>
            </m:ctrlPr>
          </m:sSubSupPr>
          <m:e>
            <m:r>
              <w:rPr>
                <w:rFonts w:ascii="Cambria Math" w:hAnsi="Cambria Math"/>
                <w:szCs w:val="24"/>
              </w:rPr>
              <m:t>ε</m:t>
            </m:r>
          </m:e>
          <m:sub>
            <m:r>
              <w:rPr>
                <w:rFonts w:ascii="Cambria Math" w:hAnsi="Cambria Math"/>
                <w:szCs w:val="24"/>
              </w:rPr>
              <m:t>ijb</m:t>
            </m:r>
          </m:sub>
          <m:sup>
            <m:r>
              <w:rPr>
                <w:rFonts w:ascii="Cambria Math" w:hAnsi="Cambria Math"/>
                <w:szCs w:val="24"/>
              </w:rPr>
              <m:t xml:space="preserve"> </m:t>
            </m:r>
          </m:sup>
        </m:sSubSup>
        <m:r>
          <m:rPr>
            <m:sty m:val="bi"/>
          </m:rPr>
          <w:rPr>
            <w:rFonts w:ascii="Cambria Math" w:hAnsi="Cambria Math"/>
            <w:szCs w:val="24"/>
          </w:rPr>
          <m:t>,</m:t>
        </m:r>
      </m:oMath>
      <w:r w:rsidRPr="00FF6854" w:rsidR="000A01AC">
        <w:rPr>
          <w:szCs w:val="24"/>
        </w:rPr>
        <w:t xml:space="preserve">     (1)</w:t>
      </w:r>
    </w:p>
    <w:p w:rsidRPr="00C74BDB" w:rsidR="000A01AC" w:rsidP="00754C38" w:rsidRDefault="000A01AC" w14:paraId="33F79EA4" w14:textId="77777777">
      <w:pPr>
        <w:pStyle w:val="NormalSScontinued"/>
        <w:ind w:firstLine="0"/>
      </w:pPr>
      <w:r w:rsidRPr="00C74BDB">
        <w:t xml:space="preserve">where </w:t>
      </w:r>
      <m:oMath>
        <m:sSub>
          <m:sSubPr>
            <m:ctrlPr>
              <w:rPr>
                <w:rFonts w:ascii="Cambria Math" w:hAnsi="Cambria Math"/>
              </w:rPr>
            </m:ctrlPr>
          </m:sSubPr>
          <m:e>
            <m:r>
              <w:rPr>
                <w:rFonts w:ascii="Cambria Math" w:hAnsi="Cambria Math"/>
              </w:rPr>
              <m:t>Y</m:t>
            </m:r>
          </m:e>
          <m:sub>
            <m:r>
              <w:rPr>
                <w:rFonts w:ascii="Cambria Math" w:hAnsi="Cambria Math"/>
              </w:rPr>
              <m:t>ijb</m:t>
            </m:r>
          </m:sub>
        </m:sSub>
      </m:oMath>
      <w:r w:rsidRPr="00C74BDB">
        <w:t xml:space="preserve"> is the outcome of student </w:t>
      </w:r>
      <m:oMath>
        <m:r>
          <w:rPr>
            <w:rFonts w:ascii="Cambria Math" w:hAnsi="Cambria Math"/>
          </w:rPr>
          <m:t>i</m:t>
        </m:r>
      </m:oMath>
      <w:r w:rsidRPr="00C74BDB">
        <w:t xml:space="preserve"> in center </w:t>
      </w:r>
      <m:oMath>
        <m:r>
          <w:rPr>
            <w:rFonts w:ascii="Cambria Math" w:hAnsi="Cambria Math"/>
          </w:rPr>
          <m:t>j</m:t>
        </m:r>
      </m:oMath>
      <w:r w:rsidRPr="00C74BDB">
        <w:t xml:space="preserve"> within randomization block (pair of centers)</w:t>
      </w:r>
      <m:oMath>
        <m:r>
          <m:rPr>
            <m:sty m:val="p"/>
          </m:rPr>
          <w:rPr>
            <w:rFonts w:ascii="Cambria Math" w:hAnsi="Cambria Math"/>
          </w:rPr>
          <m:t xml:space="preserve"> </m:t>
        </m:r>
        <m:r>
          <w:rPr>
            <w:rFonts w:ascii="Cambria Math" w:hAnsi="Cambria Math"/>
          </w:rPr>
          <m:t>b</m:t>
        </m:r>
      </m:oMath>
      <w:r w:rsidRPr="00C74BDB">
        <w:t xml:space="preserve">; </w:t>
      </w:r>
      <m:oMath>
        <m:r>
          <w:rPr>
            <w:rFonts w:ascii="Cambria Math" w:hAnsi="Cambria Math"/>
          </w:rPr>
          <m:t>h</m:t>
        </m:r>
      </m:oMath>
      <w:r w:rsidRPr="00C74BDB">
        <w:t xml:space="preserve"> is the number of randomization blocks; </w:t>
      </w:r>
      <m:oMath>
        <m:sSub>
          <m:sSubPr>
            <m:ctrlPr>
              <w:rPr>
                <w:rFonts w:ascii="Cambria Math" w:hAnsi="Cambria Math"/>
              </w:rPr>
            </m:ctrlPr>
          </m:sSubPr>
          <m:e>
            <m:r>
              <w:rPr>
                <w:rFonts w:ascii="Cambria Math" w:hAnsi="Cambria Math"/>
              </w:rPr>
              <m:t>S</m:t>
            </m:r>
          </m:e>
          <m:sub>
            <m:r>
              <w:rPr>
                <w:rFonts w:ascii="Cambria Math" w:hAnsi="Cambria Math"/>
              </w:rPr>
              <m:t>jb</m:t>
            </m:r>
            <m:r>
              <m:rPr>
                <m:sty m:val="p"/>
              </m:rPr>
              <w:rPr>
                <w:rFonts w:ascii="Cambria Math" w:hAnsi="Cambria Math"/>
              </w:rPr>
              <m:t>,</m:t>
            </m:r>
            <m:r>
              <w:rPr>
                <w:rFonts w:ascii="Cambria Math" w:hAnsi="Cambria Math"/>
              </w:rPr>
              <m:t>k</m:t>
            </m:r>
          </m:sub>
        </m:sSub>
      </m:oMath>
      <w:r w:rsidRPr="00C74BDB">
        <w:t xml:space="preserve">  is an indicator for whether a center is part of randomization block </w:t>
      </w:r>
      <m:oMath>
        <m:r>
          <w:rPr>
            <w:rFonts w:ascii="Cambria Math" w:hAnsi="Cambria Math"/>
          </w:rPr>
          <m:t>b</m:t>
        </m:r>
        <m:r>
          <m:rPr>
            <m:sty m:val="p"/>
          </m:rPr>
          <w:rPr>
            <w:rFonts w:ascii="Cambria Math" w:hAnsi="Cambria Math"/>
          </w:rPr>
          <m:t xml:space="preserve"> </m:t>
        </m:r>
      </m:oMath>
      <w:r w:rsidRPr="00C74BDB">
        <w:t xml:space="preserve">(in other words, if </w:t>
      </w:r>
      <m:oMath>
        <m:r>
          <w:rPr>
            <w:rFonts w:ascii="Cambria Math" w:hAnsi="Cambria Math"/>
          </w:rPr>
          <m:t>b</m:t>
        </m:r>
      </m:oMath>
      <w:r w:rsidRPr="00C74BDB">
        <w:t>=</w:t>
      </w:r>
      <m:oMath>
        <m:r>
          <w:rPr>
            <w:rFonts w:ascii="Cambria Math" w:hAnsi="Cambria Math"/>
          </w:rPr>
          <m:t>k</m:t>
        </m:r>
      </m:oMath>
      <w:r w:rsidRPr="00C74BDB">
        <w:t xml:space="preserve">); </w:t>
      </w:r>
      <m:oMath>
        <m:sSub>
          <m:sSubPr>
            <m:ctrlPr>
              <w:rPr>
                <w:rFonts w:ascii="Cambria Math" w:hAnsi="Cambria Math"/>
              </w:rPr>
            </m:ctrlPr>
          </m:sSubPr>
          <m:e>
            <m:r>
              <w:rPr>
                <w:rFonts w:ascii="Cambria Math" w:hAnsi="Cambria Math"/>
              </w:rPr>
              <m:t>T</m:t>
            </m:r>
          </m:e>
          <m:sub>
            <m:r>
              <w:rPr>
                <w:rFonts w:ascii="Cambria Math" w:hAnsi="Cambria Math"/>
              </w:rPr>
              <m:t>jb</m:t>
            </m:r>
          </m:sub>
        </m:sSub>
      </m:oMath>
      <w:r w:rsidRPr="00C74BDB">
        <w:t xml:space="preserve"> is an indicator of whether center </w:t>
      </w:r>
      <m:oMath>
        <m:r>
          <w:rPr>
            <w:rFonts w:ascii="Cambria Math" w:hAnsi="Cambria Math"/>
          </w:rPr>
          <m:t>j</m:t>
        </m:r>
      </m:oMath>
      <w:r w:rsidRPr="00C74BDB">
        <w:t xml:space="preserve"> within randomization block </w:t>
      </w:r>
      <m:oMath>
        <m:r>
          <w:rPr>
            <w:rFonts w:ascii="Cambria Math" w:hAnsi="Cambria Math"/>
          </w:rPr>
          <m:t>b</m:t>
        </m:r>
      </m:oMath>
      <w:r w:rsidRPr="00C74BDB">
        <w:t xml:space="preserve"> was assigned to the treatment group and was offered the continuous quality improvement system; </w:t>
      </w:r>
      <m:oMath>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ijb</m:t>
            </m:r>
          </m:sub>
        </m:sSub>
      </m:oMath>
      <w:r w:rsidRPr="00C74BDB">
        <w:t xml:space="preserve"> is a vector of covariates</w:t>
      </w:r>
      <w:r>
        <w:t>;</w:t>
      </w:r>
      <w:r w:rsidRPr="00C74BDB">
        <w:t xml:space="preserve"> and </w:t>
      </w:r>
      <m:oMath>
        <m:sSub>
          <m:sSubPr>
            <m:ctrlPr>
              <w:rPr>
                <w:rFonts w:ascii="Cambria Math" w:hAnsi="Cambria Math"/>
              </w:rPr>
            </m:ctrlPr>
          </m:sSubPr>
          <m:e>
            <m:r>
              <w:rPr>
                <w:rFonts w:ascii="Cambria Math" w:hAnsi="Cambria Math"/>
              </w:rPr>
              <m:t>ε</m:t>
            </m:r>
          </m:e>
          <m:sub>
            <m:r>
              <w:rPr>
                <w:rFonts w:ascii="Cambria Math" w:hAnsi="Cambria Math"/>
              </w:rPr>
              <m:t>ijb</m:t>
            </m:r>
          </m:sub>
        </m:sSub>
      </m:oMath>
      <w:r w:rsidRPr="00C74BDB">
        <w:t xml:space="preserve"> is a student-level error term.  </w:t>
      </w:r>
      <w:r>
        <w:t>The study team</w:t>
      </w:r>
      <w:r w:rsidRPr="00C74BDB">
        <w:t xml:space="preserve"> will use the resulting estimates to form the overall </w:t>
      </w:r>
      <w:r>
        <w:t>effect</w:t>
      </w:r>
      <w:r w:rsidRPr="00C74BDB">
        <w:t xml:space="preserve"> of the continuous quality improvement system on outcomes. In Equation (1), </w:t>
      </w:r>
      <m:oMath>
        <m:sSub>
          <m:sSubPr>
            <m:ctrlPr>
              <w:rPr>
                <w:rFonts w:ascii="Cambria Math" w:hAnsi="Cambria Math"/>
              </w:rPr>
            </m:ctrlPr>
          </m:sSubPr>
          <m:e>
            <m:r>
              <w:rPr>
                <w:rFonts w:ascii="Cambria Math" w:hAnsi="Cambria Math"/>
              </w:rPr>
              <m:t>β</m:t>
            </m:r>
          </m:e>
          <m:sub>
            <m:r>
              <m:rPr>
                <m:sty m:val="p"/>
              </m:rPr>
              <w:rPr>
                <w:rFonts w:ascii="Cambria Math" w:hAnsi="Cambria Math"/>
              </w:rPr>
              <m:t>1,</m:t>
            </m:r>
            <m:r>
              <w:rPr>
                <w:rFonts w:ascii="Cambria Math" w:hAnsi="Cambria Math"/>
              </w:rPr>
              <m:t>b</m:t>
            </m:r>
          </m:sub>
        </m:sSub>
      </m:oMath>
      <w:r w:rsidRPr="00C74BDB">
        <w:t xml:space="preserve">  is the </w:t>
      </w:r>
      <w:r>
        <w:t>effect</w:t>
      </w:r>
      <w:r w:rsidRPr="00C74BDB">
        <w:t xml:space="preserve"> of offering the continuous quality improvement system to a center that was assigned to the treatment group within randomization block </w:t>
      </w:r>
      <m:oMath>
        <m:r>
          <w:rPr>
            <w:rFonts w:ascii="Cambria Math" w:hAnsi="Cambria Math"/>
          </w:rPr>
          <m:t>b</m:t>
        </m:r>
      </m:oMath>
      <w:r w:rsidRPr="00C74BDB">
        <w:t xml:space="preserve">. </w:t>
      </w:r>
      <w:r>
        <w:t>The study team</w:t>
      </w:r>
      <w:r w:rsidRPr="00C74BDB">
        <w:t xml:space="preserve"> will estimate an overall treatment effect,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Pr="00C74BDB">
        <w:t xml:space="preserve">, as an average across all </w:t>
      </w:r>
      <w:r>
        <w:t>randomization blocks</w:t>
      </w:r>
      <w:r w:rsidRPr="00C74BDB">
        <w:t xml:space="preserve">. </w:t>
      </w:r>
      <w:r>
        <w:t xml:space="preserve">The study team will calculate standard errors using methods that account for clustering of students in centers (Schochet et al. 2020) and </w:t>
      </w:r>
      <w:r w:rsidRPr="00C74BDB">
        <w:t>will report statistical significance based on two-tailed t-tests.</w:t>
      </w:r>
    </w:p>
    <w:p w:rsidRPr="00C74BDB" w:rsidR="000A01AC" w:rsidP="000A01AC" w:rsidRDefault="000A01AC" w14:paraId="3D8DB6F2" w14:textId="77777777">
      <w:pPr>
        <w:pStyle w:val="NormalSS"/>
      </w:pPr>
      <w:r>
        <w:t>The study team</w:t>
      </w:r>
      <w:r w:rsidRPr="00C74BDB">
        <w:t xml:space="preserve"> will adapt this basic approach for </w:t>
      </w:r>
      <w:r>
        <w:t xml:space="preserve">other </w:t>
      </w:r>
      <w:r w:rsidRPr="00C74BDB">
        <w:t>analyses</w:t>
      </w:r>
      <w:r>
        <w:t xml:space="preserve"> to estimate the effect of the continuous quality improvement system</w:t>
      </w:r>
      <w:r w:rsidRPr="00C74BDB">
        <w:t xml:space="preserve">. To estimate </w:t>
      </w:r>
      <w:r>
        <w:t>effects</w:t>
      </w:r>
      <w:r w:rsidRPr="00C74BDB">
        <w:t xml:space="preserve"> on staff practices, </w:t>
      </w:r>
      <w:r>
        <w:t>the study team</w:t>
      </w:r>
      <w:r w:rsidRPr="00C74BDB">
        <w:t xml:space="preserve"> will use a similar equation adapted for the center level. </w:t>
      </w:r>
      <w:r>
        <w:t>The study team</w:t>
      </w:r>
      <w:r w:rsidRPr="00C74BDB">
        <w:t xml:space="preserve"> will also estimate </w:t>
      </w:r>
      <w:r>
        <w:t>similar</w:t>
      </w:r>
      <w:r w:rsidRPr="00C74BDB">
        <w:t xml:space="preserve"> equations using subgroups of centers defined by the characteristics of centers, staff, and students.  </w:t>
      </w:r>
    </w:p>
    <w:p w:rsidRPr="00401AD8" w:rsidR="000A01AC" w:rsidP="000A01AC" w:rsidRDefault="000A01AC" w14:paraId="00B032B1" w14:textId="77777777">
      <w:pPr>
        <w:pStyle w:val="NormalSS"/>
      </w:pPr>
      <w:r>
        <w:t>The study team</w:t>
      </w:r>
      <w:r w:rsidRPr="00401AD8">
        <w:t xml:space="preserve"> will conduct similar regression analyses to examine the circumstances under which the continuous quality improvement system may be most successful. To do so, </w:t>
      </w:r>
      <w:r>
        <w:t>the study team</w:t>
      </w:r>
      <w:r w:rsidRPr="00401AD8">
        <w:t xml:space="preserve"> will regress the estimated </w:t>
      </w:r>
      <w:r>
        <w:t>block</w:t>
      </w:r>
      <w:r w:rsidRPr="00401AD8">
        <w:t>-level effects (</w:t>
      </w:r>
      <m:oMath>
        <m:sSub>
          <m:sSubPr>
            <m:ctrlPr>
              <w:rPr>
                <w:rFonts w:ascii="Cambria Math" w:hAnsi="Cambria Math"/>
              </w:rPr>
            </m:ctrlPr>
          </m:sSubPr>
          <m:e>
            <m:r>
              <w:rPr>
                <w:rFonts w:ascii="Cambria Math" w:hAnsi="Cambria Math"/>
              </w:rPr>
              <m:t>β</m:t>
            </m:r>
          </m:e>
          <m:sub>
            <m:r>
              <m:rPr>
                <m:sty m:val="p"/>
              </m:rPr>
              <w:rPr>
                <w:rFonts w:ascii="Cambria Math" w:hAnsi="Cambria Math"/>
              </w:rPr>
              <m:t>1,</m:t>
            </m:r>
            <m:r>
              <w:rPr>
                <w:rFonts w:ascii="Cambria Math" w:hAnsi="Cambria Math"/>
              </w:rPr>
              <m:t>b</m:t>
            </m:r>
          </m:sub>
        </m:sSub>
        <m:r>
          <m:rPr>
            <m:sty m:val="p"/>
          </m:rPr>
          <w:rPr>
            <w:rFonts w:ascii="Cambria Math" w:hAnsi="Cambria Math"/>
          </w:rPr>
          <m:t>)</m:t>
        </m:r>
      </m:oMath>
      <w:r w:rsidRPr="00401AD8">
        <w:t xml:space="preserve"> on other key factors. These analyses will explore the extent to which </w:t>
      </w:r>
      <w:r>
        <w:t>effects</w:t>
      </w:r>
      <w:r w:rsidRPr="00401AD8">
        <w:t xml:space="preserve"> on students’ outcomes relate to </w:t>
      </w:r>
      <w:r>
        <w:t>effects</w:t>
      </w:r>
      <w:r w:rsidRPr="00401AD8">
        <w:t xml:space="preserve"> on staff practices, whether centers with stronger implementation of the quality improvement system have larger </w:t>
      </w:r>
      <w:r>
        <w:t>effects</w:t>
      </w:r>
      <w:r w:rsidRPr="00401AD8">
        <w:t xml:space="preserve">, whether centers with greater alignment with the school day have larger </w:t>
      </w:r>
      <w:r>
        <w:t>effects</w:t>
      </w:r>
      <w:r w:rsidRPr="00401AD8">
        <w:t xml:space="preserve">, and whether centers that experience the greatest </w:t>
      </w:r>
      <w:r>
        <w:t xml:space="preserve">effects </w:t>
      </w:r>
      <w:r w:rsidRPr="00401AD8">
        <w:t>tend to</w:t>
      </w:r>
      <w:r>
        <w:t xml:space="preserve"> be those that</w:t>
      </w:r>
      <w:r w:rsidRPr="00401AD8">
        <w:t xml:space="preserve"> adopt</w:t>
      </w:r>
      <w:r>
        <w:t>ed</w:t>
      </w:r>
      <w:r w:rsidRPr="00401AD8">
        <w:t xml:space="preserve"> certain improvement practices. </w:t>
      </w:r>
    </w:p>
    <w:p w:rsidRPr="00DD1916" w:rsidR="000A01AC" w:rsidP="00723A20" w:rsidRDefault="000A01AC" w14:paraId="02955C70" w14:textId="794D448B">
      <w:pPr>
        <w:pStyle w:val="H4NumberNoTOC"/>
        <w:spacing w:after="240"/>
        <w:ind w:left="0" w:firstLine="0"/>
      </w:pPr>
      <w:r w:rsidRPr="00DD1916" w:rsidDel="00E72BD9">
        <w:t>Degree of accuracy needed</w:t>
      </w:r>
    </w:p>
    <w:p w:rsidRPr="00D51B2D" w:rsidR="00DD1916" w:rsidP="00EC1D52" w:rsidRDefault="000A01AC" w14:paraId="72F662E2" w14:textId="6912453A">
      <w:pPr>
        <w:pStyle w:val="NormalSS"/>
        <w:rPr>
          <w:b/>
          <w:bCs/>
          <w:color w:val="00B050"/>
        </w:rPr>
      </w:pPr>
      <w:bookmarkStart w:name="_Hlk62991883" w:id="33"/>
      <w:r w:rsidRPr="00D51B2D">
        <w:rPr>
          <w:b/>
          <w:bCs/>
          <w:i/>
          <w:iCs/>
          <w:color w:val="00B050"/>
        </w:rPr>
        <w:t>National snapshot of afterschool centers’ strategies</w:t>
      </w:r>
    </w:p>
    <w:bookmarkEnd w:id="33"/>
    <w:p w:rsidR="000A01AC" w:rsidP="000A01AC" w:rsidRDefault="000A01AC" w14:paraId="3707E7A4" w14:textId="158E6F09">
      <w:pPr>
        <w:pStyle w:val="NormalSS"/>
      </w:pPr>
      <w:r>
        <w:lastRenderedPageBreak/>
        <w:t>The analysis will describe the characteristics, activities, and strategies of centers in the program with a reasonable level of statistical precision. This precision depends in part on the characteristics being examined. For a relatively rare, binary characteristic—for example, the presence or absence of an activity that 10 percent of centers offer—the expected standard error from the sample would be 2.1 percentage points (Exhibit B.</w:t>
      </w:r>
      <w:r w:rsidR="00021E6B">
        <w:t>3</w:t>
      </w:r>
      <w:r>
        <w:t xml:space="preserve">). The corresponding confidence interval of the estimate would be 5.9 to 14.1 percent. For characteristics present in half of all centers of the full population, the estimated confidence interval would be larger, at about 43.2 to 56.8 percent. Levels of precision for subgroups of half or one quarter of the sample would be correspondingly lower, with larger estimated confidence intervals. For continuous rather than binary characteristics, the sample will lead to an expected standard error of about 0.07 standard deviations. At this level of precision, the corresponding confidence interval for a characteristic with a mean of zero would be -0.14 to 0.14 standard deviations. </w:t>
      </w:r>
    </w:p>
    <w:p w:rsidR="000A01AC" w:rsidP="005A1829" w:rsidRDefault="000A01AC" w14:paraId="454E5156" w14:textId="14465B67">
      <w:pPr>
        <w:pStyle w:val="MarkforExhibitTitle"/>
      </w:pPr>
      <w:bookmarkStart w:name="_Toc62055083" w:id="34"/>
      <w:r>
        <w:t>Exhibit B.</w:t>
      </w:r>
      <w:r w:rsidR="00021E6B">
        <w:t>3</w:t>
      </w:r>
      <w:r>
        <w:t>. Precision of estimates for the national snapshot of afterschool centers’ strategies</w:t>
      </w:r>
      <w:bookmarkEnd w:id="34"/>
      <w:r>
        <w:t xml:space="preserve"> </w:t>
      </w:r>
    </w:p>
    <w:tbl>
      <w:tblPr>
        <w:tblStyle w:val="MPRBaseTable2"/>
        <w:tblW w:w="0" w:type="auto"/>
        <w:tblLook w:val="0620" w:firstRow="1" w:lastRow="0" w:firstColumn="0" w:lastColumn="0" w:noHBand="1" w:noVBand="1"/>
      </w:tblPr>
      <w:tblGrid>
        <w:gridCol w:w="2573"/>
        <w:gridCol w:w="925"/>
        <w:gridCol w:w="1245"/>
        <w:gridCol w:w="1036"/>
        <w:gridCol w:w="1246"/>
        <w:gridCol w:w="962"/>
        <w:gridCol w:w="1373"/>
      </w:tblGrid>
      <w:tr w:rsidR="000A01AC" w:rsidTr="009553BB" w14:paraId="3B2F2243" w14:textId="77777777">
        <w:trPr>
          <w:cnfStyle w:val="100000000000" w:firstRow="1" w:lastRow="0" w:firstColumn="0" w:lastColumn="0" w:oddVBand="0" w:evenVBand="0" w:oddHBand="0" w:evenHBand="0" w:firstRowFirstColumn="0" w:firstRowLastColumn="0" w:lastRowFirstColumn="0" w:lastRowLastColumn="0"/>
        </w:trPr>
        <w:tc>
          <w:tcPr>
            <w:tcW w:w="2880" w:type="dxa"/>
          </w:tcPr>
          <w:p w:rsidRPr="0017088E" w:rsidR="000A01AC" w:rsidP="009F3B0C" w:rsidRDefault="000A01AC" w14:paraId="689317CC" w14:textId="77777777">
            <w:pPr>
              <w:jc w:val="center"/>
              <w:rPr>
                <w:rFonts w:cs="Arial"/>
                <w:b w:val="0"/>
                <w:sz w:val="20"/>
                <w:szCs w:val="24"/>
              </w:rPr>
            </w:pPr>
          </w:p>
        </w:tc>
        <w:tc>
          <w:tcPr>
            <w:tcW w:w="1729" w:type="dxa"/>
            <w:gridSpan w:val="2"/>
            <w:tcBorders>
              <w:bottom w:val="single" w:color="FFFFFF" w:themeColor="background1" w:sz="4" w:space="0"/>
            </w:tcBorders>
            <w:hideMark/>
          </w:tcPr>
          <w:p w:rsidRPr="0017088E" w:rsidR="000A01AC" w:rsidP="00896D1F" w:rsidRDefault="000A01AC" w14:paraId="4B002B0A" w14:textId="57C0C760">
            <w:pPr>
              <w:pStyle w:val="TableHeaderCenter"/>
              <w:rPr>
                <w:rFonts w:cs="Arial"/>
                <w:szCs w:val="24"/>
              </w:rPr>
            </w:pPr>
            <w:r w:rsidRPr="0017088E">
              <w:rPr>
                <w:rFonts w:cs="Arial"/>
                <w:szCs w:val="24"/>
              </w:rPr>
              <w:t>Full sample (250</w:t>
            </w:r>
            <w:r w:rsidR="00896D1F">
              <w:rPr>
                <w:rFonts w:cs="Arial"/>
                <w:szCs w:val="24"/>
              </w:rPr>
              <w:t> </w:t>
            </w:r>
            <w:r w:rsidRPr="0017088E">
              <w:rPr>
                <w:rFonts w:cs="Arial"/>
                <w:szCs w:val="24"/>
              </w:rPr>
              <w:t>centers)</w:t>
            </w:r>
          </w:p>
        </w:tc>
        <w:tc>
          <w:tcPr>
            <w:tcW w:w="2341" w:type="dxa"/>
            <w:gridSpan w:val="2"/>
            <w:tcBorders>
              <w:bottom w:val="single" w:color="FFFFFF" w:themeColor="background1" w:sz="4" w:space="0"/>
            </w:tcBorders>
            <w:hideMark/>
          </w:tcPr>
          <w:p w:rsidRPr="0017088E" w:rsidR="000A01AC" w:rsidP="00896D1F" w:rsidRDefault="000A01AC" w14:paraId="2A3DB6AE" w14:textId="32787AED">
            <w:pPr>
              <w:pStyle w:val="TableHeaderCenter"/>
              <w:rPr>
                <w:rFonts w:cs="Arial"/>
                <w:szCs w:val="24"/>
              </w:rPr>
            </w:pPr>
            <w:r w:rsidRPr="0017088E">
              <w:rPr>
                <w:rFonts w:cs="Arial"/>
                <w:szCs w:val="24"/>
              </w:rPr>
              <w:t>50% subgroup</w:t>
            </w:r>
            <w:r w:rsidR="00896D1F">
              <w:rPr>
                <w:rFonts w:cs="Arial"/>
                <w:szCs w:val="24"/>
              </w:rPr>
              <w:t xml:space="preserve"> </w:t>
            </w:r>
            <w:r w:rsidRPr="0017088E">
              <w:rPr>
                <w:rFonts w:cs="Arial"/>
                <w:szCs w:val="24"/>
              </w:rPr>
              <w:t>(125</w:t>
            </w:r>
            <w:r w:rsidR="00896D1F">
              <w:rPr>
                <w:rFonts w:cs="Arial"/>
                <w:szCs w:val="24"/>
              </w:rPr>
              <w:t> </w:t>
            </w:r>
            <w:r w:rsidRPr="0017088E">
              <w:rPr>
                <w:rFonts w:cs="Arial"/>
                <w:szCs w:val="24"/>
              </w:rPr>
              <w:t>centers)</w:t>
            </w:r>
          </w:p>
        </w:tc>
        <w:tc>
          <w:tcPr>
            <w:tcW w:w="2405" w:type="dxa"/>
            <w:gridSpan w:val="2"/>
            <w:tcBorders>
              <w:bottom w:val="single" w:color="FFFFFF" w:themeColor="background1" w:sz="4" w:space="0"/>
            </w:tcBorders>
            <w:hideMark/>
          </w:tcPr>
          <w:p w:rsidRPr="0017088E" w:rsidR="000A01AC" w:rsidP="00896D1F" w:rsidRDefault="000A01AC" w14:paraId="40D15ED0" w14:textId="4337507B">
            <w:pPr>
              <w:pStyle w:val="TableHeaderCenter"/>
              <w:rPr>
                <w:rFonts w:cs="Arial"/>
                <w:szCs w:val="24"/>
              </w:rPr>
            </w:pPr>
            <w:r w:rsidRPr="0017088E">
              <w:rPr>
                <w:rFonts w:cs="Arial"/>
                <w:szCs w:val="24"/>
              </w:rPr>
              <w:t>25% subgroup</w:t>
            </w:r>
            <w:r w:rsidR="00896D1F">
              <w:rPr>
                <w:rFonts w:cs="Arial"/>
                <w:szCs w:val="24"/>
              </w:rPr>
              <w:t xml:space="preserve"> </w:t>
            </w:r>
            <w:r w:rsidRPr="0017088E">
              <w:rPr>
                <w:rFonts w:cs="Arial"/>
                <w:szCs w:val="24"/>
              </w:rPr>
              <w:t>(62</w:t>
            </w:r>
            <w:r w:rsidR="00896D1F">
              <w:rPr>
                <w:rFonts w:cs="Arial"/>
                <w:szCs w:val="24"/>
              </w:rPr>
              <w:t> </w:t>
            </w:r>
            <w:r w:rsidRPr="0017088E">
              <w:rPr>
                <w:rFonts w:cs="Arial"/>
                <w:szCs w:val="24"/>
              </w:rPr>
              <w:t>centers)</w:t>
            </w:r>
          </w:p>
        </w:tc>
      </w:tr>
      <w:tr w:rsidRPr="00896D1F" w:rsidR="000A01AC" w:rsidTr="009553BB" w14:paraId="74220379" w14:textId="77777777">
        <w:tc>
          <w:tcPr>
            <w:tcW w:w="2880" w:type="dxa"/>
            <w:shd w:val="clear" w:color="auto" w:fill="6C6F70"/>
            <w:vAlign w:val="bottom"/>
            <w:hideMark/>
          </w:tcPr>
          <w:p w:rsidRPr="00896D1F" w:rsidR="000A01AC" w:rsidP="00896D1F" w:rsidRDefault="000A01AC" w14:paraId="1A422FDF" w14:textId="77777777">
            <w:pPr>
              <w:pStyle w:val="TableHeaderLeft"/>
              <w:rPr>
                <w:rFonts w:eastAsiaTheme="minorEastAsia"/>
                <w:b/>
                <w:bCs/>
              </w:rPr>
            </w:pPr>
            <w:r w:rsidRPr="00896D1F">
              <w:rPr>
                <w:b/>
                <w:bCs/>
              </w:rPr>
              <w:t>Statistic</w:t>
            </w:r>
          </w:p>
        </w:tc>
        <w:tc>
          <w:tcPr>
            <w:tcW w:w="450" w:type="dxa"/>
            <w:tcBorders>
              <w:top w:val="single" w:color="FFFFFF" w:themeColor="background1" w:sz="4" w:space="0"/>
            </w:tcBorders>
            <w:shd w:val="clear" w:color="auto" w:fill="6C6F70"/>
            <w:vAlign w:val="bottom"/>
            <w:hideMark/>
          </w:tcPr>
          <w:p w:rsidRPr="00896D1F" w:rsidR="000A01AC" w:rsidP="00896D1F" w:rsidRDefault="000A01AC" w14:paraId="78333515" w14:textId="77777777">
            <w:pPr>
              <w:pStyle w:val="TableHeaderCenter"/>
              <w:rPr>
                <w:rFonts w:eastAsiaTheme="minorEastAsia"/>
                <w:b/>
                <w:bCs/>
                <w:color w:val="FFFFFF"/>
              </w:rPr>
            </w:pPr>
            <w:r w:rsidRPr="00896D1F">
              <w:rPr>
                <w:b/>
                <w:bCs/>
                <w:color w:val="FFFFFF"/>
              </w:rPr>
              <w:t>Standard error</w:t>
            </w:r>
          </w:p>
        </w:tc>
        <w:tc>
          <w:tcPr>
            <w:tcW w:w="1279" w:type="dxa"/>
            <w:tcBorders>
              <w:top w:val="single" w:color="FFFFFF" w:themeColor="background1" w:sz="4" w:space="0"/>
            </w:tcBorders>
            <w:shd w:val="clear" w:color="auto" w:fill="6C6F70"/>
            <w:vAlign w:val="bottom"/>
            <w:hideMark/>
          </w:tcPr>
          <w:p w:rsidRPr="00896D1F" w:rsidR="000A01AC" w:rsidP="00896D1F" w:rsidRDefault="000A01AC" w14:paraId="5F8853DF" w14:textId="77777777">
            <w:pPr>
              <w:pStyle w:val="TableHeaderCenter"/>
              <w:rPr>
                <w:rFonts w:eastAsiaTheme="minorEastAsia"/>
                <w:b/>
                <w:bCs/>
                <w:color w:val="FFFFFF"/>
              </w:rPr>
            </w:pPr>
            <w:r w:rsidRPr="00896D1F">
              <w:rPr>
                <w:b/>
                <w:bCs/>
                <w:color w:val="FFFFFF"/>
              </w:rPr>
              <w:t>95% confidence interval</w:t>
            </w:r>
          </w:p>
        </w:tc>
        <w:tc>
          <w:tcPr>
            <w:tcW w:w="1061" w:type="dxa"/>
            <w:tcBorders>
              <w:top w:val="single" w:color="FFFFFF" w:themeColor="background1" w:sz="4" w:space="0"/>
            </w:tcBorders>
            <w:shd w:val="clear" w:color="auto" w:fill="6C6F70"/>
            <w:vAlign w:val="bottom"/>
            <w:hideMark/>
          </w:tcPr>
          <w:p w:rsidRPr="00896D1F" w:rsidR="000A01AC" w:rsidP="00896D1F" w:rsidRDefault="000A01AC" w14:paraId="0C068BEC" w14:textId="77777777">
            <w:pPr>
              <w:pStyle w:val="TableHeaderCenter"/>
              <w:rPr>
                <w:rFonts w:eastAsiaTheme="minorEastAsia"/>
                <w:b/>
                <w:bCs/>
                <w:color w:val="FFFFFF"/>
              </w:rPr>
            </w:pPr>
            <w:r w:rsidRPr="00896D1F">
              <w:rPr>
                <w:b/>
                <w:bCs/>
                <w:color w:val="FFFFFF"/>
              </w:rPr>
              <w:t>Standard error</w:t>
            </w:r>
          </w:p>
        </w:tc>
        <w:tc>
          <w:tcPr>
            <w:tcW w:w="1280" w:type="dxa"/>
            <w:tcBorders>
              <w:top w:val="single" w:color="FFFFFF" w:themeColor="background1" w:sz="4" w:space="0"/>
            </w:tcBorders>
            <w:shd w:val="clear" w:color="auto" w:fill="6C6F70"/>
            <w:vAlign w:val="bottom"/>
            <w:hideMark/>
          </w:tcPr>
          <w:p w:rsidRPr="00896D1F" w:rsidR="000A01AC" w:rsidP="00896D1F" w:rsidRDefault="000A01AC" w14:paraId="7232A483" w14:textId="5EA315E4">
            <w:pPr>
              <w:pStyle w:val="TableHeaderCenter"/>
              <w:rPr>
                <w:rFonts w:eastAsiaTheme="minorEastAsia"/>
                <w:b/>
                <w:bCs/>
                <w:color w:val="FFFFFF"/>
              </w:rPr>
            </w:pPr>
            <w:r w:rsidRPr="00896D1F">
              <w:rPr>
                <w:b/>
                <w:bCs/>
                <w:color w:val="FFFFFF"/>
              </w:rPr>
              <w:t>95% confidence interval</w:t>
            </w:r>
          </w:p>
        </w:tc>
        <w:tc>
          <w:tcPr>
            <w:tcW w:w="970" w:type="dxa"/>
            <w:tcBorders>
              <w:top w:val="single" w:color="FFFFFF" w:themeColor="background1" w:sz="4" w:space="0"/>
            </w:tcBorders>
            <w:shd w:val="clear" w:color="auto" w:fill="6C6F70"/>
            <w:vAlign w:val="bottom"/>
            <w:hideMark/>
          </w:tcPr>
          <w:p w:rsidRPr="00896D1F" w:rsidR="000A01AC" w:rsidP="00896D1F" w:rsidRDefault="000A01AC" w14:paraId="1BDE363F" w14:textId="77777777">
            <w:pPr>
              <w:pStyle w:val="TableHeaderCenter"/>
              <w:rPr>
                <w:rFonts w:eastAsiaTheme="minorEastAsia"/>
                <w:b/>
                <w:bCs/>
                <w:color w:val="FFFFFF"/>
              </w:rPr>
            </w:pPr>
            <w:r w:rsidRPr="00896D1F">
              <w:rPr>
                <w:b/>
                <w:bCs/>
                <w:color w:val="FFFFFF"/>
              </w:rPr>
              <w:t>Standard error</w:t>
            </w:r>
          </w:p>
        </w:tc>
        <w:tc>
          <w:tcPr>
            <w:tcW w:w="1435" w:type="dxa"/>
            <w:tcBorders>
              <w:top w:val="single" w:color="FFFFFF" w:themeColor="background1" w:sz="4" w:space="0"/>
            </w:tcBorders>
            <w:shd w:val="clear" w:color="auto" w:fill="6C6F70"/>
            <w:vAlign w:val="bottom"/>
            <w:hideMark/>
          </w:tcPr>
          <w:p w:rsidRPr="00896D1F" w:rsidR="000A01AC" w:rsidP="00896D1F" w:rsidRDefault="000A01AC" w14:paraId="36D3BDB8" w14:textId="77777777">
            <w:pPr>
              <w:pStyle w:val="TableHeaderCenter"/>
              <w:rPr>
                <w:rFonts w:eastAsiaTheme="minorEastAsia"/>
                <w:b/>
                <w:bCs/>
                <w:color w:val="FFFFFF"/>
              </w:rPr>
            </w:pPr>
            <w:r w:rsidRPr="00896D1F">
              <w:rPr>
                <w:b/>
                <w:bCs/>
                <w:color w:val="FFFFFF"/>
              </w:rPr>
              <w:t>95% confidence interval</w:t>
            </w:r>
          </w:p>
        </w:tc>
      </w:tr>
      <w:tr w:rsidR="000A01AC" w:rsidTr="00896D1F" w14:paraId="4F83AEC4" w14:textId="77777777">
        <w:tc>
          <w:tcPr>
            <w:tcW w:w="2880" w:type="dxa"/>
            <w:hideMark/>
          </w:tcPr>
          <w:p w:rsidRPr="0017088E" w:rsidR="000A01AC" w:rsidP="009F3B0C" w:rsidRDefault="000A01AC" w14:paraId="57EC2BAC" w14:textId="77777777">
            <w:pPr>
              <w:pStyle w:val="TableTextLeft"/>
              <w:rPr>
                <w:rFonts w:cs="Arial" w:eastAsiaTheme="minorEastAsia"/>
                <w:szCs w:val="24"/>
              </w:rPr>
            </w:pPr>
            <w:r w:rsidRPr="0017088E">
              <w:rPr>
                <w:rFonts w:cs="Arial"/>
                <w:szCs w:val="24"/>
              </w:rPr>
              <w:t xml:space="preserve">Percentage of study centers with a rare characteristic (present in 10 percent of the population) </w:t>
            </w:r>
          </w:p>
        </w:tc>
        <w:tc>
          <w:tcPr>
            <w:tcW w:w="450" w:type="dxa"/>
            <w:hideMark/>
          </w:tcPr>
          <w:p w:rsidRPr="00896D1F" w:rsidR="000A01AC" w:rsidP="00896D1F" w:rsidRDefault="000A01AC" w14:paraId="1A5442EC" w14:textId="77777777">
            <w:pPr>
              <w:pStyle w:val="TableTextCentered"/>
            </w:pPr>
            <w:r w:rsidRPr="00896D1F">
              <w:t>2.1</w:t>
            </w:r>
          </w:p>
        </w:tc>
        <w:tc>
          <w:tcPr>
            <w:tcW w:w="1279" w:type="dxa"/>
            <w:hideMark/>
          </w:tcPr>
          <w:p w:rsidRPr="00896D1F" w:rsidR="000A01AC" w:rsidP="00896D1F" w:rsidRDefault="000A01AC" w14:paraId="2D981E9E" w14:textId="77777777">
            <w:pPr>
              <w:pStyle w:val="TableTextCentered"/>
            </w:pPr>
            <w:r w:rsidRPr="00896D1F">
              <w:t>5.9 to 14.1</w:t>
            </w:r>
          </w:p>
        </w:tc>
        <w:tc>
          <w:tcPr>
            <w:tcW w:w="1061" w:type="dxa"/>
            <w:hideMark/>
          </w:tcPr>
          <w:p w:rsidRPr="00896D1F" w:rsidR="000A01AC" w:rsidP="00896D1F" w:rsidRDefault="000A01AC" w14:paraId="3FDB66CB" w14:textId="77777777">
            <w:pPr>
              <w:pStyle w:val="TableTextCentered"/>
            </w:pPr>
            <w:r w:rsidRPr="00896D1F">
              <w:t>2.9</w:t>
            </w:r>
          </w:p>
        </w:tc>
        <w:tc>
          <w:tcPr>
            <w:tcW w:w="1280" w:type="dxa"/>
            <w:hideMark/>
          </w:tcPr>
          <w:p w:rsidRPr="00896D1F" w:rsidR="000A01AC" w:rsidP="00896D1F" w:rsidRDefault="000A01AC" w14:paraId="5F0359F4" w14:textId="77777777">
            <w:pPr>
              <w:pStyle w:val="TableTextCentered"/>
            </w:pPr>
            <w:r w:rsidRPr="00896D1F">
              <w:t>4.2 to 15.8</w:t>
            </w:r>
          </w:p>
        </w:tc>
        <w:tc>
          <w:tcPr>
            <w:tcW w:w="970" w:type="dxa"/>
            <w:hideMark/>
          </w:tcPr>
          <w:p w:rsidRPr="00896D1F" w:rsidR="000A01AC" w:rsidP="00896D1F" w:rsidRDefault="000A01AC" w14:paraId="1E9EC82C" w14:textId="77777777">
            <w:pPr>
              <w:pStyle w:val="TableTextCentered"/>
            </w:pPr>
            <w:r w:rsidRPr="00896D1F">
              <w:t>4.1</w:t>
            </w:r>
          </w:p>
        </w:tc>
        <w:tc>
          <w:tcPr>
            <w:tcW w:w="1435" w:type="dxa"/>
            <w:hideMark/>
          </w:tcPr>
          <w:p w:rsidRPr="00896D1F" w:rsidR="000A01AC" w:rsidP="00896D1F" w:rsidRDefault="000A01AC" w14:paraId="4C72145A" w14:textId="77777777">
            <w:pPr>
              <w:pStyle w:val="TableTextCentered"/>
            </w:pPr>
            <w:r w:rsidRPr="00896D1F">
              <w:t>1.7 to 18.3</w:t>
            </w:r>
          </w:p>
        </w:tc>
      </w:tr>
      <w:tr w:rsidR="000A01AC" w:rsidTr="00896D1F" w14:paraId="001A3A35" w14:textId="77777777">
        <w:tc>
          <w:tcPr>
            <w:tcW w:w="2880" w:type="dxa"/>
            <w:hideMark/>
          </w:tcPr>
          <w:p w:rsidRPr="0017088E" w:rsidR="000A01AC" w:rsidP="009F3B0C" w:rsidRDefault="000A01AC" w14:paraId="09D46887" w14:textId="77777777">
            <w:pPr>
              <w:pStyle w:val="TableTextLeft"/>
              <w:rPr>
                <w:rFonts w:cs="Arial" w:eastAsiaTheme="minorEastAsia"/>
                <w:szCs w:val="24"/>
              </w:rPr>
            </w:pPr>
            <w:r w:rsidRPr="0017088E">
              <w:rPr>
                <w:rFonts w:cs="Arial"/>
                <w:szCs w:val="24"/>
              </w:rPr>
              <w:t>Percentage of study centers with a moderately common characteristic (present in 50 percent of the population)</w:t>
            </w:r>
          </w:p>
        </w:tc>
        <w:tc>
          <w:tcPr>
            <w:tcW w:w="450" w:type="dxa"/>
            <w:hideMark/>
          </w:tcPr>
          <w:p w:rsidRPr="00896D1F" w:rsidR="000A01AC" w:rsidP="00896D1F" w:rsidRDefault="000A01AC" w14:paraId="34BAB5EC" w14:textId="77777777">
            <w:pPr>
              <w:pStyle w:val="TableTextCentered"/>
            </w:pPr>
            <w:r w:rsidRPr="00896D1F">
              <w:t>3.4</w:t>
            </w:r>
          </w:p>
        </w:tc>
        <w:tc>
          <w:tcPr>
            <w:tcW w:w="1279" w:type="dxa"/>
            <w:hideMark/>
          </w:tcPr>
          <w:p w:rsidRPr="00896D1F" w:rsidR="000A01AC" w:rsidP="00896D1F" w:rsidRDefault="000A01AC" w14:paraId="79E1DF05" w14:textId="77777777">
            <w:pPr>
              <w:pStyle w:val="TableTextCentered"/>
            </w:pPr>
            <w:r w:rsidRPr="00896D1F">
              <w:t>43.2 to 56.8</w:t>
            </w:r>
          </w:p>
        </w:tc>
        <w:tc>
          <w:tcPr>
            <w:tcW w:w="1061" w:type="dxa"/>
            <w:hideMark/>
          </w:tcPr>
          <w:p w:rsidRPr="00896D1F" w:rsidR="000A01AC" w:rsidP="00896D1F" w:rsidRDefault="000A01AC" w14:paraId="6935BD2C" w14:textId="77777777">
            <w:pPr>
              <w:pStyle w:val="TableTextCentered"/>
            </w:pPr>
            <w:r w:rsidRPr="00896D1F">
              <w:t>4.9</w:t>
            </w:r>
          </w:p>
        </w:tc>
        <w:tc>
          <w:tcPr>
            <w:tcW w:w="1280" w:type="dxa"/>
            <w:hideMark/>
          </w:tcPr>
          <w:p w:rsidRPr="00896D1F" w:rsidR="000A01AC" w:rsidP="00896D1F" w:rsidRDefault="000A01AC" w14:paraId="4DA732A6" w14:textId="77777777">
            <w:pPr>
              <w:pStyle w:val="TableTextCentered"/>
            </w:pPr>
            <w:r w:rsidRPr="00896D1F">
              <w:t>40.4 to 59.6</w:t>
            </w:r>
          </w:p>
        </w:tc>
        <w:tc>
          <w:tcPr>
            <w:tcW w:w="970" w:type="dxa"/>
            <w:hideMark/>
          </w:tcPr>
          <w:p w:rsidRPr="00896D1F" w:rsidR="000A01AC" w:rsidP="00896D1F" w:rsidRDefault="000A01AC" w14:paraId="224EF933" w14:textId="77777777">
            <w:pPr>
              <w:pStyle w:val="TableTextCentered"/>
            </w:pPr>
            <w:r w:rsidRPr="00896D1F">
              <w:t>6.0</w:t>
            </w:r>
          </w:p>
        </w:tc>
        <w:tc>
          <w:tcPr>
            <w:tcW w:w="1435" w:type="dxa"/>
            <w:hideMark/>
          </w:tcPr>
          <w:p w:rsidRPr="00896D1F" w:rsidR="000A01AC" w:rsidP="00896D1F" w:rsidRDefault="000A01AC" w14:paraId="4ABAECC6" w14:textId="77777777">
            <w:pPr>
              <w:pStyle w:val="TableTextCentered"/>
            </w:pPr>
            <w:r w:rsidRPr="00896D1F">
              <w:t>36.2 to 63.8</w:t>
            </w:r>
          </w:p>
        </w:tc>
      </w:tr>
      <w:tr w:rsidR="000A01AC" w:rsidTr="00896D1F" w14:paraId="49A4650E" w14:textId="77777777">
        <w:tc>
          <w:tcPr>
            <w:tcW w:w="2880" w:type="dxa"/>
            <w:hideMark/>
          </w:tcPr>
          <w:p w:rsidRPr="0017088E" w:rsidR="000A01AC" w:rsidP="009F3B0C" w:rsidRDefault="000A01AC" w14:paraId="0937A14E" w14:textId="77777777">
            <w:pPr>
              <w:pStyle w:val="TableTextLeft"/>
              <w:rPr>
                <w:rFonts w:cs="Arial" w:eastAsiaTheme="minorEastAsia"/>
                <w:szCs w:val="24"/>
              </w:rPr>
            </w:pPr>
            <w:r w:rsidRPr="0017088E">
              <w:rPr>
                <w:rFonts w:cs="Arial"/>
                <w:szCs w:val="24"/>
              </w:rPr>
              <w:t>Mean of a continuous variable with a mean of 0 and standard deviation of 1</w:t>
            </w:r>
          </w:p>
        </w:tc>
        <w:tc>
          <w:tcPr>
            <w:tcW w:w="450" w:type="dxa"/>
            <w:hideMark/>
          </w:tcPr>
          <w:p w:rsidRPr="00896D1F" w:rsidR="000A01AC" w:rsidP="00896D1F" w:rsidRDefault="000A01AC" w14:paraId="3633DA98" w14:textId="77777777">
            <w:pPr>
              <w:pStyle w:val="TableTextCentered"/>
            </w:pPr>
            <w:r w:rsidRPr="00896D1F">
              <w:fldChar w:fldCharType="begin"/>
            </w:r>
            <w:r w:rsidRPr="00896D1F">
              <w:instrText xml:space="preserve"> DOCVARIABLE wgt_se_y3_smp1</w:instrText>
            </w:r>
            <w:r w:rsidRPr="00896D1F">
              <w:fldChar w:fldCharType="separate"/>
            </w:r>
            <w:r w:rsidRPr="00896D1F">
              <w:t>0.07</w:t>
            </w:r>
            <w:r w:rsidRPr="00896D1F">
              <w:fldChar w:fldCharType="end"/>
            </w:r>
          </w:p>
        </w:tc>
        <w:tc>
          <w:tcPr>
            <w:tcW w:w="1279" w:type="dxa"/>
            <w:hideMark/>
          </w:tcPr>
          <w:p w:rsidRPr="00896D1F" w:rsidR="000A01AC" w:rsidP="00896D1F" w:rsidRDefault="000A01AC" w14:paraId="7E55D657" w14:textId="77777777">
            <w:pPr>
              <w:pStyle w:val="TableTextCentered"/>
            </w:pPr>
            <w:r w:rsidRPr="00896D1F">
              <w:t>-</w:t>
            </w:r>
            <w:r w:rsidRPr="00896D1F">
              <w:fldChar w:fldCharType="begin"/>
            </w:r>
            <w:r w:rsidRPr="00896D1F">
              <w:instrText xml:space="preserve"> DOCVARIABLE wgt_ci_y3_smp1</w:instrText>
            </w:r>
            <w:r w:rsidRPr="00896D1F">
              <w:fldChar w:fldCharType="separate"/>
            </w:r>
            <w:r w:rsidRPr="00896D1F">
              <w:t>0.14</w:t>
            </w:r>
            <w:r w:rsidRPr="00896D1F">
              <w:fldChar w:fldCharType="end"/>
            </w:r>
            <w:r w:rsidRPr="00896D1F">
              <w:t xml:space="preserve"> to 0.14</w:t>
            </w:r>
          </w:p>
        </w:tc>
        <w:tc>
          <w:tcPr>
            <w:tcW w:w="1061" w:type="dxa"/>
            <w:hideMark/>
          </w:tcPr>
          <w:p w:rsidRPr="00896D1F" w:rsidR="000A01AC" w:rsidP="00896D1F" w:rsidRDefault="000A01AC" w14:paraId="3E0CD66B" w14:textId="77777777">
            <w:pPr>
              <w:pStyle w:val="TableTextCentered"/>
            </w:pPr>
            <w:r w:rsidRPr="00896D1F">
              <w:fldChar w:fldCharType="begin"/>
            </w:r>
            <w:r w:rsidRPr="00896D1F">
              <w:instrText xml:space="preserve"> DOCVARIABLE wgt_se_y3_smp2</w:instrText>
            </w:r>
            <w:r w:rsidRPr="00896D1F">
              <w:fldChar w:fldCharType="separate"/>
            </w:r>
            <w:r w:rsidRPr="00896D1F">
              <w:t>0.10</w:t>
            </w:r>
            <w:r w:rsidRPr="00896D1F">
              <w:fldChar w:fldCharType="end"/>
            </w:r>
          </w:p>
        </w:tc>
        <w:tc>
          <w:tcPr>
            <w:tcW w:w="1280" w:type="dxa"/>
            <w:hideMark/>
          </w:tcPr>
          <w:p w:rsidRPr="00896D1F" w:rsidR="000A01AC" w:rsidP="00896D1F" w:rsidRDefault="000A01AC" w14:paraId="0D8AA8CE" w14:textId="77777777">
            <w:pPr>
              <w:pStyle w:val="TableTextCentered"/>
            </w:pPr>
            <w:r w:rsidRPr="00896D1F">
              <w:t>-0.19 to 0.19</w:t>
            </w:r>
          </w:p>
        </w:tc>
        <w:tc>
          <w:tcPr>
            <w:tcW w:w="970" w:type="dxa"/>
            <w:hideMark/>
          </w:tcPr>
          <w:p w:rsidRPr="00896D1F" w:rsidR="000A01AC" w:rsidP="00896D1F" w:rsidRDefault="000A01AC" w14:paraId="1B7AA9D3" w14:textId="77777777">
            <w:pPr>
              <w:pStyle w:val="TableTextCentered"/>
            </w:pPr>
            <w:r w:rsidRPr="00896D1F">
              <w:fldChar w:fldCharType="begin"/>
            </w:r>
            <w:r w:rsidRPr="00896D1F">
              <w:instrText xml:space="preserve"> DOCVARIABLE wgt_se_y3_smp3</w:instrText>
            </w:r>
            <w:r w:rsidRPr="00896D1F">
              <w:fldChar w:fldCharType="separate"/>
            </w:r>
            <w:r w:rsidRPr="00896D1F">
              <w:t>0.14</w:t>
            </w:r>
            <w:r w:rsidRPr="00896D1F">
              <w:fldChar w:fldCharType="end"/>
            </w:r>
          </w:p>
        </w:tc>
        <w:tc>
          <w:tcPr>
            <w:tcW w:w="1435" w:type="dxa"/>
            <w:hideMark/>
          </w:tcPr>
          <w:p w:rsidRPr="00896D1F" w:rsidR="000A01AC" w:rsidP="00896D1F" w:rsidRDefault="000A01AC" w14:paraId="4BD1C5F7" w14:textId="77777777">
            <w:pPr>
              <w:pStyle w:val="TableTextCentered"/>
            </w:pPr>
            <w:r w:rsidRPr="00896D1F">
              <w:t xml:space="preserve">-0.28 to </w:t>
            </w:r>
            <w:r w:rsidRPr="00896D1F">
              <w:fldChar w:fldCharType="begin"/>
            </w:r>
            <w:r w:rsidRPr="00896D1F">
              <w:instrText xml:space="preserve"> DOCVARIABLE wgt_ci_y3_smp3</w:instrText>
            </w:r>
            <w:r w:rsidRPr="00896D1F">
              <w:fldChar w:fldCharType="separate"/>
            </w:r>
            <w:r w:rsidRPr="00896D1F">
              <w:t>0.28</w:t>
            </w:r>
            <w:r w:rsidRPr="00896D1F">
              <w:fldChar w:fldCharType="end"/>
            </w:r>
          </w:p>
        </w:tc>
      </w:tr>
    </w:tbl>
    <w:p w:rsidRPr="00367BAA" w:rsidR="000A01AC" w:rsidP="00896D1F" w:rsidRDefault="000A01AC" w14:paraId="42C59923" w14:textId="77777777">
      <w:pPr>
        <w:pStyle w:val="TableFootnoteCaption"/>
      </w:pPr>
      <w:r w:rsidRPr="00367BAA">
        <w:t xml:space="preserve">Notes: The calculations assume an 85% response rate. </w:t>
      </w:r>
      <w:r>
        <w:t xml:space="preserve">The </w:t>
      </w:r>
      <w:r w:rsidRPr="00367BAA">
        <w:t xml:space="preserve">standard error </w:t>
      </w:r>
      <w:r>
        <w:t xml:space="preserve">was calculated </w:t>
      </w:r>
      <w:r w:rsidRPr="00367BAA">
        <w:t xml:space="preserve">using the following formula: </w:t>
      </w:r>
      <m:oMath>
        <m:r>
          <w:rPr>
            <w:rFonts w:ascii="Cambria Math" w:hAnsi="Cambria Math"/>
          </w:rPr>
          <m:t>SE=</m:t>
        </m:r>
        <m:sSub>
          <m:sSubPr>
            <m:ctrlPr>
              <w:rPr>
                <w:rFonts w:ascii="Cambria Math" w:hAnsi="Cambria Math"/>
                <w:i/>
              </w:rPr>
            </m:ctrlPr>
          </m:sSubPr>
          <m:e>
            <m:r>
              <w:rPr>
                <w:rFonts w:ascii="Cambria Math" w:hAnsi="Cambria Math"/>
              </w:rPr>
              <m:t>σ</m:t>
            </m:r>
          </m:e>
          <m:sub>
            <m:r>
              <w:rPr>
                <w:rFonts w:ascii="Cambria Math" w:hAnsi="Cambria Math"/>
              </w:rPr>
              <m:t>Y</m:t>
            </m:r>
          </m:sub>
        </m:sSub>
        <m:rad>
          <m:radPr>
            <m:degHide m:val="1"/>
            <m:ctrlPr>
              <w:rPr>
                <w:rFonts w:ascii="Cambria Math" w:hAnsi="Cambria Math"/>
                <w:i/>
              </w:rPr>
            </m:ctrlPr>
          </m:radPr>
          <m:deg/>
          <m:e>
            <m:r>
              <w:rPr>
                <w:rFonts w:ascii="Cambria Math" w:hAnsi="Cambria Math"/>
              </w:rPr>
              <m:t>1/(Nr),</m:t>
            </m:r>
          </m:e>
        </m:rad>
      </m:oMath>
      <w:r w:rsidRPr="00367BAA">
        <w:t xml:space="preserve"> where </w:t>
      </w:r>
      <m:oMath>
        <m:sSub>
          <m:sSubPr>
            <m:ctrlPr>
              <w:rPr>
                <w:rFonts w:ascii="Cambria Math" w:hAnsi="Cambria Math"/>
                <w:i/>
              </w:rPr>
            </m:ctrlPr>
          </m:sSubPr>
          <m:e>
            <m:r>
              <w:rPr>
                <w:rFonts w:ascii="Cambria Math" w:hAnsi="Cambria Math"/>
              </w:rPr>
              <m:t>σ</m:t>
            </m:r>
          </m:e>
          <m:sub>
            <m:r>
              <w:rPr>
                <w:rFonts w:ascii="Cambria Math" w:hAnsi="Cambria Math"/>
              </w:rPr>
              <m:t>Y</m:t>
            </m:r>
          </m:sub>
        </m:sSub>
      </m:oMath>
      <w:r w:rsidRPr="00367BAA">
        <w:t xml:space="preserve"> is the standard deviation of the outcome</w:t>
      </w:r>
      <w:r>
        <w:t xml:space="preserve">, </w:t>
      </w:r>
      <m:oMath>
        <m:r>
          <w:rPr>
            <w:rFonts w:ascii="Cambria Math" w:hAnsi="Cambria Math"/>
          </w:rPr>
          <m:t>N</m:t>
        </m:r>
      </m:oMath>
      <w:r w:rsidRPr="00367BAA">
        <w:t xml:space="preserve"> is the total number of individuals</w:t>
      </w:r>
      <w:r>
        <w:t xml:space="preserve"> in the</w:t>
      </w:r>
      <w:r w:rsidRPr="00367BAA">
        <w:t xml:space="preserve"> sample</w:t>
      </w:r>
      <w:r>
        <w:t>,</w:t>
      </w:r>
      <w:r w:rsidRPr="00367BAA">
        <w:t xml:space="preserve"> and </w:t>
      </w:r>
      <m:oMath>
        <m:r>
          <w:rPr>
            <w:rFonts w:ascii="Cambria Math" w:hAnsi="Cambria Math"/>
          </w:rPr>
          <m:t>r</m:t>
        </m:r>
      </m:oMath>
      <w:r w:rsidRPr="00367BAA">
        <w:t xml:space="preserve"> is the response rate. </w:t>
      </w:r>
    </w:p>
    <w:p w:rsidRPr="00D51B2D" w:rsidR="00DD1916" w:rsidP="005A1829" w:rsidRDefault="000A01AC" w14:paraId="45460897" w14:textId="15F7ECE0">
      <w:pPr>
        <w:pStyle w:val="NormalSScontinued"/>
        <w:rPr>
          <w:b/>
          <w:bCs/>
          <w:color w:val="00B050"/>
        </w:rPr>
      </w:pPr>
      <w:bookmarkStart w:name="_Hlk62991983" w:id="35"/>
      <w:bookmarkStart w:name="_Toc3228801" w:id="36"/>
      <w:bookmarkStart w:name="_Toc518900713" w:id="37"/>
      <w:bookmarkStart w:name="_Toc40971291" w:id="38"/>
      <w:r w:rsidRPr="00D51B2D">
        <w:rPr>
          <w:b/>
          <w:bCs/>
          <w:i/>
          <w:iCs/>
          <w:color w:val="00B050"/>
        </w:rPr>
        <w:t>Evaluation of a continuous quality improvement system</w:t>
      </w:r>
    </w:p>
    <w:bookmarkEnd w:id="35"/>
    <w:p w:rsidRPr="009958CC" w:rsidR="000A01AC" w:rsidP="005A1829" w:rsidRDefault="000A01AC" w14:paraId="143FAAB4" w14:textId="63471275">
      <w:pPr>
        <w:pStyle w:val="NormalSScontinued"/>
      </w:pPr>
      <w:r w:rsidRPr="009958CC">
        <w:t xml:space="preserve">The evaluation’s random assignment and sampling design will allow </w:t>
      </w:r>
      <w:r>
        <w:t>the study</w:t>
      </w:r>
      <w:r w:rsidRPr="009958CC">
        <w:t xml:space="preserve"> to detect policy-relevant </w:t>
      </w:r>
      <w:r w:rsidR="003E4C8A">
        <w:t xml:space="preserve">and </w:t>
      </w:r>
      <w:r w:rsidR="006139CD">
        <w:t>realistic</w:t>
      </w:r>
      <w:r w:rsidR="003E4C8A">
        <w:t xml:space="preserve"> </w:t>
      </w:r>
      <w:r w:rsidRPr="009958CC">
        <w:t>effects of the continuous quality improvement system on the quality of staff practices and students’ social and emotional skills</w:t>
      </w:r>
      <w:r w:rsidR="0095456E">
        <w:t>, the key outcomes of the study</w:t>
      </w:r>
      <w:r w:rsidRPr="009958CC">
        <w:t xml:space="preserve">. With a target sample size of 100 centers, </w:t>
      </w:r>
      <w:r>
        <w:t>the study</w:t>
      </w:r>
      <w:r w:rsidRPr="009958CC">
        <w:t xml:space="preserve"> will be able to detect effects on </w:t>
      </w:r>
      <w:r>
        <w:t>staff practices</w:t>
      </w:r>
      <w:r w:rsidRPr="009958CC">
        <w:t xml:space="preserve"> as low as 0.45 standard deviations (Exhibit B.</w:t>
      </w:r>
      <w:r w:rsidR="00021E6B">
        <w:t>4</w:t>
      </w:r>
      <w:r w:rsidRPr="009958CC">
        <w:t xml:space="preserve">). This level of statistical power would allow </w:t>
      </w:r>
      <w:r>
        <w:t>the study</w:t>
      </w:r>
      <w:r w:rsidRPr="009958CC">
        <w:t xml:space="preserve"> to detect the effect on the quality of staff practices that prior research found for a similar continuous quality improvement system after just one year of implementation (0.55 standard deviations; Smith et al. 2012). </w:t>
      </w:r>
      <w:r w:rsidR="005352E6">
        <w:t>Given that this study will</w:t>
      </w:r>
      <w:r w:rsidR="00E01053">
        <w:t xml:space="preserve"> involve two years of implementation, the </w:t>
      </w:r>
      <w:r w:rsidR="0004704A">
        <w:t>effects</w:t>
      </w:r>
      <w:r w:rsidR="00E01053">
        <w:t xml:space="preserve"> of the continuous quality improvement system could plausibly be larger than </w:t>
      </w:r>
      <w:r w:rsidR="00B16DCB">
        <w:t xml:space="preserve">that found </w:t>
      </w:r>
      <w:r w:rsidR="00E01053">
        <w:t>in th</w:t>
      </w:r>
      <w:r w:rsidR="00011997">
        <w:t>e</w:t>
      </w:r>
      <w:r w:rsidR="00E01053">
        <w:t xml:space="preserve"> prior research. </w:t>
      </w:r>
      <w:r w:rsidRPr="009958CC">
        <w:t xml:space="preserve">For a subgroup of up to half of centers participating in the evaluation, the design will allow </w:t>
      </w:r>
      <w:r>
        <w:t>the study</w:t>
      </w:r>
      <w:r w:rsidRPr="009958CC">
        <w:t xml:space="preserve"> to detect an effect as low as 0.65 standard deviations. </w:t>
      </w:r>
    </w:p>
    <w:p w:rsidRPr="005F4605" w:rsidR="005F4605" w:rsidRDefault="000A01AC" w14:paraId="1215CB59" w14:textId="48177C90">
      <w:pPr>
        <w:pStyle w:val="NormalSS"/>
      </w:pPr>
      <w:r>
        <w:lastRenderedPageBreak/>
        <w:t xml:space="preserve">For the key student outcome of social and emotional skills, the design will allow the study to detect an effect of the continuous quality improvement system as small as 0.23 standard deviations for the full sample, and 0.28 for a sample consisting of half of all students. Although no prior research has directly estimated the effect of a similar system on students’ social and emotional skills, </w:t>
      </w:r>
      <w:r w:rsidR="003E4C8A">
        <w:t xml:space="preserve">past evidence suggests that </w:t>
      </w:r>
      <w:r>
        <w:t xml:space="preserve">an effect this large is </w:t>
      </w:r>
      <w:r w:rsidR="008A5EC6">
        <w:t>realistic</w:t>
      </w:r>
      <w:r>
        <w:t>. A meta-analysis by Durlak et al. (2010) found that students’ skills improved by 0.22 to 0.24 standard deviations more when they attended afterschool centers that used recommended practices for social and emotional learning instruction compared to centers that did not.</w:t>
      </w:r>
      <w:r w:rsidR="00E01053">
        <w:t xml:space="preserve"> Most of the studies included in this meta-analysis measured outcomes after less than one year of students’ participation.</w:t>
      </w:r>
      <w:r>
        <w:t xml:space="preserve"> </w:t>
      </w:r>
      <w:r w:rsidR="00794A8C">
        <w:t>Given that the</w:t>
      </w:r>
      <w:r w:rsidR="0036332E">
        <w:t xml:space="preserve"> study’s</w:t>
      </w:r>
      <w:r w:rsidR="00794A8C">
        <w:t xml:space="preserve"> continuous quality improvement system</w:t>
      </w:r>
      <w:r w:rsidR="0095456E">
        <w:t xml:space="preserve"> </w:t>
      </w:r>
      <w:r w:rsidR="00794A8C">
        <w:t xml:space="preserve">will </w:t>
      </w:r>
      <w:r w:rsidR="00E01053">
        <w:t>be implemented for two years</w:t>
      </w:r>
      <w:r w:rsidR="00794A8C">
        <w:t xml:space="preserve">, its </w:t>
      </w:r>
      <w:r w:rsidR="0004704A">
        <w:t>effects</w:t>
      </w:r>
      <w:r w:rsidR="00794A8C">
        <w:t xml:space="preserve"> </w:t>
      </w:r>
      <w:r w:rsidR="0095456E">
        <w:t xml:space="preserve">on social and emotional skills </w:t>
      </w:r>
      <w:r w:rsidR="00794A8C">
        <w:t xml:space="preserve">could </w:t>
      </w:r>
      <w:r w:rsidR="008A5EC6">
        <w:t>realistically</w:t>
      </w:r>
      <w:r w:rsidR="00794A8C">
        <w:t xml:space="preserve"> </w:t>
      </w:r>
      <w:r w:rsidR="0095456E">
        <w:t>be at least as large as those found in the meta-analysis</w:t>
      </w:r>
      <w:r w:rsidR="0036332E">
        <w:t xml:space="preserve"> and, therefore, be detected</w:t>
      </w:r>
      <w:r w:rsidR="001C5749">
        <w:t xml:space="preserve"> by the study</w:t>
      </w:r>
      <w:r w:rsidR="00794A8C">
        <w:t>.</w:t>
      </w:r>
    </w:p>
    <w:p w:rsidRPr="005C649F" w:rsidR="000A01AC" w:rsidP="001321C7" w:rsidRDefault="000A01AC" w14:paraId="1A4A590E" w14:textId="389BFE7A">
      <w:pPr>
        <w:pStyle w:val="MarkforExhibitTitle"/>
      </w:pPr>
      <w:bookmarkStart w:name="_Toc62055084" w:id="39"/>
      <w:r w:rsidRPr="005C649F">
        <w:t xml:space="preserve">Exhibit </w:t>
      </w:r>
      <w:r>
        <w:t>B</w:t>
      </w:r>
      <w:r w:rsidRPr="005C649F">
        <w:t>.</w:t>
      </w:r>
      <w:r w:rsidR="00021E6B">
        <w:t>4</w:t>
      </w:r>
      <w:r w:rsidRPr="005C649F">
        <w:t xml:space="preserve">. Statistical power of </w:t>
      </w:r>
      <w:bookmarkEnd w:id="36"/>
      <w:bookmarkEnd w:id="37"/>
      <w:bookmarkEnd w:id="38"/>
      <w:r>
        <w:t>the evaluation of a continuous quality improvement system</w:t>
      </w:r>
      <w:bookmarkEnd w:id="39"/>
    </w:p>
    <w:tbl>
      <w:tblPr>
        <w:tblStyle w:val="MPRBaseTable2"/>
        <w:tblW w:w="5000" w:type="pct"/>
        <w:tblLayout w:type="fixed"/>
        <w:tblLook w:val="04A0" w:firstRow="1" w:lastRow="0" w:firstColumn="1" w:lastColumn="0" w:noHBand="0" w:noVBand="1"/>
      </w:tblPr>
      <w:tblGrid>
        <w:gridCol w:w="3150"/>
        <w:gridCol w:w="2048"/>
        <w:gridCol w:w="1045"/>
        <w:gridCol w:w="1737"/>
        <w:gridCol w:w="1380"/>
      </w:tblGrid>
      <w:tr w:rsidRPr="005C649F" w:rsidR="000A01AC" w:rsidTr="009D699E" w14:paraId="2ACA9197"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683" w:type="pct"/>
            <w:vMerge w:val="restart"/>
            <w:hideMark/>
          </w:tcPr>
          <w:p w:rsidRPr="005C649F" w:rsidR="000A01AC" w:rsidP="00376EE6" w:rsidRDefault="000A01AC" w14:paraId="314720E3" w14:textId="77777777">
            <w:pPr>
              <w:pStyle w:val="TableHeaderLeft"/>
            </w:pPr>
            <w:r w:rsidRPr="005C649F">
              <w:t>Outcome (measured at the end of two years of implementation)</w:t>
            </w:r>
          </w:p>
        </w:tc>
        <w:tc>
          <w:tcPr>
            <w:tcW w:w="1094" w:type="pct"/>
            <w:vMerge w:val="restart"/>
            <w:hideMark/>
          </w:tcPr>
          <w:p w:rsidRPr="005C649F" w:rsidR="000A01AC" w:rsidP="00376EE6" w:rsidRDefault="000A01AC" w14:paraId="10C58427" w14:textId="77777777">
            <w:pPr>
              <w:pStyle w:val="TableHeaderCenter"/>
              <w:cnfStyle w:val="100000000000" w:firstRow="1" w:lastRow="0" w:firstColumn="0" w:lastColumn="0" w:oddVBand="0" w:evenVBand="0" w:oddHBand="0" w:evenHBand="0" w:firstRowFirstColumn="0" w:firstRowLastColumn="0" w:lastRowFirstColumn="0" w:lastRowLastColumn="0"/>
            </w:pPr>
            <w:r w:rsidRPr="005C649F">
              <w:t>Data source</w:t>
            </w:r>
          </w:p>
        </w:tc>
        <w:tc>
          <w:tcPr>
            <w:tcW w:w="2223" w:type="pct"/>
            <w:gridSpan w:val="3"/>
            <w:hideMark/>
          </w:tcPr>
          <w:p w:rsidRPr="005C649F" w:rsidR="000A01AC" w:rsidP="00376EE6" w:rsidRDefault="000A01AC" w14:paraId="046B7DED" w14:textId="77777777">
            <w:pPr>
              <w:pStyle w:val="TableHeaderCenter"/>
              <w:cnfStyle w:val="100000000000" w:firstRow="1" w:lastRow="0" w:firstColumn="0" w:lastColumn="0" w:oddVBand="0" w:evenVBand="0" w:oddHBand="0" w:evenHBand="0" w:firstRowFirstColumn="0" w:firstRowLastColumn="0" w:lastRowFirstColumn="0" w:lastRowLastColumn="0"/>
            </w:pPr>
            <w:r w:rsidRPr="005C649F">
              <w:t>Minimum detectable effect size (in standard deviation units)</w:t>
            </w:r>
          </w:p>
        </w:tc>
      </w:tr>
      <w:tr w:rsidRPr="005C649F" w:rsidR="000A01AC" w:rsidTr="009D699E" w14:paraId="643D07B5" w14:textId="77777777">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683" w:type="pct"/>
            <w:vMerge/>
            <w:shd w:val="clear" w:color="auto" w:fill="6C6F70"/>
            <w:vAlign w:val="bottom"/>
            <w:hideMark/>
          </w:tcPr>
          <w:p w:rsidRPr="005C649F" w:rsidR="000A01AC" w:rsidP="00376EE6" w:rsidRDefault="000A01AC" w14:paraId="384012F1" w14:textId="77777777">
            <w:pPr>
              <w:pStyle w:val="TableHeaderCenter"/>
              <w:rPr>
                <w:b/>
              </w:rPr>
            </w:pPr>
          </w:p>
        </w:tc>
        <w:tc>
          <w:tcPr>
            <w:tcW w:w="1094" w:type="pct"/>
            <w:vMerge/>
            <w:shd w:val="clear" w:color="auto" w:fill="6C6F70"/>
            <w:vAlign w:val="bottom"/>
            <w:hideMark/>
          </w:tcPr>
          <w:p w:rsidRPr="005C649F" w:rsidR="000A01AC" w:rsidP="00376EE6" w:rsidRDefault="000A01AC" w14:paraId="0D236D2A" w14:textId="77777777">
            <w:pPr>
              <w:pStyle w:val="TableHeaderCenter"/>
              <w:cnfStyle w:val="000000100000" w:firstRow="0" w:lastRow="0" w:firstColumn="0" w:lastColumn="0" w:oddVBand="0" w:evenVBand="0" w:oddHBand="1" w:evenHBand="0" w:firstRowFirstColumn="0" w:firstRowLastColumn="0" w:lastRowFirstColumn="0" w:lastRowLastColumn="0"/>
              <w:rPr>
                <w:b/>
              </w:rPr>
            </w:pPr>
          </w:p>
        </w:tc>
        <w:tc>
          <w:tcPr>
            <w:tcW w:w="558" w:type="pct"/>
            <w:shd w:val="clear" w:color="auto" w:fill="6C6F70"/>
            <w:vAlign w:val="bottom"/>
            <w:hideMark/>
          </w:tcPr>
          <w:p w:rsidRPr="005C649F" w:rsidR="000A01AC" w:rsidP="00376EE6" w:rsidRDefault="000A01AC" w14:paraId="231F8DEC" w14:textId="77777777">
            <w:pPr>
              <w:pStyle w:val="TableHeaderCenter"/>
              <w:cnfStyle w:val="000000100000" w:firstRow="0" w:lastRow="0" w:firstColumn="0" w:lastColumn="0" w:oddVBand="0" w:evenVBand="0" w:oddHBand="1" w:evenHBand="0" w:firstRowFirstColumn="0" w:firstRowLastColumn="0" w:lastRowFirstColumn="0" w:lastRowLastColumn="0"/>
              <w:rPr>
                <w:b/>
              </w:rPr>
            </w:pPr>
            <w:r w:rsidRPr="005C649F">
              <w:rPr>
                <w:b/>
              </w:rPr>
              <w:t>Full sample</w:t>
            </w:r>
          </w:p>
        </w:tc>
        <w:tc>
          <w:tcPr>
            <w:tcW w:w="928" w:type="pct"/>
            <w:shd w:val="clear" w:color="auto" w:fill="6C6F70"/>
            <w:vAlign w:val="bottom"/>
            <w:hideMark/>
          </w:tcPr>
          <w:p w:rsidRPr="005C649F" w:rsidR="000A01AC" w:rsidP="00376EE6" w:rsidRDefault="000A01AC" w14:paraId="0C9449EA" w14:textId="77777777">
            <w:pPr>
              <w:pStyle w:val="TableHeaderCenter"/>
              <w:cnfStyle w:val="000000100000" w:firstRow="0" w:lastRow="0" w:firstColumn="0" w:lastColumn="0" w:oddVBand="0" w:evenVBand="0" w:oddHBand="1" w:evenHBand="0" w:firstRowFirstColumn="0" w:firstRowLastColumn="0" w:lastRowFirstColumn="0" w:lastRowLastColumn="0"/>
              <w:rPr>
                <w:b/>
              </w:rPr>
            </w:pPr>
            <w:r w:rsidRPr="005C649F">
              <w:rPr>
                <w:b/>
              </w:rPr>
              <w:t>50 percent subsample of students</w:t>
            </w:r>
          </w:p>
        </w:tc>
        <w:tc>
          <w:tcPr>
            <w:tcW w:w="737" w:type="pct"/>
            <w:shd w:val="clear" w:color="auto" w:fill="6C6F70"/>
            <w:vAlign w:val="bottom"/>
            <w:hideMark/>
          </w:tcPr>
          <w:p w:rsidRPr="005C649F" w:rsidR="000A01AC" w:rsidP="00376EE6" w:rsidRDefault="000A01AC" w14:paraId="2FE44BCF" w14:textId="77777777">
            <w:pPr>
              <w:pStyle w:val="TableHeaderCenter"/>
              <w:cnfStyle w:val="000000100000" w:firstRow="0" w:lastRow="0" w:firstColumn="0" w:lastColumn="0" w:oddVBand="0" w:evenVBand="0" w:oddHBand="1" w:evenHBand="0" w:firstRowFirstColumn="0" w:firstRowLastColumn="0" w:lastRowFirstColumn="0" w:lastRowLastColumn="0"/>
              <w:rPr>
                <w:b/>
              </w:rPr>
            </w:pPr>
            <w:r w:rsidRPr="005C649F">
              <w:rPr>
                <w:b/>
              </w:rPr>
              <w:t>50 percent subsample of centers</w:t>
            </w:r>
          </w:p>
        </w:tc>
      </w:tr>
      <w:tr w:rsidRPr="005C649F" w:rsidR="000A01AC" w:rsidTr="009D699E" w14:paraId="1C3FD909" w14:textId="77777777">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683" w:type="pct"/>
            <w:hideMark/>
          </w:tcPr>
          <w:p w:rsidRPr="005C649F" w:rsidR="000A01AC" w:rsidP="00376EE6" w:rsidRDefault="000A01AC" w14:paraId="145D9DD9" w14:textId="77777777">
            <w:pPr>
              <w:pStyle w:val="TableTextLeft"/>
            </w:pPr>
            <w:r w:rsidRPr="005C649F">
              <w:t xml:space="preserve">Centers’ </w:t>
            </w:r>
            <w:r>
              <w:t>quality of staff practices</w:t>
            </w:r>
          </w:p>
        </w:tc>
        <w:tc>
          <w:tcPr>
            <w:tcW w:w="1094" w:type="pct"/>
            <w:hideMark/>
          </w:tcPr>
          <w:p w:rsidRPr="005C649F" w:rsidR="000A01AC" w:rsidP="00376EE6" w:rsidRDefault="000A01AC" w14:paraId="667D414E" w14:textId="77777777">
            <w:pPr>
              <w:pStyle w:val="TableTextLeft"/>
              <w:cnfStyle w:val="000000010000" w:firstRow="0" w:lastRow="0" w:firstColumn="0" w:lastColumn="0" w:oddVBand="0" w:evenVBand="0" w:oddHBand="0" w:evenHBand="1" w:firstRowFirstColumn="0" w:firstRowLastColumn="0" w:lastRowFirstColumn="0" w:lastRowLastColumn="0"/>
            </w:pPr>
            <w:r>
              <w:t>Afterschool center observations</w:t>
            </w:r>
          </w:p>
        </w:tc>
        <w:tc>
          <w:tcPr>
            <w:tcW w:w="558" w:type="pct"/>
            <w:hideMark/>
          </w:tcPr>
          <w:p w:rsidRPr="005C649F" w:rsidR="000A01AC" w:rsidP="00376EE6" w:rsidRDefault="000A01AC" w14:paraId="6E3F455E" w14:textId="77777777">
            <w:pPr>
              <w:pStyle w:val="TableTextDecimal"/>
              <w:cnfStyle w:val="000000010000" w:firstRow="0" w:lastRow="0" w:firstColumn="0" w:lastColumn="0" w:oddVBand="0" w:evenVBand="0" w:oddHBand="0" w:evenHBand="1" w:firstRowFirstColumn="0" w:firstRowLastColumn="0" w:lastRowFirstColumn="0" w:lastRowLastColumn="0"/>
            </w:pPr>
            <w:r w:rsidRPr="005C649F">
              <w:t>0.45</w:t>
            </w:r>
          </w:p>
        </w:tc>
        <w:tc>
          <w:tcPr>
            <w:tcW w:w="928" w:type="pct"/>
            <w:hideMark/>
          </w:tcPr>
          <w:p w:rsidRPr="005C649F" w:rsidR="000A01AC" w:rsidP="00376EE6" w:rsidRDefault="000A01AC" w14:paraId="0C5526E8" w14:textId="77777777">
            <w:pPr>
              <w:pStyle w:val="TableTextDecimal"/>
              <w:cnfStyle w:val="000000010000" w:firstRow="0" w:lastRow="0" w:firstColumn="0" w:lastColumn="0" w:oddVBand="0" w:evenVBand="0" w:oddHBand="0" w:evenHBand="1" w:firstRowFirstColumn="0" w:firstRowLastColumn="0" w:lastRowFirstColumn="0" w:lastRowLastColumn="0"/>
            </w:pPr>
            <w:r w:rsidRPr="005C649F">
              <w:t>n.a.</w:t>
            </w:r>
          </w:p>
        </w:tc>
        <w:tc>
          <w:tcPr>
            <w:tcW w:w="737" w:type="pct"/>
          </w:tcPr>
          <w:p w:rsidRPr="005C649F" w:rsidR="000A01AC" w:rsidP="00376EE6" w:rsidRDefault="000A01AC" w14:paraId="6B404910" w14:textId="0166F770">
            <w:pPr>
              <w:pStyle w:val="TableTextDecimal"/>
              <w:cnfStyle w:val="000000010000" w:firstRow="0" w:lastRow="0" w:firstColumn="0" w:lastColumn="0" w:oddVBand="0" w:evenVBand="0" w:oddHBand="0" w:evenHBand="1" w:firstRowFirstColumn="0" w:firstRowLastColumn="0" w:lastRowFirstColumn="0" w:lastRowLastColumn="0"/>
            </w:pPr>
            <w:r w:rsidRPr="005C649F">
              <w:t>0.65</w:t>
            </w:r>
          </w:p>
        </w:tc>
      </w:tr>
      <w:tr w:rsidRPr="005C649F" w:rsidR="000A01AC" w:rsidTr="009D699E" w14:paraId="0B0A598D"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683" w:type="pct"/>
            <w:hideMark/>
          </w:tcPr>
          <w:p w:rsidRPr="005C649F" w:rsidR="000A01AC" w:rsidP="00376EE6" w:rsidRDefault="000A01AC" w14:paraId="5875E93D" w14:textId="77777777">
            <w:pPr>
              <w:pStyle w:val="TableTextLeft"/>
            </w:pPr>
            <w:r w:rsidRPr="005C649F">
              <w:t>Students’ social and emotional skills</w:t>
            </w:r>
          </w:p>
        </w:tc>
        <w:tc>
          <w:tcPr>
            <w:tcW w:w="1094" w:type="pct"/>
            <w:hideMark/>
          </w:tcPr>
          <w:p w:rsidRPr="005C649F" w:rsidR="000A01AC" w:rsidP="00376EE6" w:rsidRDefault="000A01AC" w14:paraId="3E81A120" w14:textId="77777777">
            <w:pPr>
              <w:pStyle w:val="TableTextLeft"/>
              <w:cnfStyle w:val="000000100000" w:firstRow="0" w:lastRow="0" w:firstColumn="0" w:lastColumn="0" w:oddVBand="0" w:evenVBand="0" w:oddHBand="1" w:evenHBand="0" w:firstRowFirstColumn="0" w:firstRowLastColumn="0" w:lastRowFirstColumn="0" w:lastRowLastColumn="0"/>
            </w:pPr>
            <w:r w:rsidRPr="005C649F">
              <w:t>Student survey and school-day teacher survey</w:t>
            </w:r>
          </w:p>
        </w:tc>
        <w:tc>
          <w:tcPr>
            <w:tcW w:w="558" w:type="pct"/>
            <w:hideMark/>
          </w:tcPr>
          <w:p w:rsidRPr="005C649F" w:rsidR="000A01AC" w:rsidP="00376EE6" w:rsidRDefault="000A01AC" w14:paraId="0E0F2BE9" w14:textId="77777777">
            <w:pPr>
              <w:pStyle w:val="TableTextDecimal"/>
              <w:cnfStyle w:val="000000100000" w:firstRow="0" w:lastRow="0" w:firstColumn="0" w:lastColumn="0" w:oddVBand="0" w:evenVBand="0" w:oddHBand="1" w:evenHBand="0" w:firstRowFirstColumn="0" w:firstRowLastColumn="0" w:lastRowFirstColumn="0" w:lastRowLastColumn="0"/>
            </w:pPr>
            <w:r w:rsidRPr="005C649F">
              <w:t>0.23</w:t>
            </w:r>
          </w:p>
        </w:tc>
        <w:tc>
          <w:tcPr>
            <w:tcW w:w="928" w:type="pct"/>
            <w:hideMark/>
          </w:tcPr>
          <w:p w:rsidRPr="005C649F" w:rsidR="000A01AC" w:rsidP="00376EE6" w:rsidRDefault="000A01AC" w14:paraId="7714309B" w14:textId="77777777">
            <w:pPr>
              <w:pStyle w:val="TableTextDecimal"/>
              <w:cnfStyle w:val="000000100000" w:firstRow="0" w:lastRow="0" w:firstColumn="0" w:lastColumn="0" w:oddVBand="0" w:evenVBand="0" w:oddHBand="1" w:evenHBand="0" w:firstRowFirstColumn="0" w:firstRowLastColumn="0" w:lastRowFirstColumn="0" w:lastRowLastColumn="0"/>
            </w:pPr>
            <w:r w:rsidRPr="005C649F">
              <w:t>0.28</w:t>
            </w:r>
          </w:p>
        </w:tc>
        <w:tc>
          <w:tcPr>
            <w:tcW w:w="737" w:type="pct"/>
            <w:hideMark/>
          </w:tcPr>
          <w:p w:rsidRPr="005C649F" w:rsidR="000A01AC" w:rsidP="00376EE6" w:rsidRDefault="000A01AC" w14:paraId="5C999588" w14:textId="77777777">
            <w:pPr>
              <w:pStyle w:val="TableTextDecimal"/>
              <w:cnfStyle w:val="000000100000" w:firstRow="0" w:lastRow="0" w:firstColumn="0" w:lastColumn="0" w:oddVBand="0" w:evenVBand="0" w:oddHBand="1" w:evenHBand="0" w:firstRowFirstColumn="0" w:firstRowLastColumn="0" w:lastRowFirstColumn="0" w:lastRowLastColumn="0"/>
            </w:pPr>
            <w:r w:rsidRPr="005C649F">
              <w:t>0.3</w:t>
            </w:r>
            <w:r>
              <w:t>3</w:t>
            </w:r>
          </w:p>
        </w:tc>
      </w:tr>
    </w:tbl>
    <w:p w:rsidRPr="005C649F" w:rsidR="000A01AC" w:rsidP="009553BB" w:rsidRDefault="000A01AC" w14:paraId="1C929E16" w14:textId="059A98B1">
      <w:pPr>
        <w:pStyle w:val="TableSourceCaption"/>
      </w:pPr>
      <w:r w:rsidRPr="005C649F">
        <w:t>Note:</w:t>
      </w:r>
      <w:r w:rsidRPr="005C649F">
        <w:tab/>
        <w:t>Calculations assume (1) 80 percent power and 5 percent significance level for a two-tailed test; (2) an average of 41 students in grades 3–5 per center (James-Burdumy et al. 2005; U.S. Department of Education 2018</w:t>
      </w:r>
      <w:r>
        <w:t>b</w:t>
      </w:r>
      <w:r w:rsidRPr="005C649F">
        <w:t>), 10 of whom are in the sample for surveys of students and school-day teachers</w:t>
      </w:r>
      <w:r>
        <w:t xml:space="preserve"> at the end of the second year of the study</w:t>
      </w:r>
      <w:r w:rsidRPr="00A6097B">
        <w:t xml:space="preserve"> </w:t>
      </w:r>
      <w:r>
        <w:t xml:space="preserve">and 85 percent of whom we obtain </w:t>
      </w:r>
      <w:r w:rsidR="005A4515">
        <w:t>permission</w:t>
      </w:r>
      <w:r>
        <w:t xml:space="preserve"> to include in the study</w:t>
      </w:r>
      <w:r w:rsidRPr="005C649F">
        <w:t>; (3) a response rate of 100 percent for</w:t>
      </w:r>
      <w:r>
        <w:t xml:space="preserve"> afterschool</w:t>
      </w:r>
      <w:r w:rsidRPr="005C649F">
        <w:t xml:space="preserve"> center observations and </w:t>
      </w:r>
      <w:r>
        <w:t xml:space="preserve">85 </w:t>
      </w:r>
      <w:r w:rsidRPr="005C649F">
        <w:t xml:space="preserve">percent for surveys; and (4) a sample of 50 treatment and 50 control centers. </w:t>
      </w:r>
      <w:r w:rsidR="00A00407">
        <w:t>A</w:t>
      </w:r>
      <w:r w:rsidRPr="005C649F">
        <w:t xml:space="preserve">ssumptions on center-level clustering of outcomes and explanatory power of covariates come from (1) </w:t>
      </w:r>
      <w:bookmarkStart w:name="_Hlk40434554" w:id="40"/>
      <w:r w:rsidRPr="005C649F">
        <w:t>Social and Character Development Research Consortium (2010)</w:t>
      </w:r>
      <w:bookmarkEnd w:id="40"/>
      <w:r w:rsidRPr="005C649F">
        <w:t xml:space="preserve"> and Schochet (2008) for social and emotional learning skills and (2) Smith (2013) for center observations.</w:t>
      </w:r>
    </w:p>
    <w:p w:rsidRPr="005C649F" w:rsidR="000A01AC" w:rsidP="00754C38" w:rsidRDefault="000A01AC" w14:paraId="3FC77341" w14:textId="77777777">
      <w:pPr>
        <w:pStyle w:val="TableSourceCaption"/>
        <w:spacing w:after="120"/>
      </w:pPr>
      <w:r w:rsidRPr="005C649F">
        <w:t>n.a. = not applicable</w:t>
      </w:r>
    </w:p>
    <w:p w:rsidR="000A01AC" w:rsidP="001321C7" w:rsidRDefault="000A01AC" w14:paraId="6E70EBF9" w14:textId="77777777">
      <w:pPr>
        <w:pStyle w:val="H4NumberNoTOC"/>
      </w:pPr>
      <w:r>
        <w:t>c.</w:t>
      </w:r>
      <w:r>
        <w:tab/>
        <w:t xml:space="preserve">Unusual problems requiring specialized sampling procedures </w:t>
      </w:r>
    </w:p>
    <w:p w:rsidR="000A01AC" w:rsidP="000A01AC" w:rsidRDefault="000A01AC" w14:paraId="7D199C40" w14:textId="77777777">
      <w:pPr>
        <w:pStyle w:val="NormalSS"/>
        <w:rPr>
          <w:szCs w:val="24"/>
        </w:rPr>
      </w:pPr>
      <w:r>
        <w:rPr>
          <w:szCs w:val="24"/>
        </w:rPr>
        <w:t>The study team</w:t>
      </w:r>
      <w:r w:rsidRPr="00CE176F">
        <w:rPr>
          <w:szCs w:val="24"/>
        </w:rPr>
        <w:t xml:space="preserve"> do</w:t>
      </w:r>
      <w:r>
        <w:rPr>
          <w:szCs w:val="24"/>
        </w:rPr>
        <w:t>es</w:t>
      </w:r>
      <w:r w:rsidRPr="00CE176F">
        <w:rPr>
          <w:szCs w:val="24"/>
        </w:rPr>
        <w:t xml:space="preserve"> not anticipate any unusual problems that require specialized sampling procedures.</w:t>
      </w:r>
    </w:p>
    <w:p w:rsidRPr="00D64C5E" w:rsidR="000A01AC" w:rsidP="000A01AC" w:rsidRDefault="000A01AC" w14:paraId="5A8C398F" w14:textId="77777777">
      <w:pPr>
        <w:pStyle w:val="H5Lower"/>
      </w:pPr>
      <w:r>
        <w:t>d.</w:t>
      </w:r>
      <w:r>
        <w:tab/>
      </w:r>
      <w:r w:rsidRPr="00D64C5E">
        <w:t>Use of periodic (less frequent than annual) data collection cycles to reduce burden</w:t>
      </w:r>
    </w:p>
    <w:p w:rsidR="000A01AC" w:rsidP="000A01AC" w:rsidRDefault="000A01AC" w14:paraId="50891BF5" w14:textId="64EDB20B">
      <w:pPr>
        <w:pStyle w:val="NormalSS"/>
        <w:rPr>
          <w:szCs w:val="24"/>
        </w:rPr>
      </w:pPr>
      <w:r>
        <w:rPr>
          <w:szCs w:val="24"/>
        </w:rPr>
        <w:t xml:space="preserve">To minimize burden, the study team is planning to collect the study’s data as infrequently as possible while fulfilling the study’s analytic requirements. The study team will collect district administrative records one time during fall 2023. Similarly, the study team will collect data on </w:t>
      </w:r>
      <w:r w:rsidR="004B618F">
        <w:rPr>
          <w:szCs w:val="24"/>
        </w:rPr>
        <w:t>student afterschool</w:t>
      </w:r>
      <w:r>
        <w:rPr>
          <w:szCs w:val="24"/>
        </w:rPr>
        <w:t xml:space="preserve"> attendance records only during </w:t>
      </w:r>
      <w:r w:rsidR="00D33C5B">
        <w:rPr>
          <w:szCs w:val="24"/>
        </w:rPr>
        <w:t xml:space="preserve">the </w:t>
      </w:r>
      <w:r w:rsidR="00D33C5B">
        <w:t>middle of the 2021–2022 school year and end of the 2022–2023 school year</w:t>
      </w:r>
      <w:r>
        <w:rPr>
          <w:szCs w:val="24"/>
        </w:rPr>
        <w:t xml:space="preserve">. The study team will administer the parent/guardian questionnaire and </w:t>
      </w:r>
      <w:r w:rsidR="005A4515">
        <w:rPr>
          <w:szCs w:val="24"/>
        </w:rPr>
        <w:t>permission</w:t>
      </w:r>
      <w:r>
        <w:rPr>
          <w:szCs w:val="24"/>
        </w:rPr>
        <w:t xml:space="preserve"> form a single time in fall 2021. By necessity, the study team will collect other data more frequently:  </w:t>
      </w:r>
    </w:p>
    <w:p w:rsidR="000A01AC" w:rsidP="001321C7" w:rsidRDefault="000A01AC" w14:paraId="37026D42" w14:textId="77777777">
      <w:pPr>
        <w:pStyle w:val="Bullet"/>
      </w:pPr>
      <w:r>
        <w:lastRenderedPageBreak/>
        <w:t xml:space="preserve">To obtain information on center and student outcomes in both study years, </w:t>
      </w:r>
      <w:r>
        <w:rPr>
          <w:szCs w:val="24"/>
        </w:rPr>
        <w:t xml:space="preserve">the study team </w:t>
      </w:r>
      <w:r>
        <w:t xml:space="preserve">must conduct the interviews and surveys once per year for two years. During spring 2022 and 2023, </w:t>
      </w:r>
      <w:r>
        <w:rPr>
          <w:szCs w:val="24"/>
        </w:rPr>
        <w:t xml:space="preserve">the study team </w:t>
      </w:r>
      <w:r>
        <w:t>will conduct the afterschool center director interview, the student survey, the school-day teacher survey, and the afterschool center staff survey.</w:t>
      </w:r>
    </w:p>
    <w:p w:rsidR="000A01AC" w:rsidP="001321C7" w:rsidRDefault="000A01AC" w14:paraId="73263BFD" w14:textId="77777777">
      <w:pPr>
        <w:pStyle w:val="Bullet"/>
      </w:pPr>
      <w:r>
        <w:t xml:space="preserve">To ensure accurate reporting and allow for continuous implementation monitoring, </w:t>
      </w:r>
      <w:r>
        <w:rPr>
          <w:szCs w:val="24"/>
        </w:rPr>
        <w:t xml:space="preserve">the study team </w:t>
      </w:r>
      <w:r>
        <w:t xml:space="preserve">needs to collect afterschool center coaching logs when afterschool center directors and co-leads complete them after each coaching session from fall 2021 through spring 2023. Less frequent collection could lead to errors in the logs, because afterschool center directors and co-leads might not remember the coaching sessions accurately. In addition, </w:t>
      </w:r>
      <w:r>
        <w:rPr>
          <w:szCs w:val="24"/>
        </w:rPr>
        <w:t xml:space="preserve">the study team </w:t>
      </w:r>
      <w:r>
        <w:t xml:space="preserve">will use the logs to monitor implementation fidelity, which is necessary to assess frequently to ensure high levels of fidelity. </w:t>
      </w:r>
    </w:p>
    <w:p w:rsidR="000A01AC" w:rsidP="00B26B80" w:rsidRDefault="000A01AC" w14:paraId="1CD84FE6" w14:textId="77777777">
      <w:pPr>
        <w:pStyle w:val="BulletLastSS"/>
      </w:pPr>
      <w:r>
        <w:t xml:space="preserve">The study team will collect center observations on staff practices at baseline in fall 2021 and during spring 2022 and spring 2023. The baseline measure of staff practices is critical to the analyses, because it will allow the study to characterize baseline differences between treatment and control centers and conduct key subgroup analyses. The two years of follow-up data will allow the study to estimate effects on staff practices annually. </w:t>
      </w:r>
    </w:p>
    <w:p w:rsidR="000A01AC" w:rsidP="000A01AC" w:rsidRDefault="000A01AC" w14:paraId="474B0D17" w14:textId="77777777">
      <w:pPr>
        <w:pStyle w:val="H4Number"/>
        <w:ind w:left="0" w:firstLine="0"/>
      </w:pPr>
      <w:bookmarkStart w:name="_Toc256361788" w:id="41"/>
      <w:bookmarkStart w:name="_Toc277342333" w:id="42"/>
      <w:bookmarkStart w:name="_Toc474313984" w:id="43"/>
      <w:bookmarkStart w:name="_Toc62054936" w:id="44"/>
      <w:bookmarkStart w:name="_Toc69379657" w:id="45"/>
      <w:r w:rsidRPr="00511B07">
        <w:t>B3.</w:t>
      </w:r>
      <w:r>
        <w:tab/>
      </w:r>
      <w:r w:rsidRPr="00511B07">
        <w:t>Methods to maximize response rates and deal with nonresponse</w:t>
      </w:r>
      <w:bookmarkEnd w:id="41"/>
      <w:bookmarkEnd w:id="42"/>
      <w:bookmarkEnd w:id="43"/>
      <w:bookmarkEnd w:id="44"/>
      <w:bookmarkEnd w:id="45"/>
    </w:p>
    <w:p w:rsidRPr="007C57F2" w:rsidR="000A01AC" w:rsidP="00376EE6" w:rsidRDefault="000A01AC" w14:paraId="2542183A" w14:textId="77777777">
      <w:pPr>
        <w:pStyle w:val="Heading4NoTOC"/>
      </w:pPr>
      <w:r>
        <w:t>a.</w:t>
      </w:r>
      <w:r>
        <w:tab/>
        <w:t>Maximizing response rates</w:t>
      </w:r>
    </w:p>
    <w:p w:rsidR="000A01AC" w:rsidP="000A01AC" w:rsidRDefault="000A01AC" w14:paraId="73A83FFC" w14:textId="0A121434">
      <w:pPr>
        <w:pStyle w:val="NormalSS"/>
      </w:pPr>
      <w:bookmarkStart w:name="_Toc470012100" w:id="46"/>
      <w:bookmarkStart w:name="_Toc474313985" w:id="47"/>
      <w:r>
        <w:t xml:space="preserve">As mentioned in </w:t>
      </w:r>
      <w:r w:rsidR="000D124C">
        <w:t xml:space="preserve">Exhibit </w:t>
      </w:r>
      <w:r>
        <w:t>B</w:t>
      </w:r>
      <w:r w:rsidR="00EB4420">
        <w:t>.</w:t>
      </w:r>
      <w:r>
        <w:t>1, the study team expects</w:t>
      </w:r>
      <w:r w:rsidR="001E4257">
        <w:t xml:space="preserve"> a 100% response rate on the afterschool center observations, afterschool center coaching log, student afterschool attendance records, and district administrative records. The study team expects</w:t>
      </w:r>
      <w:r>
        <w:t xml:space="preserve"> an 85 percent response rate on the afterschool center director survey (administered via web); afterschool center director interview (conducted in-person); and the afterschool center staff survey, student survey, </w:t>
      </w:r>
      <w:r w:rsidRPr="00CC01F2">
        <w:t>school-day teacher survey, and parent/guardian questionnaire</w:t>
      </w:r>
      <w:r>
        <w:t xml:space="preserve"> and </w:t>
      </w:r>
      <w:r w:rsidR="005A4515">
        <w:t>permission</w:t>
      </w:r>
      <w:r>
        <w:t xml:space="preserve"> form (all administered via hardcopy forms). </w:t>
      </w:r>
      <w:r w:rsidR="00C05A96">
        <w:t>Across all aspects of data collection, t</w:t>
      </w:r>
      <w:r>
        <w:t>he study team will use strategies that have proven to be successful on other large-scale IES evaluations, including:</w:t>
      </w:r>
    </w:p>
    <w:p w:rsidRPr="00DE17F3" w:rsidR="000A01AC" w:rsidP="001321C7" w:rsidRDefault="000A01AC" w14:paraId="18AB9B5D" w14:textId="77777777">
      <w:pPr>
        <w:pStyle w:val="Bullet"/>
      </w:pPr>
      <w:r w:rsidRPr="00DE17F3">
        <w:rPr>
          <w:b/>
          <w:bCs/>
        </w:rPr>
        <w:t>Developing and testing the web-based survey to maximize ease of completion and reduce respondent burden.</w:t>
      </w:r>
      <w:r>
        <w:t xml:space="preserve"> The study team will follow processes proven successful for other web-based data collections. The study team will minimize</w:t>
      </w:r>
      <w:r w:rsidRPr="001E4C1B">
        <w:t xml:space="preserve"> </w:t>
      </w:r>
      <w:r>
        <w:t xml:space="preserve">the length of the instrument to gather only key, necessary information. </w:t>
      </w:r>
      <w:r w:rsidRPr="00DC7AAE">
        <w:t xml:space="preserve">To reduce item nonresponse, the web-based </w:t>
      </w:r>
      <w:r w:rsidRPr="00DD17D6">
        <w:t>questionnaire</w:t>
      </w:r>
      <w:r>
        <w:t xml:space="preserve"> may include programmed checks alerting</w:t>
      </w:r>
      <w:r w:rsidRPr="00DC7AAE">
        <w:t xml:space="preserve"> respondents to out-of-range or inconsistent responses</w:t>
      </w:r>
      <w:r>
        <w:t xml:space="preserve"> they enter. These checks will give respondents the choice of changing their response based on guidance provided on the pop-up screen, or leaving their answer and continuing on to the next question</w:t>
      </w:r>
      <w:r w:rsidRPr="00DC7AAE">
        <w:t>.</w:t>
      </w:r>
      <w:r>
        <w:t xml:space="preserve"> The study team </w:t>
      </w:r>
      <w:r w:rsidRPr="001E4C1B">
        <w:t>will thoroughly test the instrument</w:t>
      </w:r>
      <w:r w:rsidRPr="00DC7AAE">
        <w:t xml:space="preserve"> for clarity, accuracy, length, flow, and wording.</w:t>
      </w:r>
      <w:r>
        <w:t xml:space="preserve"> </w:t>
      </w:r>
    </w:p>
    <w:p w:rsidRPr="00666333" w:rsidR="000A01AC" w:rsidP="001321C7" w:rsidRDefault="000A01AC" w14:paraId="0A73F928" w14:textId="0BB23357">
      <w:pPr>
        <w:pStyle w:val="Bullet"/>
        <w:rPr>
          <w:b/>
          <w:bCs/>
        </w:rPr>
      </w:pPr>
      <w:r w:rsidRPr="006C7692">
        <w:rPr>
          <w:b/>
          <w:bCs/>
        </w:rPr>
        <w:t>Developing relationships with afterschool center</w:t>
      </w:r>
      <w:r>
        <w:rPr>
          <w:b/>
          <w:bCs/>
        </w:rPr>
        <w:t xml:space="preserve"> and school</w:t>
      </w:r>
      <w:r w:rsidRPr="006C7692">
        <w:rPr>
          <w:b/>
          <w:bCs/>
        </w:rPr>
        <w:t xml:space="preserve"> front office staff.</w:t>
      </w:r>
      <w:r>
        <w:t xml:space="preserve"> In the study team’s experience, data collection at afterschool centers and schools will require regular interaction with front office staff. Gaining access to the intended respondents of the afterschool center director interview, afterschool center staff survey, and school-day teacher survey will be vital to reaching the desired 85 percent response rate on these data collection activities. Experienced field staff will be trained to cultivate relationships with front office staff to assist in distribution and collection of completed surveys; gain access to the </w:t>
      </w:r>
      <w:r>
        <w:lastRenderedPageBreak/>
        <w:t>afterschool center staff and school-day teachers to conduct face-to-face nonresponse follow-up, if appropriate; and schedule interviews with afterschool center directors. Front office staff at afterschool centers may also be an essential part of assisting with the parent/guardian questionnaire nonresponse follow-up as well as scheduling the student survey administration.</w:t>
      </w:r>
    </w:p>
    <w:p w:rsidRPr="006C7692" w:rsidR="000A01AC" w:rsidP="001321C7" w:rsidRDefault="000A01AC" w14:paraId="1E2A3A1E" w14:textId="77777777">
      <w:pPr>
        <w:pStyle w:val="Bullet"/>
        <w:rPr>
          <w:b/>
          <w:bCs/>
        </w:rPr>
      </w:pPr>
      <w:r>
        <w:rPr>
          <w:b/>
          <w:bCs/>
        </w:rPr>
        <w:t>Tailoring nonresponse follow-up communication.</w:t>
      </w:r>
      <w:r>
        <w:t xml:space="preserve"> For the afterschool center staff survey and the school-day teacher survey, nonresponse follow-up communication may take several forms. Depending on access to staff and teachers at each center or school, distribution of nonresponse letters may be needed to encourage completed surveys. Field staff may attempt to gain face-to-face access to the respondents as a mean of encouraging participation, or email correspondence may be deemed the more effective method. Study staff will discuss all possible methods and determine the best course of action based on their experiences with the centers and schools.</w:t>
      </w:r>
    </w:p>
    <w:p w:rsidR="000A01AC" w:rsidP="000A01AC" w:rsidRDefault="000A01AC" w14:paraId="5504486B" w14:textId="729DC104">
      <w:pPr>
        <w:pStyle w:val="NormalSS"/>
      </w:pPr>
      <w:r>
        <w:t>Specific methods for maximizing response rates and minimizing nonresponse in the collection of</w:t>
      </w:r>
      <w:r w:rsidR="00CE4D69">
        <w:t xml:space="preserve"> data in</w:t>
      </w:r>
      <w:r>
        <w:t xml:space="preserve"> each </w:t>
      </w:r>
      <w:r w:rsidR="00CE4D69">
        <w:t>study</w:t>
      </w:r>
      <w:r w:rsidR="00C05A96">
        <w:t xml:space="preserve"> component </w:t>
      </w:r>
      <w:r>
        <w:t>are as follows:</w:t>
      </w:r>
    </w:p>
    <w:p w:rsidRPr="00723A20" w:rsidR="00CE4D69" w:rsidP="00EC1D52" w:rsidRDefault="00CE4D69" w14:paraId="245119D7" w14:textId="77777777">
      <w:pPr>
        <w:pStyle w:val="NormalSS"/>
        <w:rPr>
          <w:b/>
          <w:bCs/>
          <w:color w:val="00B050"/>
        </w:rPr>
      </w:pPr>
      <w:r w:rsidRPr="00723A20">
        <w:rPr>
          <w:b/>
          <w:bCs/>
          <w:i/>
          <w:iCs/>
          <w:color w:val="00B050"/>
        </w:rPr>
        <w:t>National snapshot of afterschool centers’ strategies</w:t>
      </w:r>
    </w:p>
    <w:p w:rsidR="00021E6B" w:rsidP="00723A20" w:rsidRDefault="000A01AC" w14:paraId="303A4E70" w14:textId="0625ABC4">
      <w:pPr>
        <w:pStyle w:val="Bullet"/>
        <w:spacing w:after="240"/>
      </w:pPr>
      <w:r>
        <w:rPr>
          <w:b/>
          <w:bCs/>
        </w:rPr>
        <w:t>Afterschool center director survey:</w:t>
      </w:r>
      <w:r>
        <w:t xml:space="preserve"> </w:t>
      </w:r>
      <w:r w:rsidR="007D11BC">
        <w:t xml:space="preserve">The study team anticipates an 85 percent response rate using the following procedures. </w:t>
      </w:r>
      <w:r>
        <w:t xml:space="preserve">In advance of administering the web-based afterschool center director survey, the study team will mail a study introduction letter describing the study purpose and topics the survey will cover. The letter will also mention an upcoming invitation email that will include their login information. Throughout the data collection period, the study team will conduct nonresponse follow-up by email and mailed reminder letters. </w:t>
      </w:r>
    </w:p>
    <w:p w:rsidRPr="00723A20" w:rsidR="00C33AE0" w:rsidP="00CE4D69" w:rsidRDefault="00021E6B" w14:paraId="61E3A027" w14:textId="2902A426">
      <w:pPr>
        <w:pStyle w:val="Bullet"/>
        <w:numPr>
          <w:ilvl w:val="0"/>
          <w:numId w:val="0"/>
        </w:numPr>
        <w:rPr>
          <w:b/>
          <w:bCs/>
          <w:i/>
          <w:iCs/>
          <w:color w:val="00B050"/>
        </w:rPr>
      </w:pPr>
      <w:r w:rsidRPr="00723A20">
        <w:rPr>
          <w:b/>
          <w:bCs/>
          <w:i/>
          <w:iCs/>
          <w:color w:val="00B050"/>
        </w:rPr>
        <w:tab/>
      </w:r>
      <w:r w:rsidRPr="00723A20" w:rsidR="00CE4D69">
        <w:rPr>
          <w:b/>
          <w:bCs/>
          <w:i/>
          <w:iCs/>
          <w:color w:val="00B050"/>
        </w:rPr>
        <w:t xml:space="preserve">Evaluation of a continuous quality improvement system </w:t>
      </w:r>
    </w:p>
    <w:p w:rsidR="00CE4D69" w:rsidP="00CE4D69" w:rsidRDefault="00CE4D69" w14:paraId="1C30E54F" w14:textId="23EC62BB">
      <w:pPr>
        <w:pStyle w:val="Bullet"/>
      </w:pPr>
      <w:r>
        <w:rPr>
          <w:b/>
          <w:bCs/>
        </w:rPr>
        <w:t xml:space="preserve">Afterschool center observations: </w:t>
      </w:r>
      <w:r>
        <w:t>The study team anticipates</w:t>
      </w:r>
      <w:r w:rsidR="001E4257">
        <w:t xml:space="preserve"> a</w:t>
      </w:r>
      <w:r>
        <w:t xml:space="preserve"> </w:t>
      </w:r>
      <w:r w:rsidR="001E4257">
        <w:t>100 percent</w:t>
      </w:r>
      <w:r>
        <w:t xml:space="preserve"> response</w:t>
      </w:r>
      <w:r w:rsidR="001E4257">
        <w:t xml:space="preserve"> rate</w:t>
      </w:r>
      <w:r>
        <w:t xml:space="preserve"> because (1) grantees and their participating afterschool centers will commit to allowing observations as a condition for being in the evaluation and (2) there is no direct burden on afterschool center staff. In each round (fall 2021, spring 2022, and spring 2023), two observers will visit each center on different days. During visits, observers will use a validated instrument, the Program Quality Assessment, to</w:t>
      </w:r>
      <w:r w:rsidRPr="00A87F52">
        <w:t xml:space="preserve"> </w:t>
      </w:r>
      <w:r>
        <w:t>watch and record notes on the staff’s practices and interactions with students, including those that promote social and emotional skills. Observers will not directly interact with the afterschool center staff or students at the center.</w:t>
      </w:r>
    </w:p>
    <w:p w:rsidR="00CE4D69" w:rsidP="00CE4D69" w:rsidRDefault="00CE4D69" w14:paraId="452C3661" w14:textId="48F0297B">
      <w:pPr>
        <w:pStyle w:val="Bullet"/>
      </w:pPr>
      <w:r>
        <w:rPr>
          <w:b/>
          <w:bCs/>
        </w:rPr>
        <w:t>Afterschool center coaching log:</w:t>
      </w:r>
      <w:r>
        <w:t xml:space="preserve"> The study team anticipates </w:t>
      </w:r>
      <w:r w:rsidR="001E4257">
        <w:t>a 100 percent</w:t>
      </w:r>
      <w:r>
        <w:t xml:space="preserve"> response</w:t>
      </w:r>
      <w:r w:rsidR="001E4257">
        <w:t xml:space="preserve"> rate</w:t>
      </w:r>
      <w:r>
        <w:t xml:space="preserve"> because completion of coaching logs will be part of the continuous quality improvement system for which the study team will provide training and support and monitor implementation closely. The study team will provide a full-day training to afterschool center directors and co-leads in the treatment group on methods for coaching their staff, and as part of the training, the study team will explain the importance and procedures for completing the coaching logs. The study team will instruct them to complete the coaching logs after each coaching session with their staff members. The study team will monitor data collected </w:t>
      </w:r>
      <w:r>
        <w:lastRenderedPageBreak/>
        <w:t xml:space="preserve">through the coaching logs and will follow up with afterschool center directors and co-leads as needed to ensure completion of the logs.   </w:t>
      </w:r>
    </w:p>
    <w:p w:rsidRPr="00483017" w:rsidR="000A01AC" w:rsidP="00CE4D69" w:rsidRDefault="000A01AC" w14:paraId="63237258" w14:textId="2982F402">
      <w:pPr>
        <w:pStyle w:val="Bullet"/>
      </w:pPr>
      <w:r w:rsidRPr="00556A39">
        <w:rPr>
          <w:b/>
          <w:bCs/>
        </w:rPr>
        <w:t>Afterschool center director interview</w:t>
      </w:r>
      <w:r>
        <w:rPr>
          <w:b/>
          <w:bCs/>
        </w:rPr>
        <w:t>:</w:t>
      </w:r>
      <w:r w:rsidRPr="00556A39">
        <w:rPr>
          <w:b/>
          <w:bCs/>
        </w:rPr>
        <w:t xml:space="preserve"> </w:t>
      </w:r>
      <w:r w:rsidR="007D11BC">
        <w:t xml:space="preserve">The study team anticipates an 85 percent response rate using the following procedures. </w:t>
      </w:r>
      <w:r>
        <w:t>Afterschool centers will commit to participating in the afterschool center director interview as a condition for being in the evaluation. T</w:t>
      </w:r>
      <w:r w:rsidRPr="00564FE5">
        <w:t>he study team will work with the afterschool center directors to schedule the interview at a time convenient to th</w:t>
      </w:r>
      <w:r>
        <w:t>em.</w:t>
      </w:r>
    </w:p>
    <w:p w:rsidR="001E4257" w:rsidP="001E4257" w:rsidRDefault="001E4257" w14:paraId="7146D1F5" w14:textId="48B793EB">
      <w:pPr>
        <w:pStyle w:val="Bullet"/>
      </w:pPr>
      <w:r w:rsidRPr="00556A39">
        <w:rPr>
          <w:b/>
          <w:bCs/>
        </w:rPr>
        <w:t>Student afterschool attendance records</w:t>
      </w:r>
      <w:r>
        <w:rPr>
          <w:b/>
          <w:bCs/>
        </w:rPr>
        <w:t>:</w:t>
      </w:r>
      <w:r w:rsidRPr="00556A39">
        <w:rPr>
          <w:b/>
          <w:bCs/>
        </w:rPr>
        <w:t xml:space="preserve"> </w:t>
      </w:r>
      <w:r w:rsidR="007D11BC">
        <w:t xml:space="preserve">The study team anticipates a 100 percent response rate for the following reasons. </w:t>
      </w:r>
      <w:r>
        <w:t>Afterschool centers will commit to providing student afterschool attendance records as a condition for being in the evaluation. To help ensure full response, the study team will accommodate whatever format of the records (electronic or hard-copy) each center would like to provide. At two points in time (the middle of the 2021–2022 school year and end of the 2022–2023 school year), Mathematica field staff will visit each center to collect records and/or answer the center’s questions on how to submit them.</w:t>
      </w:r>
    </w:p>
    <w:p w:rsidR="001E4257" w:rsidP="001E4257" w:rsidRDefault="001E4257" w14:paraId="0166E2C5" w14:textId="68F497F8">
      <w:pPr>
        <w:pStyle w:val="Bullet"/>
      </w:pPr>
      <w:r w:rsidRPr="001E4257">
        <w:rPr>
          <w:b/>
          <w:bCs/>
        </w:rPr>
        <w:t xml:space="preserve">District administrative records: </w:t>
      </w:r>
      <w:r w:rsidR="007D11BC">
        <w:t xml:space="preserve">The study team anticipates a 100 percent response rate for the following reasons. </w:t>
      </w:r>
      <w:r>
        <w:t>The study team will execute a memorandum of understanding with each district in the evaluation to ensure the study can obtain records on the students in the evaluation. Using approaches the study team has carried out successfully on prior evaluations for IES, the study team will designate one liaison from the study team for each district who will communicate with the district’s staff member responsible for providing the data. Through phone calls and written explanations, the liaison will describe the data fields requested, data security procedures, and procedures for districts to submit the data. For all students on whom the study requests records, the study team will have obtained parental permission to collect these data.</w:t>
      </w:r>
    </w:p>
    <w:p w:rsidRPr="00285BD6" w:rsidR="000A01AC" w:rsidP="001321C7" w:rsidRDefault="000A01AC" w14:paraId="61E67C6C" w14:textId="6C7D8A13">
      <w:pPr>
        <w:pStyle w:val="Bullet"/>
      </w:pPr>
      <w:r>
        <w:rPr>
          <w:b/>
          <w:bCs/>
        </w:rPr>
        <w:t xml:space="preserve">Afterschool center staff survey: </w:t>
      </w:r>
      <w:r w:rsidR="001308F2">
        <w:t xml:space="preserve">The study team anticipates an 85 percent response rate using the following procedures. </w:t>
      </w:r>
      <w:r>
        <w:t xml:space="preserve">For the afterschool center staff survey, the study team will use experienced, local field staff to administer the hardcopy survey to the selected afterschool center staff. As mentioned above, a key to the success of this data collection is building a strong working relationship with the center’s </w:t>
      </w:r>
      <w:r w:rsidR="007B60AD">
        <w:t>front office</w:t>
      </w:r>
      <w:r>
        <w:t xml:space="preserve"> staff who may be the direct link to the afterschool center staff. Field staff will drop off survey packets for each center’s selected staff and periodically visit the centers to collect any completed surveys and encourage survey completion by afterschool center staff who have not yet done so. Field staff will have $30 gift cards on hand for immediate distribution for completed surveys. </w:t>
      </w:r>
    </w:p>
    <w:p w:rsidRPr="00285BD6" w:rsidR="000A01AC" w:rsidP="001321C7" w:rsidRDefault="000A01AC" w14:paraId="62402EFF" w14:textId="2726E561">
      <w:pPr>
        <w:pStyle w:val="Bullet"/>
      </w:pPr>
      <w:r>
        <w:rPr>
          <w:b/>
          <w:bCs/>
        </w:rPr>
        <w:t>Student survey:</w:t>
      </w:r>
      <w:r>
        <w:t xml:space="preserve"> </w:t>
      </w:r>
      <w:r w:rsidR="001308F2">
        <w:t xml:space="preserve">The study team anticipates an 85 percent response rate using the following procedures. </w:t>
      </w:r>
      <w:r>
        <w:t xml:space="preserve">The student surveys will be administered in a group setting at each center by experienced field staff. Field staff will be trained on skills necessary to put the students at ease and on general group-administered survey procedures. Field staff will coordinate with the afterschool center </w:t>
      </w:r>
      <w:r w:rsidR="007B60AD">
        <w:t>front office</w:t>
      </w:r>
      <w:r>
        <w:t xml:space="preserve"> staff to schedule the student survey administration, secure a location suitable for proper group administration, and conduct any additional visits to administer surveys to students who were not in attendance on the day of the original administration. </w:t>
      </w:r>
    </w:p>
    <w:p w:rsidRPr="00285BD6" w:rsidR="000A01AC" w:rsidP="001321C7" w:rsidRDefault="000A01AC" w14:paraId="5357DED4" w14:textId="1A3A7210">
      <w:pPr>
        <w:pStyle w:val="Bullet"/>
      </w:pPr>
      <w:r>
        <w:rPr>
          <w:b/>
          <w:bCs/>
        </w:rPr>
        <w:lastRenderedPageBreak/>
        <w:t xml:space="preserve">School-day teacher survey: </w:t>
      </w:r>
      <w:r w:rsidR="001308F2">
        <w:t xml:space="preserve">The study team anticipates an 85 percent response rate using the following procedures. </w:t>
      </w:r>
      <w:r>
        <w:t>Following a similar approach to that used for the afterschool center staff survey, field staff will drop off survey packets to schools where identified school-day teachers work. Field staff will have $30 gift cards on hand for immediate distribution for completed surveys.</w:t>
      </w:r>
    </w:p>
    <w:p w:rsidR="000A01AC" w:rsidP="007B60AD" w:rsidRDefault="000A01AC" w14:paraId="6D0C3DF5" w14:textId="4F368FA7">
      <w:pPr>
        <w:pStyle w:val="BulletLastSS"/>
      </w:pPr>
      <w:r>
        <w:rPr>
          <w:b/>
          <w:bCs/>
        </w:rPr>
        <w:t xml:space="preserve">Parent/guardian questionnaire and </w:t>
      </w:r>
      <w:r w:rsidR="005A4515">
        <w:rPr>
          <w:b/>
          <w:bCs/>
        </w:rPr>
        <w:t>permission</w:t>
      </w:r>
      <w:r>
        <w:rPr>
          <w:b/>
          <w:bCs/>
        </w:rPr>
        <w:t xml:space="preserve"> forms:</w:t>
      </w:r>
      <w:r>
        <w:t xml:space="preserve"> </w:t>
      </w:r>
      <w:r w:rsidR="001308F2">
        <w:t xml:space="preserve">The study team anticipates an 85 percent response rate using the following procedures. </w:t>
      </w:r>
      <w:r>
        <w:t xml:space="preserve">Administration of the parent/guardian questionnaire and </w:t>
      </w:r>
      <w:r w:rsidR="005A4515">
        <w:t>permission</w:t>
      </w:r>
      <w:r>
        <w:t xml:space="preserve"> form will rely heavily on building a working relationship with afterschool center administrative staff as well as organizing and tracking outgoing and incoming questionnaires and </w:t>
      </w:r>
      <w:r w:rsidR="005A4515">
        <w:t>permission</w:t>
      </w:r>
      <w:r>
        <w:t xml:space="preserve"> forms. A questionnaire and </w:t>
      </w:r>
      <w:r w:rsidR="005A4515">
        <w:t>permission</w:t>
      </w:r>
      <w:r>
        <w:t xml:space="preserve"> form will be included in the application packet that parents and guardians normally complete to enroll their child in the afterschool center. Field staff will work with afterschool center </w:t>
      </w:r>
      <w:r w:rsidR="007B60AD">
        <w:t>front office</w:t>
      </w:r>
      <w:r>
        <w:t xml:space="preserve"> staff to track returned questionnaires and </w:t>
      </w:r>
      <w:r w:rsidR="005A4515">
        <w:t>permission</w:t>
      </w:r>
      <w:r>
        <w:t xml:space="preserve"> forms. The study team will adapt strategies for nonresponse follow-up including, but not limited to, asking centers to communicate with parents/guardians during and after the application process or reaching out to</w:t>
      </w:r>
      <w:r w:rsidR="007B60AD">
        <w:t xml:space="preserve"> </w:t>
      </w:r>
      <w:r>
        <w:t>parents/guardians by email.</w:t>
      </w:r>
    </w:p>
    <w:p w:rsidR="000A01AC" w:rsidP="00376EE6" w:rsidRDefault="000A01AC" w14:paraId="09B1E322" w14:textId="77777777">
      <w:pPr>
        <w:pStyle w:val="Heading4NoTOC"/>
      </w:pPr>
      <w:r>
        <w:t>b.</w:t>
      </w:r>
      <w:r>
        <w:tab/>
      </w:r>
      <w:r w:rsidRPr="00901841">
        <w:t xml:space="preserve">Dealing with </w:t>
      </w:r>
      <w:r>
        <w:t>n</w:t>
      </w:r>
      <w:r w:rsidRPr="00901841">
        <w:t>o</w:t>
      </w:r>
      <w:r>
        <w:t>nr</w:t>
      </w:r>
      <w:r w:rsidRPr="00901841">
        <w:t>esponse</w:t>
      </w:r>
    </w:p>
    <w:p w:rsidRPr="00C25A49" w:rsidR="000A01AC" w:rsidP="000A01AC" w:rsidRDefault="000A01AC" w14:paraId="08633E09" w14:textId="77777777">
      <w:pPr>
        <w:pStyle w:val="NormalSS"/>
      </w:pPr>
      <w:r w:rsidRPr="00C25A49">
        <w:t xml:space="preserve">For each respondent group, if response rates fall below 85 percent, </w:t>
      </w:r>
      <w:r>
        <w:t>the study team</w:t>
      </w:r>
      <w:r w:rsidRPr="00C25A49">
        <w:t xml:space="preserve"> will conduct nonresponse analyses. </w:t>
      </w:r>
      <w:r>
        <w:t>The study</w:t>
      </w:r>
      <w:r w:rsidRPr="00C25A49">
        <w:t xml:space="preserve"> will compare any available data on the baseline characteristics of individuals who completed the surveys and interviews to those of the original sample. If these analyses point to the possibility of nonresponse bias, </w:t>
      </w:r>
      <w:r>
        <w:t>the study team</w:t>
      </w:r>
      <w:r w:rsidRPr="00C25A49">
        <w:t xml:space="preserve"> will construct and use nonresponse weights based on the observable baseline characteristics.</w:t>
      </w:r>
    </w:p>
    <w:p w:rsidRPr="00511B07" w:rsidR="000A01AC" w:rsidP="000A01AC" w:rsidRDefault="000A01AC" w14:paraId="624F98F6" w14:textId="77777777">
      <w:pPr>
        <w:pStyle w:val="H4Number"/>
        <w:ind w:left="0" w:firstLine="0"/>
      </w:pPr>
      <w:bookmarkStart w:name="_Toc62054937" w:id="48"/>
      <w:bookmarkStart w:name="_Toc69379658" w:id="49"/>
      <w:r>
        <w:t>B</w:t>
      </w:r>
      <w:r w:rsidRPr="007E373E">
        <w:t>4.</w:t>
      </w:r>
      <w:r>
        <w:tab/>
      </w:r>
      <w:r w:rsidRPr="007E373E">
        <w:t xml:space="preserve">Tests of procedures </w:t>
      </w:r>
      <w:r>
        <w:t>and</w:t>
      </w:r>
      <w:r w:rsidRPr="00511B07">
        <w:t xml:space="preserve"> methods to be undertaken</w:t>
      </w:r>
      <w:bookmarkEnd w:id="46"/>
      <w:bookmarkEnd w:id="47"/>
      <w:bookmarkEnd w:id="48"/>
      <w:bookmarkEnd w:id="49"/>
      <w:r w:rsidRPr="00511B07">
        <w:t xml:space="preserve"> </w:t>
      </w:r>
    </w:p>
    <w:p w:rsidR="001F0380" w:rsidP="001F0380" w:rsidRDefault="001F0380" w14:paraId="3F40807F" w14:textId="64C5D123">
      <w:pPr>
        <w:pStyle w:val="NormalSS"/>
      </w:pPr>
      <w:bookmarkStart w:name="_Toc474313986" w:id="50"/>
      <w:r>
        <w:t xml:space="preserve">To inform data collection activities for which clearance is being requested in this submission, </w:t>
      </w:r>
      <w:r w:rsidR="009142BD">
        <w:t>the study team</w:t>
      </w:r>
      <w:r>
        <w:t xml:space="preserve"> pretested the </w:t>
      </w:r>
      <w:r w:rsidR="009142BD">
        <w:t>parent/guardian questionnaire and permission form</w:t>
      </w:r>
      <w:r>
        <w:t>. The purpose of the pretest</w:t>
      </w:r>
      <w:r w:rsidR="009142BD">
        <w:t>s</w:t>
      </w:r>
      <w:r>
        <w:t xml:space="preserve"> was to </w:t>
      </w:r>
      <w:r w:rsidR="00F17DFA">
        <w:t xml:space="preserve">confirm the level of burden and </w:t>
      </w:r>
      <w:r>
        <w:t>identify problems that study respondents might have</w:t>
      </w:r>
      <w:r w:rsidR="00F17DFA">
        <w:t xml:space="preserve"> with</w:t>
      </w:r>
      <w:r>
        <w:t xml:space="preserve"> providing the requested information. For example, the pretests assessed the content and wording of individual questions, organization and format of the instruments, the amount of time it took to respond, and potential sources of response error.</w:t>
      </w:r>
    </w:p>
    <w:p w:rsidR="00581FCB" w:rsidP="001F0380" w:rsidRDefault="009142BD" w14:paraId="6A59339A" w14:textId="6AB34BC3">
      <w:pPr>
        <w:pStyle w:val="NormalSS"/>
      </w:pPr>
      <w:r>
        <w:t>The parent/guardian questionnaire and permission form</w:t>
      </w:r>
      <w:r w:rsidR="001F0380">
        <w:t xml:space="preserve"> </w:t>
      </w:r>
      <w:r w:rsidR="00EC499C">
        <w:t>w</w:t>
      </w:r>
      <w:r w:rsidR="00EC3D98">
        <w:t>ere</w:t>
      </w:r>
      <w:r w:rsidR="001F0380">
        <w:t xml:space="preserve"> pretested with eight </w:t>
      </w:r>
      <w:r w:rsidRPr="009142BD">
        <w:t>parents</w:t>
      </w:r>
      <w:r>
        <w:t xml:space="preserve"> or </w:t>
      </w:r>
      <w:r w:rsidRPr="009142BD">
        <w:t>guardians of students in grades 3 and 4 attending a 21st CCLC program</w:t>
      </w:r>
      <w:r w:rsidR="001F0380">
        <w:t xml:space="preserve">. </w:t>
      </w:r>
      <w:r w:rsidR="00EC499C">
        <w:t>The</w:t>
      </w:r>
      <w:r w:rsidR="00581FCB">
        <w:t xml:space="preserve"> program director distributed packets with the questionnaire and permission form to the pretest respondents, collected the completed packets, and mailed them back to the study team. </w:t>
      </w:r>
      <w:r w:rsidR="001F0380">
        <w:t xml:space="preserve">The study team reviewed the completed </w:t>
      </w:r>
      <w:r w:rsidR="00581FCB">
        <w:t>packets</w:t>
      </w:r>
      <w:r w:rsidR="001F0380">
        <w:t xml:space="preserve"> and conducted debriefing interviews by phone with each respondent to review </w:t>
      </w:r>
      <w:r w:rsidR="00EC3D98">
        <w:t xml:space="preserve">any issues </w:t>
      </w:r>
      <w:r w:rsidR="00581FCB">
        <w:t>they</w:t>
      </w:r>
      <w:r w:rsidR="001F0380">
        <w:t xml:space="preserve"> may have encountered. Interviewers followed a protocol to probe on </w:t>
      </w:r>
      <w:r w:rsidR="00581FCB">
        <w:t>particular</w:t>
      </w:r>
      <w:r w:rsidR="001F0380">
        <w:t xml:space="preserve"> items to be sure the </w:t>
      </w:r>
      <w:r w:rsidR="00581FCB">
        <w:t>items</w:t>
      </w:r>
      <w:r w:rsidR="001F0380">
        <w:t xml:space="preserve"> were </w:t>
      </w:r>
      <w:r w:rsidR="00581FCB">
        <w:t>phrased</w:t>
      </w:r>
      <w:r w:rsidR="001F0380">
        <w:t xml:space="preserve"> clearly and collected accurate information. Respondent burden to complete the </w:t>
      </w:r>
      <w:r w:rsidR="00581FCB">
        <w:t>parent/guardian questionnaire and permission form</w:t>
      </w:r>
      <w:r w:rsidR="001F0380">
        <w:t xml:space="preserve"> averaged </w:t>
      </w:r>
      <w:r w:rsidR="00581FCB">
        <w:t>10</w:t>
      </w:r>
      <w:r w:rsidR="001F0380">
        <w:t xml:space="preserve"> minutes as reported by pretest respondents. The results of the pretest were used to revise and improve </w:t>
      </w:r>
      <w:r w:rsidR="00EC3D98">
        <w:t xml:space="preserve">the parent/guardian questionnaire. The pretest feedback did not identify any issues or require any revisions to the permission form. </w:t>
      </w:r>
      <w:r w:rsidR="006A16C2">
        <w:t xml:space="preserve"> </w:t>
      </w:r>
    </w:p>
    <w:p w:rsidR="00A27111" w:rsidP="00A27111" w:rsidRDefault="00A27111" w14:paraId="60F93F25" w14:textId="0EEF58BC">
      <w:pPr>
        <w:pStyle w:val="NormalSS"/>
      </w:pPr>
      <w:r>
        <w:t xml:space="preserve">The study team did not pretest the afterschool center coaching log because </w:t>
      </w:r>
      <w:r w:rsidR="00FD5D55">
        <w:t xml:space="preserve">afterschool </w:t>
      </w:r>
      <w:r>
        <w:t>center</w:t>
      </w:r>
      <w:r w:rsidR="00FD5D55">
        <w:t xml:space="preserve"> directors and co-leads will receive specific training on how to complete these logs as part of </w:t>
      </w:r>
      <w:r w:rsidR="00FD5D55">
        <w:lastRenderedPageBreak/>
        <w:t xml:space="preserve">implementing the study’s continuous quality improvement system. The study team did not pretest the request for student afterschool attendance records because it was </w:t>
      </w:r>
      <w:r>
        <w:t>closely modeled on forms that have been effectively used for other studies</w:t>
      </w:r>
      <w:r w:rsidR="00FD5D55">
        <w:t>.</w:t>
      </w:r>
    </w:p>
    <w:p w:rsidR="000A01AC" w:rsidP="000A01AC" w:rsidRDefault="00FD5D55" w14:paraId="22AC1054" w14:textId="1CA9BA53">
      <w:pPr>
        <w:pStyle w:val="NormalSS"/>
      </w:pPr>
      <w:r>
        <w:t>To inform data collection activities for which clearance will be requested in a future submission, t</w:t>
      </w:r>
      <w:r w:rsidR="000A01AC">
        <w:t>he study team</w:t>
      </w:r>
      <w:r w:rsidRPr="002F0594" w:rsidR="000A01AC">
        <w:t xml:space="preserve"> will </w:t>
      </w:r>
      <w:r>
        <w:t>also</w:t>
      </w:r>
      <w:r w:rsidRPr="002F0594">
        <w:t xml:space="preserve"> </w:t>
      </w:r>
      <w:r w:rsidR="000A01AC">
        <w:t>pretest</w:t>
      </w:r>
      <w:r>
        <w:t xml:space="preserve"> </w:t>
      </w:r>
      <w:r w:rsidR="000A01AC">
        <w:t>each of the following instruments</w:t>
      </w:r>
      <w:r>
        <w:t xml:space="preserve"> with up</w:t>
      </w:r>
      <w:r w:rsidR="000A01AC">
        <w:t xml:space="preserve"> to nine pretest respondents: (1) afterschool center director survey, (2) afterschool center director interview, (3) afterschool center staff survey, (4) student survey, </w:t>
      </w:r>
      <w:r>
        <w:t xml:space="preserve">and </w:t>
      </w:r>
      <w:r w:rsidR="000A01AC">
        <w:t>(5) school-day teacher survey</w:t>
      </w:r>
      <w:r>
        <w:t>.</w:t>
      </w:r>
      <w:r w:rsidR="000A01AC">
        <w:t xml:space="preserve"> </w:t>
      </w:r>
      <w:r w:rsidR="00E318EE">
        <w:t>The study team will not pretest the request for district administrative records because it is closely modeled on forms that have been effectively used for other studies.</w:t>
      </w:r>
    </w:p>
    <w:p w:rsidRPr="005B4038" w:rsidR="000A01AC" w:rsidP="000A01AC" w:rsidRDefault="000A01AC" w14:paraId="658B5229" w14:textId="77777777">
      <w:pPr>
        <w:pStyle w:val="H4Number"/>
        <w:ind w:left="0" w:firstLine="0"/>
        <w:rPr>
          <w:b w:val="0"/>
        </w:rPr>
      </w:pPr>
      <w:bookmarkStart w:name="_Toc62054938" w:id="51"/>
      <w:bookmarkStart w:name="_Toc69379659" w:id="52"/>
      <w:r w:rsidRPr="005B4038">
        <w:t>B</w:t>
      </w:r>
      <w:r>
        <w:t>5.</w:t>
      </w:r>
      <w:r>
        <w:tab/>
      </w:r>
      <w:r w:rsidRPr="005B4038">
        <w:t xml:space="preserve">Individuals consulted on statistical </w:t>
      </w:r>
      <w:bookmarkEnd w:id="50"/>
      <w:r>
        <w:t>aspects of the design</w:t>
      </w:r>
      <w:bookmarkEnd w:id="51"/>
      <w:bookmarkEnd w:id="52"/>
    </w:p>
    <w:p w:rsidRPr="00734E64" w:rsidR="000A01AC" w:rsidP="000A01AC" w:rsidRDefault="000A01AC" w14:paraId="2CDBC942" w14:textId="77777777">
      <w:pPr>
        <w:pStyle w:val="NormalSS"/>
        <w:rPr>
          <w:rFonts w:ascii="Garamond" w:hAnsi="Garamond"/>
        </w:rPr>
      </w:pPr>
      <w:r w:rsidRPr="00CE176F">
        <w:t>The following individuals were consulted on the statistical aspects of the study</w:t>
      </w:r>
      <w:r w:rsidRPr="00CE176F">
        <w:rPr>
          <w:rFonts w:ascii="Garamond" w:hAnsi="Garamond"/>
        </w:rPr>
        <w:t>:</w:t>
      </w:r>
    </w:p>
    <w:tbl>
      <w:tblPr>
        <w:tblW w:w="0" w:type="auto"/>
        <w:tblInd w:w="115" w:type="dxa"/>
        <w:tblBorders>
          <w:top w:val="single" w:color="345294" w:sz="12" w:space="0"/>
          <w:bottom w:val="single" w:color="345294" w:sz="4" w:space="0"/>
        </w:tblBorders>
        <w:tblLook w:val="0000" w:firstRow="0" w:lastRow="0" w:firstColumn="0" w:lastColumn="0" w:noHBand="0" w:noVBand="0"/>
      </w:tblPr>
      <w:tblGrid>
        <w:gridCol w:w="2315"/>
        <w:gridCol w:w="4950"/>
        <w:gridCol w:w="1928"/>
      </w:tblGrid>
      <w:tr w:rsidRPr="008E1998" w:rsidR="000A01AC" w:rsidTr="009F3B0C" w14:paraId="716CB7C3" w14:textId="77777777">
        <w:trPr>
          <w:cantSplit/>
          <w:tblHeader/>
        </w:trPr>
        <w:tc>
          <w:tcPr>
            <w:tcW w:w="2315" w:type="dxa"/>
            <w:tcBorders>
              <w:top w:val="nil"/>
              <w:bottom w:val="single" w:color="auto" w:sz="4" w:space="0"/>
            </w:tcBorders>
            <w:shd w:val="clear" w:color="auto" w:fill="6C6F70"/>
          </w:tcPr>
          <w:p w:rsidRPr="008E1998" w:rsidR="000A01AC" w:rsidP="008E1998" w:rsidRDefault="000A01AC" w14:paraId="06C4C511" w14:textId="77777777">
            <w:pPr>
              <w:pStyle w:val="TableHeaderCenter"/>
              <w:rPr>
                <w:b/>
                <w:bCs/>
              </w:rPr>
            </w:pPr>
            <w:r w:rsidRPr="008E1998">
              <w:rPr>
                <w:b/>
                <w:bCs/>
              </w:rPr>
              <w:t>Name</w:t>
            </w:r>
          </w:p>
        </w:tc>
        <w:tc>
          <w:tcPr>
            <w:tcW w:w="4950" w:type="dxa"/>
            <w:tcBorders>
              <w:top w:val="nil"/>
              <w:bottom w:val="single" w:color="auto" w:sz="4" w:space="0"/>
            </w:tcBorders>
            <w:shd w:val="clear" w:color="auto" w:fill="6C6F70"/>
          </w:tcPr>
          <w:p w:rsidRPr="008E1998" w:rsidR="000A01AC" w:rsidP="008E1998" w:rsidRDefault="000A01AC" w14:paraId="45C8D9B8" w14:textId="77777777">
            <w:pPr>
              <w:pStyle w:val="TableHeaderCenter"/>
              <w:rPr>
                <w:b/>
                <w:bCs/>
              </w:rPr>
            </w:pPr>
            <w:r w:rsidRPr="008E1998">
              <w:rPr>
                <w:b/>
                <w:bCs/>
              </w:rPr>
              <w:t>Title</w:t>
            </w:r>
          </w:p>
        </w:tc>
        <w:tc>
          <w:tcPr>
            <w:tcW w:w="1928" w:type="dxa"/>
            <w:tcBorders>
              <w:top w:val="nil"/>
              <w:bottom w:val="single" w:color="auto" w:sz="4" w:space="0"/>
            </w:tcBorders>
            <w:shd w:val="clear" w:color="auto" w:fill="6C6F70"/>
          </w:tcPr>
          <w:p w:rsidRPr="008E1998" w:rsidR="000A01AC" w:rsidP="008E1998" w:rsidRDefault="000A01AC" w14:paraId="455538B1" w14:textId="77777777">
            <w:pPr>
              <w:pStyle w:val="TableHeaderCenter"/>
              <w:rPr>
                <w:b/>
                <w:bCs/>
              </w:rPr>
            </w:pPr>
            <w:r w:rsidRPr="008E1998">
              <w:rPr>
                <w:b/>
                <w:bCs/>
              </w:rPr>
              <w:t>Telephone Number</w:t>
            </w:r>
          </w:p>
        </w:tc>
      </w:tr>
      <w:tr w:rsidRPr="00DE5C90" w:rsidR="000A01AC" w:rsidTr="009F3B0C" w14:paraId="3BD23501" w14:textId="77777777">
        <w:trPr>
          <w:cantSplit/>
        </w:trPr>
        <w:tc>
          <w:tcPr>
            <w:tcW w:w="2315" w:type="dxa"/>
            <w:tcBorders>
              <w:top w:val="single" w:color="auto" w:sz="4" w:space="0"/>
            </w:tcBorders>
          </w:tcPr>
          <w:p w:rsidRPr="00DE5C90" w:rsidR="000A01AC" w:rsidP="008E1998" w:rsidRDefault="000A01AC" w14:paraId="72D2AF65" w14:textId="77777777">
            <w:pPr>
              <w:pStyle w:val="TableTextLeft"/>
            </w:pPr>
            <w:r w:rsidRPr="00DE5C90">
              <w:t>Hanley Chiang</w:t>
            </w:r>
          </w:p>
        </w:tc>
        <w:tc>
          <w:tcPr>
            <w:tcW w:w="4950" w:type="dxa"/>
            <w:tcBorders>
              <w:top w:val="single" w:color="auto" w:sz="4" w:space="0"/>
            </w:tcBorders>
          </w:tcPr>
          <w:p w:rsidRPr="00DE5C90" w:rsidR="000A01AC" w:rsidP="008E1998" w:rsidRDefault="000A01AC" w14:paraId="179FA3C4" w14:textId="77777777">
            <w:pPr>
              <w:pStyle w:val="TableTextLeft"/>
            </w:pPr>
            <w:r>
              <w:t>Associate Director</w:t>
            </w:r>
            <w:r w:rsidRPr="00DE5C90">
              <w:t xml:space="preserve">, </w:t>
            </w:r>
            <w:r>
              <w:t>Mathematica</w:t>
            </w:r>
          </w:p>
        </w:tc>
        <w:tc>
          <w:tcPr>
            <w:tcW w:w="1928" w:type="dxa"/>
            <w:tcBorders>
              <w:top w:val="single" w:color="auto" w:sz="4" w:space="0"/>
            </w:tcBorders>
          </w:tcPr>
          <w:p w:rsidRPr="00DE5C90" w:rsidR="000A01AC" w:rsidP="008E1998" w:rsidRDefault="000A01AC" w14:paraId="625A433C" w14:textId="77777777">
            <w:pPr>
              <w:pStyle w:val="TableTextLeft"/>
            </w:pPr>
            <w:r w:rsidRPr="00DE5C90">
              <w:t>617-674-8374</w:t>
            </w:r>
          </w:p>
        </w:tc>
      </w:tr>
      <w:tr w:rsidRPr="00DE5C90" w:rsidR="000A01AC" w:rsidTr="009F3B0C" w14:paraId="6F16EDC0" w14:textId="77777777">
        <w:trPr>
          <w:cantSplit/>
        </w:trPr>
        <w:tc>
          <w:tcPr>
            <w:tcW w:w="2315" w:type="dxa"/>
            <w:tcBorders>
              <w:bottom w:val="nil"/>
            </w:tcBorders>
          </w:tcPr>
          <w:p w:rsidRPr="00DE5C90" w:rsidR="000A01AC" w:rsidP="008E1998" w:rsidRDefault="000A01AC" w14:paraId="38EF0CF5" w14:textId="77777777">
            <w:pPr>
              <w:pStyle w:val="TableTextLeft"/>
            </w:pPr>
            <w:r w:rsidRPr="00DE5C90">
              <w:t>Susanne James-Burdumy</w:t>
            </w:r>
          </w:p>
        </w:tc>
        <w:tc>
          <w:tcPr>
            <w:tcW w:w="4950" w:type="dxa"/>
            <w:tcBorders>
              <w:bottom w:val="nil"/>
            </w:tcBorders>
          </w:tcPr>
          <w:p w:rsidRPr="00DE5C90" w:rsidR="000A01AC" w:rsidP="008E1998" w:rsidRDefault="000A01AC" w14:paraId="45D0D34B" w14:textId="77777777">
            <w:pPr>
              <w:pStyle w:val="TableTextLeft"/>
            </w:pPr>
            <w:r>
              <w:t>Vice President</w:t>
            </w:r>
            <w:r w:rsidRPr="00DE5C90">
              <w:t xml:space="preserve">, </w:t>
            </w:r>
            <w:r>
              <w:t>Mathematica</w:t>
            </w:r>
          </w:p>
        </w:tc>
        <w:tc>
          <w:tcPr>
            <w:tcW w:w="1928" w:type="dxa"/>
            <w:tcBorders>
              <w:bottom w:val="nil"/>
            </w:tcBorders>
          </w:tcPr>
          <w:p w:rsidRPr="00DE5C90" w:rsidR="000A01AC" w:rsidP="008E1998" w:rsidRDefault="000A01AC" w14:paraId="7746B83D" w14:textId="77777777">
            <w:pPr>
              <w:pStyle w:val="TableTextLeft"/>
            </w:pPr>
            <w:r w:rsidRPr="00DE5C90">
              <w:t>609-275-2248</w:t>
            </w:r>
          </w:p>
        </w:tc>
      </w:tr>
      <w:tr w:rsidRPr="00DE5C90" w:rsidR="000A01AC" w:rsidTr="009F3B0C" w14:paraId="65841E8F" w14:textId="77777777">
        <w:trPr>
          <w:cantSplit/>
        </w:trPr>
        <w:tc>
          <w:tcPr>
            <w:tcW w:w="2315" w:type="dxa"/>
            <w:tcBorders>
              <w:top w:val="nil"/>
              <w:bottom w:val="nil"/>
            </w:tcBorders>
          </w:tcPr>
          <w:p w:rsidRPr="00DE5C90" w:rsidR="000A01AC" w:rsidP="008E1998" w:rsidRDefault="000A01AC" w14:paraId="5DABC6AD" w14:textId="77777777">
            <w:pPr>
              <w:pStyle w:val="TableTextLeft"/>
            </w:pPr>
            <w:r>
              <w:t>Tim Kautz</w:t>
            </w:r>
          </w:p>
        </w:tc>
        <w:tc>
          <w:tcPr>
            <w:tcW w:w="4950" w:type="dxa"/>
            <w:tcBorders>
              <w:top w:val="nil"/>
              <w:bottom w:val="nil"/>
            </w:tcBorders>
          </w:tcPr>
          <w:p w:rsidRPr="00DE5C90" w:rsidR="000A01AC" w:rsidP="008E1998" w:rsidRDefault="000A01AC" w14:paraId="21F1B24B" w14:textId="77777777">
            <w:pPr>
              <w:pStyle w:val="TableTextLeft"/>
            </w:pPr>
            <w:r>
              <w:rPr>
                <w:szCs w:val="18"/>
              </w:rPr>
              <w:t>Senior Researcher, Mathematica</w:t>
            </w:r>
          </w:p>
        </w:tc>
        <w:tc>
          <w:tcPr>
            <w:tcW w:w="1928" w:type="dxa"/>
            <w:tcBorders>
              <w:top w:val="nil"/>
              <w:bottom w:val="nil"/>
            </w:tcBorders>
          </w:tcPr>
          <w:p w:rsidRPr="00DE5C90" w:rsidR="000A01AC" w:rsidP="008E1998" w:rsidRDefault="000A01AC" w14:paraId="505199BF" w14:textId="77777777">
            <w:pPr>
              <w:pStyle w:val="TableTextLeft"/>
            </w:pPr>
            <w:r w:rsidRPr="00D538B2">
              <w:rPr>
                <w:szCs w:val="18"/>
              </w:rPr>
              <w:t>609</w:t>
            </w:r>
            <w:r>
              <w:rPr>
                <w:szCs w:val="18"/>
              </w:rPr>
              <w:t>-</w:t>
            </w:r>
            <w:r w:rsidRPr="00D538B2">
              <w:rPr>
                <w:szCs w:val="18"/>
              </w:rPr>
              <w:t>297-4544</w:t>
            </w:r>
          </w:p>
        </w:tc>
      </w:tr>
      <w:tr w:rsidRPr="00DE5C90" w:rsidR="000A01AC" w:rsidTr="009F3B0C" w14:paraId="1C14A87E" w14:textId="77777777">
        <w:trPr>
          <w:cantSplit/>
        </w:trPr>
        <w:tc>
          <w:tcPr>
            <w:tcW w:w="2315" w:type="dxa"/>
            <w:tcBorders>
              <w:top w:val="nil"/>
              <w:bottom w:val="single" w:color="000000" w:themeColor="text1" w:sz="2" w:space="0"/>
            </w:tcBorders>
          </w:tcPr>
          <w:p w:rsidR="000A01AC" w:rsidP="008E1998" w:rsidRDefault="000A01AC" w14:paraId="18953C8D" w14:textId="77777777">
            <w:pPr>
              <w:pStyle w:val="TableTextLeft"/>
            </w:pPr>
            <w:r>
              <w:t>Philip Gleason</w:t>
            </w:r>
          </w:p>
        </w:tc>
        <w:tc>
          <w:tcPr>
            <w:tcW w:w="4950" w:type="dxa"/>
            <w:tcBorders>
              <w:top w:val="nil"/>
              <w:bottom w:val="single" w:color="000000" w:themeColor="text1" w:sz="2" w:space="0"/>
            </w:tcBorders>
          </w:tcPr>
          <w:p w:rsidR="000A01AC" w:rsidP="008E1998" w:rsidRDefault="000A01AC" w14:paraId="3040B694" w14:textId="77777777">
            <w:pPr>
              <w:pStyle w:val="TableTextLeft"/>
              <w:rPr>
                <w:szCs w:val="18"/>
              </w:rPr>
            </w:pPr>
            <w:r>
              <w:rPr>
                <w:szCs w:val="18"/>
              </w:rPr>
              <w:t>Associate Director and Senior Fellow, Mathematica</w:t>
            </w:r>
          </w:p>
        </w:tc>
        <w:tc>
          <w:tcPr>
            <w:tcW w:w="1928" w:type="dxa"/>
            <w:tcBorders>
              <w:top w:val="nil"/>
              <w:bottom w:val="single" w:color="000000" w:themeColor="text1" w:sz="2" w:space="0"/>
            </w:tcBorders>
          </w:tcPr>
          <w:p w:rsidRPr="00D538B2" w:rsidR="000A01AC" w:rsidP="008E1998" w:rsidRDefault="000A01AC" w14:paraId="3DA91EF0" w14:textId="77777777">
            <w:pPr>
              <w:pStyle w:val="TableTextLeft"/>
              <w:rPr>
                <w:szCs w:val="18"/>
              </w:rPr>
            </w:pPr>
            <w:r>
              <w:t>202-264-3443</w:t>
            </w:r>
          </w:p>
        </w:tc>
      </w:tr>
    </w:tbl>
    <w:p w:rsidR="000A01AC" w:rsidP="008E1998" w:rsidRDefault="000A01AC" w14:paraId="5ED831A8" w14:textId="77777777">
      <w:pPr>
        <w:pStyle w:val="TableTextLeft"/>
      </w:pPr>
    </w:p>
    <w:p w:rsidR="000A01AC" w:rsidP="000A01AC" w:rsidRDefault="000A01AC" w14:paraId="26F5DA3E" w14:textId="77777777">
      <w:pPr>
        <w:ind w:firstLine="0"/>
        <w:sectPr w:rsidR="000A01AC" w:rsidSect="00302F3C">
          <w:pgSz w:w="12240" w:h="15840"/>
          <w:pgMar w:top="1440" w:right="1440" w:bottom="1440" w:left="1440" w:header="720" w:footer="720" w:gutter="0"/>
          <w:pgNumType w:start="1"/>
          <w:cols w:space="720"/>
          <w:docGrid w:linePitch="360"/>
        </w:sectPr>
      </w:pPr>
    </w:p>
    <w:p w:rsidR="000A01AC" w:rsidP="006E4E5F" w:rsidRDefault="000A01AC" w14:paraId="40C238B1" w14:textId="77777777">
      <w:pPr>
        <w:pStyle w:val="H2Chapter"/>
        <w:numPr>
          <w:ilvl w:val="0"/>
          <w:numId w:val="0"/>
        </w:numPr>
      </w:pPr>
      <w:bookmarkStart w:name="_Toc474313987" w:id="53"/>
      <w:bookmarkStart w:name="_Toc62054939" w:id="54"/>
      <w:bookmarkStart w:name="_Toc69379660" w:id="55"/>
      <w:r>
        <w:lastRenderedPageBreak/>
        <w:t>REFERENCES</w:t>
      </w:r>
      <w:bookmarkEnd w:id="53"/>
      <w:bookmarkEnd w:id="54"/>
      <w:bookmarkEnd w:id="55"/>
    </w:p>
    <w:p w:rsidRPr="00071FE2" w:rsidR="00392510" w:rsidP="00392510" w:rsidRDefault="00392510" w14:paraId="16E6AFB2" w14:textId="77777777">
      <w:pPr>
        <w:pStyle w:val="References"/>
        <w:rPr>
          <w:rFonts w:eastAsiaTheme="minorEastAsia"/>
        </w:rPr>
      </w:pPr>
      <w:r>
        <w:rPr>
          <w:rFonts w:eastAsiaTheme="minorEastAsia"/>
        </w:rPr>
        <w:t xml:space="preserve">Allen, P.J., R. Chang, B.K. Gorrall, L. Waggenspack, E. Fukuda, T.D. Little, and G.G. Noam. “From Quality to Outcomes: A National Study of Afterschool STEM Programming.” </w:t>
      </w:r>
      <w:r>
        <w:rPr>
          <w:rFonts w:eastAsiaTheme="minorEastAsia"/>
          <w:i/>
          <w:iCs/>
        </w:rPr>
        <w:t>International Journal of STEM Education</w:t>
      </w:r>
      <w:r>
        <w:rPr>
          <w:rFonts w:eastAsiaTheme="minorEastAsia"/>
        </w:rPr>
        <w:t xml:space="preserve">, vol. 6, 2019. </w:t>
      </w:r>
    </w:p>
    <w:p w:rsidRPr="00642C82" w:rsidR="000A01AC" w:rsidP="000A01AC" w:rsidRDefault="000A01AC" w14:paraId="7605B2AB" w14:textId="77777777">
      <w:pPr>
        <w:pStyle w:val="References"/>
        <w:rPr>
          <w:rFonts w:eastAsiaTheme="minorEastAsia"/>
        </w:rPr>
      </w:pPr>
      <w:r w:rsidRPr="00642C82">
        <w:rPr>
          <w:rFonts w:eastAsiaTheme="minorEastAsia"/>
        </w:rPr>
        <w:t>Black, A., M. Somers, F. Doolittle, R. Unterman, and J. Grossman. “The Evaluation of Enhanced Academic Instruction in After-School Programs: Final Report.” NCEE 2009-4077. Washington, DC: U.S. Department of Education, Institute of Education Sciences National Center for Education Evaluation and Regional Assistance, September 2009.</w:t>
      </w:r>
    </w:p>
    <w:p w:rsidR="000A01AC" w:rsidP="000A01AC" w:rsidRDefault="000A01AC" w14:paraId="53A43831" w14:textId="77777777">
      <w:pPr>
        <w:pStyle w:val="References"/>
        <w:rPr>
          <w:rFonts w:eastAsiaTheme="minorEastAsia"/>
        </w:rPr>
      </w:pPr>
      <w:r w:rsidRPr="00814D9B">
        <w:rPr>
          <w:rFonts w:eastAsiaTheme="minorEastAsia"/>
        </w:rPr>
        <w:t xml:space="preserve">Cunha, F., J. J. Heckman, and S. M. Schennach. “Estimating the Technology of Cognitive and Noncognitive Skill Formation.” </w:t>
      </w:r>
      <w:r w:rsidRPr="00814D9B">
        <w:rPr>
          <w:rFonts w:eastAsiaTheme="minorEastAsia"/>
          <w:i/>
          <w:iCs/>
        </w:rPr>
        <w:t>Econometrica,</w:t>
      </w:r>
      <w:r w:rsidRPr="00814D9B">
        <w:rPr>
          <w:rFonts w:eastAsiaTheme="minorEastAsia"/>
        </w:rPr>
        <w:t xml:space="preserve"> vol. 78, no. 3, 2010, pp. 883–931.</w:t>
      </w:r>
    </w:p>
    <w:p w:rsidR="000A01AC" w:rsidP="000A01AC" w:rsidRDefault="000A01AC" w14:paraId="2111F560" w14:textId="77777777">
      <w:pPr>
        <w:pStyle w:val="References"/>
        <w:rPr>
          <w:rFonts w:eastAsiaTheme="minorEastAsia"/>
        </w:rPr>
      </w:pPr>
      <w:bookmarkStart w:name="_Hlk56002468" w:id="56"/>
      <w:r w:rsidRPr="00814D9B">
        <w:rPr>
          <w:rFonts w:eastAsiaTheme="minorEastAsia"/>
        </w:rPr>
        <w:t xml:space="preserve">Durlak, J. A., R. P. Weissberg, and M. Pachan. “A Meta-Analysis of After-School Programs That Seek to Promote Personal and Social Skills in Children and Adolescents.” </w:t>
      </w:r>
      <w:r w:rsidRPr="00814D9B">
        <w:rPr>
          <w:rFonts w:eastAsiaTheme="minorEastAsia"/>
          <w:i/>
          <w:iCs/>
        </w:rPr>
        <w:t>American Journal of Community Psychology,</w:t>
      </w:r>
      <w:r w:rsidRPr="00814D9B">
        <w:rPr>
          <w:rFonts w:eastAsiaTheme="minorEastAsia"/>
        </w:rPr>
        <w:t xml:space="preserve"> vol. 45, nos. 3–4, 2010, pp. 294–309.</w:t>
      </w:r>
    </w:p>
    <w:p w:rsidR="000A01AC" w:rsidP="000A01AC" w:rsidRDefault="000A01AC" w14:paraId="48FF200B" w14:textId="77777777">
      <w:pPr>
        <w:pStyle w:val="References"/>
        <w:rPr>
          <w:rFonts w:eastAsiaTheme="minorEastAsia"/>
        </w:rPr>
      </w:pPr>
      <w:r w:rsidRPr="00642C82">
        <w:rPr>
          <w:rFonts w:eastAsiaTheme="minorEastAsia"/>
        </w:rPr>
        <w:t>Dynarski, M</w:t>
      </w:r>
      <w:r>
        <w:rPr>
          <w:rFonts w:eastAsiaTheme="minorEastAsia"/>
        </w:rPr>
        <w:t>.</w:t>
      </w:r>
      <w:r w:rsidRPr="00642C82">
        <w:rPr>
          <w:rFonts w:eastAsiaTheme="minorEastAsia"/>
        </w:rPr>
        <w:t>, S. James-Burdumy, M. Moore, L. Rosenberg, J. Deke, and W. Mansfield. “When Schools Stay Open Late: The National Evaluation of the 21st-Century Community Learning Centers Program: New Findings.” Washington, DC: U.S. Department of Education,</w:t>
      </w:r>
      <w:r>
        <w:rPr>
          <w:rFonts w:eastAsiaTheme="minorEastAsia"/>
        </w:rPr>
        <w:t xml:space="preserve"> Institution of Education Sciences, National Center for Education Evaluation and Regional Assistance,</w:t>
      </w:r>
      <w:r w:rsidRPr="00642C82">
        <w:rPr>
          <w:rFonts w:eastAsiaTheme="minorEastAsia"/>
        </w:rPr>
        <w:t xml:space="preserve"> 2004.</w:t>
      </w:r>
      <w:bookmarkEnd w:id="56"/>
    </w:p>
    <w:p w:rsidR="00464F0F" w:rsidP="00464F0F" w:rsidRDefault="00464F0F" w14:paraId="1FE0BFD8" w14:textId="77777777">
      <w:pPr>
        <w:pStyle w:val="References"/>
        <w:rPr>
          <w:rFonts w:eastAsiaTheme="minorEastAsia"/>
        </w:rPr>
      </w:pPr>
      <w:r>
        <w:rPr>
          <w:rFonts w:eastAsiaTheme="minorEastAsia"/>
        </w:rPr>
        <w:t>Elliott, S. N., C. J. Anthony, J. C. DiPerna, P. Lei, and F. M. Gresham. “SSIS Brief Scales Series.” Scottsdale, AZ: SAIL CoLab, 2020.</w:t>
      </w:r>
    </w:p>
    <w:p w:rsidR="000A01AC" w:rsidP="000A01AC" w:rsidRDefault="000A01AC" w14:paraId="7E7D1A5D" w14:textId="77777777">
      <w:pPr>
        <w:pStyle w:val="References"/>
        <w:rPr>
          <w:rFonts w:eastAsiaTheme="minorEastAsia"/>
        </w:rPr>
      </w:pPr>
      <w:r w:rsidRPr="006E0936">
        <w:rPr>
          <w:rFonts w:eastAsiaTheme="minorEastAsia"/>
        </w:rPr>
        <w:t>James-Burdumy, S., M. Dynarski, M. Moore, J. Deke, W. Mansfield, and C. Pistorino, C. “When Schools Stay Open Late: The National Evaluation of the 21st Century Community Learning Centers Program: Final Report.” Washington, DC: U.S. Department of Education, Institute of Education Sciences National Center for Education Evaluation and Regional Assistance, April 2005.</w:t>
      </w:r>
    </w:p>
    <w:p w:rsidR="000A01AC" w:rsidP="000A01AC" w:rsidRDefault="000A01AC" w14:paraId="20694FDB" w14:textId="77777777">
      <w:pPr>
        <w:pStyle w:val="References"/>
        <w:rPr>
          <w:rFonts w:eastAsiaTheme="minorEastAsia"/>
        </w:rPr>
      </w:pPr>
      <w:r w:rsidRPr="00814D9B">
        <w:rPr>
          <w:rFonts w:eastAsiaTheme="minorEastAsia"/>
        </w:rPr>
        <w:t>Kautz, T., J. J. Heckman, R. Diris, B. Ter Weel, and L. Borghans. “Fostering and Measuring Skills: Improving Cognitive and Non-Cognitive Skills to Promote Lifetime Success.” Working Paper 20749. Cambridge, MA: National Bureau of Economic Research, 2014.</w:t>
      </w:r>
    </w:p>
    <w:p w:rsidR="000A01AC" w:rsidP="000A01AC" w:rsidRDefault="000A01AC" w14:paraId="032957F5" w14:textId="77777777">
      <w:pPr>
        <w:pStyle w:val="References"/>
        <w:rPr>
          <w:rFonts w:eastAsiaTheme="minorEastAsia"/>
        </w:rPr>
      </w:pPr>
      <w:r>
        <w:rPr>
          <w:rFonts w:eastAsiaTheme="minorEastAsia"/>
        </w:rPr>
        <w:t xml:space="preserve">Naftzger, N. “A Summary of Three Studies Exploring the Relationships Between Afterschool Program Quality and Youth Outcomes.” Conference paper presented at 2014 Ready by 21 National Meeting. Washington, DC: American Institutes for Research, 2014.  </w:t>
      </w:r>
    </w:p>
    <w:p w:rsidR="00392510" w:rsidP="00392510" w:rsidRDefault="00392510" w14:paraId="64BBD9BC" w14:textId="77777777">
      <w:pPr>
        <w:pStyle w:val="References"/>
        <w:rPr>
          <w:rFonts w:eastAsiaTheme="minorEastAsia"/>
        </w:rPr>
      </w:pPr>
      <w:r>
        <w:rPr>
          <w:rFonts w:eastAsiaTheme="minorEastAsia"/>
        </w:rPr>
        <w:t>Naftzger, N., S. Sniegowski, C. Smith, and A. Riley. “Exploring the Relationship between Afterschool Program Quality and Youth Development Outcomes: Findings from the Washington Quality to Youth Outcomes Study.” Naperville, IL: American Institutes for Research, 2018.</w:t>
      </w:r>
    </w:p>
    <w:p w:rsidR="000A01AC" w:rsidP="000A01AC" w:rsidRDefault="000A01AC" w14:paraId="64200BD9" w14:textId="77777777">
      <w:pPr>
        <w:pStyle w:val="References"/>
        <w:rPr>
          <w:rFonts w:eastAsiaTheme="minorEastAsia"/>
        </w:rPr>
      </w:pPr>
      <w:r w:rsidRPr="00642C82">
        <w:rPr>
          <w:rFonts w:eastAsiaTheme="minorEastAsia"/>
        </w:rPr>
        <w:lastRenderedPageBreak/>
        <w:t>Penuel, W. R., and R. McGhee, Jr. “21st Century Community Learning Centers Descriptive Study of Program Practices.” Washington, DC: U.S. Department of Education, Office of Planning, Evaluation and Policy Development, 2010.</w:t>
      </w:r>
    </w:p>
    <w:p w:rsidR="000A01AC" w:rsidP="000A01AC" w:rsidRDefault="000A01AC" w14:paraId="3C73665E" w14:textId="77777777">
      <w:pPr>
        <w:pStyle w:val="References"/>
        <w:rPr>
          <w:rFonts w:eastAsiaTheme="minorEastAsia"/>
        </w:rPr>
      </w:pPr>
      <w:r w:rsidRPr="00E8680C">
        <w:rPr>
          <w:rFonts w:eastAsiaTheme="minorEastAsia"/>
        </w:rPr>
        <w:t>Social and Character Development Research Consortium. “Efficacy of Schoolwide Programs to Promote Social and Character Development and Reduce Problem Behavior in Elementary School Children.” NCER 2011–2001. Washington, DC: U.S. Department of Education, Institute of Education Sciences, National Center for Education Research, 2010.</w:t>
      </w:r>
    </w:p>
    <w:p w:rsidR="000A01AC" w:rsidP="000A01AC" w:rsidRDefault="000A01AC" w14:paraId="322AE929" w14:textId="77777777">
      <w:pPr>
        <w:pStyle w:val="References"/>
        <w:rPr>
          <w:rFonts w:eastAsiaTheme="minorEastAsia"/>
        </w:rPr>
      </w:pPr>
      <w:r w:rsidRPr="00E8680C">
        <w:rPr>
          <w:rFonts w:eastAsiaTheme="minorEastAsia"/>
        </w:rPr>
        <w:t xml:space="preserve">Schochet, P. Z. “Statistical Power for Random Assignment Evaluations of Education Programs.” </w:t>
      </w:r>
      <w:r w:rsidRPr="00E8680C">
        <w:rPr>
          <w:rFonts w:eastAsiaTheme="minorEastAsia"/>
          <w:i/>
          <w:iCs/>
        </w:rPr>
        <w:t>Journal of Educational and Behavioral Statistics,</w:t>
      </w:r>
      <w:r w:rsidRPr="00E8680C">
        <w:rPr>
          <w:rFonts w:eastAsiaTheme="minorEastAsia"/>
        </w:rPr>
        <w:t xml:space="preserve"> vol. 33, no. 1, 2008, pp. 62–87.</w:t>
      </w:r>
    </w:p>
    <w:p w:rsidR="000A01AC" w:rsidP="000A01AC" w:rsidRDefault="000A01AC" w14:paraId="333F8889" w14:textId="77777777">
      <w:pPr>
        <w:pStyle w:val="References"/>
        <w:rPr>
          <w:rFonts w:eastAsiaTheme="minorEastAsia"/>
        </w:rPr>
      </w:pPr>
      <w:r>
        <w:rPr>
          <w:rFonts w:eastAsiaTheme="minorEastAsia"/>
        </w:rPr>
        <w:t>Schochet, P., N. Pashley, L. Miratrix, and T. Kautz. “Design-Based Ratio Estimators and Central Limit Theorems for Clustered, Blocked RCTs.” Working paper. Princeton, NJ: Mathematica, 2020.</w:t>
      </w:r>
    </w:p>
    <w:p w:rsidR="000A01AC" w:rsidP="000A01AC" w:rsidRDefault="000A01AC" w14:paraId="2765C3EA" w14:textId="77777777">
      <w:pPr>
        <w:pStyle w:val="References"/>
        <w:rPr>
          <w:rFonts w:eastAsiaTheme="minorEastAsia"/>
        </w:rPr>
      </w:pPr>
      <w:r w:rsidRPr="006E0EDE">
        <w:rPr>
          <w:rFonts w:eastAsiaTheme="minorEastAsia"/>
        </w:rPr>
        <w:t>Smith, C. “Moving the Needle on ‘Moving the Needle’: Next Stage Technical Guidance for Performance Based Accountability Systems in the Expanded Learning Field with a Focus on Performance Levels for the Quality of Instructional Services.” Ypsilanti, MI: Weikart Center for Youth Program Quality, 2013.</w:t>
      </w:r>
    </w:p>
    <w:p w:rsidR="000A01AC" w:rsidP="000A01AC" w:rsidRDefault="000A01AC" w14:paraId="0619C12D" w14:textId="77777777">
      <w:pPr>
        <w:pStyle w:val="References"/>
        <w:rPr>
          <w:rFonts w:eastAsiaTheme="minorEastAsia"/>
        </w:rPr>
      </w:pPr>
      <w:r w:rsidRPr="00814D9B">
        <w:rPr>
          <w:rFonts w:eastAsiaTheme="minorEastAsia"/>
        </w:rPr>
        <w:t>Smith, C., T. Akiva, S. Sugar, Y. Lo, K. Frank, S. Peck, K. Cortina, and T. Devaney. “Continuous Quality Improvement in Afterschool Settings: Impact Findings from the Youth Program Quality Intervention Study.” Washington, DC: Forum for Youth Investment, 2012.</w:t>
      </w:r>
    </w:p>
    <w:p w:rsidR="000A01AC" w:rsidP="000A01AC" w:rsidRDefault="000A01AC" w14:paraId="251494AB" w14:textId="77777777">
      <w:pPr>
        <w:pStyle w:val="References"/>
        <w:rPr>
          <w:rFonts w:eastAsiaTheme="minorEastAsia"/>
        </w:rPr>
      </w:pPr>
      <w:r>
        <w:rPr>
          <w:rFonts w:eastAsiaTheme="minorEastAsia"/>
        </w:rPr>
        <w:t>U.S. Department of Education. “</w:t>
      </w:r>
      <w:r w:rsidRPr="004C0CDE">
        <w:rPr>
          <w:rFonts w:eastAsiaTheme="minorEastAsia"/>
        </w:rPr>
        <w:t>Table 95</w:t>
      </w:r>
      <w:r>
        <w:rPr>
          <w:rFonts w:eastAsiaTheme="minorEastAsia"/>
        </w:rPr>
        <w:t xml:space="preserve">: </w:t>
      </w:r>
      <w:r w:rsidRPr="004C0CDE">
        <w:rPr>
          <w:rFonts w:eastAsiaTheme="minorEastAsia"/>
        </w:rPr>
        <w:t xml:space="preserve">Public </w:t>
      </w:r>
      <w:r>
        <w:rPr>
          <w:rFonts w:eastAsiaTheme="minorEastAsia"/>
        </w:rPr>
        <w:t>E</w:t>
      </w:r>
      <w:r w:rsidRPr="004C0CDE">
        <w:rPr>
          <w:rFonts w:eastAsiaTheme="minorEastAsia"/>
        </w:rPr>
        <w:t xml:space="preserve">lementary </w:t>
      </w:r>
      <w:r>
        <w:rPr>
          <w:rFonts w:eastAsiaTheme="minorEastAsia"/>
        </w:rPr>
        <w:t>S</w:t>
      </w:r>
      <w:r w:rsidRPr="004C0CDE">
        <w:rPr>
          <w:rFonts w:eastAsiaTheme="minorEastAsia"/>
        </w:rPr>
        <w:t xml:space="preserve">chools, by </w:t>
      </w:r>
      <w:r>
        <w:rPr>
          <w:rFonts w:eastAsiaTheme="minorEastAsia"/>
        </w:rPr>
        <w:t>G</w:t>
      </w:r>
      <w:r w:rsidRPr="004C0CDE">
        <w:rPr>
          <w:rFonts w:eastAsiaTheme="minorEastAsia"/>
        </w:rPr>
        <w:t xml:space="preserve">rade </w:t>
      </w:r>
      <w:r>
        <w:rPr>
          <w:rFonts w:eastAsiaTheme="minorEastAsia"/>
        </w:rPr>
        <w:t>S</w:t>
      </w:r>
      <w:r w:rsidRPr="004C0CDE">
        <w:rPr>
          <w:rFonts w:eastAsiaTheme="minorEastAsia"/>
        </w:rPr>
        <w:t xml:space="preserve">pan, </w:t>
      </w:r>
      <w:r>
        <w:rPr>
          <w:rFonts w:eastAsiaTheme="minorEastAsia"/>
        </w:rPr>
        <w:t>A</w:t>
      </w:r>
      <w:r w:rsidRPr="004C0CDE">
        <w:rPr>
          <w:rFonts w:eastAsiaTheme="minorEastAsia"/>
        </w:rPr>
        <w:t xml:space="preserve">verage </w:t>
      </w:r>
      <w:r>
        <w:rPr>
          <w:rFonts w:eastAsiaTheme="minorEastAsia"/>
        </w:rPr>
        <w:t>S</w:t>
      </w:r>
      <w:r w:rsidRPr="004C0CDE">
        <w:rPr>
          <w:rFonts w:eastAsiaTheme="minorEastAsia"/>
        </w:rPr>
        <w:t xml:space="preserve">chool </w:t>
      </w:r>
      <w:r>
        <w:rPr>
          <w:rFonts w:eastAsiaTheme="minorEastAsia"/>
        </w:rPr>
        <w:t>S</w:t>
      </w:r>
      <w:r w:rsidRPr="004C0CDE">
        <w:rPr>
          <w:rFonts w:eastAsiaTheme="minorEastAsia"/>
        </w:rPr>
        <w:t xml:space="preserve">ize, and </w:t>
      </w:r>
      <w:r>
        <w:rPr>
          <w:rFonts w:eastAsiaTheme="minorEastAsia"/>
        </w:rPr>
        <w:t>S</w:t>
      </w:r>
      <w:r w:rsidRPr="004C0CDE">
        <w:rPr>
          <w:rFonts w:eastAsiaTheme="minorEastAsia"/>
        </w:rPr>
        <w:t xml:space="preserve">tate or </w:t>
      </w:r>
      <w:r>
        <w:rPr>
          <w:rFonts w:eastAsiaTheme="minorEastAsia"/>
        </w:rPr>
        <w:t>J</w:t>
      </w:r>
      <w:r w:rsidRPr="004C0CDE">
        <w:rPr>
          <w:rFonts w:eastAsiaTheme="minorEastAsia"/>
        </w:rPr>
        <w:t>urisdiction: 2005-06</w:t>
      </w:r>
      <w:r>
        <w:rPr>
          <w:rFonts w:eastAsiaTheme="minorEastAsia"/>
        </w:rPr>
        <w:t xml:space="preserve">.” 2007. Available at </w:t>
      </w:r>
      <w:hyperlink w:history="1" r:id="rId19">
        <w:r w:rsidRPr="00547345">
          <w:rPr>
            <w:rStyle w:val="Hyperlink"/>
            <w:rFonts w:eastAsiaTheme="minorEastAsia"/>
          </w:rPr>
          <w:t>https://nces.ed.gov/programs/digest/d07/tables/dt07_095.asp</w:t>
        </w:r>
      </w:hyperlink>
      <w:r>
        <w:rPr>
          <w:rFonts w:eastAsiaTheme="minorEastAsia"/>
        </w:rPr>
        <w:t>. Accessed November 11, 2020.</w:t>
      </w:r>
    </w:p>
    <w:p w:rsidR="000A01AC" w:rsidP="000A01AC" w:rsidRDefault="000A01AC" w14:paraId="21983C3D" w14:textId="77777777">
      <w:pPr>
        <w:pStyle w:val="References"/>
        <w:rPr>
          <w:rFonts w:eastAsiaTheme="minorEastAsia"/>
        </w:rPr>
      </w:pPr>
      <w:r>
        <w:rPr>
          <w:rFonts w:eastAsiaTheme="minorEastAsia"/>
        </w:rPr>
        <w:t>U.S. Department of Education. “</w:t>
      </w:r>
      <w:r w:rsidRPr="004C0CDE">
        <w:rPr>
          <w:rFonts w:eastAsiaTheme="minorEastAsia"/>
        </w:rPr>
        <w:t xml:space="preserve">Table 7. Average Class Size </w:t>
      </w:r>
      <w:r>
        <w:rPr>
          <w:rFonts w:eastAsiaTheme="minorEastAsia"/>
        </w:rPr>
        <w:t>i</w:t>
      </w:r>
      <w:r w:rsidRPr="004C0CDE">
        <w:rPr>
          <w:rFonts w:eastAsiaTheme="minorEastAsia"/>
        </w:rPr>
        <w:t xml:space="preserve">n Public Primary Schools, Middle Schools, High Schools, </w:t>
      </w:r>
      <w:r>
        <w:rPr>
          <w:rFonts w:eastAsiaTheme="minorEastAsia"/>
        </w:rPr>
        <w:t>a</w:t>
      </w:r>
      <w:r w:rsidRPr="004C0CDE">
        <w:rPr>
          <w:rFonts w:eastAsiaTheme="minorEastAsia"/>
        </w:rPr>
        <w:t xml:space="preserve">nd Schools </w:t>
      </w:r>
      <w:r>
        <w:rPr>
          <w:rFonts w:eastAsiaTheme="minorEastAsia"/>
        </w:rPr>
        <w:t>w</w:t>
      </w:r>
      <w:r w:rsidRPr="004C0CDE">
        <w:rPr>
          <w:rFonts w:eastAsiaTheme="minorEastAsia"/>
        </w:rPr>
        <w:t xml:space="preserve">ith Combined Grades, </w:t>
      </w:r>
      <w:r>
        <w:rPr>
          <w:rFonts w:eastAsiaTheme="minorEastAsia"/>
        </w:rPr>
        <w:t>b</w:t>
      </w:r>
      <w:r w:rsidRPr="004C0CDE">
        <w:rPr>
          <w:rFonts w:eastAsiaTheme="minorEastAsia"/>
        </w:rPr>
        <w:t xml:space="preserve">y Classroom Type </w:t>
      </w:r>
      <w:r>
        <w:rPr>
          <w:rFonts w:eastAsiaTheme="minorEastAsia"/>
        </w:rPr>
        <w:t>a</w:t>
      </w:r>
      <w:r w:rsidRPr="004C0CDE">
        <w:rPr>
          <w:rFonts w:eastAsiaTheme="minorEastAsia"/>
        </w:rPr>
        <w:t>nd State: 2011–12</w:t>
      </w:r>
      <w:r>
        <w:rPr>
          <w:rFonts w:eastAsiaTheme="minorEastAsia"/>
        </w:rPr>
        <w:t xml:space="preserve">.” 2013. Available at </w:t>
      </w:r>
      <w:hyperlink w:history="1" r:id="rId20">
        <w:r w:rsidRPr="00547345">
          <w:rPr>
            <w:rStyle w:val="Hyperlink"/>
            <w:rFonts w:eastAsiaTheme="minorEastAsia"/>
          </w:rPr>
          <w:t>https://nces.ed.gov/surveys/sass/tables/sass1112_2013314_t1s_007.asp</w:t>
        </w:r>
      </w:hyperlink>
      <w:r>
        <w:rPr>
          <w:rFonts w:eastAsiaTheme="minorEastAsia"/>
        </w:rPr>
        <w:t xml:space="preserve">. Accessed November 11, 2020. </w:t>
      </w:r>
    </w:p>
    <w:p w:rsidR="000A01AC" w:rsidP="000A01AC" w:rsidRDefault="000A01AC" w14:paraId="684BBB03" w14:textId="77777777">
      <w:pPr>
        <w:pStyle w:val="References"/>
        <w:rPr>
          <w:rFonts w:eastAsiaTheme="minorEastAsia"/>
        </w:rPr>
      </w:pPr>
      <w:r w:rsidRPr="00044E26">
        <w:rPr>
          <w:rFonts w:eastAsiaTheme="minorEastAsia"/>
        </w:rPr>
        <w:t xml:space="preserve">U.S. Department of Education. “21st Century Community Learning Centers.” </w:t>
      </w:r>
      <w:r>
        <w:rPr>
          <w:rFonts w:eastAsiaTheme="minorEastAsia"/>
        </w:rPr>
        <w:t>March</w:t>
      </w:r>
      <w:r w:rsidRPr="00044E26">
        <w:rPr>
          <w:rFonts w:eastAsiaTheme="minorEastAsia"/>
        </w:rPr>
        <w:t xml:space="preserve"> 2018</w:t>
      </w:r>
      <w:r>
        <w:rPr>
          <w:rFonts w:eastAsiaTheme="minorEastAsia"/>
        </w:rPr>
        <w:t>a</w:t>
      </w:r>
      <w:r w:rsidRPr="00044E26">
        <w:rPr>
          <w:rFonts w:eastAsiaTheme="minorEastAsia"/>
        </w:rPr>
        <w:t>. Available at</w:t>
      </w:r>
      <w:r>
        <w:rPr>
          <w:rFonts w:eastAsiaTheme="minorEastAsia"/>
        </w:rPr>
        <w:t xml:space="preserve"> </w:t>
      </w:r>
      <w:hyperlink w:history="1" r:id="rId21">
        <w:r w:rsidRPr="00547345">
          <w:rPr>
            <w:rStyle w:val="Hyperlink"/>
            <w:rFonts w:eastAsiaTheme="minorEastAsia"/>
          </w:rPr>
          <w:t>https://www2.ed.gov/programs/21stcclc/index.html</w:t>
        </w:r>
      </w:hyperlink>
      <w:r w:rsidRPr="00044E26">
        <w:rPr>
          <w:rFonts w:eastAsiaTheme="minorEastAsia"/>
        </w:rPr>
        <w:t>.</w:t>
      </w:r>
      <w:r>
        <w:rPr>
          <w:rFonts w:eastAsiaTheme="minorEastAsia"/>
        </w:rPr>
        <w:t xml:space="preserve"> </w:t>
      </w:r>
      <w:r w:rsidRPr="00044E26">
        <w:rPr>
          <w:rFonts w:eastAsiaTheme="minorEastAsia"/>
        </w:rPr>
        <w:t xml:space="preserve">Accessed </w:t>
      </w:r>
      <w:r>
        <w:rPr>
          <w:rFonts w:eastAsiaTheme="minorEastAsia"/>
        </w:rPr>
        <w:t>November 11</w:t>
      </w:r>
      <w:r w:rsidRPr="00044E26">
        <w:rPr>
          <w:rFonts w:eastAsiaTheme="minorEastAsia"/>
        </w:rPr>
        <w:t>, 20</w:t>
      </w:r>
      <w:r>
        <w:rPr>
          <w:rFonts w:eastAsiaTheme="minorEastAsia"/>
        </w:rPr>
        <w:t>20</w:t>
      </w:r>
      <w:r w:rsidRPr="00044E26">
        <w:rPr>
          <w:rFonts w:eastAsiaTheme="minorEastAsia"/>
        </w:rPr>
        <w:t>.</w:t>
      </w:r>
    </w:p>
    <w:p w:rsidR="000A01AC" w:rsidP="000A01AC" w:rsidRDefault="000A01AC" w14:paraId="3C524D8A" w14:textId="77777777">
      <w:pPr>
        <w:pStyle w:val="References"/>
        <w:rPr>
          <w:rFonts w:eastAsiaTheme="minorEastAsia"/>
        </w:rPr>
      </w:pPr>
      <w:r w:rsidRPr="00044E26">
        <w:rPr>
          <w:rFonts w:eastAsiaTheme="minorEastAsia"/>
        </w:rPr>
        <w:t>U.S. Department of Education. “21st Century Community Learning Centers (21st CCLC) Analytic Support for Evaluation and Program Monitoring: An Overview of the 21st CCLC Performance Data: 2016–17.” 13th report. Washington, DC: U.S. Department of Education, 2018</w:t>
      </w:r>
      <w:r>
        <w:rPr>
          <w:rFonts w:eastAsiaTheme="minorEastAsia"/>
        </w:rPr>
        <w:t>b</w:t>
      </w:r>
      <w:r w:rsidRPr="00044E26">
        <w:rPr>
          <w:rFonts w:eastAsiaTheme="minorEastAsia"/>
        </w:rPr>
        <w:t>.</w:t>
      </w:r>
    </w:p>
    <w:p w:rsidR="000A01AC" w:rsidP="006E4E5F" w:rsidRDefault="000A01AC" w14:paraId="4552FD84" w14:textId="776FB3BE">
      <w:pPr>
        <w:pStyle w:val="References"/>
        <w:rPr>
          <w:rFonts w:eastAsiaTheme="minorEastAsia"/>
        </w:rPr>
      </w:pPr>
      <w:r w:rsidRPr="00642C82">
        <w:rPr>
          <w:rFonts w:eastAsiaTheme="minorEastAsia"/>
        </w:rPr>
        <w:t>U.S. Government Accountability Office. “Education Needs to Improve Oversight of its 21st Century Program.” GAO-17-400. Washington, DC: U.S. Government Accountability Office, 2017.</w:t>
      </w:r>
    </w:p>
    <w:p w:rsidR="00392510" w:rsidP="006E4E5F" w:rsidRDefault="00392510" w14:paraId="134F7AFC" w14:textId="630E2FF9">
      <w:pPr>
        <w:pStyle w:val="References"/>
        <w:rPr>
          <w:rFonts w:eastAsiaTheme="minorEastAsia"/>
        </w:rPr>
      </w:pPr>
      <w:r w:rsidRPr="00AB116D">
        <w:rPr>
          <w:rFonts w:eastAsiaTheme="minorEastAsia"/>
        </w:rPr>
        <w:lastRenderedPageBreak/>
        <w:t>Vandell, D. L.</w:t>
      </w:r>
      <w:r>
        <w:rPr>
          <w:rFonts w:eastAsiaTheme="minorEastAsia"/>
        </w:rPr>
        <w:t xml:space="preserve"> “</w:t>
      </w:r>
      <w:r w:rsidRPr="00AB116D">
        <w:rPr>
          <w:rFonts w:eastAsiaTheme="minorEastAsia"/>
        </w:rPr>
        <w:t xml:space="preserve">Afterschool </w:t>
      </w:r>
      <w:r>
        <w:rPr>
          <w:rFonts w:eastAsiaTheme="minorEastAsia"/>
        </w:rPr>
        <w:t>P</w:t>
      </w:r>
      <w:r w:rsidRPr="00AB116D">
        <w:rPr>
          <w:rFonts w:eastAsiaTheme="minorEastAsia"/>
        </w:rPr>
        <w:t xml:space="preserve">rogram </w:t>
      </w:r>
      <w:r>
        <w:rPr>
          <w:rFonts w:eastAsiaTheme="minorEastAsia"/>
        </w:rPr>
        <w:t>Q</w:t>
      </w:r>
      <w:r w:rsidRPr="00AB116D">
        <w:rPr>
          <w:rFonts w:eastAsiaTheme="minorEastAsia"/>
        </w:rPr>
        <w:t xml:space="preserve">uality and </w:t>
      </w:r>
      <w:r>
        <w:rPr>
          <w:rFonts w:eastAsiaTheme="minorEastAsia"/>
        </w:rPr>
        <w:t>S</w:t>
      </w:r>
      <w:r w:rsidRPr="00AB116D">
        <w:rPr>
          <w:rFonts w:eastAsiaTheme="minorEastAsia"/>
        </w:rPr>
        <w:t xml:space="preserve">tudent </w:t>
      </w:r>
      <w:r>
        <w:rPr>
          <w:rFonts w:eastAsiaTheme="minorEastAsia"/>
        </w:rPr>
        <w:t>O</w:t>
      </w:r>
      <w:r w:rsidRPr="00AB116D">
        <w:rPr>
          <w:rFonts w:eastAsiaTheme="minorEastAsia"/>
        </w:rPr>
        <w:t xml:space="preserve">utcomes: </w:t>
      </w:r>
      <w:r>
        <w:rPr>
          <w:rFonts w:eastAsiaTheme="minorEastAsia"/>
        </w:rPr>
        <w:t>R</w:t>
      </w:r>
      <w:r w:rsidRPr="00AB116D">
        <w:rPr>
          <w:rFonts w:eastAsiaTheme="minorEastAsia"/>
        </w:rPr>
        <w:t xml:space="preserve">eflections on </w:t>
      </w:r>
      <w:r>
        <w:rPr>
          <w:rFonts w:eastAsiaTheme="minorEastAsia"/>
        </w:rPr>
        <w:t>P</w:t>
      </w:r>
      <w:r w:rsidRPr="00AB116D">
        <w:rPr>
          <w:rFonts w:eastAsiaTheme="minorEastAsia"/>
        </w:rPr>
        <w:t xml:space="preserve">ositive </w:t>
      </w:r>
      <w:r>
        <w:rPr>
          <w:rFonts w:eastAsiaTheme="minorEastAsia"/>
        </w:rPr>
        <w:t>K</w:t>
      </w:r>
      <w:r w:rsidRPr="00AB116D">
        <w:rPr>
          <w:rFonts w:eastAsiaTheme="minorEastAsia"/>
        </w:rPr>
        <w:t xml:space="preserve">ey </w:t>
      </w:r>
      <w:r>
        <w:rPr>
          <w:rFonts w:eastAsiaTheme="minorEastAsia"/>
        </w:rPr>
        <w:t>F</w:t>
      </w:r>
      <w:r w:rsidRPr="00AB116D">
        <w:rPr>
          <w:rFonts w:eastAsiaTheme="minorEastAsia"/>
        </w:rPr>
        <w:t xml:space="preserve">indings on </w:t>
      </w:r>
      <w:r>
        <w:rPr>
          <w:rFonts w:eastAsiaTheme="minorEastAsia"/>
        </w:rPr>
        <w:t>L</w:t>
      </w:r>
      <w:r w:rsidRPr="00AB116D">
        <w:rPr>
          <w:rFonts w:eastAsiaTheme="minorEastAsia"/>
        </w:rPr>
        <w:t xml:space="preserve">earning and </w:t>
      </w:r>
      <w:r>
        <w:rPr>
          <w:rFonts w:eastAsiaTheme="minorEastAsia"/>
        </w:rPr>
        <w:t>D</w:t>
      </w:r>
      <w:r w:rsidRPr="00AB116D">
        <w:rPr>
          <w:rFonts w:eastAsiaTheme="minorEastAsia"/>
        </w:rPr>
        <w:t xml:space="preserve">evelopment from </w:t>
      </w:r>
      <w:r>
        <w:rPr>
          <w:rFonts w:eastAsiaTheme="minorEastAsia"/>
        </w:rPr>
        <w:t>R</w:t>
      </w:r>
      <w:r w:rsidRPr="00AB116D">
        <w:rPr>
          <w:rFonts w:eastAsiaTheme="minorEastAsia"/>
        </w:rPr>
        <w:t xml:space="preserve">ecent </w:t>
      </w:r>
      <w:r>
        <w:rPr>
          <w:rFonts w:eastAsiaTheme="minorEastAsia"/>
        </w:rPr>
        <w:t>R</w:t>
      </w:r>
      <w:r w:rsidRPr="00AB116D">
        <w:rPr>
          <w:rFonts w:eastAsiaTheme="minorEastAsia"/>
        </w:rPr>
        <w:t>esearch.</w:t>
      </w:r>
      <w:r>
        <w:rPr>
          <w:rFonts w:eastAsiaTheme="minorEastAsia"/>
        </w:rPr>
        <w:t>”</w:t>
      </w:r>
      <w:r w:rsidRPr="00AB116D">
        <w:rPr>
          <w:rFonts w:eastAsiaTheme="minorEastAsia"/>
        </w:rPr>
        <w:t xml:space="preserve"> In W. S. White &amp; T. K. Peterson (Eds.), </w:t>
      </w:r>
      <w:r w:rsidRPr="00AB116D">
        <w:rPr>
          <w:rFonts w:eastAsiaTheme="minorEastAsia"/>
          <w:i/>
          <w:iCs/>
        </w:rPr>
        <w:t>Expanding minds and opportunities: Leveraging the power of afterschool and summer learning for student success</w:t>
      </w:r>
      <w:r>
        <w:rPr>
          <w:rFonts w:eastAsiaTheme="minorEastAsia"/>
        </w:rPr>
        <w:t xml:space="preserve">, 2013. </w:t>
      </w:r>
      <w:r w:rsidRPr="00AB116D">
        <w:rPr>
          <w:rFonts w:eastAsiaTheme="minorEastAsia"/>
        </w:rPr>
        <w:t>Retrieved</w:t>
      </w:r>
      <w:r>
        <w:rPr>
          <w:rFonts w:eastAsiaTheme="minorEastAsia"/>
        </w:rPr>
        <w:t xml:space="preserve"> 12/8/20</w:t>
      </w:r>
      <w:r w:rsidRPr="00AB116D">
        <w:rPr>
          <w:rFonts w:eastAsiaTheme="minorEastAsia"/>
        </w:rPr>
        <w:t xml:space="preserve"> from </w:t>
      </w:r>
      <w:hyperlink w:history="1" r:id="rId22">
        <w:r w:rsidRPr="00AB116D">
          <w:rPr>
            <w:rStyle w:val="Hyperlink"/>
            <w:rFonts w:eastAsiaTheme="minorEastAsia"/>
          </w:rPr>
          <w:t>https://www.expandinglearning.org/expandingminds/article/afterschool-program-quality-and-student-outcomes-reflections-positive-key</w:t>
        </w:r>
      </w:hyperlink>
      <w:r w:rsidRPr="00AB116D">
        <w:rPr>
          <w:rFonts w:eastAsiaTheme="minorEastAsia"/>
        </w:rPr>
        <w:t>.</w:t>
      </w:r>
    </w:p>
    <w:p w:rsidRPr="000A01AC" w:rsidR="00392510" w:rsidP="006E4E5F" w:rsidRDefault="00392510" w14:paraId="6C5B9A94" w14:textId="1456143C">
      <w:pPr>
        <w:pStyle w:val="References"/>
        <w:sectPr w:rsidRPr="000A01AC" w:rsidR="00392510" w:rsidSect="00F52219">
          <w:headerReference w:type="default" r:id="rId23"/>
          <w:footerReference w:type="default" r:id="rId24"/>
          <w:pgSz w:w="12240" w:h="15840"/>
          <w:pgMar w:top="1440" w:right="1440" w:bottom="1440" w:left="1440" w:header="720" w:footer="720" w:gutter="0"/>
          <w:cols w:space="720"/>
          <w:docGrid w:linePitch="360"/>
        </w:sectPr>
      </w:pPr>
    </w:p>
    <w:p w:rsidRPr="00A03EC5" w:rsidR="00F6210E" w:rsidP="00555901" w:rsidRDefault="00F6210E" w14:paraId="0CAFC3BD" w14:textId="77777777"/>
    <w:p w:rsidRPr="0098753B" w:rsidR="00F6210E" w:rsidP="00F6210E" w:rsidRDefault="00F6210E" w14:paraId="4DF4E920" w14:textId="77777777">
      <w:pPr>
        <w:pStyle w:val="wwwmathematica-mprcom"/>
        <w:rPr>
          <w:rFonts w:ascii="Arial" w:hAnsi="Arial" w:cs="Arial"/>
        </w:rPr>
      </w:pPr>
      <w:r w:rsidRPr="0098753B">
        <w:rPr>
          <w:rFonts w:ascii="Arial" w:hAnsi="Arial" w:cs="Arial"/>
        </w:rPr>
        <w:t>www.mathematica-mpr.com</w:t>
      </w:r>
    </w:p>
    <w:p w:rsidRPr="0014189A" w:rsidR="00F6210E" w:rsidP="00555901" w:rsidRDefault="00F6210E" w14:paraId="47A044B2" w14:textId="77777777">
      <w:pPr>
        <w:pStyle w:val="backcovertitle"/>
        <w:rPr>
          <w:color w:val="046B5C"/>
        </w:rPr>
      </w:pPr>
      <w:r w:rsidRPr="0014189A">
        <w:rPr>
          <w:color w:val="046B5C"/>
        </w:rPr>
        <w:t xml:space="preserve">Improving public well-being by conducting high quality, </w:t>
      </w:r>
      <w:r w:rsidRPr="0014189A">
        <w:rPr>
          <w:color w:val="046B5C"/>
        </w:rPr>
        <w:br/>
        <w:t>objective research and data collection</w:t>
      </w:r>
    </w:p>
    <w:p w:rsidRPr="00CA661C" w:rsidR="00F6210E" w:rsidP="00555901" w:rsidRDefault="00F6210E" w14:paraId="6A7832DC" w14:textId="61CF9E94">
      <w:pPr>
        <w:pStyle w:val="backcovercities"/>
        <w:rPr>
          <w:rFonts w:ascii="Arial" w:hAnsi="Arial" w:cs="Arial"/>
          <w:sz w:val="22"/>
          <w:szCs w:val="22"/>
        </w:rPr>
      </w:pPr>
      <w:r w:rsidRPr="003832A2">
        <w:t xml:space="preserve">Princeton, NJ  </w:t>
      </w:r>
      <w:r w:rsidRPr="003832A2">
        <w:rPr>
          <w:rFonts w:cs="Arial"/>
        </w:rPr>
        <w:t>■</w:t>
      </w:r>
      <w:r w:rsidRPr="003832A2">
        <w:t xml:space="preserve">  Ann Arbor, MI  </w:t>
      </w:r>
      <w:r w:rsidRPr="003832A2">
        <w:rPr>
          <w:rFonts w:cs="Arial"/>
        </w:rPr>
        <w:t>■</w:t>
      </w:r>
      <w:r w:rsidRPr="003832A2">
        <w:t xml:space="preserve">  Cambridge, MA  </w:t>
      </w:r>
      <w:r w:rsidRPr="003832A2">
        <w:rPr>
          <w:rFonts w:cs="Arial"/>
        </w:rPr>
        <w:t xml:space="preserve">■  </w:t>
      </w:r>
      <w:r w:rsidRPr="003832A2">
        <w:t xml:space="preserve">Chicago, IL  </w:t>
      </w:r>
      <w:r w:rsidRPr="003832A2">
        <w:rPr>
          <w:rFonts w:cs="Arial"/>
        </w:rPr>
        <w:t xml:space="preserve">■  </w:t>
      </w:r>
      <w:r w:rsidRPr="003832A2">
        <w:t xml:space="preserve">Oakland, CA  </w:t>
      </w:r>
      <w:r w:rsidRPr="003832A2">
        <w:rPr>
          <w:rFonts w:cs="Arial"/>
        </w:rPr>
        <w:t xml:space="preserve">■  </w:t>
      </w:r>
      <w:r w:rsidRPr="003832A2">
        <w:t xml:space="preserve">TUCSON, AZ </w:t>
      </w:r>
      <w:r>
        <w:t xml:space="preserve"> </w:t>
      </w:r>
      <w:r w:rsidRPr="003832A2">
        <w:rPr>
          <w:rFonts w:cs="Arial"/>
        </w:rPr>
        <w:t xml:space="preserve">■  </w:t>
      </w:r>
      <w:r w:rsidRPr="003832A2">
        <w:t xml:space="preserve">Washington, DC </w:t>
      </w:r>
      <w:r>
        <w:t xml:space="preserve"> </w:t>
      </w:r>
      <w:r w:rsidRPr="003832A2">
        <w:rPr>
          <w:rFonts w:cs="Arial"/>
        </w:rPr>
        <w:t xml:space="preserve">■  </w:t>
      </w:r>
      <w:r>
        <w:rPr>
          <w:rFonts w:cs="Arial"/>
        </w:rPr>
        <w:t>WOODLAWN, MD</w:t>
      </w:r>
    </w:p>
    <w:p w:rsidRPr="00645033" w:rsidR="00AD70C9" w:rsidP="00555901" w:rsidRDefault="006D1E39" w14:paraId="36636CD5" w14:textId="75038B46">
      <w:pPr>
        <w:rPr>
          <w:rFonts w:eastAsiaTheme="minorEastAsia"/>
        </w:rPr>
      </w:pPr>
      <w:r>
        <w:rPr>
          <w:noProof/>
        </w:rPr>
        <w:drawing>
          <wp:anchor distT="0" distB="0" distL="114300" distR="114300" simplePos="0" relativeHeight="251658244" behindDoc="1" locked="0" layoutInCell="1" allowOverlap="1" wp14:editId="224F55FD" wp14:anchorId="48AC995D">
            <wp:simplePos x="0" y="0"/>
            <wp:positionH relativeFrom="column">
              <wp:posOffset>-1962150</wp:posOffset>
            </wp:positionH>
            <wp:positionV relativeFrom="paragraph">
              <wp:posOffset>4649470</wp:posOffset>
            </wp:positionV>
            <wp:extent cx="1737360" cy="446812"/>
            <wp:effectExtent l="0" t="0" r="0" b="0"/>
            <wp:wrapNone/>
            <wp:docPr id="1" name="Picture 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Mathematica logo. Progress togethe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737360" cy="446812"/>
                    </a:xfrm>
                    <a:prstGeom prst="rect">
                      <a:avLst/>
                    </a:prstGeom>
                  </pic:spPr>
                </pic:pic>
              </a:graphicData>
            </a:graphic>
            <wp14:sizeRelH relativeFrom="margin">
              <wp14:pctWidth>0</wp14:pctWidth>
            </wp14:sizeRelH>
            <wp14:sizeRelV relativeFrom="margin">
              <wp14:pctHeight>0</wp14:pctHeight>
            </wp14:sizeRelV>
          </wp:anchor>
        </w:drawing>
      </w:r>
    </w:p>
    <w:sectPr w:rsidRPr="00645033" w:rsidR="00AD70C9" w:rsidSect="002F60A6">
      <w:headerReference w:type="default" r:id="rId25"/>
      <w:footerReference w:type="default" r:id="rId26"/>
      <w:endnotePr>
        <w:numFmt w:val="decimal"/>
      </w:endnotePr>
      <w:pgSz w:w="12240" w:h="15840" w:code="1"/>
      <w:pgMar w:top="4320" w:right="965" w:bottom="1195" w:left="3629" w:header="720" w:footer="576"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337" w16cex:dateUtc="2021-01-28T17:57:00Z"/>
  <w16cex:commentExtensible w16cex:durableId="23BD6248" w16cex:dateUtc="2021-01-28T21:18:00Z"/>
  <w16cex:commentExtensible w16cex:durableId="23BD6168" w16cex:dateUtc="2021-01-28T21:14:00Z"/>
  <w16cex:commentExtensible w16cex:durableId="23BD502B" w16cex:dateUtc="2021-01-28T20:00:00Z"/>
  <w16cex:commentExtensible w16cex:durableId="23BD61FF" w16cex:dateUtc="2021-01-28T21:17:00Z"/>
  <w16cex:commentExtensible w16cex:durableId="23BD6275" w16cex:dateUtc="2021-01-28T21:19:00Z"/>
  <w16cex:commentExtensible w16cex:durableId="23BD62C9" w16cex:dateUtc="2021-01-28T21: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ACA22" w14:textId="77777777" w:rsidR="001D164D" w:rsidRDefault="001D164D" w:rsidP="00555901">
      <w:r>
        <w:separator/>
      </w:r>
    </w:p>
  </w:endnote>
  <w:endnote w:type="continuationSeparator" w:id="0">
    <w:p w14:paraId="13157985" w14:textId="77777777" w:rsidR="001D164D" w:rsidRDefault="001D164D" w:rsidP="00555901">
      <w:r>
        <w:continuationSeparator/>
      </w:r>
    </w:p>
  </w:endnote>
  <w:endnote w:type="continuationNotice" w:id="1">
    <w:p w14:paraId="6C02B112" w14:textId="77777777" w:rsidR="001D164D" w:rsidRDefault="001D164D" w:rsidP="00555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FFBE6" w14:textId="77777777" w:rsidR="001D164D" w:rsidRDefault="001D164D" w:rsidP="00D56759">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C857" w14:textId="77777777" w:rsidR="001D164D" w:rsidRPr="00964AB7" w:rsidRDefault="001D164D" w:rsidP="00555901">
    <w:pPr>
      <w:pStyle w:val="Foote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510AE" w14:textId="1A5503B1" w:rsidR="001D164D" w:rsidRPr="00964AB7" w:rsidRDefault="001D164D" w:rsidP="00370BC5">
    <w:pPr>
      <w:pStyle w:val="Foo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8</w:t>
    </w:r>
    <w:r w:rsidRPr="00964AB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C7458" w14:textId="746BFF80" w:rsidR="001D164D" w:rsidRPr="00F52219" w:rsidRDefault="001D164D" w:rsidP="00F52219">
    <w:pPr>
      <w:pStyle w:val="Footer"/>
      <w:rPr>
        <w:rStyle w:val="PageNumber"/>
      </w:rPr>
    </w:pPr>
    <w:r w:rsidRPr="00F52219">
      <w:rPr>
        <w:rStyle w:val="PageNumber"/>
      </w:rPr>
      <w:fldChar w:fldCharType="begin"/>
    </w:r>
    <w:r w:rsidRPr="00F52219">
      <w:rPr>
        <w:rStyle w:val="PageNumber"/>
      </w:rPr>
      <w:instrText xml:space="preserve"> PAGE   \* MERGEFORMAT </w:instrText>
    </w:r>
    <w:r w:rsidRPr="00F52219">
      <w:rPr>
        <w:rStyle w:val="PageNumber"/>
      </w:rPr>
      <w:fldChar w:fldCharType="separate"/>
    </w:r>
    <w:r w:rsidRPr="00F52219">
      <w:rPr>
        <w:rStyle w:val="PageNumber"/>
        <w:noProof/>
      </w:rPr>
      <w:t>1</w:t>
    </w:r>
    <w:r w:rsidRPr="00F52219">
      <w:rPr>
        <w:rStyle w:val="PageNumbe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42FB" w14:textId="140866EC" w:rsidR="001D164D" w:rsidRPr="00B809CB" w:rsidRDefault="001D164D" w:rsidP="00B809CB">
    <w:pPr>
      <w:pStyle w:val="Footer"/>
      <w:pBdr>
        <w:top w:val="none" w:sz="0" w:space="0" w:color="auto"/>
      </w:pBdr>
      <w:rPr>
        <w:rStyle w:val="PageNumbe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36F3A" w14:textId="77777777" w:rsidR="001D164D" w:rsidRDefault="001D164D" w:rsidP="00555901">
      <w:r>
        <w:separator/>
      </w:r>
    </w:p>
  </w:footnote>
  <w:footnote w:type="continuationSeparator" w:id="0">
    <w:p w14:paraId="58A3D58E" w14:textId="77777777" w:rsidR="001D164D" w:rsidRDefault="001D164D" w:rsidP="00555901">
      <w:r>
        <w:separator/>
      </w:r>
    </w:p>
    <w:p w14:paraId="2044849A" w14:textId="77777777" w:rsidR="001D164D" w:rsidRPr="00157CA2" w:rsidRDefault="001D164D" w:rsidP="00555901">
      <w:r w:rsidRPr="00157CA2">
        <w:t>(continued)</w:t>
      </w:r>
    </w:p>
  </w:footnote>
  <w:footnote w:type="continuationNotice" w:id="1">
    <w:p w14:paraId="2E366C49" w14:textId="77777777" w:rsidR="001D164D" w:rsidRDefault="001D164D" w:rsidP="00555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2A00" w14:textId="77777777" w:rsidR="001D164D" w:rsidRDefault="001D164D" w:rsidP="00D5675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ABE59" w14:textId="03D3BED5" w:rsidR="001D164D" w:rsidRPr="009F3B0C" w:rsidRDefault="001D164D" w:rsidP="009F3B0C">
    <w:pPr>
      <w:pStyle w:val="Header"/>
      <w:rPr>
        <w:rFonts w:cs="Arial"/>
        <w:i/>
        <w:szCs w:val="14"/>
      </w:rPr>
    </w:pPr>
    <w:r w:rsidRPr="001A0640">
      <w:t xml:space="preserve">CONTRACT NUMBER: </w:t>
    </w:r>
    <w:r w:rsidRPr="00165481">
      <w:t>91990019C0056</w:t>
    </w:r>
    <w:r w:rsidRPr="006F6DD5">
      <w:tab/>
      <w:t>MATHEMATICA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850B" w14:textId="77777777" w:rsidR="001D164D" w:rsidRPr="00C44B5B" w:rsidRDefault="001D164D" w:rsidP="002E3E35">
    <w:pPr>
      <w:pStyle w:val="Header"/>
      <w:rPr>
        <w:rFonts w:cs="Arial"/>
        <w:i/>
        <w:szCs w:val="14"/>
      </w:rPr>
    </w:pPr>
    <w:r w:rsidRPr="00AB5ED3">
      <w:t xml:space="preserve">CONTRACT NUMBER: </w:t>
    </w:r>
    <w:r w:rsidRPr="00165481">
      <w:t>91990019C0056</w:t>
    </w:r>
    <w:r w:rsidRPr="006F6DD5">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8261" w14:textId="5FB044A8" w:rsidR="001D164D" w:rsidRPr="00C44B5B" w:rsidRDefault="001D164D" w:rsidP="00555901">
    <w:pPr>
      <w:pStyle w:val="Header"/>
      <w:rPr>
        <w:rFonts w:cs="Arial"/>
        <w:i/>
        <w:szCs w:val="14"/>
      </w:rPr>
    </w:pPr>
    <w:r w:rsidRPr="0024685E">
      <w:t>C</w:t>
    </w:r>
    <w:r>
      <w:t xml:space="preserve">ONTRACT NUMBER: </w:t>
    </w:r>
    <w:r w:rsidRPr="009C638D">
      <w:t>91990019C0056</w:t>
    </w:r>
    <w:r w:rsidRPr="006F6DD5">
      <w:tab/>
      <w:t>MATHEMATICA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F1B6" w14:textId="77777777" w:rsidR="001D164D" w:rsidRPr="003B7DE2" w:rsidRDefault="001D164D" w:rsidP="00555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D469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D67E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2E82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36BF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C4CD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3CAF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58F632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041A70"/>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56E2D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566EE"/>
    <w:multiLevelType w:val="hybridMultilevel"/>
    <w:tmpl w:val="FAF8AA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1854F90"/>
    <w:multiLevelType w:val="hybridMultilevel"/>
    <w:tmpl w:val="A6EAD5AE"/>
    <w:lvl w:ilvl="0" w:tplc="0B007EDC">
      <w:start w:val="1"/>
      <w:numFmt w:val="lowerLetter"/>
      <w:pStyle w:val="TableListAlpha"/>
      <w:lvlText w:val="%1."/>
      <w:lvlJc w:val="left"/>
      <w:pPr>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B77474"/>
    <w:multiLevelType w:val="hybridMultilevel"/>
    <w:tmpl w:val="B68241AE"/>
    <w:lvl w:ilvl="0" w:tplc="142673E2">
      <w:start w:val="1"/>
      <w:numFmt w:val="upperLetter"/>
      <w:pStyle w:val="H2Chap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53CFC"/>
    <w:multiLevelType w:val="hybridMultilevel"/>
    <w:tmpl w:val="1C1A95E6"/>
    <w:lvl w:ilvl="0" w:tplc="42EE002A">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5F4639"/>
    <w:multiLevelType w:val="hybridMultilevel"/>
    <w:tmpl w:val="DAD24C58"/>
    <w:lvl w:ilvl="0" w:tplc="47E807AC">
      <w:start w:val="1"/>
      <w:numFmt w:val="bullet"/>
      <w:pStyle w:val="Dash"/>
      <w:lvlText w:val="–"/>
      <w:lvlJc w:val="left"/>
      <w:pPr>
        <w:ind w:left="792"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7B26E1"/>
    <w:multiLevelType w:val="hybridMultilevel"/>
    <w:tmpl w:val="7C7AE93C"/>
    <w:lvl w:ilvl="0" w:tplc="DBACCF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3330355"/>
    <w:multiLevelType w:val="hybridMultilevel"/>
    <w:tmpl w:val="AFFA77CE"/>
    <w:lvl w:ilvl="0" w:tplc="99B64D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557A83"/>
    <w:multiLevelType w:val="hybridMultilevel"/>
    <w:tmpl w:val="7A58F1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328C583D"/>
    <w:multiLevelType w:val="hybridMultilevel"/>
    <w:tmpl w:val="818C55C6"/>
    <w:lvl w:ilvl="0" w:tplc="E3AE2276">
      <w:start w:val="1"/>
      <w:numFmt w:val="decimal"/>
      <w:pStyle w:val="Sidebar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E64F69"/>
    <w:multiLevelType w:val="hybridMultilevel"/>
    <w:tmpl w:val="831A0C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9C6048B"/>
    <w:multiLevelType w:val="singleLevel"/>
    <w:tmpl w:val="D1FA07A6"/>
    <w:lvl w:ilvl="0">
      <w:start w:val="1"/>
      <w:numFmt w:val="decimal"/>
      <w:pStyle w:val="NumberedBullet"/>
      <w:lvlText w:val="%1."/>
      <w:lvlJc w:val="left"/>
      <w:pPr>
        <w:tabs>
          <w:tab w:val="num" w:pos="360"/>
        </w:tabs>
        <w:ind w:left="360" w:hanging="360"/>
      </w:pPr>
      <w:rPr>
        <w:rFonts w:hint="default"/>
        <w:b w:val="0"/>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D5801"/>
    <w:multiLevelType w:val="hybridMultilevel"/>
    <w:tmpl w:val="D112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F2C46"/>
    <w:multiLevelType w:val="hybridMultilevel"/>
    <w:tmpl w:val="5FFA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108B4"/>
    <w:multiLevelType w:val="hybridMultilevel"/>
    <w:tmpl w:val="D9064D1C"/>
    <w:lvl w:ilvl="0" w:tplc="96667586">
      <w:start w:val="1"/>
      <w:numFmt w:val="bullet"/>
      <w:pStyle w:val="TableList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6B1375ED"/>
    <w:multiLevelType w:val="hybridMultilevel"/>
    <w:tmpl w:val="A066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32"/>
  </w:num>
  <w:num w:numId="4">
    <w:abstractNumId w:val="15"/>
  </w:num>
  <w:num w:numId="5">
    <w:abstractNumId w:val="31"/>
  </w:num>
  <w:num w:numId="6">
    <w:abstractNumId w:val="28"/>
  </w:num>
  <w:num w:numId="7">
    <w:abstractNumId w:val="23"/>
  </w:num>
  <w:num w:numId="8">
    <w:abstractNumId w:val="19"/>
  </w:num>
  <w:num w:numId="9">
    <w:abstractNumId w:val="9"/>
  </w:num>
  <w:num w:numId="10">
    <w:abstractNumId w:val="13"/>
  </w:num>
  <w:num w:numId="11">
    <w:abstractNumId w:val="14"/>
  </w:num>
  <w:num w:numId="12">
    <w:abstractNumId w:val="17"/>
  </w:num>
  <w:num w:numId="13">
    <w:abstractNumId w:val="27"/>
  </w:num>
  <w:num w:numId="14">
    <w:abstractNumId w:val="6"/>
  </w:num>
  <w:num w:numId="15">
    <w:abstractNumId w:val="8"/>
  </w:num>
  <w:num w:numId="16">
    <w:abstractNumId w:val="11"/>
  </w:num>
  <w:num w:numId="17">
    <w:abstractNumId w:val="20"/>
  </w:num>
  <w:num w:numId="18">
    <w:abstractNumId w:val="10"/>
  </w:num>
  <w:num w:numId="19">
    <w:abstractNumId w:val="21"/>
  </w:num>
  <w:num w:numId="20">
    <w:abstractNumId w:val="18"/>
  </w:num>
  <w:num w:numId="21">
    <w:abstractNumId w:val="22"/>
  </w:num>
  <w:num w:numId="22">
    <w:abstractNumId w:val="29"/>
  </w:num>
  <w:num w:numId="23">
    <w:abstractNumId w:val="26"/>
  </w:num>
  <w:num w:numId="24">
    <w:abstractNumId w:val="25"/>
  </w:num>
  <w:num w:numId="25">
    <w:abstractNumId w:val="7"/>
  </w:num>
  <w:num w:numId="26">
    <w:abstractNumId w:val="5"/>
  </w:num>
  <w:num w:numId="27">
    <w:abstractNumId w:val="4"/>
  </w:num>
  <w:num w:numId="28">
    <w:abstractNumId w:val="3"/>
  </w:num>
  <w:num w:numId="29">
    <w:abstractNumId w:val="2"/>
  </w:num>
  <w:num w:numId="30">
    <w:abstractNumId w:val="1"/>
  </w:num>
  <w:num w:numId="31">
    <w:abstractNumId w:val="0"/>
  </w:num>
  <w:num w:numId="32">
    <w:abstractNumId w:val="12"/>
  </w:num>
  <w:num w:numId="33">
    <w:abstractNumId w:val="12"/>
    <w:lvlOverride w:ilvl="0">
      <w:startOverride w:val="1"/>
    </w:lvlOverride>
  </w:num>
  <w:num w:numId="34">
    <w:abstractNumId w:val="12"/>
    <w:lvlOverride w:ilvl="0">
      <w:startOverride w:val="1"/>
    </w:lvlOverride>
  </w:num>
  <w:num w:numId="3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432"/>
  <w:characterSpacingControl w:val="doNotCompress"/>
  <w:hdrShapeDefaults>
    <o:shapedefaults v:ext="edit" spidmax="133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7IwtDQytzAxNTJW0lEKTi0uzszPAykwNKwFABQJr28tAAAA"/>
  </w:docVars>
  <w:rsids>
    <w:rsidRoot w:val="00586F7E"/>
    <w:rsid w:val="0000039E"/>
    <w:rsid w:val="0000053C"/>
    <w:rsid w:val="00001870"/>
    <w:rsid w:val="00002897"/>
    <w:rsid w:val="000030B1"/>
    <w:rsid w:val="000046AF"/>
    <w:rsid w:val="00004959"/>
    <w:rsid w:val="00004CD4"/>
    <w:rsid w:val="00004EEA"/>
    <w:rsid w:val="00005646"/>
    <w:rsid w:val="00005843"/>
    <w:rsid w:val="00007301"/>
    <w:rsid w:val="00010CEE"/>
    <w:rsid w:val="0001182F"/>
    <w:rsid w:val="00011997"/>
    <w:rsid w:val="00012400"/>
    <w:rsid w:val="00013109"/>
    <w:rsid w:val="00014991"/>
    <w:rsid w:val="000151E6"/>
    <w:rsid w:val="0001587F"/>
    <w:rsid w:val="00016007"/>
    <w:rsid w:val="000168F9"/>
    <w:rsid w:val="00016D34"/>
    <w:rsid w:val="0002088F"/>
    <w:rsid w:val="00020D28"/>
    <w:rsid w:val="000212FC"/>
    <w:rsid w:val="00021302"/>
    <w:rsid w:val="00021E6B"/>
    <w:rsid w:val="00022095"/>
    <w:rsid w:val="00022A0A"/>
    <w:rsid w:val="0002322B"/>
    <w:rsid w:val="00023EB6"/>
    <w:rsid w:val="00025692"/>
    <w:rsid w:val="00026505"/>
    <w:rsid w:val="0002754E"/>
    <w:rsid w:val="00030229"/>
    <w:rsid w:val="00030642"/>
    <w:rsid w:val="0003078D"/>
    <w:rsid w:val="000307FF"/>
    <w:rsid w:val="000319FD"/>
    <w:rsid w:val="00031E31"/>
    <w:rsid w:val="0003203F"/>
    <w:rsid w:val="0003265D"/>
    <w:rsid w:val="00032A2E"/>
    <w:rsid w:val="00032E4E"/>
    <w:rsid w:val="00033064"/>
    <w:rsid w:val="000340C1"/>
    <w:rsid w:val="00034667"/>
    <w:rsid w:val="00036E7F"/>
    <w:rsid w:val="00037554"/>
    <w:rsid w:val="00037B53"/>
    <w:rsid w:val="00037E72"/>
    <w:rsid w:val="0004096C"/>
    <w:rsid w:val="00040AD5"/>
    <w:rsid w:val="00040B2C"/>
    <w:rsid w:val="000423BE"/>
    <w:rsid w:val="00042419"/>
    <w:rsid w:val="00042B47"/>
    <w:rsid w:val="00042FA8"/>
    <w:rsid w:val="00043329"/>
    <w:rsid w:val="00043A1E"/>
    <w:rsid w:val="00043B27"/>
    <w:rsid w:val="00044069"/>
    <w:rsid w:val="0004675D"/>
    <w:rsid w:val="0004704A"/>
    <w:rsid w:val="00047A09"/>
    <w:rsid w:val="00047BDD"/>
    <w:rsid w:val="000505BB"/>
    <w:rsid w:val="00050656"/>
    <w:rsid w:val="00050709"/>
    <w:rsid w:val="0005152E"/>
    <w:rsid w:val="000531FB"/>
    <w:rsid w:val="00054FE7"/>
    <w:rsid w:val="000556A0"/>
    <w:rsid w:val="00056BC1"/>
    <w:rsid w:val="0005719C"/>
    <w:rsid w:val="000575D5"/>
    <w:rsid w:val="000578BB"/>
    <w:rsid w:val="00060579"/>
    <w:rsid w:val="00060849"/>
    <w:rsid w:val="0006191B"/>
    <w:rsid w:val="000633AA"/>
    <w:rsid w:val="00063655"/>
    <w:rsid w:val="000663CD"/>
    <w:rsid w:val="00067844"/>
    <w:rsid w:val="0007041A"/>
    <w:rsid w:val="00073D11"/>
    <w:rsid w:val="000748B7"/>
    <w:rsid w:val="00074D26"/>
    <w:rsid w:val="000750BC"/>
    <w:rsid w:val="00075FE6"/>
    <w:rsid w:val="00076598"/>
    <w:rsid w:val="000777DB"/>
    <w:rsid w:val="000777E5"/>
    <w:rsid w:val="000801B1"/>
    <w:rsid w:val="00081CED"/>
    <w:rsid w:val="00082FC4"/>
    <w:rsid w:val="000837E5"/>
    <w:rsid w:val="00083B31"/>
    <w:rsid w:val="000840F4"/>
    <w:rsid w:val="00084451"/>
    <w:rsid w:val="000855BD"/>
    <w:rsid w:val="00086066"/>
    <w:rsid w:val="00086333"/>
    <w:rsid w:val="0009143A"/>
    <w:rsid w:val="00092670"/>
    <w:rsid w:val="000950B2"/>
    <w:rsid w:val="00095543"/>
    <w:rsid w:val="00095F0B"/>
    <w:rsid w:val="00097177"/>
    <w:rsid w:val="000972E1"/>
    <w:rsid w:val="00097759"/>
    <w:rsid w:val="000A01AC"/>
    <w:rsid w:val="000A028C"/>
    <w:rsid w:val="000A0C1C"/>
    <w:rsid w:val="000A1D93"/>
    <w:rsid w:val="000A2181"/>
    <w:rsid w:val="000A2330"/>
    <w:rsid w:val="000A34D3"/>
    <w:rsid w:val="000A49E0"/>
    <w:rsid w:val="000A4B52"/>
    <w:rsid w:val="000A4FEB"/>
    <w:rsid w:val="000A5219"/>
    <w:rsid w:val="000A57FC"/>
    <w:rsid w:val="000A5A77"/>
    <w:rsid w:val="000A5A8D"/>
    <w:rsid w:val="000A6591"/>
    <w:rsid w:val="000A6A13"/>
    <w:rsid w:val="000A7604"/>
    <w:rsid w:val="000A7605"/>
    <w:rsid w:val="000A7FB4"/>
    <w:rsid w:val="000B0768"/>
    <w:rsid w:val="000B0825"/>
    <w:rsid w:val="000B0E7D"/>
    <w:rsid w:val="000B2170"/>
    <w:rsid w:val="000B3D86"/>
    <w:rsid w:val="000B521D"/>
    <w:rsid w:val="000B555A"/>
    <w:rsid w:val="000B5AFB"/>
    <w:rsid w:val="000B6535"/>
    <w:rsid w:val="000B764C"/>
    <w:rsid w:val="000C04BA"/>
    <w:rsid w:val="000C0E47"/>
    <w:rsid w:val="000C1052"/>
    <w:rsid w:val="000C1FE0"/>
    <w:rsid w:val="000C2D0D"/>
    <w:rsid w:val="000C2E3B"/>
    <w:rsid w:val="000C3861"/>
    <w:rsid w:val="000C413E"/>
    <w:rsid w:val="000C490A"/>
    <w:rsid w:val="000C787B"/>
    <w:rsid w:val="000C7D4D"/>
    <w:rsid w:val="000D0DE6"/>
    <w:rsid w:val="000D0E58"/>
    <w:rsid w:val="000D124C"/>
    <w:rsid w:val="000D24B1"/>
    <w:rsid w:val="000D2664"/>
    <w:rsid w:val="000D542C"/>
    <w:rsid w:val="000D5B34"/>
    <w:rsid w:val="000D6D88"/>
    <w:rsid w:val="000D751A"/>
    <w:rsid w:val="000D77AD"/>
    <w:rsid w:val="000D7E7D"/>
    <w:rsid w:val="000E0694"/>
    <w:rsid w:val="000E1C2B"/>
    <w:rsid w:val="000E1EE3"/>
    <w:rsid w:val="000E204C"/>
    <w:rsid w:val="000E2169"/>
    <w:rsid w:val="000E4766"/>
    <w:rsid w:val="000E4821"/>
    <w:rsid w:val="000E4C3F"/>
    <w:rsid w:val="000E5284"/>
    <w:rsid w:val="000E7CE0"/>
    <w:rsid w:val="000F07B5"/>
    <w:rsid w:val="000F0FB1"/>
    <w:rsid w:val="000F237A"/>
    <w:rsid w:val="000F2E2C"/>
    <w:rsid w:val="000F4D0E"/>
    <w:rsid w:val="000F5698"/>
    <w:rsid w:val="000F677B"/>
    <w:rsid w:val="000F6863"/>
    <w:rsid w:val="000F6CE5"/>
    <w:rsid w:val="00100196"/>
    <w:rsid w:val="001004A7"/>
    <w:rsid w:val="0010121F"/>
    <w:rsid w:val="00101B49"/>
    <w:rsid w:val="00102BF1"/>
    <w:rsid w:val="001039FE"/>
    <w:rsid w:val="001058ED"/>
    <w:rsid w:val="00105912"/>
    <w:rsid w:val="00105FEF"/>
    <w:rsid w:val="001066C8"/>
    <w:rsid w:val="0010685A"/>
    <w:rsid w:val="00106E91"/>
    <w:rsid w:val="001079B3"/>
    <w:rsid w:val="00107F7A"/>
    <w:rsid w:val="00110D6C"/>
    <w:rsid w:val="001119F8"/>
    <w:rsid w:val="00112A5E"/>
    <w:rsid w:val="00113CC8"/>
    <w:rsid w:val="00115584"/>
    <w:rsid w:val="00115EF3"/>
    <w:rsid w:val="00116475"/>
    <w:rsid w:val="001202A4"/>
    <w:rsid w:val="00120812"/>
    <w:rsid w:val="00122315"/>
    <w:rsid w:val="00122C2C"/>
    <w:rsid w:val="0012325A"/>
    <w:rsid w:val="001263C5"/>
    <w:rsid w:val="00126A35"/>
    <w:rsid w:val="00127707"/>
    <w:rsid w:val="00130403"/>
    <w:rsid w:val="001308F2"/>
    <w:rsid w:val="00130C03"/>
    <w:rsid w:val="001311F7"/>
    <w:rsid w:val="00131586"/>
    <w:rsid w:val="0013184F"/>
    <w:rsid w:val="00131D22"/>
    <w:rsid w:val="00131F00"/>
    <w:rsid w:val="001321C7"/>
    <w:rsid w:val="00132277"/>
    <w:rsid w:val="00132800"/>
    <w:rsid w:val="00132F3E"/>
    <w:rsid w:val="00133303"/>
    <w:rsid w:val="0013346F"/>
    <w:rsid w:val="00134876"/>
    <w:rsid w:val="00134E5A"/>
    <w:rsid w:val="00135671"/>
    <w:rsid w:val="00135EB7"/>
    <w:rsid w:val="0013643C"/>
    <w:rsid w:val="00136899"/>
    <w:rsid w:val="0013709C"/>
    <w:rsid w:val="00137855"/>
    <w:rsid w:val="001403A6"/>
    <w:rsid w:val="001405C9"/>
    <w:rsid w:val="001414DD"/>
    <w:rsid w:val="00141516"/>
    <w:rsid w:val="0014189A"/>
    <w:rsid w:val="001423E5"/>
    <w:rsid w:val="00142B6F"/>
    <w:rsid w:val="00143940"/>
    <w:rsid w:val="00143B6C"/>
    <w:rsid w:val="00143BB6"/>
    <w:rsid w:val="001459E1"/>
    <w:rsid w:val="00145EFD"/>
    <w:rsid w:val="00146CE3"/>
    <w:rsid w:val="00146DF3"/>
    <w:rsid w:val="00147515"/>
    <w:rsid w:val="0014786D"/>
    <w:rsid w:val="00147A74"/>
    <w:rsid w:val="00151792"/>
    <w:rsid w:val="001519A1"/>
    <w:rsid w:val="00152F4F"/>
    <w:rsid w:val="0015334E"/>
    <w:rsid w:val="00154B08"/>
    <w:rsid w:val="00154DF1"/>
    <w:rsid w:val="00155D06"/>
    <w:rsid w:val="00155EA2"/>
    <w:rsid w:val="00156411"/>
    <w:rsid w:val="00156866"/>
    <w:rsid w:val="00157510"/>
    <w:rsid w:val="00157CA2"/>
    <w:rsid w:val="00157FEC"/>
    <w:rsid w:val="00160991"/>
    <w:rsid w:val="00161038"/>
    <w:rsid w:val="00161190"/>
    <w:rsid w:val="00162970"/>
    <w:rsid w:val="00163EF0"/>
    <w:rsid w:val="001649D5"/>
    <w:rsid w:val="00164BC2"/>
    <w:rsid w:val="001652ED"/>
    <w:rsid w:val="001653A6"/>
    <w:rsid w:val="00166667"/>
    <w:rsid w:val="001679BB"/>
    <w:rsid w:val="00170398"/>
    <w:rsid w:val="001711F3"/>
    <w:rsid w:val="001715E1"/>
    <w:rsid w:val="001718E8"/>
    <w:rsid w:val="0017198C"/>
    <w:rsid w:val="00171B7B"/>
    <w:rsid w:val="00172FC0"/>
    <w:rsid w:val="001739F1"/>
    <w:rsid w:val="0017442E"/>
    <w:rsid w:val="00174E2C"/>
    <w:rsid w:val="00176EA3"/>
    <w:rsid w:val="00177D17"/>
    <w:rsid w:val="00177DEC"/>
    <w:rsid w:val="00180A7A"/>
    <w:rsid w:val="00181841"/>
    <w:rsid w:val="00181953"/>
    <w:rsid w:val="00181AC8"/>
    <w:rsid w:val="00181CD0"/>
    <w:rsid w:val="00182C11"/>
    <w:rsid w:val="00183FFB"/>
    <w:rsid w:val="00184421"/>
    <w:rsid w:val="00184B5E"/>
    <w:rsid w:val="00185066"/>
    <w:rsid w:val="00185CEF"/>
    <w:rsid w:val="00186925"/>
    <w:rsid w:val="00186C39"/>
    <w:rsid w:val="00187943"/>
    <w:rsid w:val="001921A4"/>
    <w:rsid w:val="00192A73"/>
    <w:rsid w:val="0019354D"/>
    <w:rsid w:val="001945BD"/>
    <w:rsid w:val="00194A0E"/>
    <w:rsid w:val="001955CD"/>
    <w:rsid w:val="001969F1"/>
    <w:rsid w:val="00196E5A"/>
    <w:rsid w:val="00197503"/>
    <w:rsid w:val="001A26D4"/>
    <w:rsid w:val="001A3247"/>
    <w:rsid w:val="001A3781"/>
    <w:rsid w:val="001A3FEA"/>
    <w:rsid w:val="001A7724"/>
    <w:rsid w:val="001A7F10"/>
    <w:rsid w:val="001B107D"/>
    <w:rsid w:val="001B1521"/>
    <w:rsid w:val="001B3596"/>
    <w:rsid w:val="001B4803"/>
    <w:rsid w:val="001B4842"/>
    <w:rsid w:val="001B4C36"/>
    <w:rsid w:val="001B63EB"/>
    <w:rsid w:val="001B645E"/>
    <w:rsid w:val="001B7B04"/>
    <w:rsid w:val="001C06C1"/>
    <w:rsid w:val="001C2921"/>
    <w:rsid w:val="001C5749"/>
    <w:rsid w:val="001C5EB8"/>
    <w:rsid w:val="001C5F51"/>
    <w:rsid w:val="001C643A"/>
    <w:rsid w:val="001C6846"/>
    <w:rsid w:val="001C7FBE"/>
    <w:rsid w:val="001D034C"/>
    <w:rsid w:val="001D0D36"/>
    <w:rsid w:val="001D14E3"/>
    <w:rsid w:val="001D164D"/>
    <w:rsid w:val="001D21D7"/>
    <w:rsid w:val="001D286A"/>
    <w:rsid w:val="001D3544"/>
    <w:rsid w:val="001D39AA"/>
    <w:rsid w:val="001D39EC"/>
    <w:rsid w:val="001D3B09"/>
    <w:rsid w:val="001D418D"/>
    <w:rsid w:val="001D661F"/>
    <w:rsid w:val="001D7B65"/>
    <w:rsid w:val="001E1C69"/>
    <w:rsid w:val="001E2362"/>
    <w:rsid w:val="001E33F7"/>
    <w:rsid w:val="001E3824"/>
    <w:rsid w:val="001E4257"/>
    <w:rsid w:val="001E5924"/>
    <w:rsid w:val="001E5D5F"/>
    <w:rsid w:val="001E6A60"/>
    <w:rsid w:val="001E6E5A"/>
    <w:rsid w:val="001E7BDF"/>
    <w:rsid w:val="001F0024"/>
    <w:rsid w:val="001F0380"/>
    <w:rsid w:val="001F08A6"/>
    <w:rsid w:val="001F37C4"/>
    <w:rsid w:val="001F3DEA"/>
    <w:rsid w:val="001F429B"/>
    <w:rsid w:val="001F5315"/>
    <w:rsid w:val="001F5C9B"/>
    <w:rsid w:val="001F7059"/>
    <w:rsid w:val="001F71DF"/>
    <w:rsid w:val="002014B2"/>
    <w:rsid w:val="00201E7E"/>
    <w:rsid w:val="00203435"/>
    <w:rsid w:val="00203488"/>
    <w:rsid w:val="00203E3B"/>
    <w:rsid w:val="0020447F"/>
    <w:rsid w:val="00204AB9"/>
    <w:rsid w:val="00204B23"/>
    <w:rsid w:val="002050B7"/>
    <w:rsid w:val="00205D58"/>
    <w:rsid w:val="00206383"/>
    <w:rsid w:val="0020656C"/>
    <w:rsid w:val="00206ECE"/>
    <w:rsid w:val="00207AD7"/>
    <w:rsid w:val="0021066A"/>
    <w:rsid w:val="00212762"/>
    <w:rsid w:val="00212AB7"/>
    <w:rsid w:val="002139F9"/>
    <w:rsid w:val="00214E0B"/>
    <w:rsid w:val="00215C5A"/>
    <w:rsid w:val="00215E4D"/>
    <w:rsid w:val="002166BC"/>
    <w:rsid w:val="00217FA0"/>
    <w:rsid w:val="00220B51"/>
    <w:rsid w:val="00220CB2"/>
    <w:rsid w:val="00225954"/>
    <w:rsid w:val="00225A56"/>
    <w:rsid w:val="0022714B"/>
    <w:rsid w:val="002272CB"/>
    <w:rsid w:val="00230360"/>
    <w:rsid w:val="00230918"/>
    <w:rsid w:val="00230B6A"/>
    <w:rsid w:val="00231165"/>
    <w:rsid w:val="00231607"/>
    <w:rsid w:val="00231C65"/>
    <w:rsid w:val="00232DBE"/>
    <w:rsid w:val="00233670"/>
    <w:rsid w:val="002341CE"/>
    <w:rsid w:val="0023586F"/>
    <w:rsid w:val="0023638D"/>
    <w:rsid w:val="00237E22"/>
    <w:rsid w:val="0024012D"/>
    <w:rsid w:val="00240193"/>
    <w:rsid w:val="00240250"/>
    <w:rsid w:val="0024343B"/>
    <w:rsid w:val="0024382B"/>
    <w:rsid w:val="0024432F"/>
    <w:rsid w:val="00244754"/>
    <w:rsid w:val="00245AEA"/>
    <w:rsid w:val="002475F6"/>
    <w:rsid w:val="002478EF"/>
    <w:rsid w:val="00247945"/>
    <w:rsid w:val="00247CFD"/>
    <w:rsid w:val="00247D72"/>
    <w:rsid w:val="002501DD"/>
    <w:rsid w:val="00250C31"/>
    <w:rsid w:val="002542DD"/>
    <w:rsid w:val="00254C89"/>
    <w:rsid w:val="00254E2D"/>
    <w:rsid w:val="00254F46"/>
    <w:rsid w:val="00256B1D"/>
    <w:rsid w:val="00256D04"/>
    <w:rsid w:val="002571BF"/>
    <w:rsid w:val="0026025C"/>
    <w:rsid w:val="00261BB0"/>
    <w:rsid w:val="002625FD"/>
    <w:rsid w:val="00265A9C"/>
    <w:rsid w:val="00265EF9"/>
    <w:rsid w:val="0026713B"/>
    <w:rsid w:val="00270027"/>
    <w:rsid w:val="002704A9"/>
    <w:rsid w:val="002714F6"/>
    <w:rsid w:val="00271C83"/>
    <w:rsid w:val="0027245E"/>
    <w:rsid w:val="0027262E"/>
    <w:rsid w:val="00272B66"/>
    <w:rsid w:val="002732E5"/>
    <w:rsid w:val="002733A4"/>
    <w:rsid w:val="00274228"/>
    <w:rsid w:val="002744B5"/>
    <w:rsid w:val="00274688"/>
    <w:rsid w:val="0027528C"/>
    <w:rsid w:val="0027566E"/>
    <w:rsid w:val="0027731C"/>
    <w:rsid w:val="002808BF"/>
    <w:rsid w:val="0028127F"/>
    <w:rsid w:val="002817A6"/>
    <w:rsid w:val="00281FEC"/>
    <w:rsid w:val="00282055"/>
    <w:rsid w:val="00282861"/>
    <w:rsid w:val="00282F9C"/>
    <w:rsid w:val="00283304"/>
    <w:rsid w:val="0028360E"/>
    <w:rsid w:val="00285B3F"/>
    <w:rsid w:val="002869EF"/>
    <w:rsid w:val="00287643"/>
    <w:rsid w:val="0029011D"/>
    <w:rsid w:val="0029042C"/>
    <w:rsid w:val="00292A7F"/>
    <w:rsid w:val="00292B7B"/>
    <w:rsid w:val="00294B21"/>
    <w:rsid w:val="00295853"/>
    <w:rsid w:val="002967C7"/>
    <w:rsid w:val="00296CCD"/>
    <w:rsid w:val="00297266"/>
    <w:rsid w:val="00297B32"/>
    <w:rsid w:val="002A00E4"/>
    <w:rsid w:val="002A1145"/>
    <w:rsid w:val="002A2808"/>
    <w:rsid w:val="002A2E57"/>
    <w:rsid w:val="002A3D5D"/>
    <w:rsid w:val="002A40E8"/>
    <w:rsid w:val="002A410A"/>
    <w:rsid w:val="002A42E3"/>
    <w:rsid w:val="002A4F27"/>
    <w:rsid w:val="002A4FCB"/>
    <w:rsid w:val="002A61DC"/>
    <w:rsid w:val="002A64F9"/>
    <w:rsid w:val="002A6552"/>
    <w:rsid w:val="002A66C9"/>
    <w:rsid w:val="002B0E82"/>
    <w:rsid w:val="002B23E8"/>
    <w:rsid w:val="002B25CD"/>
    <w:rsid w:val="002B453B"/>
    <w:rsid w:val="002B49C4"/>
    <w:rsid w:val="002B5785"/>
    <w:rsid w:val="002B5843"/>
    <w:rsid w:val="002B7070"/>
    <w:rsid w:val="002B71CD"/>
    <w:rsid w:val="002B72E0"/>
    <w:rsid w:val="002B76AB"/>
    <w:rsid w:val="002B7C37"/>
    <w:rsid w:val="002C0ED5"/>
    <w:rsid w:val="002C111E"/>
    <w:rsid w:val="002C1507"/>
    <w:rsid w:val="002C3679"/>
    <w:rsid w:val="002C3C88"/>
    <w:rsid w:val="002C3CA5"/>
    <w:rsid w:val="002C40A9"/>
    <w:rsid w:val="002C4227"/>
    <w:rsid w:val="002C598D"/>
    <w:rsid w:val="002C616A"/>
    <w:rsid w:val="002C71CA"/>
    <w:rsid w:val="002C7258"/>
    <w:rsid w:val="002D04EB"/>
    <w:rsid w:val="002D262A"/>
    <w:rsid w:val="002D2923"/>
    <w:rsid w:val="002D4824"/>
    <w:rsid w:val="002D638A"/>
    <w:rsid w:val="002D6763"/>
    <w:rsid w:val="002D6D4A"/>
    <w:rsid w:val="002D7B94"/>
    <w:rsid w:val="002E05F6"/>
    <w:rsid w:val="002E06F1"/>
    <w:rsid w:val="002E121D"/>
    <w:rsid w:val="002E1512"/>
    <w:rsid w:val="002E226E"/>
    <w:rsid w:val="002E3E35"/>
    <w:rsid w:val="002E70D2"/>
    <w:rsid w:val="002E7784"/>
    <w:rsid w:val="002F0D2C"/>
    <w:rsid w:val="002F22DD"/>
    <w:rsid w:val="002F297B"/>
    <w:rsid w:val="002F471C"/>
    <w:rsid w:val="002F51A4"/>
    <w:rsid w:val="002F5241"/>
    <w:rsid w:val="002F536F"/>
    <w:rsid w:val="002F5BD8"/>
    <w:rsid w:val="002F60A6"/>
    <w:rsid w:val="002F6304"/>
    <w:rsid w:val="002F6E35"/>
    <w:rsid w:val="002F6F56"/>
    <w:rsid w:val="00300814"/>
    <w:rsid w:val="00300CB3"/>
    <w:rsid w:val="0030242C"/>
    <w:rsid w:val="00302890"/>
    <w:rsid w:val="00302F3C"/>
    <w:rsid w:val="003034A9"/>
    <w:rsid w:val="0030381C"/>
    <w:rsid w:val="00305E2D"/>
    <w:rsid w:val="00306242"/>
    <w:rsid w:val="003062BC"/>
    <w:rsid w:val="00306C95"/>
    <w:rsid w:val="00306F1E"/>
    <w:rsid w:val="0031076C"/>
    <w:rsid w:val="00310CBE"/>
    <w:rsid w:val="003123A9"/>
    <w:rsid w:val="0031341B"/>
    <w:rsid w:val="003156CC"/>
    <w:rsid w:val="0031589F"/>
    <w:rsid w:val="00315DEC"/>
    <w:rsid w:val="00317299"/>
    <w:rsid w:val="0031740A"/>
    <w:rsid w:val="003176C1"/>
    <w:rsid w:val="00317FDB"/>
    <w:rsid w:val="00320A36"/>
    <w:rsid w:val="00321220"/>
    <w:rsid w:val="0032195B"/>
    <w:rsid w:val="003222F3"/>
    <w:rsid w:val="00322444"/>
    <w:rsid w:val="00324D1F"/>
    <w:rsid w:val="003250D8"/>
    <w:rsid w:val="003258AC"/>
    <w:rsid w:val="00325B3E"/>
    <w:rsid w:val="00325FF2"/>
    <w:rsid w:val="003265DD"/>
    <w:rsid w:val="00326958"/>
    <w:rsid w:val="0033012A"/>
    <w:rsid w:val="003308C3"/>
    <w:rsid w:val="00330F06"/>
    <w:rsid w:val="0033120B"/>
    <w:rsid w:val="00331870"/>
    <w:rsid w:val="00331ADC"/>
    <w:rsid w:val="00331D11"/>
    <w:rsid w:val="00332648"/>
    <w:rsid w:val="0033273C"/>
    <w:rsid w:val="00332CA6"/>
    <w:rsid w:val="0033359B"/>
    <w:rsid w:val="00334708"/>
    <w:rsid w:val="00335F3C"/>
    <w:rsid w:val="00337258"/>
    <w:rsid w:val="00337785"/>
    <w:rsid w:val="0034001E"/>
    <w:rsid w:val="00341682"/>
    <w:rsid w:val="00342004"/>
    <w:rsid w:val="003426BF"/>
    <w:rsid w:val="00342994"/>
    <w:rsid w:val="00343B62"/>
    <w:rsid w:val="00343D01"/>
    <w:rsid w:val="003444C7"/>
    <w:rsid w:val="00344F97"/>
    <w:rsid w:val="00345556"/>
    <w:rsid w:val="00345CF4"/>
    <w:rsid w:val="00345F1D"/>
    <w:rsid w:val="00345F85"/>
    <w:rsid w:val="00346E5F"/>
    <w:rsid w:val="00347180"/>
    <w:rsid w:val="00347484"/>
    <w:rsid w:val="00347EDC"/>
    <w:rsid w:val="00352020"/>
    <w:rsid w:val="00352309"/>
    <w:rsid w:val="0035305E"/>
    <w:rsid w:val="003532F2"/>
    <w:rsid w:val="003536EB"/>
    <w:rsid w:val="00353CB6"/>
    <w:rsid w:val="0035526C"/>
    <w:rsid w:val="0035584C"/>
    <w:rsid w:val="00355854"/>
    <w:rsid w:val="00356D12"/>
    <w:rsid w:val="0035745C"/>
    <w:rsid w:val="00357B5C"/>
    <w:rsid w:val="003617DA"/>
    <w:rsid w:val="00361FA2"/>
    <w:rsid w:val="00362F96"/>
    <w:rsid w:val="0036332E"/>
    <w:rsid w:val="00363410"/>
    <w:rsid w:val="00363A19"/>
    <w:rsid w:val="00364781"/>
    <w:rsid w:val="00364BC9"/>
    <w:rsid w:val="0036548C"/>
    <w:rsid w:val="003656C4"/>
    <w:rsid w:val="00366F93"/>
    <w:rsid w:val="003671F7"/>
    <w:rsid w:val="003677DE"/>
    <w:rsid w:val="00370490"/>
    <w:rsid w:val="00370BC5"/>
    <w:rsid w:val="00370D5B"/>
    <w:rsid w:val="003715A9"/>
    <w:rsid w:val="00373940"/>
    <w:rsid w:val="00373B05"/>
    <w:rsid w:val="003743AD"/>
    <w:rsid w:val="0037608B"/>
    <w:rsid w:val="00376B8B"/>
    <w:rsid w:val="00376EE6"/>
    <w:rsid w:val="0037791E"/>
    <w:rsid w:val="00380367"/>
    <w:rsid w:val="00380941"/>
    <w:rsid w:val="00381AB0"/>
    <w:rsid w:val="003838A3"/>
    <w:rsid w:val="00384A00"/>
    <w:rsid w:val="00384B74"/>
    <w:rsid w:val="00384E5E"/>
    <w:rsid w:val="00385492"/>
    <w:rsid w:val="00387C3D"/>
    <w:rsid w:val="00390E33"/>
    <w:rsid w:val="0039116C"/>
    <w:rsid w:val="00391383"/>
    <w:rsid w:val="00391785"/>
    <w:rsid w:val="003920DF"/>
    <w:rsid w:val="003921CA"/>
    <w:rsid w:val="00392510"/>
    <w:rsid w:val="00392614"/>
    <w:rsid w:val="00394544"/>
    <w:rsid w:val="00394A40"/>
    <w:rsid w:val="00394DAA"/>
    <w:rsid w:val="00395D58"/>
    <w:rsid w:val="00395E4F"/>
    <w:rsid w:val="0039603D"/>
    <w:rsid w:val="003969F2"/>
    <w:rsid w:val="00396FD7"/>
    <w:rsid w:val="003A0C7A"/>
    <w:rsid w:val="003A125B"/>
    <w:rsid w:val="003A1388"/>
    <w:rsid w:val="003A16DA"/>
    <w:rsid w:val="003A3ADA"/>
    <w:rsid w:val="003A3D07"/>
    <w:rsid w:val="003A501E"/>
    <w:rsid w:val="003A5838"/>
    <w:rsid w:val="003A63C1"/>
    <w:rsid w:val="003A7268"/>
    <w:rsid w:val="003A79BC"/>
    <w:rsid w:val="003A7F06"/>
    <w:rsid w:val="003B0971"/>
    <w:rsid w:val="003B2655"/>
    <w:rsid w:val="003B298A"/>
    <w:rsid w:val="003B2ADA"/>
    <w:rsid w:val="003B2BE8"/>
    <w:rsid w:val="003B458D"/>
    <w:rsid w:val="003B6535"/>
    <w:rsid w:val="003B6FB5"/>
    <w:rsid w:val="003B74F5"/>
    <w:rsid w:val="003C052F"/>
    <w:rsid w:val="003C0902"/>
    <w:rsid w:val="003C0A1E"/>
    <w:rsid w:val="003C27CF"/>
    <w:rsid w:val="003C2A53"/>
    <w:rsid w:val="003C2A56"/>
    <w:rsid w:val="003C2C9E"/>
    <w:rsid w:val="003C33F5"/>
    <w:rsid w:val="003C3464"/>
    <w:rsid w:val="003C38EC"/>
    <w:rsid w:val="003C3D79"/>
    <w:rsid w:val="003C43DE"/>
    <w:rsid w:val="003C4529"/>
    <w:rsid w:val="003C4EAC"/>
    <w:rsid w:val="003C54AC"/>
    <w:rsid w:val="003C597F"/>
    <w:rsid w:val="003C5FE1"/>
    <w:rsid w:val="003D0207"/>
    <w:rsid w:val="003D0E94"/>
    <w:rsid w:val="003D10C1"/>
    <w:rsid w:val="003D1BE8"/>
    <w:rsid w:val="003D20E5"/>
    <w:rsid w:val="003D3473"/>
    <w:rsid w:val="003D7997"/>
    <w:rsid w:val="003D7CBF"/>
    <w:rsid w:val="003E090B"/>
    <w:rsid w:val="003E1520"/>
    <w:rsid w:val="003E21DB"/>
    <w:rsid w:val="003E2C8A"/>
    <w:rsid w:val="003E3505"/>
    <w:rsid w:val="003E418E"/>
    <w:rsid w:val="003E44D5"/>
    <w:rsid w:val="003E4C8A"/>
    <w:rsid w:val="003E6C61"/>
    <w:rsid w:val="003E73C9"/>
    <w:rsid w:val="003E7979"/>
    <w:rsid w:val="003F0063"/>
    <w:rsid w:val="003F17E4"/>
    <w:rsid w:val="003F1E2C"/>
    <w:rsid w:val="003F3A35"/>
    <w:rsid w:val="003F40AF"/>
    <w:rsid w:val="003F4ADD"/>
    <w:rsid w:val="003F4E29"/>
    <w:rsid w:val="003F5C65"/>
    <w:rsid w:val="003F69D1"/>
    <w:rsid w:val="003F7027"/>
    <w:rsid w:val="003F71F8"/>
    <w:rsid w:val="003F7D6D"/>
    <w:rsid w:val="00400699"/>
    <w:rsid w:val="00402232"/>
    <w:rsid w:val="00402706"/>
    <w:rsid w:val="00403024"/>
    <w:rsid w:val="00403629"/>
    <w:rsid w:val="00405C6F"/>
    <w:rsid w:val="0040643C"/>
    <w:rsid w:val="00406760"/>
    <w:rsid w:val="0041026A"/>
    <w:rsid w:val="004107DD"/>
    <w:rsid w:val="0041134E"/>
    <w:rsid w:val="00411943"/>
    <w:rsid w:val="00412C4D"/>
    <w:rsid w:val="00413717"/>
    <w:rsid w:val="00413779"/>
    <w:rsid w:val="00414E3E"/>
    <w:rsid w:val="00414F11"/>
    <w:rsid w:val="00414F1B"/>
    <w:rsid w:val="0041630C"/>
    <w:rsid w:val="004173C9"/>
    <w:rsid w:val="00420082"/>
    <w:rsid w:val="00421391"/>
    <w:rsid w:val="00421424"/>
    <w:rsid w:val="00421AC6"/>
    <w:rsid w:val="00422E95"/>
    <w:rsid w:val="00426F6E"/>
    <w:rsid w:val="004303D7"/>
    <w:rsid w:val="00430A83"/>
    <w:rsid w:val="00431084"/>
    <w:rsid w:val="00432D19"/>
    <w:rsid w:val="004340B2"/>
    <w:rsid w:val="004353FA"/>
    <w:rsid w:val="00435539"/>
    <w:rsid w:val="00436B58"/>
    <w:rsid w:val="00436BEA"/>
    <w:rsid w:val="00437868"/>
    <w:rsid w:val="00437BDF"/>
    <w:rsid w:val="004406E3"/>
    <w:rsid w:val="00441B3C"/>
    <w:rsid w:val="00441DD5"/>
    <w:rsid w:val="0044280C"/>
    <w:rsid w:val="0044335E"/>
    <w:rsid w:val="00444BF3"/>
    <w:rsid w:val="00446718"/>
    <w:rsid w:val="00446C1B"/>
    <w:rsid w:val="00447EF7"/>
    <w:rsid w:val="004533DB"/>
    <w:rsid w:val="00453E27"/>
    <w:rsid w:val="00455D47"/>
    <w:rsid w:val="004568F3"/>
    <w:rsid w:val="00457218"/>
    <w:rsid w:val="0046082C"/>
    <w:rsid w:val="004620FF"/>
    <w:rsid w:val="00462212"/>
    <w:rsid w:val="004629A0"/>
    <w:rsid w:val="00464B7F"/>
    <w:rsid w:val="00464F0F"/>
    <w:rsid w:val="0046502E"/>
    <w:rsid w:val="00465498"/>
    <w:rsid w:val="004655C1"/>
    <w:rsid w:val="00465789"/>
    <w:rsid w:val="004662C5"/>
    <w:rsid w:val="00466491"/>
    <w:rsid w:val="004705DC"/>
    <w:rsid w:val="004729D8"/>
    <w:rsid w:val="00473BE0"/>
    <w:rsid w:val="00476FF2"/>
    <w:rsid w:val="00480307"/>
    <w:rsid w:val="00480779"/>
    <w:rsid w:val="00483199"/>
    <w:rsid w:val="00484065"/>
    <w:rsid w:val="0048482F"/>
    <w:rsid w:val="00484AAB"/>
    <w:rsid w:val="0048597E"/>
    <w:rsid w:val="00485A26"/>
    <w:rsid w:val="00486714"/>
    <w:rsid w:val="00486798"/>
    <w:rsid w:val="004867C2"/>
    <w:rsid w:val="00486E14"/>
    <w:rsid w:val="00487A54"/>
    <w:rsid w:val="004908D2"/>
    <w:rsid w:val="00490A93"/>
    <w:rsid w:val="004910B1"/>
    <w:rsid w:val="0049195D"/>
    <w:rsid w:val="00491AB9"/>
    <w:rsid w:val="004925CF"/>
    <w:rsid w:val="0049270B"/>
    <w:rsid w:val="00492987"/>
    <w:rsid w:val="00492C86"/>
    <w:rsid w:val="004934BE"/>
    <w:rsid w:val="0049370B"/>
    <w:rsid w:val="00493AC9"/>
    <w:rsid w:val="004951A3"/>
    <w:rsid w:val="004958A5"/>
    <w:rsid w:val="00495DE3"/>
    <w:rsid w:val="00496185"/>
    <w:rsid w:val="0049726E"/>
    <w:rsid w:val="004975BF"/>
    <w:rsid w:val="004A0751"/>
    <w:rsid w:val="004A1EBC"/>
    <w:rsid w:val="004A266A"/>
    <w:rsid w:val="004A33B7"/>
    <w:rsid w:val="004A40FA"/>
    <w:rsid w:val="004A4935"/>
    <w:rsid w:val="004A4DBD"/>
    <w:rsid w:val="004A5330"/>
    <w:rsid w:val="004A55AC"/>
    <w:rsid w:val="004B08BE"/>
    <w:rsid w:val="004B0A9D"/>
    <w:rsid w:val="004B17EE"/>
    <w:rsid w:val="004B182C"/>
    <w:rsid w:val="004B1C3C"/>
    <w:rsid w:val="004B2643"/>
    <w:rsid w:val="004B28C4"/>
    <w:rsid w:val="004B47D3"/>
    <w:rsid w:val="004B4A87"/>
    <w:rsid w:val="004B5399"/>
    <w:rsid w:val="004B618F"/>
    <w:rsid w:val="004B6BB5"/>
    <w:rsid w:val="004B79A9"/>
    <w:rsid w:val="004C0715"/>
    <w:rsid w:val="004C1D82"/>
    <w:rsid w:val="004C24D1"/>
    <w:rsid w:val="004C2A2F"/>
    <w:rsid w:val="004C2A6B"/>
    <w:rsid w:val="004C2DCC"/>
    <w:rsid w:val="004C2F42"/>
    <w:rsid w:val="004C3DCF"/>
    <w:rsid w:val="004C44EF"/>
    <w:rsid w:val="004C470D"/>
    <w:rsid w:val="004C498B"/>
    <w:rsid w:val="004C66C2"/>
    <w:rsid w:val="004C67B1"/>
    <w:rsid w:val="004C77A5"/>
    <w:rsid w:val="004D0395"/>
    <w:rsid w:val="004D169B"/>
    <w:rsid w:val="004D1A58"/>
    <w:rsid w:val="004D1DCB"/>
    <w:rsid w:val="004D1EAA"/>
    <w:rsid w:val="004D2C35"/>
    <w:rsid w:val="004D3A69"/>
    <w:rsid w:val="004D4440"/>
    <w:rsid w:val="004D4762"/>
    <w:rsid w:val="004D5F64"/>
    <w:rsid w:val="004D6513"/>
    <w:rsid w:val="004D6B97"/>
    <w:rsid w:val="004D7605"/>
    <w:rsid w:val="004E049B"/>
    <w:rsid w:val="004E14D3"/>
    <w:rsid w:val="004E2C98"/>
    <w:rsid w:val="004E513B"/>
    <w:rsid w:val="004E529E"/>
    <w:rsid w:val="004E69F7"/>
    <w:rsid w:val="004E7409"/>
    <w:rsid w:val="004E74D1"/>
    <w:rsid w:val="004E7731"/>
    <w:rsid w:val="004E7A50"/>
    <w:rsid w:val="004E7C04"/>
    <w:rsid w:val="004F034F"/>
    <w:rsid w:val="004F039D"/>
    <w:rsid w:val="004F0D42"/>
    <w:rsid w:val="004F25D4"/>
    <w:rsid w:val="004F28D7"/>
    <w:rsid w:val="004F2BAC"/>
    <w:rsid w:val="004F36C4"/>
    <w:rsid w:val="004F37FF"/>
    <w:rsid w:val="004F3DC0"/>
    <w:rsid w:val="004F6FB1"/>
    <w:rsid w:val="004F7564"/>
    <w:rsid w:val="00500104"/>
    <w:rsid w:val="0050037F"/>
    <w:rsid w:val="0050038C"/>
    <w:rsid w:val="00500A0C"/>
    <w:rsid w:val="00500ACD"/>
    <w:rsid w:val="005023CA"/>
    <w:rsid w:val="00502669"/>
    <w:rsid w:val="0050386F"/>
    <w:rsid w:val="005039C3"/>
    <w:rsid w:val="005047BF"/>
    <w:rsid w:val="00504DE2"/>
    <w:rsid w:val="00505804"/>
    <w:rsid w:val="00505DA0"/>
    <w:rsid w:val="00506F79"/>
    <w:rsid w:val="00507BCB"/>
    <w:rsid w:val="005102A4"/>
    <w:rsid w:val="00511240"/>
    <w:rsid w:val="00511D22"/>
    <w:rsid w:val="0051490E"/>
    <w:rsid w:val="0051511D"/>
    <w:rsid w:val="00516B78"/>
    <w:rsid w:val="00517519"/>
    <w:rsid w:val="00521D64"/>
    <w:rsid w:val="00522A60"/>
    <w:rsid w:val="005239BE"/>
    <w:rsid w:val="00523A24"/>
    <w:rsid w:val="00524C68"/>
    <w:rsid w:val="005257EC"/>
    <w:rsid w:val="00525B1C"/>
    <w:rsid w:val="00526576"/>
    <w:rsid w:val="00526A91"/>
    <w:rsid w:val="00526D08"/>
    <w:rsid w:val="00526E73"/>
    <w:rsid w:val="005324ED"/>
    <w:rsid w:val="0053361E"/>
    <w:rsid w:val="0053423A"/>
    <w:rsid w:val="00535221"/>
    <w:rsid w:val="005352E6"/>
    <w:rsid w:val="0053540D"/>
    <w:rsid w:val="005357D1"/>
    <w:rsid w:val="00535E15"/>
    <w:rsid w:val="005367FC"/>
    <w:rsid w:val="00536F08"/>
    <w:rsid w:val="00537E01"/>
    <w:rsid w:val="005400FC"/>
    <w:rsid w:val="00540352"/>
    <w:rsid w:val="005403E8"/>
    <w:rsid w:val="00540E81"/>
    <w:rsid w:val="0054178C"/>
    <w:rsid w:val="005417B0"/>
    <w:rsid w:val="00542A97"/>
    <w:rsid w:val="00543DA3"/>
    <w:rsid w:val="00546F4A"/>
    <w:rsid w:val="00547D11"/>
    <w:rsid w:val="00550094"/>
    <w:rsid w:val="00550153"/>
    <w:rsid w:val="00550D4F"/>
    <w:rsid w:val="00551B2F"/>
    <w:rsid w:val="00551D48"/>
    <w:rsid w:val="00552783"/>
    <w:rsid w:val="005547CA"/>
    <w:rsid w:val="005554FE"/>
    <w:rsid w:val="00555901"/>
    <w:rsid w:val="00555F68"/>
    <w:rsid w:val="005565EC"/>
    <w:rsid w:val="005567B9"/>
    <w:rsid w:val="005576A2"/>
    <w:rsid w:val="005576F8"/>
    <w:rsid w:val="005600C8"/>
    <w:rsid w:val="005602DF"/>
    <w:rsid w:val="00560D9D"/>
    <w:rsid w:val="00561122"/>
    <w:rsid w:val="00561604"/>
    <w:rsid w:val="00561F0C"/>
    <w:rsid w:val="005620CE"/>
    <w:rsid w:val="00562F63"/>
    <w:rsid w:val="0056559A"/>
    <w:rsid w:val="005666D8"/>
    <w:rsid w:val="00570301"/>
    <w:rsid w:val="005720EB"/>
    <w:rsid w:val="00572DC8"/>
    <w:rsid w:val="00573B0C"/>
    <w:rsid w:val="00574689"/>
    <w:rsid w:val="005749F3"/>
    <w:rsid w:val="00574C26"/>
    <w:rsid w:val="005753A3"/>
    <w:rsid w:val="005760E0"/>
    <w:rsid w:val="00577219"/>
    <w:rsid w:val="005808E4"/>
    <w:rsid w:val="00580A6C"/>
    <w:rsid w:val="00580B76"/>
    <w:rsid w:val="00581968"/>
    <w:rsid w:val="00581FCB"/>
    <w:rsid w:val="00582174"/>
    <w:rsid w:val="00582BCA"/>
    <w:rsid w:val="005837E2"/>
    <w:rsid w:val="00584F34"/>
    <w:rsid w:val="00585271"/>
    <w:rsid w:val="00585C0F"/>
    <w:rsid w:val="00585EB2"/>
    <w:rsid w:val="00585F60"/>
    <w:rsid w:val="005860D2"/>
    <w:rsid w:val="0058633A"/>
    <w:rsid w:val="00586D6C"/>
    <w:rsid w:val="00586F7E"/>
    <w:rsid w:val="0058778F"/>
    <w:rsid w:val="005903AC"/>
    <w:rsid w:val="0059103D"/>
    <w:rsid w:val="005912E2"/>
    <w:rsid w:val="00593034"/>
    <w:rsid w:val="005944B1"/>
    <w:rsid w:val="005965E2"/>
    <w:rsid w:val="00596FC0"/>
    <w:rsid w:val="005975FE"/>
    <w:rsid w:val="00597867"/>
    <w:rsid w:val="00597F37"/>
    <w:rsid w:val="00597F79"/>
    <w:rsid w:val="005A151B"/>
    <w:rsid w:val="005A1829"/>
    <w:rsid w:val="005A34DD"/>
    <w:rsid w:val="005A36A3"/>
    <w:rsid w:val="005A3D6A"/>
    <w:rsid w:val="005A4515"/>
    <w:rsid w:val="005A5605"/>
    <w:rsid w:val="005A6D42"/>
    <w:rsid w:val="005A7821"/>
    <w:rsid w:val="005A7899"/>
    <w:rsid w:val="005A7F69"/>
    <w:rsid w:val="005B13BD"/>
    <w:rsid w:val="005B3BFB"/>
    <w:rsid w:val="005B3EE0"/>
    <w:rsid w:val="005B45B6"/>
    <w:rsid w:val="005B4C9A"/>
    <w:rsid w:val="005B4CB6"/>
    <w:rsid w:val="005B54F5"/>
    <w:rsid w:val="005B654A"/>
    <w:rsid w:val="005B6C2D"/>
    <w:rsid w:val="005B6F8F"/>
    <w:rsid w:val="005C0915"/>
    <w:rsid w:val="005C1121"/>
    <w:rsid w:val="005C21BC"/>
    <w:rsid w:val="005C2E96"/>
    <w:rsid w:val="005C326E"/>
    <w:rsid w:val="005C40D5"/>
    <w:rsid w:val="005C40E0"/>
    <w:rsid w:val="005C4671"/>
    <w:rsid w:val="005C4C56"/>
    <w:rsid w:val="005C55DC"/>
    <w:rsid w:val="005C619B"/>
    <w:rsid w:val="005C63C9"/>
    <w:rsid w:val="005D0BD9"/>
    <w:rsid w:val="005D0CA3"/>
    <w:rsid w:val="005D0CF6"/>
    <w:rsid w:val="005D1DEB"/>
    <w:rsid w:val="005D2E74"/>
    <w:rsid w:val="005D43D1"/>
    <w:rsid w:val="005D4DC0"/>
    <w:rsid w:val="005D51C5"/>
    <w:rsid w:val="005D5D21"/>
    <w:rsid w:val="005D6BE7"/>
    <w:rsid w:val="005D71BC"/>
    <w:rsid w:val="005E0760"/>
    <w:rsid w:val="005E1FDA"/>
    <w:rsid w:val="005E296A"/>
    <w:rsid w:val="005E2B24"/>
    <w:rsid w:val="005E3513"/>
    <w:rsid w:val="005E3828"/>
    <w:rsid w:val="005E3961"/>
    <w:rsid w:val="005E4527"/>
    <w:rsid w:val="005E454D"/>
    <w:rsid w:val="005F0F4C"/>
    <w:rsid w:val="005F2306"/>
    <w:rsid w:val="005F2746"/>
    <w:rsid w:val="005F28ED"/>
    <w:rsid w:val="005F41BA"/>
    <w:rsid w:val="005F44E2"/>
    <w:rsid w:val="005F4605"/>
    <w:rsid w:val="005F5DC1"/>
    <w:rsid w:val="005F69E7"/>
    <w:rsid w:val="005F6F8C"/>
    <w:rsid w:val="005F7ADD"/>
    <w:rsid w:val="005F7FEA"/>
    <w:rsid w:val="005F7FFD"/>
    <w:rsid w:val="00605131"/>
    <w:rsid w:val="00605469"/>
    <w:rsid w:val="006075CC"/>
    <w:rsid w:val="0061070A"/>
    <w:rsid w:val="00610A7B"/>
    <w:rsid w:val="00610C34"/>
    <w:rsid w:val="006116F3"/>
    <w:rsid w:val="0061197F"/>
    <w:rsid w:val="00612546"/>
    <w:rsid w:val="00612A5D"/>
    <w:rsid w:val="006139CD"/>
    <w:rsid w:val="00613DD6"/>
    <w:rsid w:val="00614B32"/>
    <w:rsid w:val="00615050"/>
    <w:rsid w:val="00615388"/>
    <w:rsid w:val="00615917"/>
    <w:rsid w:val="00616785"/>
    <w:rsid w:val="00616DE6"/>
    <w:rsid w:val="006174CD"/>
    <w:rsid w:val="00617BE7"/>
    <w:rsid w:val="0062141B"/>
    <w:rsid w:val="0062179D"/>
    <w:rsid w:val="00621E80"/>
    <w:rsid w:val="00622372"/>
    <w:rsid w:val="00622B3B"/>
    <w:rsid w:val="00622B75"/>
    <w:rsid w:val="006236FB"/>
    <w:rsid w:val="00623E13"/>
    <w:rsid w:val="0062513E"/>
    <w:rsid w:val="0062545D"/>
    <w:rsid w:val="00625E6B"/>
    <w:rsid w:val="00627720"/>
    <w:rsid w:val="00632049"/>
    <w:rsid w:val="006339EB"/>
    <w:rsid w:val="00633E77"/>
    <w:rsid w:val="0063644E"/>
    <w:rsid w:val="00636957"/>
    <w:rsid w:val="00636D6D"/>
    <w:rsid w:val="006371A1"/>
    <w:rsid w:val="00637B8B"/>
    <w:rsid w:val="006404FF"/>
    <w:rsid w:val="006409C9"/>
    <w:rsid w:val="006417C0"/>
    <w:rsid w:val="00645033"/>
    <w:rsid w:val="00646C30"/>
    <w:rsid w:val="00647400"/>
    <w:rsid w:val="00651AE2"/>
    <w:rsid w:val="00651B4D"/>
    <w:rsid w:val="00651B7E"/>
    <w:rsid w:val="0065371E"/>
    <w:rsid w:val="00654493"/>
    <w:rsid w:val="006546CD"/>
    <w:rsid w:val="0065488C"/>
    <w:rsid w:val="006565C3"/>
    <w:rsid w:val="00656E40"/>
    <w:rsid w:val="00657018"/>
    <w:rsid w:val="006572BF"/>
    <w:rsid w:val="0066014E"/>
    <w:rsid w:val="0066062F"/>
    <w:rsid w:val="0066148A"/>
    <w:rsid w:val="00661C88"/>
    <w:rsid w:val="006620E7"/>
    <w:rsid w:val="0066273C"/>
    <w:rsid w:val="00662A49"/>
    <w:rsid w:val="00662D74"/>
    <w:rsid w:val="00663FB4"/>
    <w:rsid w:val="00664D8E"/>
    <w:rsid w:val="0067022C"/>
    <w:rsid w:val="0067089B"/>
    <w:rsid w:val="00671099"/>
    <w:rsid w:val="0067358F"/>
    <w:rsid w:val="0067395C"/>
    <w:rsid w:val="00676086"/>
    <w:rsid w:val="00676831"/>
    <w:rsid w:val="00676A56"/>
    <w:rsid w:val="006801B4"/>
    <w:rsid w:val="00680985"/>
    <w:rsid w:val="0068215C"/>
    <w:rsid w:val="0068230E"/>
    <w:rsid w:val="00682455"/>
    <w:rsid w:val="006825ED"/>
    <w:rsid w:val="00682E19"/>
    <w:rsid w:val="00683F0C"/>
    <w:rsid w:val="00685BF2"/>
    <w:rsid w:val="006922E9"/>
    <w:rsid w:val="00694129"/>
    <w:rsid w:val="00694313"/>
    <w:rsid w:val="006948A0"/>
    <w:rsid w:val="0069500B"/>
    <w:rsid w:val="00695017"/>
    <w:rsid w:val="00695B2A"/>
    <w:rsid w:val="00696B0B"/>
    <w:rsid w:val="00696B69"/>
    <w:rsid w:val="00697987"/>
    <w:rsid w:val="0069799C"/>
    <w:rsid w:val="00697E5B"/>
    <w:rsid w:val="006A0BDF"/>
    <w:rsid w:val="006A16C2"/>
    <w:rsid w:val="006A1D3F"/>
    <w:rsid w:val="006A3DAC"/>
    <w:rsid w:val="006A465C"/>
    <w:rsid w:val="006A4FFC"/>
    <w:rsid w:val="006A5EFE"/>
    <w:rsid w:val="006A613C"/>
    <w:rsid w:val="006A629F"/>
    <w:rsid w:val="006A6990"/>
    <w:rsid w:val="006A6D7D"/>
    <w:rsid w:val="006A73F8"/>
    <w:rsid w:val="006A7982"/>
    <w:rsid w:val="006B0B6A"/>
    <w:rsid w:val="006B0F48"/>
    <w:rsid w:val="006B1180"/>
    <w:rsid w:val="006B1E16"/>
    <w:rsid w:val="006B2425"/>
    <w:rsid w:val="006B2483"/>
    <w:rsid w:val="006B2838"/>
    <w:rsid w:val="006B3A54"/>
    <w:rsid w:val="006B4E3F"/>
    <w:rsid w:val="006B56A1"/>
    <w:rsid w:val="006B6388"/>
    <w:rsid w:val="006B6AFD"/>
    <w:rsid w:val="006B6D4A"/>
    <w:rsid w:val="006B78A9"/>
    <w:rsid w:val="006C03BB"/>
    <w:rsid w:val="006C07F4"/>
    <w:rsid w:val="006C1D90"/>
    <w:rsid w:val="006C2620"/>
    <w:rsid w:val="006C2D3C"/>
    <w:rsid w:val="006C31C9"/>
    <w:rsid w:val="006C32AC"/>
    <w:rsid w:val="006C3304"/>
    <w:rsid w:val="006C4B56"/>
    <w:rsid w:val="006C718B"/>
    <w:rsid w:val="006C71DE"/>
    <w:rsid w:val="006C7956"/>
    <w:rsid w:val="006D004C"/>
    <w:rsid w:val="006D03BB"/>
    <w:rsid w:val="006D1B53"/>
    <w:rsid w:val="006D1E39"/>
    <w:rsid w:val="006D21FF"/>
    <w:rsid w:val="006D2635"/>
    <w:rsid w:val="006D2B81"/>
    <w:rsid w:val="006D583F"/>
    <w:rsid w:val="006D6092"/>
    <w:rsid w:val="006D6304"/>
    <w:rsid w:val="006D6546"/>
    <w:rsid w:val="006D680C"/>
    <w:rsid w:val="006D7B28"/>
    <w:rsid w:val="006E0936"/>
    <w:rsid w:val="006E18C0"/>
    <w:rsid w:val="006E18C4"/>
    <w:rsid w:val="006E253E"/>
    <w:rsid w:val="006E2C1C"/>
    <w:rsid w:val="006E2D64"/>
    <w:rsid w:val="006E3BD4"/>
    <w:rsid w:val="006E4164"/>
    <w:rsid w:val="006E4B45"/>
    <w:rsid w:val="006E4E0C"/>
    <w:rsid w:val="006E4E5F"/>
    <w:rsid w:val="006E504E"/>
    <w:rsid w:val="006E5A0C"/>
    <w:rsid w:val="006E5B0A"/>
    <w:rsid w:val="006E5CBB"/>
    <w:rsid w:val="006E5FE5"/>
    <w:rsid w:val="006E7144"/>
    <w:rsid w:val="006E75FE"/>
    <w:rsid w:val="006E7C6F"/>
    <w:rsid w:val="006F088B"/>
    <w:rsid w:val="006F16F6"/>
    <w:rsid w:val="006F18C2"/>
    <w:rsid w:val="006F265F"/>
    <w:rsid w:val="006F2E09"/>
    <w:rsid w:val="006F2F3B"/>
    <w:rsid w:val="006F3FEB"/>
    <w:rsid w:val="006F4AFC"/>
    <w:rsid w:val="006F4DFB"/>
    <w:rsid w:val="006F508D"/>
    <w:rsid w:val="006F730C"/>
    <w:rsid w:val="006F73F3"/>
    <w:rsid w:val="006F7753"/>
    <w:rsid w:val="006F7E43"/>
    <w:rsid w:val="00700DDD"/>
    <w:rsid w:val="00700E7A"/>
    <w:rsid w:val="00701834"/>
    <w:rsid w:val="00701851"/>
    <w:rsid w:val="00702794"/>
    <w:rsid w:val="00702961"/>
    <w:rsid w:val="00702EB1"/>
    <w:rsid w:val="00702F11"/>
    <w:rsid w:val="007031B1"/>
    <w:rsid w:val="007043FD"/>
    <w:rsid w:val="00705609"/>
    <w:rsid w:val="00706DEE"/>
    <w:rsid w:val="00707736"/>
    <w:rsid w:val="00707BA6"/>
    <w:rsid w:val="00710388"/>
    <w:rsid w:val="00710E1D"/>
    <w:rsid w:val="00711B96"/>
    <w:rsid w:val="0071359E"/>
    <w:rsid w:val="00715F80"/>
    <w:rsid w:val="00716684"/>
    <w:rsid w:val="00716DB7"/>
    <w:rsid w:val="00717BC6"/>
    <w:rsid w:val="00717F26"/>
    <w:rsid w:val="00721072"/>
    <w:rsid w:val="007214A2"/>
    <w:rsid w:val="007222A0"/>
    <w:rsid w:val="00722F86"/>
    <w:rsid w:val="00723A20"/>
    <w:rsid w:val="007267DD"/>
    <w:rsid w:val="00726AAA"/>
    <w:rsid w:val="00726C3A"/>
    <w:rsid w:val="00726EAC"/>
    <w:rsid w:val="00731A83"/>
    <w:rsid w:val="0073203F"/>
    <w:rsid w:val="00733834"/>
    <w:rsid w:val="00734C49"/>
    <w:rsid w:val="00735339"/>
    <w:rsid w:val="0073605A"/>
    <w:rsid w:val="007372DD"/>
    <w:rsid w:val="0074086E"/>
    <w:rsid w:val="007422CD"/>
    <w:rsid w:val="0074334C"/>
    <w:rsid w:val="00744012"/>
    <w:rsid w:val="0074433F"/>
    <w:rsid w:val="00744A1C"/>
    <w:rsid w:val="00746378"/>
    <w:rsid w:val="007469FA"/>
    <w:rsid w:val="00747E39"/>
    <w:rsid w:val="00750359"/>
    <w:rsid w:val="0075185B"/>
    <w:rsid w:val="007529C9"/>
    <w:rsid w:val="0075419B"/>
    <w:rsid w:val="0075488B"/>
    <w:rsid w:val="00754C38"/>
    <w:rsid w:val="00755D60"/>
    <w:rsid w:val="00755DD2"/>
    <w:rsid w:val="00756044"/>
    <w:rsid w:val="0075624E"/>
    <w:rsid w:val="00756C4A"/>
    <w:rsid w:val="00756E06"/>
    <w:rsid w:val="00756F9D"/>
    <w:rsid w:val="00757CF7"/>
    <w:rsid w:val="0076028C"/>
    <w:rsid w:val="007614D4"/>
    <w:rsid w:val="00761C9D"/>
    <w:rsid w:val="00761DA6"/>
    <w:rsid w:val="00763C22"/>
    <w:rsid w:val="007643CE"/>
    <w:rsid w:val="0076466D"/>
    <w:rsid w:val="00764A19"/>
    <w:rsid w:val="00767128"/>
    <w:rsid w:val="0076786D"/>
    <w:rsid w:val="007700B1"/>
    <w:rsid w:val="00772FD0"/>
    <w:rsid w:val="00773BE4"/>
    <w:rsid w:val="00775247"/>
    <w:rsid w:val="00775966"/>
    <w:rsid w:val="00780B38"/>
    <w:rsid w:val="007815D9"/>
    <w:rsid w:val="00781F52"/>
    <w:rsid w:val="007825D9"/>
    <w:rsid w:val="00783E48"/>
    <w:rsid w:val="007840CF"/>
    <w:rsid w:val="007845B4"/>
    <w:rsid w:val="007854D9"/>
    <w:rsid w:val="00786A1B"/>
    <w:rsid w:val="00787CE7"/>
    <w:rsid w:val="007901C6"/>
    <w:rsid w:val="00790516"/>
    <w:rsid w:val="007923CF"/>
    <w:rsid w:val="007943B4"/>
    <w:rsid w:val="00794A8C"/>
    <w:rsid w:val="00794F7C"/>
    <w:rsid w:val="007953A5"/>
    <w:rsid w:val="00795463"/>
    <w:rsid w:val="00795499"/>
    <w:rsid w:val="00795605"/>
    <w:rsid w:val="00795AAA"/>
    <w:rsid w:val="00795D50"/>
    <w:rsid w:val="00796184"/>
    <w:rsid w:val="007963EB"/>
    <w:rsid w:val="007A01EB"/>
    <w:rsid w:val="007A1493"/>
    <w:rsid w:val="007A27C7"/>
    <w:rsid w:val="007A2D95"/>
    <w:rsid w:val="007A2E39"/>
    <w:rsid w:val="007A2EDF"/>
    <w:rsid w:val="007A4790"/>
    <w:rsid w:val="007A4FD7"/>
    <w:rsid w:val="007A6391"/>
    <w:rsid w:val="007A6EB4"/>
    <w:rsid w:val="007A726C"/>
    <w:rsid w:val="007A74A1"/>
    <w:rsid w:val="007B0341"/>
    <w:rsid w:val="007B0C6E"/>
    <w:rsid w:val="007B1192"/>
    <w:rsid w:val="007B1305"/>
    <w:rsid w:val="007B1E87"/>
    <w:rsid w:val="007B46E4"/>
    <w:rsid w:val="007B5961"/>
    <w:rsid w:val="007B60AD"/>
    <w:rsid w:val="007B7D1D"/>
    <w:rsid w:val="007C06B7"/>
    <w:rsid w:val="007C2507"/>
    <w:rsid w:val="007C3039"/>
    <w:rsid w:val="007C464D"/>
    <w:rsid w:val="007C63A1"/>
    <w:rsid w:val="007C6B92"/>
    <w:rsid w:val="007C6E2E"/>
    <w:rsid w:val="007C7035"/>
    <w:rsid w:val="007C7719"/>
    <w:rsid w:val="007D102C"/>
    <w:rsid w:val="007D11BC"/>
    <w:rsid w:val="007D19B4"/>
    <w:rsid w:val="007D2AD5"/>
    <w:rsid w:val="007D2F0E"/>
    <w:rsid w:val="007D3E3A"/>
    <w:rsid w:val="007D515F"/>
    <w:rsid w:val="007D5A4B"/>
    <w:rsid w:val="007D5FF5"/>
    <w:rsid w:val="007D64B3"/>
    <w:rsid w:val="007D6AE7"/>
    <w:rsid w:val="007D6CFB"/>
    <w:rsid w:val="007D75B9"/>
    <w:rsid w:val="007D7DD9"/>
    <w:rsid w:val="007E0A4D"/>
    <w:rsid w:val="007E0C31"/>
    <w:rsid w:val="007E1607"/>
    <w:rsid w:val="007E1B6C"/>
    <w:rsid w:val="007E400E"/>
    <w:rsid w:val="007E436A"/>
    <w:rsid w:val="007E5489"/>
    <w:rsid w:val="007E54A4"/>
    <w:rsid w:val="007E574B"/>
    <w:rsid w:val="007E5750"/>
    <w:rsid w:val="007E6923"/>
    <w:rsid w:val="007E740F"/>
    <w:rsid w:val="007F2C20"/>
    <w:rsid w:val="007F30AB"/>
    <w:rsid w:val="007F3826"/>
    <w:rsid w:val="007F3B7A"/>
    <w:rsid w:val="007F4D4F"/>
    <w:rsid w:val="007F4F0C"/>
    <w:rsid w:val="007F71A9"/>
    <w:rsid w:val="007F79A3"/>
    <w:rsid w:val="007F7D37"/>
    <w:rsid w:val="0080264C"/>
    <w:rsid w:val="008028D9"/>
    <w:rsid w:val="00803384"/>
    <w:rsid w:val="008037C1"/>
    <w:rsid w:val="00804D53"/>
    <w:rsid w:val="0080520C"/>
    <w:rsid w:val="008059AC"/>
    <w:rsid w:val="00806012"/>
    <w:rsid w:val="008065F4"/>
    <w:rsid w:val="008076F9"/>
    <w:rsid w:val="008111C4"/>
    <w:rsid w:val="00811638"/>
    <w:rsid w:val="00812199"/>
    <w:rsid w:val="00812448"/>
    <w:rsid w:val="00813737"/>
    <w:rsid w:val="00813E7C"/>
    <w:rsid w:val="00814AE7"/>
    <w:rsid w:val="00815012"/>
    <w:rsid w:val="00815382"/>
    <w:rsid w:val="00815EE5"/>
    <w:rsid w:val="00815FF9"/>
    <w:rsid w:val="008174C9"/>
    <w:rsid w:val="0081771F"/>
    <w:rsid w:val="008203C7"/>
    <w:rsid w:val="00821341"/>
    <w:rsid w:val="00830296"/>
    <w:rsid w:val="00831372"/>
    <w:rsid w:val="0083218D"/>
    <w:rsid w:val="008321D0"/>
    <w:rsid w:val="00833466"/>
    <w:rsid w:val="00833546"/>
    <w:rsid w:val="0083360F"/>
    <w:rsid w:val="00833920"/>
    <w:rsid w:val="00833ACC"/>
    <w:rsid w:val="00833B51"/>
    <w:rsid w:val="008360D1"/>
    <w:rsid w:val="0083615E"/>
    <w:rsid w:val="008374FF"/>
    <w:rsid w:val="0083763E"/>
    <w:rsid w:val="008403EE"/>
    <w:rsid w:val="008405D8"/>
    <w:rsid w:val="00840658"/>
    <w:rsid w:val="00840EF7"/>
    <w:rsid w:val="00841251"/>
    <w:rsid w:val="00841518"/>
    <w:rsid w:val="00841793"/>
    <w:rsid w:val="00841F86"/>
    <w:rsid w:val="00842928"/>
    <w:rsid w:val="00843676"/>
    <w:rsid w:val="008453D2"/>
    <w:rsid w:val="00845A7D"/>
    <w:rsid w:val="00845E3B"/>
    <w:rsid w:val="0084666D"/>
    <w:rsid w:val="008500FF"/>
    <w:rsid w:val="0085028F"/>
    <w:rsid w:val="00850425"/>
    <w:rsid w:val="00850CD8"/>
    <w:rsid w:val="00850EB4"/>
    <w:rsid w:val="00850F24"/>
    <w:rsid w:val="008517D8"/>
    <w:rsid w:val="00851B28"/>
    <w:rsid w:val="00852D7A"/>
    <w:rsid w:val="00853382"/>
    <w:rsid w:val="008540D9"/>
    <w:rsid w:val="00854374"/>
    <w:rsid w:val="00854CC7"/>
    <w:rsid w:val="00854FD1"/>
    <w:rsid w:val="00860C6F"/>
    <w:rsid w:val="008615ED"/>
    <w:rsid w:val="00864147"/>
    <w:rsid w:val="00865388"/>
    <w:rsid w:val="0086582A"/>
    <w:rsid w:val="00865AD4"/>
    <w:rsid w:val="00865E7D"/>
    <w:rsid w:val="00866213"/>
    <w:rsid w:val="00871842"/>
    <w:rsid w:val="00872521"/>
    <w:rsid w:val="00872621"/>
    <w:rsid w:val="00872A9C"/>
    <w:rsid w:val="008746F0"/>
    <w:rsid w:val="00875346"/>
    <w:rsid w:val="008758A1"/>
    <w:rsid w:val="00876262"/>
    <w:rsid w:val="00877634"/>
    <w:rsid w:val="00877B02"/>
    <w:rsid w:val="00877D39"/>
    <w:rsid w:val="008805A3"/>
    <w:rsid w:val="008813AB"/>
    <w:rsid w:val="0088174A"/>
    <w:rsid w:val="0088299D"/>
    <w:rsid w:val="00882E5C"/>
    <w:rsid w:val="0088336C"/>
    <w:rsid w:val="008835AF"/>
    <w:rsid w:val="00884ADA"/>
    <w:rsid w:val="008874B7"/>
    <w:rsid w:val="00890627"/>
    <w:rsid w:val="00890B78"/>
    <w:rsid w:val="00891D7A"/>
    <w:rsid w:val="008939F3"/>
    <w:rsid w:val="008950C3"/>
    <w:rsid w:val="0089611E"/>
    <w:rsid w:val="008965D1"/>
    <w:rsid w:val="00896D1F"/>
    <w:rsid w:val="00896E31"/>
    <w:rsid w:val="00897391"/>
    <w:rsid w:val="008976CB"/>
    <w:rsid w:val="008A0552"/>
    <w:rsid w:val="008A1353"/>
    <w:rsid w:val="008A180A"/>
    <w:rsid w:val="008A1A59"/>
    <w:rsid w:val="008A1D31"/>
    <w:rsid w:val="008A21CC"/>
    <w:rsid w:val="008A2D5D"/>
    <w:rsid w:val="008A3EF1"/>
    <w:rsid w:val="008A4AA2"/>
    <w:rsid w:val="008A5EC6"/>
    <w:rsid w:val="008A705A"/>
    <w:rsid w:val="008B07B5"/>
    <w:rsid w:val="008B09D6"/>
    <w:rsid w:val="008B2BAC"/>
    <w:rsid w:val="008B3B93"/>
    <w:rsid w:val="008B4482"/>
    <w:rsid w:val="008B4E7B"/>
    <w:rsid w:val="008B5ADA"/>
    <w:rsid w:val="008C0044"/>
    <w:rsid w:val="008C0520"/>
    <w:rsid w:val="008C16FA"/>
    <w:rsid w:val="008C18F8"/>
    <w:rsid w:val="008C1B35"/>
    <w:rsid w:val="008C227A"/>
    <w:rsid w:val="008C26A2"/>
    <w:rsid w:val="008C3717"/>
    <w:rsid w:val="008C3737"/>
    <w:rsid w:val="008C39E1"/>
    <w:rsid w:val="008C3FA8"/>
    <w:rsid w:val="008C42DA"/>
    <w:rsid w:val="008C48EA"/>
    <w:rsid w:val="008C5D23"/>
    <w:rsid w:val="008C792F"/>
    <w:rsid w:val="008C7D3A"/>
    <w:rsid w:val="008D1685"/>
    <w:rsid w:val="008D19C5"/>
    <w:rsid w:val="008D1F85"/>
    <w:rsid w:val="008D262F"/>
    <w:rsid w:val="008D2CFB"/>
    <w:rsid w:val="008D332A"/>
    <w:rsid w:val="008D374E"/>
    <w:rsid w:val="008D3E8B"/>
    <w:rsid w:val="008D44A3"/>
    <w:rsid w:val="008D4B48"/>
    <w:rsid w:val="008D5087"/>
    <w:rsid w:val="008D61B4"/>
    <w:rsid w:val="008D65E1"/>
    <w:rsid w:val="008D680C"/>
    <w:rsid w:val="008D6854"/>
    <w:rsid w:val="008D68B9"/>
    <w:rsid w:val="008D6AB9"/>
    <w:rsid w:val="008D7247"/>
    <w:rsid w:val="008D72A2"/>
    <w:rsid w:val="008E00E9"/>
    <w:rsid w:val="008E0151"/>
    <w:rsid w:val="008E0475"/>
    <w:rsid w:val="008E151D"/>
    <w:rsid w:val="008E1998"/>
    <w:rsid w:val="008E2336"/>
    <w:rsid w:val="008E390E"/>
    <w:rsid w:val="008E4EA7"/>
    <w:rsid w:val="008E5C06"/>
    <w:rsid w:val="008E608E"/>
    <w:rsid w:val="008E6544"/>
    <w:rsid w:val="008E71E5"/>
    <w:rsid w:val="008E725C"/>
    <w:rsid w:val="008E7562"/>
    <w:rsid w:val="008F0E5D"/>
    <w:rsid w:val="008F1308"/>
    <w:rsid w:val="008F2984"/>
    <w:rsid w:val="008F42A0"/>
    <w:rsid w:val="008F4559"/>
    <w:rsid w:val="008F5DFB"/>
    <w:rsid w:val="008F6B6F"/>
    <w:rsid w:val="008F7DA8"/>
    <w:rsid w:val="00900BD2"/>
    <w:rsid w:val="00900C09"/>
    <w:rsid w:val="00900ECE"/>
    <w:rsid w:val="009010CB"/>
    <w:rsid w:val="0090127B"/>
    <w:rsid w:val="00901CA4"/>
    <w:rsid w:val="00902F42"/>
    <w:rsid w:val="00902FF8"/>
    <w:rsid w:val="009032C3"/>
    <w:rsid w:val="009036AB"/>
    <w:rsid w:val="00903C0A"/>
    <w:rsid w:val="009059B9"/>
    <w:rsid w:val="00907A15"/>
    <w:rsid w:val="00910943"/>
    <w:rsid w:val="00910B00"/>
    <w:rsid w:val="00910D24"/>
    <w:rsid w:val="00911490"/>
    <w:rsid w:val="00911578"/>
    <w:rsid w:val="00912EB3"/>
    <w:rsid w:val="0091313F"/>
    <w:rsid w:val="00913168"/>
    <w:rsid w:val="009136D2"/>
    <w:rsid w:val="009142BD"/>
    <w:rsid w:val="00914549"/>
    <w:rsid w:val="009147A0"/>
    <w:rsid w:val="009157C5"/>
    <w:rsid w:val="00916365"/>
    <w:rsid w:val="0091711A"/>
    <w:rsid w:val="009179BA"/>
    <w:rsid w:val="00917F77"/>
    <w:rsid w:val="00921590"/>
    <w:rsid w:val="009220C4"/>
    <w:rsid w:val="0092292E"/>
    <w:rsid w:val="00922BBA"/>
    <w:rsid w:val="00922F3B"/>
    <w:rsid w:val="009234BD"/>
    <w:rsid w:val="009250ED"/>
    <w:rsid w:val="009254E9"/>
    <w:rsid w:val="009259C2"/>
    <w:rsid w:val="00927400"/>
    <w:rsid w:val="009306A9"/>
    <w:rsid w:val="00931483"/>
    <w:rsid w:val="009315B2"/>
    <w:rsid w:val="0093204A"/>
    <w:rsid w:val="00932304"/>
    <w:rsid w:val="00932372"/>
    <w:rsid w:val="00932C3F"/>
    <w:rsid w:val="00932E4E"/>
    <w:rsid w:val="00933358"/>
    <w:rsid w:val="009334FC"/>
    <w:rsid w:val="00934B0F"/>
    <w:rsid w:val="00935598"/>
    <w:rsid w:val="00936C05"/>
    <w:rsid w:val="00940BA2"/>
    <w:rsid w:val="0094377A"/>
    <w:rsid w:val="0094463C"/>
    <w:rsid w:val="00944643"/>
    <w:rsid w:val="00944C5E"/>
    <w:rsid w:val="00945ECD"/>
    <w:rsid w:val="00946C63"/>
    <w:rsid w:val="009505D5"/>
    <w:rsid w:val="00951820"/>
    <w:rsid w:val="00951FFC"/>
    <w:rsid w:val="009522C0"/>
    <w:rsid w:val="00952A2E"/>
    <w:rsid w:val="0095369C"/>
    <w:rsid w:val="00953E9F"/>
    <w:rsid w:val="0095456E"/>
    <w:rsid w:val="0095532D"/>
    <w:rsid w:val="009553BB"/>
    <w:rsid w:val="009555B9"/>
    <w:rsid w:val="00955860"/>
    <w:rsid w:val="00955DD6"/>
    <w:rsid w:val="0095642D"/>
    <w:rsid w:val="00957A7A"/>
    <w:rsid w:val="00957A85"/>
    <w:rsid w:val="009602C7"/>
    <w:rsid w:val="0096196C"/>
    <w:rsid w:val="00961A21"/>
    <w:rsid w:val="00962492"/>
    <w:rsid w:val="009625E7"/>
    <w:rsid w:val="00963C5E"/>
    <w:rsid w:val="009641A2"/>
    <w:rsid w:val="00964824"/>
    <w:rsid w:val="00964B48"/>
    <w:rsid w:val="00965009"/>
    <w:rsid w:val="009654D1"/>
    <w:rsid w:val="0096565E"/>
    <w:rsid w:val="00965A22"/>
    <w:rsid w:val="009674E5"/>
    <w:rsid w:val="00970390"/>
    <w:rsid w:val="00970A65"/>
    <w:rsid w:val="00972C11"/>
    <w:rsid w:val="00973E60"/>
    <w:rsid w:val="009766F4"/>
    <w:rsid w:val="00976BF5"/>
    <w:rsid w:val="009779D2"/>
    <w:rsid w:val="00980007"/>
    <w:rsid w:val="0098031D"/>
    <w:rsid w:val="00980A5F"/>
    <w:rsid w:val="00980D00"/>
    <w:rsid w:val="00980EC8"/>
    <w:rsid w:val="00981574"/>
    <w:rsid w:val="00981615"/>
    <w:rsid w:val="00981FE2"/>
    <w:rsid w:val="00982052"/>
    <w:rsid w:val="00982410"/>
    <w:rsid w:val="00982ADB"/>
    <w:rsid w:val="00982C88"/>
    <w:rsid w:val="00983BED"/>
    <w:rsid w:val="00983C14"/>
    <w:rsid w:val="00983C4C"/>
    <w:rsid w:val="009840A0"/>
    <w:rsid w:val="00984200"/>
    <w:rsid w:val="009855BD"/>
    <w:rsid w:val="00990F56"/>
    <w:rsid w:val="00993B8E"/>
    <w:rsid w:val="009941DE"/>
    <w:rsid w:val="00995358"/>
    <w:rsid w:val="00995D54"/>
    <w:rsid w:val="009979C8"/>
    <w:rsid w:val="00997E11"/>
    <w:rsid w:val="009A1110"/>
    <w:rsid w:val="009A280D"/>
    <w:rsid w:val="009A3F78"/>
    <w:rsid w:val="009A5344"/>
    <w:rsid w:val="009A590E"/>
    <w:rsid w:val="009A5B76"/>
    <w:rsid w:val="009A6644"/>
    <w:rsid w:val="009B0CCA"/>
    <w:rsid w:val="009B0CD0"/>
    <w:rsid w:val="009B11C3"/>
    <w:rsid w:val="009B173D"/>
    <w:rsid w:val="009B1A44"/>
    <w:rsid w:val="009B44CC"/>
    <w:rsid w:val="009B4D37"/>
    <w:rsid w:val="009B4E41"/>
    <w:rsid w:val="009B54B3"/>
    <w:rsid w:val="009B56AD"/>
    <w:rsid w:val="009B607A"/>
    <w:rsid w:val="009B69E2"/>
    <w:rsid w:val="009B6CDF"/>
    <w:rsid w:val="009B6D8C"/>
    <w:rsid w:val="009B6E36"/>
    <w:rsid w:val="009B76DA"/>
    <w:rsid w:val="009C0118"/>
    <w:rsid w:val="009C13E5"/>
    <w:rsid w:val="009C17F5"/>
    <w:rsid w:val="009C2DD9"/>
    <w:rsid w:val="009C4062"/>
    <w:rsid w:val="009C40AE"/>
    <w:rsid w:val="009C45A6"/>
    <w:rsid w:val="009C591B"/>
    <w:rsid w:val="009C638D"/>
    <w:rsid w:val="009C73FF"/>
    <w:rsid w:val="009D123F"/>
    <w:rsid w:val="009D2637"/>
    <w:rsid w:val="009D2B7A"/>
    <w:rsid w:val="009D3D6D"/>
    <w:rsid w:val="009D523A"/>
    <w:rsid w:val="009D58E7"/>
    <w:rsid w:val="009D5A6A"/>
    <w:rsid w:val="009D5B1E"/>
    <w:rsid w:val="009D699E"/>
    <w:rsid w:val="009E253B"/>
    <w:rsid w:val="009E2852"/>
    <w:rsid w:val="009E3824"/>
    <w:rsid w:val="009E39EC"/>
    <w:rsid w:val="009E69BF"/>
    <w:rsid w:val="009E6C29"/>
    <w:rsid w:val="009E715C"/>
    <w:rsid w:val="009E756D"/>
    <w:rsid w:val="009E7C89"/>
    <w:rsid w:val="009F11EC"/>
    <w:rsid w:val="009F33C2"/>
    <w:rsid w:val="009F3B0C"/>
    <w:rsid w:val="009F4014"/>
    <w:rsid w:val="009F45A2"/>
    <w:rsid w:val="009F46AE"/>
    <w:rsid w:val="009F49FE"/>
    <w:rsid w:val="009F4FB9"/>
    <w:rsid w:val="009F5AE0"/>
    <w:rsid w:val="009F67CD"/>
    <w:rsid w:val="009F693D"/>
    <w:rsid w:val="009F6C83"/>
    <w:rsid w:val="00A00407"/>
    <w:rsid w:val="00A01047"/>
    <w:rsid w:val="00A02F46"/>
    <w:rsid w:val="00A03330"/>
    <w:rsid w:val="00A03337"/>
    <w:rsid w:val="00A034EC"/>
    <w:rsid w:val="00A0475A"/>
    <w:rsid w:val="00A04F3B"/>
    <w:rsid w:val="00A05E0C"/>
    <w:rsid w:val="00A064A6"/>
    <w:rsid w:val="00A0772F"/>
    <w:rsid w:val="00A1093F"/>
    <w:rsid w:val="00A11545"/>
    <w:rsid w:val="00A11BCB"/>
    <w:rsid w:val="00A15BF5"/>
    <w:rsid w:val="00A1629E"/>
    <w:rsid w:val="00A171ED"/>
    <w:rsid w:val="00A2114B"/>
    <w:rsid w:val="00A219A4"/>
    <w:rsid w:val="00A22E19"/>
    <w:rsid w:val="00A22FCD"/>
    <w:rsid w:val="00A23043"/>
    <w:rsid w:val="00A24716"/>
    <w:rsid w:val="00A24B4F"/>
    <w:rsid w:val="00A24D5B"/>
    <w:rsid w:val="00A25844"/>
    <w:rsid w:val="00A265C8"/>
    <w:rsid w:val="00A26E0C"/>
    <w:rsid w:val="00A270F8"/>
    <w:rsid w:val="00A27111"/>
    <w:rsid w:val="00A301F0"/>
    <w:rsid w:val="00A30C7E"/>
    <w:rsid w:val="00A311C2"/>
    <w:rsid w:val="00A31239"/>
    <w:rsid w:val="00A31260"/>
    <w:rsid w:val="00A32989"/>
    <w:rsid w:val="00A331C1"/>
    <w:rsid w:val="00A343A5"/>
    <w:rsid w:val="00A345C8"/>
    <w:rsid w:val="00A35633"/>
    <w:rsid w:val="00A35DBF"/>
    <w:rsid w:val="00A3715B"/>
    <w:rsid w:val="00A408DA"/>
    <w:rsid w:val="00A40FBE"/>
    <w:rsid w:val="00A430A1"/>
    <w:rsid w:val="00A430B5"/>
    <w:rsid w:val="00A44F48"/>
    <w:rsid w:val="00A458CB"/>
    <w:rsid w:val="00A469D3"/>
    <w:rsid w:val="00A47178"/>
    <w:rsid w:val="00A47791"/>
    <w:rsid w:val="00A50082"/>
    <w:rsid w:val="00A5058F"/>
    <w:rsid w:val="00A535EC"/>
    <w:rsid w:val="00A546A7"/>
    <w:rsid w:val="00A54A07"/>
    <w:rsid w:val="00A55199"/>
    <w:rsid w:val="00A56221"/>
    <w:rsid w:val="00A56EDD"/>
    <w:rsid w:val="00A60379"/>
    <w:rsid w:val="00A606CF"/>
    <w:rsid w:val="00A62B17"/>
    <w:rsid w:val="00A64381"/>
    <w:rsid w:val="00A64727"/>
    <w:rsid w:val="00A64F98"/>
    <w:rsid w:val="00A65723"/>
    <w:rsid w:val="00A65D67"/>
    <w:rsid w:val="00A66515"/>
    <w:rsid w:val="00A66A4E"/>
    <w:rsid w:val="00A6757B"/>
    <w:rsid w:val="00A67A15"/>
    <w:rsid w:val="00A67F03"/>
    <w:rsid w:val="00A70EF5"/>
    <w:rsid w:val="00A72ED1"/>
    <w:rsid w:val="00A730EF"/>
    <w:rsid w:val="00A739FF"/>
    <w:rsid w:val="00A7440E"/>
    <w:rsid w:val="00A74AFC"/>
    <w:rsid w:val="00A76F40"/>
    <w:rsid w:val="00A8059F"/>
    <w:rsid w:val="00A808DD"/>
    <w:rsid w:val="00A817F0"/>
    <w:rsid w:val="00A81E86"/>
    <w:rsid w:val="00A8223F"/>
    <w:rsid w:val="00A82882"/>
    <w:rsid w:val="00A8295A"/>
    <w:rsid w:val="00A83AE4"/>
    <w:rsid w:val="00A84A01"/>
    <w:rsid w:val="00A85731"/>
    <w:rsid w:val="00A8684E"/>
    <w:rsid w:val="00A87CB2"/>
    <w:rsid w:val="00A900BC"/>
    <w:rsid w:val="00A90254"/>
    <w:rsid w:val="00A92089"/>
    <w:rsid w:val="00A9296A"/>
    <w:rsid w:val="00A92D70"/>
    <w:rsid w:val="00A93D81"/>
    <w:rsid w:val="00A94490"/>
    <w:rsid w:val="00A960CD"/>
    <w:rsid w:val="00A96382"/>
    <w:rsid w:val="00A964BF"/>
    <w:rsid w:val="00A96528"/>
    <w:rsid w:val="00A96AB2"/>
    <w:rsid w:val="00A96CD2"/>
    <w:rsid w:val="00AA0236"/>
    <w:rsid w:val="00AA0A36"/>
    <w:rsid w:val="00AA0C8F"/>
    <w:rsid w:val="00AA0D63"/>
    <w:rsid w:val="00AA1075"/>
    <w:rsid w:val="00AA1231"/>
    <w:rsid w:val="00AA13DA"/>
    <w:rsid w:val="00AA174B"/>
    <w:rsid w:val="00AA2B94"/>
    <w:rsid w:val="00AA3572"/>
    <w:rsid w:val="00AA364E"/>
    <w:rsid w:val="00AA4273"/>
    <w:rsid w:val="00AA75FF"/>
    <w:rsid w:val="00AA795E"/>
    <w:rsid w:val="00AB1890"/>
    <w:rsid w:val="00AB3594"/>
    <w:rsid w:val="00AB359C"/>
    <w:rsid w:val="00AB37F9"/>
    <w:rsid w:val="00AB496C"/>
    <w:rsid w:val="00AB57EE"/>
    <w:rsid w:val="00AB5CD8"/>
    <w:rsid w:val="00AB6A8B"/>
    <w:rsid w:val="00AB7AB9"/>
    <w:rsid w:val="00AB7DAD"/>
    <w:rsid w:val="00AC1AB4"/>
    <w:rsid w:val="00AC1CF5"/>
    <w:rsid w:val="00AC3AEB"/>
    <w:rsid w:val="00AC603E"/>
    <w:rsid w:val="00AC6214"/>
    <w:rsid w:val="00AD183C"/>
    <w:rsid w:val="00AD1AF4"/>
    <w:rsid w:val="00AD1EC6"/>
    <w:rsid w:val="00AD2206"/>
    <w:rsid w:val="00AD24F3"/>
    <w:rsid w:val="00AD27B8"/>
    <w:rsid w:val="00AD2918"/>
    <w:rsid w:val="00AD2D34"/>
    <w:rsid w:val="00AD2E6C"/>
    <w:rsid w:val="00AD3920"/>
    <w:rsid w:val="00AD4199"/>
    <w:rsid w:val="00AD432C"/>
    <w:rsid w:val="00AD649B"/>
    <w:rsid w:val="00AD70C9"/>
    <w:rsid w:val="00AD73A1"/>
    <w:rsid w:val="00AE12CA"/>
    <w:rsid w:val="00AE1D25"/>
    <w:rsid w:val="00AE1FC3"/>
    <w:rsid w:val="00AE21B3"/>
    <w:rsid w:val="00AE27A9"/>
    <w:rsid w:val="00AE3DBB"/>
    <w:rsid w:val="00AE4F7E"/>
    <w:rsid w:val="00AE64EC"/>
    <w:rsid w:val="00AE7947"/>
    <w:rsid w:val="00AF0545"/>
    <w:rsid w:val="00AF13B2"/>
    <w:rsid w:val="00AF266C"/>
    <w:rsid w:val="00AF275E"/>
    <w:rsid w:val="00AF3B7F"/>
    <w:rsid w:val="00AF3F2B"/>
    <w:rsid w:val="00AF654F"/>
    <w:rsid w:val="00AF65EC"/>
    <w:rsid w:val="00AF6981"/>
    <w:rsid w:val="00B000BE"/>
    <w:rsid w:val="00B0050A"/>
    <w:rsid w:val="00B00784"/>
    <w:rsid w:val="00B00CE3"/>
    <w:rsid w:val="00B01117"/>
    <w:rsid w:val="00B01CB5"/>
    <w:rsid w:val="00B023D9"/>
    <w:rsid w:val="00B024DD"/>
    <w:rsid w:val="00B02C9E"/>
    <w:rsid w:val="00B04DDB"/>
    <w:rsid w:val="00B056CE"/>
    <w:rsid w:val="00B059C9"/>
    <w:rsid w:val="00B05BD1"/>
    <w:rsid w:val="00B05ECB"/>
    <w:rsid w:val="00B064C2"/>
    <w:rsid w:val="00B076D2"/>
    <w:rsid w:val="00B110F9"/>
    <w:rsid w:val="00B11994"/>
    <w:rsid w:val="00B11AA7"/>
    <w:rsid w:val="00B11BDD"/>
    <w:rsid w:val="00B11C13"/>
    <w:rsid w:val="00B11F80"/>
    <w:rsid w:val="00B144C0"/>
    <w:rsid w:val="00B14F37"/>
    <w:rsid w:val="00B15BE3"/>
    <w:rsid w:val="00B15EA2"/>
    <w:rsid w:val="00B16436"/>
    <w:rsid w:val="00B16DCB"/>
    <w:rsid w:val="00B176FD"/>
    <w:rsid w:val="00B2157D"/>
    <w:rsid w:val="00B21BFE"/>
    <w:rsid w:val="00B21E8E"/>
    <w:rsid w:val="00B22A4D"/>
    <w:rsid w:val="00B232EC"/>
    <w:rsid w:val="00B23A9F"/>
    <w:rsid w:val="00B26B80"/>
    <w:rsid w:val="00B26D53"/>
    <w:rsid w:val="00B2778C"/>
    <w:rsid w:val="00B27E67"/>
    <w:rsid w:val="00B30F06"/>
    <w:rsid w:val="00B30F38"/>
    <w:rsid w:val="00B3147C"/>
    <w:rsid w:val="00B32A18"/>
    <w:rsid w:val="00B331F4"/>
    <w:rsid w:val="00B33530"/>
    <w:rsid w:val="00B33BD4"/>
    <w:rsid w:val="00B360EC"/>
    <w:rsid w:val="00B40CFF"/>
    <w:rsid w:val="00B42423"/>
    <w:rsid w:val="00B425E0"/>
    <w:rsid w:val="00B45465"/>
    <w:rsid w:val="00B45B86"/>
    <w:rsid w:val="00B479AB"/>
    <w:rsid w:val="00B508FF"/>
    <w:rsid w:val="00B509A0"/>
    <w:rsid w:val="00B518EB"/>
    <w:rsid w:val="00B51B57"/>
    <w:rsid w:val="00B520A9"/>
    <w:rsid w:val="00B526D7"/>
    <w:rsid w:val="00B53DE1"/>
    <w:rsid w:val="00B546E0"/>
    <w:rsid w:val="00B54C44"/>
    <w:rsid w:val="00B57DCF"/>
    <w:rsid w:val="00B6037C"/>
    <w:rsid w:val="00B610C7"/>
    <w:rsid w:val="00B611ED"/>
    <w:rsid w:val="00B61560"/>
    <w:rsid w:val="00B619CD"/>
    <w:rsid w:val="00B61CBD"/>
    <w:rsid w:val="00B62345"/>
    <w:rsid w:val="00B63D3D"/>
    <w:rsid w:val="00B658EA"/>
    <w:rsid w:val="00B6763B"/>
    <w:rsid w:val="00B717FB"/>
    <w:rsid w:val="00B72C2C"/>
    <w:rsid w:val="00B737AE"/>
    <w:rsid w:val="00B73D4C"/>
    <w:rsid w:val="00B73F5A"/>
    <w:rsid w:val="00B74750"/>
    <w:rsid w:val="00B748F3"/>
    <w:rsid w:val="00B7549D"/>
    <w:rsid w:val="00B7568C"/>
    <w:rsid w:val="00B75CF8"/>
    <w:rsid w:val="00B75EC0"/>
    <w:rsid w:val="00B7703D"/>
    <w:rsid w:val="00B803BD"/>
    <w:rsid w:val="00B80400"/>
    <w:rsid w:val="00B809CB"/>
    <w:rsid w:val="00B83B64"/>
    <w:rsid w:val="00B848D4"/>
    <w:rsid w:val="00B84BB5"/>
    <w:rsid w:val="00B85D64"/>
    <w:rsid w:val="00B86797"/>
    <w:rsid w:val="00B86E7E"/>
    <w:rsid w:val="00B87772"/>
    <w:rsid w:val="00B9069A"/>
    <w:rsid w:val="00B90E1D"/>
    <w:rsid w:val="00B91126"/>
    <w:rsid w:val="00B91441"/>
    <w:rsid w:val="00B91B09"/>
    <w:rsid w:val="00B9263C"/>
    <w:rsid w:val="00B92CE1"/>
    <w:rsid w:val="00B9494C"/>
    <w:rsid w:val="00B949A7"/>
    <w:rsid w:val="00B95CB6"/>
    <w:rsid w:val="00B95F30"/>
    <w:rsid w:val="00B963CD"/>
    <w:rsid w:val="00B9643A"/>
    <w:rsid w:val="00B969F6"/>
    <w:rsid w:val="00B973C9"/>
    <w:rsid w:val="00B97B2C"/>
    <w:rsid w:val="00BA0343"/>
    <w:rsid w:val="00BA0FD8"/>
    <w:rsid w:val="00BA2422"/>
    <w:rsid w:val="00BA36B1"/>
    <w:rsid w:val="00BA3A0D"/>
    <w:rsid w:val="00BA6044"/>
    <w:rsid w:val="00BA6D70"/>
    <w:rsid w:val="00BA7200"/>
    <w:rsid w:val="00BA79D9"/>
    <w:rsid w:val="00BA7FE4"/>
    <w:rsid w:val="00BB000E"/>
    <w:rsid w:val="00BB076D"/>
    <w:rsid w:val="00BB0FFC"/>
    <w:rsid w:val="00BB23CA"/>
    <w:rsid w:val="00BB4F8E"/>
    <w:rsid w:val="00BB5573"/>
    <w:rsid w:val="00BB5649"/>
    <w:rsid w:val="00BB74AC"/>
    <w:rsid w:val="00BB7648"/>
    <w:rsid w:val="00BB7E6A"/>
    <w:rsid w:val="00BC13D1"/>
    <w:rsid w:val="00BC2237"/>
    <w:rsid w:val="00BC2562"/>
    <w:rsid w:val="00BC3468"/>
    <w:rsid w:val="00BC3A53"/>
    <w:rsid w:val="00BC3AE4"/>
    <w:rsid w:val="00BC3E8E"/>
    <w:rsid w:val="00BC46F0"/>
    <w:rsid w:val="00BC4C78"/>
    <w:rsid w:val="00BC5296"/>
    <w:rsid w:val="00BC54E7"/>
    <w:rsid w:val="00BC5EB5"/>
    <w:rsid w:val="00BC6603"/>
    <w:rsid w:val="00BC6DDB"/>
    <w:rsid w:val="00BD2CCC"/>
    <w:rsid w:val="00BD3011"/>
    <w:rsid w:val="00BD49FF"/>
    <w:rsid w:val="00BD51B0"/>
    <w:rsid w:val="00BD5766"/>
    <w:rsid w:val="00BD5A09"/>
    <w:rsid w:val="00BD5AEC"/>
    <w:rsid w:val="00BD6CA1"/>
    <w:rsid w:val="00BD7553"/>
    <w:rsid w:val="00BE18A5"/>
    <w:rsid w:val="00BE1BE9"/>
    <w:rsid w:val="00BE208B"/>
    <w:rsid w:val="00BE266D"/>
    <w:rsid w:val="00BE33C8"/>
    <w:rsid w:val="00BE33EC"/>
    <w:rsid w:val="00BE385E"/>
    <w:rsid w:val="00BE53E9"/>
    <w:rsid w:val="00BE557D"/>
    <w:rsid w:val="00BE6894"/>
    <w:rsid w:val="00BF0BEE"/>
    <w:rsid w:val="00BF1CE7"/>
    <w:rsid w:val="00BF2D65"/>
    <w:rsid w:val="00BF2F43"/>
    <w:rsid w:val="00BF39D4"/>
    <w:rsid w:val="00BF3F82"/>
    <w:rsid w:val="00BF4FD8"/>
    <w:rsid w:val="00BF5B09"/>
    <w:rsid w:val="00BF69C7"/>
    <w:rsid w:val="00BF6E40"/>
    <w:rsid w:val="00BF7326"/>
    <w:rsid w:val="00C001EC"/>
    <w:rsid w:val="00C00482"/>
    <w:rsid w:val="00C00487"/>
    <w:rsid w:val="00C013B0"/>
    <w:rsid w:val="00C017ED"/>
    <w:rsid w:val="00C01B00"/>
    <w:rsid w:val="00C03960"/>
    <w:rsid w:val="00C04043"/>
    <w:rsid w:val="00C05A96"/>
    <w:rsid w:val="00C075FD"/>
    <w:rsid w:val="00C10AF3"/>
    <w:rsid w:val="00C11FA9"/>
    <w:rsid w:val="00C125FB"/>
    <w:rsid w:val="00C12836"/>
    <w:rsid w:val="00C1389D"/>
    <w:rsid w:val="00C138B9"/>
    <w:rsid w:val="00C14871"/>
    <w:rsid w:val="00C14A81"/>
    <w:rsid w:val="00C156CF"/>
    <w:rsid w:val="00C17F0D"/>
    <w:rsid w:val="00C2077D"/>
    <w:rsid w:val="00C22C89"/>
    <w:rsid w:val="00C24773"/>
    <w:rsid w:val="00C247F2"/>
    <w:rsid w:val="00C24A5F"/>
    <w:rsid w:val="00C24DCD"/>
    <w:rsid w:val="00C25408"/>
    <w:rsid w:val="00C255BD"/>
    <w:rsid w:val="00C26AF0"/>
    <w:rsid w:val="00C272BF"/>
    <w:rsid w:val="00C2798C"/>
    <w:rsid w:val="00C318B9"/>
    <w:rsid w:val="00C32C03"/>
    <w:rsid w:val="00C33AE0"/>
    <w:rsid w:val="00C351EF"/>
    <w:rsid w:val="00C35D74"/>
    <w:rsid w:val="00C37F9F"/>
    <w:rsid w:val="00C401ED"/>
    <w:rsid w:val="00C4078A"/>
    <w:rsid w:val="00C4142C"/>
    <w:rsid w:val="00C43119"/>
    <w:rsid w:val="00C4421C"/>
    <w:rsid w:val="00C44D41"/>
    <w:rsid w:val="00C452E9"/>
    <w:rsid w:val="00C45A45"/>
    <w:rsid w:val="00C45D90"/>
    <w:rsid w:val="00C46DC5"/>
    <w:rsid w:val="00C4735A"/>
    <w:rsid w:val="00C47A9D"/>
    <w:rsid w:val="00C47CFE"/>
    <w:rsid w:val="00C50508"/>
    <w:rsid w:val="00C51094"/>
    <w:rsid w:val="00C52406"/>
    <w:rsid w:val="00C5279D"/>
    <w:rsid w:val="00C536C6"/>
    <w:rsid w:val="00C54ECA"/>
    <w:rsid w:val="00C55EEC"/>
    <w:rsid w:val="00C5619C"/>
    <w:rsid w:val="00C5662D"/>
    <w:rsid w:val="00C56C25"/>
    <w:rsid w:val="00C56FFE"/>
    <w:rsid w:val="00C60308"/>
    <w:rsid w:val="00C604A7"/>
    <w:rsid w:val="00C60C38"/>
    <w:rsid w:val="00C60E21"/>
    <w:rsid w:val="00C6126B"/>
    <w:rsid w:val="00C61E2D"/>
    <w:rsid w:val="00C622A4"/>
    <w:rsid w:val="00C62485"/>
    <w:rsid w:val="00C635D2"/>
    <w:rsid w:val="00C642B0"/>
    <w:rsid w:val="00C6450B"/>
    <w:rsid w:val="00C65D4E"/>
    <w:rsid w:val="00C66A18"/>
    <w:rsid w:val="00C66FD3"/>
    <w:rsid w:val="00C676B3"/>
    <w:rsid w:val="00C67DEA"/>
    <w:rsid w:val="00C7178E"/>
    <w:rsid w:val="00C72F4B"/>
    <w:rsid w:val="00C73D19"/>
    <w:rsid w:val="00C7488A"/>
    <w:rsid w:val="00C748F9"/>
    <w:rsid w:val="00C749D7"/>
    <w:rsid w:val="00C75136"/>
    <w:rsid w:val="00C76937"/>
    <w:rsid w:val="00C81C15"/>
    <w:rsid w:val="00C81CE4"/>
    <w:rsid w:val="00C82FEC"/>
    <w:rsid w:val="00C83353"/>
    <w:rsid w:val="00C84633"/>
    <w:rsid w:val="00C85DFE"/>
    <w:rsid w:val="00C86F1D"/>
    <w:rsid w:val="00C871A7"/>
    <w:rsid w:val="00C87DE1"/>
    <w:rsid w:val="00C90D32"/>
    <w:rsid w:val="00C90FA2"/>
    <w:rsid w:val="00C92065"/>
    <w:rsid w:val="00C92677"/>
    <w:rsid w:val="00C94B60"/>
    <w:rsid w:val="00C95148"/>
    <w:rsid w:val="00C951D5"/>
    <w:rsid w:val="00C955EA"/>
    <w:rsid w:val="00C9569E"/>
    <w:rsid w:val="00C96BD7"/>
    <w:rsid w:val="00C971DE"/>
    <w:rsid w:val="00CA0286"/>
    <w:rsid w:val="00CA1FFC"/>
    <w:rsid w:val="00CA26DD"/>
    <w:rsid w:val="00CA3249"/>
    <w:rsid w:val="00CA4182"/>
    <w:rsid w:val="00CA4A2F"/>
    <w:rsid w:val="00CA4C3D"/>
    <w:rsid w:val="00CA4DA9"/>
    <w:rsid w:val="00CA556F"/>
    <w:rsid w:val="00CA6471"/>
    <w:rsid w:val="00CA6916"/>
    <w:rsid w:val="00CA73BC"/>
    <w:rsid w:val="00CA79AE"/>
    <w:rsid w:val="00CA7F45"/>
    <w:rsid w:val="00CB0489"/>
    <w:rsid w:val="00CB088D"/>
    <w:rsid w:val="00CB0B35"/>
    <w:rsid w:val="00CB0B37"/>
    <w:rsid w:val="00CB0F42"/>
    <w:rsid w:val="00CB1CB6"/>
    <w:rsid w:val="00CB3367"/>
    <w:rsid w:val="00CB3552"/>
    <w:rsid w:val="00CB4AFD"/>
    <w:rsid w:val="00CB5665"/>
    <w:rsid w:val="00CB62ED"/>
    <w:rsid w:val="00CB77C1"/>
    <w:rsid w:val="00CC0D6C"/>
    <w:rsid w:val="00CC0DBB"/>
    <w:rsid w:val="00CC1601"/>
    <w:rsid w:val="00CC1B89"/>
    <w:rsid w:val="00CC2B56"/>
    <w:rsid w:val="00CC2E71"/>
    <w:rsid w:val="00CC4746"/>
    <w:rsid w:val="00CC4A77"/>
    <w:rsid w:val="00CC5391"/>
    <w:rsid w:val="00CC6141"/>
    <w:rsid w:val="00CC66B4"/>
    <w:rsid w:val="00CD05E7"/>
    <w:rsid w:val="00CD0A1A"/>
    <w:rsid w:val="00CD0D49"/>
    <w:rsid w:val="00CD13C9"/>
    <w:rsid w:val="00CD148B"/>
    <w:rsid w:val="00CD30C4"/>
    <w:rsid w:val="00CD3139"/>
    <w:rsid w:val="00CD3F57"/>
    <w:rsid w:val="00CD5937"/>
    <w:rsid w:val="00CE18EF"/>
    <w:rsid w:val="00CE2D46"/>
    <w:rsid w:val="00CE347E"/>
    <w:rsid w:val="00CE3CC3"/>
    <w:rsid w:val="00CE4BB9"/>
    <w:rsid w:val="00CE4D69"/>
    <w:rsid w:val="00CE538D"/>
    <w:rsid w:val="00CE55BF"/>
    <w:rsid w:val="00CE5B12"/>
    <w:rsid w:val="00CE614C"/>
    <w:rsid w:val="00CE72AC"/>
    <w:rsid w:val="00CF13F1"/>
    <w:rsid w:val="00CF1F22"/>
    <w:rsid w:val="00CF3C30"/>
    <w:rsid w:val="00CF429F"/>
    <w:rsid w:val="00CF606B"/>
    <w:rsid w:val="00CF6550"/>
    <w:rsid w:val="00CF6E72"/>
    <w:rsid w:val="00CF70AA"/>
    <w:rsid w:val="00CF773F"/>
    <w:rsid w:val="00CF7C68"/>
    <w:rsid w:val="00D008C9"/>
    <w:rsid w:val="00D0392A"/>
    <w:rsid w:val="00D03EE9"/>
    <w:rsid w:val="00D04B5A"/>
    <w:rsid w:val="00D05286"/>
    <w:rsid w:val="00D05BD4"/>
    <w:rsid w:val="00D0793B"/>
    <w:rsid w:val="00D07F5A"/>
    <w:rsid w:val="00D129EF"/>
    <w:rsid w:val="00D12B8F"/>
    <w:rsid w:val="00D1350C"/>
    <w:rsid w:val="00D13A18"/>
    <w:rsid w:val="00D154AE"/>
    <w:rsid w:val="00D15E8A"/>
    <w:rsid w:val="00D170E4"/>
    <w:rsid w:val="00D17BAD"/>
    <w:rsid w:val="00D206F1"/>
    <w:rsid w:val="00D21893"/>
    <w:rsid w:val="00D228BF"/>
    <w:rsid w:val="00D2692E"/>
    <w:rsid w:val="00D2737F"/>
    <w:rsid w:val="00D3011C"/>
    <w:rsid w:val="00D3206B"/>
    <w:rsid w:val="00D32492"/>
    <w:rsid w:val="00D32D01"/>
    <w:rsid w:val="00D33C5B"/>
    <w:rsid w:val="00D3411D"/>
    <w:rsid w:val="00D34E4B"/>
    <w:rsid w:val="00D35F08"/>
    <w:rsid w:val="00D36A2A"/>
    <w:rsid w:val="00D36CD0"/>
    <w:rsid w:val="00D36F69"/>
    <w:rsid w:val="00D4033E"/>
    <w:rsid w:val="00D40363"/>
    <w:rsid w:val="00D40551"/>
    <w:rsid w:val="00D413C2"/>
    <w:rsid w:val="00D426AD"/>
    <w:rsid w:val="00D4295E"/>
    <w:rsid w:val="00D43D2E"/>
    <w:rsid w:val="00D43FF3"/>
    <w:rsid w:val="00D44594"/>
    <w:rsid w:val="00D4471F"/>
    <w:rsid w:val="00D44A26"/>
    <w:rsid w:val="00D46343"/>
    <w:rsid w:val="00D46CC5"/>
    <w:rsid w:val="00D50C8E"/>
    <w:rsid w:val="00D50DC3"/>
    <w:rsid w:val="00D51B2D"/>
    <w:rsid w:val="00D527EE"/>
    <w:rsid w:val="00D52A3D"/>
    <w:rsid w:val="00D541E7"/>
    <w:rsid w:val="00D558FF"/>
    <w:rsid w:val="00D55ED0"/>
    <w:rsid w:val="00D56173"/>
    <w:rsid w:val="00D56759"/>
    <w:rsid w:val="00D56A9C"/>
    <w:rsid w:val="00D6064E"/>
    <w:rsid w:val="00D62062"/>
    <w:rsid w:val="00D62A81"/>
    <w:rsid w:val="00D6300B"/>
    <w:rsid w:val="00D63215"/>
    <w:rsid w:val="00D63718"/>
    <w:rsid w:val="00D651DA"/>
    <w:rsid w:val="00D665C8"/>
    <w:rsid w:val="00D71B98"/>
    <w:rsid w:val="00D71EB8"/>
    <w:rsid w:val="00D80099"/>
    <w:rsid w:val="00D80F8F"/>
    <w:rsid w:val="00D81611"/>
    <w:rsid w:val="00D82030"/>
    <w:rsid w:val="00D8205E"/>
    <w:rsid w:val="00D822A5"/>
    <w:rsid w:val="00D83B86"/>
    <w:rsid w:val="00D849EE"/>
    <w:rsid w:val="00D84DBC"/>
    <w:rsid w:val="00D854D7"/>
    <w:rsid w:val="00D859A6"/>
    <w:rsid w:val="00D864BC"/>
    <w:rsid w:val="00D8659F"/>
    <w:rsid w:val="00D865F2"/>
    <w:rsid w:val="00D86CF1"/>
    <w:rsid w:val="00D87C73"/>
    <w:rsid w:val="00D92A76"/>
    <w:rsid w:val="00D9439C"/>
    <w:rsid w:val="00D946F9"/>
    <w:rsid w:val="00D9574A"/>
    <w:rsid w:val="00D96826"/>
    <w:rsid w:val="00D97505"/>
    <w:rsid w:val="00D975CC"/>
    <w:rsid w:val="00D97B9F"/>
    <w:rsid w:val="00DA01A2"/>
    <w:rsid w:val="00DA0E36"/>
    <w:rsid w:val="00DA37FA"/>
    <w:rsid w:val="00DA42CB"/>
    <w:rsid w:val="00DA4BA4"/>
    <w:rsid w:val="00DA4E74"/>
    <w:rsid w:val="00DA61F6"/>
    <w:rsid w:val="00DA6AC3"/>
    <w:rsid w:val="00DA74C3"/>
    <w:rsid w:val="00DB0CFD"/>
    <w:rsid w:val="00DB2235"/>
    <w:rsid w:val="00DB2324"/>
    <w:rsid w:val="00DB34B7"/>
    <w:rsid w:val="00DB374D"/>
    <w:rsid w:val="00DB4AE3"/>
    <w:rsid w:val="00DB50C7"/>
    <w:rsid w:val="00DB6592"/>
    <w:rsid w:val="00DB6D6C"/>
    <w:rsid w:val="00DB7D39"/>
    <w:rsid w:val="00DC02C5"/>
    <w:rsid w:val="00DC0518"/>
    <w:rsid w:val="00DC10C0"/>
    <w:rsid w:val="00DC1F96"/>
    <w:rsid w:val="00DC2044"/>
    <w:rsid w:val="00DC57DB"/>
    <w:rsid w:val="00DD05EF"/>
    <w:rsid w:val="00DD1916"/>
    <w:rsid w:val="00DD1A62"/>
    <w:rsid w:val="00DD2ADB"/>
    <w:rsid w:val="00DD2CE1"/>
    <w:rsid w:val="00DD2F52"/>
    <w:rsid w:val="00DD4BCE"/>
    <w:rsid w:val="00DD6AE8"/>
    <w:rsid w:val="00DD7322"/>
    <w:rsid w:val="00DE061D"/>
    <w:rsid w:val="00DE222B"/>
    <w:rsid w:val="00DE3031"/>
    <w:rsid w:val="00DE3903"/>
    <w:rsid w:val="00DE3CA3"/>
    <w:rsid w:val="00DE4BDB"/>
    <w:rsid w:val="00DE4FC5"/>
    <w:rsid w:val="00DE51F3"/>
    <w:rsid w:val="00DE5E9A"/>
    <w:rsid w:val="00DE7751"/>
    <w:rsid w:val="00DF0463"/>
    <w:rsid w:val="00DF1FD5"/>
    <w:rsid w:val="00DF24A5"/>
    <w:rsid w:val="00DF3111"/>
    <w:rsid w:val="00DF387C"/>
    <w:rsid w:val="00DF4330"/>
    <w:rsid w:val="00DF4F75"/>
    <w:rsid w:val="00DF511F"/>
    <w:rsid w:val="00DF52E6"/>
    <w:rsid w:val="00DF586A"/>
    <w:rsid w:val="00DF5A39"/>
    <w:rsid w:val="00DF5F73"/>
    <w:rsid w:val="00DF683E"/>
    <w:rsid w:val="00DF6FE2"/>
    <w:rsid w:val="00DF7006"/>
    <w:rsid w:val="00DF72C5"/>
    <w:rsid w:val="00DF7339"/>
    <w:rsid w:val="00E00F53"/>
    <w:rsid w:val="00E01053"/>
    <w:rsid w:val="00E01A24"/>
    <w:rsid w:val="00E02B79"/>
    <w:rsid w:val="00E0335D"/>
    <w:rsid w:val="00E03DB4"/>
    <w:rsid w:val="00E06D68"/>
    <w:rsid w:val="00E0741C"/>
    <w:rsid w:val="00E07E55"/>
    <w:rsid w:val="00E1256A"/>
    <w:rsid w:val="00E141D5"/>
    <w:rsid w:val="00E14748"/>
    <w:rsid w:val="00E14CA5"/>
    <w:rsid w:val="00E14D73"/>
    <w:rsid w:val="00E15AD4"/>
    <w:rsid w:val="00E15B3B"/>
    <w:rsid w:val="00E15E6C"/>
    <w:rsid w:val="00E163E8"/>
    <w:rsid w:val="00E16443"/>
    <w:rsid w:val="00E170B5"/>
    <w:rsid w:val="00E202FA"/>
    <w:rsid w:val="00E218CA"/>
    <w:rsid w:val="00E2257A"/>
    <w:rsid w:val="00E22CEA"/>
    <w:rsid w:val="00E23370"/>
    <w:rsid w:val="00E23D23"/>
    <w:rsid w:val="00E23FF8"/>
    <w:rsid w:val="00E2458E"/>
    <w:rsid w:val="00E252E5"/>
    <w:rsid w:val="00E253D5"/>
    <w:rsid w:val="00E25645"/>
    <w:rsid w:val="00E26325"/>
    <w:rsid w:val="00E267D4"/>
    <w:rsid w:val="00E313D0"/>
    <w:rsid w:val="00E318EE"/>
    <w:rsid w:val="00E32D0D"/>
    <w:rsid w:val="00E3350E"/>
    <w:rsid w:val="00E33677"/>
    <w:rsid w:val="00E33A1E"/>
    <w:rsid w:val="00E34E74"/>
    <w:rsid w:val="00E35EBD"/>
    <w:rsid w:val="00E370E6"/>
    <w:rsid w:val="00E374C2"/>
    <w:rsid w:val="00E37F17"/>
    <w:rsid w:val="00E4054A"/>
    <w:rsid w:val="00E4096D"/>
    <w:rsid w:val="00E40C4B"/>
    <w:rsid w:val="00E413D2"/>
    <w:rsid w:val="00E41FF2"/>
    <w:rsid w:val="00E42427"/>
    <w:rsid w:val="00E42570"/>
    <w:rsid w:val="00E42BDA"/>
    <w:rsid w:val="00E43936"/>
    <w:rsid w:val="00E4482D"/>
    <w:rsid w:val="00E46172"/>
    <w:rsid w:val="00E463A9"/>
    <w:rsid w:val="00E4661F"/>
    <w:rsid w:val="00E46BD2"/>
    <w:rsid w:val="00E47108"/>
    <w:rsid w:val="00E50C3C"/>
    <w:rsid w:val="00E50C9B"/>
    <w:rsid w:val="00E51414"/>
    <w:rsid w:val="00E51657"/>
    <w:rsid w:val="00E52FE5"/>
    <w:rsid w:val="00E54D33"/>
    <w:rsid w:val="00E55240"/>
    <w:rsid w:val="00E554A3"/>
    <w:rsid w:val="00E560CC"/>
    <w:rsid w:val="00E56206"/>
    <w:rsid w:val="00E56592"/>
    <w:rsid w:val="00E566B4"/>
    <w:rsid w:val="00E56831"/>
    <w:rsid w:val="00E56D1D"/>
    <w:rsid w:val="00E57389"/>
    <w:rsid w:val="00E57A14"/>
    <w:rsid w:val="00E60EEA"/>
    <w:rsid w:val="00E623B4"/>
    <w:rsid w:val="00E62C96"/>
    <w:rsid w:val="00E6337E"/>
    <w:rsid w:val="00E63746"/>
    <w:rsid w:val="00E63FFF"/>
    <w:rsid w:val="00E64671"/>
    <w:rsid w:val="00E64DF3"/>
    <w:rsid w:val="00E655FB"/>
    <w:rsid w:val="00E66293"/>
    <w:rsid w:val="00E6761A"/>
    <w:rsid w:val="00E67AF9"/>
    <w:rsid w:val="00E70BD0"/>
    <w:rsid w:val="00E712DB"/>
    <w:rsid w:val="00E71EDC"/>
    <w:rsid w:val="00E7295F"/>
    <w:rsid w:val="00E72E10"/>
    <w:rsid w:val="00E742E4"/>
    <w:rsid w:val="00E745AB"/>
    <w:rsid w:val="00E75714"/>
    <w:rsid w:val="00E766D9"/>
    <w:rsid w:val="00E77097"/>
    <w:rsid w:val="00E77099"/>
    <w:rsid w:val="00E77EEF"/>
    <w:rsid w:val="00E80EED"/>
    <w:rsid w:val="00E812B3"/>
    <w:rsid w:val="00E81DAA"/>
    <w:rsid w:val="00E824BD"/>
    <w:rsid w:val="00E82853"/>
    <w:rsid w:val="00E85F06"/>
    <w:rsid w:val="00E86677"/>
    <w:rsid w:val="00E8685F"/>
    <w:rsid w:val="00E86E05"/>
    <w:rsid w:val="00E877DB"/>
    <w:rsid w:val="00E902AF"/>
    <w:rsid w:val="00E91DDC"/>
    <w:rsid w:val="00E92C3C"/>
    <w:rsid w:val="00E93595"/>
    <w:rsid w:val="00E9594D"/>
    <w:rsid w:val="00E95A8A"/>
    <w:rsid w:val="00E96A45"/>
    <w:rsid w:val="00E97688"/>
    <w:rsid w:val="00E9779A"/>
    <w:rsid w:val="00E97838"/>
    <w:rsid w:val="00E97F0F"/>
    <w:rsid w:val="00EA0144"/>
    <w:rsid w:val="00EA2F43"/>
    <w:rsid w:val="00EA3559"/>
    <w:rsid w:val="00EA3FA6"/>
    <w:rsid w:val="00EA421E"/>
    <w:rsid w:val="00EA4E7C"/>
    <w:rsid w:val="00EA54FB"/>
    <w:rsid w:val="00EA64CA"/>
    <w:rsid w:val="00EA7592"/>
    <w:rsid w:val="00EB175C"/>
    <w:rsid w:val="00EB2788"/>
    <w:rsid w:val="00EB3004"/>
    <w:rsid w:val="00EB4420"/>
    <w:rsid w:val="00EB468B"/>
    <w:rsid w:val="00EB5364"/>
    <w:rsid w:val="00EB5BAC"/>
    <w:rsid w:val="00EB6E65"/>
    <w:rsid w:val="00EB72CB"/>
    <w:rsid w:val="00EB7A57"/>
    <w:rsid w:val="00EB7B14"/>
    <w:rsid w:val="00EC0018"/>
    <w:rsid w:val="00EC0ED7"/>
    <w:rsid w:val="00EC1999"/>
    <w:rsid w:val="00EC1D52"/>
    <w:rsid w:val="00EC27CD"/>
    <w:rsid w:val="00EC2B81"/>
    <w:rsid w:val="00EC37B0"/>
    <w:rsid w:val="00EC3D98"/>
    <w:rsid w:val="00EC4062"/>
    <w:rsid w:val="00EC432F"/>
    <w:rsid w:val="00EC47C0"/>
    <w:rsid w:val="00EC499C"/>
    <w:rsid w:val="00EC4A25"/>
    <w:rsid w:val="00EC5B31"/>
    <w:rsid w:val="00EC6ECF"/>
    <w:rsid w:val="00EC7E86"/>
    <w:rsid w:val="00ED1606"/>
    <w:rsid w:val="00ED227E"/>
    <w:rsid w:val="00ED23D0"/>
    <w:rsid w:val="00ED2FEC"/>
    <w:rsid w:val="00ED3064"/>
    <w:rsid w:val="00ED34E4"/>
    <w:rsid w:val="00ED4000"/>
    <w:rsid w:val="00ED520D"/>
    <w:rsid w:val="00ED540A"/>
    <w:rsid w:val="00ED54A0"/>
    <w:rsid w:val="00ED6411"/>
    <w:rsid w:val="00ED6A16"/>
    <w:rsid w:val="00ED71D8"/>
    <w:rsid w:val="00ED7E02"/>
    <w:rsid w:val="00EE11F8"/>
    <w:rsid w:val="00EE146C"/>
    <w:rsid w:val="00EE2F8F"/>
    <w:rsid w:val="00EE3C1D"/>
    <w:rsid w:val="00EE6222"/>
    <w:rsid w:val="00EE63BF"/>
    <w:rsid w:val="00EE71D0"/>
    <w:rsid w:val="00EF0B1C"/>
    <w:rsid w:val="00EF1078"/>
    <w:rsid w:val="00EF14AC"/>
    <w:rsid w:val="00EF2082"/>
    <w:rsid w:val="00EF2AEE"/>
    <w:rsid w:val="00EF2FDF"/>
    <w:rsid w:val="00EF428F"/>
    <w:rsid w:val="00EF474B"/>
    <w:rsid w:val="00EF4EFB"/>
    <w:rsid w:val="00EF52D2"/>
    <w:rsid w:val="00EF5408"/>
    <w:rsid w:val="00EF5521"/>
    <w:rsid w:val="00EF6767"/>
    <w:rsid w:val="00EF6B9D"/>
    <w:rsid w:val="00EF7E9E"/>
    <w:rsid w:val="00F04081"/>
    <w:rsid w:val="00F04524"/>
    <w:rsid w:val="00F0490D"/>
    <w:rsid w:val="00F067CF"/>
    <w:rsid w:val="00F06B97"/>
    <w:rsid w:val="00F06DE5"/>
    <w:rsid w:val="00F07599"/>
    <w:rsid w:val="00F07D02"/>
    <w:rsid w:val="00F10291"/>
    <w:rsid w:val="00F1029B"/>
    <w:rsid w:val="00F1052B"/>
    <w:rsid w:val="00F113C2"/>
    <w:rsid w:val="00F12333"/>
    <w:rsid w:val="00F1285D"/>
    <w:rsid w:val="00F139BF"/>
    <w:rsid w:val="00F13E88"/>
    <w:rsid w:val="00F14680"/>
    <w:rsid w:val="00F14FDC"/>
    <w:rsid w:val="00F17DFA"/>
    <w:rsid w:val="00F207C8"/>
    <w:rsid w:val="00F21212"/>
    <w:rsid w:val="00F220AC"/>
    <w:rsid w:val="00F22342"/>
    <w:rsid w:val="00F227FA"/>
    <w:rsid w:val="00F2315C"/>
    <w:rsid w:val="00F266C6"/>
    <w:rsid w:val="00F3006A"/>
    <w:rsid w:val="00F30105"/>
    <w:rsid w:val="00F30B18"/>
    <w:rsid w:val="00F318F6"/>
    <w:rsid w:val="00F31D44"/>
    <w:rsid w:val="00F31F86"/>
    <w:rsid w:val="00F326A0"/>
    <w:rsid w:val="00F332F5"/>
    <w:rsid w:val="00F34465"/>
    <w:rsid w:val="00F347A4"/>
    <w:rsid w:val="00F354CF"/>
    <w:rsid w:val="00F3561A"/>
    <w:rsid w:val="00F43593"/>
    <w:rsid w:val="00F44272"/>
    <w:rsid w:val="00F467E9"/>
    <w:rsid w:val="00F4714C"/>
    <w:rsid w:val="00F50097"/>
    <w:rsid w:val="00F50DE4"/>
    <w:rsid w:val="00F52219"/>
    <w:rsid w:val="00F52AC0"/>
    <w:rsid w:val="00F553C3"/>
    <w:rsid w:val="00F567E2"/>
    <w:rsid w:val="00F57F05"/>
    <w:rsid w:val="00F60389"/>
    <w:rsid w:val="00F6063A"/>
    <w:rsid w:val="00F60738"/>
    <w:rsid w:val="00F61242"/>
    <w:rsid w:val="00F618C3"/>
    <w:rsid w:val="00F61A07"/>
    <w:rsid w:val="00F6210E"/>
    <w:rsid w:val="00F6274E"/>
    <w:rsid w:val="00F667A4"/>
    <w:rsid w:val="00F66A81"/>
    <w:rsid w:val="00F67B5D"/>
    <w:rsid w:val="00F70118"/>
    <w:rsid w:val="00F70777"/>
    <w:rsid w:val="00F70AAA"/>
    <w:rsid w:val="00F71095"/>
    <w:rsid w:val="00F71DE3"/>
    <w:rsid w:val="00F73932"/>
    <w:rsid w:val="00F745C2"/>
    <w:rsid w:val="00F751B7"/>
    <w:rsid w:val="00F756FE"/>
    <w:rsid w:val="00F75A6E"/>
    <w:rsid w:val="00F765D6"/>
    <w:rsid w:val="00F770B2"/>
    <w:rsid w:val="00F801A8"/>
    <w:rsid w:val="00F80960"/>
    <w:rsid w:val="00F80A85"/>
    <w:rsid w:val="00F81C42"/>
    <w:rsid w:val="00F822D3"/>
    <w:rsid w:val="00F8276A"/>
    <w:rsid w:val="00F829B5"/>
    <w:rsid w:val="00F82FA4"/>
    <w:rsid w:val="00F83EE6"/>
    <w:rsid w:val="00F847CA"/>
    <w:rsid w:val="00F85145"/>
    <w:rsid w:val="00F85583"/>
    <w:rsid w:val="00F85EA1"/>
    <w:rsid w:val="00F86B9B"/>
    <w:rsid w:val="00F87415"/>
    <w:rsid w:val="00F877DC"/>
    <w:rsid w:val="00F878AA"/>
    <w:rsid w:val="00F90A26"/>
    <w:rsid w:val="00F92064"/>
    <w:rsid w:val="00F9218C"/>
    <w:rsid w:val="00F93A13"/>
    <w:rsid w:val="00F94765"/>
    <w:rsid w:val="00F957AF"/>
    <w:rsid w:val="00F95B83"/>
    <w:rsid w:val="00F96D46"/>
    <w:rsid w:val="00F977FE"/>
    <w:rsid w:val="00FA03B3"/>
    <w:rsid w:val="00FA0EB0"/>
    <w:rsid w:val="00FA39A4"/>
    <w:rsid w:val="00FA5F48"/>
    <w:rsid w:val="00FA6FED"/>
    <w:rsid w:val="00FA73CD"/>
    <w:rsid w:val="00FA7B6F"/>
    <w:rsid w:val="00FB0194"/>
    <w:rsid w:val="00FB04EE"/>
    <w:rsid w:val="00FB0524"/>
    <w:rsid w:val="00FB2FC5"/>
    <w:rsid w:val="00FB3799"/>
    <w:rsid w:val="00FB3C33"/>
    <w:rsid w:val="00FB5ABE"/>
    <w:rsid w:val="00FC0BCD"/>
    <w:rsid w:val="00FC1AE0"/>
    <w:rsid w:val="00FC240F"/>
    <w:rsid w:val="00FC50A5"/>
    <w:rsid w:val="00FC6324"/>
    <w:rsid w:val="00FC6557"/>
    <w:rsid w:val="00FC7343"/>
    <w:rsid w:val="00FC7F31"/>
    <w:rsid w:val="00FD327B"/>
    <w:rsid w:val="00FD4198"/>
    <w:rsid w:val="00FD5D55"/>
    <w:rsid w:val="00FD5FB6"/>
    <w:rsid w:val="00FD6038"/>
    <w:rsid w:val="00FD633D"/>
    <w:rsid w:val="00FD66CD"/>
    <w:rsid w:val="00FD70FD"/>
    <w:rsid w:val="00FE1900"/>
    <w:rsid w:val="00FE3270"/>
    <w:rsid w:val="00FE32F9"/>
    <w:rsid w:val="00FE38F8"/>
    <w:rsid w:val="00FE50E7"/>
    <w:rsid w:val="00FE5257"/>
    <w:rsid w:val="00FE6FDA"/>
    <w:rsid w:val="00FE7B3B"/>
    <w:rsid w:val="00FE7BE8"/>
    <w:rsid w:val="00FE7DA9"/>
    <w:rsid w:val="00FF0E9F"/>
    <w:rsid w:val="00FF1155"/>
    <w:rsid w:val="00FF2683"/>
    <w:rsid w:val="00FF26C7"/>
    <w:rsid w:val="00FF2B0E"/>
    <w:rsid w:val="00FF374D"/>
    <w:rsid w:val="00FF4446"/>
    <w:rsid w:val="00FF4717"/>
    <w:rsid w:val="00FF47FF"/>
    <w:rsid w:val="00FF4D3E"/>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6F533D04"/>
  <w15:docId w15:val="{3FFE3A98-5139-450A-9F39-BEE51F1C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08"/>
    <w:pPr>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outlineLvl w:val="5"/>
    </w:pPr>
  </w:style>
  <w:style w:type="paragraph" w:styleId="Heading7">
    <w:name w:val="heading 7"/>
    <w:basedOn w:val="Normal"/>
    <w:next w:val="Normal"/>
    <w:link w:val="Heading7Char"/>
    <w:semiHidden/>
    <w:qFormat/>
    <w:rsid w:val="002B76AB"/>
    <w:pPr>
      <w:keepNext/>
      <w:numPr>
        <w:ilvl w:val="6"/>
        <w:numId w:val="8"/>
      </w:numPr>
      <w:spacing w:after="120"/>
      <w:outlineLvl w:val="6"/>
    </w:pPr>
  </w:style>
  <w:style w:type="paragraph" w:styleId="Heading8">
    <w:name w:val="heading 8"/>
    <w:basedOn w:val="Normal"/>
    <w:next w:val="Normal"/>
    <w:link w:val="Heading8Char"/>
    <w:semiHidden/>
    <w:qFormat/>
    <w:rsid w:val="002B76AB"/>
    <w:pPr>
      <w:keepNext/>
      <w:numPr>
        <w:ilvl w:val="7"/>
        <w:numId w:val="8"/>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3A3D07"/>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B7B04"/>
    <w:pPr>
      <w:pBdr>
        <w:top w:val="single" w:sz="2" w:space="1" w:color="auto"/>
      </w:pBdr>
      <w:tabs>
        <w:tab w:val="center" w:pos="4320"/>
        <w:tab w:val="right" w:pos="9360"/>
      </w:tabs>
      <w:ind w:firstLine="0"/>
      <w:jc w:val="center"/>
    </w:pPr>
    <w:rPr>
      <w:rFonts w:ascii="Arial" w:hAnsi="Arial"/>
      <w:sz w:val="20"/>
    </w:rPr>
  </w:style>
  <w:style w:type="character" w:customStyle="1" w:styleId="FooterChar">
    <w:name w:val="Footer Char"/>
    <w:basedOn w:val="DefaultParagraphFont"/>
    <w:link w:val="Footer"/>
    <w:uiPriority w:val="99"/>
    <w:rsid w:val="001B7B04"/>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555901"/>
    <w:pPr>
      <w:spacing w:before="240"/>
    </w:pPr>
  </w:style>
  <w:style w:type="paragraph" w:customStyle="1" w:styleId="NormalSS">
    <w:name w:val="NormalSS"/>
    <w:basedOn w:val="Normal"/>
    <w:link w:val="NormalSSChar"/>
    <w:qFormat/>
    <w:rsid w:val="000B764C"/>
  </w:style>
  <w:style w:type="paragraph" w:customStyle="1" w:styleId="NormalSScontinued">
    <w:name w:val="NormalSS (continued)"/>
    <w:basedOn w:val="Normalcontinued"/>
    <w:next w:val="NormalSS"/>
    <w:qFormat/>
    <w:rsid w:val="008A1A59"/>
  </w:style>
  <w:style w:type="paragraph" w:customStyle="1" w:styleId="NumberedBullet">
    <w:name w:val="Numbered Bullet"/>
    <w:basedOn w:val="Normal"/>
    <w:link w:val="NumberedBulletChar"/>
    <w:qFormat/>
    <w:rsid w:val="00455D47"/>
    <w:pPr>
      <w:numPr>
        <w:numId w:val="7"/>
      </w:numPr>
      <w:tabs>
        <w:tab w:val="left" w:pos="432"/>
      </w:tabs>
      <w:spacing w:after="120"/>
    </w:pPr>
  </w:style>
  <w:style w:type="paragraph" w:customStyle="1" w:styleId="Outline">
    <w:name w:val="Outline"/>
    <w:basedOn w:val="Normal"/>
    <w:semiHidden/>
    <w:unhideWhenUsed/>
    <w:qFormat/>
    <w:rsid w:val="002E3E35"/>
    <w:pPr>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8A21CC"/>
    <w:pPr>
      <w:spacing w:before="120" w:after="60"/>
    </w:pPr>
    <w:rPr>
      <w:color w:val="FFFFFF" w:themeColor="background1"/>
    </w:rPr>
  </w:style>
  <w:style w:type="paragraph" w:customStyle="1" w:styleId="TableHeaderCenter">
    <w:name w:val="Table Header Center"/>
    <w:basedOn w:val="TableHeaderLeft"/>
    <w:qFormat/>
    <w:rsid w:val="008A21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rsid w:val="002E3E35"/>
    <w:pPr>
      <w:pBdr>
        <w:bottom w:val="single" w:sz="8" w:space="4" w:color="4F81BD" w:themeColor="accent1"/>
      </w:pBdr>
      <w:spacing w:after="300"/>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EA421E"/>
    <w:pPr>
      <w:tabs>
        <w:tab w:val="right" w:leader="dot" w:pos="9360"/>
      </w:tabs>
      <w:spacing w:after="140" w:line="240" w:lineRule="exact"/>
      <w:ind w:left="1080" w:right="720" w:hanging="1080"/>
    </w:pPr>
    <w:rPr>
      <w:rFonts w:ascii="Arial" w:eastAsia="Times New Roman" w:hAnsi="Arial" w:cs="Times New Roman"/>
      <w:caps/>
      <w:sz w:val="20"/>
      <w:szCs w:val="20"/>
    </w:rPr>
  </w:style>
  <w:style w:type="paragraph" w:styleId="TOC2">
    <w:name w:val="toc 2"/>
    <w:next w:val="Normal"/>
    <w:autoRedefine/>
    <w:uiPriority w:val="39"/>
    <w:qFormat/>
    <w:rsid w:val="00EA421E"/>
    <w:pPr>
      <w:tabs>
        <w:tab w:val="right" w:leader="dot" w:pos="9360"/>
      </w:tabs>
      <w:spacing w:after="140" w:line="240" w:lineRule="exact"/>
      <w:ind w:left="165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F90A26"/>
    <w:pPr>
      <w:tabs>
        <w:tab w:val="left" w:pos="1440"/>
      </w:tabs>
      <w:spacing w:after="120"/>
      <w:ind w:left="1872"/>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1E1C69"/>
    <w:pPr>
      <w:tabs>
        <w:tab w:val="right" w:leader="dot" w:pos="9360"/>
      </w:tabs>
      <w:spacing w:after="140" w:line="240" w:lineRule="exact"/>
      <w:ind w:left="1584" w:right="720" w:hanging="1584"/>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uiPriority w:val="99"/>
    <w:rsid w:val="008A21CC"/>
    <w:pPr>
      <w:spacing w:after="0"/>
      <w:textboxTightWrap w:val="allLines"/>
    </w:pPr>
    <w:rPr>
      <w:rFonts w:ascii="Arial" w:hAnsi="Arial"/>
      <w:sz w:val="18"/>
    </w:rPr>
    <w:tblPr>
      <w:tblStyleRowBandSize w:val="1"/>
      <w:tblBorders>
        <w:bottom w:val="single" w:sz="4" w:space="0" w:color="auto"/>
      </w:tblBorders>
      <w:tblCellMar>
        <w:left w:w="72" w:type="dxa"/>
        <w:right w:w="72" w:type="dxa"/>
      </w:tblCellMar>
    </w:tbl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mary Bullet List,Bullets 3 pt"/>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610C7"/>
    <w:pPr>
      <w:numPr>
        <w:numId w:val="10"/>
      </w:numPr>
      <w:ind w:left="360"/>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41B"/>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B610C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62141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90A26"/>
    <w:pPr>
      <w:tabs>
        <w:tab w:val="clear" w:pos="432"/>
      </w:tabs>
      <w:ind w:left="576" w:hanging="576"/>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927400"/>
    <w:pPr>
      <w:ind w:left="432" w:hanging="432"/>
      <w:outlineLvl w:val="9"/>
    </w:pPr>
  </w:style>
  <w:style w:type="character" w:customStyle="1" w:styleId="H4NumberChar">
    <w:name w:val="H4_Number Char"/>
    <w:basedOn w:val="Heading3Char"/>
    <w:link w:val="H4Number"/>
    <w:rsid w:val="00F90A26"/>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8A1A59"/>
    <w:pPr>
      <w:tabs>
        <w:tab w:val="clear" w:pos="432"/>
      </w:tabs>
      <w:ind w:left="0" w:firstLine="0"/>
      <w:outlineLvl w:val="4"/>
    </w:pPr>
  </w:style>
  <w:style w:type="character" w:customStyle="1" w:styleId="H4NumberNoTOCChar">
    <w:name w:val="H4_Number_No TOC Char"/>
    <w:basedOn w:val="H4NumberChar"/>
    <w:link w:val="H4NumberNoTOC"/>
    <w:rsid w:val="00927400"/>
    <w:rPr>
      <w:rFonts w:ascii="Arial Black" w:eastAsia="Times New Roman" w:hAnsi="Arial Black" w:cs="Times New Roman"/>
      <w:b/>
      <w:sz w:val="22"/>
      <w:szCs w:val="20"/>
    </w:rPr>
  </w:style>
  <w:style w:type="character" w:customStyle="1" w:styleId="H5LowerChar">
    <w:name w:val="H5_Lower Char"/>
    <w:basedOn w:val="Heading4Char"/>
    <w:link w:val="H5Lower"/>
    <w:rsid w:val="008A1A59"/>
    <w:rPr>
      <w:rFonts w:eastAsia="Times New Roman" w:cs="Times New Roman"/>
      <w:b/>
      <w:szCs w:val="20"/>
    </w:rPr>
  </w:style>
  <w:style w:type="table" w:customStyle="1" w:styleId="SMPRTableBlue">
    <w:name w:val="SMPR_Table_Blue"/>
    <w:basedOn w:val="TableNormal"/>
    <w:uiPriority w:val="99"/>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uiPriority w:val="99"/>
    <w:unhideWhenUsed/>
    <w:rsid w:val="00AD70C9"/>
    <w:rPr>
      <w:sz w:val="20"/>
    </w:rPr>
  </w:style>
  <w:style w:type="character" w:customStyle="1" w:styleId="CommentTextChar">
    <w:name w:val="Comment Text Char"/>
    <w:basedOn w:val="DefaultParagraphFont"/>
    <w:link w:val="CommentText"/>
    <w:uiPriority w:val="99"/>
    <w:rsid w:val="00AD70C9"/>
    <w:rPr>
      <w:rFonts w:eastAsia="Times New Roman" w:cs="Times New Roman"/>
      <w:sz w:val="20"/>
      <w:szCs w:val="20"/>
    </w:rPr>
  </w:style>
  <w:style w:type="character" w:styleId="CommentReference">
    <w:name w:val="annotation reference"/>
    <w:basedOn w:val="DefaultParagraphFont"/>
    <w:uiPriority w:val="99"/>
    <w:unhideWhenUsed/>
    <w:rsid w:val="00AD70C9"/>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9C0118"/>
    <w:rPr>
      <w:b/>
      <w:bCs/>
    </w:rPr>
  </w:style>
  <w:style w:type="character" w:customStyle="1" w:styleId="CommentSubjectChar">
    <w:name w:val="Comment Subject Char"/>
    <w:basedOn w:val="CommentTextChar"/>
    <w:link w:val="CommentSubject"/>
    <w:uiPriority w:val="99"/>
    <w:semiHidden/>
    <w:rsid w:val="009C0118"/>
    <w:rPr>
      <w:rFonts w:eastAsia="Times New Roman" w:cs="Times New Roman"/>
      <w:b/>
      <w:bCs/>
      <w:sz w:val="20"/>
      <w:szCs w:val="20"/>
    </w:rPr>
  </w:style>
  <w:style w:type="paragraph" w:customStyle="1" w:styleId="ParagraphLASTSS">
    <w:name w:val="Paragraph (LAST SS)"/>
    <w:basedOn w:val="Normal"/>
    <w:qFormat/>
    <w:rsid w:val="005C1121"/>
    <w:pPr>
      <w:tabs>
        <w:tab w:val="left" w:pos="432"/>
      </w:tabs>
      <w:spacing w:after="480"/>
      <w:jc w:val="both"/>
    </w:pPr>
  </w:style>
  <w:style w:type="paragraph" w:customStyle="1" w:styleId="MarkforTableHeading">
    <w:name w:val="Mark for Table Heading"/>
    <w:basedOn w:val="Normal"/>
    <w:next w:val="Normal"/>
    <w:qFormat/>
    <w:rsid w:val="00C156CF"/>
    <w:pPr>
      <w:keepNext/>
      <w:tabs>
        <w:tab w:val="left" w:pos="432"/>
      </w:tabs>
      <w:spacing w:after="60"/>
      <w:ind w:firstLine="0"/>
      <w:jc w:val="both"/>
    </w:pPr>
    <w:rPr>
      <w:rFonts w:ascii="Lucida Sans" w:hAnsi="Lucida Sans"/>
      <w:b/>
      <w:sz w:val="18"/>
      <w:szCs w:val="24"/>
    </w:rPr>
  </w:style>
  <w:style w:type="paragraph" w:styleId="BlockText">
    <w:name w:val="Block Text"/>
    <w:basedOn w:val="Normal"/>
    <w:semiHidden/>
    <w:rsid w:val="009F46AE"/>
    <w:pPr>
      <w:ind w:left="2880" w:right="2880" w:firstLine="0"/>
    </w:pPr>
    <w:rPr>
      <w:b/>
      <w:snapToGrid w:val="0"/>
      <w:sz w:val="32"/>
      <w:szCs w:val="24"/>
    </w:rPr>
  </w:style>
  <w:style w:type="paragraph" w:styleId="Revision">
    <w:name w:val="Revision"/>
    <w:hidden/>
    <w:uiPriority w:val="99"/>
    <w:semiHidden/>
    <w:rsid w:val="006E4B45"/>
    <w:pPr>
      <w:spacing w:after="0"/>
    </w:pPr>
    <w:rPr>
      <w:rFonts w:eastAsia="Times New Roman" w:cs="Times New Roman"/>
      <w:szCs w:val="20"/>
    </w:rPr>
  </w:style>
  <w:style w:type="paragraph" w:customStyle="1" w:styleId="disclosure">
    <w:name w:val="disclosure"/>
    <w:basedOn w:val="Footer"/>
    <w:qFormat/>
    <w:rsid w:val="00030229"/>
    <w:pPr>
      <w:tabs>
        <w:tab w:val="clear" w:pos="4320"/>
        <w:tab w:val="center" w:pos="4770"/>
      </w:tabs>
      <w:spacing w:before="120"/>
    </w:pPr>
    <w:rPr>
      <w:sz w:val="17"/>
    </w:rPr>
  </w:style>
  <w:style w:type="paragraph" w:customStyle="1" w:styleId="backcovercities">
    <w:name w:val="back cover cities"/>
    <w:basedOn w:val="Normal"/>
    <w:qFormat/>
    <w:rsid w:val="004A4DBD"/>
    <w:pPr>
      <w:ind w:firstLine="0"/>
    </w:pPr>
    <w:rPr>
      <w:rFonts w:ascii="Arial Black" w:hAnsi="Arial Black"/>
      <w:caps/>
      <w:noProof/>
      <w:spacing w:val="-3"/>
      <w:sz w:val="14"/>
      <w:szCs w:val="19"/>
    </w:rPr>
  </w:style>
  <w:style w:type="paragraph" w:customStyle="1" w:styleId="backcovertitle">
    <w:name w:val="back cover title"/>
    <w:basedOn w:val="Normal"/>
    <w:qFormat/>
    <w:rsid w:val="004A4DBD"/>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NormalWeb">
    <w:name w:val="Normal (Web)"/>
    <w:basedOn w:val="Normal"/>
    <w:uiPriority w:val="99"/>
    <w:unhideWhenUsed/>
    <w:rsid w:val="00957A7A"/>
    <w:pPr>
      <w:spacing w:before="100" w:beforeAutospacing="1" w:after="100" w:afterAutospacing="1"/>
      <w:ind w:firstLine="0"/>
    </w:pPr>
    <w:rPr>
      <w:szCs w:val="24"/>
    </w:rPr>
  </w:style>
  <w:style w:type="table" w:customStyle="1" w:styleId="TableGrid1">
    <w:name w:val="Table Grid1"/>
    <w:basedOn w:val="TableNormal"/>
    <w:next w:val="TableGrid"/>
    <w:uiPriority w:val="59"/>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8F0E5D"/>
    <w:pPr>
      <w:numPr>
        <w:numId w:val="9"/>
      </w:numPr>
      <w:contextualSpacing/>
    </w:pPr>
  </w:style>
  <w:style w:type="character" w:styleId="Strong">
    <w:name w:val="Strong"/>
    <w:basedOn w:val="DefaultParagraphFont"/>
    <w:uiPriority w:val="22"/>
    <w:qFormat/>
    <w:rsid w:val="00AF65EC"/>
    <w:rPr>
      <w:b/>
      <w:bCs/>
    </w:rPr>
  </w:style>
  <w:style w:type="paragraph" w:customStyle="1" w:styleId="QCOVERSubline">
    <w:name w:val="Q COVER Subline"/>
    <w:basedOn w:val="Normal"/>
    <w:qFormat/>
    <w:rsid w:val="001E5D5F"/>
    <w:pPr>
      <w:tabs>
        <w:tab w:val="left" w:pos="432"/>
      </w:tabs>
      <w:spacing w:after="480"/>
      <w:ind w:firstLine="0"/>
      <w:jc w:val="center"/>
    </w:pPr>
    <w:rPr>
      <w:rFonts w:ascii="Arial Black" w:hAnsi="Arial Black" w:cs="Arial"/>
      <w:sz w:val="36"/>
      <w:szCs w:val="28"/>
    </w:rPr>
  </w:style>
  <w:style w:type="paragraph" w:customStyle="1" w:styleId="TableListNumber">
    <w:name w:val="Table List Number"/>
    <w:basedOn w:val="Normal"/>
    <w:qFormat/>
    <w:rsid w:val="00555901"/>
    <w:pPr>
      <w:numPr>
        <w:numId w:val="11"/>
      </w:numPr>
      <w:spacing w:before="40" w:after="20" w:line="264" w:lineRule="auto"/>
    </w:pPr>
    <w:rPr>
      <w:rFonts w:ascii="Arial" w:eastAsiaTheme="minorHAnsi" w:hAnsi="Arial" w:cstheme="minorBidi"/>
      <w:color w:val="000000" w:themeColor="text1"/>
      <w:sz w:val="18"/>
      <w:szCs w:val="22"/>
    </w:rPr>
  </w:style>
  <w:style w:type="character" w:customStyle="1" w:styleId="ListParagraphChar">
    <w:name w:val="List Paragraph Char"/>
    <w:aliases w:val="Primary Bullet List Char,Bullets 3 pt Char"/>
    <w:link w:val="ListParagraph"/>
    <w:uiPriority w:val="34"/>
    <w:locked/>
    <w:rsid w:val="0061197F"/>
    <w:rPr>
      <w:rFonts w:eastAsia="Times New Roman" w:cs="Times New Roman"/>
      <w:szCs w:val="20"/>
    </w:rPr>
  </w:style>
  <w:style w:type="paragraph" w:customStyle="1" w:styleId="TableTextLeft">
    <w:name w:val="Table Text Left"/>
    <w:qFormat/>
    <w:rsid w:val="00E37F17"/>
    <w:pPr>
      <w:spacing w:before="40" w:after="20" w:line="264" w:lineRule="auto"/>
    </w:pPr>
    <w:rPr>
      <w:rFonts w:ascii="Arial" w:eastAsiaTheme="minorHAnsi" w:hAnsi="Arial"/>
      <w:color w:val="000000" w:themeColor="text1"/>
      <w:sz w:val="18"/>
      <w:szCs w:val="22"/>
    </w:rPr>
  </w:style>
  <w:style w:type="paragraph" w:customStyle="1" w:styleId="TableListBullet">
    <w:name w:val="Table List Bullet"/>
    <w:basedOn w:val="TableTextLeft"/>
    <w:qFormat/>
    <w:rsid w:val="004F0D42"/>
    <w:pPr>
      <w:numPr>
        <w:numId w:val="13"/>
      </w:numPr>
      <w:ind w:left="190" w:hanging="190"/>
    </w:pPr>
    <w:rPr>
      <w:rFonts w:cstheme="majorHAnsi"/>
      <w:szCs w:val="18"/>
    </w:rPr>
  </w:style>
  <w:style w:type="paragraph" w:customStyle="1" w:styleId="ExhibitTitle">
    <w:name w:val="Exhibit Title"/>
    <w:basedOn w:val="TableTextLeft"/>
    <w:qFormat/>
    <w:rsid w:val="00555901"/>
    <w:pPr>
      <w:keepNext/>
      <w:keepLines/>
      <w:spacing w:after="40"/>
    </w:pPr>
    <w:rPr>
      <w:b/>
      <w:sz w:val="20"/>
    </w:rPr>
  </w:style>
  <w:style w:type="paragraph" w:customStyle="1" w:styleId="Paragraph">
    <w:name w:val="Paragraph"/>
    <w:basedOn w:val="Normal"/>
    <w:qFormat/>
    <w:rsid w:val="00BB0FFC"/>
    <w:pPr>
      <w:spacing w:after="160" w:line="264" w:lineRule="auto"/>
      <w:ind w:firstLine="0"/>
    </w:pPr>
    <w:rPr>
      <w:rFonts w:asciiTheme="minorHAnsi" w:eastAsiaTheme="minorHAnsi" w:hAnsiTheme="minorHAnsi" w:cstheme="minorBidi"/>
      <w:sz w:val="22"/>
      <w:szCs w:val="22"/>
    </w:rPr>
  </w:style>
  <w:style w:type="paragraph" w:customStyle="1" w:styleId="ParagraphContinued">
    <w:name w:val="Paragraph Continued"/>
    <w:basedOn w:val="Paragraph"/>
    <w:next w:val="Paragraph"/>
    <w:qFormat/>
    <w:rsid w:val="00BB0FFC"/>
    <w:pPr>
      <w:spacing w:before="160"/>
    </w:pPr>
  </w:style>
  <w:style w:type="paragraph" w:styleId="ListNumber">
    <w:name w:val="List Number"/>
    <w:basedOn w:val="Normal"/>
    <w:rsid w:val="00BB0FFC"/>
    <w:pPr>
      <w:numPr>
        <w:numId w:val="15"/>
      </w:numPr>
      <w:adjustRightInd w:val="0"/>
      <w:spacing w:after="80" w:line="264" w:lineRule="auto"/>
    </w:pPr>
    <w:rPr>
      <w:rFonts w:asciiTheme="minorHAnsi" w:eastAsiaTheme="minorHAnsi" w:hAnsiTheme="minorHAnsi" w:cstheme="minorBidi"/>
      <w:sz w:val="22"/>
      <w:szCs w:val="22"/>
    </w:rPr>
  </w:style>
  <w:style w:type="paragraph" w:styleId="ListBullet3">
    <w:name w:val="List Bullet 3"/>
    <w:basedOn w:val="Normal"/>
    <w:rsid w:val="00BB0FFC"/>
    <w:pPr>
      <w:numPr>
        <w:numId w:val="14"/>
      </w:numPr>
      <w:spacing w:after="80" w:line="264" w:lineRule="auto"/>
    </w:pPr>
    <w:rPr>
      <w:rFonts w:asciiTheme="minorHAnsi" w:eastAsiaTheme="minorHAnsi" w:hAnsiTheme="minorHAnsi" w:cstheme="minorBidi"/>
      <w:sz w:val="22"/>
      <w:szCs w:val="22"/>
    </w:rPr>
  </w:style>
  <w:style w:type="paragraph" w:customStyle="1" w:styleId="H3">
    <w:name w:val="H3"/>
    <w:basedOn w:val="Normal"/>
    <w:next w:val="ParagraphContinued"/>
    <w:qFormat/>
    <w:rsid w:val="00BB0FFC"/>
    <w:pPr>
      <w:keepNext/>
      <w:keepLines/>
      <w:spacing w:before="240" w:line="264" w:lineRule="auto"/>
      <w:ind w:left="432" w:hanging="432"/>
      <w:outlineLvl w:val="3"/>
    </w:pPr>
    <w:rPr>
      <w:rFonts w:asciiTheme="minorHAnsi" w:eastAsiaTheme="majorEastAsia" w:hAnsiTheme="minorHAnsi" w:cstheme="majorBidi"/>
      <w:b/>
      <w:color w:val="000000" w:themeColor="text1"/>
      <w:sz w:val="22"/>
      <w:szCs w:val="32"/>
    </w:rPr>
  </w:style>
  <w:style w:type="paragraph" w:customStyle="1" w:styleId="TableTextCentered">
    <w:name w:val="Table Text Centered"/>
    <w:basedOn w:val="TableTextLeft"/>
    <w:qFormat/>
    <w:rsid w:val="00BB0FFC"/>
    <w:pPr>
      <w:jc w:val="center"/>
    </w:pPr>
  </w:style>
  <w:style w:type="paragraph" w:customStyle="1" w:styleId="TitleRule">
    <w:name w:val="Title Rule"/>
    <w:basedOn w:val="Normal"/>
    <w:qFormat/>
    <w:rsid w:val="00BB0FFC"/>
    <w:pPr>
      <w:keepNext/>
      <w:spacing w:before="240" w:after="80" w:line="264" w:lineRule="auto"/>
      <w:ind w:firstLine="0"/>
    </w:pPr>
    <w:rPr>
      <w:rFonts w:asciiTheme="minorHAnsi" w:eastAsiaTheme="minorHAnsi" w:hAnsiTheme="minorHAnsi" w:cstheme="minorBidi"/>
      <w:sz w:val="22"/>
      <w:szCs w:val="22"/>
    </w:rPr>
  </w:style>
  <w:style w:type="paragraph" w:styleId="Caption">
    <w:name w:val="caption"/>
    <w:basedOn w:val="Normal"/>
    <w:next w:val="Normal"/>
    <w:qFormat/>
    <w:rsid w:val="003E44D5"/>
    <w:pPr>
      <w:keepNext/>
      <w:keepLines/>
      <w:tabs>
        <w:tab w:val="left" w:pos="1440"/>
      </w:tabs>
      <w:spacing w:after="120" w:line="264" w:lineRule="auto"/>
      <w:ind w:left="1440" w:hanging="1440"/>
    </w:pPr>
    <w:rPr>
      <w:rFonts w:ascii="Arial" w:hAnsi="Arial"/>
      <w:b/>
      <w:bCs/>
      <w:sz w:val="20"/>
      <w:szCs w:val="24"/>
    </w:rPr>
  </w:style>
  <w:style w:type="character" w:styleId="Hyperlink">
    <w:name w:val="Hyperlink"/>
    <w:basedOn w:val="DefaultParagraphFont"/>
    <w:uiPriority w:val="99"/>
    <w:unhideWhenUsed/>
    <w:rsid w:val="001D21D7"/>
    <w:rPr>
      <w:color w:val="0000FF" w:themeColor="hyperlink"/>
      <w:u w:val="single"/>
    </w:rPr>
  </w:style>
  <w:style w:type="character" w:styleId="UnresolvedMention">
    <w:name w:val="Unresolved Mention"/>
    <w:basedOn w:val="DefaultParagraphFont"/>
    <w:uiPriority w:val="99"/>
    <w:semiHidden/>
    <w:unhideWhenUsed/>
    <w:rsid w:val="001D21D7"/>
    <w:rPr>
      <w:color w:val="605E5C"/>
      <w:shd w:val="clear" w:color="auto" w:fill="E1DFDD"/>
    </w:rPr>
  </w:style>
  <w:style w:type="character" w:styleId="FollowedHyperlink">
    <w:name w:val="FollowedHyperlink"/>
    <w:basedOn w:val="DefaultParagraphFont"/>
    <w:semiHidden/>
    <w:unhideWhenUsed/>
    <w:rsid w:val="006F2F3B"/>
    <w:rPr>
      <w:color w:val="800080" w:themeColor="followedHyperlink"/>
      <w:u w:val="single"/>
    </w:rPr>
  </w:style>
  <w:style w:type="paragraph" w:customStyle="1" w:styleId="BulletBlueLastSS">
    <w:name w:val="Bullet_Blue (Last SS)"/>
    <w:basedOn w:val="Normal"/>
    <w:next w:val="NormalSS"/>
    <w:qFormat/>
    <w:rsid w:val="00101B49"/>
    <w:pPr>
      <w:numPr>
        <w:numId w:val="16"/>
      </w:numPr>
      <w:tabs>
        <w:tab w:val="left" w:pos="360"/>
      </w:tabs>
      <w:ind w:left="720" w:right="360" w:hanging="288"/>
    </w:pPr>
  </w:style>
  <w:style w:type="paragraph" w:customStyle="1" w:styleId="Default">
    <w:name w:val="Default"/>
    <w:rsid w:val="004908D2"/>
    <w:pPr>
      <w:autoSpaceDE w:val="0"/>
      <w:autoSpaceDN w:val="0"/>
      <w:adjustRightInd w:val="0"/>
      <w:spacing w:after="0"/>
    </w:pPr>
    <w:rPr>
      <w:rFonts w:eastAsiaTheme="minorHAnsi" w:cs="Times New Roman"/>
      <w:color w:val="000000"/>
    </w:rPr>
  </w:style>
  <w:style w:type="paragraph" w:customStyle="1" w:styleId="SidebarNumber">
    <w:name w:val="Sidebar Number"/>
    <w:basedOn w:val="Normal"/>
    <w:semiHidden/>
    <w:qFormat/>
    <w:rsid w:val="00C7178E"/>
    <w:pPr>
      <w:numPr>
        <w:numId w:val="17"/>
      </w:numPr>
      <w:tabs>
        <w:tab w:val="num" w:pos="360"/>
      </w:tabs>
      <w:spacing w:after="60" w:line="250" w:lineRule="exact"/>
      <w:ind w:left="288" w:hanging="288"/>
      <w:contextualSpacing/>
    </w:pPr>
    <w:rPr>
      <w:rFonts w:asciiTheme="majorHAnsi" w:hAnsiTheme="majorHAnsi" w:cs="Arial"/>
      <w:color w:val="000000"/>
      <w:spacing w:val="-4"/>
      <w:sz w:val="16"/>
      <w:szCs w:val="21"/>
    </w:rPr>
  </w:style>
  <w:style w:type="paragraph" w:styleId="TOCHeading">
    <w:name w:val="TOC Heading"/>
    <w:basedOn w:val="H2Chapter"/>
    <w:next w:val="Normal"/>
    <w:uiPriority w:val="39"/>
    <w:unhideWhenUsed/>
    <w:qFormat/>
    <w:rsid w:val="00C604A7"/>
    <w:pPr>
      <w:numPr>
        <w:numId w:val="0"/>
      </w:numPr>
      <w:outlineLvl w:val="9"/>
    </w:pPr>
  </w:style>
  <w:style w:type="paragraph" w:customStyle="1" w:styleId="TableRowHead">
    <w:name w:val="Table Row Head"/>
    <w:basedOn w:val="TableTextLeft"/>
    <w:qFormat/>
    <w:rsid w:val="004F25D4"/>
    <w:pPr>
      <w:keepNext/>
      <w:spacing w:after="40"/>
      <w:textboxTightWrap w:val="allLines"/>
    </w:pPr>
    <w:rPr>
      <w:b/>
    </w:rPr>
  </w:style>
  <w:style w:type="paragraph" w:styleId="NoSpacing">
    <w:name w:val="No Spacing"/>
    <w:uiPriority w:val="1"/>
    <w:qFormat/>
    <w:rsid w:val="0027731C"/>
    <w:pPr>
      <w:spacing w:after="0"/>
      <w:ind w:firstLine="432"/>
    </w:pPr>
    <w:rPr>
      <w:rFonts w:eastAsia="Times New Roman" w:cs="Times New Roman"/>
      <w:szCs w:val="20"/>
    </w:rPr>
  </w:style>
  <w:style w:type="paragraph" w:customStyle="1" w:styleId="TableTextDecimal">
    <w:name w:val="Table Text Decimal"/>
    <w:basedOn w:val="TableTextLeft"/>
    <w:qFormat/>
    <w:rsid w:val="005F0F4C"/>
    <w:pPr>
      <w:tabs>
        <w:tab w:val="decimal" w:pos="650"/>
      </w:tabs>
      <w:contextualSpacing/>
      <w:textboxTightWrap w:val="allLines"/>
    </w:pPr>
  </w:style>
  <w:style w:type="paragraph" w:customStyle="1" w:styleId="TableTextLeftIndent">
    <w:name w:val="Table Text Left Indent"/>
    <w:basedOn w:val="TableTextLeft"/>
    <w:qFormat/>
    <w:rsid w:val="005B654A"/>
    <w:pPr>
      <w:ind w:left="144"/>
      <w:contextualSpacing/>
      <w:textboxTightWrap w:val="allLines"/>
    </w:pPr>
  </w:style>
  <w:style w:type="table" w:customStyle="1" w:styleId="MPRBaseTable">
    <w:name w:val="MPR Base Table"/>
    <w:basedOn w:val="TableNormal"/>
    <w:uiPriority w:val="99"/>
    <w:rsid w:val="000A01AC"/>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eading1Blue">
    <w:name w:val="Heading 1_Blue"/>
    <w:basedOn w:val="Normal"/>
    <w:next w:val="Normal"/>
    <w:qFormat/>
    <w:rsid w:val="000A01AC"/>
    <w:pPr>
      <w:tabs>
        <w:tab w:val="left" w:pos="432"/>
      </w:tabs>
      <w:spacing w:before="240"/>
      <w:ind w:firstLine="0"/>
      <w:jc w:val="center"/>
    </w:pPr>
    <w:rPr>
      <w:rFonts w:ascii="Lucida Sans" w:hAnsi="Lucida Sans"/>
      <w:b/>
      <w:caps/>
      <w:color w:val="345294"/>
      <w:szCs w:val="24"/>
    </w:rPr>
  </w:style>
  <w:style w:type="paragraph" w:customStyle="1" w:styleId="Heading2Blue">
    <w:name w:val="Heading 2_Blue"/>
    <w:basedOn w:val="Normal"/>
    <w:next w:val="Normal"/>
    <w:qFormat/>
    <w:rsid w:val="000A01AC"/>
    <w:pPr>
      <w:keepNext/>
      <w:tabs>
        <w:tab w:val="left" w:pos="432"/>
      </w:tabs>
      <w:ind w:left="432" w:hanging="432"/>
      <w:jc w:val="both"/>
    </w:pPr>
    <w:rPr>
      <w:rFonts w:ascii="Lucida Sans" w:hAnsi="Lucida Sans"/>
      <w:b/>
      <w:color w:val="345294"/>
      <w:szCs w:val="24"/>
    </w:rPr>
  </w:style>
  <w:style w:type="paragraph" w:customStyle="1" w:styleId="TableListBullet2">
    <w:name w:val="Table List Bullet 2"/>
    <w:basedOn w:val="Normal"/>
    <w:qFormat/>
    <w:rsid w:val="000A01AC"/>
    <w:pPr>
      <w:numPr>
        <w:numId w:val="21"/>
      </w:numPr>
      <w:spacing w:before="40" w:after="20" w:line="264" w:lineRule="auto"/>
    </w:pPr>
    <w:rPr>
      <w:rFonts w:asciiTheme="majorHAnsi" w:eastAsiaTheme="minorHAnsi" w:hAnsiTheme="majorHAnsi" w:cstheme="minorBidi"/>
      <w:color w:val="000000" w:themeColor="text1"/>
      <w:sz w:val="18"/>
      <w:szCs w:val="22"/>
    </w:rPr>
  </w:style>
  <w:style w:type="character" w:styleId="PlaceholderText">
    <w:name w:val="Placeholder Text"/>
    <w:basedOn w:val="DefaultParagraphFont"/>
    <w:uiPriority w:val="99"/>
    <w:semiHidden/>
    <w:rsid w:val="000A01AC"/>
    <w:rPr>
      <w:color w:val="808080"/>
    </w:rPr>
  </w:style>
  <w:style w:type="table" w:customStyle="1" w:styleId="MPRBaseTable1">
    <w:name w:val="MPR Base Table1"/>
    <w:basedOn w:val="TableNormal"/>
    <w:uiPriority w:val="99"/>
    <w:rsid w:val="000A01AC"/>
    <w:pPr>
      <w:spacing w:before="40" w:after="20"/>
      <w:textboxTightWrap w:val="allLines"/>
    </w:pPr>
    <w:rPr>
      <w:rFonts w:ascii="Arial" w:eastAsia="Times New Roman" w:hAnsi="Arial" w:cs="Times New Roman"/>
      <w:sz w:val="18"/>
    </w:rPr>
    <w:tblPr>
      <w:tblStyleRowBandSize w:val="1"/>
      <w:tblInd w:w="0" w:type="nil"/>
      <w:tblBorders>
        <w:bottom w:val="single" w:sz="4" w:space="0" w:color="auto"/>
      </w:tblBorders>
      <w:tblCellMar>
        <w:left w:w="115" w:type="dxa"/>
        <w:right w:w="115" w:type="dxa"/>
      </w:tblCellMar>
    </w:tblPr>
    <w:tblStylePr w:type="firstRow">
      <w:pPr>
        <w:wordWrap/>
        <w:spacing w:beforeLines="0" w:before="100" w:beforeAutospacing="1" w:afterLines="0" w:after="100" w:afterAutospacing="1" w:line="240" w:lineRule="auto"/>
        <w:ind w:leftChars="0" w:left="0" w:rightChars="0" w:right="0" w:firstLineChars="0" w:firstLine="0"/>
        <w:jc w:val="left"/>
        <w:outlineLvl w:val="9"/>
      </w:pPr>
      <w:rPr>
        <w:rFonts w:ascii="Arial" w:hAnsi="Arial" w:cs="Arial" w:hint="default"/>
        <w:b w:val="0"/>
        <w:i w:val="0"/>
        <w:caps w:val="0"/>
        <w:smallCaps w:val="0"/>
        <w:strike w:val="0"/>
        <w:dstrike w:val="0"/>
        <w:vanish w:val="0"/>
        <w:webHidden w:val="0"/>
        <w:color w:val="auto"/>
        <w:spacing w:val="0"/>
        <w:kern w:val="0"/>
        <w:position w:val="6"/>
        <w:sz w:val="18"/>
        <w:szCs w:val="18"/>
        <w:u w:val="none"/>
        <w:effect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100" w:beforeAutospacing="1" w:afterLines="0" w:after="100" w:afterAutospacing="1"/>
        <w:contextualSpacing/>
        <w:jc w:val="left"/>
      </w:pPr>
      <w:rPr>
        <w:color w:val="000000"/>
      </w:rPr>
      <w:tblPr/>
      <w:tcPr>
        <w:shd w:val="clear" w:color="auto" w:fill="E0D4B5"/>
      </w:tcPr>
    </w:tblStylePr>
    <w:tblStylePr w:type="lastCol">
      <w:pPr>
        <w:jc w:val="left"/>
      </w:pPr>
    </w:tblStylePr>
  </w:style>
  <w:style w:type="paragraph" w:customStyle="1" w:styleId="TableSource">
    <w:name w:val="Table Source"/>
    <w:basedOn w:val="Normal"/>
    <w:qFormat/>
    <w:rsid w:val="000A01AC"/>
    <w:pPr>
      <w:spacing w:before="40" w:after="60" w:line="264" w:lineRule="auto"/>
      <w:ind w:left="792" w:hanging="792"/>
    </w:pPr>
    <w:rPr>
      <w:rFonts w:asciiTheme="majorHAnsi" w:eastAsiaTheme="minorHAnsi" w:hAnsiTheme="majorHAnsi" w:cstheme="minorBidi"/>
      <w:color w:val="000000" w:themeColor="text1"/>
      <w:sz w:val="18"/>
      <w:szCs w:val="22"/>
    </w:rPr>
  </w:style>
  <w:style w:type="paragraph" w:styleId="BodyText">
    <w:name w:val="Body Text"/>
    <w:basedOn w:val="Normal"/>
    <w:link w:val="BodyTextChar"/>
    <w:semiHidden/>
    <w:unhideWhenUsed/>
    <w:rsid w:val="000A01AC"/>
    <w:pPr>
      <w:spacing w:after="180" w:line="264" w:lineRule="auto"/>
      <w:ind w:firstLine="0"/>
    </w:pPr>
    <w:rPr>
      <w:sz w:val="22"/>
    </w:rPr>
  </w:style>
  <w:style w:type="character" w:customStyle="1" w:styleId="BodyTextChar">
    <w:name w:val="Body Text Char"/>
    <w:basedOn w:val="DefaultParagraphFont"/>
    <w:link w:val="BodyText"/>
    <w:semiHidden/>
    <w:rsid w:val="000A01AC"/>
    <w:rPr>
      <w:rFonts w:eastAsia="Times New Roman" w:cs="Times New Roman"/>
      <w:sz w:val="22"/>
      <w:szCs w:val="20"/>
    </w:rPr>
  </w:style>
  <w:style w:type="paragraph" w:customStyle="1" w:styleId="TableListAlpha">
    <w:name w:val="Table List Alpha"/>
    <w:basedOn w:val="TableListNumber"/>
    <w:qFormat/>
    <w:rsid w:val="002967C7"/>
    <w:pPr>
      <w:numPr>
        <w:numId w:val="32"/>
      </w:numPr>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5273">
      <w:bodyDiv w:val="1"/>
      <w:marLeft w:val="0"/>
      <w:marRight w:val="0"/>
      <w:marTop w:val="0"/>
      <w:marBottom w:val="0"/>
      <w:divBdr>
        <w:top w:val="none" w:sz="0" w:space="0" w:color="auto"/>
        <w:left w:val="none" w:sz="0" w:space="0" w:color="auto"/>
        <w:bottom w:val="none" w:sz="0" w:space="0" w:color="auto"/>
        <w:right w:val="none" w:sz="0" w:space="0" w:color="auto"/>
      </w:divBdr>
    </w:div>
    <w:div w:id="95636838">
      <w:bodyDiv w:val="1"/>
      <w:marLeft w:val="0"/>
      <w:marRight w:val="0"/>
      <w:marTop w:val="0"/>
      <w:marBottom w:val="0"/>
      <w:divBdr>
        <w:top w:val="none" w:sz="0" w:space="0" w:color="auto"/>
        <w:left w:val="none" w:sz="0" w:space="0" w:color="auto"/>
        <w:bottom w:val="none" w:sz="0" w:space="0" w:color="auto"/>
        <w:right w:val="none" w:sz="0" w:space="0" w:color="auto"/>
      </w:divBdr>
    </w:div>
    <w:div w:id="228463328">
      <w:bodyDiv w:val="1"/>
      <w:marLeft w:val="0"/>
      <w:marRight w:val="0"/>
      <w:marTop w:val="0"/>
      <w:marBottom w:val="0"/>
      <w:divBdr>
        <w:top w:val="none" w:sz="0" w:space="0" w:color="auto"/>
        <w:left w:val="none" w:sz="0" w:space="0" w:color="auto"/>
        <w:bottom w:val="none" w:sz="0" w:space="0" w:color="auto"/>
        <w:right w:val="none" w:sz="0" w:space="0" w:color="auto"/>
      </w:divBdr>
    </w:div>
    <w:div w:id="373048131">
      <w:bodyDiv w:val="1"/>
      <w:marLeft w:val="0"/>
      <w:marRight w:val="0"/>
      <w:marTop w:val="0"/>
      <w:marBottom w:val="0"/>
      <w:divBdr>
        <w:top w:val="none" w:sz="0" w:space="0" w:color="auto"/>
        <w:left w:val="none" w:sz="0" w:space="0" w:color="auto"/>
        <w:bottom w:val="none" w:sz="0" w:space="0" w:color="auto"/>
        <w:right w:val="none" w:sz="0" w:space="0" w:color="auto"/>
      </w:divBdr>
    </w:div>
    <w:div w:id="508955214">
      <w:bodyDiv w:val="1"/>
      <w:marLeft w:val="0"/>
      <w:marRight w:val="0"/>
      <w:marTop w:val="0"/>
      <w:marBottom w:val="0"/>
      <w:divBdr>
        <w:top w:val="none" w:sz="0" w:space="0" w:color="auto"/>
        <w:left w:val="none" w:sz="0" w:space="0" w:color="auto"/>
        <w:bottom w:val="none" w:sz="0" w:space="0" w:color="auto"/>
        <w:right w:val="none" w:sz="0" w:space="0" w:color="auto"/>
      </w:divBdr>
    </w:div>
    <w:div w:id="543181320">
      <w:bodyDiv w:val="1"/>
      <w:marLeft w:val="0"/>
      <w:marRight w:val="0"/>
      <w:marTop w:val="0"/>
      <w:marBottom w:val="0"/>
      <w:divBdr>
        <w:top w:val="none" w:sz="0" w:space="0" w:color="auto"/>
        <w:left w:val="none" w:sz="0" w:space="0" w:color="auto"/>
        <w:bottom w:val="none" w:sz="0" w:space="0" w:color="auto"/>
        <w:right w:val="none" w:sz="0" w:space="0" w:color="auto"/>
      </w:divBdr>
    </w:div>
    <w:div w:id="661353603">
      <w:bodyDiv w:val="1"/>
      <w:marLeft w:val="0"/>
      <w:marRight w:val="0"/>
      <w:marTop w:val="0"/>
      <w:marBottom w:val="0"/>
      <w:divBdr>
        <w:top w:val="none" w:sz="0" w:space="0" w:color="auto"/>
        <w:left w:val="none" w:sz="0" w:space="0" w:color="auto"/>
        <w:bottom w:val="none" w:sz="0" w:space="0" w:color="auto"/>
        <w:right w:val="none" w:sz="0" w:space="0" w:color="auto"/>
      </w:divBdr>
    </w:div>
    <w:div w:id="700597143">
      <w:bodyDiv w:val="1"/>
      <w:marLeft w:val="0"/>
      <w:marRight w:val="0"/>
      <w:marTop w:val="0"/>
      <w:marBottom w:val="0"/>
      <w:divBdr>
        <w:top w:val="none" w:sz="0" w:space="0" w:color="auto"/>
        <w:left w:val="none" w:sz="0" w:space="0" w:color="auto"/>
        <w:bottom w:val="none" w:sz="0" w:space="0" w:color="auto"/>
        <w:right w:val="none" w:sz="0" w:space="0" w:color="auto"/>
      </w:divBdr>
    </w:div>
    <w:div w:id="967932926">
      <w:bodyDiv w:val="1"/>
      <w:marLeft w:val="0"/>
      <w:marRight w:val="0"/>
      <w:marTop w:val="0"/>
      <w:marBottom w:val="0"/>
      <w:divBdr>
        <w:top w:val="none" w:sz="0" w:space="0" w:color="auto"/>
        <w:left w:val="none" w:sz="0" w:space="0" w:color="auto"/>
        <w:bottom w:val="none" w:sz="0" w:space="0" w:color="auto"/>
        <w:right w:val="none" w:sz="0" w:space="0" w:color="auto"/>
      </w:divBdr>
    </w:div>
    <w:div w:id="1121529683">
      <w:bodyDiv w:val="1"/>
      <w:marLeft w:val="0"/>
      <w:marRight w:val="0"/>
      <w:marTop w:val="0"/>
      <w:marBottom w:val="0"/>
      <w:divBdr>
        <w:top w:val="none" w:sz="0" w:space="0" w:color="auto"/>
        <w:left w:val="none" w:sz="0" w:space="0" w:color="auto"/>
        <w:bottom w:val="none" w:sz="0" w:space="0" w:color="auto"/>
        <w:right w:val="none" w:sz="0" w:space="0" w:color="auto"/>
      </w:divBdr>
    </w:div>
    <w:div w:id="1193374119">
      <w:bodyDiv w:val="1"/>
      <w:marLeft w:val="0"/>
      <w:marRight w:val="0"/>
      <w:marTop w:val="0"/>
      <w:marBottom w:val="0"/>
      <w:divBdr>
        <w:top w:val="none" w:sz="0" w:space="0" w:color="auto"/>
        <w:left w:val="none" w:sz="0" w:space="0" w:color="auto"/>
        <w:bottom w:val="none" w:sz="0" w:space="0" w:color="auto"/>
        <w:right w:val="none" w:sz="0" w:space="0" w:color="auto"/>
      </w:divBdr>
    </w:div>
    <w:div w:id="1224440387">
      <w:bodyDiv w:val="1"/>
      <w:marLeft w:val="0"/>
      <w:marRight w:val="0"/>
      <w:marTop w:val="0"/>
      <w:marBottom w:val="0"/>
      <w:divBdr>
        <w:top w:val="none" w:sz="0" w:space="0" w:color="auto"/>
        <w:left w:val="none" w:sz="0" w:space="0" w:color="auto"/>
        <w:bottom w:val="none" w:sz="0" w:space="0" w:color="auto"/>
        <w:right w:val="none" w:sz="0" w:space="0" w:color="auto"/>
      </w:divBdr>
    </w:div>
    <w:div w:id="1371610294">
      <w:bodyDiv w:val="1"/>
      <w:marLeft w:val="0"/>
      <w:marRight w:val="0"/>
      <w:marTop w:val="0"/>
      <w:marBottom w:val="0"/>
      <w:divBdr>
        <w:top w:val="none" w:sz="0" w:space="0" w:color="auto"/>
        <w:left w:val="none" w:sz="0" w:space="0" w:color="auto"/>
        <w:bottom w:val="none" w:sz="0" w:space="0" w:color="auto"/>
        <w:right w:val="none" w:sz="0" w:space="0" w:color="auto"/>
      </w:divBdr>
    </w:div>
    <w:div w:id="1410738160">
      <w:bodyDiv w:val="1"/>
      <w:marLeft w:val="0"/>
      <w:marRight w:val="0"/>
      <w:marTop w:val="0"/>
      <w:marBottom w:val="0"/>
      <w:divBdr>
        <w:top w:val="none" w:sz="0" w:space="0" w:color="auto"/>
        <w:left w:val="none" w:sz="0" w:space="0" w:color="auto"/>
        <w:bottom w:val="none" w:sz="0" w:space="0" w:color="auto"/>
        <w:right w:val="none" w:sz="0" w:space="0" w:color="auto"/>
      </w:divBdr>
    </w:div>
    <w:div w:id="1467628370">
      <w:bodyDiv w:val="1"/>
      <w:marLeft w:val="0"/>
      <w:marRight w:val="0"/>
      <w:marTop w:val="0"/>
      <w:marBottom w:val="0"/>
      <w:divBdr>
        <w:top w:val="none" w:sz="0" w:space="0" w:color="auto"/>
        <w:left w:val="none" w:sz="0" w:space="0" w:color="auto"/>
        <w:bottom w:val="none" w:sz="0" w:space="0" w:color="auto"/>
        <w:right w:val="none" w:sz="0" w:space="0" w:color="auto"/>
      </w:divBdr>
    </w:div>
    <w:div w:id="1665161947">
      <w:bodyDiv w:val="1"/>
      <w:marLeft w:val="0"/>
      <w:marRight w:val="0"/>
      <w:marTop w:val="0"/>
      <w:marBottom w:val="0"/>
      <w:divBdr>
        <w:top w:val="none" w:sz="0" w:space="0" w:color="auto"/>
        <w:left w:val="none" w:sz="0" w:space="0" w:color="auto"/>
        <w:bottom w:val="none" w:sz="0" w:space="0" w:color="auto"/>
        <w:right w:val="none" w:sz="0" w:space="0" w:color="auto"/>
      </w:divBdr>
    </w:div>
    <w:div w:id="1901750223">
      <w:bodyDiv w:val="1"/>
      <w:marLeft w:val="0"/>
      <w:marRight w:val="0"/>
      <w:marTop w:val="0"/>
      <w:marBottom w:val="0"/>
      <w:divBdr>
        <w:top w:val="none" w:sz="0" w:space="0" w:color="auto"/>
        <w:left w:val="none" w:sz="0" w:space="0" w:color="auto"/>
        <w:bottom w:val="none" w:sz="0" w:space="0" w:color="auto"/>
        <w:right w:val="none" w:sz="0" w:space="0" w:color="auto"/>
      </w:divBdr>
    </w:div>
    <w:div w:id="1960644176">
      <w:bodyDiv w:val="1"/>
      <w:marLeft w:val="0"/>
      <w:marRight w:val="0"/>
      <w:marTop w:val="0"/>
      <w:marBottom w:val="0"/>
      <w:divBdr>
        <w:top w:val="none" w:sz="0" w:space="0" w:color="auto"/>
        <w:left w:val="none" w:sz="0" w:space="0" w:color="auto"/>
        <w:bottom w:val="none" w:sz="0" w:space="0" w:color="auto"/>
        <w:right w:val="none" w:sz="0" w:space="0" w:color="auto"/>
      </w:divBdr>
    </w:div>
    <w:div w:id="2042245379">
      <w:bodyDiv w:val="1"/>
      <w:marLeft w:val="0"/>
      <w:marRight w:val="0"/>
      <w:marTop w:val="0"/>
      <w:marBottom w:val="0"/>
      <w:divBdr>
        <w:top w:val="none" w:sz="0" w:space="0" w:color="auto"/>
        <w:left w:val="none" w:sz="0" w:space="0" w:color="auto"/>
        <w:bottom w:val="none" w:sz="0" w:space="0" w:color="auto"/>
        <w:right w:val="none" w:sz="0" w:space="0" w:color="auto"/>
      </w:divBdr>
      <w:divsChild>
        <w:div w:id="1017542150">
          <w:marLeft w:val="0"/>
          <w:marRight w:val="0"/>
          <w:marTop w:val="0"/>
          <w:marBottom w:val="0"/>
          <w:divBdr>
            <w:top w:val="none" w:sz="0" w:space="0" w:color="auto"/>
            <w:left w:val="none" w:sz="0" w:space="0" w:color="auto"/>
            <w:bottom w:val="none" w:sz="0" w:space="0" w:color="auto"/>
            <w:right w:val="none" w:sz="0" w:space="0" w:color="auto"/>
          </w:divBdr>
          <w:divsChild>
            <w:div w:id="1778987810">
              <w:marLeft w:val="0"/>
              <w:marRight w:val="0"/>
              <w:marTop w:val="90"/>
              <w:marBottom w:val="0"/>
              <w:divBdr>
                <w:top w:val="none" w:sz="0" w:space="0" w:color="auto"/>
                <w:left w:val="none" w:sz="0" w:space="0" w:color="auto"/>
                <w:bottom w:val="none" w:sz="0" w:space="0" w:color="auto"/>
                <w:right w:val="none" w:sz="0" w:space="0" w:color="auto"/>
              </w:divBdr>
              <w:divsChild>
                <w:div w:id="8107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2.ed.gov/programs/21stcclc/index.htm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5.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nces.ed.gov/surveys/sass/tables/sass1112_2013314_t1s_007.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ces.ed.gov/programs/digest/d07/tables/dt07_095.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xpandinglearning.org/expandingminds/article/afterschool-program-quality-and-student-outcomes-reflections-positive-key"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190B7-8EA9-4411-8BA1-41324366B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FCE80-DF21-4624-B7C6-B21845271FE2}">
  <ds:schemaRefs>
    <ds:schemaRef ds:uri="http://schemas.microsoft.com/sharepoint/v3/contenttype/forms"/>
  </ds:schemaRefs>
</ds:datastoreItem>
</file>

<file path=customXml/itemProps3.xml><?xml version="1.0" encoding="utf-8"?>
<ds:datastoreItem xmlns:ds="http://schemas.openxmlformats.org/officeDocument/2006/customXml" ds:itemID="{81D8F27A-3F3E-4D0E-92EE-06C445816E39}">
  <ds:schemaRef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2F17871-8FBD-451C-AF43-8CEA378A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14</TotalTime>
  <Pages>22</Pages>
  <Words>8045</Words>
  <Characters>45860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OMB</dc:subject>
  <dc:creator>MATHEMATICA</dc:creator>
  <cp:lastModifiedBy>Mathematica</cp:lastModifiedBy>
  <cp:revision>8</cp:revision>
  <cp:lastPrinted>2019-07-30T20:36:00Z</cp:lastPrinted>
  <dcterms:created xsi:type="dcterms:W3CDTF">2021-04-15T17:25:00Z</dcterms:created>
  <dcterms:modified xsi:type="dcterms:W3CDTF">2021-04-20T15:09:00Z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0x010100822EEFC1CC989C48A1560E4A0665BA86</vt:lpwstr>
  </property>
</Properties>
</file>