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bookmarkStart w:name="_GoBack" w:id="0"/>
      <w:bookmarkEnd w:id="0"/>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11062433">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423226">
        <w:rPr>
          <w:szCs w:val="26"/>
        </w:rPr>
        <w:t>9</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0A294E8E">
      <w:pPr>
        <w:jc w:val="center"/>
        <w:rPr>
          <w:szCs w:val="26"/>
        </w:rPr>
      </w:pPr>
      <w:r w:rsidRPr="007219DE">
        <w:rPr>
          <w:szCs w:val="26"/>
        </w:rPr>
        <w:t>COMMISSION INFORMATION COLLECTION ACTIVITIES (FERC-</w:t>
      </w:r>
      <w:r w:rsidRPr="007219DE" w:rsidR="009A399C">
        <w:rPr>
          <w:szCs w:val="26"/>
        </w:rPr>
        <w:t>725</w:t>
      </w:r>
      <w:r w:rsidR="00423226">
        <w:rPr>
          <w:szCs w:val="26"/>
        </w:rPr>
        <w:t>U</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964A22" w:rsidP="007E4A0C" w:rsidRDefault="007E4A0C" w14:paraId="4473B178" w14:textId="7A738749">
      <w:pPr>
        <w:jc w:val="center"/>
        <w:rPr>
          <w:szCs w:val="26"/>
        </w:rPr>
      </w:pPr>
      <w:r w:rsidRPr="007E4A0C">
        <w:rPr>
          <w:szCs w:val="26"/>
        </w:rPr>
        <w:t>(December 8, 2020)</w:t>
      </w:r>
    </w:p>
    <w:p w:rsidR="007E4A0C" w:rsidP="007E4A0C" w:rsidRDefault="007E4A0C" w14:paraId="3D19E7CB" w14:textId="57DC46DF">
      <w:pPr>
        <w:rPr>
          <w:szCs w:val="26"/>
        </w:rPr>
      </w:pPr>
    </w:p>
    <w:p w:rsidRPr="007E4A0C" w:rsidR="007E4A0C" w:rsidP="007E4A0C" w:rsidRDefault="007E4A0C" w14:paraId="3897D0F9"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7219DE" w:rsidR="004E3713" w:rsidP="004E3713" w:rsidRDefault="00794663" w14:paraId="1F3AE735" w14:textId="5F5562D0">
      <w:pPr>
        <w:spacing w:line="480" w:lineRule="auto"/>
        <w:rPr>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 FERC-</w:t>
      </w:r>
      <w:r w:rsidRPr="007219DE" w:rsidR="009A399C">
        <w:rPr>
          <w:szCs w:val="26"/>
        </w:rPr>
        <w:t>725</w:t>
      </w:r>
      <w:r w:rsidR="00423226">
        <w:rPr>
          <w:szCs w:val="26"/>
        </w:rPr>
        <w:t xml:space="preserve">U </w:t>
      </w:r>
      <w:r w:rsidRPr="00423226" w:rsidR="00423226">
        <w:t>(Mandatory Reliability Standards: Reliability Standard CIP-014</w:t>
      </w:r>
      <w:r w:rsidR="003B555A">
        <w:t>-2</w:t>
      </w:r>
      <w:r w:rsidRPr="00423226" w:rsidR="00423226">
        <w:rPr>
          <w:szCs w:val="26"/>
        </w:rPr>
        <w:t>)</w:t>
      </w:r>
      <w:r w:rsidRPr="007219DE" w:rsidR="004E3713">
        <w:rPr>
          <w:szCs w:val="26"/>
        </w:rPr>
        <w:t xml:space="preserve">. </w:t>
      </w:r>
    </w:p>
    <w:p w:rsidRPr="007219DE" w:rsidR="004E3713" w:rsidP="004E3713" w:rsidRDefault="004E3713" w14:paraId="31C49F04" w14:textId="506A2398">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Pr="007219DE">
        <w:rPr>
          <w:b/>
          <w:szCs w:val="26"/>
        </w:rPr>
        <w:t xml:space="preserve">60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7219DE" w:rsidR="00FA194B" w:rsidP="004E3713" w:rsidRDefault="004E3713" w14:paraId="17840756" w14:textId="2C742713">
      <w:pPr>
        <w:rPr>
          <w:szCs w:val="26"/>
        </w:rPr>
      </w:pPr>
      <w:r w:rsidRPr="007219DE">
        <w:rPr>
          <w:b/>
          <w:szCs w:val="26"/>
        </w:rPr>
        <w:t>ADDRESSES:</w:t>
      </w:r>
      <w:r w:rsidRPr="007219DE">
        <w:rPr>
          <w:szCs w:val="26"/>
        </w:rPr>
        <w:t xml:space="preserve">  You may submit comments </w:t>
      </w:r>
      <w:r w:rsidRPr="007219DE" w:rsidR="00F7561E">
        <w:rPr>
          <w:szCs w:val="26"/>
        </w:rPr>
        <w:t>(</w:t>
      </w:r>
      <w:r w:rsidRPr="007219DE">
        <w:rPr>
          <w:szCs w:val="26"/>
        </w:rPr>
        <w:t>identified by Docket No. IC</w:t>
      </w:r>
      <w:r w:rsidRPr="007219DE" w:rsidR="00F7561E">
        <w:rPr>
          <w:szCs w:val="26"/>
        </w:rPr>
        <w:t>2</w:t>
      </w:r>
      <w:r w:rsidRPr="0070024F" w:rsidR="00503DBF">
        <w:rPr>
          <w:szCs w:val="26"/>
        </w:rPr>
        <w:t>1</w:t>
      </w:r>
      <w:r w:rsidRPr="007219DE">
        <w:rPr>
          <w:szCs w:val="26"/>
        </w:rPr>
        <w:t>-</w:t>
      </w:r>
      <w:r w:rsidR="00423226">
        <w:rPr>
          <w:szCs w:val="26"/>
        </w:rPr>
        <w:t>9</w:t>
      </w:r>
      <w:r w:rsidRPr="007219DE">
        <w:rPr>
          <w:szCs w:val="26"/>
        </w:rPr>
        <w:t>-</w:t>
      </w:r>
      <w:r w:rsidRPr="007219DE" w:rsidR="00EB499B">
        <w:rPr>
          <w:szCs w:val="26"/>
        </w:rPr>
        <w:t>000</w:t>
      </w:r>
      <w:r w:rsidRPr="007219DE" w:rsidR="00F7561E">
        <w:rPr>
          <w:szCs w:val="26"/>
        </w:rPr>
        <w:t>)</w:t>
      </w:r>
      <w:r w:rsidRPr="007219DE">
        <w:rPr>
          <w:szCs w:val="26"/>
        </w:rPr>
        <w:t xml:space="preserve"> by</w:t>
      </w:r>
    </w:p>
    <w:p w:rsidRPr="007219DE" w:rsidR="004E3713" w:rsidP="004E3713" w:rsidRDefault="004E3713" w14:paraId="4AE7D765" w14:textId="55CC3E6F">
      <w:pPr>
        <w:rPr>
          <w:szCs w:val="26"/>
        </w:rPr>
      </w:pPr>
      <w:r w:rsidRPr="007219DE">
        <w:rPr>
          <w:szCs w:val="26"/>
        </w:rPr>
        <w:t xml:space="preserve"> </w:t>
      </w:r>
    </w:p>
    <w:p w:rsidRPr="007219DE" w:rsidR="00E4588B" w:rsidP="004E3713" w:rsidRDefault="001777DC" w14:paraId="2E74F4B6" w14:textId="4419A5E3">
      <w:pPr>
        <w:rPr>
          <w:szCs w:val="26"/>
        </w:rPr>
      </w:pPr>
      <w:r w:rsidRPr="007219DE">
        <w:rPr>
          <w:szCs w:val="26"/>
        </w:rPr>
        <w:t xml:space="preserve">one </w:t>
      </w:r>
      <w:r w:rsidRPr="007219DE" w:rsidR="004E3713">
        <w:rPr>
          <w:szCs w:val="26"/>
        </w:rPr>
        <w:t>of the following methods:</w:t>
      </w:r>
    </w:p>
    <w:p w:rsidRPr="007219DE" w:rsidR="00910883" w:rsidP="004E3713" w:rsidRDefault="00910883" w14:paraId="7CAD82A3" w14:textId="77777777">
      <w:pPr>
        <w:rPr>
          <w:szCs w:val="26"/>
        </w:rPr>
      </w:pPr>
    </w:p>
    <w:p w:rsidRPr="007219DE" w:rsidR="00E4588B" w:rsidP="008C4FC4" w:rsidRDefault="00E4588B" w14:paraId="6BBC7740" w14:textId="2E325ABC">
      <w:pPr>
        <w:numPr>
          <w:ilvl w:val="0"/>
          <w:numId w:val="3"/>
        </w:numPr>
        <w:tabs>
          <w:tab w:val="num" w:pos="1080"/>
        </w:tabs>
        <w:spacing w:line="480" w:lineRule="auto"/>
        <w:ind w:left="1080"/>
        <w:rPr>
          <w:rStyle w:val="Hyperlink"/>
          <w:color w:val="auto"/>
          <w:u w:val="none"/>
        </w:rPr>
      </w:pPr>
      <w:bookmarkStart w:name="OLE_LINK1" w:id="1"/>
      <w:proofErr w:type="spellStart"/>
      <w:r w:rsidRPr="007219DE">
        <w:t>eFiling</w:t>
      </w:r>
      <w:proofErr w:type="spellEnd"/>
      <w:r w:rsidRPr="007219DE">
        <w:t xml:space="preserve"> at Commission’s Web Site: </w:t>
      </w:r>
      <w:hyperlink w:history="1" r:id="rId12">
        <w:r w:rsidRPr="007219DE" w:rsidR="00FA194B">
          <w:rPr>
            <w:rStyle w:val="Hyperlink"/>
          </w:rPr>
          <w:t>http://www.ferc.gov</w:t>
        </w:r>
      </w:hyperlink>
    </w:p>
    <w:p w:rsidRPr="007219DE" w:rsidR="00791623" w:rsidP="008C4FC4" w:rsidRDefault="00791623" w14:paraId="6D22B7E8" w14:textId="547A105C">
      <w:pPr>
        <w:numPr>
          <w:ilvl w:val="0"/>
          <w:numId w:val="3"/>
        </w:numPr>
        <w:tabs>
          <w:tab w:val="num" w:pos="1080"/>
        </w:tabs>
        <w:spacing w:line="480" w:lineRule="auto"/>
        <w:ind w:left="1080"/>
      </w:pPr>
      <w:r w:rsidRPr="007219DE">
        <w:t>U.S. Postal Service Mail: Persons unable to file electronically may mail similar pleadings to the Federal Energy Regulatory Commission, 888 First Street, NE, Washington, DC 20426</w:t>
      </w:r>
    </w:p>
    <w:p w:rsidRPr="007219DE" w:rsidR="00022DBB" w:rsidP="008C4FC4" w:rsidRDefault="00791623" w14:paraId="12A00372" w14:textId="24078806">
      <w:pPr>
        <w:pStyle w:val="ListParagraph"/>
        <w:numPr>
          <w:ilvl w:val="0"/>
          <w:numId w:val="7"/>
        </w:numPr>
        <w:spacing w:line="480" w:lineRule="auto"/>
        <w:ind w:left="1080"/>
      </w:pPr>
      <w:r w:rsidRPr="007219DE">
        <w:lastRenderedPageBreak/>
        <w:t xml:space="preserve">Effective 7/1/2020, delivery of filings other than by </w:t>
      </w:r>
      <w:proofErr w:type="spellStart"/>
      <w:r w:rsidRPr="007219DE">
        <w:t>eFiling</w:t>
      </w:r>
      <w:proofErr w:type="spellEnd"/>
      <w:r w:rsidRPr="007219DE">
        <w:t xml:space="preserve"> or the U.S. Postal Service should be delivered to Health and Human Services, 12225 Wilkins Avenue, Rockville, Maryland 20852</w:t>
      </w:r>
      <w:r w:rsidRPr="007219DE" w:rsidR="00A60763">
        <w:t>.</w:t>
      </w:r>
    </w:p>
    <w:p w:rsidRPr="007219DE" w:rsidR="00E4588B" w:rsidP="00022DBB" w:rsidRDefault="00E4588B" w14:paraId="5085FE67" w14:textId="62B1A234">
      <w:pPr>
        <w:spacing w:line="480" w:lineRule="auto"/>
      </w:pPr>
      <w:r w:rsidRPr="007219DE">
        <w:rPr>
          <w:i/>
        </w:rPr>
        <w:t xml:space="preserve">Instructions: </w:t>
      </w:r>
      <w:r w:rsidRPr="007219DE">
        <w:t>All submissions must be formatted and filed in accordance with submission guidelines at:</w:t>
      </w:r>
      <w:r w:rsidRPr="007219DE" w:rsidR="007E05B2">
        <w:t xml:space="preserve">   </w:t>
      </w:r>
      <w:hyperlink w:history="1" r:id="rId13">
        <w:r w:rsidRPr="007219DE" w:rsidR="007E05B2">
          <w:rPr>
            <w:rStyle w:val="Hyperlink"/>
          </w:rPr>
          <w:t>http://www.ferc.gov</w:t>
        </w:r>
      </w:hyperlink>
      <w:r w:rsidRPr="007219DE" w:rsidR="008C4FC4">
        <w:t>.</w:t>
      </w:r>
      <w:r w:rsidRPr="007219DE">
        <w:t xml:space="preserve">  For user assistance, contact FERC Online Support by e-mail at ferconlinesupport@ferc.gov, or by phone at (866) 208-3676 (toll-free).</w:t>
      </w:r>
    </w:p>
    <w:p w:rsidRPr="007219DE" w:rsidR="00E4588B" w:rsidP="00E4588B" w:rsidRDefault="00E4588B" w14:paraId="3F7DA643" w14:textId="26D53407">
      <w:pPr>
        <w:spacing w:line="480" w:lineRule="auto"/>
      </w:pPr>
      <w:r w:rsidRPr="007219DE">
        <w:rPr>
          <w:i/>
        </w:rPr>
        <w:t>Docket:</w:t>
      </w:r>
      <w:r w:rsidRPr="007219DE">
        <w:t xml:space="preserve"> Users interested in receiving automatic notification of activity in this docket or in viewing/downloading comments and issuances in this docket may do so at </w:t>
      </w:r>
      <w:hyperlink w:history="1" r:id="rId14">
        <w:r w:rsidRPr="007219DE" w:rsidR="00FA194B">
          <w:rPr>
            <w:rStyle w:val="Hyperlink"/>
          </w:rPr>
          <w:t>http://www.ferc.gov</w:t>
        </w:r>
      </w:hyperlink>
      <w:r w:rsidRPr="007219DE">
        <w:t xml:space="preserve">. </w:t>
      </w:r>
    </w:p>
    <w:bookmarkEnd w:id="1"/>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5">
        <w:r w:rsidRPr="007219DE">
          <w:rPr>
            <w:rStyle w:val="Hyperlink"/>
            <w:szCs w:val="26"/>
          </w:rPr>
          <w:t>DataClearance@FERC.gov</w:t>
        </w:r>
      </w:hyperlink>
      <w:r w:rsidRPr="007219DE">
        <w:rPr>
          <w:szCs w:val="26"/>
        </w:rPr>
        <w:t>, telephone at (202) 502-8663.</w:t>
      </w:r>
    </w:p>
    <w:p w:rsidRPr="007219DE" w:rsidR="004E3713" w:rsidP="004E3713" w:rsidRDefault="004E3713" w14:paraId="2A9D27D1" w14:textId="325CA2F4">
      <w:pPr>
        <w:spacing w:line="480" w:lineRule="auto"/>
        <w:rPr>
          <w:szCs w:val="26"/>
        </w:rPr>
      </w:pPr>
      <w:r w:rsidRPr="007219DE">
        <w:rPr>
          <w:b/>
          <w:szCs w:val="26"/>
        </w:rPr>
        <w:t>SUPPLEMENTARY INFORMATION:</w:t>
      </w:r>
      <w:r w:rsidRPr="007219DE">
        <w:rPr>
          <w:szCs w:val="26"/>
        </w:rPr>
        <w:t xml:space="preserve">  </w:t>
      </w:r>
    </w:p>
    <w:p w:rsidRPr="007219DE" w:rsidR="004E3713" w:rsidP="004E3713" w:rsidRDefault="004E3713" w14:paraId="6A0D460E" w14:textId="3A277DF2">
      <w:pPr>
        <w:spacing w:line="480" w:lineRule="auto"/>
        <w:rPr>
          <w:color w:val="000000"/>
          <w:szCs w:val="26"/>
        </w:rPr>
      </w:pPr>
      <w:r w:rsidRPr="007219DE">
        <w:rPr>
          <w:i/>
          <w:szCs w:val="26"/>
        </w:rPr>
        <w:t xml:space="preserve">Title: </w:t>
      </w:r>
      <w:r w:rsidRPr="007219DE">
        <w:rPr>
          <w:szCs w:val="26"/>
        </w:rPr>
        <w:t>FERC-</w:t>
      </w:r>
      <w:r w:rsidRPr="007219DE" w:rsidR="009A399C">
        <w:rPr>
          <w:szCs w:val="26"/>
        </w:rPr>
        <w:t>725</w:t>
      </w:r>
      <w:r w:rsidR="00423226">
        <w:rPr>
          <w:szCs w:val="26"/>
        </w:rPr>
        <w:t>U</w:t>
      </w:r>
      <w:r w:rsidRPr="007219DE">
        <w:rPr>
          <w:szCs w:val="26"/>
        </w:rPr>
        <w:t xml:space="preserve"> </w:t>
      </w:r>
      <w:r w:rsidR="00423226">
        <w:t>(Mandatory Reliability Standards: Reliability Standard CIP-014</w:t>
      </w:r>
      <w:r w:rsidR="00423226">
        <w:rPr>
          <w:szCs w:val="26"/>
        </w:rPr>
        <w:t>)</w:t>
      </w:r>
    </w:p>
    <w:p w:rsidRPr="007219DE" w:rsidR="004E3713" w:rsidP="004E3713" w:rsidRDefault="004E3713" w14:paraId="1A456BB8" w14:textId="171AE6D7">
      <w:pPr>
        <w:spacing w:line="480" w:lineRule="auto"/>
        <w:rPr>
          <w:szCs w:val="26"/>
        </w:rPr>
      </w:pPr>
      <w:r w:rsidRPr="007219DE">
        <w:rPr>
          <w:i/>
          <w:szCs w:val="26"/>
        </w:rPr>
        <w:t>OMB Control No.:</w:t>
      </w:r>
      <w:r w:rsidRPr="007219DE">
        <w:rPr>
          <w:szCs w:val="26"/>
        </w:rPr>
        <w:t xml:space="preserve"> 1902-0</w:t>
      </w:r>
      <w:r w:rsidRPr="007219DE" w:rsidR="009A399C">
        <w:rPr>
          <w:szCs w:val="26"/>
        </w:rPr>
        <w:t>2</w:t>
      </w:r>
      <w:r w:rsidR="00423226">
        <w:rPr>
          <w:szCs w:val="26"/>
        </w:rPr>
        <w:t>74</w:t>
      </w:r>
    </w:p>
    <w:p w:rsidRPr="007219DE" w:rsidR="004E3713" w:rsidP="004E3713" w:rsidRDefault="004E3713" w14:paraId="74422325" w14:textId="63C767D6">
      <w:pPr>
        <w:spacing w:line="480" w:lineRule="auto"/>
        <w:rPr>
          <w:szCs w:val="26"/>
        </w:rPr>
      </w:pPr>
      <w:r w:rsidRPr="007219DE">
        <w:rPr>
          <w:i/>
          <w:szCs w:val="26"/>
        </w:rPr>
        <w:t>Type of Request:</w:t>
      </w:r>
      <w:r w:rsidRPr="007219DE">
        <w:rPr>
          <w:szCs w:val="26"/>
        </w:rPr>
        <w:t xml:space="preserve"> Three-year approval of the FERC-</w:t>
      </w:r>
      <w:r w:rsidRPr="007219DE" w:rsidR="009A399C">
        <w:rPr>
          <w:szCs w:val="26"/>
        </w:rPr>
        <w:t>725</w:t>
      </w:r>
      <w:r w:rsidR="00423226">
        <w:rPr>
          <w:szCs w:val="26"/>
        </w:rPr>
        <w:t>U</w:t>
      </w:r>
      <w:r w:rsidRPr="007219DE">
        <w:rPr>
          <w:szCs w:val="26"/>
        </w:rPr>
        <w:t xml:space="preserve"> information collection requirements</w:t>
      </w:r>
      <w:r w:rsidRPr="007219DE" w:rsidR="00C72703">
        <w:rPr>
          <w:szCs w:val="26"/>
        </w:rPr>
        <w:t xml:space="preserve">, </w:t>
      </w:r>
      <w:r w:rsidRPr="007219DE" w:rsidR="00A246E7">
        <w:rPr>
          <w:szCs w:val="26"/>
        </w:rPr>
        <w:t xml:space="preserve">with no changes to the reporting or recordkeeping requirements.  </w:t>
      </w:r>
    </w:p>
    <w:p w:rsidRPr="00484DEB" w:rsidR="00484DEB" w:rsidP="00484DEB" w:rsidRDefault="004E3713" w14:paraId="2E62C6B1" w14:textId="432D5378">
      <w:pPr>
        <w:spacing w:line="480" w:lineRule="auto"/>
        <w:rPr>
          <w:szCs w:val="26"/>
        </w:rPr>
      </w:pPr>
      <w:r w:rsidRPr="007219DE">
        <w:rPr>
          <w:i/>
          <w:szCs w:val="26"/>
        </w:rPr>
        <w:t xml:space="preserve">Abstract: </w:t>
      </w:r>
      <w:r w:rsidRPr="007219DE" w:rsidR="009A399C">
        <w:rPr>
          <w:iCs/>
          <w:szCs w:val="26"/>
        </w:rPr>
        <w:t>On August 8, 2005, The Electricity Modernization Act of 2005, which is Title XII of the Energy Policy Act of 2005 (</w:t>
      </w:r>
      <w:proofErr w:type="spellStart"/>
      <w:r w:rsidRPr="007219DE" w:rsidR="009A399C">
        <w:rPr>
          <w:iCs/>
          <w:szCs w:val="26"/>
        </w:rPr>
        <w:t>EPAct</w:t>
      </w:r>
      <w:proofErr w:type="spellEnd"/>
      <w:r w:rsidRPr="007219DE" w:rsidR="009A399C">
        <w:rPr>
          <w:iCs/>
          <w:szCs w:val="26"/>
        </w:rPr>
        <w:t xml:space="preserve"> 2005), was enacted into law.   </w:t>
      </w:r>
      <w:proofErr w:type="spellStart"/>
      <w:r w:rsidRPr="007219DE" w:rsidR="009A399C">
        <w:rPr>
          <w:iCs/>
          <w:szCs w:val="26"/>
        </w:rPr>
        <w:t>EPAct</w:t>
      </w:r>
      <w:proofErr w:type="spellEnd"/>
      <w:r w:rsidRPr="007219DE" w:rsidR="009A399C">
        <w:rPr>
          <w:iCs/>
          <w:szCs w:val="26"/>
        </w:rPr>
        <w:t xml:space="preserve">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w:t>
      </w:r>
      <w:r w:rsidRPr="007219DE" w:rsidR="009A399C">
        <w:rPr>
          <w:iCs/>
          <w:szCs w:val="26"/>
        </w:rPr>
        <w:lastRenderedPageBreak/>
        <w:t xml:space="preserve">by the Commission independently. 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484DEB" w:rsidR="00484DEB">
        <w:rPr>
          <w:szCs w:val="26"/>
        </w:rPr>
        <w:t>Reliability Standard CIP-014-2 requires applicable transmission owners and transmission operators to identify and protect transmission stations and transmission substations, and their associated primary control centers that if rendered inoperable or damaged resulting from a physical attack could result in widespread instability, uncontrolled separation, or cascading within an Interconnection.</w:t>
      </w:r>
    </w:p>
    <w:p w:rsidR="00484DEB" w:rsidP="00484DEB" w:rsidRDefault="00484DEB" w14:paraId="45D1C2C4" w14:textId="18178ABA">
      <w:pPr>
        <w:spacing w:line="480" w:lineRule="auto"/>
        <w:rPr>
          <w:szCs w:val="26"/>
        </w:rPr>
      </w:pPr>
      <w:r w:rsidRPr="00484DEB">
        <w:rPr>
          <w:szCs w:val="26"/>
        </w:rPr>
        <w:t xml:space="preserve">In terms of information collection requirements, an applicable entity must create or maintain documentation showing compliance, when appropriate, with each requirement of the Reliability Standard.  </w:t>
      </w:r>
      <w:r>
        <w:rPr>
          <w:szCs w:val="26"/>
        </w:rPr>
        <w:t xml:space="preserve">This </w:t>
      </w:r>
      <w:r w:rsidRPr="00484DEB">
        <w:rPr>
          <w:szCs w:val="26"/>
        </w:rPr>
        <w:t>Reliability Standard CIP-014-2 has six requirements</w:t>
      </w:r>
      <w:r>
        <w:rPr>
          <w:szCs w:val="26"/>
        </w:rPr>
        <w:t xml:space="preserve">. </w:t>
      </w:r>
      <w:r w:rsidRPr="00DE3AC5" w:rsidR="00DE3AC5">
        <w:rPr>
          <w:szCs w:val="26"/>
        </w:rPr>
        <w:t>Transmission owners and transmission operators must keep data or evidence to show compliance with the standard for three years unless directed by its Compliance Enforcement Authority.  If a responsible entity is found non-compliant, it must keep information related to the non-compliance until mitigation is complete and approved, or for three years, whichever is longer.</w:t>
      </w:r>
    </w:p>
    <w:p w:rsidRPr="007219DE" w:rsidR="00C46738" w:rsidP="00484DEB" w:rsidRDefault="003B29FB" w14:paraId="10ACEE6B" w14:textId="2933DDD3">
      <w:pPr>
        <w:spacing w:line="480" w:lineRule="auto"/>
        <w:rPr>
          <w:i/>
          <w:szCs w:val="26"/>
        </w:rPr>
      </w:pPr>
      <w:r w:rsidRPr="007219DE">
        <w:rPr>
          <w:i/>
          <w:szCs w:val="26"/>
        </w:rPr>
        <w:t xml:space="preserve">Type of Respondents: </w:t>
      </w:r>
      <w:r w:rsidR="00423226">
        <w:t>Intrastate natural gas and Hinshaw pipelines</w:t>
      </w:r>
    </w:p>
    <w:p w:rsidR="00423226" w:rsidP="00423226" w:rsidRDefault="003B29FB" w14:paraId="5EDDED5C" w14:textId="1B1549B4">
      <w:pPr>
        <w:spacing w:line="480" w:lineRule="auto"/>
        <w:rPr>
          <w:szCs w:val="26"/>
        </w:rPr>
      </w:pPr>
      <w:r w:rsidRPr="007219DE">
        <w:rPr>
          <w:i/>
          <w:szCs w:val="26"/>
        </w:rPr>
        <w:lastRenderedPageBreak/>
        <w:t>Estimate of Annual Burden</w:t>
      </w:r>
      <w:r w:rsidRPr="007219DE">
        <w:rPr>
          <w:rStyle w:val="FootnoteReference"/>
          <w:i/>
        </w:rPr>
        <w:footnoteReference w:id="2"/>
      </w:r>
      <w:r w:rsidRPr="007219DE" w:rsidR="00C57D75">
        <w:rPr>
          <w:i/>
          <w:szCs w:val="26"/>
        </w:rPr>
        <w:t xml:space="preserve">and </w:t>
      </w:r>
      <w:r w:rsidRPr="007219DE" w:rsidR="008C7F23">
        <w:rPr>
          <w:i/>
          <w:szCs w:val="26"/>
        </w:rPr>
        <w:t>Cost</w:t>
      </w:r>
      <w:r w:rsidRPr="007219DE" w:rsidR="00C57D75">
        <w:rPr>
          <w:rStyle w:val="FootnoteReference"/>
          <w:i/>
        </w:rPr>
        <w:footnoteReference w:id="3"/>
      </w:r>
      <w:r w:rsidRPr="007219DE">
        <w:rPr>
          <w:i/>
          <w:szCs w:val="26"/>
        </w:rPr>
        <w:t xml:space="preserve">: </w:t>
      </w:r>
      <w:r w:rsidR="00423226">
        <w:rPr>
          <w:szCs w:val="26"/>
        </w:rPr>
        <w:t>The Commission estimates the total Public Reporting Burden for the FERC-725U information collection as:</w:t>
      </w:r>
      <w:r w:rsidR="00F93FA4">
        <w:rPr>
          <w:szCs w:val="26"/>
        </w:rPr>
        <w:t xml:space="preserve"> </w:t>
      </w: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9"/>
        <w:gridCol w:w="1603"/>
        <w:gridCol w:w="1430"/>
        <w:gridCol w:w="1313"/>
        <w:gridCol w:w="1304"/>
        <w:gridCol w:w="1414"/>
        <w:gridCol w:w="1430"/>
      </w:tblGrid>
      <w:tr w:rsidRPr="007219DE" w:rsidR="007B2872" w:rsidTr="00EB499B" w14:paraId="0C1ECA7A"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7219DE" w:rsidR="007B2872" w:rsidP="007B2872" w:rsidRDefault="007B2872" w14:paraId="1C588CD0" w14:textId="6FEA6D7F">
            <w:pPr>
              <w:jc w:val="center"/>
              <w:rPr>
                <w:rFonts w:eastAsia="Calibri"/>
                <w:b/>
                <w:sz w:val="24"/>
              </w:rPr>
            </w:pPr>
            <w:r w:rsidRPr="007219DE">
              <w:rPr>
                <w:rFonts w:eastAsia="Calibri"/>
                <w:b/>
                <w:sz w:val="24"/>
              </w:rPr>
              <w:t>FERC-725</w:t>
            </w:r>
            <w:r w:rsidR="00423226">
              <w:rPr>
                <w:rFonts w:eastAsia="Calibri"/>
                <w:b/>
                <w:sz w:val="24"/>
              </w:rPr>
              <w:t>U</w:t>
            </w:r>
            <w:r w:rsidRPr="007219DE">
              <w:rPr>
                <w:rFonts w:eastAsia="Calibri"/>
                <w:b/>
                <w:sz w:val="24"/>
              </w:rPr>
              <w:t>: (</w:t>
            </w:r>
            <w:r w:rsidRPr="00423226" w:rsidR="00423226">
              <w:rPr>
                <w:rFonts w:eastAsia="Calibri"/>
                <w:b/>
                <w:sz w:val="24"/>
              </w:rPr>
              <w:t>Mandatory Reliability Standards: Reliability Standard CIP-014</w:t>
            </w:r>
            <w:r w:rsidRPr="007219DE">
              <w:rPr>
                <w:b/>
                <w:bCs/>
                <w:color w:val="000000"/>
                <w:sz w:val="24"/>
              </w:rPr>
              <w:t>)</w:t>
            </w:r>
          </w:p>
        </w:tc>
      </w:tr>
      <w:tr w:rsidRPr="007219DE" w:rsidR="00EB499B" w:rsidTr="00E66F2E" w14:paraId="58908E65" w14:textId="77777777">
        <w:trPr>
          <w:cantSplit/>
          <w:trHeight w:val="1907"/>
        </w:trPr>
        <w:tc>
          <w:tcPr>
            <w:tcW w:w="821" w:type="pct"/>
            <w:tcBorders>
              <w:top w:val="single" w:color="auto" w:sz="4" w:space="0"/>
              <w:left w:val="single" w:color="auto" w:sz="4" w:space="0"/>
              <w:bottom w:val="single" w:color="auto" w:sz="4" w:space="0"/>
              <w:right w:val="single" w:color="auto" w:sz="4" w:space="0"/>
            </w:tcBorders>
            <w:shd w:val="clear" w:color="auto" w:fill="D9D9D9"/>
          </w:tcPr>
          <w:p w:rsidRPr="007219DE" w:rsidR="007B2872" w:rsidP="00127448" w:rsidRDefault="00127448" w14:paraId="144A65AB" w14:textId="6758EBAF">
            <w:pPr>
              <w:jc w:val="center"/>
              <w:rPr>
                <w:rFonts w:eastAsia="Calibri"/>
                <w:b/>
                <w:bCs/>
                <w:sz w:val="24"/>
              </w:rPr>
            </w:pPr>
            <w:r w:rsidRPr="007219DE">
              <w:rPr>
                <w:rFonts w:eastAsia="Calibri"/>
                <w:sz w:val="24"/>
              </w:rPr>
              <w:br/>
            </w:r>
            <w:r w:rsidRPr="007219DE">
              <w:rPr>
                <w:rFonts w:eastAsia="Calibri"/>
                <w:sz w:val="24"/>
              </w:rPr>
              <w:br/>
            </w:r>
            <w:r w:rsidRPr="007219DE">
              <w:rPr>
                <w:rFonts w:eastAsia="Calibri"/>
                <w:sz w:val="24"/>
              </w:rPr>
              <w:br/>
            </w:r>
            <w:r w:rsidRPr="007219DE">
              <w:rPr>
                <w:rFonts w:eastAsia="Calibri"/>
                <w:sz w:val="24"/>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52AFF35" w14:textId="77777777">
            <w:pPr>
              <w:jc w:val="center"/>
              <w:rPr>
                <w:rFonts w:eastAsia="Calibri"/>
                <w:b/>
                <w:sz w:val="24"/>
              </w:rPr>
            </w:pPr>
            <w:r w:rsidRPr="007219DE">
              <w:rPr>
                <w:rFonts w:eastAsia="Calibri"/>
                <w:b/>
                <w:sz w:val="24"/>
              </w:rPr>
              <w:t>Number of Respondents</w:t>
            </w:r>
            <w:r w:rsidRPr="007219DE">
              <w:rPr>
                <w:rFonts w:eastAsia="Calibri"/>
                <w:b/>
                <w:sz w:val="24"/>
                <w:vertAlign w:val="superscript"/>
              </w:rPr>
              <w:footnoteReference w:id="4"/>
            </w:r>
            <w:r w:rsidRPr="007219DE">
              <w:rPr>
                <w:rFonts w:eastAsia="Calibri"/>
                <w:b/>
                <w:sz w:val="24"/>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D8D3C90" w14:textId="77777777">
            <w:pPr>
              <w:jc w:val="center"/>
              <w:rPr>
                <w:rFonts w:eastAsia="Calibri"/>
                <w:b/>
                <w:sz w:val="24"/>
              </w:rPr>
            </w:pPr>
            <w:r w:rsidRPr="007219DE">
              <w:rPr>
                <w:rFonts w:eastAsia="Calibri"/>
                <w:b/>
                <w:sz w:val="24"/>
              </w:rPr>
              <w:t>Annual Number of Responses per Respondent</w:t>
            </w:r>
          </w:p>
          <w:p w:rsidRPr="007219DE" w:rsidR="007B2872" w:rsidP="007B2872" w:rsidRDefault="007B2872" w14:paraId="0E5955E1" w14:textId="77777777">
            <w:pPr>
              <w:jc w:val="center"/>
              <w:rPr>
                <w:rFonts w:eastAsia="Calibri"/>
                <w:b/>
                <w:sz w:val="24"/>
              </w:rPr>
            </w:pPr>
            <w:r w:rsidRPr="007219DE">
              <w:rPr>
                <w:rFonts w:eastAsia="Calibri"/>
                <w:b/>
                <w:sz w:val="24"/>
              </w:rPr>
              <w:t>(2)</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14404BFE" w14:textId="77777777">
            <w:pPr>
              <w:jc w:val="center"/>
              <w:rPr>
                <w:rFonts w:eastAsia="Calibri"/>
                <w:b/>
                <w:sz w:val="24"/>
              </w:rPr>
            </w:pPr>
            <w:r w:rsidRPr="007219DE">
              <w:rPr>
                <w:rFonts w:eastAsia="Calibri"/>
                <w:b/>
                <w:sz w:val="24"/>
              </w:rPr>
              <w:t>Total Number of Responses (</w:t>
            </w:r>
            <w:proofErr w:type="gramStart"/>
            <w:r w:rsidRPr="007219DE">
              <w:rPr>
                <w:rFonts w:eastAsia="Calibri"/>
                <w:b/>
                <w:sz w:val="24"/>
              </w:rPr>
              <w:t>1)*</w:t>
            </w:r>
            <w:proofErr w:type="gramEnd"/>
            <w:r w:rsidRPr="007219DE">
              <w:rPr>
                <w:rFonts w:eastAsia="Calibri"/>
                <w:b/>
                <w:sz w:val="24"/>
              </w:rPr>
              <w:t>(2)=(3)</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1B00C0B" w14:textId="77777777">
            <w:pPr>
              <w:jc w:val="center"/>
              <w:rPr>
                <w:rFonts w:eastAsia="Calibri"/>
                <w:b/>
                <w:sz w:val="24"/>
              </w:rPr>
            </w:pPr>
            <w:r w:rsidRPr="007219DE">
              <w:rPr>
                <w:rFonts w:eastAsia="Calibri"/>
                <w:b/>
                <w:sz w:val="24"/>
              </w:rPr>
              <w:t>Average Burden Hours &amp; Cost Per Response</w:t>
            </w:r>
          </w:p>
          <w:p w:rsidRPr="007219DE" w:rsidR="007B2872" w:rsidP="007B2872" w:rsidRDefault="007B2872" w14:paraId="59CAC162" w14:textId="77777777">
            <w:pPr>
              <w:jc w:val="center"/>
              <w:rPr>
                <w:rFonts w:eastAsia="Calibri"/>
                <w:b/>
                <w:sz w:val="24"/>
              </w:rPr>
            </w:pPr>
            <w:r w:rsidRPr="007219DE">
              <w:rPr>
                <w:rFonts w:eastAsia="Calibri"/>
                <w:b/>
                <w:sz w:val="24"/>
              </w:rPr>
              <w:t>(4)</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269C011" w14:textId="46F425E3">
            <w:pPr>
              <w:jc w:val="center"/>
              <w:rPr>
                <w:rFonts w:eastAsia="Calibri"/>
                <w:b/>
                <w:sz w:val="24"/>
              </w:rPr>
            </w:pPr>
            <w:r w:rsidRPr="007219DE">
              <w:rPr>
                <w:rFonts w:eastAsia="Calibri"/>
                <w:b/>
                <w:sz w:val="24"/>
              </w:rPr>
              <w:t>Total Annual Burden Hours &amp; Total Annual Cost</w:t>
            </w:r>
          </w:p>
          <w:p w:rsidRPr="007219DE" w:rsidR="007B2872" w:rsidP="007B2872" w:rsidRDefault="007B2872" w14:paraId="3DFA397F" w14:textId="77777777">
            <w:pPr>
              <w:jc w:val="center"/>
              <w:rPr>
                <w:rFonts w:eastAsia="Calibri"/>
                <w:b/>
                <w:sz w:val="24"/>
              </w:rPr>
            </w:pPr>
            <w:r w:rsidRPr="007219DE">
              <w:rPr>
                <w:rFonts w:eastAsia="Calibri"/>
                <w:b/>
                <w:sz w:val="24"/>
              </w:rPr>
              <w:t>(</w:t>
            </w:r>
            <w:proofErr w:type="gramStart"/>
            <w:r w:rsidRPr="007219DE">
              <w:rPr>
                <w:rFonts w:eastAsia="Calibri"/>
                <w:b/>
                <w:sz w:val="24"/>
              </w:rPr>
              <w:t>3)*</w:t>
            </w:r>
            <w:proofErr w:type="gramEnd"/>
            <w:r w:rsidRPr="007219DE">
              <w:rPr>
                <w:rFonts w:eastAsia="Calibri"/>
                <w:b/>
                <w:sz w:val="24"/>
              </w:rPr>
              <w:t>(4)=(5)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7B2872" w:rsidP="007B2872" w:rsidRDefault="007B2872" w14:paraId="437C9780" w14:textId="77777777">
            <w:pPr>
              <w:jc w:val="center"/>
              <w:rPr>
                <w:rFonts w:eastAsia="Calibri"/>
                <w:b/>
                <w:sz w:val="24"/>
              </w:rPr>
            </w:pPr>
            <w:r w:rsidRPr="007219DE">
              <w:rPr>
                <w:rFonts w:eastAsia="Calibri"/>
                <w:b/>
                <w:sz w:val="24"/>
              </w:rPr>
              <w:t>Average Annual Cost per Respondent</w:t>
            </w:r>
          </w:p>
          <w:p w:rsidRPr="007219DE" w:rsidR="007B2872" w:rsidP="007B2872" w:rsidRDefault="007B2872" w14:paraId="1DCCE597" w14:textId="77777777">
            <w:pPr>
              <w:jc w:val="center"/>
              <w:rPr>
                <w:rFonts w:eastAsia="Calibri"/>
                <w:b/>
                <w:sz w:val="24"/>
              </w:rPr>
            </w:pPr>
            <w:r w:rsidRPr="007219DE">
              <w:rPr>
                <w:rFonts w:eastAsia="Calibri"/>
                <w:b/>
                <w:sz w:val="24"/>
              </w:rPr>
              <w:t>(</w:t>
            </w:r>
            <w:proofErr w:type="gramStart"/>
            <w:r w:rsidRPr="007219DE">
              <w:rPr>
                <w:rFonts w:eastAsia="Calibri"/>
                <w:b/>
                <w:sz w:val="24"/>
              </w:rPr>
              <w:t>5)÷</w:t>
            </w:r>
            <w:proofErr w:type="gramEnd"/>
            <w:r w:rsidRPr="007219DE">
              <w:rPr>
                <w:rFonts w:eastAsia="Calibri"/>
                <w:b/>
                <w:sz w:val="24"/>
              </w:rPr>
              <w:t>(1)</w:t>
            </w:r>
          </w:p>
        </w:tc>
      </w:tr>
      <w:tr w:rsidRPr="007219DE" w:rsidR="003268EE" w:rsidTr="00CB16FE" w14:paraId="62EE3A8D" w14:textId="77777777">
        <w:trPr>
          <w:cantSplit/>
          <w:trHeight w:val="566"/>
        </w:trPr>
        <w:tc>
          <w:tcPr>
            <w:tcW w:w="821" w:type="pct"/>
            <w:tcBorders>
              <w:top w:val="single" w:color="auto" w:sz="4" w:space="0"/>
              <w:left w:val="single" w:color="auto" w:sz="4" w:space="0"/>
              <w:bottom w:val="single" w:color="auto" w:sz="4" w:space="0"/>
              <w:right w:val="single" w:color="auto" w:sz="4" w:space="0"/>
            </w:tcBorders>
          </w:tcPr>
          <w:p w:rsidRPr="007219DE" w:rsidR="00806A01" w:rsidP="00806A01" w:rsidRDefault="006B1354" w14:paraId="4C4A8C72" w14:textId="0C63B43C">
            <w:pPr>
              <w:widowControl w:val="0"/>
              <w:autoSpaceDE w:val="0"/>
              <w:autoSpaceDN w:val="0"/>
              <w:adjustRightInd w:val="0"/>
              <w:jc w:val="right"/>
              <w:rPr>
                <w:sz w:val="24"/>
              </w:rPr>
            </w:pPr>
            <w:r w:rsidRPr="007219DE">
              <w:rPr>
                <w:sz w:val="24"/>
              </w:rPr>
              <w:t>Annual Reporting</w:t>
            </w:r>
            <w:r w:rsidR="00FC40B0">
              <w:rPr>
                <w:sz w:val="24"/>
              </w:rPr>
              <w:t xml:space="preserve"> and Recordkeeping</w:t>
            </w:r>
            <w:r w:rsidRPr="007219DE">
              <w:rPr>
                <w:sz w:val="24"/>
              </w:rPr>
              <w:t xml:space="preserve"> </w:t>
            </w:r>
          </w:p>
        </w:tc>
        <w:tc>
          <w:tcPr>
            <w:tcW w:w="789"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62FACF99" w14:textId="5CD36AF4">
            <w:pPr>
              <w:jc w:val="right"/>
              <w:rPr>
                <w:sz w:val="24"/>
              </w:rPr>
            </w:pPr>
            <w:r>
              <w:rPr>
                <w:rFonts w:eastAsia="Calibri"/>
                <w:sz w:val="24"/>
              </w:rPr>
              <w:t>336</w:t>
            </w:r>
          </w:p>
        </w:tc>
        <w:tc>
          <w:tcPr>
            <w:tcW w:w="704"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806A01" w14:paraId="4AFB06C9" w14:textId="22A0B256">
            <w:pPr>
              <w:widowControl w:val="0"/>
              <w:autoSpaceDE w:val="0"/>
              <w:autoSpaceDN w:val="0"/>
              <w:adjustRightInd w:val="0"/>
              <w:jc w:val="right"/>
              <w:rPr>
                <w:sz w:val="24"/>
              </w:rPr>
            </w:pPr>
            <w:r w:rsidRPr="007219DE">
              <w:rPr>
                <w:rFonts w:eastAsia="Calibri"/>
                <w:sz w:val="24"/>
              </w:rPr>
              <w:t>1</w:t>
            </w:r>
          </w:p>
        </w:tc>
        <w:tc>
          <w:tcPr>
            <w:tcW w:w="609"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1B401D92" w14:textId="15631C78">
            <w:pPr>
              <w:widowControl w:val="0"/>
              <w:autoSpaceDE w:val="0"/>
              <w:autoSpaceDN w:val="0"/>
              <w:adjustRightInd w:val="0"/>
              <w:jc w:val="right"/>
              <w:rPr>
                <w:sz w:val="24"/>
              </w:rPr>
            </w:pPr>
            <w:r>
              <w:rPr>
                <w:sz w:val="24"/>
              </w:rPr>
              <w:t>336</w:t>
            </w:r>
          </w:p>
        </w:tc>
        <w:tc>
          <w:tcPr>
            <w:tcW w:w="670"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E66F2E" w14:paraId="05BB27A2" w14:textId="3B88A78B">
            <w:pPr>
              <w:widowControl w:val="0"/>
              <w:autoSpaceDE w:val="0"/>
              <w:autoSpaceDN w:val="0"/>
              <w:adjustRightInd w:val="0"/>
              <w:jc w:val="right"/>
              <w:rPr>
                <w:sz w:val="24"/>
              </w:rPr>
            </w:pPr>
            <w:r>
              <w:rPr>
                <w:rFonts w:eastAsia="Calibri"/>
                <w:sz w:val="24"/>
              </w:rPr>
              <w:t xml:space="preserve">32.71 </w:t>
            </w:r>
            <w:r w:rsidRPr="007219DE" w:rsidR="008C7F23">
              <w:rPr>
                <w:rFonts w:eastAsia="Calibri"/>
                <w:sz w:val="24"/>
              </w:rPr>
              <w:t xml:space="preserve">hrs.; </w:t>
            </w:r>
            <w:r w:rsidRPr="007219DE" w:rsidR="00806A01">
              <w:rPr>
                <w:rFonts w:eastAsia="Calibri"/>
                <w:sz w:val="24"/>
              </w:rPr>
              <w:t>$</w:t>
            </w:r>
            <w:r>
              <w:rPr>
                <w:rFonts w:eastAsia="Calibri"/>
                <w:sz w:val="24"/>
              </w:rPr>
              <w:t>2,714.93</w:t>
            </w:r>
          </w:p>
        </w:tc>
        <w:tc>
          <w:tcPr>
            <w:tcW w:w="705"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77EC312A" w14:textId="26EEE9F0">
            <w:pPr>
              <w:widowControl w:val="0"/>
              <w:autoSpaceDE w:val="0"/>
              <w:autoSpaceDN w:val="0"/>
              <w:adjustRightInd w:val="0"/>
              <w:ind w:left="-108"/>
              <w:jc w:val="right"/>
              <w:rPr>
                <w:sz w:val="24"/>
              </w:rPr>
            </w:pPr>
            <w:r>
              <w:rPr>
                <w:rFonts w:eastAsia="Calibri"/>
                <w:sz w:val="24"/>
              </w:rPr>
              <w:t>10,991</w:t>
            </w:r>
            <w:r w:rsidRPr="007219DE" w:rsidR="00EB499B">
              <w:rPr>
                <w:rFonts w:eastAsia="Calibri"/>
                <w:sz w:val="24"/>
              </w:rPr>
              <w:t xml:space="preserve"> </w:t>
            </w:r>
            <w:r w:rsidRPr="007219DE" w:rsidR="00806A01">
              <w:rPr>
                <w:rFonts w:eastAsia="Calibri"/>
                <w:sz w:val="24"/>
              </w:rPr>
              <w:t>hrs.</w:t>
            </w:r>
            <w:r w:rsidRPr="007219DE" w:rsidR="008C7F23">
              <w:rPr>
                <w:rFonts w:eastAsia="Calibri"/>
                <w:sz w:val="24"/>
              </w:rPr>
              <w:t xml:space="preserve">; </w:t>
            </w:r>
            <w:r w:rsidRPr="007219DE" w:rsidR="00A759FA">
              <w:rPr>
                <w:sz w:val="24"/>
              </w:rPr>
              <w:t>$</w:t>
            </w:r>
            <w:r w:rsidR="00E66F2E">
              <w:rPr>
                <w:sz w:val="24"/>
              </w:rPr>
              <w:t>912,253</w:t>
            </w:r>
            <w:r w:rsidRPr="007219DE" w:rsidR="00806A01">
              <w:rPr>
                <w:sz w:val="24"/>
              </w:rPr>
              <w:t xml:space="preserve"> </w:t>
            </w:r>
          </w:p>
        </w:tc>
        <w:tc>
          <w:tcPr>
            <w:tcW w:w="704"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806A01" w14:paraId="3B2704C1" w14:textId="67A538BD">
            <w:pPr>
              <w:jc w:val="right"/>
              <w:rPr>
                <w:sz w:val="24"/>
              </w:rPr>
            </w:pPr>
            <w:r w:rsidRPr="007219DE">
              <w:rPr>
                <w:rFonts w:eastAsia="Calibri"/>
                <w:sz w:val="24"/>
              </w:rPr>
              <w:t>$</w:t>
            </w:r>
            <w:r w:rsidR="00E66F2E">
              <w:rPr>
                <w:rFonts w:eastAsia="Calibri"/>
                <w:sz w:val="24"/>
              </w:rPr>
              <w:t>2,714,93</w:t>
            </w:r>
          </w:p>
        </w:tc>
      </w:tr>
      <w:tr w:rsidRPr="007219DE" w:rsidR="003268EE" w:rsidTr="00932FB7" w14:paraId="5F14BCE9" w14:textId="77777777">
        <w:trPr>
          <w:cantSplit/>
          <w:trHeight w:val="890"/>
        </w:trPr>
        <w:tc>
          <w:tcPr>
            <w:tcW w:w="821"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4254F2" w:rsidRDefault="00806A01" w14:paraId="18DC17F7" w14:textId="6C53E79C">
            <w:pPr>
              <w:widowControl w:val="0"/>
              <w:autoSpaceDE w:val="0"/>
              <w:autoSpaceDN w:val="0"/>
              <w:adjustRightInd w:val="0"/>
              <w:jc w:val="right"/>
              <w:rPr>
                <w:b/>
                <w:bCs/>
                <w:sz w:val="24"/>
              </w:rPr>
            </w:pPr>
            <w:r w:rsidRPr="007219DE">
              <w:rPr>
                <w:b/>
                <w:bCs/>
                <w:sz w:val="24"/>
              </w:rPr>
              <w:t xml:space="preserve">TOTAL </w:t>
            </w:r>
            <w:r w:rsidRPr="007219DE" w:rsidR="006B0822">
              <w:rPr>
                <w:b/>
                <w:bCs/>
                <w:sz w:val="24"/>
              </w:rPr>
              <w:t>FERC-725</w:t>
            </w:r>
            <w:r w:rsidR="0081790E">
              <w:rPr>
                <w:b/>
                <w:bCs/>
                <w:sz w:val="24"/>
              </w:rPr>
              <w:t>U</w:t>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4E902397" w14:textId="795905AF">
            <w:pPr>
              <w:widowControl w:val="0"/>
              <w:autoSpaceDE w:val="0"/>
              <w:autoSpaceDN w:val="0"/>
              <w:adjustRightInd w:val="0"/>
              <w:jc w:val="right"/>
              <w:rPr>
                <w:b/>
                <w:bCs/>
                <w:sz w:val="24"/>
              </w:rPr>
            </w:pPr>
            <w:r>
              <w:rPr>
                <w:b/>
                <w:bCs/>
                <w:sz w:val="24"/>
              </w:rPr>
              <w:t>336</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806A01" w14:paraId="0AB22EED" w14:textId="77777777">
            <w:pPr>
              <w:widowControl w:val="0"/>
              <w:autoSpaceDE w:val="0"/>
              <w:autoSpaceDN w:val="0"/>
              <w:adjustRightInd w:val="0"/>
              <w:jc w:val="right"/>
              <w:rPr>
                <w:b/>
                <w:bCs/>
                <w:sz w:val="24"/>
              </w:rPr>
            </w:pPr>
            <w:r w:rsidRPr="007219DE">
              <w:rPr>
                <w:b/>
                <w:bCs/>
                <w:sz w:val="24"/>
              </w:rPr>
              <w:t>1</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70BEF01E" w14:textId="09D0CC0E">
            <w:pPr>
              <w:widowControl w:val="0"/>
              <w:autoSpaceDE w:val="0"/>
              <w:autoSpaceDN w:val="0"/>
              <w:adjustRightInd w:val="0"/>
              <w:jc w:val="right"/>
              <w:rPr>
                <w:b/>
                <w:bCs/>
                <w:sz w:val="24"/>
              </w:rPr>
            </w:pPr>
            <w:r>
              <w:rPr>
                <w:b/>
                <w:bCs/>
                <w:sz w:val="24"/>
              </w:rPr>
              <w:t>336</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6B1354" w:rsidRDefault="00E66F2E" w14:paraId="680EADAD" w14:textId="576410EF">
            <w:pPr>
              <w:widowControl w:val="0"/>
              <w:autoSpaceDE w:val="0"/>
              <w:autoSpaceDN w:val="0"/>
              <w:adjustRightInd w:val="0"/>
              <w:jc w:val="right"/>
              <w:rPr>
                <w:b/>
                <w:bCs/>
                <w:sz w:val="24"/>
              </w:rPr>
            </w:pPr>
            <w:r>
              <w:rPr>
                <w:rFonts w:eastAsia="Calibri"/>
                <w:b/>
                <w:bCs/>
                <w:sz w:val="24"/>
              </w:rPr>
              <w:t xml:space="preserve">32.71 </w:t>
            </w:r>
            <w:r w:rsidRPr="007219DE" w:rsidR="008C7F23">
              <w:rPr>
                <w:rFonts w:eastAsia="Calibri"/>
                <w:b/>
                <w:bCs/>
                <w:sz w:val="24"/>
              </w:rPr>
              <w:t xml:space="preserve">hrs.; </w:t>
            </w:r>
            <w:r w:rsidRPr="007219DE" w:rsidR="006B1354">
              <w:rPr>
                <w:rFonts w:eastAsia="Calibri"/>
                <w:b/>
                <w:bCs/>
                <w:sz w:val="24"/>
              </w:rPr>
              <w:t>$</w:t>
            </w:r>
            <w:r>
              <w:rPr>
                <w:rFonts w:eastAsia="Calibri"/>
                <w:b/>
                <w:bCs/>
                <w:sz w:val="24"/>
              </w:rPr>
              <w:t>2,714.93</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57CE5E5D" w14:textId="2D7E2A27">
            <w:pPr>
              <w:widowControl w:val="0"/>
              <w:autoSpaceDE w:val="0"/>
              <w:autoSpaceDN w:val="0"/>
              <w:adjustRightInd w:val="0"/>
              <w:ind w:left="-108"/>
              <w:jc w:val="right"/>
              <w:rPr>
                <w:b/>
                <w:bCs/>
                <w:sz w:val="24"/>
              </w:rPr>
            </w:pPr>
            <w:r>
              <w:rPr>
                <w:b/>
                <w:bCs/>
                <w:sz w:val="24"/>
              </w:rPr>
              <w:t>10,991</w:t>
            </w:r>
            <w:r w:rsidRPr="007219DE" w:rsidR="00EB499B">
              <w:rPr>
                <w:b/>
                <w:bCs/>
                <w:sz w:val="24"/>
              </w:rPr>
              <w:t xml:space="preserve"> </w:t>
            </w:r>
            <w:r w:rsidRPr="007219DE" w:rsidR="00806A01">
              <w:rPr>
                <w:b/>
                <w:bCs/>
                <w:sz w:val="24"/>
              </w:rPr>
              <w:t>hrs.</w:t>
            </w:r>
            <w:r w:rsidRPr="007219DE" w:rsidR="008C7F23">
              <w:rPr>
                <w:b/>
                <w:bCs/>
                <w:sz w:val="24"/>
              </w:rPr>
              <w:t xml:space="preserve">; </w:t>
            </w:r>
            <w:r w:rsidRPr="007219DE" w:rsidR="00806A01">
              <w:rPr>
                <w:b/>
                <w:bCs/>
                <w:sz w:val="24"/>
              </w:rPr>
              <w:t>$</w:t>
            </w:r>
            <w:r>
              <w:rPr>
                <w:b/>
                <w:bCs/>
                <w:sz w:val="24"/>
              </w:rPr>
              <w:t>912,253</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1A3128" w:rsidRDefault="00806A01" w14:paraId="23070342" w14:textId="3FE515A0">
            <w:pPr>
              <w:widowControl w:val="0"/>
              <w:autoSpaceDE w:val="0"/>
              <w:autoSpaceDN w:val="0"/>
              <w:adjustRightInd w:val="0"/>
              <w:ind w:left="-108"/>
              <w:jc w:val="right"/>
              <w:rPr>
                <w:b/>
                <w:bCs/>
                <w:sz w:val="24"/>
              </w:rPr>
            </w:pPr>
            <w:r w:rsidRPr="007219DE">
              <w:rPr>
                <w:b/>
                <w:bCs/>
                <w:sz w:val="24"/>
              </w:rPr>
              <w:t>$</w:t>
            </w:r>
            <w:r w:rsidR="00E66F2E">
              <w:rPr>
                <w:b/>
                <w:bCs/>
                <w:sz w:val="24"/>
              </w:rPr>
              <w:t>2,714.93</w:t>
            </w:r>
          </w:p>
        </w:tc>
      </w:tr>
    </w:tbl>
    <w:p w:rsidRPr="007219DE" w:rsidR="007B2872" w:rsidP="004E3713" w:rsidRDefault="007B2872" w14:paraId="70CBB90E" w14:textId="77777777">
      <w:pPr>
        <w:spacing w:line="480" w:lineRule="auto"/>
        <w:rPr>
          <w:szCs w:val="26"/>
        </w:rPr>
      </w:pPr>
    </w:p>
    <w:p w:rsidRPr="007219DE" w:rsidR="003B29FB" w:rsidP="003B29FB" w:rsidRDefault="003B29FB" w14:paraId="50E8392C" w14:textId="77777777">
      <w:pPr>
        <w:spacing w:line="480" w:lineRule="auto"/>
        <w:rPr>
          <w:szCs w:val="26"/>
        </w:rPr>
      </w:pPr>
      <w:r w:rsidRPr="007219DE">
        <w:rPr>
          <w:i/>
          <w:szCs w:val="26"/>
        </w:rPr>
        <w:t xml:space="preserve">Comments:  </w:t>
      </w:r>
      <w:r w:rsidRPr="007219DE">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r w:rsidRPr="007219DE">
        <w:rPr>
          <w:szCs w:val="26"/>
        </w:rPr>
        <w:lastRenderedPageBreak/>
        <w:t xml:space="preserve">clarity of the information collection; and (4) ways to minimize the burden of the 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p>
    <w:sectPr w:rsidRPr="003B29FB" w:rsidR="007E4A0C"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8097" w14:textId="77777777" w:rsidR="00BC3454" w:rsidRDefault="00BC3454" w:rsidP="003B29FB">
      <w:r>
        <w:separator/>
      </w:r>
    </w:p>
  </w:endnote>
  <w:endnote w:type="continuationSeparator" w:id="0">
    <w:p w14:paraId="67933112" w14:textId="77777777" w:rsidR="00BC3454" w:rsidRDefault="00BC3454" w:rsidP="003B29FB">
      <w:r>
        <w:continuationSeparator/>
      </w:r>
    </w:p>
  </w:endnote>
  <w:endnote w:type="continuationNotice" w:id="1">
    <w:p w14:paraId="4D3BD968" w14:textId="77777777" w:rsidR="00BC3454" w:rsidRDefault="00BC3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6C5D" w14:textId="77777777" w:rsidR="00CB16FE" w:rsidRDefault="00CB1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48D4" w14:textId="77777777" w:rsidR="00CB16FE" w:rsidRDefault="00CB1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334DF" w14:textId="77777777" w:rsidR="00CB16FE" w:rsidRDefault="00CB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D7D7" w14:textId="77777777" w:rsidR="00BC3454" w:rsidRDefault="00BC3454" w:rsidP="003B29FB">
      <w:r>
        <w:separator/>
      </w:r>
    </w:p>
  </w:footnote>
  <w:footnote w:type="continuationSeparator" w:id="0">
    <w:p w14:paraId="11EB8ADD" w14:textId="77777777" w:rsidR="00BC3454" w:rsidRDefault="00BC3454" w:rsidP="003B29FB">
      <w:r>
        <w:continuationSeparator/>
      </w:r>
    </w:p>
  </w:footnote>
  <w:footnote w:type="continuationNotice" w:id="1">
    <w:p w14:paraId="36FC369D" w14:textId="77777777" w:rsidR="00BC3454" w:rsidRDefault="00BC3454"/>
  </w:footnote>
  <w:footnote w:id="2">
    <w:p w14:paraId="0C63063C" w14:textId="6F75E5AD" w:rsidR="006B0822" w:rsidRPr="00277B18" w:rsidRDefault="006B0822" w:rsidP="007E4A0C">
      <w:pPr>
        <w:pStyle w:val="FootnoteText"/>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w:t>
      </w:r>
      <w:r w:rsidR="000308EF">
        <w:rPr>
          <w:sz w:val="26"/>
          <w:szCs w:val="26"/>
        </w:rPr>
        <w:t>FR</w:t>
      </w:r>
      <w:r w:rsidRPr="000D189D">
        <w:rPr>
          <w:sz w:val="26"/>
          <w:szCs w:val="26"/>
        </w:rPr>
        <w:t xml:space="preserve"> 1320.3.</w:t>
      </w:r>
    </w:p>
  </w:footnote>
  <w:footnote w:id="3">
    <w:p w14:paraId="4E5D08AF" w14:textId="24BE3008" w:rsidR="006B0822" w:rsidRDefault="006B0822" w:rsidP="007E4A0C">
      <w:pPr>
        <w:pStyle w:val="FootnoteText"/>
        <w:ind w:firstLine="720"/>
      </w:pPr>
      <w:r>
        <w:rPr>
          <w:rStyle w:val="FootnoteReference"/>
        </w:rPr>
        <w:footnoteRef/>
      </w:r>
      <w:r>
        <w:t xml:space="preserve"> </w:t>
      </w:r>
      <w:bookmarkStart w:id="2" w:name="_Hlk53772401"/>
      <w:r w:rsidRPr="00010429">
        <w:rPr>
          <w:sz w:val="26"/>
          <w:szCs w:val="26"/>
        </w:rPr>
        <w:t xml:space="preserve">Commission staff estimates that the industry’s skill set and cost (for wages and benefits) for </w:t>
      </w:r>
      <w:r w:rsidRPr="002F3236">
        <w:rPr>
          <w:sz w:val="26"/>
          <w:szCs w:val="26"/>
        </w:rPr>
        <w:t>FERC-</w:t>
      </w:r>
      <w:r>
        <w:rPr>
          <w:sz w:val="26"/>
          <w:szCs w:val="26"/>
        </w:rPr>
        <w:t>725</w:t>
      </w:r>
      <w:r w:rsidR="00484DEB">
        <w:rPr>
          <w:sz w:val="26"/>
          <w:szCs w:val="26"/>
        </w:rPr>
        <w:t>U</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sidR="001E396E">
        <w:rPr>
          <w:sz w:val="26"/>
          <w:szCs w:val="26"/>
        </w:rPr>
        <w:t>.</w:t>
      </w:r>
    </w:p>
    <w:bookmarkEnd w:id="2"/>
  </w:footnote>
  <w:footnote w:id="4">
    <w:p w14:paraId="39A030DA" w14:textId="02909B8E" w:rsidR="006B0822" w:rsidRPr="005759BD" w:rsidRDefault="006B0822" w:rsidP="007E4A0C">
      <w:pPr>
        <w:pStyle w:val="FootnoteText"/>
        <w:ind w:firstLine="720"/>
        <w:rPr>
          <w:sz w:val="24"/>
          <w:szCs w:val="24"/>
        </w:rPr>
      </w:pPr>
      <w:r w:rsidRPr="005759BD">
        <w:rPr>
          <w:rStyle w:val="FootnoteReference"/>
          <w:sz w:val="24"/>
          <w:szCs w:val="24"/>
        </w:rPr>
        <w:footnoteRef/>
      </w:r>
      <w:r w:rsidRPr="005759BD">
        <w:rPr>
          <w:sz w:val="24"/>
          <w:szCs w:val="24"/>
          <w:vertAlign w:val="superscript"/>
        </w:rPr>
        <w:t xml:space="preserve"> </w:t>
      </w:r>
      <w:r w:rsidRPr="00932FB7">
        <w:rPr>
          <w:sz w:val="26"/>
          <w:szCs w:val="24"/>
        </w:rPr>
        <w:t>The total number of transmission owners</w:t>
      </w:r>
      <w:r w:rsidR="0084620B" w:rsidRPr="00932FB7">
        <w:rPr>
          <w:sz w:val="26"/>
          <w:szCs w:val="24"/>
        </w:rPr>
        <w:t xml:space="preserve"> and operators </w:t>
      </w:r>
      <w:r w:rsidRPr="00932FB7">
        <w:rPr>
          <w:sz w:val="26"/>
          <w:szCs w:val="24"/>
        </w:rPr>
        <w:t xml:space="preserve">equals </w:t>
      </w:r>
      <w:r w:rsidR="0084620B" w:rsidRPr="00932FB7">
        <w:rPr>
          <w:sz w:val="26"/>
          <w:szCs w:val="24"/>
        </w:rPr>
        <w:t>336</w:t>
      </w:r>
      <w:r w:rsidR="003B555A" w:rsidRPr="00932FB7">
        <w:rPr>
          <w:sz w:val="26"/>
          <w:szCs w:val="24"/>
        </w:rPr>
        <w:t>, this represents the unique US entities take</w:t>
      </w:r>
      <w:r w:rsidR="008A46AD">
        <w:rPr>
          <w:sz w:val="26"/>
          <w:szCs w:val="24"/>
        </w:rPr>
        <w:t>n</w:t>
      </w:r>
      <w:r w:rsidR="003B555A" w:rsidRPr="00932FB7">
        <w:rPr>
          <w:sz w:val="26"/>
          <w:szCs w:val="24"/>
        </w:rPr>
        <w:t xml:space="preserve"> from October 2, 2020 NERC Compliance registry information</w:t>
      </w:r>
      <w:r w:rsidR="008A46AD" w:rsidRPr="00932FB7">
        <w:rPr>
          <w:sz w:val="2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20B7" w14:textId="77777777" w:rsidR="00CB16FE" w:rsidRDefault="00CB1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163B4835" w:rsidR="006B0822" w:rsidRDefault="008012F5" w:rsidP="00DF4B69">
    <w:pPr>
      <w:pStyle w:val="Header"/>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4204D7">
          <w:t>9</w:t>
        </w:r>
        <w:r w:rsidR="006B0822" w:rsidRPr="007219DE">
          <w:t>-000</w:t>
        </w:r>
        <w:r w:rsidR="006B0822">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OM7Q2hMDAAA4BgAADgAAAAAAAAAAAAAAAAAuAgAAZHJz&#10;L2Uyb0RvYy54bWxQSwECLQAUAAYACAAAACEAaDuVdtsAAAAHAQAADwAAAAAAAAAAAAAAAABtBQAA&#10;ZHJzL2Rvd25yZXYueG1sUEsFBgAAAAAEAAQA8wAAAHUGA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496D"/>
    <w:rsid w:val="00022DBB"/>
    <w:rsid w:val="00024F24"/>
    <w:rsid w:val="00025C53"/>
    <w:rsid w:val="000308EF"/>
    <w:rsid w:val="000315F5"/>
    <w:rsid w:val="000518A2"/>
    <w:rsid w:val="00053244"/>
    <w:rsid w:val="0007116A"/>
    <w:rsid w:val="00081CB8"/>
    <w:rsid w:val="0008609F"/>
    <w:rsid w:val="000A418D"/>
    <w:rsid w:val="000A551A"/>
    <w:rsid w:val="000F272E"/>
    <w:rsid w:val="001129AA"/>
    <w:rsid w:val="00127448"/>
    <w:rsid w:val="001311B7"/>
    <w:rsid w:val="00131DEA"/>
    <w:rsid w:val="00146881"/>
    <w:rsid w:val="001475D4"/>
    <w:rsid w:val="00173CA3"/>
    <w:rsid w:val="001777DC"/>
    <w:rsid w:val="00186C2C"/>
    <w:rsid w:val="001A1468"/>
    <w:rsid w:val="001A3128"/>
    <w:rsid w:val="001B1C97"/>
    <w:rsid w:val="001B207F"/>
    <w:rsid w:val="001E396E"/>
    <w:rsid w:val="00231A26"/>
    <w:rsid w:val="00257D36"/>
    <w:rsid w:val="00264E27"/>
    <w:rsid w:val="002701BA"/>
    <w:rsid w:val="002836AC"/>
    <w:rsid w:val="0029053F"/>
    <w:rsid w:val="002C393B"/>
    <w:rsid w:val="002E1429"/>
    <w:rsid w:val="002F0A84"/>
    <w:rsid w:val="002F3236"/>
    <w:rsid w:val="002F7661"/>
    <w:rsid w:val="00312CEF"/>
    <w:rsid w:val="003268EE"/>
    <w:rsid w:val="00351412"/>
    <w:rsid w:val="003566B1"/>
    <w:rsid w:val="00364232"/>
    <w:rsid w:val="0036496C"/>
    <w:rsid w:val="00395DD9"/>
    <w:rsid w:val="003A79FD"/>
    <w:rsid w:val="003B29FB"/>
    <w:rsid w:val="003B555A"/>
    <w:rsid w:val="003B7027"/>
    <w:rsid w:val="003C127D"/>
    <w:rsid w:val="003C4E85"/>
    <w:rsid w:val="004204D7"/>
    <w:rsid w:val="00423226"/>
    <w:rsid w:val="004254F2"/>
    <w:rsid w:val="004313D5"/>
    <w:rsid w:val="00465EEC"/>
    <w:rsid w:val="00484DEB"/>
    <w:rsid w:val="004B2BA4"/>
    <w:rsid w:val="004D17F8"/>
    <w:rsid w:val="004E2FB0"/>
    <w:rsid w:val="004E3713"/>
    <w:rsid w:val="00503DBF"/>
    <w:rsid w:val="005068D1"/>
    <w:rsid w:val="005441EB"/>
    <w:rsid w:val="00550E9B"/>
    <w:rsid w:val="005745B3"/>
    <w:rsid w:val="005759BD"/>
    <w:rsid w:val="005922F1"/>
    <w:rsid w:val="00593F21"/>
    <w:rsid w:val="00597DAA"/>
    <w:rsid w:val="005B22D0"/>
    <w:rsid w:val="005B2A79"/>
    <w:rsid w:val="006002E6"/>
    <w:rsid w:val="00621371"/>
    <w:rsid w:val="0063152F"/>
    <w:rsid w:val="00661FC3"/>
    <w:rsid w:val="00665AB3"/>
    <w:rsid w:val="00687C68"/>
    <w:rsid w:val="006A692D"/>
    <w:rsid w:val="006B0822"/>
    <w:rsid w:val="006B1354"/>
    <w:rsid w:val="006B4F0D"/>
    <w:rsid w:val="006C7623"/>
    <w:rsid w:val="006D6D65"/>
    <w:rsid w:val="006F2190"/>
    <w:rsid w:val="0070024F"/>
    <w:rsid w:val="00717629"/>
    <w:rsid w:val="007219DE"/>
    <w:rsid w:val="00780EED"/>
    <w:rsid w:val="00791623"/>
    <w:rsid w:val="00794663"/>
    <w:rsid w:val="007A30F7"/>
    <w:rsid w:val="007A3197"/>
    <w:rsid w:val="007A6A95"/>
    <w:rsid w:val="007B2872"/>
    <w:rsid w:val="007C30A0"/>
    <w:rsid w:val="007E05B2"/>
    <w:rsid w:val="007E4A0C"/>
    <w:rsid w:val="007F0A13"/>
    <w:rsid w:val="008012F5"/>
    <w:rsid w:val="00806A01"/>
    <w:rsid w:val="008109BD"/>
    <w:rsid w:val="0081790E"/>
    <w:rsid w:val="0082249B"/>
    <w:rsid w:val="00833713"/>
    <w:rsid w:val="0084620B"/>
    <w:rsid w:val="00852B15"/>
    <w:rsid w:val="008614F2"/>
    <w:rsid w:val="008716FA"/>
    <w:rsid w:val="00871AC1"/>
    <w:rsid w:val="00883FF9"/>
    <w:rsid w:val="00893AF9"/>
    <w:rsid w:val="00896FD7"/>
    <w:rsid w:val="008A46AD"/>
    <w:rsid w:val="008C4FC4"/>
    <w:rsid w:val="008C7F23"/>
    <w:rsid w:val="008D20FF"/>
    <w:rsid w:val="008E27D9"/>
    <w:rsid w:val="008F785F"/>
    <w:rsid w:val="00910883"/>
    <w:rsid w:val="00917388"/>
    <w:rsid w:val="00932FB7"/>
    <w:rsid w:val="00934564"/>
    <w:rsid w:val="0095777B"/>
    <w:rsid w:val="00964A22"/>
    <w:rsid w:val="00984421"/>
    <w:rsid w:val="00987B8C"/>
    <w:rsid w:val="00995791"/>
    <w:rsid w:val="009A399C"/>
    <w:rsid w:val="009E59D7"/>
    <w:rsid w:val="00A1596F"/>
    <w:rsid w:val="00A246E7"/>
    <w:rsid w:val="00A3264B"/>
    <w:rsid w:val="00A34F73"/>
    <w:rsid w:val="00A41B88"/>
    <w:rsid w:val="00A54C23"/>
    <w:rsid w:val="00A60763"/>
    <w:rsid w:val="00A759FA"/>
    <w:rsid w:val="00AA34A3"/>
    <w:rsid w:val="00AB48DA"/>
    <w:rsid w:val="00AD1402"/>
    <w:rsid w:val="00AE2DEF"/>
    <w:rsid w:val="00B05BBA"/>
    <w:rsid w:val="00B22C21"/>
    <w:rsid w:val="00B33F20"/>
    <w:rsid w:val="00B35B79"/>
    <w:rsid w:val="00B46664"/>
    <w:rsid w:val="00B50690"/>
    <w:rsid w:val="00B57E5D"/>
    <w:rsid w:val="00B844CF"/>
    <w:rsid w:val="00B922FD"/>
    <w:rsid w:val="00B94DBD"/>
    <w:rsid w:val="00B96868"/>
    <w:rsid w:val="00BA699D"/>
    <w:rsid w:val="00BC3454"/>
    <w:rsid w:val="00BD7C61"/>
    <w:rsid w:val="00BF5F40"/>
    <w:rsid w:val="00C0632C"/>
    <w:rsid w:val="00C46738"/>
    <w:rsid w:val="00C57D75"/>
    <w:rsid w:val="00C66D59"/>
    <w:rsid w:val="00C72703"/>
    <w:rsid w:val="00C74F4E"/>
    <w:rsid w:val="00C85B0C"/>
    <w:rsid w:val="00CB16FE"/>
    <w:rsid w:val="00CC18E2"/>
    <w:rsid w:val="00CC40C3"/>
    <w:rsid w:val="00CE1512"/>
    <w:rsid w:val="00CF4C54"/>
    <w:rsid w:val="00D23082"/>
    <w:rsid w:val="00D35412"/>
    <w:rsid w:val="00D651FD"/>
    <w:rsid w:val="00D70C5C"/>
    <w:rsid w:val="00DE3AC5"/>
    <w:rsid w:val="00DE6E94"/>
    <w:rsid w:val="00DF4B69"/>
    <w:rsid w:val="00E031BF"/>
    <w:rsid w:val="00E237C2"/>
    <w:rsid w:val="00E26855"/>
    <w:rsid w:val="00E26ABB"/>
    <w:rsid w:val="00E4588B"/>
    <w:rsid w:val="00E535B8"/>
    <w:rsid w:val="00E5742E"/>
    <w:rsid w:val="00E57AB0"/>
    <w:rsid w:val="00E66F2E"/>
    <w:rsid w:val="00E70324"/>
    <w:rsid w:val="00E7333B"/>
    <w:rsid w:val="00E77220"/>
    <w:rsid w:val="00EB499B"/>
    <w:rsid w:val="00EE198F"/>
    <w:rsid w:val="00EE49FE"/>
    <w:rsid w:val="00EF2008"/>
    <w:rsid w:val="00F12008"/>
    <w:rsid w:val="00F1351F"/>
    <w:rsid w:val="00F40FE9"/>
    <w:rsid w:val="00F56397"/>
    <w:rsid w:val="00F64AC9"/>
    <w:rsid w:val="00F66294"/>
    <w:rsid w:val="00F7561E"/>
    <w:rsid w:val="00F80267"/>
    <w:rsid w:val="00F93FA4"/>
    <w:rsid w:val="00FA0BD0"/>
    <w:rsid w:val="00FA13EE"/>
    <w:rsid w:val="00FA194B"/>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11447-C4F6-42EE-ACC9-2AF08EEA09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4.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5.xml><?xml version="1.0" encoding="utf-8"?>
<ds:datastoreItem xmlns:ds="http://schemas.openxmlformats.org/officeDocument/2006/customXml" ds:itemID="{A570E1BF-034D-4688-8F1B-7D1DD611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FREC-725U 60-day notice (CIP-014-2)</vt:lpstr>
    </vt:vector>
  </TitlesOfParts>
  <Manager/>
  <Company/>
  <LinksUpToDate>false</LinksUpToDate>
  <CharactersWithSpaces>5762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FREC-725U 60-day notice (CIP-014-2)</dc:title>
  <dc:subject/>
  <dc:creator>Kayla Williams</dc:creator>
  <cp:keywords/>
  <dc:description/>
  <cp:lastModifiedBy>Kayla Williams</cp:lastModifiedBy>
  <cp:revision>2</cp:revision>
  <dcterms:created xsi:type="dcterms:W3CDTF">2021-01-06T12:30:00Z</dcterms:created>
  <dcterms:modified xsi:type="dcterms:W3CDTF">2021-01-06T12:30:00Z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2020-11-25T14:33:32.5563393Z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1613bc7c-5874-4994-875a-8c28e5e37bb0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0x01010040BBA46C296F7C4CB651D6F7E4CC084A</vt:lpwstr>
  </property>
</Properties>
</file>