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91dc9d47f75f429a" Type="http://schemas.microsoft.com/office/2007/relationships/ui/extensibility" Target="customUI/customUI14.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A10" w:rsidRDefault="002A178A">
      <w:pPr>
        <w:jc w:val="center"/>
      </w:pPr>
      <w:r>
        <w:t>171 FERC ¶ 61,052</w:t>
      </w:r>
    </w:p>
    <w:p w:rsidRPr="004238BE" w:rsidR="00EE27D1" w:rsidP="006923C8" w:rsidRDefault="00EE27D1">
      <w:pPr>
        <w:tabs>
          <w:tab w:val="left" w:pos="520"/>
        </w:tabs>
        <w:jc w:val="center"/>
        <w:rPr>
          <w:szCs w:val="26"/>
        </w:rPr>
      </w:pPr>
      <w:r w:rsidRPr="004238BE">
        <w:rPr>
          <w:szCs w:val="26"/>
        </w:rPr>
        <w:t>UNITED STATES OF AMERICA</w:t>
      </w:r>
    </w:p>
    <w:p w:rsidR="00E155AD" w:rsidP="006923C8" w:rsidRDefault="00EE27D1">
      <w:pPr>
        <w:tabs>
          <w:tab w:val="left" w:pos="520"/>
        </w:tabs>
        <w:jc w:val="center"/>
        <w:rPr>
          <w:szCs w:val="26"/>
        </w:rPr>
      </w:pPr>
      <w:r w:rsidRPr="004238BE">
        <w:rPr>
          <w:szCs w:val="26"/>
        </w:rPr>
        <w:t>FEDERAL ENERGY REGULATORY COMMISSION</w:t>
      </w:r>
    </w:p>
    <w:p w:rsidR="00E155AD" w:rsidP="006923C8" w:rsidRDefault="00E155AD">
      <w:pPr>
        <w:tabs>
          <w:tab w:val="left" w:pos="520"/>
        </w:tabs>
        <w:rPr>
          <w:szCs w:val="26"/>
        </w:rPr>
      </w:pPr>
    </w:p>
    <w:p w:rsidR="004210B9" w:rsidP="006923C8" w:rsidRDefault="004210B9">
      <w:pPr>
        <w:tabs>
          <w:tab w:val="left" w:pos="520"/>
        </w:tabs>
        <w:rPr>
          <w:szCs w:val="26"/>
        </w:rPr>
      </w:pPr>
    </w:p>
    <w:p w:rsidRPr="009F3B0F" w:rsidR="00E155AD" w:rsidP="009F3B0F" w:rsidRDefault="009F3B0F">
      <w:pPr>
        <w:widowControl/>
        <w:tabs>
          <w:tab w:val="left" w:pos="520"/>
        </w:tabs>
        <w:rPr>
          <w:szCs w:val="26"/>
        </w:rPr>
      </w:pPr>
      <w:r w:rsidRPr="009F3B0F">
        <w:rPr>
          <w:szCs w:val="26"/>
        </w:rPr>
        <w:t>Before Commissioners:  Neil Chatterjee, Chairman;</w:t>
      </w:r>
    </w:p>
    <w:p w:rsidRPr="009F3B0F" w:rsidR="009F3B0F" w:rsidP="009F3B0F" w:rsidRDefault="009F3B0F">
      <w:pPr>
        <w:widowControl/>
        <w:tabs>
          <w:tab w:val="left" w:pos="520"/>
        </w:tabs>
        <w:rPr>
          <w:szCs w:val="26"/>
        </w:rPr>
      </w:pPr>
      <w:r w:rsidRPr="009F3B0F">
        <w:rPr>
          <w:szCs w:val="26"/>
        </w:rPr>
        <w:t xml:space="preserve">                                        Richard Glick, Bernard L. McNamee,</w:t>
      </w:r>
    </w:p>
    <w:p w:rsidR="009F3B0F" w:rsidP="009F3B0F" w:rsidRDefault="009F3B0F">
      <w:pPr>
        <w:widowControl/>
        <w:tabs>
          <w:tab w:val="left" w:pos="520"/>
        </w:tabs>
        <w:rPr>
          <w:szCs w:val="26"/>
        </w:rPr>
      </w:pPr>
      <w:r w:rsidRPr="009F3B0F">
        <w:rPr>
          <w:szCs w:val="26"/>
        </w:rPr>
        <w:t xml:space="preserve">                                        and James P. Danly.</w:t>
      </w:r>
    </w:p>
    <w:p w:rsidRPr="00E155AD" w:rsidR="009F3B0F" w:rsidP="009F3B0F" w:rsidRDefault="009F3B0F">
      <w:pPr>
        <w:widowControl/>
        <w:tabs>
          <w:tab w:val="left" w:pos="520"/>
        </w:tabs>
        <w:rPr>
          <w:szCs w:val="26"/>
        </w:rPr>
      </w:pPr>
    </w:p>
    <w:p w:rsidR="00E155AD" w:rsidP="006923C8" w:rsidRDefault="00E155AD"/>
    <w:tbl>
      <w:tblPr>
        <w:tblW w:w="9810" w:type="dxa"/>
        <w:tblCellMar>
          <w:left w:w="0" w:type="dxa"/>
          <w:right w:w="0" w:type="dxa"/>
        </w:tblCellMar>
        <w:tblLook w:val="01E0" w:firstRow="1" w:lastRow="1" w:firstColumn="1" w:lastColumn="1" w:noHBand="0" w:noVBand="0"/>
      </w:tblPr>
      <w:tblGrid>
        <w:gridCol w:w="5932"/>
        <w:gridCol w:w="2078"/>
        <w:gridCol w:w="1800"/>
      </w:tblGrid>
      <w:tr w:rsidRPr="00E155AD" w:rsidR="00E155AD" w:rsidTr="009F3B0F">
        <w:tc>
          <w:tcPr>
            <w:tcW w:w="5932" w:type="dxa"/>
          </w:tcPr>
          <w:p w:rsidR="00E155AD" w:rsidP="006923C8" w:rsidRDefault="00055C33">
            <w:bookmarkStart w:name="_Hlk37670896" w:id="0"/>
            <w:r>
              <w:t>Disturbance Monitoring and Reporting Requirements Reliability Standard</w:t>
            </w:r>
          </w:p>
          <w:p w:rsidR="00055C33" w:rsidP="006923C8" w:rsidRDefault="00055C33"/>
          <w:p w:rsidR="00055C33" w:rsidP="00055C33" w:rsidRDefault="00055C33">
            <w:r w:rsidRPr="00055C33">
              <w:t xml:space="preserve">Coordination of Protection Systems for Performance During Faults and Specific Training for Personnel </w:t>
            </w:r>
            <w:r>
              <w:t>Reliability Standards</w:t>
            </w:r>
          </w:p>
          <w:p w:rsidR="00055C33" w:rsidP="00055C33" w:rsidRDefault="00055C33"/>
          <w:p w:rsidR="00055C33" w:rsidP="00055C33" w:rsidRDefault="00055C33">
            <w:r w:rsidRPr="00055C33">
              <w:t>Supply Chain Risk Management</w:t>
            </w:r>
            <w:r>
              <w:t xml:space="preserve"> Reliability Standards</w:t>
            </w:r>
          </w:p>
          <w:p w:rsidR="00055C33" w:rsidP="00055C33" w:rsidRDefault="00055C33"/>
          <w:p w:rsidRPr="00E155AD" w:rsidR="00055C33" w:rsidP="006923C8" w:rsidRDefault="007A77AC">
            <w:r>
              <w:rPr>
                <w:szCs w:val="26"/>
              </w:rPr>
              <w:t>North American Electric Reliability Corporation</w:t>
            </w:r>
          </w:p>
        </w:tc>
        <w:tc>
          <w:tcPr>
            <w:tcW w:w="2078" w:type="dxa"/>
            <w:tcMar>
              <w:left w:w="72" w:type="dxa"/>
            </w:tcMar>
          </w:tcPr>
          <w:p w:rsidRPr="00E155AD" w:rsidR="00E155AD" w:rsidP="006923C8" w:rsidRDefault="009F3B0F">
            <w:r>
              <w:t xml:space="preserve">          </w:t>
            </w:r>
            <w:r w:rsidRPr="00E155AD" w:rsidR="00E155AD">
              <w:t>Docket No</w:t>
            </w:r>
            <w:r w:rsidR="00E155AD">
              <w:t>s</w:t>
            </w:r>
            <w:r w:rsidRPr="00E155AD" w:rsidR="00E155AD">
              <w:t>.</w:t>
            </w:r>
          </w:p>
        </w:tc>
        <w:tc>
          <w:tcPr>
            <w:tcW w:w="1800" w:type="dxa"/>
            <w:tcMar>
              <w:left w:w="144" w:type="dxa"/>
            </w:tcMar>
          </w:tcPr>
          <w:p w:rsidR="00055C33" w:rsidP="009F3B0F" w:rsidRDefault="00E155AD">
            <w:pPr>
              <w:ind w:left="-60"/>
            </w:pPr>
            <w:bookmarkStart w:name="_Hlk37154213" w:id="1"/>
            <w:r w:rsidRPr="00E155AD">
              <w:t>RM15-4-000</w:t>
            </w:r>
            <w:r w:rsidR="009E0930">
              <w:t xml:space="preserve"> </w:t>
            </w:r>
          </w:p>
          <w:p w:rsidR="009F3B0F" w:rsidP="006923C8" w:rsidRDefault="009F3B0F"/>
          <w:p w:rsidR="009F3B0F" w:rsidP="006923C8" w:rsidRDefault="009F3B0F"/>
          <w:p w:rsidR="00055C33" w:rsidP="009F3B0F" w:rsidRDefault="00E155AD">
            <w:pPr>
              <w:ind w:left="-60"/>
            </w:pPr>
            <w:r w:rsidRPr="00E155AD">
              <w:t xml:space="preserve">RM16-22-000 </w:t>
            </w:r>
          </w:p>
          <w:p w:rsidR="009F3B0F" w:rsidP="006923C8" w:rsidRDefault="009F3B0F"/>
          <w:p w:rsidR="009F3B0F" w:rsidP="006923C8" w:rsidRDefault="009F3B0F"/>
          <w:p w:rsidR="009F3B0F" w:rsidP="006923C8" w:rsidRDefault="009F3B0F"/>
          <w:p w:rsidR="00055C33" w:rsidP="009F3B0F" w:rsidRDefault="00E155AD">
            <w:pPr>
              <w:ind w:left="-60"/>
            </w:pPr>
            <w:r w:rsidRPr="00E155AD">
              <w:t xml:space="preserve">RM17-13-000 </w:t>
            </w:r>
          </w:p>
          <w:p w:rsidR="009F3B0F" w:rsidP="006923C8" w:rsidRDefault="009F3B0F"/>
          <w:p w:rsidRPr="00E155AD" w:rsidR="00E155AD" w:rsidP="009F3B0F" w:rsidRDefault="00E155AD">
            <w:pPr>
              <w:ind w:left="-60"/>
            </w:pPr>
            <w:r w:rsidRPr="00E155AD">
              <w:t>RD18-4-000</w:t>
            </w:r>
            <w:bookmarkEnd w:id="1"/>
          </w:p>
        </w:tc>
      </w:tr>
      <w:bookmarkEnd w:id="0"/>
    </w:tbl>
    <w:p w:rsidRPr="004238BE" w:rsidR="00933E94" w:rsidP="006923C8" w:rsidRDefault="00933E94">
      <w:pPr>
        <w:jc w:val="center"/>
      </w:pPr>
    </w:p>
    <w:p w:rsidR="009F3B0F" w:rsidP="006923C8" w:rsidRDefault="009F3B0F">
      <w:pPr>
        <w:jc w:val="center"/>
        <w:rPr>
          <w:caps/>
        </w:rPr>
      </w:pPr>
    </w:p>
    <w:p w:rsidR="00601CAC" w:rsidP="006923C8" w:rsidRDefault="00601CAC">
      <w:pPr>
        <w:jc w:val="center"/>
        <w:rPr>
          <w:caps/>
        </w:rPr>
      </w:pPr>
      <w:r>
        <w:rPr>
          <w:caps/>
        </w:rPr>
        <w:t xml:space="preserve">ORDER GRANTING </w:t>
      </w:r>
      <w:r w:rsidRPr="00E155AD" w:rsidR="00E155AD">
        <w:rPr>
          <w:caps/>
        </w:rPr>
        <w:t>De</w:t>
      </w:r>
      <w:r>
        <w:rPr>
          <w:caps/>
        </w:rPr>
        <w:t>FERRED</w:t>
      </w:r>
      <w:r w:rsidRPr="00E155AD" w:rsidR="00E155AD">
        <w:rPr>
          <w:caps/>
        </w:rPr>
        <w:t xml:space="preserve"> Implementation of </w:t>
      </w:r>
    </w:p>
    <w:p w:rsidR="00933E94" w:rsidP="006923C8" w:rsidRDefault="009E0930">
      <w:pPr>
        <w:jc w:val="center"/>
        <w:rPr>
          <w:caps/>
        </w:rPr>
      </w:pPr>
      <w:r>
        <w:rPr>
          <w:caps/>
        </w:rPr>
        <w:t xml:space="preserve">CERTAIN </w:t>
      </w:r>
      <w:r w:rsidRPr="00E155AD" w:rsidR="00E155AD">
        <w:rPr>
          <w:caps/>
        </w:rPr>
        <w:t xml:space="preserve">NERC Reliability Standards </w:t>
      </w:r>
    </w:p>
    <w:p w:rsidRPr="006923C8" w:rsidR="006923C8" w:rsidP="006923C8" w:rsidRDefault="006923C8">
      <w:pPr>
        <w:jc w:val="center"/>
        <w:rPr>
          <w:caps/>
        </w:rPr>
      </w:pPr>
    </w:p>
    <w:p w:rsidR="00B051F1" w:rsidP="009F3B0F" w:rsidRDefault="009F3B0F">
      <w:pPr>
        <w:widowControl/>
        <w:jc w:val="center"/>
      </w:pPr>
      <w:r w:rsidRPr="009F3B0F">
        <w:t>(Issued April 17, 2020)</w:t>
      </w:r>
    </w:p>
    <w:p w:rsidRPr="009F3B0F" w:rsidR="009F3B0F" w:rsidP="009F3B0F" w:rsidRDefault="009F3B0F">
      <w:pPr>
        <w:widowControl/>
      </w:pPr>
    </w:p>
    <w:p w:rsidR="006D4A48" w:rsidRDefault="006D4A48">
      <w:pPr>
        <w:pStyle w:val="FERCparanumber"/>
        <w:spacing w:after="260" w:line="240" w:lineRule="auto"/>
      </w:pPr>
      <w:bookmarkStart w:name="_Start_TOC" w:id="2"/>
      <w:bookmarkEnd w:id="2"/>
      <w:r>
        <w:t>On April 6, 2020, t</w:t>
      </w:r>
      <w:r w:rsidRPr="004238BE">
        <w:t>he North American Electric Reliability Corporation (NERC)</w:t>
      </w:r>
      <w:r w:rsidR="002D4C5B">
        <w:t xml:space="preserve"> filed </w:t>
      </w:r>
      <w:r w:rsidRPr="00FC2565">
        <w:t>a motion seeking to de</w:t>
      </w:r>
      <w:r w:rsidR="00601CAC">
        <w:t>fer</w:t>
      </w:r>
      <w:r w:rsidRPr="00FC2565">
        <w:t xml:space="preserve"> the implementation of several </w:t>
      </w:r>
      <w:r w:rsidRPr="006D4A48">
        <w:t>Commission</w:t>
      </w:r>
      <w:r w:rsidRPr="00FC2565">
        <w:t xml:space="preserve">-approved Reliability Standards that have effective dates or phased-in implementation dates </w:t>
      </w:r>
      <w:r w:rsidR="002D4C5B">
        <w:t xml:space="preserve">that fall </w:t>
      </w:r>
      <w:r w:rsidRPr="00FC2565">
        <w:t>in the second half of 2020.</w:t>
      </w:r>
      <w:r w:rsidR="00601CAC">
        <w:t xml:space="preserve">  </w:t>
      </w:r>
      <w:r w:rsidR="002D4C5B">
        <w:t xml:space="preserve">NERC </w:t>
      </w:r>
      <w:r w:rsidR="005D2282">
        <w:t xml:space="preserve">requests a three-month </w:t>
      </w:r>
      <w:r w:rsidRPr="00FC2565" w:rsidR="00FC2565">
        <w:t>de</w:t>
      </w:r>
      <w:r w:rsidR="00601CAC">
        <w:t>fer</w:t>
      </w:r>
      <w:r w:rsidR="005D2282">
        <w:t>ral of</w:t>
      </w:r>
      <w:r w:rsidR="00601CAC">
        <w:t xml:space="preserve"> the </w:t>
      </w:r>
      <w:r w:rsidRPr="00FC2565" w:rsidR="00FC2565">
        <w:t>implementation of Reliability Standard</w:t>
      </w:r>
      <w:r w:rsidR="00601CAC">
        <w:t>s</w:t>
      </w:r>
      <w:r w:rsidRPr="00FC2565" w:rsidR="00FC2565">
        <w:t xml:space="preserve"> CIP-005-6 (Cyber Security – Electronic Security Perimeter(s))</w:t>
      </w:r>
      <w:r w:rsidR="00AA3445">
        <w:t>,</w:t>
      </w:r>
      <w:r w:rsidRPr="00FC2565" w:rsidR="00FC2565">
        <w:t xml:space="preserve"> CIP-010-3 (Cyber Security – Configuration Change Management and Vulnerability Assessments)</w:t>
      </w:r>
      <w:r w:rsidR="00AA3445">
        <w:t>,</w:t>
      </w:r>
      <w:r w:rsidRPr="00FC2565" w:rsidR="00FC2565">
        <w:t xml:space="preserve"> </w:t>
      </w:r>
      <w:r w:rsidR="00AA3445">
        <w:t xml:space="preserve">and </w:t>
      </w:r>
      <w:r w:rsidRPr="00FC2565" w:rsidR="00FC2565">
        <w:t>CIP-013-1 (Cyber Security – Supply Chain Risk Management)</w:t>
      </w:r>
      <w:r w:rsidR="00AA3445">
        <w:t>;</w:t>
      </w:r>
      <w:r w:rsidR="002D4C5B">
        <w:t xml:space="preserve"> and </w:t>
      </w:r>
      <w:r w:rsidR="005D2282">
        <w:t xml:space="preserve">a six-month deferral of the implementation of </w:t>
      </w:r>
      <w:r w:rsidR="002D4C5B">
        <w:t>Reliability Standards</w:t>
      </w:r>
      <w:r w:rsidRPr="00FC2565" w:rsidR="00FC2565">
        <w:t xml:space="preserve"> PRC-002-2 (Disturbance Monitoring and Reporting Requirements)</w:t>
      </w:r>
      <w:r w:rsidR="00AA3445">
        <w:t>,</w:t>
      </w:r>
      <w:r w:rsidRPr="00FC2565" w:rsidR="00FC2565">
        <w:t xml:space="preserve"> PRC-025-2 (Generator Relay </w:t>
      </w:r>
      <w:proofErr w:type="spellStart"/>
      <w:r w:rsidRPr="00FC2565" w:rsidR="00FC2565">
        <w:t>Loadability</w:t>
      </w:r>
      <w:proofErr w:type="spellEnd"/>
      <w:r w:rsidRPr="00FC2565" w:rsidR="00FC2565">
        <w:t>)</w:t>
      </w:r>
      <w:r w:rsidR="00AA3445">
        <w:t>,</w:t>
      </w:r>
      <w:r w:rsidR="002D4C5B">
        <w:t xml:space="preserve"> </w:t>
      </w:r>
      <w:r w:rsidRPr="00FC2565" w:rsidR="00FC2565">
        <w:t>PRC-027-1 (Coordination of Protection Systems for Performance During Faults)</w:t>
      </w:r>
      <w:r w:rsidR="005D2282">
        <w:t xml:space="preserve">, and </w:t>
      </w:r>
      <w:r w:rsidRPr="00FC2565" w:rsidR="005D2282">
        <w:t>PER-006-1 (Specific Training for Personnel)</w:t>
      </w:r>
      <w:r w:rsidR="00601CAC">
        <w:t xml:space="preserve">.  In this order, we grant NERC’s </w:t>
      </w:r>
      <w:r w:rsidR="00051B41">
        <w:t>motion</w:t>
      </w:r>
      <w:r w:rsidR="002D4C5B">
        <w:t>.</w:t>
      </w:r>
      <w:r w:rsidRPr="004238BE" w:rsidR="00A8724F">
        <w:t xml:space="preserve">  </w:t>
      </w:r>
    </w:p>
    <w:p w:rsidRPr="004238BE" w:rsidR="00F92FA1" w:rsidP="006923C8" w:rsidRDefault="00F92FA1">
      <w:pPr>
        <w:pStyle w:val="Heading1"/>
        <w:spacing w:after="260"/>
      </w:pPr>
      <w:r w:rsidRPr="004238BE">
        <w:lastRenderedPageBreak/>
        <w:t>Background</w:t>
      </w:r>
    </w:p>
    <w:p w:rsidRPr="004238BE" w:rsidR="00F92FA1" w:rsidP="006923C8" w:rsidRDefault="00F92FA1">
      <w:pPr>
        <w:pStyle w:val="Heading2"/>
        <w:spacing w:after="260" w:line="240" w:lineRule="auto"/>
      </w:pPr>
      <w:r w:rsidRPr="004238BE">
        <w:t>Section 215 and Mandatory Reliability Standards</w:t>
      </w:r>
    </w:p>
    <w:p w:rsidRPr="004238BE" w:rsidR="00F92FA1" w:rsidP="006923C8" w:rsidRDefault="00F92FA1">
      <w:pPr>
        <w:pStyle w:val="FERCparanumber"/>
        <w:spacing w:after="260" w:line="240" w:lineRule="auto"/>
      </w:pPr>
      <w:r w:rsidRPr="004238BE">
        <w:t>Section 215 of the F</w:t>
      </w:r>
      <w:r w:rsidR="00ED6209">
        <w:t xml:space="preserve">ederal </w:t>
      </w:r>
      <w:r w:rsidRPr="004238BE">
        <w:t>P</w:t>
      </w:r>
      <w:r w:rsidR="00ED6209">
        <w:t xml:space="preserve">ower </w:t>
      </w:r>
      <w:r w:rsidRPr="004238BE">
        <w:t>A</w:t>
      </w:r>
      <w:r w:rsidR="00ED6209">
        <w:t>ct (FPA)</w:t>
      </w:r>
      <w:r w:rsidRPr="004238BE">
        <w:t xml:space="preserve"> requires the Commission to certify an </w:t>
      </w:r>
      <w:r w:rsidR="005D4087">
        <w:t>Electric Reliability Organization (ERO)</w:t>
      </w:r>
      <w:r w:rsidRPr="004238BE">
        <w:t xml:space="preserve"> to develop mandatory and enforceable Reliability Standards, subject to Commission review and </w:t>
      </w:r>
      <w:r w:rsidRPr="004238BE" w:rsidR="004822CE">
        <w:t>approval.</w:t>
      </w:r>
      <w:r w:rsidRPr="004238BE" w:rsidR="002D4C5B">
        <w:rPr>
          <w:rStyle w:val="FootnoteReference"/>
        </w:rPr>
        <w:footnoteReference w:id="2"/>
      </w:r>
      <w:r w:rsidRPr="004238BE" w:rsidR="004822CE">
        <w:t xml:space="preserve">  </w:t>
      </w:r>
      <w:r w:rsidRPr="004238BE">
        <w:t xml:space="preserve">Once approved, the Reliability Standards </w:t>
      </w:r>
      <w:r w:rsidR="006D4A48">
        <w:t>are enforceable</w:t>
      </w:r>
      <w:r w:rsidRPr="004238BE">
        <w:t xml:space="preserve"> in the United States by the ERO, subject to Commission oversight, or by the Commission independently.</w:t>
      </w:r>
    </w:p>
    <w:p w:rsidRPr="004238BE" w:rsidR="00F92FA1" w:rsidP="006923C8" w:rsidRDefault="006D4A48">
      <w:pPr>
        <w:pStyle w:val="Heading2"/>
        <w:spacing w:after="260" w:line="240" w:lineRule="auto"/>
      </w:pPr>
      <w:r>
        <w:t>COVID-19</w:t>
      </w:r>
    </w:p>
    <w:p w:rsidR="00F92FA1" w:rsidP="006923C8" w:rsidRDefault="006D4A48">
      <w:pPr>
        <w:pStyle w:val="FERCparanumber"/>
        <w:spacing w:after="260" w:line="240" w:lineRule="auto"/>
      </w:pPr>
      <w:r w:rsidRPr="006D4A48">
        <w:t xml:space="preserve">On March 13, 2020, the President issued a proclamation declaring a </w:t>
      </w:r>
      <w:r w:rsidR="002D4C5B">
        <w:t>n</w:t>
      </w:r>
      <w:r w:rsidRPr="006D4A48">
        <w:t xml:space="preserve">ational </w:t>
      </w:r>
      <w:r w:rsidR="002D4C5B">
        <w:t>e</w:t>
      </w:r>
      <w:r w:rsidRPr="006D4A48">
        <w:t xml:space="preserve">mergency concerning COVID-19. </w:t>
      </w:r>
      <w:r>
        <w:t xml:space="preserve"> </w:t>
      </w:r>
      <w:r w:rsidR="002F3D99">
        <w:t>On March 18, 2020, the Commission and NERC issued a joint statement announcing they would use regulatory discretion when considering the impact of the COVID-19 pandemic on</w:t>
      </w:r>
      <w:r w:rsidR="002D4C5B">
        <w:t xml:space="preserve"> registered</w:t>
      </w:r>
      <w:r w:rsidR="002F3D99">
        <w:t xml:space="preserve"> </w:t>
      </w:r>
      <w:r w:rsidR="001D303F">
        <w:t>entit</w:t>
      </w:r>
      <w:r w:rsidR="002D4C5B">
        <w:t>ies’</w:t>
      </w:r>
      <w:r w:rsidR="001D303F">
        <w:t xml:space="preserve"> ability to comply</w:t>
      </w:r>
      <w:r w:rsidR="002F3D99">
        <w:t xml:space="preserve"> with Reliability Standards.  </w:t>
      </w:r>
      <w:r w:rsidR="00A235A3">
        <w:t>In recognition of the impacts of the COVID-19 pandemic, the Commission also extended filing deadlines in reliability proceedings pending before the Commission</w:t>
      </w:r>
      <w:r w:rsidRPr="006D4A48">
        <w:t>.</w:t>
      </w:r>
      <w:r>
        <w:rPr>
          <w:rStyle w:val="FootnoteReference"/>
        </w:rPr>
        <w:footnoteReference w:id="3"/>
      </w:r>
    </w:p>
    <w:p w:rsidRPr="004238BE" w:rsidR="00F92FA1" w:rsidP="006923C8" w:rsidRDefault="001C35D2">
      <w:pPr>
        <w:pStyle w:val="Heading1"/>
        <w:spacing w:after="260"/>
      </w:pPr>
      <w:r w:rsidRPr="004238BE">
        <w:t>NERC</w:t>
      </w:r>
      <w:r w:rsidR="00C74518">
        <w:t>’s</w:t>
      </w:r>
      <w:r w:rsidRPr="004238BE">
        <w:t xml:space="preserve"> </w:t>
      </w:r>
      <w:r w:rsidR="00D70E81">
        <w:t>Motion</w:t>
      </w:r>
    </w:p>
    <w:p w:rsidR="006923C8" w:rsidP="006923C8" w:rsidRDefault="00242D11">
      <w:pPr>
        <w:pStyle w:val="FERCparanumber"/>
        <w:spacing w:after="260" w:line="240" w:lineRule="auto"/>
      </w:pPr>
      <w:r>
        <w:t xml:space="preserve">NERC </w:t>
      </w:r>
      <w:r w:rsidR="00B642A9">
        <w:t>requests</w:t>
      </w:r>
      <w:r>
        <w:t xml:space="preserve"> that the Commission </w:t>
      </w:r>
      <w:r w:rsidR="00B642A9">
        <w:t xml:space="preserve">delay the implementation of Commission-approved </w:t>
      </w:r>
      <w:r w:rsidR="006923C8">
        <w:t xml:space="preserve">Reliability Standards </w:t>
      </w:r>
      <w:r>
        <w:t xml:space="preserve">that are </w:t>
      </w:r>
      <w:r w:rsidR="006923C8">
        <w:t>scheduled to become effective, in whole or in part, in</w:t>
      </w:r>
      <w:r w:rsidR="008575E3">
        <w:t xml:space="preserve"> the</w:t>
      </w:r>
      <w:r w:rsidR="006923C8">
        <w:t xml:space="preserve"> second half of 2020.</w:t>
      </w:r>
      <w:r w:rsidR="006923C8">
        <w:rPr>
          <w:rStyle w:val="FootnoteReference"/>
        </w:rPr>
        <w:footnoteReference w:id="4"/>
      </w:r>
      <w:r w:rsidR="006923C8">
        <w:t xml:space="preserve">  NERC </w:t>
      </w:r>
      <w:r w:rsidR="005D2282">
        <w:t>requests that the Commission delay the implementation of these Reliability Sta</w:t>
      </w:r>
      <w:r w:rsidR="00B642A9">
        <w:t>ndards by three to six months</w:t>
      </w:r>
      <w:r w:rsidR="00100448">
        <w:t>, as follows</w:t>
      </w:r>
      <w:r w:rsidR="006923C8">
        <w:t>:</w:t>
      </w:r>
    </w:p>
    <w:p w:rsidR="009416E1" w:rsidP="009416E1" w:rsidRDefault="006923C8">
      <w:pPr>
        <w:pStyle w:val="FERCparanumber"/>
        <w:numPr>
          <w:ilvl w:val="0"/>
          <w:numId w:val="0"/>
        </w:numPr>
        <w:spacing w:after="260" w:line="240" w:lineRule="auto"/>
        <w:ind w:left="720"/>
      </w:pPr>
      <w:r>
        <w:t>(a)</w:t>
      </w:r>
      <w:r>
        <w:tab/>
        <w:t>F</w:t>
      </w:r>
      <w:r w:rsidRPr="00C74518" w:rsidR="00C74518">
        <w:t>or Reliability Standards CIP-005-6, CIP-010-3, and CIP-013-1</w:t>
      </w:r>
      <w:r>
        <w:t>,</w:t>
      </w:r>
      <w:r w:rsidRPr="00C74518" w:rsidR="00C74518">
        <w:t xml:space="preserve"> </w:t>
      </w:r>
      <w:r w:rsidR="00100448">
        <w:t>NERC seeks to extend</w:t>
      </w:r>
      <w:r w:rsidRPr="00C74518" w:rsidR="00100448">
        <w:t xml:space="preserve"> </w:t>
      </w:r>
      <w:r w:rsidRPr="00C74518" w:rsidR="00C74518">
        <w:t>the implementation of these standards by three months, from the currently scheduled July 1, 2020 effective date to October 1, 2020</w:t>
      </w:r>
      <w:r>
        <w:t>.</w:t>
      </w:r>
    </w:p>
    <w:p w:rsidR="009416E1" w:rsidP="009416E1" w:rsidRDefault="009416E1">
      <w:pPr>
        <w:pStyle w:val="FERCparanumber"/>
        <w:numPr>
          <w:ilvl w:val="0"/>
          <w:numId w:val="0"/>
        </w:numPr>
        <w:spacing w:after="260" w:line="240" w:lineRule="auto"/>
        <w:ind w:left="720"/>
      </w:pPr>
      <w:r>
        <w:lastRenderedPageBreak/>
        <w:t>(</w:t>
      </w:r>
      <w:r w:rsidR="005D2282">
        <w:t>b</w:t>
      </w:r>
      <w:r>
        <w:t>)</w:t>
      </w:r>
      <w:r>
        <w:tab/>
        <w:t xml:space="preserve">For the </w:t>
      </w:r>
      <w:r w:rsidRPr="00C74518" w:rsidR="00C74518">
        <w:t xml:space="preserve">Reliability Standard PRC-002-2 </w:t>
      </w:r>
      <w:r>
        <w:t>phased-in 50</w:t>
      </w:r>
      <w:r w:rsidR="009F3B0F">
        <w:t>%</w:t>
      </w:r>
      <w:r>
        <w:t xml:space="preserve"> compliance requirement, </w:t>
      </w:r>
      <w:r w:rsidR="00100448">
        <w:t>NERC seeks to extend</w:t>
      </w:r>
      <w:r w:rsidDel="00100448" w:rsidR="00100448">
        <w:t xml:space="preserve"> </w:t>
      </w:r>
      <w:r>
        <w:t xml:space="preserve">the </w:t>
      </w:r>
      <w:r w:rsidRPr="00C74518" w:rsidR="00C74518">
        <w:t xml:space="preserve">implementation date </w:t>
      </w:r>
      <w:bookmarkStart w:name="_Hlk37152399" w:id="3"/>
      <w:r w:rsidRPr="00C74518" w:rsidR="00C74518">
        <w:t>by six months</w:t>
      </w:r>
      <w:r>
        <w:t xml:space="preserve"> from the currently scheduled July 1, 2020 compliance date</w:t>
      </w:r>
      <w:r w:rsidRPr="00C74518" w:rsidR="00C74518">
        <w:t xml:space="preserve"> to January 1, 202</w:t>
      </w:r>
      <w:r w:rsidR="0068450F">
        <w:t>1</w:t>
      </w:r>
      <w:r>
        <w:t>.</w:t>
      </w:r>
      <w:r w:rsidRPr="00C74518" w:rsidR="00C74518">
        <w:t xml:space="preserve"> </w:t>
      </w:r>
      <w:bookmarkEnd w:id="3"/>
    </w:p>
    <w:p w:rsidR="002F3D99" w:rsidP="009416E1" w:rsidRDefault="009416E1">
      <w:pPr>
        <w:pStyle w:val="FERCparanumber"/>
        <w:numPr>
          <w:ilvl w:val="0"/>
          <w:numId w:val="0"/>
        </w:numPr>
        <w:spacing w:after="260" w:line="240" w:lineRule="auto"/>
        <w:ind w:left="720"/>
      </w:pPr>
      <w:r>
        <w:t>(</w:t>
      </w:r>
      <w:r w:rsidR="005D2282">
        <w:t>c</w:t>
      </w:r>
      <w:r>
        <w:t>)</w:t>
      </w:r>
      <w:r>
        <w:tab/>
      </w:r>
      <w:r w:rsidR="008575E3">
        <w:t>For the</w:t>
      </w:r>
      <w:r w:rsidRPr="00C74518" w:rsidR="00C74518">
        <w:t xml:space="preserve"> Reliability Standard PRC-025-2 phased-in implementation </w:t>
      </w:r>
      <w:r w:rsidR="008575E3">
        <w:t xml:space="preserve">of </w:t>
      </w:r>
      <w:r w:rsidRPr="00C74518" w:rsidR="00C74518">
        <w:t>Attachment 1: Relay Settings, Table 1 Options 5b, 14b, 15b, and 16b</w:t>
      </w:r>
      <w:r w:rsidR="008575E3">
        <w:t xml:space="preserve">, </w:t>
      </w:r>
      <w:r w:rsidR="00100448">
        <w:t>NERC seeks to extend</w:t>
      </w:r>
      <w:r w:rsidDel="00100448" w:rsidR="00100448">
        <w:t xml:space="preserve"> </w:t>
      </w:r>
      <w:r w:rsidR="008575E3">
        <w:t xml:space="preserve">the implementation date by six months from the currently </w:t>
      </w:r>
      <w:proofErr w:type="gramStart"/>
      <w:r w:rsidR="008575E3">
        <w:t>scheduled</w:t>
      </w:r>
      <w:r w:rsidRPr="00C74518" w:rsidR="00C74518">
        <w:t xml:space="preserve"> </w:t>
      </w:r>
      <w:r w:rsidR="00487576">
        <w:t xml:space="preserve"> </w:t>
      </w:r>
      <w:r w:rsidRPr="00C74518" w:rsidR="00C74518">
        <w:t>July</w:t>
      </w:r>
      <w:proofErr w:type="gramEnd"/>
      <w:r w:rsidRPr="00C74518" w:rsidR="00C74518">
        <w:t xml:space="preserve"> 1, 2020</w:t>
      </w:r>
      <w:r w:rsidR="008575E3">
        <w:t xml:space="preserve"> compliance date to January 1, 2021</w:t>
      </w:r>
      <w:r w:rsidRPr="00C74518" w:rsidR="00C74518">
        <w:t xml:space="preserve">.  </w:t>
      </w:r>
    </w:p>
    <w:p w:rsidR="005D2282" w:rsidP="009416E1" w:rsidRDefault="005D2282">
      <w:pPr>
        <w:pStyle w:val="FERCparanumber"/>
        <w:numPr>
          <w:ilvl w:val="0"/>
          <w:numId w:val="0"/>
        </w:numPr>
        <w:spacing w:after="260" w:line="240" w:lineRule="auto"/>
        <w:ind w:left="720"/>
      </w:pPr>
      <w:r>
        <w:t>(d)</w:t>
      </w:r>
      <w:r>
        <w:tab/>
      </w:r>
      <w:r w:rsidRPr="00C74518">
        <w:t xml:space="preserve">For Reliability Standards PER-006-1 and PRC-027-1 and the associated new and revised NERC Glossary definitions, </w:t>
      </w:r>
      <w:r w:rsidR="00100448">
        <w:t>NERC seeks to extend</w:t>
      </w:r>
      <w:r w:rsidRPr="00C74518" w:rsidDel="00100448" w:rsidR="00100448">
        <w:t xml:space="preserve"> </w:t>
      </w:r>
      <w:r w:rsidRPr="00C74518">
        <w:t xml:space="preserve">the implementation </w:t>
      </w:r>
      <w:r>
        <w:t xml:space="preserve">of these standards </w:t>
      </w:r>
      <w:r w:rsidRPr="00C74518">
        <w:t>by six months, from the currently scheduled October 1, 2020 effective date to April 1, 2021</w:t>
      </w:r>
      <w:r>
        <w:t>.</w:t>
      </w:r>
    </w:p>
    <w:p w:rsidR="00B642A9" w:rsidP="002F3D99" w:rsidRDefault="00B642A9">
      <w:pPr>
        <w:pStyle w:val="FERCparanumber"/>
        <w:spacing w:after="260" w:line="240" w:lineRule="auto"/>
      </w:pPr>
      <w:r w:rsidRPr="00B642A9">
        <w:t>NERC states that it filed its motion to help ensure grid reliability amid the impacts posed by COVID-19.</w:t>
      </w:r>
      <w:r w:rsidRPr="00B642A9">
        <w:rPr>
          <w:rStyle w:val="FootnoteReference"/>
        </w:rPr>
        <w:footnoteReference w:id="5"/>
      </w:r>
      <w:r w:rsidRPr="00B642A9">
        <w:t xml:space="preserve">  NERC notes that the Commission and NERC have taken steps in recognition of the “critical importance of the reliability of the nation’s energy sector and the steps that registered entities are taking to maintain the health and safety of their workforce and communities.”</w:t>
      </w:r>
      <w:r w:rsidRPr="00B642A9">
        <w:rPr>
          <w:rStyle w:val="FootnoteReference"/>
        </w:rPr>
        <w:footnoteReference w:id="6"/>
      </w:r>
      <w:r>
        <w:t xml:space="preserve">  </w:t>
      </w:r>
      <w:r w:rsidDel="00D33ACD" w:rsidR="002F3D99">
        <w:t xml:space="preserve">NERC </w:t>
      </w:r>
      <w:r w:rsidDel="00D33ACD" w:rsidR="001D303F">
        <w:t>asserts that delaying the implementation</w:t>
      </w:r>
      <w:r w:rsidDel="00D33ACD" w:rsidR="00D91227">
        <w:t xml:space="preserve"> of</w:t>
      </w:r>
      <w:r w:rsidDel="00D33ACD" w:rsidR="001D303F">
        <w:t xml:space="preserve"> these Reliability Standards is consistent with the actions taken by the Commission and NERC to address </w:t>
      </w:r>
      <w:r w:rsidDel="00D33ACD" w:rsidR="00D91227">
        <w:t xml:space="preserve">the </w:t>
      </w:r>
      <w:r w:rsidDel="00D33ACD" w:rsidR="001D303F">
        <w:t>impacts of COVID-19.</w:t>
      </w:r>
      <w:r>
        <w:rPr>
          <w:rStyle w:val="FootnoteReference"/>
        </w:rPr>
        <w:footnoteReference w:id="7"/>
      </w:r>
      <w:r w:rsidDel="00D33ACD" w:rsidR="001D303F">
        <w:t xml:space="preserve">  </w:t>
      </w:r>
    </w:p>
    <w:p w:rsidRPr="00C74518" w:rsidR="002F3D99" w:rsidP="002F3D99" w:rsidRDefault="00B642A9">
      <w:pPr>
        <w:pStyle w:val="FERCparanumber"/>
        <w:spacing w:after="260" w:line="240" w:lineRule="auto"/>
      </w:pPr>
      <w:r>
        <w:t xml:space="preserve">NERC asserts that its motion is in the public interest and would not adversely impact reliability.  </w:t>
      </w:r>
      <w:r w:rsidR="001D303F">
        <w:t>NERC explains</w:t>
      </w:r>
      <w:r w:rsidR="00051B41">
        <w:t xml:space="preserve">, in order to establish compliance with these Reliability Standards, registered entities would need to expend significant effort and resources in the coming months towards establishing and implementing processes and procedures, conducting the required coordination, and establishing documentation of compliance.  </w:t>
      </w:r>
      <w:r w:rsidR="001D303F">
        <w:t xml:space="preserve"> </w:t>
      </w:r>
      <w:r w:rsidRPr="00975FAF" w:rsidR="001C207F">
        <w:rPr>
          <w:szCs w:val="26"/>
        </w:rPr>
        <w:t xml:space="preserve">NERC </w:t>
      </w:r>
      <w:r w:rsidRPr="00975FAF" w:rsidR="003627A7">
        <w:rPr>
          <w:szCs w:val="26"/>
        </w:rPr>
        <w:t>states</w:t>
      </w:r>
      <w:r w:rsidRPr="00975FAF" w:rsidR="001C207F">
        <w:rPr>
          <w:szCs w:val="26"/>
        </w:rPr>
        <w:t xml:space="preserve"> that “[b]y providing for additional time and flexibility to establish compliance with new obligations, entities could continue to focus their immediate efforts and resources on maintaining the safety of their workforces and communities and ensuring the reliability of the grid during this public health emergency.”</w:t>
      </w:r>
      <w:r w:rsidR="00975FAF">
        <w:rPr>
          <w:rStyle w:val="FootnoteReference"/>
          <w:szCs w:val="26"/>
        </w:rPr>
        <w:footnoteReference w:id="8"/>
      </w:r>
      <w:r w:rsidRPr="00975FAF" w:rsidR="001C207F">
        <w:rPr>
          <w:szCs w:val="26"/>
        </w:rPr>
        <w:t xml:space="preserve">  </w:t>
      </w:r>
    </w:p>
    <w:p w:rsidRPr="00C74518" w:rsidR="00C74518" w:rsidP="006923C8" w:rsidRDefault="00C74518">
      <w:pPr>
        <w:pStyle w:val="Heading1"/>
        <w:widowControl w:val="0"/>
        <w:spacing w:after="260"/>
      </w:pPr>
      <w:r w:rsidRPr="00C74518">
        <w:lastRenderedPageBreak/>
        <w:t>Notice</w:t>
      </w:r>
      <w:r w:rsidR="00D70E81">
        <w:t xml:space="preserve"> of Filing,</w:t>
      </w:r>
      <w:r w:rsidRPr="00C74518">
        <w:t xml:space="preserve"> </w:t>
      </w:r>
      <w:r w:rsidR="00D70E81">
        <w:t>Interventions and Answers</w:t>
      </w:r>
      <w:r w:rsidRPr="00C74518">
        <w:t xml:space="preserve"> </w:t>
      </w:r>
    </w:p>
    <w:p w:rsidR="00C74518" w:rsidP="00696595" w:rsidRDefault="00C74518">
      <w:pPr>
        <w:pStyle w:val="FERCparanumber"/>
        <w:spacing w:after="260" w:line="240" w:lineRule="auto"/>
      </w:pPr>
      <w:bookmarkStart w:name="_Hlk37232718" w:id="4"/>
      <w:r w:rsidRPr="00C74518">
        <w:t xml:space="preserve">Notice of NERC’s </w:t>
      </w:r>
      <w:r w:rsidR="00D64144">
        <w:t>f</w:t>
      </w:r>
      <w:r w:rsidRPr="00C74518">
        <w:t xml:space="preserve">iling was issued on </w:t>
      </w:r>
      <w:r>
        <w:t>April 6, 2020</w:t>
      </w:r>
      <w:r w:rsidRPr="00C74518">
        <w:t xml:space="preserve"> with </w:t>
      </w:r>
      <w:r w:rsidR="008240EF">
        <w:t>answers or protests</w:t>
      </w:r>
      <w:r w:rsidRPr="00C74518" w:rsidR="008240EF">
        <w:t xml:space="preserve"> </w:t>
      </w:r>
      <w:r w:rsidRPr="00C74518">
        <w:t xml:space="preserve">due on or before </w:t>
      </w:r>
      <w:r>
        <w:t>April 9, 2020</w:t>
      </w:r>
      <w:r w:rsidRPr="00F4441D">
        <w:t xml:space="preserve">.  </w:t>
      </w:r>
      <w:bookmarkStart w:name="_Hlk37249414" w:id="5"/>
      <w:bookmarkEnd w:id="4"/>
      <w:r w:rsidRPr="00696595" w:rsidR="00F4441D">
        <w:rPr>
          <w:szCs w:val="26"/>
        </w:rPr>
        <w:t>Reliable Energy Analytics LLC, t</w:t>
      </w:r>
      <w:r w:rsidRPr="00696595" w:rsidR="00D64144">
        <w:rPr>
          <w:szCs w:val="26"/>
        </w:rPr>
        <w:t>he ISO/RTO Council</w:t>
      </w:r>
      <w:r w:rsidRPr="00696595" w:rsidR="00F4441D">
        <w:rPr>
          <w:szCs w:val="26"/>
        </w:rPr>
        <w:t>,</w:t>
      </w:r>
      <w:r w:rsidRPr="00F4441D" w:rsidR="007A68F6">
        <w:t xml:space="preserve"> and </w:t>
      </w:r>
      <w:r w:rsidRPr="00696595" w:rsidR="00F4441D">
        <w:rPr>
          <w:szCs w:val="26"/>
        </w:rPr>
        <w:t>the Joint Associations</w:t>
      </w:r>
      <w:r w:rsidR="00017E78">
        <w:rPr>
          <w:rStyle w:val="FootnoteReference"/>
          <w:szCs w:val="26"/>
        </w:rPr>
        <w:footnoteReference w:id="9"/>
      </w:r>
      <w:r w:rsidRPr="00696595" w:rsidR="00F4441D">
        <w:rPr>
          <w:szCs w:val="26"/>
        </w:rPr>
        <w:t xml:space="preserve"> </w:t>
      </w:r>
      <w:r w:rsidRPr="00696595" w:rsidR="00AD389D">
        <w:rPr>
          <w:szCs w:val="26"/>
        </w:rPr>
        <w:t xml:space="preserve">filed </w:t>
      </w:r>
      <w:r w:rsidRPr="00696595" w:rsidR="00D64144">
        <w:rPr>
          <w:szCs w:val="26"/>
        </w:rPr>
        <w:t xml:space="preserve">timely </w:t>
      </w:r>
      <w:r w:rsidRPr="00696595" w:rsidR="00F4441D">
        <w:rPr>
          <w:szCs w:val="26"/>
        </w:rPr>
        <w:t xml:space="preserve">answers </w:t>
      </w:r>
      <w:r w:rsidRPr="00696595" w:rsidR="00D64144">
        <w:rPr>
          <w:szCs w:val="26"/>
        </w:rPr>
        <w:t xml:space="preserve">in support of NERC’s </w:t>
      </w:r>
      <w:r w:rsidRPr="00696595" w:rsidR="008240EF">
        <w:rPr>
          <w:szCs w:val="26"/>
        </w:rPr>
        <w:t>proposal</w:t>
      </w:r>
      <w:bookmarkEnd w:id="5"/>
      <w:r w:rsidRPr="00C74518">
        <w:t xml:space="preserve">, as described in NERC’s filing. </w:t>
      </w:r>
      <w:r w:rsidR="00696595">
        <w:t xml:space="preserve"> Commenters agree with NERC that the </w:t>
      </w:r>
      <w:r w:rsidRPr="00696595" w:rsidR="00696595">
        <w:t xml:space="preserve">added flexibility provided by </w:t>
      </w:r>
      <w:r w:rsidR="00696595">
        <w:t>the</w:t>
      </w:r>
      <w:r w:rsidRPr="00696595" w:rsidR="00696595">
        <w:t xml:space="preserve"> delay</w:t>
      </w:r>
      <w:r w:rsidR="00696595">
        <w:t>s</w:t>
      </w:r>
      <w:r w:rsidRPr="00696595" w:rsidR="00696595">
        <w:t xml:space="preserve"> would allow registered entities to recover from the impacts of the COVID-19 outbreak before implementing new controls and processes.</w:t>
      </w:r>
      <w:r w:rsidR="00696595">
        <w:rPr>
          <w:rStyle w:val="FootnoteReference"/>
        </w:rPr>
        <w:footnoteReference w:id="10"/>
      </w:r>
      <w:r w:rsidRPr="00696595" w:rsidR="00696595">
        <w:t xml:space="preserve">  </w:t>
      </w:r>
    </w:p>
    <w:p w:rsidR="00686B9F" w:rsidP="00696595" w:rsidRDefault="00686B9F">
      <w:pPr>
        <w:pStyle w:val="FERCparanumber"/>
        <w:spacing w:after="260" w:line="240" w:lineRule="auto"/>
      </w:pPr>
      <w:r w:rsidRPr="00686B9F">
        <w:t>Protect Our Power</w:t>
      </w:r>
      <w:r w:rsidR="00356641">
        <w:t xml:space="preserve"> filed an </w:t>
      </w:r>
      <w:r w:rsidR="0031166F">
        <w:t>out-of-time</w:t>
      </w:r>
      <w:r w:rsidR="00356641">
        <w:t xml:space="preserve"> answer</w:t>
      </w:r>
      <w:r w:rsidR="00EA7738">
        <w:t xml:space="preserve">, suggesting that the Commission grant a shorter (i.e., 30-day) extension for </w:t>
      </w:r>
      <w:r w:rsidR="000E02CF">
        <w:t xml:space="preserve">Reliability Standard </w:t>
      </w:r>
      <w:r w:rsidR="00EA7738">
        <w:t xml:space="preserve">CIP-013-1 because </w:t>
      </w:r>
      <w:r w:rsidRPr="00686B9F" w:rsidR="00EA7738">
        <w:t>of the critical nature of the utility industry supply chain and that many or most utilities may already be prepared to comply by the current July 1 deadline.</w:t>
      </w:r>
      <w:r w:rsidRPr="00686B9F" w:rsidR="00EA7738">
        <w:rPr>
          <w:b/>
          <w:vertAlign w:val="superscript"/>
        </w:rPr>
        <w:footnoteReference w:id="11"/>
      </w:r>
      <w:r w:rsidRPr="00686B9F" w:rsidR="00EA7738">
        <w:t xml:space="preserve">  </w:t>
      </w:r>
      <w:r w:rsidRPr="00686B9F">
        <w:t xml:space="preserve">Michael </w:t>
      </w:r>
      <w:proofErr w:type="spellStart"/>
      <w:r w:rsidRPr="00686B9F">
        <w:t>Mabee</w:t>
      </w:r>
      <w:proofErr w:type="spellEnd"/>
      <w:r w:rsidR="00356641">
        <w:t xml:space="preserve"> </w:t>
      </w:r>
      <w:r w:rsidR="00EA7738">
        <w:t>(</w:t>
      </w:r>
      <w:proofErr w:type="spellStart"/>
      <w:r w:rsidR="00EA7738">
        <w:t>Mabee</w:t>
      </w:r>
      <w:proofErr w:type="spellEnd"/>
      <w:r w:rsidR="00EA7738">
        <w:t xml:space="preserve">) </w:t>
      </w:r>
      <w:r w:rsidR="00356641">
        <w:t>filed</w:t>
      </w:r>
      <w:r w:rsidRPr="00686B9F">
        <w:t xml:space="preserve"> </w:t>
      </w:r>
      <w:r w:rsidRPr="00686B9F" w:rsidR="00356641">
        <w:t>a</w:t>
      </w:r>
      <w:r w:rsidR="0031166F">
        <w:t>n out-of-time</w:t>
      </w:r>
      <w:r w:rsidRPr="00686B9F" w:rsidR="00356641">
        <w:t xml:space="preserve"> protest</w:t>
      </w:r>
      <w:r w:rsidR="00EA7738">
        <w:t>, asserting that</w:t>
      </w:r>
      <w:r w:rsidRPr="00686B9F" w:rsidR="00EA7738">
        <w:t xml:space="preserve"> a pandemic was not unexpected and “the industry should have been prepared.”</w:t>
      </w:r>
      <w:r w:rsidRPr="00686B9F" w:rsidR="00EA7738">
        <w:rPr>
          <w:b/>
          <w:vertAlign w:val="superscript"/>
        </w:rPr>
        <w:footnoteReference w:id="12"/>
      </w:r>
      <w:r w:rsidR="00356641">
        <w:t xml:space="preserve">  </w:t>
      </w:r>
    </w:p>
    <w:p w:rsidRPr="00C74518" w:rsidR="00C74518" w:rsidP="00B30B6A" w:rsidRDefault="00C74518">
      <w:pPr>
        <w:pStyle w:val="Heading1"/>
        <w:widowControl w:val="0"/>
        <w:spacing w:before="260" w:after="260"/>
      </w:pPr>
      <w:r w:rsidRPr="00C74518">
        <w:t xml:space="preserve">Procedural Matters </w:t>
      </w:r>
    </w:p>
    <w:p w:rsidR="007147A7" w:rsidP="006923C8" w:rsidRDefault="00C74518">
      <w:pPr>
        <w:pStyle w:val="FERCparanumber"/>
        <w:spacing w:after="260" w:line="240" w:lineRule="auto"/>
      </w:pPr>
      <w:r w:rsidRPr="00C74518">
        <w:t xml:space="preserve">The unopposed motions to intervene are granted pursuant to the operation of </w:t>
      </w:r>
      <w:r w:rsidR="00487576">
        <w:t xml:space="preserve">  </w:t>
      </w:r>
      <w:r w:rsidRPr="00C74518">
        <w:t>Rule 214 of the Commission</w:t>
      </w:r>
      <w:r w:rsidR="00740686">
        <w:t>’</w:t>
      </w:r>
      <w:r w:rsidRPr="00C74518">
        <w:t xml:space="preserve">s Rules of Practice and Procedure, </w:t>
      </w:r>
      <w:hyperlink w:history="1" r:id="rId12">
        <w:r w:rsidRPr="00C74518">
          <w:t>18 C.F.R. § 385.214 (201</w:t>
        </w:r>
        <w:r>
          <w:t>9</w:t>
        </w:r>
        <w:r w:rsidRPr="00C74518">
          <w:t>)</w:t>
        </w:r>
      </w:hyperlink>
      <w:r w:rsidRPr="00C74518">
        <w:t xml:space="preserve">. </w:t>
      </w:r>
    </w:p>
    <w:p w:rsidRPr="00C74518" w:rsidR="008240EF" w:rsidP="006923C8" w:rsidRDefault="00740686">
      <w:pPr>
        <w:pStyle w:val="FERCparanumber"/>
        <w:spacing w:after="260" w:line="240" w:lineRule="auto"/>
      </w:pPr>
      <w:r>
        <w:t>P</w:t>
      </w:r>
      <w:r w:rsidR="007147A7">
        <w:t>ursuant to Rule 21</w:t>
      </w:r>
      <w:r w:rsidR="00540CE8">
        <w:t>3</w:t>
      </w:r>
      <w:r w:rsidR="007147A7">
        <w:t xml:space="preserve"> of the Commission’s Rules of Practice and </w:t>
      </w:r>
      <w:proofErr w:type="gramStart"/>
      <w:r w:rsidR="007147A7">
        <w:t xml:space="preserve">Procedure, </w:t>
      </w:r>
      <w:r w:rsidR="00487576">
        <w:t xml:space="preserve">  </w:t>
      </w:r>
      <w:proofErr w:type="gramEnd"/>
      <w:r w:rsidR="00487576">
        <w:t xml:space="preserve">     </w:t>
      </w:r>
      <w:r w:rsidR="007147A7">
        <w:t>18 C.F.R. §385.21</w:t>
      </w:r>
      <w:r w:rsidR="00540CE8">
        <w:t>3</w:t>
      </w:r>
      <w:r w:rsidR="007147A7">
        <w:t xml:space="preserve"> (2019)</w:t>
      </w:r>
      <w:r>
        <w:t xml:space="preserve">, we reject the out-of-time </w:t>
      </w:r>
      <w:r w:rsidRPr="009E1DE1">
        <w:t>answer and protest</w:t>
      </w:r>
      <w:r w:rsidRPr="009E1DE1" w:rsidR="007147A7">
        <w:t>.</w:t>
      </w:r>
      <w:r w:rsidRPr="009E1DE1" w:rsidR="00B30B6A">
        <w:rPr>
          <w:rStyle w:val="FootnoteReference"/>
        </w:rPr>
        <w:footnoteReference w:id="13"/>
      </w:r>
      <w:r w:rsidRPr="00C74518" w:rsidR="00C74518">
        <w:t xml:space="preserve"> </w:t>
      </w:r>
    </w:p>
    <w:p w:rsidRPr="004238BE" w:rsidR="00933E94" w:rsidP="006923C8" w:rsidRDefault="00933E94">
      <w:pPr>
        <w:pStyle w:val="Heading1"/>
        <w:widowControl w:val="0"/>
        <w:spacing w:after="260"/>
      </w:pPr>
      <w:r w:rsidRPr="004238BE">
        <w:lastRenderedPageBreak/>
        <w:t>Discussion</w:t>
      </w:r>
    </w:p>
    <w:p w:rsidR="00374C93" w:rsidRDefault="00051B41">
      <w:pPr>
        <w:pStyle w:val="FERCparanumber"/>
        <w:spacing w:after="260" w:line="240" w:lineRule="auto"/>
      </w:pPr>
      <w:bookmarkStart w:name="_GoBack" w:id="6"/>
      <w:r>
        <w:t>We</w:t>
      </w:r>
      <w:r w:rsidRPr="004238BE" w:rsidR="000673E5">
        <w:t xml:space="preserve"> </w:t>
      </w:r>
      <w:r w:rsidR="00374C93">
        <w:t>grant</w:t>
      </w:r>
      <w:r w:rsidRPr="004238BE" w:rsidR="00374C93">
        <w:t xml:space="preserve"> </w:t>
      </w:r>
      <w:r>
        <w:t xml:space="preserve">NERC’s motion and defer </w:t>
      </w:r>
      <w:r w:rsidR="00ED6209">
        <w:t>the i</w:t>
      </w:r>
      <w:r w:rsidR="00842CA5">
        <w:t xml:space="preserve">mplementation </w:t>
      </w:r>
      <w:r w:rsidR="00ED6209">
        <w:t xml:space="preserve">of </w:t>
      </w:r>
      <w:r w:rsidR="00842CA5">
        <w:t xml:space="preserve">Reliability Standards CIP-005-6, CIP-010-3, and CIP-013-1 by three months, </w:t>
      </w:r>
      <w:r w:rsidR="00ED6209">
        <w:t>and the implementation of Reliability Standards</w:t>
      </w:r>
      <w:r w:rsidRPr="00FC2565" w:rsidR="00ED6209">
        <w:t xml:space="preserve"> PER-006-1</w:t>
      </w:r>
      <w:r w:rsidR="00374C93">
        <w:t>,</w:t>
      </w:r>
      <w:r w:rsidRPr="00FC2565" w:rsidR="00ED6209">
        <w:t xml:space="preserve"> PRC-002-2</w:t>
      </w:r>
      <w:r w:rsidR="00374C93">
        <w:t>,</w:t>
      </w:r>
      <w:r w:rsidRPr="00FC2565" w:rsidR="00ED6209">
        <w:t xml:space="preserve"> PRC-025-2</w:t>
      </w:r>
      <w:r w:rsidR="00374C93">
        <w:t>,</w:t>
      </w:r>
      <w:r w:rsidR="00ED6209">
        <w:t xml:space="preserve"> </w:t>
      </w:r>
      <w:r w:rsidRPr="00FC2565" w:rsidR="00ED6209">
        <w:t>and PRC-027-1</w:t>
      </w:r>
      <w:r w:rsidR="00ED6209">
        <w:t xml:space="preserve"> by six months.</w:t>
      </w:r>
      <w:r w:rsidR="00842CA5">
        <w:t xml:space="preserve"> </w:t>
      </w:r>
      <w:r w:rsidR="00ED6209">
        <w:t xml:space="preserve"> </w:t>
      </w:r>
      <w:r w:rsidR="006923C8">
        <w:t xml:space="preserve">We </w:t>
      </w:r>
      <w:r w:rsidR="00ED6209">
        <w:t xml:space="preserve">are persuaded </w:t>
      </w:r>
      <w:r>
        <w:t xml:space="preserve">by NERC’s statement that granting this motion will </w:t>
      </w:r>
      <w:r w:rsidR="0083551A">
        <w:t>allow</w:t>
      </w:r>
      <w:r>
        <w:t xml:space="preserve"> registered entities </w:t>
      </w:r>
      <w:r w:rsidR="0083551A">
        <w:t xml:space="preserve">to focus their immediate efforts and resources on maintaining safety and ensuring the reliability of the grid.  </w:t>
      </w:r>
      <w:bookmarkEnd w:id="6"/>
      <w:r w:rsidR="0083551A">
        <w:t xml:space="preserve">Accordingly, we find </w:t>
      </w:r>
      <w:r w:rsidR="00ED6209">
        <w:t>that</w:t>
      </w:r>
      <w:r w:rsidR="006923C8">
        <w:t xml:space="preserve"> </w:t>
      </w:r>
      <w:r w:rsidR="00ED6209">
        <w:t xml:space="preserve">the deferred implementation dates </w:t>
      </w:r>
      <w:r w:rsidR="00374C93">
        <w:t>constitute</w:t>
      </w:r>
      <w:r w:rsidR="00ED6209">
        <w:t xml:space="preserve"> a reasonable</w:t>
      </w:r>
      <w:r w:rsidR="00374C93">
        <w:t xml:space="preserve"> and proportionate</w:t>
      </w:r>
      <w:r w:rsidR="00ED6209">
        <w:t xml:space="preserve"> response to the</w:t>
      </w:r>
      <w:r w:rsidR="00374C93">
        <w:t xml:space="preserve"> substantial</w:t>
      </w:r>
      <w:r w:rsidR="00ED6209">
        <w:t xml:space="preserve"> impacts of the COVID-19 pandemic</w:t>
      </w:r>
      <w:r w:rsidR="00374C93">
        <w:t xml:space="preserve"> on registered entities without unduly delaying the implementation of these Reliability Standards.  </w:t>
      </w:r>
    </w:p>
    <w:p w:rsidR="00017E78" w:rsidP="00017E78" w:rsidRDefault="00017E78">
      <w:pPr>
        <w:pStyle w:val="FERCparanumber"/>
        <w:spacing w:after="260" w:line="240" w:lineRule="auto"/>
      </w:pPr>
      <w:bookmarkStart w:name="_Hlk37675286" w:id="7"/>
      <w:r w:rsidRPr="00CF6B72">
        <w:t>The Reliability Standards that are the subject of this order are important for ensuring the security and reliability of the grid.  We recognize that registered entities have likely already taken significant steps to ensure the effective and timely implementation of these Reliability Standards, and we encourage them to continue doing so.  Nevertheless, it is now necessary to balance the important role these NERC Reliability Standards play in protecting the reliability and security of the Bulk-Power System with the need for registered entities to respond to the immediate challenges of COVID-19.  Therefore, we expect entities to continue their work in implementing the standards and to take advantage of the additional time to ensure they are fully compliant with these Reliability Standards when they become enforceable</w:t>
      </w:r>
      <w:r>
        <w:t>.</w:t>
      </w:r>
    </w:p>
    <w:bookmarkEnd w:id="7"/>
    <w:p w:rsidR="00842CA5" w:rsidP="006923C8" w:rsidRDefault="005E6B88">
      <w:pPr>
        <w:pStyle w:val="FERCparanumber"/>
        <w:numPr>
          <w:ilvl w:val="0"/>
          <w:numId w:val="0"/>
        </w:numPr>
        <w:spacing w:after="260" w:line="240" w:lineRule="auto"/>
        <w:rPr>
          <w:u w:val="single"/>
        </w:rPr>
      </w:pPr>
      <w:r>
        <w:rPr>
          <w:u w:val="single"/>
        </w:rPr>
        <w:t>The Commission orders:</w:t>
      </w:r>
    </w:p>
    <w:p w:rsidRPr="00842CA5" w:rsidR="005E6B88" w:rsidP="006923C8" w:rsidRDefault="00842CA5">
      <w:pPr>
        <w:pStyle w:val="FERCparanumber"/>
        <w:numPr>
          <w:ilvl w:val="0"/>
          <w:numId w:val="0"/>
        </w:numPr>
        <w:spacing w:after="260" w:line="240" w:lineRule="auto"/>
        <w:rPr>
          <w:u w:val="single"/>
        </w:rPr>
      </w:pPr>
      <w:r w:rsidRPr="00842CA5">
        <w:tab/>
      </w:r>
      <w:r w:rsidRPr="000C1B4B" w:rsidR="005E6B88">
        <w:t>T</w:t>
      </w:r>
      <w:r w:rsidR="005E6B88">
        <w:t xml:space="preserve">he Commission hereby </w:t>
      </w:r>
      <w:r w:rsidR="00374C93">
        <w:t xml:space="preserve">grants </w:t>
      </w:r>
      <w:r w:rsidR="005E6B88">
        <w:t xml:space="preserve">NERC’s </w:t>
      </w:r>
      <w:r w:rsidR="00374C93">
        <w:t>motion to defer</w:t>
      </w:r>
      <w:r>
        <w:t xml:space="preserve"> the implementation dates of certain Reliability Standards</w:t>
      </w:r>
      <w:r w:rsidR="00374C93">
        <w:t>,</w:t>
      </w:r>
      <w:r>
        <w:t xml:space="preserve"> as</w:t>
      </w:r>
      <w:r w:rsidR="005E6B88">
        <w:t xml:space="preserve"> discussed in the body of this order. </w:t>
      </w:r>
    </w:p>
    <w:p w:rsidR="005E6B88" w:rsidP="006923C8" w:rsidRDefault="005E6B88">
      <w:pPr>
        <w:pStyle w:val="FERCparanumber"/>
        <w:numPr>
          <w:ilvl w:val="0"/>
          <w:numId w:val="0"/>
        </w:numPr>
        <w:spacing w:after="260" w:line="240" w:lineRule="auto"/>
      </w:pPr>
      <w:r>
        <w:t>By the Commission.</w:t>
      </w:r>
    </w:p>
    <w:p w:rsidR="005E6B88" w:rsidP="009F3B0F" w:rsidRDefault="009F3B0F">
      <w:pPr>
        <w:pStyle w:val="FERCparanumber"/>
        <w:numPr>
          <w:ilvl w:val="0"/>
          <w:numId w:val="0"/>
        </w:numPr>
        <w:spacing w:line="240" w:lineRule="auto"/>
      </w:pPr>
      <w:proofErr w:type="gramStart"/>
      <w:r w:rsidRPr="009F3B0F">
        <w:t>( S</w:t>
      </w:r>
      <w:proofErr w:type="gramEnd"/>
      <w:r w:rsidRPr="009F3B0F">
        <w:t xml:space="preserve"> E A L )</w:t>
      </w:r>
    </w:p>
    <w:p w:rsidR="009F3B0F" w:rsidP="009F3B0F" w:rsidRDefault="009F3B0F">
      <w:pPr>
        <w:pStyle w:val="FERCparanumber"/>
        <w:numPr>
          <w:ilvl w:val="0"/>
          <w:numId w:val="0"/>
        </w:numPr>
        <w:spacing w:line="240" w:lineRule="auto"/>
      </w:pPr>
    </w:p>
    <w:p w:rsidR="009F3B0F" w:rsidP="009F3B0F" w:rsidRDefault="009F3B0F">
      <w:pPr>
        <w:pStyle w:val="FERCparanumber"/>
        <w:numPr>
          <w:ilvl w:val="0"/>
          <w:numId w:val="0"/>
        </w:numPr>
        <w:spacing w:line="240" w:lineRule="auto"/>
      </w:pPr>
    </w:p>
    <w:p w:rsidR="009F3B0F" w:rsidP="009F3B0F" w:rsidRDefault="009F3B0F">
      <w:pPr>
        <w:pStyle w:val="FERCparanumber"/>
        <w:numPr>
          <w:ilvl w:val="0"/>
          <w:numId w:val="0"/>
        </w:numPr>
        <w:spacing w:line="240" w:lineRule="auto"/>
      </w:pPr>
    </w:p>
    <w:p w:rsidRPr="009F3B0F" w:rsidR="009F3B0F" w:rsidP="009F3B0F" w:rsidRDefault="009F3B0F">
      <w:pPr>
        <w:widowControl/>
        <w:ind w:firstLine="2606"/>
        <w:jc w:val="center"/>
      </w:pPr>
      <w:r w:rsidRPr="009F3B0F">
        <w:t>Nathaniel J. Davis, Sr.,</w:t>
      </w:r>
    </w:p>
    <w:p w:rsidRPr="004238BE" w:rsidR="009F3B0F" w:rsidP="009F3B0F" w:rsidRDefault="009F3B0F">
      <w:pPr>
        <w:widowControl/>
        <w:ind w:firstLine="2606"/>
        <w:jc w:val="center"/>
      </w:pPr>
      <w:r w:rsidRPr="009F3B0F">
        <w:t>Deputy Secretary.</w:t>
      </w:r>
    </w:p>
    <w:sectPr w:rsidRPr="004238BE" w:rsidR="009F3B0F" w:rsidSect="009F3B0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78A" w:rsidRDefault="002A178A" w:rsidP="0048020B">
      <w:r>
        <w:separator/>
      </w:r>
    </w:p>
  </w:endnote>
  <w:endnote w:type="continuationSeparator" w:id="0">
    <w:p w:rsidR="002A178A" w:rsidRDefault="002A178A" w:rsidP="0048020B">
      <w:r>
        <w:continuationSeparator/>
      </w:r>
    </w:p>
  </w:endnote>
  <w:endnote w:type="continuationNotice" w:id="1">
    <w:p w:rsidR="002A178A" w:rsidRDefault="002A1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576" w:rsidRDefault="00487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576" w:rsidRDefault="00487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576" w:rsidRDefault="00487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78A" w:rsidRDefault="002A178A" w:rsidP="0048020B">
      <w:r>
        <w:separator/>
      </w:r>
    </w:p>
  </w:footnote>
  <w:footnote w:type="continuationSeparator" w:id="0">
    <w:p w:rsidR="002A178A" w:rsidRDefault="002A178A" w:rsidP="0048020B">
      <w:r>
        <w:continuationSeparator/>
      </w:r>
    </w:p>
  </w:footnote>
  <w:footnote w:type="continuationNotice" w:id="1">
    <w:p w:rsidR="002A178A" w:rsidRPr="005D2A79" w:rsidRDefault="002A178A" w:rsidP="005D2A79">
      <w:pPr>
        <w:pStyle w:val="Footer"/>
      </w:pPr>
    </w:p>
  </w:footnote>
  <w:footnote w:id="2">
    <w:p w:rsidR="002D4C5B" w:rsidRDefault="002D4C5B" w:rsidP="002D4C5B">
      <w:pPr>
        <w:pStyle w:val="FootnoteText"/>
      </w:pPr>
      <w:r>
        <w:rPr>
          <w:rStyle w:val="FootnoteReference"/>
        </w:rPr>
        <w:footnoteRef/>
      </w:r>
      <w:r>
        <w:t xml:space="preserve"> 16 U.S.C. § 824o (2018).</w:t>
      </w:r>
    </w:p>
  </w:footnote>
  <w:footnote w:id="3">
    <w:p w:rsidR="006D4A48" w:rsidRDefault="006D4A48">
      <w:pPr>
        <w:pStyle w:val="FootnoteText"/>
      </w:pPr>
      <w:r>
        <w:rPr>
          <w:rStyle w:val="FootnoteReference"/>
        </w:rPr>
        <w:footnoteRef/>
      </w:r>
      <w:r>
        <w:t xml:space="preserve"> </w:t>
      </w:r>
      <w:r w:rsidR="00A235A3">
        <w:rPr>
          <w:i/>
          <w:iCs/>
        </w:rPr>
        <w:t xml:space="preserve">See </w:t>
      </w:r>
      <w:r w:rsidRPr="00FD1C01">
        <w:rPr>
          <w:i/>
          <w:iCs/>
        </w:rPr>
        <w:t>Notice Granting Extension of Time</w:t>
      </w:r>
      <w:r w:rsidRPr="006D4A48">
        <w:t>, Docket No. AD20-11-000 (Mar. 19, 2020)</w:t>
      </w:r>
      <w:r w:rsidR="00D91227">
        <w:t xml:space="preserve">; </w:t>
      </w:r>
      <w:r w:rsidR="00D91227">
        <w:rPr>
          <w:i/>
          <w:iCs/>
        </w:rPr>
        <w:t>Notice of Extension of Time</w:t>
      </w:r>
      <w:r w:rsidR="00D91227">
        <w:t xml:space="preserve">, Docket No. RM19-20-000 (Apr. 2, 2020); </w:t>
      </w:r>
      <w:r w:rsidR="00D91227">
        <w:rPr>
          <w:i/>
          <w:iCs/>
        </w:rPr>
        <w:t>Notice of Extension of Time</w:t>
      </w:r>
      <w:r w:rsidR="00D91227">
        <w:t xml:space="preserve">, Docket No. RR19-7-000 (Apr. 2, 2020); </w:t>
      </w:r>
      <w:r w:rsidR="00D91227">
        <w:rPr>
          <w:i/>
          <w:iCs/>
        </w:rPr>
        <w:t>Notice of Extension of Time</w:t>
      </w:r>
      <w:r w:rsidR="00D91227">
        <w:t>, Docket No. RM20-8-000 (Apr. 2, 2020).</w:t>
      </w:r>
    </w:p>
  </w:footnote>
  <w:footnote w:id="4">
    <w:p w:rsidR="006923C8" w:rsidRDefault="006923C8">
      <w:pPr>
        <w:pStyle w:val="FootnoteText"/>
      </w:pPr>
      <w:r>
        <w:rPr>
          <w:rStyle w:val="FootnoteReference"/>
        </w:rPr>
        <w:footnoteRef/>
      </w:r>
      <w:r>
        <w:t xml:space="preserve"> NERC </w:t>
      </w:r>
      <w:r w:rsidR="00D91227">
        <w:t xml:space="preserve">Motion </w:t>
      </w:r>
      <w:r w:rsidRPr="00242D11">
        <w:t>at</w:t>
      </w:r>
      <w:r>
        <w:t xml:space="preserve"> </w:t>
      </w:r>
      <w:r w:rsidR="00242D11">
        <w:t>4</w:t>
      </w:r>
      <w:r>
        <w:t>.</w:t>
      </w:r>
    </w:p>
  </w:footnote>
  <w:footnote w:id="5">
    <w:p w:rsidR="00B642A9" w:rsidRDefault="00B642A9" w:rsidP="00B642A9">
      <w:pPr>
        <w:pStyle w:val="FootnoteText"/>
      </w:pPr>
      <w:r>
        <w:rPr>
          <w:rStyle w:val="FootnoteReference"/>
        </w:rPr>
        <w:footnoteRef/>
      </w:r>
      <w:r>
        <w:t xml:space="preserve"> </w:t>
      </w:r>
      <w:r w:rsidR="00485AB3">
        <w:rPr>
          <w:i/>
          <w:iCs/>
        </w:rPr>
        <w:t xml:space="preserve">Id. </w:t>
      </w:r>
      <w:r w:rsidR="00485AB3">
        <w:t>at</w:t>
      </w:r>
      <w:r>
        <w:t xml:space="preserve"> 2.</w:t>
      </w:r>
    </w:p>
  </w:footnote>
  <w:footnote w:id="6">
    <w:p w:rsidR="00B642A9" w:rsidRPr="00242D11" w:rsidRDefault="00B642A9" w:rsidP="00B642A9">
      <w:pPr>
        <w:pStyle w:val="FootnoteText"/>
      </w:pPr>
      <w:r>
        <w:rPr>
          <w:rStyle w:val="FootnoteReference"/>
        </w:rPr>
        <w:footnoteRef/>
      </w:r>
      <w:r>
        <w:t xml:space="preserve"> </w:t>
      </w:r>
      <w:r>
        <w:rPr>
          <w:i/>
        </w:rPr>
        <w:t>Id.</w:t>
      </w:r>
      <w:r>
        <w:t xml:space="preserve"> at 3. </w:t>
      </w:r>
    </w:p>
  </w:footnote>
  <w:footnote w:id="7">
    <w:p w:rsidR="00B642A9" w:rsidRPr="00B642A9" w:rsidRDefault="00B642A9">
      <w:pPr>
        <w:pStyle w:val="FootnoteText"/>
      </w:pPr>
      <w:r>
        <w:rPr>
          <w:rStyle w:val="FootnoteReference"/>
        </w:rPr>
        <w:footnoteRef/>
      </w:r>
      <w:r>
        <w:t xml:space="preserve"> </w:t>
      </w:r>
      <w:r>
        <w:rPr>
          <w:i/>
        </w:rPr>
        <w:t>Id.</w:t>
      </w:r>
      <w:r>
        <w:t xml:space="preserve"> at 4.</w:t>
      </w:r>
    </w:p>
  </w:footnote>
  <w:footnote w:id="8">
    <w:p w:rsidR="00975FAF" w:rsidRDefault="00975FAF">
      <w:pPr>
        <w:pStyle w:val="FootnoteText"/>
      </w:pPr>
      <w:r>
        <w:rPr>
          <w:rStyle w:val="FootnoteReference"/>
        </w:rPr>
        <w:footnoteRef/>
      </w:r>
      <w:r>
        <w:t xml:space="preserve"> </w:t>
      </w:r>
      <w:r w:rsidR="00485AB3">
        <w:rPr>
          <w:i/>
          <w:iCs/>
        </w:rPr>
        <w:t>Id.</w:t>
      </w:r>
      <w:r>
        <w:t xml:space="preserve"> at 5.</w:t>
      </w:r>
    </w:p>
  </w:footnote>
  <w:footnote w:id="9">
    <w:p w:rsidR="00017E78" w:rsidRDefault="00017E78" w:rsidP="00017E78">
      <w:pPr>
        <w:pStyle w:val="FootnoteText"/>
      </w:pPr>
      <w:r>
        <w:rPr>
          <w:rStyle w:val="FootnoteReference"/>
        </w:rPr>
        <w:footnoteRef/>
      </w:r>
      <w:r>
        <w:t xml:space="preserve"> </w:t>
      </w:r>
      <w:r w:rsidRPr="00017E78">
        <w:t>Edison Electric Institute, the American Public</w:t>
      </w:r>
      <w:r>
        <w:t xml:space="preserve"> </w:t>
      </w:r>
      <w:r w:rsidRPr="00017E78">
        <w:t>Power Association, the National Rural Electric Cooperative Association,</w:t>
      </w:r>
      <w:r>
        <w:t xml:space="preserve"> </w:t>
      </w:r>
      <w:r w:rsidRPr="00017E78">
        <w:t>and the Large Public Power Council</w:t>
      </w:r>
      <w:r>
        <w:t>.</w:t>
      </w:r>
    </w:p>
  </w:footnote>
  <w:footnote w:id="10">
    <w:p w:rsidR="00696595" w:rsidRPr="009E1DE1" w:rsidRDefault="00696595">
      <w:pPr>
        <w:pStyle w:val="FootnoteText"/>
      </w:pPr>
      <w:r>
        <w:rPr>
          <w:rStyle w:val="FootnoteReference"/>
        </w:rPr>
        <w:footnoteRef/>
      </w:r>
      <w:r>
        <w:t xml:space="preserve"> </w:t>
      </w:r>
      <w:r>
        <w:rPr>
          <w:i/>
          <w:iCs/>
        </w:rPr>
        <w:t>See e</w:t>
      </w:r>
      <w:r w:rsidRPr="009E1DE1">
        <w:rPr>
          <w:i/>
          <w:iCs/>
        </w:rPr>
        <w:t xml:space="preserve">.g., </w:t>
      </w:r>
      <w:r w:rsidRPr="009E1DE1">
        <w:t>ISO/RTO Council Comments at 4; Joint Association Comments at 7.</w:t>
      </w:r>
    </w:p>
  </w:footnote>
  <w:footnote w:id="11">
    <w:p w:rsidR="00EA7738" w:rsidRPr="009E1DE1" w:rsidRDefault="00EA7738" w:rsidP="00EA7738">
      <w:pPr>
        <w:pStyle w:val="FootnoteText"/>
      </w:pPr>
      <w:r w:rsidRPr="009E1DE1">
        <w:rPr>
          <w:rStyle w:val="FootnoteReference"/>
        </w:rPr>
        <w:footnoteRef/>
      </w:r>
      <w:r w:rsidRPr="009E1DE1">
        <w:t xml:space="preserve"> Protect Our Power </w:t>
      </w:r>
      <w:r w:rsidR="00493E5F" w:rsidRPr="009E1DE1">
        <w:t>Answer</w:t>
      </w:r>
      <w:r w:rsidRPr="009E1DE1">
        <w:t xml:space="preserve"> at 4.</w:t>
      </w:r>
    </w:p>
  </w:footnote>
  <w:footnote w:id="12">
    <w:p w:rsidR="00EA7738" w:rsidRPr="009E1DE1" w:rsidRDefault="00EA7738" w:rsidP="00EA7738">
      <w:pPr>
        <w:pStyle w:val="FootnoteText"/>
      </w:pPr>
      <w:r w:rsidRPr="009E1DE1">
        <w:rPr>
          <w:rStyle w:val="FootnoteReference"/>
        </w:rPr>
        <w:footnoteRef/>
      </w:r>
      <w:r w:rsidRPr="009E1DE1">
        <w:t xml:space="preserve"> </w:t>
      </w:r>
      <w:proofErr w:type="spellStart"/>
      <w:r w:rsidRPr="009E1DE1">
        <w:t>Mabee</w:t>
      </w:r>
      <w:proofErr w:type="spellEnd"/>
      <w:r w:rsidRPr="009E1DE1">
        <w:t xml:space="preserve"> Protest at 2.</w:t>
      </w:r>
    </w:p>
  </w:footnote>
  <w:footnote w:id="13">
    <w:p w:rsidR="00B30B6A" w:rsidRDefault="00B30B6A">
      <w:pPr>
        <w:pStyle w:val="FootnoteText"/>
      </w:pPr>
      <w:r w:rsidRPr="009E1DE1">
        <w:rPr>
          <w:rStyle w:val="FootnoteReference"/>
        </w:rPr>
        <w:footnoteRef/>
      </w:r>
      <w:r w:rsidRPr="009E1DE1">
        <w:t xml:space="preserve"> </w:t>
      </w:r>
      <w:r w:rsidR="00EA7738" w:rsidRPr="009E1DE1">
        <w:t>E</w:t>
      </w:r>
      <w:r w:rsidRPr="009E1DE1">
        <w:t xml:space="preserve">ven </w:t>
      </w:r>
      <w:r w:rsidR="00F743BF" w:rsidRPr="009E1DE1">
        <w:t xml:space="preserve">if the </w:t>
      </w:r>
      <w:r w:rsidR="00540CE8" w:rsidRPr="009E1DE1">
        <w:t>answer</w:t>
      </w:r>
      <w:r w:rsidRPr="009E1DE1">
        <w:t xml:space="preserve"> and protest </w:t>
      </w:r>
      <w:r w:rsidR="000E02CF" w:rsidRPr="009E1DE1">
        <w:t xml:space="preserve">had </w:t>
      </w:r>
      <w:r w:rsidR="00540CE8" w:rsidRPr="009E1DE1">
        <w:t>been</w:t>
      </w:r>
      <w:r w:rsidR="00540CE8">
        <w:t xml:space="preserve"> </w:t>
      </w:r>
      <w:r w:rsidR="00F743BF">
        <w:t xml:space="preserve">timely </w:t>
      </w:r>
      <w:r w:rsidR="00540CE8">
        <w:t>submitted</w:t>
      </w:r>
      <w:r>
        <w:t xml:space="preserve">, we would have denied them on the merits.  </w:t>
      </w:r>
      <w:r w:rsidR="00540CE8">
        <w:t>We are unpersuaded that NERC’s requested three-month extension</w:t>
      </w:r>
      <w:r w:rsidR="00EA7738">
        <w:t xml:space="preserve"> </w:t>
      </w:r>
      <w:r w:rsidR="00F743BF" w:rsidRPr="00F743BF">
        <w:t xml:space="preserve">“may not be in the public interest” </w:t>
      </w:r>
      <w:r w:rsidR="00EA7738">
        <w:t xml:space="preserve">and find that, although </w:t>
      </w:r>
      <w:r>
        <w:t>registered entities have taken steps to prepare for contingencies</w:t>
      </w:r>
      <w:r w:rsidR="00EA7738">
        <w:t xml:space="preserve">, it is nevertheless </w:t>
      </w:r>
      <w:r w:rsidR="00CC66A8">
        <w:t xml:space="preserve">reasonable to provide them additional flexibility to </w:t>
      </w:r>
      <w:r>
        <w:t>properly allocat</w:t>
      </w:r>
      <w:r w:rsidR="00CC66A8">
        <w:t>e</w:t>
      </w:r>
      <w:r>
        <w:t xml:space="preserve"> resources to address</w:t>
      </w:r>
      <w:r w:rsidR="00CC66A8">
        <w:t xml:space="preserve"> the impacts of COVID-19</w:t>
      </w:r>
      <w:r>
        <w:t xml:space="preserve">.  NERC’s </w:t>
      </w:r>
      <w:r w:rsidR="00F743BF">
        <w:t>requested extension</w:t>
      </w:r>
      <w:r>
        <w:t xml:space="preserve"> </w:t>
      </w:r>
      <w:r w:rsidR="00540CE8">
        <w:t xml:space="preserve">allows entities to do so and NERC has indicated that granting the motion will not adversely impact </w:t>
      </w:r>
      <w:r w:rsidR="00356641">
        <w:t xml:space="preserve">the </w:t>
      </w:r>
      <w:r w:rsidR="00540CE8">
        <w:t>reliability</w:t>
      </w:r>
      <w:r w:rsidR="00356641">
        <w:t xml:space="preserve"> of the Bulk-Power System</w:t>
      </w:r>
      <w:r w:rsidR="00540C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2FC" w:rsidRDefault="008D32FC" w:rsidP="005C30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8D32FC" w:rsidRDefault="008D32FC" w:rsidP="005C30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2FC" w:rsidRDefault="000F5AD1" w:rsidP="00933E94">
    <w:pPr>
      <w:pStyle w:val="Header"/>
      <w:tabs>
        <w:tab w:val="clear" w:pos="4680"/>
      </w:tabs>
      <w:spacing w:after="240"/>
    </w:pPr>
    <w:r>
      <w:rPr>
        <w:noProof/>
      </w:rPr>
      <mc:AlternateContent>
        <mc:Choice Requires="wps">
          <w:drawing>
            <wp:anchor distT="0" distB="0" distL="114300" distR="114300" simplePos="0" relativeHeight="251658240" behindDoc="0" locked="0" layoutInCell="0" allowOverlap="1" wp14:anchorId="2837F1C2" wp14:editId="144A728A">
              <wp:simplePos x="0" y="0"/>
              <wp:positionH relativeFrom="page">
                <wp:posOffset>0</wp:posOffset>
              </wp:positionH>
              <wp:positionV relativeFrom="page">
                <wp:posOffset>190500</wp:posOffset>
              </wp:positionV>
              <wp:extent cx="7772400" cy="266700"/>
              <wp:effectExtent l="0" t="0" r="0" b="0"/>
              <wp:wrapNone/>
              <wp:docPr id="1" name="MSIPCM4aeb422fa7f2279392e0ce2b"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5AD1" w:rsidRPr="000F5AD1" w:rsidRDefault="000F5AD1" w:rsidP="000F5AD1">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37F1C2" id="_x0000_t202" coordsize="21600,21600" o:spt="202" path="m,l,21600r21600,l21600,xe">
              <v:stroke joinstyle="miter"/>
              <v:path gradientshapeok="t" o:connecttype="rect"/>
            </v:shapetype>
            <v:shape id="MSIPCM4aeb422fa7f2279392e0ce2b" o:spid="_x0000_s1026" type="#_x0000_t202" alt="{&quot;HashCode&quot;:-175139966,&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" o:allowincell="f" filled="f" stroked="f" strokeweight=".5pt">
              <v:textbox inset=",0,,0">
                <w:txbxContent>
                  <w:p w:rsidR="000F5AD1" w:rsidRPr="000F5AD1" w:rsidRDefault="000F5AD1" w:rsidP="000F5AD1">
                    <w:pPr>
                      <w:jc w:val="center"/>
                      <w:rPr>
                        <w:color w:val="A80000"/>
                      </w:rPr>
                    </w:pPr>
                  </w:p>
                </w:txbxContent>
              </v:textbox>
              <w10:wrap anchorx="page" anchory="page"/>
            </v:shape>
          </w:pict>
        </mc:Fallback>
      </mc:AlternateContent>
    </w:r>
    <w:r w:rsidR="008D5AA1" w:rsidRPr="008D5AA1">
      <w:rPr>
        <w:lang w:val="de-DE"/>
      </w:rPr>
      <w:t xml:space="preserve">Docket No. </w:t>
    </w:r>
    <w:r w:rsidR="008D5AA1" w:rsidRPr="008D5AA1">
      <w:t>RM15-4-000</w:t>
    </w:r>
    <w:r w:rsidR="00A235A3">
      <w:t>, et al.</w:t>
    </w:r>
    <w:r w:rsidR="008D32FC">
      <w:tab/>
    </w:r>
    <w:r w:rsidR="008D32FC">
      <w:fldChar w:fldCharType="begin"/>
    </w:r>
    <w:r w:rsidR="008D32FC">
      <w:instrText xml:space="preserve"> PAGE  \* MERGEFORMAT </w:instrText>
    </w:r>
    <w:r w:rsidR="008D32FC">
      <w:fldChar w:fldCharType="separate"/>
    </w:r>
    <w:r w:rsidR="002841C1">
      <w:rPr>
        <w:noProof/>
      </w:rPr>
      <w:t>- 5 -</w:t>
    </w:r>
    <w:r w:rsidR="008D32F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2FC" w:rsidRPr="000F5AD1" w:rsidRDefault="000F5AD1" w:rsidP="00055C33">
    <w:pPr>
      <w:pStyle w:val="Header"/>
      <w:tabs>
        <w:tab w:val="clear" w:pos="4680"/>
      </w:tabs>
      <w:jc w:val="right"/>
      <w:rPr>
        <w:color w:val="FF0000"/>
      </w:rPr>
    </w:pPr>
    <w:r>
      <w:rPr>
        <w:noProof/>
        <w:color w:val="FF0000"/>
      </w:rPr>
      <mc:AlternateContent>
        <mc:Choice Requires="wps">
          <w:drawing>
            <wp:anchor distT="0" distB="0" distL="114300" distR="114300" simplePos="0" relativeHeight="251658241" behindDoc="0" locked="0" layoutInCell="0" allowOverlap="1" wp14:anchorId="3952D2CE" wp14:editId="1A3F7F6F">
              <wp:simplePos x="0" y="0"/>
              <wp:positionH relativeFrom="page">
                <wp:posOffset>0</wp:posOffset>
              </wp:positionH>
              <wp:positionV relativeFrom="page">
                <wp:posOffset>190500</wp:posOffset>
              </wp:positionV>
              <wp:extent cx="7772400" cy="266700"/>
              <wp:effectExtent l="0" t="0" r="0" b="0"/>
              <wp:wrapNone/>
              <wp:docPr id="2" name="MSIPCM21a049c2852d7962fbf084be"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5AD1" w:rsidRPr="000F5AD1" w:rsidRDefault="000F5AD1" w:rsidP="000F5AD1">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52D2CE" id="_x0000_t202" coordsize="21600,21600" o:spt="202" path="m,l,21600r21600,l21600,xe">
              <v:stroke joinstyle="miter"/>
              <v:path gradientshapeok="t" o:connecttype="rect"/>
            </v:shapetype>
            <v:shape id="MSIPCM21a049c2852d7962fbf084be" o:spid="_x0000_s1027" type="#_x0000_t202" alt="{&quot;HashCode&quot;:-175139966,&quot;Height&quot;:792.0,&quot;Width&quot;:612.0,&quot;Placement&quot;:&quot;Header&quot;,&quot;Index&quot;:&quot;FirstPage&quot;,&quot;Section&quot;:1,&quot;Top&quot;:0.0,&quot;Left&quot;:0.0}" style="position:absolute;left:0;text-align:left;margin-left:0;margin-top:15pt;width:612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" o:allowincell="f" filled="f" stroked="f" strokeweight=".5pt">
              <v:textbox inset=",0,,0">
                <w:txbxContent>
                  <w:p w:rsidR="000F5AD1" w:rsidRPr="000F5AD1" w:rsidRDefault="000F5AD1" w:rsidP="000F5AD1">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1247473"/>
    <w:multiLevelType w:val="hybridMultilevel"/>
    <w:tmpl w:val="2F740178"/>
    <w:lvl w:ilvl="0" w:tplc="CC488A4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3"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A024BD"/>
    <w:multiLevelType w:val="hybridMultilevel"/>
    <w:tmpl w:val="1F707DF0"/>
    <w:lvl w:ilvl="0" w:tplc="F06A9AA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6"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7" w15:restartNumberingAfterBreak="0">
    <w:nsid w:val="4B1D51CC"/>
    <w:multiLevelType w:val="hybridMultilevel"/>
    <w:tmpl w:val="D75429F2"/>
    <w:lvl w:ilvl="0" w:tplc="9206742E">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502FF"/>
    <w:multiLevelType w:val="multilevel"/>
    <w:tmpl w:val="601EF038"/>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1" w15:restartNumberingAfterBreak="0">
    <w:nsid w:val="7D3B09D3"/>
    <w:multiLevelType w:val="hybridMultilevel"/>
    <w:tmpl w:val="88128850"/>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9"/>
  </w:num>
  <w:num w:numId="13">
    <w:abstractNumId w:val="15"/>
  </w:num>
  <w:num w:numId="14">
    <w:abstractNumId w:val="20"/>
  </w:num>
  <w:num w:numId="15">
    <w:abstractNumId w:val="1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16"/>
  </w:num>
  <w:num w:numId="20">
    <w:abstractNumId w:val="13"/>
  </w:num>
  <w:num w:numId="21">
    <w:abstractNumId w:val="2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4"/>
  </w:num>
  <w:num w:numId="25">
    <w:abstractNumId w:val="18"/>
  </w:num>
  <w:num w:numId="26">
    <w:abstractNumId w:val="18"/>
  </w:num>
  <w:num w:numId="27">
    <w:abstractNumId w:val="21"/>
  </w:num>
  <w:num w:numId="28">
    <w:abstractNumId w:val="21"/>
  </w:num>
  <w:num w:numId="29">
    <w:abstractNumId w:val="1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94"/>
    <w:rsid w:val="00003340"/>
    <w:rsid w:val="00003D5D"/>
    <w:rsid w:val="00004F70"/>
    <w:rsid w:val="00006E47"/>
    <w:rsid w:val="0000731D"/>
    <w:rsid w:val="00010FA6"/>
    <w:rsid w:val="000118C8"/>
    <w:rsid w:val="0001425C"/>
    <w:rsid w:val="000143AA"/>
    <w:rsid w:val="00017E78"/>
    <w:rsid w:val="0002042F"/>
    <w:rsid w:val="00022A33"/>
    <w:rsid w:val="00026815"/>
    <w:rsid w:val="00030AE1"/>
    <w:rsid w:val="000428C4"/>
    <w:rsid w:val="00043730"/>
    <w:rsid w:val="00051B41"/>
    <w:rsid w:val="000550DC"/>
    <w:rsid w:val="00055C33"/>
    <w:rsid w:val="00055F5F"/>
    <w:rsid w:val="000630A9"/>
    <w:rsid w:val="000673E5"/>
    <w:rsid w:val="00070857"/>
    <w:rsid w:val="000736B5"/>
    <w:rsid w:val="00073ABB"/>
    <w:rsid w:val="000755B3"/>
    <w:rsid w:val="0007636C"/>
    <w:rsid w:val="0008478C"/>
    <w:rsid w:val="00084A31"/>
    <w:rsid w:val="00086D98"/>
    <w:rsid w:val="0008778D"/>
    <w:rsid w:val="00090723"/>
    <w:rsid w:val="0009229F"/>
    <w:rsid w:val="00092634"/>
    <w:rsid w:val="00093858"/>
    <w:rsid w:val="00097C05"/>
    <w:rsid w:val="000A045C"/>
    <w:rsid w:val="000A20F2"/>
    <w:rsid w:val="000A3D2F"/>
    <w:rsid w:val="000A6835"/>
    <w:rsid w:val="000B4124"/>
    <w:rsid w:val="000B76DD"/>
    <w:rsid w:val="000B7E62"/>
    <w:rsid w:val="000C0253"/>
    <w:rsid w:val="000C1FCA"/>
    <w:rsid w:val="000D02E5"/>
    <w:rsid w:val="000D0EE6"/>
    <w:rsid w:val="000D1D4B"/>
    <w:rsid w:val="000D1FB6"/>
    <w:rsid w:val="000D3C54"/>
    <w:rsid w:val="000D4571"/>
    <w:rsid w:val="000D5C66"/>
    <w:rsid w:val="000D739B"/>
    <w:rsid w:val="000D7DD4"/>
    <w:rsid w:val="000D7E96"/>
    <w:rsid w:val="000E02CF"/>
    <w:rsid w:val="000E0857"/>
    <w:rsid w:val="000E2BFA"/>
    <w:rsid w:val="000E4B94"/>
    <w:rsid w:val="000F2DC1"/>
    <w:rsid w:val="000F372C"/>
    <w:rsid w:val="000F5AD1"/>
    <w:rsid w:val="000F603B"/>
    <w:rsid w:val="000F6C7F"/>
    <w:rsid w:val="00100448"/>
    <w:rsid w:val="00100E1B"/>
    <w:rsid w:val="00101107"/>
    <w:rsid w:val="001021AF"/>
    <w:rsid w:val="0010290F"/>
    <w:rsid w:val="00104673"/>
    <w:rsid w:val="00107454"/>
    <w:rsid w:val="00112809"/>
    <w:rsid w:val="00120603"/>
    <w:rsid w:val="001209EF"/>
    <w:rsid w:val="00122347"/>
    <w:rsid w:val="00123178"/>
    <w:rsid w:val="00124C66"/>
    <w:rsid w:val="0012713F"/>
    <w:rsid w:val="001276DA"/>
    <w:rsid w:val="00130CCE"/>
    <w:rsid w:val="001312E6"/>
    <w:rsid w:val="00132D57"/>
    <w:rsid w:val="001421AA"/>
    <w:rsid w:val="00146A50"/>
    <w:rsid w:val="001520D4"/>
    <w:rsid w:val="001549DE"/>
    <w:rsid w:val="00154C7A"/>
    <w:rsid w:val="001721DB"/>
    <w:rsid w:val="0017696A"/>
    <w:rsid w:val="00180EE8"/>
    <w:rsid w:val="001859B4"/>
    <w:rsid w:val="0018758C"/>
    <w:rsid w:val="00191617"/>
    <w:rsid w:val="0019292E"/>
    <w:rsid w:val="00195C0C"/>
    <w:rsid w:val="00195EFF"/>
    <w:rsid w:val="001960DD"/>
    <w:rsid w:val="001A1C13"/>
    <w:rsid w:val="001A2AF1"/>
    <w:rsid w:val="001A33D6"/>
    <w:rsid w:val="001B042B"/>
    <w:rsid w:val="001B1FE9"/>
    <w:rsid w:val="001B2C6D"/>
    <w:rsid w:val="001B362D"/>
    <w:rsid w:val="001B4FB2"/>
    <w:rsid w:val="001C129E"/>
    <w:rsid w:val="001C207F"/>
    <w:rsid w:val="001C2FBB"/>
    <w:rsid w:val="001C35D2"/>
    <w:rsid w:val="001C54EA"/>
    <w:rsid w:val="001C7CC5"/>
    <w:rsid w:val="001D0C36"/>
    <w:rsid w:val="001D264B"/>
    <w:rsid w:val="001D303F"/>
    <w:rsid w:val="001D3B0D"/>
    <w:rsid w:val="001D7927"/>
    <w:rsid w:val="001E0CAA"/>
    <w:rsid w:val="001E59F9"/>
    <w:rsid w:val="001E7244"/>
    <w:rsid w:val="001F51A0"/>
    <w:rsid w:val="001F5CC6"/>
    <w:rsid w:val="001F5ED6"/>
    <w:rsid w:val="001F7980"/>
    <w:rsid w:val="002029DC"/>
    <w:rsid w:val="00203911"/>
    <w:rsid w:val="002072CF"/>
    <w:rsid w:val="002108C8"/>
    <w:rsid w:val="0021124D"/>
    <w:rsid w:val="00211765"/>
    <w:rsid w:val="002136E7"/>
    <w:rsid w:val="002206DB"/>
    <w:rsid w:val="00224859"/>
    <w:rsid w:val="00225A12"/>
    <w:rsid w:val="00233408"/>
    <w:rsid w:val="002352B0"/>
    <w:rsid w:val="002354E4"/>
    <w:rsid w:val="00240493"/>
    <w:rsid w:val="00242D11"/>
    <w:rsid w:val="002516E2"/>
    <w:rsid w:val="00251D6D"/>
    <w:rsid w:val="00255417"/>
    <w:rsid w:val="00257989"/>
    <w:rsid w:val="00260C82"/>
    <w:rsid w:val="00262FED"/>
    <w:rsid w:val="00263CFC"/>
    <w:rsid w:val="00267328"/>
    <w:rsid w:val="00274734"/>
    <w:rsid w:val="002817CE"/>
    <w:rsid w:val="00283AA6"/>
    <w:rsid w:val="002841C1"/>
    <w:rsid w:val="00285A88"/>
    <w:rsid w:val="00287BCB"/>
    <w:rsid w:val="00290ABD"/>
    <w:rsid w:val="002A0B4A"/>
    <w:rsid w:val="002A178A"/>
    <w:rsid w:val="002A232E"/>
    <w:rsid w:val="002A34C1"/>
    <w:rsid w:val="002A5C43"/>
    <w:rsid w:val="002A6B91"/>
    <w:rsid w:val="002A729E"/>
    <w:rsid w:val="002A7FB5"/>
    <w:rsid w:val="002B35F2"/>
    <w:rsid w:val="002B71CD"/>
    <w:rsid w:val="002C2DDC"/>
    <w:rsid w:val="002C40BD"/>
    <w:rsid w:val="002C57E5"/>
    <w:rsid w:val="002C7704"/>
    <w:rsid w:val="002D206A"/>
    <w:rsid w:val="002D358E"/>
    <w:rsid w:val="002D3EC9"/>
    <w:rsid w:val="002D4C5B"/>
    <w:rsid w:val="002D4E1C"/>
    <w:rsid w:val="002D4FDE"/>
    <w:rsid w:val="002D65B3"/>
    <w:rsid w:val="002D7D6B"/>
    <w:rsid w:val="002D7F19"/>
    <w:rsid w:val="002E02A0"/>
    <w:rsid w:val="002E21CE"/>
    <w:rsid w:val="002E4E8A"/>
    <w:rsid w:val="002F05FD"/>
    <w:rsid w:val="002F3160"/>
    <w:rsid w:val="002F3D99"/>
    <w:rsid w:val="002F52A9"/>
    <w:rsid w:val="0030073B"/>
    <w:rsid w:val="00301D68"/>
    <w:rsid w:val="003031DA"/>
    <w:rsid w:val="0031166F"/>
    <w:rsid w:val="00313634"/>
    <w:rsid w:val="00314779"/>
    <w:rsid w:val="00322F05"/>
    <w:rsid w:val="00324F79"/>
    <w:rsid w:val="00326EEF"/>
    <w:rsid w:val="00327401"/>
    <w:rsid w:val="00335933"/>
    <w:rsid w:val="00341A4D"/>
    <w:rsid w:val="003437BD"/>
    <w:rsid w:val="00343D67"/>
    <w:rsid w:val="003453FD"/>
    <w:rsid w:val="003478CF"/>
    <w:rsid w:val="00350E98"/>
    <w:rsid w:val="00350FC8"/>
    <w:rsid w:val="003520AD"/>
    <w:rsid w:val="00356641"/>
    <w:rsid w:val="00360AA1"/>
    <w:rsid w:val="00361C94"/>
    <w:rsid w:val="003627A7"/>
    <w:rsid w:val="00364E6F"/>
    <w:rsid w:val="0036500A"/>
    <w:rsid w:val="00366660"/>
    <w:rsid w:val="00374532"/>
    <w:rsid w:val="00374868"/>
    <w:rsid w:val="00374C93"/>
    <w:rsid w:val="00375DF4"/>
    <w:rsid w:val="00376B63"/>
    <w:rsid w:val="00381BCA"/>
    <w:rsid w:val="003830CE"/>
    <w:rsid w:val="00384905"/>
    <w:rsid w:val="00385E2D"/>
    <w:rsid w:val="003867FA"/>
    <w:rsid w:val="0039262E"/>
    <w:rsid w:val="0039349B"/>
    <w:rsid w:val="003937F3"/>
    <w:rsid w:val="00395124"/>
    <w:rsid w:val="003A05B6"/>
    <w:rsid w:val="003A09AD"/>
    <w:rsid w:val="003A15D6"/>
    <w:rsid w:val="003A5145"/>
    <w:rsid w:val="003B22FF"/>
    <w:rsid w:val="003B2445"/>
    <w:rsid w:val="003B67E5"/>
    <w:rsid w:val="003B7F05"/>
    <w:rsid w:val="003C3A1E"/>
    <w:rsid w:val="003C44CB"/>
    <w:rsid w:val="003C505B"/>
    <w:rsid w:val="003C71CF"/>
    <w:rsid w:val="003C778B"/>
    <w:rsid w:val="003C789D"/>
    <w:rsid w:val="003D5827"/>
    <w:rsid w:val="003E08F4"/>
    <w:rsid w:val="003E1917"/>
    <w:rsid w:val="003E259A"/>
    <w:rsid w:val="003E5211"/>
    <w:rsid w:val="003F16F9"/>
    <w:rsid w:val="003F31D2"/>
    <w:rsid w:val="003F3716"/>
    <w:rsid w:val="003F4845"/>
    <w:rsid w:val="003F4DBE"/>
    <w:rsid w:val="003F557E"/>
    <w:rsid w:val="003F7B95"/>
    <w:rsid w:val="00403612"/>
    <w:rsid w:val="004067AD"/>
    <w:rsid w:val="00410F3E"/>
    <w:rsid w:val="00414806"/>
    <w:rsid w:val="00416066"/>
    <w:rsid w:val="004210B9"/>
    <w:rsid w:val="004238BE"/>
    <w:rsid w:val="00424B78"/>
    <w:rsid w:val="004270CA"/>
    <w:rsid w:val="0043269E"/>
    <w:rsid w:val="00436A3E"/>
    <w:rsid w:val="00440D78"/>
    <w:rsid w:val="00441A2A"/>
    <w:rsid w:val="004420F6"/>
    <w:rsid w:val="0044359A"/>
    <w:rsid w:val="00444F65"/>
    <w:rsid w:val="004476C6"/>
    <w:rsid w:val="0045130C"/>
    <w:rsid w:val="00451D2A"/>
    <w:rsid w:val="00453578"/>
    <w:rsid w:val="00455214"/>
    <w:rsid w:val="0046133D"/>
    <w:rsid w:val="0047054D"/>
    <w:rsid w:val="00472C9B"/>
    <w:rsid w:val="00473A5E"/>
    <w:rsid w:val="004758A9"/>
    <w:rsid w:val="00477399"/>
    <w:rsid w:val="0048020B"/>
    <w:rsid w:val="004822CE"/>
    <w:rsid w:val="004850F9"/>
    <w:rsid w:val="00485AB3"/>
    <w:rsid w:val="004864DA"/>
    <w:rsid w:val="004872BC"/>
    <w:rsid w:val="004874A4"/>
    <w:rsid w:val="00487576"/>
    <w:rsid w:val="004929A3"/>
    <w:rsid w:val="00493E5F"/>
    <w:rsid w:val="00494073"/>
    <w:rsid w:val="00494355"/>
    <w:rsid w:val="00494945"/>
    <w:rsid w:val="00495E07"/>
    <w:rsid w:val="00497F70"/>
    <w:rsid w:val="004A03E5"/>
    <w:rsid w:val="004A22C5"/>
    <w:rsid w:val="004A503D"/>
    <w:rsid w:val="004B4A8D"/>
    <w:rsid w:val="004B641C"/>
    <w:rsid w:val="004C0E28"/>
    <w:rsid w:val="004C190E"/>
    <w:rsid w:val="004C207C"/>
    <w:rsid w:val="004C456B"/>
    <w:rsid w:val="004C4D5F"/>
    <w:rsid w:val="004D35E8"/>
    <w:rsid w:val="004D59AB"/>
    <w:rsid w:val="004D614C"/>
    <w:rsid w:val="004E6F86"/>
    <w:rsid w:val="00506810"/>
    <w:rsid w:val="00512C06"/>
    <w:rsid w:val="00513E14"/>
    <w:rsid w:val="005154C1"/>
    <w:rsid w:val="00521122"/>
    <w:rsid w:val="005214DB"/>
    <w:rsid w:val="005225F8"/>
    <w:rsid w:val="0052351B"/>
    <w:rsid w:val="005279D2"/>
    <w:rsid w:val="00533E92"/>
    <w:rsid w:val="00536951"/>
    <w:rsid w:val="00540CE8"/>
    <w:rsid w:val="00541146"/>
    <w:rsid w:val="00542814"/>
    <w:rsid w:val="00545CC2"/>
    <w:rsid w:val="00546238"/>
    <w:rsid w:val="00547064"/>
    <w:rsid w:val="00547936"/>
    <w:rsid w:val="00552A11"/>
    <w:rsid w:val="00553C47"/>
    <w:rsid w:val="005577D9"/>
    <w:rsid w:val="00561DA8"/>
    <w:rsid w:val="00562CB2"/>
    <w:rsid w:val="005663A8"/>
    <w:rsid w:val="00571D6D"/>
    <w:rsid w:val="00572F46"/>
    <w:rsid w:val="00574A02"/>
    <w:rsid w:val="00576A54"/>
    <w:rsid w:val="00577DC6"/>
    <w:rsid w:val="005816F4"/>
    <w:rsid w:val="00585174"/>
    <w:rsid w:val="0059038C"/>
    <w:rsid w:val="005921E2"/>
    <w:rsid w:val="00594E87"/>
    <w:rsid w:val="005950E5"/>
    <w:rsid w:val="00597309"/>
    <w:rsid w:val="005A0A10"/>
    <w:rsid w:val="005A4CD3"/>
    <w:rsid w:val="005A6EC2"/>
    <w:rsid w:val="005A6F7C"/>
    <w:rsid w:val="005B18B2"/>
    <w:rsid w:val="005B3081"/>
    <w:rsid w:val="005B3F1A"/>
    <w:rsid w:val="005B40A6"/>
    <w:rsid w:val="005C0180"/>
    <w:rsid w:val="005C01B7"/>
    <w:rsid w:val="005C30CC"/>
    <w:rsid w:val="005C4E44"/>
    <w:rsid w:val="005C59AE"/>
    <w:rsid w:val="005D2282"/>
    <w:rsid w:val="005D2A79"/>
    <w:rsid w:val="005D3004"/>
    <w:rsid w:val="005D3D39"/>
    <w:rsid w:val="005D4087"/>
    <w:rsid w:val="005D787E"/>
    <w:rsid w:val="005D7C39"/>
    <w:rsid w:val="005E0370"/>
    <w:rsid w:val="005E13DF"/>
    <w:rsid w:val="005E3D15"/>
    <w:rsid w:val="005E4C65"/>
    <w:rsid w:val="005E6B88"/>
    <w:rsid w:val="005E702D"/>
    <w:rsid w:val="005F2946"/>
    <w:rsid w:val="005F34C6"/>
    <w:rsid w:val="005F4318"/>
    <w:rsid w:val="005F4F8E"/>
    <w:rsid w:val="005F54A4"/>
    <w:rsid w:val="0060035F"/>
    <w:rsid w:val="00601CAC"/>
    <w:rsid w:val="00606281"/>
    <w:rsid w:val="006074E4"/>
    <w:rsid w:val="006112D1"/>
    <w:rsid w:val="006112FA"/>
    <w:rsid w:val="006165EB"/>
    <w:rsid w:val="00620205"/>
    <w:rsid w:val="00622D42"/>
    <w:rsid w:val="00622F63"/>
    <w:rsid w:val="00623402"/>
    <w:rsid w:val="00624B34"/>
    <w:rsid w:val="00625B93"/>
    <w:rsid w:val="00633563"/>
    <w:rsid w:val="00633988"/>
    <w:rsid w:val="00636271"/>
    <w:rsid w:val="00637A77"/>
    <w:rsid w:val="00643C5A"/>
    <w:rsid w:val="00646678"/>
    <w:rsid w:val="00647553"/>
    <w:rsid w:val="006502FA"/>
    <w:rsid w:val="00655A79"/>
    <w:rsid w:val="00661988"/>
    <w:rsid w:val="006628ED"/>
    <w:rsid w:val="00667B22"/>
    <w:rsid w:val="0067004D"/>
    <w:rsid w:val="006710C1"/>
    <w:rsid w:val="0067304E"/>
    <w:rsid w:val="006745E5"/>
    <w:rsid w:val="00675CD1"/>
    <w:rsid w:val="00677778"/>
    <w:rsid w:val="00677A0E"/>
    <w:rsid w:val="006800B1"/>
    <w:rsid w:val="00681181"/>
    <w:rsid w:val="00681E5B"/>
    <w:rsid w:val="00682099"/>
    <w:rsid w:val="0068450F"/>
    <w:rsid w:val="00686B9F"/>
    <w:rsid w:val="00691171"/>
    <w:rsid w:val="006923C8"/>
    <w:rsid w:val="006936F8"/>
    <w:rsid w:val="00694F3D"/>
    <w:rsid w:val="00696261"/>
    <w:rsid w:val="00696595"/>
    <w:rsid w:val="006A18B6"/>
    <w:rsid w:val="006A1EDC"/>
    <w:rsid w:val="006A5B0F"/>
    <w:rsid w:val="006A5ED6"/>
    <w:rsid w:val="006A5FF3"/>
    <w:rsid w:val="006B20EE"/>
    <w:rsid w:val="006B4826"/>
    <w:rsid w:val="006B5B8D"/>
    <w:rsid w:val="006C1614"/>
    <w:rsid w:val="006C1D8C"/>
    <w:rsid w:val="006C51D5"/>
    <w:rsid w:val="006D2A8D"/>
    <w:rsid w:val="006D432E"/>
    <w:rsid w:val="006D4599"/>
    <w:rsid w:val="006D4A48"/>
    <w:rsid w:val="006D5B0E"/>
    <w:rsid w:val="006E4894"/>
    <w:rsid w:val="006E6044"/>
    <w:rsid w:val="006F0AFA"/>
    <w:rsid w:val="006F1B52"/>
    <w:rsid w:val="006F27A6"/>
    <w:rsid w:val="006F42DE"/>
    <w:rsid w:val="00705B33"/>
    <w:rsid w:val="0070615E"/>
    <w:rsid w:val="00710A58"/>
    <w:rsid w:val="007116AC"/>
    <w:rsid w:val="007124A2"/>
    <w:rsid w:val="007133ED"/>
    <w:rsid w:val="007147A7"/>
    <w:rsid w:val="00722B6D"/>
    <w:rsid w:val="007230D6"/>
    <w:rsid w:val="00723E4B"/>
    <w:rsid w:val="00724553"/>
    <w:rsid w:val="0072563F"/>
    <w:rsid w:val="00726CD8"/>
    <w:rsid w:val="0073242D"/>
    <w:rsid w:val="007324DA"/>
    <w:rsid w:val="00732865"/>
    <w:rsid w:val="00732CFA"/>
    <w:rsid w:val="00732E2C"/>
    <w:rsid w:val="00734468"/>
    <w:rsid w:val="00735ECF"/>
    <w:rsid w:val="007368A2"/>
    <w:rsid w:val="00736DE9"/>
    <w:rsid w:val="00740686"/>
    <w:rsid w:val="00742439"/>
    <w:rsid w:val="00743A10"/>
    <w:rsid w:val="007465A9"/>
    <w:rsid w:val="00746E7F"/>
    <w:rsid w:val="00754A0D"/>
    <w:rsid w:val="007552C1"/>
    <w:rsid w:val="007562E2"/>
    <w:rsid w:val="007577C2"/>
    <w:rsid w:val="0076328E"/>
    <w:rsid w:val="0076561E"/>
    <w:rsid w:val="007661B0"/>
    <w:rsid w:val="00773353"/>
    <w:rsid w:val="00776D4B"/>
    <w:rsid w:val="0078037B"/>
    <w:rsid w:val="00780A45"/>
    <w:rsid w:val="00783B3D"/>
    <w:rsid w:val="00786EC5"/>
    <w:rsid w:val="007876E3"/>
    <w:rsid w:val="007916BE"/>
    <w:rsid w:val="007928AD"/>
    <w:rsid w:val="0079348B"/>
    <w:rsid w:val="00793F0E"/>
    <w:rsid w:val="00794724"/>
    <w:rsid w:val="007A0174"/>
    <w:rsid w:val="007A0BB2"/>
    <w:rsid w:val="007A1477"/>
    <w:rsid w:val="007A1B50"/>
    <w:rsid w:val="007A5131"/>
    <w:rsid w:val="007A68F6"/>
    <w:rsid w:val="007A77AC"/>
    <w:rsid w:val="007B4019"/>
    <w:rsid w:val="007B6E4E"/>
    <w:rsid w:val="007B71E9"/>
    <w:rsid w:val="007C1702"/>
    <w:rsid w:val="007C41D1"/>
    <w:rsid w:val="007C48C7"/>
    <w:rsid w:val="007C67D4"/>
    <w:rsid w:val="007C69D6"/>
    <w:rsid w:val="007D2CEB"/>
    <w:rsid w:val="007D3591"/>
    <w:rsid w:val="007D5A48"/>
    <w:rsid w:val="007D6683"/>
    <w:rsid w:val="007D72F3"/>
    <w:rsid w:val="007E6000"/>
    <w:rsid w:val="007E6167"/>
    <w:rsid w:val="007E6585"/>
    <w:rsid w:val="007E74C5"/>
    <w:rsid w:val="007F0548"/>
    <w:rsid w:val="007F0E34"/>
    <w:rsid w:val="007F32C6"/>
    <w:rsid w:val="007F4F6E"/>
    <w:rsid w:val="007F6368"/>
    <w:rsid w:val="007F6DB4"/>
    <w:rsid w:val="007F7B7F"/>
    <w:rsid w:val="00800748"/>
    <w:rsid w:val="008043DE"/>
    <w:rsid w:val="0080498D"/>
    <w:rsid w:val="0080606A"/>
    <w:rsid w:val="008065F0"/>
    <w:rsid w:val="008068DE"/>
    <w:rsid w:val="00807C2F"/>
    <w:rsid w:val="0081082B"/>
    <w:rsid w:val="008129C6"/>
    <w:rsid w:val="00812E0A"/>
    <w:rsid w:val="0081352B"/>
    <w:rsid w:val="00814514"/>
    <w:rsid w:val="0081524F"/>
    <w:rsid w:val="008237E2"/>
    <w:rsid w:val="008240EF"/>
    <w:rsid w:val="008255E4"/>
    <w:rsid w:val="00827BAD"/>
    <w:rsid w:val="008309C9"/>
    <w:rsid w:val="00830BC7"/>
    <w:rsid w:val="008335E3"/>
    <w:rsid w:val="00834DCB"/>
    <w:rsid w:val="0083551A"/>
    <w:rsid w:val="00835F1F"/>
    <w:rsid w:val="00836673"/>
    <w:rsid w:val="00840C01"/>
    <w:rsid w:val="00840C42"/>
    <w:rsid w:val="0084167C"/>
    <w:rsid w:val="00842CA5"/>
    <w:rsid w:val="00844F10"/>
    <w:rsid w:val="00845186"/>
    <w:rsid w:val="0084599F"/>
    <w:rsid w:val="00845BBC"/>
    <w:rsid w:val="00847786"/>
    <w:rsid w:val="00850048"/>
    <w:rsid w:val="008513D8"/>
    <w:rsid w:val="00852C25"/>
    <w:rsid w:val="0085481A"/>
    <w:rsid w:val="00855D43"/>
    <w:rsid w:val="008561D7"/>
    <w:rsid w:val="008575E3"/>
    <w:rsid w:val="00860B22"/>
    <w:rsid w:val="008625CF"/>
    <w:rsid w:val="00862D11"/>
    <w:rsid w:val="008636FC"/>
    <w:rsid w:val="00863DB6"/>
    <w:rsid w:val="00873BC6"/>
    <w:rsid w:val="00874FB1"/>
    <w:rsid w:val="008759B6"/>
    <w:rsid w:val="008771F4"/>
    <w:rsid w:val="00880902"/>
    <w:rsid w:val="00881E3C"/>
    <w:rsid w:val="0088740E"/>
    <w:rsid w:val="008875E4"/>
    <w:rsid w:val="00892A4E"/>
    <w:rsid w:val="00894A27"/>
    <w:rsid w:val="00896A4C"/>
    <w:rsid w:val="0089797F"/>
    <w:rsid w:val="008A23C9"/>
    <w:rsid w:val="008A39F8"/>
    <w:rsid w:val="008A7E2A"/>
    <w:rsid w:val="008B0B3A"/>
    <w:rsid w:val="008B18D4"/>
    <w:rsid w:val="008B32A9"/>
    <w:rsid w:val="008C0083"/>
    <w:rsid w:val="008C2EDB"/>
    <w:rsid w:val="008C6C9A"/>
    <w:rsid w:val="008C6D74"/>
    <w:rsid w:val="008C701E"/>
    <w:rsid w:val="008C7851"/>
    <w:rsid w:val="008D1B64"/>
    <w:rsid w:val="008D32FC"/>
    <w:rsid w:val="008D4162"/>
    <w:rsid w:val="008D4E54"/>
    <w:rsid w:val="008D5AA1"/>
    <w:rsid w:val="008E1FE1"/>
    <w:rsid w:val="008E51AF"/>
    <w:rsid w:val="008E548A"/>
    <w:rsid w:val="008E74A2"/>
    <w:rsid w:val="008F4B82"/>
    <w:rsid w:val="00904536"/>
    <w:rsid w:val="0090478A"/>
    <w:rsid w:val="009078EF"/>
    <w:rsid w:val="009102A7"/>
    <w:rsid w:val="00911D86"/>
    <w:rsid w:val="009144B5"/>
    <w:rsid w:val="009146F6"/>
    <w:rsid w:val="00915863"/>
    <w:rsid w:val="009159E4"/>
    <w:rsid w:val="00916033"/>
    <w:rsid w:val="00916ED7"/>
    <w:rsid w:val="00917360"/>
    <w:rsid w:val="00926E69"/>
    <w:rsid w:val="009279DE"/>
    <w:rsid w:val="00930EF7"/>
    <w:rsid w:val="009317B8"/>
    <w:rsid w:val="00933E94"/>
    <w:rsid w:val="009360D6"/>
    <w:rsid w:val="00941336"/>
    <w:rsid w:val="009416E1"/>
    <w:rsid w:val="009418BC"/>
    <w:rsid w:val="00942386"/>
    <w:rsid w:val="009466EE"/>
    <w:rsid w:val="009575E1"/>
    <w:rsid w:val="00960829"/>
    <w:rsid w:val="00960BC7"/>
    <w:rsid w:val="0096155E"/>
    <w:rsid w:val="00962129"/>
    <w:rsid w:val="009632C9"/>
    <w:rsid w:val="00964625"/>
    <w:rsid w:val="009667EE"/>
    <w:rsid w:val="00970BC5"/>
    <w:rsid w:val="0097316B"/>
    <w:rsid w:val="0097354A"/>
    <w:rsid w:val="00974330"/>
    <w:rsid w:val="00974FAA"/>
    <w:rsid w:val="00975FAF"/>
    <w:rsid w:val="00976FB9"/>
    <w:rsid w:val="00977184"/>
    <w:rsid w:val="0097718F"/>
    <w:rsid w:val="009802C9"/>
    <w:rsid w:val="00985ABF"/>
    <w:rsid w:val="00986665"/>
    <w:rsid w:val="009967F2"/>
    <w:rsid w:val="00997790"/>
    <w:rsid w:val="009A66D0"/>
    <w:rsid w:val="009B01FC"/>
    <w:rsid w:val="009B17BD"/>
    <w:rsid w:val="009B1BFE"/>
    <w:rsid w:val="009B7367"/>
    <w:rsid w:val="009C4143"/>
    <w:rsid w:val="009C4B3D"/>
    <w:rsid w:val="009C4CCF"/>
    <w:rsid w:val="009C7C54"/>
    <w:rsid w:val="009E0930"/>
    <w:rsid w:val="009E0EA2"/>
    <w:rsid w:val="009E1DE1"/>
    <w:rsid w:val="009E214D"/>
    <w:rsid w:val="009E2C10"/>
    <w:rsid w:val="009E4841"/>
    <w:rsid w:val="009E4DF9"/>
    <w:rsid w:val="009E7983"/>
    <w:rsid w:val="009F2E31"/>
    <w:rsid w:val="009F3B0F"/>
    <w:rsid w:val="009F3F1F"/>
    <w:rsid w:val="009F4111"/>
    <w:rsid w:val="009F4FB3"/>
    <w:rsid w:val="009F71D1"/>
    <w:rsid w:val="00A00DD6"/>
    <w:rsid w:val="00A01EFD"/>
    <w:rsid w:val="00A026DF"/>
    <w:rsid w:val="00A03A5F"/>
    <w:rsid w:val="00A04100"/>
    <w:rsid w:val="00A066DE"/>
    <w:rsid w:val="00A10B65"/>
    <w:rsid w:val="00A113EA"/>
    <w:rsid w:val="00A15581"/>
    <w:rsid w:val="00A1593F"/>
    <w:rsid w:val="00A159D3"/>
    <w:rsid w:val="00A15B57"/>
    <w:rsid w:val="00A235A3"/>
    <w:rsid w:val="00A2536F"/>
    <w:rsid w:val="00A263F4"/>
    <w:rsid w:val="00A26AF6"/>
    <w:rsid w:val="00A30DB3"/>
    <w:rsid w:val="00A31280"/>
    <w:rsid w:val="00A344A6"/>
    <w:rsid w:val="00A3586B"/>
    <w:rsid w:val="00A36083"/>
    <w:rsid w:val="00A406DC"/>
    <w:rsid w:val="00A41119"/>
    <w:rsid w:val="00A4347E"/>
    <w:rsid w:val="00A4381E"/>
    <w:rsid w:val="00A4630E"/>
    <w:rsid w:val="00A47DE3"/>
    <w:rsid w:val="00A55A52"/>
    <w:rsid w:val="00A55DE0"/>
    <w:rsid w:val="00A57B35"/>
    <w:rsid w:val="00A57D42"/>
    <w:rsid w:val="00A60BBB"/>
    <w:rsid w:val="00A60C83"/>
    <w:rsid w:val="00A65F1E"/>
    <w:rsid w:val="00A67C1F"/>
    <w:rsid w:val="00A739AD"/>
    <w:rsid w:val="00A8179F"/>
    <w:rsid w:val="00A83111"/>
    <w:rsid w:val="00A85982"/>
    <w:rsid w:val="00A8724F"/>
    <w:rsid w:val="00A8745D"/>
    <w:rsid w:val="00A934C1"/>
    <w:rsid w:val="00A9382B"/>
    <w:rsid w:val="00A972FF"/>
    <w:rsid w:val="00AA22FC"/>
    <w:rsid w:val="00AA2927"/>
    <w:rsid w:val="00AA3445"/>
    <w:rsid w:val="00AA4D3C"/>
    <w:rsid w:val="00AA7D00"/>
    <w:rsid w:val="00AB0683"/>
    <w:rsid w:val="00AB179B"/>
    <w:rsid w:val="00AB197C"/>
    <w:rsid w:val="00AB199E"/>
    <w:rsid w:val="00AB2DA9"/>
    <w:rsid w:val="00AB5052"/>
    <w:rsid w:val="00AB5560"/>
    <w:rsid w:val="00AB6746"/>
    <w:rsid w:val="00AC58FC"/>
    <w:rsid w:val="00AC755B"/>
    <w:rsid w:val="00AD3741"/>
    <w:rsid w:val="00AD389D"/>
    <w:rsid w:val="00AD44DD"/>
    <w:rsid w:val="00AD5497"/>
    <w:rsid w:val="00AD5E69"/>
    <w:rsid w:val="00AD7AA1"/>
    <w:rsid w:val="00AE5ED5"/>
    <w:rsid w:val="00AE7B86"/>
    <w:rsid w:val="00AF2305"/>
    <w:rsid w:val="00AF2A93"/>
    <w:rsid w:val="00AF3A58"/>
    <w:rsid w:val="00AF46AA"/>
    <w:rsid w:val="00AF5D98"/>
    <w:rsid w:val="00B037D3"/>
    <w:rsid w:val="00B03A57"/>
    <w:rsid w:val="00B044C6"/>
    <w:rsid w:val="00B051F1"/>
    <w:rsid w:val="00B11FF2"/>
    <w:rsid w:val="00B20B1E"/>
    <w:rsid w:val="00B20F16"/>
    <w:rsid w:val="00B21963"/>
    <w:rsid w:val="00B2222C"/>
    <w:rsid w:val="00B26221"/>
    <w:rsid w:val="00B27A34"/>
    <w:rsid w:val="00B30B6A"/>
    <w:rsid w:val="00B34F63"/>
    <w:rsid w:val="00B37CBA"/>
    <w:rsid w:val="00B4012B"/>
    <w:rsid w:val="00B40EDB"/>
    <w:rsid w:val="00B43126"/>
    <w:rsid w:val="00B44240"/>
    <w:rsid w:val="00B447CB"/>
    <w:rsid w:val="00B5275C"/>
    <w:rsid w:val="00B53A21"/>
    <w:rsid w:val="00B53B49"/>
    <w:rsid w:val="00B548FA"/>
    <w:rsid w:val="00B56FF3"/>
    <w:rsid w:val="00B57AFD"/>
    <w:rsid w:val="00B57EA9"/>
    <w:rsid w:val="00B63952"/>
    <w:rsid w:val="00B641F8"/>
    <w:rsid w:val="00B642A9"/>
    <w:rsid w:val="00B7228A"/>
    <w:rsid w:val="00B7662E"/>
    <w:rsid w:val="00B82086"/>
    <w:rsid w:val="00B8248F"/>
    <w:rsid w:val="00B9567C"/>
    <w:rsid w:val="00B975F3"/>
    <w:rsid w:val="00BA1E11"/>
    <w:rsid w:val="00BA34FE"/>
    <w:rsid w:val="00BA7650"/>
    <w:rsid w:val="00BC081F"/>
    <w:rsid w:val="00BC21EE"/>
    <w:rsid w:val="00BD1415"/>
    <w:rsid w:val="00BD247A"/>
    <w:rsid w:val="00BD4653"/>
    <w:rsid w:val="00BD6475"/>
    <w:rsid w:val="00BD7A88"/>
    <w:rsid w:val="00BE2499"/>
    <w:rsid w:val="00BE6721"/>
    <w:rsid w:val="00BF0271"/>
    <w:rsid w:val="00BF06DD"/>
    <w:rsid w:val="00BF12C4"/>
    <w:rsid w:val="00BF5E81"/>
    <w:rsid w:val="00BF65CA"/>
    <w:rsid w:val="00BF6EA7"/>
    <w:rsid w:val="00C01123"/>
    <w:rsid w:val="00C1110D"/>
    <w:rsid w:val="00C127B1"/>
    <w:rsid w:val="00C15E87"/>
    <w:rsid w:val="00C175D0"/>
    <w:rsid w:val="00C2096B"/>
    <w:rsid w:val="00C21A8D"/>
    <w:rsid w:val="00C21E2C"/>
    <w:rsid w:val="00C22D8B"/>
    <w:rsid w:val="00C24DB0"/>
    <w:rsid w:val="00C25974"/>
    <w:rsid w:val="00C26B1C"/>
    <w:rsid w:val="00C3426D"/>
    <w:rsid w:val="00C40A55"/>
    <w:rsid w:val="00C44ADA"/>
    <w:rsid w:val="00C46060"/>
    <w:rsid w:val="00C50711"/>
    <w:rsid w:val="00C5218D"/>
    <w:rsid w:val="00C523C6"/>
    <w:rsid w:val="00C525BA"/>
    <w:rsid w:val="00C53065"/>
    <w:rsid w:val="00C54204"/>
    <w:rsid w:val="00C555F7"/>
    <w:rsid w:val="00C60863"/>
    <w:rsid w:val="00C6285D"/>
    <w:rsid w:val="00C62DFA"/>
    <w:rsid w:val="00C639E3"/>
    <w:rsid w:val="00C678A6"/>
    <w:rsid w:val="00C70563"/>
    <w:rsid w:val="00C71292"/>
    <w:rsid w:val="00C71484"/>
    <w:rsid w:val="00C716CA"/>
    <w:rsid w:val="00C735A7"/>
    <w:rsid w:val="00C74518"/>
    <w:rsid w:val="00C8566F"/>
    <w:rsid w:val="00C87C43"/>
    <w:rsid w:val="00C93997"/>
    <w:rsid w:val="00C979D0"/>
    <w:rsid w:val="00CA410E"/>
    <w:rsid w:val="00CA447E"/>
    <w:rsid w:val="00CB0CDF"/>
    <w:rsid w:val="00CB0FE7"/>
    <w:rsid w:val="00CB528D"/>
    <w:rsid w:val="00CB7435"/>
    <w:rsid w:val="00CC421B"/>
    <w:rsid w:val="00CC66A8"/>
    <w:rsid w:val="00CD1254"/>
    <w:rsid w:val="00CE10BD"/>
    <w:rsid w:val="00CE1F17"/>
    <w:rsid w:val="00CE7F13"/>
    <w:rsid w:val="00CF1FAC"/>
    <w:rsid w:val="00CF3FB2"/>
    <w:rsid w:val="00D004BE"/>
    <w:rsid w:val="00D00DBC"/>
    <w:rsid w:val="00D03586"/>
    <w:rsid w:val="00D05726"/>
    <w:rsid w:val="00D075C6"/>
    <w:rsid w:val="00D14FB9"/>
    <w:rsid w:val="00D213E9"/>
    <w:rsid w:val="00D2397D"/>
    <w:rsid w:val="00D30E72"/>
    <w:rsid w:val="00D32594"/>
    <w:rsid w:val="00D33ACD"/>
    <w:rsid w:val="00D35988"/>
    <w:rsid w:val="00D36C27"/>
    <w:rsid w:val="00D37F45"/>
    <w:rsid w:val="00D4151B"/>
    <w:rsid w:val="00D43B2E"/>
    <w:rsid w:val="00D46107"/>
    <w:rsid w:val="00D50854"/>
    <w:rsid w:val="00D54158"/>
    <w:rsid w:val="00D60DAA"/>
    <w:rsid w:val="00D63D53"/>
    <w:rsid w:val="00D64144"/>
    <w:rsid w:val="00D70E81"/>
    <w:rsid w:val="00D72181"/>
    <w:rsid w:val="00D7396F"/>
    <w:rsid w:val="00D76A33"/>
    <w:rsid w:val="00D81AF1"/>
    <w:rsid w:val="00D83318"/>
    <w:rsid w:val="00D843D7"/>
    <w:rsid w:val="00D90345"/>
    <w:rsid w:val="00D909B3"/>
    <w:rsid w:val="00D91227"/>
    <w:rsid w:val="00D92A4E"/>
    <w:rsid w:val="00D92CD3"/>
    <w:rsid w:val="00D97D5E"/>
    <w:rsid w:val="00DA4017"/>
    <w:rsid w:val="00DA5B94"/>
    <w:rsid w:val="00DA60FD"/>
    <w:rsid w:val="00DA72DC"/>
    <w:rsid w:val="00DB16ED"/>
    <w:rsid w:val="00DB5C76"/>
    <w:rsid w:val="00DC0500"/>
    <w:rsid w:val="00DC71D2"/>
    <w:rsid w:val="00DD1675"/>
    <w:rsid w:val="00DD1854"/>
    <w:rsid w:val="00DD3757"/>
    <w:rsid w:val="00DD776A"/>
    <w:rsid w:val="00DE62B9"/>
    <w:rsid w:val="00DE7144"/>
    <w:rsid w:val="00DF2319"/>
    <w:rsid w:val="00DF3569"/>
    <w:rsid w:val="00DF484C"/>
    <w:rsid w:val="00DF4A72"/>
    <w:rsid w:val="00E01852"/>
    <w:rsid w:val="00E155AD"/>
    <w:rsid w:val="00E174BE"/>
    <w:rsid w:val="00E17778"/>
    <w:rsid w:val="00E216A6"/>
    <w:rsid w:val="00E26BD6"/>
    <w:rsid w:val="00E2749E"/>
    <w:rsid w:val="00E332F7"/>
    <w:rsid w:val="00E35B18"/>
    <w:rsid w:val="00E374E0"/>
    <w:rsid w:val="00E37ABA"/>
    <w:rsid w:val="00E425D7"/>
    <w:rsid w:val="00E42E54"/>
    <w:rsid w:val="00E47430"/>
    <w:rsid w:val="00E4775F"/>
    <w:rsid w:val="00E523F8"/>
    <w:rsid w:val="00E547A8"/>
    <w:rsid w:val="00E814AC"/>
    <w:rsid w:val="00E81C52"/>
    <w:rsid w:val="00E85BDB"/>
    <w:rsid w:val="00E8747A"/>
    <w:rsid w:val="00E87F29"/>
    <w:rsid w:val="00E917E1"/>
    <w:rsid w:val="00E91F68"/>
    <w:rsid w:val="00E9253B"/>
    <w:rsid w:val="00E92C22"/>
    <w:rsid w:val="00E92F00"/>
    <w:rsid w:val="00E963F3"/>
    <w:rsid w:val="00E9758C"/>
    <w:rsid w:val="00E97592"/>
    <w:rsid w:val="00EA35D6"/>
    <w:rsid w:val="00EA7477"/>
    <w:rsid w:val="00EA7738"/>
    <w:rsid w:val="00EC3F55"/>
    <w:rsid w:val="00EC5D6B"/>
    <w:rsid w:val="00EC709D"/>
    <w:rsid w:val="00ED0125"/>
    <w:rsid w:val="00ED0E57"/>
    <w:rsid w:val="00ED2E6E"/>
    <w:rsid w:val="00ED6209"/>
    <w:rsid w:val="00EE27D1"/>
    <w:rsid w:val="00EE2BCC"/>
    <w:rsid w:val="00EE523B"/>
    <w:rsid w:val="00EE79C9"/>
    <w:rsid w:val="00EF3B7B"/>
    <w:rsid w:val="00EF6E86"/>
    <w:rsid w:val="00F0000F"/>
    <w:rsid w:val="00F00AF7"/>
    <w:rsid w:val="00F01066"/>
    <w:rsid w:val="00F011FF"/>
    <w:rsid w:val="00F033E6"/>
    <w:rsid w:val="00F05EAF"/>
    <w:rsid w:val="00F07694"/>
    <w:rsid w:val="00F07BDD"/>
    <w:rsid w:val="00F12D19"/>
    <w:rsid w:val="00F12F7B"/>
    <w:rsid w:val="00F1338B"/>
    <w:rsid w:val="00F1412A"/>
    <w:rsid w:val="00F1588F"/>
    <w:rsid w:val="00F1697B"/>
    <w:rsid w:val="00F171EE"/>
    <w:rsid w:val="00F32BAF"/>
    <w:rsid w:val="00F3385A"/>
    <w:rsid w:val="00F36E4A"/>
    <w:rsid w:val="00F42328"/>
    <w:rsid w:val="00F42671"/>
    <w:rsid w:val="00F4441D"/>
    <w:rsid w:val="00F54657"/>
    <w:rsid w:val="00F55D79"/>
    <w:rsid w:val="00F56DC0"/>
    <w:rsid w:val="00F60452"/>
    <w:rsid w:val="00F612C8"/>
    <w:rsid w:val="00F64616"/>
    <w:rsid w:val="00F65E92"/>
    <w:rsid w:val="00F66B4C"/>
    <w:rsid w:val="00F66FE7"/>
    <w:rsid w:val="00F71008"/>
    <w:rsid w:val="00F743BF"/>
    <w:rsid w:val="00F74D9F"/>
    <w:rsid w:val="00F75823"/>
    <w:rsid w:val="00F81978"/>
    <w:rsid w:val="00F84A29"/>
    <w:rsid w:val="00F913C1"/>
    <w:rsid w:val="00F92FA1"/>
    <w:rsid w:val="00F9434B"/>
    <w:rsid w:val="00FA04FB"/>
    <w:rsid w:val="00FA3488"/>
    <w:rsid w:val="00FA355E"/>
    <w:rsid w:val="00FA72A2"/>
    <w:rsid w:val="00FB4565"/>
    <w:rsid w:val="00FB48D4"/>
    <w:rsid w:val="00FB65C9"/>
    <w:rsid w:val="00FB7B11"/>
    <w:rsid w:val="00FC0871"/>
    <w:rsid w:val="00FC0EAE"/>
    <w:rsid w:val="00FC13CF"/>
    <w:rsid w:val="00FC2012"/>
    <w:rsid w:val="00FC2565"/>
    <w:rsid w:val="00FC5559"/>
    <w:rsid w:val="00FD1C01"/>
    <w:rsid w:val="00FD4046"/>
    <w:rsid w:val="00FD5ECB"/>
    <w:rsid w:val="00FE57C2"/>
    <w:rsid w:val="00FF41BA"/>
    <w:rsid w:val="00FF4E89"/>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A2"/>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5921E2"/>
    <w:pPr>
      <w:keepNext/>
      <w:keepLines/>
      <w:widowControl/>
      <w:numPr>
        <w:numId w:val="15"/>
      </w:numPr>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800748"/>
    <w:pPr>
      <w:keepNext/>
      <w:keepLines/>
      <w:widowControl/>
      <w:numPr>
        <w:ilvl w:val="1"/>
        <w:numId w:val="15"/>
      </w:numPr>
      <w:spacing w:line="480" w:lineRule="auto"/>
      <w:outlineLvl w:val="1"/>
    </w:pPr>
    <w:rPr>
      <w:rFonts w:eastAsiaTheme="majorEastAsia"/>
      <w:b/>
      <w:kern w:val="32"/>
      <w:szCs w:val="26"/>
      <w:u w:val="single"/>
    </w:rPr>
  </w:style>
  <w:style w:type="paragraph" w:styleId="Heading3">
    <w:name w:val="heading 3"/>
    <w:basedOn w:val="Normal"/>
    <w:next w:val="FERCparanumber"/>
    <w:uiPriority w:val="9"/>
    <w:unhideWhenUsed/>
    <w:qFormat/>
    <w:rsid w:val="005921E2"/>
    <w:pPr>
      <w:keepNext/>
      <w:keepLines/>
      <w:widowControl/>
      <w:numPr>
        <w:ilvl w:val="2"/>
        <w:numId w:val="15"/>
      </w:numPr>
      <w:outlineLvl w:val="2"/>
    </w:pPr>
    <w:rPr>
      <w:rFonts w:eastAsiaTheme="majorEastAsia"/>
      <w:b/>
      <w:kern w:val="32"/>
      <w:szCs w:val="24"/>
      <w:u w:val="single"/>
    </w:rPr>
  </w:style>
  <w:style w:type="paragraph" w:styleId="Heading4">
    <w:name w:val="heading 4"/>
    <w:basedOn w:val="Normal"/>
    <w:next w:val="FERCparanumber"/>
    <w:uiPriority w:val="9"/>
    <w:semiHidden/>
    <w:unhideWhenUsed/>
    <w:qFormat/>
    <w:rsid w:val="005921E2"/>
    <w:pPr>
      <w:keepNext/>
      <w:keepLines/>
      <w:widowControl/>
      <w:numPr>
        <w:ilvl w:val="3"/>
        <w:numId w:val="15"/>
      </w:numPr>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5921E2"/>
    <w:pPr>
      <w:keepNext/>
      <w:keepLines/>
      <w:widowControl/>
      <w:numPr>
        <w:ilvl w:val="4"/>
        <w:numId w:val="15"/>
      </w:numPr>
      <w:outlineLvl w:val="4"/>
    </w:pPr>
    <w:rPr>
      <w:rFonts w:eastAsiaTheme="majorEastAsia"/>
      <w:b/>
      <w:kern w:val="32"/>
      <w:u w:val="single"/>
    </w:rPr>
  </w:style>
  <w:style w:type="paragraph" w:styleId="Heading6">
    <w:name w:val="heading 6"/>
    <w:basedOn w:val="Normal"/>
    <w:next w:val="FERCparanumber"/>
    <w:uiPriority w:val="9"/>
    <w:unhideWhenUsed/>
    <w:qFormat/>
    <w:rsid w:val="005921E2"/>
    <w:pPr>
      <w:keepNext/>
      <w:keepLines/>
      <w:widowControl/>
      <w:numPr>
        <w:ilvl w:val="5"/>
        <w:numId w:val="15"/>
      </w:numPr>
      <w:outlineLvl w:val="5"/>
    </w:pPr>
    <w:rPr>
      <w:rFonts w:eastAsiaTheme="majorEastAsia"/>
      <w:b/>
      <w:kern w:val="32"/>
      <w:u w:val="single"/>
    </w:rPr>
  </w:style>
  <w:style w:type="paragraph" w:styleId="Heading7">
    <w:name w:val="heading 7"/>
    <w:basedOn w:val="Normal"/>
    <w:next w:val="FERCparanumber"/>
    <w:uiPriority w:val="9"/>
    <w:semiHidden/>
    <w:unhideWhenUsed/>
    <w:qFormat/>
    <w:rsid w:val="005921E2"/>
    <w:pPr>
      <w:keepNext/>
      <w:keepLines/>
      <w:widowControl/>
      <w:numPr>
        <w:ilvl w:val="6"/>
        <w:numId w:val="15"/>
      </w:numPr>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5921E2"/>
    <w:pPr>
      <w:keepNext/>
      <w:keepLines/>
      <w:widowControl/>
      <w:numPr>
        <w:ilvl w:val="7"/>
        <w:numId w:val="15"/>
      </w:numPr>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5921E2"/>
    <w:pPr>
      <w:keepNext/>
      <w:keepLines/>
      <w:widowControl/>
      <w:numPr>
        <w:ilvl w:val="8"/>
        <w:numId w:val="15"/>
      </w:numPr>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964625"/>
    <w:pPr>
      <w:widowControl/>
      <w:numPr>
        <w:numId w:val="11"/>
      </w:numPr>
      <w:spacing w:line="480" w:lineRule="auto"/>
    </w:pPr>
  </w:style>
  <w:style w:type="character" w:customStyle="1" w:styleId="FERCparanumberChar">
    <w:name w:val="FERC paranumber Char"/>
    <w:basedOn w:val="DefaultParagraphFont"/>
    <w:link w:val="FERCparanumber"/>
    <w:rsid w:val="00964625"/>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5921E2"/>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800748"/>
    <w:rPr>
      <w:rFonts w:ascii="Times New Roman" w:eastAsiaTheme="majorEastAsia" w:hAnsi="Times New Roman" w:cs="Times New Roman"/>
      <w:b/>
      <w:kern w:val="32"/>
      <w:sz w:val="26"/>
      <w:szCs w:val="26"/>
      <w:u w:val="single"/>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n1,fn3,fn4,ft Char,Footnote Text Char1"/>
    <w:basedOn w:val="Normal"/>
    <w:link w:val="FootnoteTextChar"/>
    <w:unhideWhenUsed/>
    <w:rsid w:val="00933E94"/>
    <w:pPr>
      <w:spacing w:after="260"/>
      <w:ind w:firstLine="720"/>
    </w:pPr>
    <w:rPr>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n1 Char,fn3 Char"/>
    <w:basedOn w:val="DefaultParagraphFont"/>
    <w:link w:val="FootnoteText"/>
    <w:rsid w:val="00933E94"/>
    <w:rPr>
      <w:rFonts w:ascii="Times New Roman" w:hAnsi="Times New Roman" w:cs="Times New Roman"/>
      <w:sz w:val="26"/>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iPriority w:val="99"/>
    <w:unhideWhenUsed/>
    <w:qFormat/>
    <w:rsid w:val="00933E94"/>
    <w:rPr>
      <w:rFonts w:ascii="Times New Roman" w:hAnsi="Times New Roman" w:cs="Times New Roman"/>
      <w:b/>
      <w:sz w:val="26"/>
      <w:vertAlign w:val="superscript"/>
    </w:rPr>
  </w:style>
  <w:style w:type="paragraph" w:customStyle="1" w:styleId="LegalFormat">
    <w:name w:val="Legal Format"/>
    <w:basedOn w:val="ListContinue"/>
    <w:rsid w:val="003C778B"/>
    <w:pPr>
      <w:widowControl/>
      <w:tabs>
        <w:tab w:val="num" w:pos="360"/>
      </w:tabs>
      <w:spacing w:after="240"/>
      <w:ind w:hanging="360"/>
      <w:contextualSpacing w:val="0"/>
    </w:pPr>
    <w:rPr>
      <w:rFonts w:eastAsia="Times New Roman"/>
      <w:szCs w:val="26"/>
    </w:rPr>
  </w:style>
  <w:style w:type="character" w:styleId="CommentReference">
    <w:name w:val="annotation reference"/>
    <w:basedOn w:val="DefaultParagraphFont"/>
    <w:uiPriority w:val="99"/>
    <w:semiHidden/>
    <w:unhideWhenUsed/>
    <w:rsid w:val="00FC5559"/>
    <w:rPr>
      <w:sz w:val="16"/>
      <w:szCs w:val="16"/>
    </w:rPr>
  </w:style>
  <w:style w:type="character" w:customStyle="1" w:styleId="UnresolvedMention1">
    <w:name w:val="Unresolved Mention1"/>
    <w:basedOn w:val="DefaultParagraphFont"/>
    <w:uiPriority w:val="99"/>
    <w:semiHidden/>
    <w:unhideWhenUsed/>
    <w:rsid w:val="00FC2565"/>
    <w:rPr>
      <w:color w:val="605E5C"/>
      <w:shd w:val="clear" w:color="auto" w:fill="E1DFDD"/>
    </w:rPr>
  </w:style>
  <w:style w:type="character" w:customStyle="1" w:styleId="FERCparanumberChar1">
    <w:name w:val="FERC paranumber Char1"/>
    <w:locked/>
    <w:rsid w:val="005E6B88"/>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577350955">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85075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1.next.westlaw.com/Link/Document/FullText?findType=L&amp;pubNum=1000547&amp;cite=18CFRS385.214&amp;originatingDoc=I7f081e375bf611e7bfb79a463a4b3bc7&amp;refType=LQ&amp;originationContext=document&amp;transitionType=DocumentItem&amp;contextData=(sc.Searc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onLoad="load">
  <ribbon>
    <tabs>
      <tab id="TabFerc" label="2013 Templates">
        <group id="customGroup1" label="Document Format Fixes">
          <button id="btnFormat" label="Format" imageMso="HappyFace" onAction="Order_Ribbon.Order_Execute"/>
          <button id="btnPNumber" label="Numbered Paragraph" imageMso="NumberingGalleryWord" screentip="Inserts a Paragraph Number at Current Location" onAction="Order_Ribbon.Order_Execute"/>
          <button id="btnPRange" label="Paragraph Numbers for Text Range" imageMso="SelectContents" screentip="Converts a Block of Text to FERC Paragraph Numbers" onAction="Order_Ribbon.Order_Execute"/>
        </group>
        <group id="customGroup2" label="Headings">
          <button id="btnHeading" label="Heading Levels" imageMso="ListSetNumberingValue" onAction="Order_Ribbon.Order_Execute"/>
          <button id="btnHeading_Format" label="Heading Formats" imageMso="A" onAction="Order_Ribbon.Order_Execute"/>
          <button id="btnTOCstyle" label="Fix TOC" imageMso="StylesDialogClassic" screentip="Correct Table of Contents Styles" onAction="Order_Ribbon.Order_Execute"/>
          <button id="btnTOC" label="Table of Contents" imageMso="TableOfContentsDialog" size="large" onAction="Order_Ribbon.Order_Execute"/>
        </group>
        <group id="customGroup3" label="Text Format">
          <button id="btnPaste" label="Paste Text" imageMso="Paste" onAction="Order_Ribbon.Order_Execute"/>
          <button id="btnBlock" label="Block Indent" imageMso="ParagraphIndentRight" onAction="Order_Ribbon.Order_Execute"/>
          <button id="btnDate" label="Date Picker" imageMso="ContentControlDate" onAction="Order_Ribbon.Order_Execute"/>
        </group>
        <group id="customGroup4" label="Symbols">
          <button id="btnParagraph" label="Paragraph" imageMso="ParagraphMarks" onAction="Order_Ribbon.Order_Execute"/>
          <button id="btnSection" label="Section" imageMso="Shadow" onAction="Order_Ribbon.Order_Execute"/>
          <button id="btnDegree" label="Degree" imageMso="BrowseSelector" onAction="Order_Ribbon.Order_Execute"/>
        </group>
        <group id="customGroup5" label="Apps" imageMso="ColorAqua">
          <box id="box" boxStyle="vertical">
            <!--
	<splitButton id="splitButton" size="large" >
	<button id="button" imageMso="EditIcon" label="Apps" />
	<menu id="menu">
-->
            <button id="btnFindPNum" label="Find Paragraph" imageMso="FindDialog" onAction="Order_Ribbon.Order_Execute"/>
            <button id="btnupdate_fields" label="Updates Cross References" imageMso="FieldCodes" onAction="Order_Ribbon.Order_Execute"/>
            <button id="btnhighlight" label="Removes Highlights" imageMso="TextHighlightColorPicker" screentip="Removes all highlighting from document, leaving text" onAction="Order_Ribbon.Order_Execute"/>
            <button id="btnRemNames" label="Removes Names from Track Changes Markings" imageMso="Tracking" screentip="Removes individual names from track changes when the document is saved" onAction="Order_Ribbon.Order_Execute"/>
            <button id="btnremove_comments" label="Removes Comments" imageMso="DeleteThisFolder" screentip="Removes all commenting in the document" onAction="Order_Ribbon.Order_Execute"/>
            <button id="btnremove_fonts" label="Removes Redline and Strikeout Fonts" imageMso="FontColorCycle" screentip="Removes all text using strikeout font and changes redline to black font" onAction="Order_Ribbon.Order_Execute"/>
            <button id="btnBlack" label="Fixes Blacked Out Numbers" imageMso="BlackAndWhiteBlack" screentip="Resets paragraph or style numbering if the numbering list is corrupted and the number is blacked out" onAction="Order_Ribbon.Order_Execute"/>
            <!--
</menu>
</splitButton>
-->
          </box>
        </group>
        <group id="CUI" label="CUI" imageMso="ColorAqua">
          <button id="btnCUI_Add" label="Adds CUI Header" imageMso="HeaderFooterInsert" screentip="Adds header reading CUI//PRIVILEGED" onAction="Order_Ribbon.Order_Execute"/>
          <button id="btnCUI_Remove" label="Removes CUI Header" imageMso="HeaderFooterRemoveHeaderWord" screentip="Removes CUI headers" onAction="Order_Ribbon.Order_Execute"/>
        </group>
        <group id="customGroup6" label="New Order">
          <button id="btnOpen" label="Order Menu" imageMso="NewPage" onAction="Order_Ribbon.Order_Execute"/>
        </group>
      </tab>
      <!--
<tab id="CUI" label="CUI">
        <group id="CUI-1" label="CUI Removal">
<button id="btnCUI" label="Remove CUI//PRIV" imageMso="RemoveAttach" screentip="Removes CUI Privielge from Documents to be made Public" onAction="Order_Ribbon.Order_Execute"/>
</group>
      </tab>
-->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9DBF1-62F2-4BB3-BD2E-525AF684F648}">
  <ds:schemaRefs>
    <ds:schemaRef ds:uri="http://schemas.microsoft.com/sharepoint/v3/contenttype/forms"/>
  </ds:schemaRefs>
</ds:datastoreItem>
</file>

<file path=customXml/itemProps2.xml><?xml version="1.0" encoding="utf-8"?>
<ds:datastoreItem xmlns:ds="http://schemas.openxmlformats.org/officeDocument/2006/customXml" ds:itemID="{8C82FE1A-165D-4796-AAC0-B110628ACD29}">
  <ds:schemaRefs>
    <ds:schemaRef ds:uri="Microsoft.SharePoint.Taxonomy.ContentTypeSync"/>
  </ds:schemaRefs>
</ds:datastoreItem>
</file>

<file path=customXml/itemProps3.xml><?xml version="1.0" encoding="utf-8"?>
<ds:datastoreItem xmlns:ds="http://schemas.openxmlformats.org/officeDocument/2006/customXml" ds:itemID="{20970683-A7C9-4EF3-A12A-68CA075A8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26CC28-B4D9-4E62-9E64-201F48BE4A88}">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0F0876E2-2998-4461-8F55-3853D108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2021-05-04T17:29:00Z</dcterms:created>
  <dcterms:modified xsi:type="dcterms:W3CDTF">2021-05-04T17:29:00Z</dcterms:modified>
  <cp:category/>
  <dc:identifier/>
  <cp:contentStatus/>
  <cp:version/>
</cp:coreProperties>
</file>