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C29" w:rsidRDefault="001D5704" w14:paraId="015C90F6" w14:textId="77777777">
      <w:pPr>
        <w:jc w:val="center"/>
      </w:pPr>
      <w:bookmarkStart w:name="_GoBack" w:id="0"/>
      <w:bookmarkEnd w:id="0"/>
      <w:r>
        <w:t>165 FERC ¶ 61,020</w:t>
      </w:r>
    </w:p>
    <w:p w:rsidR="00500CF6" w:rsidRDefault="00500CF6" w14:paraId="780CD891" w14:textId="77777777">
      <w:pPr>
        <w:tabs>
          <w:tab w:val="left" w:pos="520"/>
        </w:tabs>
        <w:jc w:val="center"/>
        <w:rPr>
          <w:szCs w:val="26"/>
        </w:rPr>
      </w:pPr>
      <w:r>
        <w:rPr>
          <w:szCs w:val="26"/>
        </w:rPr>
        <w:t>UNITED STATES OF AMERICA</w:t>
      </w:r>
    </w:p>
    <w:p w:rsidR="00500CF6" w:rsidRDefault="00500CF6" w14:paraId="1FDD1BA7" w14:textId="77777777">
      <w:pPr>
        <w:tabs>
          <w:tab w:val="left" w:pos="520"/>
        </w:tabs>
        <w:jc w:val="center"/>
        <w:rPr>
          <w:szCs w:val="26"/>
        </w:rPr>
      </w:pPr>
      <w:r>
        <w:rPr>
          <w:szCs w:val="26"/>
        </w:rPr>
        <w:t>FEDERAL ENERGY REGULATORY COMMISSION</w:t>
      </w:r>
    </w:p>
    <w:p w:rsidR="00500CF6" w:rsidRDefault="00500CF6" w14:paraId="007A9B95" w14:textId="77777777">
      <w:pPr>
        <w:tabs>
          <w:tab w:val="left" w:pos="520"/>
        </w:tabs>
        <w:jc w:val="center"/>
        <w:rPr>
          <w:szCs w:val="26"/>
        </w:rPr>
      </w:pPr>
    </w:p>
    <w:p w:rsidR="00500CF6" w:rsidRDefault="00500CF6" w14:paraId="7AAF424C" w14:textId="77777777">
      <w:pPr>
        <w:tabs>
          <w:tab w:val="left" w:pos="520"/>
        </w:tabs>
        <w:jc w:val="center"/>
        <w:rPr>
          <w:szCs w:val="26"/>
        </w:rPr>
      </w:pPr>
      <w:r>
        <w:rPr>
          <w:szCs w:val="26"/>
        </w:rPr>
        <w:t>18 CFR Part 40</w:t>
      </w:r>
    </w:p>
    <w:p w:rsidR="00500CF6" w:rsidRDefault="00500CF6" w14:paraId="308F4D08" w14:textId="77777777">
      <w:pPr>
        <w:tabs>
          <w:tab w:val="left" w:pos="520"/>
        </w:tabs>
        <w:jc w:val="center"/>
        <w:rPr>
          <w:szCs w:val="26"/>
        </w:rPr>
      </w:pPr>
    </w:p>
    <w:p w:rsidR="00500CF6" w:rsidRDefault="00433373" w14:paraId="048AEED2" w14:textId="12B63FB7">
      <w:pPr>
        <w:tabs>
          <w:tab w:val="left" w:pos="520"/>
        </w:tabs>
        <w:jc w:val="center"/>
        <w:rPr>
          <w:szCs w:val="26"/>
        </w:rPr>
      </w:pPr>
      <w:r>
        <w:rPr>
          <w:szCs w:val="26"/>
        </w:rPr>
        <w:t>[</w:t>
      </w:r>
      <w:r w:rsidR="008034AF">
        <w:rPr>
          <w:szCs w:val="26"/>
        </w:rPr>
        <w:t>Docket No. RM</w:t>
      </w:r>
      <w:r w:rsidR="00934277">
        <w:rPr>
          <w:szCs w:val="26"/>
        </w:rPr>
        <w:t>17-13-000</w:t>
      </w:r>
      <w:r w:rsidR="00D25CCE">
        <w:rPr>
          <w:szCs w:val="26"/>
        </w:rPr>
        <w:t>; Order No. 850</w:t>
      </w:r>
      <w:r>
        <w:rPr>
          <w:szCs w:val="26"/>
        </w:rPr>
        <w:t>]</w:t>
      </w:r>
      <w:r w:rsidR="00535355">
        <w:rPr>
          <w:szCs w:val="26"/>
        </w:rPr>
        <w:t xml:space="preserve"> </w:t>
      </w:r>
    </w:p>
    <w:p w:rsidR="00500CF6" w:rsidRDefault="00500CF6" w14:paraId="60F8A9A1" w14:textId="77777777">
      <w:pPr>
        <w:tabs>
          <w:tab w:val="left" w:pos="520"/>
        </w:tabs>
        <w:jc w:val="center"/>
        <w:rPr>
          <w:szCs w:val="26"/>
        </w:rPr>
      </w:pPr>
    </w:p>
    <w:p w:rsidR="00500CF6" w:rsidRDefault="00934277" w14:paraId="3E90804C" w14:textId="77777777">
      <w:pPr>
        <w:tabs>
          <w:tab w:val="left" w:pos="520"/>
        </w:tabs>
        <w:jc w:val="center"/>
        <w:rPr>
          <w:szCs w:val="26"/>
        </w:rPr>
      </w:pPr>
      <w:r>
        <w:rPr>
          <w:szCs w:val="26"/>
        </w:rPr>
        <w:t>Supply Chain Risk Management</w:t>
      </w:r>
      <w:r w:rsidR="00246ADC">
        <w:rPr>
          <w:szCs w:val="26"/>
        </w:rPr>
        <w:t xml:space="preserve"> Reliability Standards</w:t>
      </w:r>
    </w:p>
    <w:p w:rsidR="00500CF6" w:rsidRDefault="00500CF6" w14:paraId="4896B249" w14:textId="77777777">
      <w:pPr>
        <w:tabs>
          <w:tab w:val="left" w:pos="520"/>
        </w:tabs>
        <w:jc w:val="center"/>
        <w:rPr>
          <w:szCs w:val="26"/>
        </w:rPr>
      </w:pPr>
      <w:r>
        <w:rPr>
          <w:szCs w:val="26"/>
        </w:rPr>
        <w:t xml:space="preserve">   </w:t>
      </w:r>
    </w:p>
    <w:p w:rsidR="006C3963" w:rsidP="00D86FA8" w:rsidRDefault="001D5704" w14:paraId="584269B8" w14:textId="3399FCA1">
      <w:pPr>
        <w:tabs>
          <w:tab w:val="left" w:pos="520"/>
        </w:tabs>
        <w:jc w:val="center"/>
        <w:rPr>
          <w:szCs w:val="26"/>
        </w:rPr>
      </w:pPr>
      <w:r>
        <w:rPr>
          <w:szCs w:val="26"/>
        </w:rPr>
        <w:t>(Issued October 18</w:t>
      </w:r>
      <w:r w:rsidRPr="006959D9" w:rsidR="006959D9">
        <w:rPr>
          <w:szCs w:val="26"/>
        </w:rPr>
        <w:t>, 2018)</w:t>
      </w:r>
    </w:p>
    <w:p w:rsidRPr="006959D9" w:rsidR="006959D9" w:rsidP="006959D9" w:rsidRDefault="006959D9" w14:paraId="65AEB14D" w14:textId="77777777">
      <w:pPr>
        <w:tabs>
          <w:tab w:val="left" w:pos="520"/>
        </w:tabs>
        <w:rPr>
          <w:szCs w:val="26"/>
        </w:rPr>
      </w:pPr>
    </w:p>
    <w:p w:rsidRPr="006C3963" w:rsidR="006C3963" w:rsidP="006C3963" w:rsidRDefault="006C3963" w14:paraId="06DE9176" w14:textId="77777777">
      <w:pPr>
        <w:tabs>
          <w:tab w:val="left" w:pos="520"/>
        </w:tabs>
        <w:rPr>
          <w:szCs w:val="26"/>
        </w:rPr>
      </w:pPr>
    </w:p>
    <w:p w:rsidR="00500CF6" w:rsidP="00F00482" w:rsidRDefault="00500CF6" w14:paraId="237F18A3" w14:textId="77777777">
      <w:pPr>
        <w:tabs>
          <w:tab w:val="left" w:pos="520"/>
        </w:tabs>
        <w:spacing w:line="480" w:lineRule="auto"/>
        <w:rPr>
          <w:b/>
          <w:szCs w:val="26"/>
        </w:rPr>
      </w:pPr>
      <w:r>
        <w:rPr>
          <w:szCs w:val="26"/>
          <w:u w:val="single"/>
        </w:rPr>
        <w:t>AGENCY</w:t>
      </w:r>
      <w:r>
        <w:rPr>
          <w:szCs w:val="26"/>
        </w:rPr>
        <w:t xml:space="preserve">:  Federal Energy Regulatory Commission. </w:t>
      </w:r>
    </w:p>
    <w:p w:rsidR="00500CF6" w:rsidP="00F00482" w:rsidRDefault="00500CF6" w14:paraId="5DE0E49A" w14:textId="77777777">
      <w:pPr>
        <w:tabs>
          <w:tab w:val="left" w:pos="520"/>
        </w:tabs>
        <w:spacing w:line="480" w:lineRule="auto"/>
        <w:rPr>
          <w:szCs w:val="26"/>
        </w:rPr>
      </w:pPr>
      <w:r>
        <w:rPr>
          <w:szCs w:val="26"/>
          <w:u w:val="single"/>
        </w:rPr>
        <w:t>ACTION</w:t>
      </w:r>
      <w:r>
        <w:rPr>
          <w:szCs w:val="26"/>
        </w:rPr>
        <w:t xml:space="preserve">:  </w:t>
      </w:r>
      <w:r w:rsidR="004A01F7">
        <w:rPr>
          <w:szCs w:val="26"/>
        </w:rPr>
        <w:t>Final rule</w:t>
      </w:r>
      <w:r>
        <w:rPr>
          <w:szCs w:val="26"/>
        </w:rPr>
        <w:t>.</w:t>
      </w:r>
    </w:p>
    <w:p w:rsidR="00807A18" w:rsidRDefault="00500CF6" w14:paraId="17AEDB6A" w14:textId="77777777">
      <w:pPr>
        <w:pStyle w:val="StyleFERCparanumberLinespacingDouble"/>
        <w:numPr>
          <w:ilvl w:val="0"/>
          <w:numId w:val="0"/>
        </w:numPr>
        <w:tabs>
          <w:tab w:val="left" w:pos="520"/>
        </w:tabs>
        <w:rPr>
          <w:b/>
          <w:szCs w:val="26"/>
        </w:rPr>
      </w:pPr>
      <w:r w:rsidRPr="00271471">
        <w:rPr>
          <w:szCs w:val="26"/>
          <w:u w:val="single"/>
        </w:rPr>
        <w:t>SUMMARY</w:t>
      </w:r>
      <w:r w:rsidRPr="00271471">
        <w:rPr>
          <w:szCs w:val="26"/>
        </w:rPr>
        <w:t xml:space="preserve">:  </w:t>
      </w:r>
      <w:r w:rsidR="00CD22C7">
        <w:rPr>
          <w:szCs w:val="26"/>
        </w:rPr>
        <w:t>T</w:t>
      </w:r>
      <w:r w:rsidR="00CA4D36">
        <w:rPr>
          <w:szCs w:val="26"/>
        </w:rPr>
        <w:t xml:space="preserve">he Federal </w:t>
      </w:r>
      <w:r w:rsidR="00CD22C7">
        <w:rPr>
          <w:szCs w:val="26"/>
        </w:rPr>
        <w:t>Energy Regulatory</w:t>
      </w:r>
      <w:r w:rsidR="00CA4D36">
        <w:rPr>
          <w:szCs w:val="26"/>
        </w:rPr>
        <w:t xml:space="preserve"> Commission</w:t>
      </w:r>
      <w:r w:rsidR="00CA4D36">
        <w:t xml:space="preserve"> </w:t>
      </w:r>
      <w:r w:rsidR="00CD22C7">
        <w:t>(Commission)</w:t>
      </w:r>
      <w:r w:rsidR="00CA4D36">
        <w:t xml:space="preserve"> </w:t>
      </w:r>
      <w:r w:rsidR="002E7FB5">
        <w:t>approve</w:t>
      </w:r>
      <w:r w:rsidR="004A01F7">
        <w:t>s</w:t>
      </w:r>
      <w:r w:rsidR="002E7FB5">
        <w:t xml:space="preserve"> </w:t>
      </w:r>
      <w:r w:rsidR="00934277">
        <w:t xml:space="preserve">supply chain risk management </w:t>
      </w:r>
      <w:r w:rsidRPr="005647D0" w:rsidR="00934277">
        <w:rPr>
          <w:szCs w:val="26"/>
        </w:rPr>
        <w:t xml:space="preserve">Reliability Standards CIP-013-1 </w:t>
      </w:r>
      <w:r w:rsidR="00934277">
        <w:rPr>
          <w:szCs w:val="26"/>
        </w:rPr>
        <w:t>(</w:t>
      </w:r>
      <w:r w:rsidRPr="005647D0" w:rsidR="00934277">
        <w:rPr>
          <w:szCs w:val="26"/>
        </w:rPr>
        <w:t>Cyber Security – Supply Chain Risk Management</w:t>
      </w:r>
      <w:r w:rsidR="00934277">
        <w:rPr>
          <w:szCs w:val="26"/>
        </w:rPr>
        <w:t>)</w:t>
      </w:r>
      <w:r w:rsidRPr="005647D0" w:rsidR="00934277">
        <w:rPr>
          <w:szCs w:val="26"/>
        </w:rPr>
        <w:t xml:space="preserve">, CIP-005-6 </w:t>
      </w:r>
      <w:r w:rsidR="00934277">
        <w:rPr>
          <w:szCs w:val="26"/>
        </w:rPr>
        <w:t>(</w:t>
      </w:r>
      <w:r w:rsidRPr="005647D0" w:rsidR="00934277">
        <w:rPr>
          <w:szCs w:val="26"/>
        </w:rPr>
        <w:t>Cyber Security – Electronic Security Perimeter(s)</w:t>
      </w:r>
      <w:r w:rsidR="00934277">
        <w:rPr>
          <w:szCs w:val="26"/>
        </w:rPr>
        <w:t>)</w:t>
      </w:r>
      <w:r w:rsidRPr="005647D0" w:rsidR="00934277">
        <w:rPr>
          <w:szCs w:val="26"/>
        </w:rPr>
        <w:t xml:space="preserve"> and CIP-010-3 </w:t>
      </w:r>
      <w:r w:rsidR="00934277">
        <w:rPr>
          <w:szCs w:val="26"/>
        </w:rPr>
        <w:t>(</w:t>
      </w:r>
      <w:r w:rsidRPr="005647D0" w:rsidR="00934277">
        <w:rPr>
          <w:szCs w:val="26"/>
        </w:rPr>
        <w:t>Cyber Security – Configuration Change Management and Vulnerability Assessments</w:t>
      </w:r>
      <w:r w:rsidR="00934277">
        <w:rPr>
          <w:szCs w:val="26"/>
        </w:rPr>
        <w:t>)</w:t>
      </w:r>
      <w:r w:rsidR="00E44494">
        <w:rPr>
          <w:szCs w:val="26"/>
        </w:rPr>
        <w:t xml:space="preserve"> submitted by </w:t>
      </w:r>
      <w:r w:rsidR="00E44494">
        <w:t>t</w:t>
      </w:r>
      <w:r w:rsidR="00934277">
        <w:t>he North American Electric Reliability Corporation (NERC)</w:t>
      </w:r>
      <w:r w:rsidR="00E44494">
        <w:t xml:space="preserve">.  </w:t>
      </w:r>
      <w:r w:rsidR="00934277">
        <w:rPr>
          <w:szCs w:val="26"/>
        </w:rPr>
        <w:t xml:space="preserve">In addition, the Commission </w:t>
      </w:r>
      <w:r w:rsidR="004A01F7">
        <w:rPr>
          <w:szCs w:val="26"/>
        </w:rPr>
        <w:t xml:space="preserve">directs </w:t>
      </w:r>
      <w:r w:rsidR="00934277">
        <w:rPr>
          <w:szCs w:val="26"/>
        </w:rPr>
        <w:t>NERC</w:t>
      </w:r>
      <w:r w:rsidR="004A01F7">
        <w:rPr>
          <w:szCs w:val="26"/>
        </w:rPr>
        <w:t xml:space="preserve"> to</w:t>
      </w:r>
      <w:r w:rsidR="00934277">
        <w:rPr>
          <w:szCs w:val="26"/>
        </w:rPr>
        <w:t xml:space="preserve"> develop and submit modifications to the </w:t>
      </w:r>
      <w:r w:rsidR="00934277">
        <w:t xml:space="preserve">supply chain risk management </w:t>
      </w:r>
      <w:r w:rsidRPr="005647D0" w:rsidR="00934277">
        <w:rPr>
          <w:szCs w:val="26"/>
        </w:rPr>
        <w:t>Reliability Standards</w:t>
      </w:r>
      <w:r w:rsidR="009753D0">
        <w:rPr>
          <w:szCs w:val="26"/>
        </w:rPr>
        <w:t xml:space="preserve"> so that the scope of the </w:t>
      </w:r>
      <w:r w:rsidR="00AF3941">
        <w:rPr>
          <w:szCs w:val="26"/>
        </w:rPr>
        <w:t>Reliability S</w:t>
      </w:r>
      <w:r w:rsidR="009753D0">
        <w:rPr>
          <w:szCs w:val="26"/>
        </w:rPr>
        <w:t xml:space="preserve">tandards </w:t>
      </w:r>
      <w:r w:rsidR="00D331E9">
        <w:rPr>
          <w:szCs w:val="26"/>
        </w:rPr>
        <w:t>include</w:t>
      </w:r>
      <w:r w:rsidR="009753D0">
        <w:rPr>
          <w:szCs w:val="26"/>
        </w:rPr>
        <w:t xml:space="preserve"> </w:t>
      </w:r>
      <w:r w:rsidRPr="009B7CFC" w:rsidR="009753D0">
        <w:rPr>
          <w:szCs w:val="26"/>
        </w:rPr>
        <w:t>Electronic Access Control and Monitoring Systems</w:t>
      </w:r>
      <w:r w:rsidR="00934277">
        <w:rPr>
          <w:szCs w:val="26"/>
        </w:rPr>
        <w:t>.</w:t>
      </w:r>
    </w:p>
    <w:p w:rsidR="008575ED" w:rsidP="008575ED" w:rsidRDefault="00500CF6" w14:paraId="2A242177" w14:textId="77777777">
      <w:pPr>
        <w:tabs>
          <w:tab w:val="left" w:pos="520"/>
        </w:tabs>
        <w:spacing w:line="480" w:lineRule="auto"/>
        <w:rPr>
          <w:szCs w:val="26"/>
        </w:rPr>
      </w:pPr>
      <w:r w:rsidRPr="00271471">
        <w:rPr>
          <w:szCs w:val="26"/>
          <w:u w:val="single"/>
        </w:rPr>
        <w:t>DATES</w:t>
      </w:r>
      <w:r w:rsidRPr="00271471">
        <w:rPr>
          <w:szCs w:val="26"/>
        </w:rPr>
        <w:t xml:space="preserve">:  </w:t>
      </w:r>
      <w:r w:rsidR="008575ED">
        <w:t>This rule will become effective</w:t>
      </w:r>
      <w:r w:rsidRPr="00271471">
        <w:rPr>
          <w:b/>
        </w:rPr>
        <w:t xml:space="preserve"> [INSERT </w:t>
      </w:r>
      <w:r w:rsidRPr="00043868">
        <w:rPr>
          <w:b/>
        </w:rPr>
        <w:t xml:space="preserve">DATE </w:t>
      </w:r>
      <w:r w:rsidR="00CD22C7">
        <w:rPr>
          <w:b/>
        </w:rPr>
        <w:t>6</w:t>
      </w:r>
      <w:r w:rsidRPr="00043868">
        <w:rPr>
          <w:b/>
        </w:rPr>
        <w:t>0 days</w:t>
      </w:r>
      <w:r w:rsidRPr="00271471">
        <w:rPr>
          <w:b/>
        </w:rPr>
        <w:t xml:space="preserve"> after publication in the FEDERAL REGISTER]</w:t>
      </w:r>
      <w:r w:rsidR="005F1DB3">
        <w:rPr>
          <w:b/>
        </w:rPr>
        <w:t>.</w:t>
      </w:r>
    </w:p>
    <w:p w:rsidR="008575ED" w:rsidP="008575ED" w:rsidRDefault="008575ED" w14:paraId="47248F4C" w14:textId="77777777">
      <w:pPr>
        <w:rPr>
          <w:szCs w:val="26"/>
        </w:rPr>
      </w:pPr>
    </w:p>
    <w:p w:rsidRPr="00271471" w:rsidR="00500CF6" w:rsidP="00774C51" w:rsidRDefault="00500CF6" w14:paraId="609A31DF" w14:textId="77777777">
      <w:pPr>
        <w:pageBreakBefore/>
        <w:tabs>
          <w:tab w:val="left" w:pos="520"/>
        </w:tabs>
        <w:rPr>
          <w:szCs w:val="26"/>
        </w:rPr>
      </w:pPr>
      <w:r w:rsidRPr="00271471">
        <w:rPr>
          <w:szCs w:val="26"/>
          <w:u w:val="single"/>
        </w:rPr>
        <w:lastRenderedPageBreak/>
        <w:t>FOR FURTHER INFORMATION CONTACT</w:t>
      </w:r>
      <w:r w:rsidRPr="00271471">
        <w:rPr>
          <w:szCs w:val="26"/>
        </w:rPr>
        <w:t>:</w:t>
      </w:r>
    </w:p>
    <w:p w:rsidRPr="00271471" w:rsidR="00500CF6" w:rsidRDefault="00500CF6" w14:paraId="16781AFF" w14:textId="77777777">
      <w:pPr>
        <w:tabs>
          <w:tab w:val="left" w:pos="520"/>
        </w:tabs>
        <w:rPr>
          <w:szCs w:val="26"/>
        </w:rPr>
      </w:pPr>
    </w:p>
    <w:p w:rsidRPr="00BD3BA0" w:rsidR="00500CF6" w:rsidRDefault="00BD3BA0" w14:paraId="18B05A18" w14:textId="77777777">
      <w:pPr>
        <w:tabs>
          <w:tab w:val="left" w:pos="520"/>
        </w:tabs>
        <w:rPr>
          <w:szCs w:val="26"/>
        </w:rPr>
      </w:pPr>
      <w:r w:rsidRPr="00BD3BA0">
        <w:rPr>
          <w:szCs w:val="26"/>
        </w:rPr>
        <w:t xml:space="preserve">Simon Slobodnik </w:t>
      </w:r>
      <w:r w:rsidRPr="00BD3BA0" w:rsidR="00500CF6">
        <w:rPr>
          <w:szCs w:val="26"/>
        </w:rPr>
        <w:t>(Technical Information)</w:t>
      </w:r>
    </w:p>
    <w:p w:rsidRPr="00BD3BA0" w:rsidR="00500CF6" w:rsidRDefault="00500CF6" w14:paraId="407CF9B3" w14:textId="77777777">
      <w:pPr>
        <w:tabs>
          <w:tab w:val="left" w:pos="520"/>
        </w:tabs>
        <w:rPr>
          <w:szCs w:val="26"/>
        </w:rPr>
      </w:pPr>
      <w:r w:rsidRPr="00BD3BA0">
        <w:rPr>
          <w:szCs w:val="26"/>
        </w:rPr>
        <w:t>Office of Electric Reliability</w:t>
      </w:r>
    </w:p>
    <w:p w:rsidRPr="00BD3BA0" w:rsidR="00500CF6" w:rsidRDefault="00500CF6" w14:paraId="15841D99" w14:textId="77777777">
      <w:pPr>
        <w:tabs>
          <w:tab w:val="left" w:pos="520"/>
        </w:tabs>
        <w:rPr>
          <w:szCs w:val="26"/>
        </w:rPr>
      </w:pPr>
      <w:r w:rsidRPr="00BD3BA0">
        <w:rPr>
          <w:szCs w:val="26"/>
        </w:rPr>
        <w:t>Federal Energy Regulatory Commission</w:t>
      </w:r>
    </w:p>
    <w:p w:rsidRPr="00BD3BA0" w:rsidR="00500CF6" w:rsidRDefault="00500CF6" w14:paraId="08703AB2" w14:textId="77777777">
      <w:pPr>
        <w:tabs>
          <w:tab w:val="left" w:pos="520"/>
        </w:tabs>
        <w:rPr>
          <w:szCs w:val="26"/>
        </w:rPr>
      </w:pPr>
      <w:r w:rsidRPr="00BD3BA0">
        <w:rPr>
          <w:szCs w:val="26"/>
        </w:rPr>
        <w:t>888 First Street, NE</w:t>
      </w:r>
    </w:p>
    <w:p w:rsidRPr="00BD3BA0" w:rsidR="00500CF6" w:rsidRDefault="00500CF6" w14:paraId="54887669" w14:textId="77777777">
      <w:pPr>
        <w:tabs>
          <w:tab w:val="left" w:pos="520"/>
        </w:tabs>
        <w:rPr>
          <w:szCs w:val="26"/>
        </w:rPr>
      </w:pPr>
      <w:r w:rsidRPr="00BD3BA0">
        <w:rPr>
          <w:szCs w:val="26"/>
        </w:rPr>
        <w:t>Washington, DC  20426</w:t>
      </w:r>
    </w:p>
    <w:p w:rsidR="00BD3BA0" w:rsidRDefault="00BD3BA0" w14:paraId="12337962" w14:textId="77777777">
      <w:pPr>
        <w:tabs>
          <w:tab w:val="left" w:pos="520"/>
        </w:tabs>
        <w:rPr>
          <w:szCs w:val="26"/>
        </w:rPr>
      </w:pPr>
      <w:r>
        <w:rPr>
          <w:szCs w:val="26"/>
        </w:rPr>
        <w:t>(</w:t>
      </w:r>
      <w:r w:rsidRPr="00BD3BA0">
        <w:rPr>
          <w:szCs w:val="26"/>
        </w:rPr>
        <w:t>202</w:t>
      </w:r>
      <w:r>
        <w:rPr>
          <w:szCs w:val="26"/>
        </w:rPr>
        <w:t xml:space="preserve">) </w:t>
      </w:r>
      <w:r w:rsidRPr="00BD3BA0">
        <w:rPr>
          <w:szCs w:val="26"/>
        </w:rPr>
        <w:t xml:space="preserve">502-6707 </w:t>
      </w:r>
    </w:p>
    <w:p w:rsidRPr="00205725" w:rsidR="00500CF6" w:rsidRDefault="00E44494" w14:paraId="5BC452E8" w14:textId="2487BE32">
      <w:pPr>
        <w:tabs>
          <w:tab w:val="left" w:pos="520"/>
        </w:tabs>
        <w:rPr>
          <w:szCs w:val="26"/>
        </w:rPr>
      </w:pPr>
      <w:r w:rsidRPr="00205725">
        <w:rPr>
          <w:rStyle w:val="Hyperlink"/>
          <w:color w:val="auto"/>
          <w:szCs w:val="26"/>
        </w:rPr>
        <w:t>simon.slobodnik@ferc.gov</w:t>
      </w:r>
    </w:p>
    <w:p w:rsidR="00BD138B" w:rsidRDefault="00BD138B" w14:paraId="15AD71DD" w14:textId="77777777">
      <w:pPr>
        <w:tabs>
          <w:tab w:val="left" w:pos="520"/>
        </w:tabs>
        <w:rPr>
          <w:szCs w:val="26"/>
        </w:rPr>
      </w:pPr>
    </w:p>
    <w:p w:rsidRPr="00BD138B" w:rsidR="00BD138B" w:rsidP="00BD138B" w:rsidRDefault="00BD138B" w14:paraId="39F5EE1F" w14:textId="77777777">
      <w:pPr>
        <w:tabs>
          <w:tab w:val="left" w:pos="520"/>
        </w:tabs>
        <w:rPr>
          <w:szCs w:val="26"/>
        </w:rPr>
      </w:pPr>
      <w:r w:rsidRPr="00BD138B">
        <w:rPr>
          <w:szCs w:val="26"/>
        </w:rPr>
        <w:t>Patricia Eke (Technical Information)</w:t>
      </w:r>
    </w:p>
    <w:p w:rsidRPr="00BD138B" w:rsidR="00BD138B" w:rsidP="00BD138B" w:rsidRDefault="00BD138B" w14:paraId="2ABCF600" w14:textId="77777777">
      <w:pPr>
        <w:tabs>
          <w:tab w:val="left" w:pos="520"/>
        </w:tabs>
        <w:rPr>
          <w:szCs w:val="26"/>
        </w:rPr>
      </w:pPr>
      <w:r w:rsidRPr="00BD138B">
        <w:rPr>
          <w:szCs w:val="26"/>
        </w:rPr>
        <w:t>Office of Electric Reliability</w:t>
      </w:r>
    </w:p>
    <w:p w:rsidRPr="00BD138B" w:rsidR="00BD138B" w:rsidP="00BD138B" w:rsidRDefault="00BD138B" w14:paraId="2E363691" w14:textId="77777777">
      <w:pPr>
        <w:tabs>
          <w:tab w:val="left" w:pos="520"/>
        </w:tabs>
        <w:rPr>
          <w:szCs w:val="26"/>
        </w:rPr>
      </w:pPr>
      <w:r w:rsidRPr="00BD138B">
        <w:rPr>
          <w:szCs w:val="26"/>
        </w:rPr>
        <w:t>Federal Energy Regulatory Commission</w:t>
      </w:r>
    </w:p>
    <w:p w:rsidRPr="00BD138B" w:rsidR="00BD138B" w:rsidP="00BD138B" w:rsidRDefault="00BD138B" w14:paraId="70D826F9" w14:textId="77777777">
      <w:pPr>
        <w:tabs>
          <w:tab w:val="left" w:pos="520"/>
        </w:tabs>
        <w:rPr>
          <w:szCs w:val="26"/>
        </w:rPr>
      </w:pPr>
      <w:r w:rsidRPr="00BD138B">
        <w:rPr>
          <w:szCs w:val="26"/>
        </w:rPr>
        <w:t>888 First Street, NE</w:t>
      </w:r>
    </w:p>
    <w:p w:rsidRPr="00BD138B" w:rsidR="00BD138B" w:rsidP="00BD138B" w:rsidRDefault="00BD138B" w14:paraId="2F5C178B" w14:textId="77777777">
      <w:pPr>
        <w:tabs>
          <w:tab w:val="left" w:pos="520"/>
        </w:tabs>
        <w:rPr>
          <w:szCs w:val="26"/>
        </w:rPr>
      </w:pPr>
      <w:r w:rsidRPr="00BD138B">
        <w:rPr>
          <w:szCs w:val="26"/>
        </w:rPr>
        <w:t>Washington, DC  20426</w:t>
      </w:r>
    </w:p>
    <w:p w:rsidRPr="00BD138B" w:rsidR="00BD138B" w:rsidP="00BD138B" w:rsidRDefault="00BD138B" w14:paraId="7AFFF759" w14:textId="77777777">
      <w:pPr>
        <w:tabs>
          <w:tab w:val="left" w:pos="520"/>
        </w:tabs>
        <w:rPr>
          <w:szCs w:val="26"/>
        </w:rPr>
      </w:pPr>
      <w:r w:rsidRPr="00BD138B">
        <w:rPr>
          <w:szCs w:val="26"/>
        </w:rPr>
        <w:t xml:space="preserve">(202) 502-8388 </w:t>
      </w:r>
    </w:p>
    <w:p w:rsidRPr="00BD138B" w:rsidR="00BD138B" w:rsidP="00BD138B" w:rsidRDefault="00BD138B" w14:paraId="48C118F4" w14:textId="1D416AB6">
      <w:pPr>
        <w:tabs>
          <w:tab w:val="left" w:pos="520"/>
        </w:tabs>
        <w:rPr>
          <w:szCs w:val="26"/>
        </w:rPr>
      </w:pPr>
      <w:r w:rsidRPr="00205725">
        <w:rPr>
          <w:rStyle w:val="Hyperlink"/>
          <w:color w:val="auto"/>
          <w:szCs w:val="26"/>
        </w:rPr>
        <w:t>patricia.eke@ferc.gov</w:t>
      </w:r>
      <w:r>
        <w:rPr>
          <w:szCs w:val="26"/>
        </w:rPr>
        <w:t xml:space="preserve"> </w:t>
      </w:r>
    </w:p>
    <w:p w:rsidRPr="00271471" w:rsidR="007B33DA" w:rsidRDefault="007B33DA" w14:paraId="32E719CA" w14:textId="77777777">
      <w:pPr>
        <w:tabs>
          <w:tab w:val="left" w:pos="520"/>
        </w:tabs>
        <w:rPr>
          <w:szCs w:val="26"/>
        </w:rPr>
      </w:pPr>
    </w:p>
    <w:p w:rsidR="00500CF6" w:rsidRDefault="0089285F" w14:paraId="66D5295B" w14:textId="443425C0">
      <w:pPr>
        <w:keepLines/>
        <w:tabs>
          <w:tab w:val="left" w:pos="520"/>
        </w:tabs>
        <w:rPr>
          <w:szCs w:val="26"/>
        </w:rPr>
      </w:pPr>
      <w:r>
        <w:rPr>
          <w:szCs w:val="26"/>
        </w:rPr>
        <w:t>Kevin Ryan</w:t>
      </w:r>
      <w:r w:rsidRPr="00271471" w:rsidR="00500CF6">
        <w:rPr>
          <w:szCs w:val="26"/>
        </w:rPr>
        <w:t xml:space="preserve"> (Legal Information)</w:t>
      </w:r>
      <w:r w:rsidRPr="00271471" w:rsidR="00500CF6">
        <w:rPr>
          <w:szCs w:val="26"/>
        </w:rPr>
        <w:br/>
        <w:t>Office of the General Counsel</w:t>
      </w:r>
      <w:r w:rsidRPr="00271471" w:rsidR="00500CF6">
        <w:rPr>
          <w:szCs w:val="26"/>
        </w:rPr>
        <w:br/>
        <w:t>Federal Energy Regulatory Commission</w:t>
      </w:r>
      <w:r w:rsidRPr="00271471" w:rsidR="00500CF6">
        <w:rPr>
          <w:szCs w:val="26"/>
        </w:rPr>
        <w:br/>
        <w:t>888 First Street, NE</w:t>
      </w:r>
      <w:r w:rsidRPr="00271471" w:rsidR="00500CF6">
        <w:rPr>
          <w:szCs w:val="26"/>
        </w:rPr>
        <w:br/>
        <w:t>Washington, DC  20426</w:t>
      </w:r>
      <w:r w:rsidRPr="00271471" w:rsidR="00500CF6">
        <w:rPr>
          <w:szCs w:val="26"/>
        </w:rPr>
        <w:br/>
        <w:t>(202) 502-6</w:t>
      </w:r>
      <w:r>
        <w:rPr>
          <w:szCs w:val="26"/>
        </w:rPr>
        <w:t>840</w:t>
      </w:r>
      <w:r w:rsidRPr="00271471" w:rsidR="00500CF6">
        <w:rPr>
          <w:szCs w:val="26"/>
        </w:rPr>
        <w:br/>
      </w:r>
      <w:r w:rsidRPr="00205725" w:rsidR="007B33DA">
        <w:rPr>
          <w:rStyle w:val="Hyperlink"/>
          <w:color w:val="auto"/>
          <w:szCs w:val="26"/>
        </w:rPr>
        <w:t>kevin.ryan@ferc.gov</w:t>
      </w:r>
    </w:p>
    <w:p w:rsidR="007B33DA" w:rsidRDefault="007B33DA" w14:paraId="1AA07322" w14:textId="77777777">
      <w:pPr>
        <w:keepLines/>
        <w:tabs>
          <w:tab w:val="left" w:pos="520"/>
        </w:tabs>
        <w:rPr>
          <w:szCs w:val="26"/>
        </w:rPr>
      </w:pPr>
    </w:p>
    <w:p w:rsidRPr="00271471" w:rsidR="007B33DA" w:rsidRDefault="007B33DA" w14:paraId="186DA87C" w14:textId="77777777">
      <w:pPr>
        <w:keepLines/>
        <w:tabs>
          <w:tab w:val="left" w:pos="520"/>
        </w:tabs>
        <w:rPr>
          <w:szCs w:val="26"/>
        </w:rPr>
      </w:pPr>
    </w:p>
    <w:p w:rsidRPr="00271471" w:rsidR="00500CF6" w:rsidRDefault="00500CF6" w14:paraId="41E55B50" w14:textId="77777777">
      <w:pPr>
        <w:tabs>
          <w:tab w:val="left" w:pos="520"/>
        </w:tabs>
        <w:rPr>
          <w:szCs w:val="26"/>
        </w:rPr>
      </w:pPr>
      <w:r w:rsidRPr="00271471">
        <w:rPr>
          <w:szCs w:val="26"/>
          <w:u w:val="single"/>
        </w:rPr>
        <w:t>SUPPLEMENTARY INFORMATION</w:t>
      </w:r>
      <w:r w:rsidRPr="00271471">
        <w:rPr>
          <w:szCs w:val="26"/>
        </w:rPr>
        <w:t>:</w:t>
      </w:r>
    </w:p>
    <w:p w:rsidRPr="00271471" w:rsidR="00500CF6" w:rsidRDefault="00500CF6" w14:paraId="16ECE3BB" w14:textId="77777777">
      <w:pPr>
        <w:tabs>
          <w:tab w:val="left" w:pos="520"/>
        </w:tabs>
        <w:jc w:val="center"/>
        <w:rPr>
          <w:szCs w:val="26"/>
        </w:rPr>
        <w:sectPr w:rsidRPr="00271471" w:rsidR="00500CF6">
          <w:headerReference w:type="even" r:id="rId13"/>
          <w:headerReference w:type="default" r:id="rId14"/>
          <w:headerReference w:type="first" r:id="rId15"/>
          <w:pgSz w:w="12240" w:h="15840"/>
          <w:pgMar w:top="1440" w:right="1440" w:bottom="1440" w:left="1440" w:header="720" w:footer="720" w:gutter="0"/>
          <w:pgNumType w:fmt="numberInDash"/>
          <w:cols w:space="720"/>
          <w:titlePg/>
          <w:docGrid w:linePitch="360"/>
        </w:sectPr>
      </w:pPr>
    </w:p>
    <w:p w:rsidRPr="00536F86" w:rsidR="00536F86" w:rsidRDefault="004A7CD4" w14:paraId="18E94458" w14:textId="300789A4">
      <w:pPr>
        <w:tabs>
          <w:tab w:val="left" w:pos="520"/>
        </w:tabs>
        <w:jc w:val="center"/>
        <w:rPr>
          <w:szCs w:val="26"/>
        </w:rPr>
      </w:pPr>
      <w:r w:rsidRPr="004A7CD4">
        <w:rPr>
          <w:szCs w:val="26"/>
        </w:rPr>
        <w:lastRenderedPageBreak/>
        <w:t>165 FERC ¶ 61,020</w:t>
      </w:r>
    </w:p>
    <w:p w:rsidRPr="00271471" w:rsidR="00500CF6" w:rsidRDefault="00500CF6" w14:paraId="47EF9B6A" w14:textId="77777777">
      <w:pPr>
        <w:tabs>
          <w:tab w:val="left" w:pos="520"/>
        </w:tabs>
        <w:jc w:val="center"/>
        <w:rPr>
          <w:szCs w:val="26"/>
        </w:rPr>
      </w:pPr>
      <w:r w:rsidRPr="00271471">
        <w:rPr>
          <w:szCs w:val="26"/>
        </w:rPr>
        <w:t>UNITED STATES OF AMERICA</w:t>
      </w:r>
    </w:p>
    <w:p w:rsidR="00500CF6" w:rsidRDefault="00500CF6" w14:paraId="4E2A1B3B" w14:textId="77777777">
      <w:pPr>
        <w:tabs>
          <w:tab w:val="left" w:pos="520"/>
        </w:tabs>
        <w:jc w:val="center"/>
        <w:rPr>
          <w:szCs w:val="26"/>
        </w:rPr>
      </w:pPr>
      <w:r w:rsidRPr="00271471">
        <w:rPr>
          <w:szCs w:val="26"/>
        </w:rPr>
        <w:t>FEDERAL ENERGY REGULATORY COMMISSION</w:t>
      </w:r>
    </w:p>
    <w:p w:rsidR="00F80CA7" w:rsidRDefault="00F80CA7" w14:paraId="40638B96" w14:textId="77777777">
      <w:pPr>
        <w:tabs>
          <w:tab w:val="left" w:pos="520"/>
        </w:tabs>
        <w:jc w:val="center"/>
        <w:rPr>
          <w:szCs w:val="26"/>
        </w:rPr>
      </w:pPr>
    </w:p>
    <w:p w:rsidR="006959D9" w:rsidRDefault="006959D9" w14:paraId="1997A7CF" w14:textId="77777777">
      <w:pPr>
        <w:tabs>
          <w:tab w:val="left" w:pos="520"/>
        </w:tabs>
        <w:jc w:val="center"/>
        <w:rPr>
          <w:szCs w:val="26"/>
        </w:rPr>
      </w:pPr>
    </w:p>
    <w:p w:rsidRPr="006959D9" w:rsidR="006959D9" w:rsidP="006959D9" w:rsidRDefault="006959D9" w14:paraId="1C663439" w14:textId="343629B6">
      <w:pPr>
        <w:tabs>
          <w:tab w:val="left" w:pos="520"/>
        </w:tabs>
        <w:autoSpaceDE w:val="0"/>
        <w:autoSpaceDN w:val="0"/>
        <w:adjustRightInd w:val="0"/>
        <w:rPr>
          <w:szCs w:val="26"/>
        </w:rPr>
      </w:pPr>
      <w:r w:rsidRPr="006959D9">
        <w:rPr>
          <w:szCs w:val="26"/>
        </w:rPr>
        <w:t>Before Commissioners:  Cheryl A. LaFleur, Neil Chatterjee,</w:t>
      </w:r>
    </w:p>
    <w:p w:rsidR="00F80CA7" w:rsidP="006959D9" w:rsidRDefault="006959D9" w14:paraId="45EEDB93" w14:textId="17EE2EB3">
      <w:pPr>
        <w:tabs>
          <w:tab w:val="left" w:pos="520"/>
        </w:tabs>
        <w:autoSpaceDE w:val="0"/>
        <w:autoSpaceDN w:val="0"/>
        <w:adjustRightInd w:val="0"/>
        <w:rPr>
          <w:szCs w:val="26"/>
        </w:rPr>
      </w:pPr>
      <w:r w:rsidRPr="006959D9">
        <w:rPr>
          <w:szCs w:val="26"/>
        </w:rPr>
        <w:t xml:space="preserve">                                        and Richard Glick.</w:t>
      </w:r>
      <w:r w:rsidRPr="00354D32" w:rsidR="00F80CA7">
        <w:rPr>
          <w:szCs w:val="26"/>
        </w:rPr>
        <w:t xml:space="preserve"> </w:t>
      </w:r>
    </w:p>
    <w:p w:rsidR="00F80CA7" w:rsidP="00F80CA7" w:rsidRDefault="00F80CA7" w14:paraId="776A6752" w14:textId="77777777">
      <w:pPr>
        <w:tabs>
          <w:tab w:val="left" w:pos="520"/>
        </w:tabs>
        <w:autoSpaceDE w:val="0"/>
        <w:autoSpaceDN w:val="0"/>
        <w:adjustRightInd w:val="0"/>
        <w:rPr>
          <w:szCs w:val="26"/>
        </w:rPr>
      </w:pPr>
    </w:p>
    <w:p w:rsidR="006959D9" w:rsidP="00F80CA7" w:rsidRDefault="006959D9" w14:paraId="6A0D73B5" w14:textId="77777777">
      <w:pPr>
        <w:tabs>
          <w:tab w:val="left" w:pos="520"/>
        </w:tabs>
        <w:autoSpaceDE w:val="0"/>
        <w:autoSpaceDN w:val="0"/>
        <w:adjustRightInd w:val="0"/>
        <w:rPr>
          <w:szCs w:val="26"/>
        </w:rPr>
      </w:pPr>
    </w:p>
    <w:p w:rsidR="00BC6513" w:rsidP="00F80CA7" w:rsidRDefault="00BC6513" w14:paraId="1CEAEF14" w14:textId="77777777">
      <w:pPr>
        <w:tabs>
          <w:tab w:val="left" w:pos="520"/>
        </w:tabs>
        <w:autoSpaceDE w:val="0"/>
        <w:autoSpaceDN w:val="0"/>
        <w:adjustRightInd w:val="0"/>
        <w:rPr>
          <w:szCs w:val="26"/>
        </w:rPr>
      </w:pPr>
    </w:p>
    <w:tbl>
      <w:tblPr>
        <w:tblW w:w="0" w:type="auto"/>
        <w:tblCellMar>
          <w:left w:w="0" w:type="dxa"/>
          <w:right w:w="0" w:type="dxa"/>
        </w:tblCellMar>
        <w:tblLook w:val="01E0" w:firstRow="1" w:lastRow="1" w:firstColumn="1" w:lastColumn="1" w:noHBand="0" w:noVBand="0"/>
      </w:tblPr>
      <w:tblGrid>
        <w:gridCol w:w="5933"/>
        <w:gridCol w:w="1807"/>
        <w:gridCol w:w="1620"/>
      </w:tblGrid>
      <w:tr w:rsidR="00500CF6" w14:paraId="6F6B659F" w14:textId="77777777">
        <w:tc>
          <w:tcPr>
            <w:tcW w:w="5933" w:type="dxa"/>
            <w:shd w:val="clear" w:color="auto" w:fill="auto"/>
          </w:tcPr>
          <w:p w:rsidR="00500CF6" w:rsidRDefault="00934277" w14:paraId="3595748E" w14:textId="77777777">
            <w:pPr>
              <w:tabs>
                <w:tab w:val="left" w:pos="520"/>
              </w:tabs>
              <w:rPr>
                <w:szCs w:val="26"/>
              </w:rPr>
            </w:pPr>
            <w:r>
              <w:rPr>
                <w:szCs w:val="26"/>
              </w:rPr>
              <w:t>Supply Chain Risk Management Reliability Standards</w:t>
            </w:r>
          </w:p>
        </w:tc>
        <w:tc>
          <w:tcPr>
            <w:tcW w:w="1807" w:type="dxa"/>
            <w:shd w:val="clear" w:color="auto" w:fill="auto"/>
          </w:tcPr>
          <w:p w:rsidR="00500CF6" w:rsidP="00934277" w:rsidRDefault="00500CF6" w14:paraId="41A5304C" w14:textId="77777777">
            <w:pPr>
              <w:tabs>
                <w:tab w:val="left" w:pos="520"/>
              </w:tabs>
              <w:jc w:val="right"/>
              <w:rPr>
                <w:szCs w:val="26"/>
              </w:rPr>
            </w:pPr>
            <w:r>
              <w:rPr>
                <w:szCs w:val="26"/>
              </w:rPr>
              <w:t>Docket No</w:t>
            </w:r>
            <w:r w:rsidR="00934277">
              <w:rPr>
                <w:szCs w:val="26"/>
              </w:rPr>
              <w:t>.</w:t>
            </w:r>
          </w:p>
        </w:tc>
        <w:tc>
          <w:tcPr>
            <w:tcW w:w="1620" w:type="dxa"/>
            <w:shd w:val="clear" w:color="auto" w:fill="auto"/>
            <w:tcMar>
              <w:left w:w="144" w:type="dxa"/>
              <w:right w:w="0" w:type="dxa"/>
            </w:tcMar>
          </w:tcPr>
          <w:p w:rsidR="00500CF6" w:rsidP="00536F86" w:rsidRDefault="00536F86" w14:paraId="793A9CBC" w14:textId="77777777">
            <w:pPr>
              <w:tabs>
                <w:tab w:val="left" w:pos="-54"/>
                <w:tab w:val="left" w:pos="520"/>
              </w:tabs>
              <w:ind w:left="-144"/>
              <w:rPr>
                <w:szCs w:val="26"/>
              </w:rPr>
            </w:pPr>
            <w:r>
              <w:rPr>
                <w:szCs w:val="26"/>
              </w:rPr>
              <w:t xml:space="preserve"> </w:t>
            </w:r>
            <w:r w:rsidR="00500CF6">
              <w:rPr>
                <w:szCs w:val="26"/>
              </w:rPr>
              <w:t>RM1</w:t>
            </w:r>
            <w:r w:rsidR="00934277">
              <w:rPr>
                <w:szCs w:val="26"/>
              </w:rPr>
              <w:t>7</w:t>
            </w:r>
            <w:r w:rsidR="00500CF6">
              <w:rPr>
                <w:szCs w:val="26"/>
              </w:rPr>
              <w:t>-</w:t>
            </w:r>
            <w:r w:rsidR="00934277">
              <w:rPr>
                <w:szCs w:val="26"/>
              </w:rPr>
              <w:t>13</w:t>
            </w:r>
            <w:r w:rsidR="00500CF6">
              <w:rPr>
                <w:szCs w:val="26"/>
              </w:rPr>
              <w:t>-000</w:t>
            </w:r>
          </w:p>
          <w:p w:rsidR="00C25CF1" w:rsidP="00536F86" w:rsidRDefault="00C25CF1" w14:paraId="589BE34A" w14:textId="77777777">
            <w:pPr>
              <w:tabs>
                <w:tab w:val="left" w:pos="520"/>
              </w:tabs>
              <w:ind w:hanging="144"/>
              <w:rPr>
                <w:szCs w:val="26"/>
              </w:rPr>
            </w:pPr>
          </w:p>
        </w:tc>
      </w:tr>
    </w:tbl>
    <w:p w:rsidR="00500CF6" w:rsidRDefault="00500CF6" w14:paraId="06267981" w14:textId="77777777">
      <w:pPr>
        <w:tabs>
          <w:tab w:val="left" w:pos="520"/>
        </w:tabs>
        <w:rPr>
          <w:szCs w:val="26"/>
        </w:rPr>
      </w:pPr>
    </w:p>
    <w:p w:rsidR="004630B4" w:rsidP="004630B4" w:rsidRDefault="006959D9" w14:paraId="0D0FFD58" w14:textId="6B9753A6">
      <w:pPr>
        <w:tabs>
          <w:tab w:val="left" w:pos="520"/>
        </w:tabs>
        <w:jc w:val="center"/>
        <w:rPr>
          <w:szCs w:val="26"/>
        </w:rPr>
      </w:pPr>
      <w:r w:rsidRPr="00F715EA">
        <w:rPr>
          <w:szCs w:val="26"/>
        </w:rPr>
        <w:t>ORDER NO.</w:t>
      </w:r>
      <w:r w:rsidR="00F715EA">
        <w:rPr>
          <w:szCs w:val="26"/>
        </w:rPr>
        <w:t xml:space="preserve"> 850</w:t>
      </w:r>
      <w:r>
        <w:rPr>
          <w:szCs w:val="26"/>
        </w:rPr>
        <w:t xml:space="preserve"> </w:t>
      </w:r>
    </w:p>
    <w:p w:rsidR="006959D9" w:rsidP="004630B4" w:rsidRDefault="006959D9" w14:paraId="211CD9D9" w14:textId="77777777">
      <w:pPr>
        <w:tabs>
          <w:tab w:val="left" w:pos="520"/>
        </w:tabs>
        <w:jc w:val="center"/>
        <w:rPr>
          <w:szCs w:val="26"/>
        </w:rPr>
      </w:pPr>
    </w:p>
    <w:p w:rsidR="00500CF6" w:rsidRDefault="004A01F7" w14:paraId="3976C447" w14:textId="77777777">
      <w:pPr>
        <w:tabs>
          <w:tab w:val="left" w:pos="520"/>
        </w:tabs>
        <w:jc w:val="center"/>
        <w:rPr>
          <w:szCs w:val="26"/>
        </w:rPr>
      </w:pPr>
      <w:r>
        <w:rPr>
          <w:szCs w:val="26"/>
        </w:rPr>
        <w:t>FINAL RULE</w:t>
      </w:r>
    </w:p>
    <w:p w:rsidR="004630B4" w:rsidRDefault="004630B4" w14:paraId="1C54B12F" w14:textId="77777777">
      <w:pPr>
        <w:tabs>
          <w:tab w:val="left" w:pos="520"/>
        </w:tabs>
        <w:jc w:val="center"/>
        <w:rPr>
          <w:szCs w:val="26"/>
        </w:rPr>
      </w:pPr>
    </w:p>
    <w:p w:rsidR="004630B4" w:rsidP="00D86FA8" w:rsidRDefault="006959D9" w14:paraId="781E264C" w14:textId="4ACA6C11">
      <w:pPr>
        <w:tabs>
          <w:tab w:val="left" w:pos="520"/>
        </w:tabs>
        <w:jc w:val="center"/>
        <w:rPr>
          <w:szCs w:val="26"/>
        </w:rPr>
      </w:pPr>
      <w:r w:rsidRPr="006959D9">
        <w:rPr>
          <w:szCs w:val="26"/>
        </w:rPr>
        <w:t xml:space="preserve">(Issued </w:t>
      </w:r>
      <w:r w:rsidR="001D5704">
        <w:rPr>
          <w:szCs w:val="26"/>
        </w:rPr>
        <w:t>October 18</w:t>
      </w:r>
      <w:r w:rsidRPr="006959D9">
        <w:rPr>
          <w:szCs w:val="26"/>
        </w:rPr>
        <w:t>, 2018)</w:t>
      </w:r>
    </w:p>
    <w:p w:rsidRPr="006959D9" w:rsidR="006959D9" w:rsidP="006959D9" w:rsidRDefault="006959D9" w14:paraId="1D6F6708" w14:textId="77777777">
      <w:pPr>
        <w:tabs>
          <w:tab w:val="left" w:pos="520"/>
        </w:tabs>
        <w:rPr>
          <w:szCs w:val="26"/>
        </w:rPr>
      </w:pPr>
    </w:p>
    <w:p w:rsidR="00807A18" w:rsidRDefault="00807A18" w14:paraId="37B023BA" w14:textId="77777777">
      <w:pPr>
        <w:pStyle w:val="FERCparanumber"/>
        <w:numPr>
          <w:ilvl w:val="0"/>
          <w:numId w:val="0"/>
        </w:numPr>
        <w:tabs>
          <w:tab w:val="left" w:pos="520"/>
        </w:tabs>
        <w:spacing w:line="240" w:lineRule="auto"/>
        <w:rPr>
          <w:szCs w:val="26"/>
        </w:rPr>
      </w:pPr>
    </w:p>
    <w:p w:rsidRPr="00CD6528" w:rsidR="00D3274F" w:rsidP="00B520C5" w:rsidRDefault="00500CF6" w14:paraId="7B57629F" w14:textId="77777777">
      <w:pPr>
        <w:pStyle w:val="FERCparanumber"/>
        <w:tabs>
          <w:tab w:val="clear" w:pos="990"/>
        </w:tabs>
        <w:ind w:left="0"/>
        <w:rPr>
          <w:szCs w:val="26"/>
        </w:rPr>
      </w:pPr>
      <w:r>
        <w:t>Pursuant to section 215</w:t>
      </w:r>
      <w:r w:rsidR="006835F7">
        <w:t>(d)(2</w:t>
      </w:r>
      <w:r w:rsidR="004E4C1E">
        <w:t>)</w:t>
      </w:r>
      <w:r>
        <w:t xml:space="preserve"> of the Federal Power Act (FPA), the Commission </w:t>
      </w:r>
      <w:r w:rsidR="00A4245E">
        <w:t>approve</w:t>
      </w:r>
      <w:r w:rsidR="004A01F7">
        <w:t>s</w:t>
      </w:r>
      <w:r w:rsidR="004D2C03">
        <w:t xml:space="preserve"> supply chain risk management </w:t>
      </w:r>
      <w:r w:rsidRPr="005647D0" w:rsidR="004D2C03">
        <w:rPr>
          <w:szCs w:val="26"/>
        </w:rPr>
        <w:t xml:space="preserve">Reliability Standards CIP-013-1 </w:t>
      </w:r>
      <w:r w:rsidR="004D2C03">
        <w:rPr>
          <w:szCs w:val="26"/>
        </w:rPr>
        <w:t>(</w:t>
      </w:r>
      <w:r w:rsidRPr="005647D0" w:rsidR="004D2C03">
        <w:rPr>
          <w:szCs w:val="26"/>
        </w:rPr>
        <w:t>Cyber Security – Supply Chain Risk Management</w:t>
      </w:r>
      <w:r w:rsidR="004D2C03">
        <w:rPr>
          <w:szCs w:val="26"/>
        </w:rPr>
        <w:t>)</w:t>
      </w:r>
      <w:r w:rsidRPr="005647D0" w:rsidR="004D2C03">
        <w:rPr>
          <w:szCs w:val="26"/>
        </w:rPr>
        <w:t xml:space="preserve">, CIP-005-6 </w:t>
      </w:r>
      <w:r w:rsidR="004D2C03">
        <w:rPr>
          <w:szCs w:val="26"/>
        </w:rPr>
        <w:t>(</w:t>
      </w:r>
      <w:r w:rsidRPr="005647D0" w:rsidR="004D2C03">
        <w:rPr>
          <w:szCs w:val="26"/>
        </w:rPr>
        <w:t>Cyber Security – Electronic Security Perimeter(s)</w:t>
      </w:r>
      <w:r w:rsidR="004D2C03">
        <w:rPr>
          <w:szCs w:val="26"/>
        </w:rPr>
        <w:t>)</w:t>
      </w:r>
      <w:r w:rsidRPr="005647D0" w:rsidR="004D2C03">
        <w:rPr>
          <w:szCs w:val="26"/>
        </w:rPr>
        <w:t xml:space="preserve"> and CIP-010-3 </w:t>
      </w:r>
      <w:r w:rsidR="004D2C03">
        <w:rPr>
          <w:szCs w:val="26"/>
        </w:rPr>
        <w:t>(</w:t>
      </w:r>
      <w:r w:rsidRPr="005647D0" w:rsidR="004D2C03">
        <w:rPr>
          <w:szCs w:val="26"/>
        </w:rPr>
        <w:t>Cyber Security – Configuration Change Management and Vulnerability Assessments</w:t>
      </w:r>
      <w:r w:rsidR="004D2C03">
        <w:rPr>
          <w:szCs w:val="26"/>
        </w:rPr>
        <w:t>)</w:t>
      </w:r>
      <w:r w:rsidRPr="00BF6F8C" w:rsidR="004D2C03">
        <w:rPr>
          <w:szCs w:val="26"/>
        </w:rPr>
        <w:t>.</w:t>
      </w:r>
      <w:r w:rsidR="00E44494">
        <w:rPr>
          <w:rStyle w:val="FootnoteReference"/>
        </w:rPr>
        <w:footnoteReference w:id="2"/>
      </w:r>
      <w:r w:rsidR="00E44494">
        <w:t xml:space="preserve">  </w:t>
      </w:r>
      <w:r w:rsidR="004D2C03">
        <w:t xml:space="preserve">The North American Electric Reliability Corporation (NERC), the Commission-certified Electric Reliability Organization (ERO), submitted the </w:t>
      </w:r>
      <w:r w:rsidR="00E44494">
        <w:t xml:space="preserve">supply chain risk management </w:t>
      </w:r>
      <w:r w:rsidR="004D2C03">
        <w:t>Reliability Standards for approval in response to a Commission directive in Order No. 829.</w:t>
      </w:r>
      <w:r w:rsidR="00636E2C">
        <w:rPr>
          <w:rStyle w:val="FootnoteReference"/>
        </w:rPr>
        <w:footnoteReference w:id="3"/>
      </w:r>
      <w:r w:rsidR="004D2C03">
        <w:t xml:space="preserve">  </w:t>
      </w:r>
      <w:r w:rsidR="00E44494">
        <w:t xml:space="preserve">As discussed below, we </w:t>
      </w:r>
      <w:r w:rsidR="00235B14">
        <w:t xml:space="preserve">approve </w:t>
      </w:r>
      <w:r w:rsidR="00E44494">
        <w:t>t</w:t>
      </w:r>
      <w:r w:rsidR="004D2C03">
        <w:t xml:space="preserve">he </w:t>
      </w:r>
      <w:r w:rsidR="00E44494">
        <w:t>supply chain risk management</w:t>
      </w:r>
      <w:r w:rsidR="004D2C03">
        <w:t xml:space="preserve"> Reliability Standards </w:t>
      </w:r>
      <w:r w:rsidR="00F834D6">
        <w:t>as they are responsive to Order No. 829 and improve the electric industry’s cybersecurity posture</w:t>
      </w:r>
      <w:r w:rsidR="004D2C03">
        <w:t xml:space="preserve"> </w:t>
      </w:r>
      <w:r w:rsidR="00E44494">
        <w:t>by</w:t>
      </w:r>
      <w:r w:rsidR="004D2C03">
        <w:t xml:space="preserve"> </w:t>
      </w:r>
      <w:r w:rsidR="00F834D6">
        <w:t xml:space="preserve">requiring that entities </w:t>
      </w:r>
      <w:r w:rsidR="004D2C03">
        <w:t>mitigat</w:t>
      </w:r>
      <w:r w:rsidR="00F834D6">
        <w:t>e</w:t>
      </w:r>
      <w:r w:rsidR="004D2C03">
        <w:t xml:space="preserve"> </w:t>
      </w:r>
      <w:r w:rsidR="00F834D6">
        <w:t xml:space="preserve">certain </w:t>
      </w:r>
      <w:r w:rsidR="004D2C03">
        <w:t>cybersecurity risks associated with the supply chain for BES Cyber Systems.</w:t>
      </w:r>
      <w:r w:rsidR="004D2C03">
        <w:rPr>
          <w:rStyle w:val="FootnoteReference"/>
        </w:rPr>
        <w:footnoteReference w:id="4"/>
      </w:r>
    </w:p>
    <w:p w:rsidRPr="00A40135" w:rsidR="00CD6528" w:rsidP="00CD6528" w:rsidRDefault="00EE7348" w14:paraId="626F559C" w14:textId="309C0F28">
      <w:pPr>
        <w:pStyle w:val="FERCparanumber"/>
        <w:tabs>
          <w:tab w:val="clear" w:pos="990"/>
        </w:tabs>
        <w:ind w:left="0"/>
        <w:rPr>
          <w:szCs w:val="26"/>
        </w:rPr>
      </w:pPr>
      <w:r>
        <w:t>The</w:t>
      </w:r>
      <w:r w:rsidRPr="00A40135" w:rsidR="00CD6528">
        <w:t xml:space="preserve"> Commission </w:t>
      </w:r>
      <w:r w:rsidR="00235B14">
        <w:t xml:space="preserve">has </w:t>
      </w:r>
      <w:r w:rsidR="00172503">
        <w:t>previously</w:t>
      </w:r>
      <w:r w:rsidRPr="00A40135" w:rsidR="00A40135">
        <w:t xml:space="preserve"> explained</w:t>
      </w:r>
      <w:r>
        <w:t xml:space="preserve"> that </w:t>
      </w:r>
      <w:r w:rsidRPr="00A40135" w:rsidR="00CD6528">
        <w:t xml:space="preserve">the global supply chain </w:t>
      </w:r>
      <w:r>
        <w:t>affords</w:t>
      </w:r>
      <w:r w:rsidR="00235B14">
        <w:t xml:space="preserve"> </w:t>
      </w:r>
      <w:r w:rsidRPr="00A40135" w:rsidR="00CD6528">
        <w:t>significant benefits to customers, including low cost, interoperability, rapid innovation,</w:t>
      </w:r>
      <w:r w:rsidR="00AF7D3C">
        <w:t xml:space="preserve"> and</w:t>
      </w:r>
      <w:r w:rsidRPr="00A40135" w:rsidR="00CD6528">
        <w:t xml:space="preserve"> a variety of product features and choice.</w:t>
      </w:r>
      <w:r w:rsidRPr="00A40135" w:rsidR="00CD6528">
        <w:rPr>
          <w:rStyle w:val="FootnoteReference"/>
        </w:rPr>
        <w:footnoteReference w:id="5"/>
      </w:r>
      <w:r w:rsidRPr="00A40135" w:rsidR="00CD6528">
        <w:t xml:space="preserve">  </w:t>
      </w:r>
      <w:r w:rsidR="00914592">
        <w:t xml:space="preserve">Despite these benefits, </w:t>
      </w:r>
      <w:r w:rsidRPr="00A40135" w:rsidR="00CD6528">
        <w:t xml:space="preserve">the global supply chain </w:t>
      </w:r>
      <w:r w:rsidR="00235B14">
        <w:t>creates</w:t>
      </w:r>
      <w:r w:rsidRPr="00A40135" w:rsidR="00235B14">
        <w:t xml:space="preserve"> </w:t>
      </w:r>
      <w:r w:rsidRPr="00A40135" w:rsidR="00CD6528">
        <w:t xml:space="preserve">opportunities for adversaries to directly or indirectly affect the management or operations of companies </w:t>
      </w:r>
      <w:r w:rsidR="00235B14">
        <w:t>with potential</w:t>
      </w:r>
      <w:r w:rsidRPr="00A40135" w:rsidR="00CD6528">
        <w:t xml:space="preserve"> risks to end users.  Supply chain risks</w:t>
      </w:r>
      <w:r w:rsidR="00235B14">
        <w:t xml:space="preserve"> </w:t>
      </w:r>
      <w:r w:rsidRPr="00A40135" w:rsidR="00CD6528">
        <w:t>include insertion of counterfeits</w:t>
      </w:r>
      <w:r w:rsidR="00B83EBB">
        <w:t xml:space="preserve"> or malicious software</w:t>
      </w:r>
      <w:r w:rsidRPr="00A40135" w:rsidR="00CD6528">
        <w:t xml:space="preserve">, unauthorized production, tampering, </w:t>
      </w:r>
      <w:r w:rsidR="00B83EBB">
        <w:t xml:space="preserve">or </w:t>
      </w:r>
      <w:r w:rsidRPr="00A40135" w:rsidR="00CD6528">
        <w:t xml:space="preserve">theft, as well as poor manufacturing and development practices.  </w:t>
      </w:r>
      <w:r w:rsidRPr="00A40135" w:rsidR="00A40135">
        <w:t>Based on the record</w:t>
      </w:r>
      <w:r w:rsidR="00AF7D3C">
        <w:t xml:space="preserve"> in this proceeding</w:t>
      </w:r>
      <w:r w:rsidRPr="00A40135" w:rsidR="00A40135">
        <w:t>, w</w:t>
      </w:r>
      <w:r w:rsidRPr="00A40135" w:rsidR="00CD6528">
        <w:t>e</w:t>
      </w:r>
      <w:r w:rsidR="00914592">
        <w:t xml:space="preserve"> conclude</w:t>
      </w:r>
      <w:r w:rsidRPr="00A40135" w:rsidR="00CD6528">
        <w:t xml:space="preserve"> that the supply chain risk management </w:t>
      </w:r>
      <w:r w:rsidRPr="00A40135" w:rsidR="00CD6528">
        <w:rPr>
          <w:szCs w:val="26"/>
        </w:rPr>
        <w:t xml:space="preserve">Reliability Standards </w:t>
      </w:r>
      <w:r w:rsidR="00235B14">
        <w:rPr>
          <w:szCs w:val="26"/>
        </w:rPr>
        <w:t>largely</w:t>
      </w:r>
      <w:r w:rsidRPr="00A40135" w:rsidR="00CD6528">
        <w:rPr>
          <w:szCs w:val="26"/>
        </w:rPr>
        <w:t xml:space="preserve"> address the</w:t>
      </w:r>
      <w:r w:rsidR="00AF7D3C">
        <w:rPr>
          <w:szCs w:val="26"/>
        </w:rPr>
        <w:t>se</w:t>
      </w:r>
      <w:r w:rsidRPr="00A40135" w:rsidR="00CD6528">
        <w:rPr>
          <w:szCs w:val="26"/>
        </w:rPr>
        <w:t xml:space="preserve"> supply chain cybersecurity risks</w:t>
      </w:r>
      <w:r w:rsidR="00C6474C">
        <w:rPr>
          <w:szCs w:val="26"/>
        </w:rPr>
        <w:t xml:space="preserve"> as set out within the scope of Order No. 829</w:t>
      </w:r>
      <w:r w:rsidRPr="00A40135" w:rsidR="00CD6528">
        <w:rPr>
          <w:szCs w:val="26"/>
        </w:rPr>
        <w:t xml:space="preserve">. </w:t>
      </w:r>
      <w:r w:rsidR="00C6474C">
        <w:rPr>
          <w:szCs w:val="26"/>
        </w:rPr>
        <w:t xml:space="preserve"> </w:t>
      </w:r>
      <w:r w:rsidR="00F72BB5">
        <w:rPr>
          <w:szCs w:val="26"/>
        </w:rPr>
        <w:t>Among other things</w:t>
      </w:r>
      <w:r w:rsidRPr="00D331E9" w:rsidR="00C6474C">
        <w:rPr>
          <w:szCs w:val="26"/>
        </w:rPr>
        <w:t>,</w:t>
      </w:r>
      <w:r w:rsidRPr="00D84528" w:rsidR="00D331E9">
        <w:rPr>
          <w:szCs w:val="26"/>
        </w:rPr>
        <w:t xml:space="preserve"> the </w:t>
      </w:r>
      <w:r w:rsidR="00AF3941">
        <w:rPr>
          <w:szCs w:val="26"/>
        </w:rPr>
        <w:t xml:space="preserve">supply chain risk management </w:t>
      </w:r>
      <w:r w:rsidRPr="00D84528" w:rsidR="00D331E9">
        <w:rPr>
          <w:szCs w:val="26"/>
        </w:rPr>
        <w:t xml:space="preserve">Reliability Standards </w:t>
      </w:r>
      <w:r w:rsidR="00D331E9">
        <w:rPr>
          <w:szCs w:val="26"/>
        </w:rPr>
        <w:t>are</w:t>
      </w:r>
      <w:r w:rsidRPr="00D331E9" w:rsidR="00D331E9">
        <w:rPr>
          <w:szCs w:val="26"/>
        </w:rPr>
        <w:t xml:space="preserve"> forward-looking</w:t>
      </w:r>
      <w:r w:rsidR="00D331E9">
        <w:rPr>
          <w:szCs w:val="26"/>
        </w:rPr>
        <w:t xml:space="preserve"> and </w:t>
      </w:r>
      <w:r w:rsidRPr="00D331E9" w:rsidR="00D331E9">
        <w:rPr>
          <w:szCs w:val="26"/>
        </w:rPr>
        <w:t xml:space="preserve">objective-based </w:t>
      </w:r>
      <w:r w:rsidR="00D331E9">
        <w:rPr>
          <w:szCs w:val="26"/>
        </w:rPr>
        <w:t>and</w:t>
      </w:r>
      <w:r w:rsidRPr="00D331E9" w:rsidR="00D331E9">
        <w:rPr>
          <w:szCs w:val="26"/>
        </w:rPr>
        <w:t xml:space="preserve"> require each affected entity to develop and implement a plan that includes security controls for supply chain management for industrial control system hardware, software, and services associated with b</w:t>
      </w:r>
      <w:r w:rsidR="00D331E9">
        <w:rPr>
          <w:szCs w:val="26"/>
        </w:rPr>
        <w:t>ulk electric system operations.</w:t>
      </w:r>
      <w:r w:rsidR="00D331E9">
        <w:rPr>
          <w:rStyle w:val="FootnoteReference"/>
        </w:rPr>
        <w:footnoteReference w:id="6"/>
      </w:r>
      <w:r w:rsidRPr="00D331E9" w:rsidR="00D331E9">
        <w:rPr>
          <w:color w:val="000000"/>
          <w:sz w:val="23"/>
          <w:szCs w:val="23"/>
        </w:rPr>
        <w:t xml:space="preserve"> </w:t>
      </w:r>
      <w:r w:rsidR="00D331E9">
        <w:rPr>
          <w:color w:val="000000"/>
          <w:sz w:val="23"/>
          <w:szCs w:val="23"/>
        </w:rPr>
        <w:t xml:space="preserve"> </w:t>
      </w:r>
      <w:r w:rsidRPr="00D331E9" w:rsidR="00D331E9">
        <w:rPr>
          <w:szCs w:val="26"/>
        </w:rPr>
        <w:t xml:space="preserve">Consistent with Order No. 829, the Reliability Standards focus on the following four security objectives: </w:t>
      </w:r>
      <w:r w:rsidR="007862A6">
        <w:rPr>
          <w:szCs w:val="26"/>
        </w:rPr>
        <w:t xml:space="preserve"> </w:t>
      </w:r>
      <w:r w:rsidRPr="00D331E9" w:rsidR="00D331E9">
        <w:rPr>
          <w:szCs w:val="26"/>
        </w:rPr>
        <w:t>(1) software integrity and authenticity; (2) vendor remote access protections; (3) information system planning; and (4) vendor risk management and procurement controls.</w:t>
      </w:r>
      <w:r w:rsidRPr="0048181A" w:rsidR="0048181A">
        <w:t xml:space="preserve"> </w:t>
      </w:r>
    </w:p>
    <w:p w:rsidRPr="00B520C5" w:rsidR="004D2C03" w:rsidP="00B520C5" w:rsidRDefault="004D2C03" w14:paraId="64343895" w14:textId="55058B6D">
      <w:pPr>
        <w:pStyle w:val="FERCparanumber"/>
        <w:tabs>
          <w:tab w:val="clear" w:pos="990"/>
        </w:tabs>
        <w:ind w:left="0"/>
        <w:rPr>
          <w:szCs w:val="26"/>
        </w:rPr>
      </w:pPr>
      <w:r>
        <w:t>The Commission also approve</w:t>
      </w:r>
      <w:r w:rsidR="004A01F7">
        <w:t>s</w:t>
      </w:r>
      <w:r>
        <w:t xml:space="preserve"> the </w:t>
      </w:r>
      <w:r w:rsidR="00235B14">
        <w:t>supply chain risk management</w:t>
      </w:r>
      <w:r>
        <w:t xml:space="preserve"> Reliability Standards’ associated violation risk factors and violation severity levels.  </w:t>
      </w:r>
      <w:r w:rsidR="00517B09">
        <w:t>Regarding</w:t>
      </w:r>
      <w:r>
        <w:t xml:space="preserve"> the</w:t>
      </w:r>
      <w:r w:rsidR="00517B09">
        <w:t xml:space="preserve"> </w:t>
      </w:r>
      <w:r>
        <w:t>Reliability Standards’ implementation plan</w:t>
      </w:r>
      <w:r w:rsidR="008A3890">
        <w:t xml:space="preserve"> and effective date</w:t>
      </w:r>
      <w:r>
        <w:t xml:space="preserve">, </w:t>
      </w:r>
      <w:r w:rsidR="00517B09">
        <w:t xml:space="preserve">we </w:t>
      </w:r>
      <w:r w:rsidR="00214DCE">
        <w:t xml:space="preserve">approve NERC’s </w:t>
      </w:r>
      <w:r w:rsidR="00F459DA">
        <w:t>propos</w:t>
      </w:r>
      <w:r w:rsidR="00214DCE">
        <w:t>ed</w:t>
      </w:r>
      <w:r>
        <w:t xml:space="preserve"> implementation period </w:t>
      </w:r>
      <w:r w:rsidR="00214DCE">
        <w:t>of 18</w:t>
      </w:r>
      <w:r w:rsidR="008A3890">
        <w:t xml:space="preserve"> months following the effective date of a Commission order</w:t>
      </w:r>
      <w:r w:rsidR="00214DCE">
        <w:t xml:space="preserve">.  The NOPR proposed to reduce the implementation period to </w:t>
      </w:r>
      <w:r w:rsidR="00DC5D73">
        <w:t xml:space="preserve">           </w:t>
      </w:r>
      <w:r w:rsidR="00214DCE">
        <w:t>12 months</w:t>
      </w:r>
      <w:r>
        <w:t>.</w:t>
      </w:r>
      <w:r w:rsidR="003B2C92">
        <w:rPr>
          <w:rStyle w:val="FootnoteReference"/>
        </w:rPr>
        <w:footnoteReference w:id="7"/>
      </w:r>
      <w:r w:rsidR="00517B09">
        <w:t xml:space="preserve">  </w:t>
      </w:r>
      <w:r w:rsidR="00214DCE">
        <w:t>However, a</w:t>
      </w:r>
      <w:r w:rsidR="00517B09">
        <w:t xml:space="preserve">s discussed below, </w:t>
      </w:r>
      <w:r w:rsidR="004166DE">
        <w:rPr>
          <w:szCs w:val="26"/>
        </w:rPr>
        <w:t>t</w:t>
      </w:r>
      <w:r w:rsidR="007444A0">
        <w:rPr>
          <w:szCs w:val="26"/>
        </w:rPr>
        <w:t xml:space="preserve">he </w:t>
      </w:r>
      <w:r w:rsidR="00AF7D3C">
        <w:rPr>
          <w:szCs w:val="26"/>
        </w:rPr>
        <w:t xml:space="preserve">NOPR </w:t>
      </w:r>
      <w:r w:rsidR="007444A0">
        <w:rPr>
          <w:szCs w:val="26"/>
        </w:rPr>
        <w:t xml:space="preserve">comments provide </w:t>
      </w:r>
      <w:r w:rsidR="00AF7D3C">
        <w:rPr>
          <w:szCs w:val="26"/>
        </w:rPr>
        <w:t xml:space="preserve">sufficient </w:t>
      </w:r>
      <w:r w:rsidR="007444A0">
        <w:rPr>
          <w:szCs w:val="26"/>
        </w:rPr>
        <w:t xml:space="preserve">justification for adopting the 18-month implementation period proposed by NERC.  </w:t>
      </w:r>
      <w:r w:rsidR="004166DE">
        <w:rPr>
          <w:szCs w:val="26"/>
        </w:rPr>
        <w:t>Specifically, t</w:t>
      </w:r>
      <w:r w:rsidR="007444A0">
        <w:rPr>
          <w:szCs w:val="26"/>
        </w:rPr>
        <w:t>he</w:t>
      </w:r>
      <w:r w:rsidR="004166DE">
        <w:rPr>
          <w:szCs w:val="26"/>
        </w:rPr>
        <w:t xml:space="preserve"> comments </w:t>
      </w:r>
      <w:r w:rsidR="007444A0">
        <w:rPr>
          <w:szCs w:val="26"/>
        </w:rPr>
        <w:t xml:space="preserve">clarify that technical upgrades are likely necessary to meet the </w:t>
      </w:r>
      <w:r w:rsidR="002078C9">
        <w:rPr>
          <w:szCs w:val="26"/>
        </w:rPr>
        <w:t xml:space="preserve">Reliability Standards’ </w:t>
      </w:r>
      <w:r w:rsidR="007444A0">
        <w:rPr>
          <w:szCs w:val="26"/>
        </w:rPr>
        <w:t>security objective</w:t>
      </w:r>
      <w:r w:rsidR="00EE7348">
        <w:rPr>
          <w:szCs w:val="26"/>
        </w:rPr>
        <w:t>s</w:t>
      </w:r>
      <w:r w:rsidR="007444A0">
        <w:rPr>
          <w:szCs w:val="26"/>
        </w:rPr>
        <w:t xml:space="preserve">, which </w:t>
      </w:r>
      <w:r w:rsidR="0017560C">
        <w:rPr>
          <w:szCs w:val="26"/>
        </w:rPr>
        <w:t xml:space="preserve">could </w:t>
      </w:r>
      <w:r w:rsidR="002078C9">
        <w:rPr>
          <w:szCs w:val="26"/>
        </w:rPr>
        <w:t>i</w:t>
      </w:r>
      <w:r w:rsidR="00774C51">
        <w:rPr>
          <w:szCs w:val="26"/>
        </w:rPr>
        <w:t>nvolve</w:t>
      </w:r>
      <w:r w:rsidR="002078C9">
        <w:rPr>
          <w:szCs w:val="26"/>
        </w:rPr>
        <w:t xml:space="preserve"> longer time-horizon </w:t>
      </w:r>
      <w:r w:rsidR="007444A0">
        <w:rPr>
          <w:szCs w:val="26"/>
        </w:rPr>
        <w:t>capital budgets and planning cycles.</w:t>
      </w:r>
      <w:r w:rsidR="00F459DA">
        <w:t xml:space="preserve"> </w:t>
      </w:r>
    </w:p>
    <w:p w:rsidRPr="007862A6" w:rsidR="00C04EDE" w:rsidP="00C434F9" w:rsidRDefault="00FA64F1" w14:paraId="426B9015" w14:textId="7E354AFC">
      <w:pPr>
        <w:pStyle w:val="FERCparanumber"/>
        <w:tabs>
          <w:tab w:val="clear" w:pos="990"/>
        </w:tabs>
        <w:ind w:left="0"/>
        <w:rPr>
          <w:szCs w:val="26"/>
        </w:rPr>
      </w:pPr>
      <w:r>
        <w:t>W</w:t>
      </w:r>
      <w:r w:rsidR="006068BC">
        <w:t xml:space="preserve">hile the </w:t>
      </w:r>
      <w:r>
        <w:t>supply chain risk management</w:t>
      </w:r>
      <w:r w:rsidR="00A4245E">
        <w:t xml:space="preserve"> </w:t>
      </w:r>
      <w:r w:rsidR="009B7CFC">
        <w:t>Reliability Standards address the Commission’s directive in Order No. 829,</w:t>
      </w:r>
      <w:r w:rsidR="002078C9">
        <w:t xml:space="preserve"> we determine that</w:t>
      </w:r>
      <w:r w:rsidR="009B7CFC">
        <w:t xml:space="preserve"> </w:t>
      </w:r>
      <w:r w:rsidR="00EA3995">
        <w:t xml:space="preserve">there remains </w:t>
      </w:r>
      <w:r w:rsidR="002B3F4C">
        <w:t>a significant cyber</w:t>
      </w:r>
      <w:r w:rsidR="00A4245E">
        <w:t xml:space="preserve">security risk associated with the supply chain for BES Cyber Systems because </w:t>
      </w:r>
      <w:r w:rsidR="00CE167B">
        <w:t xml:space="preserve">the </w:t>
      </w:r>
      <w:r w:rsidR="00F60603">
        <w:t xml:space="preserve">approved </w:t>
      </w:r>
      <w:r w:rsidR="00CE167B">
        <w:t xml:space="preserve">Reliability Standards </w:t>
      </w:r>
      <w:r w:rsidR="00D331E9">
        <w:t>do not address</w:t>
      </w:r>
      <w:r w:rsidRPr="009B7CFC" w:rsidR="009B7CFC">
        <w:rPr>
          <w:szCs w:val="26"/>
        </w:rPr>
        <w:t xml:space="preserve"> Electronic Access Control and Monitoring Systems (EACMS)</w:t>
      </w:r>
      <w:r w:rsidR="00B708F2">
        <w:rPr>
          <w:szCs w:val="26"/>
        </w:rPr>
        <w:t>.</w:t>
      </w:r>
      <w:r w:rsidR="008A3890">
        <w:rPr>
          <w:rStyle w:val="FootnoteReference"/>
        </w:rPr>
        <w:footnoteReference w:id="8"/>
      </w:r>
      <w:r w:rsidR="004071F8">
        <w:rPr>
          <w:szCs w:val="26"/>
        </w:rPr>
        <w:t xml:space="preserve"> </w:t>
      </w:r>
      <w:r w:rsidRPr="00D01A02" w:rsidR="00D01A02">
        <w:rPr>
          <w:rFonts w:eastAsiaTheme="minorHAnsi" w:cstheme="minorBidi"/>
          <w:szCs w:val="26"/>
        </w:rPr>
        <w:t xml:space="preserve"> </w:t>
      </w:r>
      <w:r w:rsidRPr="0057122B" w:rsidR="0057122B">
        <w:rPr>
          <w:rFonts w:eastAsiaTheme="minorHAnsi" w:cstheme="minorBidi"/>
          <w:szCs w:val="26"/>
        </w:rPr>
        <w:t xml:space="preserve">As </w:t>
      </w:r>
      <w:r w:rsidR="00B20A07">
        <w:rPr>
          <w:rFonts w:eastAsiaTheme="minorHAnsi" w:cstheme="minorBidi"/>
          <w:szCs w:val="26"/>
        </w:rPr>
        <w:t>we observed</w:t>
      </w:r>
      <w:r w:rsidRPr="0057122B" w:rsidR="0057122B">
        <w:rPr>
          <w:rFonts w:eastAsiaTheme="minorHAnsi" w:cstheme="minorBidi"/>
          <w:szCs w:val="26"/>
        </w:rPr>
        <w:t xml:space="preserve"> in the NOPR, it is widely recognized that the types of access and monitoring functions that are included within NERC’s definition of EACMS, such as firewalls, are integral to protecting industrial control systems.</w:t>
      </w:r>
      <w:r w:rsidR="00AF3941">
        <w:rPr>
          <w:rStyle w:val="FootnoteReference"/>
          <w:rFonts w:eastAsiaTheme="minorHAnsi" w:cstheme="minorBidi"/>
        </w:rPr>
        <w:footnoteReference w:id="9"/>
      </w:r>
      <w:r w:rsidRPr="0057122B" w:rsidR="0057122B">
        <w:rPr>
          <w:rFonts w:eastAsiaTheme="minorHAnsi" w:cstheme="minorBidi"/>
          <w:szCs w:val="26"/>
        </w:rPr>
        <w:t xml:space="preserve">  </w:t>
      </w:r>
      <w:r w:rsidRPr="0048181A" w:rsidR="0048181A">
        <w:rPr>
          <w:rFonts w:eastAsiaTheme="minorHAnsi" w:cstheme="minorBidi"/>
          <w:szCs w:val="26"/>
        </w:rPr>
        <w:t xml:space="preserve">Moreover, as stated in Order No. 848, EACMS, which include, for example, firewalls, authentication servers, security event monitoring systems, intrusion detection systems and alerting systems, control electronic access into </w:t>
      </w:r>
      <w:r w:rsidR="00B20A07">
        <w:rPr>
          <w:rFonts w:eastAsiaTheme="minorHAnsi" w:cstheme="minorBidi"/>
          <w:szCs w:val="26"/>
        </w:rPr>
        <w:t>Electronic Security Perimeters</w:t>
      </w:r>
      <w:r w:rsidRPr="0048181A" w:rsidR="0048181A">
        <w:rPr>
          <w:rFonts w:eastAsiaTheme="minorHAnsi" w:cstheme="minorBidi"/>
          <w:szCs w:val="26"/>
        </w:rPr>
        <w:t xml:space="preserve"> </w:t>
      </w:r>
      <w:r w:rsidR="00B20A07">
        <w:rPr>
          <w:rFonts w:eastAsiaTheme="minorHAnsi" w:cstheme="minorBidi"/>
          <w:szCs w:val="26"/>
        </w:rPr>
        <w:t>(</w:t>
      </w:r>
      <w:r w:rsidRPr="0048181A" w:rsidR="0048181A">
        <w:rPr>
          <w:rFonts w:eastAsiaTheme="minorHAnsi" w:cstheme="minorBidi"/>
          <w:szCs w:val="26"/>
        </w:rPr>
        <w:t>ESP</w:t>
      </w:r>
      <w:r w:rsidR="00B20A07">
        <w:rPr>
          <w:rFonts w:eastAsiaTheme="minorHAnsi" w:cstheme="minorBidi"/>
          <w:szCs w:val="26"/>
        </w:rPr>
        <w:t>)</w:t>
      </w:r>
      <w:r w:rsidR="00ED1CEE">
        <w:rPr>
          <w:rFonts w:eastAsiaTheme="minorHAnsi" w:cstheme="minorBidi"/>
          <w:szCs w:val="26"/>
        </w:rPr>
        <w:t>,</w:t>
      </w:r>
      <w:r w:rsidR="00A5385C">
        <w:rPr>
          <w:rFonts w:eastAsiaTheme="minorHAnsi" w:cstheme="minorBidi"/>
          <w:szCs w:val="26"/>
        </w:rPr>
        <w:t xml:space="preserve"> </w:t>
      </w:r>
      <w:r w:rsidRPr="0048181A" w:rsidR="0048181A">
        <w:rPr>
          <w:rFonts w:eastAsiaTheme="minorHAnsi" w:cstheme="minorBidi"/>
          <w:szCs w:val="26"/>
        </w:rPr>
        <w:t>play a significant role in the protection of high and medium impact BES Cyber Systems.</w:t>
      </w:r>
      <w:r w:rsidR="00150102">
        <w:rPr>
          <w:rStyle w:val="FootnoteReference"/>
          <w:rFonts w:eastAsiaTheme="minorHAnsi" w:cstheme="minorBidi"/>
        </w:rPr>
        <w:footnoteReference w:id="10"/>
      </w:r>
      <w:r w:rsidRPr="0048181A" w:rsidR="0048181A">
        <w:rPr>
          <w:rFonts w:eastAsiaTheme="minorHAnsi" w:cstheme="minorBidi"/>
          <w:szCs w:val="26"/>
        </w:rPr>
        <w:t xml:space="preserve">  Once an EACMS is compromised, an attacker could more easily enter the ESP and effectively control the BES Cyber System or Protected Cyber Asset.</w:t>
      </w:r>
      <w:r w:rsidRPr="0048181A" w:rsidR="0048181A">
        <w:rPr>
          <w:rFonts w:eastAsiaTheme="minorHAnsi" w:cstheme="minorBidi"/>
          <w:b/>
          <w:szCs w:val="26"/>
          <w:vertAlign w:val="superscript"/>
        </w:rPr>
        <w:footnoteReference w:id="11"/>
      </w:r>
      <w:r w:rsidR="0048181A">
        <w:rPr>
          <w:rFonts w:eastAsiaTheme="minorHAnsi" w:cstheme="minorBidi"/>
          <w:szCs w:val="26"/>
        </w:rPr>
        <w:t xml:space="preserve">  </w:t>
      </w:r>
      <w:r w:rsidRPr="0057122B" w:rsidR="0057122B">
        <w:rPr>
          <w:rFonts w:eastAsiaTheme="minorHAnsi" w:cstheme="minorBidi"/>
          <w:szCs w:val="26"/>
        </w:rPr>
        <w:t>For example, the Department of Homeland Security’s Industrial Control Systems Cyber Emergency Response Team (ICS-CERT) identifies firewalls as “the first line of defense within an ICS network environment” that “keep the intruder out while allowing the authorized passage of data necessary to run the organization.”</w:t>
      </w:r>
      <w:r w:rsidR="00A5385C">
        <w:rPr>
          <w:rStyle w:val="FootnoteReference"/>
          <w:rFonts w:eastAsiaTheme="minorHAnsi" w:cstheme="minorBidi"/>
        </w:rPr>
        <w:footnoteReference w:id="12"/>
      </w:r>
      <w:r w:rsidR="0057122B">
        <w:rPr>
          <w:rFonts w:eastAsiaTheme="minorHAnsi" w:cstheme="minorBidi"/>
          <w:szCs w:val="26"/>
        </w:rPr>
        <w:t xml:space="preserve">  </w:t>
      </w:r>
      <w:r w:rsidRPr="0057122B" w:rsidR="0057122B">
        <w:rPr>
          <w:rFonts w:eastAsiaTheme="minorHAnsi" w:cstheme="minorBidi"/>
          <w:szCs w:val="26"/>
        </w:rPr>
        <w:t>ICS-CERT further explains that firewalls “act as sentinels, or gatekeepers, between zones … [and] [w]hen properly configured, they will only let essential traffic cross security boundaries[,] … [i]f they are not properly configured, they could easily pass unauthorized or malicious users or content.”</w:t>
      </w:r>
      <w:r w:rsidR="00A5385C">
        <w:rPr>
          <w:rStyle w:val="FootnoteReference"/>
          <w:rFonts w:eastAsiaTheme="minorHAnsi" w:cstheme="minorBidi"/>
        </w:rPr>
        <w:footnoteReference w:id="13"/>
      </w:r>
      <w:r w:rsidRPr="0057122B" w:rsidR="0057122B">
        <w:rPr>
          <w:rFonts w:eastAsiaTheme="minorHAnsi" w:cstheme="minorBidi"/>
          <w:szCs w:val="26"/>
        </w:rPr>
        <w:t xml:space="preserve"> </w:t>
      </w:r>
      <w:r w:rsidR="00F72BB5">
        <w:rPr>
          <w:rFonts w:eastAsiaTheme="minorHAnsi" w:cstheme="minorBidi"/>
          <w:szCs w:val="26"/>
        </w:rPr>
        <w:t xml:space="preserve"> </w:t>
      </w:r>
      <w:r w:rsidRPr="0057122B" w:rsidR="0057122B">
        <w:rPr>
          <w:rFonts w:eastAsiaTheme="minorHAnsi" w:cstheme="minorBidi"/>
          <w:szCs w:val="26"/>
        </w:rPr>
        <w:t>Accordingly, if EACMS are compromised, that could adversely affect the reliable operation of associated BES Cyber Systems.</w:t>
      </w:r>
      <w:r w:rsidRPr="0057122B" w:rsidR="0057122B">
        <w:rPr>
          <w:rFonts w:eastAsiaTheme="minorHAnsi" w:cstheme="minorBidi"/>
          <w:b/>
          <w:szCs w:val="26"/>
          <w:vertAlign w:val="superscript"/>
        </w:rPr>
        <w:footnoteReference w:id="14"/>
      </w:r>
      <w:r w:rsidR="0057122B">
        <w:rPr>
          <w:rFonts w:eastAsiaTheme="minorHAnsi" w:cstheme="minorBidi"/>
          <w:szCs w:val="26"/>
        </w:rPr>
        <w:t xml:space="preserve">  </w:t>
      </w:r>
      <w:r w:rsidRPr="00673DB6" w:rsidR="00673DB6">
        <w:rPr>
          <w:bCs/>
          <w:szCs w:val="26"/>
        </w:rPr>
        <w:t xml:space="preserve">Given the significant role that EACMS play in the protection scheme for medium and high impact BES Cyber Systems, </w:t>
      </w:r>
      <w:r w:rsidR="00AF3941">
        <w:rPr>
          <w:bCs/>
          <w:szCs w:val="26"/>
        </w:rPr>
        <w:t xml:space="preserve">we determine that </w:t>
      </w:r>
      <w:r w:rsidRPr="00673DB6" w:rsidR="00673DB6">
        <w:rPr>
          <w:bCs/>
          <w:szCs w:val="26"/>
        </w:rPr>
        <w:t>EACMS should be within the scope of the supply chain risk management Reliability Standards to provide minimum protection against supply chain attack vectors.</w:t>
      </w:r>
      <w:r w:rsidR="007862A6">
        <w:t xml:space="preserve"> </w:t>
      </w:r>
    </w:p>
    <w:p w:rsidR="00B708F2" w:rsidP="008A3890" w:rsidRDefault="009B7CFC" w14:paraId="33835B4F" w14:textId="396F794C">
      <w:pPr>
        <w:pStyle w:val="FERCparanumber"/>
        <w:tabs>
          <w:tab w:val="clear" w:pos="990"/>
        </w:tabs>
        <w:ind w:left="0"/>
      </w:pPr>
      <w:r w:rsidRPr="00C04EDE">
        <w:t>To address this gap, pursuant to section 215(d)(5) of the FPA,</w:t>
      </w:r>
      <w:r w:rsidRPr="00C04EDE" w:rsidR="006D5925">
        <w:rPr>
          <w:rStyle w:val="FootnoteReference"/>
        </w:rPr>
        <w:footnoteReference w:id="15"/>
      </w:r>
      <w:r w:rsidR="00D82405">
        <w:t xml:space="preserve"> the Commission</w:t>
      </w:r>
      <w:r w:rsidRPr="00C04EDE">
        <w:t xml:space="preserve"> direct</w:t>
      </w:r>
      <w:r w:rsidR="00D82405">
        <w:t>s</w:t>
      </w:r>
      <w:r w:rsidRPr="00C04EDE">
        <w:t xml:space="preserve"> NERC to develop modifications to include EACMS </w:t>
      </w:r>
      <w:r w:rsidRPr="00C04EDE" w:rsidR="0087042C">
        <w:t xml:space="preserve">associated with medium and high impact BES Cyber Systems </w:t>
      </w:r>
      <w:r w:rsidRPr="00C04EDE">
        <w:t xml:space="preserve">within the scope of the supply chain risk management </w:t>
      </w:r>
      <w:r w:rsidRPr="00C04EDE">
        <w:rPr>
          <w:szCs w:val="26"/>
        </w:rPr>
        <w:t>Reliability Standards.</w:t>
      </w:r>
      <w:r w:rsidRPr="00C04EDE" w:rsidR="00CE167B">
        <w:rPr>
          <w:rStyle w:val="FootnoteReference"/>
        </w:rPr>
        <w:footnoteReference w:id="16"/>
      </w:r>
      <w:r w:rsidRPr="00C04EDE" w:rsidR="00CE167B">
        <w:t xml:space="preserve">  </w:t>
      </w:r>
      <w:r w:rsidR="004A3313">
        <w:t xml:space="preserve">We direct NERC to submit the directed modifications within </w:t>
      </w:r>
      <w:r w:rsidR="00080322">
        <w:t xml:space="preserve">    </w:t>
      </w:r>
      <w:r w:rsidR="00112164">
        <w:t>24</w:t>
      </w:r>
      <w:r w:rsidR="004A3313">
        <w:t xml:space="preserve"> months of the effective date of this </w:t>
      </w:r>
      <w:r w:rsidR="00E53FA6">
        <w:t>f</w:t>
      </w:r>
      <w:r w:rsidR="004A3313">
        <w:t xml:space="preserve">inal </w:t>
      </w:r>
      <w:r w:rsidR="00E53FA6">
        <w:t>r</w:t>
      </w:r>
      <w:r w:rsidR="004A3313">
        <w:t xml:space="preserve">ule.  </w:t>
      </w:r>
    </w:p>
    <w:p w:rsidRPr="005A7ECB" w:rsidR="009B7CFC" w:rsidP="00D34EBB" w:rsidRDefault="00577503" w14:paraId="5152ABD5" w14:textId="21C6E889">
      <w:pPr>
        <w:pStyle w:val="FERCparanumber"/>
        <w:ind w:left="0"/>
      </w:pPr>
      <w:r>
        <w:t>Further,</w:t>
      </w:r>
      <w:r w:rsidR="00B708F2">
        <w:t xml:space="preserve"> the NERC proposal does not address Physical Access Control Systems (PACS</w:t>
      </w:r>
      <w:r w:rsidRPr="009B7CFC" w:rsidR="00B708F2">
        <w:t>)</w:t>
      </w:r>
      <w:r w:rsidR="00B708F2">
        <w:rPr>
          <w:rStyle w:val="FootnoteReference"/>
        </w:rPr>
        <w:footnoteReference w:id="17"/>
      </w:r>
      <w:r w:rsidRPr="009B7CFC" w:rsidR="00B708F2">
        <w:t xml:space="preserve"> and Protected Cyber Assets (PCA</w:t>
      </w:r>
      <w:r w:rsidR="00D571A9">
        <w:t xml:space="preserve"> </w:t>
      </w:r>
      <w:r w:rsidRPr="009B7CFC" w:rsidR="00B708F2">
        <w:t>)</w:t>
      </w:r>
      <w:r w:rsidR="00B708F2">
        <w:t>,</w:t>
      </w:r>
      <w:r w:rsidR="00B708F2">
        <w:rPr>
          <w:rStyle w:val="FootnoteReference"/>
        </w:rPr>
        <w:footnoteReference w:id="18"/>
      </w:r>
      <w:r w:rsidRPr="009B7CFC" w:rsidR="00B708F2">
        <w:t xml:space="preserve"> with the exception of the modifications in Reliability Standard CIP-005-6, which apply to PCAs</w:t>
      </w:r>
      <w:r w:rsidR="00B708F2">
        <w:t xml:space="preserve">.  We </w:t>
      </w:r>
      <w:r w:rsidR="00AF3941">
        <w:t xml:space="preserve">remain </w:t>
      </w:r>
      <w:r w:rsidR="00B708F2">
        <w:t>concerned</w:t>
      </w:r>
      <w:r w:rsidR="00A17901">
        <w:t xml:space="preserve"> </w:t>
      </w:r>
      <w:r w:rsidR="00AF3941">
        <w:t>that</w:t>
      </w:r>
      <w:r w:rsidR="00A17901">
        <w:t xml:space="preserve"> the exclusion of these </w:t>
      </w:r>
      <w:r w:rsidR="00AF3941">
        <w:t>components</w:t>
      </w:r>
      <w:r w:rsidR="00A17901">
        <w:t xml:space="preserve"> </w:t>
      </w:r>
      <w:r w:rsidR="00AF3941">
        <w:t xml:space="preserve">may </w:t>
      </w:r>
      <w:r w:rsidR="00A17901">
        <w:t xml:space="preserve">leave a gap in the supply chain </w:t>
      </w:r>
      <w:r w:rsidR="00AF3941">
        <w:t>risk management Reliability S</w:t>
      </w:r>
      <w:r w:rsidR="00A17901">
        <w:t xml:space="preserve">tandards.  </w:t>
      </w:r>
      <w:r w:rsidR="00D331E9">
        <w:t>Nevertheless</w:t>
      </w:r>
      <w:r w:rsidR="009D12E8">
        <w:t xml:space="preserve">, in contrast to EACMS, we believe that more study is necessary to determine the impact of PACS and PCAs in the context of </w:t>
      </w:r>
      <w:r w:rsidR="00A5385C">
        <w:t>the</w:t>
      </w:r>
      <w:r w:rsidR="009D12E8">
        <w:t xml:space="preserve"> supply chain </w:t>
      </w:r>
      <w:r w:rsidR="00AF3941">
        <w:t>risk management Reliability S</w:t>
      </w:r>
      <w:r w:rsidR="009D12E8">
        <w:t>tandard</w:t>
      </w:r>
      <w:r w:rsidR="00AF3941">
        <w:t>s</w:t>
      </w:r>
      <w:r w:rsidR="00D331E9">
        <w:t>.</w:t>
      </w:r>
      <w:r w:rsidR="009D12E8">
        <w:t xml:space="preserve"> </w:t>
      </w:r>
      <w:r w:rsidR="004B0175">
        <w:t xml:space="preserve"> </w:t>
      </w:r>
      <w:r w:rsidRPr="004B0175" w:rsidR="004B0175">
        <w:t>We distinguish among EACMS and the other Cyber Assets because</w:t>
      </w:r>
      <w:r w:rsidR="004071F8">
        <w:t xml:space="preserve"> compromise of PACS and PCAs are less likely.  F</w:t>
      </w:r>
      <w:r w:rsidRPr="004B0175" w:rsidR="004B0175">
        <w:t xml:space="preserve">or example, a compromise of a PACS, which would potentially grant an attacker physical access to a BES Cyber System or PCA, is less likely since physical access is also required. </w:t>
      </w:r>
      <w:r w:rsidR="004B0175">
        <w:t xml:space="preserve"> </w:t>
      </w:r>
      <w:r w:rsidR="004071F8">
        <w:t>In addition,</w:t>
      </w:r>
      <w:r w:rsidR="004B0175">
        <w:t xml:space="preserve"> </w:t>
      </w:r>
      <w:r w:rsidRPr="004B0175" w:rsidR="004B0175">
        <w:rPr>
          <w:szCs w:val="26"/>
        </w:rPr>
        <w:t xml:space="preserve">PCAs typically become vulnerable to remote compromise </w:t>
      </w:r>
      <w:r w:rsidR="004071F8">
        <w:rPr>
          <w:szCs w:val="26"/>
        </w:rPr>
        <w:t xml:space="preserve">only </w:t>
      </w:r>
      <w:r w:rsidRPr="004B0175" w:rsidR="004B0175">
        <w:rPr>
          <w:szCs w:val="26"/>
        </w:rPr>
        <w:t xml:space="preserve">once EACMS have been compromised. </w:t>
      </w:r>
      <w:r w:rsidR="007862A6">
        <w:rPr>
          <w:szCs w:val="26"/>
        </w:rPr>
        <w:t xml:space="preserve"> </w:t>
      </w:r>
      <w:r w:rsidR="00A17901">
        <w:t>Thus,</w:t>
      </w:r>
      <w:r w:rsidR="00B708F2">
        <w:t xml:space="preserve"> </w:t>
      </w:r>
      <w:r w:rsidR="00A17901">
        <w:t>w</w:t>
      </w:r>
      <w:r w:rsidR="00B421A6">
        <w:t xml:space="preserve">e </w:t>
      </w:r>
      <w:r w:rsidR="00D72FAA">
        <w:t>accept</w:t>
      </w:r>
      <w:r w:rsidRPr="00C04EDE" w:rsidR="00D72FAA">
        <w:t xml:space="preserve"> </w:t>
      </w:r>
      <w:r w:rsidRPr="00C04EDE" w:rsidR="009B7CFC">
        <w:t>NERC</w:t>
      </w:r>
      <w:r w:rsidR="00D72FAA">
        <w:t>’s commitment</w:t>
      </w:r>
      <w:r w:rsidRPr="00C04EDE" w:rsidR="009B7CFC">
        <w:t xml:space="preserve"> to </w:t>
      </w:r>
      <w:r w:rsidRPr="00C04EDE" w:rsidR="00A4245E">
        <w:t xml:space="preserve">evaluate </w:t>
      </w:r>
      <w:r w:rsidRPr="00C04EDE" w:rsidR="009B7CFC">
        <w:t xml:space="preserve">the </w:t>
      </w:r>
      <w:r w:rsidR="002B3F4C">
        <w:t>cyber</w:t>
      </w:r>
      <w:r w:rsidRPr="00C04EDE" w:rsidR="009B7CFC">
        <w:t>security supply chain risks presented by PAC</w:t>
      </w:r>
      <w:r w:rsidRPr="00C04EDE" w:rsidR="00B77979">
        <w:t>S</w:t>
      </w:r>
      <w:r w:rsidRPr="00C04EDE" w:rsidR="009B7CFC">
        <w:t xml:space="preserve"> and PCAs </w:t>
      </w:r>
      <w:r w:rsidRPr="00C04EDE" w:rsidR="00B77979">
        <w:t>in</w:t>
      </w:r>
      <w:r w:rsidRPr="00C04EDE" w:rsidR="009B7CFC">
        <w:t xml:space="preserve"> the study </w:t>
      </w:r>
      <w:r w:rsidR="002B3F4C">
        <w:t>of cyber</w:t>
      </w:r>
      <w:r w:rsidRPr="00C04EDE" w:rsidR="00B77979">
        <w:t xml:space="preserve">security supply chain risks </w:t>
      </w:r>
      <w:r w:rsidR="00F60603">
        <w:t>directed</w:t>
      </w:r>
      <w:r w:rsidRPr="00C04EDE" w:rsidR="00F60603">
        <w:t xml:space="preserve"> </w:t>
      </w:r>
      <w:r w:rsidRPr="00C04EDE" w:rsidR="009B7CFC">
        <w:t>by the NERC Board of Trustees (BOT) in its resolutions of August 10, 2017.</w:t>
      </w:r>
      <w:r w:rsidRPr="00C04EDE" w:rsidR="00FA14EE">
        <w:rPr>
          <w:rStyle w:val="FootnoteReference"/>
        </w:rPr>
        <w:footnoteReference w:id="19"/>
      </w:r>
      <w:r w:rsidRPr="00C04EDE" w:rsidR="009B7CFC">
        <w:t xml:space="preserve">  The</w:t>
      </w:r>
      <w:r w:rsidR="0063250E">
        <w:t xml:space="preserve"> Commission further </w:t>
      </w:r>
      <w:r w:rsidRPr="00C04EDE" w:rsidR="009B7CFC">
        <w:t>direct</w:t>
      </w:r>
      <w:r w:rsidR="0063250E">
        <w:t>s</w:t>
      </w:r>
      <w:r w:rsidRPr="00C04EDE" w:rsidR="009B7CFC">
        <w:t xml:space="preserve"> NERC to file</w:t>
      </w:r>
      <w:r w:rsidRPr="00C04EDE" w:rsidR="00FA14EE">
        <w:t xml:space="preserve"> the </w:t>
      </w:r>
      <w:r w:rsidRPr="00C04EDE" w:rsidR="00A4245E">
        <w:t>BOT-</w:t>
      </w:r>
      <w:r w:rsidR="00B421A6">
        <w:t>directed</w:t>
      </w:r>
      <w:r w:rsidRPr="00C04EDE" w:rsidR="00FA14EE">
        <w:t xml:space="preserve"> final report with the Commission</w:t>
      </w:r>
      <w:r w:rsidR="00753BFF">
        <w:t xml:space="preserve"> upon its</w:t>
      </w:r>
      <w:r w:rsidRPr="00C04EDE" w:rsidR="004C4B83">
        <w:t xml:space="preserve"> completion</w:t>
      </w:r>
      <w:r w:rsidRPr="00C04EDE" w:rsidR="00FA14EE">
        <w:t>.</w:t>
      </w:r>
      <w:r w:rsidR="0045445B">
        <w:rPr>
          <w:rStyle w:val="FootnoteReference"/>
        </w:rPr>
        <w:footnoteReference w:id="20"/>
      </w:r>
    </w:p>
    <w:p w:rsidR="00807A18" w:rsidRDefault="00500CF6" w14:paraId="6B96E4D1" w14:textId="77777777">
      <w:pPr>
        <w:pStyle w:val="Heading1"/>
        <w:ind w:left="0" w:firstLine="0"/>
      </w:pPr>
      <w:bookmarkStart w:name="_bmk1" w:id="1"/>
      <w:bookmarkStart w:name="_Toc280101675" w:id="2"/>
      <w:r>
        <w:t>B</w:t>
      </w:r>
      <w:bookmarkEnd w:id="1"/>
      <w:r>
        <w:t>ackground</w:t>
      </w:r>
      <w:bookmarkEnd w:id="2"/>
    </w:p>
    <w:p w:rsidRPr="008E0F58" w:rsidR="008E0F58" w:rsidP="008E0F58" w:rsidRDefault="00661B73" w14:paraId="16D508FC" w14:textId="77777777">
      <w:pPr>
        <w:pStyle w:val="Heading2"/>
      </w:pPr>
      <w:r>
        <w:t xml:space="preserve">Section 215 and </w:t>
      </w:r>
      <w:r w:rsidR="008E0F58">
        <w:t>Mandatory Reliabi</w:t>
      </w:r>
      <w:r w:rsidR="000A76D5">
        <w:t>lity Standards</w:t>
      </w:r>
    </w:p>
    <w:p w:rsidR="00914518" w:rsidP="00914518" w:rsidRDefault="00500CF6" w14:paraId="05C6641F" w14:textId="77777777">
      <w:pPr>
        <w:pStyle w:val="FERCparanumber"/>
        <w:tabs>
          <w:tab w:val="clear" w:pos="990"/>
        </w:tabs>
        <w:ind w:left="0"/>
        <w:rPr>
          <w:b/>
          <w:szCs w:val="26"/>
        </w:rPr>
      </w:pPr>
      <w:r>
        <w:t xml:space="preserve">Section 215 of the FPA requires a Commission-certified </w:t>
      </w:r>
      <w:r w:rsidR="00BC3B42">
        <w:t xml:space="preserve">ERO </w:t>
      </w:r>
      <w:r>
        <w:t xml:space="preserve">to develop mandatory and enforceable Reliability Standards, subject to Commission review and approval.  </w:t>
      </w:r>
      <w:r w:rsidRPr="00914518" w:rsidR="009B4B4D">
        <w:rPr>
          <w:szCs w:val="26"/>
        </w:rPr>
        <w:t xml:space="preserve">Reliability Standards may be enforced by </w:t>
      </w:r>
      <w:r w:rsidR="00C05252">
        <w:rPr>
          <w:szCs w:val="26"/>
        </w:rPr>
        <w:t>the ERO</w:t>
      </w:r>
      <w:r w:rsidRPr="00914518" w:rsidR="009B4B4D">
        <w:rPr>
          <w:szCs w:val="26"/>
        </w:rPr>
        <w:t>, subject to Commission oversight, or by the Commission independently.</w:t>
      </w:r>
      <w:r w:rsidRPr="009B4B4D" w:rsidR="009B4B4D">
        <w:rPr>
          <w:b/>
          <w:szCs w:val="26"/>
          <w:vertAlign w:val="superscript"/>
        </w:rPr>
        <w:footnoteReference w:id="21"/>
      </w:r>
      <w:r w:rsidRPr="00914518" w:rsidR="009B4B4D">
        <w:rPr>
          <w:szCs w:val="26"/>
        </w:rPr>
        <w:t xml:space="preserve">  Pursuant to section 215 of the FPA, the Commission established a process to select and certify an ERO,</w:t>
      </w:r>
      <w:r w:rsidRPr="009B4B4D" w:rsidR="009B4B4D">
        <w:rPr>
          <w:b/>
          <w:szCs w:val="26"/>
          <w:vertAlign w:val="superscript"/>
        </w:rPr>
        <w:footnoteReference w:id="22"/>
      </w:r>
      <w:r w:rsidRPr="00914518" w:rsidR="009B4B4D">
        <w:rPr>
          <w:szCs w:val="26"/>
        </w:rPr>
        <w:t xml:space="preserve"> and subsequently certified NERC.</w:t>
      </w:r>
      <w:r w:rsidRPr="009B4B4D" w:rsidR="009B4B4D">
        <w:rPr>
          <w:b/>
          <w:bCs/>
          <w:szCs w:val="26"/>
          <w:vertAlign w:val="superscript"/>
        </w:rPr>
        <w:footnoteReference w:id="23"/>
      </w:r>
      <w:r w:rsidRPr="00914518" w:rsidR="009B4B4D">
        <w:rPr>
          <w:szCs w:val="26"/>
        </w:rPr>
        <w:t xml:space="preserve">  </w:t>
      </w:r>
    </w:p>
    <w:p w:rsidRPr="00914518" w:rsidR="00807A18" w:rsidP="00D34EBB" w:rsidRDefault="0065071D" w14:paraId="26FBB20F" w14:textId="77777777">
      <w:pPr>
        <w:pStyle w:val="FERCparanumber"/>
        <w:widowControl w:val="0"/>
        <w:numPr>
          <w:ilvl w:val="0"/>
          <w:numId w:val="0"/>
        </w:numPr>
        <w:rPr>
          <w:b/>
          <w:u w:val="single"/>
        </w:rPr>
      </w:pPr>
      <w:r w:rsidRPr="00914518">
        <w:rPr>
          <w:b/>
          <w:szCs w:val="26"/>
        </w:rPr>
        <w:tab/>
      </w:r>
      <w:r w:rsidRPr="00914518" w:rsidR="00661B73">
        <w:rPr>
          <w:b/>
          <w:szCs w:val="26"/>
        </w:rPr>
        <w:t>B.</w:t>
      </w:r>
      <w:r w:rsidRPr="00914518" w:rsidR="00661B73">
        <w:rPr>
          <w:b/>
          <w:szCs w:val="26"/>
        </w:rPr>
        <w:tab/>
      </w:r>
      <w:r w:rsidRPr="004D2C03" w:rsidR="004D2C03">
        <w:rPr>
          <w:b/>
          <w:szCs w:val="26"/>
          <w:u w:val="single"/>
        </w:rPr>
        <w:t>Order No. 829</w:t>
      </w:r>
    </w:p>
    <w:p w:rsidRPr="00CC50FB" w:rsidR="00CC50FB" w:rsidP="00D34EBB" w:rsidRDefault="00FA14EE" w14:paraId="20EAB727" w14:textId="77777777">
      <w:pPr>
        <w:pStyle w:val="FERCparanumber"/>
        <w:tabs>
          <w:tab w:val="clear" w:pos="990"/>
        </w:tabs>
        <w:ind w:left="0"/>
      </w:pPr>
      <w:r w:rsidRPr="00FA14EE">
        <w:rPr>
          <w:szCs w:val="26"/>
        </w:rPr>
        <w:t>In Order No. 829, the Commission directed NERC to develop a new or modified Reliability Standard that addresses supply chain risk management for industrial control system hardware, software and computing and networking services associated with bulk electric system operations.</w:t>
      </w:r>
      <w:r>
        <w:rPr>
          <w:rStyle w:val="FootnoteReference"/>
        </w:rPr>
        <w:footnoteReference w:id="24"/>
      </w:r>
      <w:r w:rsidRPr="00FA14EE">
        <w:rPr>
          <w:szCs w:val="26"/>
        </w:rPr>
        <w:t xml:space="preserve">  </w:t>
      </w:r>
      <w:r w:rsidR="00CC50FB">
        <w:rPr>
          <w:szCs w:val="26"/>
        </w:rPr>
        <w:t>Specifically, t</w:t>
      </w:r>
      <w:r w:rsidRPr="00FA14EE">
        <w:rPr>
          <w:szCs w:val="26"/>
        </w:rPr>
        <w:t>he Commission directed NERC to develop a forward-looking, objective-based Reliability Standard that would require responsible entities to develop and implement a plan with supply chain management security controls focused on four security objectives:  (1) software integrity and authenticity; (2) vendor remote access; (3) information system planning; and (4) vendor risk management and procurement controls.</w:t>
      </w:r>
      <w:r>
        <w:rPr>
          <w:rStyle w:val="FootnoteReference"/>
        </w:rPr>
        <w:footnoteReference w:id="25"/>
      </w:r>
      <w:r w:rsidRPr="00FA14EE">
        <w:rPr>
          <w:szCs w:val="26"/>
        </w:rPr>
        <w:t xml:space="preserve">  </w:t>
      </w:r>
    </w:p>
    <w:p w:rsidRPr="00796949" w:rsidR="00796949" w:rsidP="00933D64" w:rsidRDefault="00CC50FB" w14:paraId="5DFC81B0" w14:textId="6BB28313">
      <w:pPr>
        <w:pStyle w:val="FERCparanumber"/>
        <w:tabs>
          <w:tab w:val="clear" w:pos="990"/>
        </w:tabs>
        <w:ind w:left="0"/>
      </w:pPr>
      <w:r w:rsidRPr="00DC5D73">
        <w:rPr>
          <w:szCs w:val="26"/>
        </w:rPr>
        <w:t>The Commission explained that</w:t>
      </w:r>
      <w:r w:rsidRPr="00DC5D73" w:rsidR="00796949">
        <w:rPr>
          <w:szCs w:val="26"/>
        </w:rPr>
        <w:t xml:space="preserve"> </w:t>
      </w:r>
      <w:r w:rsidRPr="00DC5D73">
        <w:rPr>
          <w:szCs w:val="26"/>
        </w:rPr>
        <w:t>v</w:t>
      </w:r>
      <w:r w:rsidRPr="00DC5D73" w:rsidR="00FA14EE">
        <w:rPr>
          <w:szCs w:val="26"/>
        </w:rPr>
        <w:t>erification of software integrity and authenticity</w:t>
      </w:r>
      <w:r w:rsidRPr="00DC5D73" w:rsidR="0071249E">
        <w:rPr>
          <w:szCs w:val="26"/>
        </w:rPr>
        <w:t xml:space="preserve"> </w:t>
      </w:r>
      <w:r w:rsidRPr="00DC5D73" w:rsidR="00FA14EE">
        <w:rPr>
          <w:szCs w:val="26"/>
        </w:rPr>
        <w:t>is intended to reduce the likelihood that an attacker could exploit legitimate vendor patch management processes to deliver compromised software updates or patches to a BES Cyber System.</w:t>
      </w:r>
      <w:r w:rsidRPr="005647D0" w:rsidR="00FA14EE">
        <w:rPr>
          <w:rStyle w:val="FootnoteReference"/>
        </w:rPr>
        <w:footnoteReference w:id="26"/>
      </w:r>
      <w:r w:rsidRPr="00DC5D73" w:rsidR="009973A4">
        <w:rPr>
          <w:szCs w:val="26"/>
        </w:rPr>
        <w:t xml:space="preserve">  For </w:t>
      </w:r>
      <w:r w:rsidRPr="00DC5D73" w:rsidR="00796949">
        <w:rPr>
          <w:szCs w:val="26"/>
        </w:rPr>
        <w:t>v</w:t>
      </w:r>
      <w:r w:rsidRPr="00DC5D73" w:rsidR="00FA14EE">
        <w:rPr>
          <w:szCs w:val="26"/>
        </w:rPr>
        <w:t>endor remote access</w:t>
      </w:r>
      <w:r w:rsidRPr="00DC5D73" w:rsidR="00796949">
        <w:rPr>
          <w:szCs w:val="26"/>
        </w:rPr>
        <w:t>, the Commission state</w:t>
      </w:r>
      <w:r w:rsidRPr="00DC5D73" w:rsidR="00BD6DA2">
        <w:rPr>
          <w:szCs w:val="26"/>
        </w:rPr>
        <w:t>d that the objective</w:t>
      </w:r>
      <w:r w:rsidRPr="00DC5D73" w:rsidR="00FA14EE">
        <w:rPr>
          <w:szCs w:val="26"/>
        </w:rPr>
        <w:t xml:space="preserve"> is intended to address the threat that vendor credentials could be stolen and used to access a BES Cyber System without the responsible entity’s knowledge, as well as the threat that a compromise at a trusted vendor could traverse over an unmonitored connection into a responsible entity’s BES Cyber System.</w:t>
      </w:r>
      <w:r w:rsidRPr="005647D0" w:rsidR="00FA14EE">
        <w:rPr>
          <w:rStyle w:val="FootnoteReference"/>
        </w:rPr>
        <w:footnoteReference w:id="27"/>
      </w:r>
      <w:r w:rsidRPr="00DC5D73" w:rsidR="00FA14EE">
        <w:rPr>
          <w:szCs w:val="26"/>
        </w:rPr>
        <w:t xml:space="preserve">  </w:t>
      </w:r>
      <w:r w:rsidRPr="00DC5D73" w:rsidR="009973A4">
        <w:rPr>
          <w:szCs w:val="26"/>
        </w:rPr>
        <w:t>As to</w:t>
      </w:r>
      <w:r w:rsidRPr="00DC5D73" w:rsidR="00796949">
        <w:rPr>
          <w:szCs w:val="26"/>
        </w:rPr>
        <w:t xml:space="preserve"> i</w:t>
      </w:r>
      <w:r w:rsidRPr="00DC5D73" w:rsidR="00FA14EE">
        <w:rPr>
          <w:szCs w:val="26"/>
        </w:rPr>
        <w:t>nformation system planning</w:t>
      </w:r>
      <w:r w:rsidRPr="00DC5D73" w:rsidR="00796949">
        <w:rPr>
          <w:szCs w:val="26"/>
        </w:rPr>
        <w:t>,</w:t>
      </w:r>
      <w:r w:rsidRPr="00DC5D73" w:rsidR="00BD6DA2">
        <w:rPr>
          <w:szCs w:val="26"/>
        </w:rPr>
        <w:t xml:space="preserve"> Order </w:t>
      </w:r>
      <w:r w:rsidRPr="00DC5D73" w:rsidR="00DC5D73">
        <w:rPr>
          <w:szCs w:val="26"/>
        </w:rPr>
        <w:t xml:space="preserve">   </w:t>
      </w:r>
      <w:r w:rsidRPr="00DC5D73" w:rsidR="00BD6DA2">
        <w:rPr>
          <w:szCs w:val="26"/>
        </w:rPr>
        <w:t>No. 829 indicated that the objective</w:t>
      </w:r>
      <w:r w:rsidRPr="00DC5D73" w:rsidR="00FA14EE">
        <w:rPr>
          <w:szCs w:val="26"/>
        </w:rPr>
        <w:t xml:space="preserve"> is intended to address the risk that responsible entities could unintentionally plan to procure and install unsecure equipment or software within their information systems, or could unintentionally fail to anticipate security issues that may arise due to their network architecture or during technology and vendor transitions.</w:t>
      </w:r>
      <w:r w:rsidRPr="005647D0" w:rsidR="00FA14EE">
        <w:rPr>
          <w:rStyle w:val="FootnoteReference"/>
        </w:rPr>
        <w:footnoteReference w:id="28"/>
      </w:r>
      <w:r w:rsidRPr="00DC5D73" w:rsidR="00FA14EE">
        <w:rPr>
          <w:szCs w:val="26"/>
        </w:rPr>
        <w:t xml:space="preserve">  </w:t>
      </w:r>
      <w:r w:rsidRPr="00DC5D73" w:rsidR="009973A4">
        <w:rPr>
          <w:szCs w:val="26"/>
        </w:rPr>
        <w:t>For v</w:t>
      </w:r>
      <w:r w:rsidRPr="00DC5D73" w:rsidR="00FA14EE">
        <w:rPr>
          <w:szCs w:val="26"/>
        </w:rPr>
        <w:t>endor risk management and procurement controls</w:t>
      </w:r>
      <w:r w:rsidRPr="00DC5D73" w:rsidR="00796949">
        <w:rPr>
          <w:szCs w:val="26"/>
        </w:rPr>
        <w:t>, the Commission explained</w:t>
      </w:r>
      <w:r w:rsidRPr="00DC5D73" w:rsidR="009973A4">
        <w:rPr>
          <w:szCs w:val="26"/>
        </w:rPr>
        <w:t xml:space="preserve"> that this objective is </w:t>
      </w:r>
      <w:r w:rsidRPr="00DC5D73" w:rsidR="00FA14EE">
        <w:rPr>
          <w:szCs w:val="26"/>
        </w:rPr>
        <w:t>intended to address the risk that responsible entities could enter into contracts with vendors that pose significant risks to the responsible entities’ information systems, as well as the risk that products procured by a responsible entity fail to meet minimum security criteria.  This objective also addresses the risk that a compromised vendor would not provide adequate notice and related incident response to responsible entities with whom that vendor is connected.</w:t>
      </w:r>
      <w:r w:rsidRPr="005647D0" w:rsidR="00FA14EE">
        <w:rPr>
          <w:rStyle w:val="FootnoteReference"/>
        </w:rPr>
        <w:footnoteReference w:id="29"/>
      </w:r>
    </w:p>
    <w:p w:rsidR="005A7ECB" w:rsidP="00E7065F" w:rsidRDefault="00796949" w14:paraId="3B081B33" w14:textId="77777777">
      <w:pPr>
        <w:pStyle w:val="FERCparanumber"/>
        <w:keepNext/>
        <w:tabs>
          <w:tab w:val="clear" w:pos="990"/>
        </w:tabs>
        <w:ind w:left="0"/>
      </w:pPr>
      <w:r>
        <w:rPr>
          <w:szCs w:val="26"/>
        </w:rPr>
        <w:t>Order No. 829 stated that w</w:t>
      </w:r>
      <w:r w:rsidR="00BD6DA2">
        <w:rPr>
          <w:szCs w:val="26"/>
        </w:rPr>
        <w:t>hile responsible entities sh</w:t>
      </w:r>
      <w:r w:rsidRPr="00796949" w:rsidR="00FA14EE">
        <w:rPr>
          <w:szCs w:val="26"/>
        </w:rPr>
        <w:t xml:space="preserve">ould be required to develop and implement a plan, NERC </w:t>
      </w:r>
      <w:r w:rsidR="009973A4">
        <w:rPr>
          <w:szCs w:val="26"/>
        </w:rPr>
        <w:t>need not</w:t>
      </w:r>
      <w:r w:rsidRPr="00796949" w:rsidR="00FA14EE">
        <w:rPr>
          <w:szCs w:val="26"/>
        </w:rPr>
        <w:t xml:space="preserve"> impose any specific controls or “one-size-fits-all” requirements.</w:t>
      </w:r>
      <w:r w:rsidRPr="005647D0" w:rsidR="00FA14EE">
        <w:rPr>
          <w:rStyle w:val="FootnoteReference"/>
        </w:rPr>
        <w:footnoteReference w:id="30"/>
      </w:r>
      <w:r w:rsidRPr="00796949" w:rsidR="00FA14EE">
        <w:rPr>
          <w:szCs w:val="26"/>
        </w:rPr>
        <w:t xml:space="preserve">  In addition, the Commission stated that NERC’s response to the Order No. 829 directive should respect the Commission’s jurisdiction under </w:t>
      </w:r>
      <w:r>
        <w:rPr>
          <w:szCs w:val="26"/>
        </w:rPr>
        <w:t xml:space="preserve">FPA section 215 </w:t>
      </w:r>
      <w:r w:rsidRPr="00796949" w:rsidR="00FA14EE">
        <w:rPr>
          <w:szCs w:val="26"/>
        </w:rPr>
        <w:t>by only addressing the obligations of responsible entities and not by directly imposing any obligations on non-jurisdictional suppliers, vendors or other entities that provide products or services to responsible entities.</w:t>
      </w:r>
      <w:r w:rsidRPr="005647D0" w:rsidR="00FA14EE">
        <w:rPr>
          <w:rStyle w:val="FootnoteReference"/>
        </w:rPr>
        <w:footnoteReference w:id="31"/>
      </w:r>
      <w:r w:rsidRPr="00796949" w:rsidR="00FA14EE">
        <w:rPr>
          <w:szCs w:val="26"/>
        </w:rPr>
        <w:t xml:space="preserve"> </w:t>
      </w:r>
    </w:p>
    <w:p w:rsidRPr="00FB6B8A" w:rsidR="00FB6B8A" w:rsidP="00FB6B8A" w:rsidRDefault="00F01DD2" w14:paraId="41083A56" w14:textId="77777777">
      <w:pPr>
        <w:pStyle w:val="FERCparanumber"/>
        <w:keepNext/>
        <w:numPr>
          <w:ilvl w:val="1"/>
          <w:numId w:val="2"/>
        </w:numPr>
        <w:ind w:hanging="110"/>
        <w:rPr>
          <w:b/>
        </w:rPr>
      </w:pPr>
      <w:r>
        <w:rPr>
          <w:b/>
          <w:u w:val="single"/>
        </w:rPr>
        <w:t>NERC Petition</w:t>
      </w:r>
      <w:r w:rsidR="00DC772B">
        <w:rPr>
          <w:b/>
          <w:u w:val="single"/>
        </w:rPr>
        <w:t xml:space="preserve"> and Proposed Reliability Standards</w:t>
      </w:r>
    </w:p>
    <w:p w:rsidR="00DC772B" w:rsidP="00DC772B" w:rsidRDefault="00DC772B" w14:paraId="73B2C1AB" w14:textId="77777777">
      <w:pPr>
        <w:pStyle w:val="FERCparanumber"/>
        <w:tabs>
          <w:tab w:val="clear" w:pos="990"/>
          <w:tab w:val="num" w:pos="720"/>
        </w:tabs>
        <w:ind w:left="0"/>
      </w:pPr>
      <w:r>
        <w:rPr>
          <w:szCs w:val="26"/>
        </w:rPr>
        <w:t xml:space="preserve">On </w:t>
      </w:r>
      <w:r w:rsidRPr="005647D0">
        <w:rPr>
          <w:szCs w:val="26"/>
        </w:rPr>
        <w:t>September 26, 2017, NERC submitted for Commission approval proposed Reliability Standards CIP-013-</w:t>
      </w:r>
      <w:r w:rsidR="00C22344">
        <w:rPr>
          <w:szCs w:val="26"/>
        </w:rPr>
        <w:t>1</w:t>
      </w:r>
      <w:r w:rsidRPr="005647D0">
        <w:rPr>
          <w:szCs w:val="26"/>
        </w:rPr>
        <w:t>, CIP-005-6</w:t>
      </w:r>
      <w:r w:rsidR="001C6BC8">
        <w:rPr>
          <w:szCs w:val="26"/>
        </w:rPr>
        <w:t>,</w:t>
      </w:r>
      <w:r w:rsidRPr="005647D0">
        <w:rPr>
          <w:szCs w:val="26"/>
        </w:rPr>
        <w:t xml:space="preserve"> and CIP-010-3 </w:t>
      </w:r>
      <w:r>
        <w:t>and their associated violation risk factors and violation severity levels, implementation plan, and effective date.</w:t>
      </w:r>
      <w:r>
        <w:rPr>
          <w:rStyle w:val="FootnoteReference"/>
        </w:rPr>
        <w:footnoteReference w:id="32"/>
      </w:r>
      <w:r>
        <w:t xml:space="preserve">  NERC states that the purpose of the Reliability Standards is to enhance the cybersecurity posture of the electric industry by requiring responsible entities to take additional actions to address cybersecurity risks associated with the supply chain for BES Cyber Systems.  NERC </w:t>
      </w:r>
      <w:r w:rsidR="00F80513">
        <w:t>explains</w:t>
      </w:r>
      <w:r>
        <w:t xml:space="preserve"> that the Reliability Standards are designed to augment the existing controls required in the currently-effective CIP Reliability Standards that help mitigate supply chain risks, providing increased attention on minimizing the attack surfaces of information and communications technology products and services procured to support reliable bulk electric system operations, c</w:t>
      </w:r>
      <w:r w:rsidR="009A553A">
        <w:t xml:space="preserve">onsistent with Order No. 829.  </w:t>
      </w:r>
    </w:p>
    <w:p w:rsidR="00377918" w:rsidP="00377918" w:rsidRDefault="00377918" w14:paraId="2BBCA174" w14:textId="77777777">
      <w:pPr>
        <w:pStyle w:val="FERCparanumber"/>
        <w:tabs>
          <w:tab w:val="clear" w:pos="990"/>
          <w:tab w:val="num" w:pos="720"/>
        </w:tabs>
        <w:ind w:left="0"/>
      </w:pPr>
      <w:r>
        <w:t xml:space="preserve">NERC states that the </w:t>
      </w:r>
      <w:r w:rsidR="007A20AD">
        <w:t>supply chain risk management</w:t>
      </w:r>
      <w:r>
        <w:t xml:space="preserve"> Reliability Standards apply only to medium and high impact BES Cyber Systems. </w:t>
      </w:r>
      <w:r w:rsidR="00FD7FEB">
        <w:t xml:space="preserve"> </w:t>
      </w:r>
      <w:r>
        <w:t>NERC explains that the goal of the CIP Reliability Standards is to “focus[] industry resources on protecting those BES Cyber Systems with heightened risks to the [bulk electric system] … [and] that the requirements applicable to low impact BES Cyber Systems, given their lower risk profile, should not be overly burdensome to divert resources from the protection of medium and high impact BES Cyber Systems.”</w:t>
      </w:r>
      <w:r>
        <w:rPr>
          <w:rStyle w:val="FootnoteReference"/>
        </w:rPr>
        <w:footnoteReference w:id="33"/>
      </w:r>
      <w:r>
        <w:t xml:space="preserve">  NERC further maintains that the standard drafting team chose to </w:t>
      </w:r>
      <w:r w:rsidR="007A20AD">
        <w:t>limit the applicability of the</w:t>
      </w:r>
      <w:r>
        <w:t xml:space="preserve"> Reliability Standards to medium and high impact BES Cyber Systems because the </w:t>
      </w:r>
      <w:r w:rsidR="007A20AD">
        <w:t xml:space="preserve">supply chain risk management </w:t>
      </w:r>
      <w:r>
        <w:t>Reliability Standards are “consistent with the type of existing CIP cybersecurity requirements applicable to high and medium impact BES Cyber Systems as opposed to those applicable to low impact BES Cyber Systems.”</w:t>
      </w:r>
      <w:r>
        <w:rPr>
          <w:rStyle w:val="FootnoteReference"/>
        </w:rPr>
        <w:footnoteReference w:id="34"/>
      </w:r>
    </w:p>
    <w:p w:rsidR="00377918" w:rsidP="00377918" w:rsidRDefault="00377918" w14:paraId="7E8A9B01" w14:textId="77777777">
      <w:pPr>
        <w:pStyle w:val="FERCparanumber"/>
        <w:tabs>
          <w:tab w:val="clear" w:pos="990"/>
          <w:tab w:val="num" w:pos="720"/>
        </w:tabs>
        <w:ind w:left="0"/>
      </w:pPr>
      <w:r>
        <w:t xml:space="preserve">NERC </w:t>
      </w:r>
      <w:r w:rsidR="0075108D">
        <w:t xml:space="preserve">states that </w:t>
      </w:r>
      <w:r w:rsidRPr="00DF0134" w:rsidR="00525919">
        <w:t>the</w:t>
      </w:r>
      <w:r w:rsidR="00E36854">
        <w:t xml:space="preserve"> </w:t>
      </w:r>
      <w:r w:rsidR="0075108D">
        <w:t>standard drafting team also excluded</w:t>
      </w:r>
      <w:r>
        <w:t xml:space="preserve"> EACMS, PAC</w:t>
      </w:r>
      <w:r w:rsidR="00BD6DA2">
        <w:t>S</w:t>
      </w:r>
      <w:r w:rsidR="00B41ECB">
        <w:t>,</w:t>
      </w:r>
      <w:r>
        <w:t xml:space="preserve"> and PCAs from the scope of the </w:t>
      </w:r>
      <w:r w:rsidR="007A20AD">
        <w:t>supply chain risk management</w:t>
      </w:r>
      <w:r>
        <w:t xml:space="preserve"> Reliability Standards, with the exception of the modifications in Reliability Standard CIP-005-6, which apply to PCAs.  NERC explains that although certain requirements in the existing CIP Reliability Standards apply to EACMS, PACS</w:t>
      </w:r>
      <w:r w:rsidR="00B41ECB">
        <w:t>,</w:t>
      </w:r>
      <w:r>
        <w:t xml:space="preserve"> and PCAs due to their association with BES Cyber Systems (either by function or location), the standard drafting team determined that the supply chain risk management Reliability Standards should focus on high and medium impact BES Cyber Systems only.  NERC states that this determination was based on the conclusion that applying the proposed Reliability Standards to EACMS, PACS</w:t>
      </w:r>
      <w:r w:rsidR="00B41ECB">
        <w:t>,</w:t>
      </w:r>
      <w:r>
        <w:t xml:space="preserve"> and PCAs “would divert resources from protecting medium and high BES Cyber Systems.”</w:t>
      </w:r>
      <w:r w:rsidR="00A705F6">
        <w:rPr>
          <w:rStyle w:val="FootnoteReference"/>
        </w:rPr>
        <w:footnoteReference w:id="35"/>
      </w:r>
    </w:p>
    <w:p w:rsidR="00F15651" w:rsidP="00F15651" w:rsidRDefault="00BD6DA2" w14:paraId="26697A96" w14:textId="77777777">
      <w:pPr>
        <w:pStyle w:val="FERCparanumber"/>
        <w:tabs>
          <w:tab w:val="clear" w:pos="990"/>
          <w:tab w:val="num" w:pos="720"/>
        </w:tabs>
        <w:ind w:left="0"/>
        <w:rPr>
          <w:b/>
        </w:rPr>
      </w:pPr>
      <w:r>
        <w:t xml:space="preserve">NERC </w:t>
      </w:r>
      <w:r w:rsidR="007A20AD">
        <w:t xml:space="preserve">asserts </w:t>
      </w:r>
      <w:r w:rsidR="0075108D">
        <w:t>that with respect to low impact BES Cyber Systems and EACMS, PAC</w:t>
      </w:r>
      <w:r w:rsidR="00FD7FEB">
        <w:t>S</w:t>
      </w:r>
      <w:r w:rsidR="00B41ECB">
        <w:t>,</w:t>
      </w:r>
      <w:r w:rsidR="00377918">
        <w:t xml:space="preserve"> and PCAs</w:t>
      </w:r>
      <w:r w:rsidR="0075108D">
        <w:t xml:space="preserve">, while not </w:t>
      </w:r>
      <w:r>
        <w:t>mandatory</w:t>
      </w:r>
      <w:r w:rsidR="0075108D">
        <w:t xml:space="preserve">, </w:t>
      </w:r>
      <w:r>
        <w:t xml:space="preserve">NERC expects that these </w:t>
      </w:r>
      <w:r w:rsidR="004C4B83">
        <w:t>assets</w:t>
      </w:r>
      <w:r w:rsidR="00377918">
        <w:t xml:space="preserve"> will</w:t>
      </w:r>
      <w:r w:rsidR="0075108D">
        <w:t xml:space="preserve"> likely</w:t>
      </w:r>
      <w:r w:rsidR="00377918">
        <w:t xml:space="preserve"> be subject to responsible entity supply chain risk management plans required by Reliability Standard CIP-013-1.  </w:t>
      </w:r>
      <w:r w:rsidR="004C4B83">
        <w:t xml:space="preserve">Specifically, </w:t>
      </w:r>
      <w:r w:rsidR="00377918">
        <w:t xml:space="preserve">NERC </w:t>
      </w:r>
      <w:r w:rsidR="007A20AD">
        <w:t>explains</w:t>
      </w:r>
      <w:r w:rsidR="00377918">
        <w:t xml:space="preserve"> that “</w:t>
      </w:r>
      <w:r w:rsidR="00ED1CEE">
        <w:t>[r]</w:t>
      </w:r>
      <w:r w:rsidR="00377918">
        <w:t xml:space="preserve">esponsible </w:t>
      </w:r>
      <w:r w:rsidR="00ED1CEE">
        <w:t>[e]</w:t>
      </w:r>
      <w:r w:rsidR="00377918">
        <w:t>ntities may implement a single process for procuring products and services associated with the</w:t>
      </w:r>
      <w:r w:rsidR="0075108D">
        <w:t>ir operational environments.”</w:t>
      </w:r>
      <w:r w:rsidR="00BC2C27">
        <w:rPr>
          <w:rStyle w:val="FootnoteReference"/>
        </w:rPr>
        <w:footnoteReference w:id="36"/>
      </w:r>
      <w:r w:rsidR="0075108D">
        <w:t xml:space="preserve">  NERC</w:t>
      </w:r>
      <w:r>
        <w:t xml:space="preserve"> </w:t>
      </w:r>
      <w:r w:rsidR="004C4B83">
        <w:t>contends</w:t>
      </w:r>
      <w:r>
        <w:t xml:space="preserve"> </w:t>
      </w:r>
      <w:r w:rsidR="0075108D">
        <w:t>that “by requiring that entities implement supply chain cybersecurity risk management plans for high and medium impact BES Cyber Systems, those plans would likely also cover t</w:t>
      </w:r>
      <w:r w:rsidR="00956CB8">
        <w:t>heir low impact BES Cyber Systems</w:t>
      </w:r>
      <w:r w:rsidR="0075108D">
        <w:t>.”</w:t>
      </w:r>
      <w:r w:rsidR="0075108D">
        <w:rPr>
          <w:rStyle w:val="FootnoteReference"/>
        </w:rPr>
        <w:footnoteReference w:id="37"/>
      </w:r>
      <w:r w:rsidR="0075108D">
        <w:t xml:space="preserve">  </w:t>
      </w:r>
      <w:r w:rsidR="00377918">
        <w:t>NERC also claims that responsible entities “may also use the same vendors for procuring PACS, EACMS, and PCAs as they do for their high and medium impact BES Cyber Systems such that the same security considerations may be addressed for those Cyber Assets.”</w:t>
      </w:r>
      <w:r w:rsidR="0075108D">
        <w:rPr>
          <w:rStyle w:val="FootnoteReference"/>
        </w:rPr>
        <w:footnoteReference w:id="38"/>
      </w:r>
      <w:r w:rsidR="00377918">
        <w:t xml:space="preserve"> </w:t>
      </w:r>
    </w:p>
    <w:p w:rsidRPr="00080322" w:rsidR="0039654B" w:rsidRDefault="00F80513" w14:paraId="3790A4D5" w14:textId="77777777">
      <w:pPr>
        <w:pStyle w:val="FERCparanumber"/>
        <w:keepNext/>
        <w:numPr>
          <w:ilvl w:val="0"/>
          <w:numId w:val="0"/>
        </w:numPr>
        <w:ind w:firstLine="720"/>
        <w:rPr>
          <w:b/>
          <w:u w:val="single"/>
        </w:rPr>
      </w:pPr>
      <w:r w:rsidRPr="00080322">
        <w:rPr>
          <w:b/>
          <w:u w:val="single"/>
        </w:rPr>
        <w:t>P</w:t>
      </w:r>
      <w:r w:rsidRPr="00080322" w:rsidR="00DC772B">
        <w:rPr>
          <w:b/>
          <w:u w:val="single"/>
        </w:rPr>
        <w:t>roposed Reliability Standard CIP-013-1</w:t>
      </w:r>
    </w:p>
    <w:p w:rsidR="0039654B" w:rsidRDefault="00DC772B" w14:paraId="43105F23" w14:textId="77777777">
      <w:pPr>
        <w:pStyle w:val="FERCparanumber"/>
        <w:keepNext/>
        <w:tabs>
          <w:tab w:val="clear" w:pos="990"/>
          <w:tab w:val="num" w:pos="720"/>
        </w:tabs>
        <w:ind w:left="0"/>
      </w:pPr>
      <w:r>
        <w:t>NERC states that the focus of proposed Reliability Standard CIP-013-1 is on the steps that responsible entities</w:t>
      </w:r>
      <w:r w:rsidR="00C70D6B">
        <w:t xml:space="preserve"> must</w:t>
      </w:r>
      <w:r>
        <w:t xml:space="preserve"> take “to consider and address cybersecurity risks from vendor products and services during BES Cyber System planning and procurement.”</w:t>
      </w:r>
      <w:r w:rsidR="00CD0D99">
        <w:rPr>
          <w:rStyle w:val="FootnoteReference"/>
        </w:rPr>
        <w:footnoteReference w:id="39"/>
      </w:r>
      <w:r>
        <w:t xml:space="preserve">   NERC explains that proposed Reliability Standard CIP-013-1 does not require any specific controls or mandate “one-size-fits-all” requirements due to the differences in needs and characteristics of responsible entities and the diversity of bulk electric system environments, technologies</w:t>
      </w:r>
      <w:r w:rsidR="001B55AD">
        <w:t>,</w:t>
      </w:r>
      <w:r>
        <w:t xml:space="preserve"> and risks.  NERC states that the goal of the proposed Reliability Standard is “to help ensure that responsible entities establish organizationally-defined processes that integrate a cybersecurity risk management framework into the system development lifecycle.”</w:t>
      </w:r>
      <w:r w:rsidR="00CD0D99">
        <w:rPr>
          <w:rStyle w:val="FootnoteReference"/>
        </w:rPr>
        <w:footnoteReference w:id="40"/>
      </w:r>
      <w:r w:rsidR="00CD0D99">
        <w:t xml:space="preserve">  </w:t>
      </w:r>
      <w:r>
        <w:t xml:space="preserve">NERC </w:t>
      </w:r>
      <w:r w:rsidR="00C70D6B">
        <w:t xml:space="preserve">observes </w:t>
      </w:r>
      <w:r>
        <w:t xml:space="preserve">that, among other things, proposed Reliability Standard CIP-013-1 addresses the risk associated with information system planning, as well as vendor risk management and procurement controls, the third and fourth objectives outlined in Order No. 829.   </w:t>
      </w:r>
    </w:p>
    <w:p w:rsidR="00DC772B" w:rsidP="00DC772B" w:rsidRDefault="00DC772B" w14:paraId="661EA0CC" w14:textId="195E90DA">
      <w:pPr>
        <w:pStyle w:val="FERCparanumber"/>
        <w:tabs>
          <w:tab w:val="clear" w:pos="990"/>
          <w:tab w:val="num" w:pos="720"/>
        </w:tabs>
        <w:ind w:left="0"/>
      </w:pPr>
      <w:r>
        <w:t xml:space="preserve">NERC maintains that, consistent with Order No. 829, responsible entities need </w:t>
      </w:r>
      <w:r w:rsidR="00251198">
        <w:t xml:space="preserve">  </w:t>
      </w:r>
      <w:r>
        <w:t xml:space="preserve">not apply their supply chain risk management plans to the acquisition of vendor products or services under contracts executed prior to the effective date of Reliability Standard CIP-013-1, nor would such contracts need to be renegotiated or abrogated to comply with the Reliability Standard.  In addition, NERC </w:t>
      </w:r>
      <w:r w:rsidR="002A21B6">
        <w:t>indicates</w:t>
      </w:r>
      <w:r>
        <w:t xml:space="preserve"> that, consistent with the development of a forward looking Reliability Standard, </w:t>
      </w:r>
      <w:r w:rsidR="0050515D">
        <w:t xml:space="preserve">it would not expect entities </w:t>
      </w:r>
      <w:r>
        <w:t>in the middle of procurement activities for an applicable product or service at the time of the effective date of Reliability Standard CIP-013-1 to begin those activities anew to implement their supply chain cybersecurity risk manag</w:t>
      </w:r>
      <w:r w:rsidR="00251198">
        <w:t>ement plan.</w:t>
      </w:r>
    </w:p>
    <w:p w:rsidR="00DC772B" w:rsidP="003C7EB1" w:rsidRDefault="00DC772B" w14:paraId="400B9F35" w14:textId="5BE7AC92">
      <w:pPr>
        <w:pStyle w:val="FERCparanumber"/>
        <w:tabs>
          <w:tab w:val="clear" w:pos="990"/>
          <w:tab w:val="num" w:pos="720"/>
        </w:tabs>
        <w:ind w:left="0"/>
      </w:pPr>
      <w:r>
        <w:t xml:space="preserve">With regard to assessing compliance with Reliability Standard CIP-013-1, </w:t>
      </w:r>
      <w:r w:rsidR="00251198">
        <w:t xml:space="preserve">    </w:t>
      </w:r>
      <w:r>
        <w:t xml:space="preserve">NERC states that </w:t>
      </w:r>
      <w:r w:rsidR="004C361C">
        <w:t>NERC and Regional Entities</w:t>
      </w:r>
      <w:r w:rsidR="00A325C7">
        <w:t xml:space="preserve"> would focus on whether</w:t>
      </w:r>
      <w:r>
        <w:t xml:space="preserve"> responsible entit</w:t>
      </w:r>
      <w:r w:rsidR="00A325C7">
        <w:t>ies</w:t>
      </w:r>
      <w:r>
        <w:t>:  (1) developed processes reasonably designed to (i) identify and assess risks associated with vendor products and services in accordance with Part 1.1 and (ii) ensure that the security items listed in Part 1.2 are an integrated part of procurement activities; and (2) implemented those processes in good f</w:t>
      </w:r>
      <w:r w:rsidR="004C361C">
        <w:t xml:space="preserve">aith.  NERC explains that NERC and Regional Entities </w:t>
      </w:r>
      <w:r>
        <w:t>will evaluate the steps a responsible entity took to assess risks posed by a vendor and associated products or services and, based on that risk assessment, the steps the entity took to mitigate those risk</w:t>
      </w:r>
      <w:r w:rsidR="00454F90">
        <w:t>s</w:t>
      </w:r>
      <w:r>
        <w:t xml:space="preserve">, including the negotiation of security provisions in its agreements with the vendor. </w:t>
      </w:r>
    </w:p>
    <w:p w:rsidRPr="00080322" w:rsidR="00DC772B" w:rsidP="00A325C7" w:rsidRDefault="00DC772B" w14:paraId="18E779B7" w14:textId="77777777">
      <w:pPr>
        <w:pStyle w:val="FERCparanumber"/>
        <w:keepNext/>
        <w:numPr>
          <w:ilvl w:val="0"/>
          <w:numId w:val="0"/>
        </w:numPr>
        <w:ind w:firstLine="720"/>
        <w:rPr>
          <w:b/>
          <w:u w:val="single"/>
        </w:rPr>
      </w:pPr>
      <w:r w:rsidRPr="00080322">
        <w:rPr>
          <w:b/>
          <w:u w:val="single"/>
        </w:rPr>
        <w:t>Proposed Modifications in Reliability Standard CIP-005-6</w:t>
      </w:r>
    </w:p>
    <w:p w:rsidR="00DC772B" w:rsidP="003C7EB1" w:rsidRDefault="00DC772B" w14:paraId="03352392" w14:textId="77777777">
      <w:pPr>
        <w:pStyle w:val="FERCparanumber"/>
        <w:tabs>
          <w:tab w:val="clear" w:pos="990"/>
          <w:tab w:val="num" w:pos="720"/>
        </w:tabs>
        <w:ind w:left="0"/>
      </w:pPr>
      <w:r>
        <w:t xml:space="preserve">Proposed Reliability Standard CIP-005-6 includes two new parts, Parts 2.4 and 2.5, to address vendor remote access, which is the second objective </w:t>
      </w:r>
      <w:r w:rsidR="004507D8">
        <w:t>discussed</w:t>
      </w:r>
      <w:r>
        <w:t xml:space="preserve"> in Order No. 829.  NERC explains that the new parts work in tandem with proposed Reliability Standard CIP-013-1, Requirement R1.2.6, which requires responsible entities to address Interactive Remote Access and system-to-system remote access when procuring industrial control system hardware, software</w:t>
      </w:r>
      <w:r w:rsidR="00431DCF">
        <w:t>,</w:t>
      </w:r>
      <w:r>
        <w:t xml:space="preserve"> and computing and networking services associated with bulk electric system operations.  NERC states that proposed Reliability Standard CIP-005-6, Requirement R2.4 requires one or more methods for determining active vendor remote access sessions, including Interactive Remote Access and system</w:t>
      </w:r>
      <w:r>
        <w:rPr>
          <w:rFonts w:ascii="Cambria Math" w:hAnsi="Cambria Math" w:cs="Cambria Math"/>
        </w:rPr>
        <w:t>‐</w:t>
      </w:r>
      <w:r>
        <w:t>to</w:t>
      </w:r>
      <w:r>
        <w:rPr>
          <w:rFonts w:ascii="Cambria Math" w:hAnsi="Cambria Math" w:cs="Cambria Math"/>
        </w:rPr>
        <w:t>‐</w:t>
      </w:r>
      <w:r>
        <w:t>system remote access.  NERC explains that the security objective of Requirement R2.4 is to provide awareness of all active vendor remote access sessions, both Interactive Remote Access and system</w:t>
      </w:r>
      <w:r>
        <w:rPr>
          <w:rFonts w:ascii="Cambria Math" w:hAnsi="Cambria Math" w:cs="Cambria Math"/>
        </w:rPr>
        <w:t>‐</w:t>
      </w:r>
      <w:r>
        <w:t>to</w:t>
      </w:r>
      <w:r>
        <w:rPr>
          <w:rFonts w:ascii="Cambria Math" w:hAnsi="Cambria Math" w:cs="Cambria Math"/>
        </w:rPr>
        <w:t>‐</w:t>
      </w:r>
      <w:r>
        <w:t xml:space="preserve">system remote access, that are taking place on a responsible entity’s system.   </w:t>
      </w:r>
    </w:p>
    <w:p w:rsidRPr="00080322" w:rsidR="00DC772B" w:rsidP="004507D8" w:rsidRDefault="00DC772B" w14:paraId="28A25375" w14:textId="77777777">
      <w:pPr>
        <w:pStyle w:val="FERCparanumber"/>
        <w:keepNext/>
        <w:numPr>
          <w:ilvl w:val="0"/>
          <w:numId w:val="0"/>
        </w:numPr>
        <w:ind w:firstLine="720"/>
        <w:rPr>
          <w:b/>
          <w:u w:val="single"/>
        </w:rPr>
      </w:pPr>
      <w:r w:rsidRPr="00080322">
        <w:rPr>
          <w:b/>
          <w:u w:val="single"/>
        </w:rPr>
        <w:t>Proposed Modifications in Reliability Standard CIP-010-3</w:t>
      </w:r>
    </w:p>
    <w:p w:rsidR="0039654B" w:rsidRDefault="00DC772B" w14:paraId="76688AEA" w14:textId="77777777">
      <w:pPr>
        <w:pStyle w:val="FERCparanumber"/>
        <w:tabs>
          <w:tab w:val="clear" w:pos="990"/>
          <w:tab w:val="num" w:pos="720"/>
        </w:tabs>
        <w:ind w:left="0"/>
      </w:pPr>
      <w:r>
        <w:t xml:space="preserve">Proposed Reliability Standard CIP-010-3 includes a new part, Part 1.6, to address software integrity and authenticity, the first objective </w:t>
      </w:r>
      <w:r w:rsidR="004507D8">
        <w:t xml:space="preserve">addressed </w:t>
      </w:r>
      <w:r>
        <w:t xml:space="preserve">in Order No. 829, by requiring </w:t>
      </w:r>
      <w:r w:rsidR="007862A6">
        <w:t xml:space="preserve">that </w:t>
      </w:r>
      <w:r>
        <w:t xml:space="preserve">the publisher </w:t>
      </w:r>
      <w:r w:rsidR="00323381">
        <w:t>is</w:t>
      </w:r>
      <w:r w:rsidR="00577503">
        <w:t xml:space="preserve"> identified and</w:t>
      </w:r>
      <w:r>
        <w:t xml:space="preserve"> </w:t>
      </w:r>
      <w:r w:rsidR="00552FCF">
        <w:t xml:space="preserve">the </w:t>
      </w:r>
      <w:r>
        <w:t>integrity of all software and patches</w:t>
      </w:r>
      <w:r w:rsidR="00577503">
        <w:t xml:space="preserve"> </w:t>
      </w:r>
      <w:r w:rsidR="00323381">
        <w:t>are</w:t>
      </w:r>
      <w:r w:rsidR="0039654B">
        <w:t xml:space="preserve"> </w:t>
      </w:r>
      <w:r w:rsidR="00577503">
        <w:t>confirmed</w:t>
      </w:r>
      <w:r>
        <w:t xml:space="preserve">.  NERC explains that proposed Reliability Standard CIP-010-3, Requirement R1.6 requires responsible entities to verify software integrity and authenticity </w:t>
      </w:r>
      <w:r w:rsidR="00303E91">
        <w:t>prior to a change from the existing baseline configuration</w:t>
      </w:r>
      <w:r>
        <w:t>, if the software source provides a method to do so.  Specifically, NERC states that proposed Reliability Standard CIP-010-3, Requirement R1.6 requires</w:t>
      </w:r>
      <w:r w:rsidR="00EC2046">
        <w:t xml:space="preserve"> that responsible entities </w:t>
      </w:r>
      <w:r>
        <w:t>verify the identity of the software source and the integrity of the software obtained by the software sources prior to installing software that changes established baseline configurations</w:t>
      </w:r>
      <w:r w:rsidR="00031928">
        <w:t>,</w:t>
      </w:r>
      <w:r>
        <w:t xml:space="preserve"> when methods are available to do so.  NERC </w:t>
      </w:r>
      <w:r w:rsidR="004507D8">
        <w:t>asserts</w:t>
      </w:r>
      <w:r>
        <w:t xml:space="preserve"> that the security objective of proposed Requirement R1.6 is to ensure that the software being installed in the BES Cyber System was not modified without the awareness of the software supplier and is not counterfeit.  NERC </w:t>
      </w:r>
      <w:r w:rsidR="004507D8">
        <w:t>contends</w:t>
      </w:r>
      <w:r>
        <w:t xml:space="preserve"> that these steps help reduce the likelihood that an attacker could exploit legitimate vendor patch management processes to deliver compromised software updates or patches to a BES Cyber System.   </w:t>
      </w:r>
    </w:p>
    <w:p w:rsidRPr="00080322" w:rsidR="00DD4BDD" w:rsidP="00377918" w:rsidRDefault="0075108D" w14:paraId="23A63AEE" w14:textId="77777777">
      <w:pPr>
        <w:pStyle w:val="FERCparanumber"/>
        <w:numPr>
          <w:ilvl w:val="0"/>
          <w:numId w:val="0"/>
        </w:numPr>
        <w:ind w:firstLine="720"/>
        <w:rPr>
          <w:b/>
          <w:u w:val="single"/>
        </w:rPr>
      </w:pPr>
      <w:r w:rsidRPr="00080322">
        <w:rPr>
          <w:b/>
          <w:u w:val="single"/>
        </w:rPr>
        <w:t>BOT</w:t>
      </w:r>
      <w:r w:rsidRPr="00080322" w:rsidR="00DC772B">
        <w:rPr>
          <w:b/>
          <w:u w:val="single"/>
        </w:rPr>
        <w:t xml:space="preserve"> Resolution</w:t>
      </w:r>
      <w:r w:rsidRPr="00080322">
        <w:rPr>
          <w:b/>
          <w:u w:val="single"/>
        </w:rPr>
        <w:t>s</w:t>
      </w:r>
      <w:r w:rsidRPr="00080322" w:rsidR="00DD4BDD">
        <w:rPr>
          <w:b/>
          <w:u w:val="single"/>
        </w:rPr>
        <w:t xml:space="preserve">   </w:t>
      </w:r>
    </w:p>
    <w:p w:rsidR="00FB6B8A" w:rsidP="00DC772B" w:rsidRDefault="00C92AED" w14:paraId="3B2F831E" w14:textId="3D3CDEC4">
      <w:pPr>
        <w:pStyle w:val="FERCparanumber"/>
        <w:tabs>
          <w:tab w:val="clear" w:pos="990"/>
          <w:tab w:val="num" w:pos="720"/>
        </w:tabs>
        <w:ind w:left="0"/>
      </w:pPr>
      <w:r>
        <w:t xml:space="preserve">In the petition, </w:t>
      </w:r>
      <w:r w:rsidR="00660433">
        <w:t>NERC states</w:t>
      </w:r>
      <w:r w:rsidR="00386974">
        <w:t xml:space="preserve"> that i</w:t>
      </w:r>
      <w:r w:rsidR="00DC772B">
        <w:t xml:space="preserve">n conjunction with the adoption of the </w:t>
      </w:r>
      <w:r w:rsidR="004C3158">
        <w:t xml:space="preserve">supply chain risk management </w:t>
      </w:r>
      <w:r w:rsidR="00DC772B">
        <w:t>Reliability Standards,</w:t>
      </w:r>
      <w:r w:rsidR="00720096">
        <w:t xml:space="preserve"> on August 10, 2017</w:t>
      </w:r>
      <w:r w:rsidR="000B2AD2">
        <w:t>,</w:t>
      </w:r>
      <w:r w:rsidR="00386974">
        <w:t xml:space="preserve"> the </w:t>
      </w:r>
      <w:r w:rsidR="00DC772B">
        <w:t xml:space="preserve">BOT adopted resolutions regarding supply chain risk management.  </w:t>
      </w:r>
      <w:r w:rsidR="00720096">
        <w:t>In particular</w:t>
      </w:r>
      <w:r w:rsidR="00DC772B">
        <w:t xml:space="preserve">, the BOT </w:t>
      </w:r>
      <w:r w:rsidR="004C3158">
        <w:t>directed</w:t>
      </w:r>
      <w:r w:rsidR="00DC772B">
        <w:t xml:space="preserve"> NERC management, in collab</w:t>
      </w:r>
      <w:r w:rsidR="00720096">
        <w:t xml:space="preserve">oration with </w:t>
      </w:r>
      <w:r w:rsidR="00DC772B">
        <w:t>appropriate NERC technical committees, industry representatives</w:t>
      </w:r>
      <w:r w:rsidRPr="00DF0134" w:rsidR="00525919">
        <w:t>,</w:t>
      </w:r>
      <w:r w:rsidR="00DC772B">
        <w:t xml:space="preserve"> and appropriate experts, including representatives of industry vendors, </w:t>
      </w:r>
      <w:r w:rsidR="004C3158">
        <w:t xml:space="preserve">to </w:t>
      </w:r>
      <w:r w:rsidR="00DC772B">
        <w:t>further study the</w:t>
      </w:r>
      <w:r w:rsidR="002B3F4C">
        <w:t xml:space="preserve"> nature and complexity of cyber</w:t>
      </w:r>
      <w:r w:rsidR="00DC772B">
        <w:t xml:space="preserve">security supply chain risks, including risks associated with low impact assets not currently subject to the supply chain risk management Reliability Standards.  The BOT further </w:t>
      </w:r>
      <w:r w:rsidR="004C3158">
        <w:t xml:space="preserve">directed </w:t>
      </w:r>
      <w:r w:rsidR="00DC772B">
        <w:t xml:space="preserve">NERC to develop recommendations for follow-up actions that will best address any issues identified.  Finally, the BOT </w:t>
      </w:r>
      <w:r w:rsidR="004C3158">
        <w:t xml:space="preserve">directed </w:t>
      </w:r>
      <w:r w:rsidR="00DC772B">
        <w:t xml:space="preserve">that NERC management provide an interim progress report no later than 12 months after the adoption of these resolutions </w:t>
      </w:r>
      <w:r w:rsidR="00B83EBB">
        <w:t xml:space="preserve">(i.e., by August 10, 2018) </w:t>
      </w:r>
      <w:r w:rsidR="00DC772B">
        <w:t>and a final report no later than</w:t>
      </w:r>
      <w:r w:rsidR="00720096">
        <w:t xml:space="preserve"> </w:t>
      </w:r>
      <w:r w:rsidR="00DC772B">
        <w:t>18 months after the adoption of the resolutions</w:t>
      </w:r>
      <w:r w:rsidR="00B83EBB">
        <w:t xml:space="preserve"> (i.e., by February 10, 2019)</w:t>
      </w:r>
      <w:r w:rsidR="00DC772B">
        <w:t>.</w:t>
      </w:r>
      <w:r w:rsidR="00386974">
        <w:t xml:space="preserve">  In its petition, NERC states that “over the next 18 months, NERC, working with various stakeholders, will continue to assess whether supply chain risks related to low impact BES Cyber Systems, PACS, EACMS and PCA necessitate further consideration for inclusion in a mandatory Reliability Standard.”</w:t>
      </w:r>
      <w:r w:rsidR="00386974">
        <w:rPr>
          <w:rStyle w:val="FootnoteReference"/>
        </w:rPr>
        <w:footnoteReference w:id="41"/>
      </w:r>
    </w:p>
    <w:p w:rsidRPr="00080322" w:rsidR="0075108D" w:rsidP="00933D64" w:rsidRDefault="0075108D" w14:paraId="28C5FAC1" w14:textId="77777777">
      <w:pPr>
        <w:pStyle w:val="FERCparanumber"/>
        <w:keepNext/>
        <w:numPr>
          <w:ilvl w:val="0"/>
          <w:numId w:val="0"/>
        </w:numPr>
        <w:ind w:left="720"/>
        <w:rPr>
          <w:b/>
          <w:u w:val="single"/>
        </w:rPr>
      </w:pPr>
      <w:r w:rsidRPr="00080322">
        <w:rPr>
          <w:b/>
          <w:u w:val="single"/>
        </w:rPr>
        <w:t>Implementation Plan</w:t>
      </w:r>
    </w:p>
    <w:p w:rsidR="0075108D" w:rsidP="00386974" w:rsidRDefault="0075108D" w14:paraId="4E318452" w14:textId="77777777">
      <w:pPr>
        <w:pStyle w:val="FERCparanumber"/>
        <w:tabs>
          <w:tab w:val="clear" w:pos="990"/>
          <w:tab w:val="num" w:pos="720"/>
        </w:tabs>
        <w:ind w:left="0"/>
      </w:pPr>
      <w:r>
        <w:t xml:space="preserve">NERC’s proposed implementation plan provides that the </w:t>
      </w:r>
      <w:r w:rsidR="004C3158">
        <w:t>supply chain risk management</w:t>
      </w:r>
      <w:r w:rsidR="000B5224">
        <w:t xml:space="preserve"> Reliability Standards</w:t>
      </w:r>
      <w:r>
        <w:t xml:space="preserve"> become effective </w:t>
      </w:r>
      <w:r w:rsidR="000B5224">
        <w:t xml:space="preserve">on the first day of the first calendar quarter that is </w:t>
      </w:r>
      <w:r>
        <w:t xml:space="preserve">18 months </w:t>
      </w:r>
      <w:r w:rsidR="000B5224">
        <w:t>after the</w:t>
      </w:r>
      <w:r>
        <w:t xml:space="preserve"> effective date of </w:t>
      </w:r>
      <w:r w:rsidR="000B5224">
        <w:t xml:space="preserve">a </w:t>
      </w:r>
      <w:r>
        <w:t xml:space="preserve">Commission order approving them.  NERC states that the </w:t>
      </w:r>
      <w:r w:rsidR="000B5224">
        <w:t>proposed</w:t>
      </w:r>
      <w:r>
        <w:t xml:space="preserve"> implementation period is designed to afford responsible entities sufficient time to develop and implement their supply chain cybersecurity risk management plans required under proposed Reliability Standard CIP-013-1 and implement the new controls required in proposed Reliability Standards CIP-005-6 and CIP-010-3.</w:t>
      </w:r>
      <w:r w:rsidR="00386974">
        <w:t xml:space="preserve"> </w:t>
      </w:r>
    </w:p>
    <w:p w:rsidRPr="00FB6B8A" w:rsidR="00EA3995" w:rsidP="00E3557E" w:rsidRDefault="00EA3995" w14:paraId="5CAE1F32" w14:textId="77777777">
      <w:pPr>
        <w:pStyle w:val="FERCparanumber"/>
        <w:keepNext/>
        <w:numPr>
          <w:ilvl w:val="1"/>
          <w:numId w:val="33"/>
        </w:numPr>
        <w:tabs>
          <w:tab w:val="clear" w:pos="830"/>
        </w:tabs>
        <w:ind w:left="1350" w:hanging="630"/>
        <w:rPr>
          <w:b/>
        </w:rPr>
      </w:pPr>
      <w:r>
        <w:rPr>
          <w:b/>
          <w:u w:val="single"/>
        </w:rPr>
        <w:t>Notice of Proposed Rulemaking</w:t>
      </w:r>
    </w:p>
    <w:p w:rsidRPr="00F66FCF" w:rsidR="00EA3995" w:rsidP="00EA3995" w:rsidRDefault="00F66FCF" w14:paraId="1EEFA01A" w14:textId="048D29B0">
      <w:pPr>
        <w:pStyle w:val="FERCparanumber"/>
        <w:tabs>
          <w:tab w:val="clear" w:pos="990"/>
          <w:tab w:val="num" w:pos="720"/>
        </w:tabs>
        <w:ind w:left="0"/>
      </w:pPr>
      <w:r>
        <w:rPr>
          <w:szCs w:val="26"/>
        </w:rPr>
        <w:t>O</w:t>
      </w:r>
      <w:r w:rsidRPr="00115AB7">
        <w:rPr>
          <w:szCs w:val="26"/>
        </w:rPr>
        <w:t xml:space="preserve">n </w:t>
      </w:r>
      <w:r>
        <w:rPr>
          <w:szCs w:val="26"/>
        </w:rPr>
        <w:t>January 18, 2018, the Commission issued a NOPR</w:t>
      </w:r>
      <w:r w:rsidRPr="00AC409A">
        <w:rPr>
          <w:szCs w:val="26"/>
        </w:rPr>
        <w:t xml:space="preserve"> </w:t>
      </w:r>
      <w:r>
        <w:t>proposing</w:t>
      </w:r>
      <w:r w:rsidRPr="00AC409A">
        <w:t xml:space="preserve"> to approve supply chain risk management </w:t>
      </w:r>
      <w:r w:rsidRPr="00AC409A">
        <w:rPr>
          <w:szCs w:val="26"/>
        </w:rPr>
        <w:t>Reliability Standards CIP-013-1, CIP-005-6</w:t>
      </w:r>
      <w:r w:rsidR="004530CB">
        <w:rPr>
          <w:szCs w:val="26"/>
        </w:rPr>
        <w:t>,</w:t>
      </w:r>
      <w:r w:rsidRPr="00AC409A">
        <w:rPr>
          <w:szCs w:val="26"/>
        </w:rPr>
        <w:t xml:space="preserve"> and </w:t>
      </w:r>
      <w:r w:rsidR="00080322">
        <w:rPr>
          <w:szCs w:val="26"/>
        </w:rPr>
        <w:t xml:space="preserve">        </w:t>
      </w:r>
      <w:r w:rsidRPr="00AC409A">
        <w:rPr>
          <w:szCs w:val="26"/>
        </w:rPr>
        <w:t>CIP-010</w:t>
      </w:r>
      <w:r w:rsidR="00CD5AD7">
        <w:rPr>
          <w:szCs w:val="26"/>
        </w:rPr>
        <w:t>-</w:t>
      </w:r>
      <w:r w:rsidRPr="00AC409A">
        <w:rPr>
          <w:szCs w:val="26"/>
        </w:rPr>
        <w:t xml:space="preserve">3.  </w:t>
      </w:r>
      <w:r w:rsidR="00C70D6B">
        <w:rPr>
          <w:szCs w:val="26"/>
        </w:rPr>
        <w:t>The NOPR stated that the</w:t>
      </w:r>
      <w:r w:rsidR="00991A51">
        <w:rPr>
          <w:szCs w:val="26"/>
        </w:rPr>
        <w:t xml:space="preserve"> supply chain risk management Reliability Standards “will enhance existing protections for bulk electric system reliability by addressing the four objectives set forth in Order No. 829:  (1) software integrity and authenticity; (2) vendor remote access; (3) information system planning; and (4) vendor risk management and procurement controls.”</w:t>
      </w:r>
      <w:r w:rsidR="000761F1">
        <w:rPr>
          <w:rStyle w:val="FootnoteReference"/>
        </w:rPr>
        <w:footnoteReference w:id="42"/>
      </w:r>
      <w:r w:rsidR="00DD3ABC">
        <w:rPr>
          <w:szCs w:val="26"/>
        </w:rPr>
        <w:t xml:space="preserve">  </w:t>
      </w:r>
      <w:r w:rsidR="00C70D6B">
        <w:rPr>
          <w:szCs w:val="26"/>
        </w:rPr>
        <w:t xml:space="preserve">Accordingly, </w:t>
      </w:r>
      <w:r w:rsidR="00C70D6B">
        <w:t>t</w:t>
      </w:r>
      <w:r>
        <w:t xml:space="preserve">he </w:t>
      </w:r>
      <w:r w:rsidR="00C70D6B">
        <w:t xml:space="preserve">NOPR </w:t>
      </w:r>
      <w:r w:rsidRPr="008867BB">
        <w:t>propose</w:t>
      </w:r>
      <w:r>
        <w:t>d</w:t>
      </w:r>
      <w:r w:rsidRPr="008867BB">
        <w:t xml:space="preserve"> to determine that the supply chain risk management </w:t>
      </w:r>
      <w:r w:rsidRPr="008867BB">
        <w:rPr>
          <w:szCs w:val="26"/>
        </w:rPr>
        <w:t>Reliability Standards constitute substantial progress in addressin</w:t>
      </w:r>
      <w:r w:rsidR="002B3F4C">
        <w:rPr>
          <w:szCs w:val="26"/>
        </w:rPr>
        <w:t>g the supply chain cyber</w:t>
      </w:r>
      <w:r w:rsidRPr="008867BB">
        <w:rPr>
          <w:szCs w:val="26"/>
        </w:rPr>
        <w:t>security risks identified by the Commission</w:t>
      </w:r>
      <w:r w:rsidR="004A3780">
        <w:rPr>
          <w:szCs w:val="26"/>
        </w:rPr>
        <w:t xml:space="preserve"> in Order </w:t>
      </w:r>
      <w:r w:rsidR="00632DDB">
        <w:rPr>
          <w:szCs w:val="26"/>
        </w:rPr>
        <w:t xml:space="preserve">No. </w:t>
      </w:r>
      <w:r w:rsidR="004A3780">
        <w:rPr>
          <w:szCs w:val="26"/>
        </w:rPr>
        <w:t>829</w:t>
      </w:r>
      <w:r w:rsidRPr="008867BB">
        <w:rPr>
          <w:szCs w:val="26"/>
        </w:rPr>
        <w:t>.</w:t>
      </w:r>
      <w:r w:rsidR="00DF7612">
        <w:rPr>
          <w:rStyle w:val="FootnoteReference"/>
        </w:rPr>
        <w:footnoteReference w:id="43"/>
      </w:r>
    </w:p>
    <w:p w:rsidR="00E3557E" w:rsidP="00F66FCF" w:rsidRDefault="00662C5F" w14:paraId="69DDBE3D" w14:textId="61D451C7">
      <w:pPr>
        <w:pStyle w:val="FERCparanumber"/>
        <w:tabs>
          <w:tab w:val="clear" w:pos="990"/>
          <w:tab w:val="num" w:pos="720"/>
        </w:tabs>
        <w:ind w:left="0"/>
      </w:pPr>
      <w:r>
        <w:t xml:space="preserve">The NOPR proposed to approve </w:t>
      </w:r>
      <w:r w:rsidRPr="007B0553">
        <w:t xml:space="preserve">the </w:t>
      </w:r>
      <w:r>
        <w:t>supply chain risk management</w:t>
      </w:r>
      <w:r w:rsidRPr="007B0553">
        <w:t xml:space="preserve"> Reliability Standards’ </w:t>
      </w:r>
      <w:r>
        <w:t>associated violation risk factors and violation severity levels.  However, w</w:t>
      </w:r>
      <w:r w:rsidRPr="007B0553" w:rsidR="00F66FCF">
        <w:t>ith respect to the implementation plan and effective date</w:t>
      </w:r>
      <w:r w:rsidR="00F66FCF">
        <w:t xml:space="preserve">, the </w:t>
      </w:r>
      <w:r w:rsidR="00C70D6B">
        <w:t xml:space="preserve">NOPR </w:t>
      </w:r>
      <w:r w:rsidR="00F66FCF">
        <w:t>proposed</w:t>
      </w:r>
      <w:r w:rsidRPr="007B0553" w:rsidR="00F66FCF">
        <w:t xml:space="preserve"> to reduce the implementation period from the first day of the first calendar quarter that is 18 months following the effective date of a Commission order approving the proposed Reliability Standards, as proposed by NERC, to the first day of the first calendar quarter that is </w:t>
      </w:r>
      <w:r w:rsidR="00251198">
        <w:t xml:space="preserve">      </w:t>
      </w:r>
      <w:r w:rsidRPr="007B0553" w:rsidR="00F66FCF">
        <w:t>12 months following the effective date of a Commission order.</w:t>
      </w:r>
      <w:r w:rsidR="006A1FF3">
        <w:rPr>
          <w:rStyle w:val="FootnoteReference"/>
        </w:rPr>
        <w:footnoteReference w:id="44"/>
      </w:r>
    </w:p>
    <w:p w:rsidR="00662C5F" w:rsidP="00612BE2" w:rsidRDefault="00662C5F" w14:paraId="7AD81E39" w14:textId="77777777">
      <w:pPr>
        <w:pStyle w:val="FERCparanumber"/>
        <w:tabs>
          <w:tab w:val="clear" w:pos="990"/>
          <w:tab w:val="num" w:pos="720"/>
        </w:tabs>
        <w:ind w:left="0"/>
      </w:pPr>
      <w:r>
        <w:t>The NOPR proposed to determine that a significant cyber</w:t>
      </w:r>
      <w:r w:rsidRPr="00890267">
        <w:t>security risk associated with the supply chain for BES Cyber Systems</w:t>
      </w:r>
      <w:r>
        <w:t xml:space="preserve"> persists</w:t>
      </w:r>
      <w:r w:rsidRPr="00890267">
        <w:t xml:space="preserve"> because the </w:t>
      </w:r>
      <w:r>
        <w:t xml:space="preserve">proposed supply chain risk management </w:t>
      </w:r>
      <w:r w:rsidRPr="00890267">
        <w:t>Reliability Standards exclude</w:t>
      </w:r>
      <w:r w:rsidRPr="00890267">
        <w:rPr>
          <w:szCs w:val="26"/>
        </w:rPr>
        <w:t xml:space="preserve"> </w:t>
      </w:r>
      <w:r>
        <w:rPr>
          <w:szCs w:val="26"/>
        </w:rPr>
        <w:t>EACMS, PACS</w:t>
      </w:r>
      <w:r w:rsidRPr="00890267">
        <w:rPr>
          <w:szCs w:val="26"/>
        </w:rPr>
        <w:t>, a</w:t>
      </w:r>
      <w:r>
        <w:rPr>
          <w:szCs w:val="26"/>
        </w:rPr>
        <w:t>nd PCAs</w:t>
      </w:r>
      <w:r w:rsidRPr="00890267">
        <w:rPr>
          <w:szCs w:val="26"/>
        </w:rPr>
        <w:t>, with the exception of the modifications in Reliability Standard CIP-005-6, which apply to PCAs</w:t>
      </w:r>
      <w:r w:rsidRPr="00890267">
        <w:t>.  To address this gap, pursuant to section 215(d)(5) of the FPA,</w:t>
      </w:r>
      <w:r>
        <w:t xml:space="preserve"> the NOPR proposed</w:t>
      </w:r>
      <w:r w:rsidRPr="00890267">
        <w:t xml:space="preserve"> to direct NERC to develop modifications to the CIP Reliability Standards to include EACMS associated with medium and high impact BES Cyber Systems within the scope of the supply chain risk management </w:t>
      </w:r>
      <w:r w:rsidRPr="00890267">
        <w:rPr>
          <w:szCs w:val="26"/>
        </w:rPr>
        <w:t>Reliability Standards</w:t>
      </w:r>
      <w:r>
        <w:rPr>
          <w:szCs w:val="26"/>
        </w:rPr>
        <w:t xml:space="preserve">.  </w:t>
      </w:r>
      <w:r w:rsidR="00BA76D8">
        <w:t xml:space="preserve">In addition, the Commission proposed to direct that NERC evaluate the cybersecurity supply chain risks presented by PACS and PCAs in the study of cybersecurity supply chain risks </w:t>
      </w:r>
      <w:r w:rsidR="004530CB">
        <w:t>directed</w:t>
      </w:r>
      <w:r w:rsidR="00BA76D8">
        <w:t xml:space="preserve"> by the NERC BOT in its resolutions of August 10, 2017</w:t>
      </w:r>
      <w:r w:rsidR="00F10BA2">
        <w:t>.</w:t>
      </w:r>
    </w:p>
    <w:p w:rsidRPr="00487E07" w:rsidR="00C9315B" w:rsidP="00F66FCF" w:rsidRDefault="00487E07" w14:paraId="500C5868" w14:textId="77777777">
      <w:pPr>
        <w:pStyle w:val="FERCparanumber"/>
        <w:tabs>
          <w:tab w:val="clear" w:pos="990"/>
          <w:tab w:val="num" w:pos="720"/>
        </w:tabs>
        <w:ind w:left="0"/>
      </w:pPr>
      <w:r>
        <w:t xml:space="preserve">The Commission received fifteen comments on the NOPR.  </w:t>
      </w:r>
    </w:p>
    <w:p w:rsidRPr="00FB6B8A" w:rsidR="00E3557E" w:rsidP="004A056D" w:rsidRDefault="00E3557E" w14:paraId="04A8769C" w14:textId="77777777">
      <w:pPr>
        <w:pStyle w:val="FERCparanumber"/>
        <w:keepNext/>
        <w:numPr>
          <w:ilvl w:val="1"/>
          <w:numId w:val="34"/>
        </w:numPr>
        <w:tabs>
          <w:tab w:val="clear" w:pos="830"/>
          <w:tab w:val="num" w:pos="1440"/>
        </w:tabs>
        <w:ind w:left="720" w:firstLine="0"/>
        <w:rPr>
          <w:b/>
        </w:rPr>
      </w:pPr>
      <w:r>
        <w:rPr>
          <w:b/>
          <w:u w:val="single"/>
        </w:rPr>
        <w:t>Interim BOT-Directed Report</w:t>
      </w:r>
    </w:p>
    <w:p w:rsidR="004A056D" w:rsidP="00E3557E" w:rsidRDefault="00DA5A34" w14:paraId="6EE116C7" w14:textId="77777777">
      <w:pPr>
        <w:pStyle w:val="FERCparanumber"/>
        <w:numPr>
          <w:ilvl w:val="0"/>
          <w:numId w:val="34"/>
        </w:numPr>
        <w:tabs>
          <w:tab w:val="clear" w:pos="990"/>
        </w:tabs>
        <w:ind w:left="0"/>
      </w:pPr>
      <w:r w:rsidRPr="00837F75">
        <w:t xml:space="preserve">On September 7, 2018, NERC </w:t>
      </w:r>
      <w:r>
        <w:t>submitted to the Commission</w:t>
      </w:r>
      <w:r w:rsidRPr="00837F75">
        <w:t xml:space="preserve"> </w:t>
      </w:r>
      <w:r w:rsidRPr="00223794">
        <w:t xml:space="preserve">an informational filing containing the </w:t>
      </w:r>
      <w:r>
        <w:t xml:space="preserve">BOT-directed </w:t>
      </w:r>
      <w:r w:rsidRPr="00774C51" w:rsidR="00CC0105">
        <w:t>i</w:t>
      </w:r>
      <w:r w:rsidRPr="00223794">
        <w:t xml:space="preserve">nterim </w:t>
      </w:r>
      <w:r w:rsidRPr="00774C51" w:rsidR="00CC0105">
        <w:t>r</w:t>
      </w:r>
      <w:r w:rsidRPr="00223794">
        <w:t>eport</w:t>
      </w:r>
      <w:r>
        <w:t xml:space="preserve"> prepared by the Electric Power Research Institute (EPRI).</w:t>
      </w:r>
      <w:r>
        <w:rPr>
          <w:rStyle w:val="FootnoteReference"/>
        </w:rPr>
        <w:footnoteReference w:id="45"/>
      </w:r>
      <w:r>
        <w:t xml:space="preserve">  The </w:t>
      </w:r>
      <w:r w:rsidRPr="00774C51" w:rsidR="00CC0105">
        <w:t>i</w:t>
      </w:r>
      <w:r>
        <w:t xml:space="preserve">nterim </w:t>
      </w:r>
      <w:r w:rsidRPr="00774C51" w:rsidR="00CC0105">
        <w:t>r</w:t>
      </w:r>
      <w:r>
        <w:t xml:space="preserve">eport explains that EPRI analyzed: </w:t>
      </w:r>
      <w:r w:rsidR="004A056D">
        <w:t xml:space="preserve"> </w:t>
      </w:r>
    </w:p>
    <w:p w:rsidRPr="00E3557E" w:rsidR="00E3557E" w:rsidP="004A056D" w:rsidRDefault="00DA5A34" w14:paraId="4DDAF691" w14:textId="4C33C209">
      <w:pPr>
        <w:pStyle w:val="FERCparanumber"/>
        <w:numPr>
          <w:ilvl w:val="0"/>
          <w:numId w:val="0"/>
        </w:numPr>
      </w:pPr>
      <w:r>
        <w:t xml:space="preserve">(1) information regarding </w:t>
      </w:r>
      <w:r w:rsidRPr="00774C51" w:rsidR="00CC0105">
        <w:t>bulk electric system</w:t>
      </w:r>
      <w:r>
        <w:t xml:space="preserve"> products and manufacturers; (2) emerging vendor practices and industry standards; and (3) the applicability of the CIP Reliability Standards to supply chain risks.  The </w:t>
      </w:r>
      <w:r w:rsidRPr="00774C51" w:rsidR="00CC0105">
        <w:t>i</w:t>
      </w:r>
      <w:r>
        <w:t xml:space="preserve">nterim </w:t>
      </w:r>
      <w:r w:rsidRPr="00774C51" w:rsidR="00CC0105">
        <w:t>r</w:t>
      </w:r>
      <w:r>
        <w:t xml:space="preserve">eport concludes with three categories of identified next steps for further analysis and investigation.  </w:t>
      </w:r>
    </w:p>
    <w:p w:rsidRPr="005A2551" w:rsidR="00EA3995" w:rsidP="00E3557E" w:rsidRDefault="00DA5A34" w14:paraId="643205D8" w14:textId="3C75D2DE">
      <w:pPr>
        <w:pStyle w:val="FERCparanumber"/>
        <w:numPr>
          <w:ilvl w:val="0"/>
          <w:numId w:val="34"/>
        </w:numPr>
        <w:tabs>
          <w:tab w:val="clear" w:pos="990"/>
        </w:tabs>
        <w:ind w:left="0"/>
      </w:pPr>
      <w:r>
        <w:t>First, EPRI identifie</w:t>
      </w:r>
      <w:r w:rsidR="004A3780">
        <w:t>s</w:t>
      </w:r>
      <w:r>
        <w:t xml:space="preserve"> four noteworthy industry practices, not already required by the CIP Reliability Standards, which may potentially reduce future supply chain risks if implemented correctly:  (1) third-party accreditation processes; (2) secure hardware delivery; (3) threat-informed procurement language; and (4) processes related to unsupported or open-source technology.  Second, EPRI recommend</w:t>
      </w:r>
      <w:r w:rsidR="004A3780">
        <w:t>s</w:t>
      </w:r>
      <w:r>
        <w:t xml:space="preserve"> further study in modeling and assessing the potential impact of common-mode vulnerabilities, especially </w:t>
      </w:r>
      <w:r w:rsidR="00260EBA">
        <w:t>those targeting low-impact BES Cyber S</w:t>
      </w:r>
      <w:r>
        <w:t>ystems.  EPRI states that “risks of common-mode vulnerabilities</w:t>
      </w:r>
      <w:r w:rsidR="00323381">
        <w:t xml:space="preserve"> </w:t>
      </w:r>
      <w:r>
        <w:t>…</w:t>
      </w:r>
      <w:r w:rsidR="00323381">
        <w:t xml:space="preserve"> </w:t>
      </w:r>
      <w:r>
        <w:t>can be mitigated if supply chain security practices are applied uniformly across cyber asset types.”</w:t>
      </w:r>
      <w:r>
        <w:rPr>
          <w:rStyle w:val="FootnoteReference"/>
        </w:rPr>
        <w:footnoteReference w:id="46"/>
      </w:r>
      <w:r>
        <w:t xml:space="preserve">  Finally, EPRI recommends various methods to obtain additional data on industry practices.  These methods included issuing pre-audit surveys and questionnaires</w:t>
      </w:r>
      <w:r w:rsidR="00323381">
        <w:t>;</w:t>
      </w:r>
      <w:r>
        <w:t xml:space="preserve"> targeting outreach to bulk electric system vendors</w:t>
      </w:r>
      <w:r w:rsidR="00323381">
        <w:t>;</w:t>
      </w:r>
      <w:r w:rsidR="00B169B9">
        <w:t xml:space="preserve"> </w:t>
      </w:r>
      <w:r>
        <w:t>developing standard vendor data sheets related t</w:t>
      </w:r>
      <w:r w:rsidR="00B169B9">
        <w:t>o the CIP Reliability Standards</w:t>
      </w:r>
      <w:r w:rsidR="00323381">
        <w:t>;</w:t>
      </w:r>
      <w:r w:rsidR="00B169B9">
        <w:t xml:space="preserve"> </w:t>
      </w:r>
      <w:r>
        <w:t xml:space="preserve">and independently testing legacy assets.  In its accompanying filing, NERC states its </w:t>
      </w:r>
      <w:r w:rsidR="00251198">
        <w:t xml:space="preserve"> </w:t>
      </w:r>
      <w:r>
        <w:t>intention to continue to study supply chain risks over the coming months, develop recommendations for follow-up actions, and present a final report to the NERC BOT at its February 2019 meeting.</w:t>
      </w:r>
    </w:p>
    <w:p w:rsidR="00807A18" w:rsidRDefault="00500CF6" w14:paraId="6E172242" w14:textId="77777777">
      <w:pPr>
        <w:pStyle w:val="Heading1"/>
        <w:ind w:left="0" w:firstLine="0"/>
      </w:pPr>
      <w:bookmarkStart w:name="_Toc280101678" w:id="3"/>
      <w:r>
        <w:t>Discussion</w:t>
      </w:r>
      <w:bookmarkEnd w:id="3"/>
      <w:r w:rsidR="00EA3995">
        <w:rPr>
          <w:b w:val="0"/>
          <w:u w:val="none"/>
        </w:rPr>
        <w:t xml:space="preserve">     </w:t>
      </w:r>
    </w:p>
    <w:p w:rsidRPr="005A0EA6" w:rsidR="005A0EA6" w:rsidP="005E1DA3" w:rsidRDefault="003B6449" w14:paraId="088A224F" w14:textId="77777777">
      <w:pPr>
        <w:pStyle w:val="StyleFERCparanumberLinespacingDouble"/>
        <w:tabs>
          <w:tab w:val="clear" w:pos="990"/>
        </w:tabs>
        <w:ind w:left="0"/>
      </w:pPr>
      <w:r>
        <w:t>Pursuant to section 215(d)</w:t>
      </w:r>
      <w:r w:rsidR="00FE03AE">
        <w:t>(2</w:t>
      </w:r>
      <w:r w:rsidR="002634DD">
        <w:t>)</w:t>
      </w:r>
      <w:r w:rsidRPr="00AD1B75" w:rsidR="00500CF6">
        <w:t xml:space="preserve"> of the FPA, </w:t>
      </w:r>
      <w:r w:rsidR="00DC7141">
        <w:t>the Commission</w:t>
      </w:r>
      <w:r w:rsidRPr="00AD1B75" w:rsidR="00500CF6">
        <w:t xml:space="preserve"> </w:t>
      </w:r>
      <w:r w:rsidR="00AB448D">
        <w:t>approve</w:t>
      </w:r>
      <w:r w:rsidR="00EA3995">
        <w:t>s</w:t>
      </w:r>
      <w:r w:rsidR="00AB448D">
        <w:t xml:space="preserve"> </w:t>
      </w:r>
      <w:r w:rsidR="006A73AF">
        <w:t xml:space="preserve">supply chain risk management </w:t>
      </w:r>
      <w:r w:rsidR="006A73AF">
        <w:rPr>
          <w:szCs w:val="26"/>
        </w:rPr>
        <w:t xml:space="preserve">Reliability Standards CIP-013-1, </w:t>
      </w:r>
      <w:r w:rsidRPr="005647D0" w:rsidR="006A73AF">
        <w:rPr>
          <w:szCs w:val="26"/>
        </w:rPr>
        <w:t>CIP-005-6</w:t>
      </w:r>
      <w:r w:rsidR="00875200">
        <w:rPr>
          <w:szCs w:val="26"/>
        </w:rPr>
        <w:t>,</w:t>
      </w:r>
      <w:r w:rsidRPr="005647D0" w:rsidR="006A73AF">
        <w:rPr>
          <w:szCs w:val="26"/>
        </w:rPr>
        <w:t xml:space="preserve"> </w:t>
      </w:r>
      <w:r w:rsidR="006A73AF">
        <w:rPr>
          <w:szCs w:val="26"/>
        </w:rPr>
        <w:t xml:space="preserve">and CIP-010-3 </w:t>
      </w:r>
      <w:r w:rsidR="005A0EA6">
        <w:t>as just, reasonable, not unduly discriminatory or preferential, and in the public interest</w:t>
      </w:r>
      <w:r w:rsidR="006A73AF">
        <w:rPr>
          <w:szCs w:val="26"/>
        </w:rPr>
        <w:t xml:space="preserve">.  </w:t>
      </w:r>
      <w:r w:rsidR="00311B00">
        <w:rPr>
          <w:szCs w:val="26"/>
        </w:rPr>
        <w:t>We determine that t</w:t>
      </w:r>
      <w:r w:rsidR="006A73AF">
        <w:rPr>
          <w:szCs w:val="26"/>
        </w:rPr>
        <w:t xml:space="preserve">he </w:t>
      </w:r>
      <w:r w:rsidR="00C70D6B">
        <w:t>supply chain risk management</w:t>
      </w:r>
      <w:r w:rsidR="00C70D6B">
        <w:rPr>
          <w:szCs w:val="26"/>
        </w:rPr>
        <w:t xml:space="preserve"> </w:t>
      </w:r>
      <w:r w:rsidR="006A73AF">
        <w:rPr>
          <w:szCs w:val="26"/>
        </w:rPr>
        <w:t>Reliability Standards will</w:t>
      </w:r>
      <w:r w:rsidR="004C2091">
        <w:rPr>
          <w:szCs w:val="26"/>
        </w:rPr>
        <w:t xml:space="preserve"> enhance existing protections for</w:t>
      </w:r>
      <w:r w:rsidR="006A73AF">
        <w:rPr>
          <w:szCs w:val="26"/>
        </w:rPr>
        <w:t xml:space="preserve"> bulk electric syst</w:t>
      </w:r>
      <w:r w:rsidR="00FE379B">
        <w:rPr>
          <w:szCs w:val="26"/>
        </w:rPr>
        <w:t>em reliability</w:t>
      </w:r>
      <w:r w:rsidR="005A0EA6">
        <w:rPr>
          <w:szCs w:val="26"/>
        </w:rPr>
        <w:t xml:space="preserve"> </w:t>
      </w:r>
      <w:r w:rsidR="006A73AF">
        <w:rPr>
          <w:szCs w:val="26"/>
        </w:rPr>
        <w:t xml:space="preserve">by addressing the four objectives </w:t>
      </w:r>
      <w:r w:rsidR="00023F03">
        <w:rPr>
          <w:szCs w:val="26"/>
        </w:rPr>
        <w:t>identified</w:t>
      </w:r>
      <w:r w:rsidR="006A73AF">
        <w:rPr>
          <w:szCs w:val="26"/>
        </w:rPr>
        <w:t xml:space="preserve"> in Order No. 829:  (1) software integrity and authenticity; (2) vendor remote access; (3) information system planning; and (4) vendor risk management and procurement controls.  </w:t>
      </w:r>
    </w:p>
    <w:p w:rsidR="00A41B88" w:rsidP="00473F26" w:rsidRDefault="00473F26" w14:paraId="3652EC91" w14:textId="78A7A2EA">
      <w:pPr>
        <w:pStyle w:val="StyleFERCparanumberLinespacingDouble"/>
        <w:tabs>
          <w:tab w:val="clear" w:pos="990"/>
        </w:tabs>
        <w:ind w:left="0"/>
      </w:pPr>
      <w:r>
        <w:rPr>
          <w:szCs w:val="26"/>
        </w:rPr>
        <w:t>Reliability Standard CIP-013-1</w:t>
      </w:r>
      <w:r w:rsidR="00296717">
        <w:rPr>
          <w:szCs w:val="26"/>
        </w:rPr>
        <w:t xml:space="preserve"> addresses information system planning and vendor risk management and procurement controls by requiring</w:t>
      </w:r>
      <w:r>
        <w:rPr>
          <w:szCs w:val="26"/>
        </w:rPr>
        <w:t xml:space="preserve"> </w:t>
      </w:r>
      <w:r w:rsidR="00296717">
        <w:rPr>
          <w:szCs w:val="26"/>
        </w:rPr>
        <w:t xml:space="preserve">that </w:t>
      </w:r>
      <w:r w:rsidR="006A73AF">
        <w:t>responsible entities develop and implement one or mor</w:t>
      </w:r>
      <w:r w:rsidR="002B3F4C">
        <w:t>e documented supply chain cyber</w:t>
      </w:r>
      <w:r w:rsidR="006A73AF">
        <w:t>security risk management plan(s) for high and medium impact BES Cyber Systems</w:t>
      </w:r>
      <w:r w:rsidR="00296717">
        <w:t xml:space="preserve">.  </w:t>
      </w:r>
      <w:r>
        <w:t xml:space="preserve">The </w:t>
      </w:r>
      <w:r w:rsidR="00386405">
        <w:t xml:space="preserve">required </w:t>
      </w:r>
      <w:r>
        <w:t xml:space="preserve">plans must address, as applicable, a baseline set of six security concepts:  </w:t>
      </w:r>
      <w:r w:rsidR="00B83EBB">
        <w:t xml:space="preserve">(1) </w:t>
      </w:r>
      <w:r>
        <w:t xml:space="preserve">vendor security event notification; </w:t>
      </w:r>
      <w:r w:rsidR="00B83EBB">
        <w:t xml:space="preserve">(2) </w:t>
      </w:r>
      <w:r>
        <w:t>coordinated incident response</w:t>
      </w:r>
      <w:r w:rsidR="005A0EA6">
        <w:t>;</w:t>
      </w:r>
      <w:r>
        <w:t xml:space="preserve"> </w:t>
      </w:r>
      <w:r w:rsidR="00B83EBB">
        <w:t xml:space="preserve">(3) </w:t>
      </w:r>
      <w:r>
        <w:t xml:space="preserve">vendor personnel termination notification; </w:t>
      </w:r>
      <w:r w:rsidR="00B83EBB">
        <w:t xml:space="preserve">(4) </w:t>
      </w:r>
      <w:r>
        <w:t xml:space="preserve">product/services vulnerability disclosures; </w:t>
      </w:r>
      <w:r w:rsidR="00B83EBB">
        <w:t xml:space="preserve">(5) </w:t>
      </w:r>
      <w:r>
        <w:t xml:space="preserve">verification of software integrity and authenticity; and </w:t>
      </w:r>
      <w:r w:rsidR="00B83EBB">
        <w:t xml:space="preserve">(6) </w:t>
      </w:r>
      <w:r>
        <w:t xml:space="preserve">coordination of vendor remote access controls. </w:t>
      </w:r>
      <w:r w:rsidR="005A0EA6">
        <w:t xml:space="preserve"> </w:t>
      </w:r>
      <w:r w:rsidR="00296717">
        <w:t xml:space="preserve">Reliability Standard CIP-005-6 addresses vendor remote access </w:t>
      </w:r>
      <w:r w:rsidR="005A0EA6">
        <w:t xml:space="preserve">by creating </w:t>
      </w:r>
      <w:r w:rsidR="00296717">
        <w:t xml:space="preserve">two </w:t>
      </w:r>
      <w:r w:rsidR="005A0EA6">
        <w:t>new requirements</w:t>
      </w:r>
      <w:r w:rsidR="00296717">
        <w:t xml:space="preserve"> </w:t>
      </w:r>
      <w:r w:rsidR="005A0EA6">
        <w:t xml:space="preserve">for </w:t>
      </w:r>
      <w:r w:rsidR="00296717">
        <w:t>determining active vendor remote access sessions</w:t>
      </w:r>
      <w:r w:rsidR="005A0EA6">
        <w:t xml:space="preserve"> and </w:t>
      </w:r>
      <w:r w:rsidR="00296717">
        <w:t xml:space="preserve">for having one or more methods to </w:t>
      </w:r>
      <w:r w:rsidR="005A0EA6">
        <w:t>disabl</w:t>
      </w:r>
      <w:r w:rsidR="00296717">
        <w:t xml:space="preserve">e </w:t>
      </w:r>
      <w:r w:rsidR="005A0EA6">
        <w:t>active vendor remote access sessions</w:t>
      </w:r>
      <w:r w:rsidR="00296717">
        <w:t xml:space="preserve">.  Reliability Standard </w:t>
      </w:r>
      <w:r w:rsidR="004A056D">
        <w:t xml:space="preserve">   </w:t>
      </w:r>
      <w:r w:rsidR="00296717">
        <w:t>CIP-010-3</w:t>
      </w:r>
      <w:r w:rsidR="005A0EA6">
        <w:t xml:space="preserve"> </w:t>
      </w:r>
      <w:r w:rsidR="00296717">
        <w:t>addresses software authenticity and integrity by creating</w:t>
      </w:r>
      <w:r w:rsidR="005A0EA6">
        <w:t xml:space="preserve"> a new requirement that </w:t>
      </w:r>
      <w:r w:rsidRPr="00473F26" w:rsidR="005A0EA6">
        <w:rPr>
          <w:szCs w:val="26"/>
        </w:rPr>
        <w:t>responsible entities verify the identity of the software source</w:t>
      </w:r>
      <w:r w:rsidRPr="00386405" w:rsidR="005A0EA6">
        <w:rPr>
          <w:szCs w:val="26"/>
        </w:rPr>
        <w:t xml:space="preserve"> and the integ</w:t>
      </w:r>
      <w:r w:rsidRPr="00386405" w:rsidR="00CF22EF">
        <w:rPr>
          <w:szCs w:val="26"/>
        </w:rPr>
        <w:t>rity of the software obtained from</w:t>
      </w:r>
      <w:r w:rsidRPr="00386405" w:rsidR="005A0EA6">
        <w:rPr>
          <w:szCs w:val="26"/>
        </w:rPr>
        <w:t xml:space="preserve"> the software source prior to installing software that changes </w:t>
      </w:r>
      <w:r w:rsidRPr="00473F26" w:rsidR="005A0EA6">
        <w:rPr>
          <w:szCs w:val="26"/>
        </w:rPr>
        <w:t xml:space="preserve">established baseline </w:t>
      </w:r>
      <w:r w:rsidRPr="00386405" w:rsidR="005A0EA6">
        <w:rPr>
          <w:szCs w:val="26"/>
        </w:rPr>
        <w:t>configurations</w:t>
      </w:r>
      <w:r w:rsidRPr="00386405" w:rsidR="00031928">
        <w:rPr>
          <w:szCs w:val="26"/>
        </w:rPr>
        <w:t>,</w:t>
      </w:r>
      <w:r w:rsidRPr="00386405" w:rsidR="005A0EA6">
        <w:rPr>
          <w:szCs w:val="26"/>
        </w:rPr>
        <w:t xml:space="preserve"> when methods are available to do so</w:t>
      </w:r>
      <w:r w:rsidR="00386405">
        <w:rPr>
          <w:szCs w:val="26"/>
        </w:rPr>
        <w:t>.</w:t>
      </w:r>
      <w:r w:rsidRPr="00386405" w:rsidR="005A0EA6">
        <w:rPr>
          <w:szCs w:val="26"/>
        </w:rPr>
        <w:t xml:space="preserve"> </w:t>
      </w:r>
      <w:r w:rsidRPr="00473F26" w:rsidR="005A0EA6">
        <w:rPr>
          <w:szCs w:val="26"/>
        </w:rPr>
        <w:t xml:space="preserve"> </w:t>
      </w:r>
    </w:p>
    <w:p w:rsidR="006416B5" w:rsidP="006416B5" w:rsidRDefault="00311B00" w14:paraId="29C6C298" w14:textId="77777777">
      <w:pPr>
        <w:pStyle w:val="FERCparanumber"/>
        <w:tabs>
          <w:tab w:val="clear" w:pos="990"/>
        </w:tabs>
        <w:ind w:left="0"/>
      </w:pPr>
      <w:r>
        <w:rPr>
          <w:szCs w:val="26"/>
        </w:rPr>
        <w:t xml:space="preserve">While we </w:t>
      </w:r>
      <w:r w:rsidR="000F101E">
        <w:rPr>
          <w:szCs w:val="26"/>
        </w:rPr>
        <w:t>determine</w:t>
      </w:r>
      <w:r>
        <w:rPr>
          <w:szCs w:val="26"/>
        </w:rPr>
        <w:t xml:space="preserve"> that the approved </w:t>
      </w:r>
      <w:r>
        <w:t>supply chain risk management</w:t>
      </w:r>
      <w:r>
        <w:rPr>
          <w:szCs w:val="26"/>
        </w:rPr>
        <w:t xml:space="preserve"> Reliability Standards </w:t>
      </w:r>
      <w:r w:rsidRPr="00473F26">
        <w:rPr>
          <w:szCs w:val="26"/>
        </w:rPr>
        <w:t>constitute substantial progress in ad</w:t>
      </w:r>
      <w:r>
        <w:rPr>
          <w:szCs w:val="26"/>
        </w:rPr>
        <w:t>dressing the supply chain cyber</w:t>
      </w:r>
      <w:r w:rsidRPr="00473F26">
        <w:rPr>
          <w:szCs w:val="26"/>
        </w:rPr>
        <w:t>security risks identified in Order No. 829</w:t>
      </w:r>
      <w:r w:rsidR="005A0EA6">
        <w:t xml:space="preserve">, </w:t>
      </w:r>
      <w:r>
        <w:t xml:space="preserve">as discussed below, we </w:t>
      </w:r>
      <w:r w:rsidR="000F101E">
        <w:t>find</w:t>
      </w:r>
      <w:r>
        <w:t xml:space="preserve"> that</w:t>
      </w:r>
      <w:r w:rsidR="00C92AED">
        <w:t xml:space="preserve"> the exclusion of EACMS from the scope of the Reliability Standards</w:t>
      </w:r>
      <w:r>
        <w:t xml:space="preserve"> presents risks</w:t>
      </w:r>
      <w:r w:rsidR="006562D8">
        <w:t xml:space="preserve"> to the cybersecurity of the bulk electric system</w:t>
      </w:r>
      <w:r w:rsidR="00C92AED">
        <w:t xml:space="preserve">.  </w:t>
      </w:r>
      <w:r w:rsidR="00632DDB">
        <w:t>As</w:t>
      </w:r>
      <w:r w:rsidRPr="0048181A" w:rsidR="0048181A">
        <w:t xml:space="preserve"> explained in Order No. 848, EACMS are defined in the NERC Glossary as “Cyber Assets that perform electronic access control or electronic access monitoring of the Electronic Security Perimeter(s) or BES Cyber Systems. </w:t>
      </w:r>
      <w:r w:rsidR="0048181A">
        <w:t xml:space="preserve"> </w:t>
      </w:r>
      <w:r w:rsidRPr="0048181A" w:rsidR="0048181A">
        <w:t xml:space="preserve">This includes Intermediate Systems.” </w:t>
      </w:r>
      <w:r w:rsidR="0048181A">
        <w:t xml:space="preserve"> Among other things, </w:t>
      </w:r>
      <w:r w:rsidRPr="0048181A" w:rsidR="0048181A">
        <w:t>EACMS include</w:t>
      </w:r>
      <w:r w:rsidR="0048181A">
        <w:t xml:space="preserve"> </w:t>
      </w:r>
      <w:r w:rsidRPr="0048181A" w:rsidR="0048181A">
        <w:t xml:space="preserve">firewalls, authentication servers, security event monitoring systems, intrusion detection systems and alerting systems.  The purpose of an </w:t>
      </w:r>
      <w:r w:rsidR="00632DDB">
        <w:t>ESP</w:t>
      </w:r>
      <w:r w:rsidR="004925E2">
        <w:t>, in turn,</w:t>
      </w:r>
      <w:r w:rsidRPr="0048181A" w:rsidR="0048181A">
        <w:t xml:space="preserve"> is to manage electronic access to BES Cyber Systems to support the protection of the BES Cyber Systems against compromise that could lead to misoperation or instability in the </w:t>
      </w:r>
      <w:r w:rsidR="007862A6">
        <w:t>bulk electric system</w:t>
      </w:r>
      <w:r w:rsidRPr="0048181A" w:rsidR="0048181A">
        <w:t>.</w:t>
      </w:r>
      <w:r w:rsidRPr="0048181A" w:rsidR="0048181A">
        <w:rPr>
          <w:b/>
          <w:vertAlign w:val="superscript"/>
        </w:rPr>
        <w:footnoteReference w:id="47"/>
      </w:r>
      <w:r w:rsidRPr="0048181A" w:rsidR="0048181A">
        <w:t xml:space="preserve"> </w:t>
      </w:r>
      <w:r w:rsidR="00C434F9">
        <w:t xml:space="preserve"> </w:t>
      </w:r>
      <w:r w:rsidRPr="000F46DB" w:rsidR="000F46DB">
        <w:t xml:space="preserve">The record indicates that the vulnerabilities associated with EACMS are well understood and appropriate for mitigation.  </w:t>
      </w:r>
      <w:r w:rsidR="006B4C29">
        <w:t>Thus,</w:t>
      </w:r>
      <w:r w:rsidR="005A0EA6">
        <w:t xml:space="preserve"> pursuant to section 215(d)(5) of the FPA, </w:t>
      </w:r>
      <w:r w:rsidR="00F42D13">
        <w:t>we</w:t>
      </w:r>
      <w:r w:rsidR="005A0EA6">
        <w:t xml:space="preserve"> </w:t>
      </w:r>
      <w:r w:rsidR="00F42D13">
        <w:t>direct</w:t>
      </w:r>
      <w:r w:rsidR="00762862">
        <w:t xml:space="preserve"> NERC </w:t>
      </w:r>
      <w:r w:rsidR="00686E82">
        <w:t xml:space="preserve">to </w:t>
      </w:r>
      <w:r w:rsidR="005A0EA6">
        <w:t xml:space="preserve">develop modifications to the CIP Reliability Standards to include EACMS within the scope of the supply chain risk management </w:t>
      </w:r>
      <w:r w:rsidRPr="005647D0" w:rsidR="005A0EA6">
        <w:rPr>
          <w:szCs w:val="26"/>
        </w:rPr>
        <w:t>Reliability Standards</w:t>
      </w:r>
      <w:r w:rsidR="005A0EA6">
        <w:rPr>
          <w:szCs w:val="26"/>
        </w:rPr>
        <w:t xml:space="preserve">.  </w:t>
      </w:r>
      <w:r w:rsidR="006416B5">
        <w:t xml:space="preserve">We direct NERC to submit the directed modifications within 24 months of the effective date of this final rule.  </w:t>
      </w:r>
    </w:p>
    <w:p w:rsidRPr="005A7ECB" w:rsidR="005A0EA6" w:rsidP="004A056D" w:rsidRDefault="005A0EA6" w14:paraId="264A5589" w14:textId="1BA54668">
      <w:pPr>
        <w:pStyle w:val="FERCparanumber"/>
        <w:tabs>
          <w:tab w:val="clear" w:pos="990"/>
          <w:tab w:val="left" w:pos="720"/>
        </w:tabs>
        <w:ind w:left="0"/>
      </w:pPr>
      <w:r>
        <w:rPr>
          <w:szCs w:val="26"/>
        </w:rPr>
        <w:t xml:space="preserve">In addition, </w:t>
      </w:r>
      <w:r w:rsidR="006B4C29">
        <w:rPr>
          <w:szCs w:val="26"/>
        </w:rPr>
        <w:t>while PAC</w:t>
      </w:r>
      <w:r w:rsidR="0057122B">
        <w:rPr>
          <w:szCs w:val="26"/>
        </w:rPr>
        <w:t>S</w:t>
      </w:r>
      <w:r w:rsidR="006B4C29">
        <w:rPr>
          <w:szCs w:val="26"/>
        </w:rPr>
        <w:t xml:space="preserve"> and PCAs also present concerns, we agree with NERC and others that further study is warranted with regard to the impacts and benefits of directing that the ERO address the risks associated with PAC</w:t>
      </w:r>
      <w:r w:rsidR="0057122B">
        <w:rPr>
          <w:szCs w:val="26"/>
        </w:rPr>
        <w:t>S</w:t>
      </w:r>
      <w:r w:rsidR="006B4C29">
        <w:rPr>
          <w:szCs w:val="26"/>
        </w:rPr>
        <w:t xml:space="preserve"> and PCAs in the supply chain </w:t>
      </w:r>
      <w:r w:rsidR="00632DDB">
        <w:rPr>
          <w:szCs w:val="26"/>
        </w:rPr>
        <w:t>risk management Reliability S</w:t>
      </w:r>
      <w:r w:rsidR="006B4C29">
        <w:rPr>
          <w:szCs w:val="26"/>
        </w:rPr>
        <w:t xml:space="preserve">tandards.  Accordingly, </w:t>
      </w:r>
      <w:r w:rsidR="00F42D13">
        <w:rPr>
          <w:szCs w:val="26"/>
        </w:rPr>
        <w:t>we</w:t>
      </w:r>
      <w:r>
        <w:rPr>
          <w:szCs w:val="26"/>
        </w:rPr>
        <w:t xml:space="preserve"> </w:t>
      </w:r>
      <w:r w:rsidR="00B83EBB">
        <w:rPr>
          <w:szCs w:val="26"/>
        </w:rPr>
        <w:t>accept</w:t>
      </w:r>
      <w:r w:rsidR="00F42D13">
        <w:rPr>
          <w:szCs w:val="26"/>
        </w:rPr>
        <w:t xml:space="preserve"> </w:t>
      </w:r>
      <w:r>
        <w:rPr>
          <w:szCs w:val="26"/>
        </w:rPr>
        <w:t>NERC</w:t>
      </w:r>
      <w:r w:rsidR="00B83EBB">
        <w:rPr>
          <w:szCs w:val="26"/>
        </w:rPr>
        <w:t>’s commitment</w:t>
      </w:r>
      <w:r>
        <w:rPr>
          <w:szCs w:val="26"/>
        </w:rPr>
        <w:t xml:space="preserve"> to </w:t>
      </w:r>
      <w:r w:rsidR="00AB448D">
        <w:rPr>
          <w:szCs w:val="26"/>
        </w:rPr>
        <w:t>evaluate</w:t>
      </w:r>
      <w:r>
        <w:rPr>
          <w:szCs w:val="26"/>
        </w:rPr>
        <w:t xml:space="preserve"> the </w:t>
      </w:r>
      <w:r w:rsidR="002B3F4C">
        <w:t>cyber</w:t>
      </w:r>
      <w:r>
        <w:t>security supply chain risks presented by PAC</w:t>
      </w:r>
      <w:r w:rsidR="00FE379B">
        <w:t>S</w:t>
      </w:r>
      <w:r>
        <w:t xml:space="preserve"> and PCAs </w:t>
      </w:r>
      <w:r w:rsidR="002B3F4C">
        <w:t>in the cyber</w:t>
      </w:r>
      <w:r w:rsidR="00FE379B">
        <w:t xml:space="preserve">security supply chain risks </w:t>
      </w:r>
      <w:r>
        <w:t xml:space="preserve">study </w:t>
      </w:r>
      <w:r w:rsidR="004925E2">
        <w:t>directed</w:t>
      </w:r>
      <w:r>
        <w:t xml:space="preserve"> by the BOT.  The Commission further direct</w:t>
      </w:r>
      <w:r w:rsidR="00686E82">
        <w:t>s</w:t>
      </w:r>
      <w:r>
        <w:t xml:space="preserve"> NERC to file the </w:t>
      </w:r>
      <w:r w:rsidR="00AB448D">
        <w:t>BOT-</w:t>
      </w:r>
      <w:r w:rsidR="000A4951">
        <w:t>directed</w:t>
      </w:r>
      <w:r>
        <w:t xml:space="preserve"> final report with the Commission</w:t>
      </w:r>
      <w:r w:rsidR="00F42D13">
        <w:t xml:space="preserve"> upon its</w:t>
      </w:r>
      <w:r w:rsidR="008F319F">
        <w:t xml:space="preserve"> completion</w:t>
      </w:r>
      <w:r>
        <w:t>.</w:t>
      </w:r>
    </w:p>
    <w:p w:rsidRPr="00BB5760" w:rsidR="00F42D13" w:rsidP="00BB5760" w:rsidRDefault="00023F03" w14:paraId="0CC040F7" w14:textId="77777777">
      <w:pPr>
        <w:pStyle w:val="StyleFERCparanumberLinespacingDouble"/>
        <w:tabs>
          <w:tab w:val="clear" w:pos="990"/>
          <w:tab w:val="num" w:pos="720"/>
        </w:tabs>
        <w:ind w:left="0"/>
        <w:rPr>
          <w:b/>
          <w:szCs w:val="26"/>
        </w:rPr>
      </w:pPr>
      <w:r>
        <w:t>In the sections below, we discuss</w:t>
      </w:r>
      <w:r w:rsidR="00D43659">
        <w:t xml:space="preserve"> the following </w:t>
      </w:r>
      <w:r w:rsidR="008416B3">
        <w:t>issues</w:t>
      </w:r>
      <w:r w:rsidR="00AF1518">
        <w:t xml:space="preserve">:  </w:t>
      </w:r>
      <w:r w:rsidRPr="00BB5760" w:rsidR="00AF1518">
        <w:t>(A)</w:t>
      </w:r>
      <w:r w:rsidR="004A140B">
        <w:t xml:space="preserve"> </w:t>
      </w:r>
      <w:r w:rsidR="008416B3">
        <w:t xml:space="preserve">inclusion of EACMS in the </w:t>
      </w:r>
      <w:r w:rsidR="00AB448D">
        <w:t>supply chain risk m</w:t>
      </w:r>
      <w:r w:rsidRPr="008416B3" w:rsidR="008416B3">
        <w:t>anagement Reliability Standards</w:t>
      </w:r>
      <w:r w:rsidR="00AF1518">
        <w:t xml:space="preserve">; (B) </w:t>
      </w:r>
      <w:r w:rsidR="008416B3">
        <w:t>inclusion of PAC</w:t>
      </w:r>
      <w:r w:rsidR="008A3890">
        <w:t>S</w:t>
      </w:r>
      <w:r w:rsidR="008416B3">
        <w:t xml:space="preserve"> and PCAs in the BOT-</w:t>
      </w:r>
      <w:r w:rsidR="000A4951">
        <w:t xml:space="preserve">directed </w:t>
      </w:r>
      <w:r w:rsidR="008416B3">
        <w:t xml:space="preserve">study </w:t>
      </w:r>
      <w:r w:rsidR="008E2261">
        <w:t>o</w:t>
      </w:r>
      <w:r w:rsidR="00B81EF5">
        <w:t>n</w:t>
      </w:r>
      <w:r w:rsidR="002B3F4C">
        <w:t xml:space="preserve"> cyber</w:t>
      </w:r>
      <w:r w:rsidR="008E2261">
        <w:t xml:space="preserve">security supply chain risks </w:t>
      </w:r>
      <w:r w:rsidR="008416B3">
        <w:t>and filing of the</w:t>
      </w:r>
      <w:r w:rsidR="008E2261">
        <w:t xml:space="preserve"> </w:t>
      </w:r>
      <w:r>
        <w:t xml:space="preserve">BOT-directed </w:t>
      </w:r>
      <w:r w:rsidR="008416B3">
        <w:t>final report with the Commission</w:t>
      </w:r>
      <w:r w:rsidR="00AF1518">
        <w:t xml:space="preserve">; (C) </w:t>
      </w:r>
      <w:r>
        <w:t xml:space="preserve">supply chain risk management </w:t>
      </w:r>
      <w:r w:rsidRPr="005647D0">
        <w:rPr>
          <w:szCs w:val="26"/>
        </w:rPr>
        <w:t>Reliability Standards</w:t>
      </w:r>
      <w:r>
        <w:rPr>
          <w:szCs w:val="26"/>
        </w:rPr>
        <w:t>’</w:t>
      </w:r>
      <w:r w:rsidRPr="00DF0134" w:rsidDel="00023F03">
        <w:rPr>
          <w:szCs w:val="24"/>
        </w:rPr>
        <w:t xml:space="preserve"> </w:t>
      </w:r>
      <w:r w:rsidR="003A485B">
        <w:t>implementation plan</w:t>
      </w:r>
      <w:r>
        <w:t xml:space="preserve"> and effective date</w:t>
      </w:r>
      <w:r w:rsidR="00686E82">
        <w:t xml:space="preserve">; and (D) other issues raised in </w:t>
      </w:r>
      <w:r w:rsidR="00311B00">
        <w:t xml:space="preserve">the NOPR </w:t>
      </w:r>
      <w:r w:rsidR="00686E82">
        <w:t>comments</w:t>
      </w:r>
      <w:r w:rsidR="00AF1518">
        <w:t>.</w:t>
      </w:r>
    </w:p>
    <w:p w:rsidRPr="00EF497A" w:rsidR="00351E2B" w:rsidP="006416B5" w:rsidRDefault="003A485B" w14:paraId="4688EF30" w14:textId="77777777">
      <w:pPr>
        <w:pStyle w:val="Heading2"/>
      </w:pPr>
      <w:r>
        <w:t>Inclusion of EACMS in CIP Reliability Standards</w:t>
      </w:r>
    </w:p>
    <w:p w:rsidRPr="00504398" w:rsidR="00504398" w:rsidP="004A056D" w:rsidRDefault="00504398" w14:paraId="0E4CEBC4" w14:textId="77777777">
      <w:pPr>
        <w:pStyle w:val="FERCparanumber"/>
        <w:keepNext/>
        <w:numPr>
          <w:ilvl w:val="0"/>
          <w:numId w:val="0"/>
        </w:numPr>
        <w:tabs>
          <w:tab w:val="left" w:pos="2160"/>
        </w:tabs>
        <w:ind w:left="1440"/>
        <w:rPr>
          <w:b/>
          <w:u w:val="single"/>
        </w:rPr>
      </w:pPr>
      <w:r>
        <w:rPr>
          <w:b/>
        </w:rPr>
        <w:t>1.</w:t>
      </w:r>
      <w:r>
        <w:rPr>
          <w:b/>
        </w:rPr>
        <w:tab/>
      </w:r>
      <w:r>
        <w:rPr>
          <w:b/>
          <w:u w:val="single"/>
        </w:rPr>
        <w:t>NOPR</w:t>
      </w:r>
    </w:p>
    <w:p w:rsidRPr="00CC7771" w:rsidR="00CC7771" w:rsidP="00C07BCB" w:rsidRDefault="00B81EF5" w14:paraId="37FD8430" w14:textId="77777777">
      <w:pPr>
        <w:pStyle w:val="FERCparanumber"/>
        <w:keepNext/>
        <w:tabs>
          <w:tab w:val="clear" w:pos="990"/>
          <w:tab w:val="num" w:pos="720"/>
        </w:tabs>
        <w:ind w:left="0"/>
      </w:pPr>
      <w:r>
        <w:rPr>
          <w:szCs w:val="26"/>
        </w:rPr>
        <w:t xml:space="preserve">The </w:t>
      </w:r>
      <w:r w:rsidR="00C9315B">
        <w:rPr>
          <w:szCs w:val="26"/>
        </w:rPr>
        <w:t xml:space="preserve">NOPR observed that the </w:t>
      </w:r>
      <w:r w:rsidR="00AF03DC">
        <w:rPr>
          <w:szCs w:val="26"/>
        </w:rPr>
        <w:t>supply chain risk management</w:t>
      </w:r>
      <w:r w:rsidRPr="00B81EF5">
        <w:rPr>
          <w:szCs w:val="26"/>
        </w:rPr>
        <w:t xml:space="preserve"> Reliability Standards</w:t>
      </w:r>
      <w:r w:rsidR="00AF03DC">
        <w:rPr>
          <w:szCs w:val="26"/>
        </w:rPr>
        <w:t xml:space="preserve"> </w:t>
      </w:r>
      <w:r w:rsidR="000F77F0">
        <w:rPr>
          <w:szCs w:val="26"/>
        </w:rPr>
        <w:t>do</w:t>
      </w:r>
      <w:r w:rsidR="009A21AB">
        <w:rPr>
          <w:szCs w:val="26"/>
        </w:rPr>
        <w:t xml:space="preserve"> not </w:t>
      </w:r>
      <w:r w:rsidR="000F77F0">
        <w:rPr>
          <w:szCs w:val="26"/>
        </w:rPr>
        <w:t xml:space="preserve">apply </w:t>
      </w:r>
      <w:r w:rsidR="009A21AB">
        <w:rPr>
          <w:szCs w:val="26"/>
        </w:rPr>
        <w:t xml:space="preserve">to low impact BES Cyber Systems or Cyber Assets associated with medium and high impact BES Cyber </w:t>
      </w:r>
      <w:r w:rsidR="00887A9D">
        <w:rPr>
          <w:szCs w:val="26"/>
        </w:rPr>
        <w:t>Systems</w:t>
      </w:r>
      <w:r w:rsidR="009A21AB">
        <w:rPr>
          <w:szCs w:val="26"/>
        </w:rPr>
        <w:t xml:space="preserve"> (i.e., EACMS, PACS</w:t>
      </w:r>
      <w:r w:rsidR="00757B3D">
        <w:rPr>
          <w:szCs w:val="26"/>
        </w:rPr>
        <w:t>,</w:t>
      </w:r>
      <w:r w:rsidR="009A21AB">
        <w:rPr>
          <w:szCs w:val="26"/>
        </w:rPr>
        <w:t xml:space="preserve"> and PCAs)</w:t>
      </w:r>
      <w:r w:rsidRPr="00B81EF5">
        <w:rPr>
          <w:szCs w:val="26"/>
        </w:rPr>
        <w:t xml:space="preserve">.  </w:t>
      </w:r>
      <w:r w:rsidR="00CA276B">
        <w:rPr>
          <w:szCs w:val="26"/>
        </w:rPr>
        <w:t>The</w:t>
      </w:r>
      <w:r w:rsidR="002B3F4C">
        <w:rPr>
          <w:szCs w:val="26"/>
        </w:rPr>
        <w:t xml:space="preserve"> </w:t>
      </w:r>
      <w:r w:rsidR="00CA276B">
        <w:rPr>
          <w:szCs w:val="26"/>
        </w:rPr>
        <w:t xml:space="preserve">NOPR, however, recognized that the </w:t>
      </w:r>
      <w:r w:rsidR="002B3F4C">
        <w:rPr>
          <w:szCs w:val="26"/>
        </w:rPr>
        <w:t>BOT-</w:t>
      </w:r>
      <w:r w:rsidR="000A4951">
        <w:rPr>
          <w:szCs w:val="26"/>
        </w:rPr>
        <w:t xml:space="preserve">directed </w:t>
      </w:r>
      <w:r w:rsidR="002B3F4C">
        <w:rPr>
          <w:szCs w:val="26"/>
        </w:rPr>
        <w:t>study on cyber</w:t>
      </w:r>
      <w:r w:rsidR="009A21AB">
        <w:rPr>
          <w:szCs w:val="26"/>
        </w:rPr>
        <w:t xml:space="preserve">security supply chain risks will examine the risks posed </w:t>
      </w:r>
      <w:r w:rsidR="00410471">
        <w:rPr>
          <w:szCs w:val="26"/>
        </w:rPr>
        <w:t>by low impact BES Cyber Systems</w:t>
      </w:r>
      <w:r w:rsidR="009A21AB">
        <w:rPr>
          <w:szCs w:val="26"/>
        </w:rPr>
        <w:t>.</w:t>
      </w:r>
      <w:r w:rsidR="00E80763">
        <w:rPr>
          <w:rStyle w:val="FootnoteReference"/>
        </w:rPr>
        <w:footnoteReference w:id="48"/>
      </w:r>
      <w:r w:rsidR="00CA276B">
        <w:rPr>
          <w:szCs w:val="26"/>
        </w:rPr>
        <w:t xml:space="preserve">  </w:t>
      </w:r>
      <w:r w:rsidR="00930549">
        <w:rPr>
          <w:szCs w:val="26"/>
        </w:rPr>
        <w:t xml:space="preserve">While </w:t>
      </w:r>
      <w:r w:rsidR="00CA276B">
        <w:rPr>
          <w:szCs w:val="26"/>
        </w:rPr>
        <w:t xml:space="preserve">acknowledging </w:t>
      </w:r>
      <w:r w:rsidR="00930549">
        <w:rPr>
          <w:szCs w:val="26"/>
        </w:rPr>
        <w:t>NERC’s commitment to study these issues</w:t>
      </w:r>
      <w:r w:rsidR="00CA276B">
        <w:rPr>
          <w:szCs w:val="26"/>
        </w:rPr>
        <w:t>, as</w:t>
      </w:r>
      <w:r w:rsidR="00930549">
        <w:rPr>
          <w:szCs w:val="26"/>
        </w:rPr>
        <w:t xml:space="preserve"> evinced by the BOT-</w:t>
      </w:r>
      <w:r w:rsidR="000A4951">
        <w:rPr>
          <w:szCs w:val="26"/>
        </w:rPr>
        <w:t>directed</w:t>
      </w:r>
      <w:r w:rsidR="00930549">
        <w:rPr>
          <w:szCs w:val="26"/>
        </w:rPr>
        <w:t xml:space="preserve"> study, </w:t>
      </w:r>
      <w:r w:rsidR="00CC7771">
        <w:rPr>
          <w:szCs w:val="26"/>
        </w:rPr>
        <w:t xml:space="preserve">the </w:t>
      </w:r>
      <w:r w:rsidR="00C8701D">
        <w:rPr>
          <w:szCs w:val="26"/>
        </w:rPr>
        <w:t>NOPR</w:t>
      </w:r>
      <w:r w:rsidRPr="00CC7771" w:rsidR="00410471">
        <w:rPr>
          <w:szCs w:val="26"/>
        </w:rPr>
        <w:t xml:space="preserve"> propose</w:t>
      </w:r>
      <w:r w:rsidR="00CC7771">
        <w:rPr>
          <w:szCs w:val="26"/>
        </w:rPr>
        <w:t>d</w:t>
      </w:r>
      <w:r w:rsidRPr="00CC7771" w:rsidR="00410471">
        <w:rPr>
          <w:szCs w:val="26"/>
        </w:rPr>
        <w:t xml:space="preserve"> </w:t>
      </w:r>
      <w:r w:rsidR="00CA276B">
        <w:rPr>
          <w:szCs w:val="26"/>
        </w:rPr>
        <w:t xml:space="preserve">to direct NERC to modify the </w:t>
      </w:r>
      <w:r w:rsidR="00CA276B">
        <w:t xml:space="preserve">supply chain risk management </w:t>
      </w:r>
      <w:r w:rsidRPr="005647D0" w:rsidR="00CA276B">
        <w:rPr>
          <w:szCs w:val="26"/>
        </w:rPr>
        <w:t>Reliability Standards</w:t>
      </w:r>
      <w:r w:rsidR="00CA276B">
        <w:rPr>
          <w:szCs w:val="26"/>
        </w:rPr>
        <w:t xml:space="preserve"> to include within their scope EACMS associated with medium and high impact BES Cyber Systems.</w:t>
      </w:r>
      <w:r w:rsidR="00CA276B">
        <w:rPr>
          <w:rStyle w:val="FootnoteReference"/>
        </w:rPr>
        <w:footnoteReference w:id="49"/>
      </w:r>
      <w:r w:rsidRPr="00CC7771" w:rsidR="00410471">
        <w:rPr>
          <w:szCs w:val="26"/>
        </w:rPr>
        <w:t xml:space="preserve">  </w:t>
      </w:r>
    </w:p>
    <w:p w:rsidRPr="000311B5" w:rsidR="000311B5" w:rsidP="00251198" w:rsidRDefault="00C8701D" w14:paraId="13C4F1F1" w14:textId="7C4F2E8F">
      <w:pPr>
        <w:pStyle w:val="FERCparanumber"/>
        <w:tabs>
          <w:tab w:val="clear" w:pos="990"/>
          <w:tab w:val="num" w:pos="720"/>
        </w:tabs>
        <w:ind w:left="0"/>
      </w:pPr>
      <w:r>
        <w:t>Specifically, t</w:t>
      </w:r>
      <w:r w:rsidR="003E039C">
        <w:t xml:space="preserve">he </w:t>
      </w:r>
      <w:r>
        <w:t>NOPR</w:t>
      </w:r>
      <w:r w:rsidR="003E039C">
        <w:t xml:space="preserve"> explained that</w:t>
      </w:r>
      <w:r w:rsidRPr="00CC7771" w:rsidR="00B81EF5">
        <w:t xml:space="preserve"> BES Cyber Systems have associated </w:t>
      </w:r>
      <w:r w:rsidR="00251198">
        <w:t xml:space="preserve">   </w:t>
      </w:r>
      <w:r w:rsidRPr="00CC7771" w:rsidR="00B81EF5">
        <w:t>Cyber Assets, which, if compromised, pose a threat to the BES Cyber System by virtue of</w:t>
      </w:r>
      <w:r w:rsidR="007E6268">
        <w:t xml:space="preserve">, </w:t>
      </w:r>
      <w:r w:rsidRPr="00D84528" w:rsidR="007E6268">
        <w:rPr>
          <w:i/>
        </w:rPr>
        <w:t>inter alia</w:t>
      </w:r>
      <w:r w:rsidR="007E6268">
        <w:t xml:space="preserve">, </w:t>
      </w:r>
      <w:r w:rsidRPr="00CC7771" w:rsidR="00B81EF5">
        <w:t>the security control function they perform</w:t>
      </w:r>
      <w:r w:rsidR="007862A6">
        <w:t>.</w:t>
      </w:r>
      <w:r w:rsidRPr="00015B6A" w:rsidR="001A2330">
        <w:rPr>
          <w:b/>
          <w:vertAlign w:val="superscript"/>
        </w:rPr>
        <w:footnoteReference w:id="50"/>
      </w:r>
      <w:r w:rsidR="004A056D">
        <w:t xml:space="preserve">  </w:t>
      </w:r>
      <w:r w:rsidR="007E6268">
        <w:t xml:space="preserve">In particular, </w:t>
      </w:r>
      <w:r w:rsidRPr="00CC7771" w:rsidR="00B81EF5">
        <w:t>EACMS support BES Cyber Systems and are part of the network and secur</w:t>
      </w:r>
      <w:r w:rsidRPr="00CC7771" w:rsidR="00410471">
        <w:t>ity architecture that allow</w:t>
      </w:r>
      <w:r w:rsidR="00D01E0A">
        <w:t>s</w:t>
      </w:r>
      <w:r w:rsidRPr="00CC7771" w:rsidR="00410471">
        <w:t xml:space="preserve"> </w:t>
      </w:r>
      <w:r w:rsidRPr="00CC7771" w:rsidR="00B81EF5">
        <w:t>BES Cyber Systems to work as intended</w:t>
      </w:r>
      <w:r w:rsidRPr="00CC7771" w:rsidR="00410471">
        <w:t xml:space="preserve"> by </w:t>
      </w:r>
      <w:r w:rsidR="00410471">
        <w:t xml:space="preserve">performing electronic access control or electronic access monitoring of the </w:t>
      </w:r>
      <w:r w:rsidR="007862A6">
        <w:t>ESP</w:t>
      </w:r>
      <w:r w:rsidR="00410471">
        <w:t xml:space="preserve"> or BES Cyber Systems</w:t>
      </w:r>
      <w:r w:rsidRPr="00CC7771" w:rsidR="00B81EF5">
        <w:t xml:space="preserve">.  </w:t>
      </w:r>
    </w:p>
    <w:p w:rsidR="00410471" w:rsidP="00176B17" w:rsidRDefault="007D2A15" w14:paraId="05826F7D" w14:textId="7F7923DC">
      <w:pPr>
        <w:pStyle w:val="FERCparanumber"/>
        <w:tabs>
          <w:tab w:val="clear" w:pos="990"/>
        </w:tabs>
        <w:ind w:left="0"/>
      </w:pPr>
      <w:r>
        <w:t xml:space="preserve">The NOPR </w:t>
      </w:r>
      <w:r w:rsidR="00930549">
        <w:t>indicated</w:t>
      </w:r>
      <w:r>
        <w:t xml:space="preserve"> that s</w:t>
      </w:r>
      <w:r w:rsidRPr="000311B5" w:rsidR="000311B5">
        <w:t xml:space="preserve">ince </w:t>
      </w:r>
      <w:r w:rsidR="000311B5">
        <w:t xml:space="preserve">EACMS </w:t>
      </w:r>
      <w:r w:rsidRPr="000311B5" w:rsidR="000311B5">
        <w:t>support and enable BES Cyber System operation, misope</w:t>
      </w:r>
      <w:r w:rsidR="000311B5">
        <w:t>ration and unavailability of EACMS that support</w:t>
      </w:r>
      <w:r w:rsidRPr="000311B5" w:rsidR="000311B5">
        <w:t xml:space="preserve"> a given BES Cyber System could also contribute to misoperation of a BES Cyber System or render it unavailable, which could </w:t>
      </w:r>
      <w:r w:rsidR="00254CA8">
        <w:t>adversely affect</w:t>
      </w:r>
      <w:r w:rsidRPr="000311B5" w:rsidR="000311B5">
        <w:t xml:space="preserve"> bulk</w:t>
      </w:r>
      <w:r w:rsidR="00410471">
        <w:t xml:space="preserve"> electric system reliability.  </w:t>
      </w:r>
      <w:r w:rsidR="00C2453C">
        <w:t xml:space="preserve">The NOPR </w:t>
      </w:r>
      <w:r>
        <w:t xml:space="preserve">also </w:t>
      </w:r>
      <w:r w:rsidR="00C2453C">
        <w:t xml:space="preserve">explained that </w:t>
      </w:r>
      <w:r w:rsidRPr="000311B5" w:rsidR="000311B5">
        <w:t xml:space="preserve">EACMS control electronic access, including interactive remote access, into the </w:t>
      </w:r>
      <w:r w:rsidR="00FE379B">
        <w:t>ESP</w:t>
      </w:r>
      <w:r w:rsidRPr="000311B5" w:rsidR="000311B5">
        <w:t xml:space="preserve"> that protects high and me</w:t>
      </w:r>
      <w:r w:rsidR="00BF2504">
        <w:t>dium impact BES Cyber Systems.</w:t>
      </w:r>
      <w:r w:rsidRPr="000311B5" w:rsidR="000311B5">
        <w:t xml:space="preserve">  </w:t>
      </w:r>
      <w:r w:rsidR="00BF2504">
        <w:t>As the NOPR further</w:t>
      </w:r>
      <w:r w:rsidR="00930549">
        <w:t xml:space="preserve"> noted</w:t>
      </w:r>
      <w:r w:rsidR="00BF2504">
        <w:t>, a</w:t>
      </w:r>
      <w:r w:rsidR="00913C67">
        <w:t xml:space="preserve">n </w:t>
      </w:r>
      <w:r w:rsidRPr="000311B5" w:rsidR="000311B5">
        <w:t xml:space="preserve">attacker does not need physical access to the facility housing a BES Cyber System in order to gain access to </w:t>
      </w:r>
      <w:r w:rsidR="00913C67">
        <w:t>a BES Cyber System</w:t>
      </w:r>
      <w:r w:rsidR="00D96E93">
        <w:t xml:space="preserve"> or PCA</w:t>
      </w:r>
      <w:r w:rsidRPr="000311B5" w:rsidR="000311B5">
        <w:t xml:space="preserve"> via an EACMS compromis</w:t>
      </w:r>
      <w:r w:rsidRPr="00BF6F8C" w:rsidR="000311B5">
        <w:t>e</w:t>
      </w:r>
      <w:r w:rsidRPr="00BF6F8C" w:rsidR="00490DDD">
        <w:t>.</w:t>
      </w:r>
      <w:r w:rsidR="00490DDD">
        <w:t xml:space="preserve"> </w:t>
      </w:r>
      <w:r w:rsidR="00933D64">
        <w:rPr>
          <w:szCs w:val="26"/>
        </w:rPr>
        <w:t xml:space="preserve"> </w:t>
      </w:r>
      <w:r w:rsidR="00176B17">
        <w:rPr>
          <w:szCs w:val="26"/>
        </w:rPr>
        <w:t>The NOPR concluded that</w:t>
      </w:r>
      <w:r w:rsidR="00913C67">
        <w:rPr>
          <w:szCs w:val="26"/>
        </w:rPr>
        <w:t xml:space="preserve"> EACMS represent the most likely route an attacker would take to access a BES Cyber System or PCA within an ESP.</w:t>
      </w:r>
      <w:r w:rsidR="008F6DEB">
        <w:rPr>
          <w:rStyle w:val="FootnoteReference"/>
        </w:rPr>
        <w:footnoteReference w:id="51"/>
      </w:r>
      <w:r w:rsidR="00913C67">
        <w:rPr>
          <w:szCs w:val="26"/>
        </w:rPr>
        <w:t xml:space="preserve">  </w:t>
      </w:r>
      <w:r w:rsidRPr="00F86A2A" w:rsidR="00913C67">
        <w:rPr>
          <w:szCs w:val="26"/>
        </w:rPr>
        <w:t xml:space="preserve">  </w:t>
      </w:r>
    </w:p>
    <w:p w:rsidRPr="00360FB2" w:rsidR="00C6538F" w:rsidP="00504398" w:rsidRDefault="00504398" w14:paraId="77FBC614" w14:textId="77777777">
      <w:pPr>
        <w:pStyle w:val="FERCparanumber"/>
        <w:numPr>
          <w:ilvl w:val="0"/>
          <w:numId w:val="0"/>
        </w:numPr>
        <w:ind w:left="720" w:firstLine="720"/>
        <w:rPr>
          <w:b/>
        </w:rPr>
      </w:pPr>
      <w:r>
        <w:rPr>
          <w:b/>
        </w:rPr>
        <w:t>2.</w:t>
      </w:r>
      <w:r>
        <w:rPr>
          <w:b/>
        </w:rPr>
        <w:tab/>
      </w:r>
      <w:r w:rsidRPr="00504398" w:rsidR="00C6538F">
        <w:rPr>
          <w:b/>
          <w:u w:val="single"/>
        </w:rPr>
        <w:t>Comments</w:t>
      </w:r>
    </w:p>
    <w:p w:rsidRPr="008517DA" w:rsidR="008517DA" w:rsidP="00C6538F" w:rsidRDefault="008517DA" w14:paraId="10EAEBE6" w14:textId="77777777">
      <w:pPr>
        <w:pStyle w:val="FERCparanumber"/>
        <w:tabs>
          <w:tab w:val="clear" w:pos="990"/>
          <w:tab w:val="num" w:pos="720"/>
        </w:tabs>
        <w:ind w:left="0"/>
      </w:pPr>
      <w:r>
        <w:rPr>
          <w:szCs w:val="26"/>
        </w:rPr>
        <w:t xml:space="preserve">NERC does not support the </w:t>
      </w:r>
      <w:r w:rsidR="00930549">
        <w:rPr>
          <w:szCs w:val="26"/>
        </w:rPr>
        <w:t>proposed directive</w:t>
      </w:r>
      <w:r>
        <w:rPr>
          <w:szCs w:val="26"/>
        </w:rPr>
        <w:t xml:space="preserve"> to include EACMS within the scope of the supply chain risk management Reliability Standards</w:t>
      </w:r>
      <w:r w:rsidR="00CA276B">
        <w:rPr>
          <w:szCs w:val="26"/>
        </w:rPr>
        <w:t xml:space="preserve"> </w:t>
      </w:r>
      <w:r w:rsidR="00930549">
        <w:rPr>
          <w:szCs w:val="26"/>
        </w:rPr>
        <w:t>at this time</w:t>
      </w:r>
      <w:r w:rsidRPr="00924145">
        <w:rPr>
          <w:szCs w:val="26"/>
        </w:rPr>
        <w:t xml:space="preserve">.  </w:t>
      </w:r>
      <w:r>
        <w:rPr>
          <w:szCs w:val="26"/>
        </w:rPr>
        <w:t xml:space="preserve">NERC </w:t>
      </w:r>
      <w:r w:rsidR="00CA276B">
        <w:rPr>
          <w:szCs w:val="26"/>
        </w:rPr>
        <w:t xml:space="preserve">indicates </w:t>
      </w:r>
      <w:r>
        <w:rPr>
          <w:szCs w:val="26"/>
        </w:rPr>
        <w:t>that it is currently analyzing supply chain risks associated with EACMS, among other things, as part of the BOT</w:t>
      </w:r>
      <w:r w:rsidR="00930549">
        <w:rPr>
          <w:szCs w:val="26"/>
        </w:rPr>
        <w:t>-</w:t>
      </w:r>
      <w:r>
        <w:rPr>
          <w:szCs w:val="26"/>
        </w:rPr>
        <w:t xml:space="preserve">directed study of supply chain risks related to low impact BES Cyber Systems.  NERC </w:t>
      </w:r>
      <w:r w:rsidR="00CA276B">
        <w:rPr>
          <w:szCs w:val="26"/>
        </w:rPr>
        <w:t>explains</w:t>
      </w:r>
      <w:r>
        <w:rPr>
          <w:szCs w:val="26"/>
        </w:rPr>
        <w:t xml:space="preserve"> that the “study will help identify and differentiate the risks presented by various types of EACMS” to help in any </w:t>
      </w:r>
      <w:r w:rsidR="00CA276B">
        <w:rPr>
          <w:szCs w:val="26"/>
        </w:rPr>
        <w:t xml:space="preserve">directed </w:t>
      </w:r>
      <w:r>
        <w:rPr>
          <w:szCs w:val="26"/>
        </w:rPr>
        <w:t>standards development process.</w:t>
      </w:r>
      <w:r w:rsidR="00C91570">
        <w:rPr>
          <w:rStyle w:val="FootnoteReference"/>
        </w:rPr>
        <w:footnoteReference w:id="52"/>
      </w:r>
      <w:r>
        <w:rPr>
          <w:szCs w:val="26"/>
        </w:rPr>
        <w:t xml:space="preserve">  NERC requests that the Commission </w:t>
      </w:r>
      <w:r w:rsidR="00CA276B">
        <w:rPr>
          <w:szCs w:val="26"/>
        </w:rPr>
        <w:t xml:space="preserve">refrain from issuing a directive on EACMS until </w:t>
      </w:r>
      <w:r>
        <w:rPr>
          <w:szCs w:val="26"/>
        </w:rPr>
        <w:t xml:space="preserve">the results of the </w:t>
      </w:r>
      <w:r w:rsidR="00CA276B">
        <w:rPr>
          <w:szCs w:val="26"/>
        </w:rPr>
        <w:t xml:space="preserve">BOT-directed </w:t>
      </w:r>
      <w:r>
        <w:rPr>
          <w:szCs w:val="26"/>
        </w:rPr>
        <w:t>study to assess supply chain risks associated with EACMS</w:t>
      </w:r>
      <w:r w:rsidR="00CA276B">
        <w:rPr>
          <w:szCs w:val="26"/>
        </w:rPr>
        <w:t xml:space="preserve"> are received</w:t>
      </w:r>
      <w:r>
        <w:rPr>
          <w:szCs w:val="26"/>
        </w:rPr>
        <w:t>.</w:t>
      </w:r>
      <w:r>
        <w:rPr>
          <w:rStyle w:val="FootnoteReference"/>
        </w:rPr>
        <w:footnoteReference w:id="53"/>
      </w:r>
    </w:p>
    <w:p w:rsidRPr="00D34EBB" w:rsidR="001A594C" w:rsidP="001A594C" w:rsidRDefault="00F72C5A" w14:paraId="1F688922" w14:textId="77777777">
      <w:pPr>
        <w:pStyle w:val="FERCparanumber"/>
        <w:tabs>
          <w:tab w:val="clear" w:pos="990"/>
          <w:tab w:val="num" w:pos="720"/>
        </w:tabs>
        <w:ind w:left="0"/>
        <w:rPr>
          <w:b/>
          <w:i/>
        </w:rPr>
      </w:pPr>
      <w:r>
        <w:t>Most commenters agree with NERC</w:t>
      </w:r>
      <w:r w:rsidR="00C91570">
        <w:t xml:space="preserve"> </w:t>
      </w:r>
      <w:r w:rsidR="008517DA">
        <w:t xml:space="preserve">that the Commission </w:t>
      </w:r>
      <w:r w:rsidR="00C91570">
        <w:t xml:space="preserve">should </w:t>
      </w:r>
      <w:r w:rsidR="008517DA">
        <w:t xml:space="preserve">approve the supply chain risk management Reliability Standards </w:t>
      </w:r>
      <w:r w:rsidR="00930549">
        <w:t>as filed</w:t>
      </w:r>
      <w:r w:rsidR="008517DA">
        <w:t xml:space="preserve"> and not direct </w:t>
      </w:r>
      <w:r w:rsidR="00865875">
        <w:t>the inclusion of</w:t>
      </w:r>
      <w:r w:rsidR="008517DA">
        <w:t xml:space="preserve"> EACMS </w:t>
      </w:r>
      <w:r w:rsidR="00865875">
        <w:t>at this time</w:t>
      </w:r>
      <w:r w:rsidR="008517DA">
        <w:t xml:space="preserve">.  </w:t>
      </w:r>
      <w:r w:rsidR="00865875">
        <w:t xml:space="preserve">Instead, </w:t>
      </w:r>
      <w:r w:rsidR="008517DA">
        <w:t>Trade Associations, EEI, ITC, IRC</w:t>
      </w:r>
      <w:r w:rsidR="00540731">
        <w:t>,</w:t>
      </w:r>
      <w:r w:rsidR="008517DA">
        <w:t xml:space="preserve"> and MISO TOs support </w:t>
      </w:r>
      <w:r w:rsidR="002178EA">
        <w:t xml:space="preserve">evaluating in the BOT-directed study the possibility of including </w:t>
      </w:r>
      <w:r w:rsidR="008517DA">
        <w:t>EACMS in the supply chain risk management Reliability Standards.</w:t>
      </w:r>
      <w:r w:rsidR="008517DA">
        <w:rPr>
          <w:rStyle w:val="FootnoteReference"/>
        </w:rPr>
        <w:footnoteReference w:id="54"/>
      </w:r>
      <w:r w:rsidR="008517DA">
        <w:t xml:space="preserve">  </w:t>
      </w:r>
    </w:p>
    <w:p w:rsidR="001A594C" w:rsidP="001A594C" w:rsidRDefault="001A594C" w14:paraId="0861A822" w14:textId="77777777">
      <w:pPr>
        <w:pStyle w:val="FERCparanumber"/>
        <w:tabs>
          <w:tab w:val="clear" w:pos="990"/>
          <w:tab w:val="num" w:pos="720"/>
        </w:tabs>
        <w:ind w:left="0"/>
      </w:pPr>
      <w:r>
        <w:t xml:space="preserve">Trade Associations </w:t>
      </w:r>
      <w:r w:rsidR="00C91570">
        <w:t>contend</w:t>
      </w:r>
      <w:r w:rsidR="00CE0653">
        <w:t xml:space="preserve"> that</w:t>
      </w:r>
      <w:r>
        <w:t xml:space="preserve"> </w:t>
      </w:r>
      <w:r w:rsidR="00C91570">
        <w:t xml:space="preserve">first </w:t>
      </w:r>
      <w:r>
        <w:t>allowing</w:t>
      </w:r>
      <w:r w:rsidR="00C91570">
        <w:t xml:space="preserve"> completion of</w:t>
      </w:r>
      <w:r>
        <w:t xml:space="preserve"> the BOT-directed </w:t>
      </w:r>
      <w:r w:rsidR="007862A6">
        <w:t xml:space="preserve">study </w:t>
      </w:r>
      <w:r w:rsidR="002178EA">
        <w:t xml:space="preserve">would allow NERC to assess the </w:t>
      </w:r>
      <w:r w:rsidR="00CE0653">
        <w:t>diversity</w:t>
      </w:r>
      <w:r>
        <w:t xml:space="preserve"> of </w:t>
      </w:r>
      <w:r w:rsidR="00A06A3D">
        <w:t xml:space="preserve">EACMS </w:t>
      </w:r>
      <w:r>
        <w:t>that perform control or monitoring functions with varying risk levels</w:t>
      </w:r>
      <w:r w:rsidR="00A06A3D">
        <w:t xml:space="preserve"> and “is likely to provide more specific information and analysis concerning whether any category of EACMS might be appropriately included within the scope of the supply chain Reliability Standards.”</w:t>
      </w:r>
      <w:r>
        <w:rPr>
          <w:rStyle w:val="FootnoteReference"/>
        </w:rPr>
        <w:footnoteReference w:id="55"/>
      </w:r>
      <w:r w:rsidR="00A06A3D">
        <w:t xml:space="preserve">  Trade Associations </w:t>
      </w:r>
      <w:r w:rsidR="007862A6">
        <w:t>also</w:t>
      </w:r>
      <w:r w:rsidR="00A06A3D">
        <w:t xml:space="preserve"> </w:t>
      </w:r>
      <w:r w:rsidR="007862A6">
        <w:t>maintain</w:t>
      </w:r>
      <w:r w:rsidR="00A06A3D">
        <w:t xml:space="preserve"> that first having the BOT-directed study results will facilitate a more efficient and effective standards development process.</w:t>
      </w:r>
    </w:p>
    <w:p w:rsidR="00F72C5A" w:rsidP="00F72C5A" w:rsidRDefault="002178EA" w14:paraId="257BDE78" w14:textId="009CA4C7">
      <w:pPr>
        <w:pStyle w:val="FERCparanumber"/>
        <w:tabs>
          <w:tab w:val="clear" w:pos="990"/>
          <w:tab w:val="num" w:pos="720"/>
        </w:tabs>
        <w:ind w:left="0"/>
      </w:pPr>
      <w:r>
        <w:t xml:space="preserve">While also supportive of awaiting the results of the </w:t>
      </w:r>
      <w:r w:rsidR="001A594C">
        <w:t>BOT</w:t>
      </w:r>
      <w:r>
        <w:t xml:space="preserve">-directed </w:t>
      </w:r>
      <w:r w:rsidR="007862A6">
        <w:t>study</w:t>
      </w:r>
      <w:r>
        <w:t xml:space="preserve">, EEI </w:t>
      </w:r>
      <w:r w:rsidR="001A594C">
        <w:t>assert</w:t>
      </w:r>
      <w:r>
        <w:t>s</w:t>
      </w:r>
      <w:r w:rsidR="001A594C">
        <w:t xml:space="preserve"> </w:t>
      </w:r>
      <w:r w:rsidR="00632DDB">
        <w:t xml:space="preserve">that </w:t>
      </w:r>
      <w:r w:rsidR="001A594C">
        <w:t xml:space="preserve">EACMS are protected under existing CIP </w:t>
      </w:r>
      <w:r w:rsidR="00C91570">
        <w:t xml:space="preserve">Reliability </w:t>
      </w:r>
      <w:r w:rsidR="001A594C">
        <w:t>Standards.  EEI cites Reliability Standards CIP-005-5, Requirements R1, Part 1.3 and R2, Parts 2.1-2.3, CIP-007-6, Requirements R1, Part 1.1, R2, R3, R4, and R5, and CIP-010-2, Requirement 2, Part 2.1 as protecting EACMS against compromise.</w:t>
      </w:r>
      <w:r w:rsidR="00B14B9F">
        <w:rPr>
          <w:rStyle w:val="FootnoteReference"/>
        </w:rPr>
        <w:footnoteReference w:id="56"/>
      </w:r>
      <w:r w:rsidR="001A594C">
        <w:t xml:space="preserve"> </w:t>
      </w:r>
      <w:r w:rsidR="00E53FA6">
        <w:t xml:space="preserve"> Moreover, EEI states that the likelihood of compromise of an EACMS from potential supply chain-derived threats was not addressed in the NOPR and “should be evaluated before directing a CIP Standard scope expansion.”</w:t>
      </w:r>
      <w:r w:rsidR="00E53FA6">
        <w:rPr>
          <w:rStyle w:val="FootnoteReference"/>
        </w:rPr>
        <w:footnoteReference w:id="57"/>
      </w:r>
      <w:r w:rsidR="00E53FA6">
        <w:t xml:space="preserve"> </w:t>
      </w:r>
      <w:r w:rsidR="001A594C">
        <w:t xml:space="preserve"> </w:t>
      </w:r>
      <w:r w:rsidR="00F72C5A">
        <w:t xml:space="preserve">Even so, EEI supports further evaluating the feasibility, as well as </w:t>
      </w:r>
      <w:r w:rsidR="007862A6">
        <w:t xml:space="preserve">the </w:t>
      </w:r>
      <w:r w:rsidR="00F72C5A">
        <w:t>benefits, of adding EACMS to the supply chain risk management Reliability Standards.  EEI contends that waiting for the BOT-directed study will allow industry time to gain experience implementing the supply chain risk management Reliability Standard requirements as well as help identify potential follow-up actions.</w:t>
      </w:r>
      <w:r w:rsidR="00B14B9F">
        <w:rPr>
          <w:rStyle w:val="FootnoteReference"/>
        </w:rPr>
        <w:footnoteReference w:id="58"/>
      </w:r>
      <w:r w:rsidR="00F72C5A">
        <w:t xml:space="preserve"> </w:t>
      </w:r>
    </w:p>
    <w:p w:rsidR="002178EA" w:rsidP="004A3780" w:rsidRDefault="002178EA" w14:paraId="1C126B53" w14:textId="77777777">
      <w:pPr>
        <w:pStyle w:val="FERCparanumber"/>
        <w:tabs>
          <w:tab w:val="clear" w:pos="990"/>
          <w:tab w:val="num" w:pos="720"/>
        </w:tabs>
        <w:ind w:left="0"/>
      </w:pPr>
      <w:r>
        <w:t xml:space="preserve">MISO TOs likewise aver that EACMS, while important, are “not unprotected” under currently-effective </w:t>
      </w:r>
      <w:r w:rsidR="00A06A3D">
        <w:t xml:space="preserve">CIP </w:t>
      </w:r>
      <w:r>
        <w:t>Reliability Standards.  MISO TOs, like EEI, reference Reliability Standard CIP-007-6 (Cyber Security — System Security Management), which requires responsible entities to manage system security by specifying select technical, operational, and procedural requirements in support of protecting BES Cyber Systems.  MISO TOs state that this Reliability Standard applies to EACMS.</w:t>
      </w:r>
      <w:r w:rsidRPr="00F72C5A" w:rsidR="00F72C5A">
        <w:t xml:space="preserve"> </w:t>
      </w:r>
      <w:r w:rsidR="00F72C5A">
        <w:t xml:space="preserve"> AECC also contends that the existing CIP Reliability Standards already sufficiently cover any risks associated with EACMS.</w:t>
      </w:r>
      <w:r w:rsidR="00F72C5A">
        <w:rPr>
          <w:rStyle w:val="FootnoteReference"/>
        </w:rPr>
        <w:footnoteReference w:id="59"/>
      </w:r>
      <w:r w:rsidR="00F72C5A">
        <w:t xml:space="preserve">  </w:t>
      </w:r>
      <w:r w:rsidR="00A06A3D">
        <w:t xml:space="preserve">In particular, </w:t>
      </w:r>
      <w:r w:rsidR="00F72C5A">
        <w:t>AECC states that “CIP-005-6 already addresses vendor-initiated remote access … [and] developing technology services for BEC Cyber Systems under CIP-010-3 inherently already requires coverage for EACMS, PACS, and PCAs due to the nature of the technology.”</w:t>
      </w:r>
      <w:r w:rsidR="00F72C5A">
        <w:rPr>
          <w:rStyle w:val="FootnoteReference"/>
        </w:rPr>
        <w:footnoteReference w:id="60"/>
      </w:r>
      <w:r w:rsidR="00F72C5A">
        <w:t xml:space="preserve"> </w:t>
      </w:r>
      <w:r>
        <w:t xml:space="preserve">  </w:t>
      </w:r>
    </w:p>
    <w:p w:rsidR="001A594C" w:rsidP="00A06A3D" w:rsidRDefault="00CA4415" w14:paraId="09AC1ECE" w14:textId="77777777">
      <w:pPr>
        <w:pStyle w:val="FERCparanumber"/>
        <w:tabs>
          <w:tab w:val="clear" w:pos="990"/>
          <w:tab w:val="num" w:pos="720"/>
        </w:tabs>
        <w:ind w:left="0"/>
      </w:pPr>
      <w:r>
        <w:t>ITC</w:t>
      </w:r>
      <w:r w:rsidR="001A594C">
        <w:t>,</w:t>
      </w:r>
      <w:r w:rsidR="00C377A7">
        <w:t xml:space="preserve"> </w:t>
      </w:r>
      <w:r w:rsidR="001A594C">
        <w:t xml:space="preserve">IRC, </w:t>
      </w:r>
      <w:r w:rsidR="00C377A7">
        <w:t xml:space="preserve">and </w:t>
      </w:r>
      <w:r w:rsidR="00FD67BF">
        <w:t>MISO</w:t>
      </w:r>
      <w:r w:rsidR="00243376">
        <w:t xml:space="preserve"> TOs</w:t>
      </w:r>
      <w:r w:rsidR="00C377A7">
        <w:t xml:space="preserve"> </w:t>
      </w:r>
      <w:r w:rsidR="00F72C5A">
        <w:t>assert</w:t>
      </w:r>
      <w:r>
        <w:t xml:space="preserve"> that including </w:t>
      </w:r>
      <w:r w:rsidR="00632DDB">
        <w:t xml:space="preserve">EACMS </w:t>
      </w:r>
      <w:r>
        <w:t xml:space="preserve">within the </w:t>
      </w:r>
      <w:r w:rsidR="00632DDB">
        <w:t xml:space="preserve">supply chain risk management </w:t>
      </w:r>
      <w:r w:rsidR="00C377A7">
        <w:t xml:space="preserve">Reliability </w:t>
      </w:r>
      <w:r>
        <w:t>Standard</w:t>
      </w:r>
      <w:r w:rsidR="00C377A7">
        <w:t>s</w:t>
      </w:r>
      <w:r>
        <w:t xml:space="preserve"> would constitute a substantial expansion of the </w:t>
      </w:r>
      <w:r w:rsidR="00C377A7">
        <w:t xml:space="preserve">Reliability </w:t>
      </w:r>
      <w:r>
        <w:t>Standard</w:t>
      </w:r>
      <w:r w:rsidR="00C377A7">
        <w:t>s</w:t>
      </w:r>
      <w:r>
        <w:t xml:space="preserve"> and would require significant additional resources for compliance, </w:t>
      </w:r>
      <w:r w:rsidR="00632DDB">
        <w:t>without a commensurate</w:t>
      </w:r>
      <w:r>
        <w:t xml:space="preserve"> improvement in </w:t>
      </w:r>
      <w:r w:rsidR="00632DDB">
        <w:t xml:space="preserve">bulk electric system </w:t>
      </w:r>
      <w:r>
        <w:t>reliability.</w:t>
      </w:r>
      <w:r w:rsidR="001A594C">
        <w:t xml:space="preserve">  </w:t>
      </w:r>
      <w:r>
        <w:t xml:space="preserve">According to ITC, </w:t>
      </w:r>
      <w:r w:rsidR="00C91570">
        <w:t>the record does not contradict</w:t>
      </w:r>
      <w:r>
        <w:t xml:space="preserve"> </w:t>
      </w:r>
      <w:r w:rsidR="00C91570">
        <w:t xml:space="preserve">NERC’s technical assessment </w:t>
      </w:r>
      <w:r>
        <w:t xml:space="preserve">that inclusion of </w:t>
      </w:r>
      <w:r w:rsidR="00632DDB">
        <w:t>EA</w:t>
      </w:r>
      <w:r w:rsidR="00D01E0A">
        <w:t>CM</w:t>
      </w:r>
      <w:r w:rsidR="00632DDB">
        <w:t>S</w:t>
      </w:r>
      <w:r>
        <w:t xml:space="preserve"> within th</w:t>
      </w:r>
      <w:r w:rsidR="00632DDB">
        <w:t>e supply chain risk management Reliability</w:t>
      </w:r>
      <w:r>
        <w:t xml:space="preserve"> Standard</w:t>
      </w:r>
      <w:r w:rsidR="00632DDB">
        <w:t>s</w:t>
      </w:r>
      <w:r>
        <w:t xml:space="preserve"> is not justified.</w:t>
      </w:r>
      <w:r w:rsidR="001A097F">
        <w:t xml:space="preserve">  ITC </w:t>
      </w:r>
      <w:r w:rsidR="000A3A42">
        <w:t>claims</w:t>
      </w:r>
      <w:r w:rsidR="001A097F">
        <w:t xml:space="preserve"> that the NOPR</w:t>
      </w:r>
      <w:r w:rsidR="000A3A42">
        <w:t>, while “descriptively accurate,”</w:t>
      </w:r>
      <w:r>
        <w:t xml:space="preserve"> misunderstands the purpose and function of EACMS</w:t>
      </w:r>
      <w:r w:rsidR="000A3A42">
        <w:t>, which</w:t>
      </w:r>
      <w:r w:rsidR="00A06A3D">
        <w:t>, ITC states,</w:t>
      </w:r>
      <w:r w:rsidR="000A3A42">
        <w:t xml:space="preserve"> </w:t>
      </w:r>
      <w:r>
        <w:t>are intended to protect the ESP and the BES Cyber Assets contained therein</w:t>
      </w:r>
      <w:r w:rsidR="00CE0653">
        <w:t xml:space="preserve"> </w:t>
      </w:r>
      <w:r w:rsidR="000A3A42">
        <w:t>and</w:t>
      </w:r>
      <w:r w:rsidR="00CE0653">
        <w:t xml:space="preserve"> are</w:t>
      </w:r>
      <w:r>
        <w:t xml:space="preserve"> not intended to provide a reliability function</w:t>
      </w:r>
      <w:r w:rsidR="000A3A42">
        <w:t>.</w:t>
      </w:r>
      <w:r w:rsidR="00F0074C">
        <w:t xml:space="preserve">  </w:t>
      </w:r>
      <w:r w:rsidR="001B1C66">
        <w:t>ITC concludes that misoperation of an EACMS, while serious, does not rise to the level of a direct threat to the reliability of the bulk electric system.</w:t>
      </w:r>
      <w:r w:rsidR="004A3780">
        <w:t xml:space="preserve">  </w:t>
      </w:r>
    </w:p>
    <w:p w:rsidR="001F273B" w:rsidP="00F72C5A" w:rsidRDefault="001A594C" w14:paraId="2B267B89" w14:textId="77777777">
      <w:pPr>
        <w:pStyle w:val="FERCparanumber"/>
        <w:tabs>
          <w:tab w:val="clear" w:pos="990"/>
          <w:tab w:val="num" w:pos="720"/>
        </w:tabs>
        <w:ind w:left="0"/>
      </w:pPr>
      <w:r>
        <w:t xml:space="preserve">IRC </w:t>
      </w:r>
      <w:r w:rsidR="004A3780">
        <w:t xml:space="preserve">similarly </w:t>
      </w:r>
      <w:r>
        <w:t>believes</w:t>
      </w:r>
      <w:r w:rsidR="00A06A3D">
        <w:t xml:space="preserve"> that</w:t>
      </w:r>
      <w:r>
        <w:t xml:space="preserve"> including EACMS within the scope of the supply chain risk management Reliability Standards would require “significant resources and effort” and </w:t>
      </w:r>
      <w:r w:rsidR="00630FAC">
        <w:t>because</w:t>
      </w:r>
      <w:r w:rsidR="0039654B">
        <w:t xml:space="preserve"> </w:t>
      </w:r>
      <w:r>
        <w:t xml:space="preserve">EACMS vendors supply such systems to a larger market than just the power sector </w:t>
      </w:r>
      <w:r w:rsidR="00D810F9">
        <w:t>there would need to be coordination with other industries before</w:t>
      </w:r>
      <w:r>
        <w:t xml:space="preserve"> implementing a supply chain </w:t>
      </w:r>
      <w:r w:rsidR="00D810F9">
        <w:t xml:space="preserve">risk </w:t>
      </w:r>
      <w:r>
        <w:t xml:space="preserve">management </w:t>
      </w:r>
      <w:r w:rsidR="00D810F9">
        <w:t>Reliability S</w:t>
      </w:r>
      <w:r>
        <w:t>tandard for EACMS.</w:t>
      </w:r>
      <w:r>
        <w:rPr>
          <w:rStyle w:val="FootnoteReference"/>
        </w:rPr>
        <w:footnoteReference w:id="61"/>
      </w:r>
      <w:r w:rsidR="00F72C5A">
        <w:t xml:space="preserve">  </w:t>
      </w:r>
      <w:r>
        <w:t xml:space="preserve">MISO TOs also </w:t>
      </w:r>
      <w:r w:rsidR="000C714D">
        <w:t>contend</w:t>
      </w:r>
      <w:r>
        <w:t xml:space="preserve"> that including EACMS would affect numerous pieces of equipment and assets, with associated costs, system changes, and other burdens, without showing </w:t>
      </w:r>
      <w:r w:rsidR="00C91570">
        <w:t>commensurate</w:t>
      </w:r>
      <w:r>
        <w:t xml:space="preserve"> benefits.</w:t>
      </w:r>
      <w:r w:rsidR="008D6544">
        <w:rPr>
          <w:rStyle w:val="FootnoteReference"/>
        </w:rPr>
        <w:footnoteReference w:id="62"/>
      </w:r>
      <w:r>
        <w:t xml:space="preserve">  </w:t>
      </w:r>
    </w:p>
    <w:p w:rsidR="008517DA" w:rsidP="00C6538F" w:rsidRDefault="008517DA" w14:paraId="7E5E012B" w14:textId="77777777">
      <w:pPr>
        <w:pStyle w:val="FERCparanumber"/>
        <w:tabs>
          <w:tab w:val="clear" w:pos="990"/>
          <w:tab w:val="num" w:pos="720"/>
        </w:tabs>
        <w:ind w:left="0"/>
      </w:pPr>
      <w:r>
        <w:t xml:space="preserve">Idaho Power, for its part, does not believe that EACMS should be included in the scope of the supply chain risk management Reliability Standards </w:t>
      </w:r>
      <w:r w:rsidR="00CA276B">
        <w:t>based on its view that</w:t>
      </w:r>
      <w:r>
        <w:t xml:space="preserve"> EACMS are used in other industries and are not specific to critical infrastructure.  Instead, Idaho Power states that the focus should be on correctly configuring EACMS devices as opposed to addressing procurement</w:t>
      </w:r>
      <w:r w:rsidR="00CA276B">
        <w:t xml:space="preserve"> practices</w:t>
      </w:r>
      <w:r>
        <w:t>.</w:t>
      </w:r>
      <w:r>
        <w:rPr>
          <w:rStyle w:val="FootnoteReference"/>
        </w:rPr>
        <w:footnoteReference w:id="63"/>
      </w:r>
      <w:r>
        <w:t xml:space="preserve">  </w:t>
      </w:r>
    </w:p>
    <w:p w:rsidR="00C6538F" w:rsidP="00381F23" w:rsidRDefault="008517DA" w14:paraId="775FDCFB" w14:textId="77777777">
      <w:pPr>
        <w:pStyle w:val="FERCparanumber"/>
        <w:tabs>
          <w:tab w:val="clear" w:pos="990"/>
          <w:tab w:val="num" w:pos="720"/>
        </w:tabs>
        <w:ind w:left="0"/>
      </w:pPr>
      <w:r>
        <w:t>Appelbaum, Reclamation, Resilient Societies, Isologic, Mabee</w:t>
      </w:r>
      <w:r w:rsidR="00722F47">
        <w:t>,</w:t>
      </w:r>
      <w:r>
        <w:t xml:space="preserve"> and MPUC support the </w:t>
      </w:r>
      <w:r w:rsidR="00F72C5A">
        <w:t xml:space="preserve">NOPR </w:t>
      </w:r>
      <w:r>
        <w:t>directive regarding EACMS associated with medium and high impact BES Cyber Systems.  In addition, the commenters urge the Commission to extend the scope of the supply chain risk management Reliability Standards to low impact BES Cyber Systems.</w:t>
      </w:r>
      <w:r>
        <w:rPr>
          <w:rStyle w:val="FootnoteReference"/>
        </w:rPr>
        <w:footnoteReference w:id="64"/>
      </w:r>
      <w:r>
        <w:t xml:space="preserve">  MPUC states, for example, that the </w:t>
      </w:r>
      <w:r w:rsidR="007E09C8">
        <w:t>supply chain risk management</w:t>
      </w:r>
      <w:r>
        <w:t xml:space="preserve"> Reliability Standards should apply to all BES Cyber System assets, unless the specific asset can be shown to be completely isolated from the </w:t>
      </w:r>
      <w:r w:rsidR="007E09C8">
        <w:t>bulk electric system</w:t>
      </w:r>
      <w:r>
        <w:t>.</w:t>
      </w:r>
      <w:r>
        <w:rPr>
          <w:rStyle w:val="FootnoteReference"/>
        </w:rPr>
        <w:footnoteReference w:id="65"/>
      </w:r>
      <w:r>
        <w:t xml:space="preserve">  Resilient Societies states that the supply chain risk management Reliability Standards should apply to low impact BES Cyber Systems since the compromise of a low impact BES Cyber System could lead to the compromise of medium or high impact BES Cyber Systems.</w:t>
      </w:r>
      <w:r>
        <w:rPr>
          <w:rStyle w:val="FootnoteReference"/>
        </w:rPr>
        <w:footnoteReference w:id="66"/>
      </w:r>
      <w:r>
        <w:t xml:space="preserve">  </w:t>
      </w:r>
    </w:p>
    <w:p w:rsidR="00865875" w:rsidP="007E09C8" w:rsidRDefault="00865875" w14:paraId="33AD8DE2" w14:textId="77777777">
      <w:pPr>
        <w:pStyle w:val="FERCparanumber"/>
        <w:tabs>
          <w:tab w:val="clear" w:pos="990"/>
          <w:tab w:val="num" w:pos="720"/>
        </w:tabs>
        <w:ind w:left="0"/>
      </w:pPr>
      <w:r>
        <w:t xml:space="preserve">APS states that it supports the NOPR proposal to direct NERC to modify the supply chain risk management Reliability Standards to </w:t>
      </w:r>
      <w:r w:rsidR="00FA6438">
        <w:t>i</w:t>
      </w:r>
      <w:r>
        <w:t xml:space="preserve">nclude EACMS associated with medium and high impact BES Cyber Systems.  However, APS contends that the Commission </w:t>
      </w:r>
      <w:r w:rsidR="007E09C8">
        <w:t>should delay their inclusion</w:t>
      </w:r>
      <w:r>
        <w:t xml:space="preserve"> until NERC and industry complete their analysis of the potential need to separate the functions reflected in the current EACMS definition (</w:t>
      </w:r>
      <w:r w:rsidR="00FA6438">
        <w:t>e</w:t>
      </w:r>
      <w:r>
        <w:t>.</w:t>
      </w:r>
      <w:r w:rsidR="00FA6438">
        <w:t>g</w:t>
      </w:r>
      <w:r>
        <w:t>., electronic access control versus electronic access monitoring).  APS states that,</w:t>
      </w:r>
      <w:r w:rsidR="007E09C8">
        <w:t xml:space="preserve"> </w:t>
      </w:r>
      <w:r>
        <w:t xml:space="preserve">including EACMS that perform electronic access control functions within the scope of the supply chain risk management Reliability Standards </w:t>
      </w:r>
      <w:r w:rsidR="007E09C8">
        <w:t>“</w:t>
      </w:r>
      <w:r>
        <w:t>represent</w:t>
      </w:r>
      <w:r w:rsidR="007E09C8">
        <w:t>s</w:t>
      </w:r>
      <w:r>
        <w:t xml:space="preserve"> good cybersecurity posture</w:t>
      </w:r>
      <w:r w:rsidR="007E09C8">
        <w:t xml:space="preserve"> … [h]owever, at this time, the definition of EACMS is not sufficiently mature to make the necessary distinction discussed above</w:t>
      </w:r>
      <w:r>
        <w:t>.</w:t>
      </w:r>
      <w:r w:rsidR="007E09C8">
        <w:t>”</w:t>
      </w:r>
      <w:r>
        <w:rPr>
          <w:rStyle w:val="FootnoteReference"/>
        </w:rPr>
        <w:footnoteReference w:id="67"/>
      </w:r>
    </w:p>
    <w:p w:rsidRPr="00360FB2" w:rsidR="00C6538F" w:rsidP="00C6538F" w:rsidRDefault="00C6538F" w14:paraId="2428E4F4" w14:textId="77777777">
      <w:pPr>
        <w:pStyle w:val="FERCparanumber"/>
        <w:numPr>
          <w:ilvl w:val="0"/>
          <w:numId w:val="0"/>
        </w:numPr>
        <w:rPr>
          <w:b/>
        </w:rPr>
      </w:pPr>
      <w:r>
        <w:tab/>
      </w:r>
      <w:r w:rsidR="00504398">
        <w:tab/>
      </w:r>
      <w:r w:rsidRPr="00163959" w:rsidR="00504398">
        <w:rPr>
          <w:b/>
        </w:rPr>
        <w:t>3.</w:t>
      </w:r>
      <w:r w:rsidR="00504398">
        <w:tab/>
      </w:r>
      <w:r w:rsidRPr="00504398">
        <w:rPr>
          <w:b/>
          <w:u w:val="single"/>
        </w:rPr>
        <w:t>Commission Determination</w:t>
      </w:r>
    </w:p>
    <w:p w:rsidRPr="00B530D8" w:rsidR="00B530D8" w:rsidP="00DD5A77" w:rsidRDefault="00066BFE" w14:paraId="4FE433EA" w14:textId="2D9B2F43">
      <w:pPr>
        <w:pStyle w:val="FERCparanumber"/>
        <w:tabs>
          <w:tab w:val="clear" w:pos="990"/>
          <w:tab w:val="num" w:pos="720"/>
        </w:tabs>
        <w:ind w:left="0"/>
      </w:pPr>
      <w:r>
        <w:t>P</w:t>
      </w:r>
      <w:r w:rsidRPr="00890267" w:rsidR="00DD5A77">
        <w:t xml:space="preserve">ursuant to section 215(d)(5) of the FPA, </w:t>
      </w:r>
      <w:r>
        <w:t xml:space="preserve">we adopt the NOPR proposal and </w:t>
      </w:r>
      <w:r w:rsidRPr="00890267" w:rsidR="00DD5A77">
        <w:t xml:space="preserve">direct NERC to develop modifications to include EACMS associated with medium and high impact BES Cyber Systems within the scope of the supply chain risk management </w:t>
      </w:r>
      <w:r w:rsidRPr="00890267" w:rsidR="00DD5A77">
        <w:rPr>
          <w:szCs w:val="26"/>
        </w:rPr>
        <w:t>Reliability Standards</w:t>
      </w:r>
      <w:r w:rsidR="00DD5A77">
        <w:rPr>
          <w:szCs w:val="26"/>
        </w:rPr>
        <w:t>.</w:t>
      </w:r>
      <w:r w:rsidR="00DD5A77">
        <w:t xml:space="preserve">  </w:t>
      </w:r>
      <w:r w:rsidR="00B530D8">
        <w:t xml:space="preserve">While </w:t>
      </w:r>
      <w:r>
        <w:t>we are s</w:t>
      </w:r>
      <w:r w:rsidR="00636826">
        <w:t>ensitive</w:t>
      </w:r>
      <w:r>
        <w:t xml:space="preserve"> to the position taken by NERC and other commenters that the Commission should not issue a directive until after </w:t>
      </w:r>
      <w:r w:rsidR="00946B0C">
        <w:t>completion of the</w:t>
      </w:r>
      <w:r>
        <w:t xml:space="preserve"> BOT-directed final report, we conclude that </w:t>
      </w:r>
      <w:r w:rsidRPr="00DD5A77" w:rsidR="00B530D8">
        <w:rPr>
          <w:szCs w:val="26"/>
        </w:rPr>
        <w:t xml:space="preserve">the record before </w:t>
      </w:r>
      <w:r>
        <w:rPr>
          <w:szCs w:val="26"/>
        </w:rPr>
        <w:t>us</w:t>
      </w:r>
      <w:r w:rsidRPr="00DD5A77" w:rsidR="00B530D8">
        <w:rPr>
          <w:szCs w:val="26"/>
        </w:rPr>
        <w:t xml:space="preserve"> supports </w:t>
      </w:r>
      <w:r w:rsidRPr="00890267" w:rsidR="00B530D8">
        <w:t>direct</w:t>
      </w:r>
      <w:r>
        <w:t>ing</w:t>
      </w:r>
      <w:r w:rsidRPr="00890267" w:rsidR="00B530D8">
        <w:t xml:space="preserve"> NERC </w:t>
      </w:r>
      <w:r w:rsidRPr="00924145" w:rsidR="00B530D8">
        <w:t xml:space="preserve">to include </w:t>
      </w:r>
      <w:r w:rsidR="002D27E2">
        <w:t xml:space="preserve">at least some </w:t>
      </w:r>
      <w:r w:rsidR="00BA0A45">
        <w:t xml:space="preserve">subset of </w:t>
      </w:r>
      <w:r w:rsidRPr="00924145" w:rsidR="00B530D8">
        <w:t xml:space="preserve">EACMS associated with medium and high impact BES Cyber Systems </w:t>
      </w:r>
      <w:r>
        <w:rPr>
          <w:szCs w:val="26"/>
        </w:rPr>
        <w:t>at this time</w:t>
      </w:r>
      <w:r w:rsidRPr="00DD5A77" w:rsidR="00B530D8">
        <w:rPr>
          <w:szCs w:val="26"/>
        </w:rPr>
        <w:t xml:space="preserve">.  </w:t>
      </w:r>
      <w:r w:rsidR="00A54B78">
        <w:rPr>
          <w:szCs w:val="26"/>
        </w:rPr>
        <w:t xml:space="preserve">We are not persuaded by comments advocating delay in view of the </w:t>
      </w:r>
      <w:r w:rsidR="000C714D">
        <w:rPr>
          <w:szCs w:val="26"/>
        </w:rPr>
        <w:t xml:space="preserve">forthcoming </w:t>
      </w:r>
      <w:r w:rsidR="00A54B78">
        <w:rPr>
          <w:szCs w:val="26"/>
        </w:rPr>
        <w:t>BOT-directed final report because</w:t>
      </w:r>
      <w:r w:rsidR="002D27E2">
        <w:rPr>
          <w:szCs w:val="26"/>
        </w:rPr>
        <w:t xml:space="preserve"> the standard </w:t>
      </w:r>
      <w:r w:rsidR="004A056D">
        <w:rPr>
          <w:szCs w:val="26"/>
        </w:rPr>
        <w:t xml:space="preserve">   </w:t>
      </w:r>
      <w:r w:rsidR="002D27E2">
        <w:rPr>
          <w:szCs w:val="26"/>
        </w:rPr>
        <w:t>drafting team</w:t>
      </w:r>
      <w:r>
        <w:rPr>
          <w:szCs w:val="26"/>
        </w:rPr>
        <w:t xml:space="preserve"> will</w:t>
      </w:r>
      <w:r w:rsidR="002D27E2">
        <w:rPr>
          <w:szCs w:val="26"/>
        </w:rPr>
        <w:t xml:space="preserve"> </w:t>
      </w:r>
      <w:r>
        <w:rPr>
          <w:szCs w:val="26"/>
        </w:rPr>
        <w:t>have the benefit of the BOT-directed final report</w:t>
      </w:r>
      <w:r w:rsidR="00636826">
        <w:rPr>
          <w:szCs w:val="26"/>
        </w:rPr>
        <w:t xml:space="preserve">, which is due </w:t>
      </w:r>
      <w:r w:rsidR="00946B0C">
        <w:rPr>
          <w:szCs w:val="26"/>
        </w:rPr>
        <w:t>in February 2019</w:t>
      </w:r>
      <w:r w:rsidR="00A54B78">
        <w:rPr>
          <w:szCs w:val="26"/>
        </w:rPr>
        <w:t xml:space="preserve">, when developing the directed </w:t>
      </w:r>
      <w:r w:rsidR="000C714D">
        <w:rPr>
          <w:szCs w:val="26"/>
        </w:rPr>
        <w:t xml:space="preserve">Reliability Standard </w:t>
      </w:r>
      <w:r w:rsidR="00A54B78">
        <w:rPr>
          <w:szCs w:val="26"/>
        </w:rPr>
        <w:t>modifications</w:t>
      </w:r>
      <w:r w:rsidR="00636826">
        <w:rPr>
          <w:szCs w:val="26"/>
        </w:rPr>
        <w:t>.</w:t>
      </w:r>
      <w:r w:rsidR="00636826">
        <w:rPr>
          <w:rStyle w:val="FootnoteReference"/>
        </w:rPr>
        <w:footnoteReference w:id="68"/>
      </w:r>
      <w:r w:rsidR="00636826">
        <w:rPr>
          <w:szCs w:val="26"/>
        </w:rPr>
        <w:t xml:space="preserve">  </w:t>
      </w:r>
    </w:p>
    <w:p w:rsidRPr="009B565E" w:rsidR="009B565E" w:rsidP="00C6538F" w:rsidRDefault="002D27E2" w14:paraId="00A87898" w14:textId="77777777">
      <w:pPr>
        <w:pStyle w:val="FERCparanumber"/>
        <w:tabs>
          <w:tab w:val="clear" w:pos="990"/>
          <w:tab w:val="num" w:pos="720"/>
        </w:tabs>
        <w:ind w:left="0"/>
      </w:pPr>
      <w:r>
        <w:rPr>
          <w:szCs w:val="26"/>
        </w:rPr>
        <w:t xml:space="preserve">We continue to believe that </w:t>
      </w:r>
      <w:r w:rsidRPr="00DD5A77" w:rsidR="00636826">
        <w:rPr>
          <w:szCs w:val="26"/>
        </w:rPr>
        <w:t xml:space="preserve">EACMS represent the most likely route an attacker would take to access a BES Cyber System or PCA within an </w:t>
      </w:r>
      <w:r w:rsidRPr="009557CF" w:rsidR="00636826">
        <w:t>E</w:t>
      </w:r>
      <w:r w:rsidR="00636826">
        <w:t>SP</w:t>
      </w:r>
      <w:r w:rsidRPr="00DD5A77" w:rsidR="00636826">
        <w:rPr>
          <w:szCs w:val="26"/>
        </w:rPr>
        <w:t xml:space="preserve"> based on the functions they perform.</w:t>
      </w:r>
      <w:r w:rsidR="00636826">
        <w:rPr>
          <w:rStyle w:val="FootnoteReference"/>
        </w:rPr>
        <w:footnoteReference w:id="69"/>
      </w:r>
      <w:r w:rsidRPr="00DD5A77" w:rsidR="00636826">
        <w:rPr>
          <w:szCs w:val="26"/>
        </w:rPr>
        <w:t xml:space="preserve">  </w:t>
      </w:r>
      <w:r w:rsidRPr="00C4157A" w:rsidR="00C4157A">
        <w:rPr>
          <w:szCs w:val="26"/>
        </w:rPr>
        <w:t>EACMS support BES Cyber Systems and are part of the network and security architecture that allow</w:t>
      </w:r>
      <w:r w:rsidR="008215E3">
        <w:rPr>
          <w:szCs w:val="26"/>
        </w:rPr>
        <w:t>s</w:t>
      </w:r>
      <w:r w:rsidRPr="00C4157A" w:rsidR="00C4157A">
        <w:rPr>
          <w:szCs w:val="26"/>
        </w:rPr>
        <w:t xml:space="preserve"> BES Cyber Systems to work as intended b</w:t>
      </w:r>
      <w:r w:rsidR="00D810F9">
        <w:rPr>
          <w:szCs w:val="26"/>
        </w:rPr>
        <w:t>ecause they</w:t>
      </w:r>
      <w:r w:rsidRPr="00C4157A" w:rsidR="00C4157A">
        <w:rPr>
          <w:szCs w:val="26"/>
        </w:rPr>
        <w:t xml:space="preserve"> perform electronic access control or electronic access monitoring of the ESP or BES Cyber Systems.  In </w:t>
      </w:r>
      <w:r w:rsidR="00D810F9">
        <w:rPr>
          <w:szCs w:val="26"/>
        </w:rPr>
        <w:t>particular</w:t>
      </w:r>
      <w:r w:rsidRPr="00C4157A" w:rsidR="00C4157A">
        <w:rPr>
          <w:szCs w:val="26"/>
        </w:rPr>
        <w:t xml:space="preserve">, EACMS control electronic access, including interactive remote access, into the ESP that protects high and medium impact BES Cyber Systems.  </w:t>
      </w:r>
      <w:r w:rsidR="00C4157A">
        <w:rPr>
          <w:szCs w:val="26"/>
        </w:rPr>
        <w:t>One</w:t>
      </w:r>
      <w:r w:rsidRPr="00C4157A" w:rsidR="00C4157A">
        <w:rPr>
          <w:szCs w:val="26"/>
        </w:rPr>
        <w:t xml:space="preserve"> specific function of electronic access control is to prevent malware or malicious actors from gaining access to the BES Cyber Systems and PCAs within the ESP</w:t>
      </w:r>
      <w:r w:rsidR="00C4157A">
        <w:rPr>
          <w:szCs w:val="26"/>
        </w:rPr>
        <w:t>.</w:t>
      </w:r>
      <w:r w:rsidR="00C4157A">
        <w:rPr>
          <w:rStyle w:val="FootnoteReference"/>
        </w:rPr>
        <w:footnoteReference w:id="70"/>
      </w:r>
      <w:r w:rsidR="00C4157A">
        <w:rPr>
          <w:szCs w:val="26"/>
        </w:rPr>
        <w:t xml:space="preserve"> </w:t>
      </w:r>
      <w:r w:rsidRPr="00C4157A" w:rsidR="00C4157A">
        <w:rPr>
          <w:szCs w:val="26"/>
        </w:rPr>
        <w:t xml:space="preserve"> </w:t>
      </w:r>
      <w:r w:rsidRPr="00C4157A" w:rsidR="00C4157A">
        <w:rPr>
          <w:bCs/>
          <w:szCs w:val="26"/>
        </w:rPr>
        <w:t xml:space="preserve">Given the significant role that EACMS play in the protection scheme for medium and high impact BES Cyber Systems, </w:t>
      </w:r>
      <w:r w:rsidR="00D810F9">
        <w:rPr>
          <w:bCs/>
          <w:szCs w:val="26"/>
        </w:rPr>
        <w:t xml:space="preserve">we determine that </w:t>
      </w:r>
      <w:r w:rsidRPr="00C4157A" w:rsidR="00C4157A">
        <w:rPr>
          <w:bCs/>
          <w:szCs w:val="26"/>
        </w:rPr>
        <w:t>EACMS should be within the scope of the supply chain risk management Reliability Standards to provide minimum protection against supply chain attack vectors.</w:t>
      </w:r>
    </w:p>
    <w:p w:rsidRPr="009B565E" w:rsidR="00B616D8" w:rsidP="009B565E" w:rsidRDefault="00B12D4B" w14:paraId="5A2717DD" w14:textId="57751862">
      <w:pPr>
        <w:pStyle w:val="FERCparanumber"/>
        <w:tabs>
          <w:tab w:val="clear" w:pos="990"/>
          <w:tab w:val="num" w:pos="720"/>
        </w:tabs>
        <w:ind w:left="0"/>
        <w:rPr>
          <w:bCs/>
          <w:szCs w:val="26"/>
        </w:rPr>
      </w:pPr>
      <w:r>
        <w:rPr>
          <w:bCs/>
          <w:szCs w:val="26"/>
        </w:rPr>
        <w:t xml:space="preserve">No </w:t>
      </w:r>
      <w:r w:rsidR="009B565E">
        <w:rPr>
          <w:bCs/>
          <w:szCs w:val="26"/>
        </w:rPr>
        <w:t xml:space="preserve">commenter disagreed with </w:t>
      </w:r>
      <w:r w:rsidRPr="00754256" w:rsidR="009B565E">
        <w:rPr>
          <w:bCs/>
          <w:szCs w:val="26"/>
        </w:rPr>
        <w:t xml:space="preserve">the </w:t>
      </w:r>
      <w:r w:rsidR="009B565E">
        <w:rPr>
          <w:bCs/>
          <w:szCs w:val="26"/>
        </w:rPr>
        <w:t xml:space="preserve">NOPR that </w:t>
      </w:r>
      <w:r w:rsidRPr="00754256" w:rsidR="009B565E">
        <w:rPr>
          <w:bCs/>
          <w:szCs w:val="26"/>
        </w:rPr>
        <w:t xml:space="preserve">misoperation or unavailability of EACMS that support a given BES Cyber System could contribute to the misoperation of the BES Cyber System or render it unavailable, which </w:t>
      </w:r>
      <w:r w:rsidR="00552FCF">
        <w:rPr>
          <w:bCs/>
          <w:szCs w:val="26"/>
        </w:rPr>
        <w:t>could pose a significant risk to reliable operation</w:t>
      </w:r>
      <w:r w:rsidRPr="00754256" w:rsidR="009B565E">
        <w:rPr>
          <w:bCs/>
          <w:szCs w:val="26"/>
        </w:rPr>
        <w:t xml:space="preserve">.  Instead, commenters generally agree that EACMS perform </w:t>
      </w:r>
      <w:r>
        <w:rPr>
          <w:bCs/>
          <w:szCs w:val="26"/>
        </w:rPr>
        <w:t xml:space="preserve">important </w:t>
      </w:r>
      <w:r w:rsidRPr="00754256" w:rsidR="009B565E">
        <w:rPr>
          <w:bCs/>
          <w:szCs w:val="26"/>
        </w:rPr>
        <w:t>security-related functions.</w:t>
      </w:r>
      <w:r w:rsidRPr="006A489F" w:rsidR="009B565E">
        <w:rPr>
          <w:b/>
          <w:vertAlign w:val="superscript"/>
        </w:rPr>
        <w:footnoteReference w:id="71"/>
      </w:r>
      <w:r w:rsidRPr="00754256" w:rsidR="009B565E">
        <w:rPr>
          <w:bCs/>
          <w:szCs w:val="26"/>
        </w:rPr>
        <w:t xml:space="preserve">  For example, NERC states that a compromised firewall “may allow unfettered access to the ESP.”</w:t>
      </w:r>
      <w:r w:rsidR="009B565E">
        <w:rPr>
          <w:rStyle w:val="FootnoteReference"/>
          <w:bCs/>
        </w:rPr>
        <w:footnoteReference w:id="72"/>
      </w:r>
      <w:r w:rsidRPr="00754256" w:rsidR="009B565E">
        <w:rPr>
          <w:bCs/>
          <w:szCs w:val="26"/>
        </w:rPr>
        <w:t xml:space="preserve">  EEI also agrees that the compromise of certain EACMS that control access could adversely affect the reliable operation of an associated BES Cyber System, although EEI asserts </w:t>
      </w:r>
      <w:r w:rsidR="006833B7">
        <w:rPr>
          <w:bCs/>
          <w:szCs w:val="26"/>
        </w:rPr>
        <w:t xml:space="preserve">that </w:t>
      </w:r>
      <w:r w:rsidRPr="00754256" w:rsidR="009B565E">
        <w:rPr>
          <w:bCs/>
          <w:szCs w:val="26"/>
        </w:rPr>
        <w:t>other CIP Reliability Standards adequately protect those EACMS.</w:t>
      </w:r>
      <w:r w:rsidR="009B565E">
        <w:rPr>
          <w:rStyle w:val="FootnoteReference"/>
          <w:bCs/>
        </w:rPr>
        <w:footnoteReference w:id="73"/>
      </w:r>
      <w:r w:rsidRPr="00754256" w:rsidR="009B565E">
        <w:rPr>
          <w:bCs/>
          <w:szCs w:val="26"/>
        </w:rPr>
        <w:t xml:space="preserve">  </w:t>
      </w:r>
      <w:r>
        <w:rPr>
          <w:bCs/>
          <w:szCs w:val="26"/>
        </w:rPr>
        <w:t xml:space="preserve">Although some commenters, as discussed below, </w:t>
      </w:r>
      <w:r w:rsidR="00302CAB">
        <w:rPr>
          <w:bCs/>
          <w:szCs w:val="26"/>
        </w:rPr>
        <w:t xml:space="preserve">maintain </w:t>
      </w:r>
      <w:r>
        <w:rPr>
          <w:bCs/>
          <w:szCs w:val="26"/>
        </w:rPr>
        <w:t xml:space="preserve">that the reliability benefit of including EACMS in the supply chain risk management Reliability Standards is outweighed by the perceived costs, these commenters do not challenge the proposition that misoperation </w:t>
      </w:r>
      <w:r w:rsidR="00134CE3">
        <w:rPr>
          <w:bCs/>
          <w:szCs w:val="26"/>
        </w:rPr>
        <w:t xml:space="preserve">or unavailability </w:t>
      </w:r>
      <w:r>
        <w:rPr>
          <w:bCs/>
          <w:szCs w:val="26"/>
        </w:rPr>
        <w:t xml:space="preserve">of EACMS has negative reliability ramifications.  For example, </w:t>
      </w:r>
      <w:r w:rsidRPr="00754256" w:rsidR="009B565E">
        <w:rPr>
          <w:bCs/>
          <w:szCs w:val="26"/>
        </w:rPr>
        <w:t>ITC</w:t>
      </w:r>
      <w:r>
        <w:rPr>
          <w:bCs/>
          <w:szCs w:val="26"/>
        </w:rPr>
        <w:t>, while opposing the NOPR directive,</w:t>
      </w:r>
      <w:r w:rsidRPr="00754256" w:rsidR="009B565E">
        <w:rPr>
          <w:bCs/>
          <w:szCs w:val="26"/>
        </w:rPr>
        <w:t xml:space="preserve"> </w:t>
      </w:r>
      <w:r>
        <w:rPr>
          <w:bCs/>
          <w:szCs w:val="26"/>
        </w:rPr>
        <w:t>recognizes that</w:t>
      </w:r>
      <w:r w:rsidRPr="00754256" w:rsidR="009B565E">
        <w:rPr>
          <w:bCs/>
          <w:szCs w:val="26"/>
        </w:rPr>
        <w:t xml:space="preserve"> misoperation of an EACMS </w:t>
      </w:r>
      <w:r>
        <w:rPr>
          <w:bCs/>
          <w:szCs w:val="26"/>
        </w:rPr>
        <w:t>is</w:t>
      </w:r>
      <w:r w:rsidRPr="00754256" w:rsidR="009B565E">
        <w:rPr>
          <w:bCs/>
          <w:szCs w:val="26"/>
        </w:rPr>
        <w:t xml:space="preserve"> </w:t>
      </w:r>
      <w:r>
        <w:rPr>
          <w:bCs/>
          <w:szCs w:val="26"/>
        </w:rPr>
        <w:t>“</w:t>
      </w:r>
      <w:r w:rsidRPr="00754256" w:rsidR="009B565E">
        <w:rPr>
          <w:bCs/>
          <w:szCs w:val="26"/>
        </w:rPr>
        <w:t>serious</w:t>
      </w:r>
      <w:r>
        <w:rPr>
          <w:bCs/>
          <w:szCs w:val="26"/>
        </w:rPr>
        <w:t>” and “</w:t>
      </w:r>
      <w:r>
        <w:t>[w]ere CIP resources infinite, it would no doubt increase BES reliability by some degree to include EACMS within this Standard.”</w:t>
      </w:r>
      <w:r>
        <w:rPr>
          <w:rStyle w:val="FootnoteReference"/>
        </w:rPr>
        <w:footnoteReference w:id="74"/>
      </w:r>
      <w:r w:rsidRPr="009B565E" w:rsidDel="004A3780">
        <w:rPr>
          <w:szCs w:val="26"/>
        </w:rPr>
        <w:t xml:space="preserve"> </w:t>
      </w:r>
    </w:p>
    <w:p w:rsidRPr="00D434C3" w:rsidR="00D434C3" w:rsidP="006B6827" w:rsidRDefault="006567F1" w14:paraId="28CB5F6A" w14:textId="6A6E553D">
      <w:pPr>
        <w:pStyle w:val="FERCparanumber"/>
        <w:tabs>
          <w:tab w:val="clear" w:pos="990"/>
          <w:tab w:val="num" w:pos="720"/>
        </w:tabs>
        <w:ind w:left="0"/>
        <w:rPr>
          <w:bCs/>
          <w:szCs w:val="26"/>
        </w:rPr>
      </w:pPr>
      <w:r>
        <w:rPr>
          <w:bCs/>
          <w:szCs w:val="26"/>
        </w:rPr>
        <w:t xml:space="preserve">We disagree with </w:t>
      </w:r>
      <w:r w:rsidR="009B565E">
        <w:rPr>
          <w:bCs/>
          <w:szCs w:val="26"/>
        </w:rPr>
        <w:t xml:space="preserve">the </w:t>
      </w:r>
      <w:r>
        <w:rPr>
          <w:bCs/>
          <w:szCs w:val="26"/>
        </w:rPr>
        <w:t>comment</w:t>
      </w:r>
      <w:r w:rsidR="00B12D4B">
        <w:rPr>
          <w:bCs/>
          <w:szCs w:val="26"/>
        </w:rPr>
        <w:t>s</w:t>
      </w:r>
      <w:r>
        <w:rPr>
          <w:bCs/>
          <w:szCs w:val="26"/>
        </w:rPr>
        <w:t xml:space="preserve"> </w:t>
      </w:r>
      <w:r w:rsidR="00D434C3">
        <w:rPr>
          <w:bCs/>
          <w:szCs w:val="26"/>
        </w:rPr>
        <w:t xml:space="preserve">asserting </w:t>
      </w:r>
      <w:r>
        <w:rPr>
          <w:bCs/>
          <w:szCs w:val="26"/>
        </w:rPr>
        <w:t xml:space="preserve">that </w:t>
      </w:r>
      <w:r w:rsidR="009B565E">
        <w:rPr>
          <w:bCs/>
          <w:szCs w:val="26"/>
        </w:rPr>
        <w:t>existing</w:t>
      </w:r>
      <w:r>
        <w:rPr>
          <w:bCs/>
          <w:szCs w:val="26"/>
        </w:rPr>
        <w:t xml:space="preserve"> CIP Reliability Standards adequately</w:t>
      </w:r>
      <w:r w:rsidRPr="00754256" w:rsidR="00754256">
        <w:rPr>
          <w:bCs/>
          <w:szCs w:val="26"/>
        </w:rPr>
        <w:t xml:space="preserve"> </w:t>
      </w:r>
      <w:r w:rsidR="00D434C3">
        <w:rPr>
          <w:bCs/>
          <w:szCs w:val="26"/>
        </w:rPr>
        <w:t xml:space="preserve">protect EACMS </w:t>
      </w:r>
      <w:r w:rsidRPr="00754256" w:rsidR="00754256">
        <w:rPr>
          <w:bCs/>
          <w:szCs w:val="26"/>
        </w:rPr>
        <w:t>against supply chain-b</w:t>
      </w:r>
      <w:r w:rsidR="00D810F9">
        <w:rPr>
          <w:bCs/>
          <w:szCs w:val="26"/>
        </w:rPr>
        <w:t>ased</w:t>
      </w:r>
      <w:r w:rsidRPr="00754256" w:rsidR="00754256">
        <w:rPr>
          <w:bCs/>
          <w:szCs w:val="26"/>
        </w:rPr>
        <w:t xml:space="preserve"> threats</w:t>
      </w:r>
      <w:r>
        <w:rPr>
          <w:bCs/>
          <w:szCs w:val="26"/>
        </w:rPr>
        <w:t xml:space="preserve">. </w:t>
      </w:r>
      <w:r w:rsidR="00D810F9">
        <w:rPr>
          <w:bCs/>
          <w:szCs w:val="26"/>
        </w:rPr>
        <w:t xml:space="preserve"> </w:t>
      </w:r>
      <w:r w:rsidRPr="00754256" w:rsidR="00754256">
        <w:rPr>
          <w:bCs/>
          <w:szCs w:val="26"/>
        </w:rPr>
        <w:t>While existing CIP Reliability Standards include requirements that</w:t>
      </w:r>
      <w:r w:rsidRPr="007B4EBA" w:rsidR="00754256">
        <w:t xml:space="preserve"> address </w:t>
      </w:r>
      <w:r w:rsidRPr="00754256" w:rsidR="00754256">
        <w:rPr>
          <w:bCs/>
          <w:szCs w:val="26"/>
        </w:rPr>
        <w:t xml:space="preserve">aspects of supply chain </w:t>
      </w:r>
      <w:r w:rsidR="00D810F9">
        <w:rPr>
          <w:bCs/>
          <w:szCs w:val="26"/>
        </w:rPr>
        <w:t xml:space="preserve">risk </w:t>
      </w:r>
      <w:r w:rsidRPr="00754256" w:rsidR="00754256">
        <w:rPr>
          <w:bCs/>
          <w:szCs w:val="26"/>
        </w:rPr>
        <w:t>management, existing Reliability Standards do not adequate</w:t>
      </w:r>
      <w:r w:rsidR="00B83EBB">
        <w:rPr>
          <w:bCs/>
          <w:szCs w:val="26"/>
        </w:rPr>
        <w:t>ly</w:t>
      </w:r>
      <w:r w:rsidRPr="00754256" w:rsidR="00754256">
        <w:rPr>
          <w:bCs/>
          <w:szCs w:val="26"/>
        </w:rPr>
        <w:t xml:space="preserve"> protect</w:t>
      </w:r>
      <w:r w:rsidR="009B565E">
        <w:rPr>
          <w:bCs/>
          <w:szCs w:val="26"/>
        </w:rPr>
        <w:t xml:space="preserve"> EACMS </w:t>
      </w:r>
      <w:r w:rsidR="00B83EBB">
        <w:rPr>
          <w:bCs/>
          <w:szCs w:val="26"/>
        </w:rPr>
        <w:t>based on</w:t>
      </w:r>
      <w:r w:rsidR="009B565E">
        <w:rPr>
          <w:bCs/>
          <w:szCs w:val="26"/>
        </w:rPr>
        <w:t xml:space="preserve"> </w:t>
      </w:r>
      <w:r w:rsidRPr="00754256" w:rsidR="00754256">
        <w:rPr>
          <w:bCs/>
          <w:szCs w:val="26"/>
        </w:rPr>
        <w:t xml:space="preserve">the four </w:t>
      </w:r>
      <w:r w:rsidR="00D810F9">
        <w:rPr>
          <w:bCs/>
          <w:szCs w:val="26"/>
        </w:rPr>
        <w:t xml:space="preserve">security </w:t>
      </w:r>
      <w:r w:rsidRPr="00754256" w:rsidR="00754256">
        <w:rPr>
          <w:bCs/>
          <w:szCs w:val="26"/>
        </w:rPr>
        <w:t xml:space="preserve">objectives </w:t>
      </w:r>
      <w:r w:rsidR="009B565E">
        <w:rPr>
          <w:bCs/>
          <w:szCs w:val="26"/>
        </w:rPr>
        <w:t xml:space="preserve">in </w:t>
      </w:r>
      <w:r w:rsidRPr="00754256" w:rsidR="00754256">
        <w:rPr>
          <w:bCs/>
          <w:szCs w:val="26"/>
        </w:rPr>
        <w:t xml:space="preserve">Order </w:t>
      </w:r>
      <w:r w:rsidR="00D810F9">
        <w:rPr>
          <w:bCs/>
          <w:szCs w:val="26"/>
        </w:rPr>
        <w:t xml:space="preserve">No. </w:t>
      </w:r>
      <w:r w:rsidRPr="00754256" w:rsidR="00754256">
        <w:rPr>
          <w:bCs/>
          <w:szCs w:val="26"/>
        </w:rPr>
        <w:t>829.</w:t>
      </w:r>
      <w:r w:rsidRPr="00754256" w:rsidR="00754256">
        <w:rPr>
          <w:b/>
          <w:bCs/>
          <w:szCs w:val="26"/>
          <w:vertAlign w:val="superscript"/>
        </w:rPr>
        <w:footnoteReference w:id="75"/>
      </w:r>
      <w:r w:rsidRPr="00754256" w:rsidR="00754256">
        <w:rPr>
          <w:bCs/>
          <w:szCs w:val="26"/>
        </w:rPr>
        <w:t xml:space="preserve"> </w:t>
      </w:r>
      <w:r w:rsidR="00D434C3">
        <w:rPr>
          <w:bCs/>
          <w:szCs w:val="26"/>
        </w:rPr>
        <w:t xml:space="preserve"> T</w:t>
      </w:r>
      <w:r w:rsidRPr="00881176" w:rsidR="00302CAB">
        <w:rPr>
          <w:bCs/>
          <w:szCs w:val="26"/>
        </w:rPr>
        <w:t>he</w:t>
      </w:r>
      <w:r w:rsidRPr="00881176" w:rsidR="00754256">
        <w:rPr>
          <w:bCs/>
          <w:szCs w:val="26"/>
        </w:rPr>
        <w:t xml:space="preserve"> CIP Re</w:t>
      </w:r>
      <w:r w:rsidRPr="00D434C3" w:rsidR="009B565E">
        <w:rPr>
          <w:bCs/>
          <w:szCs w:val="26"/>
        </w:rPr>
        <w:t>liability Standards</w:t>
      </w:r>
      <w:r w:rsidRPr="00D434C3" w:rsidR="00754256">
        <w:rPr>
          <w:bCs/>
          <w:szCs w:val="26"/>
        </w:rPr>
        <w:t xml:space="preserve"> cited by EEI</w:t>
      </w:r>
      <w:r w:rsidRPr="00D434C3" w:rsidR="00302CAB">
        <w:rPr>
          <w:bCs/>
          <w:szCs w:val="26"/>
        </w:rPr>
        <w:t>, MISO TOs</w:t>
      </w:r>
      <w:r w:rsidRPr="007B4EBA" w:rsidR="00302CAB">
        <w:t xml:space="preserve"> and </w:t>
      </w:r>
      <w:r w:rsidRPr="00D434C3" w:rsidR="00302CAB">
        <w:rPr>
          <w:bCs/>
          <w:szCs w:val="26"/>
        </w:rPr>
        <w:t>AECC</w:t>
      </w:r>
      <w:r w:rsidRPr="00D434C3" w:rsidR="00754256">
        <w:rPr>
          <w:bCs/>
          <w:szCs w:val="26"/>
        </w:rPr>
        <w:t xml:space="preserve"> address aspects of electronic access control, systems security management, and configuration monitoring,</w:t>
      </w:r>
      <w:r w:rsidR="00D434C3">
        <w:rPr>
          <w:bCs/>
          <w:szCs w:val="26"/>
        </w:rPr>
        <w:t xml:space="preserve"> but</w:t>
      </w:r>
      <w:r w:rsidRPr="00881176" w:rsidR="00754256">
        <w:rPr>
          <w:bCs/>
          <w:szCs w:val="26"/>
        </w:rPr>
        <w:t xml:space="preserve"> they do not address protection from supply chain threat</w:t>
      </w:r>
      <w:r w:rsidRPr="00D434C3" w:rsidR="00302CAB">
        <w:rPr>
          <w:bCs/>
          <w:szCs w:val="26"/>
        </w:rPr>
        <w:t xml:space="preserve">s </w:t>
      </w:r>
      <w:r w:rsidRPr="00D434C3" w:rsidR="00754256">
        <w:rPr>
          <w:bCs/>
          <w:szCs w:val="26"/>
        </w:rPr>
        <w:t>such as insertion of counterfeits</w:t>
      </w:r>
      <w:r w:rsidR="00B83EBB">
        <w:rPr>
          <w:bCs/>
          <w:szCs w:val="26"/>
        </w:rPr>
        <w:t xml:space="preserve"> or malicious software</w:t>
      </w:r>
      <w:r w:rsidRPr="00D434C3" w:rsidR="00754256">
        <w:rPr>
          <w:bCs/>
          <w:szCs w:val="26"/>
        </w:rPr>
        <w:t xml:space="preserve">, unauthorized production, tampering, </w:t>
      </w:r>
      <w:r w:rsidR="00B83EBB">
        <w:rPr>
          <w:bCs/>
          <w:szCs w:val="26"/>
        </w:rPr>
        <w:t xml:space="preserve">or </w:t>
      </w:r>
      <w:r w:rsidRPr="00D434C3" w:rsidR="00754256">
        <w:rPr>
          <w:bCs/>
          <w:szCs w:val="26"/>
        </w:rPr>
        <w:t xml:space="preserve">theft, as well as poor manufacturing and development practices.  </w:t>
      </w:r>
      <w:r w:rsidRPr="00D434C3" w:rsidR="009B565E">
        <w:rPr>
          <w:bCs/>
          <w:szCs w:val="26"/>
        </w:rPr>
        <w:t xml:space="preserve">By contrast, the supply chain risk management </w:t>
      </w:r>
      <w:r w:rsidRPr="00D434C3" w:rsidR="00754256">
        <w:rPr>
          <w:bCs/>
          <w:szCs w:val="26"/>
        </w:rPr>
        <w:t>Reliability Standards</w:t>
      </w:r>
      <w:r w:rsidRPr="00D434C3" w:rsidR="009B565E">
        <w:rPr>
          <w:bCs/>
          <w:szCs w:val="26"/>
        </w:rPr>
        <w:t xml:space="preserve"> approved in this final rule</w:t>
      </w:r>
      <w:r w:rsidRPr="00D434C3" w:rsidR="00754256">
        <w:rPr>
          <w:bCs/>
          <w:szCs w:val="26"/>
        </w:rPr>
        <w:t xml:space="preserve"> specifically address the above listed supply chain threats, </w:t>
      </w:r>
      <w:r w:rsidRPr="00D434C3" w:rsidR="009B565E">
        <w:rPr>
          <w:bCs/>
          <w:szCs w:val="26"/>
        </w:rPr>
        <w:t>and</w:t>
      </w:r>
      <w:r w:rsidRPr="00D434C3" w:rsidR="00302CAB">
        <w:rPr>
          <w:bCs/>
          <w:szCs w:val="26"/>
        </w:rPr>
        <w:t>, we determine,</w:t>
      </w:r>
      <w:r w:rsidRPr="00D434C3" w:rsidR="00754256">
        <w:rPr>
          <w:bCs/>
          <w:szCs w:val="26"/>
        </w:rPr>
        <w:t xml:space="preserve"> should be extended to </w:t>
      </w:r>
      <w:r w:rsidRPr="00D434C3" w:rsidR="00302CAB">
        <w:rPr>
          <w:bCs/>
          <w:szCs w:val="26"/>
        </w:rPr>
        <w:t xml:space="preserve">at least some subset of </w:t>
      </w:r>
      <w:r w:rsidRPr="00D434C3" w:rsidR="00754256">
        <w:rPr>
          <w:bCs/>
          <w:szCs w:val="26"/>
        </w:rPr>
        <w:t xml:space="preserve">EACMS.  </w:t>
      </w:r>
    </w:p>
    <w:p w:rsidR="00C4157A" w:rsidP="006B6827" w:rsidRDefault="00D434C3" w14:paraId="1D183A8E" w14:textId="45358605">
      <w:pPr>
        <w:pStyle w:val="FERCparanumber"/>
        <w:tabs>
          <w:tab w:val="clear" w:pos="990"/>
          <w:tab w:val="num" w:pos="720"/>
        </w:tabs>
        <w:ind w:left="0"/>
        <w:rPr>
          <w:szCs w:val="26"/>
        </w:rPr>
      </w:pPr>
      <w:r>
        <w:rPr>
          <w:szCs w:val="26"/>
        </w:rPr>
        <w:t>Specifically, the goal of the supply chain risk management Reliability Standards is “to help ensure that responsible entities establish organizationally-defined processes that integrate a cybersecurity risk management framework into the system development life cycle.”</w:t>
      </w:r>
      <w:r>
        <w:rPr>
          <w:rStyle w:val="FootnoteReference"/>
        </w:rPr>
        <w:footnoteReference w:id="76"/>
      </w:r>
      <w:r>
        <w:rPr>
          <w:szCs w:val="26"/>
        </w:rPr>
        <w:t xml:space="preserve">  The current CIP Reliability Standards identified in the comments, however, </w:t>
      </w:r>
      <w:r w:rsidR="004A056D">
        <w:rPr>
          <w:szCs w:val="26"/>
        </w:rPr>
        <w:t xml:space="preserve">    </w:t>
      </w:r>
      <w:r>
        <w:rPr>
          <w:szCs w:val="26"/>
        </w:rPr>
        <w:t xml:space="preserve">do not </w:t>
      </w:r>
      <w:r w:rsidR="006833B7">
        <w:rPr>
          <w:szCs w:val="26"/>
        </w:rPr>
        <w:t xml:space="preserve">adequately </w:t>
      </w:r>
      <w:r>
        <w:rPr>
          <w:szCs w:val="26"/>
        </w:rPr>
        <w:t>address supply chain risks.  For example, while Reliability Standard CIP-005-5 provides a level of electronic access protection for an ESP through controls applied to an Electronic Access Point associated with an EACMS, those controls would only apply after an asset is procured and deployed on a responsible entity’s system.  In this situation, the EACMS at issue could</w:t>
      </w:r>
      <w:r w:rsidRPr="00881E35">
        <w:rPr>
          <w:szCs w:val="26"/>
        </w:rPr>
        <w:t xml:space="preserve"> already contain built-in vulnerabilities making it </w:t>
      </w:r>
      <w:r>
        <w:rPr>
          <w:szCs w:val="26"/>
        </w:rPr>
        <w:t>susceptible to compromise</w:t>
      </w:r>
      <w:r w:rsidRPr="00881E35">
        <w:rPr>
          <w:szCs w:val="26"/>
        </w:rPr>
        <w:t xml:space="preserve"> or</w:t>
      </w:r>
      <w:r>
        <w:rPr>
          <w:szCs w:val="26"/>
        </w:rPr>
        <w:t xml:space="preserve">, in the worst-case scenario, could have been compromised before acquisition.  </w:t>
      </w:r>
    </w:p>
    <w:p w:rsidRPr="00B530D8" w:rsidR="00B530D8" w:rsidP="00C6538F" w:rsidRDefault="002D27E2" w14:paraId="458B1348" w14:textId="5D2A4595">
      <w:pPr>
        <w:pStyle w:val="FERCparanumber"/>
        <w:tabs>
          <w:tab w:val="clear" w:pos="990"/>
          <w:tab w:val="num" w:pos="720"/>
        </w:tabs>
        <w:ind w:left="0"/>
      </w:pPr>
      <w:r>
        <w:rPr>
          <w:bCs/>
          <w:szCs w:val="26"/>
        </w:rPr>
        <w:t xml:space="preserve">Given the </w:t>
      </w:r>
      <w:r w:rsidR="00E77732">
        <w:rPr>
          <w:bCs/>
          <w:szCs w:val="26"/>
        </w:rPr>
        <w:t xml:space="preserve">documented risks to the cyber posture of the </w:t>
      </w:r>
      <w:r w:rsidR="009B565E">
        <w:rPr>
          <w:bCs/>
          <w:szCs w:val="26"/>
        </w:rPr>
        <w:t>bulk electric system</w:t>
      </w:r>
      <w:r w:rsidR="00E77732">
        <w:rPr>
          <w:bCs/>
          <w:szCs w:val="26"/>
        </w:rPr>
        <w:t xml:space="preserve"> associated with </w:t>
      </w:r>
      <w:r>
        <w:rPr>
          <w:bCs/>
          <w:szCs w:val="26"/>
        </w:rPr>
        <w:t xml:space="preserve">EACMS, </w:t>
      </w:r>
      <w:r w:rsidR="00604E1C">
        <w:rPr>
          <w:bCs/>
          <w:szCs w:val="26"/>
        </w:rPr>
        <w:t>we are not persuaded</w:t>
      </w:r>
      <w:r>
        <w:rPr>
          <w:bCs/>
          <w:szCs w:val="26"/>
        </w:rPr>
        <w:t xml:space="preserve"> </w:t>
      </w:r>
      <w:r w:rsidR="00946B0C">
        <w:rPr>
          <w:bCs/>
          <w:szCs w:val="26"/>
        </w:rPr>
        <w:t xml:space="preserve">to await the completion of the BOT-directed final report before </w:t>
      </w:r>
      <w:r>
        <w:rPr>
          <w:bCs/>
          <w:szCs w:val="26"/>
        </w:rPr>
        <w:t xml:space="preserve">issuing a directive </w:t>
      </w:r>
      <w:r w:rsidR="00510B14">
        <w:rPr>
          <w:bCs/>
          <w:szCs w:val="26"/>
        </w:rPr>
        <w:t>regarding</w:t>
      </w:r>
      <w:r>
        <w:rPr>
          <w:bCs/>
          <w:szCs w:val="26"/>
        </w:rPr>
        <w:t xml:space="preserve"> EACMS</w:t>
      </w:r>
      <w:r w:rsidR="00946B0C">
        <w:rPr>
          <w:bCs/>
          <w:szCs w:val="26"/>
        </w:rPr>
        <w:t>.</w:t>
      </w:r>
      <w:r w:rsidR="00946B0C">
        <w:rPr>
          <w:rStyle w:val="FootnoteReference"/>
          <w:bCs/>
        </w:rPr>
        <w:footnoteReference w:id="77"/>
      </w:r>
      <w:r w:rsidR="00946B0C">
        <w:rPr>
          <w:bCs/>
          <w:szCs w:val="26"/>
        </w:rPr>
        <w:t xml:space="preserve">  Instead, </w:t>
      </w:r>
      <w:r>
        <w:rPr>
          <w:bCs/>
          <w:szCs w:val="26"/>
        </w:rPr>
        <w:t xml:space="preserve">it is reasonable to initiate modification of the </w:t>
      </w:r>
      <w:r w:rsidRPr="00890267">
        <w:t xml:space="preserve">supply chain risk management </w:t>
      </w:r>
      <w:r w:rsidRPr="00890267">
        <w:rPr>
          <w:szCs w:val="26"/>
        </w:rPr>
        <w:t>Reliability Standards</w:t>
      </w:r>
      <w:r>
        <w:rPr>
          <w:szCs w:val="26"/>
        </w:rPr>
        <w:t xml:space="preserve"> based on</w:t>
      </w:r>
      <w:r w:rsidR="00946B0C">
        <w:rPr>
          <w:bCs/>
          <w:szCs w:val="26"/>
        </w:rPr>
        <w:t xml:space="preserve"> the conclusion that at least some </w:t>
      </w:r>
      <w:r w:rsidR="00212F48">
        <w:rPr>
          <w:bCs/>
          <w:szCs w:val="26"/>
        </w:rPr>
        <w:t xml:space="preserve">categories of </w:t>
      </w:r>
      <w:r w:rsidR="00B530D8">
        <w:rPr>
          <w:bCs/>
          <w:szCs w:val="26"/>
        </w:rPr>
        <w:t>EACMS</w:t>
      </w:r>
      <w:r w:rsidR="00946B0C">
        <w:rPr>
          <w:bCs/>
          <w:szCs w:val="26"/>
        </w:rPr>
        <w:t xml:space="preserve"> should be </w:t>
      </w:r>
      <w:r>
        <w:rPr>
          <w:bCs/>
          <w:szCs w:val="26"/>
        </w:rPr>
        <w:t xml:space="preserve">included.  </w:t>
      </w:r>
      <w:r w:rsidR="00302CAB">
        <w:rPr>
          <w:szCs w:val="26"/>
        </w:rPr>
        <w:t>As discussed above</w:t>
      </w:r>
      <w:r w:rsidR="007C283A">
        <w:rPr>
          <w:szCs w:val="26"/>
        </w:rPr>
        <w:t xml:space="preserve">, we are convinced </w:t>
      </w:r>
      <w:r w:rsidR="0076160A">
        <w:rPr>
          <w:szCs w:val="26"/>
        </w:rPr>
        <w:t>that EACMS in general are a known risk that should be protected under the supply chain</w:t>
      </w:r>
      <w:r w:rsidR="009B565E">
        <w:rPr>
          <w:szCs w:val="26"/>
        </w:rPr>
        <w:t xml:space="preserve"> risk management Reliability S</w:t>
      </w:r>
      <w:r w:rsidR="0076160A">
        <w:rPr>
          <w:szCs w:val="26"/>
        </w:rPr>
        <w:t xml:space="preserve">tandards.  But we leave it to the standard drafting team to assess the various types of EACMS and their associated levels of risk.  We are confident </w:t>
      </w:r>
      <w:r w:rsidR="007C283A">
        <w:rPr>
          <w:szCs w:val="26"/>
        </w:rPr>
        <w:t>that the standard drafting team</w:t>
      </w:r>
      <w:r w:rsidR="004B0175">
        <w:rPr>
          <w:szCs w:val="26"/>
        </w:rPr>
        <w:t xml:space="preserve"> </w:t>
      </w:r>
      <w:r w:rsidR="007C283A">
        <w:rPr>
          <w:szCs w:val="26"/>
        </w:rPr>
        <w:t xml:space="preserve">will be able to develop modifications that include only those EACMS whose compromise </w:t>
      </w:r>
      <w:r w:rsidR="00303E91">
        <w:rPr>
          <w:szCs w:val="26"/>
        </w:rPr>
        <w:t xml:space="preserve">by way of the cybersecurity supply chain </w:t>
      </w:r>
      <w:r w:rsidR="007C283A">
        <w:rPr>
          <w:szCs w:val="26"/>
        </w:rPr>
        <w:t xml:space="preserve">can affect the reliable operation of high and medium impact BES Cyber Systems. </w:t>
      </w:r>
      <w:r w:rsidR="00D7778E">
        <w:rPr>
          <w:szCs w:val="26"/>
        </w:rPr>
        <w:t xml:space="preserve"> </w:t>
      </w:r>
      <w:r w:rsidR="008E6EB7">
        <w:rPr>
          <w:bCs/>
          <w:szCs w:val="26"/>
        </w:rPr>
        <w:t xml:space="preserve">While it will no doubt inform the standard drafting team’s work, the BOT-directed final report is not, </w:t>
      </w:r>
      <w:r w:rsidRPr="007B4EBA" w:rsidR="008E6EB7">
        <w:t xml:space="preserve">in </w:t>
      </w:r>
      <w:r w:rsidR="008E6EB7">
        <w:rPr>
          <w:bCs/>
          <w:szCs w:val="26"/>
        </w:rPr>
        <w:t>our view, likely to alter the conclusion</w:t>
      </w:r>
      <w:r w:rsidRPr="007B4EBA" w:rsidR="008E6EB7">
        <w:t xml:space="preserve"> that </w:t>
      </w:r>
      <w:r w:rsidRPr="007B4EBA" w:rsidR="00302CAB">
        <w:t xml:space="preserve">at </w:t>
      </w:r>
      <w:r w:rsidR="00302CAB">
        <w:rPr>
          <w:bCs/>
          <w:szCs w:val="26"/>
        </w:rPr>
        <w:t>least</w:t>
      </w:r>
      <w:r w:rsidRPr="007B4EBA" w:rsidR="00302CAB">
        <w:t xml:space="preserve"> some </w:t>
      </w:r>
      <w:r w:rsidR="008E6EB7">
        <w:rPr>
          <w:bCs/>
          <w:szCs w:val="26"/>
        </w:rPr>
        <w:t>EACMS functions should be included</w:t>
      </w:r>
      <w:r w:rsidRPr="007B4EBA" w:rsidR="008E6EB7">
        <w:t xml:space="preserve"> in </w:t>
      </w:r>
      <w:r w:rsidR="008E6EB7">
        <w:rPr>
          <w:bCs/>
          <w:szCs w:val="26"/>
        </w:rPr>
        <w:t>the supply chain risk management Reliability Standards.</w:t>
      </w:r>
      <w:r w:rsidR="00302CAB">
        <w:rPr>
          <w:rStyle w:val="FootnoteReference"/>
          <w:bCs/>
        </w:rPr>
        <w:footnoteReference w:id="78"/>
      </w:r>
      <w:r w:rsidRPr="00303E91" w:rsidR="00303E91">
        <w:rPr>
          <w:bCs/>
          <w:szCs w:val="26"/>
        </w:rPr>
        <w:t xml:space="preserve">  </w:t>
      </w:r>
      <w:r w:rsidRPr="00303E91" w:rsidDel="004A3780" w:rsidR="00303E91">
        <w:rPr>
          <w:bCs/>
          <w:szCs w:val="26"/>
        </w:rPr>
        <w:t xml:space="preserve"> </w:t>
      </w:r>
    </w:p>
    <w:p w:rsidRPr="00B530D8" w:rsidR="00B530D8" w:rsidP="00881176" w:rsidRDefault="00AE4063" w14:paraId="036F85C1" w14:textId="5DFF02C2">
      <w:pPr>
        <w:pStyle w:val="FERCparanumber"/>
        <w:tabs>
          <w:tab w:val="clear" w:pos="990"/>
          <w:tab w:val="num" w:pos="720"/>
        </w:tabs>
        <w:ind w:left="0"/>
      </w:pPr>
      <w:r>
        <w:rPr>
          <w:szCs w:val="26"/>
        </w:rPr>
        <w:t>The</w:t>
      </w:r>
      <w:r w:rsidR="00B530D8">
        <w:rPr>
          <w:szCs w:val="26"/>
        </w:rPr>
        <w:t xml:space="preserve"> record </w:t>
      </w:r>
      <w:r w:rsidR="006912BE">
        <w:rPr>
          <w:szCs w:val="26"/>
        </w:rPr>
        <w:t xml:space="preserve">does not support delaying a directive </w:t>
      </w:r>
      <w:r w:rsidR="00B530D8">
        <w:rPr>
          <w:szCs w:val="26"/>
        </w:rPr>
        <w:t>to</w:t>
      </w:r>
      <w:r w:rsidR="006912BE">
        <w:rPr>
          <w:szCs w:val="26"/>
        </w:rPr>
        <w:t xml:space="preserve"> modify the CIP Reliability Standards to</w:t>
      </w:r>
      <w:r w:rsidR="00B530D8">
        <w:rPr>
          <w:szCs w:val="26"/>
        </w:rPr>
        <w:t xml:space="preserve"> include EACMS</w:t>
      </w:r>
      <w:r w:rsidR="00984348">
        <w:rPr>
          <w:szCs w:val="26"/>
        </w:rPr>
        <w:t>.</w:t>
      </w:r>
      <w:r w:rsidR="00984348">
        <w:rPr>
          <w:bCs/>
          <w:szCs w:val="26"/>
        </w:rPr>
        <w:t xml:space="preserve">  While commenters opposing the NOPR proposal </w:t>
      </w:r>
      <w:r>
        <w:rPr>
          <w:bCs/>
          <w:szCs w:val="26"/>
        </w:rPr>
        <w:t xml:space="preserve">contend </w:t>
      </w:r>
      <w:r w:rsidR="00984348">
        <w:rPr>
          <w:bCs/>
          <w:szCs w:val="26"/>
        </w:rPr>
        <w:t xml:space="preserve">that the Commission should not act until NERC </w:t>
      </w:r>
      <w:r w:rsidR="00E74E5D">
        <w:rPr>
          <w:bCs/>
          <w:szCs w:val="26"/>
        </w:rPr>
        <w:t>has</w:t>
      </w:r>
      <w:r w:rsidR="00984348">
        <w:rPr>
          <w:bCs/>
          <w:szCs w:val="26"/>
        </w:rPr>
        <w:t xml:space="preserve"> the results of the BOT-directed </w:t>
      </w:r>
      <w:r w:rsidR="00E74E5D">
        <w:rPr>
          <w:bCs/>
          <w:szCs w:val="26"/>
        </w:rPr>
        <w:t>final report</w:t>
      </w:r>
      <w:r w:rsidR="00984348">
        <w:rPr>
          <w:bCs/>
          <w:szCs w:val="26"/>
        </w:rPr>
        <w:t xml:space="preserve">, </w:t>
      </w:r>
      <w:r w:rsidR="00E53FA6">
        <w:rPr>
          <w:bCs/>
          <w:szCs w:val="26"/>
        </w:rPr>
        <w:t>we note that</w:t>
      </w:r>
      <w:r>
        <w:rPr>
          <w:bCs/>
          <w:szCs w:val="26"/>
        </w:rPr>
        <w:t xml:space="preserve">:  (1) </w:t>
      </w:r>
      <w:r w:rsidR="00E53FA6">
        <w:rPr>
          <w:bCs/>
          <w:szCs w:val="26"/>
        </w:rPr>
        <w:t xml:space="preserve">NERC will have 24 months </w:t>
      </w:r>
      <w:r w:rsidR="00112164">
        <w:rPr>
          <w:bCs/>
          <w:szCs w:val="26"/>
        </w:rPr>
        <w:t xml:space="preserve">from the effective date of this final rule to develop and submit the </w:t>
      </w:r>
      <w:r>
        <w:rPr>
          <w:bCs/>
          <w:szCs w:val="26"/>
        </w:rPr>
        <w:t>modified Reliability Standards</w:t>
      </w:r>
      <w:r w:rsidR="004B4D65">
        <w:rPr>
          <w:bCs/>
          <w:szCs w:val="26"/>
        </w:rPr>
        <w:t>;</w:t>
      </w:r>
      <w:r>
        <w:rPr>
          <w:bCs/>
          <w:szCs w:val="26"/>
        </w:rPr>
        <w:t xml:space="preserve"> and (2)</w:t>
      </w:r>
      <w:r w:rsidR="00E10779">
        <w:rPr>
          <w:bCs/>
          <w:szCs w:val="26"/>
        </w:rPr>
        <w:t xml:space="preserve"> the BOT</w:t>
      </w:r>
      <w:r>
        <w:rPr>
          <w:bCs/>
          <w:szCs w:val="26"/>
        </w:rPr>
        <w:t>-directed final</w:t>
      </w:r>
      <w:r w:rsidR="00E10779">
        <w:rPr>
          <w:bCs/>
          <w:szCs w:val="26"/>
        </w:rPr>
        <w:t xml:space="preserve"> report is due in </w:t>
      </w:r>
      <w:r w:rsidR="00510B14">
        <w:rPr>
          <w:bCs/>
          <w:szCs w:val="26"/>
        </w:rPr>
        <w:t xml:space="preserve">the near term (i.e., </w:t>
      </w:r>
      <w:r w:rsidR="00E10779">
        <w:rPr>
          <w:bCs/>
          <w:szCs w:val="26"/>
        </w:rPr>
        <w:t>February 2019</w:t>
      </w:r>
      <w:r w:rsidR="00510B14">
        <w:rPr>
          <w:bCs/>
          <w:szCs w:val="26"/>
        </w:rPr>
        <w:t>)</w:t>
      </w:r>
      <w:r w:rsidR="00E10779">
        <w:rPr>
          <w:bCs/>
          <w:szCs w:val="26"/>
        </w:rPr>
        <w:t>.</w:t>
      </w:r>
      <w:r>
        <w:rPr>
          <w:bCs/>
          <w:szCs w:val="26"/>
        </w:rPr>
        <w:t xml:space="preserve">  </w:t>
      </w:r>
      <w:r w:rsidR="004B4D65">
        <w:rPr>
          <w:bCs/>
          <w:szCs w:val="26"/>
        </w:rPr>
        <w:t>N</w:t>
      </w:r>
      <w:r w:rsidR="00510B14">
        <w:rPr>
          <w:bCs/>
          <w:szCs w:val="26"/>
        </w:rPr>
        <w:t>othing</w:t>
      </w:r>
      <w:r w:rsidR="004B4D65">
        <w:rPr>
          <w:bCs/>
          <w:szCs w:val="26"/>
        </w:rPr>
        <w:t xml:space="preserve"> in our directive</w:t>
      </w:r>
      <w:r w:rsidR="00510B14">
        <w:rPr>
          <w:bCs/>
          <w:szCs w:val="26"/>
        </w:rPr>
        <w:t xml:space="preserve"> prevents the</w:t>
      </w:r>
      <w:r w:rsidR="00E74E5D">
        <w:rPr>
          <w:bCs/>
          <w:szCs w:val="26"/>
        </w:rPr>
        <w:t xml:space="preserve"> standard drafting team </w:t>
      </w:r>
      <w:r w:rsidR="00510B14">
        <w:rPr>
          <w:bCs/>
          <w:szCs w:val="26"/>
        </w:rPr>
        <w:t>from</w:t>
      </w:r>
      <w:r>
        <w:rPr>
          <w:bCs/>
          <w:szCs w:val="26"/>
        </w:rPr>
        <w:t xml:space="preserve"> </w:t>
      </w:r>
      <w:r w:rsidR="004B4D65">
        <w:rPr>
          <w:bCs/>
          <w:szCs w:val="26"/>
        </w:rPr>
        <w:t>using</w:t>
      </w:r>
      <w:r>
        <w:rPr>
          <w:bCs/>
          <w:szCs w:val="26"/>
        </w:rPr>
        <w:t xml:space="preserve"> the findings </w:t>
      </w:r>
      <w:r w:rsidR="00510B14">
        <w:rPr>
          <w:bCs/>
          <w:szCs w:val="26"/>
        </w:rPr>
        <w:t>in</w:t>
      </w:r>
      <w:r>
        <w:rPr>
          <w:bCs/>
          <w:szCs w:val="26"/>
        </w:rPr>
        <w:t xml:space="preserve"> the </w:t>
      </w:r>
      <w:r w:rsidR="00D434C3">
        <w:rPr>
          <w:bCs/>
          <w:szCs w:val="26"/>
        </w:rPr>
        <w:t xml:space="preserve">BOT-directed </w:t>
      </w:r>
      <w:r>
        <w:rPr>
          <w:bCs/>
          <w:szCs w:val="26"/>
        </w:rPr>
        <w:t>final report</w:t>
      </w:r>
      <w:r w:rsidR="00552CB8">
        <w:rPr>
          <w:bCs/>
          <w:szCs w:val="26"/>
        </w:rPr>
        <w:t xml:space="preserve"> to refine its understanding of which types of EACMS functions present the greatest risk and are worthy of inclusion in the supply chain</w:t>
      </w:r>
      <w:r w:rsidR="00D434C3">
        <w:rPr>
          <w:bCs/>
          <w:szCs w:val="26"/>
        </w:rPr>
        <w:t xml:space="preserve"> risk management Reliability</w:t>
      </w:r>
      <w:r w:rsidR="00552CB8">
        <w:rPr>
          <w:bCs/>
          <w:szCs w:val="26"/>
        </w:rPr>
        <w:t xml:space="preserve"> </w:t>
      </w:r>
      <w:r w:rsidR="00D434C3">
        <w:rPr>
          <w:bCs/>
          <w:szCs w:val="26"/>
        </w:rPr>
        <w:t>S</w:t>
      </w:r>
      <w:r w:rsidR="00552CB8">
        <w:rPr>
          <w:bCs/>
          <w:szCs w:val="26"/>
        </w:rPr>
        <w:t>tandards</w:t>
      </w:r>
      <w:r>
        <w:rPr>
          <w:bCs/>
          <w:szCs w:val="26"/>
        </w:rPr>
        <w:t xml:space="preserve">.  </w:t>
      </w:r>
      <w:r w:rsidR="004B4D65">
        <w:rPr>
          <w:bCs/>
          <w:szCs w:val="26"/>
        </w:rPr>
        <w:t>Indeed</w:t>
      </w:r>
      <w:r>
        <w:rPr>
          <w:bCs/>
          <w:szCs w:val="26"/>
        </w:rPr>
        <w:t>,</w:t>
      </w:r>
      <w:r w:rsidR="00984348">
        <w:rPr>
          <w:bCs/>
          <w:szCs w:val="26"/>
        </w:rPr>
        <w:t xml:space="preserve"> </w:t>
      </w:r>
      <w:r w:rsidR="00D434C3">
        <w:rPr>
          <w:bCs/>
          <w:szCs w:val="26"/>
        </w:rPr>
        <w:t xml:space="preserve">as discussed below, </w:t>
      </w:r>
      <w:r w:rsidR="00E74E5D">
        <w:rPr>
          <w:bCs/>
          <w:szCs w:val="26"/>
        </w:rPr>
        <w:t xml:space="preserve">in view of the BOT-directed study and the Commission’s guidance, </w:t>
      </w:r>
      <w:r w:rsidR="00B530D8">
        <w:rPr>
          <w:bCs/>
          <w:szCs w:val="26"/>
        </w:rPr>
        <w:t>th</w:t>
      </w:r>
      <w:r>
        <w:rPr>
          <w:bCs/>
          <w:szCs w:val="26"/>
        </w:rPr>
        <w:t>e</w:t>
      </w:r>
      <w:r w:rsidR="00B530D8">
        <w:rPr>
          <w:bCs/>
          <w:szCs w:val="26"/>
        </w:rPr>
        <w:t xml:space="preserve"> standard drafting team </w:t>
      </w:r>
      <w:r w:rsidR="00E74E5D">
        <w:rPr>
          <w:bCs/>
          <w:szCs w:val="26"/>
        </w:rPr>
        <w:t>could modify</w:t>
      </w:r>
      <w:r w:rsidR="00B530D8">
        <w:rPr>
          <w:bCs/>
          <w:szCs w:val="26"/>
        </w:rPr>
        <w:t xml:space="preserve"> the supply chain risk management Reliability Standards </w:t>
      </w:r>
      <w:r w:rsidR="00510B14">
        <w:rPr>
          <w:bCs/>
          <w:szCs w:val="26"/>
        </w:rPr>
        <w:t>to include</w:t>
      </w:r>
      <w:r w:rsidR="00B530D8">
        <w:rPr>
          <w:bCs/>
          <w:szCs w:val="26"/>
        </w:rPr>
        <w:t xml:space="preserve"> an appropriate subset of EACMS functions</w:t>
      </w:r>
      <w:r w:rsidR="004B4D65">
        <w:rPr>
          <w:bCs/>
          <w:szCs w:val="26"/>
        </w:rPr>
        <w:t xml:space="preserve"> similar to the approach in Order No. 848</w:t>
      </w:r>
      <w:r w:rsidR="00B530D8">
        <w:rPr>
          <w:bCs/>
          <w:szCs w:val="26"/>
        </w:rPr>
        <w:t>.</w:t>
      </w:r>
      <w:r w:rsidRPr="009F4609" w:rsidR="00B530D8">
        <w:rPr>
          <w:rStyle w:val="FootnoteReference"/>
        </w:rPr>
        <w:footnoteReference w:id="79"/>
      </w:r>
      <w:r w:rsidR="00B530D8">
        <w:rPr>
          <w:bCs/>
          <w:szCs w:val="26"/>
        </w:rPr>
        <w:t xml:space="preserve">  </w:t>
      </w:r>
    </w:p>
    <w:p w:rsidRPr="00B530D8" w:rsidR="00B530D8" w:rsidP="00C12FA0" w:rsidRDefault="00DA2EDE" w14:paraId="686AF35C" w14:textId="2784D46D">
      <w:pPr>
        <w:pStyle w:val="FERCparanumber"/>
        <w:tabs>
          <w:tab w:val="clear" w:pos="990"/>
          <w:tab w:val="num" w:pos="720"/>
        </w:tabs>
        <w:ind w:left="0"/>
      </w:pPr>
      <w:r>
        <w:rPr>
          <w:bCs/>
          <w:szCs w:val="26"/>
        </w:rPr>
        <w:t>As we have indicated above, i</w:t>
      </w:r>
      <w:r w:rsidR="00C834E4">
        <w:rPr>
          <w:bCs/>
          <w:szCs w:val="26"/>
        </w:rPr>
        <w:t>ncluding EACMS within the scope of</w:t>
      </w:r>
      <w:r w:rsidR="00B530D8">
        <w:rPr>
          <w:bCs/>
          <w:szCs w:val="26"/>
        </w:rPr>
        <w:t xml:space="preserve"> the supply chain risk management Reliab</w:t>
      </w:r>
      <w:r w:rsidR="00C834E4">
        <w:rPr>
          <w:bCs/>
          <w:szCs w:val="26"/>
        </w:rPr>
        <w:t>ility Standards</w:t>
      </w:r>
      <w:r w:rsidR="00B530D8">
        <w:rPr>
          <w:bCs/>
          <w:szCs w:val="26"/>
        </w:rPr>
        <w:t xml:space="preserve"> is consistent with the approach in Order </w:t>
      </w:r>
      <w:r w:rsidR="00686D2F">
        <w:rPr>
          <w:bCs/>
          <w:szCs w:val="26"/>
        </w:rPr>
        <w:t xml:space="preserve"> </w:t>
      </w:r>
      <w:r w:rsidR="00B530D8">
        <w:rPr>
          <w:bCs/>
          <w:szCs w:val="26"/>
        </w:rPr>
        <w:t>No. 848 regarding cybersecurity</w:t>
      </w:r>
      <w:r w:rsidR="000C714D">
        <w:rPr>
          <w:bCs/>
          <w:szCs w:val="26"/>
        </w:rPr>
        <w:t xml:space="preserve"> incident</w:t>
      </w:r>
      <w:r w:rsidR="00B530D8">
        <w:rPr>
          <w:bCs/>
          <w:szCs w:val="26"/>
        </w:rPr>
        <w:t xml:space="preserve"> reporting.  In Order No. 848, the Commission</w:t>
      </w:r>
      <w:r w:rsidR="00B530D8">
        <w:rPr>
          <w:szCs w:val="26"/>
        </w:rPr>
        <w:t xml:space="preserve"> determined that EACMS</w:t>
      </w:r>
      <w:r w:rsidR="00B530D8">
        <w:rPr>
          <w:bCs/>
          <w:szCs w:val="26"/>
        </w:rPr>
        <w:t xml:space="preserve"> that perform certain functions are </w:t>
      </w:r>
      <w:r w:rsidR="00394710">
        <w:rPr>
          <w:bCs/>
          <w:szCs w:val="26"/>
        </w:rPr>
        <w:t xml:space="preserve">significant </w:t>
      </w:r>
      <w:r w:rsidR="00755FAB">
        <w:rPr>
          <w:bCs/>
          <w:szCs w:val="26"/>
        </w:rPr>
        <w:t xml:space="preserve">to bulk electric </w:t>
      </w:r>
      <w:r w:rsidR="00D57E9C">
        <w:rPr>
          <w:bCs/>
          <w:szCs w:val="26"/>
        </w:rPr>
        <w:t xml:space="preserve">system </w:t>
      </w:r>
      <w:r w:rsidR="00755FAB">
        <w:rPr>
          <w:bCs/>
          <w:szCs w:val="26"/>
        </w:rPr>
        <w:t xml:space="preserve">reliability </w:t>
      </w:r>
      <w:r w:rsidR="00394710">
        <w:rPr>
          <w:bCs/>
          <w:szCs w:val="26"/>
        </w:rPr>
        <w:t xml:space="preserve">so as </w:t>
      </w:r>
      <w:r w:rsidR="00B530D8">
        <w:rPr>
          <w:bCs/>
          <w:szCs w:val="26"/>
        </w:rPr>
        <w:t xml:space="preserve">to </w:t>
      </w:r>
      <w:r w:rsidR="00755FAB">
        <w:rPr>
          <w:bCs/>
          <w:szCs w:val="26"/>
        </w:rPr>
        <w:t>justify</w:t>
      </w:r>
      <w:r>
        <w:rPr>
          <w:bCs/>
          <w:szCs w:val="26"/>
        </w:rPr>
        <w:t xml:space="preserve"> their</w:t>
      </w:r>
      <w:r w:rsidR="00755FAB">
        <w:rPr>
          <w:bCs/>
          <w:szCs w:val="26"/>
        </w:rPr>
        <w:t xml:space="preserve"> being </w:t>
      </w:r>
      <w:r>
        <w:rPr>
          <w:bCs/>
          <w:szCs w:val="26"/>
        </w:rPr>
        <w:t>with</w:t>
      </w:r>
      <w:r w:rsidR="00755FAB">
        <w:rPr>
          <w:bCs/>
          <w:szCs w:val="26"/>
        </w:rPr>
        <w:t>in</w:t>
      </w:r>
      <w:r w:rsidR="00B530D8">
        <w:rPr>
          <w:bCs/>
          <w:szCs w:val="26"/>
        </w:rPr>
        <w:t xml:space="preserve"> the scope of</w:t>
      </w:r>
      <w:r w:rsidR="002B3F4C">
        <w:rPr>
          <w:bCs/>
          <w:szCs w:val="26"/>
        </w:rPr>
        <w:t xml:space="preserve"> the cyber</w:t>
      </w:r>
      <w:r w:rsidR="00B530D8">
        <w:rPr>
          <w:bCs/>
          <w:szCs w:val="26"/>
        </w:rPr>
        <w:t>security incident reporting Reliability Standards</w:t>
      </w:r>
      <w:r w:rsidR="00B530D8">
        <w:rPr>
          <w:szCs w:val="26"/>
        </w:rPr>
        <w:t xml:space="preserve">.  Specifically, </w:t>
      </w:r>
      <w:r w:rsidR="00465271">
        <w:rPr>
          <w:bCs/>
          <w:szCs w:val="26"/>
        </w:rPr>
        <w:t>Order No. 848</w:t>
      </w:r>
      <w:r w:rsidR="00B530D8">
        <w:rPr>
          <w:szCs w:val="26"/>
        </w:rPr>
        <w:t xml:space="preserve"> addressed the identification of EACMS that should be subject to mandatory reporting requirements:</w:t>
      </w:r>
    </w:p>
    <w:p w:rsidRPr="00B530D8" w:rsidR="00B530D8" w:rsidP="00C12FA0" w:rsidRDefault="00B530D8" w14:paraId="6A06FDBD" w14:textId="0D1E65C3">
      <w:pPr>
        <w:pStyle w:val="FERCparanumber"/>
        <w:numPr>
          <w:ilvl w:val="0"/>
          <w:numId w:val="0"/>
        </w:numPr>
        <w:spacing w:after="160" w:line="240" w:lineRule="auto"/>
        <w:ind w:left="1440" w:right="1440"/>
        <w:rPr>
          <w:b/>
          <w:bCs/>
          <w:position w:val="10"/>
          <w:sz w:val="18"/>
          <w:szCs w:val="18"/>
        </w:rPr>
      </w:pPr>
      <w:r w:rsidRPr="009F4609">
        <w:t xml:space="preserve">With regard to identifying EACMS for reporting purposes, NERC’s reporting threshold should encompass the functions that various electronic access control and monitoring technologies provide. </w:t>
      </w:r>
      <w:r w:rsidR="006C3F91">
        <w:t xml:space="preserve"> </w:t>
      </w:r>
      <w:r w:rsidRPr="009F4609">
        <w:t xml:space="preserve">Those functions must include, at a minimum: </w:t>
      </w:r>
      <w:r w:rsidR="00686D2F">
        <w:t xml:space="preserve"> </w:t>
      </w:r>
      <w:r w:rsidRPr="009F4609">
        <w:t xml:space="preserve">(1) authentication; (2) monitoring and logging; </w:t>
      </w:r>
      <w:r w:rsidR="00686D2F">
        <w:t xml:space="preserve"> </w:t>
      </w:r>
      <w:r w:rsidRPr="009F4609">
        <w:t>(3) access control; (4) interactive remote access; and (5) alerting.</w:t>
      </w:r>
      <w:r w:rsidRPr="009F4609">
        <w:rPr>
          <w:rStyle w:val="FootnoteReference"/>
        </w:rPr>
        <w:footnoteReference w:id="80"/>
      </w:r>
      <w:r w:rsidRPr="009F4609">
        <w:rPr>
          <w:b/>
          <w:bCs/>
          <w:position w:val="10"/>
          <w:sz w:val="18"/>
          <w:szCs w:val="18"/>
        </w:rPr>
        <w:t xml:space="preserve"> </w:t>
      </w:r>
    </w:p>
    <w:p w:rsidRPr="00B530D8" w:rsidR="00B530D8" w:rsidP="00D34EBB" w:rsidRDefault="00D434C3" w14:paraId="29413C63" w14:textId="77777777">
      <w:pPr>
        <w:pStyle w:val="FERCparanumber"/>
        <w:ind w:left="90"/>
      </w:pPr>
      <w:r>
        <w:t>As with cybersecurity incident reporting</w:t>
      </w:r>
      <w:r w:rsidR="00B530D8">
        <w:t>, in th</w:t>
      </w:r>
      <w:r w:rsidR="00394710">
        <w:t xml:space="preserve">e </w:t>
      </w:r>
      <w:r w:rsidR="00B530D8">
        <w:t>context</w:t>
      </w:r>
      <w:r w:rsidR="00394710">
        <w:t xml:space="preserve"> of this proceeding</w:t>
      </w:r>
      <w:r w:rsidR="00B530D8">
        <w:t>, if</w:t>
      </w:r>
      <w:r w:rsidR="006575CD">
        <w:t>, for example,</w:t>
      </w:r>
      <w:r w:rsidR="00B530D8">
        <w:t xml:space="preserve"> a vulnerability in the supply chain for EACMS is found, </w:t>
      </w:r>
      <w:r w:rsidR="00302CAB">
        <w:t xml:space="preserve">we </w:t>
      </w:r>
      <w:r w:rsidR="006575CD">
        <w:t>determine</w:t>
      </w:r>
      <w:r w:rsidR="00302CAB">
        <w:t xml:space="preserve"> that </w:t>
      </w:r>
      <w:r w:rsidR="00B530D8">
        <w:t>responsible entities</w:t>
      </w:r>
      <w:r w:rsidR="008A44A6">
        <w:t xml:space="preserve"> should</w:t>
      </w:r>
      <w:r w:rsidR="00B530D8">
        <w:t xml:space="preserve"> have processes in place to be notified of such vulnerabilities </w:t>
      </w:r>
      <w:r w:rsidRPr="00A07FAA" w:rsidR="00B530D8">
        <w:t>by the vendor, as required by Reliability Standard CIP-013-1, Requirement R1.2.4.</w:t>
      </w:r>
      <w:r w:rsidRPr="00A07FAA" w:rsidR="00B530D8">
        <w:rPr>
          <w:bCs/>
        </w:rPr>
        <w:t xml:space="preserve">  </w:t>
      </w:r>
      <w:r w:rsidR="006567F1">
        <w:rPr>
          <w:bCs/>
        </w:rPr>
        <w:t>W</w:t>
      </w:r>
      <w:r w:rsidR="00465271">
        <w:rPr>
          <w:bCs/>
        </w:rPr>
        <w:t>e recognize that including</w:t>
      </w:r>
      <w:r w:rsidRPr="00A07FAA" w:rsidR="00B530D8">
        <w:rPr>
          <w:bCs/>
        </w:rPr>
        <w:t xml:space="preserve"> EACMS within the scope of the supply chain risk management Reliability Standards will </w:t>
      </w:r>
      <w:r w:rsidR="00DB64F7">
        <w:rPr>
          <w:bCs/>
        </w:rPr>
        <w:t>impose a burden</w:t>
      </w:r>
      <w:r w:rsidRPr="00A07FAA" w:rsidR="00B530D8">
        <w:rPr>
          <w:bCs/>
        </w:rPr>
        <w:t xml:space="preserve"> on responsible entities</w:t>
      </w:r>
      <w:r w:rsidR="00465271">
        <w:rPr>
          <w:bCs/>
        </w:rPr>
        <w:t>.  Nonetheless, the</w:t>
      </w:r>
      <w:r w:rsidRPr="00A07FAA" w:rsidR="00B530D8">
        <w:rPr>
          <w:bCs/>
        </w:rPr>
        <w:t xml:space="preserve"> burden </w:t>
      </w:r>
      <w:r w:rsidR="00C678DA">
        <w:rPr>
          <w:bCs/>
        </w:rPr>
        <w:t xml:space="preserve">of possible </w:t>
      </w:r>
      <w:r w:rsidRPr="00C678DA" w:rsidR="00C678DA">
        <w:rPr>
          <w:bCs/>
          <w:szCs w:val="26"/>
        </w:rPr>
        <w:t>procurement inefficiencies or resource constraints</w:t>
      </w:r>
      <w:r w:rsidR="00C678DA">
        <w:rPr>
          <w:bCs/>
          <w:szCs w:val="26"/>
        </w:rPr>
        <w:t xml:space="preserve"> </w:t>
      </w:r>
      <w:r w:rsidRPr="00A07FAA" w:rsidR="00B530D8">
        <w:rPr>
          <w:bCs/>
        </w:rPr>
        <w:t xml:space="preserve">must be weighed against the </w:t>
      </w:r>
      <w:r w:rsidR="00465271">
        <w:rPr>
          <w:bCs/>
        </w:rPr>
        <w:t xml:space="preserve">significant </w:t>
      </w:r>
      <w:r w:rsidR="008A44A6">
        <w:rPr>
          <w:bCs/>
        </w:rPr>
        <w:t>risk</w:t>
      </w:r>
      <w:r w:rsidR="00D57E9C">
        <w:rPr>
          <w:bCs/>
        </w:rPr>
        <w:t xml:space="preserve"> </w:t>
      </w:r>
      <w:r w:rsidR="00465271">
        <w:rPr>
          <w:bCs/>
        </w:rPr>
        <w:t xml:space="preserve">of a </w:t>
      </w:r>
      <w:r w:rsidR="00D57E9C">
        <w:rPr>
          <w:bCs/>
        </w:rPr>
        <w:t xml:space="preserve">cyber </w:t>
      </w:r>
      <w:r w:rsidRPr="00A07FAA" w:rsidR="00B530D8">
        <w:rPr>
          <w:bCs/>
        </w:rPr>
        <w:t xml:space="preserve">incident </w:t>
      </w:r>
      <w:r w:rsidR="00465271">
        <w:rPr>
          <w:bCs/>
        </w:rPr>
        <w:t xml:space="preserve">resulting from </w:t>
      </w:r>
      <w:r w:rsidRPr="00A07FAA" w:rsidR="00B530D8">
        <w:rPr>
          <w:bCs/>
        </w:rPr>
        <w:t>unmitigated supply chain vulnerabilities.</w:t>
      </w:r>
      <w:r w:rsidRPr="00BF6F8C" w:rsidR="00394710">
        <w:rPr>
          <w:rStyle w:val="FootnoteReference"/>
          <w:bCs/>
        </w:rPr>
        <w:footnoteReference w:id="81"/>
      </w:r>
    </w:p>
    <w:p w:rsidRPr="00B530D8" w:rsidR="00B530D8" w:rsidP="00C6538F" w:rsidRDefault="00302CAB" w14:paraId="46B67E0D" w14:textId="77777777">
      <w:pPr>
        <w:pStyle w:val="FERCparanumber"/>
        <w:tabs>
          <w:tab w:val="clear" w:pos="990"/>
          <w:tab w:val="num" w:pos="720"/>
        </w:tabs>
        <w:ind w:left="0"/>
      </w:pPr>
      <w:r>
        <w:rPr>
          <w:bCs/>
          <w:szCs w:val="26"/>
        </w:rPr>
        <w:t>It is also important to consider that in Order No. 848</w:t>
      </w:r>
      <w:r w:rsidR="00B530D8">
        <w:rPr>
          <w:bCs/>
          <w:szCs w:val="26"/>
        </w:rPr>
        <w:t xml:space="preserve"> the Commission</w:t>
      </w:r>
      <w:r w:rsidR="00394710">
        <w:rPr>
          <w:bCs/>
          <w:szCs w:val="26"/>
        </w:rPr>
        <w:t xml:space="preserve"> determined</w:t>
      </w:r>
      <w:r w:rsidR="00B530D8">
        <w:rPr>
          <w:bCs/>
          <w:szCs w:val="26"/>
        </w:rPr>
        <w:t xml:space="preserve"> that the </w:t>
      </w:r>
      <w:r w:rsidR="00394710">
        <w:rPr>
          <w:bCs/>
          <w:szCs w:val="26"/>
        </w:rPr>
        <w:t xml:space="preserve">modified </w:t>
      </w:r>
      <w:r w:rsidR="00B530D8">
        <w:rPr>
          <w:bCs/>
          <w:szCs w:val="26"/>
        </w:rPr>
        <w:t xml:space="preserve">reporting </w:t>
      </w:r>
      <w:r w:rsidR="00394710">
        <w:rPr>
          <w:bCs/>
          <w:szCs w:val="26"/>
        </w:rPr>
        <w:t>Reliability S</w:t>
      </w:r>
      <w:r w:rsidR="00B530D8">
        <w:rPr>
          <w:bCs/>
          <w:szCs w:val="26"/>
        </w:rPr>
        <w:t>tandard need not include all EACMS as currently defined and</w:t>
      </w:r>
      <w:r w:rsidR="00394710">
        <w:rPr>
          <w:bCs/>
          <w:szCs w:val="26"/>
        </w:rPr>
        <w:t>, instead,</w:t>
      </w:r>
      <w:r w:rsidR="00B530D8">
        <w:rPr>
          <w:bCs/>
          <w:szCs w:val="26"/>
        </w:rPr>
        <w:t xml:space="preserve"> the standard drafting team may analyze the matter to determine an appropriate subset of EACMS for reporting purposes.</w:t>
      </w:r>
      <w:r w:rsidRPr="00BC66C9" w:rsidR="00B530D8">
        <w:rPr>
          <w:rStyle w:val="FootnoteReference"/>
          <w:bCs/>
        </w:rPr>
        <w:footnoteReference w:id="82"/>
      </w:r>
      <w:r w:rsidR="00B530D8">
        <w:rPr>
          <w:bCs/>
          <w:szCs w:val="26"/>
        </w:rPr>
        <w:t xml:space="preserve">  </w:t>
      </w:r>
      <w:r w:rsidR="00394710">
        <w:rPr>
          <w:bCs/>
          <w:szCs w:val="26"/>
        </w:rPr>
        <w:t xml:space="preserve">Likewise, the standard drafting team that is formed in response to </w:t>
      </w:r>
      <w:r w:rsidR="00465271">
        <w:rPr>
          <w:bCs/>
          <w:szCs w:val="26"/>
        </w:rPr>
        <w:t>our</w:t>
      </w:r>
      <w:r w:rsidR="00394710">
        <w:rPr>
          <w:bCs/>
          <w:szCs w:val="26"/>
        </w:rPr>
        <w:t xml:space="preserve"> </w:t>
      </w:r>
      <w:r w:rsidR="006575CD">
        <w:rPr>
          <w:bCs/>
          <w:szCs w:val="26"/>
        </w:rPr>
        <w:t xml:space="preserve">present </w:t>
      </w:r>
      <w:r w:rsidR="00394710">
        <w:rPr>
          <w:bCs/>
          <w:szCs w:val="26"/>
        </w:rPr>
        <w:t xml:space="preserve">directive </w:t>
      </w:r>
      <w:r>
        <w:rPr>
          <w:bCs/>
          <w:szCs w:val="26"/>
        </w:rPr>
        <w:t xml:space="preserve">may </w:t>
      </w:r>
      <w:r w:rsidR="006575CD">
        <w:rPr>
          <w:bCs/>
          <w:szCs w:val="26"/>
        </w:rPr>
        <w:t>determine, based on</w:t>
      </w:r>
      <w:r w:rsidR="00B530D8">
        <w:rPr>
          <w:bCs/>
          <w:szCs w:val="26"/>
        </w:rPr>
        <w:t xml:space="preserve"> the work done in response to Order No. 848</w:t>
      </w:r>
      <w:r w:rsidR="00BD3125">
        <w:rPr>
          <w:bCs/>
          <w:szCs w:val="26"/>
        </w:rPr>
        <w:t xml:space="preserve"> as well as the results of the BOT-directed </w:t>
      </w:r>
      <w:r w:rsidR="00465271">
        <w:rPr>
          <w:bCs/>
          <w:szCs w:val="26"/>
        </w:rPr>
        <w:t>study</w:t>
      </w:r>
      <w:r w:rsidR="00BD3125">
        <w:rPr>
          <w:bCs/>
          <w:szCs w:val="26"/>
        </w:rPr>
        <w:t>,</w:t>
      </w:r>
      <w:r w:rsidR="00B530D8">
        <w:rPr>
          <w:bCs/>
          <w:szCs w:val="26"/>
        </w:rPr>
        <w:t xml:space="preserve"> </w:t>
      </w:r>
      <w:r w:rsidR="00D434C3">
        <w:rPr>
          <w:bCs/>
          <w:szCs w:val="26"/>
        </w:rPr>
        <w:t xml:space="preserve">what </w:t>
      </w:r>
      <w:r w:rsidR="00B530D8">
        <w:rPr>
          <w:bCs/>
          <w:szCs w:val="26"/>
        </w:rPr>
        <w:t>EACMS functions are most important to the reliable operation of the Bulk-Power System</w:t>
      </w:r>
      <w:r w:rsidR="00D434C3">
        <w:rPr>
          <w:bCs/>
          <w:szCs w:val="26"/>
        </w:rPr>
        <w:t xml:space="preserve"> and </w:t>
      </w:r>
      <w:r w:rsidR="006575CD">
        <w:rPr>
          <w:bCs/>
          <w:szCs w:val="26"/>
        </w:rPr>
        <w:t>therefore</w:t>
      </w:r>
      <w:r w:rsidR="000C714D">
        <w:rPr>
          <w:bCs/>
          <w:szCs w:val="26"/>
        </w:rPr>
        <w:t xml:space="preserve"> should</w:t>
      </w:r>
      <w:r w:rsidR="00D434C3">
        <w:rPr>
          <w:bCs/>
          <w:szCs w:val="26"/>
        </w:rPr>
        <w:t xml:space="preserve"> be included in the supply chain risk management Reliability Standards</w:t>
      </w:r>
      <w:r w:rsidR="00B530D8">
        <w:rPr>
          <w:bCs/>
          <w:szCs w:val="26"/>
        </w:rPr>
        <w:t>.</w:t>
      </w:r>
      <w:r w:rsidR="00D434C3">
        <w:rPr>
          <w:bCs/>
          <w:szCs w:val="26"/>
        </w:rPr>
        <w:t xml:space="preserve"> </w:t>
      </w:r>
      <w:r w:rsidR="00B530D8">
        <w:rPr>
          <w:bCs/>
          <w:szCs w:val="26"/>
        </w:rPr>
        <w:t xml:space="preserve"> </w:t>
      </w:r>
    </w:p>
    <w:p w:rsidRPr="00B530D8" w:rsidR="00B530D8" w:rsidP="00C6538F" w:rsidRDefault="00394710" w14:paraId="620E9BA0" w14:textId="77777777">
      <w:pPr>
        <w:pStyle w:val="FERCparanumber"/>
        <w:tabs>
          <w:tab w:val="clear" w:pos="990"/>
          <w:tab w:val="num" w:pos="720"/>
        </w:tabs>
        <w:ind w:left="0"/>
      </w:pPr>
      <w:r>
        <w:rPr>
          <w:szCs w:val="26"/>
        </w:rPr>
        <w:t xml:space="preserve">We find the remaining </w:t>
      </w:r>
      <w:r w:rsidR="00B530D8">
        <w:rPr>
          <w:szCs w:val="26"/>
        </w:rPr>
        <w:t xml:space="preserve">objections </w:t>
      </w:r>
      <w:r>
        <w:rPr>
          <w:szCs w:val="26"/>
        </w:rPr>
        <w:t xml:space="preserve">to </w:t>
      </w:r>
      <w:r w:rsidR="00465271">
        <w:rPr>
          <w:szCs w:val="26"/>
        </w:rPr>
        <w:t>our</w:t>
      </w:r>
      <w:r>
        <w:rPr>
          <w:szCs w:val="26"/>
        </w:rPr>
        <w:t xml:space="preserve"> directive </w:t>
      </w:r>
      <w:r w:rsidR="00B530D8">
        <w:rPr>
          <w:szCs w:val="26"/>
        </w:rPr>
        <w:t>unpersuasive.  BES Cyber Systems rely on EACMS to enable and secure the communications capability that the</w:t>
      </w:r>
      <w:r w:rsidR="0027337F">
        <w:rPr>
          <w:szCs w:val="26"/>
        </w:rPr>
        <w:t>se</w:t>
      </w:r>
      <w:r w:rsidR="00B530D8">
        <w:rPr>
          <w:szCs w:val="26"/>
        </w:rPr>
        <w:t xml:space="preserve"> systems depend on to control their assigned portion of the bulk electric system.  Commenters opposing the NOPR </w:t>
      </w:r>
      <w:r>
        <w:rPr>
          <w:szCs w:val="26"/>
        </w:rPr>
        <w:t xml:space="preserve">directive </w:t>
      </w:r>
      <w:r w:rsidR="00B530D8">
        <w:rPr>
          <w:szCs w:val="26"/>
        </w:rPr>
        <w:t xml:space="preserve">fail to provide </w:t>
      </w:r>
      <w:r w:rsidR="00DB64F7">
        <w:rPr>
          <w:szCs w:val="26"/>
        </w:rPr>
        <w:t xml:space="preserve">convincing </w:t>
      </w:r>
      <w:r w:rsidR="00B530D8">
        <w:rPr>
          <w:szCs w:val="26"/>
        </w:rPr>
        <w:t xml:space="preserve">examples of why EACMS </w:t>
      </w:r>
      <w:r w:rsidRPr="00B5242F" w:rsidR="00B530D8">
        <w:rPr>
          <w:szCs w:val="26"/>
        </w:rPr>
        <w:t xml:space="preserve">should not </w:t>
      </w:r>
      <w:r w:rsidR="00DC1A14">
        <w:rPr>
          <w:szCs w:val="26"/>
        </w:rPr>
        <w:t>receive</w:t>
      </w:r>
      <w:r w:rsidRPr="00B5242F" w:rsidR="00B530D8">
        <w:rPr>
          <w:szCs w:val="26"/>
        </w:rPr>
        <w:t xml:space="preserve"> the same level</w:t>
      </w:r>
      <w:r w:rsidR="00DC1A14">
        <w:rPr>
          <w:szCs w:val="26"/>
        </w:rPr>
        <w:t xml:space="preserve"> of protection</w:t>
      </w:r>
      <w:r w:rsidRPr="00B5242F" w:rsidR="00B530D8">
        <w:rPr>
          <w:szCs w:val="26"/>
        </w:rPr>
        <w:t xml:space="preserve"> as</w:t>
      </w:r>
      <w:r w:rsidR="00B530D8">
        <w:rPr>
          <w:szCs w:val="26"/>
        </w:rPr>
        <w:t xml:space="preserve"> the BES Cyber Systems with which they are associated.  In addition, contrary to EEI’s assertion that the “likelihood of compromise” is unclear, ample evidence exists that supply chain vulnerabilities are an active issue for vendors, who</w:t>
      </w:r>
      <w:r w:rsidR="00DB64F7">
        <w:rPr>
          <w:szCs w:val="26"/>
        </w:rPr>
        <w:t>m</w:t>
      </w:r>
      <w:r w:rsidR="00B530D8">
        <w:rPr>
          <w:szCs w:val="26"/>
        </w:rPr>
        <w:t xml:space="preserve"> </w:t>
      </w:r>
      <w:r w:rsidR="00DC1A14">
        <w:rPr>
          <w:szCs w:val="26"/>
        </w:rPr>
        <w:t xml:space="preserve">malicious parties </w:t>
      </w:r>
      <w:r>
        <w:rPr>
          <w:szCs w:val="26"/>
        </w:rPr>
        <w:t xml:space="preserve">have </w:t>
      </w:r>
      <w:r w:rsidR="00B530D8">
        <w:rPr>
          <w:szCs w:val="26"/>
        </w:rPr>
        <w:t>intentionally targeted.</w:t>
      </w:r>
      <w:r>
        <w:rPr>
          <w:rStyle w:val="FootnoteReference"/>
        </w:rPr>
        <w:footnoteReference w:id="83"/>
      </w:r>
      <w:r>
        <w:rPr>
          <w:szCs w:val="26"/>
        </w:rPr>
        <w:t xml:space="preserve">  </w:t>
      </w:r>
      <w:r w:rsidR="00DB64F7">
        <w:rPr>
          <w:szCs w:val="26"/>
        </w:rPr>
        <w:t>By contrast</w:t>
      </w:r>
      <w:r w:rsidR="00B530D8">
        <w:rPr>
          <w:szCs w:val="26"/>
        </w:rPr>
        <w:t xml:space="preserve">, commenters supporting the NOPR </w:t>
      </w:r>
      <w:r>
        <w:rPr>
          <w:szCs w:val="26"/>
        </w:rPr>
        <w:t xml:space="preserve">directive </w:t>
      </w:r>
      <w:r w:rsidR="00B530D8">
        <w:rPr>
          <w:szCs w:val="26"/>
        </w:rPr>
        <w:t>provided examples where notable vendors of EACMS functions announced vulnerabilities, specifically in firewall firmware.</w:t>
      </w:r>
      <w:r w:rsidR="00B530D8">
        <w:rPr>
          <w:rStyle w:val="FootnoteReference"/>
        </w:rPr>
        <w:footnoteReference w:id="84"/>
      </w:r>
      <w:r w:rsidR="00B530D8">
        <w:rPr>
          <w:szCs w:val="26"/>
        </w:rPr>
        <w:t xml:space="preserve">  </w:t>
      </w:r>
      <w:r w:rsidR="00207D92">
        <w:rPr>
          <w:szCs w:val="26"/>
        </w:rPr>
        <w:t>Reliability Standard</w:t>
      </w:r>
      <w:r w:rsidR="00B530D8">
        <w:rPr>
          <w:szCs w:val="26"/>
        </w:rPr>
        <w:t xml:space="preserve"> CIP-013-1</w:t>
      </w:r>
      <w:r w:rsidR="00207D92">
        <w:rPr>
          <w:szCs w:val="26"/>
        </w:rPr>
        <w:t>,</w:t>
      </w:r>
      <w:r w:rsidR="00B530D8">
        <w:rPr>
          <w:szCs w:val="26"/>
        </w:rPr>
        <w:t xml:space="preserve"> Requirement R1</w:t>
      </w:r>
      <w:r w:rsidR="00207D92">
        <w:rPr>
          <w:szCs w:val="26"/>
        </w:rPr>
        <w:t>,</w:t>
      </w:r>
      <w:r w:rsidR="00B530D8">
        <w:rPr>
          <w:szCs w:val="26"/>
        </w:rPr>
        <w:t xml:space="preserve"> Part 1.2.1, </w:t>
      </w:r>
      <w:r w:rsidR="00207D92">
        <w:rPr>
          <w:szCs w:val="26"/>
        </w:rPr>
        <w:t>when</w:t>
      </w:r>
      <w:r w:rsidR="00B530D8">
        <w:rPr>
          <w:szCs w:val="26"/>
        </w:rPr>
        <w:t xml:space="preserve"> applied to certain EACMS functions, w</w:t>
      </w:r>
      <w:r w:rsidR="00207D92">
        <w:rPr>
          <w:szCs w:val="26"/>
        </w:rPr>
        <w:t>ill</w:t>
      </w:r>
      <w:r w:rsidR="00B530D8">
        <w:rPr>
          <w:szCs w:val="26"/>
        </w:rPr>
        <w:t xml:space="preserve"> require that responsible entities have processes to require notification by the vendor of the discovery of such vulnerabilities</w:t>
      </w:r>
      <w:r w:rsidR="00207D92">
        <w:rPr>
          <w:szCs w:val="26"/>
        </w:rPr>
        <w:t>, representing a clear enhancement of the protections provided by the CIP Reliability Standards</w:t>
      </w:r>
      <w:r w:rsidR="00B530D8">
        <w:rPr>
          <w:szCs w:val="26"/>
        </w:rPr>
        <w:t xml:space="preserve">. </w:t>
      </w:r>
    </w:p>
    <w:p w:rsidRPr="00B530D8" w:rsidR="00B530D8" w:rsidP="002319BA" w:rsidRDefault="00B530D8" w14:paraId="65754055" w14:textId="77777777">
      <w:pPr>
        <w:pStyle w:val="FERCparanumber"/>
        <w:tabs>
          <w:tab w:val="clear" w:pos="990"/>
          <w:tab w:val="num" w:pos="720"/>
        </w:tabs>
        <w:ind w:left="0"/>
      </w:pPr>
      <w:r>
        <w:rPr>
          <w:szCs w:val="26"/>
        </w:rPr>
        <w:t xml:space="preserve">Although some commenters </w:t>
      </w:r>
      <w:r w:rsidR="00394710">
        <w:rPr>
          <w:szCs w:val="26"/>
        </w:rPr>
        <w:t xml:space="preserve">question </w:t>
      </w:r>
      <w:r>
        <w:rPr>
          <w:szCs w:val="26"/>
        </w:rPr>
        <w:t xml:space="preserve">the importance of the EACMS monitoring function, </w:t>
      </w:r>
      <w:r w:rsidR="00612BE2">
        <w:rPr>
          <w:szCs w:val="26"/>
        </w:rPr>
        <w:t xml:space="preserve">we note that </w:t>
      </w:r>
      <w:r>
        <w:rPr>
          <w:szCs w:val="26"/>
        </w:rPr>
        <w:t>these systems work in concert with access control systems to alert of possible intrusion.</w:t>
      </w:r>
      <w:r w:rsidR="00394710">
        <w:rPr>
          <w:rStyle w:val="FootnoteReference"/>
        </w:rPr>
        <w:footnoteReference w:id="85"/>
      </w:r>
      <w:r>
        <w:rPr>
          <w:szCs w:val="26"/>
        </w:rPr>
        <w:t xml:space="preserve">  Standard monitoring systems such as intrusion detection systems </w:t>
      </w:r>
      <w:r w:rsidRPr="008E491D">
        <w:rPr>
          <w:szCs w:val="26"/>
        </w:rPr>
        <w:t xml:space="preserve">are </w:t>
      </w:r>
      <w:r>
        <w:rPr>
          <w:szCs w:val="26"/>
        </w:rPr>
        <w:t xml:space="preserve">an essential component </w:t>
      </w:r>
      <w:r w:rsidRPr="008E491D">
        <w:rPr>
          <w:szCs w:val="26"/>
        </w:rPr>
        <w:t xml:space="preserve">designed to recognize suspicious activity </w:t>
      </w:r>
      <w:r>
        <w:rPr>
          <w:szCs w:val="26"/>
        </w:rPr>
        <w:t xml:space="preserve">and collect data used for incident reporting.  A compromised intrusion detection system may provide </w:t>
      </w:r>
      <w:r w:rsidRPr="008E491D">
        <w:rPr>
          <w:szCs w:val="26"/>
        </w:rPr>
        <w:t xml:space="preserve">false information </w:t>
      </w:r>
      <w:r w:rsidR="00BD4484">
        <w:rPr>
          <w:szCs w:val="26"/>
        </w:rPr>
        <w:t xml:space="preserve">and </w:t>
      </w:r>
      <w:r>
        <w:rPr>
          <w:szCs w:val="26"/>
        </w:rPr>
        <w:t xml:space="preserve">generate </w:t>
      </w:r>
      <w:r w:rsidRPr="008E491D">
        <w:rPr>
          <w:szCs w:val="26"/>
        </w:rPr>
        <w:t>false alarms</w:t>
      </w:r>
      <w:r w:rsidRPr="00AE1A3D">
        <w:rPr>
          <w:szCs w:val="26"/>
        </w:rPr>
        <w:t>.  Indeed</w:t>
      </w:r>
      <w:r w:rsidRPr="008E491D">
        <w:rPr>
          <w:szCs w:val="26"/>
        </w:rPr>
        <w:t xml:space="preserve">, </w:t>
      </w:r>
      <w:r>
        <w:rPr>
          <w:szCs w:val="26"/>
        </w:rPr>
        <w:t xml:space="preserve">a compromised intrusion detection system may not only negate the value of the </w:t>
      </w:r>
      <w:r w:rsidR="00BD4484">
        <w:rPr>
          <w:szCs w:val="26"/>
        </w:rPr>
        <w:t xml:space="preserve">reported </w:t>
      </w:r>
      <w:r>
        <w:rPr>
          <w:szCs w:val="26"/>
        </w:rPr>
        <w:t>information</w:t>
      </w:r>
      <w:r w:rsidRPr="008E491D">
        <w:rPr>
          <w:szCs w:val="26"/>
        </w:rPr>
        <w:t xml:space="preserve">, but </w:t>
      </w:r>
      <w:r>
        <w:rPr>
          <w:szCs w:val="26"/>
        </w:rPr>
        <w:t xml:space="preserve">could also </w:t>
      </w:r>
      <w:r w:rsidRPr="008E491D">
        <w:rPr>
          <w:szCs w:val="26"/>
        </w:rPr>
        <w:t xml:space="preserve">potentially </w:t>
      </w:r>
      <w:r>
        <w:rPr>
          <w:szCs w:val="26"/>
        </w:rPr>
        <w:t xml:space="preserve">provide </w:t>
      </w:r>
      <w:r w:rsidRPr="008E491D">
        <w:rPr>
          <w:szCs w:val="26"/>
        </w:rPr>
        <w:t>misleading</w:t>
      </w:r>
      <w:r>
        <w:rPr>
          <w:szCs w:val="26"/>
        </w:rPr>
        <w:t xml:space="preserve"> information.  </w:t>
      </w:r>
      <w:r w:rsidR="002319BA">
        <w:rPr>
          <w:szCs w:val="26"/>
        </w:rPr>
        <w:t>V</w:t>
      </w:r>
      <w:r w:rsidRPr="002319BA">
        <w:rPr>
          <w:szCs w:val="26"/>
        </w:rPr>
        <w:t>arious intrusion detection system modules collect user logs, provide audit trails and indicate whether suspicious activity is malicious or normal.  An attacker</w:t>
      </w:r>
      <w:r w:rsidR="00612BE2">
        <w:rPr>
          <w:szCs w:val="26"/>
        </w:rPr>
        <w:t xml:space="preserve"> </w:t>
      </w:r>
      <w:r w:rsidRPr="002319BA">
        <w:rPr>
          <w:szCs w:val="26"/>
        </w:rPr>
        <w:t xml:space="preserve">could change the various settings, removing or inserting false information.  A compromised intrusion detection system may also allow the attacker to </w:t>
      </w:r>
      <w:r w:rsidR="00612BE2">
        <w:rPr>
          <w:szCs w:val="26"/>
        </w:rPr>
        <w:t>manipulate</w:t>
      </w:r>
      <w:r w:rsidRPr="002319BA" w:rsidR="00612BE2">
        <w:rPr>
          <w:szCs w:val="26"/>
        </w:rPr>
        <w:t xml:space="preserve"> </w:t>
      </w:r>
      <w:r w:rsidRPr="002319BA">
        <w:rPr>
          <w:szCs w:val="26"/>
        </w:rPr>
        <w:t xml:space="preserve">the system </w:t>
      </w:r>
      <w:r w:rsidRPr="002319BA" w:rsidR="00BD4484">
        <w:rPr>
          <w:szCs w:val="26"/>
        </w:rPr>
        <w:t xml:space="preserve">continuously </w:t>
      </w:r>
      <w:r w:rsidRPr="002319BA">
        <w:rPr>
          <w:szCs w:val="26"/>
        </w:rPr>
        <w:t>without generating an alarm.  In addition, an attacker may alter the compromised system such that it will deny legitimate activity and accept malicious activity.</w:t>
      </w:r>
      <w:r w:rsidRPr="00962D36">
        <w:rPr>
          <w:rStyle w:val="FootnoteReference"/>
        </w:rPr>
        <w:footnoteReference w:id="86"/>
      </w:r>
      <w:r w:rsidRPr="002319BA">
        <w:rPr>
          <w:szCs w:val="26"/>
        </w:rPr>
        <w:t xml:space="preserve">  </w:t>
      </w:r>
    </w:p>
    <w:p w:rsidRPr="000311B5" w:rsidR="000F46DB" w:rsidP="00686D2F" w:rsidRDefault="000F46DB" w14:paraId="5E31FCB4" w14:textId="62328F87">
      <w:pPr>
        <w:pStyle w:val="FERCparanumber"/>
        <w:tabs>
          <w:tab w:val="clear" w:pos="990"/>
          <w:tab w:val="num" w:pos="720"/>
        </w:tabs>
        <w:ind w:left="0"/>
      </w:pPr>
      <w:r>
        <w:t xml:space="preserve">For the reasons discussed above, we adopt the NOPR proposal and, </w:t>
      </w:r>
      <w:r w:rsidRPr="00890267">
        <w:t xml:space="preserve">pursuant </w:t>
      </w:r>
      <w:r w:rsidR="00686D2F">
        <w:t xml:space="preserve">       </w:t>
      </w:r>
      <w:r w:rsidRPr="00890267">
        <w:t xml:space="preserve">to section 215(d)(5) of the FPA, direct NERC to develop modifications to the CIP Reliability Standards to include EACMS associated with medium and high impact BES Cyber Systems within the scope of the supply chain risk management </w:t>
      </w:r>
      <w:r w:rsidRPr="00890267">
        <w:rPr>
          <w:szCs w:val="26"/>
        </w:rPr>
        <w:t>Reliability Standards</w:t>
      </w:r>
      <w:r>
        <w:rPr>
          <w:szCs w:val="26"/>
        </w:rPr>
        <w:t>.</w:t>
      </w:r>
      <w:r>
        <w:t xml:space="preserve">  </w:t>
      </w:r>
      <w:r w:rsidR="00E53FA6">
        <w:t>W</w:t>
      </w:r>
      <w:r w:rsidR="004A3313">
        <w:t xml:space="preserve">e direct NERC to submit the directed modifications within </w:t>
      </w:r>
      <w:r w:rsidR="00112164">
        <w:t>24</w:t>
      </w:r>
      <w:r w:rsidR="004A3313">
        <w:t xml:space="preserve"> months of the effective date of this </w:t>
      </w:r>
      <w:r w:rsidR="00E53FA6">
        <w:t>f</w:t>
      </w:r>
      <w:r w:rsidR="004A3313">
        <w:t xml:space="preserve">inal </w:t>
      </w:r>
      <w:r w:rsidR="00E53FA6">
        <w:t>r</w:t>
      </w:r>
      <w:r w:rsidR="004A3313">
        <w:t xml:space="preserve">ule.  </w:t>
      </w:r>
    </w:p>
    <w:p w:rsidRPr="008416B3" w:rsidR="008416B3" w:rsidP="00015B6A" w:rsidRDefault="007E6268" w14:paraId="3EB880F3" w14:textId="77777777">
      <w:pPr>
        <w:pStyle w:val="Heading2"/>
      </w:pPr>
      <w:r>
        <w:t xml:space="preserve">Study of PACS and PCAs in the </w:t>
      </w:r>
      <w:r w:rsidR="003A485B">
        <w:t>BOT-</w:t>
      </w:r>
      <w:r w:rsidR="00514783">
        <w:t>Directed</w:t>
      </w:r>
      <w:r w:rsidR="003A485B">
        <w:t xml:space="preserve"> </w:t>
      </w:r>
      <w:r w:rsidR="002B3F4C">
        <w:t>Cybers</w:t>
      </w:r>
      <w:r w:rsidR="00514783">
        <w:t>ecurity Supply Chain Risk</w:t>
      </w:r>
      <w:r w:rsidR="0076772C">
        <w:t xml:space="preserve"> Study</w:t>
      </w:r>
    </w:p>
    <w:p w:rsidRPr="00A20E3F" w:rsidR="00A20E3F" w:rsidP="00D34EBB" w:rsidRDefault="00504398" w14:paraId="4737B1E9" w14:textId="77777777">
      <w:pPr>
        <w:pStyle w:val="FERCparanumber"/>
        <w:keepNext/>
        <w:numPr>
          <w:ilvl w:val="0"/>
          <w:numId w:val="0"/>
        </w:numPr>
        <w:ind w:left="720" w:firstLine="720"/>
        <w:rPr>
          <w:b/>
        </w:rPr>
      </w:pPr>
      <w:r>
        <w:rPr>
          <w:b/>
        </w:rPr>
        <w:t>1.</w:t>
      </w:r>
      <w:r>
        <w:rPr>
          <w:b/>
        </w:rPr>
        <w:tab/>
      </w:r>
      <w:r w:rsidRPr="00504398" w:rsidR="00A20E3F">
        <w:rPr>
          <w:b/>
          <w:u w:val="single"/>
        </w:rPr>
        <w:t>NOPR</w:t>
      </w:r>
      <w:r w:rsidR="00A20E3F">
        <w:rPr>
          <w:b/>
        </w:rPr>
        <w:tab/>
      </w:r>
    </w:p>
    <w:p w:rsidR="00344039" w:rsidP="00A20E3F" w:rsidRDefault="00DB64F7" w14:paraId="3EB103FF" w14:textId="77777777">
      <w:pPr>
        <w:pStyle w:val="FERCparanumber"/>
        <w:tabs>
          <w:tab w:val="clear" w:pos="990"/>
          <w:tab w:val="num" w:pos="720"/>
        </w:tabs>
        <w:ind w:left="0"/>
      </w:pPr>
      <w:r>
        <w:t>The NOPR</w:t>
      </w:r>
      <w:r w:rsidR="00A20E3F">
        <w:t xml:space="preserve"> stated that it would be</w:t>
      </w:r>
      <w:r w:rsidR="00014CF9">
        <w:t xml:space="preserve"> appropriate to await the </w:t>
      </w:r>
      <w:r w:rsidR="002B3156">
        <w:t>findings</w:t>
      </w:r>
      <w:r w:rsidR="00014CF9">
        <w:t xml:space="preserve"> </w:t>
      </w:r>
      <w:r w:rsidR="00344039">
        <w:t>from</w:t>
      </w:r>
      <w:r w:rsidR="002B3156">
        <w:t xml:space="preserve"> the</w:t>
      </w:r>
      <w:r w:rsidR="00344039">
        <w:t xml:space="preserve"> </w:t>
      </w:r>
      <w:r w:rsidR="00014CF9">
        <w:t>BOT-</w:t>
      </w:r>
      <w:r w:rsidR="000A4951">
        <w:t xml:space="preserve">directed </w:t>
      </w:r>
      <w:r w:rsidR="002B3F4C">
        <w:t>study on cyber</w:t>
      </w:r>
      <w:r w:rsidR="00344039">
        <w:t xml:space="preserve">security supply chain risks </w:t>
      </w:r>
      <w:r w:rsidR="00014CF9">
        <w:t xml:space="preserve">before </w:t>
      </w:r>
      <w:r w:rsidR="00344039">
        <w:t>considering</w:t>
      </w:r>
      <w:r w:rsidR="00014CF9">
        <w:t xml:space="preserve"> whether low impact BES Cyber System</w:t>
      </w:r>
      <w:r w:rsidRPr="00DF0134" w:rsidR="00525919">
        <w:t>s</w:t>
      </w:r>
      <w:r w:rsidR="00014CF9">
        <w:t xml:space="preserve"> should be addressed in the</w:t>
      </w:r>
      <w:r w:rsidRPr="00014CF9" w:rsidR="00014CF9">
        <w:t xml:space="preserve"> </w:t>
      </w:r>
      <w:r w:rsidR="00014CF9">
        <w:rPr>
          <w:szCs w:val="26"/>
        </w:rPr>
        <w:t>supply chain risk m</w:t>
      </w:r>
      <w:r w:rsidRPr="00014CF9" w:rsidR="00014CF9">
        <w:rPr>
          <w:szCs w:val="26"/>
        </w:rPr>
        <w:t>anagement Reliability Standards</w:t>
      </w:r>
      <w:r w:rsidR="00014CF9">
        <w:t xml:space="preserve">.  </w:t>
      </w:r>
      <w:r w:rsidR="002D19D8">
        <w:t xml:space="preserve">The </w:t>
      </w:r>
      <w:r>
        <w:t xml:space="preserve">NOPR </w:t>
      </w:r>
      <w:r w:rsidR="002D19D8">
        <w:t>explained</w:t>
      </w:r>
      <w:r w:rsidR="00014CF9">
        <w:t xml:space="preserve"> that </w:t>
      </w:r>
      <w:r w:rsidR="00657468">
        <w:t xml:space="preserve">the </w:t>
      </w:r>
      <w:r w:rsidR="00014CF9">
        <w:t xml:space="preserve">BOT resolutions </w:t>
      </w:r>
      <w:r w:rsidR="000F77F0">
        <w:t>stated</w:t>
      </w:r>
      <w:r w:rsidR="00014CF9">
        <w:t xml:space="preserve"> that the BOT-</w:t>
      </w:r>
      <w:r>
        <w:t xml:space="preserve">directed </w:t>
      </w:r>
      <w:r w:rsidR="00014CF9">
        <w:t xml:space="preserve">study should examine the risks posed by </w:t>
      </w:r>
      <w:r w:rsidR="002B3156">
        <w:t>low impact BES Cyber Systems</w:t>
      </w:r>
      <w:r w:rsidR="009E2659">
        <w:t>,</w:t>
      </w:r>
      <w:r w:rsidR="00657468">
        <w:t xml:space="preserve"> but</w:t>
      </w:r>
      <w:r w:rsidR="009E2659">
        <w:t xml:space="preserve"> the BOT resolu</w:t>
      </w:r>
      <w:r w:rsidR="002B3156">
        <w:t xml:space="preserve">tions did not identify </w:t>
      </w:r>
      <w:r w:rsidR="00014CF9">
        <w:t>PACS and PCAs</w:t>
      </w:r>
      <w:r w:rsidR="00651A5F">
        <w:t xml:space="preserve"> </w:t>
      </w:r>
      <w:r w:rsidRPr="00DF0134" w:rsidR="00525919">
        <w:t>as subjects of the study</w:t>
      </w:r>
      <w:r w:rsidR="002B3156">
        <w:t xml:space="preserve">.  </w:t>
      </w:r>
      <w:r w:rsidR="00A20E3F">
        <w:t xml:space="preserve">The </w:t>
      </w:r>
      <w:r>
        <w:t xml:space="preserve">NOPR </w:t>
      </w:r>
      <w:r w:rsidR="00A20E3F">
        <w:t xml:space="preserve">noted, however, that </w:t>
      </w:r>
      <w:r w:rsidR="00344039">
        <w:t xml:space="preserve">NERC’s petition suggests that NERC will </w:t>
      </w:r>
      <w:r w:rsidR="00657468">
        <w:t>evaluate</w:t>
      </w:r>
      <w:r w:rsidR="00344039">
        <w:t xml:space="preserve"> </w:t>
      </w:r>
      <w:r w:rsidR="002B3156">
        <w:t>PACS and PCAs</w:t>
      </w:r>
      <w:r w:rsidR="00344039">
        <w:t xml:space="preserve"> as part of the BOT-</w:t>
      </w:r>
      <w:r w:rsidR="000A4951">
        <w:t>directed</w:t>
      </w:r>
      <w:r w:rsidR="00344039">
        <w:t xml:space="preserve"> study.</w:t>
      </w:r>
      <w:r w:rsidR="00344039">
        <w:rPr>
          <w:rStyle w:val="FootnoteReference"/>
        </w:rPr>
        <w:footnoteReference w:id="87"/>
      </w:r>
      <w:r w:rsidR="00344039">
        <w:t xml:space="preserve"> </w:t>
      </w:r>
    </w:p>
    <w:p w:rsidR="006453CF" w:rsidP="00344039" w:rsidRDefault="00657468" w14:paraId="27F32B00" w14:textId="77777777">
      <w:pPr>
        <w:pStyle w:val="FERCparanumber"/>
        <w:tabs>
          <w:tab w:val="clear" w:pos="990"/>
          <w:tab w:val="num" w:pos="720"/>
        </w:tabs>
        <w:ind w:left="0"/>
      </w:pPr>
      <w:r>
        <w:t>T</w:t>
      </w:r>
      <w:r w:rsidR="00360FB2">
        <w:t>he NOPR</w:t>
      </w:r>
      <w:r w:rsidR="00344039">
        <w:t xml:space="preserve"> propose</w:t>
      </w:r>
      <w:r w:rsidR="00360FB2">
        <w:t>d</w:t>
      </w:r>
      <w:r w:rsidR="00344039">
        <w:t xml:space="preserve"> to direct </w:t>
      </w:r>
      <w:r>
        <w:t xml:space="preserve">that </w:t>
      </w:r>
      <w:r w:rsidR="00344039">
        <w:t>NERC</w:t>
      </w:r>
      <w:r w:rsidR="000F77F0">
        <w:t>, consistent with the representation made in NERC’s petition,</w:t>
      </w:r>
      <w:r w:rsidR="00344039">
        <w:t xml:space="preserve"> </w:t>
      </w:r>
      <w:r>
        <w:t>i</w:t>
      </w:r>
      <w:r w:rsidR="00344039">
        <w:t>nclude PACS and PCAs in the BOT-</w:t>
      </w:r>
      <w:r w:rsidR="00DB64F7">
        <w:t xml:space="preserve">directed </w:t>
      </w:r>
      <w:r w:rsidR="00344039">
        <w:t xml:space="preserve">study and to await the findings of the </w:t>
      </w:r>
      <w:r w:rsidR="00FA624E">
        <w:t xml:space="preserve">study’s </w:t>
      </w:r>
      <w:r w:rsidR="00344039">
        <w:t xml:space="preserve">final report before considering further action.  </w:t>
      </w:r>
      <w:r>
        <w:t>The NOPR indicated that the risks posed by EACMS also apply to varying degrees to PACS and PCAs.  However, t</w:t>
      </w:r>
      <w:r w:rsidR="00360FB2">
        <w:t xml:space="preserve">he </w:t>
      </w:r>
      <w:r w:rsidR="00DB64F7">
        <w:t xml:space="preserve">NOPR </w:t>
      </w:r>
      <w:r w:rsidR="00360FB2">
        <w:t>explained the distinction between</w:t>
      </w:r>
      <w:r w:rsidR="00344039">
        <w:t xml:space="preserve"> EACMS and the other Cyber Assets</w:t>
      </w:r>
      <w:r w:rsidR="00DB64F7">
        <w:t xml:space="preserve">:  </w:t>
      </w:r>
      <w:r w:rsidR="00344039">
        <w:t>for example, a</w:t>
      </w:r>
      <w:r w:rsidRPr="000311B5" w:rsidR="000311B5">
        <w:t xml:space="preserve"> compromise of a PACS</w:t>
      </w:r>
      <w:r w:rsidRPr="000F46DB" w:rsidR="000F46DB">
        <w:t xml:space="preserve"> through the supply chain</w:t>
      </w:r>
      <w:r w:rsidRPr="000311B5" w:rsidR="000311B5">
        <w:t xml:space="preserve">, which would potentially grant an attacker physical access to a BES Cyber System or PCA, </w:t>
      </w:r>
      <w:r w:rsidRPr="00203AE5" w:rsidR="000311B5">
        <w:t xml:space="preserve">is </w:t>
      </w:r>
      <w:r w:rsidR="0048181A">
        <w:t>more difficult</w:t>
      </w:r>
      <w:r w:rsidRPr="00203AE5" w:rsidR="000311B5">
        <w:t xml:space="preserve"> since </w:t>
      </w:r>
      <w:r w:rsidR="0048181A">
        <w:t xml:space="preserve">it would also require </w:t>
      </w:r>
      <w:r w:rsidRPr="00203AE5" w:rsidR="000311B5">
        <w:t>physical access</w:t>
      </w:r>
      <w:r w:rsidRPr="000311B5" w:rsidR="000311B5">
        <w:t>.</w:t>
      </w:r>
      <w:r w:rsidR="0048181A">
        <w:t xml:space="preserve">  Physical access is not required to take advantage of a compromised EACMS.</w:t>
      </w:r>
      <w:r w:rsidRPr="000311B5" w:rsidR="000311B5">
        <w:t xml:space="preserve">  </w:t>
      </w:r>
      <w:r>
        <w:t xml:space="preserve">Accordingly, </w:t>
      </w:r>
      <w:r w:rsidR="007E7B79">
        <w:t>t</w:t>
      </w:r>
      <w:r w:rsidR="00360FB2">
        <w:t xml:space="preserve">he </w:t>
      </w:r>
      <w:r w:rsidR="00DB64F7">
        <w:t>NOPR proposed</w:t>
      </w:r>
      <w:r w:rsidDel="00657468">
        <w:t xml:space="preserve"> </w:t>
      </w:r>
      <w:r w:rsidR="00344039">
        <w:t>immediate action</w:t>
      </w:r>
      <w:r>
        <w:t xml:space="preserve"> to provide for the protection of EACMS</w:t>
      </w:r>
      <w:r w:rsidR="00344039">
        <w:t xml:space="preserve">, because they </w:t>
      </w:r>
      <w:r w:rsidRPr="000311B5" w:rsidR="000311B5">
        <w:t>represent the most likely route an attacker would take to access a BES Cyber System or PCA within an ESP</w:t>
      </w:r>
      <w:r w:rsidR="00FA624E">
        <w:t xml:space="preserve">, </w:t>
      </w:r>
      <w:r w:rsidR="0027337F">
        <w:t xml:space="preserve">while </w:t>
      </w:r>
      <w:r w:rsidR="00FA624E">
        <w:t xml:space="preserve">possible </w:t>
      </w:r>
      <w:r w:rsidR="00344039">
        <w:t xml:space="preserve">action on other Cyber Assets can await </w:t>
      </w:r>
      <w:r w:rsidR="00FA624E">
        <w:t>completion of the BOT-</w:t>
      </w:r>
      <w:r w:rsidR="000A4951">
        <w:t xml:space="preserve">directed </w:t>
      </w:r>
      <w:r w:rsidR="00FA624E">
        <w:t>study’s final report</w:t>
      </w:r>
      <w:r w:rsidRPr="000311B5" w:rsidR="000311B5">
        <w:t>.</w:t>
      </w:r>
      <w:r w:rsidR="007E7B79">
        <w:rPr>
          <w:rStyle w:val="FootnoteReference"/>
        </w:rPr>
        <w:footnoteReference w:id="88"/>
      </w:r>
      <w:r w:rsidRPr="000311B5" w:rsidR="000311B5">
        <w:t xml:space="preserve">    </w:t>
      </w:r>
    </w:p>
    <w:p w:rsidRPr="00360FB2" w:rsidR="00360FB2" w:rsidP="00344039" w:rsidRDefault="00344039" w14:paraId="36C55EEA" w14:textId="77777777">
      <w:pPr>
        <w:pStyle w:val="FERCparanumber"/>
        <w:tabs>
          <w:tab w:val="clear" w:pos="990"/>
          <w:tab w:val="num" w:pos="720"/>
        </w:tabs>
        <w:ind w:left="0"/>
      </w:pPr>
      <w:r>
        <w:t xml:space="preserve">In addition to </w:t>
      </w:r>
      <w:r w:rsidRPr="00DF0134" w:rsidR="00525919">
        <w:t>proposing to direct</w:t>
      </w:r>
      <w:r>
        <w:t xml:space="preserve"> NERC to include PACS and P</w:t>
      </w:r>
      <w:r w:rsidR="00AA4371">
        <w:t>CAs in the BOT-</w:t>
      </w:r>
      <w:r w:rsidR="000A4951">
        <w:t xml:space="preserve">directed </w:t>
      </w:r>
      <w:r w:rsidR="00AA4371">
        <w:t xml:space="preserve">study, </w:t>
      </w:r>
      <w:r w:rsidR="00360FB2">
        <w:t>the NOPR</w:t>
      </w:r>
      <w:r w:rsidR="00AA4371">
        <w:t xml:space="preserve"> propose</w:t>
      </w:r>
      <w:r w:rsidR="00360FB2">
        <w:t>d</w:t>
      </w:r>
      <w:r w:rsidR="00AA4371">
        <w:t xml:space="preserve"> to direct that NERC file the study’s </w:t>
      </w:r>
      <w:r w:rsidR="007E2393">
        <w:t xml:space="preserve">interim and </w:t>
      </w:r>
      <w:r w:rsidR="00AA4371">
        <w:t>final report</w:t>
      </w:r>
      <w:r w:rsidR="007E2393">
        <w:t>s</w:t>
      </w:r>
      <w:r w:rsidR="00AA4371">
        <w:t xml:space="preserve"> with the Commission upon </w:t>
      </w:r>
      <w:r w:rsidR="002B3156">
        <w:t>the</w:t>
      </w:r>
      <w:r w:rsidR="007E2393">
        <w:t xml:space="preserve">ir </w:t>
      </w:r>
      <w:r w:rsidR="00AA4371">
        <w:t>completion.</w:t>
      </w:r>
      <w:r w:rsidR="007E7B79">
        <w:rPr>
          <w:rStyle w:val="FootnoteReference"/>
        </w:rPr>
        <w:footnoteReference w:id="89"/>
      </w:r>
      <w:r w:rsidR="00AA4371">
        <w:t xml:space="preserve">  </w:t>
      </w:r>
    </w:p>
    <w:p w:rsidRPr="00360FB2" w:rsidR="00360FB2" w:rsidP="00504398" w:rsidRDefault="00504398" w14:paraId="4CD70E86" w14:textId="77777777">
      <w:pPr>
        <w:pStyle w:val="FERCparanumber"/>
        <w:numPr>
          <w:ilvl w:val="0"/>
          <w:numId w:val="0"/>
        </w:numPr>
        <w:ind w:left="720" w:firstLine="720"/>
        <w:rPr>
          <w:b/>
        </w:rPr>
      </w:pPr>
      <w:r>
        <w:rPr>
          <w:b/>
        </w:rPr>
        <w:t>2.</w:t>
      </w:r>
      <w:r>
        <w:rPr>
          <w:b/>
        </w:rPr>
        <w:tab/>
      </w:r>
      <w:r w:rsidRPr="00504398" w:rsidR="00360FB2">
        <w:rPr>
          <w:b/>
          <w:u w:val="single"/>
        </w:rPr>
        <w:t>Comments</w:t>
      </w:r>
    </w:p>
    <w:p w:rsidR="00DC0DFD" w:rsidP="00DB64F7" w:rsidRDefault="003E0827" w14:paraId="71550A83" w14:textId="77777777">
      <w:pPr>
        <w:pStyle w:val="FERCparanumber"/>
        <w:tabs>
          <w:tab w:val="clear" w:pos="990"/>
          <w:tab w:val="num" w:pos="720"/>
        </w:tabs>
        <w:ind w:left="0"/>
      </w:pPr>
      <w:r>
        <w:t xml:space="preserve">NERC </w:t>
      </w:r>
      <w:r w:rsidR="00A96FD0">
        <w:t>concurs with the NOPR proposal</w:t>
      </w:r>
      <w:r w:rsidR="00CE798E">
        <w:t xml:space="preserve"> </w:t>
      </w:r>
      <w:r w:rsidR="00A96FD0">
        <w:t xml:space="preserve">and states </w:t>
      </w:r>
      <w:r w:rsidR="00CE798E">
        <w:t xml:space="preserve">that the Commission should </w:t>
      </w:r>
      <w:r w:rsidR="00C809A3">
        <w:t>“await the results of the Board-requested study before considering whether low impact BES Cyber Systems, PACS, and PCAs should be addressed in the proposed Reliability Standards.”</w:t>
      </w:r>
      <w:r w:rsidR="00C24DFB">
        <w:rPr>
          <w:rStyle w:val="FootnoteReference"/>
        </w:rPr>
        <w:footnoteReference w:id="90"/>
      </w:r>
      <w:r w:rsidRPr="00F46766" w:rsidR="00F46766">
        <w:t xml:space="preserve">  </w:t>
      </w:r>
      <w:r w:rsidR="00301E7D">
        <w:t xml:space="preserve">NERC </w:t>
      </w:r>
      <w:r w:rsidR="00A96FD0">
        <w:t xml:space="preserve">maintains </w:t>
      </w:r>
      <w:r w:rsidR="00301E7D">
        <w:t xml:space="preserve">that the BOT-directed </w:t>
      </w:r>
      <w:r w:rsidR="00A96FD0">
        <w:t xml:space="preserve">report will help </w:t>
      </w:r>
      <w:r w:rsidR="00301E7D">
        <w:t>determine whether the supply chain risk management Reliability Standards are appropriately scoped to mitigate the risks identified by the Commission.</w:t>
      </w:r>
      <w:r w:rsidR="00301E7D">
        <w:rPr>
          <w:rStyle w:val="FootnoteReference"/>
        </w:rPr>
        <w:footnoteReference w:id="91"/>
      </w:r>
      <w:r w:rsidR="00C24DFB">
        <w:t xml:space="preserve">  </w:t>
      </w:r>
    </w:p>
    <w:p w:rsidR="00CE798E" w:rsidP="00CE798E" w:rsidRDefault="00CE798E" w14:paraId="668129A4" w14:textId="77777777">
      <w:pPr>
        <w:pStyle w:val="FERCparanumber"/>
        <w:tabs>
          <w:tab w:val="clear" w:pos="990"/>
          <w:tab w:val="num" w:pos="720"/>
        </w:tabs>
        <w:ind w:left="0"/>
      </w:pPr>
      <w:r>
        <w:t>EEI and Trade Associations</w:t>
      </w:r>
      <w:r w:rsidRPr="007A73A6">
        <w:t xml:space="preserve"> support the </w:t>
      </w:r>
      <w:r>
        <w:t>supply chain risk management</w:t>
      </w:r>
      <w:r w:rsidRPr="007A73A6" w:rsidDel="00CE798E">
        <w:t xml:space="preserve"> </w:t>
      </w:r>
      <w:r w:rsidRPr="007A73A6">
        <w:t>Reli</w:t>
      </w:r>
      <w:r>
        <w:t>ability Standards</w:t>
      </w:r>
      <w:r w:rsidR="00A96FD0">
        <w:t>’</w:t>
      </w:r>
      <w:r>
        <w:t xml:space="preserve"> exclusion of low </w:t>
      </w:r>
      <w:r w:rsidRPr="007A73A6">
        <w:t xml:space="preserve">impact BES Cyber Systems. </w:t>
      </w:r>
      <w:r>
        <w:t xml:space="preserve"> </w:t>
      </w:r>
      <w:r w:rsidRPr="007A73A6">
        <w:t xml:space="preserve">EEI agrees with the </w:t>
      </w:r>
      <w:r>
        <w:t>NOPR proposal</w:t>
      </w:r>
      <w:r w:rsidRPr="007A73A6">
        <w:t xml:space="preserve"> to wait for NERC to study the supply chain risks posed by low impact BES Cyber Systems as well as PACS and PCAs before directing further modifications.</w:t>
      </w:r>
      <w:r w:rsidRPr="007A73A6">
        <w:rPr>
          <w:rStyle w:val="FootnoteReference"/>
        </w:rPr>
        <w:footnoteReference w:id="92"/>
      </w:r>
      <w:r>
        <w:t xml:space="preserve">  </w:t>
      </w:r>
      <w:r w:rsidRPr="00EF78D9">
        <w:t>Trade Associations</w:t>
      </w:r>
      <w:r w:rsidRPr="007A73A6">
        <w:t xml:space="preserve"> also “strongly support” </w:t>
      </w:r>
      <w:r>
        <w:t>limit</w:t>
      </w:r>
      <w:r w:rsidR="00A96FD0">
        <w:t>ing</w:t>
      </w:r>
      <w:r>
        <w:t xml:space="preserve"> </w:t>
      </w:r>
      <w:r w:rsidRPr="007A73A6" w:rsidR="00A96FD0">
        <w:t xml:space="preserve">the </w:t>
      </w:r>
      <w:r w:rsidR="00A96FD0">
        <w:t>supply chain risk management</w:t>
      </w:r>
      <w:r w:rsidRPr="007A73A6" w:rsidDel="00CE798E" w:rsidR="00A96FD0">
        <w:t xml:space="preserve"> </w:t>
      </w:r>
      <w:r w:rsidRPr="007A73A6" w:rsidR="00A96FD0">
        <w:t>Reli</w:t>
      </w:r>
      <w:r w:rsidR="00A96FD0">
        <w:t xml:space="preserve">ability Standards’ </w:t>
      </w:r>
      <w:r>
        <w:t xml:space="preserve">applicability to medium and high </w:t>
      </w:r>
      <w:r w:rsidRPr="007A73A6">
        <w:t>impact BES Cyber Systems.</w:t>
      </w:r>
      <w:r w:rsidRPr="007A73A6">
        <w:rPr>
          <w:rStyle w:val="FootnoteReference"/>
        </w:rPr>
        <w:footnoteReference w:id="93"/>
      </w:r>
    </w:p>
    <w:p w:rsidR="007A73A6" w:rsidP="00CE798E" w:rsidRDefault="00CE798E" w14:paraId="042761B5" w14:textId="77777777">
      <w:pPr>
        <w:pStyle w:val="FERCparanumber"/>
        <w:tabs>
          <w:tab w:val="clear" w:pos="990"/>
          <w:tab w:val="num" w:pos="720"/>
        </w:tabs>
        <w:ind w:left="0"/>
      </w:pPr>
      <w:r>
        <w:t>Other</w:t>
      </w:r>
      <w:r w:rsidRPr="007A73A6" w:rsidR="007A73A6">
        <w:t xml:space="preserve"> commenters</w:t>
      </w:r>
      <w:r>
        <w:t xml:space="preserve"> contend that low impact BES Cyber Systems pose a significant risk and</w:t>
      </w:r>
      <w:r w:rsidRPr="007A73A6" w:rsidR="007A73A6">
        <w:t xml:space="preserve"> disagree with </w:t>
      </w:r>
      <w:r w:rsidR="00A96FD0">
        <w:t>the view</w:t>
      </w:r>
      <w:r w:rsidRPr="007A73A6" w:rsidR="007A73A6">
        <w:t xml:space="preserve"> that excluding </w:t>
      </w:r>
      <w:r>
        <w:t xml:space="preserve">such assets </w:t>
      </w:r>
      <w:r w:rsidRPr="007A73A6" w:rsidR="007A73A6">
        <w:t xml:space="preserve">will focus industry resources on protecting systems with heightened risk, while not being overly burdensome.  </w:t>
      </w:r>
      <w:r w:rsidR="00A96FD0">
        <w:t>For example,</w:t>
      </w:r>
      <w:r w:rsidRPr="007A73A6" w:rsidR="007A73A6">
        <w:t xml:space="preserve"> </w:t>
      </w:r>
      <w:r w:rsidRPr="0081220C" w:rsidR="0081220C">
        <w:t xml:space="preserve">Resilient Societies </w:t>
      </w:r>
      <w:r>
        <w:t>maintains</w:t>
      </w:r>
      <w:r w:rsidRPr="007A73A6" w:rsidR="007A73A6">
        <w:t xml:space="preserve"> </w:t>
      </w:r>
      <w:r w:rsidR="00932D54">
        <w:t>that cyber attackers could use l</w:t>
      </w:r>
      <w:r w:rsidRPr="007A73A6" w:rsidR="007A73A6">
        <w:t xml:space="preserve">ow impact BES Cyber Systems as </w:t>
      </w:r>
      <w:r w:rsidR="00932D54">
        <w:t>network entry points to attack high and m</w:t>
      </w:r>
      <w:r w:rsidRPr="007A73A6" w:rsidR="007A73A6">
        <w:t xml:space="preserve">edium impact </w:t>
      </w:r>
      <w:r>
        <w:t>BES Cyber S</w:t>
      </w:r>
      <w:r w:rsidRPr="007A73A6" w:rsidR="007A73A6">
        <w:t>ystems</w:t>
      </w:r>
      <w:r>
        <w:t xml:space="preserve">, with a potential </w:t>
      </w:r>
      <w:r w:rsidRPr="007A73A6" w:rsidR="007A73A6">
        <w:t>coordina</w:t>
      </w:r>
      <w:r w:rsidR="00932D54">
        <w:t xml:space="preserve">ted cyberattack on multiple low </w:t>
      </w:r>
      <w:r w:rsidRPr="007A73A6" w:rsidR="007A73A6">
        <w:t>impact facilities caus</w:t>
      </w:r>
      <w:r>
        <w:t>ing a</w:t>
      </w:r>
      <w:r w:rsidRPr="007A73A6" w:rsidR="007A73A6">
        <w:t xml:space="preserve"> cascading collapse.</w:t>
      </w:r>
      <w:r w:rsidRPr="007A73A6" w:rsidR="007A73A6">
        <w:rPr>
          <w:rStyle w:val="FootnoteReference"/>
        </w:rPr>
        <w:footnoteReference w:id="94"/>
      </w:r>
      <w:r w:rsidRPr="007A73A6" w:rsidR="007A73A6">
        <w:t xml:space="preserve">  Similarly, Appelbaum asserts that </w:t>
      </w:r>
      <w:r w:rsidR="00886194">
        <w:t>“if a large number of [l</w:t>
      </w:r>
      <w:r w:rsidRPr="007A73A6" w:rsidR="007A73A6">
        <w:t>ow impact BES Cyber Systems] are compromised, then the effort to correct or replace the compromised assets could be significant</w:t>
      </w:r>
      <w:r w:rsidR="00886194">
        <w:t>.</w:t>
      </w:r>
      <w:r w:rsidRPr="007A73A6" w:rsidR="007A73A6">
        <w:t>”</w:t>
      </w:r>
      <w:r w:rsidRPr="007A73A6" w:rsidR="007A73A6">
        <w:rPr>
          <w:rStyle w:val="FootnoteReference"/>
        </w:rPr>
        <w:footnoteReference w:id="95"/>
      </w:r>
      <w:r w:rsidRPr="007A73A6" w:rsidR="007A73A6">
        <w:t xml:space="preserve">  </w:t>
      </w:r>
      <w:r w:rsidR="00886194">
        <w:t>Reclamation</w:t>
      </w:r>
      <w:r w:rsidRPr="007A73A6" w:rsidR="007A73A6">
        <w:t xml:space="preserve"> also recommends including low impact BES Cyber Systems in the proposed Reliability Standards in order to avoid gaps that could compromise </w:t>
      </w:r>
      <w:r w:rsidR="00886194">
        <w:t>bulk electric system</w:t>
      </w:r>
      <w:r w:rsidRPr="007A73A6" w:rsidR="007A73A6">
        <w:t xml:space="preserve"> security.</w:t>
      </w:r>
      <w:r w:rsidRPr="007A73A6" w:rsidR="007A73A6">
        <w:rPr>
          <w:rStyle w:val="FootnoteReference"/>
        </w:rPr>
        <w:footnoteReference w:id="96"/>
      </w:r>
    </w:p>
    <w:p w:rsidR="007A73A6" w:rsidP="00A96FD0" w:rsidRDefault="00D04738" w14:paraId="75DC0A28" w14:textId="77777777">
      <w:pPr>
        <w:pStyle w:val="FERCparanumber"/>
        <w:tabs>
          <w:tab w:val="clear" w:pos="990"/>
          <w:tab w:val="num" w:pos="720"/>
        </w:tabs>
        <w:ind w:left="0"/>
      </w:pPr>
      <w:r>
        <w:t>M</w:t>
      </w:r>
      <w:r w:rsidRPr="007A73A6" w:rsidR="007A73A6">
        <w:t xml:space="preserve">PUC states that many of the concerns </w:t>
      </w:r>
      <w:r w:rsidR="00A96FD0">
        <w:t>identified in the NOPR</w:t>
      </w:r>
      <w:r w:rsidRPr="007A73A6" w:rsidR="007A73A6">
        <w:t xml:space="preserve"> apply to all classifications of BES Cyber</w:t>
      </w:r>
      <w:r w:rsidR="00CE798E">
        <w:t xml:space="preserve"> </w:t>
      </w:r>
      <w:r w:rsidRPr="007A73A6" w:rsidR="007A73A6">
        <w:t xml:space="preserve">Systems and that responsible entities </w:t>
      </w:r>
      <w:r w:rsidR="00CE798E">
        <w:t xml:space="preserve">should be </w:t>
      </w:r>
      <w:r w:rsidR="00A96FD0">
        <w:t>required</w:t>
      </w:r>
      <w:r w:rsidR="00CE798E">
        <w:t xml:space="preserve"> to </w:t>
      </w:r>
      <w:r w:rsidRPr="007A73A6" w:rsidR="007A73A6">
        <w:t xml:space="preserve">apply the </w:t>
      </w:r>
      <w:r w:rsidR="00A96FD0">
        <w:t>supply chain risk management</w:t>
      </w:r>
      <w:r w:rsidRPr="007A73A6" w:rsidDel="00CE798E" w:rsidR="00A96FD0">
        <w:t xml:space="preserve"> </w:t>
      </w:r>
      <w:r w:rsidR="00A96FD0">
        <w:t>Reliability Standards</w:t>
      </w:r>
      <w:r w:rsidRPr="007A73A6" w:rsidR="007A73A6">
        <w:t xml:space="preserve"> to all BES Cyber System assets, unless the entities can show the assets in question to be completely isolated.</w:t>
      </w:r>
      <w:r w:rsidRPr="007A73A6" w:rsidR="007A73A6">
        <w:rPr>
          <w:rStyle w:val="FootnoteReference"/>
        </w:rPr>
        <w:footnoteReference w:id="97"/>
      </w:r>
      <w:r w:rsidR="00CE798E">
        <w:t xml:space="preserve">  </w:t>
      </w:r>
      <w:r w:rsidRPr="007A73A6" w:rsidR="007A73A6">
        <w:t xml:space="preserve">Reclamation has similar concerns and </w:t>
      </w:r>
      <w:r w:rsidR="00516EC9">
        <w:t>states</w:t>
      </w:r>
      <w:r w:rsidRPr="007A73A6" w:rsidR="00516EC9">
        <w:t xml:space="preserve"> </w:t>
      </w:r>
      <w:r w:rsidRPr="007A73A6" w:rsidR="007A73A6">
        <w:t xml:space="preserve">that the </w:t>
      </w:r>
      <w:r w:rsidR="00516EC9">
        <w:t xml:space="preserve">supply chain risk management </w:t>
      </w:r>
      <w:r w:rsidRPr="005647D0" w:rsidR="00516EC9">
        <w:rPr>
          <w:szCs w:val="26"/>
        </w:rPr>
        <w:t xml:space="preserve">Reliability Standards </w:t>
      </w:r>
      <w:r w:rsidR="00516EC9">
        <w:rPr>
          <w:szCs w:val="26"/>
        </w:rPr>
        <w:t xml:space="preserve">should </w:t>
      </w:r>
      <w:r w:rsidRPr="007A73A6" w:rsidR="007A73A6">
        <w:t>apply to all BES Cyber System impact ratings</w:t>
      </w:r>
      <w:r w:rsidR="00CE798E">
        <w:t>, including low impact</w:t>
      </w:r>
      <w:r w:rsidRPr="007A73A6" w:rsidR="007A73A6">
        <w:t>.</w:t>
      </w:r>
      <w:r w:rsidRPr="007A73A6" w:rsidR="007A73A6">
        <w:rPr>
          <w:rStyle w:val="FootnoteReference"/>
        </w:rPr>
        <w:footnoteReference w:id="98"/>
      </w:r>
      <w:r w:rsidRPr="007A73A6" w:rsidR="007A73A6">
        <w:t xml:space="preserve"> </w:t>
      </w:r>
      <w:r w:rsidR="007A73A6">
        <w:t xml:space="preserve"> </w:t>
      </w:r>
      <w:r w:rsidRPr="007A73A6" w:rsidR="007A73A6">
        <w:t>Mabee cautions against giving industry the discretion to determine which cyber systems are “easy” to protect and which are “burdensome” to protect.</w:t>
      </w:r>
      <w:r w:rsidRPr="007A73A6" w:rsidR="007A73A6">
        <w:rPr>
          <w:rStyle w:val="FootnoteReference"/>
        </w:rPr>
        <w:footnoteReference w:id="99"/>
      </w:r>
      <w:r w:rsidR="00A96FD0">
        <w:t xml:space="preserve">  </w:t>
      </w:r>
      <w:r w:rsidRPr="007A73A6" w:rsidR="007A73A6">
        <w:t>Isologic</w:t>
      </w:r>
      <w:r w:rsidR="00A96FD0">
        <w:t xml:space="preserve"> also disagrees with the exclusion of </w:t>
      </w:r>
      <w:r w:rsidRPr="007A73A6" w:rsidR="007A73A6">
        <w:t xml:space="preserve">low impact BES Cyber Systems </w:t>
      </w:r>
      <w:r w:rsidR="00A96FD0">
        <w:t xml:space="preserve">and contends that awaiting the BOT-directed final report would unduly delay an </w:t>
      </w:r>
      <w:r w:rsidRPr="007A73A6" w:rsidR="007A73A6">
        <w:t xml:space="preserve">examination </w:t>
      </w:r>
      <w:r w:rsidR="00A96FD0">
        <w:t xml:space="preserve">by the Commission </w:t>
      </w:r>
      <w:r w:rsidRPr="007A73A6" w:rsidR="007A73A6">
        <w:t xml:space="preserve">of risks involving the </w:t>
      </w:r>
      <w:r w:rsidR="00886194">
        <w:t>“massive array of unprotected [l</w:t>
      </w:r>
      <w:r w:rsidRPr="007A73A6" w:rsidR="007A73A6">
        <w:t>ow impact] transmission substations.”</w:t>
      </w:r>
      <w:r w:rsidRPr="007A73A6" w:rsidR="007A73A6">
        <w:rPr>
          <w:rStyle w:val="FootnoteReference"/>
        </w:rPr>
        <w:footnoteReference w:id="100"/>
      </w:r>
      <w:r w:rsidRPr="007A73A6" w:rsidR="007A73A6">
        <w:t xml:space="preserve"> </w:t>
      </w:r>
    </w:p>
    <w:p w:rsidR="002C577F" w:rsidP="002C577F" w:rsidRDefault="002C577F" w14:paraId="56BB597D" w14:textId="77777777">
      <w:pPr>
        <w:pStyle w:val="FERCparanumber"/>
        <w:numPr>
          <w:ilvl w:val="0"/>
          <w:numId w:val="0"/>
        </w:numPr>
      </w:pPr>
    </w:p>
    <w:p w:rsidRPr="00360FB2" w:rsidR="00360FB2" w:rsidP="00360FB2" w:rsidRDefault="00360FB2" w14:paraId="157EA395" w14:textId="77777777">
      <w:pPr>
        <w:pStyle w:val="FERCparanumber"/>
        <w:numPr>
          <w:ilvl w:val="0"/>
          <w:numId w:val="0"/>
        </w:numPr>
        <w:rPr>
          <w:b/>
        </w:rPr>
      </w:pPr>
      <w:r>
        <w:tab/>
      </w:r>
      <w:r w:rsidR="00504398">
        <w:tab/>
      </w:r>
      <w:r w:rsidRPr="00686D2F" w:rsidR="00504398">
        <w:rPr>
          <w:b/>
        </w:rPr>
        <w:t>3.</w:t>
      </w:r>
      <w:r w:rsidR="00504398">
        <w:tab/>
      </w:r>
      <w:r w:rsidRPr="00504398">
        <w:rPr>
          <w:b/>
          <w:u w:val="single"/>
        </w:rPr>
        <w:t>Commission Determination</w:t>
      </w:r>
    </w:p>
    <w:p w:rsidR="00151E14" w:rsidP="00360FB2" w:rsidRDefault="00860F85" w14:paraId="36565921" w14:textId="06A8B7AF">
      <w:pPr>
        <w:pStyle w:val="FERCparanumber"/>
        <w:tabs>
          <w:tab w:val="clear" w:pos="990"/>
          <w:tab w:val="num" w:pos="720"/>
        </w:tabs>
        <w:ind w:left="0"/>
      </w:pPr>
      <w:r>
        <w:rPr>
          <w:szCs w:val="26"/>
        </w:rPr>
        <w:t>We accept</w:t>
      </w:r>
      <w:r w:rsidR="0098628C">
        <w:rPr>
          <w:szCs w:val="26"/>
        </w:rPr>
        <w:t xml:space="preserve"> NERC’s commitment </w:t>
      </w:r>
      <w:r w:rsidRPr="00B14816" w:rsidR="0091186A">
        <w:rPr>
          <w:szCs w:val="26"/>
        </w:rPr>
        <w:t xml:space="preserve">to evaluate the </w:t>
      </w:r>
      <w:r w:rsidR="002B3F4C">
        <w:t>cyber</w:t>
      </w:r>
      <w:r w:rsidRPr="00C04EDE" w:rsidR="0091186A">
        <w:t xml:space="preserve">security supply chain risks presented by </w:t>
      </w:r>
      <w:r w:rsidR="00B14816">
        <w:t xml:space="preserve">low impact BES Cyber Systems, </w:t>
      </w:r>
      <w:r w:rsidRPr="00C04EDE" w:rsidR="0091186A">
        <w:t>PACS</w:t>
      </w:r>
      <w:r w:rsidR="00097164">
        <w:t>,</w:t>
      </w:r>
      <w:r w:rsidR="002B3F4C">
        <w:t xml:space="preserve"> and PCAs in the study of cyber</w:t>
      </w:r>
      <w:r w:rsidRPr="00C04EDE" w:rsidR="0091186A">
        <w:t xml:space="preserve">security supply chain risks </w:t>
      </w:r>
      <w:r w:rsidR="00151E14">
        <w:t>directed</w:t>
      </w:r>
      <w:r w:rsidRPr="00C04EDE" w:rsidR="00151E14">
        <w:t xml:space="preserve"> </w:t>
      </w:r>
      <w:r w:rsidRPr="00C04EDE" w:rsidR="0091186A">
        <w:t xml:space="preserve">by </w:t>
      </w:r>
      <w:r w:rsidR="00E35CBD">
        <w:t>the NERC BOT</w:t>
      </w:r>
      <w:r w:rsidR="00DF2351">
        <w:t xml:space="preserve">. </w:t>
      </w:r>
      <w:r>
        <w:t xml:space="preserve"> </w:t>
      </w:r>
      <w:r w:rsidR="00DF2351">
        <w:t>In light of</w:t>
      </w:r>
      <w:r>
        <w:t xml:space="preserve"> that commitment, we </w:t>
      </w:r>
      <w:r w:rsidR="0098628C">
        <w:t xml:space="preserve">conclude it is not necessary to </w:t>
      </w:r>
      <w:r w:rsidR="00D271FB">
        <w:t xml:space="preserve">separately </w:t>
      </w:r>
      <w:r w:rsidR="0098628C">
        <w:t xml:space="preserve">direct that NERC </w:t>
      </w:r>
      <w:r w:rsidR="00DF2351">
        <w:t>expand the scope of the BOT-directed study</w:t>
      </w:r>
      <w:r w:rsidRPr="00C04EDE" w:rsidR="0091186A">
        <w:t xml:space="preserve">.  </w:t>
      </w:r>
      <w:r w:rsidR="0098628C">
        <w:t>However</w:t>
      </w:r>
      <w:r w:rsidR="00E35CBD">
        <w:t>, we</w:t>
      </w:r>
      <w:r w:rsidR="0091186A">
        <w:t xml:space="preserve"> </w:t>
      </w:r>
      <w:r w:rsidR="0098628C">
        <w:t xml:space="preserve">adopt the NOPR proposal to </w:t>
      </w:r>
      <w:r w:rsidRPr="00C04EDE" w:rsidR="0091186A">
        <w:t>direct NERC to file the BOT-</w:t>
      </w:r>
      <w:r w:rsidR="00151E14">
        <w:t>directed</w:t>
      </w:r>
      <w:r w:rsidRPr="00C04EDE" w:rsidR="00151E14">
        <w:t xml:space="preserve"> </w:t>
      </w:r>
      <w:r w:rsidRPr="00C04EDE" w:rsidR="0091186A">
        <w:t>study’s final report with the Commission</w:t>
      </w:r>
      <w:r w:rsidR="0091186A">
        <w:t xml:space="preserve"> upon its</w:t>
      </w:r>
      <w:r w:rsidRPr="00C04EDE" w:rsidR="0091186A">
        <w:t xml:space="preserve"> completion.</w:t>
      </w:r>
      <w:r w:rsidR="00D603F4">
        <w:t xml:space="preserve">  </w:t>
      </w:r>
    </w:p>
    <w:p w:rsidRPr="00B14816" w:rsidR="00B14816" w:rsidP="00360FB2" w:rsidRDefault="00151E14" w14:paraId="29A62433" w14:textId="77777777">
      <w:pPr>
        <w:pStyle w:val="FERCparanumber"/>
        <w:tabs>
          <w:tab w:val="clear" w:pos="990"/>
          <w:tab w:val="num" w:pos="720"/>
        </w:tabs>
        <w:ind w:left="0"/>
      </w:pPr>
      <w:r>
        <w:t xml:space="preserve">We continue to believe that </w:t>
      </w:r>
      <w:r w:rsidR="00656A65">
        <w:t xml:space="preserve">it is appropriate to await the findings from the BOT-directed </w:t>
      </w:r>
      <w:r>
        <w:t xml:space="preserve">final report </w:t>
      </w:r>
      <w:r w:rsidR="00260EBA">
        <w:t>on cyber</w:t>
      </w:r>
      <w:r w:rsidR="00656A65">
        <w:t>security risks before considering whether low impact BES Cyber Systems</w:t>
      </w:r>
      <w:r>
        <w:t>, PACS and PCAs</w:t>
      </w:r>
      <w:r w:rsidR="00656A65">
        <w:t xml:space="preserve"> </w:t>
      </w:r>
      <w:r w:rsidR="00A57651">
        <w:t xml:space="preserve">should be addressed in </w:t>
      </w:r>
      <w:r>
        <w:t>modified</w:t>
      </w:r>
      <w:r w:rsidR="00A57651">
        <w:t xml:space="preserve"> supply chain risk management Reliability Standards.</w:t>
      </w:r>
      <w:r w:rsidR="00800485">
        <w:rPr>
          <w:rStyle w:val="FootnoteReference"/>
        </w:rPr>
        <w:footnoteReference w:id="101"/>
      </w:r>
      <w:r>
        <w:t xml:space="preserve">  While we </w:t>
      </w:r>
      <w:r w:rsidR="007A0859">
        <w:t>do</w:t>
      </w:r>
      <w:r>
        <w:t xml:space="preserve"> not prejudge the findings from the forthcoming final report, at this time we find that NERC is taking adequate and timely steps to study whether low impact BES Cyber Systems, PACS and PCAs should be </w:t>
      </w:r>
      <w:r w:rsidR="007A0859">
        <w:t>included in the supply chain risk management Reliability Standards</w:t>
      </w:r>
      <w:r>
        <w:t xml:space="preserve">.  Given that the BOT-directed final report is scheduled to be completed in February 2019, we do not view </w:t>
      </w:r>
      <w:r w:rsidR="00516EC9">
        <w:t>our</w:t>
      </w:r>
      <w:r>
        <w:t xml:space="preserve"> </w:t>
      </w:r>
      <w:r w:rsidR="007A0859">
        <w:t xml:space="preserve">determination </w:t>
      </w:r>
      <w:r>
        <w:t xml:space="preserve">as </w:t>
      </w:r>
      <w:r w:rsidR="00516EC9">
        <w:t>unduly delaying consideration of this important issue</w:t>
      </w:r>
      <w:r>
        <w:t>.</w:t>
      </w:r>
      <w:r w:rsidR="00516EC9">
        <w:t xml:space="preserve">  </w:t>
      </w:r>
      <w:r>
        <w:t>Once</w:t>
      </w:r>
      <w:r w:rsidR="007A0859">
        <w:t xml:space="preserve"> NERC submits</w:t>
      </w:r>
      <w:r>
        <w:t xml:space="preserve"> the BOT-directed final report, the Commission will be in a better position to </w:t>
      </w:r>
      <w:r w:rsidR="007A0859">
        <w:t>consider</w:t>
      </w:r>
      <w:r>
        <w:t xml:space="preserve"> what further steps, if any, should be taken to provide for the reliability of the </w:t>
      </w:r>
      <w:r w:rsidR="00260EBA">
        <w:t>bulk electric s</w:t>
      </w:r>
      <w:r>
        <w:t>ystem.</w:t>
      </w:r>
    </w:p>
    <w:p w:rsidRPr="008416B3" w:rsidR="008416B3" w:rsidP="008416B3" w:rsidRDefault="003A485B" w14:paraId="65C790DE" w14:textId="77777777">
      <w:pPr>
        <w:pStyle w:val="Heading2"/>
        <w:rPr>
          <w:u w:val="none"/>
        </w:rPr>
      </w:pPr>
      <w:r>
        <w:t>Implementation Plan</w:t>
      </w:r>
    </w:p>
    <w:p w:rsidRPr="00360FB2" w:rsidR="00360FB2" w:rsidP="00504398" w:rsidRDefault="00504398" w14:paraId="340D7468" w14:textId="77777777">
      <w:pPr>
        <w:pStyle w:val="FERCparanumber"/>
        <w:numPr>
          <w:ilvl w:val="0"/>
          <w:numId w:val="0"/>
        </w:numPr>
        <w:ind w:left="720" w:firstLine="720"/>
        <w:rPr>
          <w:b/>
        </w:rPr>
      </w:pPr>
      <w:r>
        <w:rPr>
          <w:b/>
        </w:rPr>
        <w:t>1.</w:t>
      </w:r>
      <w:r>
        <w:rPr>
          <w:b/>
        </w:rPr>
        <w:tab/>
      </w:r>
      <w:r w:rsidRPr="00504398" w:rsidR="00360FB2">
        <w:rPr>
          <w:b/>
          <w:u w:val="single"/>
        </w:rPr>
        <w:t>NOPR</w:t>
      </w:r>
      <w:r w:rsidR="002C3D2B">
        <w:rPr>
          <w:b/>
        </w:rPr>
        <w:tab/>
      </w:r>
    </w:p>
    <w:p w:rsidRPr="00360FB2" w:rsidR="00360FB2" w:rsidP="002E6767" w:rsidRDefault="008954F1" w14:paraId="033798DF" w14:textId="77777777">
      <w:pPr>
        <w:pStyle w:val="FERCparanumber"/>
        <w:tabs>
          <w:tab w:val="clear" w:pos="990"/>
        </w:tabs>
        <w:ind w:left="0"/>
      </w:pPr>
      <w:r>
        <w:rPr>
          <w:szCs w:val="26"/>
        </w:rPr>
        <w:t>The NOPR</w:t>
      </w:r>
      <w:r w:rsidR="00FE308A">
        <w:rPr>
          <w:szCs w:val="26"/>
        </w:rPr>
        <w:t xml:space="preserve"> </w:t>
      </w:r>
      <w:r>
        <w:rPr>
          <w:szCs w:val="26"/>
        </w:rPr>
        <w:t>stated</w:t>
      </w:r>
      <w:r w:rsidR="00FE308A">
        <w:rPr>
          <w:szCs w:val="26"/>
        </w:rPr>
        <w:t xml:space="preserve"> that t</w:t>
      </w:r>
      <w:r w:rsidR="001422E1">
        <w:rPr>
          <w:szCs w:val="26"/>
        </w:rPr>
        <w:t xml:space="preserve">he </w:t>
      </w:r>
      <w:r w:rsidR="00254CA8">
        <w:rPr>
          <w:szCs w:val="26"/>
        </w:rPr>
        <w:t xml:space="preserve">18-month </w:t>
      </w:r>
      <w:r w:rsidRPr="00AD6DD2" w:rsidR="008416B3">
        <w:rPr>
          <w:szCs w:val="26"/>
        </w:rPr>
        <w:t xml:space="preserve">implementation </w:t>
      </w:r>
      <w:r w:rsidR="008416B3">
        <w:rPr>
          <w:szCs w:val="26"/>
        </w:rPr>
        <w:t>period</w:t>
      </w:r>
      <w:r w:rsidRPr="00AD6DD2" w:rsidR="008416B3">
        <w:rPr>
          <w:szCs w:val="26"/>
        </w:rPr>
        <w:t xml:space="preserve"> </w:t>
      </w:r>
      <w:r w:rsidR="008416B3">
        <w:rPr>
          <w:szCs w:val="26"/>
        </w:rPr>
        <w:t xml:space="preserve">proposed by NERC </w:t>
      </w:r>
      <w:r w:rsidR="00E21B3E">
        <w:rPr>
          <w:szCs w:val="26"/>
        </w:rPr>
        <w:t>may not</w:t>
      </w:r>
      <w:r w:rsidR="008416B3">
        <w:rPr>
          <w:szCs w:val="26"/>
        </w:rPr>
        <w:t xml:space="preserve"> be</w:t>
      </w:r>
      <w:r w:rsidRPr="00AD6DD2" w:rsidR="008416B3">
        <w:rPr>
          <w:szCs w:val="26"/>
        </w:rPr>
        <w:t xml:space="preserve"> </w:t>
      </w:r>
      <w:r w:rsidR="003A485B">
        <w:rPr>
          <w:szCs w:val="26"/>
        </w:rPr>
        <w:t xml:space="preserve">justified </w:t>
      </w:r>
      <w:r w:rsidR="008416B3">
        <w:rPr>
          <w:szCs w:val="26"/>
        </w:rPr>
        <w:t xml:space="preserve">based on the </w:t>
      </w:r>
      <w:r w:rsidR="000B5224">
        <w:rPr>
          <w:szCs w:val="26"/>
        </w:rPr>
        <w:t>anticipated</w:t>
      </w:r>
      <w:r w:rsidR="008416B3">
        <w:rPr>
          <w:szCs w:val="26"/>
        </w:rPr>
        <w:t xml:space="preserve"> effort required to </w:t>
      </w:r>
      <w:r w:rsidR="000B5224">
        <w:rPr>
          <w:szCs w:val="26"/>
        </w:rPr>
        <w:t xml:space="preserve">develop and </w:t>
      </w:r>
      <w:r w:rsidR="008416B3">
        <w:rPr>
          <w:szCs w:val="26"/>
        </w:rPr>
        <w:t xml:space="preserve">implement a supply chain risk management plan.  </w:t>
      </w:r>
      <w:r w:rsidR="00FE308A">
        <w:rPr>
          <w:szCs w:val="26"/>
        </w:rPr>
        <w:t xml:space="preserve">The </w:t>
      </w:r>
      <w:r>
        <w:rPr>
          <w:szCs w:val="26"/>
        </w:rPr>
        <w:t>NOPR</w:t>
      </w:r>
      <w:r w:rsidR="00FE308A">
        <w:rPr>
          <w:szCs w:val="26"/>
        </w:rPr>
        <w:t xml:space="preserve"> explained that w</w:t>
      </w:r>
      <w:r w:rsidR="003A485B">
        <w:rPr>
          <w:szCs w:val="26"/>
        </w:rPr>
        <w:t>hile</w:t>
      </w:r>
      <w:r>
        <w:rPr>
          <w:szCs w:val="26"/>
        </w:rPr>
        <w:t>, according to</w:t>
      </w:r>
      <w:r w:rsidR="003A485B">
        <w:rPr>
          <w:szCs w:val="26"/>
        </w:rPr>
        <w:t xml:space="preserve"> N</w:t>
      </w:r>
      <w:r w:rsidR="00254CA8">
        <w:rPr>
          <w:szCs w:val="26"/>
        </w:rPr>
        <w:t>ERC</w:t>
      </w:r>
      <w:r>
        <w:rPr>
          <w:szCs w:val="26"/>
        </w:rPr>
        <w:t xml:space="preserve">, </w:t>
      </w:r>
      <w:r w:rsidR="00254CA8">
        <w:rPr>
          <w:szCs w:val="26"/>
        </w:rPr>
        <w:t xml:space="preserve">the proposed </w:t>
      </w:r>
      <w:r w:rsidR="003A485B">
        <w:rPr>
          <w:szCs w:val="26"/>
        </w:rPr>
        <w:t>implementation period is “</w:t>
      </w:r>
      <w:r w:rsidR="00C1225E">
        <w:t>designed to afford responsible entities sufficient time to develop and implement their supply chain cybersecurity risk management plans required under proposed Reliability Standard CIP-013-1 and implement the new controls required in proposed Reliability St</w:t>
      </w:r>
      <w:r w:rsidR="008E2261">
        <w:t>andards CIP-005-6 and CIP-010-3,” t</w:t>
      </w:r>
      <w:r w:rsidRPr="00AD6DD2" w:rsidR="008416B3">
        <w:rPr>
          <w:szCs w:val="26"/>
        </w:rPr>
        <w:t>he security objectives</w:t>
      </w:r>
      <w:r w:rsidR="008416B3">
        <w:rPr>
          <w:szCs w:val="26"/>
        </w:rPr>
        <w:t xml:space="preserve"> of the proposed Reliability Standards</w:t>
      </w:r>
      <w:r w:rsidRPr="00AD6DD2" w:rsidR="008416B3">
        <w:rPr>
          <w:szCs w:val="26"/>
        </w:rPr>
        <w:t xml:space="preserve"> are pro</w:t>
      </w:r>
      <w:r w:rsidR="008416B3">
        <w:rPr>
          <w:szCs w:val="26"/>
        </w:rPr>
        <w:t>cess-based</w:t>
      </w:r>
      <w:r w:rsidRPr="00AD6DD2" w:rsidR="008416B3">
        <w:rPr>
          <w:szCs w:val="26"/>
        </w:rPr>
        <w:t xml:space="preserve"> and do not pre</w:t>
      </w:r>
      <w:r w:rsidR="008416B3">
        <w:rPr>
          <w:szCs w:val="26"/>
        </w:rPr>
        <w:t xml:space="preserve">scribe technology that </w:t>
      </w:r>
      <w:r w:rsidR="008E2261">
        <w:rPr>
          <w:szCs w:val="26"/>
        </w:rPr>
        <w:t xml:space="preserve">might </w:t>
      </w:r>
      <w:r w:rsidR="008416B3">
        <w:rPr>
          <w:szCs w:val="26"/>
        </w:rPr>
        <w:t>justify an extended</w:t>
      </w:r>
      <w:r w:rsidRPr="00AD6DD2" w:rsidR="008416B3">
        <w:rPr>
          <w:szCs w:val="26"/>
        </w:rPr>
        <w:t xml:space="preserve"> implementation</w:t>
      </w:r>
      <w:r w:rsidR="008416B3">
        <w:rPr>
          <w:szCs w:val="26"/>
        </w:rPr>
        <w:t xml:space="preserve"> period</w:t>
      </w:r>
      <w:r w:rsidRPr="00AD6DD2" w:rsidR="008416B3">
        <w:rPr>
          <w:szCs w:val="26"/>
        </w:rPr>
        <w:t>.</w:t>
      </w:r>
      <w:r w:rsidRPr="00DF0134" w:rsidR="004441B9">
        <w:rPr>
          <w:rStyle w:val="FootnoteReference"/>
        </w:rPr>
        <w:footnoteReference w:id="102"/>
      </w:r>
      <w:r w:rsidRPr="00AD6DD2" w:rsidR="008416B3">
        <w:rPr>
          <w:szCs w:val="26"/>
        </w:rPr>
        <w:t xml:space="preserve">  </w:t>
      </w:r>
      <w:r w:rsidR="00D67EA6">
        <w:rPr>
          <w:szCs w:val="26"/>
        </w:rPr>
        <w:t>Accordingly, the NOPR</w:t>
      </w:r>
      <w:r w:rsidR="00C92AED">
        <w:rPr>
          <w:szCs w:val="26"/>
        </w:rPr>
        <w:t xml:space="preserve"> propose</w:t>
      </w:r>
      <w:r w:rsidR="00FE308A">
        <w:rPr>
          <w:szCs w:val="26"/>
        </w:rPr>
        <w:t>d</w:t>
      </w:r>
      <w:r w:rsidR="008E2261">
        <w:rPr>
          <w:szCs w:val="26"/>
        </w:rPr>
        <w:t xml:space="preserve"> </w:t>
      </w:r>
      <w:r w:rsidR="00D67EA6">
        <w:rPr>
          <w:szCs w:val="26"/>
        </w:rPr>
        <w:t xml:space="preserve">to reduce the time for implementation such </w:t>
      </w:r>
      <w:r w:rsidR="008E2261">
        <w:rPr>
          <w:szCs w:val="26"/>
        </w:rPr>
        <w:t>that</w:t>
      </w:r>
      <w:r w:rsidR="008416B3">
        <w:rPr>
          <w:szCs w:val="26"/>
        </w:rPr>
        <w:t xml:space="preserve"> </w:t>
      </w:r>
      <w:r w:rsidR="00C428E5">
        <w:rPr>
          <w:szCs w:val="26"/>
        </w:rPr>
        <w:t xml:space="preserve">the </w:t>
      </w:r>
      <w:r>
        <w:rPr>
          <w:szCs w:val="26"/>
        </w:rPr>
        <w:t>s</w:t>
      </w:r>
      <w:r>
        <w:t xml:space="preserve">upply chain risk management </w:t>
      </w:r>
      <w:r w:rsidR="00C428E5">
        <w:rPr>
          <w:szCs w:val="26"/>
        </w:rPr>
        <w:t xml:space="preserve">Reliability Standards </w:t>
      </w:r>
      <w:r w:rsidR="00D67EA6">
        <w:rPr>
          <w:szCs w:val="26"/>
        </w:rPr>
        <w:t xml:space="preserve">would </w:t>
      </w:r>
      <w:r w:rsidR="00C428E5">
        <w:rPr>
          <w:szCs w:val="26"/>
        </w:rPr>
        <w:t>become effective the first day of the first calendar quarter that is 12 months</w:t>
      </w:r>
      <w:r w:rsidR="00D67EA6">
        <w:rPr>
          <w:szCs w:val="26"/>
        </w:rPr>
        <w:t>, as opposed to NERC’s 18 months,</w:t>
      </w:r>
      <w:r w:rsidR="00C428E5">
        <w:rPr>
          <w:szCs w:val="26"/>
        </w:rPr>
        <w:t xml:space="preserve"> </w:t>
      </w:r>
      <w:r w:rsidR="000B5224">
        <w:rPr>
          <w:szCs w:val="26"/>
        </w:rPr>
        <w:t>following the effective date of a Commission order approving the Reliability Standards</w:t>
      </w:r>
      <w:r w:rsidR="00C428E5">
        <w:rPr>
          <w:szCs w:val="26"/>
        </w:rPr>
        <w:t xml:space="preserve">.  </w:t>
      </w:r>
    </w:p>
    <w:p w:rsidRPr="00360FB2" w:rsidR="00360FB2" w:rsidP="00504398" w:rsidRDefault="00504398" w14:paraId="06F04362" w14:textId="77777777">
      <w:pPr>
        <w:pStyle w:val="FERCparanumber"/>
        <w:numPr>
          <w:ilvl w:val="0"/>
          <w:numId w:val="0"/>
        </w:numPr>
        <w:ind w:left="720" w:firstLine="720"/>
        <w:rPr>
          <w:b/>
        </w:rPr>
      </w:pPr>
      <w:r>
        <w:rPr>
          <w:b/>
        </w:rPr>
        <w:t>2.</w:t>
      </w:r>
      <w:r>
        <w:rPr>
          <w:b/>
        </w:rPr>
        <w:tab/>
      </w:r>
      <w:r w:rsidRPr="00504398" w:rsidR="00360FB2">
        <w:rPr>
          <w:b/>
          <w:u w:val="single"/>
        </w:rPr>
        <w:t>Comments</w:t>
      </w:r>
    </w:p>
    <w:p w:rsidRPr="008517DA" w:rsidR="008517DA" w:rsidP="00360FB2" w:rsidRDefault="008517DA" w14:paraId="4A55CC10" w14:textId="77777777">
      <w:pPr>
        <w:pStyle w:val="FERCparanumber"/>
        <w:tabs>
          <w:tab w:val="clear" w:pos="990"/>
          <w:tab w:val="num" w:pos="720"/>
        </w:tabs>
        <w:ind w:left="0"/>
      </w:pPr>
      <w:r>
        <w:t xml:space="preserve">NERC </w:t>
      </w:r>
      <w:r>
        <w:rPr>
          <w:szCs w:val="26"/>
        </w:rPr>
        <w:t xml:space="preserve">does not support the NOPR proposal to </w:t>
      </w:r>
      <w:r>
        <w:t xml:space="preserve">reduce the implementation period for the </w:t>
      </w:r>
      <w:r>
        <w:rPr>
          <w:szCs w:val="26"/>
        </w:rPr>
        <w:t>supply chain risk management Reliability Standards to 12 months.  NERC state</w:t>
      </w:r>
      <w:r w:rsidR="001A0B60">
        <w:rPr>
          <w:szCs w:val="26"/>
        </w:rPr>
        <w:t>s that the proposed 18-</w:t>
      </w:r>
      <w:r>
        <w:rPr>
          <w:szCs w:val="26"/>
        </w:rPr>
        <w:t xml:space="preserve">month implementation period is intended to give responsible entities adequate time to develop and implement a supply chain risk management plan required under proposed Reliability Standard CIP-013-1, as well as to implement new controls required under proposed Reliability Standards CIP-005-6 and CIP-010-3.  NERC </w:t>
      </w:r>
      <w:r w:rsidR="00FE1946">
        <w:rPr>
          <w:szCs w:val="26"/>
        </w:rPr>
        <w:t>explains</w:t>
      </w:r>
      <w:r w:rsidR="0049114B">
        <w:rPr>
          <w:szCs w:val="26"/>
        </w:rPr>
        <w:t xml:space="preserve"> </w:t>
      </w:r>
      <w:r>
        <w:rPr>
          <w:szCs w:val="26"/>
        </w:rPr>
        <w:t>that although proposed Reliability Standard CIP-013-1 is process-based, the development and implementation of the underlying</w:t>
      </w:r>
      <w:r w:rsidR="0049114B">
        <w:rPr>
          <w:szCs w:val="26"/>
        </w:rPr>
        <w:t xml:space="preserve"> Reliability</w:t>
      </w:r>
      <w:r>
        <w:rPr>
          <w:szCs w:val="26"/>
        </w:rPr>
        <w:t xml:space="preserve"> </w:t>
      </w:r>
      <w:r w:rsidR="0049114B">
        <w:rPr>
          <w:szCs w:val="26"/>
        </w:rPr>
        <w:t>S</w:t>
      </w:r>
      <w:r>
        <w:rPr>
          <w:szCs w:val="26"/>
        </w:rPr>
        <w:t>tandard requirements “involves performing a complex risk assessment process for planning and procuring BES Cyber Systems.”</w:t>
      </w:r>
      <w:r>
        <w:rPr>
          <w:rStyle w:val="FootnoteReference"/>
        </w:rPr>
        <w:footnoteReference w:id="103"/>
      </w:r>
    </w:p>
    <w:p w:rsidRPr="008517DA" w:rsidR="008517DA" w:rsidP="00360FB2" w:rsidRDefault="008517DA" w14:paraId="58825AE4" w14:textId="61FFE190">
      <w:pPr>
        <w:pStyle w:val="FERCparanumber"/>
        <w:tabs>
          <w:tab w:val="clear" w:pos="990"/>
          <w:tab w:val="num" w:pos="720"/>
        </w:tabs>
        <w:ind w:left="0"/>
      </w:pPr>
      <w:r>
        <w:t>Other commente</w:t>
      </w:r>
      <w:r w:rsidR="001A0B60">
        <w:t>rs support NERC’s proposed 18-</w:t>
      </w:r>
      <w:r>
        <w:t>month implementation period</w:t>
      </w:r>
      <w:r w:rsidR="0049114B">
        <w:t xml:space="preserve"> and contend that</w:t>
      </w:r>
      <w:r>
        <w:t xml:space="preserve"> 12 months is not enough time for responsible entities to develop and implement the plan and controls required under the supply chain risk management Reliability Standards.  EEI, Idaho Power, IRSC, MISO TOs</w:t>
      </w:r>
      <w:r w:rsidR="001A0B60">
        <w:t>,</w:t>
      </w:r>
      <w:r>
        <w:t xml:space="preserve"> and </w:t>
      </w:r>
      <w:r>
        <w:rPr>
          <w:szCs w:val="26"/>
        </w:rPr>
        <w:t xml:space="preserve">Trade Associations </w:t>
      </w:r>
      <w:r w:rsidR="00FE1946">
        <w:rPr>
          <w:szCs w:val="26"/>
        </w:rPr>
        <w:t xml:space="preserve">contend </w:t>
      </w:r>
      <w:r>
        <w:rPr>
          <w:szCs w:val="26"/>
        </w:rPr>
        <w:t>that while the Commission is correct that the requirements in the Rel</w:t>
      </w:r>
      <w:r w:rsidR="001A0B60">
        <w:rPr>
          <w:szCs w:val="26"/>
        </w:rPr>
        <w:t>iability Standards are process</w:t>
      </w:r>
      <w:r>
        <w:rPr>
          <w:szCs w:val="26"/>
        </w:rPr>
        <w:t>-based, certain requirements will require technology enhancements, as well as coordination with vendors.</w:t>
      </w:r>
      <w:r>
        <w:rPr>
          <w:rStyle w:val="FootnoteReference"/>
        </w:rPr>
        <w:footnoteReference w:id="104"/>
      </w:r>
      <w:r>
        <w:rPr>
          <w:szCs w:val="26"/>
        </w:rPr>
        <w:t xml:space="preserve">  For example, Trade Associations state that Reliability Standard CIP-005-6 will require work with vendors to facilitate the ability to disable vendor remote access, while Reliability Standard CIP-010-3 will also require technology upgrades.</w:t>
      </w:r>
      <w:r>
        <w:rPr>
          <w:rStyle w:val="FootnoteReference"/>
        </w:rPr>
        <w:footnoteReference w:id="105"/>
      </w:r>
      <w:r>
        <w:rPr>
          <w:szCs w:val="26"/>
        </w:rPr>
        <w:t xml:space="preserve">  APS does not agree with the </w:t>
      </w:r>
      <w:r w:rsidR="0049114B">
        <w:rPr>
          <w:szCs w:val="26"/>
        </w:rPr>
        <w:t xml:space="preserve">NOPR’s </w:t>
      </w:r>
      <w:r w:rsidR="001A0B60">
        <w:rPr>
          <w:szCs w:val="26"/>
        </w:rPr>
        <w:t xml:space="preserve">assessment that a </w:t>
      </w:r>
      <w:r w:rsidR="00686D2F">
        <w:rPr>
          <w:szCs w:val="26"/>
        </w:rPr>
        <w:t xml:space="preserve">          </w:t>
      </w:r>
      <w:r w:rsidR="001A0B60">
        <w:rPr>
          <w:szCs w:val="26"/>
        </w:rPr>
        <w:t>12-</w:t>
      </w:r>
      <w:r>
        <w:rPr>
          <w:szCs w:val="26"/>
        </w:rPr>
        <w:t>month implementation period is reasonable, noting the potential need for new technology and the limitations imposed by capital budget and planning cycles.</w:t>
      </w:r>
      <w:r>
        <w:rPr>
          <w:rStyle w:val="FootnoteReference"/>
        </w:rPr>
        <w:footnoteReference w:id="106"/>
      </w:r>
      <w:r w:rsidR="001827F4">
        <w:rPr>
          <w:szCs w:val="26"/>
        </w:rPr>
        <w:t xml:space="preserve"> </w:t>
      </w:r>
      <w:r>
        <w:rPr>
          <w:szCs w:val="26"/>
        </w:rPr>
        <w:t xml:space="preserve"> </w:t>
      </w:r>
      <w:r w:rsidR="001827F4">
        <w:rPr>
          <w:szCs w:val="26"/>
        </w:rPr>
        <w:t xml:space="preserve">ITC and MISO TOs argue that the Commission does not have the legal authority to modify the implementation period unilaterally for a proposed Reliability Standard.  </w:t>
      </w:r>
    </w:p>
    <w:p w:rsidR="00360FB2" w:rsidP="00015B6A" w:rsidRDefault="008517DA" w14:paraId="1BE5CCA0" w14:textId="77777777">
      <w:pPr>
        <w:pStyle w:val="FERCparanumber"/>
        <w:tabs>
          <w:tab w:val="clear" w:pos="990"/>
          <w:tab w:val="num" w:pos="720"/>
        </w:tabs>
        <w:ind w:left="0"/>
      </w:pPr>
      <w:r>
        <w:rPr>
          <w:szCs w:val="26"/>
        </w:rPr>
        <w:t>App</w:t>
      </w:r>
      <w:r w:rsidR="003C24FD">
        <w:rPr>
          <w:szCs w:val="26"/>
        </w:rPr>
        <w:t xml:space="preserve">elbaum supports </w:t>
      </w:r>
      <w:r w:rsidR="00FB66E7">
        <w:rPr>
          <w:szCs w:val="26"/>
        </w:rPr>
        <w:t xml:space="preserve">a shortened implementation period for proposed Reliability Standards </w:t>
      </w:r>
      <w:r w:rsidR="00FB66E7">
        <w:t>CIP-010-3 and CIP-005-6, for the reasons stated in the NOPR, but contends that an</w:t>
      </w:r>
      <w:r w:rsidR="003C24FD">
        <w:rPr>
          <w:szCs w:val="26"/>
        </w:rPr>
        <w:t xml:space="preserve"> 18-</w:t>
      </w:r>
      <w:r>
        <w:rPr>
          <w:szCs w:val="26"/>
        </w:rPr>
        <w:t>month implementation period for proposed Reliability Standard CIP-013-1</w:t>
      </w:r>
      <w:r w:rsidR="00FB66E7">
        <w:rPr>
          <w:szCs w:val="26"/>
        </w:rPr>
        <w:t xml:space="preserve"> is </w:t>
      </w:r>
      <w:r w:rsidR="00FE1946">
        <w:rPr>
          <w:szCs w:val="26"/>
        </w:rPr>
        <w:t xml:space="preserve">more </w:t>
      </w:r>
      <w:r w:rsidR="00FB66E7">
        <w:rPr>
          <w:szCs w:val="26"/>
        </w:rPr>
        <w:t>appropriate</w:t>
      </w:r>
      <w:r>
        <w:rPr>
          <w:szCs w:val="26"/>
        </w:rPr>
        <w:t xml:space="preserve">.  Specifically, Appelbaum notes that the proposed Reliability Standard includes new risk planning and documentation requirements that will take time to implement.  Appelbaum also </w:t>
      </w:r>
      <w:r w:rsidR="00FE1946">
        <w:rPr>
          <w:szCs w:val="26"/>
        </w:rPr>
        <w:t xml:space="preserve">contends </w:t>
      </w:r>
      <w:r>
        <w:rPr>
          <w:szCs w:val="26"/>
        </w:rPr>
        <w:t>that the risk assessment will likely involve multiple vendors and various different asset</w:t>
      </w:r>
      <w:r w:rsidR="00624AE1">
        <w:rPr>
          <w:szCs w:val="26"/>
        </w:rPr>
        <w:t>s.  Appelbaum states that an 18-</w:t>
      </w:r>
      <w:r>
        <w:rPr>
          <w:szCs w:val="26"/>
        </w:rPr>
        <w:t>month implementation period would provide the time to develop a supply chain risk management policy and associated processes, and then apply the processes to current and future procurement activities.</w:t>
      </w:r>
      <w:r>
        <w:rPr>
          <w:rStyle w:val="FootnoteReference"/>
        </w:rPr>
        <w:footnoteReference w:id="107"/>
      </w:r>
    </w:p>
    <w:p w:rsidRPr="00360FB2" w:rsidR="00360FB2" w:rsidP="00D34EBB" w:rsidRDefault="00360FB2" w14:paraId="59E7C9E6" w14:textId="77777777">
      <w:pPr>
        <w:pStyle w:val="FERCparanumber"/>
        <w:keepNext/>
        <w:numPr>
          <w:ilvl w:val="0"/>
          <w:numId w:val="0"/>
        </w:numPr>
        <w:rPr>
          <w:b/>
        </w:rPr>
      </w:pPr>
      <w:r>
        <w:tab/>
      </w:r>
      <w:r w:rsidR="00504398">
        <w:tab/>
      </w:r>
      <w:r w:rsidRPr="00BB7BF1" w:rsidR="00504398">
        <w:rPr>
          <w:b/>
        </w:rPr>
        <w:t>3.</w:t>
      </w:r>
      <w:r w:rsidR="00504398">
        <w:tab/>
      </w:r>
      <w:r w:rsidRPr="00504398">
        <w:rPr>
          <w:b/>
          <w:u w:val="single"/>
        </w:rPr>
        <w:t>Commission Determination</w:t>
      </w:r>
    </w:p>
    <w:p w:rsidRPr="00A934E3" w:rsidR="00A934E3" w:rsidP="00A934E3" w:rsidRDefault="0049114B" w14:paraId="2C396A1A" w14:textId="77777777">
      <w:pPr>
        <w:pStyle w:val="FERCparanumber"/>
        <w:tabs>
          <w:tab w:val="clear" w:pos="990"/>
          <w:tab w:val="num" w:pos="720"/>
        </w:tabs>
        <w:ind w:left="0"/>
      </w:pPr>
      <w:r>
        <w:t>W</w:t>
      </w:r>
      <w:r w:rsidRPr="0091034C" w:rsidR="0091034C">
        <w:t>e do not adopt the N</w:t>
      </w:r>
      <w:r w:rsidR="0091034C">
        <w:t xml:space="preserve">OPR proposal to reduce the implementation period </w:t>
      </w:r>
      <w:r w:rsidR="00FE1946">
        <w:t>and instead approve the implementation plan and effective date as proposed by NERC</w:t>
      </w:r>
      <w:r w:rsidR="0091034C">
        <w:t>.</w:t>
      </w:r>
      <w:r>
        <w:rPr>
          <w:szCs w:val="26"/>
        </w:rPr>
        <w:t xml:space="preserve">  </w:t>
      </w:r>
      <w:r w:rsidRPr="00A934E3" w:rsidR="00170BD4">
        <w:rPr>
          <w:szCs w:val="26"/>
        </w:rPr>
        <w:t xml:space="preserve">The NOPR proposal was </w:t>
      </w:r>
      <w:r>
        <w:rPr>
          <w:szCs w:val="26"/>
        </w:rPr>
        <w:t xml:space="preserve">largely </w:t>
      </w:r>
      <w:r w:rsidRPr="00A934E3" w:rsidR="00170BD4">
        <w:rPr>
          <w:szCs w:val="26"/>
        </w:rPr>
        <w:t xml:space="preserve">based on </w:t>
      </w:r>
      <w:r>
        <w:rPr>
          <w:szCs w:val="26"/>
        </w:rPr>
        <w:t>the premise</w:t>
      </w:r>
      <w:r w:rsidRPr="00A934E3" w:rsidR="00170BD4">
        <w:rPr>
          <w:szCs w:val="26"/>
        </w:rPr>
        <w:t xml:space="preserve"> that </w:t>
      </w:r>
      <w:r w:rsidRPr="00D31CCA" w:rsidR="00170BD4">
        <w:t>t</w:t>
      </w:r>
      <w:r w:rsidRPr="00A934E3" w:rsidR="00170BD4">
        <w:rPr>
          <w:szCs w:val="26"/>
        </w:rPr>
        <w:t xml:space="preserve">he security objectives of the </w:t>
      </w:r>
      <w:r w:rsidR="00FE1946">
        <w:t xml:space="preserve">supply chain risk management </w:t>
      </w:r>
      <w:r w:rsidRPr="00A934E3" w:rsidR="00170BD4">
        <w:rPr>
          <w:szCs w:val="26"/>
        </w:rPr>
        <w:t xml:space="preserve">Reliability Standards are process-based </w:t>
      </w:r>
      <w:r>
        <w:rPr>
          <w:szCs w:val="26"/>
        </w:rPr>
        <w:t>and do</w:t>
      </w:r>
      <w:r w:rsidRPr="00A934E3" w:rsidR="00170BD4">
        <w:rPr>
          <w:szCs w:val="26"/>
        </w:rPr>
        <w:t xml:space="preserve"> not prescribe technology that might justify </w:t>
      </w:r>
      <w:r>
        <w:rPr>
          <w:szCs w:val="26"/>
        </w:rPr>
        <w:t>a longer</w:t>
      </w:r>
      <w:r w:rsidRPr="00A934E3" w:rsidR="00170BD4">
        <w:rPr>
          <w:szCs w:val="26"/>
        </w:rPr>
        <w:t xml:space="preserve"> implementation period.  </w:t>
      </w:r>
      <w:r w:rsidR="00FE1946">
        <w:rPr>
          <w:szCs w:val="26"/>
        </w:rPr>
        <w:t>However, based on the comments, w</w:t>
      </w:r>
      <w:r>
        <w:rPr>
          <w:szCs w:val="26"/>
        </w:rPr>
        <w:t xml:space="preserve">e are persuaded </w:t>
      </w:r>
      <w:r w:rsidRPr="00A934E3" w:rsidR="00170BD4">
        <w:rPr>
          <w:szCs w:val="26"/>
        </w:rPr>
        <w:t>that technical upgrades are likely necessary to meet the security objective</w:t>
      </w:r>
      <w:r>
        <w:rPr>
          <w:szCs w:val="26"/>
        </w:rPr>
        <w:t xml:space="preserve">s of the </w:t>
      </w:r>
      <w:r>
        <w:t xml:space="preserve">supply chain risk management Reliability Standards, </w:t>
      </w:r>
      <w:r w:rsidR="00B420EC">
        <w:rPr>
          <w:szCs w:val="26"/>
        </w:rPr>
        <w:t>which could involve</w:t>
      </w:r>
      <w:r>
        <w:rPr>
          <w:szCs w:val="26"/>
        </w:rPr>
        <w:t xml:space="preserve"> longer </w:t>
      </w:r>
      <w:r w:rsidR="00FE1946">
        <w:rPr>
          <w:szCs w:val="26"/>
        </w:rPr>
        <w:t xml:space="preserve">time-horizon </w:t>
      </w:r>
      <w:r w:rsidRPr="00A934E3" w:rsidR="00170BD4">
        <w:rPr>
          <w:szCs w:val="26"/>
        </w:rPr>
        <w:t xml:space="preserve">capital budgets and planning cycles.  </w:t>
      </w:r>
    </w:p>
    <w:p w:rsidRPr="00170BD4" w:rsidR="00170BD4" w:rsidP="00A934E3" w:rsidRDefault="00170BD4" w14:paraId="31A8305A" w14:textId="77777777">
      <w:pPr>
        <w:pStyle w:val="FERCparanumber"/>
        <w:tabs>
          <w:tab w:val="clear" w:pos="990"/>
          <w:tab w:val="num" w:pos="720"/>
        </w:tabs>
        <w:ind w:left="0"/>
      </w:pPr>
      <w:r w:rsidRPr="00A934E3">
        <w:rPr>
          <w:szCs w:val="26"/>
        </w:rPr>
        <w:t>While</w:t>
      </w:r>
      <w:r w:rsidR="00FB66E7">
        <w:rPr>
          <w:szCs w:val="26"/>
        </w:rPr>
        <w:t xml:space="preserve"> the Commission could, as </w:t>
      </w:r>
      <w:r w:rsidRPr="00A934E3" w:rsidR="00FB66E7">
        <w:rPr>
          <w:szCs w:val="26"/>
        </w:rPr>
        <w:t>Appelbaum suggests</w:t>
      </w:r>
      <w:r w:rsidR="00FB66E7">
        <w:rPr>
          <w:szCs w:val="26"/>
        </w:rPr>
        <w:t xml:space="preserve">, direct an 18-month implementation period for Reliability Standard </w:t>
      </w:r>
      <w:r w:rsidR="004A355B">
        <w:rPr>
          <w:szCs w:val="26"/>
        </w:rPr>
        <w:t>CIP-013-1</w:t>
      </w:r>
      <w:r w:rsidR="00FB66E7">
        <w:rPr>
          <w:szCs w:val="26"/>
        </w:rPr>
        <w:t xml:space="preserve"> and a 12-month period for Reliability Standards </w:t>
      </w:r>
      <w:r w:rsidRPr="00A934E3">
        <w:rPr>
          <w:szCs w:val="26"/>
        </w:rPr>
        <w:t xml:space="preserve">CIP-005-6 and CIP-010-3, </w:t>
      </w:r>
      <w:r w:rsidR="00A934E3">
        <w:rPr>
          <w:szCs w:val="26"/>
        </w:rPr>
        <w:t xml:space="preserve">we </w:t>
      </w:r>
      <w:r w:rsidR="00FE1946">
        <w:rPr>
          <w:szCs w:val="26"/>
        </w:rPr>
        <w:t>conclude</w:t>
      </w:r>
      <w:r w:rsidRPr="00A934E3" w:rsidR="00FE1946">
        <w:rPr>
          <w:szCs w:val="26"/>
        </w:rPr>
        <w:t xml:space="preserve"> </w:t>
      </w:r>
      <w:r w:rsidRPr="00A934E3">
        <w:rPr>
          <w:szCs w:val="26"/>
        </w:rPr>
        <w:t xml:space="preserve">that </w:t>
      </w:r>
      <w:r w:rsidR="00FB66E7">
        <w:rPr>
          <w:szCs w:val="26"/>
        </w:rPr>
        <w:t>different</w:t>
      </w:r>
      <w:r w:rsidRPr="00A934E3" w:rsidR="00FB66E7">
        <w:rPr>
          <w:szCs w:val="26"/>
        </w:rPr>
        <w:t xml:space="preserve"> </w:t>
      </w:r>
      <w:r w:rsidRPr="00A934E3">
        <w:rPr>
          <w:szCs w:val="26"/>
        </w:rPr>
        <w:t>timeline</w:t>
      </w:r>
      <w:r w:rsidR="00FB66E7">
        <w:rPr>
          <w:szCs w:val="26"/>
        </w:rPr>
        <w:t>s</w:t>
      </w:r>
      <w:r w:rsidRPr="00A934E3">
        <w:rPr>
          <w:szCs w:val="26"/>
        </w:rPr>
        <w:t xml:space="preserve"> </w:t>
      </w:r>
      <w:r w:rsidR="00FB66E7">
        <w:rPr>
          <w:szCs w:val="26"/>
        </w:rPr>
        <w:t>c</w:t>
      </w:r>
      <w:r w:rsidRPr="00A934E3">
        <w:rPr>
          <w:szCs w:val="26"/>
        </w:rPr>
        <w:t xml:space="preserve">ould complicate implementation and potentially increase </w:t>
      </w:r>
      <w:r w:rsidR="00FB66E7">
        <w:rPr>
          <w:szCs w:val="26"/>
        </w:rPr>
        <w:t xml:space="preserve">the </w:t>
      </w:r>
      <w:r w:rsidRPr="00A934E3">
        <w:rPr>
          <w:szCs w:val="26"/>
        </w:rPr>
        <w:t xml:space="preserve">administrative burden of </w:t>
      </w:r>
      <w:r w:rsidR="00FB66E7">
        <w:rPr>
          <w:szCs w:val="26"/>
        </w:rPr>
        <w:t xml:space="preserve">implementation </w:t>
      </w:r>
      <w:r w:rsidRPr="00A934E3">
        <w:rPr>
          <w:szCs w:val="26"/>
        </w:rPr>
        <w:t xml:space="preserve">without </w:t>
      </w:r>
      <w:r w:rsidR="00FB66E7">
        <w:rPr>
          <w:szCs w:val="26"/>
        </w:rPr>
        <w:t xml:space="preserve">a </w:t>
      </w:r>
      <w:r w:rsidRPr="00A934E3">
        <w:rPr>
          <w:szCs w:val="26"/>
        </w:rPr>
        <w:t>commensurate improvement in security.</w:t>
      </w:r>
    </w:p>
    <w:p w:rsidRPr="00AF03DC" w:rsidR="00807A18" w:rsidP="00360FB2" w:rsidRDefault="00FB66E7" w14:paraId="1C53BC6C" w14:textId="77777777">
      <w:pPr>
        <w:pStyle w:val="FERCparanumber"/>
        <w:tabs>
          <w:tab w:val="clear" w:pos="990"/>
          <w:tab w:val="num" w:pos="720"/>
        </w:tabs>
        <w:ind w:left="0"/>
      </w:pPr>
      <w:r>
        <w:t>B</w:t>
      </w:r>
      <w:r w:rsidR="00A904C0">
        <w:t xml:space="preserve">ased on the discussion above, </w:t>
      </w:r>
      <w:r w:rsidRPr="0091034C" w:rsidR="00A904C0">
        <w:t>we do not adopt the N</w:t>
      </w:r>
      <w:r w:rsidR="00A904C0">
        <w:t xml:space="preserve">OPR proposal and approve NERC’s proposed implementation plan whereby the supply chain risk management Reliability Standards will be effective on the first day of the first calendar quarter that is 18 months following the effective date of </w:t>
      </w:r>
      <w:r w:rsidR="004C0E76">
        <w:t>this final rule</w:t>
      </w:r>
      <w:r w:rsidR="00A904C0">
        <w:t xml:space="preserve">.  </w:t>
      </w:r>
    </w:p>
    <w:p w:rsidRPr="004A355B" w:rsidR="00360FB2" w:rsidP="00FA4866" w:rsidRDefault="00AF03DC" w14:paraId="537038E6" w14:textId="77777777">
      <w:pPr>
        <w:pStyle w:val="Heading2"/>
        <w:numPr>
          <w:ilvl w:val="0"/>
          <w:numId w:val="32"/>
        </w:numPr>
        <w:tabs>
          <w:tab w:val="clear" w:pos="830"/>
        </w:tabs>
        <w:ind w:left="1440" w:hanging="720"/>
      </w:pPr>
      <w:r w:rsidRPr="004A355B">
        <w:t>Other Issues</w:t>
      </w:r>
      <w:r w:rsidRPr="004A355B" w:rsidR="00360FB2">
        <w:tab/>
      </w:r>
    </w:p>
    <w:p w:rsidRPr="00360FB2" w:rsidR="00360FB2" w:rsidP="00504398" w:rsidRDefault="00504398" w14:paraId="1343BC34" w14:textId="77777777">
      <w:pPr>
        <w:pStyle w:val="FERCparanumber"/>
        <w:numPr>
          <w:ilvl w:val="0"/>
          <w:numId w:val="0"/>
        </w:numPr>
        <w:ind w:left="720" w:firstLine="720"/>
        <w:rPr>
          <w:b/>
        </w:rPr>
      </w:pPr>
      <w:r>
        <w:rPr>
          <w:b/>
        </w:rPr>
        <w:t>1.</w:t>
      </w:r>
      <w:r>
        <w:rPr>
          <w:b/>
        </w:rPr>
        <w:tab/>
      </w:r>
      <w:r w:rsidRPr="00504398" w:rsidR="00360FB2">
        <w:rPr>
          <w:b/>
          <w:u w:val="single"/>
        </w:rPr>
        <w:t>Comments</w:t>
      </w:r>
    </w:p>
    <w:p w:rsidRPr="00961D54" w:rsidR="00961D54" w:rsidP="00110A7A" w:rsidRDefault="00FB66E7" w14:paraId="2897D8E7" w14:textId="77777777">
      <w:pPr>
        <w:pStyle w:val="FERCparanumber"/>
        <w:tabs>
          <w:tab w:val="clear" w:pos="990"/>
          <w:tab w:val="num" w:pos="720"/>
        </w:tabs>
        <w:ind w:left="0"/>
      </w:pPr>
      <w:r>
        <w:t>Certain</w:t>
      </w:r>
      <w:r w:rsidR="00110A7A">
        <w:t xml:space="preserve"> c</w:t>
      </w:r>
      <w:r w:rsidRPr="00961D54" w:rsidR="00961D54">
        <w:t>ommenters raise</w:t>
      </w:r>
      <w:r>
        <w:t>d</w:t>
      </w:r>
      <w:r w:rsidRPr="00961D54" w:rsidR="00961D54">
        <w:t xml:space="preserve"> additional issues </w:t>
      </w:r>
      <w:r w:rsidR="00F57EF5">
        <w:t>not addressed</w:t>
      </w:r>
      <w:r w:rsidRPr="00961D54" w:rsidR="00961D54">
        <w:t xml:space="preserve"> in the NOPR.  </w:t>
      </w:r>
      <w:r w:rsidR="00110A7A">
        <w:t>MISO TOs, APS, and Trade</w:t>
      </w:r>
      <w:r w:rsidRPr="00961D54" w:rsidR="00110A7A">
        <w:t xml:space="preserve"> Associations</w:t>
      </w:r>
      <w:r w:rsidRPr="00961D54" w:rsidR="00961D54">
        <w:t xml:space="preserve"> request</w:t>
      </w:r>
      <w:r w:rsidR="00110A7A">
        <w:t xml:space="preserve"> </w:t>
      </w:r>
      <w:r w:rsidRPr="00961D54" w:rsidR="00961D54">
        <w:t>clarificat</w:t>
      </w:r>
      <w:r w:rsidR="00110A7A">
        <w:t>ion</w:t>
      </w:r>
      <w:r w:rsidRPr="00961D54" w:rsidR="00961D54">
        <w:t xml:space="preserve"> regarding </w:t>
      </w:r>
      <w:r w:rsidR="00110A7A">
        <w:t>the term “vendor</w:t>
      </w:r>
      <w:r w:rsidRPr="00961D54" w:rsidR="00961D54">
        <w:t>.</w:t>
      </w:r>
      <w:r w:rsidR="00110A7A">
        <w:t>”</w:t>
      </w:r>
      <w:r w:rsidRPr="00961D54" w:rsidR="00961D54">
        <w:t xml:space="preserve">  </w:t>
      </w:r>
      <w:r w:rsidR="00110A7A">
        <w:t xml:space="preserve">Specifically, </w:t>
      </w:r>
      <w:r w:rsidRPr="00961D54" w:rsidR="00961D54">
        <w:t>APS seeks clarification of the definition of “vendor” and</w:t>
      </w:r>
      <w:r w:rsidR="00F57EF5">
        <w:t xml:space="preserve"> </w:t>
      </w:r>
      <w:r w:rsidRPr="00961D54" w:rsidR="00961D54">
        <w:t xml:space="preserve">on the applicability of </w:t>
      </w:r>
      <w:r w:rsidR="00110A7A">
        <w:t xml:space="preserve">Reliability Standard </w:t>
      </w:r>
      <w:r w:rsidRPr="00961D54" w:rsidR="00961D54">
        <w:t xml:space="preserve">CIP-013-1 to those vendors that would only provide services associated with a BES Cyber System that </w:t>
      </w:r>
      <w:r w:rsidR="00F57EF5">
        <w:t>is</w:t>
      </w:r>
      <w:r w:rsidRPr="00961D54" w:rsidR="00961D54">
        <w:t xml:space="preserve"> already procured and in service.</w:t>
      </w:r>
      <w:r w:rsidRPr="00961D54" w:rsidR="00961D54">
        <w:rPr>
          <w:rStyle w:val="FootnoteReference"/>
        </w:rPr>
        <w:footnoteReference w:id="108"/>
      </w:r>
      <w:r w:rsidRPr="00961D54" w:rsidR="00961D54">
        <w:t xml:space="preserve">  APS</w:t>
      </w:r>
      <w:r w:rsidR="00F57EF5">
        <w:t xml:space="preserve"> also</w:t>
      </w:r>
      <w:r w:rsidRPr="00961D54" w:rsidR="00961D54">
        <w:t xml:space="preserve"> </w:t>
      </w:r>
      <w:r w:rsidR="00110A7A">
        <w:t>seeks clarification on whether r</w:t>
      </w:r>
      <w:r w:rsidRPr="00961D54" w:rsidR="00961D54">
        <w:t xml:space="preserve">esponsible </w:t>
      </w:r>
      <w:r w:rsidR="00110A7A">
        <w:t>e</w:t>
      </w:r>
      <w:r w:rsidRPr="00961D54" w:rsidR="00961D54">
        <w:t xml:space="preserve">ntities </w:t>
      </w:r>
      <w:r w:rsidR="00F57EF5">
        <w:t>are</w:t>
      </w:r>
      <w:r w:rsidRPr="00961D54" w:rsidR="00961D54">
        <w:t xml:space="preserve"> required to perform individualized vendor assessments for every in-scope procurement activity.</w:t>
      </w:r>
      <w:r w:rsidRPr="00961D54" w:rsidR="00961D54">
        <w:rPr>
          <w:rStyle w:val="FootnoteReference"/>
        </w:rPr>
        <w:footnoteReference w:id="109"/>
      </w:r>
    </w:p>
    <w:p w:rsidRPr="00961D54" w:rsidR="00961D54" w:rsidP="00AF03DC" w:rsidRDefault="00961D54" w14:paraId="6468F0BB" w14:textId="77777777">
      <w:pPr>
        <w:pStyle w:val="FERCparanumber"/>
        <w:tabs>
          <w:tab w:val="clear" w:pos="990"/>
          <w:tab w:val="num" w:pos="720"/>
        </w:tabs>
        <w:ind w:left="0"/>
      </w:pPr>
      <w:r w:rsidRPr="00961D54">
        <w:t>MISO TOs</w:t>
      </w:r>
      <w:r w:rsidR="00FB3E61">
        <w:t xml:space="preserve"> contend</w:t>
      </w:r>
      <w:r w:rsidR="00110A7A">
        <w:t xml:space="preserve"> that</w:t>
      </w:r>
      <w:r w:rsidRPr="00961D54">
        <w:t xml:space="preserve"> the Commission should clarify that the </w:t>
      </w:r>
      <w:r w:rsidR="00110A7A">
        <w:t xml:space="preserve">supply chain risk management </w:t>
      </w:r>
      <w:r w:rsidRPr="00961D54">
        <w:t>Reliability Standards do</w:t>
      </w:r>
      <w:r w:rsidR="00110A7A">
        <w:t xml:space="preserve"> not apply to vendors</w:t>
      </w:r>
      <w:r w:rsidRPr="00961D54">
        <w:t xml:space="preserve"> and that </w:t>
      </w:r>
      <w:r w:rsidR="00110A7A">
        <w:t>r</w:t>
      </w:r>
      <w:r w:rsidRPr="00961D54">
        <w:t xml:space="preserve">esponsible </w:t>
      </w:r>
      <w:r w:rsidR="00110A7A">
        <w:t>e</w:t>
      </w:r>
      <w:r w:rsidRPr="00961D54">
        <w:t>ntities w</w:t>
      </w:r>
      <w:r w:rsidR="00110A7A">
        <w:t>ill</w:t>
      </w:r>
      <w:r w:rsidRPr="00961D54">
        <w:t xml:space="preserve"> not be responsible for vendor noncompliance. </w:t>
      </w:r>
      <w:r w:rsidR="00110A7A">
        <w:t xml:space="preserve"> MISO TOs</w:t>
      </w:r>
      <w:r w:rsidR="00FB3E61">
        <w:t xml:space="preserve"> also</w:t>
      </w:r>
      <w:r w:rsidR="00110A7A">
        <w:t xml:space="preserve"> request that the Commission clarify that r</w:t>
      </w:r>
      <w:r w:rsidRPr="00961D54">
        <w:t xml:space="preserve">esponsible </w:t>
      </w:r>
      <w:r w:rsidR="00110A7A">
        <w:t>e</w:t>
      </w:r>
      <w:r w:rsidRPr="00961D54">
        <w:t>ntities do not have any obligation to work only with compliant vendors.</w:t>
      </w:r>
      <w:r w:rsidRPr="00961D54">
        <w:rPr>
          <w:rStyle w:val="FootnoteReference"/>
        </w:rPr>
        <w:footnoteReference w:id="110"/>
      </w:r>
      <w:r w:rsidRPr="00961D54">
        <w:t xml:space="preserve">  </w:t>
      </w:r>
    </w:p>
    <w:p w:rsidRPr="00961D54" w:rsidR="00360FB2" w:rsidP="003D098B" w:rsidRDefault="00961D54" w14:paraId="28E81578" w14:textId="77777777">
      <w:pPr>
        <w:pStyle w:val="FERCparanumber"/>
        <w:tabs>
          <w:tab w:val="clear" w:pos="990"/>
          <w:tab w:val="num" w:pos="720"/>
        </w:tabs>
        <w:ind w:left="0"/>
      </w:pPr>
      <w:r w:rsidRPr="00961D54">
        <w:t>APS also seeks clarification regarding the scope of access intended within the term “system-to-system access.”</w:t>
      </w:r>
      <w:r w:rsidRPr="00961D54">
        <w:rPr>
          <w:b/>
          <w:szCs w:val="26"/>
          <w:vertAlign w:val="superscript"/>
        </w:rPr>
        <w:footnoteReference w:id="111"/>
      </w:r>
      <w:r w:rsidRPr="00622C04">
        <w:t xml:space="preserve"> </w:t>
      </w:r>
      <w:r w:rsidRPr="00961D54">
        <w:t xml:space="preserve"> As an example, APS asserts that, although there is a connection, </w:t>
      </w:r>
      <w:r w:rsidR="000F46DB">
        <w:t>U</w:t>
      </w:r>
      <w:r w:rsidRPr="00961D54">
        <w:t xml:space="preserve">ser </w:t>
      </w:r>
      <w:r w:rsidR="000F46DB">
        <w:t>D</w:t>
      </w:r>
      <w:r w:rsidRPr="00961D54">
        <w:t xml:space="preserve">atagram </w:t>
      </w:r>
      <w:r w:rsidR="000F46DB">
        <w:t>P</w:t>
      </w:r>
      <w:r w:rsidRPr="00961D54">
        <w:t>rotocol would not qualify as “system-to-system access” and seeks clarification regarding the scope of connections that would qualify as “system-to-system access.”</w:t>
      </w:r>
      <w:r w:rsidRPr="00961D54">
        <w:rPr>
          <w:b/>
          <w:vertAlign w:val="superscript"/>
        </w:rPr>
        <w:footnoteReference w:id="112"/>
      </w:r>
      <w:r w:rsidRPr="00961D54">
        <w:t xml:space="preserve">  </w:t>
      </w:r>
    </w:p>
    <w:p w:rsidRPr="00961D54" w:rsidR="00360FB2" w:rsidP="00360FB2" w:rsidRDefault="00360FB2" w14:paraId="6A8C66C5" w14:textId="77777777">
      <w:pPr>
        <w:pStyle w:val="FERCparanumber"/>
        <w:numPr>
          <w:ilvl w:val="0"/>
          <w:numId w:val="0"/>
        </w:numPr>
        <w:rPr>
          <w:b/>
        </w:rPr>
      </w:pPr>
      <w:r w:rsidRPr="00961D54">
        <w:tab/>
      </w:r>
      <w:r w:rsidRPr="00961D54" w:rsidR="00504398">
        <w:tab/>
      </w:r>
      <w:r w:rsidRPr="00BB7BF1" w:rsidR="00504398">
        <w:rPr>
          <w:b/>
        </w:rPr>
        <w:t>2.</w:t>
      </w:r>
      <w:r w:rsidRPr="00961D54" w:rsidR="00504398">
        <w:tab/>
      </w:r>
      <w:r w:rsidRPr="00961D54">
        <w:rPr>
          <w:b/>
          <w:u w:val="single"/>
        </w:rPr>
        <w:t>Commission Determination</w:t>
      </w:r>
    </w:p>
    <w:p w:rsidRPr="00283990" w:rsidR="00283990" w:rsidP="00283990" w:rsidRDefault="00F57EF5" w14:paraId="274F8D07" w14:textId="7492C7BB">
      <w:pPr>
        <w:pStyle w:val="FERCparanumber"/>
        <w:tabs>
          <w:tab w:val="clear" w:pos="990"/>
          <w:tab w:val="num" w:pos="720"/>
        </w:tabs>
        <w:ind w:left="0"/>
      </w:pPr>
      <w:r>
        <w:rPr>
          <w:szCs w:val="26"/>
        </w:rPr>
        <w:t>T</w:t>
      </w:r>
      <w:r w:rsidR="00FC6D82">
        <w:rPr>
          <w:szCs w:val="26"/>
        </w:rPr>
        <w:t xml:space="preserve">he Supplemental Materials for Reliability Standard CIP-013-1 </w:t>
      </w:r>
      <w:r>
        <w:rPr>
          <w:szCs w:val="26"/>
        </w:rPr>
        <w:t xml:space="preserve">explain the meaning of the </w:t>
      </w:r>
      <w:r w:rsidR="00FC6D82">
        <w:rPr>
          <w:szCs w:val="26"/>
        </w:rPr>
        <w:t>term “vendor.”</w:t>
      </w:r>
      <w:r w:rsidR="00911603">
        <w:rPr>
          <w:szCs w:val="26"/>
        </w:rPr>
        <w:t xml:space="preserve">  </w:t>
      </w:r>
      <w:r w:rsidR="00FC6D82">
        <w:rPr>
          <w:szCs w:val="26"/>
        </w:rPr>
        <w:t>Specifically, the Supplemental Materials state that a vendor</w:t>
      </w:r>
      <w:r w:rsidRPr="00911603" w:rsidR="007B19B9">
        <w:rPr>
          <w:szCs w:val="26"/>
        </w:rPr>
        <w:t xml:space="preserve"> </w:t>
      </w:r>
      <w:r w:rsidR="00FC6D82">
        <w:rPr>
          <w:szCs w:val="26"/>
        </w:rPr>
        <w:t>“</w:t>
      </w:r>
      <w:r w:rsidRPr="00911603" w:rsidR="007B19B9">
        <w:rPr>
          <w:szCs w:val="26"/>
        </w:rPr>
        <w:t xml:space="preserve">is limited to those persons, companies, or other organizations with whom the </w:t>
      </w:r>
      <w:r w:rsidR="00ED1CEE">
        <w:rPr>
          <w:szCs w:val="26"/>
        </w:rPr>
        <w:t>[r]</w:t>
      </w:r>
      <w:r w:rsidRPr="00911603" w:rsidR="007B19B9">
        <w:rPr>
          <w:szCs w:val="26"/>
        </w:rPr>
        <w:t xml:space="preserve">esponsible </w:t>
      </w:r>
      <w:r w:rsidR="00ED1CEE">
        <w:rPr>
          <w:szCs w:val="26"/>
        </w:rPr>
        <w:t>[e]</w:t>
      </w:r>
      <w:r w:rsidRPr="00911603" w:rsidR="007B19B9">
        <w:rPr>
          <w:szCs w:val="26"/>
        </w:rPr>
        <w:t>ntity, or its affiliates, contracts with to supply BES Cyber Systems and related services.</w:t>
      </w:r>
      <w:r w:rsidR="00171F1D">
        <w:rPr>
          <w:szCs w:val="26"/>
        </w:rPr>
        <w:t>”</w:t>
      </w:r>
      <w:r w:rsidR="00171F1D">
        <w:rPr>
          <w:rStyle w:val="FootnoteReference"/>
        </w:rPr>
        <w:footnoteReference w:id="113"/>
      </w:r>
      <w:r w:rsidRPr="00911603" w:rsidR="007B19B9">
        <w:rPr>
          <w:szCs w:val="26"/>
        </w:rPr>
        <w:t xml:space="preserve"> </w:t>
      </w:r>
      <w:r w:rsidR="00171F1D">
        <w:rPr>
          <w:szCs w:val="26"/>
        </w:rPr>
        <w:t xml:space="preserve"> The Supplemental Materials also note that a vendor, for purposes of the supply chain risk management </w:t>
      </w:r>
      <w:r w:rsidRPr="00911603" w:rsidR="0042707F">
        <w:rPr>
          <w:szCs w:val="26"/>
        </w:rPr>
        <w:t>Reliability S</w:t>
      </w:r>
      <w:r w:rsidR="00171F1D">
        <w:rPr>
          <w:szCs w:val="26"/>
        </w:rPr>
        <w:t>tandard</w:t>
      </w:r>
      <w:r w:rsidR="00FF6297">
        <w:rPr>
          <w:szCs w:val="26"/>
        </w:rPr>
        <w:t>s</w:t>
      </w:r>
      <w:r w:rsidR="00171F1D">
        <w:rPr>
          <w:szCs w:val="26"/>
        </w:rPr>
        <w:t>,</w:t>
      </w:r>
      <w:r w:rsidRPr="00911603" w:rsidR="007B19B9">
        <w:rPr>
          <w:szCs w:val="26"/>
        </w:rPr>
        <w:t xml:space="preserve"> may include: </w:t>
      </w:r>
      <w:r w:rsidR="00622C04">
        <w:rPr>
          <w:szCs w:val="26"/>
        </w:rPr>
        <w:t xml:space="preserve"> </w:t>
      </w:r>
      <w:r w:rsidRPr="00911603" w:rsidR="007B19B9">
        <w:rPr>
          <w:szCs w:val="26"/>
        </w:rPr>
        <w:t>(i) developers or manufacturers of information systems, system components, or information system services; (ii) product resellers; or (iii) system integrators.</w:t>
      </w:r>
      <w:r w:rsidRPr="00911603" w:rsidR="00EC72F6">
        <w:rPr>
          <w:rStyle w:val="FootnoteReference"/>
        </w:rPr>
        <w:footnoteReference w:id="114"/>
      </w:r>
      <w:r w:rsidRPr="00911603" w:rsidR="007B19B9">
        <w:rPr>
          <w:szCs w:val="26"/>
        </w:rPr>
        <w:t xml:space="preserve">  </w:t>
      </w:r>
    </w:p>
    <w:p w:rsidRPr="008401FB" w:rsidR="008401FB" w:rsidP="00283990" w:rsidRDefault="004C7BED" w14:paraId="31E209E1" w14:textId="3E053603">
      <w:pPr>
        <w:pStyle w:val="FERCparanumber"/>
        <w:tabs>
          <w:tab w:val="clear" w:pos="990"/>
          <w:tab w:val="num" w:pos="720"/>
        </w:tabs>
        <w:ind w:left="0"/>
      </w:pPr>
      <w:r>
        <w:rPr>
          <w:szCs w:val="26"/>
        </w:rPr>
        <w:t xml:space="preserve">With regard to vendor-related compliance concerns, </w:t>
      </w:r>
      <w:r w:rsidR="00F57EF5">
        <w:rPr>
          <w:szCs w:val="26"/>
        </w:rPr>
        <w:t xml:space="preserve">vendors are not subject to </w:t>
      </w:r>
      <w:r w:rsidR="00FF6297">
        <w:rPr>
          <w:szCs w:val="26"/>
        </w:rPr>
        <w:t xml:space="preserve">the supply chain risk management </w:t>
      </w:r>
      <w:r w:rsidRPr="00911603" w:rsidR="00FF6297">
        <w:rPr>
          <w:szCs w:val="26"/>
        </w:rPr>
        <w:t>Reliability S</w:t>
      </w:r>
      <w:r w:rsidR="00B91CC0">
        <w:rPr>
          <w:szCs w:val="26"/>
        </w:rPr>
        <w:t>tandards</w:t>
      </w:r>
      <w:r w:rsidR="00283990">
        <w:rPr>
          <w:szCs w:val="26"/>
        </w:rPr>
        <w:t>.</w:t>
      </w:r>
      <w:r w:rsidR="00C3704D">
        <w:rPr>
          <w:szCs w:val="26"/>
        </w:rPr>
        <w:t xml:space="preserve">  As NERC explains, </w:t>
      </w:r>
      <w:r w:rsidRPr="00F710F8" w:rsidR="00C3704D">
        <w:t>“the proposed Reliability Standards apply only to registered entities and do not directly impose obligations on suppliers, vendors or other entities that provide products or services to registered entities.”</w:t>
      </w:r>
      <w:r w:rsidR="00C3704D">
        <w:rPr>
          <w:rStyle w:val="FootnoteReference"/>
        </w:rPr>
        <w:footnoteReference w:id="115"/>
      </w:r>
      <w:r w:rsidR="00283990">
        <w:rPr>
          <w:szCs w:val="26"/>
        </w:rPr>
        <w:t xml:space="preserve">  </w:t>
      </w:r>
      <w:r w:rsidR="00F57EF5">
        <w:rPr>
          <w:szCs w:val="26"/>
        </w:rPr>
        <w:t>This is consistent with the Commission’s guidance in</w:t>
      </w:r>
      <w:r w:rsidR="00283990">
        <w:rPr>
          <w:szCs w:val="26"/>
        </w:rPr>
        <w:t xml:space="preserve"> </w:t>
      </w:r>
      <w:r w:rsidRPr="00283990" w:rsidR="007B19B9">
        <w:rPr>
          <w:szCs w:val="26"/>
        </w:rPr>
        <w:t xml:space="preserve">Order </w:t>
      </w:r>
      <w:r w:rsidR="00622C04">
        <w:rPr>
          <w:szCs w:val="26"/>
        </w:rPr>
        <w:t xml:space="preserve">      </w:t>
      </w:r>
      <w:r w:rsidRPr="00283990" w:rsidR="007B19B9">
        <w:rPr>
          <w:szCs w:val="26"/>
        </w:rPr>
        <w:t>No. 829</w:t>
      </w:r>
      <w:r w:rsidR="00F57EF5">
        <w:rPr>
          <w:szCs w:val="26"/>
        </w:rPr>
        <w:t xml:space="preserve"> that </w:t>
      </w:r>
      <w:r w:rsidRPr="00283990" w:rsidR="007B19B9">
        <w:rPr>
          <w:szCs w:val="26"/>
        </w:rPr>
        <w:t xml:space="preserve">“any action taken by NERC in response to the Commission’s directive to address the supply chain-related reliability gap should respect </w:t>
      </w:r>
      <w:r w:rsidRPr="00283990" w:rsidR="0042707F">
        <w:rPr>
          <w:szCs w:val="26"/>
        </w:rPr>
        <w:t>‘</w:t>
      </w:r>
      <w:r w:rsidRPr="00283990" w:rsidR="007B19B9">
        <w:rPr>
          <w:szCs w:val="26"/>
        </w:rPr>
        <w:t>section 215 jurisdiction by only addressing the obligations of responsible</w:t>
      </w:r>
      <w:r w:rsidRPr="00283990" w:rsidR="00B423D1">
        <w:rPr>
          <w:szCs w:val="26"/>
        </w:rPr>
        <w:t xml:space="preserve"> </w:t>
      </w:r>
      <w:r w:rsidRPr="00283990" w:rsidR="007B19B9">
        <w:rPr>
          <w:szCs w:val="26"/>
        </w:rPr>
        <w:t>entities</w:t>
      </w:r>
      <w:r w:rsidRPr="00283990" w:rsidR="0042707F">
        <w:rPr>
          <w:szCs w:val="26"/>
        </w:rPr>
        <w:t>’</w:t>
      </w:r>
      <w:r w:rsidRPr="00283990" w:rsidR="007B19B9">
        <w:rPr>
          <w:szCs w:val="26"/>
        </w:rPr>
        <w:t xml:space="preserve"> and </w:t>
      </w:r>
      <w:r w:rsidRPr="00283990" w:rsidR="0042707F">
        <w:rPr>
          <w:szCs w:val="26"/>
        </w:rPr>
        <w:t>‘</w:t>
      </w:r>
      <w:r w:rsidRPr="00283990" w:rsidR="007B19B9">
        <w:rPr>
          <w:szCs w:val="26"/>
        </w:rPr>
        <w:t xml:space="preserve">not directly impose obligations on suppliers, vendors or other entities that </w:t>
      </w:r>
      <w:r w:rsidRPr="00283990" w:rsidR="00B423D1">
        <w:rPr>
          <w:szCs w:val="26"/>
        </w:rPr>
        <w:t>provide products or services to responsible entities.</w:t>
      </w:r>
      <w:r w:rsidRPr="00283990" w:rsidR="00463BFD">
        <w:rPr>
          <w:szCs w:val="26"/>
        </w:rPr>
        <w:t>’”</w:t>
      </w:r>
      <w:r w:rsidRPr="00911603" w:rsidR="00B423D1">
        <w:rPr>
          <w:rStyle w:val="FootnoteReference"/>
        </w:rPr>
        <w:footnoteReference w:id="116"/>
      </w:r>
      <w:r w:rsidR="00CB4325">
        <w:rPr>
          <w:szCs w:val="26"/>
        </w:rPr>
        <w:t xml:space="preserve"> </w:t>
      </w:r>
      <w:r w:rsidR="00603B55">
        <w:rPr>
          <w:szCs w:val="26"/>
        </w:rPr>
        <w:t xml:space="preserve"> </w:t>
      </w:r>
    </w:p>
    <w:p w:rsidRPr="00AC09BA" w:rsidR="00AC09BA" w:rsidP="00283990" w:rsidRDefault="00C82012" w14:paraId="47A1C964" w14:textId="77777777">
      <w:pPr>
        <w:pStyle w:val="FERCparanumber"/>
        <w:tabs>
          <w:tab w:val="clear" w:pos="990"/>
          <w:tab w:val="num" w:pos="720"/>
        </w:tabs>
        <w:ind w:left="0"/>
      </w:pPr>
      <w:r>
        <w:rPr>
          <w:szCs w:val="26"/>
        </w:rPr>
        <w:t xml:space="preserve">As to the question </w:t>
      </w:r>
      <w:r w:rsidR="008401FB">
        <w:rPr>
          <w:szCs w:val="26"/>
        </w:rPr>
        <w:t xml:space="preserve">of responsible entity liability for vendor noncompliance, </w:t>
      </w:r>
      <w:r w:rsidR="002B0E1E">
        <w:rPr>
          <w:szCs w:val="26"/>
        </w:rPr>
        <w:t xml:space="preserve">NERC explains that </w:t>
      </w:r>
      <w:r w:rsidRPr="003B217A">
        <w:t>“any resulting obligation that a supplier, vendor or other entity accepts in providing products or services to the registered entity is a contractual matter between the registered entity and the third party outside the scope of the proposed Reliability Standard[.]”</w:t>
      </w:r>
      <w:r>
        <w:rPr>
          <w:rStyle w:val="FootnoteReference"/>
        </w:rPr>
        <w:footnoteReference w:id="117"/>
      </w:r>
      <w:r w:rsidR="008401FB">
        <w:t xml:space="preserve">  </w:t>
      </w:r>
      <w:r w:rsidR="00B95A5F">
        <w:t xml:space="preserve">The </w:t>
      </w:r>
      <w:r w:rsidR="004B29C3">
        <w:t xml:space="preserve">security objective </w:t>
      </w:r>
      <w:r w:rsidR="00B95A5F">
        <w:t>of the supply chain risk management Reliability Standards is to “</w:t>
      </w:r>
      <w:r w:rsidR="004B29C3">
        <w:t>ensure that [r]esponsible [e]</w:t>
      </w:r>
      <w:r w:rsidRPr="00993428" w:rsidR="004B29C3">
        <w:t>ntities consider the security, integrity, quality, and resilience of the supply chain, and take appropriate mitigating action when procuring BES Cyber Systems to address threats and vulnerabilities in the supply chain.</w:t>
      </w:r>
      <w:r w:rsidR="002A3270">
        <w:t>”</w:t>
      </w:r>
      <w:r w:rsidR="002A3270">
        <w:rPr>
          <w:rStyle w:val="FootnoteReference"/>
        </w:rPr>
        <w:footnoteReference w:id="118"/>
      </w:r>
      <w:r w:rsidRPr="00993428" w:rsidR="004B29C3">
        <w:t xml:space="preserve"> </w:t>
      </w:r>
      <w:r w:rsidR="00823793">
        <w:t xml:space="preserve"> Therefore, while a responsible entity is not directly liable for vendor actions, the responsible entity is required to mitigate any resulting risks.</w:t>
      </w:r>
      <w:r w:rsidR="00B336CC">
        <w:t xml:space="preserve">  Finally, the supply chain risk management Reliability Standards do not dictate a responsible entity’s contracting decision.  </w:t>
      </w:r>
    </w:p>
    <w:p w:rsidR="00AF03DC" w:rsidP="003D098B" w:rsidRDefault="00FE533C" w14:paraId="24B7D433" w14:textId="77777777">
      <w:pPr>
        <w:pStyle w:val="FERCparanumber"/>
        <w:tabs>
          <w:tab w:val="clear" w:pos="990"/>
          <w:tab w:val="num" w:pos="720"/>
        </w:tabs>
        <w:ind w:left="0"/>
      </w:pPr>
      <w:r>
        <w:rPr>
          <w:szCs w:val="26"/>
        </w:rPr>
        <w:t>As to</w:t>
      </w:r>
      <w:r w:rsidRPr="00911603" w:rsidR="00EC72F6">
        <w:rPr>
          <w:szCs w:val="26"/>
        </w:rPr>
        <w:t xml:space="preserve"> the term </w:t>
      </w:r>
      <w:r>
        <w:rPr>
          <w:szCs w:val="26"/>
        </w:rPr>
        <w:t>“</w:t>
      </w:r>
      <w:r w:rsidRPr="00FE533C" w:rsidR="00EC72F6">
        <w:rPr>
          <w:szCs w:val="26"/>
        </w:rPr>
        <w:t>system-to-system</w:t>
      </w:r>
      <w:r w:rsidRPr="00911603" w:rsidR="00EC72F6">
        <w:rPr>
          <w:szCs w:val="26"/>
        </w:rPr>
        <w:t>,</w:t>
      </w:r>
      <w:r>
        <w:rPr>
          <w:szCs w:val="26"/>
        </w:rPr>
        <w:t>”</w:t>
      </w:r>
      <w:r w:rsidRPr="00911603" w:rsidR="00EC72F6">
        <w:rPr>
          <w:szCs w:val="26"/>
        </w:rPr>
        <w:t xml:space="preserve"> NERC explains that the objective of </w:t>
      </w:r>
      <w:r>
        <w:t xml:space="preserve">Reliability Standard CIP-005-6, </w:t>
      </w:r>
      <w:r w:rsidRPr="00911603" w:rsidR="00EC72F6">
        <w:rPr>
          <w:szCs w:val="26"/>
        </w:rPr>
        <w:t>Requirement R2.4 is for entities to have visibility of active</w:t>
      </w:r>
      <w:r>
        <w:rPr>
          <w:szCs w:val="26"/>
        </w:rPr>
        <w:t xml:space="preserve"> vendor remote access sessions, </w:t>
      </w:r>
      <w:r w:rsidRPr="00911603" w:rsidR="00EC72F6">
        <w:rPr>
          <w:szCs w:val="26"/>
        </w:rPr>
        <w:t>including Interactive Remote Access and system-</w:t>
      </w:r>
      <w:r>
        <w:rPr>
          <w:szCs w:val="26"/>
        </w:rPr>
        <w:t>to-system remote access,</w:t>
      </w:r>
      <w:r w:rsidRPr="00911603" w:rsidR="00EC72F6">
        <w:rPr>
          <w:szCs w:val="26"/>
        </w:rPr>
        <w:t xml:space="preserve"> taking place on their system.</w:t>
      </w:r>
      <w:r w:rsidR="00C42B6F">
        <w:rPr>
          <w:rStyle w:val="FootnoteReference"/>
        </w:rPr>
        <w:footnoteReference w:id="119"/>
      </w:r>
      <w:r w:rsidRPr="00911603" w:rsidR="00EC72F6">
        <w:rPr>
          <w:szCs w:val="26"/>
        </w:rPr>
        <w:t xml:space="preserve"> </w:t>
      </w:r>
      <w:r w:rsidRPr="00911603" w:rsidR="00463BFD">
        <w:rPr>
          <w:szCs w:val="26"/>
        </w:rPr>
        <w:t xml:space="preserve"> </w:t>
      </w:r>
      <w:r w:rsidR="00C42B6F">
        <w:t>Reliability Standard CIP-005-6</w:t>
      </w:r>
      <w:r w:rsidRPr="00911603" w:rsidR="00EC72F6">
        <w:rPr>
          <w:szCs w:val="26"/>
        </w:rPr>
        <w:t xml:space="preserve"> requires entities to have a method to determine</w:t>
      </w:r>
      <w:r w:rsidR="00C42B6F">
        <w:rPr>
          <w:szCs w:val="26"/>
        </w:rPr>
        <w:t xml:space="preserve"> all</w:t>
      </w:r>
      <w:r w:rsidRPr="00911603" w:rsidR="00EC72F6">
        <w:rPr>
          <w:szCs w:val="26"/>
        </w:rPr>
        <w:t xml:space="preserve"> active vendor remote access sessions.</w:t>
      </w:r>
      <w:r w:rsidRPr="00911603" w:rsidR="000F58C8">
        <w:rPr>
          <w:rStyle w:val="FootnoteReference"/>
        </w:rPr>
        <w:footnoteReference w:id="120"/>
      </w:r>
      <w:r w:rsidRPr="00911603" w:rsidR="00EC72F6">
        <w:rPr>
          <w:szCs w:val="26"/>
        </w:rPr>
        <w:t xml:space="preserve"> </w:t>
      </w:r>
      <w:r w:rsidRPr="00911603" w:rsidR="000F58C8">
        <w:rPr>
          <w:szCs w:val="26"/>
        </w:rPr>
        <w:t xml:space="preserve"> </w:t>
      </w:r>
      <w:r w:rsidRPr="003D098B" w:rsidR="00ED4A73">
        <w:rPr>
          <w:szCs w:val="26"/>
        </w:rPr>
        <w:t xml:space="preserve"> </w:t>
      </w:r>
    </w:p>
    <w:p w:rsidRPr="00DE1BD5" w:rsidR="00807A18" w:rsidRDefault="00500CF6" w14:paraId="3B547E52" w14:textId="68F5EC47">
      <w:pPr>
        <w:pStyle w:val="Heading1"/>
        <w:tabs>
          <w:tab w:val="clear" w:pos="720"/>
        </w:tabs>
        <w:ind w:left="0" w:firstLine="0"/>
      </w:pPr>
      <w:bookmarkStart w:name="_Toc280101685" w:id="4"/>
      <w:r w:rsidRPr="00DE1BD5">
        <w:t>Information Collection Statement</w:t>
      </w:r>
      <w:r w:rsidR="00740196">
        <w:rPr>
          <w:b w:val="0"/>
          <w:u w:val="none"/>
        </w:rPr>
        <w:tab/>
      </w:r>
    </w:p>
    <w:p w:rsidRPr="00DE1BD5" w:rsidR="0002452E" w:rsidP="0002452E" w:rsidRDefault="0002452E" w14:paraId="337EE8CE" w14:textId="239A252F">
      <w:pPr>
        <w:pStyle w:val="StyleFERCparanumberLinespacingDouble"/>
        <w:tabs>
          <w:tab w:val="clear" w:pos="990"/>
        </w:tabs>
        <w:ind w:left="0"/>
      </w:pPr>
      <w:r w:rsidRPr="000C7614">
        <w:rPr>
          <w:szCs w:val="24"/>
        </w:rPr>
        <w:t xml:space="preserve">The FERC-725B information collection requirements </w:t>
      </w:r>
      <w:r>
        <w:rPr>
          <w:szCs w:val="24"/>
        </w:rPr>
        <w:t xml:space="preserve">contained in this Final </w:t>
      </w:r>
      <w:r w:rsidR="00E61528">
        <w:rPr>
          <w:szCs w:val="24"/>
        </w:rPr>
        <w:t xml:space="preserve">    </w:t>
      </w:r>
      <w:r>
        <w:rPr>
          <w:szCs w:val="24"/>
        </w:rPr>
        <w:t>Rule</w:t>
      </w:r>
      <w:r w:rsidRPr="000C7614">
        <w:rPr>
          <w:szCs w:val="24"/>
        </w:rPr>
        <w:t xml:space="preserve"> are subject to review by the Office of Management and Budget (OMB) under section 3507(d) of the Paperwork Reduction Act of 1995.</w:t>
      </w:r>
      <w:r w:rsidRPr="000C7614">
        <w:rPr>
          <w:b/>
          <w:szCs w:val="26"/>
          <w:vertAlign w:val="superscript"/>
        </w:rPr>
        <w:footnoteReference w:id="121"/>
      </w:r>
      <w:r w:rsidRPr="000C7614">
        <w:rPr>
          <w:szCs w:val="24"/>
        </w:rPr>
        <w:t xml:space="preserve">  OMB’s regulations require approval of certain information collection requirements imposed by agency rules.</w:t>
      </w:r>
      <w:r w:rsidRPr="000C7614">
        <w:rPr>
          <w:b/>
          <w:szCs w:val="26"/>
          <w:vertAlign w:val="superscript"/>
        </w:rPr>
        <w:footnoteReference w:id="122"/>
      </w:r>
      <w:r w:rsidRPr="000C7614">
        <w:rPr>
          <w:szCs w:val="24"/>
        </w:rPr>
        <w:t xml:space="preserve">  Upon approval of a collection of information, OMB will assign an OMB control number and expiration date.  Respondents subject to the filing requirements of this rule will not be penalized for failing to respond to these collections of information unless the collections of information display a valid OMB control number.  </w:t>
      </w:r>
      <w:r w:rsidR="007D731F">
        <w:rPr>
          <w:szCs w:val="24"/>
        </w:rPr>
        <w:t>In the NOPR, t</w:t>
      </w:r>
      <w:r w:rsidRPr="000C7614">
        <w:rPr>
          <w:szCs w:val="24"/>
        </w:rPr>
        <w:t>he Commission solicit</w:t>
      </w:r>
      <w:r w:rsidR="007D731F">
        <w:rPr>
          <w:szCs w:val="24"/>
        </w:rPr>
        <w:t>ed</w:t>
      </w:r>
      <w:r w:rsidRPr="000C7614">
        <w:rPr>
          <w:szCs w:val="24"/>
        </w:rPr>
        <w:t xml:space="preserve"> comments on the Commission’s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w:t>
      </w:r>
      <w:r w:rsidR="007D731F">
        <w:rPr>
          <w:szCs w:val="24"/>
        </w:rPr>
        <w:t xml:space="preserve">  The Commission did not receive any comments on the specific burden estimates discussed below.</w:t>
      </w:r>
    </w:p>
    <w:p w:rsidR="0002452E" w:rsidP="0002452E" w:rsidRDefault="0002452E" w14:paraId="26B5F896" w14:textId="77777777">
      <w:pPr>
        <w:pStyle w:val="FERCparanumber"/>
        <w:tabs>
          <w:tab w:val="clear" w:pos="990"/>
        </w:tabs>
        <w:ind w:left="0"/>
      </w:pPr>
      <w:r w:rsidRPr="000C7614">
        <w:t>The Commission base</w:t>
      </w:r>
      <w:r>
        <w:t>s</w:t>
      </w:r>
      <w:r w:rsidRPr="000C7614">
        <w:t xml:space="preserve"> its paperwork burden estimates on the changes in paperwork burden presented by the</w:t>
      </w:r>
      <w:r>
        <w:t xml:space="preserve"> approved CIP Reliability Standard CIP-013-1 and the approved</w:t>
      </w:r>
      <w:r w:rsidRPr="000C7614">
        <w:t xml:space="preserve"> </w:t>
      </w:r>
      <w:r>
        <w:t>revisions to CIP Reliability Standard CIP-005-6</w:t>
      </w:r>
      <w:r w:rsidRPr="000C7614">
        <w:t xml:space="preserve"> </w:t>
      </w:r>
      <w:r>
        <w:t xml:space="preserve">and CIP-010-3 </w:t>
      </w:r>
      <w:r w:rsidRPr="000C7614">
        <w:t xml:space="preserve">as compared to </w:t>
      </w:r>
      <w:r>
        <w:t>the current Commission-approved Reliability Standards CIP-005-5 and CIP-010-2, respectively</w:t>
      </w:r>
      <w:r w:rsidRPr="000C7614">
        <w:t>.  A</w:t>
      </w:r>
      <w:r>
        <w:t xml:space="preserve">s discussed above, the </w:t>
      </w:r>
      <w:r w:rsidR="007D731F">
        <w:t>f</w:t>
      </w:r>
      <w:r>
        <w:t xml:space="preserve">inal </w:t>
      </w:r>
      <w:r w:rsidR="007D731F">
        <w:t>r</w:t>
      </w:r>
      <w:r>
        <w:t>ule</w:t>
      </w:r>
      <w:r w:rsidRPr="000C7614">
        <w:t xml:space="preserve"> addresses </w:t>
      </w:r>
      <w:r>
        <w:t>several areas of</w:t>
      </w:r>
      <w:r w:rsidRPr="000C7614">
        <w:t xml:space="preserve"> the CIP </w:t>
      </w:r>
      <w:r>
        <w:t>Reliability Standards through</w:t>
      </w:r>
      <w:r>
        <w:rPr>
          <w:szCs w:val="26"/>
        </w:rPr>
        <w:t xml:space="preserve"> Reliability Standard CIP-013-1, Requirements R1, R2, and R3.  Under </w:t>
      </w:r>
      <w:r>
        <w:t xml:space="preserve">Requirement R1, responsible entities would be required to have one or more processes to address the following baseline set of security concepts, as applicable, in their procurement activities for high and medium impact BES Cyber Systems:  (1) vendor security event notification processes (Part 1.2.1); (2) coordinated incident response activities (Part 1.2.2); (3) vendor personnel termination notification for employees with access to remote and onsite systems (Part 1.2.3); (4) product/services vulnerability disclosures (Part 1.2.4); (5) verification of software integrity and authenticity (Part 1.2.5); and (6) coordination of vendor remote access controls (Part 1.2.6).  Requirement R2 mandates that each responsible entity implement its supply chain cybersecurity risk management plan.  Requirement R3 requires a responsible entity to review and obtain the CIP Senior Manager’s approval of its supply chain risk management plan at least once every 15 calendar months in order to ensure that the plan remains up-to-date.  </w:t>
      </w:r>
    </w:p>
    <w:p w:rsidRPr="00DE1BD5" w:rsidR="0002452E" w:rsidP="0002452E" w:rsidRDefault="0002452E" w14:paraId="2E0E4C7D" w14:textId="77777777">
      <w:pPr>
        <w:pStyle w:val="FERCparanumber"/>
        <w:tabs>
          <w:tab w:val="clear" w:pos="990"/>
        </w:tabs>
        <w:ind w:left="0"/>
      </w:pPr>
      <w:r>
        <w:t>Separately, Reliability Standard CIP-005-6, Requirement R2.4 requires one or more methods for determining active vendor remote access sessions, including Interactive Remote Access and system</w:t>
      </w:r>
      <w:r>
        <w:rPr>
          <w:rFonts w:ascii="Cambria Math" w:hAnsi="Cambria Math" w:cs="Cambria Math"/>
        </w:rPr>
        <w:t>‐</w:t>
      </w:r>
      <w:r>
        <w:t>to</w:t>
      </w:r>
      <w:r>
        <w:rPr>
          <w:rFonts w:ascii="Cambria Math" w:hAnsi="Cambria Math" w:cs="Cambria Math"/>
        </w:rPr>
        <w:t>‐</w:t>
      </w:r>
      <w:r>
        <w:t>system remote access.  Reliability Standard CIP-005-6, Requirement R2.5 requires one or more methods to disable active vendor remote access, including Interactive Remote Access and system</w:t>
      </w:r>
      <w:r>
        <w:rPr>
          <w:rFonts w:ascii="Cambria Math" w:hAnsi="Cambria Math" w:cs="Cambria Math"/>
        </w:rPr>
        <w:t>‐</w:t>
      </w:r>
      <w:r>
        <w:t>to</w:t>
      </w:r>
      <w:r>
        <w:rPr>
          <w:rFonts w:ascii="Cambria Math" w:hAnsi="Cambria Math" w:cs="Cambria Math"/>
        </w:rPr>
        <w:t>‐</w:t>
      </w:r>
      <w:r>
        <w:t>system remote access.  Reliability Standard CIP-010-3, Requirement R1.6 requires responsible entities to verify software integrity and authenticity in the operational phase, if the software source provides a method to do so.</w:t>
      </w:r>
    </w:p>
    <w:p w:rsidR="0002452E" w:rsidP="0002452E" w:rsidRDefault="0002452E" w14:paraId="75992183" w14:textId="77777777">
      <w:pPr>
        <w:pStyle w:val="FERCparanumber"/>
        <w:tabs>
          <w:tab w:val="clear" w:pos="990"/>
        </w:tabs>
        <w:ind w:left="0"/>
      </w:pPr>
      <w:r w:rsidRPr="00AF5F22">
        <w:t>The NERC Compliance Registry</w:t>
      </w:r>
      <w:r>
        <w:t>,</w:t>
      </w:r>
      <w:r w:rsidRPr="00AF5F22">
        <w:t xml:space="preserve"> as of </w:t>
      </w:r>
      <w:r>
        <w:t>December 2017, identifies</w:t>
      </w:r>
      <w:r w:rsidRPr="00933D1C">
        <w:t xml:space="preserve"> approximately </w:t>
      </w:r>
      <w:r w:rsidRPr="00D978BA">
        <w:t>1</w:t>
      </w:r>
      <w:r>
        <w:t>,250 unique</w:t>
      </w:r>
      <w:r w:rsidRPr="00933D1C">
        <w:t xml:space="preserve"> </w:t>
      </w:r>
      <w:r>
        <w:t>U.S. entities that are</w:t>
      </w:r>
      <w:r w:rsidRPr="00933D1C">
        <w:t xml:space="preserve"> </w:t>
      </w:r>
      <w:r>
        <w:t xml:space="preserve">subject to mandatory </w:t>
      </w:r>
      <w:r w:rsidRPr="00933D1C">
        <w:t>compliance</w:t>
      </w:r>
      <w:r>
        <w:t xml:space="preserve"> with Reliability Standards.  Of this total, we estimate that 288 entities will face an increased paperwork burden under the approved Reliability Standards CIP-013-1, CIP-005-6, and CIP-010-3.  Based on these assumptions, we estimate the following reporting burden: </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68"/>
        <w:gridCol w:w="1389"/>
        <w:gridCol w:w="1495"/>
        <w:gridCol w:w="1409"/>
        <w:gridCol w:w="1310"/>
        <w:gridCol w:w="1316"/>
        <w:gridCol w:w="1232"/>
      </w:tblGrid>
      <w:tr w:rsidRPr="007B68E0" w:rsidR="0002452E" w14:paraId="33CB6745" w14:textId="77777777">
        <w:trPr>
          <w:cantSplit/>
        </w:trPr>
        <w:tc>
          <w:tcPr>
            <w:tcW w:w="5000" w:type="pct"/>
            <w:gridSpan w:val="7"/>
            <w:tcBorders>
              <w:bottom w:val="single" w:color="auto" w:sz="4" w:space="0"/>
            </w:tcBorders>
            <w:shd w:val="clear" w:color="auto" w:fill="D9D9D9"/>
          </w:tcPr>
          <w:p w:rsidRPr="007B68E0" w:rsidR="0002452E" w:rsidP="00577503" w:rsidRDefault="0002452E" w14:paraId="0EA79115" w14:textId="77777777">
            <w:pPr>
              <w:jc w:val="center"/>
              <w:rPr>
                <w:rFonts w:eastAsia="Calibri"/>
                <w:b/>
                <w:sz w:val="20"/>
                <w:szCs w:val="20"/>
              </w:rPr>
            </w:pPr>
            <w:r w:rsidRPr="007B68E0">
              <w:rPr>
                <w:rFonts w:eastAsia="Calibri"/>
                <w:b/>
                <w:sz w:val="20"/>
                <w:szCs w:val="20"/>
              </w:rPr>
              <w:t>RM17-1</w:t>
            </w:r>
            <w:r>
              <w:rPr>
                <w:rFonts w:eastAsia="Calibri"/>
                <w:b/>
                <w:sz w:val="20"/>
                <w:szCs w:val="20"/>
              </w:rPr>
              <w:t>3</w:t>
            </w:r>
            <w:r w:rsidRPr="007B68E0">
              <w:rPr>
                <w:rFonts w:eastAsia="Calibri"/>
                <w:b/>
                <w:sz w:val="20"/>
                <w:szCs w:val="20"/>
              </w:rPr>
              <w:t xml:space="preserve">-000 </w:t>
            </w:r>
            <w:r>
              <w:rPr>
                <w:rFonts w:eastAsia="Calibri"/>
                <w:b/>
                <w:sz w:val="20"/>
                <w:szCs w:val="20"/>
              </w:rPr>
              <w:t>Final Rule</w:t>
            </w:r>
            <w:r w:rsidRPr="007B68E0">
              <w:rPr>
                <w:rFonts w:eastAsia="Calibri"/>
                <w:b/>
                <w:sz w:val="20"/>
                <w:szCs w:val="20"/>
              </w:rPr>
              <w:t xml:space="preserve"> </w:t>
            </w:r>
          </w:p>
          <w:p w:rsidRPr="007B68E0" w:rsidR="0002452E" w:rsidP="00D34EBB" w:rsidRDefault="0002452E" w14:paraId="4D759B16" w14:textId="77777777">
            <w:pPr>
              <w:keepNext/>
              <w:jc w:val="center"/>
              <w:rPr>
                <w:rFonts w:eastAsia="Calibri"/>
                <w:b/>
                <w:sz w:val="20"/>
                <w:szCs w:val="20"/>
              </w:rPr>
            </w:pPr>
            <w:r w:rsidRPr="007B68E0">
              <w:rPr>
                <w:rFonts w:eastAsia="Calibri"/>
                <w:b/>
                <w:sz w:val="20"/>
                <w:szCs w:val="20"/>
              </w:rPr>
              <w:t>(Mandatory Reliability Standards for Critical Infrastructure Protection Reliability Standards)</w:t>
            </w:r>
          </w:p>
        </w:tc>
      </w:tr>
      <w:tr w:rsidRPr="007B68E0" w:rsidR="0002452E" w14:paraId="3F1149FC" w14:textId="77777777">
        <w:trPr>
          <w:cantSplit/>
        </w:trPr>
        <w:tc>
          <w:tcPr>
            <w:tcW w:w="932" w:type="pct"/>
            <w:shd w:val="clear" w:color="auto" w:fill="D9D9D9"/>
          </w:tcPr>
          <w:p w:rsidRPr="007B68E0" w:rsidR="0002452E" w:rsidP="00577503" w:rsidRDefault="0002452E" w14:paraId="1D459876" w14:textId="77777777">
            <w:pPr>
              <w:jc w:val="center"/>
              <w:rPr>
                <w:rFonts w:eastAsia="Calibri"/>
                <w:b/>
                <w:sz w:val="20"/>
                <w:szCs w:val="20"/>
              </w:rPr>
            </w:pPr>
          </w:p>
        </w:tc>
        <w:tc>
          <w:tcPr>
            <w:tcW w:w="693" w:type="pct"/>
            <w:shd w:val="clear" w:color="auto" w:fill="D9D9D9"/>
            <w:vAlign w:val="bottom"/>
          </w:tcPr>
          <w:p w:rsidRPr="007B68E0" w:rsidR="0002452E" w:rsidP="00577503" w:rsidRDefault="0002452E" w14:paraId="11F6AAE8" w14:textId="77777777">
            <w:pPr>
              <w:jc w:val="center"/>
              <w:rPr>
                <w:rFonts w:eastAsia="Calibri"/>
                <w:b/>
                <w:sz w:val="20"/>
                <w:szCs w:val="20"/>
              </w:rPr>
            </w:pPr>
            <w:r w:rsidRPr="007B68E0">
              <w:rPr>
                <w:rFonts w:eastAsia="Calibri"/>
                <w:b/>
                <w:sz w:val="20"/>
                <w:szCs w:val="20"/>
              </w:rPr>
              <w:t>Number of Respondents</w:t>
            </w:r>
            <w:r w:rsidRPr="007B68E0">
              <w:rPr>
                <w:rFonts w:eastAsia="Calibri"/>
                <w:b/>
                <w:sz w:val="20"/>
                <w:szCs w:val="20"/>
              </w:rPr>
              <w:br/>
              <w:t>(1)</w:t>
            </w:r>
          </w:p>
        </w:tc>
        <w:tc>
          <w:tcPr>
            <w:tcW w:w="746" w:type="pct"/>
            <w:shd w:val="clear" w:color="auto" w:fill="D9D9D9"/>
            <w:vAlign w:val="bottom"/>
          </w:tcPr>
          <w:p w:rsidRPr="007B68E0" w:rsidR="0002452E" w:rsidP="00577503" w:rsidRDefault="0002452E" w14:paraId="3F07370F" w14:textId="77777777">
            <w:pPr>
              <w:jc w:val="center"/>
              <w:rPr>
                <w:rFonts w:eastAsia="Calibri"/>
                <w:b/>
                <w:sz w:val="20"/>
                <w:szCs w:val="20"/>
              </w:rPr>
            </w:pPr>
            <w:r w:rsidRPr="007B68E0">
              <w:rPr>
                <w:rFonts w:eastAsia="Calibri"/>
                <w:b/>
                <w:sz w:val="20"/>
                <w:szCs w:val="20"/>
              </w:rPr>
              <w:t>Annual Number of Responses per Respondent</w:t>
            </w:r>
          </w:p>
          <w:p w:rsidRPr="007B68E0" w:rsidR="0002452E" w:rsidP="00577503" w:rsidRDefault="0002452E" w14:paraId="12D81DCF" w14:textId="77777777">
            <w:pPr>
              <w:jc w:val="center"/>
              <w:rPr>
                <w:rFonts w:eastAsia="Calibri"/>
                <w:b/>
                <w:sz w:val="20"/>
                <w:szCs w:val="20"/>
              </w:rPr>
            </w:pPr>
            <w:r w:rsidRPr="007B68E0">
              <w:rPr>
                <w:rFonts w:eastAsia="Calibri"/>
                <w:b/>
                <w:sz w:val="20"/>
                <w:szCs w:val="20"/>
              </w:rPr>
              <w:t>(2)</w:t>
            </w:r>
          </w:p>
        </w:tc>
        <w:tc>
          <w:tcPr>
            <w:tcW w:w="703" w:type="pct"/>
            <w:shd w:val="clear" w:color="auto" w:fill="D9D9D9"/>
            <w:vAlign w:val="bottom"/>
          </w:tcPr>
          <w:p w:rsidRPr="007B68E0" w:rsidR="0002452E" w:rsidP="00577503" w:rsidRDefault="0002452E" w14:paraId="07FC3C22" w14:textId="77777777">
            <w:pPr>
              <w:jc w:val="center"/>
              <w:rPr>
                <w:rFonts w:eastAsia="Calibri"/>
                <w:b/>
                <w:sz w:val="20"/>
                <w:szCs w:val="20"/>
              </w:rPr>
            </w:pPr>
            <w:r w:rsidRPr="007B68E0">
              <w:rPr>
                <w:rFonts w:eastAsia="Calibri"/>
                <w:b/>
                <w:sz w:val="20"/>
                <w:szCs w:val="20"/>
              </w:rPr>
              <w:t>Total Number of Responses (1)*(2)=(3)</w:t>
            </w:r>
          </w:p>
        </w:tc>
        <w:tc>
          <w:tcPr>
            <w:tcW w:w="654" w:type="pct"/>
            <w:shd w:val="clear" w:color="auto" w:fill="D9D9D9"/>
            <w:vAlign w:val="bottom"/>
          </w:tcPr>
          <w:p w:rsidRPr="007B68E0" w:rsidR="0002452E" w:rsidP="00577503" w:rsidRDefault="0002452E" w14:paraId="729BA516" w14:textId="77777777">
            <w:pPr>
              <w:jc w:val="center"/>
              <w:rPr>
                <w:rFonts w:eastAsia="Calibri"/>
                <w:b/>
                <w:sz w:val="20"/>
                <w:szCs w:val="20"/>
              </w:rPr>
            </w:pPr>
            <w:r w:rsidRPr="007B68E0">
              <w:rPr>
                <w:rFonts w:eastAsia="Calibri"/>
                <w:b/>
                <w:sz w:val="20"/>
                <w:szCs w:val="20"/>
              </w:rPr>
              <w:t>Average Burden &amp; Cost Per Response</w:t>
            </w:r>
            <w:r w:rsidRPr="007B68E0">
              <w:rPr>
                <w:rFonts w:eastAsia="Calibri"/>
                <w:b/>
                <w:sz w:val="20"/>
                <w:szCs w:val="20"/>
                <w:vertAlign w:val="superscript"/>
              </w:rPr>
              <w:footnoteReference w:id="123"/>
            </w:r>
          </w:p>
          <w:p w:rsidRPr="007B68E0" w:rsidR="0002452E" w:rsidP="00577503" w:rsidRDefault="0002452E" w14:paraId="58193ACC" w14:textId="77777777">
            <w:pPr>
              <w:jc w:val="center"/>
              <w:rPr>
                <w:rFonts w:eastAsia="Calibri"/>
                <w:b/>
                <w:sz w:val="20"/>
                <w:szCs w:val="20"/>
              </w:rPr>
            </w:pPr>
            <w:r w:rsidRPr="007B68E0">
              <w:rPr>
                <w:rFonts w:eastAsia="Calibri"/>
                <w:b/>
                <w:sz w:val="20"/>
                <w:szCs w:val="20"/>
              </w:rPr>
              <w:t>(4)</w:t>
            </w:r>
          </w:p>
        </w:tc>
        <w:tc>
          <w:tcPr>
            <w:tcW w:w="657" w:type="pct"/>
            <w:shd w:val="clear" w:color="auto" w:fill="D9D9D9"/>
            <w:vAlign w:val="bottom"/>
          </w:tcPr>
          <w:p w:rsidRPr="007B68E0" w:rsidR="0002452E" w:rsidP="00577503" w:rsidRDefault="0002452E" w14:paraId="5AF17D0C" w14:textId="77777777">
            <w:pPr>
              <w:jc w:val="center"/>
              <w:rPr>
                <w:rFonts w:eastAsia="Calibri"/>
                <w:b/>
                <w:sz w:val="20"/>
                <w:szCs w:val="20"/>
              </w:rPr>
            </w:pPr>
            <w:r w:rsidRPr="007B68E0">
              <w:rPr>
                <w:rFonts w:eastAsia="Calibri"/>
                <w:b/>
                <w:sz w:val="20"/>
                <w:szCs w:val="20"/>
              </w:rPr>
              <w:t>Total Annual Burden Hours &amp; Total Annual Cost</w:t>
            </w:r>
          </w:p>
          <w:p w:rsidRPr="007B68E0" w:rsidR="0002452E" w:rsidP="00577503" w:rsidRDefault="0002452E" w14:paraId="7D57267F" w14:textId="77777777">
            <w:pPr>
              <w:jc w:val="center"/>
              <w:rPr>
                <w:rFonts w:eastAsia="Calibri"/>
                <w:b/>
                <w:sz w:val="20"/>
                <w:szCs w:val="20"/>
              </w:rPr>
            </w:pPr>
            <w:r w:rsidRPr="007B68E0">
              <w:rPr>
                <w:rFonts w:eastAsia="Calibri"/>
                <w:b/>
                <w:sz w:val="20"/>
                <w:szCs w:val="20"/>
              </w:rPr>
              <w:t>(3)*(4)=(5)</w:t>
            </w:r>
          </w:p>
        </w:tc>
        <w:tc>
          <w:tcPr>
            <w:tcW w:w="615" w:type="pct"/>
            <w:shd w:val="clear" w:color="auto" w:fill="D9D9D9"/>
            <w:vAlign w:val="bottom"/>
          </w:tcPr>
          <w:p w:rsidRPr="007B68E0" w:rsidR="0002452E" w:rsidP="00577503" w:rsidRDefault="0002452E" w14:paraId="136CE0FB" w14:textId="77777777">
            <w:pPr>
              <w:jc w:val="center"/>
              <w:rPr>
                <w:rFonts w:eastAsia="Calibri"/>
                <w:b/>
                <w:sz w:val="20"/>
                <w:szCs w:val="20"/>
              </w:rPr>
            </w:pPr>
            <w:r w:rsidRPr="007B68E0">
              <w:rPr>
                <w:rFonts w:eastAsia="Calibri"/>
                <w:b/>
                <w:sz w:val="20"/>
                <w:szCs w:val="20"/>
              </w:rPr>
              <w:t>Cost per Respondent</w:t>
            </w:r>
          </w:p>
          <w:p w:rsidRPr="007B68E0" w:rsidR="0002452E" w:rsidP="00577503" w:rsidRDefault="0002452E" w14:paraId="52FFC6FD" w14:textId="77777777">
            <w:pPr>
              <w:jc w:val="center"/>
              <w:rPr>
                <w:rFonts w:eastAsia="Calibri"/>
                <w:b/>
                <w:sz w:val="20"/>
                <w:szCs w:val="20"/>
              </w:rPr>
            </w:pPr>
            <w:r w:rsidRPr="007B68E0">
              <w:rPr>
                <w:rFonts w:eastAsia="Calibri"/>
                <w:b/>
                <w:sz w:val="20"/>
                <w:szCs w:val="20"/>
              </w:rPr>
              <w:t xml:space="preserve"> ($)</w:t>
            </w:r>
          </w:p>
          <w:p w:rsidRPr="007B68E0" w:rsidR="0002452E" w:rsidP="00577503" w:rsidRDefault="0002452E" w14:paraId="3981AE87" w14:textId="77777777">
            <w:pPr>
              <w:jc w:val="center"/>
              <w:rPr>
                <w:rFonts w:eastAsia="Calibri"/>
                <w:b/>
                <w:sz w:val="20"/>
                <w:szCs w:val="20"/>
              </w:rPr>
            </w:pPr>
            <w:r w:rsidRPr="007B68E0">
              <w:rPr>
                <w:rFonts w:eastAsia="Calibri"/>
                <w:b/>
                <w:sz w:val="20"/>
                <w:szCs w:val="20"/>
              </w:rPr>
              <w:t>(5)÷(1)</w:t>
            </w:r>
          </w:p>
        </w:tc>
      </w:tr>
      <w:tr w:rsidRPr="007B68E0" w:rsidR="0002452E" w14:paraId="2990D100" w14:textId="77777777">
        <w:trPr>
          <w:cantSplit/>
        </w:trPr>
        <w:tc>
          <w:tcPr>
            <w:tcW w:w="932" w:type="pct"/>
          </w:tcPr>
          <w:p w:rsidRPr="007B68E0" w:rsidR="0002452E" w:rsidP="00577503" w:rsidRDefault="0002452E" w14:paraId="15501354" w14:textId="77777777">
            <w:pPr>
              <w:rPr>
                <w:rFonts w:eastAsia="Calibri"/>
                <w:sz w:val="20"/>
                <w:szCs w:val="20"/>
              </w:rPr>
            </w:pPr>
            <w:r>
              <w:rPr>
                <w:rFonts w:eastAsia="Calibri"/>
                <w:sz w:val="20"/>
                <w:szCs w:val="20"/>
              </w:rPr>
              <w:t>Create supply chain risk management</w:t>
            </w:r>
            <w:r w:rsidRPr="007B68E0">
              <w:rPr>
                <w:rFonts w:eastAsia="Calibri"/>
                <w:sz w:val="20"/>
                <w:szCs w:val="20"/>
              </w:rPr>
              <w:t xml:space="preserve"> plan</w:t>
            </w:r>
          </w:p>
          <w:p w:rsidR="0002452E" w:rsidP="00577503" w:rsidRDefault="0002452E" w14:paraId="3C023BA2" w14:textId="77777777">
            <w:pPr>
              <w:rPr>
                <w:rFonts w:eastAsia="Calibri"/>
                <w:sz w:val="20"/>
                <w:szCs w:val="20"/>
              </w:rPr>
            </w:pPr>
            <w:r w:rsidRPr="007B68E0">
              <w:rPr>
                <w:rFonts w:eastAsia="Calibri"/>
                <w:sz w:val="20"/>
                <w:szCs w:val="20"/>
              </w:rPr>
              <w:t>(one-time)</w:t>
            </w:r>
            <w:bookmarkStart w:name="_Ref494875942" w:id="5"/>
            <w:r w:rsidRPr="007B68E0">
              <w:rPr>
                <w:rFonts w:eastAsia="Calibri"/>
                <w:b/>
                <w:sz w:val="20"/>
                <w:szCs w:val="20"/>
                <w:vertAlign w:val="superscript"/>
              </w:rPr>
              <w:footnoteReference w:id="124"/>
            </w:r>
            <w:bookmarkEnd w:id="5"/>
          </w:p>
          <w:p w:rsidRPr="007B68E0" w:rsidR="0002452E" w:rsidP="00577503" w:rsidRDefault="0002452E" w14:paraId="3CB67F95" w14:textId="77777777">
            <w:pPr>
              <w:rPr>
                <w:rFonts w:eastAsia="Calibri"/>
                <w:sz w:val="20"/>
                <w:szCs w:val="20"/>
              </w:rPr>
            </w:pPr>
            <w:r>
              <w:rPr>
                <w:rFonts w:eastAsia="Calibri"/>
                <w:sz w:val="20"/>
                <w:szCs w:val="20"/>
              </w:rPr>
              <w:t>(CIP-013-1 R1)</w:t>
            </w:r>
          </w:p>
        </w:tc>
        <w:tc>
          <w:tcPr>
            <w:tcW w:w="693" w:type="pct"/>
          </w:tcPr>
          <w:p w:rsidRPr="007B68E0" w:rsidR="0002452E" w:rsidP="00577503" w:rsidRDefault="0002452E" w14:paraId="404946C7" w14:textId="77777777">
            <w:pPr>
              <w:jc w:val="right"/>
              <w:rPr>
                <w:rFonts w:eastAsia="Calibri"/>
                <w:sz w:val="20"/>
                <w:szCs w:val="20"/>
              </w:rPr>
            </w:pPr>
            <w:r>
              <w:rPr>
                <w:rFonts w:eastAsia="Calibri"/>
                <w:sz w:val="20"/>
                <w:szCs w:val="20"/>
              </w:rPr>
              <w:t>288</w:t>
            </w:r>
          </w:p>
          <w:p w:rsidRPr="007B68E0" w:rsidR="0002452E" w:rsidP="00577503" w:rsidRDefault="0002452E" w14:paraId="562D1D5A" w14:textId="77777777">
            <w:pPr>
              <w:jc w:val="right"/>
              <w:rPr>
                <w:rFonts w:eastAsia="Calibri"/>
                <w:sz w:val="20"/>
                <w:szCs w:val="20"/>
              </w:rPr>
            </w:pPr>
          </w:p>
        </w:tc>
        <w:tc>
          <w:tcPr>
            <w:tcW w:w="746" w:type="pct"/>
          </w:tcPr>
          <w:p w:rsidRPr="007B68E0" w:rsidR="0002452E" w:rsidP="00577503" w:rsidRDefault="0002452E" w14:paraId="1BCBF677" w14:textId="77777777">
            <w:pPr>
              <w:jc w:val="right"/>
              <w:rPr>
                <w:rFonts w:eastAsia="Calibri"/>
                <w:sz w:val="20"/>
                <w:szCs w:val="20"/>
              </w:rPr>
            </w:pPr>
            <w:r w:rsidRPr="007B68E0">
              <w:rPr>
                <w:rFonts w:eastAsia="Calibri"/>
                <w:sz w:val="20"/>
                <w:szCs w:val="20"/>
              </w:rPr>
              <w:t>1</w:t>
            </w:r>
          </w:p>
        </w:tc>
        <w:tc>
          <w:tcPr>
            <w:tcW w:w="703" w:type="pct"/>
          </w:tcPr>
          <w:p w:rsidRPr="007B68E0" w:rsidR="0002452E" w:rsidP="00577503" w:rsidRDefault="0002452E" w14:paraId="7ABAF4DD" w14:textId="77777777">
            <w:pPr>
              <w:jc w:val="right"/>
              <w:rPr>
                <w:rFonts w:eastAsia="Calibri"/>
                <w:sz w:val="20"/>
                <w:szCs w:val="20"/>
              </w:rPr>
            </w:pPr>
            <w:r>
              <w:rPr>
                <w:rFonts w:eastAsia="Calibri"/>
                <w:sz w:val="20"/>
                <w:szCs w:val="20"/>
              </w:rPr>
              <w:t>288</w:t>
            </w:r>
          </w:p>
        </w:tc>
        <w:tc>
          <w:tcPr>
            <w:tcW w:w="654" w:type="pct"/>
          </w:tcPr>
          <w:p w:rsidRPr="007B68E0" w:rsidR="0002452E" w:rsidP="00577503" w:rsidRDefault="0002452E" w14:paraId="7150C6FB" w14:textId="77777777">
            <w:pPr>
              <w:jc w:val="right"/>
              <w:rPr>
                <w:rFonts w:eastAsia="Calibri"/>
                <w:sz w:val="20"/>
                <w:szCs w:val="20"/>
              </w:rPr>
            </w:pPr>
            <w:r>
              <w:rPr>
                <w:rFonts w:eastAsia="Calibri"/>
                <w:sz w:val="20"/>
                <w:szCs w:val="20"/>
              </w:rPr>
              <w:t>546</w:t>
            </w:r>
            <w:r w:rsidRPr="007B68E0">
              <w:rPr>
                <w:rFonts w:eastAsia="Calibri"/>
                <w:sz w:val="20"/>
                <w:szCs w:val="20"/>
              </w:rPr>
              <w:t xml:space="preserve"> hrs.;</w:t>
            </w:r>
          </w:p>
          <w:p w:rsidRPr="007B68E0" w:rsidR="0002452E" w:rsidP="00577503" w:rsidRDefault="0002452E" w14:paraId="42EE7F66" w14:textId="77777777">
            <w:pPr>
              <w:jc w:val="right"/>
              <w:rPr>
                <w:rFonts w:eastAsia="Calibri"/>
                <w:sz w:val="20"/>
                <w:szCs w:val="20"/>
              </w:rPr>
            </w:pPr>
            <w:r w:rsidRPr="007B68E0">
              <w:rPr>
                <w:rFonts w:eastAsia="Calibri"/>
                <w:sz w:val="20"/>
                <w:szCs w:val="20"/>
              </w:rPr>
              <w:t>$</w:t>
            </w:r>
            <w:r>
              <w:rPr>
                <w:rFonts w:eastAsia="Calibri"/>
                <w:sz w:val="20"/>
                <w:szCs w:val="20"/>
              </w:rPr>
              <w:t>44,226</w:t>
            </w:r>
          </w:p>
        </w:tc>
        <w:tc>
          <w:tcPr>
            <w:tcW w:w="657" w:type="pct"/>
          </w:tcPr>
          <w:p w:rsidRPr="007B68E0" w:rsidR="0002452E" w:rsidP="00577503" w:rsidRDefault="0002452E" w14:paraId="529A3B67" w14:textId="77777777">
            <w:pPr>
              <w:jc w:val="right"/>
              <w:rPr>
                <w:rFonts w:eastAsia="Calibri"/>
                <w:sz w:val="20"/>
                <w:szCs w:val="20"/>
              </w:rPr>
            </w:pPr>
            <w:r w:rsidRPr="007B68E0">
              <w:rPr>
                <w:rFonts w:eastAsia="Calibri"/>
                <w:sz w:val="20"/>
                <w:szCs w:val="20"/>
              </w:rPr>
              <w:t xml:space="preserve"> </w:t>
            </w:r>
            <w:r>
              <w:rPr>
                <w:rFonts w:eastAsia="Calibri"/>
                <w:sz w:val="20"/>
                <w:szCs w:val="20"/>
              </w:rPr>
              <w:t>157</w:t>
            </w:r>
            <w:r w:rsidRPr="007B68E0">
              <w:rPr>
                <w:rFonts w:eastAsia="Calibri"/>
                <w:sz w:val="20"/>
                <w:szCs w:val="20"/>
              </w:rPr>
              <w:t>,</w:t>
            </w:r>
            <w:r>
              <w:rPr>
                <w:rFonts w:eastAsia="Calibri"/>
                <w:sz w:val="20"/>
                <w:szCs w:val="20"/>
              </w:rPr>
              <w:t>248</w:t>
            </w:r>
            <w:r w:rsidRPr="007B68E0">
              <w:rPr>
                <w:rFonts w:eastAsia="Calibri"/>
                <w:sz w:val="20"/>
                <w:szCs w:val="20"/>
              </w:rPr>
              <w:t xml:space="preserve"> hrs.;</w:t>
            </w:r>
          </w:p>
          <w:p w:rsidRPr="007B68E0" w:rsidR="0002452E" w:rsidP="00577503" w:rsidRDefault="0002452E" w14:paraId="01E5C5F9" w14:textId="77777777">
            <w:pPr>
              <w:jc w:val="right"/>
              <w:rPr>
                <w:rFonts w:eastAsia="Calibri"/>
                <w:sz w:val="20"/>
                <w:szCs w:val="20"/>
              </w:rPr>
            </w:pPr>
            <w:r w:rsidRPr="007B68E0">
              <w:rPr>
                <w:rFonts w:eastAsia="Calibri"/>
                <w:sz w:val="20"/>
                <w:szCs w:val="20"/>
              </w:rPr>
              <w:t>$</w:t>
            </w:r>
            <w:r>
              <w:rPr>
                <w:rFonts w:eastAsia="Calibri"/>
                <w:sz w:val="20"/>
                <w:szCs w:val="20"/>
              </w:rPr>
              <w:t>12</w:t>
            </w:r>
            <w:r w:rsidRPr="007B68E0">
              <w:rPr>
                <w:rFonts w:eastAsia="Calibri"/>
                <w:sz w:val="20"/>
                <w:szCs w:val="20"/>
              </w:rPr>
              <w:t>,</w:t>
            </w:r>
            <w:r>
              <w:rPr>
                <w:rFonts w:eastAsia="Calibri"/>
                <w:sz w:val="20"/>
                <w:szCs w:val="20"/>
              </w:rPr>
              <w:t>737,088</w:t>
            </w:r>
            <w:r w:rsidRPr="007B68E0">
              <w:rPr>
                <w:rFonts w:eastAsia="Calibri"/>
                <w:sz w:val="20"/>
                <w:szCs w:val="20"/>
              </w:rPr>
              <w:t xml:space="preserve"> </w:t>
            </w:r>
          </w:p>
        </w:tc>
        <w:tc>
          <w:tcPr>
            <w:tcW w:w="615" w:type="pct"/>
          </w:tcPr>
          <w:p w:rsidRPr="007B68E0" w:rsidR="0002452E" w:rsidP="00577503" w:rsidRDefault="0002452E" w14:paraId="66E895FB" w14:textId="77777777">
            <w:pPr>
              <w:jc w:val="right"/>
              <w:rPr>
                <w:rFonts w:eastAsia="Calibri"/>
                <w:sz w:val="20"/>
                <w:szCs w:val="20"/>
              </w:rPr>
            </w:pPr>
            <w:r w:rsidRPr="007B68E0">
              <w:rPr>
                <w:rFonts w:eastAsia="Calibri"/>
                <w:sz w:val="20"/>
                <w:szCs w:val="20"/>
              </w:rPr>
              <w:t>$</w:t>
            </w:r>
            <w:r>
              <w:rPr>
                <w:rFonts w:eastAsia="Calibri"/>
                <w:sz w:val="20"/>
                <w:szCs w:val="20"/>
              </w:rPr>
              <w:t>44</w:t>
            </w:r>
            <w:r w:rsidRPr="007B68E0">
              <w:rPr>
                <w:rFonts w:eastAsia="Calibri"/>
                <w:sz w:val="20"/>
                <w:szCs w:val="20"/>
              </w:rPr>
              <w:t>,</w:t>
            </w:r>
            <w:r>
              <w:rPr>
                <w:rFonts w:eastAsia="Calibri"/>
                <w:sz w:val="20"/>
                <w:szCs w:val="20"/>
              </w:rPr>
              <w:t>226</w:t>
            </w:r>
          </w:p>
          <w:p w:rsidRPr="007B68E0" w:rsidR="0002452E" w:rsidP="00577503" w:rsidRDefault="0002452E" w14:paraId="03CEA4B1" w14:textId="77777777">
            <w:pPr>
              <w:jc w:val="right"/>
              <w:rPr>
                <w:rFonts w:eastAsia="Calibri"/>
                <w:sz w:val="20"/>
                <w:szCs w:val="20"/>
              </w:rPr>
            </w:pPr>
          </w:p>
        </w:tc>
      </w:tr>
      <w:tr w:rsidRPr="007B68E0" w:rsidR="0002452E" w14:paraId="238E6FD5" w14:textId="77777777">
        <w:trPr>
          <w:cantSplit/>
        </w:trPr>
        <w:tc>
          <w:tcPr>
            <w:tcW w:w="932" w:type="pct"/>
          </w:tcPr>
          <w:p w:rsidRPr="007B68E0" w:rsidR="0002452E" w:rsidP="00577503" w:rsidRDefault="0002452E" w14:paraId="33AEB768" w14:textId="77777777">
            <w:pPr>
              <w:rPr>
                <w:rFonts w:eastAsia="Calibri"/>
                <w:sz w:val="20"/>
                <w:szCs w:val="20"/>
              </w:rPr>
            </w:pPr>
            <w:r>
              <w:rPr>
                <w:rFonts w:eastAsia="Calibri"/>
                <w:sz w:val="20"/>
                <w:szCs w:val="20"/>
              </w:rPr>
              <w:t>Updates and reviews of supply chain risk management plan</w:t>
            </w:r>
          </w:p>
          <w:p w:rsidR="0002452E" w:rsidP="00577503" w:rsidRDefault="0002452E" w14:paraId="50BED26B" w14:textId="77777777">
            <w:pPr>
              <w:rPr>
                <w:rFonts w:eastAsia="Calibri"/>
                <w:sz w:val="20"/>
                <w:szCs w:val="20"/>
              </w:rPr>
            </w:pPr>
            <w:r w:rsidRPr="007B68E0">
              <w:rPr>
                <w:rFonts w:eastAsia="Calibri"/>
                <w:sz w:val="20"/>
                <w:szCs w:val="20"/>
              </w:rPr>
              <w:t>(ongoing)</w:t>
            </w:r>
            <w:bookmarkStart w:name="_Ref494875969" w:id="6"/>
            <w:r w:rsidRPr="007B68E0">
              <w:rPr>
                <w:rFonts w:eastAsia="Calibri"/>
                <w:b/>
                <w:sz w:val="20"/>
                <w:szCs w:val="20"/>
                <w:vertAlign w:val="superscript"/>
              </w:rPr>
              <w:footnoteReference w:id="125"/>
            </w:r>
            <w:bookmarkEnd w:id="6"/>
          </w:p>
          <w:p w:rsidRPr="007B68E0" w:rsidR="0002452E" w:rsidP="00577503" w:rsidRDefault="0002452E" w14:paraId="439B3135" w14:textId="77777777">
            <w:pPr>
              <w:rPr>
                <w:rFonts w:eastAsia="Calibri"/>
                <w:sz w:val="20"/>
                <w:szCs w:val="20"/>
              </w:rPr>
            </w:pPr>
            <w:r>
              <w:rPr>
                <w:rFonts w:eastAsia="Calibri"/>
                <w:sz w:val="20"/>
                <w:szCs w:val="20"/>
              </w:rPr>
              <w:t>(CIP-013-1 R2)</w:t>
            </w:r>
          </w:p>
        </w:tc>
        <w:tc>
          <w:tcPr>
            <w:tcW w:w="693" w:type="pct"/>
          </w:tcPr>
          <w:p w:rsidRPr="007B68E0" w:rsidR="0002452E" w:rsidP="00577503" w:rsidRDefault="0002452E" w14:paraId="33BB8C08" w14:textId="77777777">
            <w:pPr>
              <w:jc w:val="right"/>
              <w:rPr>
                <w:rFonts w:eastAsia="Calibri"/>
                <w:sz w:val="20"/>
                <w:szCs w:val="20"/>
              </w:rPr>
            </w:pPr>
            <w:r>
              <w:rPr>
                <w:rFonts w:eastAsia="Calibri"/>
                <w:sz w:val="20"/>
                <w:szCs w:val="20"/>
              </w:rPr>
              <w:t>288</w:t>
            </w:r>
          </w:p>
        </w:tc>
        <w:tc>
          <w:tcPr>
            <w:tcW w:w="746" w:type="pct"/>
          </w:tcPr>
          <w:p w:rsidRPr="007B68E0" w:rsidR="0002452E" w:rsidP="00577503" w:rsidRDefault="0002452E" w14:paraId="3CF7D736" w14:textId="77777777">
            <w:pPr>
              <w:jc w:val="right"/>
              <w:rPr>
                <w:rFonts w:eastAsia="Calibri"/>
                <w:sz w:val="20"/>
                <w:szCs w:val="20"/>
              </w:rPr>
            </w:pPr>
            <w:r>
              <w:rPr>
                <w:rFonts w:eastAsia="Calibri"/>
                <w:sz w:val="20"/>
                <w:szCs w:val="20"/>
              </w:rPr>
              <w:t>1</w:t>
            </w:r>
          </w:p>
        </w:tc>
        <w:tc>
          <w:tcPr>
            <w:tcW w:w="703" w:type="pct"/>
          </w:tcPr>
          <w:p w:rsidRPr="007B68E0" w:rsidR="0002452E" w:rsidP="00577503" w:rsidRDefault="0002452E" w14:paraId="0B081753" w14:textId="77777777">
            <w:pPr>
              <w:jc w:val="right"/>
              <w:rPr>
                <w:rFonts w:eastAsia="Calibri"/>
                <w:sz w:val="20"/>
                <w:szCs w:val="20"/>
              </w:rPr>
            </w:pPr>
            <w:r>
              <w:rPr>
                <w:rFonts w:eastAsia="Calibri"/>
                <w:sz w:val="20"/>
                <w:szCs w:val="20"/>
              </w:rPr>
              <w:t>288</w:t>
            </w:r>
          </w:p>
        </w:tc>
        <w:tc>
          <w:tcPr>
            <w:tcW w:w="654" w:type="pct"/>
          </w:tcPr>
          <w:p w:rsidRPr="007B68E0" w:rsidR="0002452E" w:rsidP="00577503" w:rsidRDefault="0002452E" w14:paraId="5073836C" w14:textId="77777777">
            <w:pPr>
              <w:jc w:val="right"/>
              <w:rPr>
                <w:rFonts w:eastAsia="Calibri"/>
                <w:sz w:val="20"/>
                <w:szCs w:val="20"/>
              </w:rPr>
            </w:pPr>
            <w:r>
              <w:rPr>
                <w:rFonts w:eastAsia="Calibri"/>
                <w:sz w:val="20"/>
                <w:szCs w:val="20"/>
              </w:rPr>
              <w:t>30</w:t>
            </w:r>
            <w:r w:rsidRPr="007B68E0">
              <w:rPr>
                <w:rFonts w:eastAsia="Calibri"/>
                <w:sz w:val="20"/>
                <w:szCs w:val="20"/>
              </w:rPr>
              <w:t xml:space="preserve"> hrs.;</w:t>
            </w:r>
          </w:p>
          <w:p w:rsidRPr="007B68E0" w:rsidR="0002452E" w:rsidP="00577503" w:rsidRDefault="0002452E" w14:paraId="7A85AFE1" w14:textId="77777777">
            <w:pPr>
              <w:jc w:val="right"/>
              <w:rPr>
                <w:rFonts w:eastAsia="Calibri"/>
                <w:sz w:val="20"/>
                <w:szCs w:val="20"/>
              </w:rPr>
            </w:pPr>
            <w:r w:rsidRPr="007B68E0">
              <w:rPr>
                <w:rFonts w:eastAsia="Calibri"/>
                <w:sz w:val="20"/>
                <w:szCs w:val="20"/>
              </w:rPr>
              <w:t>$</w:t>
            </w:r>
            <w:r>
              <w:rPr>
                <w:rFonts w:eastAsia="Calibri"/>
                <w:sz w:val="20"/>
                <w:szCs w:val="20"/>
              </w:rPr>
              <w:t>2,430</w:t>
            </w:r>
          </w:p>
        </w:tc>
        <w:tc>
          <w:tcPr>
            <w:tcW w:w="657" w:type="pct"/>
          </w:tcPr>
          <w:p w:rsidRPr="007B68E0" w:rsidR="0002452E" w:rsidP="00577503" w:rsidRDefault="0002452E" w14:paraId="75B94F49" w14:textId="77777777">
            <w:pPr>
              <w:jc w:val="right"/>
              <w:rPr>
                <w:rFonts w:eastAsia="Calibri"/>
                <w:sz w:val="20"/>
                <w:szCs w:val="20"/>
              </w:rPr>
            </w:pPr>
            <w:r>
              <w:rPr>
                <w:rFonts w:eastAsia="Calibri"/>
                <w:sz w:val="20"/>
                <w:szCs w:val="20"/>
              </w:rPr>
              <w:t>8</w:t>
            </w:r>
            <w:r w:rsidRPr="007B68E0">
              <w:rPr>
                <w:rFonts w:eastAsia="Calibri"/>
                <w:sz w:val="20"/>
                <w:szCs w:val="20"/>
              </w:rPr>
              <w:t>,</w:t>
            </w:r>
            <w:r>
              <w:rPr>
                <w:rFonts w:eastAsia="Calibri"/>
                <w:sz w:val="20"/>
                <w:szCs w:val="20"/>
              </w:rPr>
              <w:t>640</w:t>
            </w:r>
            <w:r w:rsidRPr="007B68E0">
              <w:rPr>
                <w:rFonts w:eastAsia="Calibri"/>
                <w:sz w:val="20"/>
                <w:szCs w:val="20"/>
              </w:rPr>
              <w:t xml:space="preserve"> hrs.;</w:t>
            </w:r>
          </w:p>
          <w:p w:rsidRPr="007B68E0" w:rsidR="0002452E" w:rsidP="00577503" w:rsidRDefault="0002452E" w14:paraId="612389CC" w14:textId="77777777">
            <w:pPr>
              <w:jc w:val="right"/>
              <w:rPr>
                <w:rFonts w:eastAsia="Calibri"/>
                <w:sz w:val="20"/>
                <w:szCs w:val="20"/>
              </w:rPr>
            </w:pPr>
            <w:r w:rsidRPr="007B68E0">
              <w:rPr>
                <w:rFonts w:eastAsia="Calibri"/>
                <w:sz w:val="20"/>
                <w:szCs w:val="20"/>
              </w:rPr>
              <w:t>$</w:t>
            </w:r>
            <w:r>
              <w:rPr>
                <w:rFonts w:eastAsia="Calibri"/>
                <w:sz w:val="20"/>
                <w:szCs w:val="20"/>
              </w:rPr>
              <w:t>699,840</w:t>
            </w:r>
          </w:p>
        </w:tc>
        <w:tc>
          <w:tcPr>
            <w:tcW w:w="615" w:type="pct"/>
          </w:tcPr>
          <w:p w:rsidRPr="007B68E0" w:rsidR="0002452E" w:rsidP="00577503" w:rsidRDefault="0002452E" w14:paraId="2B6A2EB4" w14:textId="77777777">
            <w:pPr>
              <w:jc w:val="right"/>
              <w:rPr>
                <w:rFonts w:eastAsia="Calibri"/>
                <w:sz w:val="20"/>
                <w:szCs w:val="20"/>
              </w:rPr>
            </w:pPr>
            <w:r w:rsidRPr="007B68E0">
              <w:rPr>
                <w:rFonts w:eastAsia="Calibri"/>
                <w:sz w:val="20"/>
                <w:szCs w:val="20"/>
              </w:rPr>
              <w:t>$</w:t>
            </w:r>
            <w:r>
              <w:rPr>
                <w:rFonts w:eastAsia="Calibri"/>
                <w:sz w:val="20"/>
                <w:szCs w:val="20"/>
              </w:rPr>
              <w:t>2,430</w:t>
            </w:r>
          </w:p>
        </w:tc>
      </w:tr>
      <w:tr w:rsidRPr="007B68E0" w:rsidR="0002452E" w14:paraId="7BA50222" w14:textId="77777777">
        <w:trPr>
          <w:cantSplit/>
        </w:trPr>
        <w:tc>
          <w:tcPr>
            <w:tcW w:w="932" w:type="pct"/>
          </w:tcPr>
          <w:p w:rsidRPr="00473D41" w:rsidR="0002452E" w:rsidP="00577503" w:rsidRDefault="0002452E" w14:paraId="2A64F9F3" w14:textId="77777777">
            <w:pPr>
              <w:rPr>
                <w:rFonts w:eastAsia="Calibri"/>
                <w:sz w:val="20"/>
                <w:szCs w:val="20"/>
              </w:rPr>
            </w:pPr>
            <w:r w:rsidRPr="00473D41">
              <w:rPr>
                <w:rFonts w:eastAsia="Calibri"/>
                <w:sz w:val="20"/>
                <w:szCs w:val="20"/>
              </w:rPr>
              <w:t xml:space="preserve">Develop Procedures to update remote access requirements (one time) </w:t>
            </w:r>
          </w:p>
          <w:p w:rsidRPr="00473D41" w:rsidR="0002452E" w:rsidP="00577503" w:rsidRDefault="0002452E" w14:paraId="7ED5A242" w14:textId="77777777">
            <w:pPr>
              <w:rPr>
                <w:rFonts w:eastAsia="Calibri"/>
                <w:sz w:val="20"/>
                <w:szCs w:val="20"/>
              </w:rPr>
            </w:pPr>
            <w:r w:rsidRPr="00473D41">
              <w:rPr>
                <w:rFonts w:eastAsia="Calibri"/>
                <w:sz w:val="20"/>
                <w:szCs w:val="20"/>
              </w:rPr>
              <w:t>(CIP-005-6 R1-R4)</w:t>
            </w:r>
          </w:p>
        </w:tc>
        <w:tc>
          <w:tcPr>
            <w:tcW w:w="693" w:type="pct"/>
          </w:tcPr>
          <w:p w:rsidRPr="00473D41" w:rsidR="0002452E" w:rsidP="00577503" w:rsidRDefault="0002452E" w14:paraId="64BECD03" w14:textId="77777777">
            <w:pPr>
              <w:jc w:val="right"/>
              <w:rPr>
                <w:rFonts w:eastAsia="Calibri"/>
                <w:sz w:val="20"/>
                <w:szCs w:val="20"/>
              </w:rPr>
            </w:pPr>
            <w:r w:rsidRPr="00473D41">
              <w:rPr>
                <w:rFonts w:eastAsia="Calibri"/>
                <w:sz w:val="20"/>
                <w:szCs w:val="20"/>
              </w:rPr>
              <w:t>288</w:t>
            </w:r>
          </w:p>
        </w:tc>
        <w:tc>
          <w:tcPr>
            <w:tcW w:w="746" w:type="pct"/>
          </w:tcPr>
          <w:p w:rsidRPr="00473D41" w:rsidR="0002452E" w:rsidP="00577503" w:rsidRDefault="0002452E" w14:paraId="06CBE2DB" w14:textId="77777777">
            <w:pPr>
              <w:jc w:val="right"/>
              <w:rPr>
                <w:rFonts w:eastAsia="Calibri"/>
                <w:sz w:val="20"/>
                <w:szCs w:val="20"/>
              </w:rPr>
            </w:pPr>
            <w:r w:rsidRPr="00473D41">
              <w:rPr>
                <w:rFonts w:eastAsia="Calibri"/>
                <w:sz w:val="20"/>
                <w:szCs w:val="20"/>
              </w:rPr>
              <w:t>1</w:t>
            </w:r>
          </w:p>
        </w:tc>
        <w:tc>
          <w:tcPr>
            <w:tcW w:w="703" w:type="pct"/>
          </w:tcPr>
          <w:p w:rsidRPr="00473D41" w:rsidR="0002452E" w:rsidP="00577503" w:rsidRDefault="0002452E" w14:paraId="56CA9B36" w14:textId="77777777">
            <w:pPr>
              <w:jc w:val="right"/>
              <w:rPr>
                <w:rFonts w:eastAsia="Calibri"/>
                <w:sz w:val="20"/>
                <w:szCs w:val="20"/>
              </w:rPr>
            </w:pPr>
            <w:r w:rsidRPr="00473D41">
              <w:rPr>
                <w:rFonts w:eastAsia="Calibri"/>
                <w:sz w:val="20"/>
                <w:szCs w:val="20"/>
              </w:rPr>
              <w:t>288</w:t>
            </w:r>
          </w:p>
        </w:tc>
        <w:tc>
          <w:tcPr>
            <w:tcW w:w="654" w:type="pct"/>
          </w:tcPr>
          <w:p w:rsidRPr="00473D41" w:rsidR="0002452E" w:rsidP="00577503" w:rsidRDefault="0002452E" w14:paraId="35B1548A" w14:textId="77777777">
            <w:pPr>
              <w:jc w:val="right"/>
              <w:rPr>
                <w:rFonts w:eastAsia="Calibri"/>
                <w:sz w:val="20"/>
                <w:szCs w:val="20"/>
              </w:rPr>
            </w:pPr>
            <w:r w:rsidRPr="00473D41">
              <w:rPr>
                <w:rFonts w:eastAsia="Calibri"/>
                <w:sz w:val="20"/>
                <w:szCs w:val="20"/>
              </w:rPr>
              <w:t>50 hrs.;</w:t>
            </w:r>
          </w:p>
          <w:p w:rsidRPr="00473D41" w:rsidR="0002452E" w:rsidP="00577503" w:rsidRDefault="0002452E" w14:paraId="6F04F784" w14:textId="77777777">
            <w:pPr>
              <w:jc w:val="right"/>
              <w:rPr>
                <w:rFonts w:eastAsia="Calibri"/>
                <w:sz w:val="20"/>
                <w:szCs w:val="20"/>
              </w:rPr>
            </w:pPr>
            <w:r w:rsidRPr="00473D41">
              <w:rPr>
                <w:rFonts w:eastAsia="Calibri"/>
                <w:sz w:val="20"/>
                <w:szCs w:val="20"/>
              </w:rPr>
              <w:t>$4,</w:t>
            </w:r>
            <w:r>
              <w:rPr>
                <w:rFonts w:eastAsia="Calibri"/>
                <w:sz w:val="20"/>
                <w:szCs w:val="20"/>
              </w:rPr>
              <w:t>050</w:t>
            </w:r>
          </w:p>
        </w:tc>
        <w:tc>
          <w:tcPr>
            <w:tcW w:w="657" w:type="pct"/>
          </w:tcPr>
          <w:p w:rsidRPr="00473D41" w:rsidR="0002452E" w:rsidP="00577503" w:rsidRDefault="0002452E" w14:paraId="2C986470" w14:textId="77777777">
            <w:pPr>
              <w:jc w:val="right"/>
              <w:rPr>
                <w:rFonts w:eastAsia="Calibri"/>
                <w:sz w:val="20"/>
                <w:szCs w:val="20"/>
              </w:rPr>
            </w:pPr>
            <w:r w:rsidRPr="00473D41">
              <w:rPr>
                <w:rFonts w:eastAsia="Calibri"/>
                <w:sz w:val="20"/>
                <w:szCs w:val="20"/>
              </w:rPr>
              <w:t>14,400 hrs.;</w:t>
            </w:r>
          </w:p>
          <w:p w:rsidRPr="00473D41" w:rsidR="0002452E" w:rsidP="00577503" w:rsidRDefault="0002452E" w14:paraId="6D51DC4D" w14:textId="77777777">
            <w:pPr>
              <w:jc w:val="right"/>
              <w:rPr>
                <w:rFonts w:eastAsia="Calibri"/>
                <w:sz w:val="20"/>
                <w:szCs w:val="20"/>
              </w:rPr>
            </w:pPr>
            <w:r w:rsidRPr="00473D41">
              <w:rPr>
                <w:rFonts w:eastAsia="Calibri"/>
                <w:sz w:val="20"/>
                <w:szCs w:val="20"/>
              </w:rPr>
              <w:t>$1,1</w:t>
            </w:r>
            <w:r>
              <w:rPr>
                <w:rFonts w:eastAsia="Calibri"/>
                <w:sz w:val="20"/>
                <w:szCs w:val="20"/>
              </w:rPr>
              <w:t>66,400</w:t>
            </w:r>
          </w:p>
        </w:tc>
        <w:tc>
          <w:tcPr>
            <w:tcW w:w="615" w:type="pct"/>
          </w:tcPr>
          <w:p w:rsidRPr="00473D41" w:rsidR="0002452E" w:rsidP="00577503" w:rsidRDefault="0002452E" w14:paraId="787D57FA" w14:textId="77777777">
            <w:pPr>
              <w:jc w:val="right"/>
              <w:rPr>
                <w:rFonts w:eastAsia="Calibri"/>
                <w:sz w:val="20"/>
                <w:szCs w:val="20"/>
              </w:rPr>
            </w:pPr>
            <w:r w:rsidRPr="00473D41">
              <w:rPr>
                <w:rFonts w:eastAsia="Calibri"/>
                <w:sz w:val="20"/>
                <w:szCs w:val="20"/>
              </w:rPr>
              <w:t>$4,</w:t>
            </w:r>
            <w:r>
              <w:rPr>
                <w:rFonts w:eastAsia="Calibri"/>
                <w:sz w:val="20"/>
                <w:szCs w:val="20"/>
              </w:rPr>
              <w:t>050</w:t>
            </w:r>
          </w:p>
        </w:tc>
      </w:tr>
      <w:tr w:rsidRPr="007B68E0" w:rsidR="0002452E" w14:paraId="20BDC6BD" w14:textId="77777777">
        <w:trPr>
          <w:cantSplit/>
        </w:trPr>
        <w:tc>
          <w:tcPr>
            <w:tcW w:w="932" w:type="pct"/>
          </w:tcPr>
          <w:p w:rsidRPr="00473D41" w:rsidR="0002452E" w:rsidP="00577503" w:rsidRDefault="0002452E" w14:paraId="044FDD59" w14:textId="77777777">
            <w:pPr>
              <w:rPr>
                <w:rFonts w:eastAsia="Calibri"/>
                <w:sz w:val="20"/>
                <w:szCs w:val="20"/>
              </w:rPr>
            </w:pPr>
            <w:r w:rsidRPr="00473D41">
              <w:rPr>
                <w:rFonts w:eastAsia="Calibri"/>
                <w:sz w:val="20"/>
                <w:szCs w:val="20"/>
              </w:rPr>
              <w:t xml:space="preserve">Develop procedures for software integrity and authenticity requirements (one time) </w:t>
            </w:r>
          </w:p>
          <w:p w:rsidRPr="00473D41" w:rsidR="0002452E" w:rsidP="00577503" w:rsidRDefault="0002452E" w14:paraId="06EB50B7" w14:textId="77777777">
            <w:pPr>
              <w:rPr>
                <w:rFonts w:eastAsia="Calibri"/>
                <w:sz w:val="20"/>
                <w:szCs w:val="20"/>
              </w:rPr>
            </w:pPr>
            <w:r w:rsidRPr="00473D41">
              <w:rPr>
                <w:rFonts w:eastAsia="Calibri"/>
                <w:sz w:val="20"/>
                <w:szCs w:val="20"/>
              </w:rPr>
              <w:t>(CIP-010-3 R1-R4)</w:t>
            </w:r>
          </w:p>
        </w:tc>
        <w:tc>
          <w:tcPr>
            <w:tcW w:w="693" w:type="pct"/>
          </w:tcPr>
          <w:p w:rsidRPr="00473D41" w:rsidR="0002452E" w:rsidP="00577503" w:rsidRDefault="0002452E" w14:paraId="0C84247F" w14:textId="77777777">
            <w:pPr>
              <w:jc w:val="right"/>
              <w:rPr>
                <w:rFonts w:eastAsia="Calibri"/>
                <w:sz w:val="20"/>
                <w:szCs w:val="20"/>
              </w:rPr>
            </w:pPr>
            <w:r w:rsidRPr="00473D41">
              <w:rPr>
                <w:rFonts w:eastAsia="Calibri"/>
                <w:sz w:val="20"/>
                <w:szCs w:val="20"/>
              </w:rPr>
              <w:t>288</w:t>
            </w:r>
          </w:p>
        </w:tc>
        <w:tc>
          <w:tcPr>
            <w:tcW w:w="746" w:type="pct"/>
          </w:tcPr>
          <w:p w:rsidRPr="00473D41" w:rsidR="0002452E" w:rsidP="00577503" w:rsidRDefault="0002452E" w14:paraId="4478CF76" w14:textId="77777777">
            <w:pPr>
              <w:jc w:val="right"/>
              <w:rPr>
                <w:rFonts w:eastAsia="Calibri"/>
                <w:sz w:val="20"/>
                <w:szCs w:val="20"/>
              </w:rPr>
            </w:pPr>
            <w:r w:rsidRPr="00473D41">
              <w:rPr>
                <w:rFonts w:eastAsia="Calibri"/>
                <w:sz w:val="20"/>
                <w:szCs w:val="20"/>
              </w:rPr>
              <w:t>1</w:t>
            </w:r>
          </w:p>
        </w:tc>
        <w:tc>
          <w:tcPr>
            <w:tcW w:w="703" w:type="pct"/>
          </w:tcPr>
          <w:p w:rsidRPr="00473D41" w:rsidR="0002452E" w:rsidP="00577503" w:rsidRDefault="0002452E" w14:paraId="69BBCBF7" w14:textId="77777777">
            <w:pPr>
              <w:jc w:val="right"/>
              <w:rPr>
                <w:rFonts w:eastAsia="Calibri"/>
                <w:sz w:val="20"/>
                <w:szCs w:val="20"/>
              </w:rPr>
            </w:pPr>
            <w:r w:rsidRPr="00473D41">
              <w:rPr>
                <w:rFonts w:eastAsia="Calibri"/>
                <w:sz w:val="20"/>
                <w:szCs w:val="20"/>
              </w:rPr>
              <w:t>288</w:t>
            </w:r>
          </w:p>
        </w:tc>
        <w:tc>
          <w:tcPr>
            <w:tcW w:w="654" w:type="pct"/>
          </w:tcPr>
          <w:p w:rsidRPr="00473D41" w:rsidR="0002452E" w:rsidP="00577503" w:rsidRDefault="0002452E" w14:paraId="648CA45C" w14:textId="77777777">
            <w:pPr>
              <w:jc w:val="right"/>
              <w:rPr>
                <w:rFonts w:eastAsia="Calibri"/>
                <w:sz w:val="20"/>
                <w:szCs w:val="20"/>
              </w:rPr>
            </w:pPr>
            <w:r w:rsidRPr="00473D41">
              <w:rPr>
                <w:rFonts w:eastAsia="Calibri"/>
                <w:sz w:val="20"/>
                <w:szCs w:val="20"/>
              </w:rPr>
              <w:t>50 hrs.;</w:t>
            </w:r>
          </w:p>
          <w:p w:rsidRPr="00473D41" w:rsidR="0002452E" w:rsidP="00577503" w:rsidRDefault="0002452E" w14:paraId="028A5144" w14:textId="77777777">
            <w:pPr>
              <w:jc w:val="right"/>
              <w:rPr>
                <w:rFonts w:eastAsia="Calibri"/>
                <w:sz w:val="20"/>
                <w:szCs w:val="20"/>
              </w:rPr>
            </w:pPr>
            <w:r w:rsidRPr="00473D41">
              <w:rPr>
                <w:rFonts w:eastAsia="Calibri"/>
                <w:sz w:val="20"/>
                <w:szCs w:val="20"/>
              </w:rPr>
              <w:t>$4,</w:t>
            </w:r>
            <w:r>
              <w:rPr>
                <w:rFonts w:eastAsia="Calibri"/>
                <w:sz w:val="20"/>
                <w:szCs w:val="20"/>
              </w:rPr>
              <w:t>050</w:t>
            </w:r>
          </w:p>
        </w:tc>
        <w:tc>
          <w:tcPr>
            <w:tcW w:w="657" w:type="pct"/>
          </w:tcPr>
          <w:p w:rsidRPr="00473D41" w:rsidR="0002452E" w:rsidP="00577503" w:rsidRDefault="0002452E" w14:paraId="0F5C4A24" w14:textId="77777777">
            <w:pPr>
              <w:jc w:val="right"/>
              <w:rPr>
                <w:rFonts w:eastAsia="Calibri"/>
                <w:sz w:val="20"/>
                <w:szCs w:val="20"/>
              </w:rPr>
            </w:pPr>
            <w:r w:rsidRPr="00473D41">
              <w:rPr>
                <w:rFonts w:eastAsia="Calibri"/>
                <w:sz w:val="20"/>
                <w:szCs w:val="20"/>
              </w:rPr>
              <w:t>14,400 hrs.;</w:t>
            </w:r>
          </w:p>
          <w:p w:rsidRPr="00473D41" w:rsidR="0002452E" w:rsidP="00577503" w:rsidRDefault="0002452E" w14:paraId="6294EF8A" w14:textId="77777777">
            <w:pPr>
              <w:jc w:val="right"/>
              <w:rPr>
                <w:rFonts w:eastAsia="Calibri"/>
                <w:sz w:val="20"/>
                <w:szCs w:val="20"/>
              </w:rPr>
            </w:pPr>
            <w:r w:rsidRPr="00473D41">
              <w:rPr>
                <w:rFonts w:eastAsia="Calibri"/>
                <w:sz w:val="20"/>
                <w:szCs w:val="20"/>
              </w:rPr>
              <w:t>$1,1</w:t>
            </w:r>
            <w:r>
              <w:rPr>
                <w:rFonts w:eastAsia="Calibri"/>
                <w:sz w:val="20"/>
                <w:szCs w:val="20"/>
              </w:rPr>
              <w:t>66,400</w:t>
            </w:r>
          </w:p>
        </w:tc>
        <w:tc>
          <w:tcPr>
            <w:tcW w:w="615" w:type="pct"/>
          </w:tcPr>
          <w:p w:rsidRPr="00473D41" w:rsidR="0002452E" w:rsidP="00577503" w:rsidRDefault="0002452E" w14:paraId="06B67547" w14:textId="77777777">
            <w:pPr>
              <w:jc w:val="right"/>
              <w:rPr>
                <w:rFonts w:eastAsia="Calibri"/>
                <w:sz w:val="20"/>
                <w:szCs w:val="20"/>
              </w:rPr>
            </w:pPr>
            <w:r w:rsidRPr="00473D41">
              <w:rPr>
                <w:rFonts w:eastAsia="Calibri"/>
                <w:sz w:val="20"/>
                <w:szCs w:val="20"/>
              </w:rPr>
              <w:t>$4,</w:t>
            </w:r>
            <w:r>
              <w:rPr>
                <w:rFonts w:eastAsia="Calibri"/>
                <w:sz w:val="20"/>
                <w:szCs w:val="20"/>
              </w:rPr>
              <w:t>050</w:t>
            </w:r>
          </w:p>
        </w:tc>
      </w:tr>
      <w:tr w:rsidRPr="007B68E0" w:rsidR="0002452E" w14:paraId="79FFD312" w14:textId="77777777">
        <w:trPr>
          <w:cantSplit/>
          <w:trHeight w:val="485"/>
        </w:trPr>
        <w:tc>
          <w:tcPr>
            <w:tcW w:w="932" w:type="pct"/>
          </w:tcPr>
          <w:p w:rsidRPr="007B68E0" w:rsidR="0002452E" w:rsidP="00577503" w:rsidRDefault="0002452E" w14:paraId="2B7DFF01" w14:textId="77777777">
            <w:pPr>
              <w:rPr>
                <w:rFonts w:eastAsia="Calibri"/>
                <w:b/>
                <w:sz w:val="20"/>
                <w:szCs w:val="20"/>
              </w:rPr>
            </w:pPr>
            <w:r w:rsidRPr="007B68E0">
              <w:rPr>
                <w:rFonts w:eastAsia="Calibri"/>
                <w:b/>
                <w:sz w:val="20"/>
                <w:szCs w:val="20"/>
              </w:rPr>
              <w:t xml:space="preserve">TOTAL (one-time) </w:t>
            </w:r>
          </w:p>
        </w:tc>
        <w:tc>
          <w:tcPr>
            <w:tcW w:w="1439" w:type="pct"/>
            <w:gridSpan w:val="2"/>
            <w:shd w:val="clear" w:color="auto" w:fill="D9D9D9"/>
          </w:tcPr>
          <w:p w:rsidRPr="007B68E0" w:rsidR="0002452E" w:rsidP="00577503" w:rsidRDefault="0002452E" w14:paraId="1BAC81A3" w14:textId="77777777">
            <w:pPr>
              <w:jc w:val="right"/>
              <w:rPr>
                <w:rFonts w:eastAsia="Calibri"/>
                <w:sz w:val="20"/>
                <w:szCs w:val="20"/>
              </w:rPr>
            </w:pPr>
          </w:p>
        </w:tc>
        <w:tc>
          <w:tcPr>
            <w:tcW w:w="703" w:type="pct"/>
            <w:shd w:val="clear" w:color="auto" w:fill="auto"/>
          </w:tcPr>
          <w:p w:rsidRPr="007B68E0" w:rsidR="0002452E" w:rsidP="00577503" w:rsidRDefault="0002452E" w14:paraId="43F60D80" w14:textId="77777777">
            <w:pPr>
              <w:jc w:val="right"/>
              <w:rPr>
                <w:rFonts w:eastAsia="Calibri"/>
                <w:b/>
                <w:sz w:val="20"/>
                <w:szCs w:val="20"/>
              </w:rPr>
            </w:pPr>
            <w:r>
              <w:rPr>
                <w:rFonts w:eastAsia="Calibri"/>
                <w:b/>
                <w:sz w:val="20"/>
                <w:szCs w:val="20"/>
              </w:rPr>
              <w:t>864</w:t>
            </w:r>
          </w:p>
        </w:tc>
        <w:tc>
          <w:tcPr>
            <w:tcW w:w="654" w:type="pct"/>
            <w:shd w:val="clear" w:color="auto" w:fill="D9D9D9"/>
          </w:tcPr>
          <w:p w:rsidRPr="007B68E0" w:rsidR="0002452E" w:rsidP="00577503" w:rsidRDefault="0002452E" w14:paraId="5170C5AF" w14:textId="77777777">
            <w:pPr>
              <w:jc w:val="right"/>
              <w:rPr>
                <w:rFonts w:eastAsia="Calibri"/>
                <w:sz w:val="20"/>
                <w:szCs w:val="20"/>
              </w:rPr>
            </w:pPr>
          </w:p>
        </w:tc>
        <w:tc>
          <w:tcPr>
            <w:tcW w:w="657" w:type="pct"/>
          </w:tcPr>
          <w:p w:rsidRPr="007B68E0" w:rsidR="0002452E" w:rsidP="00577503" w:rsidRDefault="0002452E" w14:paraId="6E5CB0C6" w14:textId="77777777">
            <w:pPr>
              <w:jc w:val="right"/>
              <w:rPr>
                <w:rFonts w:eastAsia="Calibri"/>
                <w:b/>
                <w:sz w:val="20"/>
                <w:szCs w:val="20"/>
              </w:rPr>
            </w:pPr>
            <w:r>
              <w:rPr>
                <w:rFonts w:eastAsia="Calibri"/>
                <w:b/>
                <w:sz w:val="20"/>
                <w:szCs w:val="20"/>
              </w:rPr>
              <w:t>186</w:t>
            </w:r>
            <w:r w:rsidRPr="007B68E0">
              <w:rPr>
                <w:rFonts w:eastAsia="Calibri"/>
                <w:b/>
                <w:sz w:val="20"/>
                <w:szCs w:val="20"/>
              </w:rPr>
              <w:t>,</w:t>
            </w:r>
            <w:r>
              <w:rPr>
                <w:rFonts w:eastAsia="Calibri"/>
                <w:b/>
                <w:sz w:val="20"/>
                <w:szCs w:val="20"/>
              </w:rPr>
              <w:t>048</w:t>
            </w:r>
            <w:r w:rsidRPr="007B68E0">
              <w:rPr>
                <w:rFonts w:eastAsia="Calibri"/>
                <w:b/>
                <w:sz w:val="20"/>
                <w:szCs w:val="20"/>
              </w:rPr>
              <w:t xml:space="preserve"> hrs.;</w:t>
            </w:r>
          </w:p>
          <w:p w:rsidRPr="007B68E0" w:rsidR="0002452E" w:rsidP="00577503" w:rsidRDefault="0002452E" w14:paraId="74F692D7" w14:textId="77777777">
            <w:pPr>
              <w:jc w:val="right"/>
              <w:rPr>
                <w:rFonts w:eastAsia="Calibri"/>
                <w:b/>
                <w:sz w:val="20"/>
                <w:szCs w:val="20"/>
              </w:rPr>
            </w:pPr>
            <w:r w:rsidRPr="007B68E0">
              <w:rPr>
                <w:rFonts w:eastAsia="Calibri"/>
                <w:b/>
                <w:sz w:val="20"/>
                <w:szCs w:val="20"/>
              </w:rPr>
              <w:t>$</w:t>
            </w:r>
            <w:r>
              <w:rPr>
                <w:rFonts w:eastAsia="Calibri"/>
                <w:b/>
                <w:sz w:val="20"/>
                <w:szCs w:val="20"/>
              </w:rPr>
              <w:t>15</w:t>
            </w:r>
            <w:r w:rsidRPr="007B68E0">
              <w:rPr>
                <w:rFonts w:eastAsia="Calibri"/>
                <w:b/>
                <w:sz w:val="20"/>
                <w:szCs w:val="20"/>
              </w:rPr>
              <w:t>,</w:t>
            </w:r>
            <w:r>
              <w:rPr>
                <w:rFonts w:eastAsia="Calibri"/>
                <w:b/>
                <w:sz w:val="20"/>
                <w:szCs w:val="20"/>
              </w:rPr>
              <w:t>069,888</w:t>
            </w:r>
          </w:p>
        </w:tc>
        <w:tc>
          <w:tcPr>
            <w:tcW w:w="615" w:type="pct"/>
            <w:shd w:val="clear" w:color="auto" w:fill="D9D9D9" w:themeFill="background1" w:themeFillShade="D9"/>
          </w:tcPr>
          <w:p w:rsidRPr="007B68E0" w:rsidR="0002452E" w:rsidP="00577503" w:rsidRDefault="0002452E" w14:paraId="326C2623" w14:textId="77777777">
            <w:pPr>
              <w:jc w:val="right"/>
              <w:rPr>
                <w:rFonts w:eastAsia="Calibri"/>
                <w:b/>
                <w:sz w:val="20"/>
                <w:szCs w:val="20"/>
              </w:rPr>
            </w:pPr>
          </w:p>
        </w:tc>
      </w:tr>
      <w:tr w:rsidRPr="007B68E0" w:rsidR="0002452E" w14:paraId="26FD00E2" w14:textId="77777777">
        <w:trPr>
          <w:cantSplit/>
          <w:trHeight w:val="485"/>
        </w:trPr>
        <w:tc>
          <w:tcPr>
            <w:tcW w:w="932" w:type="pct"/>
            <w:tcBorders>
              <w:bottom w:val="single" w:color="auto" w:sz="4" w:space="0"/>
            </w:tcBorders>
          </w:tcPr>
          <w:p w:rsidRPr="007B68E0" w:rsidR="0002452E" w:rsidP="00577503" w:rsidRDefault="0002452E" w14:paraId="665148E1" w14:textId="77777777">
            <w:pPr>
              <w:rPr>
                <w:rFonts w:eastAsia="Calibri"/>
                <w:b/>
                <w:sz w:val="20"/>
                <w:szCs w:val="20"/>
              </w:rPr>
            </w:pPr>
            <w:r w:rsidRPr="007B68E0">
              <w:rPr>
                <w:rFonts w:eastAsia="Calibri"/>
                <w:b/>
                <w:sz w:val="20"/>
                <w:szCs w:val="20"/>
              </w:rPr>
              <w:t xml:space="preserve">TOTAL (ongoing) </w:t>
            </w:r>
          </w:p>
        </w:tc>
        <w:tc>
          <w:tcPr>
            <w:tcW w:w="1439" w:type="pct"/>
            <w:gridSpan w:val="2"/>
            <w:tcBorders>
              <w:bottom w:val="single" w:color="auto" w:sz="4" w:space="0"/>
            </w:tcBorders>
            <w:shd w:val="clear" w:color="auto" w:fill="D9D9D9" w:themeFill="background1" w:themeFillShade="D9"/>
          </w:tcPr>
          <w:p w:rsidRPr="007B68E0" w:rsidR="0002452E" w:rsidP="00577503" w:rsidRDefault="0002452E" w14:paraId="5765DCF1" w14:textId="77777777">
            <w:pPr>
              <w:jc w:val="right"/>
              <w:rPr>
                <w:rFonts w:eastAsia="Calibri"/>
                <w:sz w:val="20"/>
                <w:szCs w:val="20"/>
              </w:rPr>
            </w:pPr>
          </w:p>
        </w:tc>
        <w:tc>
          <w:tcPr>
            <w:tcW w:w="703" w:type="pct"/>
            <w:tcBorders>
              <w:bottom w:val="single" w:color="auto" w:sz="4" w:space="0"/>
            </w:tcBorders>
            <w:shd w:val="clear" w:color="auto" w:fill="auto"/>
          </w:tcPr>
          <w:p w:rsidRPr="007B68E0" w:rsidR="0002452E" w:rsidP="00577503" w:rsidRDefault="0002452E" w14:paraId="79D9F764" w14:textId="77777777">
            <w:pPr>
              <w:jc w:val="right"/>
              <w:rPr>
                <w:rFonts w:eastAsia="Calibri"/>
                <w:b/>
                <w:sz w:val="20"/>
                <w:szCs w:val="20"/>
              </w:rPr>
            </w:pPr>
            <w:r>
              <w:rPr>
                <w:rFonts w:eastAsia="Calibri"/>
                <w:b/>
                <w:sz w:val="20"/>
                <w:szCs w:val="20"/>
              </w:rPr>
              <w:t>288</w:t>
            </w:r>
          </w:p>
        </w:tc>
        <w:tc>
          <w:tcPr>
            <w:tcW w:w="654" w:type="pct"/>
            <w:tcBorders>
              <w:bottom w:val="single" w:color="auto" w:sz="4" w:space="0"/>
            </w:tcBorders>
            <w:shd w:val="clear" w:color="auto" w:fill="D9D9D9"/>
          </w:tcPr>
          <w:p w:rsidRPr="007B68E0" w:rsidR="0002452E" w:rsidP="00577503" w:rsidRDefault="0002452E" w14:paraId="39F4C278" w14:textId="77777777">
            <w:pPr>
              <w:jc w:val="right"/>
              <w:rPr>
                <w:rFonts w:eastAsia="Calibri"/>
                <w:sz w:val="20"/>
                <w:szCs w:val="20"/>
              </w:rPr>
            </w:pPr>
          </w:p>
        </w:tc>
        <w:tc>
          <w:tcPr>
            <w:tcW w:w="657" w:type="pct"/>
            <w:tcBorders>
              <w:bottom w:val="single" w:color="auto" w:sz="4" w:space="0"/>
            </w:tcBorders>
          </w:tcPr>
          <w:p w:rsidRPr="007B68E0" w:rsidR="0002452E" w:rsidP="00577503" w:rsidRDefault="0002452E" w14:paraId="7DD55B45" w14:textId="77777777">
            <w:pPr>
              <w:jc w:val="right"/>
              <w:rPr>
                <w:rFonts w:eastAsia="Calibri"/>
                <w:b/>
                <w:sz w:val="20"/>
                <w:szCs w:val="20"/>
              </w:rPr>
            </w:pPr>
            <w:r>
              <w:rPr>
                <w:rFonts w:eastAsia="Calibri"/>
                <w:b/>
                <w:sz w:val="20"/>
                <w:szCs w:val="20"/>
              </w:rPr>
              <w:t>8,640</w:t>
            </w:r>
            <w:r w:rsidRPr="007B68E0">
              <w:rPr>
                <w:rFonts w:eastAsia="Calibri"/>
                <w:b/>
                <w:sz w:val="20"/>
                <w:szCs w:val="20"/>
              </w:rPr>
              <w:t xml:space="preserve"> hrs.;</w:t>
            </w:r>
          </w:p>
          <w:p w:rsidRPr="007B68E0" w:rsidR="0002452E" w:rsidP="00577503" w:rsidRDefault="0002452E" w14:paraId="7D1B528F" w14:textId="77777777">
            <w:pPr>
              <w:jc w:val="right"/>
              <w:rPr>
                <w:rFonts w:eastAsia="Calibri"/>
                <w:b/>
                <w:sz w:val="20"/>
                <w:szCs w:val="20"/>
              </w:rPr>
            </w:pPr>
            <w:r w:rsidRPr="007B68E0">
              <w:rPr>
                <w:rFonts w:eastAsia="Calibri"/>
                <w:b/>
                <w:sz w:val="20"/>
                <w:szCs w:val="20"/>
              </w:rPr>
              <w:t>$</w:t>
            </w:r>
            <w:r>
              <w:rPr>
                <w:rFonts w:eastAsia="Calibri"/>
                <w:b/>
                <w:sz w:val="20"/>
                <w:szCs w:val="20"/>
              </w:rPr>
              <w:t>699,840</w:t>
            </w:r>
          </w:p>
        </w:tc>
        <w:tc>
          <w:tcPr>
            <w:tcW w:w="615" w:type="pct"/>
            <w:tcBorders>
              <w:bottom w:val="single" w:color="auto" w:sz="4" w:space="0"/>
            </w:tcBorders>
            <w:shd w:val="clear" w:color="auto" w:fill="D9D9D9" w:themeFill="background1" w:themeFillShade="D9"/>
          </w:tcPr>
          <w:p w:rsidRPr="007B68E0" w:rsidR="0002452E" w:rsidP="00577503" w:rsidRDefault="0002452E" w14:paraId="1C3B38C1" w14:textId="77777777">
            <w:pPr>
              <w:jc w:val="right"/>
              <w:rPr>
                <w:rFonts w:eastAsia="Calibri"/>
                <w:b/>
                <w:sz w:val="20"/>
                <w:szCs w:val="20"/>
              </w:rPr>
            </w:pPr>
          </w:p>
        </w:tc>
      </w:tr>
    </w:tbl>
    <w:p w:rsidRPr="00DE1BD5" w:rsidR="0002452E" w:rsidP="0002452E" w:rsidRDefault="0002452E" w14:paraId="53179D7D" w14:textId="77777777">
      <w:pPr>
        <w:pStyle w:val="FERCparanumber"/>
        <w:numPr>
          <w:ilvl w:val="0"/>
          <w:numId w:val="0"/>
        </w:numPr>
      </w:pPr>
    </w:p>
    <w:p w:rsidR="0002452E" w:rsidP="0002452E" w:rsidRDefault="0002452E" w14:paraId="4C01B7E0" w14:textId="77777777">
      <w:pPr>
        <w:pStyle w:val="StyleFERCparanumberLinespacingDouble"/>
        <w:numPr>
          <w:ilvl w:val="0"/>
          <w:numId w:val="0"/>
        </w:numPr>
      </w:pPr>
      <w:r>
        <w:t xml:space="preserve">The one-time burden of 186,048 hours will be averaged over three years (186,048 hours ÷ 3 = 62,016 hours/year over three years).  </w:t>
      </w:r>
    </w:p>
    <w:p w:rsidR="0002452E" w:rsidP="0002452E" w:rsidRDefault="0002452E" w14:paraId="78F7E2B0" w14:textId="77777777">
      <w:pPr>
        <w:pStyle w:val="StyleFERCparanumberLinespacingDouble"/>
        <w:numPr>
          <w:ilvl w:val="0"/>
          <w:numId w:val="0"/>
        </w:numPr>
      </w:pPr>
      <w:r>
        <w:t xml:space="preserve">The ongoing burden of 8,640 hours applies to only Years 2 and beyond.  </w:t>
      </w:r>
    </w:p>
    <w:p w:rsidR="0002452E" w:rsidP="0002452E" w:rsidRDefault="0002452E" w14:paraId="58C083BB" w14:textId="77777777">
      <w:pPr>
        <w:pStyle w:val="StyleFERCparanumberLinespacingDouble"/>
        <w:numPr>
          <w:ilvl w:val="0"/>
          <w:numId w:val="0"/>
        </w:numPr>
      </w:pPr>
      <w:r>
        <w:t>The number of responses is also average over three years (864 responses (one-time) + (288 responses (Year 2) + 288 responses (Year 3)) ÷ 3 = 480 responses.</w:t>
      </w:r>
    </w:p>
    <w:p w:rsidR="0002452E" w:rsidP="0002452E" w:rsidRDefault="0002452E" w14:paraId="6C8A7845" w14:textId="77777777">
      <w:pPr>
        <w:pStyle w:val="StyleFERCparanumberLinespacingDouble"/>
        <w:numPr>
          <w:ilvl w:val="0"/>
          <w:numId w:val="0"/>
        </w:numPr>
      </w:pPr>
      <w:r>
        <w:t>The responses and burden for Years 1-3 will total respectively as follows:</w:t>
      </w:r>
    </w:p>
    <w:p w:rsidR="0002452E" w:rsidP="00E55EEC" w:rsidRDefault="0002452E" w14:paraId="1734D905" w14:textId="2770EB69">
      <w:pPr>
        <w:pStyle w:val="StyleFERCparanumberLinespacingDouble"/>
        <w:numPr>
          <w:ilvl w:val="1"/>
          <w:numId w:val="37"/>
        </w:numPr>
        <w:ind w:hanging="720"/>
      </w:pPr>
      <w:r>
        <w:t>Year 1: 480 responses; 62,016 hours</w:t>
      </w:r>
    </w:p>
    <w:p w:rsidR="0002452E" w:rsidP="00E55EEC" w:rsidRDefault="0002452E" w14:paraId="6176424C" w14:textId="3203E866">
      <w:pPr>
        <w:pStyle w:val="StyleFERCparanumberLinespacingDouble"/>
        <w:numPr>
          <w:ilvl w:val="1"/>
          <w:numId w:val="37"/>
        </w:numPr>
        <w:ind w:hanging="720"/>
      </w:pPr>
      <w:r>
        <w:t>Year 2: 480 responses; 62,016 hours + 8,640 hours = 70,656 hours</w:t>
      </w:r>
    </w:p>
    <w:p w:rsidRPr="00DE1BD5" w:rsidR="0002452E" w:rsidP="00E55EEC" w:rsidRDefault="0002452E" w14:paraId="10DA4144" w14:textId="10402440">
      <w:pPr>
        <w:pStyle w:val="StyleFERCparanumberLinespacingDouble"/>
        <w:numPr>
          <w:ilvl w:val="1"/>
          <w:numId w:val="37"/>
        </w:numPr>
        <w:ind w:hanging="720"/>
      </w:pPr>
      <w:r>
        <w:t>Year 3: 480 responses; 62,016 hours + 8,640 hours = 70,656 hours</w:t>
      </w:r>
      <w:r w:rsidRPr="00F715EA" w:rsidR="00150F96">
        <w:t>.</w:t>
      </w:r>
    </w:p>
    <w:p w:rsidR="0002452E" w:rsidP="0002452E" w:rsidRDefault="0002452E" w14:paraId="20069783" w14:textId="77777777">
      <w:pPr>
        <w:pStyle w:val="FERCparanumber"/>
        <w:tabs>
          <w:tab w:val="clear" w:pos="990"/>
        </w:tabs>
        <w:ind w:left="0"/>
      </w:pPr>
      <w:r w:rsidRPr="000C7614">
        <w:t>The following shows the a</w:t>
      </w:r>
      <w:r>
        <w:t>nnual cost burden for each year</w:t>
      </w:r>
      <w:r w:rsidRPr="000C7614">
        <w:t>, based on the burden hours in the table above:</w:t>
      </w:r>
    </w:p>
    <w:p w:rsidRPr="000C7614" w:rsidR="0002452E" w:rsidP="00E55EEC" w:rsidRDefault="0002452E" w14:paraId="37EF2CD8" w14:textId="5AF74EF2">
      <w:pPr>
        <w:pStyle w:val="FERCparanumber"/>
        <w:numPr>
          <w:ilvl w:val="0"/>
          <w:numId w:val="31"/>
        </w:numPr>
        <w:ind w:firstLine="0"/>
      </w:pPr>
      <w:r w:rsidRPr="000C7614">
        <w:t xml:space="preserve">Year 1:  </w:t>
      </w:r>
      <w:r>
        <w:t>$15,069,888</w:t>
      </w:r>
    </w:p>
    <w:p w:rsidRPr="000C7614" w:rsidR="0002452E" w:rsidP="00E55EEC" w:rsidRDefault="0002452E" w14:paraId="6D983368" w14:textId="5C9C751A">
      <w:pPr>
        <w:pStyle w:val="FERCparanumber"/>
        <w:numPr>
          <w:ilvl w:val="0"/>
          <w:numId w:val="31"/>
        </w:numPr>
        <w:ind w:firstLine="0"/>
      </w:pPr>
      <w:r>
        <w:t>Years 2 and beyond</w:t>
      </w:r>
      <w:r w:rsidRPr="000C7614">
        <w:t xml:space="preserve">:  </w:t>
      </w:r>
      <w:r>
        <w:t>$699,840</w:t>
      </w:r>
    </w:p>
    <w:p w:rsidR="0002452E" w:rsidP="00E55EEC" w:rsidRDefault="0002452E" w14:paraId="02F90DED" w14:textId="77777777">
      <w:pPr>
        <w:pStyle w:val="FERCparanumber"/>
        <w:numPr>
          <w:ilvl w:val="0"/>
          <w:numId w:val="31"/>
        </w:numPr>
        <w:ind w:firstLine="0"/>
      </w:pPr>
      <w:r w:rsidRPr="000C7614">
        <w:t>The paperwork burden estimate includes costs associated with the initial development of a policy to address requirements relating to</w:t>
      </w:r>
      <w:r>
        <w:t xml:space="preserve">: </w:t>
      </w:r>
      <w:r w:rsidRPr="000C7614">
        <w:t xml:space="preserve"> </w:t>
      </w:r>
      <w:r>
        <w:t>(1) developing the supply chain risk management plan; (2) updating the procedures related to remote access requirements (3) developing the procedures related to software integrity and authenticity.</w:t>
      </w:r>
      <w:r w:rsidRPr="000C7614">
        <w:t xml:space="preserve">  Further, the estimate reflects the assumption that costs incurred in year 1 will pertain to </w:t>
      </w:r>
      <w:r>
        <w:t>plan and procedure</w:t>
      </w:r>
      <w:r w:rsidRPr="000C7614">
        <w:t xml:space="preserve"> development, while costs in years 2 and 3 will reflect the burden associated with maintaining </w:t>
      </w:r>
      <w:r>
        <w:t xml:space="preserve">the </w:t>
      </w:r>
      <w:r w:rsidR="007D731F">
        <w:t>supply chain risk management</w:t>
      </w:r>
      <w:r>
        <w:t xml:space="preserve"> plan and modifying it as necessary on a 15-month basis</w:t>
      </w:r>
      <w:r w:rsidRPr="000C7614">
        <w:t>.</w:t>
      </w:r>
    </w:p>
    <w:p w:rsidR="0002452E" w:rsidP="0002452E" w:rsidRDefault="0002452E" w14:paraId="2797FB5D" w14:textId="6CD74518">
      <w:pPr>
        <w:pStyle w:val="FERCparanumber"/>
        <w:tabs>
          <w:tab w:val="clear" w:pos="990"/>
        </w:tabs>
        <w:ind w:left="0"/>
      </w:pPr>
      <w:r w:rsidRPr="002177D9">
        <w:rPr>
          <w:u w:val="single"/>
        </w:rPr>
        <w:t>Title</w:t>
      </w:r>
      <w:r w:rsidRPr="002177D9">
        <w:t xml:space="preserve">:  </w:t>
      </w:r>
      <w:r>
        <w:t>FERC-725B (</w:t>
      </w:r>
      <w:r w:rsidRPr="002177D9">
        <w:t xml:space="preserve">Mandatory Reliability Standards, </w:t>
      </w:r>
      <w:r>
        <w:t xml:space="preserve">Revised </w:t>
      </w:r>
      <w:r w:rsidRPr="002177D9">
        <w:t xml:space="preserve">Critical Infrastructure Protection </w:t>
      </w:r>
      <w:r>
        <w:t xml:space="preserve">Reliability </w:t>
      </w:r>
      <w:r w:rsidRPr="002177D9">
        <w:t>Standards</w:t>
      </w:r>
      <w:r>
        <w:t>)</w:t>
      </w:r>
      <w:r w:rsidR="00E61528">
        <w:t>.</w:t>
      </w:r>
      <w:r>
        <w:t xml:space="preserve"> </w:t>
      </w:r>
    </w:p>
    <w:p w:rsidRPr="002177D9" w:rsidR="0002452E" w:rsidP="0002452E" w:rsidRDefault="0002452E" w14:paraId="0C92F675" w14:textId="77777777">
      <w:pPr>
        <w:pStyle w:val="FERCparanumber"/>
        <w:numPr>
          <w:ilvl w:val="0"/>
          <w:numId w:val="0"/>
        </w:numPr>
      </w:pPr>
      <w:r w:rsidRPr="002177D9">
        <w:rPr>
          <w:u w:val="single"/>
        </w:rPr>
        <w:t>Action</w:t>
      </w:r>
      <w:r w:rsidRPr="002177D9">
        <w:t xml:space="preserve">:  </w:t>
      </w:r>
      <w:r>
        <w:t>Information</w:t>
      </w:r>
      <w:r w:rsidRPr="002177D9">
        <w:t xml:space="preserve"> Collection</w:t>
      </w:r>
      <w:r>
        <w:t>,</w:t>
      </w:r>
      <w:r w:rsidRPr="002177D9">
        <w:t xml:space="preserve"> </w:t>
      </w:r>
      <w:r w:rsidRPr="00F75BB3">
        <w:t>FERC-725B</w:t>
      </w:r>
      <w:r>
        <w:t xml:space="preserve"> (</w:t>
      </w:r>
      <w:r>
        <w:rPr>
          <w:szCs w:val="26"/>
        </w:rPr>
        <w:t>Supply Chain Risk Management Reliability Standards)</w:t>
      </w:r>
      <w:r w:rsidRPr="002177D9">
        <w:t>.</w:t>
      </w:r>
    </w:p>
    <w:p w:rsidRPr="002177D9" w:rsidR="0002452E" w:rsidP="0002452E" w:rsidRDefault="0002452E" w14:paraId="7D059E8C" w14:textId="77777777">
      <w:pPr>
        <w:pStyle w:val="FERCparanumber"/>
        <w:numPr>
          <w:ilvl w:val="0"/>
          <w:numId w:val="0"/>
        </w:numPr>
      </w:pPr>
      <w:r w:rsidRPr="002177D9">
        <w:rPr>
          <w:u w:val="single"/>
        </w:rPr>
        <w:t>OMB Control No</w:t>
      </w:r>
      <w:r w:rsidRPr="002177D9">
        <w:t xml:space="preserve">.: </w:t>
      </w:r>
      <w:r w:rsidRPr="002177D9">
        <w:rPr>
          <w:szCs w:val="26"/>
        </w:rPr>
        <w:t xml:space="preserve"> </w:t>
      </w:r>
      <w:r>
        <w:rPr>
          <w:szCs w:val="26"/>
        </w:rPr>
        <w:t>1902-0248.</w:t>
      </w:r>
    </w:p>
    <w:p w:rsidRPr="002177D9" w:rsidR="0002452E" w:rsidP="0002452E" w:rsidRDefault="0002452E" w14:paraId="5BA05BF7" w14:textId="77777777">
      <w:pPr>
        <w:pStyle w:val="FERCparanumber"/>
        <w:numPr>
          <w:ilvl w:val="0"/>
          <w:numId w:val="0"/>
        </w:numPr>
      </w:pPr>
      <w:r w:rsidRPr="002177D9">
        <w:rPr>
          <w:u w:val="single"/>
        </w:rPr>
        <w:t>Respondents</w:t>
      </w:r>
      <w:r w:rsidRPr="002177D9">
        <w:t>:  Businesses or other for-profit institutions; not-for-profit institutions.</w:t>
      </w:r>
    </w:p>
    <w:p w:rsidRPr="002177D9" w:rsidR="0002452E" w:rsidP="0002452E" w:rsidRDefault="0002452E" w14:paraId="31F4FD5B" w14:textId="77777777">
      <w:pPr>
        <w:pStyle w:val="FERCparanumber"/>
        <w:numPr>
          <w:ilvl w:val="0"/>
          <w:numId w:val="0"/>
        </w:numPr>
      </w:pPr>
      <w:r w:rsidRPr="002177D9">
        <w:t>Frequency of Responses:  On Occasion.</w:t>
      </w:r>
    </w:p>
    <w:p w:rsidRPr="002177D9" w:rsidR="0002452E" w:rsidP="0002452E" w:rsidRDefault="0002452E" w14:paraId="1EA851BF" w14:textId="77777777">
      <w:pPr>
        <w:pStyle w:val="FERCparanumber"/>
        <w:numPr>
          <w:ilvl w:val="0"/>
          <w:numId w:val="0"/>
        </w:numPr>
      </w:pPr>
      <w:r w:rsidRPr="002177D9">
        <w:rPr>
          <w:u w:val="single"/>
        </w:rPr>
        <w:t>Necessity of the Information</w:t>
      </w:r>
      <w:r w:rsidRPr="002177D9">
        <w:t xml:space="preserve">:  This </w:t>
      </w:r>
      <w:r w:rsidR="007D731F">
        <w:t>f</w:t>
      </w:r>
      <w:r>
        <w:t xml:space="preserve">inal </w:t>
      </w:r>
      <w:r w:rsidR="007D731F">
        <w:t>r</w:t>
      </w:r>
      <w:r>
        <w:t xml:space="preserve">ule </w:t>
      </w:r>
      <w:r w:rsidRPr="002177D9">
        <w:t>approve</w:t>
      </w:r>
      <w:r>
        <w:t>s</w:t>
      </w:r>
      <w:r w:rsidRPr="002177D9">
        <w:t xml:space="preserve"> the requested modifications to Reliability Standards pertaining to critical infrastructure protection.  As discussed above, the Commission approve</w:t>
      </w:r>
      <w:r>
        <w:t>s</w:t>
      </w:r>
      <w:r w:rsidRPr="002177D9">
        <w:t xml:space="preserve"> NERC’s CIP </w:t>
      </w:r>
      <w:r>
        <w:t>Reliability Standards CIP-013-1, CIP-005-6, and CIP-010-3</w:t>
      </w:r>
      <w:r w:rsidRPr="002177D9">
        <w:t xml:space="preserve"> pursuant to section 2</w:t>
      </w:r>
      <w:r>
        <w:t>15(d)(2) of the FPA because they</w:t>
      </w:r>
      <w:r w:rsidRPr="002177D9">
        <w:t xml:space="preserve"> improve</w:t>
      </w:r>
      <w:r>
        <w:t xml:space="preserve"> upon</w:t>
      </w:r>
      <w:r w:rsidRPr="002177D9">
        <w:t xml:space="preserve"> the currently-effective </w:t>
      </w:r>
      <w:r>
        <w:t xml:space="preserve">suite of cybersecurity </w:t>
      </w:r>
      <w:r w:rsidRPr="002177D9">
        <w:t xml:space="preserve">CIP Reliability Standards.  </w:t>
      </w:r>
    </w:p>
    <w:p w:rsidR="0002452E" w:rsidP="0002452E" w:rsidRDefault="0002452E" w14:paraId="3A54BD04" w14:textId="77777777">
      <w:pPr>
        <w:pStyle w:val="FERCparanumber"/>
        <w:numPr>
          <w:ilvl w:val="0"/>
          <w:numId w:val="0"/>
        </w:numPr>
      </w:pPr>
      <w:r w:rsidRPr="002177D9">
        <w:rPr>
          <w:u w:val="single"/>
        </w:rPr>
        <w:t>Internal Review</w:t>
      </w:r>
      <w:r w:rsidRPr="002177D9">
        <w:t xml:space="preserve">:  The Commission has reviewed the </w:t>
      </w:r>
      <w:r>
        <w:t>approved</w:t>
      </w:r>
      <w:r w:rsidRPr="002177D9">
        <w:t xml:space="preserve"> Reliability Standards and made a determination that its action is necessary to implement section 215 of the FPA.</w:t>
      </w:r>
      <w:r w:rsidRPr="00A30CAF">
        <w:t xml:space="preserve">  </w:t>
      </w:r>
    </w:p>
    <w:p w:rsidR="00DE1BD5" w:rsidP="00943587" w:rsidRDefault="00927905" w14:paraId="5FE417DF" w14:textId="4235476F">
      <w:pPr>
        <w:pStyle w:val="FERCparanumber"/>
        <w:tabs>
          <w:tab w:val="clear" w:pos="990"/>
        </w:tabs>
        <w:ind w:left="0"/>
      </w:pPr>
      <w:r w:rsidRPr="00A30CAF">
        <w:t>Interested persons may obtain information on the reporting requirements by contacting the following:  Federal Energy Regulatory Commission, 888 First Street, NE</w:t>
      </w:r>
      <w:r w:rsidR="00134CE3">
        <w:t>,</w:t>
      </w:r>
      <w:r w:rsidRPr="00A30CAF">
        <w:t xml:space="preserve"> Washington, </w:t>
      </w:r>
      <w:r w:rsidRPr="002177D9">
        <w:t xml:space="preserve">DC  20426 [Attention:  Ellen Brown, Office of the Executive Director, </w:t>
      </w:r>
      <w:r>
        <w:t xml:space="preserve">      </w:t>
      </w:r>
      <w:r w:rsidRPr="002177D9">
        <w:t>e-mail:  DataClearance@ferc.gov, phone:  (202) 502-8663, fax:  (202) 273-0873].</w:t>
      </w:r>
    </w:p>
    <w:p w:rsidRPr="00DE1BD5" w:rsidR="0002452E" w:rsidP="0002452E" w:rsidRDefault="0002452E" w14:paraId="4C74A28C" w14:textId="781FCEAD">
      <w:pPr>
        <w:pStyle w:val="FERCparanumber"/>
        <w:tabs>
          <w:tab w:val="clear" w:pos="990"/>
        </w:tabs>
        <w:ind w:left="0"/>
      </w:pPr>
      <w:bookmarkStart w:name="_bmk38" w:id="7"/>
      <w:bookmarkStart w:name="_Toc194894800" w:id="8"/>
      <w:r w:rsidRPr="002177D9">
        <w:t xml:space="preserve">For submitting comments concerning the collection(s) of information and the associated burden estimate(s), please send your comments to the Commission, and to the Office of Management and Budget, Office of Information and Regulatory Affairs, </w:t>
      </w:r>
      <w:r w:rsidR="00C319E7">
        <w:t xml:space="preserve">       </w:t>
      </w:r>
      <w:r w:rsidR="00134CE3">
        <w:t>725 17</w:t>
      </w:r>
      <w:r w:rsidRPr="00276A3E" w:rsidR="00134CE3">
        <w:rPr>
          <w:vertAlign w:val="superscript"/>
        </w:rPr>
        <w:t>th</w:t>
      </w:r>
      <w:r w:rsidR="00134CE3">
        <w:t xml:space="preserve"> Street, NW, </w:t>
      </w:r>
      <w:r w:rsidRPr="002177D9">
        <w:t>Washington, DC  20503 [Attention:  Desk Officer for the Federal Energy Regulatory Commission, phone:  (202) 395-4638, fax:  (202) 395-7285].  For security reasons, comments to OMB should be submitted by e-mail to:  oira_submission@omb.eop.gov.  Comments submitted to OMB should include Docket Number RM</w:t>
      </w:r>
      <w:r>
        <w:t>17-13-000 and OMB Control Number 1902-0248</w:t>
      </w:r>
      <w:r w:rsidRPr="002177D9">
        <w:rPr>
          <w:szCs w:val="26"/>
        </w:rPr>
        <w:t>.</w:t>
      </w:r>
    </w:p>
    <w:p w:rsidR="00A851A0" w:rsidP="00A851A0" w:rsidRDefault="00A851A0" w14:paraId="318CBB36" w14:textId="77777777">
      <w:pPr>
        <w:pStyle w:val="Heading1"/>
        <w:ind w:left="0" w:firstLine="0"/>
      </w:pPr>
      <w:r w:rsidRPr="00FF3B26">
        <w:t>E</w:t>
      </w:r>
      <w:bookmarkEnd w:id="7"/>
      <w:r w:rsidRPr="00FF3B26">
        <w:t>nvironmental Analysis</w:t>
      </w:r>
      <w:bookmarkEnd w:id="8"/>
    </w:p>
    <w:p w:rsidR="000C7614" w:rsidP="00A851A0" w:rsidRDefault="00A851A0" w14:paraId="7EF6E519" w14:textId="77777777">
      <w:pPr>
        <w:pStyle w:val="FERCparanumber"/>
        <w:tabs>
          <w:tab w:val="clear" w:pos="990"/>
        </w:tabs>
        <w:ind w:left="0"/>
      </w:pPr>
      <w:r w:rsidRPr="00FF3B26">
        <w:t>The Commission is required to prepare an Environmental Assessment or an Environmental Impact Statement for any action that may have a significant adverse effect on the human environment.</w:t>
      </w:r>
      <w:r w:rsidRPr="005C286E">
        <w:rPr>
          <w:b/>
          <w:vertAlign w:val="superscript"/>
        </w:rPr>
        <w:footnoteReference w:id="126"/>
      </w:r>
      <w:r w:rsidRPr="00FF3B26">
        <w:t xml:space="preserve">  The Commission has categorically excluded certain actions from this requirement as not having a significant effect on the human environment.  Included in the exclusion are rules that are clarifying, corrective, or procedural or that do not substantially change the effect of the regulations being amended.</w:t>
      </w:r>
      <w:r w:rsidRPr="005C286E">
        <w:rPr>
          <w:b/>
          <w:vertAlign w:val="superscript"/>
        </w:rPr>
        <w:footnoteReference w:id="127"/>
      </w:r>
      <w:r w:rsidRPr="00C319E7">
        <w:t xml:space="preserve"> </w:t>
      </w:r>
      <w:r w:rsidR="00A4319E">
        <w:t xml:space="preserve"> The actions taken </w:t>
      </w:r>
      <w:r w:rsidRPr="00FF3B26">
        <w:t>herein fall within this categorical exclusion in the Commission’s regulations.</w:t>
      </w:r>
    </w:p>
    <w:p w:rsidRPr="00442EEB" w:rsidR="00807A18" w:rsidRDefault="007571C7" w14:paraId="60BFF228" w14:textId="77777777">
      <w:pPr>
        <w:pStyle w:val="Heading1"/>
        <w:tabs>
          <w:tab w:val="clear" w:pos="720"/>
        </w:tabs>
        <w:autoSpaceDE w:val="0"/>
        <w:autoSpaceDN w:val="0"/>
        <w:adjustRightInd w:val="0"/>
        <w:ind w:left="0" w:firstLine="0"/>
      </w:pPr>
      <w:r w:rsidRPr="00442EEB">
        <w:t>Regulatory Flexibility Act Analysis</w:t>
      </w:r>
      <w:r w:rsidRPr="00442EEB" w:rsidR="00911C33">
        <w:rPr>
          <w:b w:val="0"/>
          <w:u w:val="none"/>
        </w:rPr>
        <w:t xml:space="preserve">   </w:t>
      </w:r>
    </w:p>
    <w:p w:rsidRPr="000A09BD" w:rsidR="0002452E" w:rsidP="0002452E" w:rsidRDefault="0002452E" w14:paraId="3EB9CEF5" w14:textId="77777777">
      <w:pPr>
        <w:pStyle w:val="FERCparanumber"/>
        <w:tabs>
          <w:tab w:val="clear" w:pos="990"/>
        </w:tabs>
        <w:autoSpaceDE w:val="0"/>
        <w:autoSpaceDN w:val="0"/>
        <w:adjustRightInd w:val="0"/>
        <w:ind w:left="0"/>
        <w:rPr>
          <w:szCs w:val="26"/>
        </w:rPr>
      </w:pPr>
      <w:bookmarkStart w:name="_Toc280101688" w:id="9"/>
      <w:bookmarkEnd w:id="4"/>
      <w:r w:rsidRPr="004929F0">
        <w:rPr>
          <w:rFonts w:eastAsiaTheme="minorHAnsi"/>
          <w:szCs w:val="26"/>
        </w:rPr>
        <w:t>The Regulatory Flexibility Act of 1980 (RFA) generally requires</w:t>
      </w:r>
      <w:r>
        <w:rPr>
          <w:rFonts w:eastAsiaTheme="minorHAnsi"/>
          <w:szCs w:val="26"/>
        </w:rPr>
        <w:t xml:space="preserve"> a description and analysis of proposed r</w:t>
      </w:r>
      <w:r w:rsidRPr="004929F0">
        <w:rPr>
          <w:rFonts w:eastAsiaTheme="minorHAnsi"/>
          <w:szCs w:val="26"/>
        </w:rPr>
        <w:t>ules that will have significant economic impact on a substantial number of small entities.</w:t>
      </w:r>
      <w:r w:rsidRPr="004929F0">
        <w:rPr>
          <w:rFonts w:eastAsiaTheme="minorHAnsi"/>
          <w:b/>
          <w:szCs w:val="26"/>
          <w:vertAlign w:val="superscript"/>
        </w:rPr>
        <w:footnoteReference w:id="128"/>
      </w:r>
      <w:r w:rsidRPr="004929F0">
        <w:rPr>
          <w:rFonts w:eastAsiaTheme="minorHAnsi"/>
          <w:szCs w:val="26"/>
        </w:rPr>
        <w:t xml:space="preserve">  The Small Business Administration’s (SBA) Office of Size Standards develops the numerical definition of a small business.</w:t>
      </w:r>
      <w:r w:rsidRPr="004929F0">
        <w:rPr>
          <w:rFonts w:eastAsiaTheme="minorHAnsi"/>
          <w:b/>
          <w:szCs w:val="26"/>
          <w:vertAlign w:val="superscript"/>
        </w:rPr>
        <w:footnoteReference w:id="129"/>
      </w:r>
      <w:r w:rsidRPr="004929F0">
        <w:rPr>
          <w:rFonts w:eastAsiaTheme="minorHAnsi"/>
          <w:szCs w:val="26"/>
        </w:rPr>
        <w:t xml:space="preserve">  The SBA revised its size standard for electric utilities (effective January 22, 2014) to a standard based on the number of employees, including affiliates (from the prior standard based on megawatt hour sales).</w:t>
      </w:r>
      <w:r w:rsidRPr="004929F0">
        <w:rPr>
          <w:rFonts w:eastAsiaTheme="minorHAnsi"/>
          <w:b/>
          <w:szCs w:val="26"/>
          <w:vertAlign w:val="superscript"/>
        </w:rPr>
        <w:footnoteReference w:id="130"/>
      </w:r>
    </w:p>
    <w:p w:rsidRPr="000A09BD" w:rsidR="0002452E" w:rsidP="0002452E" w:rsidRDefault="0002452E" w14:paraId="79457274" w14:textId="77777777">
      <w:pPr>
        <w:pStyle w:val="FERCparanumber"/>
        <w:tabs>
          <w:tab w:val="clear" w:pos="990"/>
        </w:tabs>
        <w:autoSpaceDE w:val="0"/>
        <w:autoSpaceDN w:val="0"/>
        <w:adjustRightInd w:val="0"/>
        <w:ind w:left="0"/>
        <w:rPr>
          <w:szCs w:val="26"/>
        </w:rPr>
      </w:pPr>
      <w:r>
        <w:rPr>
          <w:rFonts w:eastAsiaTheme="minorHAnsi"/>
          <w:szCs w:val="26"/>
        </w:rPr>
        <w:t>Reliability Standards</w:t>
      </w:r>
      <w:r w:rsidRPr="004929F0">
        <w:rPr>
          <w:rFonts w:eastAsiaTheme="minorHAnsi"/>
          <w:szCs w:val="26"/>
        </w:rPr>
        <w:t xml:space="preserve"> CIP-0</w:t>
      </w:r>
      <w:r>
        <w:rPr>
          <w:rFonts w:eastAsiaTheme="minorHAnsi"/>
          <w:szCs w:val="26"/>
        </w:rPr>
        <w:t>13-1, CIP-005-6, CIP-010-3 are</w:t>
      </w:r>
      <w:r w:rsidRPr="004929F0">
        <w:rPr>
          <w:rFonts w:eastAsiaTheme="minorHAnsi"/>
          <w:szCs w:val="26"/>
        </w:rPr>
        <w:t xml:space="preserve"> expected to impose an additional burden on </w:t>
      </w:r>
      <w:r>
        <w:rPr>
          <w:rFonts w:eastAsiaTheme="minorHAnsi"/>
          <w:szCs w:val="26"/>
        </w:rPr>
        <w:t>288</w:t>
      </w:r>
      <w:r w:rsidRPr="004929F0">
        <w:rPr>
          <w:rFonts w:eastAsiaTheme="minorHAnsi"/>
          <w:szCs w:val="26"/>
        </w:rPr>
        <w:t xml:space="preserve"> entities</w:t>
      </w:r>
      <w:r w:rsidRPr="004929F0">
        <w:rPr>
          <w:rFonts w:eastAsiaTheme="minorHAnsi"/>
          <w:b/>
          <w:szCs w:val="26"/>
          <w:vertAlign w:val="superscript"/>
        </w:rPr>
        <w:footnoteReference w:id="131"/>
      </w:r>
      <w:r w:rsidRPr="004929F0">
        <w:rPr>
          <w:rFonts w:eastAsiaTheme="minorHAnsi"/>
          <w:szCs w:val="26"/>
        </w:rPr>
        <w:t xml:space="preserve"> (reliability coordinators, generator operators, generator owners, interchange coordinators or authorities, transmission operators, balancing authorities, </w:t>
      </w:r>
      <w:r>
        <w:rPr>
          <w:rFonts w:eastAsiaTheme="minorHAnsi"/>
          <w:szCs w:val="26"/>
        </w:rPr>
        <w:t xml:space="preserve">and </w:t>
      </w:r>
      <w:r w:rsidRPr="004929F0">
        <w:rPr>
          <w:rFonts w:eastAsiaTheme="minorHAnsi"/>
          <w:szCs w:val="26"/>
        </w:rPr>
        <w:t>transmission owners).</w:t>
      </w:r>
    </w:p>
    <w:p w:rsidRPr="000A09BD" w:rsidR="0002452E" w:rsidP="0002452E" w:rsidRDefault="0002452E" w14:paraId="7844CA18" w14:textId="3D21FEE3">
      <w:pPr>
        <w:pStyle w:val="FERCparanumber"/>
        <w:tabs>
          <w:tab w:val="clear" w:pos="990"/>
        </w:tabs>
        <w:autoSpaceDE w:val="0"/>
        <w:autoSpaceDN w:val="0"/>
        <w:adjustRightInd w:val="0"/>
        <w:ind w:left="0"/>
        <w:rPr>
          <w:szCs w:val="26"/>
        </w:rPr>
      </w:pPr>
      <w:r>
        <w:t xml:space="preserve">Of the 288 affected entities discussed above, we </w:t>
      </w:r>
      <w:r w:rsidRPr="00CB2A8B">
        <w:t xml:space="preserve">estimate that approximately </w:t>
      </w:r>
      <w:r w:rsidR="00C319E7">
        <w:t xml:space="preserve">    </w:t>
      </w:r>
      <w:r w:rsidRPr="00CB2A8B">
        <w:t>248 or 86.2 percent of the affected entities are small</w:t>
      </w:r>
      <w:r>
        <w:t xml:space="preserve"> entities</w:t>
      </w:r>
      <w:r w:rsidRPr="00CB2A8B">
        <w:t>.</w:t>
      </w:r>
      <w:r w:rsidRPr="00C57BDC">
        <w:t xml:space="preserve">  </w:t>
      </w:r>
      <w:r>
        <w:rPr>
          <w:szCs w:val="26"/>
        </w:rPr>
        <w:t>We estimate</w:t>
      </w:r>
      <w:r w:rsidRPr="00AD0ABF">
        <w:rPr>
          <w:szCs w:val="26"/>
        </w:rPr>
        <w:t xml:space="preserve"> that each of the </w:t>
      </w:r>
      <w:r w:rsidRPr="00986029">
        <w:rPr>
          <w:szCs w:val="26"/>
        </w:rPr>
        <w:t>248</w:t>
      </w:r>
      <w:r w:rsidRPr="00AD0ABF">
        <w:rPr>
          <w:szCs w:val="26"/>
        </w:rPr>
        <w:t xml:space="preserve"> small entities to whom the </w:t>
      </w:r>
      <w:r>
        <w:rPr>
          <w:szCs w:val="26"/>
        </w:rPr>
        <w:t>approved</w:t>
      </w:r>
      <w:r w:rsidRPr="00AD0ABF">
        <w:rPr>
          <w:szCs w:val="26"/>
        </w:rPr>
        <w:t xml:space="preserve"> </w:t>
      </w:r>
      <w:r>
        <w:rPr>
          <w:szCs w:val="26"/>
        </w:rPr>
        <w:t xml:space="preserve">modifications to </w:t>
      </w:r>
      <w:r w:rsidRPr="00AD0ABF">
        <w:rPr>
          <w:szCs w:val="26"/>
        </w:rPr>
        <w:t>Reliability Standard</w:t>
      </w:r>
      <w:r>
        <w:rPr>
          <w:szCs w:val="26"/>
        </w:rPr>
        <w:t xml:space="preserve">s </w:t>
      </w:r>
      <w:r w:rsidR="00C319E7">
        <w:rPr>
          <w:szCs w:val="26"/>
        </w:rPr>
        <w:t xml:space="preserve">    </w:t>
      </w:r>
      <w:r>
        <w:t xml:space="preserve">CIP-013-1, CIP-005-6, and CIP-010-3 </w:t>
      </w:r>
      <w:r>
        <w:rPr>
          <w:szCs w:val="26"/>
        </w:rPr>
        <w:t>apply</w:t>
      </w:r>
      <w:r w:rsidRPr="00AD0ABF">
        <w:rPr>
          <w:szCs w:val="26"/>
        </w:rPr>
        <w:t xml:space="preserve"> will incur </w:t>
      </w:r>
      <w:r>
        <w:rPr>
          <w:szCs w:val="26"/>
        </w:rPr>
        <w:t xml:space="preserve">one-time </w:t>
      </w:r>
      <w:r w:rsidRPr="00AD0ABF">
        <w:rPr>
          <w:szCs w:val="26"/>
        </w:rPr>
        <w:t>costs of approximately $</w:t>
      </w:r>
      <w:r>
        <w:rPr>
          <w:szCs w:val="26"/>
        </w:rPr>
        <w:t>52,326</w:t>
      </w:r>
      <w:r w:rsidRPr="00AD0ABF">
        <w:rPr>
          <w:szCs w:val="26"/>
        </w:rPr>
        <w:t xml:space="preserve"> per entity to implement th</w:t>
      </w:r>
      <w:r>
        <w:rPr>
          <w:szCs w:val="26"/>
        </w:rPr>
        <w:t>e approved Reliability S</w:t>
      </w:r>
      <w:r w:rsidRPr="00AD0ABF">
        <w:rPr>
          <w:szCs w:val="26"/>
        </w:rPr>
        <w:t>tandard</w:t>
      </w:r>
      <w:r>
        <w:rPr>
          <w:szCs w:val="26"/>
        </w:rPr>
        <w:t>s, as well as the ongoing paperwork burden reflected in the Information Collection Statement (approximately $2,430 per year per entity)</w:t>
      </w:r>
      <w:r w:rsidRPr="00AD0ABF">
        <w:rPr>
          <w:szCs w:val="26"/>
        </w:rPr>
        <w:t>.</w:t>
      </w:r>
      <w:r w:rsidRPr="00C57BDC">
        <w:t xml:space="preserve">  </w:t>
      </w:r>
      <w:r>
        <w:t xml:space="preserve">We do not consider the estimated costs for these </w:t>
      </w:r>
      <w:r w:rsidRPr="000A09BD">
        <w:t>248</w:t>
      </w:r>
      <w:r>
        <w:t xml:space="preserve"> small entities to be a significant economic impact.  Accordingly, we certify that Reliability Standards </w:t>
      </w:r>
      <w:r w:rsidRPr="004929F0">
        <w:rPr>
          <w:rFonts w:eastAsiaTheme="minorHAnsi"/>
          <w:szCs w:val="26"/>
        </w:rPr>
        <w:t>CIP-0</w:t>
      </w:r>
      <w:r>
        <w:rPr>
          <w:rFonts w:eastAsiaTheme="minorHAnsi"/>
          <w:szCs w:val="26"/>
        </w:rPr>
        <w:t>13-1, CIP-005-6, and CIP-010-3 will not have a significant economic impact on a substantial number of small entities.</w:t>
      </w:r>
    </w:p>
    <w:p w:rsidR="00807A18" w:rsidRDefault="00E4219A" w14:paraId="0209E199" w14:textId="77777777">
      <w:pPr>
        <w:pStyle w:val="Heading1"/>
        <w:tabs>
          <w:tab w:val="clear" w:pos="720"/>
        </w:tabs>
        <w:ind w:left="0" w:firstLine="0"/>
      </w:pPr>
      <w:r>
        <w:t>Document Availability</w:t>
      </w:r>
    </w:p>
    <w:p w:rsidR="00345A6B" w:rsidP="00345A6B" w:rsidRDefault="00345A6B" w14:paraId="50206D31" w14:textId="78C81262">
      <w:pPr>
        <w:pStyle w:val="StyleFERCparanumberLinespacingDouble"/>
        <w:tabs>
          <w:tab w:val="clear" w:pos="990"/>
        </w:tabs>
        <w:ind w:left="0"/>
      </w:pPr>
      <w:r w:rsidRPr="00FF3B26">
        <w:t>In addition to publishing the full text of this document in the Federal Register, the Commission provides all interested persons an opportunity to view and/or print the contents of this document via the Internet through the Commission's Home Page (</w:t>
      </w:r>
      <w:r w:rsidRPr="00205725">
        <w:rPr>
          <w:rStyle w:val="Hyperlink"/>
          <w:color w:val="auto"/>
        </w:rPr>
        <w:t>http://www.ferc.gov</w:t>
      </w:r>
      <w:r w:rsidRPr="00FF3B26">
        <w:t>) and in the Commission's Public Reference Room during normal business hours (8:30 a.m. to 5:00 p.m. Eastern time) at 888 First Stree</w:t>
      </w:r>
      <w:r>
        <w:t xml:space="preserve">t, NE, Room 2A, Washington, DC  </w:t>
      </w:r>
      <w:r w:rsidRPr="00FF3B26">
        <w:t>20426.</w:t>
      </w:r>
    </w:p>
    <w:p w:rsidR="00345A6B" w:rsidP="00345A6B" w:rsidRDefault="00345A6B" w14:paraId="0709DD01" w14:textId="09A89D41">
      <w:pPr>
        <w:pStyle w:val="StyleFERCparanumberLinespacingDouble"/>
        <w:tabs>
          <w:tab w:val="clear" w:pos="990"/>
        </w:tabs>
        <w:ind w:left="0"/>
      </w:pPr>
      <w:r w:rsidRPr="00FF3B26">
        <w:t xml:space="preserve">From the Commission's Home Page on the Internet, this information is available on eLibrary.  The full text of this document is available on eLibrary in PDF and Microsoft Word format for viewing, printing, and/or downloading. </w:t>
      </w:r>
      <w:r>
        <w:t xml:space="preserve"> </w:t>
      </w:r>
      <w:r w:rsidRPr="00FF3B26">
        <w:t>To access this document in eLibrary, type the docket number of this document</w:t>
      </w:r>
      <w:r>
        <w:t>,</w:t>
      </w:r>
      <w:r w:rsidRPr="00FF3B26">
        <w:t xml:space="preserve"> excluding the last </w:t>
      </w:r>
      <w:r w:rsidR="00C319E7">
        <w:t xml:space="preserve">    </w:t>
      </w:r>
      <w:r w:rsidRPr="00FF3B26">
        <w:t>three digits</w:t>
      </w:r>
      <w:r>
        <w:t>,</w:t>
      </w:r>
      <w:r w:rsidRPr="00FF3B26">
        <w:t xml:space="preserve"> in the docket number field.</w:t>
      </w:r>
      <w:r>
        <w:t xml:space="preserve">  </w:t>
      </w:r>
      <w:r w:rsidRPr="00FF3B26">
        <w:t xml:space="preserve">User assistance is available for eLibrary </w:t>
      </w:r>
      <w:r w:rsidR="00C319E7">
        <w:t xml:space="preserve">         </w:t>
      </w:r>
      <w:r w:rsidRPr="00FF3B26">
        <w:t>and the Commission’s website during normal business hours from the Com</w:t>
      </w:r>
      <w:r>
        <w:t xml:space="preserve">mission’s Online Support at (202) </w:t>
      </w:r>
      <w:r w:rsidRPr="00FF3B26">
        <w:t>502-6652 (toll free at 1-866-208-3676) or e</w:t>
      </w:r>
      <w:r>
        <w:t>-</w:t>
      </w:r>
      <w:r w:rsidRPr="00FF3B26">
        <w:t xml:space="preserve">mail at </w:t>
      </w:r>
      <w:r w:rsidRPr="00205725">
        <w:rPr>
          <w:rStyle w:val="Hyperlink"/>
          <w:color w:val="auto"/>
        </w:rPr>
        <w:t>ferconlinesupport@ferc.gov</w:t>
      </w:r>
      <w:r w:rsidRPr="00FF3B26">
        <w:t xml:space="preserve">, or the Public Reference Room at (202) 502-8371, TTY (202) 502-8659.  E-mail the Public Reference Room at </w:t>
      </w:r>
      <w:r w:rsidRPr="00205725">
        <w:rPr>
          <w:rStyle w:val="Hyperlink"/>
          <w:color w:val="auto"/>
        </w:rPr>
        <w:t>public.referenceroom@ferc.gov</w:t>
      </w:r>
      <w:r w:rsidRPr="00FF3B26">
        <w:t>.</w:t>
      </w:r>
    </w:p>
    <w:p w:rsidRPr="00863D8B" w:rsidR="00345A6B" w:rsidP="00345A6B" w:rsidRDefault="00345A6B" w14:paraId="20701E92" w14:textId="77777777">
      <w:pPr>
        <w:pStyle w:val="Heading1"/>
        <w:widowControl w:val="0"/>
        <w:rPr>
          <w:szCs w:val="26"/>
        </w:rPr>
      </w:pPr>
      <w:r w:rsidRPr="00863D8B">
        <w:rPr>
          <w:szCs w:val="26"/>
        </w:rPr>
        <w:t>Effective Date and Congressional Notification</w:t>
      </w:r>
    </w:p>
    <w:p w:rsidR="00807A18" w:rsidP="00C934A6" w:rsidRDefault="00345A6B" w14:paraId="08518B27" w14:textId="1C1505D4">
      <w:pPr>
        <w:pStyle w:val="FERCparanumber"/>
        <w:tabs>
          <w:tab w:val="clear" w:pos="990"/>
          <w:tab w:val="num" w:pos="720"/>
        </w:tabs>
        <w:ind w:left="0"/>
      </w:pPr>
      <w:r w:rsidRPr="00863D8B">
        <w:t xml:space="preserve">The </w:t>
      </w:r>
      <w:r w:rsidR="00E4219A">
        <w:t>fi</w:t>
      </w:r>
      <w:r w:rsidRPr="00863D8B">
        <w:t xml:space="preserve">nal </w:t>
      </w:r>
      <w:r w:rsidR="00E4219A">
        <w:t>r</w:t>
      </w:r>
      <w:r w:rsidRPr="00863D8B">
        <w:t>ule is effective [</w:t>
      </w:r>
      <w:r w:rsidRPr="00863D8B">
        <w:rPr>
          <w:b/>
        </w:rPr>
        <w:t>INSERT DATE 60 days from publication in FEDERAL REGISTER</w:t>
      </w:r>
      <w:r w:rsidRPr="00863D8B">
        <w:t>].  The Commission has determined</w:t>
      </w:r>
      <w:r w:rsidRPr="00EF4BAE">
        <w:t xml:space="preserve"> </w:t>
      </w:r>
      <w:r>
        <w:t xml:space="preserve">that this </w:t>
      </w:r>
      <w:r w:rsidR="00E4219A">
        <w:t>f</w:t>
      </w:r>
      <w:r>
        <w:t xml:space="preserve">inal </w:t>
      </w:r>
      <w:r w:rsidR="00E4219A">
        <w:t>r</w:t>
      </w:r>
      <w:r>
        <w:t>ule imposes no substantial effect upon either NERC or NERC registered entities</w:t>
      </w:r>
      <w:r>
        <w:rPr>
          <w:rStyle w:val="FootnoteReference"/>
        </w:rPr>
        <w:footnoteReference w:id="132"/>
      </w:r>
      <w:r>
        <w:t xml:space="preserve"> and</w:t>
      </w:r>
      <w:r w:rsidRPr="00863D8B">
        <w:t>, with the concurrence of the Administrator of the Office of Information</w:t>
      </w:r>
      <w:r w:rsidR="00402E7B">
        <w:t xml:space="preserve"> and Regulatory Affairs of OMB, </w:t>
      </w:r>
      <w:r w:rsidRPr="00863D8B">
        <w:t xml:space="preserve">that this rule is not a “major rule” as defined in section 351 of the Small Business Regulatory Enforcement Fairness Act of 1996.  This </w:t>
      </w:r>
      <w:r w:rsidR="00592277">
        <w:t>f</w:t>
      </w:r>
      <w:r w:rsidRPr="00863D8B">
        <w:t xml:space="preserve">inal </w:t>
      </w:r>
      <w:r w:rsidR="00E4219A">
        <w:t>r</w:t>
      </w:r>
      <w:r w:rsidRPr="00863D8B">
        <w:t>ule is being submitted to the Senate, House, and Government Accountability Office.</w:t>
      </w:r>
    </w:p>
    <w:p w:rsidR="00BC6513" w:rsidP="00BC6513" w:rsidRDefault="006959D9" w14:paraId="6FFB56A5" w14:textId="77777777">
      <w:r>
        <w:t>By the Commission.</w:t>
      </w:r>
      <w:r w:rsidR="00BC6513">
        <w:t xml:space="preserve">  Chairman McIntyre was not present at the Commission Meeting</w:t>
      </w:r>
    </w:p>
    <w:p w:rsidR="006C3963" w:rsidP="00BC6513" w:rsidRDefault="00BC6513" w14:paraId="3B540EEA" w14:textId="1837E0FF">
      <w:pPr>
        <w:pStyle w:val="StyleFERCparanumberLinespacingDouble"/>
        <w:numPr>
          <w:ilvl w:val="0"/>
          <w:numId w:val="0"/>
        </w:numPr>
        <w:ind w:left="1440" w:firstLine="720"/>
      </w:pPr>
      <w:r>
        <w:t xml:space="preserve">  held on October 18, 2018 and did not vote on this item.</w:t>
      </w:r>
    </w:p>
    <w:p w:rsidR="006959D9" w:rsidP="006959D9" w:rsidRDefault="006959D9" w14:paraId="7809924D" w14:textId="554E9986">
      <w:pPr>
        <w:pStyle w:val="StyleFERCparanumberLinespacingDouble"/>
        <w:numPr>
          <w:ilvl w:val="0"/>
          <w:numId w:val="0"/>
        </w:numPr>
        <w:spacing w:line="240" w:lineRule="auto"/>
      </w:pPr>
      <w:r w:rsidRPr="006959D9">
        <w:t>( S E A L )</w:t>
      </w:r>
    </w:p>
    <w:p w:rsidR="006959D9" w:rsidP="006959D9" w:rsidRDefault="006959D9" w14:paraId="43649DAB" w14:textId="13AFFA1F">
      <w:pPr>
        <w:pStyle w:val="StyleFERCparanumberLinespacingDouble"/>
        <w:numPr>
          <w:ilvl w:val="0"/>
          <w:numId w:val="0"/>
        </w:numPr>
        <w:spacing w:line="240" w:lineRule="auto"/>
      </w:pPr>
    </w:p>
    <w:p w:rsidR="006959D9" w:rsidP="006959D9" w:rsidRDefault="006959D9" w14:paraId="611B203F" w14:textId="59E4D542">
      <w:pPr>
        <w:pStyle w:val="StyleFERCparanumberLinespacingDouble"/>
        <w:numPr>
          <w:ilvl w:val="0"/>
          <w:numId w:val="0"/>
        </w:numPr>
        <w:spacing w:line="240" w:lineRule="auto"/>
      </w:pPr>
    </w:p>
    <w:p w:rsidR="006959D9" w:rsidP="006959D9" w:rsidRDefault="006959D9" w14:paraId="3AD63811" w14:textId="00EE689A">
      <w:pPr>
        <w:pStyle w:val="StyleFERCparanumberLinespacingDouble"/>
        <w:numPr>
          <w:ilvl w:val="0"/>
          <w:numId w:val="0"/>
        </w:numPr>
        <w:spacing w:line="240" w:lineRule="auto"/>
      </w:pPr>
    </w:p>
    <w:p w:rsidR="006959D9" w:rsidP="006959D9" w:rsidRDefault="006959D9" w14:paraId="552F80F5" w14:textId="766ADE3B">
      <w:pPr>
        <w:pStyle w:val="StyleFERCparanumberLinespacingDouble"/>
        <w:numPr>
          <w:ilvl w:val="0"/>
          <w:numId w:val="0"/>
        </w:numPr>
        <w:spacing w:line="240" w:lineRule="auto"/>
      </w:pPr>
    </w:p>
    <w:p w:rsidRPr="006959D9" w:rsidR="006959D9" w:rsidP="006959D9" w:rsidRDefault="006959D9" w14:paraId="7CDC7DB5" w14:textId="0D238F85">
      <w:pPr>
        <w:ind w:firstLine="2606"/>
        <w:jc w:val="center"/>
      </w:pPr>
      <w:r w:rsidRPr="006959D9">
        <w:t>Nathaniel J. Davis, Sr.,</w:t>
      </w:r>
    </w:p>
    <w:p w:rsidRPr="006959D9" w:rsidR="006959D9" w:rsidP="006959D9" w:rsidRDefault="006959D9" w14:paraId="247BDD2F" w14:textId="28458C41">
      <w:pPr>
        <w:ind w:firstLine="2606"/>
        <w:jc w:val="center"/>
      </w:pPr>
      <w:r w:rsidRPr="006959D9">
        <w:t>Deputy Secretary.</w:t>
      </w:r>
    </w:p>
    <w:p w:rsidRPr="006959D9" w:rsidR="006959D9" w:rsidP="006959D9" w:rsidRDefault="006959D9" w14:paraId="764575EA" w14:textId="77777777">
      <w:pPr>
        <w:pStyle w:val="StyleFERCparanumberLinespacingDouble"/>
        <w:numPr>
          <w:ilvl w:val="0"/>
          <w:numId w:val="0"/>
        </w:numPr>
        <w:spacing w:line="240" w:lineRule="auto"/>
      </w:pPr>
    </w:p>
    <w:bookmarkEnd w:id="9"/>
    <w:p w:rsidR="003A5E6E" w:rsidP="003A5E6E" w:rsidRDefault="003A5E6E" w14:paraId="22CD063E" w14:textId="77777777">
      <w:pPr>
        <w:tabs>
          <w:tab w:val="left" w:pos="0"/>
        </w:tabs>
        <w:rPr>
          <w:szCs w:val="26"/>
        </w:rPr>
      </w:pPr>
      <w:r>
        <w:rPr>
          <w:szCs w:val="26"/>
        </w:rPr>
        <w:br w:type="page"/>
      </w:r>
    </w:p>
    <w:p w:rsidR="00322676" w:rsidP="003A5E6E" w:rsidRDefault="00322676" w14:paraId="2E754D32" w14:textId="77777777">
      <w:pPr>
        <w:tabs>
          <w:tab w:val="left" w:pos="0"/>
        </w:tabs>
        <w:jc w:val="center"/>
        <w:rPr>
          <w:b/>
        </w:rPr>
      </w:pPr>
    </w:p>
    <w:p w:rsidRPr="009C0B08" w:rsidR="003A5E6E" w:rsidP="003A5E6E" w:rsidRDefault="003A5E6E" w14:paraId="651F3461" w14:textId="77777777">
      <w:pPr>
        <w:tabs>
          <w:tab w:val="left" w:pos="0"/>
        </w:tabs>
        <w:jc w:val="center"/>
        <w:rPr>
          <w:b/>
        </w:rPr>
      </w:pPr>
      <w:r w:rsidRPr="009C0B08">
        <w:rPr>
          <w:b/>
        </w:rPr>
        <w:t xml:space="preserve">Appendix </w:t>
      </w:r>
    </w:p>
    <w:p w:rsidR="003A5E6E" w:rsidP="006B6827" w:rsidRDefault="00881176" w14:paraId="7929566F" w14:textId="77777777">
      <w:pPr>
        <w:jc w:val="center"/>
      </w:pPr>
      <w:r w:rsidRPr="00D34EBB">
        <w:rPr>
          <w:b/>
        </w:rPr>
        <w:t>Commenters</w:t>
      </w:r>
    </w:p>
    <w:p w:rsidR="003A5E6E" w:rsidP="003A5E6E" w:rsidRDefault="003A5E6E" w14:paraId="41E5E16D" w14:textId="77777777"/>
    <w:p w:rsidR="00F827DC" w:rsidP="003A5E6E" w:rsidRDefault="00F827DC" w14:paraId="2B05EB3D" w14:textId="08DF2D79">
      <w:pPr>
        <w:tabs>
          <w:tab w:val="left" w:pos="0"/>
        </w:tabs>
        <w:rPr>
          <w:b/>
          <w:szCs w:val="26"/>
        </w:rPr>
      </w:pPr>
      <w:r>
        <w:rPr>
          <w:b/>
          <w:szCs w:val="26"/>
        </w:rPr>
        <w:t>Abbreviation</w:t>
      </w:r>
      <w:r>
        <w:rPr>
          <w:b/>
          <w:szCs w:val="26"/>
        </w:rPr>
        <w:tab/>
      </w:r>
      <w:r>
        <w:rPr>
          <w:b/>
          <w:szCs w:val="26"/>
        </w:rPr>
        <w:tab/>
      </w:r>
      <w:r w:rsidR="00536DA2">
        <w:rPr>
          <w:b/>
          <w:szCs w:val="26"/>
        </w:rPr>
        <w:tab/>
      </w:r>
      <w:r>
        <w:rPr>
          <w:b/>
          <w:szCs w:val="26"/>
        </w:rPr>
        <w:t>Commenter</w:t>
      </w:r>
    </w:p>
    <w:p w:rsidRPr="006B6827" w:rsidR="00F827DC" w:rsidP="003A5E6E" w:rsidRDefault="00F827DC" w14:paraId="1D1E586E" w14:textId="77777777">
      <w:pPr>
        <w:tabs>
          <w:tab w:val="left" w:pos="0"/>
        </w:tabs>
        <w:rPr>
          <w:b/>
          <w:szCs w:val="26"/>
        </w:rPr>
      </w:pPr>
    </w:p>
    <w:p w:rsidR="003A5E6E" w:rsidP="0058627E" w:rsidRDefault="0058627E" w14:paraId="30334290" w14:textId="74E02643">
      <w:pPr>
        <w:tabs>
          <w:tab w:val="left" w:pos="0"/>
        </w:tabs>
        <w:rPr>
          <w:szCs w:val="26"/>
        </w:rPr>
      </w:pPr>
      <w:r>
        <w:rPr>
          <w:szCs w:val="26"/>
        </w:rPr>
        <w:t>AECC</w:t>
      </w:r>
      <w:r>
        <w:rPr>
          <w:szCs w:val="26"/>
        </w:rPr>
        <w:tab/>
      </w:r>
      <w:r>
        <w:rPr>
          <w:szCs w:val="26"/>
        </w:rPr>
        <w:tab/>
      </w:r>
      <w:r>
        <w:rPr>
          <w:szCs w:val="26"/>
        </w:rPr>
        <w:tab/>
      </w:r>
      <w:r>
        <w:rPr>
          <w:szCs w:val="26"/>
        </w:rPr>
        <w:tab/>
      </w:r>
      <w:r w:rsidR="00536DA2">
        <w:rPr>
          <w:szCs w:val="26"/>
        </w:rPr>
        <w:tab/>
      </w:r>
      <w:r>
        <w:rPr>
          <w:szCs w:val="26"/>
        </w:rPr>
        <w:t xml:space="preserve">Arkansas Electric Cooperative Corporation </w:t>
      </w:r>
    </w:p>
    <w:p w:rsidR="00646150" w:rsidP="0058627E" w:rsidRDefault="00646150" w14:paraId="398D568B" w14:textId="5628D817">
      <w:pPr>
        <w:tabs>
          <w:tab w:val="left" w:pos="0"/>
        </w:tabs>
        <w:rPr>
          <w:szCs w:val="26"/>
        </w:rPr>
      </w:pPr>
      <w:r>
        <w:rPr>
          <w:szCs w:val="26"/>
        </w:rPr>
        <w:t>Appelbaum</w:t>
      </w:r>
      <w:r>
        <w:rPr>
          <w:szCs w:val="26"/>
        </w:rPr>
        <w:tab/>
      </w:r>
      <w:r>
        <w:rPr>
          <w:szCs w:val="26"/>
        </w:rPr>
        <w:tab/>
      </w:r>
      <w:r>
        <w:rPr>
          <w:szCs w:val="26"/>
        </w:rPr>
        <w:tab/>
      </w:r>
      <w:r w:rsidR="00536DA2">
        <w:rPr>
          <w:szCs w:val="26"/>
        </w:rPr>
        <w:tab/>
      </w:r>
      <w:r>
        <w:rPr>
          <w:szCs w:val="26"/>
        </w:rPr>
        <w:t xml:space="preserve">Jonathan Appelbaum </w:t>
      </w:r>
    </w:p>
    <w:p w:rsidR="003A5E6E" w:rsidP="003A5E6E" w:rsidRDefault="00F827DC" w14:paraId="7E3DF03A" w14:textId="77F6DF04">
      <w:pPr>
        <w:tabs>
          <w:tab w:val="left" w:pos="0"/>
        </w:tabs>
        <w:rPr>
          <w:szCs w:val="26"/>
        </w:rPr>
      </w:pPr>
      <w:r>
        <w:rPr>
          <w:szCs w:val="26"/>
        </w:rPr>
        <w:t>APS</w:t>
      </w:r>
      <w:r>
        <w:rPr>
          <w:szCs w:val="26"/>
        </w:rPr>
        <w:tab/>
      </w:r>
      <w:r>
        <w:rPr>
          <w:szCs w:val="26"/>
        </w:rPr>
        <w:tab/>
      </w:r>
      <w:r>
        <w:rPr>
          <w:szCs w:val="26"/>
        </w:rPr>
        <w:tab/>
      </w:r>
      <w:r>
        <w:rPr>
          <w:szCs w:val="26"/>
        </w:rPr>
        <w:tab/>
      </w:r>
      <w:r w:rsidR="00536DA2">
        <w:rPr>
          <w:szCs w:val="26"/>
        </w:rPr>
        <w:tab/>
      </w:r>
      <w:r w:rsidR="003A5E6E">
        <w:rPr>
          <w:szCs w:val="26"/>
        </w:rPr>
        <w:t xml:space="preserve">Arizona Public Service Company </w:t>
      </w:r>
    </w:p>
    <w:p w:rsidR="003A5E6E" w:rsidP="003A5E6E" w:rsidRDefault="00F827DC" w14:paraId="2935EA31" w14:textId="54D69589">
      <w:pPr>
        <w:tabs>
          <w:tab w:val="left" w:pos="0"/>
        </w:tabs>
        <w:rPr>
          <w:szCs w:val="26"/>
        </w:rPr>
      </w:pPr>
      <w:r>
        <w:rPr>
          <w:szCs w:val="26"/>
        </w:rPr>
        <w:t>EEI</w:t>
      </w:r>
      <w:r>
        <w:rPr>
          <w:szCs w:val="26"/>
        </w:rPr>
        <w:tab/>
      </w:r>
      <w:r>
        <w:rPr>
          <w:szCs w:val="26"/>
        </w:rPr>
        <w:tab/>
      </w:r>
      <w:r>
        <w:rPr>
          <w:szCs w:val="26"/>
        </w:rPr>
        <w:tab/>
      </w:r>
      <w:r>
        <w:rPr>
          <w:szCs w:val="26"/>
        </w:rPr>
        <w:tab/>
      </w:r>
      <w:r w:rsidR="00536DA2">
        <w:rPr>
          <w:szCs w:val="26"/>
        </w:rPr>
        <w:tab/>
      </w:r>
      <w:r w:rsidR="003A5E6E">
        <w:rPr>
          <w:szCs w:val="26"/>
        </w:rPr>
        <w:t>Edison Electric Institute</w:t>
      </w:r>
    </w:p>
    <w:p w:rsidR="003A5E6E" w:rsidP="003A5E6E" w:rsidRDefault="00F827DC" w14:paraId="14661CDD" w14:textId="473396FD">
      <w:pPr>
        <w:tabs>
          <w:tab w:val="left" w:pos="0"/>
        </w:tabs>
        <w:rPr>
          <w:szCs w:val="26"/>
        </w:rPr>
      </w:pPr>
      <w:r>
        <w:rPr>
          <w:szCs w:val="26"/>
        </w:rPr>
        <w:t>Idaho Power</w:t>
      </w:r>
      <w:r>
        <w:rPr>
          <w:szCs w:val="26"/>
        </w:rPr>
        <w:tab/>
      </w:r>
      <w:r>
        <w:rPr>
          <w:szCs w:val="26"/>
        </w:rPr>
        <w:tab/>
      </w:r>
      <w:r>
        <w:rPr>
          <w:szCs w:val="26"/>
        </w:rPr>
        <w:tab/>
      </w:r>
      <w:r w:rsidR="00536DA2">
        <w:rPr>
          <w:szCs w:val="26"/>
        </w:rPr>
        <w:tab/>
      </w:r>
      <w:r w:rsidR="003A5E6E">
        <w:rPr>
          <w:szCs w:val="26"/>
        </w:rPr>
        <w:t>Idaho Power Company</w:t>
      </w:r>
    </w:p>
    <w:p w:rsidR="003A5E6E" w:rsidP="003A5E6E" w:rsidRDefault="00F827DC" w14:paraId="2C6E1391" w14:textId="2134492B">
      <w:pPr>
        <w:tabs>
          <w:tab w:val="left" w:pos="0"/>
        </w:tabs>
        <w:rPr>
          <w:szCs w:val="26"/>
        </w:rPr>
      </w:pPr>
      <w:r>
        <w:rPr>
          <w:szCs w:val="26"/>
        </w:rPr>
        <w:t>IRC</w:t>
      </w:r>
      <w:r>
        <w:rPr>
          <w:szCs w:val="26"/>
        </w:rPr>
        <w:tab/>
      </w:r>
      <w:r>
        <w:rPr>
          <w:szCs w:val="26"/>
        </w:rPr>
        <w:tab/>
      </w:r>
      <w:r>
        <w:rPr>
          <w:szCs w:val="26"/>
        </w:rPr>
        <w:tab/>
      </w:r>
      <w:r>
        <w:rPr>
          <w:szCs w:val="26"/>
        </w:rPr>
        <w:tab/>
      </w:r>
      <w:r w:rsidR="00536DA2">
        <w:rPr>
          <w:szCs w:val="26"/>
        </w:rPr>
        <w:tab/>
      </w:r>
      <w:r w:rsidR="003A5E6E">
        <w:rPr>
          <w:szCs w:val="26"/>
        </w:rPr>
        <w:t xml:space="preserve">ISO/RTO Council </w:t>
      </w:r>
    </w:p>
    <w:p w:rsidR="0058627E" w:rsidP="003A5E6E" w:rsidRDefault="00F827DC" w14:paraId="15F16DE1" w14:textId="6DE7C79E">
      <w:pPr>
        <w:tabs>
          <w:tab w:val="left" w:pos="0"/>
        </w:tabs>
        <w:rPr>
          <w:szCs w:val="26"/>
        </w:rPr>
      </w:pPr>
      <w:r>
        <w:rPr>
          <w:szCs w:val="26"/>
        </w:rPr>
        <w:t>Isologic</w:t>
      </w:r>
      <w:r>
        <w:rPr>
          <w:szCs w:val="26"/>
        </w:rPr>
        <w:tab/>
      </w:r>
      <w:r>
        <w:rPr>
          <w:szCs w:val="26"/>
        </w:rPr>
        <w:tab/>
      </w:r>
      <w:r>
        <w:rPr>
          <w:szCs w:val="26"/>
        </w:rPr>
        <w:tab/>
      </w:r>
      <w:r w:rsidR="00536DA2">
        <w:rPr>
          <w:szCs w:val="26"/>
        </w:rPr>
        <w:tab/>
      </w:r>
      <w:r w:rsidR="003A5E6E">
        <w:rPr>
          <w:szCs w:val="26"/>
        </w:rPr>
        <w:t>Isologic LLC</w:t>
      </w:r>
    </w:p>
    <w:p w:rsidR="003A5E6E" w:rsidP="003A5E6E" w:rsidRDefault="0058627E" w14:paraId="6A112029" w14:textId="6FE1DFCC">
      <w:pPr>
        <w:tabs>
          <w:tab w:val="left" w:pos="0"/>
        </w:tabs>
        <w:rPr>
          <w:szCs w:val="26"/>
        </w:rPr>
      </w:pPr>
      <w:r>
        <w:rPr>
          <w:szCs w:val="26"/>
        </w:rPr>
        <w:t>ITC</w:t>
      </w:r>
      <w:r>
        <w:rPr>
          <w:szCs w:val="26"/>
        </w:rPr>
        <w:tab/>
      </w:r>
      <w:r>
        <w:rPr>
          <w:szCs w:val="26"/>
        </w:rPr>
        <w:tab/>
      </w:r>
      <w:r>
        <w:rPr>
          <w:szCs w:val="26"/>
        </w:rPr>
        <w:tab/>
      </w:r>
      <w:r>
        <w:rPr>
          <w:szCs w:val="26"/>
        </w:rPr>
        <w:tab/>
      </w:r>
      <w:r w:rsidR="00536DA2">
        <w:rPr>
          <w:szCs w:val="26"/>
        </w:rPr>
        <w:tab/>
      </w:r>
      <w:r>
        <w:rPr>
          <w:szCs w:val="26"/>
        </w:rPr>
        <w:t>International Transmission Company</w:t>
      </w:r>
      <w:r w:rsidR="003A5E6E">
        <w:rPr>
          <w:szCs w:val="26"/>
        </w:rPr>
        <w:t xml:space="preserve"> </w:t>
      </w:r>
    </w:p>
    <w:p w:rsidR="003A5E6E" w:rsidP="003A5E6E" w:rsidRDefault="00F827DC" w14:paraId="2E0BB36A" w14:textId="4753886D">
      <w:pPr>
        <w:tabs>
          <w:tab w:val="left" w:pos="0"/>
        </w:tabs>
        <w:rPr>
          <w:szCs w:val="26"/>
        </w:rPr>
      </w:pPr>
      <w:r>
        <w:rPr>
          <w:szCs w:val="26"/>
        </w:rPr>
        <w:t>Mabee</w:t>
      </w:r>
      <w:r>
        <w:rPr>
          <w:szCs w:val="26"/>
        </w:rPr>
        <w:tab/>
      </w:r>
      <w:r>
        <w:rPr>
          <w:szCs w:val="26"/>
        </w:rPr>
        <w:tab/>
      </w:r>
      <w:r>
        <w:rPr>
          <w:szCs w:val="26"/>
        </w:rPr>
        <w:tab/>
      </w:r>
      <w:r w:rsidR="00536DA2">
        <w:rPr>
          <w:szCs w:val="26"/>
        </w:rPr>
        <w:tab/>
      </w:r>
      <w:r>
        <w:rPr>
          <w:szCs w:val="26"/>
        </w:rPr>
        <w:tab/>
      </w:r>
      <w:r w:rsidR="003A5E6E">
        <w:rPr>
          <w:szCs w:val="26"/>
        </w:rPr>
        <w:t xml:space="preserve">Michael Mabee </w:t>
      </w:r>
    </w:p>
    <w:p w:rsidR="0058627E" w:rsidP="003A5E6E" w:rsidRDefault="00F827DC" w14:paraId="11EEC047" w14:textId="6AA5860D">
      <w:pPr>
        <w:tabs>
          <w:tab w:val="left" w:pos="0"/>
        </w:tabs>
        <w:rPr>
          <w:szCs w:val="26"/>
        </w:rPr>
      </w:pPr>
      <w:r>
        <w:rPr>
          <w:szCs w:val="26"/>
        </w:rPr>
        <w:t>MISO TOs</w:t>
      </w:r>
      <w:r>
        <w:rPr>
          <w:szCs w:val="26"/>
        </w:rPr>
        <w:tab/>
      </w:r>
      <w:r>
        <w:rPr>
          <w:szCs w:val="26"/>
        </w:rPr>
        <w:tab/>
      </w:r>
      <w:r>
        <w:rPr>
          <w:szCs w:val="26"/>
        </w:rPr>
        <w:tab/>
      </w:r>
      <w:r w:rsidR="00536DA2">
        <w:rPr>
          <w:szCs w:val="26"/>
        </w:rPr>
        <w:tab/>
      </w:r>
      <w:r w:rsidR="003A5E6E">
        <w:rPr>
          <w:szCs w:val="26"/>
        </w:rPr>
        <w:t xml:space="preserve">MISO Transmission Owners </w:t>
      </w:r>
    </w:p>
    <w:p w:rsidR="0058627E" w:rsidP="0058627E" w:rsidRDefault="0058627E" w14:paraId="0F53244F" w14:textId="6B14935C">
      <w:pPr>
        <w:tabs>
          <w:tab w:val="left" w:pos="0"/>
        </w:tabs>
        <w:rPr>
          <w:szCs w:val="26"/>
        </w:rPr>
      </w:pPr>
      <w:r>
        <w:rPr>
          <w:szCs w:val="26"/>
        </w:rPr>
        <w:t>MPUC</w:t>
      </w:r>
      <w:r>
        <w:rPr>
          <w:szCs w:val="26"/>
        </w:rPr>
        <w:tab/>
      </w:r>
      <w:r>
        <w:rPr>
          <w:szCs w:val="26"/>
        </w:rPr>
        <w:tab/>
      </w:r>
      <w:r>
        <w:rPr>
          <w:szCs w:val="26"/>
        </w:rPr>
        <w:tab/>
      </w:r>
      <w:r w:rsidR="00536DA2">
        <w:rPr>
          <w:szCs w:val="26"/>
        </w:rPr>
        <w:tab/>
      </w:r>
      <w:r>
        <w:rPr>
          <w:szCs w:val="26"/>
        </w:rPr>
        <w:t xml:space="preserve">Maine Public Utilities Commission </w:t>
      </w:r>
    </w:p>
    <w:p w:rsidR="0058627E" w:rsidP="003A5E6E" w:rsidRDefault="00F827DC" w14:paraId="03A4AD3D" w14:textId="0F662D2E">
      <w:pPr>
        <w:tabs>
          <w:tab w:val="left" w:pos="0"/>
        </w:tabs>
        <w:rPr>
          <w:szCs w:val="26"/>
        </w:rPr>
      </w:pPr>
      <w:r>
        <w:rPr>
          <w:szCs w:val="26"/>
        </w:rPr>
        <w:t>NERC</w:t>
      </w:r>
      <w:r>
        <w:rPr>
          <w:szCs w:val="26"/>
        </w:rPr>
        <w:tab/>
      </w:r>
      <w:r>
        <w:rPr>
          <w:szCs w:val="26"/>
        </w:rPr>
        <w:tab/>
      </w:r>
      <w:r>
        <w:rPr>
          <w:szCs w:val="26"/>
        </w:rPr>
        <w:tab/>
      </w:r>
      <w:r>
        <w:rPr>
          <w:szCs w:val="26"/>
        </w:rPr>
        <w:tab/>
      </w:r>
      <w:r w:rsidR="00536DA2">
        <w:rPr>
          <w:szCs w:val="26"/>
        </w:rPr>
        <w:tab/>
      </w:r>
      <w:r w:rsidR="003A5E6E">
        <w:rPr>
          <w:szCs w:val="26"/>
        </w:rPr>
        <w:t>North American Electric Reliability Corporation</w:t>
      </w:r>
    </w:p>
    <w:p w:rsidR="0058627E" w:rsidP="0058627E" w:rsidRDefault="0058627E" w14:paraId="5F96BC06" w14:textId="63992F49">
      <w:pPr>
        <w:tabs>
          <w:tab w:val="left" w:pos="0"/>
        </w:tabs>
        <w:rPr>
          <w:szCs w:val="26"/>
        </w:rPr>
      </w:pPr>
      <w:r>
        <w:rPr>
          <w:szCs w:val="26"/>
        </w:rPr>
        <w:t>Reclamation</w:t>
      </w:r>
      <w:r>
        <w:rPr>
          <w:szCs w:val="26"/>
        </w:rPr>
        <w:tab/>
      </w:r>
      <w:r>
        <w:rPr>
          <w:szCs w:val="26"/>
        </w:rPr>
        <w:tab/>
      </w:r>
      <w:r>
        <w:rPr>
          <w:szCs w:val="26"/>
        </w:rPr>
        <w:tab/>
      </w:r>
      <w:r w:rsidR="00536DA2">
        <w:rPr>
          <w:szCs w:val="26"/>
        </w:rPr>
        <w:tab/>
      </w:r>
      <w:r>
        <w:rPr>
          <w:szCs w:val="26"/>
        </w:rPr>
        <w:t xml:space="preserve">U.S. Bureau of Reclamation </w:t>
      </w:r>
    </w:p>
    <w:p w:rsidR="0058627E" w:rsidP="0058627E" w:rsidRDefault="0058627E" w14:paraId="34B81B3B" w14:textId="06B7FEA1">
      <w:pPr>
        <w:tabs>
          <w:tab w:val="left" w:pos="0"/>
        </w:tabs>
        <w:rPr>
          <w:szCs w:val="26"/>
        </w:rPr>
      </w:pPr>
      <w:r>
        <w:rPr>
          <w:szCs w:val="26"/>
        </w:rPr>
        <w:t>Resilient Societies</w:t>
      </w:r>
      <w:r>
        <w:rPr>
          <w:szCs w:val="26"/>
        </w:rPr>
        <w:tab/>
      </w:r>
      <w:r>
        <w:rPr>
          <w:szCs w:val="26"/>
        </w:rPr>
        <w:tab/>
      </w:r>
      <w:r w:rsidR="00536DA2">
        <w:rPr>
          <w:szCs w:val="26"/>
        </w:rPr>
        <w:tab/>
      </w:r>
      <w:r>
        <w:rPr>
          <w:szCs w:val="26"/>
        </w:rPr>
        <w:t xml:space="preserve">Foundation for Resilient Societies </w:t>
      </w:r>
    </w:p>
    <w:p w:rsidR="0058627E" w:rsidP="00536DA2" w:rsidRDefault="0058627E" w14:paraId="15F9733D" w14:textId="1061ED91">
      <w:pPr>
        <w:tabs>
          <w:tab w:val="left" w:pos="0"/>
        </w:tabs>
        <w:ind w:left="3600" w:hanging="3600"/>
        <w:rPr>
          <w:szCs w:val="26"/>
        </w:rPr>
      </w:pPr>
      <w:r>
        <w:rPr>
          <w:szCs w:val="26"/>
        </w:rPr>
        <w:t>Trade Associations</w:t>
      </w:r>
      <w:r>
        <w:rPr>
          <w:szCs w:val="26"/>
        </w:rPr>
        <w:tab/>
        <w:t xml:space="preserve">American Public Power Association, Electricity Consumers Resource Council, Large Public Power Council, National Rural Electric Cooperative Association, and Transmission Access Policy Study Group </w:t>
      </w:r>
    </w:p>
    <w:p w:rsidRPr="00D87B5F" w:rsidR="003A5E6E" w:rsidP="003A5E6E" w:rsidRDefault="003A5E6E" w14:paraId="1DC6A59B" w14:textId="77777777">
      <w:pPr>
        <w:keepNext/>
        <w:rPr>
          <w:szCs w:val="26"/>
        </w:rPr>
      </w:pPr>
    </w:p>
    <w:p w:rsidRPr="00FF3B26" w:rsidR="00500CF6" w:rsidRDefault="00500CF6" w14:paraId="68CBF8DB" w14:textId="77777777">
      <w:pPr>
        <w:tabs>
          <w:tab w:val="left" w:pos="520"/>
        </w:tabs>
        <w:rPr>
          <w:szCs w:val="26"/>
        </w:rPr>
      </w:pPr>
    </w:p>
    <w:sectPr w:rsidRPr="00FF3B26" w:rsidR="00500CF6" w:rsidSect="00113F4A">
      <w:headerReference w:type="even" r:id="rId16"/>
      <w:headerReference w:type="default" r:id="rId17"/>
      <w:headerReference w:type="first" r:id="rId18"/>
      <w:footnotePr>
        <w:numRestart w:val="eachSect"/>
      </w:footnotePr>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C8E66" w14:textId="77777777" w:rsidR="00873BEB" w:rsidRDefault="00873BEB">
      <w:r>
        <w:separator/>
      </w:r>
    </w:p>
  </w:endnote>
  <w:endnote w:type="continuationSeparator" w:id="0">
    <w:p w14:paraId="3CD02354" w14:textId="77777777" w:rsidR="00873BEB" w:rsidRDefault="00873BEB">
      <w:r>
        <w:continuationSeparator/>
      </w:r>
    </w:p>
  </w:endnote>
  <w:endnote w:type="continuationNotice" w:id="1">
    <w:p w14:paraId="3CFEC4FA" w14:textId="77777777" w:rsidR="00873BEB" w:rsidRDefault="00873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88CE9" w14:textId="77777777" w:rsidR="00873BEB" w:rsidRDefault="00873BEB">
      <w:r>
        <w:separator/>
      </w:r>
    </w:p>
  </w:footnote>
  <w:footnote w:type="continuationSeparator" w:id="0">
    <w:p w14:paraId="35FB277F" w14:textId="77777777" w:rsidR="00873BEB" w:rsidRDefault="00873BEB">
      <w:r>
        <w:continuationSeparator/>
      </w:r>
    </w:p>
  </w:footnote>
  <w:footnote w:type="continuationNotice" w:id="1">
    <w:p w14:paraId="192978FC" w14:textId="77777777" w:rsidR="00873BEB" w:rsidRDefault="00873BEB"/>
  </w:footnote>
  <w:footnote w:id="2">
    <w:p w14:paraId="2FD30AF5" w14:textId="77777777" w:rsidR="00D571A9" w:rsidRDefault="00D571A9" w:rsidP="00E44494">
      <w:pPr>
        <w:pStyle w:val="FootnoteText"/>
      </w:pPr>
      <w:r>
        <w:rPr>
          <w:rStyle w:val="FootnoteReference"/>
        </w:rPr>
        <w:footnoteRef/>
      </w:r>
      <w:r>
        <w:t xml:space="preserve"> 16 U.S.C. 824o(d)(2). </w:t>
      </w:r>
    </w:p>
  </w:footnote>
  <w:footnote w:id="3">
    <w:p w14:paraId="4E581625" w14:textId="77777777" w:rsidR="00D571A9" w:rsidRDefault="00D571A9">
      <w:pPr>
        <w:pStyle w:val="FootnoteText"/>
      </w:pPr>
      <w:r>
        <w:rPr>
          <w:rStyle w:val="FootnoteReference"/>
        </w:rPr>
        <w:footnoteRef/>
      </w:r>
      <w:r>
        <w:t xml:space="preserve"> </w:t>
      </w:r>
      <w:r w:rsidRPr="00EF6CA2">
        <w:rPr>
          <w:i/>
          <w:szCs w:val="26"/>
        </w:rPr>
        <w:t>Revised Critical Infrastructure Protection Reliability Standards</w:t>
      </w:r>
      <w:r w:rsidRPr="00EF6CA2">
        <w:rPr>
          <w:szCs w:val="26"/>
        </w:rPr>
        <w:t xml:space="preserve">, </w:t>
      </w:r>
      <w:r>
        <w:rPr>
          <w:szCs w:val="26"/>
        </w:rPr>
        <w:t xml:space="preserve">Order No. 829, </w:t>
      </w:r>
      <w:r w:rsidRPr="00EF6CA2">
        <w:rPr>
          <w:szCs w:val="26"/>
        </w:rPr>
        <w:t xml:space="preserve">156 FERC ¶ 61,050, at P 43 (2016).  </w:t>
      </w:r>
    </w:p>
  </w:footnote>
  <w:footnote w:id="4">
    <w:p w14:paraId="24566BAD" w14:textId="77777777" w:rsidR="00D571A9" w:rsidRDefault="00D571A9">
      <w:pPr>
        <w:pStyle w:val="FootnoteText"/>
      </w:pPr>
      <w:r>
        <w:rPr>
          <w:rStyle w:val="FootnoteReference"/>
        </w:rPr>
        <w:footnoteRef/>
      </w:r>
      <w:r>
        <w:t xml:space="preserve"> BES Cyber System is defined as “[o]</w:t>
      </w:r>
      <w:r w:rsidRPr="00A36B52">
        <w:t>ne or more BES Cyber Assets logically grouped by a responsible entity to perform one or more reliability tasks for a functional entity.</w:t>
      </w:r>
      <w:r>
        <w:t xml:space="preserve">”  </w:t>
      </w:r>
      <w:r w:rsidRPr="004D2C03">
        <w:t>Glossary of Terms Used in NERC Reliability Standards</w:t>
      </w:r>
      <w:r>
        <w:t xml:space="preserve"> (NERC Glossary), </w:t>
      </w:r>
      <w:hyperlink r:id="rId1" w:history="1">
        <w:r w:rsidRPr="006C3963">
          <w:rPr>
            <w:rStyle w:val="Hyperlink"/>
            <w:color w:val="auto"/>
            <w:u w:val="none"/>
          </w:rPr>
          <w:t>http://www.nerc.com/files/glossary_of_terms.pdf</w:t>
        </w:r>
      </w:hyperlink>
      <w:r w:rsidRPr="006C3963">
        <w:t xml:space="preserve">.  </w:t>
      </w:r>
      <w:r>
        <w:t>The acronym BES refers to the bulk electric system.</w:t>
      </w:r>
    </w:p>
  </w:footnote>
  <w:footnote w:id="5">
    <w:p w14:paraId="226D8459" w14:textId="6D92677F" w:rsidR="00D571A9" w:rsidRDefault="00D571A9" w:rsidP="00CD6528">
      <w:pPr>
        <w:pStyle w:val="FootnoteText"/>
      </w:pPr>
      <w:r>
        <w:rPr>
          <w:rStyle w:val="FootnoteReference"/>
        </w:rPr>
        <w:footnoteRef/>
      </w:r>
      <w:r>
        <w:t xml:space="preserve"> </w:t>
      </w:r>
      <w:r w:rsidRPr="00951AF3">
        <w:rPr>
          <w:i/>
        </w:rPr>
        <w:t>Revised Critical Infrastructure Protection Reliability Standards</w:t>
      </w:r>
      <w:r>
        <w:t>, Notice of Proposed Rulemaking, 152 FERC ¶ 61,054, at PP 61-62 (2015).</w:t>
      </w:r>
    </w:p>
  </w:footnote>
  <w:footnote w:id="6">
    <w:p w14:paraId="5E7AFC28" w14:textId="77777777" w:rsidR="00D571A9" w:rsidRDefault="00D571A9">
      <w:pPr>
        <w:pStyle w:val="FootnoteText"/>
      </w:pPr>
      <w:r>
        <w:rPr>
          <w:rStyle w:val="FootnoteReference"/>
        </w:rPr>
        <w:footnoteRef/>
      </w:r>
      <w:r>
        <w:t xml:space="preserve"> Order No. 829, </w:t>
      </w:r>
      <w:r w:rsidRPr="00EF6CA2">
        <w:rPr>
          <w:szCs w:val="26"/>
        </w:rPr>
        <w:t>156 FERC ¶ 61,050</w:t>
      </w:r>
      <w:r>
        <w:t xml:space="preserve"> at </w:t>
      </w:r>
      <w:r w:rsidRPr="00C434F9">
        <w:t>P 2.</w:t>
      </w:r>
    </w:p>
  </w:footnote>
  <w:footnote w:id="7">
    <w:p w14:paraId="2F2882B8" w14:textId="77777777" w:rsidR="00D571A9" w:rsidRDefault="00D571A9">
      <w:pPr>
        <w:pStyle w:val="FootnoteText"/>
      </w:pPr>
      <w:r>
        <w:rPr>
          <w:rStyle w:val="FootnoteReference"/>
        </w:rPr>
        <w:footnoteRef/>
      </w:r>
      <w:r>
        <w:t xml:space="preserve"> </w:t>
      </w:r>
      <w:r>
        <w:rPr>
          <w:i/>
        </w:rPr>
        <w:t>Supply Chain Risk Management</w:t>
      </w:r>
      <w:r w:rsidRPr="00951AF3">
        <w:rPr>
          <w:i/>
        </w:rPr>
        <w:t xml:space="preserve"> Reliability Standards</w:t>
      </w:r>
      <w:r>
        <w:t>, Notice of Proposed Rulemaking, 83</w:t>
      </w:r>
      <w:r w:rsidRPr="003B5862">
        <w:t xml:space="preserve"> FR </w:t>
      </w:r>
      <w:r>
        <w:t xml:space="preserve">3433 (January 25, 2018), 162 FERC ¶ 61,044 (2018) (NOPR).  </w:t>
      </w:r>
    </w:p>
  </w:footnote>
  <w:footnote w:id="8">
    <w:p w14:paraId="402B8DCF" w14:textId="77777777" w:rsidR="00D571A9" w:rsidRDefault="00D571A9">
      <w:pPr>
        <w:pStyle w:val="FootnoteText"/>
      </w:pPr>
      <w:r>
        <w:rPr>
          <w:rStyle w:val="FootnoteReference"/>
        </w:rPr>
        <w:footnoteRef/>
      </w:r>
      <w:r>
        <w:t xml:space="preserve"> EACMS are defined as “Cyber Assets that perform electronic access control or electronic access monitoring of the Electronic Security Perimeter(s) or BES Cyber Systems.  This includes Intermediate Systems.”  NERC Glossary.  Reliability Standard</w:t>
      </w:r>
      <w:r w:rsidRPr="008A3890">
        <w:t xml:space="preserve"> </w:t>
      </w:r>
      <w:r>
        <w:t>CIP-002-5.1a (Cyber Security — BES Cyber System Categorization) states that examples of EACMS include “Electronic Access Points, Intermediate Systems, authentication servers (e.g., RADIUS servers, Active Directory servers, Certificate Authorities), security event monitoring systems, and intrusion detection systems.”  Reliability Standard</w:t>
      </w:r>
      <w:r w:rsidRPr="008A3890">
        <w:t xml:space="preserve"> </w:t>
      </w:r>
      <w:r>
        <w:t xml:space="preserve">CIP-002-5.1a (Cyber Security — BES Cyber System Categorization) </w:t>
      </w:r>
      <w:r w:rsidRPr="00DF0134">
        <w:t>Section</w:t>
      </w:r>
      <w:r w:rsidRPr="00DF0134">
        <w:rPr>
          <w:szCs w:val="24"/>
        </w:rPr>
        <w:t xml:space="preserve"> A.6 at 6.</w:t>
      </w:r>
    </w:p>
  </w:footnote>
  <w:footnote w:id="9">
    <w:p w14:paraId="61EC042E" w14:textId="77777777" w:rsidR="00D571A9" w:rsidRDefault="00D571A9">
      <w:pPr>
        <w:pStyle w:val="FootnoteText"/>
      </w:pPr>
      <w:r>
        <w:rPr>
          <w:rStyle w:val="FootnoteReference"/>
        </w:rPr>
        <w:footnoteRef/>
      </w:r>
      <w:r>
        <w:t xml:space="preserve"> NOPR, 162 FERC ¶ 61,044 at P 37.</w:t>
      </w:r>
    </w:p>
  </w:footnote>
  <w:footnote w:id="10">
    <w:p w14:paraId="36694B94" w14:textId="77777777" w:rsidR="00D571A9" w:rsidRDefault="00D571A9">
      <w:pPr>
        <w:pStyle w:val="FootnoteText"/>
      </w:pPr>
      <w:r>
        <w:rPr>
          <w:rStyle w:val="FootnoteReference"/>
        </w:rPr>
        <w:footnoteRef/>
      </w:r>
      <w:r>
        <w:t xml:space="preserve"> </w:t>
      </w:r>
      <w:r w:rsidRPr="00E954F2">
        <w:rPr>
          <w:i/>
        </w:rPr>
        <w:t>Cyber Security Incident Reporting Reliability Standards</w:t>
      </w:r>
      <w:r>
        <w:t xml:space="preserve">, Order No. 848, </w:t>
      </w:r>
      <w:r w:rsidRPr="00150102">
        <w:t>164 FERC ¶ 61,033</w:t>
      </w:r>
      <w:r>
        <w:t>, at P 10 (2018).  ESP is defined as “[t]</w:t>
      </w:r>
      <w:r w:rsidRPr="001D0E9E">
        <w:t>he logical border surrounding a network to which BES Cyber Systems are connected using a routable protocol.</w:t>
      </w:r>
      <w:r>
        <w:t>”  NERC Glossary.</w:t>
      </w:r>
    </w:p>
  </w:footnote>
  <w:footnote w:id="11">
    <w:p w14:paraId="008531B4" w14:textId="77777777" w:rsidR="00D571A9" w:rsidRDefault="00D571A9" w:rsidP="0048181A">
      <w:pPr>
        <w:pStyle w:val="FootnoteText"/>
      </w:pPr>
      <w:r>
        <w:rPr>
          <w:rStyle w:val="FootnoteReference"/>
        </w:rPr>
        <w:footnoteRef/>
      </w:r>
      <w:r>
        <w:t xml:space="preserve"> Order No. 848, </w:t>
      </w:r>
      <w:r w:rsidRPr="00150102">
        <w:t>164 FERC ¶ 61,033</w:t>
      </w:r>
      <w:r>
        <w:t xml:space="preserve"> at P 10.</w:t>
      </w:r>
    </w:p>
  </w:footnote>
  <w:footnote w:id="12">
    <w:p w14:paraId="10D07E11" w14:textId="210A849E" w:rsidR="00D571A9" w:rsidRDefault="00D571A9">
      <w:pPr>
        <w:pStyle w:val="FootnoteText"/>
      </w:pPr>
      <w:r>
        <w:rPr>
          <w:rStyle w:val="FootnoteReference"/>
        </w:rPr>
        <w:footnoteRef/>
      </w:r>
      <w:r>
        <w:t xml:space="preserve"> </w:t>
      </w:r>
      <w:r w:rsidRPr="00A61173">
        <w:rPr>
          <w:i/>
          <w:color w:val="212121"/>
          <w:szCs w:val="24"/>
        </w:rPr>
        <w:t>ICS-CERT, Recommended Practice: Improving Industrial Control System Cybersecurity with Defense-in-Depth Strategies</w:t>
      </w:r>
      <w:r w:rsidRPr="00A61173">
        <w:rPr>
          <w:color w:val="212121"/>
          <w:szCs w:val="24"/>
        </w:rPr>
        <w:t xml:space="preserve"> at 23</w:t>
      </w:r>
      <w:r>
        <w:rPr>
          <w:color w:val="212121"/>
          <w:szCs w:val="24"/>
        </w:rPr>
        <w:t xml:space="preserve">, </w:t>
      </w:r>
      <w:r w:rsidRPr="00EB1BAD">
        <w:rPr>
          <w:rStyle w:val="Hyperlink"/>
          <w:color w:val="auto"/>
          <w:szCs w:val="22"/>
        </w:rPr>
        <w:t>https://ics-cert.us-cert.gov/sites/default/files/recommended_practices/NCCIC_ICS-CERT_Defense_in_Depth_2016_S508C.pdf</w:t>
      </w:r>
      <w:r w:rsidRPr="00DC5D73">
        <w:rPr>
          <w:rStyle w:val="Hyperlink"/>
          <w:color w:val="auto"/>
          <w:szCs w:val="22"/>
          <w:u w:val="none"/>
        </w:rPr>
        <w:t>.</w:t>
      </w:r>
    </w:p>
  </w:footnote>
  <w:footnote w:id="13">
    <w:p w14:paraId="29810415" w14:textId="7585976B" w:rsidR="00D571A9" w:rsidRDefault="00D571A9">
      <w:pPr>
        <w:pStyle w:val="FootnoteText"/>
      </w:pPr>
      <w:r>
        <w:rPr>
          <w:rStyle w:val="FootnoteReference"/>
        </w:rPr>
        <w:footnoteRef/>
      </w:r>
      <w:r>
        <w:t xml:space="preserve"> </w:t>
      </w:r>
      <w:r>
        <w:rPr>
          <w:i/>
        </w:rPr>
        <w:t>Id.</w:t>
      </w:r>
    </w:p>
  </w:footnote>
  <w:footnote w:id="14">
    <w:p w14:paraId="5586578E" w14:textId="77777777" w:rsidR="00D571A9" w:rsidRDefault="00D571A9" w:rsidP="0057122B">
      <w:pPr>
        <w:pStyle w:val="FootnoteText"/>
      </w:pPr>
      <w:r>
        <w:rPr>
          <w:rStyle w:val="FootnoteReference"/>
        </w:rPr>
        <w:footnoteRef/>
      </w:r>
      <w:r>
        <w:t xml:space="preserve"> </w:t>
      </w:r>
      <w:r w:rsidRPr="00BF6F8C">
        <w:t>NOPR, 162 FERC ¶ 61,044 at P</w:t>
      </w:r>
      <w:r>
        <w:t xml:space="preserve"> </w:t>
      </w:r>
      <w:r w:rsidRPr="00BF6F8C">
        <w:t>37.</w:t>
      </w:r>
    </w:p>
  </w:footnote>
  <w:footnote w:id="15">
    <w:p w14:paraId="1DD9D471" w14:textId="77777777" w:rsidR="00D571A9" w:rsidRDefault="00D571A9">
      <w:pPr>
        <w:pStyle w:val="FootnoteText"/>
      </w:pPr>
      <w:r>
        <w:rPr>
          <w:rStyle w:val="FootnoteReference"/>
        </w:rPr>
        <w:footnoteRef/>
      </w:r>
      <w:r>
        <w:t xml:space="preserve"> 16 U.S.C. 824o(d)(5).</w:t>
      </w:r>
    </w:p>
  </w:footnote>
  <w:footnote w:id="16">
    <w:p w14:paraId="48B7B9C8" w14:textId="77777777" w:rsidR="00D571A9" w:rsidRDefault="00D571A9" w:rsidP="00CE167B">
      <w:pPr>
        <w:pStyle w:val="FootnoteText"/>
      </w:pPr>
      <w:r>
        <w:rPr>
          <w:rStyle w:val="FootnoteReference"/>
        </w:rPr>
        <w:footnoteRef/>
      </w:r>
      <w:r>
        <w:t xml:space="preserve"> Reliability Standard CIP-002-5.1a (Cyber Security System Categorization) provides a “tiered” approach to cybersecurity requirements, based on classifications of high, medium and low impact BES Cyber Systems.</w:t>
      </w:r>
    </w:p>
  </w:footnote>
  <w:footnote w:id="17">
    <w:p w14:paraId="4B5F197A" w14:textId="77777777" w:rsidR="00D571A9" w:rsidRDefault="00D571A9" w:rsidP="00B708F2">
      <w:pPr>
        <w:pStyle w:val="FootnoteText"/>
      </w:pPr>
      <w:r>
        <w:rPr>
          <w:rStyle w:val="FootnoteReference"/>
        </w:rPr>
        <w:footnoteRef/>
      </w:r>
      <w:r>
        <w:t xml:space="preserve"> PACS are defined as “Cyber Assets that control, alert, or log access to the Physical Security Perimeter(s), exclusive of locally mounted hardware or devices at the Physical Security Perimeter such as motion sensors, electronic lock control mechanisms, and badge readers.”  NERC Glossary.  Reliability Standard</w:t>
      </w:r>
      <w:r w:rsidRPr="008A3890">
        <w:t xml:space="preserve"> </w:t>
      </w:r>
      <w:r>
        <w:t xml:space="preserve">CIP-002-5.1a states that examples include “authentication servers, card systems, and badge control systems.”  </w:t>
      </w:r>
      <w:r w:rsidRPr="00DF0134">
        <w:rPr>
          <w:i/>
          <w:szCs w:val="24"/>
        </w:rPr>
        <w:t>Id.</w:t>
      </w:r>
      <w:r>
        <w:t xml:space="preserve"> </w:t>
      </w:r>
    </w:p>
  </w:footnote>
  <w:footnote w:id="18">
    <w:p w14:paraId="1A6145C6" w14:textId="77777777" w:rsidR="00D571A9" w:rsidRDefault="00D571A9" w:rsidP="00B708F2">
      <w:pPr>
        <w:pStyle w:val="FootnoteText"/>
      </w:pPr>
      <w:r>
        <w:rPr>
          <w:rStyle w:val="FootnoteReference"/>
        </w:rPr>
        <w:footnoteRef/>
      </w:r>
      <w:r>
        <w:t xml:space="preserve"> PCAs are defined as “[o]ne or more Cyber Assets connected using a routable protocol within or on an Electronic Security Perimeter that is not part of the highest impact BES Cyber System within the same Electronic Security Perimeter.  The impact rating of Protected Cyber Assets is equal to the highest rated BES Cyber System in the same [Electronic Security Perimeter].”  NERC Glossary.  Reliability Standard</w:t>
      </w:r>
      <w:r w:rsidRPr="008A3890">
        <w:t xml:space="preserve"> </w:t>
      </w:r>
      <w:r>
        <w:t xml:space="preserve">CIP-002-5.1a states that examples include, to the extent they are within the Electronic Security Perimeter, “file servers, ftp servers, time servers, LAN switches, networked printers, digital fault recorders, and emission monitoring systems.”  </w:t>
      </w:r>
      <w:r w:rsidRPr="00DF0134">
        <w:rPr>
          <w:i/>
          <w:szCs w:val="24"/>
        </w:rPr>
        <w:t>Id.</w:t>
      </w:r>
    </w:p>
  </w:footnote>
  <w:footnote w:id="19">
    <w:p w14:paraId="20BE785A" w14:textId="33901481" w:rsidR="00D571A9" w:rsidRPr="006C3963" w:rsidRDefault="00D571A9">
      <w:pPr>
        <w:pStyle w:val="FootnoteText"/>
      </w:pPr>
      <w:r w:rsidRPr="00CC50FB">
        <w:rPr>
          <w:rStyle w:val="FootnoteReference"/>
        </w:rPr>
        <w:footnoteRef/>
      </w:r>
      <w:r w:rsidRPr="00CC50FB">
        <w:t xml:space="preserve"> </w:t>
      </w:r>
      <w:r>
        <w:t xml:space="preserve">NERC Board of Trustees, </w:t>
      </w:r>
      <w:r w:rsidRPr="00CC50FB">
        <w:t xml:space="preserve">Proposed Additional Resolutions for Agenda </w:t>
      </w:r>
      <w:r>
        <w:t xml:space="preserve">       </w:t>
      </w:r>
      <w:r w:rsidRPr="00CC50FB">
        <w:t xml:space="preserve">Item 9.a: Cyber Security – Supply Chain Risk Management – CIP-005-6, CIP-010-3, </w:t>
      </w:r>
      <w:r>
        <w:t xml:space="preserve">   </w:t>
      </w:r>
      <w:r w:rsidRPr="00CC50FB">
        <w:t>and CIP-013-1</w:t>
      </w:r>
      <w:r>
        <w:t xml:space="preserve"> (August 10, 2017)</w:t>
      </w:r>
      <w:r w:rsidRPr="006C3963">
        <w:t>.</w:t>
      </w:r>
    </w:p>
  </w:footnote>
  <w:footnote w:id="20">
    <w:p w14:paraId="461BC9BF" w14:textId="77777777" w:rsidR="00D571A9" w:rsidRDefault="00D571A9">
      <w:pPr>
        <w:pStyle w:val="FootnoteText"/>
      </w:pPr>
      <w:r>
        <w:rPr>
          <w:rStyle w:val="FootnoteReference"/>
        </w:rPr>
        <w:footnoteRef/>
      </w:r>
      <w:r>
        <w:t xml:space="preserve"> As discussed later in this final rule, the NOPR proposed to direct NERC to file the BOT-directed interim report, due 12 months from the date of the BOT resolutions, as well as the final report, which is due 18 months from the date of the BOT resolutions.  On September 7, 2018, NERC filed the BOT-directed interim report in this docket.</w:t>
      </w:r>
    </w:p>
  </w:footnote>
  <w:footnote w:id="21">
    <w:p w14:paraId="33176EF1" w14:textId="77777777" w:rsidR="00D571A9" w:rsidRDefault="00D571A9" w:rsidP="001F4E4B">
      <w:pPr>
        <w:pStyle w:val="FootnoteText"/>
      </w:pPr>
      <w:r>
        <w:rPr>
          <w:rStyle w:val="FootnoteReference"/>
        </w:rPr>
        <w:footnoteRef/>
      </w:r>
      <w:r>
        <w:rPr>
          <w:lang w:val="es-ES"/>
        </w:rPr>
        <w:t xml:space="preserve"> 16 U.S.C. 824o(e).</w:t>
      </w:r>
    </w:p>
  </w:footnote>
  <w:footnote w:id="22">
    <w:p w14:paraId="2507E320" w14:textId="77777777" w:rsidR="00D571A9" w:rsidRPr="00E4612A" w:rsidRDefault="00D571A9" w:rsidP="001F4E4B">
      <w:pPr>
        <w:pStyle w:val="FootnoteText"/>
        <w:rPr>
          <w:szCs w:val="26"/>
        </w:rPr>
      </w:pPr>
      <w:r w:rsidRPr="00E4612A">
        <w:rPr>
          <w:rStyle w:val="FootnoteReference"/>
        </w:rPr>
        <w:footnoteRef/>
      </w:r>
      <w:r w:rsidRPr="00E4612A">
        <w:rPr>
          <w:szCs w:val="26"/>
        </w:rPr>
        <w:t xml:space="preserve"> </w:t>
      </w:r>
      <w:r w:rsidRPr="00E4612A">
        <w:rPr>
          <w:i/>
          <w:szCs w:val="26"/>
        </w:rPr>
        <w:t>Rules Concerning Certification of the Electric Reliability Organization; and Procedures for the Establishment, Approval, and Enfo</w:t>
      </w:r>
      <w:r>
        <w:rPr>
          <w:i/>
          <w:szCs w:val="26"/>
        </w:rPr>
        <w:t xml:space="preserve">rcement of Electric Reliability </w:t>
      </w:r>
      <w:r w:rsidRPr="00E4612A">
        <w:rPr>
          <w:i/>
          <w:szCs w:val="26"/>
        </w:rPr>
        <w:t>Standards</w:t>
      </w:r>
      <w:r w:rsidRPr="00E4612A">
        <w:rPr>
          <w:szCs w:val="26"/>
        </w:rPr>
        <w:t xml:space="preserve">, Order No. 672, FERC Stats. &amp; Regs. ¶ 31,204, </w:t>
      </w:r>
      <w:r w:rsidRPr="00E4612A">
        <w:rPr>
          <w:i/>
          <w:szCs w:val="26"/>
        </w:rPr>
        <w:t>order on reh’g</w:t>
      </w:r>
      <w:r w:rsidRPr="00E4612A">
        <w:rPr>
          <w:szCs w:val="26"/>
        </w:rPr>
        <w:t>, Order No. 672</w:t>
      </w:r>
      <w:r w:rsidRPr="00E4612A">
        <w:rPr>
          <w:szCs w:val="26"/>
        </w:rPr>
        <w:noBreakHyphen/>
        <w:t>A, FERC Stats. &amp; Regs. ¶ 31,212 (2006).</w:t>
      </w:r>
    </w:p>
  </w:footnote>
  <w:footnote w:id="23">
    <w:p w14:paraId="3AA118B8" w14:textId="77777777" w:rsidR="00D571A9" w:rsidRPr="00E4612A" w:rsidRDefault="00D571A9" w:rsidP="001F4E4B">
      <w:pPr>
        <w:pStyle w:val="FootnoteText"/>
        <w:rPr>
          <w:szCs w:val="26"/>
        </w:rPr>
      </w:pPr>
      <w:r>
        <w:rPr>
          <w:rStyle w:val="FootnoteReference"/>
        </w:rPr>
        <w:footnoteRef/>
      </w:r>
      <w:r>
        <w:t xml:space="preserve"> </w:t>
      </w:r>
      <w:r w:rsidRPr="00E4612A">
        <w:rPr>
          <w:i/>
          <w:szCs w:val="26"/>
        </w:rPr>
        <w:t>North American Electric Reliability Corp.</w:t>
      </w:r>
      <w:r w:rsidRPr="00E4612A">
        <w:rPr>
          <w:szCs w:val="26"/>
        </w:rPr>
        <w:t xml:space="preserve">, 116 FERC ¶ 61,062, </w:t>
      </w:r>
      <w:r w:rsidRPr="00E4612A">
        <w:rPr>
          <w:i/>
          <w:szCs w:val="26"/>
        </w:rPr>
        <w:t xml:space="preserve">order on reh’g  </w:t>
      </w:r>
      <w:r>
        <w:rPr>
          <w:i/>
          <w:szCs w:val="26"/>
        </w:rPr>
        <w:t>and</w:t>
      </w:r>
      <w:r w:rsidRPr="00E4612A">
        <w:rPr>
          <w:i/>
          <w:szCs w:val="26"/>
        </w:rPr>
        <w:t xml:space="preserve"> compliance</w:t>
      </w:r>
      <w:r w:rsidRPr="00E4612A">
        <w:rPr>
          <w:szCs w:val="26"/>
        </w:rPr>
        <w:t xml:space="preserve">, 117 FERC ¶ 61,126 (2006), </w:t>
      </w:r>
      <w:r>
        <w:rPr>
          <w:i/>
          <w:szCs w:val="26"/>
        </w:rPr>
        <w:t>aff’d</w:t>
      </w:r>
      <w:r w:rsidRPr="00E4612A">
        <w:rPr>
          <w:i/>
          <w:szCs w:val="26"/>
        </w:rPr>
        <w:t xml:space="preserve"> sub nom. Alcoa, Inc. v. FERC</w:t>
      </w:r>
      <w:r w:rsidRPr="00E4612A">
        <w:rPr>
          <w:szCs w:val="26"/>
        </w:rPr>
        <w:t>, 564 F.3d 1342 (D.C. Cir. 2009).</w:t>
      </w:r>
    </w:p>
  </w:footnote>
  <w:footnote w:id="24">
    <w:p w14:paraId="513E195E" w14:textId="77777777" w:rsidR="00D571A9" w:rsidRPr="002064B8" w:rsidRDefault="00D571A9" w:rsidP="00FA14EE">
      <w:pPr>
        <w:pStyle w:val="FootnoteText"/>
        <w:rPr>
          <w:szCs w:val="26"/>
        </w:rPr>
      </w:pPr>
      <w:r w:rsidRPr="002064B8">
        <w:rPr>
          <w:rStyle w:val="FootnoteReference"/>
        </w:rPr>
        <w:footnoteRef/>
      </w:r>
      <w:r w:rsidRPr="002064B8">
        <w:rPr>
          <w:szCs w:val="26"/>
        </w:rPr>
        <w:t xml:space="preserve"> Order No. 829, 156 FERC ¶ 61,050 at P 43.  </w:t>
      </w:r>
    </w:p>
  </w:footnote>
  <w:footnote w:id="25">
    <w:p w14:paraId="566012C6" w14:textId="77777777" w:rsidR="00D571A9" w:rsidRPr="002064B8" w:rsidRDefault="00D571A9" w:rsidP="00FA14EE">
      <w:pPr>
        <w:pStyle w:val="FootnoteText"/>
        <w:rPr>
          <w:szCs w:val="26"/>
        </w:rPr>
      </w:pPr>
      <w:r w:rsidRPr="002064B8">
        <w:rPr>
          <w:rStyle w:val="FootnoteReference"/>
        </w:rPr>
        <w:footnoteRef/>
      </w:r>
      <w:r w:rsidRPr="002064B8">
        <w:rPr>
          <w:szCs w:val="26"/>
        </w:rPr>
        <w:t xml:space="preserve"> </w:t>
      </w:r>
      <w:r w:rsidRPr="002064B8">
        <w:rPr>
          <w:i/>
          <w:szCs w:val="26"/>
        </w:rPr>
        <w:t xml:space="preserve">Id. </w:t>
      </w:r>
      <w:r w:rsidRPr="002064B8">
        <w:rPr>
          <w:szCs w:val="26"/>
        </w:rPr>
        <w:t>P 45.</w:t>
      </w:r>
    </w:p>
  </w:footnote>
  <w:footnote w:id="26">
    <w:p w14:paraId="3EBD17C9" w14:textId="77777777" w:rsidR="00D571A9" w:rsidRPr="002064B8" w:rsidRDefault="00D571A9" w:rsidP="00CC50FB">
      <w:pPr>
        <w:pStyle w:val="FootnoteText"/>
        <w:ind w:left="720" w:firstLine="0"/>
        <w:rPr>
          <w:szCs w:val="26"/>
        </w:rPr>
      </w:pPr>
      <w:r w:rsidRPr="002064B8">
        <w:rPr>
          <w:rStyle w:val="FootnoteReference"/>
        </w:rPr>
        <w:footnoteRef/>
      </w:r>
      <w:r w:rsidRPr="002064B8">
        <w:rPr>
          <w:szCs w:val="26"/>
        </w:rPr>
        <w:t xml:space="preserve"> </w:t>
      </w:r>
      <w:r w:rsidRPr="002064B8">
        <w:rPr>
          <w:i/>
          <w:szCs w:val="26"/>
        </w:rPr>
        <w:t xml:space="preserve">Id. </w:t>
      </w:r>
      <w:r w:rsidRPr="002064B8">
        <w:rPr>
          <w:szCs w:val="26"/>
        </w:rPr>
        <w:t>P 49.</w:t>
      </w:r>
    </w:p>
  </w:footnote>
  <w:footnote w:id="27">
    <w:p w14:paraId="77465C66" w14:textId="77777777" w:rsidR="00D571A9" w:rsidRPr="002064B8" w:rsidRDefault="00D571A9" w:rsidP="00796949">
      <w:pPr>
        <w:pStyle w:val="FootnoteText"/>
        <w:ind w:left="720" w:firstLine="0"/>
        <w:rPr>
          <w:szCs w:val="26"/>
        </w:rPr>
      </w:pPr>
      <w:r w:rsidRPr="002064B8">
        <w:rPr>
          <w:rStyle w:val="FootnoteReference"/>
        </w:rPr>
        <w:footnoteRef/>
      </w:r>
      <w:r w:rsidRPr="002064B8">
        <w:rPr>
          <w:szCs w:val="26"/>
        </w:rPr>
        <w:t xml:space="preserve"> </w:t>
      </w:r>
      <w:r w:rsidRPr="002D61AA">
        <w:rPr>
          <w:i/>
          <w:szCs w:val="26"/>
        </w:rPr>
        <w:t>Id.</w:t>
      </w:r>
      <w:r w:rsidRPr="002064B8">
        <w:rPr>
          <w:szCs w:val="26"/>
        </w:rPr>
        <w:t xml:space="preserve"> P 52.</w:t>
      </w:r>
    </w:p>
  </w:footnote>
  <w:footnote w:id="28">
    <w:p w14:paraId="6153A1D9" w14:textId="77777777" w:rsidR="00D571A9" w:rsidRPr="002064B8" w:rsidRDefault="00D571A9" w:rsidP="00796949">
      <w:pPr>
        <w:pStyle w:val="FootnoteText"/>
        <w:ind w:left="720" w:firstLine="0"/>
        <w:rPr>
          <w:szCs w:val="26"/>
        </w:rPr>
      </w:pPr>
      <w:r w:rsidRPr="002064B8">
        <w:rPr>
          <w:rStyle w:val="FootnoteReference"/>
        </w:rPr>
        <w:footnoteRef/>
      </w:r>
      <w:r w:rsidRPr="002064B8">
        <w:rPr>
          <w:szCs w:val="26"/>
        </w:rPr>
        <w:t xml:space="preserve"> </w:t>
      </w:r>
      <w:r w:rsidRPr="002D61AA">
        <w:rPr>
          <w:i/>
          <w:szCs w:val="26"/>
        </w:rPr>
        <w:t>Id.</w:t>
      </w:r>
      <w:r w:rsidRPr="002064B8">
        <w:rPr>
          <w:szCs w:val="26"/>
        </w:rPr>
        <w:t xml:space="preserve"> P 57.</w:t>
      </w:r>
    </w:p>
  </w:footnote>
  <w:footnote w:id="29">
    <w:p w14:paraId="6074F824" w14:textId="77777777" w:rsidR="00D571A9" w:rsidRDefault="00D571A9" w:rsidP="00796949">
      <w:pPr>
        <w:pStyle w:val="FootnoteText"/>
        <w:ind w:left="720" w:firstLine="0"/>
      </w:pPr>
      <w:r w:rsidRPr="0092600C">
        <w:rPr>
          <w:rStyle w:val="FootnoteReference"/>
        </w:rPr>
        <w:footnoteRef/>
      </w:r>
      <w:r>
        <w:t xml:space="preserve"> </w:t>
      </w:r>
      <w:r w:rsidRPr="002D61AA">
        <w:rPr>
          <w:i/>
          <w:szCs w:val="26"/>
        </w:rPr>
        <w:t>Id.</w:t>
      </w:r>
      <w:r w:rsidRPr="004861C8">
        <w:rPr>
          <w:szCs w:val="26"/>
        </w:rPr>
        <w:t xml:space="preserve"> P </w:t>
      </w:r>
      <w:r>
        <w:rPr>
          <w:szCs w:val="26"/>
        </w:rPr>
        <w:t>60</w:t>
      </w:r>
      <w:r w:rsidRPr="004861C8">
        <w:rPr>
          <w:szCs w:val="26"/>
        </w:rPr>
        <w:t>.</w:t>
      </w:r>
    </w:p>
  </w:footnote>
  <w:footnote w:id="30">
    <w:p w14:paraId="02607604" w14:textId="77777777" w:rsidR="00D571A9" w:rsidRPr="00EF6CA2" w:rsidRDefault="00D571A9" w:rsidP="00FA14EE">
      <w:pPr>
        <w:pStyle w:val="FootnoteText"/>
        <w:rPr>
          <w:szCs w:val="26"/>
        </w:rPr>
      </w:pPr>
      <w:r w:rsidRPr="00EF6CA2">
        <w:rPr>
          <w:rStyle w:val="FootnoteReference"/>
        </w:rPr>
        <w:footnoteRef/>
      </w:r>
      <w:r w:rsidRPr="00EF6CA2">
        <w:rPr>
          <w:szCs w:val="26"/>
        </w:rPr>
        <w:t xml:space="preserve"> </w:t>
      </w:r>
      <w:r w:rsidRPr="00EF6CA2">
        <w:rPr>
          <w:i/>
          <w:szCs w:val="26"/>
        </w:rPr>
        <w:t>Id.</w:t>
      </w:r>
      <w:r w:rsidRPr="00EF6CA2">
        <w:rPr>
          <w:szCs w:val="26"/>
        </w:rPr>
        <w:t xml:space="preserve"> P 13.</w:t>
      </w:r>
    </w:p>
  </w:footnote>
  <w:footnote w:id="31">
    <w:p w14:paraId="499C315F" w14:textId="77777777" w:rsidR="00D571A9" w:rsidRPr="00EF6CA2" w:rsidRDefault="00D571A9" w:rsidP="00FA14EE">
      <w:pPr>
        <w:pStyle w:val="FootnoteText"/>
        <w:rPr>
          <w:szCs w:val="26"/>
        </w:rPr>
      </w:pPr>
      <w:r w:rsidRPr="00EF6CA2">
        <w:rPr>
          <w:rStyle w:val="FootnoteReference"/>
        </w:rPr>
        <w:footnoteRef/>
      </w:r>
      <w:r w:rsidRPr="00EF6CA2">
        <w:rPr>
          <w:szCs w:val="26"/>
        </w:rPr>
        <w:t xml:space="preserve"> </w:t>
      </w:r>
      <w:r w:rsidRPr="00EF6CA2">
        <w:rPr>
          <w:i/>
          <w:szCs w:val="26"/>
        </w:rPr>
        <w:t>Id.</w:t>
      </w:r>
      <w:r w:rsidRPr="00EF6CA2">
        <w:rPr>
          <w:szCs w:val="26"/>
        </w:rPr>
        <w:t xml:space="preserve"> P 21.</w:t>
      </w:r>
    </w:p>
  </w:footnote>
  <w:footnote w:id="32">
    <w:p w14:paraId="081EF304" w14:textId="31633C7E" w:rsidR="00D571A9" w:rsidRDefault="00D571A9">
      <w:pPr>
        <w:pStyle w:val="FootnoteText"/>
      </w:pPr>
      <w:r>
        <w:rPr>
          <w:rStyle w:val="FootnoteReference"/>
        </w:rPr>
        <w:footnoteRef/>
      </w:r>
      <w:r>
        <w:t xml:space="preserve"> Reliability Standards </w:t>
      </w:r>
      <w:r w:rsidRPr="005647D0">
        <w:rPr>
          <w:szCs w:val="26"/>
        </w:rPr>
        <w:t>CIP-013-</w:t>
      </w:r>
      <w:r>
        <w:rPr>
          <w:szCs w:val="26"/>
        </w:rPr>
        <w:t>1</w:t>
      </w:r>
      <w:r w:rsidRPr="005647D0">
        <w:rPr>
          <w:szCs w:val="26"/>
        </w:rPr>
        <w:t>, CIP-005-6</w:t>
      </w:r>
      <w:r>
        <w:rPr>
          <w:szCs w:val="26"/>
        </w:rPr>
        <w:t>,</w:t>
      </w:r>
      <w:r w:rsidRPr="005647D0">
        <w:rPr>
          <w:szCs w:val="26"/>
        </w:rPr>
        <w:t xml:space="preserve"> and CIP-010-3 </w:t>
      </w:r>
      <w:r>
        <w:rPr>
          <w:szCs w:val="26"/>
        </w:rPr>
        <w:t>are</w:t>
      </w:r>
      <w:r>
        <w:t xml:space="preserve"> not attached to this final rule.  The Reliability Standards are available on the Commission’s eLibrary document retrieval system in Docket No. RM17-13-000 and on the NERC website, www.nerc.com.</w:t>
      </w:r>
    </w:p>
  </w:footnote>
  <w:footnote w:id="33">
    <w:p w14:paraId="265DA158" w14:textId="77777777" w:rsidR="00D571A9" w:rsidRDefault="00D571A9">
      <w:pPr>
        <w:pStyle w:val="FootnoteText"/>
      </w:pPr>
      <w:r>
        <w:rPr>
          <w:rStyle w:val="FootnoteReference"/>
        </w:rPr>
        <w:footnoteRef/>
      </w:r>
      <w:r>
        <w:t xml:space="preserve"> NERC Petition at 16-17.</w:t>
      </w:r>
    </w:p>
  </w:footnote>
  <w:footnote w:id="34">
    <w:p w14:paraId="71036BFB" w14:textId="77777777" w:rsidR="00D571A9" w:rsidRPr="00377918" w:rsidRDefault="00D571A9">
      <w:pPr>
        <w:pStyle w:val="FootnoteText"/>
      </w:pPr>
      <w:r>
        <w:rPr>
          <w:rStyle w:val="FootnoteReference"/>
        </w:rPr>
        <w:footnoteRef/>
      </w:r>
      <w:r>
        <w:t xml:space="preserve"> </w:t>
      </w:r>
      <w:r>
        <w:rPr>
          <w:i/>
        </w:rPr>
        <w:t>Id.</w:t>
      </w:r>
      <w:r>
        <w:t xml:space="preserve"> at 18.</w:t>
      </w:r>
    </w:p>
  </w:footnote>
  <w:footnote w:id="35">
    <w:p w14:paraId="2B52732C" w14:textId="77777777" w:rsidR="00D571A9" w:rsidRDefault="00D571A9">
      <w:pPr>
        <w:pStyle w:val="FootnoteText"/>
      </w:pPr>
      <w:r>
        <w:rPr>
          <w:rStyle w:val="FootnoteReference"/>
        </w:rPr>
        <w:footnoteRef/>
      </w:r>
      <w:r>
        <w:t xml:space="preserve"> </w:t>
      </w:r>
      <w:r>
        <w:rPr>
          <w:i/>
        </w:rPr>
        <w:t>Id.</w:t>
      </w:r>
      <w:r>
        <w:t xml:space="preserve"> at 20.</w:t>
      </w:r>
    </w:p>
  </w:footnote>
  <w:footnote w:id="36">
    <w:p w14:paraId="1519238C" w14:textId="77777777" w:rsidR="00D571A9" w:rsidRPr="00BC2C27" w:rsidRDefault="00D571A9">
      <w:pPr>
        <w:pStyle w:val="FootnoteText"/>
      </w:pPr>
      <w:r>
        <w:rPr>
          <w:rStyle w:val="FootnoteReference"/>
        </w:rPr>
        <w:footnoteRef/>
      </w:r>
      <w:r>
        <w:t xml:space="preserve"> </w:t>
      </w:r>
      <w:r>
        <w:rPr>
          <w:i/>
        </w:rPr>
        <w:t>Id.</w:t>
      </w:r>
    </w:p>
  </w:footnote>
  <w:footnote w:id="37">
    <w:p w14:paraId="00756D0F" w14:textId="77777777" w:rsidR="00D571A9" w:rsidRPr="0075108D" w:rsidRDefault="00D571A9">
      <w:pPr>
        <w:pStyle w:val="FootnoteText"/>
      </w:pPr>
      <w:r>
        <w:rPr>
          <w:rStyle w:val="FootnoteReference"/>
        </w:rPr>
        <w:footnoteRef/>
      </w:r>
      <w:r>
        <w:t xml:space="preserve"> </w:t>
      </w:r>
      <w:r>
        <w:rPr>
          <w:i/>
        </w:rPr>
        <w:t>Id.</w:t>
      </w:r>
      <w:r>
        <w:t xml:space="preserve"> at 19.</w:t>
      </w:r>
    </w:p>
  </w:footnote>
  <w:footnote w:id="38">
    <w:p w14:paraId="33E57898" w14:textId="77777777" w:rsidR="00D571A9" w:rsidRPr="0075108D" w:rsidRDefault="00D571A9">
      <w:pPr>
        <w:pStyle w:val="FootnoteText"/>
      </w:pPr>
      <w:r>
        <w:rPr>
          <w:rStyle w:val="FootnoteReference"/>
        </w:rPr>
        <w:footnoteRef/>
      </w:r>
      <w:r>
        <w:t xml:space="preserve"> </w:t>
      </w:r>
      <w:r>
        <w:rPr>
          <w:i/>
        </w:rPr>
        <w:t>Id.</w:t>
      </w:r>
      <w:r>
        <w:t xml:space="preserve"> at 20.</w:t>
      </w:r>
    </w:p>
  </w:footnote>
  <w:footnote w:id="39">
    <w:p w14:paraId="05503624" w14:textId="77777777" w:rsidR="00D571A9" w:rsidRPr="00CD0D99" w:rsidRDefault="00D571A9">
      <w:pPr>
        <w:pStyle w:val="FootnoteText"/>
      </w:pPr>
      <w:r>
        <w:rPr>
          <w:rStyle w:val="FootnoteReference"/>
        </w:rPr>
        <w:footnoteRef/>
      </w:r>
      <w:r>
        <w:t xml:space="preserve"> </w:t>
      </w:r>
      <w:r>
        <w:rPr>
          <w:i/>
        </w:rPr>
        <w:t>Id.</w:t>
      </w:r>
      <w:r>
        <w:t xml:space="preserve"> at 22.</w:t>
      </w:r>
    </w:p>
  </w:footnote>
  <w:footnote w:id="40">
    <w:p w14:paraId="7139B6AA" w14:textId="77777777" w:rsidR="00D571A9" w:rsidRPr="00CD0D99" w:rsidRDefault="00D571A9">
      <w:pPr>
        <w:pStyle w:val="FootnoteText"/>
      </w:pPr>
      <w:r>
        <w:rPr>
          <w:rStyle w:val="FootnoteReference"/>
        </w:rPr>
        <w:footnoteRef/>
      </w:r>
      <w:r>
        <w:t xml:space="preserve"> </w:t>
      </w:r>
      <w:r>
        <w:rPr>
          <w:i/>
        </w:rPr>
        <w:t>Id.</w:t>
      </w:r>
      <w:r>
        <w:t xml:space="preserve"> at 23.</w:t>
      </w:r>
    </w:p>
  </w:footnote>
  <w:footnote w:id="41">
    <w:p w14:paraId="4E218710" w14:textId="77777777" w:rsidR="00D571A9" w:rsidRPr="00386974" w:rsidRDefault="00D571A9">
      <w:pPr>
        <w:pStyle w:val="FootnoteText"/>
      </w:pPr>
      <w:r>
        <w:rPr>
          <w:rStyle w:val="FootnoteReference"/>
        </w:rPr>
        <w:footnoteRef/>
      </w:r>
      <w:r>
        <w:t xml:space="preserve"> </w:t>
      </w:r>
      <w:r>
        <w:rPr>
          <w:i/>
        </w:rPr>
        <w:t xml:space="preserve">Id. </w:t>
      </w:r>
      <w:r>
        <w:t>at 20-21.</w:t>
      </w:r>
    </w:p>
  </w:footnote>
  <w:footnote w:id="42">
    <w:p w14:paraId="7747573D" w14:textId="77777777" w:rsidR="00D571A9" w:rsidRDefault="00D571A9">
      <w:pPr>
        <w:pStyle w:val="FootnoteText"/>
      </w:pPr>
      <w:r>
        <w:rPr>
          <w:rStyle w:val="FootnoteReference"/>
        </w:rPr>
        <w:footnoteRef/>
      </w:r>
      <w:r>
        <w:t xml:space="preserve"> </w:t>
      </w:r>
      <w:r w:rsidRPr="00E9729D">
        <w:t>NOPR</w:t>
      </w:r>
      <w:r>
        <w:t>, 162 FERC ¶ 61,044 at P 29.</w:t>
      </w:r>
    </w:p>
  </w:footnote>
  <w:footnote w:id="43">
    <w:p w14:paraId="06EAA49E" w14:textId="77777777" w:rsidR="00D571A9" w:rsidRDefault="00D571A9">
      <w:pPr>
        <w:pStyle w:val="FootnoteText"/>
      </w:pPr>
      <w:r>
        <w:rPr>
          <w:rStyle w:val="FootnoteReference"/>
        </w:rPr>
        <w:footnoteRef/>
      </w:r>
      <w:r>
        <w:t xml:space="preserve"> </w:t>
      </w:r>
      <w:r>
        <w:rPr>
          <w:i/>
        </w:rPr>
        <w:t>Id.</w:t>
      </w:r>
      <w:r>
        <w:t xml:space="preserve"> P </w:t>
      </w:r>
      <w:r w:rsidRPr="00DF1CAF">
        <w:t>30</w:t>
      </w:r>
      <w:r>
        <w:t>.</w:t>
      </w:r>
    </w:p>
  </w:footnote>
  <w:footnote w:id="44">
    <w:p w14:paraId="72B9F2C6" w14:textId="77777777" w:rsidR="00D571A9" w:rsidRDefault="00D571A9">
      <w:pPr>
        <w:pStyle w:val="FootnoteText"/>
      </w:pPr>
      <w:r>
        <w:rPr>
          <w:rStyle w:val="FootnoteReference"/>
        </w:rPr>
        <w:footnoteRef/>
      </w:r>
      <w:r>
        <w:t xml:space="preserve"> </w:t>
      </w:r>
      <w:r>
        <w:rPr>
          <w:i/>
        </w:rPr>
        <w:t>Id.</w:t>
      </w:r>
      <w:r>
        <w:t xml:space="preserve"> P 44.</w:t>
      </w:r>
    </w:p>
  </w:footnote>
  <w:footnote w:id="45">
    <w:p w14:paraId="62A38AAB" w14:textId="375B7D39" w:rsidR="00D571A9" w:rsidRDefault="00D571A9" w:rsidP="00DA5A34">
      <w:pPr>
        <w:pStyle w:val="FootnoteText"/>
      </w:pPr>
      <w:r>
        <w:rPr>
          <w:rStyle w:val="FootnoteReference"/>
        </w:rPr>
        <w:footnoteRef/>
      </w:r>
      <w:r>
        <w:t xml:space="preserve"> </w:t>
      </w:r>
      <w:r w:rsidRPr="00774C51">
        <w:t>NERC,</w:t>
      </w:r>
      <w:r>
        <w:t xml:space="preserve"> Informational Filing regarding Proposed Supply Chain Risk Management Reliability Standards, Docket No. RM17-13-000 (September 7, 2018) (NERC Interim Report).</w:t>
      </w:r>
    </w:p>
  </w:footnote>
  <w:footnote w:id="46">
    <w:p w14:paraId="370B9BF6" w14:textId="77777777" w:rsidR="00D571A9" w:rsidRDefault="00D571A9" w:rsidP="00DA5A34">
      <w:pPr>
        <w:pStyle w:val="FootnoteText"/>
      </w:pPr>
      <w:r>
        <w:rPr>
          <w:rStyle w:val="FootnoteReference"/>
        </w:rPr>
        <w:footnoteRef/>
      </w:r>
      <w:r>
        <w:t xml:space="preserve"> </w:t>
      </w:r>
      <w:r>
        <w:rPr>
          <w:i/>
        </w:rPr>
        <w:t>Id.</w:t>
      </w:r>
      <w:r>
        <w:t xml:space="preserve"> at 5-1.</w:t>
      </w:r>
    </w:p>
  </w:footnote>
  <w:footnote w:id="47">
    <w:p w14:paraId="536AFE0A" w14:textId="77777777" w:rsidR="00D571A9" w:rsidRDefault="00D571A9" w:rsidP="0048181A">
      <w:pPr>
        <w:pStyle w:val="FootnoteText"/>
      </w:pPr>
      <w:r>
        <w:rPr>
          <w:rStyle w:val="FootnoteReference"/>
        </w:rPr>
        <w:footnoteRef/>
      </w:r>
      <w:r>
        <w:t xml:space="preserve"> Order No. 848, </w:t>
      </w:r>
      <w:r w:rsidRPr="00150102">
        <w:t>164 FERC ¶ 61,033</w:t>
      </w:r>
      <w:r>
        <w:t xml:space="preserve"> at PP 39-40.</w:t>
      </w:r>
    </w:p>
  </w:footnote>
  <w:footnote w:id="48">
    <w:p w14:paraId="4AA09F06" w14:textId="77777777" w:rsidR="00D571A9" w:rsidRDefault="00D571A9">
      <w:pPr>
        <w:pStyle w:val="FootnoteText"/>
      </w:pPr>
      <w:r>
        <w:rPr>
          <w:rStyle w:val="FootnoteReference"/>
        </w:rPr>
        <w:footnoteRef/>
      </w:r>
      <w:r>
        <w:t xml:space="preserve"> NOPR, 162 FERC ¶ 61,044 at P 33.</w:t>
      </w:r>
    </w:p>
  </w:footnote>
  <w:footnote w:id="49">
    <w:p w14:paraId="0F017768" w14:textId="77777777" w:rsidR="00D571A9" w:rsidRPr="00612BE2" w:rsidRDefault="00D571A9">
      <w:pPr>
        <w:pStyle w:val="FootnoteText"/>
      </w:pPr>
      <w:r>
        <w:rPr>
          <w:rStyle w:val="FootnoteReference"/>
        </w:rPr>
        <w:footnoteRef/>
      </w:r>
      <w:r>
        <w:t xml:space="preserve"> </w:t>
      </w:r>
      <w:r>
        <w:rPr>
          <w:i/>
        </w:rPr>
        <w:t>Id.</w:t>
      </w:r>
      <w:r>
        <w:t xml:space="preserve"> P 39.</w:t>
      </w:r>
    </w:p>
  </w:footnote>
  <w:footnote w:id="50">
    <w:p w14:paraId="464E9C89" w14:textId="77777777" w:rsidR="00D571A9" w:rsidRDefault="00D571A9" w:rsidP="001A2330">
      <w:pPr>
        <w:pStyle w:val="FootnoteText"/>
      </w:pPr>
      <w:r>
        <w:rPr>
          <w:rStyle w:val="FootnoteReference"/>
        </w:rPr>
        <w:footnoteRef/>
      </w:r>
      <w:r>
        <w:t xml:space="preserve"> Reliability Standard CIP-002-5.1a (Cyber Security — BES Cyber System Categorization), Background at 6.</w:t>
      </w:r>
    </w:p>
  </w:footnote>
  <w:footnote w:id="51">
    <w:p w14:paraId="50D7FFBF" w14:textId="77777777" w:rsidR="00D571A9" w:rsidRDefault="00D571A9">
      <w:pPr>
        <w:pStyle w:val="FootnoteText"/>
      </w:pPr>
      <w:r>
        <w:rPr>
          <w:rStyle w:val="FootnoteReference"/>
        </w:rPr>
        <w:footnoteRef/>
      </w:r>
      <w:r>
        <w:t xml:space="preserve"> NOPR, 162 FERC ¶ 61,044 at P 35.</w:t>
      </w:r>
    </w:p>
  </w:footnote>
  <w:footnote w:id="52">
    <w:p w14:paraId="097B2346" w14:textId="77777777" w:rsidR="00D571A9" w:rsidRDefault="00D571A9">
      <w:pPr>
        <w:pStyle w:val="FootnoteText"/>
      </w:pPr>
      <w:r>
        <w:rPr>
          <w:rStyle w:val="FootnoteReference"/>
        </w:rPr>
        <w:footnoteRef/>
      </w:r>
      <w:r>
        <w:t xml:space="preserve"> NERC Comments at 6.</w:t>
      </w:r>
    </w:p>
  </w:footnote>
  <w:footnote w:id="53">
    <w:p w14:paraId="5404E296" w14:textId="77777777" w:rsidR="00D571A9" w:rsidRDefault="00D571A9" w:rsidP="008517DA">
      <w:pPr>
        <w:pStyle w:val="FootnoteText"/>
      </w:pPr>
      <w:r>
        <w:rPr>
          <w:rStyle w:val="FootnoteReference"/>
        </w:rPr>
        <w:footnoteRef/>
      </w:r>
      <w:r>
        <w:t xml:space="preserve"> </w:t>
      </w:r>
      <w:r>
        <w:rPr>
          <w:i/>
        </w:rPr>
        <w:t>Id.</w:t>
      </w:r>
      <w:r>
        <w:t xml:space="preserve"> at 4-6.</w:t>
      </w:r>
    </w:p>
  </w:footnote>
  <w:footnote w:id="54">
    <w:p w14:paraId="5A756A22" w14:textId="77777777" w:rsidR="00D571A9" w:rsidRPr="008C746B" w:rsidRDefault="00D571A9" w:rsidP="008517DA">
      <w:pPr>
        <w:pStyle w:val="FootnoteText"/>
      </w:pPr>
      <w:r>
        <w:rPr>
          <w:rStyle w:val="FootnoteReference"/>
        </w:rPr>
        <w:footnoteRef/>
      </w:r>
      <w:r>
        <w:t xml:space="preserve"> Trade Associations Comments at 10, EEI Comments at 10, ITC Comments at 5, IRC Comments at 3.</w:t>
      </w:r>
    </w:p>
  </w:footnote>
  <w:footnote w:id="55">
    <w:p w14:paraId="65758BCB" w14:textId="77777777" w:rsidR="00D571A9" w:rsidRDefault="00D571A9" w:rsidP="001A594C">
      <w:pPr>
        <w:pStyle w:val="FootnoteText"/>
      </w:pPr>
      <w:r>
        <w:rPr>
          <w:rStyle w:val="FootnoteReference"/>
        </w:rPr>
        <w:footnoteRef/>
      </w:r>
      <w:r>
        <w:t xml:space="preserve"> Trade Associations Comments at 10.</w:t>
      </w:r>
    </w:p>
  </w:footnote>
  <w:footnote w:id="56">
    <w:p w14:paraId="6980C4BC" w14:textId="77777777" w:rsidR="00D571A9" w:rsidRDefault="00D571A9">
      <w:pPr>
        <w:pStyle w:val="FootnoteText"/>
      </w:pPr>
      <w:r>
        <w:rPr>
          <w:rStyle w:val="FootnoteReference"/>
        </w:rPr>
        <w:footnoteRef/>
      </w:r>
      <w:r>
        <w:t xml:space="preserve"> EEI Comments at 8.</w:t>
      </w:r>
    </w:p>
  </w:footnote>
  <w:footnote w:id="57">
    <w:p w14:paraId="0F977EF2" w14:textId="77777777" w:rsidR="00D571A9" w:rsidRDefault="00D571A9" w:rsidP="00E53FA6">
      <w:pPr>
        <w:pStyle w:val="FootnoteText"/>
      </w:pPr>
      <w:r>
        <w:rPr>
          <w:rStyle w:val="FootnoteReference"/>
        </w:rPr>
        <w:footnoteRef/>
      </w:r>
      <w:r>
        <w:t xml:space="preserve"> </w:t>
      </w:r>
      <w:r>
        <w:rPr>
          <w:i/>
        </w:rPr>
        <w:t>Id</w:t>
      </w:r>
      <w:r>
        <w:t>.</w:t>
      </w:r>
    </w:p>
  </w:footnote>
  <w:footnote w:id="58">
    <w:p w14:paraId="3388786E" w14:textId="77777777" w:rsidR="00D571A9" w:rsidRDefault="00D571A9">
      <w:pPr>
        <w:pStyle w:val="FootnoteText"/>
      </w:pPr>
      <w:r>
        <w:rPr>
          <w:rStyle w:val="FootnoteReference"/>
        </w:rPr>
        <w:footnoteRef/>
      </w:r>
      <w:r>
        <w:t xml:space="preserve"> </w:t>
      </w:r>
      <w:r>
        <w:rPr>
          <w:i/>
        </w:rPr>
        <w:t>Id.</w:t>
      </w:r>
      <w:r>
        <w:t xml:space="preserve"> at 10.</w:t>
      </w:r>
    </w:p>
  </w:footnote>
  <w:footnote w:id="59">
    <w:p w14:paraId="1580E2F0" w14:textId="77777777" w:rsidR="00D571A9" w:rsidRDefault="00D571A9" w:rsidP="00F72C5A">
      <w:pPr>
        <w:pStyle w:val="FootnoteText"/>
      </w:pPr>
      <w:r>
        <w:rPr>
          <w:rStyle w:val="FootnoteReference"/>
        </w:rPr>
        <w:footnoteRef/>
      </w:r>
      <w:r>
        <w:t xml:space="preserve"> AECC Comments at 2-3.</w:t>
      </w:r>
    </w:p>
  </w:footnote>
  <w:footnote w:id="60">
    <w:p w14:paraId="0C8ED5E6" w14:textId="77777777" w:rsidR="00D571A9" w:rsidRPr="00F72C5A" w:rsidRDefault="00D571A9">
      <w:pPr>
        <w:pStyle w:val="FootnoteText"/>
      </w:pPr>
      <w:r>
        <w:rPr>
          <w:rStyle w:val="FootnoteReference"/>
        </w:rPr>
        <w:footnoteRef/>
      </w:r>
      <w:r>
        <w:t xml:space="preserve"> </w:t>
      </w:r>
      <w:r>
        <w:rPr>
          <w:i/>
        </w:rPr>
        <w:t>Id.</w:t>
      </w:r>
      <w:r>
        <w:t xml:space="preserve"> at 3.</w:t>
      </w:r>
    </w:p>
  </w:footnote>
  <w:footnote w:id="61">
    <w:p w14:paraId="5EB0A1AF" w14:textId="77777777" w:rsidR="00D571A9" w:rsidRDefault="00D571A9" w:rsidP="001A594C">
      <w:pPr>
        <w:pStyle w:val="FootnoteText"/>
      </w:pPr>
      <w:r>
        <w:rPr>
          <w:rStyle w:val="FootnoteReference"/>
        </w:rPr>
        <w:footnoteRef/>
      </w:r>
      <w:r>
        <w:t xml:space="preserve"> IRC Comments at 2-3.</w:t>
      </w:r>
    </w:p>
  </w:footnote>
  <w:footnote w:id="62">
    <w:p w14:paraId="39379B34" w14:textId="77777777" w:rsidR="00D571A9" w:rsidRDefault="00D571A9" w:rsidP="008D6544">
      <w:pPr>
        <w:pStyle w:val="FootnoteText"/>
      </w:pPr>
      <w:r>
        <w:rPr>
          <w:rStyle w:val="FootnoteReference"/>
        </w:rPr>
        <w:footnoteRef/>
      </w:r>
      <w:r>
        <w:t xml:space="preserve"> MISO TO Comments at 16.</w:t>
      </w:r>
    </w:p>
  </w:footnote>
  <w:footnote w:id="63">
    <w:p w14:paraId="2549F18F" w14:textId="77777777" w:rsidR="00D571A9" w:rsidRDefault="00D571A9" w:rsidP="008517DA">
      <w:pPr>
        <w:pStyle w:val="FootnoteText"/>
      </w:pPr>
      <w:r>
        <w:rPr>
          <w:rStyle w:val="FootnoteReference"/>
        </w:rPr>
        <w:footnoteRef/>
      </w:r>
      <w:r>
        <w:t xml:space="preserve"> Idaho Power Comments at 2.</w:t>
      </w:r>
    </w:p>
  </w:footnote>
  <w:footnote w:id="64">
    <w:p w14:paraId="20C4C25C" w14:textId="77777777" w:rsidR="00D571A9" w:rsidRPr="00C9664C" w:rsidRDefault="00D571A9" w:rsidP="008517DA">
      <w:pPr>
        <w:pStyle w:val="FootnoteText"/>
      </w:pPr>
      <w:r>
        <w:rPr>
          <w:rStyle w:val="FootnoteReference"/>
        </w:rPr>
        <w:footnoteRef/>
      </w:r>
      <w:r>
        <w:t xml:space="preserve"> Appelbaum Comments at 6, Reclamation Comments at 7, Resilient Societies Comments at 3-4, Isologic Comments at 3, Mabee Comments at 4, MPUC Comments at 6.</w:t>
      </w:r>
    </w:p>
  </w:footnote>
  <w:footnote w:id="65">
    <w:p w14:paraId="3760FADF" w14:textId="77777777" w:rsidR="00D571A9" w:rsidRDefault="00D571A9" w:rsidP="00686D2F">
      <w:pPr>
        <w:pStyle w:val="FootnoteText"/>
      </w:pPr>
      <w:r>
        <w:rPr>
          <w:rStyle w:val="FootnoteReference"/>
        </w:rPr>
        <w:footnoteRef/>
      </w:r>
      <w:r>
        <w:t xml:space="preserve"> MPUC Comments at 6.</w:t>
      </w:r>
    </w:p>
  </w:footnote>
  <w:footnote w:id="66">
    <w:p w14:paraId="1E850060" w14:textId="77777777" w:rsidR="00D571A9" w:rsidRDefault="00D571A9" w:rsidP="008517DA">
      <w:pPr>
        <w:pStyle w:val="FootnoteText"/>
      </w:pPr>
      <w:r>
        <w:rPr>
          <w:rStyle w:val="FootnoteReference"/>
        </w:rPr>
        <w:footnoteRef/>
      </w:r>
      <w:r>
        <w:t xml:space="preserve"> Resilient Societies Comments at 3.</w:t>
      </w:r>
    </w:p>
  </w:footnote>
  <w:footnote w:id="67">
    <w:p w14:paraId="6F6C21AA" w14:textId="77777777" w:rsidR="00D571A9" w:rsidRDefault="00D571A9" w:rsidP="00865875">
      <w:pPr>
        <w:pStyle w:val="FootnoteText"/>
      </w:pPr>
      <w:r>
        <w:rPr>
          <w:rStyle w:val="FootnoteReference"/>
        </w:rPr>
        <w:footnoteRef/>
      </w:r>
      <w:r>
        <w:t xml:space="preserve"> APS Comments at 5.</w:t>
      </w:r>
    </w:p>
  </w:footnote>
  <w:footnote w:id="68">
    <w:p w14:paraId="225458D7" w14:textId="146A10B5" w:rsidR="00D571A9" w:rsidRDefault="00D571A9">
      <w:pPr>
        <w:pStyle w:val="FootnoteText"/>
      </w:pPr>
      <w:r>
        <w:rPr>
          <w:rStyle w:val="FootnoteReference"/>
        </w:rPr>
        <w:footnoteRef/>
      </w:r>
      <w:r>
        <w:t xml:space="preserve"> As we have imposed a 24-month deadline for NERC to file the modified </w:t>
      </w:r>
      <w:r w:rsidRPr="00890267">
        <w:t xml:space="preserve">supply chain risk management </w:t>
      </w:r>
      <w:r w:rsidRPr="00890267">
        <w:rPr>
          <w:szCs w:val="26"/>
        </w:rPr>
        <w:t>Reliability Standards</w:t>
      </w:r>
      <w:r>
        <w:rPr>
          <w:szCs w:val="26"/>
        </w:rPr>
        <w:t>, the standard drafting team will have ample time to review and incorporate the findings in the BOT-directed final report.</w:t>
      </w:r>
    </w:p>
  </w:footnote>
  <w:footnote w:id="69">
    <w:p w14:paraId="18E1011B" w14:textId="77777777" w:rsidR="00D571A9" w:rsidRDefault="00D571A9" w:rsidP="00636826">
      <w:pPr>
        <w:pStyle w:val="FootnoteText"/>
      </w:pPr>
      <w:r>
        <w:rPr>
          <w:rStyle w:val="FootnoteReference"/>
        </w:rPr>
        <w:footnoteRef/>
      </w:r>
      <w:r>
        <w:t xml:space="preserve"> </w:t>
      </w:r>
      <w:r w:rsidRPr="001615F8">
        <w:rPr>
          <w:i/>
        </w:rPr>
        <w:t>See</w:t>
      </w:r>
      <w:r>
        <w:t xml:space="preserve"> NOPR, 162 FERC ¶ 61,044 at P 35.  </w:t>
      </w:r>
    </w:p>
  </w:footnote>
  <w:footnote w:id="70">
    <w:p w14:paraId="0AF429DA" w14:textId="37690EAF" w:rsidR="00D571A9" w:rsidRPr="00C4157A" w:rsidRDefault="00D571A9">
      <w:pPr>
        <w:pStyle w:val="FootnoteText"/>
      </w:pPr>
      <w:r>
        <w:rPr>
          <w:rStyle w:val="FootnoteReference"/>
        </w:rPr>
        <w:footnoteRef/>
      </w:r>
      <w:r>
        <w:t xml:space="preserve"> </w:t>
      </w:r>
      <w:r>
        <w:rPr>
          <w:i/>
        </w:rPr>
        <w:t>Id.</w:t>
      </w:r>
    </w:p>
  </w:footnote>
  <w:footnote w:id="71">
    <w:p w14:paraId="53F636C8" w14:textId="3570D8AF" w:rsidR="00D571A9" w:rsidRDefault="00D571A9" w:rsidP="009B565E">
      <w:pPr>
        <w:pStyle w:val="FootnoteText"/>
      </w:pPr>
      <w:r>
        <w:rPr>
          <w:rStyle w:val="FootnoteReference"/>
        </w:rPr>
        <w:footnoteRef/>
      </w:r>
      <w:r>
        <w:t xml:space="preserve"> </w:t>
      </w:r>
      <w:r>
        <w:rPr>
          <w:i/>
        </w:rPr>
        <w:t xml:space="preserve">See </w:t>
      </w:r>
      <w:r>
        <w:t>NERC Comments at 5-6, Appelbaum Comments at 5-6, APS Comments    at 5, EEI Comments at 7-8, IRC Comments at 3, Idaho Power Comments at 2, MPUC Comments at 6.</w:t>
      </w:r>
    </w:p>
  </w:footnote>
  <w:footnote w:id="72">
    <w:p w14:paraId="27A08567" w14:textId="77777777" w:rsidR="00D571A9" w:rsidRDefault="00D571A9" w:rsidP="009B565E">
      <w:pPr>
        <w:pStyle w:val="FootnoteText"/>
      </w:pPr>
      <w:r>
        <w:rPr>
          <w:rStyle w:val="FootnoteReference"/>
        </w:rPr>
        <w:footnoteRef/>
      </w:r>
      <w:r>
        <w:t xml:space="preserve"> NERC Comments at 5.</w:t>
      </w:r>
    </w:p>
  </w:footnote>
  <w:footnote w:id="73">
    <w:p w14:paraId="542A85BA" w14:textId="77777777" w:rsidR="00D571A9" w:rsidRDefault="00D571A9" w:rsidP="009B565E">
      <w:pPr>
        <w:pStyle w:val="FootnoteText"/>
      </w:pPr>
      <w:r>
        <w:rPr>
          <w:rStyle w:val="FootnoteReference"/>
        </w:rPr>
        <w:footnoteRef/>
      </w:r>
      <w:r>
        <w:t xml:space="preserve"> EEI Comments at 7-8. </w:t>
      </w:r>
    </w:p>
  </w:footnote>
  <w:footnote w:id="74">
    <w:p w14:paraId="7E590B15" w14:textId="77777777" w:rsidR="00D571A9" w:rsidRDefault="00D571A9">
      <w:pPr>
        <w:pStyle w:val="FootnoteText"/>
      </w:pPr>
      <w:r>
        <w:rPr>
          <w:rStyle w:val="FootnoteReference"/>
        </w:rPr>
        <w:footnoteRef/>
      </w:r>
      <w:r>
        <w:t xml:space="preserve"> ITC Comments at 5.</w:t>
      </w:r>
    </w:p>
  </w:footnote>
  <w:footnote w:id="75">
    <w:p w14:paraId="390B0EA7" w14:textId="77777777" w:rsidR="00D571A9" w:rsidRDefault="00D571A9" w:rsidP="00754256">
      <w:pPr>
        <w:pStyle w:val="FootnoteText"/>
      </w:pPr>
      <w:r>
        <w:rPr>
          <w:rStyle w:val="FootnoteReference"/>
        </w:rPr>
        <w:footnoteRef/>
      </w:r>
      <w:r>
        <w:t xml:space="preserve"> </w:t>
      </w:r>
      <w:r>
        <w:rPr>
          <w:szCs w:val="26"/>
        </w:rPr>
        <w:t>Order No. 829, 156 FERC ¶ 61,050 at P 71</w:t>
      </w:r>
      <w:r w:rsidRPr="00EF6CA2">
        <w:rPr>
          <w:szCs w:val="26"/>
        </w:rPr>
        <w:t xml:space="preserve">.  </w:t>
      </w:r>
    </w:p>
  </w:footnote>
  <w:footnote w:id="76">
    <w:p w14:paraId="783DF767" w14:textId="77777777" w:rsidR="00D571A9" w:rsidRDefault="00D571A9" w:rsidP="00D434C3">
      <w:pPr>
        <w:pStyle w:val="FootnoteText"/>
      </w:pPr>
      <w:r>
        <w:rPr>
          <w:rStyle w:val="FootnoteReference"/>
        </w:rPr>
        <w:footnoteRef/>
      </w:r>
      <w:r>
        <w:t xml:space="preserve"> NERC Comments at 23.</w:t>
      </w:r>
    </w:p>
  </w:footnote>
  <w:footnote w:id="77">
    <w:p w14:paraId="7C492958" w14:textId="77777777" w:rsidR="00D571A9" w:rsidRDefault="00D571A9" w:rsidP="00946B0C">
      <w:pPr>
        <w:pStyle w:val="FootnoteText"/>
      </w:pPr>
      <w:r>
        <w:rPr>
          <w:rStyle w:val="FootnoteReference"/>
        </w:rPr>
        <w:footnoteRef/>
      </w:r>
      <w:r>
        <w:t xml:space="preserve"> </w:t>
      </w:r>
      <w:r>
        <w:rPr>
          <w:i/>
        </w:rPr>
        <w:t xml:space="preserve">See </w:t>
      </w:r>
      <w:r>
        <w:t>NERC Comments at 4-6, EEI Comments at 7-10, IRC Comments at 3, ITC Comments at 5, Trade Associations at 8-12, MISO TOs Comments at 16-18.</w:t>
      </w:r>
    </w:p>
  </w:footnote>
  <w:footnote w:id="78">
    <w:p w14:paraId="1DC409C9" w14:textId="77777777" w:rsidR="00D571A9" w:rsidRDefault="00D571A9">
      <w:pPr>
        <w:pStyle w:val="FootnoteText"/>
      </w:pPr>
      <w:r>
        <w:rPr>
          <w:rStyle w:val="FootnoteReference"/>
        </w:rPr>
        <w:footnoteRef/>
      </w:r>
      <w:r>
        <w:t xml:space="preserve"> </w:t>
      </w:r>
      <w:r w:rsidRPr="00303E91">
        <w:rPr>
          <w:bCs/>
          <w:szCs w:val="26"/>
        </w:rPr>
        <w:t xml:space="preserve">The </w:t>
      </w:r>
      <w:r>
        <w:rPr>
          <w:bCs/>
          <w:szCs w:val="26"/>
        </w:rPr>
        <w:t xml:space="preserve">BOT-directed </w:t>
      </w:r>
      <w:r w:rsidRPr="00303E91">
        <w:rPr>
          <w:bCs/>
          <w:szCs w:val="26"/>
        </w:rPr>
        <w:t>interim report provides the example of a situation where a firewall used to protect BES Cyber Systems within an ESP was compromised due to supply chain vulnerability, noting that each system within the ESP could be exposed due to its logical proximity to the compromised firewalls.</w:t>
      </w:r>
      <w:r>
        <w:rPr>
          <w:bCs/>
          <w:szCs w:val="26"/>
        </w:rPr>
        <w:t xml:space="preserve">  </w:t>
      </w:r>
      <w:r>
        <w:t>NERC Interim Report at 4-4.</w:t>
      </w:r>
    </w:p>
  </w:footnote>
  <w:footnote w:id="79">
    <w:p w14:paraId="04B81E65" w14:textId="77777777" w:rsidR="00D571A9" w:rsidRDefault="00D571A9" w:rsidP="0039654B">
      <w:pPr>
        <w:pStyle w:val="NormalWeb"/>
        <w:spacing w:before="2" w:afterLines="60" w:after="144"/>
        <w:ind w:firstLine="720"/>
      </w:pPr>
      <w:r>
        <w:rPr>
          <w:rStyle w:val="FootnoteReference"/>
        </w:rPr>
        <w:footnoteRef/>
      </w:r>
      <w:r w:rsidRPr="00D34EBB">
        <w:t xml:space="preserve"> </w:t>
      </w:r>
      <w:r w:rsidRPr="004414E5">
        <w:rPr>
          <w:sz w:val="26"/>
          <w:szCs w:val="26"/>
        </w:rPr>
        <w:t xml:space="preserve">Order No. 848, 164 FERC ¶ 61,033 </w:t>
      </w:r>
      <w:r>
        <w:rPr>
          <w:sz w:val="26"/>
          <w:szCs w:val="26"/>
        </w:rPr>
        <w:t>at PP 53-54.</w:t>
      </w:r>
    </w:p>
  </w:footnote>
  <w:footnote w:id="80">
    <w:p w14:paraId="2672A8EA" w14:textId="77777777" w:rsidR="00D571A9" w:rsidRDefault="00D571A9" w:rsidP="0039654B">
      <w:pPr>
        <w:pStyle w:val="NormalWeb"/>
        <w:spacing w:before="2" w:afterLines="60" w:after="144"/>
        <w:ind w:firstLine="720"/>
      </w:pPr>
      <w:r>
        <w:rPr>
          <w:rStyle w:val="FootnoteReference"/>
        </w:rPr>
        <w:footnoteRef/>
      </w:r>
      <w:r>
        <w:t xml:space="preserve"> </w:t>
      </w:r>
      <w:r>
        <w:rPr>
          <w:i/>
          <w:sz w:val="26"/>
          <w:szCs w:val="26"/>
        </w:rPr>
        <w:t>Id.</w:t>
      </w:r>
      <w:r>
        <w:rPr>
          <w:sz w:val="26"/>
          <w:szCs w:val="26"/>
        </w:rPr>
        <w:t xml:space="preserve"> P 54.</w:t>
      </w:r>
    </w:p>
  </w:footnote>
  <w:footnote w:id="81">
    <w:p w14:paraId="17C6D088" w14:textId="77777777" w:rsidR="00D571A9" w:rsidRDefault="00D571A9" w:rsidP="00394710">
      <w:pPr>
        <w:pStyle w:val="FootnoteText"/>
      </w:pPr>
      <w:r>
        <w:rPr>
          <w:rStyle w:val="FootnoteReference"/>
        </w:rPr>
        <w:footnoteRef/>
      </w:r>
      <w:r>
        <w:t xml:space="preserve"> EEI Comments at 9, MISO TOs Comments at 16-17, ITC Comments at 5.</w:t>
      </w:r>
    </w:p>
  </w:footnote>
  <w:footnote w:id="82">
    <w:p w14:paraId="413ABBBC" w14:textId="77777777" w:rsidR="00D571A9" w:rsidRPr="008A5D27" w:rsidRDefault="00D571A9" w:rsidP="00B530D8">
      <w:pPr>
        <w:pStyle w:val="FootnoteText"/>
      </w:pPr>
      <w:r>
        <w:rPr>
          <w:rStyle w:val="FootnoteReference"/>
        </w:rPr>
        <w:footnoteRef/>
      </w:r>
      <w:r>
        <w:t xml:space="preserve"> </w:t>
      </w:r>
      <w:r w:rsidRPr="004414E5">
        <w:rPr>
          <w:szCs w:val="26"/>
        </w:rPr>
        <w:t xml:space="preserve">Order No. 848, 164 FERC ¶ 61,033 </w:t>
      </w:r>
      <w:r>
        <w:rPr>
          <w:szCs w:val="26"/>
        </w:rPr>
        <w:t>at</w:t>
      </w:r>
      <w:r>
        <w:t xml:space="preserve"> P 53.</w:t>
      </w:r>
    </w:p>
  </w:footnote>
  <w:footnote w:id="83">
    <w:p w14:paraId="0540FC55" w14:textId="6AD5B603" w:rsidR="00D571A9" w:rsidRDefault="00D571A9" w:rsidP="00394710">
      <w:pPr>
        <w:pStyle w:val="FootnoteText"/>
      </w:pPr>
      <w:r>
        <w:rPr>
          <w:rStyle w:val="FootnoteReference"/>
        </w:rPr>
        <w:footnoteRef/>
      </w:r>
      <w:r>
        <w:t xml:space="preserve"> EEI Comments at 8-9.</w:t>
      </w:r>
      <w:r w:rsidRPr="006D64FA">
        <w:t xml:space="preserve">  </w:t>
      </w:r>
    </w:p>
  </w:footnote>
  <w:footnote w:id="84">
    <w:p w14:paraId="291D04F9" w14:textId="77777777" w:rsidR="00D571A9" w:rsidRDefault="00D571A9" w:rsidP="00B530D8">
      <w:pPr>
        <w:pStyle w:val="FootnoteText"/>
      </w:pPr>
      <w:r>
        <w:rPr>
          <w:rStyle w:val="FootnoteReference"/>
        </w:rPr>
        <w:footnoteRef/>
      </w:r>
      <w:r>
        <w:t xml:space="preserve"> Resilient Societies Comments at 3 (noting a February 2016</w:t>
      </w:r>
      <w:r w:rsidRPr="00B02E88">
        <w:t xml:space="preserve"> Cisco “critical” security advisory on a vulnerability that could allow an unauthenticated, remote </w:t>
      </w:r>
      <w:r w:rsidRPr="00B02E88">
        <w:rPr>
          <w:szCs w:val="26"/>
        </w:rPr>
        <w:t>attacker to obtain full control of its Industrial Security Ap</w:t>
      </w:r>
      <w:r>
        <w:rPr>
          <w:szCs w:val="26"/>
        </w:rPr>
        <w:t>pliance line of firewalls, and a December 2015</w:t>
      </w:r>
      <w:r w:rsidRPr="00687DA5">
        <w:rPr>
          <w:szCs w:val="26"/>
        </w:rPr>
        <w:t xml:space="preserve"> Juniper “out-of-cycle security advisory” on unauthorized code </w:t>
      </w:r>
      <w:r>
        <w:rPr>
          <w:szCs w:val="26"/>
        </w:rPr>
        <w:t xml:space="preserve">identified </w:t>
      </w:r>
      <w:r w:rsidRPr="00687DA5">
        <w:rPr>
          <w:szCs w:val="26"/>
        </w:rPr>
        <w:t xml:space="preserve">in </w:t>
      </w:r>
      <w:r>
        <w:rPr>
          <w:szCs w:val="26"/>
        </w:rPr>
        <w:t>a specific</w:t>
      </w:r>
      <w:r w:rsidRPr="00687DA5">
        <w:rPr>
          <w:szCs w:val="26"/>
        </w:rPr>
        <w:t xml:space="preserve"> operating system that could allow a</w:t>
      </w:r>
      <w:r>
        <w:rPr>
          <w:szCs w:val="26"/>
        </w:rPr>
        <w:t>n</w:t>
      </w:r>
      <w:r w:rsidRPr="00687DA5">
        <w:rPr>
          <w:szCs w:val="26"/>
        </w:rPr>
        <w:t xml:space="preserve"> attacker to access some firewalls</w:t>
      </w:r>
      <w:r>
        <w:rPr>
          <w:szCs w:val="26"/>
        </w:rPr>
        <w:t>)</w:t>
      </w:r>
      <w:r>
        <w:t>.</w:t>
      </w:r>
    </w:p>
  </w:footnote>
  <w:footnote w:id="85">
    <w:p w14:paraId="595491DB" w14:textId="77777777" w:rsidR="00D571A9" w:rsidRPr="008A3B5F" w:rsidRDefault="00D571A9" w:rsidP="00394710">
      <w:pPr>
        <w:pStyle w:val="FootnoteText"/>
      </w:pPr>
      <w:r>
        <w:rPr>
          <w:rStyle w:val="FootnoteReference"/>
        </w:rPr>
        <w:footnoteRef/>
      </w:r>
      <w:r>
        <w:t xml:space="preserve"> EEI Comments at 7, APS Comments at 3-5, MISO TOs Comments 17-18.</w:t>
      </w:r>
    </w:p>
  </w:footnote>
  <w:footnote w:id="86">
    <w:p w14:paraId="1C6C70C0" w14:textId="7F89C296" w:rsidR="00D571A9" w:rsidRPr="008E491D" w:rsidRDefault="00D571A9" w:rsidP="00B530D8">
      <w:pPr>
        <w:pStyle w:val="FootnoteText"/>
      </w:pPr>
      <w:r>
        <w:rPr>
          <w:rStyle w:val="FootnoteReference"/>
        </w:rPr>
        <w:footnoteRef/>
      </w:r>
      <w:r>
        <w:t xml:space="preserve"> </w:t>
      </w:r>
      <w:r w:rsidRPr="00A636BE">
        <w:t>International Journal of Information Sciences and Techniques (I</w:t>
      </w:r>
      <w:r>
        <w:t xml:space="preserve">JIST) Vol.6, No.1/2, March 2016, Cyber Attacks on Intrusion Detection Systems at P 195, </w:t>
      </w:r>
      <w:r w:rsidRPr="00686D2F">
        <w:rPr>
          <w:rStyle w:val="Hyperlink"/>
          <w:color w:val="auto"/>
        </w:rPr>
        <w:t>http://aircconline.com/ijist/V6N2/6216ijist20.pdf</w:t>
      </w:r>
      <w:r>
        <w:t>.</w:t>
      </w:r>
    </w:p>
  </w:footnote>
  <w:footnote w:id="87">
    <w:p w14:paraId="072E48B3" w14:textId="77777777" w:rsidR="00D571A9" w:rsidRDefault="00D571A9">
      <w:pPr>
        <w:pStyle w:val="FootnoteText"/>
      </w:pPr>
      <w:r>
        <w:rPr>
          <w:rStyle w:val="FootnoteReference"/>
        </w:rPr>
        <w:footnoteRef/>
      </w:r>
      <w:r>
        <w:t xml:space="preserve"> NOPR, 162 FERC ¶ 61,044 at P 27 (citing NERC Petition at 2</w:t>
      </w:r>
      <w:r w:rsidRPr="00DF0134">
        <w:rPr>
          <w:szCs w:val="24"/>
        </w:rPr>
        <w:t>1</w:t>
      </w:r>
      <w:r>
        <w:t xml:space="preserve"> (“over the next 18 months, NERC, working with various stakeholders, will continue to assess whether supply chain risks related to low impact BES Cyber Systems, PACS, EACMS, and PCA necessitate further consideration for inclusion in a mandatory Reliability Standard”)).</w:t>
      </w:r>
    </w:p>
  </w:footnote>
  <w:footnote w:id="88">
    <w:p w14:paraId="15A7B16E" w14:textId="77777777" w:rsidR="00D571A9" w:rsidRDefault="00D571A9">
      <w:pPr>
        <w:pStyle w:val="FootnoteText"/>
      </w:pPr>
      <w:r>
        <w:rPr>
          <w:rStyle w:val="FootnoteReference"/>
        </w:rPr>
        <w:footnoteRef/>
      </w:r>
      <w:r>
        <w:t xml:space="preserve"> NOPR, 162 FERC ¶ 61,044 at P 42.</w:t>
      </w:r>
    </w:p>
  </w:footnote>
  <w:footnote w:id="89">
    <w:p w14:paraId="5D4E777D" w14:textId="77777777" w:rsidR="00D571A9" w:rsidRPr="007E7B79" w:rsidRDefault="00D571A9">
      <w:pPr>
        <w:pStyle w:val="FootnoteText"/>
      </w:pPr>
      <w:r>
        <w:rPr>
          <w:rStyle w:val="FootnoteReference"/>
        </w:rPr>
        <w:footnoteRef/>
      </w:r>
      <w:r>
        <w:t xml:space="preserve"> </w:t>
      </w:r>
      <w:r>
        <w:rPr>
          <w:i/>
        </w:rPr>
        <w:t>Id.</w:t>
      </w:r>
      <w:r>
        <w:t xml:space="preserve"> P 43.</w:t>
      </w:r>
    </w:p>
  </w:footnote>
  <w:footnote w:id="90">
    <w:p w14:paraId="264AEEE6" w14:textId="77777777" w:rsidR="00D571A9" w:rsidRDefault="00D571A9">
      <w:pPr>
        <w:pStyle w:val="FootnoteText"/>
      </w:pPr>
      <w:r>
        <w:rPr>
          <w:rStyle w:val="FootnoteReference"/>
        </w:rPr>
        <w:footnoteRef/>
      </w:r>
      <w:r>
        <w:t xml:space="preserve"> NERC Comments at 4.</w:t>
      </w:r>
    </w:p>
  </w:footnote>
  <w:footnote w:id="91">
    <w:p w14:paraId="23BBA408" w14:textId="77777777" w:rsidR="00D571A9" w:rsidRDefault="00D571A9">
      <w:pPr>
        <w:pStyle w:val="FootnoteText"/>
      </w:pPr>
      <w:r>
        <w:rPr>
          <w:rStyle w:val="FootnoteReference"/>
        </w:rPr>
        <w:footnoteRef/>
      </w:r>
      <w:r>
        <w:t xml:space="preserve"> </w:t>
      </w:r>
      <w:r>
        <w:rPr>
          <w:i/>
        </w:rPr>
        <w:t>Id.</w:t>
      </w:r>
      <w:r w:rsidRPr="00D34EBB">
        <w:rPr>
          <w:i/>
        </w:rPr>
        <w:t xml:space="preserve"> </w:t>
      </w:r>
      <w:r>
        <w:t>at 5.</w:t>
      </w:r>
    </w:p>
  </w:footnote>
  <w:footnote w:id="92">
    <w:p w14:paraId="70907C67" w14:textId="77777777" w:rsidR="00D571A9" w:rsidRDefault="00D571A9" w:rsidP="00CE798E">
      <w:pPr>
        <w:pStyle w:val="FootnoteText"/>
      </w:pPr>
      <w:r>
        <w:rPr>
          <w:rStyle w:val="FootnoteReference"/>
        </w:rPr>
        <w:footnoteRef/>
      </w:r>
      <w:r>
        <w:t xml:space="preserve"> EEI Comments at 3.</w:t>
      </w:r>
    </w:p>
  </w:footnote>
  <w:footnote w:id="93">
    <w:p w14:paraId="72016FC7" w14:textId="77777777" w:rsidR="00D571A9" w:rsidRDefault="00D571A9" w:rsidP="00CE798E">
      <w:pPr>
        <w:pStyle w:val="FootnoteText"/>
      </w:pPr>
      <w:r>
        <w:rPr>
          <w:rStyle w:val="FootnoteReference"/>
        </w:rPr>
        <w:footnoteRef/>
      </w:r>
      <w:r>
        <w:t xml:space="preserve"> Trade Associations Comments at 7.</w:t>
      </w:r>
    </w:p>
  </w:footnote>
  <w:footnote w:id="94">
    <w:p w14:paraId="3C2A28F1" w14:textId="77777777" w:rsidR="00D571A9" w:rsidRDefault="00D571A9" w:rsidP="007A73A6">
      <w:pPr>
        <w:pStyle w:val="FootnoteText"/>
      </w:pPr>
      <w:r>
        <w:rPr>
          <w:rStyle w:val="FootnoteReference"/>
        </w:rPr>
        <w:footnoteRef/>
      </w:r>
      <w:r>
        <w:t xml:space="preserve"> </w:t>
      </w:r>
      <w:r w:rsidRPr="0081220C">
        <w:t xml:space="preserve">Resilient Societies </w:t>
      </w:r>
      <w:r>
        <w:t>Comments</w:t>
      </w:r>
      <w:r>
        <w:rPr>
          <w:i/>
        </w:rPr>
        <w:t xml:space="preserve"> </w:t>
      </w:r>
      <w:r>
        <w:t>at 3-4.</w:t>
      </w:r>
    </w:p>
  </w:footnote>
  <w:footnote w:id="95">
    <w:p w14:paraId="387184EF" w14:textId="77777777" w:rsidR="00D571A9" w:rsidRDefault="00D571A9" w:rsidP="007A73A6">
      <w:pPr>
        <w:pStyle w:val="FootnoteText"/>
      </w:pPr>
      <w:r>
        <w:rPr>
          <w:rStyle w:val="FootnoteReference"/>
        </w:rPr>
        <w:footnoteRef/>
      </w:r>
      <w:r>
        <w:t xml:space="preserve"> Appelbaum Comments at 6.</w:t>
      </w:r>
    </w:p>
  </w:footnote>
  <w:footnote w:id="96">
    <w:p w14:paraId="7605A76D" w14:textId="77777777" w:rsidR="00D571A9" w:rsidRDefault="00D571A9" w:rsidP="007A73A6">
      <w:pPr>
        <w:pStyle w:val="FootnoteText"/>
      </w:pPr>
      <w:r>
        <w:rPr>
          <w:rStyle w:val="FootnoteReference"/>
        </w:rPr>
        <w:footnoteRef/>
      </w:r>
      <w:r>
        <w:t xml:space="preserve"> Reclamation Comments at 1.</w:t>
      </w:r>
    </w:p>
  </w:footnote>
  <w:footnote w:id="97">
    <w:p w14:paraId="51F5024C" w14:textId="77777777" w:rsidR="00D571A9" w:rsidRDefault="00D571A9" w:rsidP="007A73A6">
      <w:pPr>
        <w:pStyle w:val="FootnoteText"/>
      </w:pPr>
      <w:r>
        <w:rPr>
          <w:rStyle w:val="FootnoteReference"/>
        </w:rPr>
        <w:footnoteRef/>
      </w:r>
      <w:r>
        <w:t xml:space="preserve"> MPUC Comments at 6.</w:t>
      </w:r>
    </w:p>
  </w:footnote>
  <w:footnote w:id="98">
    <w:p w14:paraId="3F6607A2" w14:textId="77777777" w:rsidR="00D571A9" w:rsidRDefault="00D571A9" w:rsidP="007A73A6">
      <w:pPr>
        <w:pStyle w:val="FootnoteText"/>
      </w:pPr>
      <w:r>
        <w:rPr>
          <w:rStyle w:val="FootnoteReference"/>
        </w:rPr>
        <w:footnoteRef/>
      </w:r>
      <w:r>
        <w:t xml:space="preserve"> Reclamation Comments at 1.</w:t>
      </w:r>
    </w:p>
  </w:footnote>
  <w:footnote w:id="99">
    <w:p w14:paraId="483FAC84" w14:textId="77777777" w:rsidR="00D571A9" w:rsidRDefault="00D571A9" w:rsidP="007A73A6">
      <w:pPr>
        <w:pStyle w:val="FootnoteText"/>
      </w:pPr>
      <w:r>
        <w:rPr>
          <w:rStyle w:val="FootnoteReference"/>
        </w:rPr>
        <w:footnoteRef/>
      </w:r>
      <w:r>
        <w:t xml:space="preserve"> Mabee Comments at 4.</w:t>
      </w:r>
    </w:p>
  </w:footnote>
  <w:footnote w:id="100">
    <w:p w14:paraId="4DCA158D" w14:textId="77777777" w:rsidR="00D571A9" w:rsidRDefault="00D571A9" w:rsidP="007A73A6">
      <w:pPr>
        <w:pStyle w:val="FootnoteText"/>
      </w:pPr>
      <w:r>
        <w:rPr>
          <w:rStyle w:val="FootnoteReference"/>
        </w:rPr>
        <w:footnoteRef/>
      </w:r>
      <w:r>
        <w:t xml:space="preserve"> Isologic Comments at 5.</w:t>
      </w:r>
    </w:p>
  </w:footnote>
  <w:footnote w:id="101">
    <w:p w14:paraId="5CA994A4" w14:textId="77777777" w:rsidR="00D571A9" w:rsidRDefault="00D571A9">
      <w:pPr>
        <w:pStyle w:val="FootnoteText"/>
      </w:pPr>
      <w:r>
        <w:rPr>
          <w:rStyle w:val="FootnoteReference"/>
        </w:rPr>
        <w:footnoteRef/>
      </w:r>
      <w:r>
        <w:t xml:space="preserve"> NOPR, 162 FERC ¶ 61,044 at P 40.</w:t>
      </w:r>
    </w:p>
  </w:footnote>
  <w:footnote w:id="102">
    <w:p w14:paraId="70B85049" w14:textId="77777777" w:rsidR="00D571A9" w:rsidRDefault="00D571A9" w:rsidP="004441B9">
      <w:pPr>
        <w:pStyle w:val="FootnoteText"/>
      </w:pPr>
      <w:r w:rsidRPr="00DF0134">
        <w:rPr>
          <w:rStyle w:val="FootnoteReference"/>
        </w:rPr>
        <w:footnoteRef/>
      </w:r>
      <w:r w:rsidRPr="00DF0134">
        <w:t xml:space="preserve"> </w:t>
      </w:r>
      <w:r>
        <w:t xml:space="preserve">NOPR, 162 FERC ¶ 61,044 at P 44 (citing </w:t>
      </w:r>
      <w:r w:rsidRPr="00DF0134">
        <w:t>NERC Petition at 35</w:t>
      </w:r>
      <w:r>
        <w:t>)</w:t>
      </w:r>
      <w:r w:rsidRPr="00DF0134">
        <w:t>.</w:t>
      </w:r>
    </w:p>
  </w:footnote>
  <w:footnote w:id="103">
    <w:p w14:paraId="69ECF242" w14:textId="77777777" w:rsidR="00D571A9" w:rsidRDefault="00D571A9" w:rsidP="008517DA">
      <w:pPr>
        <w:pStyle w:val="FootnoteText"/>
      </w:pPr>
      <w:r>
        <w:rPr>
          <w:rStyle w:val="FootnoteReference"/>
        </w:rPr>
        <w:footnoteRef/>
      </w:r>
      <w:r>
        <w:t xml:space="preserve"> NERC Comments at 7.</w:t>
      </w:r>
    </w:p>
  </w:footnote>
  <w:footnote w:id="104">
    <w:p w14:paraId="4216C3FD" w14:textId="50E9BAEE" w:rsidR="00D571A9" w:rsidRPr="003F1A51" w:rsidRDefault="00D571A9" w:rsidP="008517DA">
      <w:pPr>
        <w:pStyle w:val="FootnoteText"/>
      </w:pPr>
      <w:r>
        <w:rPr>
          <w:rStyle w:val="FootnoteReference"/>
        </w:rPr>
        <w:footnoteRef/>
      </w:r>
      <w:r>
        <w:t xml:space="preserve"> </w:t>
      </w:r>
      <w:r>
        <w:rPr>
          <w:i/>
        </w:rPr>
        <w:t>See</w:t>
      </w:r>
      <w:r>
        <w:t xml:space="preserve"> EEI Comments at 3-4, Idaho Power Comments at 3-4, IRC Comments at 4, Trade Associations Comments at 12-13. </w:t>
      </w:r>
    </w:p>
  </w:footnote>
  <w:footnote w:id="105">
    <w:p w14:paraId="7E699DF8" w14:textId="605D40FB" w:rsidR="00D571A9" w:rsidRDefault="00D571A9" w:rsidP="008517DA">
      <w:pPr>
        <w:pStyle w:val="FootnoteText"/>
      </w:pPr>
      <w:r>
        <w:rPr>
          <w:rStyle w:val="FootnoteReference"/>
        </w:rPr>
        <w:footnoteRef/>
      </w:r>
      <w:r>
        <w:t xml:space="preserve"> Trade Associations Comments at 12-13 (</w:t>
      </w:r>
      <w:r w:rsidRPr="00EC2C38">
        <w:t>citing</w:t>
      </w:r>
      <w:r>
        <w:t xml:space="preserve"> NOPR, 152 FERC ¶ 61,054      at P 44).</w:t>
      </w:r>
    </w:p>
  </w:footnote>
  <w:footnote w:id="106">
    <w:p w14:paraId="34DE23DD" w14:textId="77777777" w:rsidR="00D571A9" w:rsidRDefault="00D571A9" w:rsidP="008517DA">
      <w:pPr>
        <w:pStyle w:val="FootnoteText"/>
      </w:pPr>
      <w:r>
        <w:rPr>
          <w:rStyle w:val="FootnoteReference"/>
        </w:rPr>
        <w:footnoteRef/>
      </w:r>
      <w:r>
        <w:t xml:space="preserve"> APS Comments at 5-7.</w:t>
      </w:r>
    </w:p>
  </w:footnote>
  <w:footnote w:id="107">
    <w:p w14:paraId="491296FF" w14:textId="77777777" w:rsidR="00D571A9" w:rsidRDefault="00D571A9" w:rsidP="008517DA">
      <w:pPr>
        <w:pStyle w:val="FootnoteText"/>
      </w:pPr>
      <w:r>
        <w:rPr>
          <w:rStyle w:val="FootnoteReference"/>
        </w:rPr>
        <w:footnoteRef/>
      </w:r>
      <w:r>
        <w:t xml:space="preserve"> Appelbaum Comments at 4.</w:t>
      </w:r>
    </w:p>
  </w:footnote>
  <w:footnote w:id="108">
    <w:p w14:paraId="693799F0" w14:textId="77777777" w:rsidR="00D571A9" w:rsidRDefault="00D571A9" w:rsidP="00961D54">
      <w:pPr>
        <w:pStyle w:val="FootnoteText"/>
      </w:pPr>
      <w:r>
        <w:rPr>
          <w:rStyle w:val="FootnoteReference"/>
        </w:rPr>
        <w:footnoteRef/>
      </w:r>
      <w:r>
        <w:t xml:space="preserve"> APS C</w:t>
      </w:r>
      <w:r w:rsidRPr="00A74A57">
        <w:t xml:space="preserve">omments at </w:t>
      </w:r>
      <w:r>
        <w:t>9-11.</w:t>
      </w:r>
    </w:p>
  </w:footnote>
  <w:footnote w:id="109">
    <w:p w14:paraId="15197C35" w14:textId="77777777" w:rsidR="00D571A9" w:rsidRDefault="00D571A9" w:rsidP="00961D54">
      <w:pPr>
        <w:pStyle w:val="FootnoteText"/>
      </w:pPr>
      <w:r>
        <w:rPr>
          <w:rStyle w:val="FootnoteReference"/>
        </w:rPr>
        <w:footnoteRef/>
      </w:r>
      <w:r>
        <w:t xml:space="preserve"> </w:t>
      </w:r>
      <w:r>
        <w:rPr>
          <w:i/>
        </w:rPr>
        <w:t>Id</w:t>
      </w:r>
      <w:r>
        <w:t>.</w:t>
      </w:r>
    </w:p>
  </w:footnote>
  <w:footnote w:id="110">
    <w:p w14:paraId="0DBEC5F0" w14:textId="77777777" w:rsidR="00D571A9" w:rsidRDefault="00D571A9" w:rsidP="00961D54">
      <w:pPr>
        <w:pStyle w:val="FootnoteText"/>
      </w:pPr>
      <w:r>
        <w:rPr>
          <w:rStyle w:val="FootnoteReference"/>
        </w:rPr>
        <w:footnoteRef/>
      </w:r>
      <w:r>
        <w:t xml:space="preserve"> </w:t>
      </w:r>
      <w:r w:rsidRPr="00856CC0">
        <w:t>MISO T</w:t>
      </w:r>
      <w:r>
        <w:t>Os C</w:t>
      </w:r>
      <w:r w:rsidRPr="00856CC0">
        <w:t>omments at 7-9</w:t>
      </w:r>
      <w:r>
        <w:t>.</w:t>
      </w:r>
    </w:p>
  </w:footnote>
  <w:footnote w:id="111">
    <w:p w14:paraId="6ABC4301" w14:textId="77777777" w:rsidR="00D571A9" w:rsidRPr="00A97C5D" w:rsidRDefault="00D571A9" w:rsidP="00961D54">
      <w:pPr>
        <w:pStyle w:val="FootnoteText"/>
        <w:rPr>
          <w:szCs w:val="26"/>
        </w:rPr>
      </w:pPr>
      <w:r w:rsidRPr="00A97C5D">
        <w:rPr>
          <w:rStyle w:val="FootnoteReference"/>
        </w:rPr>
        <w:footnoteRef/>
      </w:r>
      <w:r>
        <w:rPr>
          <w:szCs w:val="26"/>
        </w:rPr>
        <w:t xml:space="preserve"> APS C</w:t>
      </w:r>
      <w:r w:rsidRPr="00A97C5D">
        <w:rPr>
          <w:szCs w:val="26"/>
        </w:rPr>
        <w:t>omments at 9-11.</w:t>
      </w:r>
    </w:p>
  </w:footnote>
  <w:footnote w:id="112">
    <w:p w14:paraId="53636DC1" w14:textId="77777777" w:rsidR="00D571A9" w:rsidRPr="0058366F" w:rsidRDefault="00D571A9" w:rsidP="00961D54">
      <w:pPr>
        <w:pStyle w:val="FootnoteText"/>
        <w:rPr>
          <w:i/>
        </w:rPr>
      </w:pPr>
      <w:r>
        <w:rPr>
          <w:rStyle w:val="FootnoteReference"/>
        </w:rPr>
        <w:footnoteRef/>
      </w:r>
      <w:r>
        <w:t xml:space="preserve"> </w:t>
      </w:r>
      <w:r>
        <w:rPr>
          <w:i/>
          <w:szCs w:val="26"/>
        </w:rPr>
        <w:t>Id</w:t>
      </w:r>
      <w:r>
        <w:rPr>
          <w:i/>
        </w:rPr>
        <w:t>.</w:t>
      </w:r>
    </w:p>
  </w:footnote>
  <w:footnote w:id="113">
    <w:p w14:paraId="287670A3" w14:textId="77777777" w:rsidR="00D571A9" w:rsidRDefault="00D571A9">
      <w:pPr>
        <w:pStyle w:val="FootnoteText"/>
      </w:pPr>
      <w:r>
        <w:rPr>
          <w:rStyle w:val="FootnoteReference"/>
        </w:rPr>
        <w:footnoteRef/>
      </w:r>
      <w:r>
        <w:t xml:space="preserve"> Reliability Standard CIP-013-1 at 12.</w:t>
      </w:r>
    </w:p>
  </w:footnote>
  <w:footnote w:id="114">
    <w:p w14:paraId="62CBE9CA" w14:textId="44A29F55" w:rsidR="00D571A9" w:rsidRPr="00EF7E41" w:rsidRDefault="00D571A9">
      <w:pPr>
        <w:pStyle w:val="FootnoteText"/>
      </w:pPr>
      <w:r>
        <w:rPr>
          <w:rStyle w:val="FootnoteReference"/>
        </w:rPr>
        <w:footnoteRef/>
      </w:r>
      <w:r>
        <w:t xml:space="preserve"> </w:t>
      </w:r>
      <w:r>
        <w:rPr>
          <w:i/>
        </w:rPr>
        <w:t>Id.</w:t>
      </w:r>
    </w:p>
  </w:footnote>
  <w:footnote w:id="115">
    <w:p w14:paraId="43D4DCA6" w14:textId="77777777" w:rsidR="00D571A9" w:rsidRDefault="00D571A9">
      <w:pPr>
        <w:pStyle w:val="FootnoteText"/>
      </w:pPr>
      <w:r>
        <w:rPr>
          <w:rStyle w:val="FootnoteReference"/>
        </w:rPr>
        <w:footnoteRef/>
      </w:r>
      <w:r>
        <w:t xml:space="preserve"> NERC Petition at 14.</w:t>
      </w:r>
    </w:p>
  </w:footnote>
  <w:footnote w:id="116">
    <w:p w14:paraId="5821A638" w14:textId="77777777" w:rsidR="00D571A9" w:rsidRDefault="00D571A9" w:rsidP="00B423D1">
      <w:pPr>
        <w:pStyle w:val="FootnoteText"/>
      </w:pPr>
      <w:r>
        <w:rPr>
          <w:rStyle w:val="FootnoteReference"/>
        </w:rPr>
        <w:footnoteRef/>
      </w:r>
      <w:r>
        <w:t xml:space="preserve"> </w:t>
      </w:r>
      <w:r>
        <w:rPr>
          <w:szCs w:val="26"/>
        </w:rPr>
        <w:t>Order No. 829, 156 FERC ¶ 61,050 at P 21</w:t>
      </w:r>
      <w:r w:rsidRPr="00EF6CA2">
        <w:rPr>
          <w:szCs w:val="26"/>
        </w:rPr>
        <w:t xml:space="preserve">.  </w:t>
      </w:r>
    </w:p>
  </w:footnote>
  <w:footnote w:id="117">
    <w:p w14:paraId="1DF28AFC" w14:textId="77777777" w:rsidR="00D571A9" w:rsidRDefault="00D571A9">
      <w:pPr>
        <w:pStyle w:val="FootnoteText"/>
      </w:pPr>
      <w:r>
        <w:rPr>
          <w:rStyle w:val="FootnoteReference"/>
        </w:rPr>
        <w:footnoteRef/>
      </w:r>
      <w:r>
        <w:t xml:space="preserve"> NERC Petition at 17.</w:t>
      </w:r>
    </w:p>
  </w:footnote>
  <w:footnote w:id="118">
    <w:p w14:paraId="7CCABAD0" w14:textId="77777777" w:rsidR="00D571A9" w:rsidRPr="002A3270" w:rsidRDefault="00D571A9">
      <w:pPr>
        <w:pStyle w:val="FootnoteText"/>
      </w:pPr>
      <w:r>
        <w:rPr>
          <w:rStyle w:val="FootnoteReference"/>
        </w:rPr>
        <w:footnoteRef/>
      </w:r>
      <w:r>
        <w:t xml:space="preserve"> </w:t>
      </w:r>
      <w:r>
        <w:rPr>
          <w:i/>
        </w:rPr>
        <w:t>Id.</w:t>
      </w:r>
      <w:r>
        <w:t xml:space="preserve"> at 13.</w:t>
      </w:r>
    </w:p>
  </w:footnote>
  <w:footnote w:id="119">
    <w:p w14:paraId="086DB287" w14:textId="77777777" w:rsidR="00D571A9" w:rsidRPr="00C42B6F" w:rsidRDefault="00D571A9">
      <w:pPr>
        <w:pStyle w:val="FootnoteText"/>
        <w:rPr>
          <w:b/>
        </w:rPr>
      </w:pPr>
      <w:r>
        <w:rPr>
          <w:rStyle w:val="FootnoteReference"/>
        </w:rPr>
        <w:footnoteRef/>
      </w:r>
      <w:r>
        <w:t xml:space="preserve"> </w:t>
      </w:r>
      <w:r>
        <w:rPr>
          <w:i/>
        </w:rPr>
        <w:t>Id.</w:t>
      </w:r>
      <w:r w:rsidRPr="00603B55">
        <w:t xml:space="preserve"> at 31.</w:t>
      </w:r>
    </w:p>
  </w:footnote>
  <w:footnote w:id="120">
    <w:p w14:paraId="7366AD59" w14:textId="77777777" w:rsidR="00D571A9" w:rsidRDefault="00D571A9">
      <w:pPr>
        <w:pStyle w:val="FootnoteText"/>
      </w:pPr>
      <w:r>
        <w:rPr>
          <w:rStyle w:val="FootnoteReference"/>
        </w:rPr>
        <w:footnoteRef/>
      </w:r>
      <w:r>
        <w:t xml:space="preserve"> </w:t>
      </w:r>
      <w:r>
        <w:rPr>
          <w:i/>
        </w:rPr>
        <w:t xml:space="preserve">See </w:t>
      </w:r>
      <w:r>
        <w:t>Reliability Standard CIP-005-6 at 28.</w:t>
      </w:r>
    </w:p>
  </w:footnote>
  <w:footnote w:id="121">
    <w:p w14:paraId="45151409" w14:textId="77777777" w:rsidR="00D571A9" w:rsidRDefault="00D571A9" w:rsidP="0002452E">
      <w:pPr>
        <w:pStyle w:val="FootnoteText"/>
      </w:pPr>
      <w:r>
        <w:rPr>
          <w:rStyle w:val="FootnoteReference"/>
        </w:rPr>
        <w:footnoteRef/>
      </w:r>
      <w:r w:rsidRPr="00E61528">
        <w:t xml:space="preserve"> </w:t>
      </w:r>
      <w:r>
        <w:t>44 U.S.C. 3507(d).</w:t>
      </w:r>
    </w:p>
  </w:footnote>
  <w:footnote w:id="122">
    <w:p w14:paraId="54AE7BE7" w14:textId="77777777" w:rsidR="00D571A9" w:rsidRDefault="00D571A9" w:rsidP="0002452E">
      <w:pPr>
        <w:pStyle w:val="FootnoteText"/>
      </w:pPr>
      <w:r>
        <w:rPr>
          <w:rStyle w:val="FootnoteReference"/>
        </w:rPr>
        <w:footnoteRef/>
      </w:r>
      <w:r>
        <w:t xml:space="preserve"> 5 CFR 1320.11.</w:t>
      </w:r>
    </w:p>
  </w:footnote>
  <w:footnote w:id="123">
    <w:p w14:paraId="44D43691" w14:textId="77777777" w:rsidR="00D571A9" w:rsidRDefault="00D571A9" w:rsidP="0002452E">
      <w:pPr>
        <w:pStyle w:val="FootnoteText"/>
        <w:rPr>
          <w:szCs w:val="26"/>
        </w:rPr>
      </w:pPr>
      <w:r w:rsidRPr="00357340">
        <w:rPr>
          <w:rStyle w:val="FootnoteReference"/>
        </w:rPr>
        <w:footnoteRef/>
      </w:r>
      <w:r>
        <w:rPr>
          <w:szCs w:val="26"/>
        </w:rPr>
        <w:t xml:space="preserve"> The loaded hourly wage figure (includes benefits) is based on the average of the occupational categories for 2017 found on the Bureau of Labor Statistics website </w:t>
      </w:r>
      <w:r w:rsidRPr="006C3963">
        <w:rPr>
          <w:szCs w:val="26"/>
        </w:rPr>
        <w:t>(</w:t>
      </w:r>
      <w:hyperlink r:id="rId2" w:history="1">
        <w:r w:rsidRPr="006C3963">
          <w:rPr>
            <w:rStyle w:val="Hyperlink"/>
            <w:color w:val="auto"/>
            <w:szCs w:val="26"/>
            <w:u w:val="none"/>
          </w:rPr>
          <w:t>http://www.bls.gov/oes/current/naics2_22.htm</w:t>
        </w:r>
      </w:hyperlink>
      <w:r w:rsidRPr="006C3963">
        <w:rPr>
          <w:szCs w:val="26"/>
        </w:rPr>
        <w:t>):</w:t>
      </w:r>
    </w:p>
    <w:p w14:paraId="1C3E36DD" w14:textId="77777777" w:rsidR="00D571A9" w:rsidRDefault="00D571A9" w:rsidP="0002452E">
      <w:pPr>
        <w:pStyle w:val="FootnoteText"/>
        <w:ind w:left="1440" w:firstLine="0"/>
        <w:rPr>
          <w:szCs w:val="26"/>
        </w:rPr>
      </w:pPr>
      <w:r>
        <w:rPr>
          <w:szCs w:val="26"/>
        </w:rPr>
        <w:t>Legal (Occupation Code: 23-0000): $143.68</w:t>
      </w:r>
    </w:p>
    <w:p w14:paraId="19CB7C20" w14:textId="77777777" w:rsidR="00D571A9" w:rsidRDefault="00D571A9" w:rsidP="0002452E">
      <w:pPr>
        <w:pStyle w:val="FootnoteText"/>
        <w:ind w:left="1440" w:firstLine="0"/>
        <w:rPr>
          <w:szCs w:val="26"/>
        </w:rPr>
      </w:pPr>
      <w:r>
        <w:rPr>
          <w:szCs w:val="26"/>
        </w:rPr>
        <w:t>Information Security Analysts (Occupation Code 15-1122): $61.55</w:t>
      </w:r>
    </w:p>
    <w:p w14:paraId="2E65A82D" w14:textId="54C035A8" w:rsidR="00D571A9" w:rsidRDefault="00D571A9" w:rsidP="0002452E">
      <w:pPr>
        <w:pStyle w:val="FootnoteText"/>
        <w:ind w:left="1440" w:firstLine="0"/>
        <w:rPr>
          <w:szCs w:val="26"/>
        </w:rPr>
      </w:pPr>
      <w:r>
        <w:rPr>
          <w:szCs w:val="26"/>
        </w:rPr>
        <w:t>Computer and Information Systems Managers (Occupation Code:             11-3021): $96.51</w:t>
      </w:r>
    </w:p>
    <w:p w14:paraId="0CF183F1" w14:textId="77777777" w:rsidR="00D571A9" w:rsidRDefault="00D571A9" w:rsidP="0002452E">
      <w:pPr>
        <w:pStyle w:val="FootnoteText"/>
        <w:ind w:left="1440" w:firstLine="0"/>
        <w:rPr>
          <w:szCs w:val="26"/>
        </w:rPr>
      </w:pPr>
      <w:r>
        <w:rPr>
          <w:szCs w:val="26"/>
        </w:rPr>
        <w:t>Management (Occupation Code: 11-0000): $94.28</w:t>
      </w:r>
    </w:p>
    <w:p w14:paraId="285F73DE" w14:textId="77777777" w:rsidR="00D571A9" w:rsidRDefault="00D571A9" w:rsidP="0002452E">
      <w:pPr>
        <w:pStyle w:val="FootnoteText"/>
        <w:ind w:left="1440" w:firstLine="0"/>
        <w:rPr>
          <w:szCs w:val="26"/>
        </w:rPr>
      </w:pPr>
      <w:r>
        <w:rPr>
          <w:szCs w:val="26"/>
        </w:rPr>
        <w:t>Electrical Engineer (Occupation Code: 17-2071): $66.90</w:t>
      </w:r>
    </w:p>
    <w:p w14:paraId="70ECD1C7" w14:textId="77777777" w:rsidR="00D571A9" w:rsidRDefault="00D571A9" w:rsidP="0002452E">
      <w:pPr>
        <w:pStyle w:val="FootnoteText"/>
        <w:ind w:left="1440" w:firstLine="0"/>
        <w:rPr>
          <w:szCs w:val="26"/>
        </w:rPr>
      </w:pPr>
      <w:r>
        <w:rPr>
          <w:szCs w:val="26"/>
        </w:rPr>
        <w:t>Management Analyst (Code: 43-0000): $63.32</w:t>
      </w:r>
    </w:p>
    <w:p w14:paraId="4838C018" w14:textId="77777777" w:rsidR="00D571A9" w:rsidRPr="00357340" w:rsidRDefault="00D571A9" w:rsidP="0002452E">
      <w:pPr>
        <w:pStyle w:val="FootnoteText"/>
        <w:ind w:firstLine="0"/>
        <w:rPr>
          <w:szCs w:val="26"/>
        </w:rPr>
      </w:pPr>
      <w:r>
        <w:rPr>
          <w:szCs w:val="26"/>
        </w:rPr>
        <w:t>These various occupational categories are weighted as follows: [($94.28)(.10) + ($61.55)(.315) + ($66.90)(.02) + ($143.68)(.15) + ($96.51)(.10) + ($63.32)(.315)] = $81.30.  The figure is rounded to $81.00 for use in calculating wage figures in this Final Rule.</w:t>
      </w:r>
    </w:p>
  </w:footnote>
  <w:footnote w:id="124">
    <w:p w14:paraId="442E3BD9" w14:textId="77777777" w:rsidR="00D571A9" w:rsidRDefault="00D571A9" w:rsidP="0002452E">
      <w:pPr>
        <w:pStyle w:val="FootnoteText"/>
      </w:pPr>
      <w:r>
        <w:rPr>
          <w:rStyle w:val="FootnoteReference"/>
        </w:rPr>
        <w:footnoteRef/>
      </w:r>
      <w:r>
        <w:t xml:space="preserve"> One-time burdens apply in Year One only.</w:t>
      </w:r>
    </w:p>
  </w:footnote>
  <w:footnote w:id="125">
    <w:p w14:paraId="3CBAD996" w14:textId="77777777" w:rsidR="00D571A9" w:rsidRDefault="00D571A9" w:rsidP="0002452E">
      <w:pPr>
        <w:pStyle w:val="FootnoteText"/>
      </w:pPr>
      <w:r>
        <w:rPr>
          <w:rStyle w:val="FootnoteReference"/>
        </w:rPr>
        <w:footnoteRef/>
      </w:r>
      <w:r>
        <w:t xml:space="preserve"> Ongoing burdens apply in Year 2 and beyond.</w:t>
      </w:r>
    </w:p>
  </w:footnote>
  <w:footnote w:id="126">
    <w:p w14:paraId="673A1C97" w14:textId="77777777" w:rsidR="00D571A9" w:rsidRDefault="00D571A9" w:rsidP="00A851A0">
      <w:pPr>
        <w:spacing w:before="120" w:after="120"/>
        <w:ind w:firstLine="720"/>
        <w:rPr>
          <w:szCs w:val="26"/>
        </w:rPr>
      </w:pPr>
      <w:r>
        <w:rPr>
          <w:rStyle w:val="FootnoteReference"/>
        </w:rPr>
        <w:footnoteRef/>
      </w:r>
      <w:r>
        <w:rPr>
          <w:szCs w:val="26"/>
        </w:rPr>
        <w:t xml:space="preserve"> </w:t>
      </w:r>
      <w:r>
        <w:rPr>
          <w:i/>
          <w:szCs w:val="26"/>
        </w:rPr>
        <w:t>Regulations Implementing the National Environmental Policy Act of 1969</w:t>
      </w:r>
      <w:r>
        <w:rPr>
          <w:szCs w:val="26"/>
        </w:rPr>
        <w:t>, Order No. 486, FERC Stats. &amp; Regs. ¶ 30,783 (1987).</w:t>
      </w:r>
    </w:p>
  </w:footnote>
  <w:footnote w:id="127">
    <w:p w14:paraId="3B67C989" w14:textId="77777777" w:rsidR="00D571A9" w:rsidRDefault="00D571A9" w:rsidP="00A851A0">
      <w:pPr>
        <w:pStyle w:val="FootnoteText"/>
        <w:spacing w:before="120"/>
        <w:rPr>
          <w:szCs w:val="26"/>
        </w:rPr>
      </w:pPr>
      <w:r>
        <w:rPr>
          <w:rStyle w:val="FootnoteReference"/>
        </w:rPr>
        <w:footnoteRef/>
      </w:r>
      <w:r>
        <w:rPr>
          <w:szCs w:val="26"/>
        </w:rPr>
        <w:t xml:space="preserve"> 18 CFR 380.4(a)(2)(ii).</w:t>
      </w:r>
    </w:p>
  </w:footnote>
  <w:footnote w:id="128">
    <w:p w14:paraId="17AB7034" w14:textId="77777777" w:rsidR="00D571A9" w:rsidRPr="00342FA3" w:rsidRDefault="00D571A9" w:rsidP="0002452E">
      <w:pPr>
        <w:pStyle w:val="FootnoteText"/>
        <w:spacing w:before="120"/>
        <w:rPr>
          <w:szCs w:val="26"/>
        </w:rPr>
      </w:pPr>
      <w:r w:rsidRPr="00342FA3">
        <w:rPr>
          <w:rStyle w:val="FootnoteReference"/>
        </w:rPr>
        <w:footnoteRef/>
      </w:r>
      <w:r w:rsidRPr="00342FA3">
        <w:rPr>
          <w:szCs w:val="26"/>
        </w:rPr>
        <w:t xml:space="preserve"> 5 U.S.C. 601-12.</w:t>
      </w:r>
      <w:r w:rsidRPr="00342FA3">
        <w:t xml:space="preserve">  </w:t>
      </w:r>
    </w:p>
  </w:footnote>
  <w:footnote w:id="129">
    <w:p w14:paraId="26FC2FCB" w14:textId="77777777" w:rsidR="00D571A9" w:rsidRDefault="00D571A9" w:rsidP="0002452E">
      <w:pPr>
        <w:pStyle w:val="FootnoteText"/>
      </w:pPr>
      <w:r>
        <w:rPr>
          <w:rStyle w:val="FootnoteReference"/>
        </w:rPr>
        <w:footnoteRef/>
      </w:r>
      <w:r>
        <w:t xml:space="preserve"> 13 CFR 121.101.</w:t>
      </w:r>
    </w:p>
  </w:footnote>
  <w:footnote w:id="130">
    <w:p w14:paraId="33C23B5D" w14:textId="77777777" w:rsidR="00D571A9" w:rsidRDefault="00D571A9" w:rsidP="0002452E">
      <w:pPr>
        <w:pStyle w:val="FootnoteText"/>
      </w:pPr>
      <w:r>
        <w:rPr>
          <w:rStyle w:val="FootnoteReference"/>
        </w:rPr>
        <w:footnoteRef/>
      </w:r>
      <w:r>
        <w:t xml:space="preserve"> 13 CFR 121.201, Subsection 221.</w:t>
      </w:r>
    </w:p>
  </w:footnote>
  <w:footnote w:id="131">
    <w:p w14:paraId="3D6C369A" w14:textId="2953CB47" w:rsidR="00D571A9" w:rsidRDefault="00D571A9" w:rsidP="0002452E">
      <w:pPr>
        <w:pStyle w:val="FootnoteText"/>
      </w:pPr>
      <w:r>
        <w:rPr>
          <w:rStyle w:val="FootnoteReference"/>
        </w:rPr>
        <w:footnoteRef/>
      </w:r>
      <w:r>
        <w:t xml:space="preserve"> </w:t>
      </w:r>
      <w:r w:rsidRPr="00342FA3">
        <w:t xml:space="preserve">Public utilities may fall under one of several different categories, each with </w:t>
      </w:r>
      <w:r w:rsidR="00536DA2">
        <w:t xml:space="preserve">     </w:t>
      </w:r>
      <w:r w:rsidRPr="00342FA3">
        <w:t xml:space="preserve">a size threshold based on the company’s number of employees, including affiliates, </w:t>
      </w:r>
      <w:r w:rsidR="00536DA2">
        <w:t xml:space="preserve">      </w:t>
      </w:r>
      <w:r w:rsidRPr="00342FA3">
        <w:t xml:space="preserve">the parent company, and subsidiaries.  </w:t>
      </w:r>
      <w:r w:rsidRPr="00640D5A">
        <w:t xml:space="preserve">For the analysis in this NOPR, we are using a </w:t>
      </w:r>
      <w:r w:rsidR="00536DA2">
        <w:t xml:space="preserve">   </w:t>
      </w:r>
      <w:r w:rsidRPr="00640D5A">
        <w:t xml:space="preserve">500 employee threshold </w:t>
      </w:r>
      <w:r>
        <w:t>due to each affected entity falling within the role of Electric Bulk Power Transmission and Control (NAISC Code: 221121)</w:t>
      </w:r>
      <w:r w:rsidRPr="00175D3A">
        <w:t>.</w:t>
      </w:r>
    </w:p>
  </w:footnote>
  <w:footnote w:id="132">
    <w:p w14:paraId="7B778749" w14:textId="24A57A3E" w:rsidR="00D571A9" w:rsidRDefault="00D571A9" w:rsidP="00345A6B">
      <w:pPr>
        <w:pStyle w:val="FootnoteText"/>
      </w:pPr>
      <w:r>
        <w:rPr>
          <w:rStyle w:val="FootnoteReference"/>
        </w:rPr>
        <w:footnoteRef/>
      </w:r>
      <w:r>
        <w:t xml:space="preserve"> 5 U.S.C 804(3)c.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826F0" w14:textId="77777777" w:rsidR="00D571A9" w:rsidRDefault="00D571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6513">
      <w:rPr>
        <w:rStyle w:val="PageNumber"/>
        <w:noProof/>
      </w:rPr>
      <w:t>- 59 -</w:t>
    </w:r>
    <w:r>
      <w:rPr>
        <w:rStyle w:val="PageNumber"/>
      </w:rPr>
      <w:fldChar w:fldCharType="end"/>
    </w:r>
  </w:p>
  <w:p w14:paraId="7B1A9535" w14:textId="77777777" w:rsidR="00D571A9" w:rsidRDefault="00D571A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464C6" w14:textId="77777777" w:rsidR="00D571A9" w:rsidRDefault="00D571A9" w:rsidP="00DC3ABB">
    <w:pPr>
      <w:pStyle w:val="Header"/>
      <w:tabs>
        <w:tab w:val="clear" w:pos="8640"/>
        <w:tab w:val="left" w:pos="7000"/>
        <w:tab w:val="right" w:pos="9100"/>
      </w:tabs>
    </w:pPr>
    <w:r>
      <w:t>Docket No. RM17-13-000</w:t>
    </w:r>
    <w:r>
      <w:tab/>
    </w:r>
    <w:r>
      <w:tab/>
    </w:r>
    <w:r>
      <w:tab/>
    </w:r>
    <w:r>
      <w:rPr>
        <w:noProof/>
      </w:rPr>
      <w:fldChar w:fldCharType="begin"/>
    </w:r>
    <w:r>
      <w:rPr>
        <w:noProof/>
      </w:rPr>
      <w:instrText xml:space="preserve"> PAGE  \* MERGEFORMAT </w:instrText>
    </w:r>
    <w:r>
      <w:rPr>
        <w:noProof/>
      </w:rPr>
      <w:fldChar w:fldCharType="separate"/>
    </w:r>
    <w:r w:rsidR="00BC6513">
      <w:rPr>
        <w:noProof/>
      </w:rPr>
      <w:t>- 2 -</w:t>
    </w:r>
    <w:r>
      <w:rPr>
        <w:noProof/>
      </w:rPr>
      <w:fldChar w:fldCharType="end"/>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FAA3D" w14:textId="77777777" w:rsidR="00D571A9" w:rsidRDefault="00D571A9">
    <w:pPr>
      <w:pStyle w:val="Header"/>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CFF65" w14:textId="77777777" w:rsidR="00D571A9" w:rsidRDefault="00D571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6513">
      <w:rPr>
        <w:rStyle w:val="PageNumber"/>
        <w:noProof/>
      </w:rPr>
      <w:t>- 59 -</w:t>
    </w:r>
    <w:r>
      <w:rPr>
        <w:rStyle w:val="PageNumber"/>
      </w:rPr>
      <w:fldChar w:fldCharType="end"/>
    </w:r>
  </w:p>
  <w:p w14:paraId="2C4EB496" w14:textId="77777777" w:rsidR="00D571A9" w:rsidRDefault="00D571A9">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971EE" w14:textId="77777777" w:rsidR="00D571A9" w:rsidRDefault="00D571A9" w:rsidP="00934277">
    <w:pPr>
      <w:pStyle w:val="Header"/>
      <w:tabs>
        <w:tab w:val="clear" w:pos="8640"/>
        <w:tab w:val="right" w:pos="8970"/>
      </w:tabs>
      <w:ind w:right="360"/>
    </w:pPr>
    <w:r>
      <w:t>Docket No. RM17-13-000</w:t>
    </w:r>
    <w:r>
      <w:tab/>
    </w:r>
    <w:r>
      <w:tab/>
    </w:r>
    <w:r>
      <w:rPr>
        <w:noProof/>
      </w:rPr>
      <w:fldChar w:fldCharType="begin"/>
    </w:r>
    <w:r>
      <w:rPr>
        <w:noProof/>
      </w:rPr>
      <w:instrText xml:space="preserve"> PAGE  \* MERGEFORMAT </w:instrText>
    </w:r>
    <w:r>
      <w:rPr>
        <w:noProof/>
      </w:rPr>
      <w:fldChar w:fldCharType="separate"/>
    </w:r>
    <w:r w:rsidR="00BC6513">
      <w:rPr>
        <w:noProof/>
      </w:rPr>
      <w:t>- 17 -</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AB6B" w14:textId="77777777" w:rsidR="00D571A9" w:rsidRDefault="00D571A9">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1D28F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A8FB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41AE15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7B6B0E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929D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601D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6294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B7D18"/>
    <w:multiLevelType w:val="hybridMultilevel"/>
    <w:tmpl w:val="BF2A64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Aria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Arial"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Arial"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15301993"/>
    <w:multiLevelType w:val="hybridMultilevel"/>
    <w:tmpl w:val="BA24A6EE"/>
    <w:lvl w:ilvl="0" w:tplc="A530CE2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9A24E1"/>
    <w:multiLevelType w:val="hybridMultilevel"/>
    <w:tmpl w:val="0532A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5A2AEB"/>
    <w:multiLevelType w:val="hybridMultilevel"/>
    <w:tmpl w:val="7B14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15:restartNumberingAfterBreak="0">
    <w:nsid w:val="3BB011C2"/>
    <w:multiLevelType w:val="hybridMultilevel"/>
    <w:tmpl w:val="C318F7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B6304"/>
    <w:multiLevelType w:val="hybridMultilevel"/>
    <w:tmpl w:val="10143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C04343"/>
    <w:multiLevelType w:val="hybridMultilevel"/>
    <w:tmpl w:val="87C2A1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C01AF5"/>
    <w:multiLevelType w:val="hybridMultilevel"/>
    <w:tmpl w:val="5BDE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2776A"/>
    <w:multiLevelType w:val="hybridMultilevel"/>
    <w:tmpl w:val="D12AEC22"/>
    <w:lvl w:ilvl="0" w:tplc="0409000F">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543C3BAE"/>
    <w:multiLevelType w:val="hybridMultilevel"/>
    <w:tmpl w:val="76CCC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DB70B9"/>
    <w:multiLevelType w:val="multilevel"/>
    <w:tmpl w:val="7F5456A8"/>
    <w:lvl w:ilvl="0">
      <w:start w:val="1"/>
      <w:numFmt w:val="decimal"/>
      <w:lvlText w:val="%1."/>
      <w:lvlJc w:val="left"/>
      <w:pPr>
        <w:ind w:left="720" w:firstLine="0"/>
      </w:pPr>
      <w:rPr>
        <w:rFonts w:ascii="Times New Roman" w:hAnsi="Times New Roman" w:cs="Times New Roman" w:hint="default"/>
        <w:b w:val="0"/>
        <w:i w:val="0"/>
        <w:sz w:val="26"/>
        <w:szCs w:val="26"/>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3" w15:restartNumberingAfterBreak="0">
    <w:nsid w:val="5C0E505D"/>
    <w:multiLevelType w:val="hybridMultilevel"/>
    <w:tmpl w:val="A54AA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646187"/>
    <w:multiLevelType w:val="hybridMultilevel"/>
    <w:tmpl w:val="9DCC217A"/>
    <w:lvl w:ilvl="0" w:tplc="57A4A818">
      <w:start w:val="1"/>
      <w:numFmt w:val="bullet"/>
      <w:lvlText w:val=""/>
      <w:lvlJc w:val="left"/>
      <w:pPr>
        <w:tabs>
          <w:tab w:val="num" w:pos="36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C9AC533A"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9F2B0E"/>
    <w:multiLevelType w:val="hybridMultilevel"/>
    <w:tmpl w:val="EA20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E33C4"/>
    <w:multiLevelType w:val="hybridMultilevel"/>
    <w:tmpl w:val="60EA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B625FE"/>
    <w:multiLevelType w:val="multilevel"/>
    <w:tmpl w:val="B8E012CC"/>
    <w:lvl w:ilvl="0">
      <w:start w:val="1"/>
      <w:numFmt w:val="upperRoman"/>
      <w:lvlRestart w:val="0"/>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350"/>
        </w:tabs>
        <w:ind w:left="135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2880"/>
        </w:tabs>
        <w:ind w:left="2880" w:hanging="720"/>
      </w:pPr>
      <w:rPr>
        <w:rFonts w:hint="default"/>
      </w:rPr>
    </w:lvl>
    <w:lvl w:ilvl="4">
      <w:start w:val="1"/>
      <w:numFmt w:val="lowerRoman"/>
      <w:pStyle w:val="Heading5"/>
      <w:lvlText w:val="%5."/>
      <w:lvlJc w:val="left"/>
      <w:pPr>
        <w:tabs>
          <w:tab w:val="num" w:pos="3600"/>
        </w:tabs>
        <w:ind w:left="3600" w:hanging="720"/>
      </w:pPr>
      <w:rPr>
        <w:rFonts w:hint="default"/>
      </w:rPr>
    </w:lvl>
    <w:lvl w:ilvl="5">
      <w:start w:val="1"/>
      <w:numFmt w:val="lowerLetter"/>
      <w:pStyle w:val="Heading6"/>
      <w:lvlText w:val="(%6)"/>
      <w:lvlJc w:val="left"/>
      <w:pPr>
        <w:tabs>
          <w:tab w:val="num" w:pos="4320"/>
        </w:tabs>
        <w:ind w:left="4320" w:hanging="720"/>
      </w:pPr>
      <w:rPr>
        <w:rFonts w:hint="default"/>
      </w:rPr>
    </w:lvl>
    <w:lvl w:ilvl="6">
      <w:start w:val="1"/>
      <w:numFmt w:val="decimal"/>
      <w:pStyle w:val="Heading7"/>
      <w:lvlText w:val="(%7)"/>
      <w:lvlJc w:val="left"/>
      <w:pPr>
        <w:tabs>
          <w:tab w:val="num" w:pos="5040"/>
        </w:tabs>
        <w:ind w:left="5040" w:hanging="720"/>
      </w:pPr>
      <w:rPr>
        <w:rFonts w:hint="default"/>
      </w:rPr>
    </w:lvl>
    <w:lvl w:ilvl="7">
      <w:start w:val="1"/>
      <w:numFmt w:val="lowerRoman"/>
      <w:pStyle w:val="Heading8"/>
      <w:lvlText w:val="(%8)"/>
      <w:lvlJc w:val="left"/>
      <w:pPr>
        <w:tabs>
          <w:tab w:val="num" w:pos="5760"/>
        </w:tabs>
        <w:ind w:left="5760" w:hanging="720"/>
      </w:pPr>
      <w:rPr>
        <w:rFonts w:hint="default"/>
      </w:rPr>
    </w:lvl>
    <w:lvl w:ilvl="8">
      <w:start w:val="1"/>
      <w:numFmt w:val="decimalZero"/>
      <w:pStyle w:val="Heading9"/>
      <w:lvlText w:val="(%9)"/>
      <w:lvlJc w:val="left"/>
      <w:pPr>
        <w:tabs>
          <w:tab w:val="num" w:pos="6480"/>
        </w:tabs>
        <w:ind w:left="6480" w:hanging="720"/>
      </w:pPr>
      <w:rPr>
        <w:rFonts w:hint="default"/>
      </w:rPr>
    </w:lvl>
  </w:abstractNum>
  <w:abstractNum w:abstractNumId="28" w15:restartNumberingAfterBreak="0">
    <w:nsid w:val="6E0F126F"/>
    <w:multiLevelType w:val="hybridMultilevel"/>
    <w:tmpl w:val="C80AA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770168"/>
    <w:multiLevelType w:val="hybridMultilevel"/>
    <w:tmpl w:val="597E8B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7926D45"/>
    <w:multiLevelType w:val="hybridMultilevel"/>
    <w:tmpl w:val="5D2A9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4E4DD3"/>
    <w:multiLevelType w:val="hybridMultilevel"/>
    <w:tmpl w:val="A998DAF0"/>
    <w:lvl w:ilvl="0" w:tplc="6EAEAA46">
      <w:start w:val="1"/>
      <w:numFmt w:val="decimal"/>
      <w:pStyle w:val="FERCparanumber"/>
      <w:lvlText w:val="%1."/>
      <w:lvlJc w:val="left"/>
      <w:pPr>
        <w:tabs>
          <w:tab w:val="num" w:pos="990"/>
        </w:tabs>
        <w:ind w:left="270" w:firstLine="0"/>
      </w:pPr>
      <w:rPr>
        <w:rFonts w:hint="default"/>
        <w:b w:val="0"/>
        <w:i w:val="0"/>
        <w:sz w:val="26"/>
        <w:szCs w:val="26"/>
      </w:rPr>
    </w:lvl>
    <w:lvl w:ilvl="1" w:tplc="4CE080E6">
      <w:start w:val="3"/>
      <w:numFmt w:val="upperLetter"/>
      <w:lvlText w:val="%2."/>
      <w:lvlJc w:val="left"/>
      <w:pPr>
        <w:tabs>
          <w:tab w:val="num" w:pos="830"/>
        </w:tabs>
        <w:ind w:left="830" w:hanging="660"/>
      </w:pPr>
      <w:rPr>
        <w:rFonts w:hint="default"/>
        <w:b/>
        <w:color w:val="auto"/>
        <w:u w:val="none"/>
      </w:rPr>
    </w:lvl>
    <w:lvl w:ilvl="2" w:tplc="0409001B">
      <w:start w:val="1"/>
      <w:numFmt w:val="lowerRoman"/>
      <w:lvlText w:val="%3."/>
      <w:lvlJc w:val="right"/>
      <w:pPr>
        <w:tabs>
          <w:tab w:val="num" w:pos="1250"/>
        </w:tabs>
        <w:ind w:left="1250" w:hanging="180"/>
      </w:pPr>
      <w:rPr>
        <w:rFonts w:hint="default"/>
      </w:rPr>
    </w:lvl>
    <w:lvl w:ilvl="3" w:tplc="0409000F">
      <w:start w:val="1"/>
      <w:numFmt w:val="decimal"/>
      <w:lvlText w:val="%4."/>
      <w:lvlJc w:val="left"/>
      <w:pPr>
        <w:tabs>
          <w:tab w:val="num" w:pos="1970"/>
        </w:tabs>
        <w:ind w:left="1970" w:hanging="360"/>
      </w:pPr>
    </w:lvl>
    <w:lvl w:ilvl="4" w:tplc="04090019" w:tentative="1">
      <w:start w:val="1"/>
      <w:numFmt w:val="lowerLetter"/>
      <w:lvlText w:val="%5."/>
      <w:lvlJc w:val="left"/>
      <w:pPr>
        <w:tabs>
          <w:tab w:val="num" w:pos="2690"/>
        </w:tabs>
        <w:ind w:left="2690" w:hanging="360"/>
      </w:pPr>
    </w:lvl>
    <w:lvl w:ilvl="5" w:tplc="0409001B" w:tentative="1">
      <w:start w:val="1"/>
      <w:numFmt w:val="lowerRoman"/>
      <w:lvlText w:val="%6."/>
      <w:lvlJc w:val="right"/>
      <w:pPr>
        <w:tabs>
          <w:tab w:val="num" w:pos="3410"/>
        </w:tabs>
        <w:ind w:left="3410" w:hanging="180"/>
      </w:pPr>
    </w:lvl>
    <w:lvl w:ilvl="6" w:tplc="0409000F" w:tentative="1">
      <w:start w:val="1"/>
      <w:numFmt w:val="decimal"/>
      <w:lvlText w:val="%7."/>
      <w:lvlJc w:val="left"/>
      <w:pPr>
        <w:tabs>
          <w:tab w:val="num" w:pos="4130"/>
        </w:tabs>
        <w:ind w:left="4130" w:hanging="360"/>
      </w:pPr>
    </w:lvl>
    <w:lvl w:ilvl="7" w:tplc="04090019" w:tentative="1">
      <w:start w:val="1"/>
      <w:numFmt w:val="lowerLetter"/>
      <w:lvlText w:val="%8."/>
      <w:lvlJc w:val="left"/>
      <w:pPr>
        <w:tabs>
          <w:tab w:val="num" w:pos="4850"/>
        </w:tabs>
        <w:ind w:left="4850" w:hanging="360"/>
      </w:pPr>
    </w:lvl>
    <w:lvl w:ilvl="8" w:tplc="0409001B" w:tentative="1">
      <w:start w:val="1"/>
      <w:numFmt w:val="lowerRoman"/>
      <w:lvlText w:val="%9."/>
      <w:lvlJc w:val="right"/>
      <w:pPr>
        <w:tabs>
          <w:tab w:val="num" w:pos="5570"/>
        </w:tabs>
        <w:ind w:left="5570" w:hanging="180"/>
      </w:pPr>
    </w:lvl>
  </w:abstractNum>
  <w:abstractNum w:abstractNumId="32" w15:restartNumberingAfterBreak="0">
    <w:nsid w:val="7FCD21D4"/>
    <w:multiLevelType w:val="hybridMultilevel"/>
    <w:tmpl w:val="095C838A"/>
    <w:lvl w:ilvl="0" w:tplc="282EC32C">
      <w:start w:val="4"/>
      <w:numFmt w:val="upperLetter"/>
      <w:lvlText w:val="%1."/>
      <w:lvlJc w:val="left"/>
      <w:pPr>
        <w:tabs>
          <w:tab w:val="num" w:pos="830"/>
        </w:tabs>
        <w:ind w:left="830" w:hanging="660"/>
      </w:pPr>
      <w:rPr>
        <w:rFonts w:hint="default"/>
        <w:b/>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1"/>
  </w:num>
  <w:num w:numId="3">
    <w:abstractNumId w:val="9"/>
  </w:num>
  <w:num w:numId="4">
    <w:abstractNumId w:val="24"/>
  </w:num>
  <w:num w:numId="5">
    <w:abstractNumId w:val="6"/>
  </w:num>
  <w:num w:numId="6">
    <w:abstractNumId w:val="5"/>
  </w:num>
  <w:num w:numId="7">
    <w:abstractNumId w:val="7"/>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8"/>
  </w:num>
  <w:num w:numId="16">
    <w:abstractNumId w:val="22"/>
  </w:num>
  <w:num w:numId="17">
    <w:abstractNumId w:val="29"/>
  </w:num>
  <w:num w:numId="18">
    <w:abstractNumId w:val="26"/>
  </w:num>
  <w:num w:numId="19">
    <w:abstractNumId w:val="11"/>
  </w:num>
  <w:num w:numId="20">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7"/>
  </w:num>
  <w:num w:numId="23">
    <w:abstractNumId w:val="13"/>
  </w:num>
  <w:num w:numId="24">
    <w:abstractNumId w:val="10"/>
  </w:num>
  <w:num w:numId="25">
    <w:abstractNumId w:val="20"/>
  </w:num>
  <w:num w:numId="26">
    <w:abstractNumId w:val="23"/>
  </w:num>
  <w:num w:numId="27">
    <w:abstractNumId w:val="28"/>
  </w:num>
  <w:num w:numId="28">
    <w:abstractNumId w:val="21"/>
  </w:num>
  <w:num w:numId="29">
    <w:abstractNumId w:val="12"/>
  </w:num>
  <w:num w:numId="30">
    <w:abstractNumId w:val="16"/>
  </w:num>
  <w:num w:numId="31">
    <w:abstractNumId w:val="19"/>
  </w:num>
  <w:num w:numId="32">
    <w:abstractNumId w:val="32"/>
  </w:num>
  <w:num w:numId="33">
    <w:abstractNumId w:val="31"/>
    <w:lvlOverride w:ilvl="0">
      <w:startOverride w:val="1"/>
    </w:lvlOverride>
    <w:lvlOverride w:ilvl="1">
      <w:startOverride w:val="4"/>
    </w:lvlOverride>
  </w:num>
  <w:num w:numId="34">
    <w:abstractNumId w:val="31"/>
    <w:lvlOverride w:ilvl="0">
      <w:startOverride w:val="1"/>
    </w:lvlOverride>
    <w:lvlOverride w:ilvl="1">
      <w:startOverride w:val="5"/>
    </w:lvlOverride>
  </w:num>
  <w:num w:numId="35">
    <w:abstractNumId w:val="31"/>
    <w:lvlOverride w:ilvl="0">
      <w:startOverride w:val="1"/>
    </w:lvlOverride>
  </w:num>
  <w:num w:numId="36">
    <w:abstractNumId w:val="30"/>
  </w:num>
  <w:num w:numId="37">
    <w:abstractNumId w:val="15"/>
  </w:num>
  <w:num w:numId="38">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E4"/>
    <w:rsid w:val="00000161"/>
    <w:rsid w:val="00000B7E"/>
    <w:rsid w:val="000026C8"/>
    <w:rsid w:val="00002829"/>
    <w:rsid w:val="00002F95"/>
    <w:rsid w:val="000035EC"/>
    <w:rsid w:val="0000412C"/>
    <w:rsid w:val="000046AA"/>
    <w:rsid w:val="000057BA"/>
    <w:rsid w:val="00006BD3"/>
    <w:rsid w:val="000073AF"/>
    <w:rsid w:val="00012C25"/>
    <w:rsid w:val="00012F5D"/>
    <w:rsid w:val="00013133"/>
    <w:rsid w:val="0001449D"/>
    <w:rsid w:val="00014720"/>
    <w:rsid w:val="00014CF9"/>
    <w:rsid w:val="00014DFF"/>
    <w:rsid w:val="00014E6F"/>
    <w:rsid w:val="00014E74"/>
    <w:rsid w:val="00014F28"/>
    <w:rsid w:val="00015B6A"/>
    <w:rsid w:val="00016256"/>
    <w:rsid w:val="00016669"/>
    <w:rsid w:val="00017AB7"/>
    <w:rsid w:val="00020312"/>
    <w:rsid w:val="00020FC6"/>
    <w:rsid w:val="00022223"/>
    <w:rsid w:val="000236F2"/>
    <w:rsid w:val="00023F03"/>
    <w:rsid w:val="0002452E"/>
    <w:rsid w:val="00024807"/>
    <w:rsid w:val="00024A95"/>
    <w:rsid w:val="000252B0"/>
    <w:rsid w:val="00025819"/>
    <w:rsid w:val="00026314"/>
    <w:rsid w:val="00026E3E"/>
    <w:rsid w:val="000275BF"/>
    <w:rsid w:val="00030A2B"/>
    <w:rsid w:val="00030C2F"/>
    <w:rsid w:val="000311B5"/>
    <w:rsid w:val="00031928"/>
    <w:rsid w:val="00031C40"/>
    <w:rsid w:val="00031C7C"/>
    <w:rsid w:val="00031F66"/>
    <w:rsid w:val="00033441"/>
    <w:rsid w:val="00035921"/>
    <w:rsid w:val="00036906"/>
    <w:rsid w:val="00036E7E"/>
    <w:rsid w:val="00036FF5"/>
    <w:rsid w:val="0003763E"/>
    <w:rsid w:val="00040145"/>
    <w:rsid w:val="00040368"/>
    <w:rsid w:val="00040679"/>
    <w:rsid w:val="00040C08"/>
    <w:rsid w:val="00040D20"/>
    <w:rsid w:val="0004185C"/>
    <w:rsid w:val="00041DBF"/>
    <w:rsid w:val="00041F21"/>
    <w:rsid w:val="00042686"/>
    <w:rsid w:val="00042DAD"/>
    <w:rsid w:val="00043868"/>
    <w:rsid w:val="00046186"/>
    <w:rsid w:val="00046AAC"/>
    <w:rsid w:val="000470A9"/>
    <w:rsid w:val="000501CC"/>
    <w:rsid w:val="0005160B"/>
    <w:rsid w:val="00052044"/>
    <w:rsid w:val="00052BBF"/>
    <w:rsid w:val="00052C39"/>
    <w:rsid w:val="00053B43"/>
    <w:rsid w:val="00053C30"/>
    <w:rsid w:val="000552DF"/>
    <w:rsid w:val="0006006B"/>
    <w:rsid w:val="0006060F"/>
    <w:rsid w:val="0006065E"/>
    <w:rsid w:val="0006159E"/>
    <w:rsid w:val="00061CF6"/>
    <w:rsid w:val="00063B5B"/>
    <w:rsid w:val="00064BE4"/>
    <w:rsid w:val="000652AB"/>
    <w:rsid w:val="000661D1"/>
    <w:rsid w:val="00066B2B"/>
    <w:rsid w:val="00066BFE"/>
    <w:rsid w:val="00067508"/>
    <w:rsid w:val="000677F3"/>
    <w:rsid w:val="00067801"/>
    <w:rsid w:val="0006790F"/>
    <w:rsid w:val="00071E77"/>
    <w:rsid w:val="000725A5"/>
    <w:rsid w:val="00072625"/>
    <w:rsid w:val="00073538"/>
    <w:rsid w:val="000741E3"/>
    <w:rsid w:val="000748B9"/>
    <w:rsid w:val="000761F1"/>
    <w:rsid w:val="000769D0"/>
    <w:rsid w:val="00076BB1"/>
    <w:rsid w:val="00077D20"/>
    <w:rsid w:val="00080322"/>
    <w:rsid w:val="00080C0A"/>
    <w:rsid w:val="000818BD"/>
    <w:rsid w:val="00081D86"/>
    <w:rsid w:val="00082E6A"/>
    <w:rsid w:val="0008485A"/>
    <w:rsid w:val="000867A6"/>
    <w:rsid w:val="000871F5"/>
    <w:rsid w:val="00087D8A"/>
    <w:rsid w:val="0009077F"/>
    <w:rsid w:val="00090CBC"/>
    <w:rsid w:val="00091741"/>
    <w:rsid w:val="00091A04"/>
    <w:rsid w:val="00093963"/>
    <w:rsid w:val="000948E6"/>
    <w:rsid w:val="00094EAD"/>
    <w:rsid w:val="00097164"/>
    <w:rsid w:val="000971C7"/>
    <w:rsid w:val="000A09BD"/>
    <w:rsid w:val="000A0A31"/>
    <w:rsid w:val="000A23B9"/>
    <w:rsid w:val="000A3A42"/>
    <w:rsid w:val="000A40FD"/>
    <w:rsid w:val="000A4709"/>
    <w:rsid w:val="000A4951"/>
    <w:rsid w:val="000A4B14"/>
    <w:rsid w:val="000A500F"/>
    <w:rsid w:val="000A6C93"/>
    <w:rsid w:val="000A6FD6"/>
    <w:rsid w:val="000A76D5"/>
    <w:rsid w:val="000B0EB0"/>
    <w:rsid w:val="000B1427"/>
    <w:rsid w:val="000B2AD2"/>
    <w:rsid w:val="000B4C88"/>
    <w:rsid w:val="000B5043"/>
    <w:rsid w:val="000B5224"/>
    <w:rsid w:val="000B5D05"/>
    <w:rsid w:val="000B6E97"/>
    <w:rsid w:val="000B70F7"/>
    <w:rsid w:val="000C0325"/>
    <w:rsid w:val="000C24A0"/>
    <w:rsid w:val="000C2FAC"/>
    <w:rsid w:val="000C6D43"/>
    <w:rsid w:val="000C714D"/>
    <w:rsid w:val="000C7614"/>
    <w:rsid w:val="000D0BF6"/>
    <w:rsid w:val="000D1327"/>
    <w:rsid w:val="000D49DD"/>
    <w:rsid w:val="000D4E95"/>
    <w:rsid w:val="000D5B24"/>
    <w:rsid w:val="000D641F"/>
    <w:rsid w:val="000D78CE"/>
    <w:rsid w:val="000D7A2F"/>
    <w:rsid w:val="000E0BC5"/>
    <w:rsid w:val="000E1731"/>
    <w:rsid w:val="000E1CA5"/>
    <w:rsid w:val="000E2386"/>
    <w:rsid w:val="000E41DF"/>
    <w:rsid w:val="000E49AA"/>
    <w:rsid w:val="000E4D5C"/>
    <w:rsid w:val="000E5F1A"/>
    <w:rsid w:val="000E666D"/>
    <w:rsid w:val="000F101E"/>
    <w:rsid w:val="000F1206"/>
    <w:rsid w:val="000F146E"/>
    <w:rsid w:val="000F2E62"/>
    <w:rsid w:val="000F32A9"/>
    <w:rsid w:val="000F34CD"/>
    <w:rsid w:val="000F3806"/>
    <w:rsid w:val="000F3823"/>
    <w:rsid w:val="000F3D01"/>
    <w:rsid w:val="000F3DA6"/>
    <w:rsid w:val="000F46DB"/>
    <w:rsid w:val="000F46DF"/>
    <w:rsid w:val="000F52FF"/>
    <w:rsid w:val="000F58C8"/>
    <w:rsid w:val="000F77F0"/>
    <w:rsid w:val="000F7AC6"/>
    <w:rsid w:val="000F7FF7"/>
    <w:rsid w:val="00100875"/>
    <w:rsid w:val="00101A79"/>
    <w:rsid w:val="00101E5E"/>
    <w:rsid w:val="0010360E"/>
    <w:rsid w:val="001064DA"/>
    <w:rsid w:val="001101F5"/>
    <w:rsid w:val="00110A7A"/>
    <w:rsid w:val="00110BC1"/>
    <w:rsid w:val="00111341"/>
    <w:rsid w:val="001115C3"/>
    <w:rsid w:val="00111DF5"/>
    <w:rsid w:val="00112164"/>
    <w:rsid w:val="001123BC"/>
    <w:rsid w:val="00112507"/>
    <w:rsid w:val="00112CEE"/>
    <w:rsid w:val="00113917"/>
    <w:rsid w:val="00113F4A"/>
    <w:rsid w:val="00113F76"/>
    <w:rsid w:val="001140B4"/>
    <w:rsid w:val="00114C60"/>
    <w:rsid w:val="001152C1"/>
    <w:rsid w:val="0011539E"/>
    <w:rsid w:val="00115478"/>
    <w:rsid w:val="0011588C"/>
    <w:rsid w:val="00115919"/>
    <w:rsid w:val="00115D8F"/>
    <w:rsid w:val="0012048A"/>
    <w:rsid w:val="001209FC"/>
    <w:rsid w:val="00120D74"/>
    <w:rsid w:val="00121274"/>
    <w:rsid w:val="001226C9"/>
    <w:rsid w:val="001237F7"/>
    <w:rsid w:val="00126936"/>
    <w:rsid w:val="00127890"/>
    <w:rsid w:val="00132E04"/>
    <w:rsid w:val="00132E44"/>
    <w:rsid w:val="00132FCA"/>
    <w:rsid w:val="0013322C"/>
    <w:rsid w:val="00133825"/>
    <w:rsid w:val="001341A7"/>
    <w:rsid w:val="00134B8A"/>
    <w:rsid w:val="00134C0C"/>
    <w:rsid w:val="00134C99"/>
    <w:rsid w:val="00134CE3"/>
    <w:rsid w:val="001351A2"/>
    <w:rsid w:val="001368C1"/>
    <w:rsid w:val="001377F1"/>
    <w:rsid w:val="001379E1"/>
    <w:rsid w:val="00140201"/>
    <w:rsid w:val="0014065E"/>
    <w:rsid w:val="00140DFE"/>
    <w:rsid w:val="00142233"/>
    <w:rsid w:val="001422E1"/>
    <w:rsid w:val="00142642"/>
    <w:rsid w:val="001428CE"/>
    <w:rsid w:val="00142A38"/>
    <w:rsid w:val="00142E65"/>
    <w:rsid w:val="00143B29"/>
    <w:rsid w:val="001456F6"/>
    <w:rsid w:val="00145954"/>
    <w:rsid w:val="001459BF"/>
    <w:rsid w:val="001469B6"/>
    <w:rsid w:val="00150102"/>
    <w:rsid w:val="00150F96"/>
    <w:rsid w:val="00151682"/>
    <w:rsid w:val="00151B1C"/>
    <w:rsid w:val="00151E14"/>
    <w:rsid w:val="001526D0"/>
    <w:rsid w:val="00153FA0"/>
    <w:rsid w:val="00155839"/>
    <w:rsid w:val="00156053"/>
    <w:rsid w:val="0015679E"/>
    <w:rsid w:val="00157186"/>
    <w:rsid w:val="00157766"/>
    <w:rsid w:val="00157A72"/>
    <w:rsid w:val="00157EC5"/>
    <w:rsid w:val="00163959"/>
    <w:rsid w:val="00163C11"/>
    <w:rsid w:val="0016472D"/>
    <w:rsid w:val="00166FB5"/>
    <w:rsid w:val="00167291"/>
    <w:rsid w:val="001705FA"/>
    <w:rsid w:val="0017074A"/>
    <w:rsid w:val="00170829"/>
    <w:rsid w:val="00170854"/>
    <w:rsid w:val="00170BD4"/>
    <w:rsid w:val="0017142F"/>
    <w:rsid w:val="00171F1D"/>
    <w:rsid w:val="00172503"/>
    <w:rsid w:val="001731D1"/>
    <w:rsid w:val="0017322E"/>
    <w:rsid w:val="001734E1"/>
    <w:rsid w:val="00173B50"/>
    <w:rsid w:val="0017560C"/>
    <w:rsid w:val="00175794"/>
    <w:rsid w:val="00175CC4"/>
    <w:rsid w:val="0017663A"/>
    <w:rsid w:val="00176B17"/>
    <w:rsid w:val="001779F6"/>
    <w:rsid w:val="0018004C"/>
    <w:rsid w:val="001810D6"/>
    <w:rsid w:val="001820DD"/>
    <w:rsid w:val="00182735"/>
    <w:rsid w:val="001827F4"/>
    <w:rsid w:val="0018296C"/>
    <w:rsid w:val="00182C66"/>
    <w:rsid w:val="00182E9E"/>
    <w:rsid w:val="00182EBB"/>
    <w:rsid w:val="00182F2F"/>
    <w:rsid w:val="00183AC2"/>
    <w:rsid w:val="001848AC"/>
    <w:rsid w:val="00185179"/>
    <w:rsid w:val="00185241"/>
    <w:rsid w:val="00185BC3"/>
    <w:rsid w:val="00186AD7"/>
    <w:rsid w:val="00186AE3"/>
    <w:rsid w:val="00186CD6"/>
    <w:rsid w:val="001873A6"/>
    <w:rsid w:val="00187F09"/>
    <w:rsid w:val="00190A9C"/>
    <w:rsid w:val="001912C3"/>
    <w:rsid w:val="00192C0A"/>
    <w:rsid w:val="0019506F"/>
    <w:rsid w:val="00195549"/>
    <w:rsid w:val="00196F08"/>
    <w:rsid w:val="001A08D2"/>
    <w:rsid w:val="001A097F"/>
    <w:rsid w:val="001A0B60"/>
    <w:rsid w:val="001A0E0C"/>
    <w:rsid w:val="001A1693"/>
    <w:rsid w:val="001A20F3"/>
    <w:rsid w:val="001A2330"/>
    <w:rsid w:val="001A260C"/>
    <w:rsid w:val="001A3241"/>
    <w:rsid w:val="001A3F23"/>
    <w:rsid w:val="001A5452"/>
    <w:rsid w:val="001A56D4"/>
    <w:rsid w:val="001A594C"/>
    <w:rsid w:val="001A5FBB"/>
    <w:rsid w:val="001A654F"/>
    <w:rsid w:val="001A658E"/>
    <w:rsid w:val="001B03BC"/>
    <w:rsid w:val="001B0E44"/>
    <w:rsid w:val="001B1C66"/>
    <w:rsid w:val="001B42B4"/>
    <w:rsid w:val="001B4B7D"/>
    <w:rsid w:val="001B55AD"/>
    <w:rsid w:val="001B5C38"/>
    <w:rsid w:val="001B6467"/>
    <w:rsid w:val="001C09D8"/>
    <w:rsid w:val="001C0E42"/>
    <w:rsid w:val="001C1235"/>
    <w:rsid w:val="001C20A7"/>
    <w:rsid w:val="001C50D0"/>
    <w:rsid w:val="001C58B5"/>
    <w:rsid w:val="001C64E2"/>
    <w:rsid w:val="001C6BC8"/>
    <w:rsid w:val="001C789F"/>
    <w:rsid w:val="001D0E9E"/>
    <w:rsid w:val="001D1F2C"/>
    <w:rsid w:val="001D437C"/>
    <w:rsid w:val="001D4664"/>
    <w:rsid w:val="001D4B16"/>
    <w:rsid w:val="001D5704"/>
    <w:rsid w:val="001D5DCE"/>
    <w:rsid w:val="001D6B8A"/>
    <w:rsid w:val="001D6E87"/>
    <w:rsid w:val="001D7AFC"/>
    <w:rsid w:val="001E097B"/>
    <w:rsid w:val="001E0F2A"/>
    <w:rsid w:val="001E1C9C"/>
    <w:rsid w:val="001E354A"/>
    <w:rsid w:val="001E5968"/>
    <w:rsid w:val="001E609E"/>
    <w:rsid w:val="001E6353"/>
    <w:rsid w:val="001E7FCE"/>
    <w:rsid w:val="001F03EC"/>
    <w:rsid w:val="001F0644"/>
    <w:rsid w:val="001F09F5"/>
    <w:rsid w:val="001F1554"/>
    <w:rsid w:val="001F18BA"/>
    <w:rsid w:val="001F1BAC"/>
    <w:rsid w:val="001F1D5C"/>
    <w:rsid w:val="001F2183"/>
    <w:rsid w:val="001F238E"/>
    <w:rsid w:val="001F26D1"/>
    <w:rsid w:val="001F273B"/>
    <w:rsid w:val="001F2E42"/>
    <w:rsid w:val="001F339C"/>
    <w:rsid w:val="001F4E4B"/>
    <w:rsid w:val="001F5449"/>
    <w:rsid w:val="001F5B40"/>
    <w:rsid w:val="001F5E3A"/>
    <w:rsid w:val="001F5EFD"/>
    <w:rsid w:val="001F6452"/>
    <w:rsid w:val="0020225E"/>
    <w:rsid w:val="00202359"/>
    <w:rsid w:val="00202DDA"/>
    <w:rsid w:val="00203115"/>
    <w:rsid w:val="00203AE5"/>
    <w:rsid w:val="00205119"/>
    <w:rsid w:val="00205725"/>
    <w:rsid w:val="00205C6D"/>
    <w:rsid w:val="00205D28"/>
    <w:rsid w:val="002078C9"/>
    <w:rsid w:val="00207D92"/>
    <w:rsid w:val="002101E7"/>
    <w:rsid w:val="00211A35"/>
    <w:rsid w:val="00212B93"/>
    <w:rsid w:val="00212F48"/>
    <w:rsid w:val="00214DCE"/>
    <w:rsid w:val="002178EA"/>
    <w:rsid w:val="00217CED"/>
    <w:rsid w:val="00220C1D"/>
    <w:rsid w:val="002215D7"/>
    <w:rsid w:val="002219F3"/>
    <w:rsid w:val="00226C3C"/>
    <w:rsid w:val="00230869"/>
    <w:rsid w:val="00230A9C"/>
    <w:rsid w:val="002319BA"/>
    <w:rsid w:val="002336E6"/>
    <w:rsid w:val="0023397D"/>
    <w:rsid w:val="00233CA0"/>
    <w:rsid w:val="002353A3"/>
    <w:rsid w:val="00235595"/>
    <w:rsid w:val="00235B14"/>
    <w:rsid w:val="00236158"/>
    <w:rsid w:val="002369FC"/>
    <w:rsid w:val="002375DF"/>
    <w:rsid w:val="00241DC7"/>
    <w:rsid w:val="00242676"/>
    <w:rsid w:val="00242DFD"/>
    <w:rsid w:val="00243376"/>
    <w:rsid w:val="002441C8"/>
    <w:rsid w:val="00244BEC"/>
    <w:rsid w:val="00245617"/>
    <w:rsid w:val="00246ADC"/>
    <w:rsid w:val="00246D9D"/>
    <w:rsid w:val="0024728C"/>
    <w:rsid w:val="002476DD"/>
    <w:rsid w:val="002478FD"/>
    <w:rsid w:val="00247923"/>
    <w:rsid w:val="00250D7E"/>
    <w:rsid w:val="00251198"/>
    <w:rsid w:val="002526B5"/>
    <w:rsid w:val="002531BA"/>
    <w:rsid w:val="00253599"/>
    <w:rsid w:val="00254CA8"/>
    <w:rsid w:val="00255AE4"/>
    <w:rsid w:val="00257D7F"/>
    <w:rsid w:val="00260082"/>
    <w:rsid w:val="002601E6"/>
    <w:rsid w:val="00260EBA"/>
    <w:rsid w:val="00261094"/>
    <w:rsid w:val="00261CCD"/>
    <w:rsid w:val="002629CB"/>
    <w:rsid w:val="002634DD"/>
    <w:rsid w:val="00263577"/>
    <w:rsid w:val="00263C7C"/>
    <w:rsid w:val="00264581"/>
    <w:rsid w:val="002656AD"/>
    <w:rsid w:val="00267F1A"/>
    <w:rsid w:val="00270159"/>
    <w:rsid w:val="00271471"/>
    <w:rsid w:val="00272D7F"/>
    <w:rsid w:val="0027337F"/>
    <w:rsid w:val="0027395C"/>
    <w:rsid w:val="00273BFD"/>
    <w:rsid w:val="00273C0B"/>
    <w:rsid w:val="00273D7A"/>
    <w:rsid w:val="00275DD1"/>
    <w:rsid w:val="002814C9"/>
    <w:rsid w:val="00281938"/>
    <w:rsid w:val="00281DC3"/>
    <w:rsid w:val="0028237B"/>
    <w:rsid w:val="00282664"/>
    <w:rsid w:val="00283990"/>
    <w:rsid w:val="00290150"/>
    <w:rsid w:val="002913A2"/>
    <w:rsid w:val="00291FEF"/>
    <w:rsid w:val="002928DF"/>
    <w:rsid w:val="00292F3D"/>
    <w:rsid w:val="00294408"/>
    <w:rsid w:val="00294706"/>
    <w:rsid w:val="00295916"/>
    <w:rsid w:val="00295969"/>
    <w:rsid w:val="00295AFA"/>
    <w:rsid w:val="00296390"/>
    <w:rsid w:val="00296717"/>
    <w:rsid w:val="00296A34"/>
    <w:rsid w:val="00296A7A"/>
    <w:rsid w:val="00297D66"/>
    <w:rsid w:val="002A072D"/>
    <w:rsid w:val="002A0995"/>
    <w:rsid w:val="002A1B50"/>
    <w:rsid w:val="002A1BC8"/>
    <w:rsid w:val="002A1BE6"/>
    <w:rsid w:val="002A21B6"/>
    <w:rsid w:val="002A2252"/>
    <w:rsid w:val="002A23B6"/>
    <w:rsid w:val="002A2489"/>
    <w:rsid w:val="002A2864"/>
    <w:rsid w:val="002A3270"/>
    <w:rsid w:val="002A4610"/>
    <w:rsid w:val="002A4F74"/>
    <w:rsid w:val="002A5E44"/>
    <w:rsid w:val="002B06A1"/>
    <w:rsid w:val="002B0E1E"/>
    <w:rsid w:val="002B0F89"/>
    <w:rsid w:val="002B1475"/>
    <w:rsid w:val="002B1F46"/>
    <w:rsid w:val="002B217A"/>
    <w:rsid w:val="002B307F"/>
    <w:rsid w:val="002B3156"/>
    <w:rsid w:val="002B3458"/>
    <w:rsid w:val="002B3F4C"/>
    <w:rsid w:val="002B5052"/>
    <w:rsid w:val="002B529C"/>
    <w:rsid w:val="002B5FBE"/>
    <w:rsid w:val="002B6AB0"/>
    <w:rsid w:val="002B6D3D"/>
    <w:rsid w:val="002B73B5"/>
    <w:rsid w:val="002B7BBC"/>
    <w:rsid w:val="002C006E"/>
    <w:rsid w:val="002C0076"/>
    <w:rsid w:val="002C27E2"/>
    <w:rsid w:val="002C2A2A"/>
    <w:rsid w:val="002C3511"/>
    <w:rsid w:val="002C3CE4"/>
    <w:rsid w:val="002C3D2B"/>
    <w:rsid w:val="002C3E86"/>
    <w:rsid w:val="002C42A8"/>
    <w:rsid w:val="002C577F"/>
    <w:rsid w:val="002C61E8"/>
    <w:rsid w:val="002C7863"/>
    <w:rsid w:val="002C7E6D"/>
    <w:rsid w:val="002D01EF"/>
    <w:rsid w:val="002D19D8"/>
    <w:rsid w:val="002D2192"/>
    <w:rsid w:val="002D27E2"/>
    <w:rsid w:val="002D3FDA"/>
    <w:rsid w:val="002D64B5"/>
    <w:rsid w:val="002D68A1"/>
    <w:rsid w:val="002E00A4"/>
    <w:rsid w:val="002E01A0"/>
    <w:rsid w:val="002E1891"/>
    <w:rsid w:val="002E22A3"/>
    <w:rsid w:val="002E2FC2"/>
    <w:rsid w:val="002E3AE4"/>
    <w:rsid w:val="002E3E2B"/>
    <w:rsid w:val="002E45DC"/>
    <w:rsid w:val="002E5B88"/>
    <w:rsid w:val="002E66BC"/>
    <w:rsid w:val="002E6767"/>
    <w:rsid w:val="002E756F"/>
    <w:rsid w:val="002E7FB5"/>
    <w:rsid w:val="002F1C00"/>
    <w:rsid w:val="002F21E7"/>
    <w:rsid w:val="002F45DB"/>
    <w:rsid w:val="002F46FC"/>
    <w:rsid w:val="002F5B8F"/>
    <w:rsid w:val="002F7226"/>
    <w:rsid w:val="003014AE"/>
    <w:rsid w:val="003014D5"/>
    <w:rsid w:val="00301E7D"/>
    <w:rsid w:val="00302CAB"/>
    <w:rsid w:val="00303E91"/>
    <w:rsid w:val="003050C4"/>
    <w:rsid w:val="003067DE"/>
    <w:rsid w:val="0030686F"/>
    <w:rsid w:val="00306A70"/>
    <w:rsid w:val="00306C6E"/>
    <w:rsid w:val="003075A4"/>
    <w:rsid w:val="00307E94"/>
    <w:rsid w:val="003107AB"/>
    <w:rsid w:val="00310DB5"/>
    <w:rsid w:val="00311234"/>
    <w:rsid w:val="003114E1"/>
    <w:rsid w:val="00311B00"/>
    <w:rsid w:val="00311E9F"/>
    <w:rsid w:val="003126C7"/>
    <w:rsid w:val="00312740"/>
    <w:rsid w:val="0031520D"/>
    <w:rsid w:val="00315639"/>
    <w:rsid w:val="00317CA4"/>
    <w:rsid w:val="003204CC"/>
    <w:rsid w:val="00320877"/>
    <w:rsid w:val="00321018"/>
    <w:rsid w:val="00322676"/>
    <w:rsid w:val="00322D32"/>
    <w:rsid w:val="0032327F"/>
    <w:rsid w:val="00323381"/>
    <w:rsid w:val="003238EB"/>
    <w:rsid w:val="00323C3F"/>
    <w:rsid w:val="0032427F"/>
    <w:rsid w:val="00324FE9"/>
    <w:rsid w:val="003256A1"/>
    <w:rsid w:val="003257DA"/>
    <w:rsid w:val="00325FDE"/>
    <w:rsid w:val="00326A15"/>
    <w:rsid w:val="00326BAA"/>
    <w:rsid w:val="00327611"/>
    <w:rsid w:val="00330091"/>
    <w:rsid w:val="00330DF3"/>
    <w:rsid w:val="00333755"/>
    <w:rsid w:val="00333F5A"/>
    <w:rsid w:val="00336544"/>
    <w:rsid w:val="00340124"/>
    <w:rsid w:val="0034064E"/>
    <w:rsid w:val="00340E49"/>
    <w:rsid w:val="00341021"/>
    <w:rsid w:val="00343EC2"/>
    <w:rsid w:val="00343F65"/>
    <w:rsid w:val="00344039"/>
    <w:rsid w:val="003449C1"/>
    <w:rsid w:val="0034517A"/>
    <w:rsid w:val="00345A6B"/>
    <w:rsid w:val="00345EA7"/>
    <w:rsid w:val="003460C5"/>
    <w:rsid w:val="00346951"/>
    <w:rsid w:val="00346F78"/>
    <w:rsid w:val="003474E9"/>
    <w:rsid w:val="00350013"/>
    <w:rsid w:val="003500A7"/>
    <w:rsid w:val="00350D15"/>
    <w:rsid w:val="00351936"/>
    <w:rsid w:val="00351E2B"/>
    <w:rsid w:val="00352CBD"/>
    <w:rsid w:val="00355DCF"/>
    <w:rsid w:val="003564B0"/>
    <w:rsid w:val="003566F8"/>
    <w:rsid w:val="003574E4"/>
    <w:rsid w:val="00357A4E"/>
    <w:rsid w:val="00357B2B"/>
    <w:rsid w:val="00360531"/>
    <w:rsid w:val="003607FE"/>
    <w:rsid w:val="00360FB2"/>
    <w:rsid w:val="00361107"/>
    <w:rsid w:val="003615DF"/>
    <w:rsid w:val="00361C40"/>
    <w:rsid w:val="00362188"/>
    <w:rsid w:val="00363978"/>
    <w:rsid w:val="00363DD9"/>
    <w:rsid w:val="00363E49"/>
    <w:rsid w:val="00365E36"/>
    <w:rsid w:val="00367593"/>
    <w:rsid w:val="003711FE"/>
    <w:rsid w:val="00371385"/>
    <w:rsid w:val="003715BC"/>
    <w:rsid w:val="003719E6"/>
    <w:rsid w:val="00372B7F"/>
    <w:rsid w:val="0037383F"/>
    <w:rsid w:val="00374A63"/>
    <w:rsid w:val="00374CDC"/>
    <w:rsid w:val="00374E8A"/>
    <w:rsid w:val="00375BF3"/>
    <w:rsid w:val="00375C4A"/>
    <w:rsid w:val="00376489"/>
    <w:rsid w:val="0037684D"/>
    <w:rsid w:val="00376BCD"/>
    <w:rsid w:val="00377918"/>
    <w:rsid w:val="00381F23"/>
    <w:rsid w:val="003834DC"/>
    <w:rsid w:val="00385042"/>
    <w:rsid w:val="0038542F"/>
    <w:rsid w:val="003861D5"/>
    <w:rsid w:val="00386405"/>
    <w:rsid w:val="00386974"/>
    <w:rsid w:val="00387AD4"/>
    <w:rsid w:val="00393089"/>
    <w:rsid w:val="003938FB"/>
    <w:rsid w:val="00393DA7"/>
    <w:rsid w:val="00394710"/>
    <w:rsid w:val="0039504A"/>
    <w:rsid w:val="0039654B"/>
    <w:rsid w:val="00396BF5"/>
    <w:rsid w:val="00397700"/>
    <w:rsid w:val="003A0C11"/>
    <w:rsid w:val="003A1019"/>
    <w:rsid w:val="003A3DBD"/>
    <w:rsid w:val="003A4520"/>
    <w:rsid w:val="003A4575"/>
    <w:rsid w:val="003A4708"/>
    <w:rsid w:val="003A485B"/>
    <w:rsid w:val="003A4EA8"/>
    <w:rsid w:val="003A5E6E"/>
    <w:rsid w:val="003A631E"/>
    <w:rsid w:val="003A74BD"/>
    <w:rsid w:val="003A76A8"/>
    <w:rsid w:val="003B078B"/>
    <w:rsid w:val="003B0F5D"/>
    <w:rsid w:val="003B17C8"/>
    <w:rsid w:val="003B295C"/>
    <w:rsid w:val="003B2A67"/>
    <w:rsid w:val="003B2C92"/>
    <w:rsid w:val="003B2EF4"/>
    <w:rsid w:val="003B2F37"/>
    <w:rsid w:val="003B5245"/>
    <w:rsid w:val="003B612F"/>
    <w:rsid w:val="003B6449"/>
    <w:rsid w:val="003C00A9"/>
    <w:rsid w:val="003C09CC"/>
    <w:rsid w:val="003C24FD"/>
    <w:rsid w:val="003C3E80"/>
    <w:rsid w:val="003C732C"/>
    <w:rsid w:val="003C77A0"/>
    <w:rsid w:val="003C79C4"/>
    <w:rsid w:val="003C7EB1"/>
    <w:rsid w:val="003D098B"/>
    <w:rsid w:val="003D0D31"/>
    <w:rsid w:val="003D2B10"/>
    <w:rsid w:val="003D3A47"/>
    <w:rsid w:val="003D5DD4"/>
    <w:rsid w:val="003D6203"/>
    <w:rsid w:val="003E039C"/>
    <w:rsid w:val="003E0723"/>
    <w:rsid w:val="003E0827"/>
    <w:rsid w:val="003E0ACA"/>
    <w:rsid w:val="003E10C3"/>
    <w:rsid w:val="003E15EC"/>
    <w:rsid w:val="003E1E40"/>
    <w:rsid w:val="003E239A"/>
    <w:rsid w:val="003E25F3"/>
    <w:rsid w:val="003E2BDD"/>
    <w:rsid w:val="003E341E"/>
    <w:rsid w:val="003E37C1"/>
    <w:rsid w:val="003E4EF4"/>
    <w:rsid w:val="003E5C2A"/>
    <w:rsid w:val="003E6179"/>
    <w:rsid w:val="003E67AF"/>
    <w:rsid w:val="003E6ED8"/>
    <w:rsid w:val="003F0C8B"/>
    <w:rsid w:val="003F2E5B"/>
    <w:rsid w:val="003F4E45"/>
    <w:rsid w:val="003F6FE5"/>
    <w:rsid w:val="00401455"/>
    <w:rsid w:val="00402DA1"/>
    <w:rsid w:val="00402E7B"/>
    <w:rsid w:val="00403684"/>
    <w:rsid w:val="00403784"/>
    <w:rsid w:val="00404CCB"/>
    <w:rsid w:val="0040515C"/>
    <w:rsid w:val="00405F2C"/>
    <w:rsid w:val="004071F8"/>
    <w:rsid w:val="00410471"/>
    <w:rsid w:val="004104B2"/>
    <w:rsid w:val="00410F36"/>
    <w:rsid w:val="004114E7"/>
    <w:rsid w:val="00411796"/>
    <w:rsid w:val="00413728"/>
    <w:rsid w:val="0041414A"/>
    <w:rsid w:val="004142D5"/>
    <w:rsid w:val="00415DB3"/>
    <w:rsid w:val="004164B8"/>
    <w:rsid w:val="004166DE"/>
    <w:rsid w:val="0041714B"/>
    <w:rsid w:val="0041764F"/>
    <w:rsid w:val="00420CFD"/>
    <w:rsid w:val="00420D03"/>
    <w:rsid w:val="00422368"/>
    <w:rsid w:val="0042383E"/>
    <w:rsid w:val="00424BED"/>
    <w:rsid w:val="00424F51"/>
    <w:rsid w:val="004252D3"/>
    <w:rsid w:val="0042707F"/>
    <w:rsid w:val="00427224"/>
    <w:rsid w:val="00427976"/>
    <w:rsid w:val="004306B0"/>
    <w:rsid w:val="004310D3"/>
    <w:rsid w:val="00431CA0"/>
    <w:rsid w:val="00431DCF"/>
    <w:rsid w:val="004332BC"/>
    <w:rsid w:val="00433373"/>
    <w:rsid w:val="00433FB2"/>
    <w:rsid w:val="00434F2E"/>
    <w:rsid w:val="00436109"/>
    <w:rsid w:val="00436268"/>
    <w:rsid w:val="00436D0D"/>
    <w:rsid w:val="004374EA"/>
    <w:rsid w:val="00437FFD"/>
    <w:rsid w:val="00440AB6"/>
    <w:rsid w:val="00441A0C"/>
    <w:rsid w:val="00441F0D"/>
    <w:rsid w:val="004426C0"/>
    <w:rsid w:val="00442EEB"/>
    <w:rsid w:val="004430D9"/>
    <w:rsid w:val="004432CB"/>
    <w:rsid w:val="004441B9"/>
    <w:rsid w:val="004441D4"/>
    <w:rsid w:val="00444619"/>
    <w:rsid w:val="00446325"/>
    <w:rsid w:val="00446339"/>
    <w:rsid w:val="004472A1"/>
    <w:rsid w:val="00447F5F"/>
    <w:rsid w:val="004507D8"/>
    <w:rsid w:val="0045127B"/>
    <w:rsid w:val="004530CB"/>
    <w:rsid w:val="00453B73"/>
    <w:rsid w:val="00453D5B"/>
    <w:rsid w:val="004540F8"/>
    <w:rsid w:val="004541A6"/>
    <w:rsid w:val="0045445B"/>
    <w:rsid w:val="00454F90"/>
    <w:rsid w:val="00455DD9"/>
    <w:rsid w:val="004569C4"/>
    <w:rsid w:val="00457269"/>
    <w:rsid w:val="00457498"/>
    <w:rsid w:val="004577E1"/>
    <w:rsid w:val="0046049E"/>
    <w:rsid w:val="00461B8D"/>
    <w:rsid w:val="00461CE5"/>
    <w:rsid w:val="004630B4"/>
    <w:rsid w:val="00463126"/>
    <w:rsid w:val="00463902"/>
    <w:rsid w:val="00463BFD"/>
    <w:rsid w:val="00463D28"/>
    <w:rsid w:val="00464CEA"/>
    <w:rsid w:val="00465271"/>
    <w:rsid w:val="00465320"/>
    <w:rsid w:val="0046592F"/>
    <w:rsid w:val="004659E0"/>
    <w:rsid w:val="00465A88"/>
    <w:rsid w:val="00465EC9"/>
    <w:rsid w:val="00470363"/>
    <w:rsid w:val="004703CC"/>
    <w:rsid w:val="004707D1"/>
    <w:rsid w:val="00470B80"/>
    <w:rsid w:val="0047112F"/>
    <w:rsid w:val="00471326"/>
    <w:rsid w:val="00472B5B"/>
    <w:rsid w:val="00472E90"/>
    <w:rsid w:val="0047331E"/>
    <w:rsid w:val="00473696"/>
    <w:rsid w:val="00473F26"/>
    <w:rsid w:val="00474AC8"/>
    <w:rsid w:val="00475B6E"/>
    <w:rsid w:val="0047727C"/>
    <w:rsid w:val="0047777D"/>
    <w:rsid w:val="004800BC"/>
    <w:rsid w:val="004805EC"/>
    <w:rsid w:val="004814FA"/>
    <w:rsid w:val="0048181A"/>
    <w:rsid w:val="00481D5D"/>
    <w:rsid w:val="00482B7E"/>
    <w:rsid w:val="00482C1F"/>
    <w:rsid w:val="00482F1F"/>
    <w:rsid w:val="00487913"/>
    <w:rsid w:val="00487E07"/>
    <w:rsid w:val="004905CD"/>
    <w:rsid w:val="00490B8A"/>
    <w:rsid w:val="00490DDD"/>
    <w:rsid w:val="0049114B"/>
    <w:rsid w:val="004912BA"/>
    <w:rsid w:val="00491904"/>
    <w:rsid w:val="00491C35"/>
    <w:rsid w:val="00491F99"/>
    <w:rsid w:val="004925E2"/>
    <w:rsid w:val="004929F0"/>
    <w:rsid w:val="00493406"/>
    <w:rsid w:val="00493787"/>
    <w:rsid w:val="00493FC2"/>
    <w:rsid w:val="004951FB"/>
    <w:rsid w:val="0049537C"/>
    <w:rsid w:val="004960ED"/>
    <w:rsid w:val="00496146"/>
    <w:rsid w:val="00497404"/>
    <w:rsid w:val="004A01F7"/>
    <w:rsid w:val="004A0505"/>
    <w:rsid w:val="004A056D"/>
    <w:rsid w:val="004A05EF"/>
    <w:rsid w:val="004A11B3"/>
    <w:rsid w:val="004A140B"/>
    <w:rsid w:val="004A3313"/>
    <w:rsid w:val="004A342D"/>
    <w:rsid w:val="004A355B"/>
    <w:rsid w:val="004A3780"/>
    <w:rsid w:val="004A3870"/>
    <w:rsid w:val="004A449A"/>
    <w:rsid w:val="004A550F"/>
    <w:rsid w:val="004A62D5"/>
    <w:rsid w:val="004A716C"/>
    <w:rsid w:val="004A7AA8"/>
    <w:rsid w:val="004A7CD4"/>
    <w:rsid w:val="004A7CEE"/>
    <w:rsid w:val="004A7E65"/>
    <w:rsid w:val="004B0175"/>
    <w:rsid w:val="004B0928"/>
    <w:rsid w:val="004B12D6"/>
    <w:rsid w:val="004B1B3D"/>
    <w:rsid w:val="004B284D"/>
    <w:rsid w:val="004B29C3"/>
    <w:rsid w:val="004B45C2"/>
    <w:rsid w:val="004B4D65"/>
    <w:rsid w:val="004B5A4E"/>
    <w:rsid w:val="004B6DED"/>
    <w:rsid w:val="004B77B2"/>
    <w:rsid w:val="004C043D"/>
    <w:rsid w:val="004C0901"/>
    <w:rsid w:val="004C0E76"/>
    <w:rsid w:val="004C0F8F"/>
    <w:rsid w:val="004C1C46"/>
    <w:rsid w:val="004C1D95"/>
    <w:rsid w:val="004C2091"/>
    <w:rsid w:val="004C3158"/>
    <w:rsid w:val="004C3555"/>
    <w:rsid w:val="004C361C"/>
    <w:rsid w:val="004C39AD"/>
    <w:rsid w:val="004C47F1"/>
    <w:rsid w:val="004C4B83"/>
    <w:rsid w:val="004C5497"/>
    <w:rsid w:val="004C571E"/>
    <w:rsid w:val="004C5982"/>
    <w:rsid w:val="004C5BDD"/>
    <w:rsid w:val="004C6554"/>
    <w:rsid w:val="004C6C6C"/>
    <w:rsid w:val="004C79B5"/>
    <w:rsid w:val="004C7BED"/>
    <w:rsid w:val="004D06B8"/>
    <w:rsid w:val="004D092C"/>
    <w:rsid w:val="004D0E9C"/>
    <w:rsid w:val="004D136E"/>
    <w:rsid w:val="004D18CC"/>
    <w:rsid w:val="004D2425"/>
    <w:rsid w:val="004D2C03"/>
    <w:rsid w:val="004D3CC0"/>
    <w:rsid w:val="004E0497"/>
    <w:rsid w:val="004E0878"/>
    <w:rsid w:val="004E1307"/>
    <w:rsid w:val="004E1D19"/>
    <w:rsid w:val="004E2084"/>
    <w:rsid w:val="004E2987"/>
    <w:rsid w:val="004E310F"/>
    <w:rsid w:val="004E4C1E"/>
    <w:rsid w:val="004E4C66"/>
    <w:rsid w:val="004E5163"/>
    <w:rsid w:val="004E5ADC"/>
    <w:rsid w:val="004E761B"/>
    <w:rsid w:val="004E77FF"/>
    <w:rsid w:val="004F07E9"/>
    <w:rsid w:val="004F4C39"/>
    <w:rsid w:val="004F605B"/>
    <w:rsid w:val="004F621A"/>
    <w:rsid w:val="004F640E"/>
    <w:rsid w:val="004F6937"/>
    <w:rsid w:val="004F6AC4"/>
    <w:rsid w:val="004F75E8"/>
    <w:rsid w:val="004F7DE7"/>
    <w:rsid w:val="00500CF6"/>
    <w:rsid w:val="00502EBA"/>
    <w:rsid w:val="00504398"/>
    <w:rsid w:val="00504BD8"/>
    <w:rsid w:val="0050515D"/>
    <w:rsid w:val="00505D15"/>
    <w:rsid w:val="00506CBF"/>
    <w:rsid w:val="00506EF2"/>
    <w:rsid w:val="00510B14"/>
    <w:rsid w:val="00510CBA"/>
    <w:rsid w:val="00512A1A"/>
    <w:rsid w:val="00512A7F"/>
    <w:rsid w:val="00513EEF"/>
    <w:rsid w:val="00514783"/>
    <w:rsid w:val="00514C74"/>
    <w:rsid w:val="00515CB6"/>
    <w:rsid w:val="00516051"/>
    <w:rsid w:val="005165DA"/>
    <w:rsid w:val="0051698D"/>
    <w:rsid w:val="00516EC9"/>
    <w:rsid w:val="00517B09"/>
    <w:rsid w:val="00520959"/>
    <w:rsid w:val="00524431"/>
    <w:rsid w:val="00524E71"/>
    <w:rsid w:val="005252B6"/>
    <w:rsid w:val="005255EB"/>
    <w:rsid w:val="00525919"/>
    <w:rsid w:val="005274C9"/>
    <w:rsid w:val="00527AB0"/>
    <w:rsid w:val="00530B37"/>
    <w:rsid w:val="00532AA8"/>
    <w:rsid w:val="005344C9"/>
    <w:rsid w:val="00535355"/>
    <w:rsid w:val="00536DA2"/>
    <w:rsid w:val="00536F86"/>
    <w:rsid w:val="00537904"/>
    <w:rsid w:val="00537909"/>
    <w:rsid w:val="00540306"/>
    <w:rsid w:val="00540731"/>
    <w:rsid w:val="005410A0"/>
    <w:rsid w:val="0054123E"/>
    <w:rsid w:val="00541C3C"/>
    <w:rsid w:val="00542279"/>
    <w:rsid w:val="00542F0F"/>
    <w:rsid w:val="00543566"/>
    <w:rsid w:val="005439F7"/>
    <w:rsid w:val="00543D65"/>
    <w:rsid w:val="00545088"/>
    <w:rsid w:val="00545A18"/>
    <w:rsid w:val="005470D0"/>
    <w:rsid w:val="005505C9"/>
    <w:rsid w:val="005508C9"/>
    <w:rsid w:val="005514AE"/>
    <w:rsid w:val="00551928"/>
    <w:rsid w:val="005525BF"/>
    <w:rsid w:val="00552B41"/>
    <w:rsid w:val="00552CB8"/>
    <w:rsid w:val="00552DE5"/>
    <w:rsid w:val="00552FCF"/>
    <w:rsid w:val="0055322A"/>
    <w:rsid w:val="00554929"/>
    <w:rsid w:val="00554B13"/>
    <w:rsid w:val="00554F3F"/>
    <w:rsid w:val="005550E0"/>
    <w:rsid w:val="0055510A"/>
    <w:rsid w:val="00555423"/>
    <w:rsid w:val="005565DD"/>
    <w:rsid w:val="00556710"/>
    <w:rsid w:val="005568DB"/>
    <w:rsid w:val="00556BCE"/>
    <w:rsid w:val="0055700F"/>
    <w:rsid w:val="005577B9"/>
    <w:rsid w:val="005605E1"/>
    <w:rsid w:val="00561366"/>
    <w:rsid w:val="0056273C"/>
    <w:rsid w:val="0056456B"/>
    <w:rsid w:val="00564850"/>
    <w:rsid w:val="005653C6"/>
    <w:rsid w:val="005654C4"/>
    <w:rsid w:val="00565C5E"/>
    <w:rsid w:val="00567C94"/>
    <w:rsid w:val="00567DA9"/>
    <w:rsid w:val="005701C6"/>
    <w:rsid w:val="0057081C"/>
    <w:rsid w:val="00570D19"/>
    <w:rsid w:val="00570DB7"/>
    <w:rsid w:val="0057122B"/>
    <w:rsid w:val="00572032"/>
    <w:rsid w:val="005723C6"/>
    <w:rsid w:val="005727FE"/>
    <w:rsid w:val="00572ED0"/>
    <w:rsid w:val="0057318B"/>
    <w:rsid w:val="00574601"/>
    <w:rsid w:val="005747EF"/>
    <w:rsid w:val="0057556C"/>
    <w:rsid w:val="00577503"/>
    <w:rsid w:val="00577A97"/>
    <w:rsid w:val="005806D2"/>
    <w:rsid w:val="00582570"/>
    <w:rsid w:val="00582E9E"/>
    <w:rsid w:val="0058627E"/>
    <w:rsid w:val="00587C0E"/>
    <w:rsid w:val="0059042A"/>
    <w:rsid w:val="005916C4"/>
    <w:rsid w:val="00592277"/>
    <w:rsid w:val="00593816"/>
    <w:rsid w:val="005946B6"/>
    <w:rsid w:val="00594A97"/>
    <w:rsid w:val="005A0EA6"/>
    <w:rsid w:val="005A165B"/>
    <w:rsid w:val="005A1B83"/>
    <w:rsid w:val="005A1E2B"/>
    <w:rsid w:val="005A2551"/>
    <w:rsid w:val="005A2B06"/>
    <w:rsid w:val="005A325E"/>
    <w:rsid w:val="005A442C"/>
    <w:rsid w:val="005A4C16"/>
    <w:rsid w:val="005A4EEB"/>
    <w:rsid w:val="005A6A2F"/>
    <w:rsid w:val="005A7ECB"/>
    <w:rsid w:val="005B082A"/>
    <w:rsid w:val="005B1AB9"/>
    <w:rsid w:val="005B2D1C"/>
    <w:rsid w:val="005B3205"/>
    <w:rsid w:val="005B4379"/>
    <w:rsid w:val="005B450C"/>
    <w:rsid w:val="005B4D52"/>
    <w:rsid w:val="005B5303"/>
    <w:rsid w:val="005B534D"/>
    <w:rsid w:val="005B5958"/>
    <w:rsid w:val="005B5B97"/>
    <w:rsid w:val="005B610B"/>
    <w:rsid w:val="005B671F"/>
    <w:rsid w:val="005B7F47"/>
    <w:rsid w:val="005C04D1"/>
    <w:rsid w:val="005C0555"/>
    <w:rsid w:val="005C0BA8"/>
    <w:rsid w:val="005C0D10"/>
    <w:rsid w:val="005C1C9F"/>
    <w:rsid w:val="005C26E4"/>
    <w:rsid w:val="005C286E"/>
    <w:rsid w:val="005C32CC"/>
    <w:rsid w:val="005C50F3"/>
    <w:rsid w:val="005C50FF"/>
    <w:rsid w:val="005C58D4"/>
    <w:rsid w:val="005D02EA"/>
    <w:rsid w:val="005D0882"/>
    <w:rsid w:val="005D1268"/>
    <w:rsid w:val="005D14F9"/>
    <w:rsid w:val="005D1DE6"/>
    <w:rsid w:val="005D3AF0"/>
    <w:rsid w:val="005D4D61"/>
    <w:rsid w:val="005D7759"/>
    <w:rsid w:val="005E03C7"/>
    <w:rsid w:val="005E08E0"/>
    <w:rsid w:val="005E0EE9"/>
    <w:rsid w:val="005E1C9D"/>
    <w:rsid w:val="005E1DA3"/>
    <w:rsid w:val="005E291C"/>
    <w:rsid w:val="005E2FAE"/>
    <w:rsid w:val="005E4D3A"/>
    <w:rsid w:val="005E5138"/>
    <w:rsid w:val="005E6AB2"/>
    <w:rsid w:val="005E79DD"/>
    <w:rsid w:val="005F0042"/>
    <w:rsid w:val="005F06EC"/>
    <w:rsid w:val="005F1DB3"/>
    <w:rsid w:val="005F2B27"/>
    <w:rsid w:val="005F3301"/>
    <w:rsid w:val="005F4B2A"/>
    <w:rsid w:val="005F5B49"/>
    <w:rsid w:val="00600B00"/>
    <w:rsid w:val="00600DD6"/>
    <w:rsid w:val="0060162D"/>
    <w:rsid w:val="0060199A"/>
    <w:rsid w:val="00602062"/>
    <w:rsid w:val="00602AC2"/>
    <w:rsid w:val="00602FB6"/>
    <w:rsid w:val="00603500"/>
    <w:rsid w:val="00603B55"/>
    <w:rsid w:val="00604ABF"/>
    <w:rsid w:val="00604D65"/>
    <w:rsid w:val="00604E1C"/>
    <w:rsid w:val="00605859"/>
    <w:rsid w:val="00606017"/>
    <w:rsid w:val="006068BC"/>
    <w:rsid w:val="006110A7"/>
    <w:rsid w:val="00611846"/>
    <w:rsid w:val="00612BE2"/>
    <w:rsid w:val="00612DE8"/>
    <w:rsid w:val="00612FC7"/>
    <w:rsid w:val="006171E9"/>
    <w:rsid w:val="00617776"/>
    <w:rsid w:val="00617DE5"/>
    <w:rsid w:val="006200B6"/>
    <w:rsid w:val="00620968"/>
    <w:rsid w:val="00620A1F"/>
    <w:rsid w:val="00622C04"/>
    <w:rsid w:val="00624130"/>
    <w:rsid w:val="00624884"/>
    <w:rsid w:val="00624AE1"/>
    <w:rsid w:val="006259FA"/>
    <w:rsid w:val="00625BE2"/>
    <w:rsid w:val="0062636C"/>
    <w:rsid w:val="00626667"/>
    <w:rsid w:val="00626DC5"/>
    <w:rsid w:val="006306D0"/>
    <w:rsid w:val="00630FAC"/>
    <w:rsid w:val="0063250E"/>
    <w:rsid w:val="00632DDB"/>
    <w:rsid w:val="006336FC"/>
    <w:rsid w:val="006344B0"/>
    <w:rsid w:val="006351E5"/>
    <w:rsid w:val="0063652E"/>
    <w:rsid w:val="00636826"/>
    <w:rsid w:val="00636DA1"/>
    <w:rsid w:val="00636E2C"/>
    <w:rsid w:val="00637088"/>
    <w:rsid w:val="00637438"/>
    <w:rsid w:val="0063755E"/>
    <w:rsid w:val="006379E3"/>
    <w:rsid w:val="00637BB7"/>
    <w:rsid w:val="0064027D"/>
    <w:rsid w:val="006416B5"/>
    <w:rsid w:val="00642290"/>
    <w:rsid w:val="006443F4"/>
    <w:rsid w:val="00644F59"/>
    <w:rsid w:val="006453CF"/>
    <w:rsid w:val="00646089"/>
    <w:rsid w:val="00646150"/>
    <w:rsid w:val="006471BB"/>
    <w:rsid w:val="006472C6"/>
    <w:rsid w:val="00647E87"/>
    <w:rsid w:val="006505CD"/>
    <w:rsid w:val="0065071D"/>
    <w:rsid w:val="006507A8"/>
    <w:rsid w:val="00650F87"/>
    <w:rsid w:val="00651490"/>
    <w:rsid w:val="00651A3C"/>
    <w:rsid w:val="00651A5F"/>
    <w:rsid w:val="00652010"/>
    <w:rsid w:val="00652044"/>
    <w:rsid w:val="0065312E"/>
    <w:rsid w:val="00653AFD"/>
    <w:rsid w:val="006552C3"/>
    <w:rsid w:val="006562D8"/>
    <w:rsid w:val="006567F1"/>
    <w:rsid w:val="00656A65"/>
    <w:rsid w:val="0065743F"/>
    <w:rsid w:val="00657468"/>
    <w:rsid w:val="006575CD"/>
    <w:rsid w:val="00657E1D"/>
    <w:rsid w:val="00660433"/>
    <w:rsid w:val="006605CD"/>
    <w:rsid w:val="00661B73"/>
    <w:rsid w:val="0066233C"/>
    <w:rsid w:val="006624BD"/>
    <w:rsid w:val="00662C5F"/>
    <w:rsid w:val="00663B99"/>
    <w:rsid w:val="00663BBD"/>
    <w:rsid w:val="0066583C"/>
    <w:rsid w:val="00666768"/>
    <w:rsid w:val="00666952"/>
    <w:rsid w:val="00666A5A"/>
    <w:rsid w:val="00666F5C"/>
    <w:rsid w:val="0066736F"/>
    <w:rsid w:val="006675C7"/>
    <w:rsid w:val="00667ABB"/>
    <w:rsid w:val="00670525"/>
    <w:rsid w:val="006709BC"/>
    <w:rsid w:val="006716C9"/>
    <w:rsid w:val="00673DB6"/>
    <w:rsid w:val="00674C8C"/>
    <w:rsid w:val="00676461"/>
    <w:rsid w:val="0067652B"/>
    <w:rsid w:val="0067669A"/>
    <w:rsid w:val="00676ABA"/>
    <w:rsid w:val="006775E1"/>
    <w:rsid w:val="00680B13"/>
    <w:rsid w:val="006833B7"/>
    <w:rsid w:val="006835F7"/>
    <w:rsid w:val="00684657"/>
    <w:rsid w:val="006847A9"/>
    <w:rsid w:val="006849E1"/>
    <w:rsid w:val="00684EA4"/>
    <w:rsid w:val="006864CF"/>
    <w:rsid w:val="0068653D"/>
    <w:rsid w:val="00686562"/>
    <w:rsid w:val="00686D2F"/>
    <w:rsid w:val="00686E82"/>
    <w:rsid w:val="00687461"/>
    <w:rsid w:val="00690740"/>
    <w:rsid w:val="00690C25"/>
    <w:rsid w:val="006912BE"/>
    <w:rsid w:val="006923D3"/>
    <w:rsid w:val="00693244"/>
    <w:rsid w:val="00693336"/>
    <w:rsid w:val="00694671"/>
    <w:rsid w:val="00694D01"/>
    <w:rsid w:val="006959D9"/>
    <w:rsid w:val="006961A3"/>
    <w:rsid w:val="00696DB0"/>
    <w:rsid w:val="006A031E"/>
    <w:rsid w:val="006A0F18"/>
    <w:rsid w:val="006A18FF"/>
    <w:rsid w:val="006A1B44"/>
    <w:rsid w:val="006A1FF3"/>
    <w:rsid w:val="006A239E"/>
    <w:rsid w:val="006A34E7"/>
    <w:rsid w:val="006A3EA2"/>
    <w:rsid w:val="006A4A05"/>
    <w:rsid w:val="006A4A93"/>
    <w:rsid w:val="006A4B07"/>
    <w:rsid w:val="006A73AF"/>
    <w:rsid w:val="006A7EE7"/>
    <w:rsid w:val="006B0C6B"/>
    <w:rsid w:val="006B1028"/>
    <w:rsid w:val="006B20E9"/>
    <w:rsid w:val="006B34CB"/>
    <w:rsid w:val="006B3D4D"/>
    <w:rsid w:val="006B4523"/>
    <w:rsid w:val="006B4C29"/>
    <w:rsid w:val="006B5965"/>
    <w:rsid w:val="006B5F3E"/>
    <w:rsid w:val="006B6827"/>
    <w:rsid w:val="006B68AF"/>
    <w:rsid w:val="006B68B8"/>
    <w:rsid w:val="006B736B"/>
    <w:rsid w:val="006B7CDF"/>
    <w:rsid w:val="006C1796"/>
    <w:rsid w:val="006C1992"/>
    <w:rsid w:val="006C1FF2"/>
    <w:rsid w:val="006C3963"/>
    <w:rsid w:val="006C3F91"/>
    <w:rsid w:val="006C66C6"/>
    <w:rsid w:val="006C67FA"/>
    <w:rsid w:val="006C6D33"/>
    <w:rsid w:val="006D0C78"/>
    <w:rsid w:val="006D1369"/>
    <w:rsid w:val="006D2381"/>
    <w:rsid w:val="006D3596"/>
    <w:rsid w:val="006D42C4"/>
    <w:rsid w:val="006D47AA"/>
    <w:rsid w:val="006D490E"/>
    <w:rsid w:val="006D4ACB"/>
    <w:rsid w:val="006D5925"/>
    <w:rsid w:val="006D5A56"/>
    <w:rsid w:val="006D64FA"/>
    <w:rsid w:val="006D790E"/>
    <w:rsid w:val="006E0146"/>
    <w:rsid w:val="006E02DF"/>
    <w:rsid w:val="006E078B"/>
    <w:rsid w:val="006E1108"/>
    <w:rsid w:val="006E1573"/>
    <w:rsid w:val="006E1739"/>
    <w:rsid w:val="006E2CFF"/>
    <w:rsid w:val="006E3043"/>
    <w:rsid w:val="006E527F"/>
    <w:rsid w:val="006E696F"/>
    <w:rsid w:val="006F0863"/>
    <w:rsid w:val="006F166B"/>
    <w:rsid w:val="006F1BCE"/>
    <w:rsid w:val="006F1E4D"/>
    <w:rsid w:val="006F2B36"/>
    <w:rsid w:val="006F2E4B"/>
    <w:rsid w:val="006F35B6"/>
    <w:rsid w:val="006F4ABA"/>
    <w:rsid w:val="006F59F0"/>
    <w:rsid w:val="006F695C"/>
    <w:rsid w:val="007001F5"/>
    <w:rsid w:val="00705208"/>
    <w:rsid w:val="007065B9"/>
    <w:rsid w:val="007114AD"/>
    <w:rsid w:val="00711930"/>
    <w:rsid w:val="00711B76"/>
    <w:rsid w:val="0071249E"/>
    <w:rsid w:val="007134BE"/>
    <w:rsid w:val="00714E6F"/>
    <w:rsid w:val="00716255"/>
    <w:rsid w:val="00717129"/>
    <w:rsid w:val="00717228"/>
    <w:rsid w:val="00717584"/>
    <w:rsid w:val="00720096"/>
    <w:rsid w:val="00720A02"/>
    <w:rsid w:val="00721B73"/>
    <w:rsid w:val="00722A1F"/>
    <w:rsid w:val="00722F47"/>
    <w:rsid w:val="007256F7"/>
    <w:rsid w:val="00725CE9"/>
    <w:rsid w:val="00725F18"/>
    <w:rsid w:val="00726AD4"/>
    <w:rsid w:val="007271F1"/>
    <w:rsid w:val="00730745"/>
    <w:rsid w:val="007309A1"/>
    <w:rsid w:val="00730CE4"/>
    <w:rsid w:val="007311AD"/>
    <w:rsid w:val="00732F36"/>
    <w:rsid w:val="00733317"/>
    <w:rsid w:val="0073477D"/>
    <w:rsid w:val="00734F74"/>
    <w:rsid w:val="00735931"/>
    <w:rsid w:val="0073599B"/>
    <w:rsid w:val="007359A3"/>
    <w:rsid w:val="00735D8A"/>
    <w:rsid w:val="00736654"/>
    <w:rsid w:val="00736C2A"/>
    <w:rsid w:val="00737169"/>
    <w:rsid w:val="007379F2"/>
    <w:rsid w:val="00740147"/>
    <w:rsid w:val="00740196"/>
    <w:rsid w:val="00740584"/>
    <w:rsid w:val="00740C70"/>
    <w:rsid w:val="007412A0"/>
    <w:rsid w:val="00741410"/>
    <w:rsid w:val="00741A3D"/>
    <w:rsid w:val="00742BA7"/>
    <w:rsid w:val="007431E6"/>
    <w:rsid w:val="00743B16"/>
    <w:rsid w:val="007444A0"/>
    <w:rsid w:val="007471F6"/>
    <w:rsid w:val="007475F7"/>
    <w:rsid w:val="00747606"/>
    <w:rsid w:val="007507BC"/>
    <w:rsid w:val="00750B6B"/>
    <w:rsid w:val="00751005"/>
    <w:rsid w:val="0075108D"/>
    <w:rsid w:val="007512F5"/>
    <w:rsid w:val="00751871"/>
    <w:rsid w:val="00752E4D"/>
    <w:rsid w:val="00753370"/>
    <w:rsid w:val="00753BFF"/>
    <w:rsid w:val="00754256"/>
    <w:rsid w:val="00754BAC"/>
    <w:rsid w:val="007559C7"/>
    <w:rsid w:val="00755FAB"/>
    <w:rsid w:val="00755FF9"/>
    <w:rsid w:val="00756B3F"/>
    <w:rsid w:val="007571C7"/>
    <w:rsid w:val="00757B3D"/>
    <w:rsid w:val="00757EBC"/>
    <w:rsid w:val="0076011A"/>
    <w:rsid w:val="0076160A"/>
    <w:rsid w:val="007616A6"/>
    <w:rsid w:val="00762862"/>
    <w:rsid w:val="00762866"/>
    <w:rsid w:val="00764CD8"/>
    <w:rsid w:val="00766507"/>
    <w:rsid w:val="0076662C"/>
    <w:rsid w:val="0076672C"/>
    <w:rsid w:val="0076772C"/>
    <w:rsid w:val="00767997"/>
    <w:rsid w:val="007717F0"/>
    <w:rsid w:val="00771B2F"/>
    <w:rsid w:val="00772BBB"/>
    <w:rsid w:val="007740CC"/>
    <w:rsid w:val="00774C51"/>
    <w:rsid w:val="00775AAD"/>
    <w:rsid w:val="00775B9F"/>
    <w:rsid w:val="00777051"/>
    <w:rsid w:val="007773A0"/>
    <w:rsid w:val="00777798"/>
    <w:rsid w:val="00781E07"/>
    <w:rsid w:val="0078499D"/>
    <w:rsid w:val="00785876"/>
    <w:rsid w:val="007862A6"/>
    <w:rsid w:val="00786BD3"/>
    <w:rsid w:val="00787550"/>
    <w:rsid w:val="007878A6"/>
    <w:rsid w:val="00790FFB"/>
    <w:rsid w:val="0079185C"/>
    <w:rsid w:val="00791F25"/>
    <w:rsid w:val="0079247C"/>
    <w:rsid w:val="0079276C"/>
    <w:rsid w:val="00793D11"/>
    <w:rsid w:val="0079404A"/>
    <w:rsid w:val="00794083"/>
    <w:rsid w:val="00794276"/>
    <w:rsid w:val="00794D7A"/>
    <w:rsid w:val="007953D4"/>
    <w:rsid w:val="00796949"/>
    <w:rsid w:val="00796A5F"/>
    <w:rsid w:val="00796DF3"/>
    <w:rsid w:val="00797D7F"/>
    <w:rsid w:val="007A0602"/>
    <w:rsid w:val="007A0859"/>
    <w:rsid w:val="007A0F12"/>
    <w:rsid w:val="007A171C"/>
    <w:rsid w:val="007A1FD3"/>
    <w:rsid w:val="007A20AD"/>
    <w:rsid w:val="007A2BFF"/>
    <w:rsid w:val="007A4587"/>
    <w:rsid w:val="007A4850"/>
    <w:rsid w:val="007A56EF"/>
    <w:rsid w:val="007A5855"/>
    <w:rsid w:val="007A5CDC"/>
    <w:rsid w:val="007A6619"/>
    <w:rsid w:val="007A735C"/>
    <w:rsid w:val="007A73A6"/>
    <w:rsid w:val="007A7521"/>
    <w:rsid w:val="007B00FE"/>
    <w:rsid w:val="007B0D99"/>
    <w:rsid w:val="007B0DD4"/>
    <w:rsid w:val="007B19B9"/>
    <w:rsid w:val="007B1C6B"/>
    <w:rsid w:val="007B1E57"/>
    <w:rsid w:val="007B236D"/>
    <w:rsid w:val="007B28D9"/>
    <w:rsid w:val="007B33DA"/>
    <w:rsid w:val="007B3E70"/>
    <w:rsid w:val="007B4636"/>
    <w:rsid w:val="007B4E1E"/>
    <w:rsid w:val="007B4EBA"/>
    <w:rsid w:val="007B6272"/>
    <w:rsid w:val="007B6334"/>
    <w:rsid w:val="007B68E0"/>
    <w:rsid w:val="007B7863"/>
    <w:rsid w:val="007B7B74"/>
    <w:rsid w:val="007C0321"/>
    <w:rsid w:val="007C186C"/>
    <w:rsid w:val="007C191F"/>
    <w:rsid w:val="007C1BAD"/>
    <w:rsid w:val="007C1F52"/>
    <w:rsid w:val="007C2068"/>
    <w:rsid w:val="007C283A"/>
    <w:rsid w:val="007C289A"/>
    <w:rsid w:val="007C2B93"/>
    <w:rsid w:val="007C3E61"/>
    <w:rsid w:val="007C3F21"/>
    <w:rsid w:val="007C50AC"/>
    <w:rsid w:val="007C6E0F"/>
    <w:rsid w:val="007C781A"/>
    <w:rsid w:val="007D01F1"/>
    <w:rsid w:val="007D0434"/>
    <w:rsid w:val="007D09B8"/>
    <w:rsid w:val="007D142E"/>
    <w:rsid w:val="007D1496"/>
    <w:rsid w:val="007D204F"/>
    <w:rsid w:val="007D2A15"/>
    <w:rsid w:val="007D2D53"/>
    <w:rsid w:val="007D4F4E"/>
    <w:rsid w:val="007D5ADE"/>
    <w:rsid w:val="007D72D0"/>
    <w:rsid w:val="007D731F"/>
    <w:rsid w:val="007E0613"/>
    <w:rsid w:val="007E0706"/>
    <w:rsid w:val="007E09C8"/>
    <w:rsid w:val="007E105A"/>
    <w:rsid w:val="007E1AAE"/>
    <w:rsid w:val="007E2393"/>
    <w:rsid w:val="007E2E74"/>
    <w:rsid w:val="007E3B97"/>
    <w:rsid w:val="007E4B4F"/>
    <w:rsid w:val="007E544A"/>
    <w:rsid w:val="007E6268"/>
    <w:rsid w:val="007E6D71"/>
    <w:rsid w:val="007E74EA"/>
    <w:rsid w:val="007E752B"/>
    <w:rsid w:val="007E7B79"/>
    <w:rsid w:val="007F0832"/>
    <w:rsid w:val="007F0DA9"/>
    <w:rsid w:val="007F17DD"/>
    <w:rsid w:val="007F1B6D"/>
    <w:rsid w:val="007F2C9D"/>
    <w:rsid w:val="007F3C26"/>
    <w:rsid w:val="007F3D19"/>
    <w:rsid w:val="007F3FD1"/>
    <w:rsid w:val="007F4859"/>
    <w:rsid w:val="007F606D"/>
    <w:rsid w:val="007F6B30"/>
    <w:rsid w:val="007F6CF3"/>
    <w:rsid w:val="007F7620"/>
    <w:rsid w:val="007F7870"/>
    <w:rsid w:val="00800485"/>
    <w:rsid w:val="00800B22"/>
    <w:rsid w:val="00801227"/>
    <w:rsid w:val="00802C2F"/>
    <w:rsid w:val="00803404"/>
    <w:rsid w:val="008034AF"/>
    <w:rsid w:val="00805A26"/>
    <w:rsid w:val="00805D32"/>
    <w:rsid w:val="00805E49"/>
    <w:rsid w:val="008063B9"/>
    <w:rsid w:val="0080681B"/>
    <w:rsid w:val="008068CC"/>
    <w:rsid w:val="008073C4"/>
    <w:rsid w:val="00807A18"/>
    <w:rsid w:val="00810E48"/>
    <w:rsid w:val="00810F88"/>
    <w:rsid w:val="00811337"/>
    <w:rsid w:val="0081220C"/>
    <w:rsid w:val="008139C6"/>
    <w:rsid w:val="00814655"/>
    <w:rsid w:val="008154F0"/>
    <w:rsid w:val="00816213"/>
    <w:rsid w:val="00816490"/>
    <w:rsid w:val="00820D7E"/>
    <w:rsid w:val="008215E3"/>
    <w:rsid w:val="00821752"/>
    <w:rsid w:val="00821C3F"/>
    <w:rsid w:val="0082227B"/>
    <w:rsid w:val="0082239F"/>
    <w:rsid w:val="00822AB0"/>
    <w:rsid w:val="00823793"/>
    <w:rsid w:val="00823967"/>
    <w:rsid w:val="00824324"/>
    <w:rsid w:val="008265A5"/>
    <w:rsid w:val="00827456"/>
    <w:rsid w:val="00827654"/>
    <w:rsid w:val="00827676"/>
    <w:rsid w:val="00827AB1"/>
    <w:rsid w:val="00830B85"/>
    <w:rsid w:val="00835ED3"/>
    <w:rsid w:val="008365CD"/>
    <w:rsid w:val="008401FB"/>
    <w:rsid w:val="00840CBC"/>
    <w:rsid w:val="008416B3"/>
    <w:rsid w:val="008419ED"/>
    <w:rsid w:val="00842042"/>
    <w:rsid w:val="0084248F"/>
    <w:rsid w:val="00843134"/>
    <w:rsid w:val="00843B3C"/>
    <w:rsid w:val="00843C9A"/>
    <w:rsid w:val="00846662"/>
    <w:rsid w:val="00846B7B"/>
    <w:rsid w:val="00846CE0"/>
    <w:rsid w:val="008476CE"/>
    <w:rsid w:val="00847875"/>
    <w:rsid w:val="008517DA"/>
    <w:rsid w:val="00852E11"/>
    <w:rsid w:val="00853BB5"/>
    <w:rsid w:val="008553FC"/>
    <w:rsid w:val="00855492"/>
    <w:rsid w:val="00855550"/>
    <w:rsid w:val="0085623E"/>
    <w:rsid w:val="00856CDD"/>
    <w:rsid w:val="00856F6D"/>
    <w:rsid w:val="008575ED"/>
    <w:rsid w:val="00857F25"/>
    <w:rsid w:val="00860AA9"/>
    <w:rsid w:val="00860F85"/>
    <w:rsid w:val="00861E91"/>
    <w:rsid w:val="00862547"/>
    <w:rsid w:val="008625C0"/>
    <w:rsid w:val="00862C78"/>
    <w:rsid w:val="00862CC1"/>
    <w:rsid w:val="0086454C"/>
    <w:rsid w:val="00865875"/>
    <w:rsid w:val="00866E1C"/>
    <w:rsid w:val="0087042C"/>
    <w:rsid w:val="00870C0C"/>
    <w:rsid w:val="00870F4E"/>
    <w:rsid w:val="00872A61"/>
    <w:rsid w:val="00872DFF"/>
    <w:rsid w:val="008734BD"/>
    <w:rsid w:val="00873BEB"/>
    <w:rsid w:val="0087433C"/>
    <w:rsid w:val="00875200"/>
    <w:rsid w:val="008755FD"/>
    <w:rsid w:val="00881176"/>
    <w:rsid w:val="008816B4"/>
    <w:rsid w:val="00881E35"/>
    <w:rsid w:val="008821B5"/>
    <w:rsid w:val="00884149"/>
    <w:rsid w:val="008841C2"/>
    <w:rsid w:val="00885308"/>
    <w:rsid w:val="00885934"/>
    <w:rsid w:val="00885EE1"/>
    <w:rsid w:val="00886194"/>
    <w:rsid w:val="008864B7"/>
    <w:rsid w:val="0088664E"/>
    <w:rsid w:val="00887A9D"/>
    <w:rsid w:val="00890B9C"/>
    <w:rsid w:val="00890DD2"/>
    <w:rsid w:val="00892026"/>
    <w:rsid w:val="00892153"/>
    <w:rsid w:val="0089285F"/>
    <w:rsid w:val="00893363"/>
    <w:rsid w:val="00893DDA"/>
    <w:rsid w:val="0089463C"/>
    <w:rsid w:val="008946E5"/>
    <w:rsid w:val="008947E0"/>
    <w:rsid w:val="00895222"/>
    <w:rsid w:val="008954F1"/>
    <w:rsid w:val="00895DE6"/>
    <w:rsid w:val="0089783D"/>
    <w:rsid w:val="0089788D"/>
    <w:rsid w:val="00897A13"/>
    <w:rsid w:val="00897AC6"/>
    <w:rsid w:val="008A0408"/>
    <w:rsid w:val="008A2214"/>
    <w:rsid w:val="008A3336"/>
    <w:rsid w:val="008A3708"/>
    <w:rsid w:val="008A3890"/>
    <w:rsid w:val="008A3F9A"/>
    <w:rsid w:val="008A44A6"/>
    <w:rsid w:val="008A522C"/>
    <w:rsid w:val="008A5DF7"/>
    <w:rsid w:val="008B11E5"/>
    <w:rsid w:val="008B22D6"/>
    <w:rsid w:val="008B2C0B"/>
    <w:rsid w:val="008B30E7"/>
    <w:rsid w:val="008B3A8C"/>
    <w:rsid w:val="008B420F"/>
    <w:rsid w:val="008B4B4D"/>
    <w:rsid w:val="008B6665"/>
    <w:rsid w:val="008C02C8"/>
    <w:rsid w:val="008C07FC"/>
    <w:rsid w:val="008C11DD"/>
    <w:rsid w:val="008C29B4"/>
    <w:rsid w:val="008C2FAB"/>
    <w:rsid w:val="008C4080"/>
    <w:rsid w:val="008C40AE"/>
    <w:rsid w:val="008C4140"/>
    <w:rsid w:val="008C4184"/>
    <w:rsid w:val="008C46AD"/>
    <w:rsid w:val="008C4F34"/>
    <w:rsid w:val="008C5DBD"/>
    <w:rsid w:val="008C6AE0"/>
    <w:rsid w:val="008C6DFF"/>
    <w:rsid w:val="008C71E3"/>
    <w:rsid w:val="008D0303"/>
    <w:rsid w:val="008D1193"/>
    <w:rsid w:val="008D1D14"/>
    <w:rsid w:val="008D2337"/>
    <w:rsid w:val="008D2C32"/>
    <w:rsid w:val="008D32A2"/>
    <w:rsid w:val="008D3A03"/>
    <w:rsid w:val="008D5B39"/>
    <w:rsid w:val="008D6544"/>
    <w:rsid w:val="008D6960"/>
    <w:rsid w:val="008D7C32"/>
    <w:rsid w:val="008E006E"/>
    <w:rsid w:val="008E0F58"/>
    <w:rsid w:val="008E13C3"/>
    <w:rsid w:val="008E1C8A"/>
    <w:rsid w:val="008E1D94"/>
    <w:rsid w:val="008E1E54"/>
    <w:rsid w:val="008E2261"/>
    <w:rsid w:val="008E2650"/>
    <w:rsid w:val="008E27BE"/>
    <w:rsid w:val="008E35E6"/>
    <w:rsid w:val="008E54CB"/>
    <w:rsid w:val="008E6C59"/>
    <w:rsid w:val="008E6EB7"/>
    <w:rsid w:val="008E70A2"/>
    <w:rsid w:val="008E7C03"/>
    <w:rsid w:val="008F0794"/>
    <w:rsid w:val="008F08C8"/>
    <w:rsid w:val="008F2065"/>
    <w:rsid w:val="008F2EFD"/>
    <w:rsid w:val="008F319F"/>
    <w:rsid w:val="008F3744"/>
    <w:rsid w:val="008F3795"/>
    <w:rsid w:val="008F3E29"/>
    <w:rsid w:val="008F433B"/>
    <w:rsid w:val="008F4994"/>
    <w:rsid w:val="008F55E1"/>
    <w:rsid w:val="008F56D2"/>
    <w:rsid w:val="008F6DEB"/>
    <w:rsid w:val="008F75EF"/>
    <w:rsid w:val="008F7D39"/>
    <w:rsid w:val="00900318"/>
    <w:rsid w:val="00902958"/>
    <w:rsid w:val="00902E9B"/>
    <w:rsid w:val="009044C4"/>
    <w:rsid w:val="009074AA"/>
    <w:rsid w:val="0090788E"/>
    <w:rsid w:val="0091034C"/>
    <w:rsid w:val="009103DD"/>
    <w:rsid w:val="00910B73"/>
    <w:rsid w:val="00911603"/>
    <w:rsid w:val="0091185C"/>
    <w:rsid w:val="0091186A"/>
    <w:rsid w:val="00911C33"/>
    <w:rsid w:val="009122BC"/>
    <w:rsid w:val="00913C67"/>
    <w:rsid w:val="00914518"/>
    <w:rsid w:val="00914592"/>
    <w:rsid w:val="00914B7D"/>
    <w:rsid w:val="009169C2"/>
    <w:rsid w:val="00916B26"/>
    <w:rsid w:val="009177B1"/>
    <w:rsid w:val="00920B65"/>
    <w:rsid w:val="00920D91"/>
    <w:rsid w:val="00921C29"/>
    <w:rsid w:val="009242A6"/>
    <w:rsid w:val="00924AA8"/>
    <w:rsid w:val="00924C2B"/>
    <w:rsid w:val="00924D77"/>
    <w:rsid w:val="00924D85"/>
    <w:rsid w:val="00926FAB"/>
    <w:rsid w:val="0092715D"/>
    <w:rsid w:val="00927905"/>
    <w:rsid w:val="0093039B"/>
    <w:rsid w:val="00930549"/>
    <w:rsid w:val="009305C1"/>
    <w:rsid w:val="00931438"/>
    <w:rsid w:val="00932435"/>
    <w:rsid w:val="00932D54"/>
    <w:rsid w:val="00933D64"/>
    <w:rsid w:val="00934277"/>
    <w:rsid w:val="00934328"/>
    <w:rsid w:val="009344BA"/>
    <w:rsid w:val="009345AB"/>
    <w:rsid w:val="0093533F"/>
    <w:rsid w:val="00935CC8"/>
    <w:rsid w:val="00935D6F"/>
    <w:rsid w:val="009362E7"/>
    <w:rsid w:val="009364FD"/>
    <w:rsid w:val="00936E00"/>
    <w:rsid w:val="00937841"/>
    <w:rsid w:val="00940426"/>
    <w:rsid w:val="00941F5F"/>
    <w:rsid w:val="00943587"/>
    <w:rsid w:val="0094381F"/>
    <w:rsid w:val="009442E6"/>
    <w:rsid w:val="00944832"/>
    <w:rsid w:val="00944C1A"/>
    <w:rsid w:val="00944C64"/>
    <w:rsid w:val="0094592A"/>
    <w:rsid w:val="00945D65"/>
    <w:rsid w:val="009466C2"/>
    <w:rsid w:val="00946B0C"/>
    <w:rsid w:val="00947B27"/>
    <w:rsid w:val="00952428"/>
    <w:rsid w:val="00953832"/>
    <w:rsid w:val="00953C52"/>
    <w:rsid w:val="0095448F"/>
    <w:rsid w:val="00954B20"/>
    <w:rsid w:val="00956864"/>
    <w:rsid w:val="00956A1C"/>
    <w:rsid w:val="00956CB8"/>
    <w:rsid w:val="00957A39"/>
    <w:rsid w:val="00961D54"/>
    <w:rsid w:val="00961F94"/>
    <w:rsid w:val="0096358C"/>
    <w:rsid w:val="009635F9"/>
    <w:rsid w:val="00963B96"/>
    <w:rsid w:val="009645EC"/>
    <w:rsid w:val="00966285"/>
    <w:rsid w:val="00967D48"/>
    <w:rsid w:val="00971B49"/>
    <w:rsid w:val="00972190"/>
    <w:rsid w:val="00973513"/>
    <w:rsid w:val="00973715"/>
    <w:rsid w:val="00973943"/>
    <w:rsid w:val="00973FC6"/>
    <w:rsid w:val="009752F1"/>
    <w:rsid w:val="009753D0"/>
    <w:rsid w:val="00975594"/>
    <w:rsid w:val="00976325"/>
    <w:rsid w:val="00980BF8"/>
    <w:rsid w:val="00981994"/>
    <w:rsid w:val="00981BAA"/>
    <w:rsid w:val="00981E95"/>
    <w:rsid w:val="0098373A"/>
    <w:rsid w:val="00984348"/>
    <w:rsid w:val="009848EB"/>
    <w:rsid w:val="00986029"/>
    <w:rsid w:val="0098628C"/>
    <w:rsid w:val="00986575"/>
    <w:rsid w:val="00986FAA"/>
    <w:rsid w:val="009872AA"/>
    <w:rsid w:val="00987BBC"/>
    <w:rsid w:val="00990D8B"/>
    <w:rsid w:val="009915B7"/>
    <w:rsid w:val="009915E7"/>
    <w:rsid w:val="00991A51"/>
    <w:rsid w:val="00992D66"/>
    <w:rsid w:val="0099311D"/>
    <w:rsid w:val="009936AB"/>
    <w:rsid w:val="00993AE3"/>
    <w:rsid w:val="00993F16"/>
    <w:rsid w:val="009944C8"/>
    <w:rsid w:val="009953DF"/>
    <w:rsid w:val="00995D37"/>
    <w:rsid w:val="00995FF9"/>
    <w:rsid w:val="009970F4"/>
    <w:rsid w:val="009973A4"/>
    <w:rsid w:val="009973DD"/>
    <w:rsid w:val="0099744A"/>
    <w:rsid w:val="00997802"/>
    <w:rsid w:val="009A040C"/>
    <w:rsid w:val="009A0AC5"/>
    <w:rsid w:val="009A12B6"/>
    <w:rsid w:val="009A12E7"/>
    <w:rsid w:val="009A1966"/>
    <w:rsid w:val="009A21AB"/>
    <w:rsid w:val="009A2DC3"/>
    <w:rsid w:val="009A4B43"/>
    <w:rsid w:val="009A535A"/>
    <w:rsid w:val="009A553A"/>
    <w:rsid w:val="009A68F1"/>
    <w:rsid w:val="009A79DB"/>
    <w:rsid w:val="009A7D25"/>
    <w:rsid w:val="009B06A7"/>
    <w:rsid w:val="009B10A6"/>
    <w:rsid w:val="009B140F"/>
    <w:rsid w:val="009B19A3"/>
    <w:rsid w:val="009B1EA1"/>
    <w:rsid w:val="009B2646"/>
    <w:rsid w:val="009B2B78"/>
    <w:rsid w:val="009B2C76"/>
    <w:rsid w:val="009B35C1"/>
    <w:rsid w:val="009B3E14"/>
    <w:rsid w:val="009B4B4D"/>
    <w:rsid w:val="009B565E"/>
    <w:rsid w:val="009B7CFC"/>
    <w:rsid w:val="009C0478"/>
    <w:rsid w:val="009C18F7"/>
    <w:rsid w:val="009C2C41"/>
    <w:rsid w:val="009C3A93"/>
    <w:rsid w:val="009C3FAB"/>
    <w:rsid w:val="009C42E9"/>
    <w:rsid w:val="009C4962"/>
    <w:rsid w:val="009C54B7"/>
    <w:rsid w:val="009C554E"/>
    <w:rsid w:val="009C5A20"/>
    <w:rsid w:val="009C649E"/>
    <w:rsid w:val="009D12E8"/>
    <w:rsid w:val="009D28F8"/>
    <w:rsid w:val="009D3604"/>
    <w:rsid w:val="009D3FF5"/>
    <w:rsid w:val="009D4B1F"/>
    <w:rsid w:val="009D519E"/>
    <w:rsid w:val="009D59FC"/>
    <w:rsid w:val="009E00A2"/>
    <w:rsid w:val="009E0973"/>
    <w:rsid w:val="009E2659"/>
    <w:rsid w:val="009E27C4"/>
    <w:rsid w:val="009E2A9B"/>
    <w:rsid w:val="009E3159"/>
    <w:rsid w:val="009E3C2F"/>
    <w:rsid w:val="009E3E46"/>
    <w:rsid w:val="009E4023"/>
    <w:rsid w:val="009E4D39"/>
    <w:rsid w:val="009E58DC"/>
    <w:rsid w:val="009E641E"/>
    <w:rsid w:val="009E657D"/>
    <w:rsid w:val="009E67F6"/>
    <w:rsid w:val="009E7967"/>
    <w:rsid w:val="009F109D"/>
    <w:rsid w:val="009F1D77"/>
    <w:rsid w:val="009F20C1"/>
    <w:rsid w:val="009F39F3"/>
    <w:rsid w:val="009F47D9"/>
    <w:rsid w:val="009F5AAC"/>
    <w:rsid w:val="009F670D"/>
    <w:rsid w:val="00A00B6E"/>
    <w:rsid w:val="00A02282"/>
    <w:rsid w:val="00A0272A"/>
    <w:rsid w:val="00A03A68"/>
    <w:rsid w:val="00A03D99"/>
    <w:rsid w:val="00A063EB"/>
    <w:rsid w:val="00A06A3D"/>
    <w:rsid w:val="00A06EF9"/>
    <w:rsid w:val="00A06FEE"/>
    <w:rsid w:val="00A07472"/>
    <w:rsid w:val="00A07A0A"/>
    <w:rsid w:val="00A1037D"/>
    <w:rsid w:val="00A11604"/>
    <w:rsid w:val="00A128B8"/>
    <w:rsid w:val="00A131AD"/>
    <w:rsid w:val="00A141C3"/>
    <w:rsid w:val="00A148F3"/>
    <w:rsid w:val="00A15208"/>
    <w:rsid w:val="00A152F1"/>
    <w:rsid w:val="00A16F78"/>
    <w:rsid w:val="00A17901"/>
    <w:rsid w:val="00A20E3F"/>
    <w:rsid w:val="00A21A39"/>
    <w:rsid w:val="00A229A8"/>
    <w:rsid w:val="00A238AC"/>
    <w:rsid w:val="00A2446A"/>
    <w:rsid w:val="00A256F1"/>
    <w:rsid w:val="00A25877"/>
    <w:rsid w:val="00A262D5"/>
    <w:rsid w:val="00A266D8"/>
    <w:rsid w:val="00A2676D"/>
    <w:rsid w:val="00A271B7"/>
    <w:rsid w:val="00A274E1"/>
    <w:rsid w:val="00A277AB"/>
    <w:rsid w:val="00A279FF"/>
    <w:rsid w:val="00A30722"/>
    <w:rsid w:val="00A30A0F"/>
    <w:rsid w:val="00A325C7"/>
    <w:rsid w:val="00A32722"/>
    <w:rsid w:val="00A32741"/>
    <w:rsid w:val="00A333A3"/>
    <w:rsid w:val="00A336A0"/>
    <w:rsid w:val="00A33CBC"/>
    <w:rsid w:val="00A34451"/>
    <w:rsid w:val="00A34F0A"/>
    <w:rsid w:val="00A3632C"/>
    <w:rsid w:val="00A364DD"/>
    <w:rsid w:val="00A37B06"/>
    <w:rsid w:val="00A40135"/>
    <w:rsid w:val="00A406F2"/>
    <w:rsid w:val="00A40C56"/>
    <w:rsid w:val="00A41351"/>
    <w:rsid w:val="00A41B88"/>
    <w:rsid w:val="00A4245E"/>
    <w:rsid w:val="00A430C4"/>
    <w:rsid w:val="00A4319E"/>
    <w:rsid w:val="00A43460"/>
    <w:rsid w:val="00A43C58"/>
    <w:rsid w:val="00A44054"/>
    <w:rsid w:val="00A44114"/>
    <w:rsid w:val="00A447AA"/>
    <w:rsid w:val="00A44D16"/>
    <w:rsid w:val="00A4535F"/>
    <w:rsid w:val="00A47A88"/>
    <w:rsid w:val="00A47D22"/>
    <w:rsid w:val="00A505BF"/>
    <w:rsid w:val="00A5113A"/>
    <w:rsid w:val="00A51732"/>
    <w:rsid w:val="00A51B73"/>
    <w:rsid w:val="00A53650"/>
    <w:rsid w:val="00A5385C"/>
    <w:rsid w:val="00A53C22"/>
    <w:rsid w:val="00A5415B"/>
    <w:rsid w:val="00A54B78"/>
    <w:rsid w:val="00A56C7C"/>
    <w:rsid w:val="00A56E14"/>
    <w:rsid w:val="00A56E54"/>
    <w:rsid w:val="00A57651"/>
    <w:rsid w:val="00A6108E"/>
    <w:rsid w:val="00A615F0"/>
    <w:rsid w:val="00A61C2C"/>
    <w:rsid w:val="00A61F69"/>
    <w:rsid w:val="00A62F1F"/>
    <w:rsid w:val="00A631C4"/>
    <w:rsid w:val="00A632E5"/>
    <w:rsid w:val="00A637CF"/>
    <w:rsid w:val="00A63E87"/>
    <w:rsid w:val="00A649E5"/>
    <w:rsid w:val="00A654D5"/>
    <w:rsid w:val="00A66355"/>
    <w:rsid w:val="00A6676F"/>
    <w:rsid w:val="00A705F6"/>
    <w:rsid w:val="00A713BF"/>
    <w:rsid w:val="00A713FE"/>
    <w:rsid w:val="00A71CE3"/>
    <w:rsid w:val="00A7244D"/>
    <w:rsid w:val="00A7329B"/>
    <w:rsid w:val="00A74FD2"/>
    <w:rsid w:val="00A75C7A"/>
    <w:rsid w:val="00A75D61"/>
    <w:rsid w:val="00A7639C"/>
    <w:rsid w:val="00A80C61"/>
    <w:rsid w:val="00A80F99"/>
    <w:rsid w:val="00A821A4"/>
    <w:rsid w:val="00A8271E"/>
    <w:rsid w:val="00A84830"/>
    <w:rsid w:val="00A851A0"/>
    <w:rsid w:val="00A8544A"/>
    <w:rsid w:val="00A85876"/>
    <w:rsid w:val="00A859EC"/>
    <w:rsid w:val="00A86093"/>
    <w:rsid w:val="00A863FD"/>
    <w:rsid w:val="00A8677C"/>
    <w:rsid w:val="00A871B2"/>
    <w:rsid w:val="00A87342"/>
    <w:rsid w:val="00A90489"/>
    <w:rsid w:val="00A904C0"/>
    <w:rsid w:val="00A90AA2"/>
    <w:rsid w:val="00A90BEB"/>
    <w:rsid w:val="00A90D8A"/>
    <w:rsid w:val="00A932F4"/>
    <w:rsid w:val="00A934E3"/>
    <w:rsid w:val="00A950A7"/>
    <w:rsid w:val="00A965E8"/>
    <w:rsid w:val="00A96747"/>
    <w:rsid w:val="00A96918"/>
    <w:rsid w:val="00A96FD0"/>
    <w:rsid w:val="00AA182F"/>
    <w:rsid w:val="00AA20A5"/>
    <w:rsid w:val="00AA2A26"/>
    <w:rsid w:val="00AA2E1D"/>
    <w:rsid w:val="00AA3A53"/>
    <w:rsid w:val="00AA3FA4"/>
    <w:rsid w:val="00AA4371"/>
    <w:rsid w:val="00AA4960"/>
    <w:rsid w:val="00AA4EBF"/>
    <w:rsid w:val="00AA5547"/>
    <w:rsid w:val="00AA562A"/>
    <w:rsid w:val="00AA716D"/>
    <w:rsid w:val="00AA7861"/>
    <w:rsid w:val="00AA78FD"/>
    <w:rsid w:val="00AB004D"/>
    <w:rsid w:val="00AB07AA"/>
    <w:rsid w:val="00AB361B"/>
    <w:rsid w:val="00AB362D"/>
    <w:rsid w:val="00AB3976"/>
    <w:rsid w:val="00AB448D"/>
    <w:rsid w:val="00AB457C"/>
    <w:rsid w:val="00AB4F62"/>
    <w:rsid w:val="00AB5993"/>
    <w:rsid w:val="00AB5A7C"/>
    <w:rsid w:val="00AB633E"/>
    <w:rsid w:val="00AB651F"/>
    <w:rsid w:val="00AB6901"/>
    <w:rsid w:val="00AB73BF"/>
    <w:rsid w:val="00AB7734"/>
    <w:rsid w:val="00AC0334"/>
    <w:rsid w:val="00AC09BA"/>
    <w:rsid w:val="00AC0E7E"/>
    <w:rsid w:val="00AC37CA"/>
    <w:rsid w:val="00AC38B5"/>
    <w:rsid w:val="00AC41C6"/>
    <w:rsid w:val="00AC5D45"/>
    <w:rsid w:val="00AC7E5C"/>
    <w:rsid w:val="00AD0DCC"/>
    <w:rsid w:val="00AD1B75"/>
    <w:rsid w:val="00AD1F9C"/>
    <w:rsid w:val="00AD2CE7"/>
    <w:rsid w:val="00AD3161"/>
    <w:rsid w:val="00AD3D09"/>
    <w:rsid w:val="00AD49ED"/>
    <w:rsid w:val="00AD57BA"/>
    <w:rsid w:val="00AD6975"/>
    <w:rsid w:val="00AD6A3A"/>
    <w:rsid w:val="00AD73B5"/>
    <w:rsid w:val="00AD7577"/>
    <w:rsid w:val="00AD7ACF"/>
    <w:rsid w:val="00AE1742"/>
    <w:rsid w:val="00AE316F"/>
    <w:rsid w:val="00AE4063"/>
    <w:rsid w:val="00AE4CA4"/>
    <w:rsid w:val="00AE4FDF"/>
    <w:rsid w:val="00AE5F75"/>
    <w:rsid w:val="00AE666D"/>
    <w:rsid w:val="00AE699B"/>
    <w:rsid w:val="00AF016E"/>
    <w:rsid w:val="00AF0301"/>
    <w:rsid w:val="00AF03DC"/>
    <w:rsid w:val="00AF12D9"/>
    <w:rsid w:val="00AF1517"/>
    <w:rsid w:val="00AF1518"/>
    <w:rsid w:val="00AF2933"/>
    <w:rsid w:val="00AF3941"/>
    <w:rsid w:val="00AF43F0"/>
    <w:rsid w:val="00AF72EF"/>
    <w:rsid w:val="00AF7D3C"/>
    <w:rsid w:val="00B01487"/>
    <w:rsid w:val="00B020E7"/>
    <w:rsid w:val="00B04D2C"/>
    <w:rsid w:val="00B04FBD"/>
    <w:rsid w:val="00B0557F"/>
    <w:rsid w:val="00B05A3C"/>
    <w:rsid w:val="00B05B19"/>
    <w:rsid w:val="00B06F3F"/>
    <w:rsid w:val="00B109C8"/>
    <w:rsid w:val="00B1124A"/>
    <w:rsid w:val="00B124FA"/>
    <w:rsid w:val="00B12D4B"/>
    <w:rsid w:val="00B13CAF"/>
    <w:rsid w:val="00B13FAF"/>
    <w:rsid w:val="00B143F2"/>
    <w:rsid w:val="00B14816"/>
    <w:rsid w:val="00B14B9F"/>
    <w:rsid w:val="00B14BF4"/>
    <w:rsid w:val="00B14F0D"/>
    <w:rsid w:val="00B1535D"/>
    <w:rsid w:val="00B163C4"/>
    <w:rsid w:val="00B169B9"/>
    <w:rsid w:val="00B20579"/>
    <w:rsid w:val="00B206A8"/>
    <w:rsid w:val="00B20A07"/>
    <w:rsid w:val="00B21199"/>
    <w:rsid w:val="00B2174C"/>
    <w:rsid w:val="00B21C28"/>
    <w:rsid w:val="00B21D76"/>
    <w:rsid w:val="00B2207A"/>
    <w:rsid w:val="00B230D6"/>
    <w:rsid w:val="00B23581"/>
    <w:rsid w:val="00B23D97"/>
    <w:rsid w:val="00B25DFA"/>
    <w:rsid w:val="00B260D4"/>
    <w:rsid w:val="00B26899"/>
    <w:rsid w:val="00B336CC"/>
    <w:rsid w:val="00B33D08"/>
    <w:rsid w:val="00B3467E"/>
    <w:rsid w:val="00B34A62"/>
    <w:rsid w:val="00B36B9B"/>
    <w:rsid w:val="00B36CFE"/>
    <w:rsid w:val="00B374EF"/>
    <w:rsid w:val="00B37A0D"/>
    <w:rsid w:val="00B40384"/>
    <w:rsid w:val="00B41002"/>
    <w:rsid w:val="00B41AE8"/>
    <w:rsid w:val="00B41ECB"/>
    <w:rsid w:val="00B420EC"/>
    <w:rsid w:val="00B421A6"/>
    <w:rsid w:val="00B423D1"/>
    <w:rsid w:val="00B43CA0"/>
    <w:rsid w:val="00B44423"/>
    <w:rsid w:val="00B45432"/>
    <w:rsid w:val="00B46BAA"/>
    <w:rsid w:val="00B47202"/>
    <w:rsid w:val="00B47B37"/>
    <w:rsid w:val="00B50A34"/>
    <w:rsid w:val="00B518D2"/>
    <w:rsid w:val="00B51C63"/>
    <w:rsid w:val="00B520C5"/>
    <w:rsid w:val="00B530D8"/>
    <w:rsid w:val="00B535E3"/>
    <w:rsid w:val="00B53609"/>
    <w:rsid w:val="00B538AB"/>
    <w:rsid w:val="00B539D6"/>
    <w:rsid w:val="00B547A2"/>
    <w:rsid w:val="00B559C4"/>
    <w:rsid w:val="00B55DE0"/>
    <w:rsid w:val="00B56456"/>
    <w:rsid w:val="00B60809"/>
    <w:rsid w:val="00B60B16"/>
    <w:rsid w:val="00B6104A"/>
    <w:rsid w:val="00B616D8"/>
    <w:rsid w:val="00B6196B"/>
    <w:rsid w:val="00B61DF2"/>
    <w:rsid w:val="00B63548"/>
    <w:rsid w:val="00B64164"/>
    <w:rsid w:val="00B65E77"/>
    <w:rsid w:val="00B70061"/>
    <w:rsid w:val="00B7085F"/>
    <w:rsid w:val="00B708F2"/>
    <w:rsid w:val="00B71475"/>
    <w:rsid w:val="00B71524"/>
    <w:rsid w:val="00B750E9"/>
    <w:rsid w:val="00B75299"/>
    <w:rsid w:val="00B7561E"/>
    <w:rsid w:val="00B75DD1"/>
    <w:rsid w:val="00B7637C"/>
    <w:rsid w:val="00B77121"/>
    <w:rsid w:val="00B771E6"/>
    <w:rsid w:val="00B7763A"/>
    <w:rsid w:val="00B77979"/>
    <w:rsid w:val="00B80718"/>
    <w:rsid w:val="00B80804"/>
    <w:rsid w:val="00B815A8"/>
    <w:rsid w:val="00B81AF6"/>
    <w:rsid w:val="00B81EF5"/>
    <w:rsid w:val="00B824B2"/>
    <w:rsid w:val="00B82D60"/>
    <w:rsid w:val="00B83EBB"/>
    <w:rsid w:val="00B84095"/>
    <w:rsid w:val="00B87B66"/>
    <w:rsid w:val="00B915FB"/>
    <w:rsid w:val="00B91CC0"/>
    <w:rsid w:val="00B93226"/>
    <w:rsid w:val="00B93A8D"/>
    <w:rsid w:val="00B93C2D"/>
    <w:rsid w:val="00B93C6E"/>
    <w:rsid w:val="00B9474B"/>
    <w:rsid w:val="00B95001"/>
    <w:rsid w:val="00B9543F"/>
    <w:rsid w:val="00B9584C"/>
    <w:rsid w:val="00B95A5F"/>
    <w:rsid w:val="00B95A64"/>
    <w:rsid w:val="00B95C2D"/>
    <w:rsid w:val="00B95F41"/>
    <w:rsid w:val="00B96AA9"/>
    <w:rsid w:val="00B97075"/>
    <w:rsid w:val="00B97A38"/>
    <w:rsid w:val="00BA04D0"/>
    <w:rsid w:val="00BA0A45"/>
    <w:rsid w:val="00BA160A"/>
    <w:rsid w:val="00BA1F2A"/>
    <w:rsid w:val="00BA20E1"/>
    <w:rsid w:val="00BA5AAB"/>
    <w:rsid w:val="00BA7134"/>
    <w:rsid w:val="00BA76D8"/>
    <w:rsid w:val="00BB006A"/>
    <w:rsid w:val="00BB0855"/>
    <w:rsid w:val="00BB17AE"/>
    <w:rsid w:val="00BB2EE6"/>
    <w:rsid w:val="00BB351F"/>
    <w:rsid w:val="00BB5760"/>
    <w:rsid w:val="00BB6BB7"/>
    <w:rsid w:val="00BB7283"/>
    <w:rsid w:val="00BB7BF1"/>
    <w:rsid w:val="00BB7D98"/>
    <w:rsid w:val="00BC001C"/>
    <w:rsid w:val="00BC0751"/>
    <w:rsid w:val="00BC150D"/>
    <w:rsid w:val="00BC1879"/>
    <w:rsid w:val="00BC1B40"/>
    <w:rsid w:val="00BC1EDC"/>
    <w:rsid w:val="00BC1F07"/>
    <w:rsid w:val="00BC2C27"/>
    <w:rsid w:val="00BC34CF"/>
    <w:rsid w:val="00BC3B42"/>
    <w:rsid w:val="00BC3B56"/>
    <w:rsid w:val="00BC3DFF"/>
    <w:rsid w:val="00BC3FC0"/>
    <w:rsid w:val="00BC50DB"/>
    <w:rsid w:val="00BC5305"/>
    <w:rsid w:val="00BC55E0"/>
    <w:rsid w:val="00BC5BD4"/>
    <w:rsid w:val="00BC5D42"/>
    <w:rsid w:val="00BC64FF"/>
    <w:rsid w:val="00BC6513"/>
    <w:rsid w:val="00BC6725"/>
    <w:rsid w:val="00BC6E02"/>
    <w:rsid w:val="00BC6E21"/>
    <w:rsid w:val="00BC73EF"/>
    <w:rsid w:val="00BC7CCE"/>
    <w:rsid w:val="00BD050A"/>
    <w:rsid w:val="00BD0756"/>
    <w:rsid w:val="00BD138B"/>
    <w:rsid w:val="00BD1629"/>
    <w:rsid w:val="00BD1C13"/>
    <w:rsid w:val="00BD2C53"/>
    <w:rsid w:val="00BD3125"/>
    <w:rsid w:val="00BD3341"/>
    <w:rsid w:val="00BD3BA0"/>
    <w:rsid w:val="00BD4484"/>
    <w:rsid w:val="00BD47C4"/>
    <w:rsid w:val="00BD5E0B"/>
    <w:rsid w:val="00BD6DA2"/>
    <w:rsid w:val="00BE14C7"/>
    <w:rsid w:val="00BE2C43"/>
    <w:rsid w:val="00BE3224"/>
    <w:rsid w:val="00BE41DF"/>
    <w:rsid w:val="00BE506C"/>
    <w:rsid w:val="00BE5731"/>
    <w:rsid w:val="00BE653F"/>
    <w:rsid w:val="00BE65EC"/>
    <w:rsid w:val="00BF0D4A"/>
    <w:rsid w:val="00BF22CF"/>
    <w:rsid w:val="00BF2504"/>
    <w:rsid w:val="00BF280F"/>
    <w:rsid w:val="00BF3587"/>
    <w:rsid w:val="00BF4A6F"/>
    <w:rsid w:val="00BF5573"/>
    <w:rsid w:val="00BF57D7"/>
    <w:rsid w:val="00BF6631"/>
    <w:rsid w:val="00BF6BB7"/>
    <w:rsid w:val="00BF6F8C"/>
    <w:rsid w:val="00BF721E"/>
    <w:rsid w:val="00C02160"/>
    <w:rsid w:val="00C0251E"/>
    <w:rsid w:val="00C025BF"/>
    <w:rsid w:val="00C033E7"/>
    <w:rsid w:val="00C04E23"/>
    <w:rsid w:val="00C04EDE"/>
    <w:rsid w:val="00C05252"/>
    <w:rsid w:val="00C054E2"/>
    <w:rsid w:val="00C05AF7"/>
    <w:rsid w:val="00C05BDF"/>
    <w:rsid w:val="00C05DF0"/>
    <w:rsid w:val="00C06B3A"/>
    <w:rsid w:val="00C07575"/>
    <w:rsid w:val="00C07591"/>
    <w:rsid w:val="00C07BCB"/>
    <w:rsid w:val="00C1063D"/>
    <w:rsid w:val="00C106FA"/>
    <w:rsid w:val="00C10CE5"/>
    <w:rsid w:val="00C111FC"/>
    <w:rsid w:val="00C11C05"/>
    <w:rsid w:val="00C1225E"/>
    <w:rsid w:val="00C124BB"/>
    <w:rsid w:val="00C12D45"/>
    <w:rsid w:val="00C12FA0"/>
    <w:rsid w:val="00C13032"/>
    <w:rsid w:val="00C1504E"/>
    <w:rsid w:val="00C1608E"/>
    <w:rsid w:val="00C17269"/>
    <w:rsid w:val="00C1737C"/>
    <w:rsid w:val="00C173D3"/>
    <w:rsid w:val="00C17455"/>
    <w:rsid w:val="00C17695"/>
    <w:rsid w:val="00C2083B"/>
    <w:rsid w:val="00C20C09"/>
    <w:rsid w:val="00C22344"/>
    <w:rsid w:val="00C239D3"/>
    <w:rsid w:val="00C23B01"/>
    <w:rsid w:val="00C2453C"/>
    <w:rsid w:val="00C24DFB"/>
    <w:rsid w:val="00C25CF1"/>
    <w:rsid w:val="00C2600F"/>
    <w:rsid w:val="00C268B1"/>
    <w:rsid w:val="00C30733"/>
    <w:rsid w:val="00C319E7"/>
    <w:rsid w:val="00C31D62"/>
    <w:rsid w:val="00C31FF4"/>
    <w:rsid w:val="00C323C5"/>
    <w:rsid w:val="00C32F04"/>
    <w:rsid w:val="00C3371E"/>
    <w:rsid w:val="00C33857"/>
    <w:rsid w:val="00C34771"/>
    <w:rsid w:val="00C34B41"/>
    <w:rsid w:val="00C3704D"/>
    <w:rsid w:val="00C377A7"/>
    <w:rsid w:val="00C37B32"/>
    <w:rsid w:val="00C400BC"/>
    <w:rsid w:val="00C4026C"/>
    <w:rsid w:val="00C411D2"/>
    <w:rsid w:val="00C4157A"/>
    <w:rsid w:val="00C419AB"/>
    <w:rsid w:val="00C428E5"/>
    <w:rsid w:val="00C42A73"/>
    <w:rsid w:val="00C42AB4"/>
    <w:rsid w:val="00C42B6F"/>
    <w:rsid w:val="00C42D16"/>
    <w:rsid w:val="00C434F9"/>
    <w:rsid w:val="00C43C80"/>
    <w:rsid w:val="00C45191"/>
    <w:rsid w:val="00C457C2"/>
    <w:rsid w:val="00C459DD"/>
    <w:rsid w:val="00C463CE"/>
    <w:rsid w:val="00C46510"/>
    <w:rsid w:val="00C467B3"/>
    <w:rsid w:val="00C46850"/>
    <w:rsid w:val="00C46DF8"/>
    <w:rsid w:val="00C47683"/>
    <w:rsid w:val="00C4771D"/>
    <w:rsid w:val="00C47BE2"/>
    <w:rsid w:val="00C507C3"/>
    <w:rsid w:val="00C51174"/>
    <w:rsid w:val="00C514A0"/>
    <w:rsid w:val="00C5194F"/>
    <w:rsid w:val="00C5357C"/>
    <w:rsid w:val="00C53B65"/>
    <w:rsid w:val="00C53CF1"/>
    <w:rsid w:val="00C53EB2"/>
    <w:rsid w:val="00C5473F"/>
    <w:rsid w:val="00C54BE8"/>
    <w:rsid w:val="00C55D03"/>
    <w:rsid w:val="00C55F77"/>
    <w:rsid w:val="00C5668E"/>
    <w:rsid w:val="00C574D4"/>
    <w:rsid w:val="00C57D54"/>
    <w:rsid w:val="00C61332"/>
    <w:rsid w:val="00C613C0"/>
    <w:rsid w:val="00C614C3"/>
    <w:rsid w:val="00C616D2"/>
    <w:rsid w:val="00C63A49"/>
    <w:rsid w:val="00C63CA7"/>
    <w:rsid w:val="00C64454"/>
    <w:rsid w:val="00C6474C"/>
    <w:rsid w:val="00C64EAC"/>
    <w:rsid w:val="00C6538F"/>
    <w:rsid w:val="00C65F17"/>
    <w:rsid w:val="00C669B1"/>
    <w:rsid w:val="00C678DA"/>
    <w:rsid w:val="00C67EBA"/>
    <w:rsid w:val="00C704D2"/>
    <w:rsid w:val="00C70D6B"/>
    <w:rsid w:val="00C71466"/>
    <w:rsid w:val="00C72272"/>
    <w:rsid w:val="00C73FB5"/>
    <w:rsid w:val="00C740DA"/>
    <w:rsid w:val="00C74B6B"/>
    <w:rsid w:val="00C7554E"/>
    <w:rsid w:val="00C762AF"/>
    <w:rsid w:val="00C764A9"/>
    <w:rsid w:val="00C80634"/>
    <w:rsid w:val="00C8082A"/>
    <w:rsid w:val="00C809A3"/>
    <w:rsid w:val="00C82012"/>
    <w:rsid w:val="00C82E49"/>
    <w:rsid w:val="00C83254"/>
    <w:rsid w:val="00C834E4"/>
    <w:rsid w:val="00C835A6"/>
    <w:rsid w:val="00C83E13"/>
    <w:rsid w:val="00C84E85"/>
    <w:rsid w:val="00C85BE9"/>
    <w:rsid w:val="00C86491"/>
    <w:rsid w:val="00C86840"/>
    <w:rsid w:val="00C86C56"/>
    <w:rsid w:val="00C86FD6"/>
    <w:rsid w:val="00C8701D"/>
    <w:rsid w:val="00C87635"/>
    <w:rsid w:val="00C87AD5"/>
    <w:rsid w:val="00C900B8"/>
    <w:rsid w:val="00C9091E"/>
    <w:rsid w:val="00C91406"/>
    <w:rsid w:val="00C9156D"/>
    <w:rsid w:val="00C91570"/>
    <w:rsid w:val="00C92A32"/>
    <w:rsid w:val="00C92AED"/>
    <w:rsid w:val="00C93039"/>
    <w:rsid w:val="00C9315B"/>
    <w:rsid w:val="00C9335A"/>
    <w:rsid w:val="00C93483"/>
    <w:rsid w:val="00C934A6"/>
    <w:rsid w:val="00C93778"/>
    <w:rsid w:val="00C93C28"/>
    <w:rsid w:val="00C946F0"/>
    <w:rsid w:val="00C9474B"/>
    <w:rsid w:val="00C9568C"/>
    <w:rsid w:val="00C95D00"/>
    <w:rsid w:val="00C95D47"/>
    <w:rsid w:val="00C95E46"/>
    <w:rsid w:val="00CA05AE"/>
    <w:rsid w:val="00CA0E2B"/>
    <w:rsid w:val="00CA0E5B"/>
    <w:rsid w:val="00CA0EE1"/>
    <w:rsid w:val="00CA2766"/>
    <w:rsid w:val="00CA276B"/>
    <w:rsid w:val="00CA2E82"/>
    <w:rsid w:val="00CA3C4A"/>
    <w:rsid w:val="00CA3C59"/>
    <w:rsid w:val="00CA4060"/>
    <w:rsid w:val="00CA4415"/>
    <w:rsid w:val="00CA4715"/>
    <w:rsid w:val="00CA4CA8"/>
    <w:rsid w:val="00CA4D36"/>
    <w:rsid w:val="00CA5016"/>
    <w:rsid w:val="00CA53E7"/>
    <w:rsid w:val="00CA6583"/>
    <w:rsid w:val="00CA6613"/>
    <w:rsid w:val="00CA67D5"/>
    <w:rsid w:val="00CA719A"/>
    <w:rsid w:val="00CA74C6"/>
    <w:rsid w:val="00CA7E19"/>
    <w:rsid w:val="00CB006F"/>
    <w:rsid w:val="00CB0E4C"/>
    <w:rsid w:val="00CB12D9"/>
    <w:rsid w:val="00CB13DB"/>
    <w:rsid w:val="00CB18CA"/>
    <w:rsid w:val="00CB2257"/>
    <w:rsid w:val="00CB23AB"/>
    <w:rsid w:val="00CB2A3D"/>
    <w:rsid w:val="00CB2B7C"/>
    <w:rsid w:val="00CB2D40"/>
    <w:rsid w:val="00CB4325"/>
    <w:rsid w:val="00CB440D"/>
    <w:rsid w:val="00CB44DD"/>
    <w:rsid w:val="00CB4B7D"/>
    <w:rsid w:val="00CB5A5F"/>
    <w:rsid w:val="00CB5D6B"/>
    <w:rsid w:val="00CB6235"/>
    <w:rsid w:val="00CB701B"/>
    <w:rsid w:val="00CC0105"/>
    <w:rsid w:val="00CC1E8B"/>
    <w:rsid w:val="00CC2263"/>
    <w:rsid w:val="00CC260E"/>
    <w:rsid w:val="00CC2F35"/>
    <w:rsid w:val="00CC30E1"/>
    <w:rsid w:val="00CC37CA"/>
    <w:rsid w:val="00CC39CF"/>
    <w:rsid w:val="00CC48EF"/>
    <w:rsid w:val="00CC4A5C"/>
    <w:rsid w:val="00CC4F29"/>
    <w:rsid w:val="00CC4FAC"/>
    <w:rsid w:val="00CC50FB"/>
    <w:rsid w:val="00CC511C"/>
    <w:rsid w:val="00CC583A"/>
    <w:rsid w:val="00CC5981"/>
    <w:rsid w:val="00CC6812"/>
    <w:rsid w:val="00CC7771"/>
    <w:rsid w:val="00CD0D99"/>
    <w:rsid w:val="00CD0E5C"/>
    <w:rsid w:val="00CD1093"/>
    <w:rsid w:val="00CD1258"/>
    <w:rsid w:val="00CD1437"/>
    <w:rsid w:val="00CD174E"/>
    <w:rsid w:val="00CD1CBD"/>
    <w:rsid w:val="00CD21ED"/>
    <w:rsid w:val="00CD22C7"/>
    <w:rsid w:val="00CD2A94"/>
    <w:rsid w:val="00CD3529"/>
    <w:rsid w:val="00CD407D"/>
    <w:rsid w:val="00CD48FF"/>
    <w:rsid w:val="00CD5AD7"/>
    <w:rsid w:val="00CD5EBF"/>
    <w:rsid w:val="00CD6528"/>
    <w:rsid w:val="00CD700D"/>
    <w:rsid w:val="00CD7D12"/>
    <w:rsid w:val="00CE0653"/>
    <w:rsid w:val="00CE167B"/>
    <w:rsid w:val="00CE18C7"/>
    <w:rsid w:val="00CE1F76"/>
    <w:rsid w:val="00CE2514"/>
    <w:rsid w:val="00CE30E2"/>
    <w:rsid w:val="00CE3743"/>
    <w:rsid w:val="00CE515A"/>
    <w:rsid w:val="00CE5F99"/>
    <w:rsid w:val="00CE68BC"/>
    <w:rsid w:val="00CE798E"/>
    <w:rsid w:val="00CE7BC6"/>
    <w:rsid w:val="00CF14FC"/>
    <w:rsid w:val="00CF22EF"/>
    <w:rsid w:val="00CF28FB"/>
    <w:rsid w:val="00CF3F0D"/>
    <w:rsid w:val="00CF45E3"/>
    <w:rsid w:val="00CF4791"/>
    <w:rsid w:val="00CF5653"/>
    <w:rsid w:val="00CF5D92"/>
    <w:rsid w:val="00CF6E01"/>
    <w:rsid w:val="00CF6F21"/>
    <w:rsid w:val="00CF77A8"/>
    <w:rsid w:val="00CF7A1D"/>
    <w:rsid w:val="00CF7DF9"/>
    <w:rsid w:val="00D000FB"/>
    <w:rsid w:val="00D0057B"/>
    <w:rsid w:val="00D00638"/>
    <w:rsid w:val="00D01A02"/>
    <w:rsid w:val="00D01BDE"/>
    <w:rsid w:val="00D01BE0"/>
    <w:rsid w:val="00D01E0A"/>
    <w:rsid w:val="00D02647"/>
    <w:rsid w:val="00D039DF"/>
    <w:rsid w:val="00D043F1"/>
    <w:rsid w:val="00D04576"/>
    <w:rsid w:val="00D04738"/>
    <w:rsid w:val="00D04A40"/>
    <w:rsid w:val="00D0704F"/>
    <w:rsid w:val="00D12260"/>
    <w:rsid w:val="00D155D0"/>
    <w:rsid w:val="00D173C4"/>
    <w:rsid w:val="00D1745A"/>
    <w:rsid w:val="00D17532"/>
    <w:rsid w:val="00D22C0E"/>
    <w:rsid w:val="00D2305C"/>
    <w:rsid w:val="00D24D56"/>
    <w:rsid w:val="00D24FB7"/>
    <w:rsid w:val="00D25300"/>
    <w:rsid w:val="00D254C3"/>
    <w:rsid w:val="00D25CCE"/>
    <w:rsid w:val="00D271FB"/>
    <w:rsid w:val="00D273D9"/>
    <w:rsid w:val="00D27997"/>
    <w:rsid w:val="00D300D1"/>
    <w:rsid w:val="00D30F6B"/>
    <w:rsid w:val="00D3102F"/>
    <w:rsid w:val="00D3164F"/>
    <w:rsid w:val="00D3196F"/>
    <w:rsid w:val="00D3274F"/>
    <w:rsid w:val="00D331E9"/>
    <w:rsid w:val="00D34EBB"/>
    <w:rsid w:val="00D35176"/>
    <w:rsid w:val="00D3559A"/>
    <w:rsid w:val="00D358D4"/>
    <w:rsid w:val="00D363F2"/>
    <w:rsid w:val="00D3677B"/>
    <w:rsid w:val="00D3773F"/>
    <w:rsid w:val="00D377B7"/>
    <w:rsid w:val="00D400C1"/>
    <w:rsid w:val="00D4033F"/>
    <w:rsid w:val="00D41578"/>
    <w:rsid w:val="00D41A27"/>
    <w:rsid w:val="00D41D63"/>
    <w:rsid w:val="00D42676"/>
    <w:rsid w:val="00D42F5F"/>
    <w:rsid w:val="00D43298"/>
    <w:rsid w:val="00D434C3"/>
    <w:rsid w:val="00D43659"/>
    <w:rsid w:val="00D43C97"/>
    <w:rsid w:val="00D44E6E"/>
    <w:rsid w:val="00D45B33"/>
    <w:rsid w:val="00D471DA"/>
    <w:rsid w:val="00D473B6"/>
    <w:rsid w:val="00D50D4F"/>
    <w:rsid w:val="00D5259F"/>
    <w:rsid w:val="00D525AB"/>
    <w:rsid w:val="00D527FB"/>
    <w:rsid w:val="00D541FA"/>
    <w:rsid w:val="00D5619C"/>
    <w:rsid w:val="00D566A3"/>
    <w:rsid w:val="00D56D2C"/>
    <w:rsid w:val="00D571A9"/>
    <w:rsid w:val="00D57888"/>
    <w:rsid w:val="00D57E9C"/>
    <w:rsid w:val="00D57F84"/>
    <w:rsid w:val="00D603F4"/>
    <w:rsid w:val="00D60826"/>
    <w:rsid w:val="00D62C91"/>
    <w:rsid w:val="00D62E00"/>
    <w:rsid w:val="00D6543E"/>
    <w:rsid w:val="00D66DAA"/>
    <w:rsid w:val="00D676DE"/>
    <w:rsid w:val="00D67EA6"/>
    <w:rsid w:val="00D70585"/>
    <w:rsid w:val="00D70877"/>
    <w:rsid w:val="00D71984"/>
    <w:rsid w:val="00D719F3"/>
    <w:rsid w:val="00D71A0E"/>
    <w:rsid w:val="00D71FE5"/>
    <w:rsid w:val="00D72CF1"/>
    <w:rsid w:val="00D72FAA"/>
    <w:rsid w:val="00D73C7C"/>
    <w:rsid w:val="00D748F3"/>
    <w:rsid w:val="00D74A6D"/>
    <w:rsid w:val="00D750C7"/>
    <w:rsid w:val="00D774F8"/>
    <w:rsid w:val="00D7778E"/>
    <w:rsid w:val="00D777F8"/>
    <w:rsid w:val="00D80A02"/>
    <w:rsid w:val="00D810F9"/>
    <w:rsid w:val="00D82405"/>
    <w:rsid w:val="00D8269F"/>
    <w:rsid w:val="00D82D79"/>
    <w:rsid w:val="00D84528"/>
    <w:rsid w:val="00D856E5"/>
    <w:rsid w:val="00D860EE"/>
    <w:rsid w:val="00D866D3"/>
    <w:rsid w:val="00D86ABF"/>
    <w:rsid w:val="00D86D16"/>
    <w:rsid w:val="00D86FA8"/>
    <w:rsid w:val="00D87070"/>
    <w:rsid w:val="00D87BFE"/>
    <w:rsid w:val="00D906F3"/>
    <w:rsid w:val="00D9076D"/>
    <w:rsid w:val="00D9142C"/>
    <w:rsid w:val="00D914DE"/>
    <w:rsid w:val="00D92F21"/>
    <w:rsid w:val="00D93951"/>
    <w:rsid w:val="00D940D8"/>
    <w:rsid w:val="00D95D9B"/>
    <w:rsid w:val="00D95DA4"/>
    <w:rsid w:val="00D96E93"/>
    <w:rsid w:val="00D96EC6"/>
    <w:rsid w:val="00D96EE5"/>
    <w:rsid w:val="00D97E6B"/>
    <w:rsid w:val="00DA0EEA"/>
    <w:rsid w:val="00DA10AA"/>
    <w:rsid w:val="00DA14C8"/>
    <w:rsid w:val="00DA152E"/>
    <w:rsid w:val="00DA15A5"/>
    <w:rsid w:val="00DA17C6"/>
    <w:rsid w:val="00DA1F1E"/>
    <w:rsid w:val="00DA21E6"/>
    <w:rsid w:val="00DA2EDE"/>
    <w:rsid w:val="00DA31B1"/>
    <w:rsid w:val="00DA397C"/>
    <w:rsid w:val="00DA3A06"/>
    <w:rsid w:val="00DA3CE5"/>
    <w:rsid w:val="00DA5085"/>
    <w:rsid w:val="00DA51F4"/>
    <w:rsid w:val="00DA5318"/>
    <w:rsid w:val="00DA53A3"/>
    <w:rsid w:val="00DA5A34"/>
    <w:rsid w:val="00DA69BA"/>
    <w:rsid w:val="00DA7198"/>
    <w:rsid w:val="00DA7518"/>
    <w:rsid w:val="00DB12C4"/>
    <w:rsid w:val="00DB1F9C"/>
    <w:rsid w:val="00DB2229"/>
    <w:rsid w:val="00DB2A44"/>
    <w:rsid w:val="00DB3C3A"/>
    <w:rsid w:val="00DB4A27"/>
    <w:rsid w:val="00DB5412"/>
    <w:rsid w:val="00DB574F"/>
    <w:rsid w:val="00DB5BD8"/>
    <w:rsid w:val="00DB5FEC"/>
    <w:rsid w:val="00DB64F7"/>
    <w:rsid w:val="00DB7505"/>
    <w:rsid w:val="00DC01F5"/>
    <w:rsid w:val="00DC0DFD"/>
    <w:rsid w:val="00DC16C9"/>
    <w:rsid w:val="00DC1A14"/>
    <w:rsid w:val="00DC1B03"/>
    <w:rsid w:val="00DC1C1E"/>
    <w:rsid w:val="00DC25F7"/>
    <w:rsid w:val="00DC27CC"/>
    <w:rsid w:val="00DC3356"/>
    <w:rsid w:val="00DC3ABB"/>
    <w:rsid w:val="00DC4263"/>
    <w:rsid w:val="00DC4D43"/>
    <w:rsid w:val="00DC4EC6"/>
    <w:rsid w:val="00DC5CE0"/>
    <w:rsid w:val="00DC5D73"/>
    <w:rsid w:val="00DC6E46"/>
    <w:rsid w:val="00DC7099"/>
    <w:rsid w:val="00DC7141"/>
    <w:rsid w:val="00DC7342"/>
    <w:rsid w:val="00DC772B"/>
    <w:rsid w:val="00DC7B28"/>
    <w:rsid w:val="00DD11B9"/>
    <w:rsid w:val="00DD1A21"/>
    <w:rsid w:val="00DD1BAC"/>
    <w:rsid w:val="00DD1FAE"/>
    <w:rsid w:val="00DD2443"/>
    <w:rsid w:val="00DD2F33"/>
    <w:rsid w:val="00DD35BC"/>
    <w:rsid w:val="00DD3ABC"/>
    <w:rsid w:val="00DD4BDD"/>
    <w:rsid w:val="00DD5A77"/>
    <w:rsid w:val="00DD6DDF"/>
    <w:rsid w:val="00DD6DFC"/>
    <w:rsid w:val="00DE1BD5"/>
    <w:rsid w:val="00DE2E29"/>
    <w:rsid w:val="00DE3162"/>
    <w:rsid w:val="00DE416B"/>
    <w:rsid w:val="00DE626A"/>
    <w:rsid w:val="00DE6362"/>
    <w:rsid w:val="00DE69E2"/>
    <w:rsid w:val="00DF0134"/>
    <w:rsid w:val="00DF0C8B"/>
    <w:rsid w:val="00DF0DAD"/>
    <w:rsid w:val="00DF1CAF"/>
    <w:rsid w:val="00DF2351"/>
    <w:rsid w:val="00DF2D1E"/>
    <w:rsid w:val="00DF6654"/>
    <w:rsid w:val="00DF6CA0"/>
    <w:rsid w:val="00DF6CD3"/>
    <w:rsid w:val="00DF7395"/>
    <w:rsid w:val="00DF7612"/>
    <w:rsid w:val="00E00969"/>
    <w:rsid w:val="00E01B5B"/>
    <w:rsid w:val="00E0277A"/>
    <w:rsid w:val="00E03934"/>
    <w:rsid w:val="00E03E62"/>
    <w:rsid w:val="00E07485"/>
    <w:rsid w:val="00E10779"/>
    <w:rsid w:val="00E109FE"/>
    <w:rsid w:val="00E10AB1"/>
    <w:rsid w:val="00E11A21"/>
    <w:rsid w:val="00E15437"/>
    <w:rsid w:val="00E15FC7"/>
    <w:rsid w:val="00E164D0"/>
    <w:rsid w:val="00E20E63"/>
    <w:rsid w:val="00E21B3E"/>
    <w:rsid w:val="00E22510"/>
    <w:rsid w:val="00E2400A"/>
    <w:rsid w:val="00E25440"/>
    <w:rsid w:val="00E260C8"/>
    <w:rsid w:val="00E26920"/>
    <w:rsid w:val="00E2778A"/>
    <w:rsid w:val="00E2784A"/>
    <w:rsid w:val="00E304C4"/>
    <w:rsid w:val="00E30A28"/>
    <w:rsid w:val="00E30D61"/>
    <w:rsid w:val="00E310FD"/>
    <w:rsid w:val="00E3165C"/>
    <w:rsid w:val="00E31E7B"/>
    <w:rsid w:val="00E33ADC"/>
    <w:rsid w:val="00E34340"/>
    <w:rsid w:val="00E3557E"/>
    <w:rsid w:val="00E35CBD"/>
    <w:rsid w:val="00E35F99"/>
    <w:rsid w:val="00E36142"/>
    <w:rsid w:val="00E36854"/>
    <w:rsid w:val="00E37829"/>
    <w:rsid w:val="00E4219A"/>
    <w:rsid w:val="00E42792"/>
    <w:rsid w:val="00E42B1D"/>
    <w:rsid w:val="00E44013"/>
    <w:rsid w:val="00E44494"/>
    <w:rsid w:val="00E4686E"/>
    <w:rsid w:val="00E47666"/>
    <w:rsid w:val="00E50382"/>
    <w:rsid w:val="00E525C7"/>
    <w:rsid w:val="00E52864"/>
    <w:rsid w:val="00E530CE"/>
    <w:rsid w:val="00E5331C"/>
    <w:rsid w:val="00E537FD"/>
    <w:rsid w:val="00E53AD9"/>
    <w:rsid w:val="00E53FA6"/>
    <w:rsid w:val="00E55CD0"/>
    <w:rsid w:val="00E55EEC"/>
    <w:rsid w:val="00E55FF5"/>
    <w:rsid w:val="00E57A11"/>
    <w:rsid w:val="00E6002F"/>
    <w:rsid w:val="00E60AED"/>
    <w:rsid w:val="00E614B0"/>
    <w:rsid w:val="00E61528"/>
    <w:rsid w:val="00E61582"/>
    <w:rsid w:val="00E6186A"/>
    <w:rsid w:val="00E64EF5"/>
    <w:rsid w:val="00E659F2"/>
    <w:rsid w:val="00E669F0"/>
    <w:rsid w:val="00E67155"/>
    <w:rsid w:val="00E67A39"/>
    <w:rsid w:val="00E67EED"/>
    <w:rsid w:val="00E7065F"/>
    <w:rsid w:val="00E714C6"/>
    <w:rsid w:val="00E71E86"/>
    <w:rsid w:val="00E74E5D"/>
    <w:rsid w:val="00E75A61"/>
    <w:rsid w:val="00E77590"/>
    <w:rsid w:val="00E77732"/>
    <w:rsid w:val="00E77A81"/>
    <w:rsid w:val="00E80763"/>
    <w:rsid w:val="00E80D1B"/>
    <w:rsid w:val="00E8175D"/>
    <w:rsid w:val="00E8197B"/>
    <w:rsid w:val="00E828BF"/>
    <w:rsid w:val="00E83542"/>
    <w:rsid w:val="00E83813"/>
    <w:rsid w:val="00E83B6D"/>
    <w:rsid w:val="00E852FF"/>
    <w:rsid w:val="00E85385"/>
    <w:rsid w:val="00E85B0F"/>
    <w:rsid w:val="00E86B1D"/>
    <w:rsid w:val="00E86E33"/>
    <w:rsid w:val="00E87033"/>
    <w:rsid w:val="00E8777E"/>
    <w:rsid w:val="00E879B0"/>
    <w:rsid w:val="00E87D1B"/>
    <w:rsid w:val="00E87DA5"/>
    <w:rsid w:val="00E87F76"/>
    <w:rsid w:val="00E913C4"/>
    <w:rsid w:val="00E91AB4"/>
    <w:rsid w:val="00E91D05"/>
    <w:rsid w:val="00E92F85"/>
    <w:rsid w:val="00E934D6"/>
    <w:rsid w:val="00E954F2"/>
    <w:rsid w:val="00E9729D"/>
    <w:rsid w:val="00EA02FB"/>
    <w:rsid w:val="00EA0825"/>
    <w:rsid w:val="00EA1176"/>
    <w:rsid w:val="00EA157E"/>
    <w:rsid w:val="00EA266A"/>
    <w:rsid w:val="00EA2BAC"/>
    <w:rsid w:val="00EA30B1"/>
    <w:rsid w:val="00EA36D1"/>
    <w:rsid w:val="00EA3995"/>
    <w:rsid w:val="00EA3D99"/>
    <w:rsid w:val="00EA5191"/>
    <w:rsid w:val="00EA5907"/>
    <w:rsid w:val="00EA5C19"/>
    <w:rsid w:val="00EA66E1"/>
    <w:rsid w:val="00EA7176"/>
    <w:rsid w:val="00EB026F"/>
    <w:rsid w:val="00EB053A"/>
    <w:rsid w:val="00EB1BAD"/>
    <w:rsid w:val="00EB3183"/>
    <w:rsid w:val="00EB3CE3"/>
    <w:rsid w:val="00EB4FCF"/>
    <w:rsid w:val="00EB51DC"/>
    <w:rsid w:val="00EB53A9"/>
    <w:rsid w:val="00EB5A4A"/>
    <w:rsid w:val="00EB7559"/>
    <w:rsid w:val="00EB7673"/>
    <w:rsid w:val="00EC05E3"/>
    <w:rsid w:val="00EC0BBE"/>
    <w:rsid w:val="00EC0C19"/>
    <w:rsid w:val="00EC10F4"/>
    <w:rsid w:val="00EC11C0"/>
    <w:rsid w:val="00EC2046"/>
    <w:rsid w:val="00EC27DE"/>
    <w:rsid w:val="00EC2C38"/>
    <w:rsid w:val="00EC47D1"/>
    <w:rsid w:val="00EC4860"/>
    <w:rsid w:val="00EC4C82"/>
    <w:rsid w:val="00EC5710"/>
    <w:rsid w:val="00EC6C0D"/>
    <w:rsid w:val="00EC72F6"/>
    <w:rsid w:val="00EC79FF"/>
    <w:rsid w:val="00ED0CCB"/>
    <w:rsid w:val="00ED16CD"/>
    <w:rsid w:val="00ED1AC3"/>
    <w:rsid w:val="00ED1B36"/>
    <w:rsid w:val="00ED1CEE"/>
    <w:rsid w:val="00ED473F"/>
    <w:rsid w:val="00ED4A73"/>
    <w:rsid w:val="00ED6FE2"/>
    <w:rsid w:val="00ED74B9"/>
    <w:rsid w:val="00ED7929"/>
    <w:rsid w:val="00EE0061"/>
    <w:rsid w:val="00EE09DF"/>
    <w:rsid w:val="00EE15E8"/>
    <w:rsid w:val="00EE2059"/>
    <w:rsid w:val="00EE319E"/>
    <w:rsid w:val="00EE33F2"/>
    <w:rsid w:val="00EE3D2E"/>
    <w:rsid w:val="00EE4F50"/>
    <w:rsid w:val="00EE619B"/>
    <w:rsid w:val="00EE7348"/>
    <w:rsid w:val="00EE78EC"/>
    <w:rsid w:val="00EE790E"/>
    <w:rsid w:val="00EF0DD5"/>
    <w:rsid w:val="00EF1A05"/>
    <w:rsid w:val="00EF1B3F"/>
    <w:rsid w:val="00EF1D5B"/>
    <w:rsid w:val="00EF1E43"/>
    <w:rsid w:val="00EF2457"/>
    <w:rsid w:val="00EF2742"/>
    <w:rsid w:val="00EF2D09"/>
    <w:rsid w:val="00EF4934"/>
    <w:rsid w:val="00EF497A"/>
    <w:rsid w:val="00EF78D9"/>
    <w:rsid w:val="00EF7C64"/>
    <w:rsid w:val="00EF7E41"/>
    <w:rsid w:val="00F00482"/>
    <w:rsid w:val="00F0074C"/>
    <w:rsid w:val="00F00B8E"/>
    <w:rsid w:val="00F00C58"/>
    <w:rsid w:val="00F01A2C"/>
    <w:rsid w:val="00F01DD2"/>
    <w:rsid w:val="00F01EAE"/>
    <w:rsid w:val="00F02250"/>
    <w:rsid w:val="00F02A1C"/>
    <w:rsid w:val="00F02CD2"/>
    <w:rsid w:val="00F02FC7"/>
    <w:rsid w:val="00F03AAB"/>
    <w:rsid w:val="00F043BC"/>
    <w:rsid w:val="00F04423"/>
    <w:rsid w:val="00F04E3C"/>
    <w:rsid w:val="00F0506E"/>
    <w:rsid w:val="00F060B3"/>
    <w:rsid w:val="00F10BA2"/>
    <w:rsid w:val="00F117A4"/>
    <w:rsid w:val="00F11BA9"/>
    <w:rsid w:val="00F130D6"/>
    <w:rsid w:val="00F13281"/>
    <w:rsid w:val="00F1420C"/>
    <w:rsid w:val="00F14C94"/>
    <w:rsid w:val="00F15651"/>
    <w:rsid w:val="00F1568A"/>
    <w:rsid w:val="00F15A11"/>
    <w:rsid w:val="00F21635"/>
    <w:rsid w:val="00F227B0"/>
    <w:rsid w:val="00F24630"/>
    <w:rsid w:val="00F24D69"/>
    <w:rsid w:val="00F27C39"/>
    <w:rsid w:val="00F32389"/>
    <w:rsid w:val="00F3248A"/>
    <w:rsid w:val="00F32A5A"/>
    <w:rsid w:val="00F33D42"/>
    <w:rsid w:val="00F34609"/>
    <w:rsid w:val="00F34DC2"/>
    <w:rsid w:val="00F34FF3"/>
    <w:rsid w:val="00F35303"/>
    <w:rsid w:val="00F3680E"/>
    <w:rsid w:val="00F370A5"/>
    <w:rsid w:val="00F37143"/>
    <w:rsid w:val="00F37F36"/>
    <w:rsid w:val="00F40067"/>
    <w:rsid w:val="00F40092"/>
    <w:rsid w:val="00F400AC"/>
    <w:rsid w:val="00F408FF"/>
    <w:rsid w:val="00F40C33"/>
    <w:rsid w:val="00F41093"/>
    <w:rsid w:val="00F412D3"/>
    <w:rsid w:val="00F42D13"/>
    <w:rsid w:val="00F43424"/>
    <w:rsid w:val="00F43F38"/>
    <w:rsid w:val="00F443DF"/>
    <w:rsid w:val="00F44DEB"/>
    <w:rsid w:val="00F459DA"/>
    <w:rsid w:val="00F465FE"/>
    <w:rsid w:val="00F46766"/>
    <w:rsid w:val="00F470DC"/>
    <w:rsid w:val="00F474D5"/>
    <w:rsid w:val="00F474ED"/>
    <w:rsid w:val="00F50CF0"/>
    <w:rsid w:val="00F51511"/>
    <w:rsid w:val="00F5272F"/>
    <w:rsid w:val="00F52A49"/>
    <w:rsid w:val="00F54336"/>
    <w:rsid w:val="00F547B7"/>
    <w:rsid w:val="00F55F67"/>
    <w:rsid w:val="00F56C4A"/>
    <w:rsid w:val="00F56D51"/>
    <w:rsid w:val="00F572B2"/>
    <w:rsid w:val="00F57EF5"/>
    <w:rsid w:val="00F6026E"/>
    <w:rsid w:val="00F60603"/>
    <w:rsid w:val="00F60D30"/>
    <w:rsid w:val="00F614DE"/>
    <w:rsid w:val="00F61949"/>
    <w:rsid w:val="00F61CC5"/>
    <w:rsid w:val="00F61FD8"/>
    <w:rsid w:val="00F632AC"/>
    <w:rsid w:val="00F64E3A"/>
    <w:rsid w:val="00F652A1"/>
    <w:rsid w:val="00F66291"/>
    <w:rsid w:val="00F66641"/>
    <w:rsid w:val="00F66754"/>
    <w:rsid w:val="00F66FCF"/>
    <w:rsid w:val="00F7034E"/>
    <w:rsid w:val="00F71107"/>
    <w:rsid w:val="00F715EA"/>
    <w:rsid w:val="00F71BC5"/>
    <w:rsid w:val="00F72BB5"/>
    <w:rsid w:val="00F72C5A"/>
    <w:rsid w:val="00F7351F"/>
    <w:rsid w:val="00F74848"/>
    <w:rsid w:val="00F74878"/>
    <w:rsid w:val="00F74AF5"/>
    <w:rsid w:val="00F75BB3"/>
    <w:rsid w:val="00F76B64"/>
    <w:rsid w:val="00F80513"/>
    <w:rsid w:val="00F8069D"/>
    <w:rsid w:val="00F80CA7"/>
    <w:rsid w:val="00F80EB9"/>
    <w:rsid w:val="00F8165D"/>
    <w:rsid w:val="00F827DC"/>
    <w:rsid w:val="00F82E4D"/>
    <w:rsid w:val="00F834D6"/>
    <w:rsid w:val="00F8388F"/>
    <w:rsid w:val="00F845A2"/>
    <w:rsid w:val="00F845B2"/>
    <w:rsid w:val="00F846D7"/>
    <w:rsid w:val="00F8569E"/>
    <w:rsid w:val="00F86692"/>
    <w:rsid w:val="00F87063"/>
    <w:rsid w:val="00F87120"/>
    <w:rsid w:val="00F90694"/>
    <w:rsid w:val="00F90E3D"/>
    <w:rsid w:val="00F93297"/>
    <w:rsid w:val="00F9376A"/>
    <w:rsid w:val="00F93876"/>
    <w:rsid w:val="00F9446C"/>
    <w:rsid w:val="00F946FB"/>
    <w:rsid w:val="00F94B84"/>
    <w:rsid w:val="00F95838"/>
    <w:rsid w:val="00F95BE7"/>
    <w:rsid w:val="00F963E7"/>
    <w:rsid w:val="00F9747C"/>
    <w:rsid w:val="00F97AAC"/>
    <w:rsid w:val="00FA14EE"/>
    <w:rsid w:val="00FA17EF"/>
    <w:rsid w:val="00FA2510"/>
    <w:rsid w:val="00FA2B05"/>
    <w:rsid w:val="00FA32EA"/>
    <w:rsid w:val="00FA4866"/>
    <w:rsid w:val="00FA5499"/>
    <w:rsid w:val="00FA5D8D"/>
    <w:rsid w:val="00FA5DA4"/>
    <w:rsid w:val="00FA5FA0"/>
    <w:rsid w:val="00FA624E"/>
    <w:rsid w:val="00FA6438"/>
    <w:rsid w:val="00FA64F1"/>
    <w:rsid w:val="00FA69B1"/>
    <w:rsid w:val="00FA7D08"/>
    <w:rsid w:val="00FA7F56"/>
    <w:rsid w:val="00FB03E9"/>
    <w:rsid w:val="00FB07BA"/>
    <w:rsid w:val="00FB0B83"/>
    <w:rsid w:val="00FB185E"/>
    <w:rsid w:val="00FB348C"/>
    <w:rsid w:val="00FB3A40"/>
    <w:rsid w:val="00FB3E61"/>
    <w:rsid w:val="00FB425D"/>
    <w:rsid w:val="00FB51A0"/>
    <w:rsid w:val="00FB66E7"/>
    <w:rsid w:val="00FB6B8A"/>
    <w:rsid w:val="00FB6DF7"/>
    <w:rsid w:val="00FB6E7B"/>
    <w:rsid w:val="00FC15EF"/>
    <w:rsid w:val="00FC341C"/>
    <w:rsid w:val="00FC4B5A"/>
    <w:rsid w:val="00FC50A4"/>
    <w:rsid w:val="00FC5AE8"/>
    <w:rsid w:val="00FC5AF5"/>
    <w:rsid w:val="00FC6552"/>
    <w:rsid w:val="00FC6D82"/>
    <w:rsid w:val="00FC7073"/>
    <w:rsid w:val="00FD11A3"/>
    <w:rsid w:val="00FD1F8B"/>
    <w:rsid w:val="00FD204A"/>
    <w:rsid w:val="00FD262A"/>
    <w:rsid w:val="00FD2F39"/>
    <w:rsid w:val="00FD32D1"/>
    <w:rsid w:val="00FD3CE4"/>
    <w:rsid w:val="00FD4A17"/>
    <w:rsid w:val="00FD67BF"/>
    <w:rsid w:val="00FD7106"/>
    <w:rsid w:val="00FD73FB"/>
    <w:rsid w:val="00FD7FEB"/>
    <w:rsid w:val="00FE03AE"/>
    <w:rsid w:val="00FE0A5A"/>
    <w:rsid w:val="00FE1946"/>
    <w:rsid w:val="00FE23FF"/>
    <w:rsid w:val="00FE2CCE"/>
    <w:rsid w:val="00FE308A"/>
    <w:rsid w:val="00FE379B"/>
    <w:rsid w:val="00FE3AC9"/>
    <w:rsid w:val="00FE436C"/>
    <w:rsid w:val="00FE5250"/>
    <w:rsid w:val="00FE533C"/>
    <w:rsid w:val="00FE6F00"/>
    <w:rsid w:val="00FE729E"/>
    <w:rsid w:val="00FF0E3B"/>
    <w:rsid w:val="00FF106B"/>
    <w:rsid w:val="00FF1349"/>
    <w:rsid w:val="00FF1C40"/>
    <w:rsid w:val="00FF1FC5"/>
    <w:rsid w:val="00FF2277"/>
    <w:rsid w:val="00FF22CB"/>
    <w:rsid w:val="00FF3B26"/>
    <w:rsid w:val="00FF3DC9"/>
    <w:rsid w:val="00FF47CA"/>
    <w:rsid w:val="00FF562D"/>
    <w:rsid w:val="00FF5EA6"/>
    <w:rsid w:val="00FF6297"/>
    <w:rsid w:val="00FF755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5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78A6"/>
    <w:rPr>
      <w:sz w:val="26"/>
    </w:rPr>
  </w:style>
  <w:style w:type="paragraph" w:styleId="Heading1">
    <w:name w:val="heading 1"/>
    <w:basedOn w:val="Normal"/>
    <w:next w:val="FERCparanumber"/>
    <w:qFormat/>
    <w:rsid w:val="007878A6"/>
    <w:pPr>
      <w:keepNext/>
      <w:keepLines/>
      <w:numPr>
        <w:numId w:val="14"/>
      </w:numPr>
      <w:spacing w:after="260"/>
      <w:outlineLvl w:val="0"/>
    </w:pPr>
    <w:rPr>
      <w:b/>
      <w:bCs/>
      <w:kern w:val="32"/>
      <w:szCs w:val="32"/>
      <w:u w:val="single"/>
    </w:rPr>
  </w:style>
  <w:style w:type="paragraph" w:styleId="Heading2">
    <w:name w:val="heading 2"/>
    <w:basedOn w:val="Normal"/>
    <w:next w:val="FERCparanumber"/>
    <w:link w:val="Heading2Char"/>
    <w:qFormat/>
    <w:rsid w:val="00B771E6"/>
    <w:pPr>
      <w:keepNext/>
      <w:keepLines/>
      <w:numPr>
        <w:ilvl w:val="1"/>
        <w:numId w:val="14"/>
      </w:numPr>
      <w:tabs>
        <w:tab w:val="clear" w:pos="1350"/>
        <w:tab w:val="num" w:pos="720"/>
        <w:tab w:val="num" w:pos="1440"/>
      </w:tabs>
      <w:spacing w:after="260"/>
      <w:ind w:left="1440"/>
      <w:outlineLvl w:val="1"/>
    </w:pPr>
    <w:rPr>
      <w:b/>
      <w:bCs/>
      <w:iCs/>
      <w:kern w:val="32"/>
      <w:szCs w:val="28"/>
      <w:u w:val="single"/>
    </w:rPr>
  </w:style>
  <w:style w:type="paragraph" w:styleId="Heading3">
    <w:name w:val="heading 3"/>
    <w:basedOn w:val="Normal"/>
    <w:next w:val="FERCparanumber"/>
    <w:link w:val="Heading3Char"/>
    <w:qFormat/>
    <w:rsid w:val="007878A6"/>
    <w:pPr>
      <w:keepNext/>
      <w:keepLines/>
      <w:numPr>
        <w:ilvl w:val="2"/>
        <w:numId w:val="14"/>
      </w:numPr>
      <w:spacing w:after="260"/>
      <w:outlineLvl w:val="2"/>
    </w:pPr>
    <w:rPr>
      <w:b/>
      <w:bCs/>
      <w:kern w:val="32"/>
      <w:szCs w:val="26"/>
      <w:u w:val="single"/>
    </w:rPr>
  </w:style>
  <w:style w:type="paragraph" w:styleId="Heading4">
    <w:name w:val="heading 4"/>
    <w:basedOn w:val="Normal"/>
    <w:next w:val="FERCparanumber"/>
    <w:qFormat/>
    <w:rsid w:val="007878A6"/>
    <w:pPr>
      <w:keepNext/>
      <w:keepLines/>
      <w:numPr>
        <w:ilvl w:val="3"/>
        <w:numId w:val="14"/>
      </w:numPr>
      <w:spacing w:after="260"/>
      <w:outlineLvl w:val="3"/>
    </w:pPr>
    <w:rPr>
      <w:b/>
      <w:bCs/>
      <w:kern w:val="32"/>
      <w:szCs w:val="28"/>
      <w:u w:val="single"/>
    </w:rPr>
  </w:style>
  <w:style w:type="paragraph" w:styleId="Heading5">
    <w:name w:val="heading 5"/>
    <w:basedOn w:val="Normal"/>
    <w:next w:val="FERCparanumber"/>
    <w:qFormat/>
    <w:rsid w:val="007878A6"/>
    <w:pPr>
      <w:keepNext/>
      <w:keepLines/>
      <w:numPr>
        <w:ilvl w:val="4"/>
        <w:numId w:val="14"/>
      </w:numPr>
      <w:spacing w:after="260"/>
      <w:outlineLvl w:val="4"/>
    </w:pPr>
    <w:rPr>
      <w:b/>
      <w:bCs/>
      <w:iCs/>
      <w:kern w:val="32"/>
      <w:szCs w:val="26"/>
      <w:u w:val="single"/>
    </w:rPr>
  </w:style>
  <w:style w:type="paragraph" w:styleId="Heading6">
    <w:name w:val="heading 6"/>
    <w:basedOn w:val="Normal"/>
    <w:next w:val="FERCparanumber"/>
    <w:qFormat/>
    <w:rsid w:val="007878A6"/>
    <w:pPr>
      <w:keepNext/>
      <w:keepLines/>
      <w:numPr>
        <w:ilvl w:val="5"/>
        <w:numId w:val="14"/>
      </w:numPr>
      <w:spacing w:after="260"/>
      <w:outlineLvl w:val="5"/>
    </w:pPr>
    <w:rPr>
      <w:b/>
      <w:bCs/>
      <w:kern w:val="32"/>
      <w:szCs w:val="22"/>
      <w:u w:val="single"/>
    </w:rPr>
  </w:style>
  <w:style w:type="paragraph" w:styleId="Heading7">
    <w:name w:val="heading 7"/>
    <w:basedOn w:val="Normal"/>
    <w:next w:val="FERCparanumber"/>
    <w:qFormat/>
    <w:rsid w:val="007878A6"/>
    <w:pPr>
      <w:numPr>
        <w:ilvl w:val="6"/>
        <w:numId w:val="14"/>
      </w:numPr>
      <w:spacing w:after="260"/>
      <w:outlineLvl w:val="6"/>
    </w:pPr>
    <w:rPr>
      <w:b/>
      <w:kern w:val="32"/>
      <w:u w:val="single"/>
    </w:rPr>
  </w:style>
  <w:style w:type="paragraph" w:styleId="Heading8">
    <w:name w:val="heading 8"/>
    <w:basedOn w:val="Normal"/>
    <w:next w:val="FERCparanumber"/>
    <w:qFormat/>
    <w:rsid w:val="007878A6"/>
    <w:pPr>
      <w:keepNext/>
      <w:keepLines/>
      <w:numPr>
        <w:ilvl w:val="7"/>
        <w:numId w:val="14"/>
      </w:numPr>
      <w:spacing w:after="260"/>
      <w:outlineLvl w:val="7"/>
    </w:pPr>
    <w:rPr>
      <w:b/>
      <w:iCs/>
      <w:kern w:val="32"/>
      <w:u w:val="single"/>
    </w:rPr>
  </w:style>
  <w:style w:type="paragraph" w:styleId="Heading9">
    <w:name w:val="heading 9"/>
    <w:basedOn w:val="Normal"/>
    <w:next w:val="FERCparanumber"/>
    <w:qFormat/>
    <w:rsid w:val="007878A6"/>
    <w:pPr>
      <w:keepNext/>
      <w:keepLines/>
      <w:numPr>
        <w:ilvl w:val="8"/>
        <w:numId w:val="14"/>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7878A6"/>
    <w:rPr>
      <w:rFonts w:ascii="Tahoma" w:hAnsi="Tahoma" w:cs="Tahoma"/>
      <w:sz w:val="16"/>
      <w:szCs w:val="16"/>
    </w:rPr>
  </w:style>
  <w:style w:type="character" w:customStyle="1" w:styleId="BalloonTextChar">
    <w:name w:val="Balloon Text Char"/>
    <w:basedOn w:val="DefaultParagraphFont"/>
    <w:uiPriority w:val="99"/>
    <w:semiHidden/>
    <w:rsid w:val="00E17C63"/>
    <w:rPr>
      <w:rFonts w:ascii="Lucida Grande" w:hAnsi="Lucida Grande" w:cs="Lucida Grande"/>
      <w:sz w:val="18"/>
      <w:szCs w:val="18"/>
    </w:rPr>
  </w:style>
  <w:style w:type="character" w:customStyle="1" w:styleId="BalloonTextChar0">
    <w:name w:val="Balloon Text Char"/>
    <w:basedOn w:val="DefaultParagraphFont"/>
    <w:uiPriority w:val="99"/>
    <w:semiHidden/>
    <w:rsid w:val="00E17C63"/>
    <w:rPr>
      <w:rFonts w:ascii="Lucida Grande" w:hAnsi="Lucida Grande" w:cs="Lucida Grande"/>
      <w:sz w:val="18"/>
      <w:szCs w:val="18"/>
    </w:rPr>
  </w:style>
  <w:style w:type="character" w:customStyle="1" w:styleId="BalloonTextChar2">
    <w:name w:val="Balloon Text Char"/>
    <w:basedOn w:val="DefaultParagraphFont"/>
    <w:uiPriority w:val="99"/>
    <w:semiHidden/>
    <w:rsid w:val="00AC7D68"/>
    <w:rPr>
      <w:rFonts w:ascii="Lucida Grande" w:hAnsi="Lucida Grande" w:cs="Lucida Grande"/>
      <w:sz w:val="18"/>
      <w:szCs w:val="18"/>
    </w:rPr>
  </w:style>
  <w:style w:type="character" w:customStyle="1" w:styleId="BalloonTextChar3">
    <w:name w:val="Balloon Text Char"/>
    <w:basedOn w:val="DefaultParagraphFont"/>
    <w:uiPriority w:val="99"/>
    <w:semiHidden/>
    <w:rsid w:val="00AD183C"/>
    <w:rPr>
      <w:rFonts w:ascii="Lucida Grande" w:hAnsi="Lucida Grande" w:cs="Lucida Grande"/>
      <w:sz w:val="18"/>
      <w:szCs w:val="18"/>
    </w:rPr>
  </w:style>
  <w:style w:type="paragraph" w:customStyle="1" w:styleId="FERCparanumber">
    <w:name w:val="FERC paranumber"/>
    <w:basedOn w:val="Normal"/>
    <w:link w:val="FERCparanumberChar1"/>
    <w:qFormat/>
    <w:rsid w:val="00A336A0"/>
    <w:pPr>
      <w:numPr>
        <w:numId w:val="2"/>
      </w:numPr>
      <w:spacing w:line="480" w:lineRule="auto"/>
    </w:pPr>
  </w:style>
  <w:style w:type="character" w:customStyle="1" w:styleId="FERCparanumberChar1">
    <w:name w:val="FERC paranumber Char1"/>
    <w:link w:val="FERCparanumber"/>
    <w:rsid w:val="00A336A0"/>
    <w:rPr>
      <w:sz w:val="26"/>
    </w:rPr>
  </w:style>
  <w:style w:type="paragraph" w:customStyle="1" w:styleId="BodyFootnote">
    <w:name w:val="Body Footnote"/>
    <w:basedOn w:val="FootnoteText"/>
    <w:rsid w:val="007878A6"/>
    <w:rPr>
      <w:szCs w:val="26"/>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2"/>
    <w:uiPriority w:val="99"/>
    <w:rsid w:val="007878A6"/>
    <w:pPr>
      <w:spacing w:after="120"/>
      <w:ind w:firstLine="720"/>
    </w:pPr>
    <w:rPr>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n1 Char"/>
    <w:link w:val="FootnoteText"/>
    <w:uiPriority w:val="99"/>
    <w:rsid w:val="007878A6"/>
    <w:rPr>
      <w:sz w:val="26"/>
      <w:lang w:val="en-US" w:eastAsia="en-US" w:bidi="ar-SA"/>
    </w:rPr>
  </w:style>
  <w:style w:type="character" w:styleId="Hyperlink">
    <w:name w:val="Hyperlink"/>
    <w:rsid w:val="007878A6"/>
    <w:rPr>
      <w:color w:val="0000FF"/>
      <w:u w:val="single"/>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sid w:val="007878A6"/>
    <w:rPr>
      <w:rFonts w:ascii="Times New Roman" w:hAnsi="Times New Roman"/>
      <w:b/>
      <w:sz w:val="26"/>
      <w:szCs w:val="26"/>
      <w:vertAlign w:val="superscript"/>
    </w:rPr>
  </w:style>
  <w:style w:type="paragraph" w:styleId="ListContinue">
    <w:name w:val="List Continue"/>
    <w:basedOn w:val="Normal"/>
    <w:semiHidden/>
    <w:rsid w:val="007878A6"/>
    <w:pPr>
      <w:spacing w:after="120"/>
      <w:ind w:left="360"/>
    </w:pPr>
  </w:style>
  <w:style w:type="paragraph" w:customStyle="1" w:styleId="LegalFormat">
    <w:name w:val="Legal Format"/>
    <w:basedOn w:val="ListContinue"/>
    <w:rsid w:val="007878A6"/>
    <w:pPr>
      <w:numPr>
        <w:numId w:val="1"/>
      </w:numPr>
      <w:tabs>
        <w:tab w:val="clear" w:pos="360"/>
        <w:tab w:val="num" w:pos="720"/>
      </w:tabs>
      <w:spacing w:after="0"/>
      <w:ind w:left="720" w:hanging="720"/>
    </w:pPr>
  </w:style>
  <w:style w:type="paragraph" w:styleId="Footer">
    <w:name w:val="footer"/>
    <w:basedOn w:val="Normal"/>
    <w:rsid w:val="007878A6"/>
    <w:pPr>
      <w:tabs>
        <w:tab w:val="center" w:pos="4320"/>
        <w:tab w:val="right" w:pos="8640"/>
      </w:tabs>
    </w:pPr>
  </w:style>
  <w:style w:type="paragraph" w:styleId="Header">
    <w:name w:val="header"/>
    <w:basedOn w:val="Normal"/>
    <w:link w:val="HeaderChar"/>
    <w:uiPriority w:val="99"/>
    <w:rsid w:val="007878A6"/>
    <w:pPr>
      <w:tabs>
        <w:tab w:val="center" w:pos="4320"/>
        <w:tab w:val="right" w:pos="8640"/>
      </w:tabs>
    </w:pPr>
  </w:style>
  <w:style w:type="character" w:styleId="PageNumber">
    <w:name w:val="page number"/>
    <w:basedOn w:val="DefaultParagraphFont"/>
    <w:rsid w:val="007878A6"/>
  </w:style>
  <w:style w:type="paragraph" w:styleId="ListBullet">
    <w:name w:val="List Bullet"/>
    <w:basedOn w:val="Normal"/>
    <w:uiPriority w:val="99"/>
    <w:rsid w:val="007878A6"/>
    <w:pPr>
      <w:numPr>
        <w:numId w:val="3"/>
      </w:numPr>
    </w:pPr>
  </w:style>
  <w:style w:type="table" w:styleId="TableGrid">
    <w:name w:val="Table Grid"/>
    <w:basedOn w:val="TableNormal"/>
    <w:rsid w:val="007878A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rsid w:val="007878A6"/>
    <w:rPr>
      <w:i/>
      <w:iCs/>
    </w:rPr>
  </w:style>
  <w:style w:type="paragraph" w:styleId="ListBullet3">
    <w:name w:val="List Bullet 3"/>
    <w:basedOn w:val="Normal"/>
    <w:rsid w:val="007878A6"/>
    <w:pPr>
      <w:numPr>
        <w:numId w:val="5"/>
      </w:numPr>
    </w:pPr>
  </w:style>
  <w:style w:type="character" w:customStyle="1" w:styleId="FERCparanumberChar">
    <w:name w:val="FERC paranumber Char"/>
    <w:rsid w:val="007878A6"/>
    <w:rPr>
      <w:sz w:val="26"/>
      <w:szCs w:val="24"/>
      <w:lang w:val="en-US" w:eastAsia="en-US" w:bidi="ar-SA"/>
    </w:rPr>
  </w:style>
  <w:style w:type="paragraph" w:styleId="ListBullet4">
    <w:name w:val="List Bullet 4"/>
    <w:basedOn w:val="Normal"/>
    <w:rsid w:val="007878A6"/>
    <w:pPr>
      <w:numPr>
        <w:numId w:val="6"/>
      </w:numPr>
    </w:pPr>
  </w:style>
  <w:style w:type="character" w:styleId="CommentReference">
    <w:name w:val="annotation reference"/>
    <w:semiHidden/>
    <w:rsid w:val="007878A6"/>
    <w:rPr>
      <w:sz w:val="16"/>
      <w:szCs w:val="16"/>
    </w:rPr>
  </w:style>
  <w:style w:type="paragraph" w:styleId="CommentText">
    <w:name w:val="annotation text"/>
    <w:basedOn w:val="Normal"/>
    <w:semiHidden/>
    <w:rsid w:val="007878A6"/>
    <w:rPr>
      <w:sz w:val="20"/>
      <w:szCs w:val="20"/>
    </w:rPr>
  </w:style>
  <w:style w:type="paragraph" w:customStyle="1" w:styleId="Default">
    <w:name w:val="Default"/>
    <w:rsid w:val="007878A6"/>
    <w:pPr>
      <w:autoSpaceDE w:val="0"/>
      <w:autoSpaceDN w:val="0"/>
      <w:adjustRightInd w:val="0"/>
    </w:pPr>
    <w:rPr>
      <w:color w:val="000000"/>
    </w:rPr>
  </w:style>
  <w:style w:type="paragraph" w:styleId="TOC1">
    <w:name w:val="toc 1"/>
    <w:basedOn w:val="Normal"/>
    <w:next w:val="Normal"/>
    <w:semiHidden/>
    <w:rsid w:val="007878A6"/>
  </w:style>
  <w:style w:type="paragraph" w:styleId="TOC2">
    <w:name w:val="toc 2"/>
    <w:basedOn w:val="Normal"/>
    <w:next w:val="Normal"/>
    <w:semiHidden/>
    <w:rsid w:val="007878A6"/>
    <w:pPr>
      <w:tabs>
        <w:tab w:val="left" w:pos="720"/>
        <w:tab w:val="right" w:leader="dot" w:pos="9350"/>
      </w:tabs>
      <w:spacing w:after="120"/>
      <w:ind w:left="259"/>
    </w:pPr>
  </w:style>
  <w:style w:type="paragraph" w:styleId="BlockText">
    <w:name w:val="Block Text"/>
    <w:basedOn w:val="Normal"/>
    <w:link w:val="BlockTextChar"/>
    <w:rsid w:val="007878A6"/>
    <w:pPr>
      <w:spacing w:after="120"/>
      <w:ind w:left="1440" w:right="1440"/>
    </w:pPr>
  </w:style>
  <w:style w:type="paragraph" w:styleId="BodyText">
    <w:name w:val="Body Text"/>
    <w:basedOn w:val="Normal"/>
    <w:rsid w:val="007878A6"/>
    <w:pPr>
      <w:spacing w:after="120"/>
    </w:pPr>
  </w:style>
  <w:style w:type="paragraph" w:styleId="BodyText2">
    <w:name w:val="Body Text 2"/>
    <w:basedOn w:val="Normal"/>
    <w:rsid w:val="007878A6"/>
    <w:pPr>
      <w:spacing w:after="120" w:line="480" w:lineRule="auto"/>
    </w:pPr>
  </w:style>
  <w:style w:type="paragraph" w:styleId="BodyText3">
    <w:name w:val="Body Text 3"/>
    <w:basedOn w:val="Normal"/>
    <w:rsid w:val="007878A6"/>
    <w:pPr>
      <w:spacing w:after="120"/>
    </w:pPr>
    <w:rPr>
      <w:sz w:val="16"/>
      <w:szCs w:val="16"/>
    </w:rPr>
  </w:style>
  <w:style w:type="paragraph" w:styleId="BodyTextFirstIndent">
    <w:name w:val="Body Text First Indent"/>
    <w:basedOn w:val="BodyText"/>
    <w:rsid w:val="007878A6"/>
    <w:pPr>
      <w:ind w:firstLine="210"/>
    </w:pPr>
  </w:style>
  <w:style w:type="paragraph" w:styleId="BodyTextIndent">
    <w:name w:val="Body Text Indent"/>
    <w:basedOn w:val="Normal"/>
    <w:rsid w:val="007878A6"/>
    <w:pPr>
      <w:spacing w:after="120"/>
      <w:ind w:left="360"/>
    </w:pPr>
  </w:style>
  <w:style w:type="paragraph" w:styleId="BodyTextFirstIndent2">
    <w:name w:val="Body Text First Indent 2"/>
    <w:basedOn w:val="BodyTextIndent"/>
    <w:rsid w:val="007878A6"/>
    <w:pPr>
      <w:ind w:firstLine="210"/>
    </w:pPr>
  </w:style>
  <w:style w:type="paragraph" w:styleId="BodyTextIndent2">
    <w:name w:val="Body Text Indent 2"/>
    <w:basedOn w:val="Normal"/>
    <w:rsid w:val="007878A6"/>
    <w:pPr>
      <w:spacing w:after="120" w:line="480" w:lineRule="auto"/>
      <w:ind w:left="360"/>
    </w:pPr>
  </w:style>
  <w:style w:type="paragraph" w:styleId="BodyTextIndent3">
    <w:name w:val="Body Text Indent 3"/>
    <w:basedOn w:val="Normal"/>
    <w:rsid w:val="007878A6"/>
    <w:pPr>
      <w:spacing w:after="120"/>
      <w:ind w:left="360"/>
    </w:pPr>
    <w:rPr>
      <w:sz w:val="16"/>
      <w:szCs w:val="16"/>
    </w:rPr>
  </w:style>
  <w:style w:type="paragraph" w:styleId="Caption">
    <w:name w:val="caption"/>
    <w:basedOn w:val="Normal"/>
    <w:next w:val="Normal"/>
    <w:qFormat/>
    <w:rsid w:val="007878A6"/>
    <w:rPr>
      <w:b/>
      <w:bCs/>
      <w:sz w:val="20"/>
      <w:szCs w:val="20"/>
    </w:rPr>
  </w:style>
  <w:style w:type="paragraph" w:styleId="Closing">
    <w:name w:val="Closing"/>
    <w:basedOn w:val="Normal"/>
    <w:rsid w:val="007878A6"/>
    <w:pPr>
      <w:ind w:left="4320"/>
    </w:pPr>
  </w:style>
  <w:style w:type="paragraph" w:styleId="CommentSubject">
    <w:name w:val="annotation subject"/>
    <w:basedOn w:val="CommentText"/>
    <w:next w:val="CommentText"/>
    <w:semiHidden/>
    <w:rsid w:val="007878A6"/>
    <w:rPr>
      <w:b/>
      <w:bCs/>
    </w:rPr>
  </w:style>
  <w:style w:type="paragraph" w:styleId="Date">
    <w:name w:val="Date"/>
    <w:basedOn w:val="Normal"/>
    <w:next w:val="Normal"/>
    <w:rsid w:val="007878A6"/>
  </w:style>
  <w:style w:type="paragraph" w:styleId="DocumentMap">
    <w:name w:val="Document Map"/>
    <w:basedOn w:val="Normal"/>
    <w:semiHidden/>
    <w:rsid w:val="007878A6"/>
    <w:pPr>
      <w:shd w:val="clear" w:color="auto" w:fill="000080"/>
    </w:pPr>
    <w:rPr>
      <w:rFonts w:ascii="Tahoma" w:hAnsi="Tahoma" w:cs="Tahoma"/>
      <w:sz w:val="20"/>
      <w:szCs w:val="20"/>
    </w:rPr>
  </w:style>
  <w:style w:type="paragraph" w:styleId="E-mailSignature">
    <w:name w:val="E-mail Signature"/>
    <w:basedOn w:val="Normal"/>
    <w:rsid w:val="007878A6"/>
  </w:style>
  <w:style w:type="paragraph" w:styleId="EndnoteText">
    <w:name w:val="endnote text"/>
    <w:basedOn w:val="Normal"/>
    <w:semiHidden/>
    <w:rsid w:val="007878A6"/>
    <w:rPr>
      <w:sz w:val="20"/>
      <w:szCs w:val="20"/>
    </w:rPr>
  </w:style>
  <w:style w:type="paragraph" w:styleId="EnvelopeAddress">
    <w:name w:val="envelope address"/>
    <w:basedOn w:val="Normal"/>
    <w:rsid w:val="007878A6"/>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878A6"/>
    <w:rPr>
      <w:rFonts w:ascii="Arial" w:hAnsi="Arial" w:cs="Arial"/>
      <w:sz w:val="20"/>
      <w:szCs w:val="20"/>
    </w:rPr>
  </w:style>
  <w:style w:type="paragraph" w:styleId="HTMLAddress">
    <w:name w:val="HTML Address"/>
    <w:basedOn w:val="Normal"/>
    <w:rsid w:val="007878A6"/>
    <w:rPr>
      <w:i/>
      <w:iCs/>
    </w:rPr>
  </w:style>
  <w:style w:type="paragraph" w:styleId="HTMLPreformatted">
    <w:name w:val="HTML Preformatted"/>
    <w:basedOn w:val="Normal"/>
    <w:rsid w:val="007878A6"/>
    <w:rPr>
      <w:rFonts w:ascii="Courier New" w:hAnsi="Courier New" w:cs="Courier New"/>
      <w:sz w:val="20"/>
      <w:szCs w:val="20"/>
    </w:rPr>
  </w:style>
  <w:style w:type="paragraph" w:styleId="Index1">
    <w:name w:val="index 1"/>
    <w:basedOn w:val="Normal"/>
    <w:next w:val="Normal"/>
    <w:semiHidden/>
    <w:rsid w:val="007878A6"/>
    <w:pPr>
      <w:ind w:left="260" w:hanging="260"/>
    </w:pPr>
  </w:style>
  <w:style w:type="paragraph" w:styleId="Index2">
    <w:name w:val="index 2"/>
    <w:basedOn w:val="Normal"/>
    <w:next w:val="Normal"/>
    <w:semiHidden/>
    <w:rsid w:val="007878A6"/>
    <w:pPr>
      <w:ind w:left="520" w:hanging="260"/>
    </w:pPr>
  </w:style>
  <w:style w:type="paragraph" w:styleId="Index3">
    <w:name w:val="index 3"/>
    <w:basedOn w:val="Normal"/>
    <w:next w:val="Normal"/>
    <w:semiHidden/>
    <w:rsid w:val="007878A6"/>
    <w:pPr>
      <w:ind w:left="780" w:hanging="260"/>
    </w:pPr>
  </w:style>
  <w:style w:type="paragraph" w:styleId="Index4">
    <w:name w:val="index 4"/>
    <w:basedOn w:val="Normal"/>
    <w:next w:val="Normal"/>
    <w:semiHidden/>
    <w:rsid w:val="007878A6"/>
    <w:pPr>
      <w:ind w:left="1040" w:hanging="260"/>
    </w:pPr>
  </w:style>
  <w:style w:type="paragraph" w:styleId="Index5">
    <w:name w:val="index 5"/>
    <w:basedOn w:val="Normal"/>
    <w:next w:val="Normal"/>
    <w:semiHidden/>
    <w:rsid w:val="007878A6"/>
    <w:pPr>
      <w:ind w:left="1300" w:hanging="260"/>
    </w:pPr>
  </w:style>
  <w:style w:type="paragraph" w:styleId="Index6">
    <w:name w:val="index 6"/>
    <w:basedOn w:val="Normal"/>
    <w:next w:val="Normal"/>
    <w:semiHidden/>
    <w:rsid w:val="007878A6"/>
    <w:pPr>
      <w:ind w:left="1560" w:hanging="260"/>
    </w:pPr>
  </w:style>
  <w:style w:type="paragraph" w:styleId="Index7">
    <w:name w:val="index 7"/>
    <w:basedOn w:val="Normal"/>
    <w:next w:val="Normal"/>
    <w:semiHidden/>
    <w:rsid w:val="007878A6"/>
    <w:pPr>
      <w:ind w:left="1820" w:hanging="260"/>
    </w:pPr>
  </w:style>
  <w:style w:type="paragraph" w:styleId="Index8">
    <w:name w:val="index 8"/>
    <w:basedOn w:val="Normal"/>
    <w:next w:val="Normal"/>
    <w:semiHidden/>
    <w:rsid w:val="007878A6"/>
    <w:pPr>
      <w:ind w:left="2080" w:hanging="260"/>
    </w:pPr>
  </w:style>
  <w:style w:type="paragraph" w:styleId="Index9">
    <w:name w:val="index 9"/>
    <w:basedOn w:val="Normal"/>
    <w:next w:val="Normal"/>
    <w:semiHidden/>
    <w:rsid w:val="007878A6"/>
    <w:pPr>
      <w:ind w:left="2340" w:hanging="260"/>
    </w:pPr>
  </w:style>
  <w:style w:type="paragraph" w:styleId="IndexHeading">
    <w:name w:val="index heading"/>
    <w:basedOn w:val="Normal"/>
    <w:next w:val="Index1"/>
    <w:semiHidden/>
    <w:rsid w:val="007878A6"/>
    <w:rPr>
      <w:rFonts w:ascii="Arial" w:hAnsi="Arial" w:cs="Arial"/>
      <w:b/>
      <w:bCs/>
    </w:rPr>
  </w:style>
  <w:style w:type="paragraph" w:styleId="List">
    <w:name w:val="List"/>
    <w:basedOn w:val="Normal"/>
    <w:rsid w:val="007878A6"/>
    <w:pPr>
      <w:ind w:left="360" w:hanging="360"/>
    </w:pPr>
  </w:style>
  <w:style w:type="paragraph" w:styleId="List2">
    <w:name w:val="List 2"/>
    <w:basedOn w:val="Normal"/>
    <w:rsid w:val="007878A6"/>
    <w:pPr>
      <w:ind w:left="720" w:hanging="360"/>
    </w:pPr>
  </w:style>
  <w:style w:type="paragraph" w:styleId="List3">
    <w:name w:val="List 3"/>
    <w:basedOn w:val="Normal"/>
    <w:rsid w:val="007878A6"/>
    <w:pPr>
      <w:ind w:left="1080" w:hanging="360"/>
    </w:pPr>
  </w:style>
  <w:style w:type="paragraph" w:styleId="List4">
    <w:name w:val="List 4"/>
    <w:basedOn w:val="Normal"/>
    <w:rsid w:val="007878A6"/>
    <w:pPr>
      <w:ind w:left="1440" w:hanging="360"/>
    </w:pPr>
  </w:style>
  <w:style w:type="paragraph" w:styleId="List5">
    <w:name w:val="List 5"/>
    <w:basedOn w:val="Normal"/>
    <w:rsid w:val="007878A6"/>
    <w:pPr>
      <w:ind w:left="1800" w:hanging="360"/>
    </w:pPr>
  </w:style>
  <w:style w:type="paragraph" w:styleId="ListBullet2">
    <w:name w:val="List Bullet 2"/>
    <w:basedOn w:val="Normal"/>
    <w:rsid w:val="007878A6"/>
    <w:pPr>
      <w:numPr>
        <w:numId w:val="7"/>
      </w:numPr>
    </w:pPr>
  </w:style>
  <w:style w:type="paragraph" w:styleId="ListBullet5">
    <w:name w:val="List Bullet 5"/>
    <w:basedOn w:val="Normal"/>
    <w:rsid w:val="007878A6"/>
    <w:pPr>
      <w:numPr>
        <w:numId w:val="8"/>
      </w:numPr>
    </w:pPr>
  </w:style>
  <w:style w:type="paragraph" w:styleId="ListContinue2">
    <w:name w:val="List Continue 2"/>
    <w:basedOn w:val="Normal"/>
    <w:rsid w:val="007878A6"/>
    <w:pPr>
      <w:spacing w:after="120"/>
      <w:ind w:left="720"/>
    </w:pPr>
  </w:style>
  <w:style w:type="paragraph" w:styleId="ListContinue3">
    <w:name w:val="List Continue 3"/>
    <w:basedOn w:val="Normal"/>
    <w:rsid w:val="007878A6"/>
    <w:pPr>
      <w:spacing w:after="120"/>
      <w:ind w:left="1080"/>
    </w:pPr>
  </w:style>
  <w:style w:type="paragraph" w:styleId="ListContinue4">
    <w:name w:val="List Continue 4"/>
    <w:basedOn w:val="Normal"/>
    <w:rsid w:val="007878A6"/>
    <w:pPr>
      <w:spacing w:after="120"/>
      <w:ind w:left="1440"/>
    </w:pPr>
  </w:style>
  <w:style w:type="paragraph" w:styleId="ListContinue5">
    <w:name w:val="List Continue 5"/>
    <w:basedOn w:val="Normal"/>
    <w:rsid w:val="007878A6"/>
    <w:pPr>
      <w:spacing w:after="120"/>
      <w:ind w:left="1800"/>
    </w:pPr>
  </w:style>
  <w:style w:type="paragraph" w:styleId="ListNumber">
    <w:name w:val="List Number"/>
    <w:basedOn w:val="Normal"/>
    <w:rsid w:val="007878A6"/>
    <w:pPr>
      <w:numPr>
        <w:numId w:val="9"/>
      </w:numPr>
    </w:pPr>
  </w:style>
  <w:style w:type="paragraph" w:styleId="ListNumber2">
    <w:name w:val="List Number 2"/>
    <w:basedOn w:val="Normal"/>
    <w:rsid w:val="007878A6"/>
    <w:pPr>
      <w:numPr>
        <w:numId w:val="10"/>
      </w:numPr>
    </w:pPr>
  </w:style>
  <w:style w:type="paragraph" w:styleId="ListNumber3">
    <w:name w:val="List Number 3"/>
    <w:basedOn w:val="Normal"/>
    <w:rsid w:val="007878A6"/>
    <w:pPr>
      <w:numPr>
        <w:numId w:val="11"/>
      </w:numPr>
    </w:pPr>
  </w:style>
  <w:style w:type="paragraph" w:styleId="ListNumber4">
    <w:name w:val="List Number 4"/>
    <w:basedOn w:val="Normal"/>
    <w:rsid w:val="007878A6"/>
    <w:pPr>
      <w:numPr>
        <w:numId w:val="12"/>
      </w:numPr>
    </w:pPr>
  </w:style>
  <w:style w:type="paragraph" w:styleId="ListNumber5">
    <w:name w:val="List Number 5"/>
    <w:basedOn w:val="Normal"/>
    <w:rsid w:val="007878A6"/>
    <w:pPr>
      <w:numPr>
        <w:numId w:val="13"/>
      </w:numPr>
    </w:pPr>
  </w:style>
  <w:style w:type="paragraph" w:styleId="MacroText">
    <w:name w:val="macro"/>
    <w:semiHidden/>
    <w:rsid w:val="007878A6"/>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7878A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uiPriority w:val="99"/>
    <w:rsid w:val="007878A6"/>
    <w:rPr>
      <w:sz w:val="24"/>
    </w:rPr>
  </w:style>
  <w:style w:type="paragraph" w:styleId="NormalIndent">
    <w:name w:val="Normal Indent"/>
    <w:basedOn w:val="Normal"/>
    <w:rsid w:val="007878A6"/>
    <w:pPr>
      <w:ind w:left="720"/>
    </w:pPr>
  </w:style>
  <w:style w:type="paragraph" w:styleId="NoteHeading">
    <w:name w:val="Note Heading"/>
    <w:basedOn w:val="Normal"/>
    <w:next w:val="Normal"/>
    <w:rsid w:val="007878A6"/>
  </w:style>
  <w:style w:type="paragraph" w:styleId="PlainText">
    <w:name w:val="Plain Text"/>
    <w:basedOn w:val="Normal"/>
    <w:rsid w:val="007878A6"/>
    <w:rPr>
      <w:rFonts w:ascii="Courier New" w:hAnsi="Courier New" w:cs="Courier New"/>
      <w:sz w:val="20"/>
      <w:szCs w:val="20"/>
    </w:rPr>
  </w:style>
  <w:style w:type="paragraph" w:styleId="Salutation">
    <w:name w:val="Salutation"/>
    <w:basedOn w:val="Normal"/>
    <w:next w:val="Normal"/>
    <w:rsid w:val="007878A6"/>
  </w:style>
  <w:style w:type="paragraph" w:styleId="Signature">
    <w:name w:val="Signature"/>
    <w:basedOn w:val="Normal"/>
    <w:rsid w:val="007878A6"/>
    <w:pPr>
      <w:ind w:left="4320"/>
    </w:pPr>
  </w:style>
  <w:style w:type="paragraph" w:styleId="Subtitle">
    <w:name w:val="Subtitle"/>
    <w:basedOn w:val="Normal"/>
    <w:qFormat/>
    <w:rsid w:val="007878A6"/>
    <w:pPr>
      <w:spacing w:after="60"/>
      <w:jc w:val="center"/>
      <w:outlineLvl w:val="1"/>
    </w:pPr>
    <w:rPr>
      <w:rFonts w:ascii="Arial" w:hAnsi="Arial" w:cs="Arial"/>
      <w:sz w:val="24"/>
    </w:rPr>
  </w:style>
  <w:style w:type="paragraph" w:styleId="TableofAuthorities">
    <w:name w:val="table of authorities"/>
    <w:basedOn w:val="Normal"/>
    <w:next w:val="Normal"/>
    <w:semiHidden/>
    <w:rsid w:val="007878A6"/>
    <w:pPr>
      <w:ind w:left="260" w:hanging="260"/>
    </w:pPr>
  </w:style>
  <w:style w:type="paragraph" w:styleId="TableofFigures">
    <w:name w:val="table of figures"/>
    <w:basedOn w:val="Normal"/>
    <w:next w:val="Normal"/>
    <w:semiHidden/>
    <w:rsid w:val="007878A6"/>
  </w:style>
  <w:style w:type="paragraph" w:styleId="Title">
    <w:name w:val="Title"/>
    <w:basedOn w:val="Normal"/>
    <w:qFormat/>
    <w:rsid w:val="007878A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878A6"/>
    <w:pPr>
      <w:spacing w:before="120"/>
    </w:pPr>
    <w:rPr>
      <w:rFonts w:ascii="Arial" w:hAnsi="Arial" w:cs="Arial"/>
      <w:b/>
      <w:bCs/>
      <w:sz w:val="24"/>
    </w:rPr>
  </w:style>
  <w:style w:type="paragraph" w:styleId="TOC3">
    <w:name w:val="toc 3"/>
    <w:basedOn w:val="Normal"/>
    <w:next w:val="Normal"/>
    <w:semiHidden/>
    <w:rsid w:val="007878A6"/>
    <w:pPr>
      <w:ind w:left="520"/>
    </w:pPr>
  </w:style>
  <w:style w:type="paragraph" w:styleId="TOC4">
    <w:name w:val="toc 4"/>
    <w:basedOn w:val="Normal"/>
    <w:next w:val="Normal"/>
    <w:semiHidden/>
    <w:rsid w:val="007878A6"/>
    <w:pPr>
      <w:ind w:left="780"/>
    </w:pPr>
  </w:style>
  <w:style w:type="paragraph" w:styleId="TOC5">
    <w:name w:val="toc 5"/>
    <w:basedOn w:val="Normal"/>
    <w:next w:val="Normal"/>
    <w:semiHidden/>
    <w:rsid w:val="007878A6"/>
    <w:pPr>
      <w:ind w:left="1040"/>
    </w:pPr>
  </w:style>
  <w:style w:type="paragraph" w:styleId="TOC6">
    <w:name w:val="toc 6"/>
    <w:basedOn w:val="Normal"/>
    <w:next w:val="Normal"/>
    <w:semiHidden/>
    <w:rsid w:val="007878A6"/>
    <w:pPr>
      <w:ind w:left="1300"/>
    </w:pPr>
  </w:style>
  <w:style w:type="paragraph" w:styleId="TOC7">
    <w:name w:val="toc 7"/>
    <w:basedOn w:val="Normal"/>
    <w:next w:val="Normal"/>
    <w:semiHidden/>
    <w:rsid w:val="007878A6"/>
    <w:pPr>
      <w:ind w:left="1560"/>
    </w:pPr>
  </w:style>
  <w:style w:type="paragraph" w:styleId="TOC8">
    <w:name w:val="toc 8"/>
    <w:basedOn w:val="Normal"/>
    <w:next w:val="Normal"/>
    <w:semiHidden/>
    <w:rsid w:val="007878A6"/>
    <w:pPr>
      <w:ind w:left="1820"/>
    </w:pPr>
  </w:style>
  <w:style w:type="paragraph" w:styleId="TOC9">
    <w:name w:val="toc 9"/>
    <w:basedOn w:val="Normal"/>
    <w:next w:val="Normal"/>
    <w:semiHidden/>
    <w:rsid w:val="007878A6"/>
    <w:pPr>
      <w:ind w:left="2080"/>
    </w:pPr>
  </w:style>
  <w:style w:type="character" w:customStyle="1" w:styleId="Heading2Char">
    <w:name w:val="Heading 2 Char"/>
    <w:link w:val="Heading2"/>
    <w:rsid w:val="00B771E6"/>
    <w:rPr>
      <w:b/>
      <w:bCs/>
      <w:iCs/>
      <w:kern w:val="32"/>
      <w:sz w:val="26"/>
      <w:szCs w:val="28"/>
      <w:u w:val="single"/>
    </w:rPr>
  </w:style>
  <w:style w:type="character" w:customStyle="1" w:styleId="Heading3Char">
    <w:name w:val="Heading 3 Char"/>
    <w:link w:val="Heading3"/>
    <w:rsid w:val="007878A6"/>
    <w:rPr>
      <w:b/>
      <w:bCs/>
      <w:kern w:val="32"/>
      <w:sz w:val="26"/>
      <w:szCs w:val="26"/>
      <w:u w:val="single"/>
    </w:rPr>
  </w:style>
  <w:style w:type="character" w:customStyle="1" w:styleId="BalloonTextChar1">
    <w:name w:val="Balloon Text Char1"/>
    <w:link w:val="BalloonText"/>
    <w:semiHidden/>
    <w:locked/>
    <w:rsid w:val="007878A6"/>
    <w:rPr>
      <w:rFonts w:ascii="Tahoma" w:hAnsi="Tahoma" w:cs="Tahoma"/>
      <w:sz w:val="16"/>
      <w:szCs w:val="16"/>
      <w:lang w:val="en-US" w:eastAsia="en-US" w:bidi="ar-SA"/>
    </w:rPr>
  </w:style>
  <w:style w:type="character" w:styleId="FollowedHyperlink">
    <w:name w:val="FollowedHyperlink"/>
    <w:rsid w:val="007878A6"/>
    <w:rPr>
      <w:color w:val="800080"/>
      <w:u w:val="single"/>
    </w:rPr>
  </w:style>
  <w:style w:type="character" w:customStyle="1" w:styleId="FootnoteTextChar">
    <w:name w:val="Footnote Text Char"/>
    <w:aliases w:val="Footnote Text Char3 Char,fn3 Char"/>
    <w:uiPriority w:val="99"/>
    <w:locked/>
    <w:rsid w:val="007878A6"/>
    <w:rPr>
      <w:rFonts w:cs="Times New Roman"/>
      <w:sz w:val="20"/>
      <w:szCs w:val="20"/>
    </w:rPr>
  </w:style>
  <w:style w:type="paragraph" w:styleId="ListParagraph">
    <w:name w:val="List Paragraph"/>
    <w:basedOn w:val="Normal"/>
    <w:uiPriority w:val="34"/>
    <w:qFormat/>
    <w:rsid w:val="007878A6"/>
    <w:pPr>
      <w:spacing w:after="200" w:line="276" w:lineRule="auto"/>
      <w:ind w:left="720"/>
      <w:contextualSpacing/>
    </w:pPr>
    <w:rPr>
      <w:rFonts w:ascii="Calibri" w:hAnsi="Calibri"/>
      <w:sz w:val="22"/>
      <w:szCs w:val="22"/>
    </w:rPr>
  </w:style>
  <w:style w:type="character" w:customStyle="1" w:styleId="BlockTextChar">
    <w:name w:val="Block Text Char"/>
    <w:link w:val="BlockText"/>
    <w:rsid w:val="00012F5D"/>
    <w:rPr>
      <w:sz w:val="26"/>
      <w:szCs w:val="24"/>
    </w:rPr>
  </w:style>
  <w:style w:type="paragraph" w:customStyle="1" w:styleId="StyleFERCparanumberLinespacingDouble">
    <w:name w:val="Style FERC paranumber + Line spacing:  Double"/>
    <w:basedOn w:val="FERCparanumber"/>
    <w:rsid w:val="00B771E6"/>
    <w:rPr>
      <w:szCs w:val="20"/>
    </w:rPr>
  </w:style>
  <w:style w:type="character" w:customStyle="1" w:styleId="HeaderChar">
    <w:name w:val="Header Char"/>
    <w:basedOn w:val="DefaultParagraphFont"/>
    <w:link w:val="Header"/>
    <w:uiPriority w:val="99"/>
    <w:rsid w:val="002913A2"/>
    <w:rPr>
      <w:sz w:val="26"/>
      <w:szCs w:val="24"/>
    </w:rPr>
  </w:style>
  <w:style w:type="paragraph" w:customStyle="1" w:styleId="StyleFERCparanumberLinespacingDouble1">
    <w:name w:val="Style FERC paranumber + Line spacing:  Double1"/>
    <w:basedOn w:val="FERCparanumber"/>
    <w:rsid w:val="00320877"/>
    <w:rPr>
      <w:szCs w:val="20"/>
    </w:rPr>
  </w:style>
  <w:style w:type="paragraph" w:styleId="Revision">
    <w:name w:val="Revision"/>
    <w:hidden/>
    <w:uiPriority w:val="99"/>
    <w:semiHidden/>
    <w:rsid w:val="00693336"/>
    <w:rPr>
      <w:sz w:val="26"/>
    </w:rPr>
  </w:style>
  <w:style w:type="paragraph" w:customStyle="1" w:styleId="footnotedescription">
    <w:name w:val="footnote description"/>
    <w:next w:val="Normal"/>
    <w:link w:val="footnotedescriptionChar"/>
    <w:hidden/>
    <w:rsid w:val="004B1B3D"/>
    <w:pPr>
      <w:spacing w:line="259" w:lineRule="auto"/>
    </w:pPr>
    <w:rPr>
      <w:color w:val="000000"/>
      <w:szCs w:val="22"/>
    </w:rPr>
  </w:style>
  <w:style w:type="character" w:customStyle="1" w:styleId="footnotedescriptionChar">
    <w:name w:val="footnote description Char"/>
    <w:link w:val="footnotedescription"/>
    <w:rsid w:val="004B1B3D"/>
    <w:rPr>
      <w:color w:val="000000"/>
      <w:szCs w:val="22"/>
    </w:rPr>
  </w:style>
  <w:style w:type="character" w:customStyle="1" w:styleId="footnotemark">
    <w:name w:val="footnote mark"/>
    <w:hidden/>
    <w:rsid w:val="004B1B3D"/>
    <w:rPr>
      <w:rFonts w:ascii="Times New Roman" w:eastAsia="Times New Roman" w:hAnsi="Times New Roman" w:cs="Times New Roman"/>
      <w:color w:val="000000"/>
      <w:sz w:val="20"/>
      <w:vertAlign w:val="superscript"/>
    </w:rPr>
  </w:style>
  <w:style w:type="character" w:customStyle="1" w:styleId="apple-converted-space">
    <w:name w:val="apple-converted-space"/>
    <w:basedOn w:val="DefaultParagraphFont"/>
    <w:rsid w:val="0090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900554">
      <w:bodyDiv w:val="1"/>
      <w:marLeft w:val="0"/>
      <w:marRight w:val="0"/>
      <w:marTop w:val="0"/>
      <w:marBottom w:val="0"/>
      <w:divBdr>
        <w:top w:val="none" w:sz="0" w:space="0" w:color="auto"/>
        <w:left w:val="none" w:sz="0" w:space="0" w:color="auto"/>
        <w:bottom w:val="none" w:sz="0" w:space="0" w:color="auto"/>
        <w:right w:val="none" w:sz="0" w:space="0" w:color="auto"/>
      </w:divBdr>
    </w:div>
    <w:div w:id="484126540">
      <w:bodyDiv w:val="1"/>
      <w:marLeft w:val="0"/>
      <w:marRight w:val="0"/>
      <w:marTop w:val="0"/>
      <w:marBottom w:val="0"/>
      <w:divBdr>
        <w:top w:val="none" w:sz="0" w:space="0" w:color="auto"/>
        <w:left w:val="none" w:sz="0" w:space="0" w:color="auto"/>
        <w:bottom w:val="none" w:sz="0" w:space="0" w:color="auto"/>
        <w:right w:val="none" w:sz="0" w:space="0" w:color="auto"/>
      </w:divBdr>
    </w:div>
    <w:div w:id="515776955">
      <w:bodyDiv w:val="1"/>
      <w:marLeft w:val="0"/>
      <w:marRight w:val="0"/>
      <w:marTop w:val="0"/>
      <w:marBottom w:val="0"/>
      <w:divBdr>
        <w:top w:val="none" w:sz="0" w:space="0" w:color="auto"/>
        <w:left w:val="none" w:sz="0" w:space="0" w:color="auto"/>
        <w:bottom w:val="none" w:sz="0" w:space="0" w:color="auto"/>
        <w:right w:val="none" w:sz="0" w:space="0" w:color="auto"/>
      </w:divBdr>
    </w:div>
    <w:div w:id="573853228">
      <w:bodyDiv w:val="1"/>
      <w:marLeft w:val="0"/>
      <w:marRight w:val="0"/>
      <w:marTop w:val="0"/>
      <w:marBottom w:val="0"/>
      <w:divBdr>
        <w:top w:val="none" w:sz="0" w:space="0" w:color="auto"/>
        <w:left w:val="none" w:sz="0" w:space="0" w:color="auto"/>
        <w:bottom w:val="none" w:sz="0" w:space="0" w:color="auto"/>
        <w:right w:val="none" w:sz="0" w:space="0" w:color="auto"/>
      </w:divBdr>
    </w:div>
    <w:div w:id="983699243">
      <w:bodyDiv w:val="1"/>
      <w:marLeft w:val="0"/>
      <w:marRight w:val="0"/>
      <w:marTop w:val="0"/>
      <w:marBottom w:val="0"/>
      <w:divBdr>
        <w:top w:val="none" w:sz="0" w:space="0" w:color="auto"/>
        <w:left w:val="none" w:sz="0" w:space="0" w:color="auto"/>
        <w:bottom w:val="none" w:sz="0" w:space="0" w:color="auto"/>
        <w:right w:val="none" w:sz="0" w:space="0" w:color="auto"/>
      </w:divBdr>
    </w:div>
    <w:div w:id="1235046709">
      <w:bodyDiv w:val="1"/>
      <w:marLeft w:val="0"/>
      <w:marRight w:val="0"/>
      <w:marTop w:val="0"/>
      <w:marBottom w:val="0"/>
      <w:divBdr>
        <w:top w:val="none" w:sz="0" w:space="0" w:color="auto"/>
        <w:left w:val="none" w:sz="0" w:space="0" w:color="auto"/>
        <w:bottom w:val="none" w:sz="0" w:space="0" w:color="auto"/>
        <w:right w:val="none" w:sz="0" w:space="0" w:color="auto"/>
      </w:divBdr>
      <w:divsChild>
        <w:div w:id="13118522">
          <w:marLeft w:val="0"/>
          <w:marRight w:val="0"/>
          <w:marTop w:val="0"/>
          <w:marBottom w:val="0"/>
          <w:divBdr>
            <w:top w:val="none" w:sz="0" w:space="0" w:color="auto"/>
            <w:left w:val="none" w:sz="0" w:space="0" w:color="auto"/>
            <w:bottom w:val="none" w:sz="0" w:space="0" w:color="auto"/>
            <w:right w:val="none" w:sz="0" w:space="0" w:color="auto"/>
          </w:divBdr>
          <w:divsChild>
            <w:div w:id="103620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1798">
      <w:bodyDiv w:val="1"/>
      <w:marLeft w:val="0"/>
      <w:marRight w:val="0"/>
      <w:marTop w:val="0"/>
      <w:marBottom w:val="0"/>
      <w:divBdr>
        <w:top w:val="none" w:sz="0" w:space="0" w:color="auto"/>
        <w:left w:val="none" w:sz="0" w:space="0" w:color="auto"/>
        <w:bottom w:val="none" w:sz="0" w:space="0" w:color="auto"/>
        <w:right w:val="none" w:sz="0" w:space="0" w:color="auto"/>
      </w:divBdr>
    </w:div>
    <w:div w:id="1457067287">
      <w:bodyDiv w:val="1"/>
      <w:marLeft w:val="0"/>
      <w:marRight w:val="0"/>
      <w:marTop w:val="0"/>
      <w:marBottom w:val="0"/>
      <w:divBdr>
        <w:top w:val="none" w:sz="0" w:space="0" w:color="auto"/>
        <w:left w:val="none" w:sz="0" w:space="0" w:color="auto"/>
        <w:bottom w:val="none" w:sz="0" w:space="0" w:color="auto"/>
        <w:right w:val="none" w:sz="0" w:space="0" w:color="auto"/>
      </w:divBdr>
    </w:div>
    <w:div w:id="1615675144">
      <w:bodyDiv w:val="1"/>
      <w:marLeft w:val="0"/>
      <w:marRight w:val="0"/>
      <w:marTop w:val="0"/>
      <w:marBottom w:val="0"/>
      <w:divBdr>
        <w:top w:val="none" w:sz="0" w:space="0" w:color="auto"/>
        <w:left w:val="none" w:sz="0" w:space="0" w:color="auto"/>
        <w:bottom w:val="none" w:sz="0" w:space="0" w:color="auto"/>
        <w:right w:val="none" w:sz="0" w:space="0" w:color="auto"/>
      </w:divBdr>
    </w:div>
    <w:div w:id="1759400884">
      <w:bodyDiv w:val="1"/>
      <w:marLeft w:val="0"/>
      <w:marRight w:val="0"/>
      <w:marTop w:val="0"/>
      <w:marBottom w:val="0"/>
      <w:divBdr>
        <w:top w:val="none" w:sz="0" w:space="0" w:color="auto"/>
        <w:left w:val="none" w:sz="0" w:space="0" w:color="auto"/>
        <w:bottom w:val="none" w:sz="0" w:space="0" w:color="auto"/>
        <w:right w:val="none" w:sz="0" w:space="0" w:color="auto"/>
      </w:divBdr>
    </w:div>
    <w:div w:id="1766682669">
      <w:bodyDiv w:val="1"/>
      <w:marLeft w:val="0"/>
      <w:marRight w:val="0"/>
      <w:marTop w:val="0"/>
      <w:marBottom w:val="0"/>
      <w:divBdr>
        <w:top w:val="none" w:sz="0" w:space="0" w:color="auto"/>
        <w:left w:val="none" w:sz="0" w:space="0" w:color="auto"/>
        <w:bottom w:val="none" w:sz="0" w:space="0" w:color="auto"/>
        <w:right w:val="none" w:sz="0" w:space="0" w:color="auto"/>
      </w:divBdr>
    </w:div>
    <w:div w:id="1863662595">
      <w:bodyDiv w:val="1"/>
      <w:marLeft w:val="0"/>
      <w:marRight w:val="0"/>
      <w:marTop w:val="0"/>
      <w:marBottom w:val="0"/>
      <w:divBdr>
        <w:top w:val="none" w:sz="0" w:space="0" w:color="auto"/>
        <w:left w:val="none" w:sz="0" w:space="0" w:color="auto"/>
        <w:bottom w:val="none" w:sz="0" w:space="0" w:color="auto"/>
        <w:right w:val="none" w:sz="0" w:space="0" w:color="auto"/>
      </w:divBdr>
    </w:div>
    <w:div w:id="2120372554">
      <w:bodyDiv w:val="1"/>
      <w:marLeft w:val="0"/>
      <w:marRight w:val="0"/>
      <w:marTop w:val="0"/>
      <w:marBottom w:val="0"/>
      <w:divBdr>
        <w:top w:val="none" w:sz="0" w:space="0" w:color="auto"/>
        <w:left w:val="none" w:sz="0" w:space="0" w:color="auto"/>
        <w:bottom w:val="none" w:sz="0" w:space="0" w:color="auto"/>
        <w:right w:val="none" w:sz="0" w:space="0" w:color="auto"/>
      </w:divBdr>
      <w:divsChild>
        <w:div w:id="1969621256">
          <w:marLeft w:val="0"/>
          <w:marRight w:val="0"/>
          <w:marTop w:val="0"/>
          <w:marBottom w:val="0"/>
          <w:divBdr>
            <w:top w:val="none" w:sz="0" w:space="0" w:color="auto"/>
            <w:left w:val="none" w:sz="0" w:space="0" w:color="auto"/>
            <w:bottom w:val="none" w:sz="0" w:space="0" w:color="auto"/>
            <w:right w:val="none" w:sz="0" w:space="0" w:color="auto"/>
          </w:divBdr>
          <w:divsChild>
            <w:div w:id="2016303393">
              <w:marLeft w:val="0"/>
              <w:marRight w:val="0"/>
              <w:marTop w:val="0"/>
              <w:marBottom w:val="0"/>
              <w:divBdr>
                <w:top w:val="none" w:sz="0" w:space="0" w:color="auto"/>
                <w:left w:val="none" w:sz="0" w:space="0" w:color="auto"/>
                <w:bottom w:val="none" w:sz="0" w:space="0" w:color="auto"/>
                <w:right w:val="none" w:sz="0" w:space="0" w:color="auto"/>
              </w:divBdr>
              <w:divsChild>
                <w:div w:id="91628519">
                  <w:marLeft w:val="0"/>
                  <w:marRight w:val="0"/>
                  <w:marTop w:val="0"/>
                  <w:marBottom w:val="0"/>
                  <w:divBdr>
                    <w:top w:val="none" w:sz="0" w:space="0" w:color="auto"/>
                    <w:left w:val="none" w:sz="0" w:space="0" w:color="auto"/>
                    <w:bottom w:val="none" w:sz="0" w:space="0" w:color="auto"/>
                    <w:right w:val="none" w:sz="0" w:space="0" w:color="auto"/>
                  </w:divBdr>
                  <w:divsChild>
                    <w:div w:id="11623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naics2_22.htm" TargetMode="External"/><Relationship Id="rId1" Type="http://schemas.openxmlformats.org/officeDocument/2006/relationships/hyperlink" Target="http://www.nerc.com/files/glossary_of_ter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3559A-1209-4FD6-A762-233881E7E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583CD3-8CFB-4B30-B847-C0BDD0E17D3E}">
  <ds:schemaRefs>
    <ds:schemaRef ds:uri="http://schemas.openxmlformats.org/officeDocument/2006/bibliography"/>
  </ds:schemaRefs>
</ds:datastoreItem>
</file>

<file path=customXml/itemProps3.xml><?xml version="1.0" encoding="utf-8"?>
<ds:datastoreItem xmlns:ds="http://schemas.openxmlformats.org/officeDocument/2006/customXml" ds:itemID="{E3A5B4A7-085D-4C98-96F6-6F6D565C55D4}">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B2C48026-6A73-4AEB-8408-60D9AF2F7A12}">
  <ds:schemaRefs>
    <ds:schemaRef ds:uri="http://schemas.microsoft.com/sharepoint/v3/contenttype/forms"/>
  </ds:schemaRefs>
</ds:datastoreItem>
</file>

<file path=customXml/itemProps5.xml><?xml version="1.0" encoding="utf-8"?>
<ds:datastoreItem xmlns:ds="http://schemas.openxmlformats.org/officeDocument/2006/customXml" ds:itemID="{903A21F0-860C-4AB0-B5DD-CC5D64CDC0D6}">
  <ds:schemaRefs>
    <ds:schemaRef ds:uri="Microsoft.SharePoint.Taxonomy.ContentTypeSync"/>
  </ds:schemaRefs>
</ds:datastoreItem>
</file>

<file path=customXml/itemProps6.xml><?xml version="1.0" encoding="utf-8"?>
<ds:datastoreItem xmlns:ds="http://schemas.openxmlformats.org/officeDocument/2006/customXml" ds:itemID="{A6321CEE-8536-41D3-92F3-A6ADEA8E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12295</Words>
  <Characters>70086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82217</CharactersWithSpaces>
  <SharedDoc>false</SharedDoc>
  <HyperlinkBase/>
  <HLinks>
    <vt:vector size="30" baseType="variant">
      <vt:variant>
        <vt:i4>8060938</vt:i4>
      </vt:variant>
      <vt:variant>
        <vt:i4>12</vt:i4>
      </vt:variant>
      <vt:variant>
        <vt:i4>0</vt:i4>
      </vt:variant>
      <vt:variant>
        <vt:i4>5</vt:i4>
      </vt:variant>
      <vt:variant>
        <vt:lpwstr>mailto:public.referenceroom@ferc.gov</vt:lpwstr>
      </vt:variant>
      <vt:variant>
        <vt:lpwstr/>
      </vt:variant>
      <vt:variant>
        <vt:i4>5636216</vt:i4>
      </vt:variant>
      <vt:variant>
        <vt:i4>9</vt:i4>
      </vt:variant>
      <vt:variant>
        <vt:i4>0</vt:i4>
      </vt:variant>
      <vt:variant>
        <vt:i4>5</vt:i4>
      </vt:variant>
      <vt:variant>
        <vt:lpwstr>mailto:ferconlinesupport@ferc.gov</vt:lpwstr>
      </vt:variant>
      <vt:variant>
        <vt:lpwstr/>
      </vt:variant>
      <vt:variant>
        <vt:i4>5308487</vt:i4>
      </vt:variant>
      <vt:variant>
        <vt:i4>6</vt:i4>
      </vt:variant>
      <vt:variant>
        <vt:i4>0</vt:i4>
      </vt:variant>
      <vt:variant>
        <vt:i4>5</vt:i4>
      </vt:variant>
      <vt:variant>
        <vt:lpwstr>http://www.ferc.gov/</vt:lpwstr>
      </vt:variant>
      <vt:variant>
        <vt:lpwstr/>
      </vt:variant>
      <vt:variant>
        <vt:i4>5308487</vt:i4>
      </vt:variant>
      <vt:variant>
        <vt:i4>3</vt:i4>
      </vt:variant>
      <vt:variant>
        <vt:i4>0</vt:i4>
      </vt:variant>
      <vt:variant>
        <vt:i4>5</vt:i4>
      </vt:variant>
      <vt:variant>
        <vt:lpwstr>http://www.ferc.gov/</vt:lpwstr>
      </vt:variant>
      <vt:variant>
        <vt:lpwstr/>
      </vt:variant>
      <vt:variant>
        <vt:i4>5308487</vt:i4>
      </vt:variant>
      <vt:variant>
        <vt:i4>0</vt:i4>
      </vt:variant>
      <vt:variant>
        <vt:i4>0</vt:i4>
      </vt:variant>
      <vt:variant>
        <vt:i4>5</vt:i4>
      </vt:variant>
      <vt:variant>
        <vt:lpwstr>http://www.ferc.gov/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2021-05-05T19:19:00Z</dcterms:created>
  <dcterms:modified xsi:type="dcterms:W3CDTF">2021-05-05T19:19:00Z</dcterms:modified>
  <cp:category/>
  <dc:identifier/>
  <cp:contentStatus/>
  <cp:version/>
</cp:coreProperties>
</file>