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5500" w:rsidR="001F33E7" w:rsidP="00425500" w:rsidRDefault="001F33E7" w14:paraId="6B1114FD" w14:textId="77777777">
      <w:pPr>
        <w:spacing w:after="0"/>
        <w:jc w:val="center"/>
        <w:rPr>
          <w:rFonts w:ascii="Times New Roman" w:hAnsi="Times New Roman" w:cs="Times New Roman"/>
          <w:b/>
          <w:bCs/>
          <w:sz w:val="24"/>
          <w:szCs w:val="24"/>
        </w:rPr>
      </w:pPr>
      <w:r w:rsidRPr="00425500">
        <w:rPr>
          <w:rFonts w:ascii="Times New Roman" w:hAnsi="Times New Roman" w:cs="Times New Roman"/>
          <w:b/>
          <w:bCs/>
          <w:sz w:val="24"/>
          <w:szCs w:val="24"/>
        </w:rPr>
        <w:t>Supporting Statement for</w:t>
      </w:r>
    </w:p>
    <w:p w:rsidRPr="00425500" w:rsidR="00FD66F1" w:rsidP="00425500" w:rsidRDefault="001F33E7" w14:paraId="4AEE3A54" w14:textId="2B8184A4">
      <w:pPr>
        <w:spacing w:after="0"/>
        <w:jc w:val="center"/>
        <w:rPr>
          <w:rFonts w:ascii="Times New Roman" w:hAnsi="Times New Roman" w:cs="Times New Roman"/>
          <w:b/>
          <w:bCs/>
          <w:sz w:val="24"/>
          <w:szCs w:val="24"/>
        </w:rPr>
      </w:pPr>
      <w:r w:rsidRPr="00425500">
        <w:rPr>
          <w:rFonts w:ascii="Times New Roman" w:hAnsi="Times New Roman" w:cs="Times New Roman"/>
          <w:b/>
          <w:bCs/>
          <w:sz w:val="24"/>
          <w:szCs w:val="24"/>
        </w:rPr>
        <w:t>FERC-</w:t>
      </w:r>
      <w:r w:rsidRPr="00425500" w:rsidR="00AE74D8">
        <w:rPr>
          <w:rFonts w:ascii="Times New Roman" w:hAnsi="Times New Roman" w:cs="Times New Roman"/>
          <w:b/>
          <w:bCs/>
          <w:sz w:val="24"/>
          <w:szCs w:val="24"/>
        </w:rPr>
        <w:t>725B2</w:t>
      </w:r>
      <w:r w:rsidRPr="00425500">
        <w:rPr>
          <w:rFonts w:ascii="Times New Roman" w:hAnsi="Times New Roman" w:cs="Times New Roman"/>
          <w:b/>
          <w:bCs/>
          <w:sz w:val="24"/>
          <w:szCs w:val="24"/>
        </w:rPr>
        <w:t xml:space="preserve"> </w:t>
      </w:r>
      <w:r w:rsidRPr="00425500" w:rsidR="00AE74D8">
        <w:rPr>
          <w:rFonts w:ascii="Times New Roman" w:hAnsi="Times New Roman" w:cs="Times New Roman"/>
          <w:b/>
          <w:bCs/>
          <w:sz w:val="24"/>
          <w:szCs w:val="24"/>
        </w:rPr>
        <w:t>(Mandatory Reliability Standards, Critical Infrastructure Protection (CIP))</w:t>
      </w:r>
      <w:r w:rsidRPr="00425500">
        <w:rPr>
          <w:rFonts w:ascii="Times New Roman" w:hAnsi="Times New Roman" w:cs="Times New Roman"/>
          <w:b/>
          <w:bCs/>
          <w:sz w:val="24"/>
          <w:szCs w:val="24"/>
        </w:rPr>
        <w:t>,</w:t>
      </w:r>
      <w:r w:rsidRPr="00425500" w:rsidR="0070421D">
        <w:rPr>
          <w:rFonts w:ascii="Times New Roman" w:hAnsi="Times New Roman" w:cs="Times New Roman"/>
          <w:b/>
          <w:bCs/>
          <w:sz w:val="24"/>
          <w:szCs w:val="24"/>
        </w:rPr>
        <w:t xml:space="preserve"> as modified in</w:t>
      </w:r>
      <w:r w:rsidRPr="00425500">
        <w:rPr>
          <w:rFonts w:ascii="Times New Roman" w:hAnsi="Times New Roman" w:cs="Times New Roman"/>
          <w:b/>
          <w:bCs/>
          <w:sz w:val="24"/>
          <w:szCs w:val="24"/>
        </w:rPr>
        <w:t xml:space="preserve"> Docket No. R</w:t>
      </w:r>
      <w:r w:rsidRPr="00425500" w:rsidR="00AE74D8">
        <w:rPr>
          <w:rFonts w:ascii="Times New Roman" w:hAnsi="Times New Roman" w:cs="Times New Roman"/>
          <w:b/>
          <w:bCs/>
          <w:sz w:val="24"/>
          <w:szCs w:val="24"/>
        </w:rPr>
        <w:t>D21-2</w:t>
      </w:r>
      <w:r w:rsidRPr="00425500">
        <w:rPr>
          <w:rFonts w:ascii="Times New Roman" w:hAnsi="Times New Roman" w:cs="Times New Roman"/>
          <w:b/>
          <w:bCs/>
          <w:sz w:val="24"/>
          <w:szCs w:val="24"/>
        </w:rPr>
        <w:t>-000)</w:t>
      </w:r>
    </w:p>
    <w:p w:rsidRPr="00425500" w:rsidR="001F33E7" w:rsidP="00425500" w:rsidRDefault="001F33E7" w14:paraId="22B80B8B" w14:textId="77777777">
      <w:pPr>
        <w:spacing w:after="0"/>
        <w:jc w:val="center"/>
        <w:rPr>
          <w:rFonts w:ascii="Times New Roman" w:hAnsi="Times New Roman" w:cs="Times New Roman"/>
          <w:sz w:val="24"/>
          <w:szCs w:val="24"/>
        </w:rPr>
      </w:pPr>
    </w:p>
    <w:p w:rsidRPr="00425500" w:rsidR="007F6B50" w:rsidP="00425500" w:rsidRDefault="00AE74D8" w14:paraId="4AEE3A59" w14:textId="0D0BD0CB">
      <w:pPr>
        <w:spacing w:after="0"/>
        <w:rPr>
          <w:rFonts w:ascii="Times New Roman" w:hAnsi="Times New Roman" w:cs="Times New Roman"/>
          <w:sz w:val="24"/>
          <w:szCs w:val="24"/>
        </w:rPr>
      </w:pPr>
      <w:r w:rsidRPr="00425500">
        <w:rPr>
          <w:rFonts w:ascii="Times New Roman" w:hAnsi="Times New Roman" w:cs="Times New Roman"/>
          <w:sz w:val="24"/>
          <w:szCs w:val="24"/>
        </w:rPr>
        <w:t xml:space="preserve">The Federal Energy Regulatory Commission (Commission or FERC) requests that the Office of Management and Budget (OMB) </w:t>
      </w:r>
      <w:r w:rsidRPr="00425500" w:rsidR="0070421D">
        <w:rPr>
          <w:rFonts w:ascii="Times New Roman" w:hAnsi="Times New Roman" w:cs="Times New Roman"/>
          <w:sz w:val="24"/>
          <w:szCs w:val="24"/>
        </w:rPr>
        <w:t>review and approve</w:t>
      </w:r>
      <w:r w:rsidRPr="00425500">
        <w:rPr>
          <w:rFonts w:ascii="Times New Roman" w:hAnsi="Times New Roman" w:cs="Times New Roman"/>
          <w:sz w:val="24"/>
          <w:szCs w:val="24"/>
        </w:rPr>
        <w:t xml:space="preserve"> </w:t>
      </w:r>
      <w:r w:rsidRPr="00425500" w:rsidR="0070421D">
        <w:rPr>
          <w:rFonts w:ascii="Times New Roman" w:hAnsi="Times New Roman" w:cs="Times New Roman"/>
          <w:sz w:val="24"/>
          <w:szCs w:val="24"/>
        </w:rPr>
        <w:t xml:space="preserve">for three years </w:t>
      </w:r>
      <w:r w:rsidRPr="00425500">
        <w:rPr>
          <w:rFonts w:ascii="Times New Roman" w:hAnsi="Times New Roman" w:cs="Times New Roman"/>
          <w:sz w:val="24"/>
          <w:szCs w:val="24"/>
        </w:rPr>
        <w:t>FERC-725B2</w:t>
      </w:r>
      <w:r w:rsidRPr="00425500" w:rsidR="00A532AE">
        <w:rPr>
          <w:rFonts w:ascii="Times New Roman" w:hAnsi="Times New Roman" w:cs="Times New Roman"/>
          <w:sz w:val="24"/>
          <w:szCs w:val="24"/>
        </w:rPr>
        <w:t xml:space="preserve"> (Mandatory Reliability Standards, Critical Infrastructure Protection (CIP)</w:t>
      </w:r>
      <w:r w:rsidR="00D30D7B">
        <w:rPr>
          <w:rFonts w:ascii="Times New Roman" w:hAnsi="Times New Roman" w:cs="Times New Roman"/>
          <w:sz w:val="24"/>
          <w:szCs w:val="24"/>
        </w:rPr>
        <w:t>)</w:t>
      </w:r>
      <w:r w:rsidRPr="00425500" w:rsidR="0070421D">
        <w:rPr>
          <w:rFonts w:ascii="Times New Roman" w:hAnsi="Times New Roman" w:cs="Times New Roman"/>
          <w:sz w:val="24"/>
          <w:szCs w:val="24"/>
        </w:rPr>
        <w:t xml:space="preserve"> as modified in Docket No. RD21-2-000</w:t>
      </w:r>
      <w:r w:rsidRPr="00425500" w:rsidR="00A532AE">
        <w:rPr>
          <w:rFonts w:ascii="Times New Roman" w:hAnsi="Times New Roman" w:cs="Times New Roman"/>
          <w:sz w:val="24"/>
          <w:szCs w:val="24"/>
        </w:rPr>
        <w:t>.</w:t>
      </w:r>
    </w:p>
    <w:p w:rsidRPr="00425500" w:rsidR="00A72E7B" w:rsidP="00425500" w:rsidRDefault="00A72E7B" w14:paraId="4AEE3A5D" w14:textId="77777777">
      <w:pPr>
        <w:spacing w:after="0"/>
        <w:rPr>
          <w:rFonts w:ascii="Times New Roman" w:hAnsi="Times New Roman" w:cs="Times New Roman"/>
          <w:sz w:val="24"/>
          <w:szCs w:val="24"/>
        </w:rPr>
      </w:pPr>
    </w:p>
    <w:p w:rsidRPr="0051723A" w:rsidR="00A72E7B" w:rsidP="0051723A" w:rsidRDefault="00A72E7B" w14:paraId="4AEE3A5E"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CIRCUMSTANCES THAT MAKE THE COLLECTION OF INFORMATION NECESSARY</w:t>
      </w:r>
    </w:p>
    <w:p w:rsidRPr="00425500" w:rsidR="00C31161" w:rsidP="00425500" w:rsidRDefault="00C31161" w14:paraId="51FCD5A3" w14:textId="22E7748B">
      <w:pPr>
        <w:spacing w:after="0"/>
        <w:rPr>
          <w:rFonts w:ascii="Times New Roman" w:hAnsi="Times New Roman" w:cs="Times New Roman"/>
          <w:sz w:val="24"/>
          <w:szCs w:val="24"/>
        </w:rPr>
      </w:pPr>
      <w:r w:rsidRPr="00425500">
        <w:rPr>
          <w:rFonts w:ascii="Times New Roman" w:hAnsi="Times New Roman" w:cs="Times New Roman"/>
          <w:sz w:val="24"/>
          <w:szCs w:val="24"/>
        </w:rPr>
        <w:t>On August 8, 2005, the Electricity Modernization Act of 2005, which is Title XII of the Energy Policy Act of 2005 (</w:t>
      </w:r>
      <w:proofErr w:type="spellStart"/>
      <w:r w:rsidRPr="00425500">
        <w:rPr>
          <w:rFonts w:ascii="Times New Roman" w:hAnsi="Times New Roman" w:cs="Times New Roman"/>
          <w:sz w:val="24"/>
          <w:szCs w:val="24"/>
        </w:rPr>
        <w:t>EPAct</w:t>
      </w:r>
      <w:proofErr w:type="spellEnd"/>
      <w:r w:rsidRPr="00425500">
        <w:rPr>
          <w:rFonts w:ascii="Times New Roman" w:hAnsi="Times New Roman" w:cs="Times New Roman"/>
          <w:sz w:val="24"/>
          <w:szCs w:val="24"/>
        </w:rPr>
        <w:t xml:space="preserve"> 2005), was enacted into law.  </w:t>
      </w:r>
      <w:proofErr w:type="spellStart"/>
      <w:r w:rsidRPr="00425500">
        <w:rPr>
          <w:rFonts w:ascii="Times New Roman" w:hAnsi="Times New Roman" w:cs="Times New Roman"/>
          <w:sz w:val="24"/>
          <w:szCs w:val="24"/>
        </w:rPr>
        <w:t>EPAct</w:t>
      </w:r>
      <w:proofErr w:type="spellEnd"/>
      <w:r w:rsidRPr="00425500">
        <w:rPr>
          <w:rFonts w:ascii="Times New Roman" w:hAnsi="Times New Roman" w:cs="Times New Roman"/>
          <w:sz w:val="24"/>
          <w:szCs w:val="24"/>
        </w:rPr>
        <w:t xml:space="preserve"> 2005 added a new Section 215</w:t>
      </w:r>
      <w:r w:rsidRPr="00425500">
        <w:rPr>
          <w:rFonts w:ascii="Times New Roman" w:hAnsi="Times New Roman" w:cs="Times New Roman"/>
          <w:bCs/>
          <w:sz w:val="24"/>
          <w:szCs w:val="24"/>
          <w:vertAlign w:val="superscript"/>
        </w:rPr>
        <w:footnoteReference w:id="1"/>
      </w:r>
      <w:r w:rsidRPr="00425500">
        <w:rPr>
          <w:rFonts w:ascii="Times New Roman" w:hAnsi="Times New Roman" w:cs="Times New Roman"/>
          <w:sz w:val="24"/>
          <w:szCs w:val="24"/>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425500">
        <w:rPr>
          <w:rStyle w:val="FootnoteReference"/>
          <w:rFonts w:ascii="Times New Roman" w:hAnsi="Times New Roman" w:cs="Times New Roman"/>
          <w:sz w:val="24"/>
          <w:szCs w:val="24"/>
          <w:vertAlign w:val="superscript"/>
        </w:rPr>
        <w:footnoteReference w:id="2"/>
      </w:r>
    </w:p>
    <w:p w:rsidRPr="00425500" w:rsidR="00C31161" w:rsidP="00425500" w:rsidRDefault="00C31161" w14:paraId="246ECCDF" w14:textId="49B63F5C">
      <w:pPr>
        <w:pStyle w:val="ListParagraph"/>
        <w:spacing w:after="0"/>
        <w:ind w:left="360"/>
        <w:rPr>
          <w:rFonts w:ascii="Times New Roman" w:hAnsi="Times New Roman" w:cs="Times New Roman"/>
          <w:sz w:val="24"/>
          <w:szCs w:val="24"/>
        </w:rPr>
      </w:pPr>
    </w:p>
    <w:p w:rsidRPr="00425500" w:rsidR="00C31161" w:rsidP="00425500" w:rsidRDefault="00C31161" w14:paraId="6FA976AC" w14:textId="336C4202">
      <w:pPr>
        <w:spacing w:after="0"/>
        <w:rPr>
          <w:rFonts w:ascii="Times New Roman" w:hAnsi="Times New Roman" w:cs="Times New Roman"/>
          <w:sz w:val="24"/>
          <w:szCs w:val="24"/>
        </w:rPr>
      </w:pPr>
      <w:r w:rsidRPr="00425500">
        <w:rPr>
          <w:rFonts w:ascii="Times New Roman" w:hAnsi="Times New Roman" w:cs="Times New Roman"/>
          <w:sz w:val="24"/>
          <w:szCs w:val="24"/>
        </w:rPr>
        <w:t xml:space="preserve">On January 18, 2008, the Commission issued Order No. 706, which approved the CIP version 1 Standards to address cyber security of the Bulk-Power System. In Order No. 706, the Commission approved eight CIP Reliability Standards (CIP-002-1 through CIP-009-1).  While approving the CIP version 1 Standards, the Commission also directed NERC to develop modifications to the CIP version 1 Standards, intended to enhance the protection provided by the CIP Reliability Standards.  Subsequently, NERC filed the CIP version 2 and CIP version 3 Standards in partial compliance with Order No. 706.  The Commission approved these standards in September </w:t>
      </w:r>
      <w:r w:rsidRPr="00425500" w:rsidR="0063153F">
        <w:rPr>
          <w:rFonts w:ascii="Times New Roman" w:hAnsi="Times New Roman" w:cs="Times New Roman"/>
          <w:sz w:val="24"/>
          <w:szCs w:val="24"/>
        </w:rPr>
        <w:t>2009 and</w:t>
      </w:r>
      <w:r w:rsidRPr="00425500">
        <w:rPr>
          <w:rFonts w:ascii="Times New Roman" w:hAnsi="Times New Roman" w:cs="Times New Roman"/>
          <w:sz w:val="24"/>
          <w:szCs w:val="24"/>
        </w:rPr>
        <w:t xml:space="preserve"> March </w:t>
      </w:r>
      <w:r w:rsidRPr="00425500" w:rsidR="00B00330">
        <w:rPr>
          <w:rFonts w:ascii="Times New Roman" w:hAnsi="Times New Roman" w:cs="Times New Roman"/>
          <w:sz w:val="24"/>
          <w:szCs w:val="24"/>
        </w:rPr>
        <w:t>2010, respectively</w:t>
      </w:r>
      <w:r w:rsidRPr="00425500">
        <w:rPr>
          <w:rFonts w:ascii="Times New Roman" w:hAnsi="Times New Roman" w:cs="Times New Roman"/>
          <w:sz w:val="24"/>
          <w:szCs w:val="24"/>
        </w:rPr>
        <w:t xml:space="preserve">.  </w:t>
      </w:r>
    </w:p>
    <w:p w:rsidRPr="00425500" w:rsidR="0089694A" w:rsidP="00425500" w:rsidRDefault="0089694A" w14:paraId="5B2D031E" w14:textId="68DD7F2C">
      <w:pPr>
        <w:pStyle w:val="ListParagraph"/>
        <w:spacing w:after="0"/>
        <w:ind w:left="360"/>
        <w:rPr>
          <w:rFonts w:ascii="Times New Roman" w:hAnsi="Times New Roman" w:cs="Times New Roman"/>
          <w:sz w:val="24"/>
          <w:szCs w:val="24"/>
        </w:rPr>
      </w:pPr>
    </w:p>
    <w:p w:rsidRPr="00425500" w:rsidR="0089694A" w:rsidP="00425500" w:rsidRDefault="0089694A" w14:paraId="2F7E7330" w14:textId="77777777">
      <w:pPr>
        <w:pStyle w:val="ListParagraph"/>
        <w:spacing w:after="0"/>
        <w:ind w:left="0"/>
        <w:rPr>
          <w:rFonts w:ascii="Times New Roman" w:hAnsi="Times New Roman" w:cs="Times New Roman"/>
          <w:sz w:val="24"/>
          <w:szCs w:val="24"/>
        </w:rPr>
      </w:pPr>
      <w:r w:rsidRPr="00425500">
        <w:rPr>
          <w:rFonts w:ascii="Times New Roman" w:hAnsi="Times New Roman" w:cs="Times New Roman"/>
          <w:sz w:val="24"/>
          <w:szCs w:val="24"/>
        </w:rPr>
        <w:t>In Order No. 850, the Commission approved Reliability Standards CIP-013-1, CIP-005-6,</w:t>
      </w:r>
    </w:p>
    <w:p w:rsidRPr="00425500" w:rsidR="0089694A" w:rsidP="00425500" w:rsidRDefault="0089694A" w14:paraId="2115B8F4" w14:textId="77777777">
      <w:pPr>
        <w:pStyle w:val="ListParagraph"/>
        <w:spacing w:after="0"/>
        <w:ind w:left="0"/>
        <w:rPr>
          <w:rFonts w:ascii="Times New Roman" w:hAnsi="Times New Roman" w:cs="Times New Roman"/>
          <w:sz w:val="24"/>
          <w:szCs w:val="24"/>
        </w:rPr>
      </w:pPr>
      <w:r w:rsidRPr="00425500">
        <w:rPr>
          <w:rFonts w:ascii="Times New Roman" w:hAnsi="Times New Roman" w:cs="Times New Roman"/>
          <w:sz w:val="24"/>
          <w:szCs w:val="24"/>
        </w:rPr>
        <w:t>and CIP-010-3 (the “Supply Chain Standards”). The Supply Chain Standards, which were</w:t>
      </w:r>
    </w:p>
    <w:p w:rsidRPr="00425500" w:rsidR="0089694A" w:rsidP="00425500" w:rsidRDefault="0089694A" w14:paraId="14649CB2" w14:textId="506825D1">
      <w:pPr>
        <w:pStyle w:val="ListParagraph"/>
        <w:spacing w:after="0"/>
        <w:ind w:left="0"/>
        <w:rPr>
          <w:rFonts w:ascii="Times New Roman" w:hAnsi="Times New Roman" w:cs="Times New Roman"/>
          <w:sz w:val="24"/>
          <w:szCs w:val="24"/>
        </w:rPr>
      </w:pPr>
      <w:r w:rsidRPr="00425500">
        <w:rPr>
          <w:rFonts w:ascii="Times New Roman" w:hAnsi="Times New Roman" w:cs="Times New Roman"/>
          <w:sz w:val="24"/>
          <w:szCs w:val="24"/>
        </w:rPr>
        <w:t xml:space="preserve">developed in response to Order No. 829, address cybersecurity risks associated with the supply chain for BES </w:t>
      </w:r>
      <w:r w:rsidR="00F91C08">
        <w:rPr>
          <w:rFonts w:ascii="Times New Roman" w:hAnsi="Times New Roman" w:cs="Times New Roman"/>
          <w:sz w:val="24"/>
          <w:szCs w:val="24"/>
        </w:rPr>
        <w:t xml:space="preserve">[Bulk Electric System] </w:t>
      </w:r>
      <w:r w:rsidRPr="00425500">
        <w:rPr>
          <w:rFonts w:ascii="Times New Roman" w:hAnsi="Times New Roman" w:cs="Times New Roman"/>
          <w:sz w:val="24"/>
          <w:szCs w:val="24"/>
        </w:rPr>
        <w:t>Cyber Systems.</w:t>
      </w:r>
      <w:r w:rsidRPr="00425500">
        <w:rPr>
          <w:rStyle w:val="FootnoteReference"/>
          <w:rFonts w:ascii="Times New Roman" w:hAnsi="Times New Roman" w:cs="Times New Roman"/>
          <w:sz w:val="24"/>
          <w:szCs w:val="24"/>
          <w:vertAlign w:val="superscript"/>
        </w:rPr>
        <w:footnoteReference w:id="3"/>
      </w:r>
      <w:r w:rsidRPr="00425500">
        <w:rPr>
          <w:rFonts w:ascii="Times New Roman" w:hAnsi="Times New Roman" w:cs="Times New Roman"/>
          <w:sz w:val="24"/>
          <w:szCs w:val="24"/>
          <w:vertAlign w:val="superscript"/>
        </w:rPr>
        <w:t xml:space="preserve"> </w:t>
      </w:r>
      <w:r w:rsidRPr="00425500">
        <w:rPr>
          <w:rFonts w:ascii="Times New Roman" w:hAnsi="Times New Roman" w:cs="Times New Roman"/>
          <w:sz w:val="24"/>
          <w:szCs w:val="24"/>
        </w:rPr>
        <w:t>In approving the Supply Chain Standards, the Commission found that they addressed the following four objectives from Order No. 829:</w:t>
      </w:r>
    </w:p>
    <w:p w:rsidRPr="00425500" w:rsidR="0089694A" w:rsidP="00425500" w:rsidRDefault="0089694A" w14:paraId="4278F605" w14:textId="3582F99B">
      <w:pPr>
        <w:pStyle w:val="ListParagraph"/>
        <w:spacing w:after="0"/>
        <w:ind w:left="0"/>
        <w:rPr>
          <w:rFonts w:ascii="Times New Roman" w:hAnsi="Times New Roman" w:cs="Times New Roman"/>
          <w:sz w:val="24"/>
          <w:szCs w:val="24"/>
        </w:rPr>
      </w:pPr>
    </w:p>
    <w:p w:rsidRPr="00425500" w:rsidR="0089694A" w:rsidP="00425500" w:rsidRDefault="0089694A" w14:paraId="424DFC76" w14:textId="77777777">
      <w:pPr>
        <w:pStyle w:val="ListParagraph"/>
        <w:numPr>
          <w:ilvl w:val="0"/>
          <w:numId w:val="5"/>
        </w:numPr>
        <w:spacing w:after="0"/>
        <w:ind w:left="360"/>
        <w:rPr>
          <w:rFonts w:ascii="Times New Roman" w:hAnsi="Times New Roman" w:cs="Times New Roman"/>
          <w:sz w:val="24"/>
          <w:szCs w:val="24"/>
        </w:rPr>
      </w:pPr>
      <w:r w:rsidRPr="00425500">
        <w:rPr>
          <w:rFonts w:ascii="Times New Roman" w:hAnsi="Times New Roman" w:cs="Times New Roman"/>
          <w:sz w:val="24"/>
          <w:szCs w:val="24"/>
        </w:rPr>
        <w:t xml:space="preserve">software integrity and authenticity; </w:t>
      </w:r>
    </w:p>
    <w:p w:rsidRPr="00425500" w:rsidR="0089694A" w:rsidP="00425500" w:rsidRDefault="0089694A" w14:paraId="20E795C2" w14:textId="50D84031">
      <w:pPr>
        <w:pStyle w:val="ListParagraph"/>
        <w:numPr>
          <w:ilvl w:val="0"/>
          <w:numId w:val="5"/>
        </w:numPr>
        <w:spacing w:after="0"/>
        <w:ind w:left="360"/>
        <w:rPr>
          <w:rFonts w:ascii="Times New Roman" w:hAnsi="Times New Roman" w:cs="Times New Roman"/>
          <w:sz w:val="24"/>
          <w:szCs w:val="24"/>
        </w:rPr>
      </w:pPr>
      <w:r w:rsidRPr="00425500">
        <w:rPr>
          <w:rFonts w:ascii="Times New Roman" w:hAnsi="Times New Roman" w:cs="Times New Roman"/>
          <w:sz w:val="24"/>
          <w:szCs w:val="24"/>
        </w:rPr>
        <w:lastRenderedPageBreak/>
        <w:t xml:space="preserve">vendor remote access protections; </w:t>
      </w:r>
    </w:p>
    <w:p w:rsidRPr="00425500" w:rsidR="0089694A" w:rsidP="00425500" w:rsidRDefault="0089694A" w14:paraId="2B4AB872" w14:textId="7EC8E6D9">
      <w:pPr>
        <w:pStyle w:val="ListParagraph"/>
        <w:numPr>
          <w:ilvl w:val="0"/>
          <w:numId w:val="5"/>
        </w:numPr>
        <w:spacing w:after="0"/>
        <w:ind w:left="360"/>
        <w:rPr>
          <w:rFonts w:ascii="Times New Roman" w:hAnsi="Times New Roman" w:cs="Times New Roman"/>
          <w:sz w:val="24"/>
          <w:szCs w:val="24"/>
        </w:rPr>
      </w:pPr>
      <w:r w:rsidRPr="00425500">
        <w:rPr>
          <w:rFonts w:ascii="Times New Roman" w:hAnsi="Times New Roman" w:cs="Times New Roman"/>
          <w:sz w:val="24"/>
          <w:szCs w:val="24"/>
        </w:rPr>
        <w:t xml:space="preserve">information system planning; and </w:t>
      </w:r>
    </w:p>
    <w:p w:rsidR="0089694A" w:rsidP="00425500" w:rsidRDefault="0089694A" w14:paraId="4B36C866" w14:textId="6B615AB9">
      <w:pPr>
        <w:pStyle w:val="ListParagraph"/>
        <w:numPr>
          <w:ilvl w:val="0"/>
          <w:numId w:val="5"/>
        </w:numPr>
        <w:spacing w:after="0"/>
        <w:ind w:left="360"/>
        <w:rPr>
          <w:rFonts w:ascii="Times New Roman" w:hAnsi="Times New Roman" w:cs="Times New Roman"/>
          <w:sz w:val="24"/>
          <w:szCs w:val="24"/>
        </w:rPr>
      </w:pPr>
      <w:r w:rsidRPr="00425500">
        <w:rPr>
          <w:rFonts w:ascii="Times New Roman" w:hAnsi="Times New Roman" w:cs="Times New Roman"/>
          <w:sz w:val="24"/>
          <w:szCs w:val="24"/>
        </w:rPr>
        <w:t>vendor risk management and procurement controls.</w:t>
      </w:r>
      <w:r w:rsidRPr="008F2815">
        <w:rPr>
          <w:rStyle w:val="FootnoteReference"/>
          <w:rFonts w:ascii="Times New Roman" w:hAnsi="Times New Roman" w:cs="Times New Roman"/>
          <w:sz w:val="24"/>
          <w:szCs w:val="24"/>
          <w:vertAlign w:val="superscript"/>
        </w:rPr>
        <w:footnoteReference w:id="4"/>
      </w:r>
    </w:p>
    <w:p w:rsidRPr="00425500" w:rsidR="008F2815" w:rsidP="008F2815" w:rsidRDefault="008F2815" w14:paraId="10E2632C" w14:textId="77777777">
      <w:pPr>
        <w:pStyle w:val="ListParagraph"/>
        <w:spacing w:after="0"/>
        <w:ind w:left="360"/>
        <w:rPr>
          <w:rFonts w:ascii="Times New Roman" w:hAnsi="Times New Roman" w:cs="Times New Roman"/>
          <w:sz w:val="24"/>
          <w:szCs w:val="24"/>
        </w:rPr>
      </w:pPr>
    </w:p>
    <w:p w:rsidRPr="00425500" w:rsidR="00B00330" w:rsidP="00425500" w:rsidRDefault="003A41AA" w14:paraId="101EA774" w14:textId="6E526E60">
      <w:pPr>
        <w:pStyle w:val="ListParagraph"/>
        <w:spacing w:after="0"/>
        <w:ind w:left="0"/>
        <w:rPr>
          <w:rFonts w:ascii="Times New Roman" w:hAnsi="Times New Roman" w:cs="Times New Roman"/>
          <w:sz w:val="24"/>
          <w:szCs w:val="24"/>
        </w:rPr>
      </w:pPr>
      <w:r w:rsidRPr="00425500">
        <w:rPr>
          <w:rFonts w:ascii="Times New Roman" w:hAnsi="Times New Roman" w:cs="Times New Roman"/>
          <w:sz w:val="24"/>
          <w:szCs w:val="24"/>
        </w:rPr>
        <w:t>While approving the Supply Chain Standards, the Commission determined that a significant cybersecurity risk associated with the supply chain for BES Cyber Systems remained because the approved Reliability Standards did not address Electronic Access Control or Monitoring Systems (EACMS).</w:t>
      </w:r>
      <w:r w:rsidRPr="00425500">
        <w:rPr>
          <w:rStyle w:val="FootnoteReference"/>
          <w:rFonts w:ascii="Times New Roman" w:hAnsi="Times New Roman" w:cs="Times New Roman"/>
          <w:sz w:val="24"/>
          <w:szCs w:val="24"/>
          <w:vertAlign w:val="superscript"/>
        </w:rPr>
        <w:footnoteReference w:id="5"/>
      </w:r>
      <w:r w:rsidRPr="00425500">
        <w:rPr>
          <w:rFonts w:ascii="Times New Roman" w:hAnsi="Times New Roman" w:cs="Times New Roman"/>
          <w:sz w:val="24"/>
          <w:szCs w:val="24"/>
        </w:rPr>
        <w:t xml:space="preserve"> To address this reliability gap, pursuant to section 215(d)(5) of the Federal Power Act (FPA), the Commission directed NERC to develop and submit modifications to include EACMS in the supply chain risk management Reliability Standards and to file the modifications within 24 months of the effective date of Order No. 850.</w:t>
      </w:r>
      <w:r w:rsidRPr="00425500">
        <w:rPr>
          <w:rStyle w:val="FootnoteReference"/>
          <w:rFonts w:ascii="Times New Roman" w:hAnsi="Times New Roman" w:cs="Times New Roman"/>
          <w:sz w:val="24"/>
          <w:szCs w:val="24"/>
          <w:vertAlign w:val="superscript"/>
        </w:rPr>
        <w:footnoteReference w:id="6"/>
      </w:r>
    </w:p>
    <w:p w:rsidRPr="00425500" w:rsidR="00425500" w:rsidP="00425500" w:rsidRDefault="00425500" w14:paraId="26E9DEE9" w14:textId="2D165CBB">
      <w:pPr>
        <w:pStyle w:val="ListParagraph"/>
        <w:spacing w:after="0"/>
        <w:ind w:left="0"/>
        <w:rPr>
          <w:rFonts w:ascii="Times New Roman" w:hAnsi="Times New Roman" w:cs="Times New Roman"/>
          <w:sz w:val="24"/>
          <w:szCs w:val="24"/>
        </w:rPr>
      </w:pPr>
    </w:p>
    <w:p w:rsidRPr="00425500" w:rsidR="00425500" w:rsidP="00425500" w:rsidRDefault="00425500" w14:paraId="0E26FC64" w14:textId="77777777">
      <w:pPr>
        <w:pStyle w:val="ListParagraph"/>
        <w:ind w:left="0"/>
        <w:rPr>
          <w:rFonts w:ascii="Times New Roman" w:hAnsi="Times New Roman" w:cs="Times New Roman"/>
          <w:b/>
          <w:bCs/>
          <w:sz w:val="24"/>
          <w:szCs w:val="24"/>
        </w:rPr>
      </w:pPr>
      <w:r w:rsidRPr="00425500">
        <w:rPr>
          <w:rFonts w:ascii="Times New Roman" w:hAnsi="Times New Roman" w:cs="Times New Roman"/>
          <w:sz w:val="24"/>
          <w:szCs w:val="24"/>
        </w:rPr>
        <w:t>The Commission also determined that NERC’s proposal did not address Physical Access Control Systems (PACS)</w:t>
      </w:r>
      <w:r w:rsidRPr="00425500">
        <w:rPr>
          <w:rFonts w:ascii="Times New Roman" w:hAnsi="Times New Roman" w:cs="Times New Roman"/>
          <w:b/>
          <w:bCs/>
          <w:sz w:val="24"/>
          <w:szCs w:val="24"/>
        </w:rPr>
        <w:t xml:space="preserve"> </w:t>
      </w:r>
      <w:r w:rsidRPr="00425500">
        <w:rPr>
          <w:rFonts w:ascii="Times New Roman" w:hAnsi="Times New Roman" w:cs="Times New Roman"/>
          <w:sz w:val="24"/>
          <w:szCs w:val="24"/>
        </w:rPr>
        <w:t>and Protected Cyber Assets (PCA),</w:t>
      </w:r>
      <w:r w:rsidRPr="00425500">
        <w:rPr>
          <w:rFonts w:ascii="Times New Roman" w:hAnsi="Times New Roman" w:cs="Times New Roman"/>
          <w:b/>
          <w:sz w:val="24"/>
          <w:szCs w:val="24"/>
          <w:vertAlign w:val="superscript"/>
        </w:rPr>
        <w:footnoteReference w:id="7"/>
      </w:r>
      <w:r w:rsidRPr="00425500">
        <w:rPr>
          <w:rFonts w:ascii="Times New Roman" w:hAnsi="Times New Roman" w:cs="Times New Roman"/>
          <w:b/>
          <w:bCs/>
          <w:sz w:val="24"/>
          <w:szCs w:val="24"/>
        </w:rPr>
        <w:t xml:space="preserve"> </w:t>
      </w:r>
      <w:r w:rsidRPr="00425500">
        <w:rPr>
          <w:rFonts w:ascii="Times New Roman" w:hAnsi="Times New Roman" w:cs="Times New Roman"/>
          <w:sz w:val="24"/>
          <w:szCs w:val="24"/>
        </w:rPr>
        <w:t>with the exception of the modifications in Reliability Standard CIP-005-6, which apply to PCAs, and expressed concerns that the exclusion of these components may leave a gap in the supply chain risk management Reliability Standards.</w:t>
      </w:r>
      <w:r w:rsidRPr="00425500">
        <w:rPr>
          <w:rFonts w:ascii="Times New Roman" w:hAnsi="Times New Roman" w:cs="Times New Roman"/>
          <w:bCs/>
          <w:sz w:val="24"/>
          <w:szCs w:val="24"/>
          <w:vertAlign w:val="superscript"/>
        </w:rPr>
        <w:footnoteReference w:id="8"/>
      </w:r>
      <w:r w:rsidRPr="00425500">
        <w:rPr>
          <w:rFonts w:ascii="Times New Roman" w:hAnsi="Times New Roman" w:cs="Times New Roman"/>
          <w:bCs/>
          <w:sz w:val="24"/>
          <w:szCs w:val="24"/>
        </w:rPr>
        <w:t xml:space="preserve">  </w:t>
      </w:r>
      <w:r w:rsidRPr="00425500">
        <w:rPr>
          <w:rFonts w:ascii="Times New Roman" w:hAnsi="Times New Roman" w:cs="Times New Roman"/>
          <w:sz w:val="24"/>
          <w:szCs w:val="24"/>
        </w:rPr>
        <w:t>The Commission accepted NERC’s commitment to evaluate the cybersecurity supply chain risks presented by PACS and PCAs in the study of cybersecurity supply chain risks directed by the NERC Board of Trustees (BOT) in its resolutions of August 10, 2017. The Commission further directed NERC to file the BOT-directed final report with the Commission upon its completion.</w:t>
      </w:r>
      <w:r w:rsidRPr="00425500">
        <w:rPr>
          <w:rFonts w:ascii="Times New Roman" w:hAnsi="Times New Roman" w:cs="Times New Roman"/>
          <w:sz w:val="24"/>
          <w:szCs w:val="24"/>
          <w:vertAlign w:val="superscript"/>
        </w:rPr>
        <w:footnoteReference w:id="9"/>
      </w:r>
      <w:r w:rsidRPr="00425500">
        <w:rPr>
          <w:rFonts w:ascii="Times New Roman" w:hAnsi="Times New Roman" w:cs="Times New Roman"/>
          <w:b/>
          <w:bCs/>
          <w:sz w:val="24"/>
          <w:szCs w:val="24"/>
        </w:rPr>
        <w:t xml:space="preserve"> </w:t>
      </w:r>
    </w:p>
    <w:p w:rsidRPr="00425500" w:rsidR="00425500" w:rsidP="00425500" w:rsidRDefault="00425500" w14:paraId="4DF04494" w14:textId="77777777">
      <w:pPr>
        <w:pStyle w:val="ListParagraph"/>
        <w:spacing w:after="0"/>
        <w:ind w:left="0"/>
        <w:rPr>
          <w:rFonts w:ascii="Times New Roman" w:hAnsi="Times New Roman" w:cs="Times New Roman"/>
          <w:sz w:val="24"/>
          <w:szCs w:val="24"/>
        </w:rPr>
      </w:pPr>
    </w:p>
    <w:p w:rsidRPr="00425500" w:rsidR="003C3E94" w:rsidP="00425500" w:rsidRDefault="0089694A" w14:paraId="61B69B8A" w14:textId="15DEB2DB">
      <w:pPr>
        <w:rPr>
          <w:rFonts w:ascii="Times New Roman" w:hAnsi="Times New Roman" w:cs="Times New Roman"/>
          <w:sz w:val="24"/>
          <w:szCs w:val="24"/>
        </w:rPr>
      </w:pPr>
      <w:r w:rsidRPr="00425500">
        <w:rPr>
          <w:rFonts w:ascii="Times New Roman" w:hAnsi="Times New Roman" w:cs="Times New Roman"/>
          <w:sz w:val="24"/>
          <w:szCs w:val="24"/>
        </w:rPr>
        <w:t>NERC</w:t>
      </w:r>
      <w:r w:rsidRPr="00425500" w:rsidR="00B00330">
        <w:rPr>
          <w:rFonts w:ascii="Times New Roman" w:hAnsi="Times New Roman" w:cs="Times New Roman"/>
          <w:sz w:val="24"/>
          <w:szCs w:val="24"/>
        </w:rPr>
        <w:t xml:space="preserve"> filed a petition with the Commission on December 14, 2020</w:t>
      </w:r>
      <w:r w:rsidR="00327288">
        <w:rPr>
          <w:rFonts w:ascii="Times New Roman" w:hAnsi="Times New Roman" w:cs="Times New Roman"/>
          <w:sz w:val="24"/>
          <w:szCs w:val="24"/>
        </w:rPr>
        <w:t xml:space="preserve"> (</w:t>
      </w:r>
      <w:r w:rsidRPr="00327288" w:rsidR="00327288">
        <w:rPr>
          <w:rFonts w:ascii="Times New Roman" w:hAnsi="Times New Roman" w:cs="Times New Roman"/>
          <w:sz w:val="24"/>
          <w:szCs w:val="24"/>
        </w:rPr>
        <w:t>Docket Number RD21-2</w:t>
      </w:r>
      <w:r w:rsidR="00327288">
        <w:rPr>
          <w:rFonts w:ascii="Times New Roman" w:hAnsi="Times New Roman" w:cs="Times New Roman"/>
          <w:sz w:val="24"/>
          <w:szCs w:val="24"/>
        </w:rPr>
        <w:t>)</w:t>
      </w:r>
      <w:r w:rsidRPr="00425500" w:rsidR="00B00330">
        <w:rPr>
          <w:rFonts w:ascii="Times New Roman" w:hAnsi="Times New Roman" w:cs="Times New Roman"/>
          <w:sz w:val="24"/>
          <w:szCs w:val="24"/>
        </w:rPr>
        <w:t>.</w:t>
      </w:r>
      <w:r w:rsidRPr="00425500" w:rsidR="00B00330">
        <w:rPr>
          <w:rStyle w:val="FootnoteReference"/>
          <w:rFonts w:ascii="Times New Roman" w:hAnsi="Times New Roman" w:cs="Times New Roman"/>
          <w:sz w:val="24"/>
          <w:szCs w:val="24"/>
          <w:vertAlign w:val="superscript"/>
        </w:rPr>
        <w:footnoteReference w:id="10"/>
      </w:r>
      <w:r w:rsidRPr="00425500" w:rsidR="00B00330">
        <w:rPr>
          <w:rFonts w:ascii="Times New Roman" w:hAnsi="Times New Roman" w:cs="Times New Roman"/>
          <w:sz w:val="24"/>
          <w:szCs w:val="24"/>
        </w:rPr>
        <w:t xml:space="preserve"> The docket was noticed on January 7</w:t>
      </w:r>
      <w:r w:rsidR="00403571">
        <w:rPr>
          <w:rFonts w:ascii="Times New Roman" w:hAnsi="Times New Roman" w:cs="Times New Roman"/>
          <w:sz w:val="24"/>
          <w:szCs w:val="24"/>
        </w:rPr>
        <w:t>, 2021</w:t>
      </w:r>
      <w:r w:rsidRPr="00425500" w:rsidR="00B00330">
        <w:rPr>
          <w:rFonts w:ascii="Times New Roman" w:hAnsi="Times New Roman" w:cs="Times New Roman"/>
          <w:sz w:val="24"/>
          <w:szCs w:val="24"/>
        </w:rPr>
        <w:t xml:space="preserve"> with a 21-day comment/intervention period, ending on January 28, 2021. </w:t>
      </w:r>
      <w:r w:rsidR="00403571">
        <w:rPr>
          <w:rFonts w:ascii="Times New Roman" w:hAnsi="Times New Roman" w:cs="Times New Roman"/>
          <w:sz w:val="24"/>
          <w:szCs w:val="24"/>
        </w:rPr>
        <w:t xml:space="preserve">In response to the notice of filings, FERC received no comments. </w:t>
      </w:r>
      <w:r w:rsidRPr="00425500" w:rsidR="007900E2">
        <w:rPr>
          <w:rFonts w:ascii="Times New Roman" w:hAnsi="Times New Roman" w:cs="Times New Roman"/>
          <w:sz w:val="24"/>
          <w:szCs w:val="24"/>
        </w:rPr>
        <w:t>The proposed Reliability Standards improve the reliability of the Bulk Electric System (“BES”) and address the Commission’s directive from Order No. 850 to develop modifications to include</w:t>
      </w:r>
      <w:r w:rsidRPr="00425500">
        <w:rPr>
          <w:rFonts w:ascii="Times New Roman" w:hAnsi="Times New Roman" w:cs="Times New Roman"/>
          <w:sz w:val="24"/>
          <w:szCs w:val="24"/>
        </w:rPr>
        <w:t xml:space="preserve"> </w:t>
      </w:r>
      <w:r w:rsidRPr="00425500" w:rsidR="007900E2">
        <w:rPr>
          <w:rFonts w:ascii="Times New Roman" w:hAnsi="Times New Roman" w:cs="Times New Roman"/>
          <w:sz w:val="24"/>
          <w:szCs w:val="24"/>
        </w:rPr>
        <w:t xml:space="preserve">Electronic Access Control or Monitoring Systems (“EACMS”) associated with medium and high </w:t>
      </w:r>
      <w:r w:rsidRPr="00425500" w:rsidR="007900E2">
        <w:rPr>
          <w:rFonts w:ascii="Times New Roman" w:hAnsi="Times New Roman" w:cs="Times New Roman"/>
          <w:sz w:val="24"/>
          <w:szCs w:val="24"/>
        </w:rPr>
        <w:lastRenderedPageBreak/>
        <w:t>impact BES Cyber Systems within the scope of the supply chain risk management Reliability Standards.</w:t>
      </w:r>
      <w:r w:rsidRPr="00425500" w:rsidR="007900E2">
        <w:rPr>
          <w:rStyle w:val="FootnoteReference"/>
          <w:rFonts w:ascii="Times New Roman" w:hAnsi="Times New Roman" w:cs="Times New Roman"/>
          <w:sz w:val="24"/>
          <w:szCs w:val="24"/>
          <w:vertAlign w:val="superscript"/>
        </w:rPr>
        <w:footnoteReference w:id="11"/>
      </w:r>
      <w:r w:rsidRPr="00425500" w:rsidR="007900E2">
        <w:rPr>
          <w:rFonts w:ascii="Times New Roman" w:hAnsi="Times New Roman" w:cs="Times New Roman"/>
          <w:sz w:val="24"/>
          <w:szCs w:val="24"/>
          <w:vertAlign w:val="superscript"/>
        </w:rPr>
        <w:t xml:space="preserve"> </w:t>
      </w:r>
      <w:r w:rsidRPr="00425500" w:rsidR="003C3E94">
        <w:rPr>
          <w:rFonts w:ascii="Times New Roman" w:hAnsi="Times New Roman" w:cs="Times New Roman"/>
          <w:sz w:val="24"/>
          <w:szCs w:val="24"/>
        </w:rPr>
        <w:t>The NERC petition request</w:t>
      </w:r>
      <w:r w:rsidRPr="00425500" w:rsidR="003A41AA">
        <w:rPr>
          <w:rFonts w:ascii="Times New Roman" w:hAnsi="Times New Roman" w:cs="Times New Roman"/>
          <w:sz w:val="24"/>
          <w:szCs w:val="24"/>
        </w:rPr>
        <w:t>s</w:t>
      </w:r>
      <w:r w:rsidRPr="00425500" w:rsidR="003C3E94">
        <w:rPr>
          <w:rFonts w:ascii="Times New Roman" w:hAnsi="Times New Roman" w:cs="Times New Roman"/>
          <w:sz w:val="24"/>
          <w:szCs w:val="24"/>
        </w:rPr>
        <w:t xml:space="preserve"> approval of proposed Reliability Standards CIP-013-2 (Cyber Security – Supply Chain Risk Management), CIP-005-7</w:t>
      </w:r>
      <w:r w:rsidRPr="00425500" w:rsidR="003A41AA">
        <w:rPr>
          <w:rFonts w:ascii="Times New Roman" w:hAnsi="Times New Roman" w:cs="Times New Roman"/>
          <w:sz w:val="24"/>
          <w:szCs w:val="24"/>
        </w:rPr>
        <w:t xml:space="preserve"> </w:t>
      </w:r>
      <w:r w:rsidRPr="00425500" w:rsidR="003C3E94">
        <w:rPr>
          <w:rFonts w:ascii="Times New Roman" w:hAnsi="Times New Roman" w:cs="Times New Roman"/>
          <w:sz w:val="24"/>
          <w:szCs w:val="24"/>
        </w:rPr>
        <w:t>(Cyber Security – Electronic Security Perimeter(s)), and CIP-010-4</w:t>
      </w:r>
      <w:r w:rsidRPr="00425500" w:rsidR="003A41AA">
        <w:rPr>
          <w:rFonts w:ascii="Times New Roman" w:hAnsi="Times New Roman" w:cs="Times New Roman"/>
          <w:sz w:val="24"/>
          <w:szCs w:val="24"/>
        </w:rPr>
        <w:t xml:space="preserve"> </w:t>
      </w:r>
      <w:r w:rsidRPr="00425500" w:rsidR="003C3E94">
        <w:rPr>
          <w:rFonts w:ascii="Times New Roman" w:hAnsi="Times New Roman" w:cs="Times New Roman"/>
          <w:sz w:val="24"/>
          <w:szCs w:val="24"/>
        </w:rPr>
        <w:t xml:space="preserve">(Cyber Security – Configuration Change Management and Vulnerability Assessments).  NERC also requested approval of: (1) the associated implementation plan, violation risk factors and violation severity levels; and (2) the retirement of </w:t>
      </w:r>
      <w:r w:rsidRPr="00425500" w:rsidR="00944A16">
        <w:rPr>
          <w:rFonts w:ascii="Times New Roman" w:hAnsi="Times New Roman" w:cs="Times New Roman"/>
          <w:sz w:val="24"/>
          <w:szCs w:val="24"/>
        </w:rPr>
        <w:t>currently effective</w:t>
      </w:r>
      <w:r w:rsidRPr="00425500" w:rsidR="003C3E94">
        <w:rPr>
          <w:rFonts w:ascii="Times New Roman" w:hAnsi="Times New Roman" w:cs="Times New Roman"/>
          <w:sz w:val="24"/>
          <w:szCs w:val="24"/>
        </w:rPr>
        <w:t xml:space="preserve"> Reliability Standards CIP-013-1, CIP-005-6, and CIP-010-3</w:t>
      </w:r>
      <w:r w:rsidRPr="00425500" w:rsidR="003A41AA">
        <w:rPr>
          <w:rFonts w:ascii="Times New Roman" w:hAnsi="Times New Roman" w:cs="Times New Roman"/>
          <w:sz w:val="24"/>
          <w:szCs w:val="24"/>
        </w:rPr>
        <w:t>.</w:t>
      </w:r>
    </w:p>
    <w:p w:rsidRPr="00425500" w:rsidR="00B00330" w:rsidP="00425500" w:rsidRDefault="00B00330" w14:paraId="75D74F22" w14:textId="345E48FD">
      <w:pPr>
        <w:pStyle w:val="ListParagraph"/>
        <w:spacing w:after="0"/>
        <w:ind w:left="0"/>
        <w:rPr>
          <w:rFonts w:ascii="Times New Roman" w:hAnsi="Times New Roman" w:cs="Times New Roman"/>
          <w:sz w:val="24"/>
          <w:szCs w:val="24"/>
        </w:rPr>
      </w:pPr>
      <w:r w:rsidRPr="00425500">
        <w:rPr>
          <w:rFonts w:ascii="Times New Roman" w:hAnsi="Times New Roman" w:cs="Times New Roman"/>
          <w:sz w:val="24"/>
          <w:szCs w:val="24"/>
        </w:rPr>
        <w:t xml:space="preserve">Pursuant to Reliability Standard CIP-013-2 Requirement R1, responsible entities should update their supply chain risk management plans to include Electronic Access Control or Monitoring Systems and Physical Access Control Systems.  The act of implementing the modified plans and procedures may result in additional documentation, as required by Reliability Standard CIP-013-2, Requirement R2.  In addition to the above one-time paperwork requirements, pursuant to Reliability Standard CIP-013-1, Requirement R3, responsible entities are required to review their supply chain risk management plan and associated procedures every 15 months. </w:t>
      </w:r>
    </w:p>
    <w:p w:rsidRPr="00425500" w:rsidR="00B00330" w:rsidP="00425500" w:rsidRDefault="00B00330" w14:paraId="2022E3A9" w14:textId="77777777">
      <w:pPr>
        <w:pStyle w:val="ListParagraph"/>
        <w:spacing w:after="0"/>
        <w:ind w:left="0"/>
        <w:rPr>
          <w:rFonts w:ascii="Times New Roman" w:hAnsi="Times New Roman" w:cs="Times New Roman"/>
          <w:sz w:val="24"/>
          <w:szCs w:val="24"/>
        </w:rPr>
      </w:pPr>
    </w:p>
    <w:p w:rsidRPr="00425500" w:rsidR="00B00330" w:rsidP="00425500" w:rsidRDefault="00B00330" w14:paraId="4CC8F360" w14:textId="0100E075">
      <w:pPr>
        <w:pStyle w:val="ListParagraph"/>
        <w:spacing w:after="0"/>
        <w:ind w:left="0"/>
        <w:rPr>
          <w:rFonts w:ascii="Times New Roman" w:hAnsi="Times New Roman" w:cs="Times New Roman"/>
          <w:sz w:val="24"/>
          <w:szCs w:val="24"/>
        </w:rPr>
      </w:pPr>
      <w:r w:rsidRPr="00425500">
        <w:rPr>
          <w:rFonts w:ascii="Times New Roman" w:hAnsi="Times New Roman" w:cs="Times New Roman"/>
          <w:sz w:val="24"/>
          <w:szCs w:val="24"/>
        </w:rPr>
        <w:t xml:space="preserve">The technical requirements in Reliability Standard CIP-005-7, Requirement R3.1 and Requirement R3.2 </w:t>
      </w:r>
      <w:r w:rsidR="00F91C08">
        <w:rPr>
          <w:rFonts w:ascii="Times New Roman" w:hAnsi="Times New Roman" w:cs="Times New Roman"/>
          <w:sz w:val="24"/>
          <w:szCs w:val="24"/>
        </w:rPr>
        <w:t>are</w:t>
      </w:r>
      <w:r w:rsidRPr="00425500" w:rsidR="00F91C08">
        <w:rPr>
          <w:rFonts w:ascii="Times New Roman" w:hAnsi="Times New Roman" w:cs="Times New Roman"/>
          <w:sz w:val="24"/>
          <w:szCs w:val="24"/>
        </w:rPr>
        <w:t xml:space="preserve"> </w:t>
      </w:r>
      <w:r w:rsidRPr="00425500">
        <w:rPr>
          <w:rFonts w:ascii="Times New Roman" w:hAnsi="Times New Roman" w:cs="Times New Roman"/>
          <w:sz w:val="24"/>
          <w:szCs w:val="24"/>
        </w:rPr>
        <w:t xml:space="preserve">likely to result in documentation burden in year one to implement new reporting requirements. Reliability Standard CIP-010-4, Requirement R1.6 will require modification of </w:t>
      </w:r>
      <w:r w:rsidRPr="00425500" w:rsidR="007900E2">
        <w:rPr>
          <w:rFonts w:ascii="Times New Roman" w:hAnsi="Times New Roman" w:cs="Times New Roman"/>
          <w:sz w:val="24"/>
          <w:szCs w:val="24"/>
        </w:rPr>
        <w:t>certain procedures</w:t>
      </w:r>
      <w:r w:rsidRPr="00425500">
        <w:rPr>
          <w:rFonts w:ascii="Times New Roman" w:hAnsi="Times New Roman" w:cs="Times New Roman"/>
          <w:sz w:val="24"/>
          <w:szCs w:val="24"/>
        </w:rPr>
        <w:t xml:space="preserve">, as well as initial implementation and documentation of said procedures. The compliance-related recordkeeping requirements of the above-mentioned standards will </w:t>
      </w:r>
      <w:proofErr w:type="gramStart"/>
      <w:r w:rsidRPr="00425500" w:rsidR="007900E2">
        <w:rPr>
          <w:rFonts w:ascii="Times New Roman" w:hAnsi="Times New Roman" w:cs="Times New Roman"/>
          <w:sz w:val="24"/>
          <w:szCs w:val="24"/>
        </w:rPr>
        <w:t>continue</w:t>
      </w:r>
      <w:r w:rsidRPr="00425500">
        <w:rPr>
          <w:rFonts w:ascii="Times New Roman" w:hAnsi="Times New Roman" w:cs="Times New Roman"/>
          <w:sz w:val="24"/>
          <w:szCs w:val="24"/>
        </w:rPr>
        <w:t xml:space="preserve"> </w:t>
      </w:r>
      <w:r w:rsidR="00F91C08">
        <w:rPr>
          <w:rFonts w:ascii="Times New Roman" w:hAnsi="Times New Roman" w:cs="Times New Roman"/>
          <w:sz w:val="24"/>
          <w:szCs w:val="24"/>
        </w:rPr>
        <w:t>on</w:t>
      </w:r>
      <w:proofErr w:type="gramEnd"/>
      <w:r w:rsidR="00F91C08">
        <w:rPr>
          <w:rFonts w:ascii="Times New Roman" w:hAnsi="Times New Roman" w:cs="Times New Roman"/>
          <w:sz w:val="24"/>
          <w:szCs w:val="24"/>
        </w:rPr>
        <w:t xml:space="preserve"> </w:t>
      </w:r>
      <w:r w:rsidRPr="00425500">
        <w:rPr>
          <w:rFonts w:ascii="Times New Roman" w:hAnsi="Times New Roman" w:cs="Times New Roman"/>
          <w:sz w:val="24"/>
          <w:szCs w:val="24"/>
        </w:rPr>
        <w:t>an ongoing basis beginning in year one.</w:t>
      </w:r>
    </w:p>
    <w:p w:rsidRPr="00425500" w:rsidR="00EB3E6F" w:rsidP="00425500" w:rsidRDefault="00EB3E6F" w14:paraId="4AEE3A61" w14:textId="77777777">
      <w:pPr>
        <w:spacing w:after="0"/>
        <w:rPr>
          <w:rFonts w:ascii="Times New Roman" w:hAnsi="Times New Roman" w:cs="Times New Roman"/>
          <w:sz w:val="24"/>
          <w:szCs w:val="24"/>
        </w:rPr>
      </w:pPr>
    </w:p>
    <w:p w:rsidRPr="0051723A" w:rsidR="00A72E7B" w:rsidP="0051723A" w:rsidRDefault="00EB3E6F" w14:paraId="4AEE3A62"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HOW, BY WHOM, AND FOR WHAT PURPOSE THE INFORMATION IS TO BE USED AND THE CONSEQUENCES OF NOT COLLECTING THE INFORMATION</w:t>
      </w:r>
    </w:p>
    <w:p w:rsidRPr="00425500" w:rsidR="00691F13" w:rsidP="00425500" w:rsidRDefault="00F875B9" w14:paraId="3F316CDD" w14:textId="46B96B99">
      <w:pPr>
        <w:spacing w:after="0"/>
        <w:rPr>
          <w:rFonts w:ascii="Times New Roman" w:hAnsi="Times New Roman" w:cs="Times New Roman"/>
          <w:sz w:val="24"/>
          <w:szCs w:val="24"/>
        </w:rPr>
      </w:pPr>
      <w:r w:rsidRPr="00425500">
        <w:rPr>
          <w:rFonts w:ascii="Times New Roman" w:hAnsi="Times New Roman" w:cs="Times New Roman"/>
          <w:sz w:val="24"/>
          <w:szCs w:val="24"/>
        </w:rPr>
        <w:t>The information collection requirements in the CIP standards apply to entities registered as the following functions: balancing authorities, distribution providers, generator operators, generator owners, interchange coordinators (or interchange authorities), reliability coordinators, transmission operators, and transmission owners. There are 1,494 unique registered entities in the NERC compliance registry as of February 5, 2021.  Of this total, the Commission estimate</w:t>
      </w:r>
      <w:r w:rsidR="00F91C08">
        <w:rPr>
          <w:rFonts w:ascii="Times New Roman" w:hAnsi="Times New Roman" w:cs="Times New Roman"/>
          <w:sz w:val="24"/>
          <w:szCs w:val="24"/>
        </w:rPr>
        <w:t>s</w:t>
      </w:r>
      <w:r w:rsidRPr="00425500">
        <w:rPr>
          <w:rFonts w:ascii="Times New Roman" w:hAnsi="Times New Roman" w:cs="Times New Roman"/>
          <w:sz w:val="24"/>
          <w:szCs w:val="24"/>
        </w:rPr>
        <w:t xml:space="preserve"> that 343 entities (Balancing Authority [BA], Distribution Provider [DP], Generator Owner [GO], Generator Operator [GOP], Reliability Coordinator [RC], Transmission Owner [TO], and Transmission Operator [TOP]) will face an increased paperwork burden due to Docket No. RD21-2  Each of these entities is considered a “respondent” for the purposes of fulfilling the paperwork requirements.   </w:t>
      </w:r>
    </w:p>
    <w:p w:rsidRPr="00425500" w:rsidR="00F875B9" w:rsidP="00425500" w:rsidRDefault="00F875B9" w14:paraId="48604B45" w14:textId="2E5EA640">
      <w:pPr>
        <w:spacing w:after="0"/>
        <w:ind w:left="360"/>
        <w:rPr>
          <w:rFonts w:ascii="Times New Roman" w:hAnsi="Times New Roman" w:cs="Times New Roman"/>
          <w:sz w:val="24"/>
          <w:szCs w:val="24"/>
        </w:rPr>
      </w:pPr>
    </w:p>
    <w:p w:rsidRPr="00425500" w:rsidR="00F875B9" w:rsidP="00425500" w:rsidRDefault="00F875B9" w14:paraId="6D071A92" w14:textId="19AFA2E0">
      <w:pPr>
        <w:spacing w:after="0"/>
        <w:rPr>
          <w:rFonts w:ascii="Times New Roman" w:hAnsi="Times New Roman" w:cs="Times New Roman"/>
          <w:sz w:val="24"/>
          <w:szCs w:val="24"/>
        </w:rPr>
      </w:pPr>
      <w:r w:rsidRPr="00425500">
        <w:rPr>
          <w:rFonts w:ascii="Times New Roman" w:hAnsi="Times New Roman" w:cs="Times New Roman"/>
          <w:sz w:val="24"/>
          <w:szCs w:val="24"/>
        </w:rPr>
        <w:t xml:space="preserve">The cyber security policy, process, and procedure documentation required by the CIP standards are the principal components of a cyber-security program.  The main use for the information </w:t>
      </w:r>
      <w:r w:rsidRPr="00425500">
        <w:rPr>
          <w:rFonts w:ascii="Times New Roman" w:hAnsi="Times New Roman" w:cs="Times New Roman"/>
          <w:sz w:val="24"/>
          <w:szCs w:val="24"/>
        </w:rPr>
        <w:lastRenderedPageBreak/>
        <w:t xml:space="preserve">generated is to achieve and maintain a cyber-secure operational state, a process which requires vigilant monitoring of activity against documented policies and procedures.  The information generated can also be used to show auditors that required cyber security policies, processes, and procedures are designed to achieve the requirement and are implemented as designed.  Similarly, the applicable compliance enforcement authority (regional entity or NERC) </w:t>
      </w:r>
      <w:r w:rsidR="00F91C08">
        <w:rPr>
          <w:rFonts w:ascii="Times New Roman" w:hAnsi="Times New Roman" w:cs="Times New Roman"/>
          <w:sz w:val="24"/>
          <w:szCs w:val="24"/>
        </w:rPr>
        <w:t xml:space="preserve">that </w:t>
      </w:r>
      <w:r w:rsidRPr="00425500">
        <w:rPr>
          <w:rFonts w:ascii="Times New Roman" w:hAnsi="Times New Roman" w:cs="Times New Roman"/>
          <w:sz w:val="24"/>
          <w:szCs w:val="24"/>
        </w:rPr>
        <w:t xml:space="preserve">relies upon any such </w:t>
      </w:r>
      <w:proofErr w:type="gramStart"/>
      <w:r w:rsidRPr="00425500">
        <w:rPr>
          <w:rFonts w:ascii="Times New Roman" w:hAnsi="Times New Roman" w:cs="Times New Roman"/>
          <w:sz w:val="24"/>
          <w:szCs w:val="24"/>
        </w:rPr>
        <w:t>documentation  is</w:t>
      </w:r>
      <w:proofErr w:type="gramEnd"/>
      <w:r w:rsidRPr="00425500">
        <w:rPr>
          <w:rFonts w:ascii="Times New Roman" w:hAnsi="Times New Roman" w:cs="Times New Roman"/>
          <w:sz w:val="24"/>
          <w:szCs w:val="24"/>
        </w:rPr>
        <w:t xml:space="preserve"> shown to measure an entity’s compliance with a given requirement.  The information is also used for evaluating reliability events or for enforcement actions. </w:t>
      </w:r>
    </w:p>
    <w:p w:rsidRPr="00425500" w:rsidR="00691F13" w:rsidP="00425500" w:rsidRDefault="00691F13" w14:paraId="502DCF14" w14:textId="2C6C4784">
      <w:pPr>
        <w:spacing w:after="0"/>
        <w:rPr>
          <w:rFonts w:ascii="Times New Roman" w:hAnsi="Times New Roman" w:cs="Times New Roman"/>
          <w:sz w:val="24"/>
          <w:szCs w:val="24"/>
        </w:rPr>
      </w:pPr>
    </w:p>
    <w:p w:rsidRPr="00425500" w:rsidR="00691F13" w:rsidP="00425500" w:rsidRDefault="00327288" w14:paraId="51006946" w14:textId="6E3EFAC4">
      <w:pPr>
        <w:spacing w:after="0"/>
        <w:rPr>
          <w:rFonts w:ascii="Times New Roman" w:hAnsi="Times New Roman" w:cs="Times New Roman"/>
          <w:sz w:val="24"/>
          <w:szCs w:val="24"/>
        </w:rPr>
      </w:pPr>
      <w:r>
        <w:rPr>
          <w:rFonts w:ascii="Times New Roman" w:hAnsi="Times New Roman" w:cs="Times New Roman"/>
          <w:b/>
          <w:bCs/>
          <w:sz w:val="24"/>
          <w:szCs w:val="24"/>
        </w:rPr>
        <w:t xml:space="preserve">Reliability Standard </w:t>
      </w:r>
      <w:bookmarkStart w:name="_Hlk69293381" w:id="0"/>
      <w:r w:rsidRPr="00327288">
        <w:rPr>
          <w:rFonts w:ascii="Times New Roman" w:hAnsi="Times New Roman" w:cs="Times New Roman"/>
          <w:b/>
          <w:bCs/>
          <w:sz w:val="24"/>
          <w:szCs w:val="24"/>
        </w:rPr>
        <w:t>CIP-013-2.</w:t>
      </w:r>
      <w:bookmarkEnd w:id="0"/>
      <w:r>
        <w:rPr>
          <w:rFonts w:ascii="Times New Roman" w:hAnsi="Times New Roman" w:cs="Times New Roman"/>
          <w:sz w:val="24"/>
          <w:szCs w:val="24"/>
        </w:rPr>
        <w:t xml:space="preserve"> </w:t>
      </w:r>
      <w:r w:rsidRPr="00425500" w:rsidR="00691F13">
        <w:rPr>
          <w:rFonts w:ascii="Times New Roman" w:hAnsi="Times New Roman" w:cs="Times New Roman"/>
          <w:sz w:val="24"/>
          <w:szCs w:val="24"/>
        </w:rPr>
        <w:t xml:space="preserve">Per NERC’s petition, </w:t>
      </w:r>
      <w:bookmarkStart w:name="_Hlk68085768" w:id="1"/>
      <w:r w:rsidRPr="00425500" w:rsidR="00691F13">
        <w:rPr>
          <w:rFonts w:ascii="Times New Roman" w:hAnsi="Times New Roman" w:cs="Times New Roman"/>
          <w:sz w:val="24"/>
          <w:szCs w:val="24"/>
        </w:rPr>
        <w:t>CIP-013-2 – Cyber Security - Supply Chain Risk Management</w:t>
      </w:r>
      <w:r w:rsidRPr="00B62064" w:rsidR="001177D7">
        <w:rPr>
          <w:rStyle w:val="FootnoteReference"/>
          <w:rFonts w:ascii="Times New Roman" w:hAnsi="Times New Roman" w:cs="Times New Roman"/>
          <w:sz w:val="24"/>
          <w:szCs w:val="24"/>
          <w:vertAlign w:val="superscript"/>
        </w:rPr>
        <w:footnoteReference w:id="12"/>
      </w:r>
      <w:r w:rsidRPr="00B62064" w:rsidR="00691F13">
        <w:rPr>
          <w:rFonts w:ascii="Times New Roman" w:hAnsi="Times New Roman" w:cs="Times New Roman"/>
          <w:sz w:val="24"/>
          <w:szCs w:val="24"/>
          <w:vertAlign w:val="superscript"/>
        </w:rPr>
        <w:t xml:space="preserve"> </w:t>
      </w:r>
      <w:bookmarkEnd w:id="1"/>
      <w:r w:rsidRPr="00425500" w:rsidR="00691F13">
        <w:rPr>
          <w:rFonts w:ascii="Times New Roman" w:hAnsi="Times New Roman" w:cs="Times New Roman"/>
          <w:sz w:val="24"/>
          <w:szCs w:val="24"/>
        </w:rPr>
        <w:t xml:space="preserve">has the following reporting requirements: </w:t>
      </w:r>
    </w:p>
    <w:p w:rsidRPr="00425500" w:rsidR="00691F13" w:rsidP="00425500" w:rsidRDefault="00691F13" w14:paraId="067427F9" w14:textId="1CA0A95D">
      <w:pPr>
        <w:spacing w:after="0"/>
        <w:rPr>
          <w:rFonts w:ascii="Times New Roman" w:hAnsi="Times New Roman" w:cs="Times New Roman"/>
          <w:sz w:val="24"/>
          <w:szCs w:val="24"/>
        </w:rPr>
      </w:pPr>
    </w:p>
    <w:p w:rsidRPr="00425500" w:rsidR="00691F13" w:rsidP="00425500" w:rsidRDefault="00691F13" w14:paraId="11AA49E5" w14:textId="77777777">
      <w:pPr>
        <w:spacing w:after="0"/>
        <w:rPr>
          <w:rFonts w:ascii="Times New Roman" w:hAnsi="Times New Roman" w:cs="Times New Roman"/>
          <w:sz w:val="24"/>
          <w:szCs w:val="24"/>
        </w:rPr>
      </w:pPr>
      <w:r w:rsidRPr="00425500">
        <w:rPr>
          <w:rFonts w:ascii="Times New Roman" w:hAnsi="Times New Roman" w:cs="Times New Roman"/>
          <w:sz w:val="24"/>
          <w:szCs w:val="24"/>
        </w:rPr>
        <w:t xml:space="preserve">R1. Each Responsible Entity shall develop one or more documented supply chain cyber security risk management plan(s) for high and medium impact BES Cyber Systems and their associated Electronic Access Control or Monitoring Systems (EACMS) and Physical Access Control Systems (PACS). The plan(s) shall include: [Violation Risk Factor: Medium] [Time Horizon: Operations Planning] </w:t>
      </w:r>
    </w:p>
    <w:p w:rsidRPr="00425500" w:rsidR="00691F13" w:rsidP="00425500" w:rsidRDefault="00691F13" w14:paraId="0493497A" w14:textId="15E81C60">
      <w:pPr>
        <w:pStyle w:val="ListParagraph"/>
        <w:numPr>
          <w:ilvl w:val="0"/>
          <w:numId w:val="20"/>
        </w:numPr>
        <w:spacing w:after="0"/>
        <w:ind w:left="720"/>
        <w:rPr>
          <w:rFonts w:ascii="Times New Roman" w:hAnsi="Times New Roman" w:cs="Times New Roman"/>
          <w:sz w:val="24"/>
          <w:szCs w:val="24"/>
        </w:rPr>
      </w:pPr>
      <w:r w:rsidRPr="00425500">
        <w:rPr>
          <w:rFonts w:ascii="Times New Roman" w:hAnsi="Times New Roman" w:cs="Times New Roman"/>
          <w:sz w:val="24"/>
          <w:szCs w:val="24"/>
        </w:rPr>
        <w:t xml:space="preserve">One or more process(es) used in planning for the procurement of BES Cyber Systems and their associated EACMS and PACS to identify and assess cyber security risk(s) to the Bulk Electric System from vendor products or services resulting from: (i) procuring and installing vendor equipment and software; and (ii) transitions from one vendor(s) to another vendor(s). </w:t>
      </w:r>
    </w:p>
    <w:p w:rsidRPr="00425500" w:rsidR="00691F13" w:rsidP="00425500" w:rsidRDefault="00691F13" w14:paraId="59C7C8D3" w14:textId="40ECCB88">
      <w:pPr>
        <w:pStyle w:val="ListParagraph"/>
        <w:numPr>
          <w:ilvl w:val="0"/>
          <w:numId w:val="20"/>
        </w:numPr>
        <w:spacing w:after="0"/>
        <w:ind w:left="720"/>
        <w:rPr>
          <w:rFonts w:ascii="Times New Roman" w:hAnsi="Times New Roman" w:cs="Times New Roman"/>
          <w:sz w:val="24"/>
          <w:szCs w:val="24"/>
        </w:rPr>
      </w:pPr>
      <w:r w:rsidRPr="00425500">
        <w:rPr>
          <w:rFonts w:ascii="Times New Roman" w:hAnsi="Times New Roman" w:cs="Times New Roman"/>
          <w:sz w:val="24"/>
          <w:szCs w:val="24"/>
        </w:rPr>
        <w:t xml:space="preserve">One or more process(es) used in procuring BES Cyber Systems, and their associated EACMS and PACS, that address the following, as applicable: </w:t>
      </w:r>
    </w:p>
    <w:p w:rsidRPr="00425500" w:rsidR="00691F13" w:rsidP="00425500" w:rsidRDefault="00577884" w14:paraId="49A0E7AD" w14:textId="458261CF">
      <w:pPr>
        <w:pStyle w:val="ListParagraph"/>
        <w:numPr>
          <w:ilvl w:val="1"/>
          <w:numId w:val="6"/>
        </w:numPr>
        <w:spacing w:after="0"/>
        <w:ind w:left="1440"/>
        <w:rPr>
          <w:rFonts w:ascii="Times New Roman" w:hAnsi="Times New Roman" w:cs="Times New Roman"/>
          <w:sz w:val="24"/>
          <w:szCs w:val="24"/>
        </w:rPr>
      </w:pPr>
      <w:r w:rsidRPr="00425500">
        <w:rPr>
          <w:rFonts w:ascii="Times New Roman" w:hAnsi="Times New Roman" w:cs="Times New Roman"/>
          <w:sz w:val="24"/>
          <w:szCs w:val="24"/>
        </w:rPr>
        <w:t xml:space="preserve">1.2.1. </w:t>
      </w:r>
      <w:r w:rsidRPr="00425500" w:rsidR="00691F13">
        <w:rPr>
          <w:rFonts w:ascii="Times New Roman" w:hAnsi="Times New Roman" w:cs="Times New Roman"/>
          <w:sz w:val="24"/>
          <w:szCs w:val="24"/>
        </w:rPr>
        <w:t xml:space="preserve">Notification by the vendor of vendor-identified incidents related to the products or services provided to the Responsible Entity that pose cyber security risk to the Responsible Entity; </w:t>
      </w:r>
    </w:p>
    <w:p w:rsidRPr="00425500" w:rsidR="00691F13" w:rsidP="00425500" w:rsidRDefault="00577884" w14:paraId="2DBAD084" w14:textId="345BEC3B">
      <w:pPr>
        <w:pStyle w:val="ListParagraph"/>
        <w:numPr>
          <w:ilvl w:val="1"/>
          <w:numId w:val="6"/>
        </w:numPr>
        <w:spacing w:after="0"/>
        <w:ind w:left="1440"/>
        <w:rPr>
          <w:rFonts w:ascii="Times New Roman" w:hAnsi="Times New Roman" w:cs="Times New Roman"/>
          <w:sz w:val="24"/>
          <w:szCs w:val="24"/>
        </w:rPr>
      </w:pPr>
      <w:r w:rsidRPr="00425500">
        <w:rPr>
          <w:rFonts w:ascii="Times New Roman" w:hAnsi="Times New Roman" w:cs="Times New Roman"/>
          <w:sz w:val="24"/>
          <w:szCs w:val="24"/>
        </w:rPr>
        <w:t xml:space="preserve">1.2.2. </w:t>
      </w:r>
      <w:r w:rsidRPr="00425500" w:rsidR="00691F13">
        <w:rPr>
          <w:rFonts w:ascii="Times New Roman" w:hAnsi="Times New Roman" w:cs="Times New Roman"/>
          <w:sz w:val="24"/>
          <w:szCs w:val="24"/>
        </w:rPr>
        <w:t xml:space="preserve">Coordination of responses to vendor-identified incidents related to the products or services provided to the Responsible Entity that pose cyber security risk to the Responsible Entity; </w:t>
      </w:r>
    </w:p>
    <w:p w:rsidRPr="00425500" w:rsidR="00691F13" w:rsidP="00425500" w:rsidRDefault="00577884" w14:paraId="4D045A24" w14:textId="5463F6E7">
      <w:pPr>
        <w:pStyle w:val="ListParagraph"/>
        <w:numPr>
          <w:ilvl w:val="1"/>
          <w:numId w:val="6"/>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1.2.3. </w:t>
      </w:r>
      <w:r w:rsidRPr="00425500" w:rsidR="00691F13">
        <w:rPr>
          <w:rFonts w:ascii="Times New Roman" w:hAnsi="Times New Roman" w:cs="Times New Roman"/>
          <w:sz w:val="24"/>
          <w:szCs w:val="24"/>
        </w:rPr>
        <w:t xml:space="preserve">Notification by vendors when remote or onsite access should no longer be granted to vendor representatives; </w:t>
      </w:r>
    </w:p>
    <w:p w:rsidRPr="00425500" w:rsidR="00691F13" w:rsidP="00425500" w:rsidRDefault="00577884" w14:paraId="78BF119D" w14:textId="1ADDD1EE">
      <w:pPr>
        <w:pStyle w:val="ListParagraph"/>
        <w:numPr>
          <w:ilvl w:val="1"/>
          <w:numId w:val="6"/>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1.2.4. </w:t>
      </w:r>
      <w:r w:rsidRPr="00425500" w:rsidR="00691F13">
        <w:rPr>
          <w:rFonts w:ascii="Times New Roman" w:hAnsi="Times New Roman" w:cs="Times New Roman"/>
          <w:sz w:val="24"/>
          <w:szCs w:val="24"/>
        </w:rPr>
        <w:t xml:space="preserve">Disclosure by vendors of known vulnerabilities related to the products or services provided to the Responsible Entity; </w:t>
      </w:r>
    </w:p>
    <w:p w:rsidRPr="00425500" w:rsidR="00691F13" w:rsidP="00425500" w:rsidRDefault="00577884" w14:paraId="32CA6E16" w14:textId="4EC93818">
      <w:pPr>
        <w:pStyle w:val="ListParagraph"/>
        <w:numPr>
          <w:ilvl w:val="1"/>
          <w:numId w:val="6"/>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1.2.5. </w:t>
      </w:r>
      <w:r w:rsidRPr="00425500" w:rsidR="00691F13">
        <w:rPr>
          <w:rFonts w:ascii="Times New Roman" w:hAnsi="Times New Roman" w:cs="Times New Roman"/>
          <w:sz w:val="24"/>
          <w:szCs w:val="24"/>
        </w:rPr>
        <w:t xml:space="preserve">Verification of software integrity and authenticity of all software and patches provided by the vendor for use in the BES Cyber System and their associated EACMS and PACS; and </w:t>
      </w:r>
    </w:p>
    <w:p w:rsidRPr="00425500" w:rsidR="00691F13" w:rsidP="00425500" w:rsidRDefault="00577884" w14:paraId="12F8D323" w14:textId="15564D30">
      <w:pPr>
        <w:pStyle w:val="ListParagraph"/>
        <w:numPr>
          <w:ilvl w:val="1"/>
          <w:numId w:val="6"/>
        </w:numPr>
        <w:spacing w:after="0"/>
        <w:rPr>
          <w:rFonts w:ascii="Times New Roman" w:hAnsi="Times New Roman" w:cs="Times New Roman"/>
          <w:sz w:val="24"/>
          <w:szCs w:val="24"/>
        </w:rPr>
      </w:pPr>
      <w:r w:rsidRPr="00425500">
        <w:rPr>
          <w:rFonts w:ascii="Times New Roman" w:hAnsi="Times New Roman" w:cs="Times New Roman"/>
          <w:sz w:val="24"/>
          <w:szCs w:val="24"/>
        </w:rPr>
        <w:lastRenderedPageBreak/>
        <w:t xml:space="preserve">1.2.6. </w:t>
      </w:r>
      <w:r w:rsidRPr="00425500" w:rsidR="00691F13">
        <w:rPr>
          <w:rFonts w:ascii="Times New Roman" w:hAnsi="Times New Roman" w:cs="Times New Roman"/>
          <w:sz w:val="24"/>
          <w:szCs w:val="24"/>
        </w:rPr>
        <w:t xml:space="preserve">Coordination of controls for vendor-initiated remote access. </w:t>
      </w:r>
    </w:p>
    <w:p w:rsidRPr="00425500" w:rsidR="00691F13" w:rsidP="00425500" w:rsidRDefault="00691F13" w14:paraId="4FBFEDED" w14:textId="4FFF5F53">
      <w:pPr>
        <w:spacing w:after="0"/>
        <w:rPr>
          <w:rFonts w:ascii="Times New Roman" w:hAnsi="Times New Roman" w:cs="Times New Roman"/>
          <w:sz w:val="24"/>
          <w:szCs w:val="24"/>
        </w:rPr>
      </w:pPr>
      <w:r w:rsidRPr="00425500">
        <w:rPr>
          <w:rFonts w:ascii="Times New Roman" w:hAnsi="Times New Roman" w:cs="Times New Roman"/>
          <w:sz w:val="24"/>
          <w:szCs w:val="24"/>
        </w:rPr>
        <w:t xml:space="preserve">M1. Evidence shall include one or more documented supply chain cyber security risk management plan(s) as specified in the Requirement. </w:t>
      </w:r>
    </w:p>
    <w:p w:rsidR="00691F13" w:rsidP="00425500" w:rsidRDefault="00691F13" w14:paraId="5A8E0D6E" w14:textId="6803E894">
      <w:pPr>
        <w:spacing w:after="0"/>
        <w:rPr>
          <w:rFonts w:ascii="Times New Roman" w:hAnsi="Times New Roman" w:cs="Times New Roman"/>
          <w:sz w:val="24"/>
          <w:szCs w:val="24"/>
        </w:rPr>
      </w:pPr>
      <w:r w:rsidRPr="00425500">
        <w:rPr>
          <w:rFonts w:ascii="Times New Roman" w:hAnsi="Times New Roman" w:cs="Times New Roman"/>
          <w:sz w:val="24"/>
          <w:szCs w:val="24"/>
        </w:rPr>
        <w:t>R2. Each Responsible Entity shall implement its supply chain cyber security risk management plan(s) specified in Requirement R1. [Violation Risk Factor: Medium] [Time Horizon: Operations Planning]</w:t>
      </w:r>
    </w:p>
    <w:p w:rsidR="00691F13" w:rsidP="00425500" w:rsidRDefault="00691F13" w14:paraId="3FA17AF4" w14:textId="3E773100">
      <w:pPr>
        <w:spacing w:after="0"/>
        <w:rPr>
          <w:rFonts w:ascii="Times New Roman" w:hAnsi="Times New Roman" w:cs="Times New Roman"/>
          <w:sz w:val="24"/>
          <w:szCs w:val="24"/>
        </w:rPr>
      </w:pPr>
      <w:r w:rsidRPr="00425500">
        <w:rPr>
          <w:rFonts w:ascii="Times New Roman" w:hAnsi="Times New Roman" w:cs="Times New Roman"/>
          <w:sz w:val="24"/>
          <w:szCs w:val="24"/>
        </w:rPr>
        <w:t>M2. Evidence shall include documentation to demonstrate implementation of the supply</w:t>
      </w:r>
      <w:r w:rsidR="00944A16">
        <w:rPr>
          <w:rFonts w:ascii="Times New Roman" w:hAnsi="Times New Roman" w:cs="Times New Roman"/>
          <w:sz w:val="24"/>
          <w:szCs w:val="24"/>
        </w:rPr>
        <w:t xml:space="preserve"> </w:t>
      </w:r>
      <w:r w:rsidRPr="00425500">
        <w:rPr>
          <w:rFonts w:ascii="Times New Roman" w:hAnsi="Times New Roman" w:cs="Times New Roman"/>
          <w:sz w:val="24"/>
          <w:szCs w:val="24"/>
        </w:rPr>
        <w:t>chain cyber security risk management plan(s), which could include, but is not limited</w:t>
      </w:r>
      <w:r w:rsidR="00944A16">
        <w:rPr>
          <w:rFonts w:ascii="Times New Roman" w:hAnsi="Times New Roman" w:cs="Times New Roman"/>
          <w:sz w:val="24"/>
          <w:szCs w:val="24"/>
        </w:rPr>
        <w:t xml:space="preserve"> </w:t>
      </w:r>
      <w:r w:rsidRPr="00425500">
        <w:rPr>
          <w:rFonts w:ascii="Times New Roman" w:hAnsi="Times New Roman" w:cs="Times New Roman"/>
          <w:sz w:val="24"/>
          <w:szCs w:val="24"/>
        </w:rPr>
        <w:t xml:space="preserve">to, </w:t>
      </w:r>
      <w:r w:rsidR="00944A16">
        <w:rPr>
          <w:rFonts w:ascii="Times New Roman" w:hAnsi="Times New Roman" w:cs="Times New Roman"/>
          <w:sz w:val="24"/>
          <w:szCs w:val="24"/>
        </w:rPr>
        <w:t>c</w:t>
      </w:r>
      <w:r w:rsidRPr="00425500">
        <w:rPr>
          <w:rFonts w:ascii="Times New Roman" w:hAnsi="Times New Roman" w:cs="Times New Roman"/>
          <w:sz w:val="24"/>
          <w:szCs w:val="24"/>
        </w:rPr>
        <w:t>orrespondence, policy documents, or working documents that demonstrate use</w:t>
      </w:r>
      <w:r w:rsidR="00944A16">
        <w:rPr>
          <w:rFonts w:ascii="Times New Roman" w:hAnsi="Times New Roman" w:cs="Times New Roman"/>
          <w:sz w:val="24"/>
          <w:szCs w:val="24"/>
        </w:rPr>
        <w:t xml:space="preserve"> </w:t>
      </w:r>
      <w:r w:rsidRPr="00425500">
        <w:rPr>
          <w:rFonts w:ascii="Times New Roman" w:hAnsi="Times New Roman" w:cs="Times New Roman"/>
          <w:sz w:val="24"/>
          <w:szCs w:val="24"/>
        </w:rPr>
        <w:t>of the supply chain cyber security risk management plan.</w:t>
      </w:r>
    </w:p>
    <w:p w:rsidR="007617CB" w:rsidP="00425500" w:rsidRDefault="007617CB" w14:paraId="79C3521E" w14:textId="77777777">
      <w:pPr>
        <w:spacing w:after="0"/>
        <w:rPr>
          <w:rFonts w:ascii="Times New Roman" w:hAnsi="Times New Roman" w:cs="Times New Roman"/>
          <w:sz w:val="24"/>
          <w:szCs w:val="24"/>
        </w:rPr>
      </w:pPr>
    </w:p>
    <w:p w:rsidR="007617CB" w:rsidP="00425500" w:rsidRDefault="00691F13" w14:paraId="4AD9BC50" w14:textId="654728AA">
      <w:pPr>
        <w:spacing w:after="0"/>
        <w:rPr>
          <w:rFonts w:ascii="Times New Roman" w:hAnsi="Times New Roman" w:cs="Times New Roman"/>
          <w:sz w:val="24"/>
          <w:szCs w:val="24"/>
        </w:rPr>
      </w:pPr>
      <w:r w:rsidRPr="00425500">
        <w:rPr>
          <w:rFonts w:ascii="Times New Roman" w:hAnsi="Times New Roman" w:cs="Times New Roman"/>
          <w:sz w:val="24"/>
          <w:szCs w:val="24"/>
        </w:rPr>
        <w:t>R3. Each Responsible Entity shall review and obtain CIP Senior Manager or delegate</w:t>
      </w:r>
      <w:r w:rsidR="00944A16">
        <w:rPr>
          <w:rFonts w:ascii="Times New Roman" w:hAnsi="Times New Roman" w:cs="Times New Roman"/>
          <w:sz w:val="24"/>
          <w:szCs w:val="24"/>
        </w:rPr>
        <w:t xml:space="preserve"> </w:t>
      </w:r>
      <w:r w:rsidRPr="00425500">
        <w:rPr>
          <w:rFonts w:ascii="Times New Roman" w:hAnsi="Times New Roman" w:cs="Times New Roman"/>
          <w:sz w:val="24"/>
          <w:szCs w:val="24"/>
        </w:rPr>
        <w:t>approval of its supply chain cyber security risk management plan(s) specified in</w:t>
      </w:r>
      <w:r w:rsidR="00944A16">
        <w:rPr>
          <w:rFonts w:ascii="Times New Roman" w:hAnsi="Times New Roman" w:cs="Times New Roman"/>
          <w:sz w:val="24"/>
          <w:szCs w:val="24"/>
        </w:rPr>
        <w:t xml:space="preserve"> </w:t>
      </w:r>
      <w:r w:rsidRPr="00425500">
        <w:rPr>
          <w:rFonts w:ascii="Times New Roman" w:hAnsi="Times New Roman" w:cs="Times New Roman"/>
          <w:sz w:val="24"/>
          <w:szCs w:val="24"/>
        </w:rPr>
        <w:t>Requirement R1 at least once every 15 calendar months. [Violation Risk Factor:</w:t>
      </w:r>
      <w:r w:rsidR="00944A16">
        <w:rPr>
          <w:rFonts w:ascii="Times New Roman" w:hAnsi="Times New Roman" w:cs="Times New Roman"/>
          <w:sz w:val="24"/>
          <w:szCs w:val="24"/>
        </w:rPr>
        <w:t xml:space="preserve"> </w:t>
      </w:r>
      <w:r w:rsidRPr="00425500">
        <w:rPr>
          <w:rFonts w:ascii="Times New Roman" w:hAnsi="Times New Roman" w:cs="Times New Roman"/>
          <w:sz w:val="24"/>
          <w:szCs w:val="24"/>
        </w:rPr>
        <w:t>Medium] [Time Horizon: Operations Planning]</w:t>
      </w:r>
      <w:r w:rsidR="007617CB">
        <w:rPr>
          <w:rFonts w:ascii="Times New Roman" w:hAnsi="Times New Roman" w:cs="Times New Roman"/>
          <w:sz w:val="24"/>
          <w:szCs w:val="24"/>
        </w:rPr>
        <w:t xml:space="preserve"> </w:t>
      </w:r>
    </w:p>
    <w:p w:rsidR="00691F13" w:rsidP="00425500" w:rsidRDefault="00691F13" w14:paraId="23E04405" w14:textId="23ACD07D">
      <w:pPr>
        <w:spacing w:after="0"/>
        <w:rPr>
          <w:rFonts w:ascii="Times New Roman" w:hAnsi="Times New Roman" w:cs="Times New Roman"/>
          <w:sz w:val="24"/>
          <w:szCs w:val="24"/>
        </w:rPr>
      </w:pPr>
      <w:r w:rsidRPr="00425500">
        <w:rPr>
          <w:rFonts w:ascii="Times New Roman" w:hAnsi="Times New Roman" w:cs="Times New Roman"/>
          <w:sz w:val="24"/>
          <w:szCs w:val="24"/>
        </w:rPr>
        <w:t>M</w:t>
      </w:r>
      <w:r w:rsidRPr="00425500" w:rsidR="00944A16">
        <w:rPr>
          <w:rFonts w:ascii="Times New Roman" w:hAnsi="Times New Roman" w:cs="Times New Roman"/>
          <w:sz w:val="24"/>
          <w:szCs w:val="24"/>
        </w:rPr>
        <w:t>3. Evidence</w:t>
      </w:r>
      <w:r w:rsidRPr="00425500">
        <w:rPr>
          <w:rFonts w:ascii="Times New Roman" w:hAnsi="Times New Roman" w:cs="Times New Roman"/>
          <w:sz w:val="24"/>
          <w:szCs w:val="24"/>
        </w:rPr>
        <w:t xml:space="preserve"> shall include the dated supply chain cyber security risk management plan(s)</w:t>
      </w:r>
      <w:r w:rsidR="007617CB">
        <w:rPr>
          <w:rFonts w:ascii="Times New Roman" w:hAnsi="Times New Roman" w:cs="Times New Roman"/>
          <w:sz w:val="24"/>
          <w:szCs w:val="24"/>
        </w:rPr>
        <w:t xml:space="preserve"> </w:t>
      </w:r>
      <w:r w:rsidR="00944A16">
        <w:rPr>
          <w:rFonts w:ascii="Times New Roman" w:hAnsi="Times New Roman" w:cs="Times New Roman"/>
          <w:sz w:val="24"/>
          <w:szCs w:val="24"/>
        </w:rPr>
        <w:t>a</w:t>
      </w:r>
      <w:r w:rsidRPr="00425500">
        <w:rPr>
          <w:rFonts w:ascii="Times New Roman" w:hAnsi="Times New Roman" w:cs="Times New Roman"/>
          <w:sz w:val="24"/>
          <w:szCs w:val="24"/>
        </w:rPr>
        <w:t>pproved by the CIP Senior Manager or delegate(s) and additional evidence to</w:t>
      </w:r>
      <w:r w:rsidR="00327288">
        <w:rPr>
          <w:rFonts w:ascii="Times New Roman" w:hAnsi="Times New Roman" w:cs="Times New Roman"/>
          <w:sz w:val="24"/>
          <w:szCs w:val="24"/>
        </w:rPr>
        <w:t xml:space="preserve"> </w:t>
      </w:r>
      <w:r w:rsidRPr="00425500">
        <w:rPr>
          <w:rFonts w:ascii="Times New Roman" w:hAnsi="Times New Roman" w:cs="Times New Roman"/>
          <w:sz w:val="24"/>
          <w:szCs w:val="24"/>
        </w:rPr>
        <w:t xml:space="preserve">demonstrate </w:t>
      </w:r>
      <w:r w:rsidR="00944A16">
        <w:rPr>
          <w:rFonts w:ascii="Times New Roman" w:hAnsi="Times New Roman" w:cs="Times New Roman"/>
          <w:sz w:val="24"/>
          <w:szCs w:val="24"/>
        </w:rPr>
        <w:t>r</w:t>
      </w:r>
      <w:r w:rsidRPr="00425500">
        <w:rPr>
          <w:rFonts w:ascii="Times New Roman" w:hAnsi="Times New Roman" w:cs="Times New Roman"/>
          <w:sz w:val="24"/>
          <w:szCs w:val="24"/>
        </w:rPr>
        <w:t>eview of the supply chain cyber security risk management plan(s).</w:t>
      </w:r>
      <w:r w:rsidR="00327288">
        <w:rPr>
          <w:rFonts w:ascii="Times New Roman" w:hAnsi="Times New Roman" w:cs="Times New Roman"/>
          <w:sz w:val="24"/>
          <w:szCs w:val="24"/>
        </w:rPr>
        <w:t xml:space="preserve"> </w:t>
      </w:r>
      <w:r w:rsidRPr="00425500">
        <w:rPr>
          <w:rFonts w:ascii="Times New Roman" w:hAnsi="Times New Roman" w:cs="Times New Roman"/>
          <w:sz w:val="24"/>
          <w:szCs w:val="24"/>
        </w:rPr>
        <w:t>Evidence may include, but is not limited to, policy documents, revision history,</w:t>
      </w:r>
      <w:r w:rsidR="00327288">
        <w:rPr>
          <w:rFonts w:ascii="Times New Roman" w:hAnsi="Times New Roman" w:cs="Times New Roman"/>
          <w:sz w:val="24"/>
          <w:szCs w:val="24"/>
        </w:rPr>
        <w:t xml:space="preserve"> </w:t>
      </w:r>
      <w:r w:rsidRPr="00425500">
        <w:rPr>
          <w:rFonts w:ascii="Times New Roman" w:hAnsi="Times New Roman" w:cs="Times New Roman"/>
          <w:sz w:val="24"/>
          <w:szCs w:val="24"/>
        </w:rPr>
        <w:t>records of review, or workflow evidence from a document management system that</w:t>
      </w:r>
      <w:r w:rsidR="00327288">
        <w:rPr>
          <w:rFonts w:ascii="Times New Roman" w:hAnsi="Times New Roman" w:cs="Times New Roman"/>
          <w:sz w:val="24"/>
          <w:szCs w:val="24"/>
        </w:rPr>
        <w:t xml:space="preserve"> </w:t>
      </w:r>
      <w:r w:rsidRPr="00425500">
        <w:rPr>
          <w:rFonts w:ascii="Times New Roman" w:hAnsi="Times New Roman" w:cs="Times New Roman"/>
          <w:sz w:val="24"/>
          <w:szCs w:val="24"/>
        </w:rPr>
        <w:t>indicate review of supply chain risk management plan(s) at least once every 15</w:t>
      </w:r>
      <w:r w:rsidR="00327288">
        <w:rPr>
          <w:rFonts w:ascii="Times New Roman" w:hAnsi="Times New Roman" w:cs="Times New Roman"/>
          <w:sz w:val="24"/>
          <w:szCs w:val="24"/>
        </w:rPr>
        <w:t xml:space="preserve"> </w:t>
      </w:r>
      <w:r w:rsidRPr="00425500">
        <w:rPr>
          <w:rFonts w:ascii="Times New Roman" w:hAnsi="Times New Roman" w:cs="Times New Roman"/>
          <w:sz w:val="24"/>
          <w:szCs w:val="24"/>
        </w:rPr>
        <w:t>calendar months; and documented approval by the CIP Senior Manager or delegate.</w:t>
      </w:r>
    </w:p>
    <w:p w:rsidR="002C0846" w:rsidP="00425500" w:rsidRDefault="002C0846" w14:paraId="37C717C3" w14:textId="6BE77133">
      <w:pPr>
        <w:spacing w:after="0"/>
        <w:rPr>
          <w:rFonts w:ascii="Times New Roman" w:hAnsi="Times New Roman" w:cs="Times New Roman"/>
          <w:sz w:val="24"/>
          <w:szCs w:val="24"/>
        </w:rPr>
      </w:pPr>
    </w:p>
    <w:p w:rsidRPr="00425500" w:rsidR="00577884" w:rsidP="00425500" w:rsidRDefault="00327288" w14:paraId="5A232AB4" w14:textId="7C768E24">
      <w:pPr>
        <w:spacing w:after="0"/>
        <w:rPr>
          <w:rFonts w:ascii="Times New Roman" w:hAnsi="Times New Roman" w:cs="Times New Roman"/>
          <w:sz w:val="24"/>
          <w:szCs w:val="24"/>
        </w:rPr>
      </w:pPr>
      <w:r>
        <w:rPr>
          <w:rFonts w:ascii="Times New Roman" w:hAnsi="Times New Roman" w:cs="Times New Roman"/>
          <w:b/>
          <w:bCs/>
          <w:sz w:val="24"/>
          <w:szCs w:val="24"/>
        </w:rPr>
        <w:t xml:space="preserve">Reliability Standard </w:t>
      </w:r>
      <w:r w:rsidRPr="00327288">
        <w:rPr>
          <w:rFonts w:ascii="Times New Roman" w:hAnsi="Times New Roman" w:cs="Times New Roman"/>
          <w:b/>
          <w:bCs/>
          <w:sz w:val="24"/>
          <w:szCs w:val="24"/>
        </w:rPr>
        <w:t>CIP-005-7.</w:t>
      </w:r>
      <w:r>
        <w:rPr>
          <w:rFonts w:ascii="Times New Roman" w:hAnsi="Times New Roman" w:cs="Times New Roman"/>
          <w:sz w:val="24"/>
          <w:szCs w:val="24"/>
        </w:rPr>
        <w:t xml:space="preserve"> </w:t>
      </w:r>
      <w:r w:rsidRPr="00425500" w:rsidR="00577884">
        <w:rPr>
          <w:rFonts w:ascii="Times New Roman" w:hAnsi="Times New Roman" w:cs="Times New Roman"/>
          <w:sz w:val="24"/>
          <w:szCs w:val="24"/>
        </w:rPr>
        <w:t>Per NERC’s petition,</w:t>
      </w:r>
      <w:r>
        <w:rPr>
          <w:rFonts w:ascii="Times New Roman" w:hAnsi="Times New Roman" w:cs="Times New Roman"/>
          <w:sz w:val="24"/>
          <w:szCs w:val="24"/>
        </w:rPr>
        <w:t xml:space="preserve"> </w:t>
      </w:r>
      <w:r w:rsidRPr="00425500" w:rsidR="00577884">
        <w:rPr>
          <w:rFonts w:ascii="Times New Roman" w:hAnsi="Times New Roman" w:cs="Times New Roman"/>
          <w:sz w:val="24"/>
          <w:szCs w:val="24"/>
        </w:rPr>
        <w:t>CIP-005</w:t>
      </w:r>
      <w:r w:rsidRPr="00425500" w:rsidR="00E57DDB">
        <w:rPr>
          <w:rFonts w:ascii="Times New Roman" w:hAnsi="Times New Roman" w:cs="Times New Roman"/>
          <w:sz w:val="24"/>
          <w:szCs w:val="24"/>
        </w:rPr>
        <w:t>-</w:t>
      </w:r>
      <w:r w:rsidRPr="00425500" w:rsidR="00577884">
        <w:rPr>
          <w:rFonts w:ascii="Times New Roman" w:hAnsi="Times New Roman" w:cs="Times New Roman"/>
          <w:sz w:val="24"/>
          <w:szCs w:val="24"/>
        </w:rPr>
        <w:t xml:space="preserve">7– Cyber Security – Electronic Security Perimeter(s) has the following reporting requirements: </w:t>
      </w:r>
    </w:p>
    <w:p w:rsidRPr="00425500" w:rsidR="00577884" w:rsidP="00425500" w:rsidRDefault="00577884" w14:paraId="62DBD758" w14:textId="26E131B3">
      <w:pPr>
        <w:spacing w:after="0"/>
        <w:ind w:left="360"/>
        <w:rPr>
          <w:rFonts w:ascii="Times New Roman" w:hAnsi="Times New Roman" w:cs="Times New Roman"/>
          <w:sz w:val="24"/>
          <w:szCs w:val="24"/>
        </w:rPr>
      </w:pPr>
    </w:p>
    <w:p w:rsidRPr="00425500" w:rsidR="00577884" w:rsidP="00425500" w:rsidRDefault="00577884" w14:paraId="283C54A1" w14:textId="6C40EEBE">
      <w:pPr>
        <w:spacing w:after="0"/>
        <w:rPr>
          <w:rFonts w:ascii="Times New Roman" w:hAnsi="Times New Roman" w:cs="Times New Roman"/>
          <w:sz w:val="24"/>
          <w:szCs w:val="24"/>
        </w:rPr>
      </w:pPr>
      <w:r w:rsidRPr="00425500">
        <w:rPr>
          <w:rFonts w:ascii="Times New Roman" w:hAnsi="Times New Roman" w:cs="Times New Roman"/>
          <w:sz w:val="24"/>
          <w:szCs w:val="24"/>
        </w:rPr>
        <w:t>R1. Each Responsible Entity shall implement one or more documented processes that collectively include each of the applicable requirement parts in CIP-005-7</w:t>
      </w:r>
      <w:r w:rsidR="00944A16">
        <w:rPr>
          <w:rFonts w:ascii="Times New Roman" w:hAnsi="Times New Roman" w:cs="Times New Roman"/>
          <w:sz w:val="24"/>
          <w:szCs w:val="24"/>
        </w:rPr>
        <w:t>:</w:t>
      </w:r>
    </w:p>
    <w:p w:rsidRPr="00425500" w:rsidR="00577884" w:rsidP="00425500" w:rsidRDefault="004D298C" w14:paraId="11C7E1C0" w14:textId="5CEA3DB6">
      <w:pPr>
        <w:pStyle w:val="ListParagraph"/>
        <w:numPr>
          <w:ilvl w:val="0"/>
          <w:numId w:val="12"/>
        </w:numPr>
        <w:spacing w:after="0"/>
        <w:ind w:left="1440"/>
        <w:rPr>
          <w:rFonts w:ascii="Times New Roman" w:hAnsi="Times New Roman" w:cs="Times New Roman"/>
          <w:sz w:val="24"/>
          <w:szCs w:val="24"/>
        </w:rPr>
      </w:pPr>
      <w:r w:rsidRPr="00425500">
        <w:rPr>
          <w:rFonts w:ascii="Times New Roman" w:hAnsi="Times New Roman" w:cs="Times New Roman"/>
          <w:sz w:val="24"/>
          <w:szCs w:val="24"/>
        </w:rPr>
        <w:t>1.1: All applicable Cyber Assets connected to a network via a routable protocol shall reside within a defined ESP.</w:t>
      </w:r>
    </w:p>
    <w:p w:rsidRPr="00425500" w:rsidR="002B1CB7" w:rsidP="00425500" w:rsidRDefault="002B1CB7" w14:paraId="214E60A3" w14:textId="1F7EC81C">
      <w:pPr>
        <w:pStyle w:val="ListParagraph"/>
        <w:numPr>
          <w:ilvl w:val="1"/>
          <w:numId w:val="10"/>
        </w:numPr>
        <w:spacing w:after="0"/>
        <w:ind w:left="1440"/>
        <w:rPr>
          <w:rFonts w:ascii="Times New Roman" w:hAnsi="Times New Roman" w:cs="Times New Roman"/>
          <w:sz w:val="24"/>
          <w:szCs w:val="24"/>
        </w:rPr>
      </w:pPr>
      <w:r w:rsidRPr="00425500">
        <w:rPr>
          <w:rFonts w:ascii="Times New Roman" w:hAnsi="Times New Roman" w:cs="Times New Roman"/>
          <w:sz w:val="24"/>
          <w:szCs w:val="24"/>
        </w:rPr>
        <w:t>All applicable Cyber Assets connected to a network via a routable protocol shall reside within a defined ESP. An example of evidence may include, but is not limited to, a list of all ESPs with all uniquely identifiable applicable Cyber Assets connected via a routable protocol within each ESP.</w:t>
      </w:r>
    </w:p>
    <w:p w:rsidRPr="00425500" w:rsidR="002B1CB7" w:rsidP="00425500" w:rsidRDefault="002B1CB7" w14:paraId="347F9E05" w14:textId="02C82970">
      <w:pPr>
        <w:pStyle w:val="ListParagraph"/>
        <w:numPr>
          <w:ilvl w:val="0"/>
          <w:numId w:val="22"/>
        </w:numPr>
        <w:spacing w:after="0"/>
        <w:rPr>
          <w:rFonts w:ascii="Times New Roman" w:hAnsi="Times New Roman" w:cs="Times New Roman"/>
          <w:sz w:val="24"/>
          <w:szCs w:val="24"/>
        </w:rPr>
      </w:pPr>
      <w:r w:rsidRPr="00425500">
        <w:rPr>
          <w:rFonts w:ascii="Times New Roman" w:hAnsi="Times New Roman" w:cs="Times New Roman"/>
          <w:sz w:val="24"/>
          <w:szCs w:val="24"/>
        </w:rPr>
        <w:t>All External Routable Connectivity must be through an identified Electronic Access Point (EAP).</w:t>
      </w:r>
    </w:p>
    <w:p w:rsidRPr="00425500" w:rsidR="002B1CB7" w:rsidP="00425500" w:rsidRDefault="002B1CB7" w14:paraId="1DB0C29D" w14:textId="69DA9B0A">
      <w:pPr>
        <w:pStyle w:val="ListParagraph"/>
        <w:numPr>
          <w:ilvl w:val="0"/>
          <w:numId w:val="22"/>
        </w:numPr>
        <w:spacing w:after="0"/>
        <w:rPr>
          <w:rFonts w:ascii="Times New Roman" w:hAnsi="Times New Roman" w:cs="Times New Roman"/>
          <w:sz w:val="24"/>
          <w:szCs w:val="24"/>
        </w:rPr>
      </w:pPr>
      <w:r w:rsidRPr="00425500">
        <w:rPr>
          <w:rFonts w:ascii="Times New Roman" w:hAnsi="Times New Roman" w:cs="Times New Roman"/>
          <w:sz w:val="24"/>
          <w:szCs w:val="24"/>
        </w:rPr>
        <w:t>Require inbound and outbound access permissions, including the reason for granting access, and deny all other access by default.</w:t>
      </w:r>
    </w:p>
    <w:p w:rsidRPr="00425500" w:rsidR="002B1CB7" w:rsidP="00425500" w:rsidRDefault="002B1CB7" w14:paraId="09D94069" w14:textId="4AF61624">
      <w:pPr>
        <w:pStyle w:val="ListParagraph"/>
        <w:numPr>
          <w:ilvl w:val="1"/>
          <w:numId w:val="10"/>
        </w:numPr>
        <w:spacing w:after="0"/>
        <w:rPr>
          <w:rFonts w:ascii="Times New Roman" w:hAnsi="Times New Roman" w:cs="Times New Roman"/>
          <w:sz w:val="24"/>
          <w:szCs w:val="24"/>
        </w:rPr>
      </w:pPr>
      <w:r w:rsidRPr="00425500">
        <w:rPr>
          <w:rFonts w:ascii="Times New Roman" w:hAnsi="Times New Roman" w:cs="Times New Roman"/>
          <w:sz w:val="24"/>
          <w:szCs w:val="24"/>
        </w:rPr>
        <w:t>Where technically feasible, perform authentication when establishing Dialup Connectivity with applicable Cyber Assets.</w:t>
      </w:r>
    </w:p>
    <w:p w:rsidRPr="00425500" w:rsidR="002B1CB7" w:rsidP="00425500" w:rsidRDefault="002B1CB7" w14:paraId="417EF633" w14:textId="0E8FE91A">
      <w:pPr>
        <w:pStyle w:val="ListParagraph"/>
        <w:numPr>
          <w:ilvl w:val="1"/>
          <w:numId w:val="10"/>
        </w:numPr>
        <w:spacing w:after="0"/>
        <w:rPr>
          <w:rFonts w:ascii="Times New Roman" w:hAnsi="Times New Roman" w:cs="Times New Roman"/>
          <w:sz w:val="24"/>
          <w:szCs w:val="24"/>
        </w:rPr>
      </w:pPr>
      <w:r w:rsidRPr="00425500">
        <w:rPr>
          <w:rFonts w:ascii="Times New Roman" w:hAnsi="Times New Roman" w:cs="Times New Roman"/>
          <w:sz w:val="24"/>
          <w:szCs w:val="24"/>
        </w:rPr>
        <w:lastRenderedPageBreak/>
        <w:t>Have one or more methods for detecting known or suspected malicious communications for both inbound and outbound communications.</w:t>
      </w:r>
    </w:p>
    <w:p w:rsidRPr="00425500" w:rsidR="004D298C" w:rsidP="00425500" w:rsidRDefault="004D298C" w14:paraId="20C69F46" w14:textId="7ED904E9">
      <w:pPr>
        <w:spacing w:after="0"/>
        <w:ind w:left="360"/>
        <w:rPr>
          <w:rFonts w:ascii="Times New Roman" w:hAnsi="Times New Roman" w:cs="Times New Roman"/>
          <w:sz w:val="24"/>
          <w:szCs w:val="24"/>
        </w:rPr>
      </w:pPr>
    </w:p>
    <w:p w:rsidR="00577884" w:rsidP="0012643A" w:rsidRDefault="00577884" w14:paraId="5938709C" w14:textId="30734D1D">
      <w:pPr>
        <w:spacing w:after="0"/>
        <w:rPr>
          <w:rFonts w:ascii="Times New Roman" w:hAnsi="Times New Roman" w:cs="Times New Roman"/>
          <w:sz w:val="24"/>
          <w:szCs w:val="24"/>
        </w:rPr>
      </w:pPr>
      <w:r w:rsidRPr="00425500">
        <w:rPr>
          <w:rFonts w:ascii="Times New Roman" w:hAnsi="Times New Roman" w:cs="Times New Roman"/>
          <w:sz w:val="24"/>
          <w:szCs w:val="24"/>
        </w:rPr>
        <w:t>M1. Evidence must include each of the applicable documented processes that collectively include each of the applicable requirement parts in CIP-005-7</w:t>
      </w:r>
      <w:r w:rsidRPr="0012643A" w:rsidR="0012643A">
        <w:rPr>
          <w:rFonts w:ascii="Times New Roman" w:hAnsi="Times New Roman" w:cs="Times New Roman"/>
          <w:sz w:val="24"/>
          <w:szCs w:val="24"/>
        </w:rPr>
        <w:t>Table R1 – Electronic Security Perimeter and additional evidence to demonstrate</w:t>
      </w:r>
      <w:r w:rsidR="0012643A">
        <w:rPr>
          <w:rFonts w:ascii="Times New Roman" w:hAnsi="Times New Roman" w:cs="Times New Roman"/>
          <w:sz w:val="24"/>
          <w:szCs w:val="24"/>
        </w:rPr>
        <w:t xml:space="preserve"> </w:t>
      </w:r>
      <w:r w:rsidRPr="0012643A" w:rsidR="0012643A">
        <w:rPr>
          <w:rFonts w:ascii="Times New Roman" w:hAnsi="Times New Roman" w:cs="Times New Roman"/>
          <w:sz w:val="24"/>
          <w:szCs w:val="24"/>
        </w:rPr>
        <w:t>implementation as described in the Measures column of the table</w:t>
      </w:r>
      <w:r w:rsidR="0012643A">
        <w:rPr>
          <w:rFonts w:ascii="Times New Roman" w:hAnsi="Times New Roman" w:cs="Times New Roman"/>
          <w:sz w:val="24"/>
          <w:szCs w:val="24"/>
        </w:rPr>
        <w:t>.</w:t>
      </w:r>
      <w:r w:rsidRPr="0012643A" w:rsidR="0012643A">
        <w:rPr>
          <w:rStyle w:val="FootnoteReference"/>
          <w:rFonts w:ascii="Times New Roman" w:hAnsi="Times New Roman" w:cs="Times New Roman"/>
          <w:sz w:val="24"/>
          <w:szCs w:val="24"/>
          <w:vertAlign w:val="superscript"/>
        </w:rPr>
        <w:footnoteReference w:id="13"/>
      </w:r>
    </w:p>
    <w:p w:rsidRPr="00425500" w:rsidR="007617CB" w:rsidP="00425500" w:rsidRDefault="007617CB" w14:paraId="2D78835E" w14:textId="77777777">
      <w:pPr>
        <w:spacing w:after="0"/>
        <w:rPr>
          <w:rFonts w:ascii="Times New Roman" w:hAnsi="Times New Roman" w:cs="Times New Roman"/>
          <w:sz w:val="24"/>
          <w:szCs w:val="24"/>
        </w:rPr>
      </w:pPr>
    </w:p>
    <w:p w:rsidRPr="00425500" w:rsidR="00E57DDB" w:rsidP="00425500" w:rsidRDefault="00E57DDB" w14:paraId="6E02DF46" w14:textId="6F3158E6">
      <w:pPr>
        <w:spacing w:after="0"/>
        <w:rPr>
          <w:rFonts w:ascii="Times New Roman" w:hAnsi="Times New Roman" w:cs="Times New Roman"/>
          <w:sz w:val="24"/>
          <w:szCs w:val="24"/>
        </w:rPr>
      </w:pPr>
      <w:r w:rsidRPr="00425500">
        <w:rPr>
          <w:rFonts w:ascii="Times New Roman" w:hAnsi="Times New Roman" w:cs="Times New Roman"/>
          <w:sz w:val="24"/>
          <w:szCs w:val="24"/>
        </w:rPr>
        <w:t>R2. Each Responsible Entity shall implement one or more documented processes that collectively include the applicable requirement parts, where technically feasible.</w:t>
      </w:r>
    </w:p>
    <w:p w:rsidRPr="00425500" w:rsidR="00E57DDB" w:rsidP="00425500" w:rsidRDefault="00E57DDB" w14:paraId="532C554E" w14:textId="6FEE52BC">
      <w:pPr>
        <w:spacing w:after="0"/>
        <w:rPr>
          <w:rFonts w:ascii="Times New Roman" w:hAnsi="Times New Roman" w:cs="Times New Roman"/>
          <w:sz w:val="24"/>
          <w:szCs w:val="24"/>
        </w:rPr>
      </w:pPr>
      <w:r w:rsidRPr="00425500">
        <w:rPr>
          <w:rFonts w:ascii="Times New Roman" w:hAnsi="Times New Roman" w:cs="Times New Roman"/>
          <w:sz w:val="24"/>
          <w:szCs w:val="24"/>
        </w:rPr>
        <w:t>M2. Evidence must include the documented processes that collectively address each of the applicable requirement parts in CIP005-7</w:t>
      </w:r>
      <w:r w:rsidRPr="00425500" w:rsidR="002B1CB7">
        <w:rPr>
          <w:rFonts w:ascii="Times New Roman" w:hAnsi="Times New Roman" w:cs="Times New Roman"/>
          <w:sz w:val="24"/>
          <w:szCs w:val="24"/>
        </w:rPr>
        <w:t xml:space="preserve"> (Remote Access Management).</w:t>
      </w:r>
    </w:p>
    <w:p w:rsidRPr="00425500" w:rsidR="002B1CB7" w:rsidP="00425500" w:rsidRDefault="002B1CB7" w14:paraId="20BDCEA6" w14:textId="2489DF03">
      <w:pPr>
        <w:pStyle w:val="ListParagraph"/>
        <w:numPr>
          <w:ilvl w:val="1"/>
          <w:numId w:val="13"/>
        </w:numPr>
        <w:spacing w:after="0"/>
        <w:rPr>
          <w:rFonts w:ascii="Times New Roman" w:hAnsi="Times New Roman" w:cs="Times New Roman"/>
          <w:sz w:val="24"/>
          <w:szCs w:val="24"/>
        </w:rPr>
      </w:pPr>
      <w:r w:rsidRPr="00425500">
        <w:rPr>
          <w:rFonts w:ascii="Times New Roman" w:hAnsi="Times New Roman" w:cs="Times New Roman"/>
          <w:sz w:val="24"/>
          <w:szCs w:val="24"/>
        </w:rPr>
        <w:t>2.1 For all Interactive Remote Access, utilize an Intermediate System such that the Cyber Asset initiating Interactive Remote Access does not directly access an applicable Cyber Asset.</w:t>
      </w:r>
    </w:p>
    <w:p w:rsidRPr="00425500" w:rsidR="002B1CB7" w:rsidP="00425500" w:rsidRDefault="002B1CB7" w14:paraId="583D4729" w14:textId="51195F89">
      <w:pPr>
        <w:pStyle w:val="ListParagraph"/>
        <w:numPr>
          <w:ilvl w:val="1"/>
          <w:numId w:val="13"/>
        </w:numPr>
        <w:spacing w:after="0"/>
        <w:rPr>
          <w:rFonts w:ascii="Times New Roman" w:hAnsi="Times New Roman" w:cs="Times New Roman"/>
          <w:sz w:val="24"/>
          <w:szCs w:val="24"/>
        </w:rPr>
      </w:pPr>
      <w:r w:rsidRPr="00425500">
        <w:rPr>
          <w:rFonts w:ascii="Times New Roman" w:hAnsi="Times New Roman" w:cs="Times New Roman"/>
          <w:sz w:val="24"/>
          <w:szCs w:val="24"/>
        </w:rPr>
        <w:t>2.2 For all Interactive Remote Access sessions, utilize encryption that terminates at an Intermediate System.</w:t>
      </w:r>
    </w:p>
    <w:p w:rsidRPr="00425500" w:rsidR="002B1CB7" w:rsidP="00425500" w:rsidRDefault="002B1CB7" w14:paraId="24308414" w14:textId="24798CEF">
      <w:pPr>
        <w:pStyle w:val="ListParagraph"/>
        <w:numPr>
          <w:ilvl w:val="1"/>
          <w:numId w:val="13"/>
        </w:numPr>
        <w:spacing w:after="0"/>
        <w:rPr>
          <w:rFonts w:ascii="Times New Roman" w:hAnsi="Times New Roman" w:cs="Times New Roman"/>
          <w:sz w:val="24"/>
          <w:szCs w:val="24"/>
        </w:rPr>
      </w:pPr>
      <w:r w:rsidRPr="00425500">
        <w:rPr>
          <w:rFonts w:ascii="Times New Roman" w:hAnsi="Times New Roman" w:cs="Times New Roman"/>
          <w:sz w:val="24"/>
          <w:szCs w:val="24"/>
        </w:rPr>
        <w:t>2.3 Require multi-factor authentication for all Interactive Remote Access sessions.</w:t>
      </w:r>
    </w:p>
    <w:p w:rsidRPr="00425500" w:rsidR="002B1CB7" w:rsidP="00425500" w:rsidRDefault="002B1CB7" w14:paraId="66207427" w14:textId="4704D7B8">
      <w:pPr>
        <w:pStyle w:val="ListParagraph"/>
        <w:numPr>
          <w:ilvl w:val="1"/>
          <w:numId w:val="13"/>
        </w:numPr>
        <w:spacing w:after="0"/>
        <w:rPr>
          <w:rFonts w:ascii="Times New Roman" w:hAnsi="Times New Roman" w:cs="Times New Roman"/>
          <w:sz w:val="24"/>
          <w:szCs w:val="24"/>
        </w:rPr>
      </w:pPr>
      <w:r w:rsidRPr="00425500">
        <w:rPr>
          <w:rFonts w:ascii="Times New Roman" w:hAnsi="Times New Roman" w:cs="Times New Roman"/>
          <w:sz w:val="24"/>
          <w:szCs w:val="24"/>
        </w:rPr>
        <w:t>2.4 Have one or more methods for determining active vendor remote access sessions (including Interactive Remote Access and system-to-system remote access).</w:t>
      </w:r>
    </w:p>
    <w:p w:rsidRPr="00425500" w:rsidR="002B1CB7" w:rsidP="00425500" w:rsidRDefault="002B1CB7" w14:paraId="49AF1D51" w14:textId="1D1187CD">
      <w:pPr>
        <w:pStyle w:val="ListParagraph"/>
        <w:numPr>
          <w:ilvl w:val="1"/>
          <w:numId w:val="13"/>
        </w:numPr>
        <w:spacing w:after="0"/>
        <w:rPr>
          <w:rFonts w:ascii="Times New Roman" w:hAnsi="Times New Roman" w:cs="Times New Roman"/>
          <w:sz w:val="24"/>
          <w:szCs w:val="24"/>
        </w:rPr>
      </w:pPr>
      <w:r w:rsidRPr="00425500">
        <w:rPr>
          <w:rFonts w:ascii="Times New Roman" w:hAnsi="Times New Roman" w:cs="Times New Roman"/>
          <w:sz w:val="24"/>
          <w:szCs w:val="24"/>
        </w:rPr>
        <w:t>2.5 Have one or more method(s) to disable active vendor remote access (including Interactive Remote Access and system-to-system remote access)</w:t>
      </w:r>
    </w:p>
    <w:p w:rsidRPr="00425500" w:rsidR="00D04EC3" w:rsidP="00425500" w:rsidRDefault="00D04EC3" w14:paraId="4493790C" w14:textId="77777777">
      <w:pPr>
        <w:pStyle w:val="ListParagraph"/>
        <w:spacing w:after="0"/>
        <w:ind w:left="1800"/>
        <w:rPr>
          <w:rFonts w:ascii="Times New Roman" w:hAnsi="Times New Roman" w:cs="Times New Roman"/>
          <w:sz w:val="24"/>
          <w:szCs w:val="24"/>
        </w:rPr>
      </w:pPr>
    </w:p>
    <w:p w:rsidRPr="00425500" w:rsidR="00E57DDB" w:rsidP="00425500" w:rsidRDefault="00E57DDB" w14:paraId="687C4D96" w14:textId="73093705">
      <w:pPr>
        <w:spacing w:after="0"/>
        <w:rPr>
          <w:rFonts w:ascii="Times New Roman" w:hAnsi="Times New Roman" w:cs="Times New Roman"/>
          <w:sz w:val="24"/>
          <w:szCs w:val="24"/>
        </w:rPr>
      </w:pPr>
      <w:r w:rsidRPr="00425500">
        <w:rPr>
          <w:rFonts w:ascii="Times New Roman" w:hAnsi="Times New Roman" w:cs="Times New Roman"/>
          <w:sz w:val="24"/>
          <w:szCs w:val="24"/>
        </w:rPr>
        <w:t>R3. Each Responsible Entity shall implement one or more documented processes that collectively include the applicable requirement parts in CIP-005-7.</w:t>
      </w:r>
    </w:p>
    <w:p w:rsidRPr="00425500" w:rsidR="00E57DDB" w:rsidP="00425500" w:rsidRDefault="00E57DDB" w14:paraId="4390BA92" w14:textId="15CB74FF">
      <w:pPr>
        <w:spacing w:after="0"/>
        <w:rPr>
          <w:rFonts w:ascii="Times New Roman" w:hAnsi="Times New Roman" w:cs="Times New Roman"/>
          <w:sz w:val="24"/>
          <w:szCs w:val="24"/>
        </w:rPr>
      </w:pPr>
      <w:r w:rsidRPr="00425500">
        <w:rPr>
          <w:rFonts w:ascii="Times New Roman" w:hAnsi="Times New Roman" w:cs="Times New Roman"/>
          <w:sz w:val="24"/>
          <w:szCs w:val="24"/>
        </w:rPr>
        <w:t>M3. Evidence must include the documented processes that collectively address each of the applicable requirement parts in CIP</w:t>
      </w:r>
      <w:r w:rsidR="006167D6">
        <w:rPr>
          <w:rFonts w:ascii="Times New Roman" w:hAnsi="Times New Roman" w:cs="Times New Roman"/>
          <w:sz w:val="24"/>
          <w:szCs w:val="24"/>
        </w:rPr>
        <w:t>-</w:t>
      </w:r>
      <w:r w:rsidRPr="00425500">
        <w:rPr>
          <w:rFonts w:ascii="Times New Roman" w:hAnsi="Times New Roman" w:cs="Times New Roman"/>
          <w:sz w:val="24"/>
          <w:szCs w:val="24"/>
        </w:rPr>
        <w:t>005-7</w:t>
      </w:r>
      <w:r w:rsidRPr="00425500" w:rsidR="002B1CB7">
        <w:rPr>
          <w:rFonts w:ascii="Times New Roman" w:hAnsi="Times New Roman" w:cs="Times New Roman"/>
          <w:sz w:val="24"/>
          <w:szCs w:val="24"/>
        </w:rPr>
        <w:t xml:space="preserve"> (Vendor Remote Access Management for EACMS and PACS).</w:t>
      </w:r>
    </w:p>
    <w:p w:rsidRPr="00425500" w:rsidR="002B1CB7" w:rsidP="00425500" w:rsidRDefault="002B1CB7" w14:paraId="69A60E3D" w14:textId="03AA64F2">
      <w:pPr>
        <w:pStyle w:val="ListParagraph"/>
        <w:numPr>
          <w:ilvl w:val="0"/>
          <w:numId w:val="14"/>
        </w:numPr>
        <w:spacing w:after="0"/>
        <w:rPr>
          <w:rFonts w:ascii="Times New Roman" w:hAnsi="Times New Roman" w:cs="Times New Roman"/>
          <w:sz w:val="24"/>
          <w:szCs w:val="24"/>
        </w:rPr>
      </w:pPr>
      <w:r w:rsidRPr="00425500">
        <w:rPr>
          <w:rFonts w:ascii="Times New Roman" w:hAnsi="Times New Roman" w:cs="Times New Roman"/>
          <w:sz w:val="24"/>
          <w:szCs w:val="24"/>
        </w:rPr>
        <w:t xml:space="preserve">3.1 Have one or more method(s) to determine authenticated </w:t>
      </w:r>
      <w:proofErr w:type="spellStart"/>
      <w:r w:rsidRPr="00425500">
        <w:rPr>
          <w:rFonts w:ascii="Times New Roman" w:hAnsi="Times New Roman" w:cs="Times New Roman"/>
          <w:sz w:val="24"/>
          <w:szCs w:val="24"/>
        </w:rPr>
        <w:t>vendorinitiated</w:t>
      </w:r>
      <w:proofErr w:type="spellEnd"/>
      <w:r w:rsidRPr="00425500">
        <w:rPr>
          <w:rFonts w:ascii="Times New Roman" w:hAnsi="Times New Roman" w:cs="Times New Roman"/>
          <w:sz w:val="24"/>
          <w:szCs w:val="24"/>
        </w:rPr>
        <w:t xml:space="preserve"> remote connections.</w:t>
      </w:r>
    </w:p>
    <w:p w:rsidR="002B1CB7" w:rsidP="00425500" w:rsidRDefault="002B1CB7" w14:paraId="35908941" w14:textId="42262A71">
      <w:pPr>
        <w:spacing w:after="0"/>
        <w:ind w:left="360"/>
        <w:rPr>
          <w:rFonts w:ascii="Times New Roman" w:hAnsi="Times New Roman" w:cs="Times New Roman"/>
          <w:sz w:val="24"/>
          <w:szCs w:val="24"/>
        </w:rPr>
      </w:pPr>
      <w:r w:rsidRPr="00425500">
        <w:rPr>
          <w:rFonts w:ascii="Times New Roman" w:hAnsi="Times New Roman" w:cs="Times New Roman"/>
          <w:sz w:val="24"/>
          <w:szCs w:val="24"/>
        </w:rPr>
        <w:t xml:space="preserve">3.2 Have one or more method(s) to terminate authenticated </w:t>
      </w:r>
      <w:proofErr w:type="spellStart"/>
      <w:r w:rsidRPr="00425500">
        <w:rPr>
          <w:rFonts w:ascii="Times New Roman" w:hAnsi="Times New Roman" w:cs="Times New Roman"/>
          <w:sz w:val="24"/>
          <w:szCs w:val="24"/>
        </w:rPr>
        <w:t>vendorinitiated</w:t>
      </w:r>
      <w:proofErr w:type="spellEnd"/>
      <w:r w:rsidRPr="00425500">
        <w:rPr>
          <w:rFonts w:ascii="Times New Roman" w:hAnsi="Times New Roman" w:cs="Times New Roman"/>
          <w:sz w:val="24"/>
          <w:szCs w:val="24"/>
        </w:rPr>
        <w:t xml:space="preserve"> remote connections and control the ability to reconnect.</w:t>
      </w:r>
    </w:p>
    <w:p w:rsidR="00B62064" w:rsidP="00425500" w:rsidRDefault="00B62064" w14:paraId="4D36F8E8" w14:textId="77777777">
      <w:pPr>
        <w:spacing w:after="0"/>
        <w:ind w:left="360"/>
        <w:rPr>
          <w:rFonts w:ascii="Times New Roman" w:hAnsi="Times New Roman" w:cs="Times New Roman"/>
          <w:sz w:val="24"/>
          <w:szCs w:val="24"/>
        </w:rPr>
      </w:pPr>
    </w:p>
    <w:p w:rsidR="006167D6" w:rsidP="006167D6" w:rsidRDefault="006167D6" w14:paraId="05F9EDE6" w14:textId="35DCFAA4">
      <w:pPr>
        <w:spacing w:after="0"/>
        <w:rPr>
          <w:rFonts w:ascii="Times New Roman" w:hAnsi="Times New Roman" w:cs="Times New Roman"/>
          <w:sz w:val="24"/>
          <w:szCs w:val="24"/>
        </w:rPr>
      </w:pPr>
      <w:bookmarkStart w:name="_Hlk69302071" w:id="3"/>
      <w:bookmarkStart w:name="_Hlk69294872" w:id="4"/>
      <w:r>
        <w:rPr>
          <w:rFonts w:ascii="Times New Roman" w:hAnsi="Times New Roman" w:cs="Times New Roman"/>
          <w:sz w:val="24"/>
          <w:szCs w:val="24"/>
        </w:rPr>
        <w:t xml:space="preserve">The following applicable systems have been added to </w:t>
      </w:r>
      <w:r w:rsidRPr="002C0846">
        <w:rPr>
          <w:rFonts w:ascii="Times New Roman" w:hAnsi="Times New Roman" w:cs="Times New Roman"/>
          <w:sz w:val="24"/>
          <w:szCs w:val="24"/>
        </w:rPr>
        <w:t>CIP-0</w:t>
      </w:r>
      <w:r>
        <w:rPr>
          <w:rFonts w:ascii="Times New Roman" w:hAnsi="Times New Roman" w:cs="Times New Roman"/>
          <w:sz w:val="24"/>
          <w:szCs w:val="24"/>
        </w:rPr>
        <w:t>05</w:t>
      </w:r>
      <w:r w:rsidRPr="002C0846">
        <w:rPr>
          <w:rFonts w:ascii="Times New Roman" w:hAnsi="Times New Roman" w:cs="Times New Roman"/>
          <w:sz w:val="24"/>
          <w:szCs w:val="24"/>
        </w:rPr>
        <w:t>-</w:t>
      </w:r>
      <w:r>
        <w:rPr>
          <w:rFonts w:ascii="Times New Roman" w:hAnsi="Times New Roman" w:cs="Times New Roman"/>
          <w:sz w:val="24"/>
          <w:szCs w:val="24"/>
        </w:rPr>
        <w:t xml:space="preserve">7 which specifies the scope of the requirements. </w:t>
      </w:r>
    </w:p>
    <w:bookmarkEnd w:id="3"/>
    <w:p w:rsidR="006167D6" w:rsidP="006167D6" w:rsidRDefault="006167D6" w14:paraId="0DE9DD3B" w14:textId="1A5C8FB3">
      <w:pPr>
        <w:pStyle w:val="ListParagraph"/>
        <w:numPr>
          <w:ilvl w:val="0"/>
          <w:numId w:val="14"/>
        </w:numPr>
        <w:spacing w:after="0"/>
        <w:rPr>
          <w:rFonts w:ascii="Times New Roman" w:hAnsi="Times New Roman" w:cs="Times New Roman"/>
          <w:sz w:val="24"/>
          <w:szCs w:val="24"/>
        </w:rPr>
      </w:pPr>
      <w:r w:rsidRPr="00B62064">
        <w:rPr>
          <w:rFonts w:ascii="Times New Roman" w:hAnsi="Times New Roman" w:cs="Times New Roman"/>
          <w:sz w:val="24"/>
          <w:szCs w:val="24"/>
        </w:rPr>
        <w:lastRenderedPageBreak/>
        <w:t>Part 3.1: EACMS and PACS associated with High Impact BES Cyber Systems EACMS and PACS associated with Medium Impact BES Cyber Systems with External Routable Connectivity</w:t>
      </w:r>
    </w:p>
    <w:p w:rsidR="006167D6" w:rsidP="006167D6" w:rsidRDefault="006167D6" w14:paraId="57A85009" w14:textId="20A40C80">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 xml:space="preserve">Requirements: </w:t>
      </w:r>
      <w:r w:rsidRPr="006167D6">
        <w:rPr>
          <w:rFonts w:ascii="Times New Roman" w:hAnsi="Times New Roman" w:cs="Times New Roman"/>
          <w:sz w:val="24"/>
          <w:szCs w:val="24"/>
        </w:rPr>
        <w:t xml:space="preserve">Have one or more method(s) to determine authenticated </w:t>
      </w:r>
      <w:proofErr w:type="spellStart"/>
      <w:r w:rsidRPr="006167D6">
        <w:rPr>
          <w:rFonts w:ascii="Times New Roman" w:hAnsi="Times New Roman" w:cs="Times New Roman"/>
          <w:sz w:val="24"/>
          <w:szCs w:val="24"/>
        </w:rPr>
        <w:t>vendorinitiated</w:t>
      </w:r>
      <w:proofErr w:type="spellEnd"/>
      <w:r w:rsidRPr="006167D6">
        <w:rPr>
          <w:rFonts w:ascii="Times New Roman" w:hAnsi="Times New Roman" w:cs="Times New Roman"/>
          <w:sz w:val="24"/>
          <w:szCs w:val="24"/>
        </w:rPr>
        <w:t xml:space="preserve"> remote connections.</w:t>
      </w:r>
    </w:p>
    <w:p w:rsidR="006167D6" w:rsidP="006167D6" w:rsidRDefault="006167D6" w14:paraId="5080417F" w14:textId="31E60C2C">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 xml:space="preserve">Measurements: </w:t>
      </w:r>
      <w:r w:rsidRPr="006167D6">
        <w:rPr>
          <w:rFonts w:ascii="Times New Roman" w:hAnsi="Times New Roman" w:cs="Times New Roman"/>
          <w:sz w:val="24"/>
          <w:szCs w:val="24"/>
        </w:rPr>
        <w:t>Examples of evidence may include, but are not limited to, documentation of the methods used to determine authenticated vendor-initiated remote connections, such as: • Methods for accessing logged or monitoring information to determine authenticated vendor-initiated remote connections.</w:t>
      </w:r>
    </w:p>
    <w:p w:rsidR="006167D6" w:rsidP="006167D6" w:rsidRDefault="006167D6" w14:paraId="616DC787" w14:textId="52FB1707">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Part 3.2: </w:t>
      </w:r>
      <w:r w:rsidRPr="006167D6">
        <w:rPr>
          <w:rFonts w:ascii="Times New Roman" w:hAnsi="Times New Roman" w:cs="Times New Roman"/>
          <w:sz w:val="24"/>
          <w:szCs w:val="24"/>
        </w:rPr>
        <w:t>EACMS and PACS associated with High Impact BES Cyber Systems EACMS and PACS associated with Medium Impact BES Cyber Systems with External Routable Connectivity</w:t>
      </w:r>
    </w:p>
    <w:p w:rsidR="006167D6" w:rsidP="006167D6" w:rsidRDefault="006167D6" w14:paraId="05AF5BC3" w14:textId="1BF02351">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 xml:space="preserve">Requirements: </w:t>
      </w:r>
      <w:r w:rsidRPr="006167D6">
        <w:rPr>
          <w:rFonts w:ascii="Times New Roman" w:hAnsi="Times New Roman" w:cs="Times New Roman"/>
          <w:sz w:val="24"/>
          <w:szCs w:val="24"/>
        </w:rPr>
        <w:t xml:space="preserve">Have one or more method(s) to terminate authenticated </w:t>
      </w:r>
      <w:proofErr w:type="spellStart"/>
      <w:r w:rsidRPr="006167D6">
        <w:rPr>
          <w:rFonts w:ascii="Times New Roman" w:hAnsi="Times New Roman" w:cs="Times New Roman"/>
          <w:sz w:val="24"/>
          <w:szCs w:val="24"/>
        </w:rPr>
        <w:t>vendorinitiated</w:t>
      </w:r>
      <w:proofErr w:type="spellEnd"/>
      <w:r w:rsidRPr="006167D6">
        <w:rPr>
          <w:rFonts w:ascii="Times New Roman" w:hAnsi="Times New Roman" w:cs="Times New Roman"/>
          <w:sz w:val="24"/>
          <w:szCs w:val="24"/>
        </w:rPr>
        <w:t xml:space="preserve"> remote connections and control the ability to reconnect.</w:t>
      </w:r>
    </w:p>
    <w:p w:rsidR="006167D6" w:rsidP="006167D6" w:rsidRDefault="006167D6" w14:paraId="7940F917" w14:textId="77777777">
      <w:pPr>
        <w:pStyle w:val="ListParagraph"/>
        <w:numPr>
          <w:ilvl w:val="1"/>
          <w:numId w:val="14"/>
        </w:numPr>
        <w:spacing w:after="0"/>
        <w:rPr>
          <w:rFonts w:ascii="Times New Roman" w:hAnsi="Times New Roman" w:cs="Times New Roman"/>
          <w:sz w:val="24"/>
          <w:szCs w:val="24"/>
        </w:rPr>
      </w:pPr>
      <w:r>
        <w:rPr>
          <w:rFonts w:ascii="Times New Roman" w:hAnsi="Times New Roman" w:cs="Times New Roman"/>
          <w:sz w:val="24"/>
          <w:szCs w:val="24"/>
        </w:rPr>
        <w:t xml:space="preserve">Measurements: </w:t>
      </w:r>
      <w:r w:rsidRPr="006167D6">
        <w:rPr>
          <w:rFonts w:ascii="Times New Roman" w:hAnsi="Times New Roman" w:cs="Times New Roman"/>
          <w:sz w:val="24"/>
          <w:szCs w:val="24"/>
        </w:rPr>
        <w:t>Examples of evidence may include, but are not limited to, documentation of the methods(s) used to terminate authenticated vendor-initiated remote connections to applicable systems.</w:t>
      </w:r>
    </w:p>
    <w:p w:rsidRPr="00B62064" w:rsidR="006167D6" w:rsidP="00B62064" w:rsidRDefault="006167D6" w14:paraId="66878AC1" w14:textId="0C35711C">
      <w:pPr>
        <w:pStyle w:val="ListParagraph"/>
        <w:numPr>
          <w:ilvl w:val="2"/>
          <w:numId w:val="14"/>
        </w:numPr>
        <w:spacing w:after="0"/>
        <w:rPr>
          <w:rFonts w:ascii="Times New Roman" w:hAnsi="Times New Roman" w:cs="Times New Roman"/>
          <w:sz w:val="24"/>
          <w:szCs w:val="24"/>
        </w:rPr>
      </w:pPr>
      <w:r w:rsidRPr="006167D6">
        <w:rPr>
          <w:rFonts w:ascii="Times New Roman" w:hAnsi="Times New Roman" w:cs="Times New Roman"/>
          <w:sz w:val="24"/>
          <w:szCs w:val="24"/>
        </w:rPr>
        <w:t xml:space="preserve"> Examples include terminating an active vendor-initiated shell/process/session or dropping an active vendor-initiated connection in</w:t>
      </w:r>
      <w:r>
        <w:rPr>
          <w:rFonts w:ascii="Times New Roman" w:hAnsi="Times New Roman" w:cs="Times New Roman"/>
          <w:sz w:val="24"/>
          <w:szCs w:val="24"/>
        </w:rPr>
        <w:t xml:space="preserve"> </w:t>
      </w:r>
      <w:r w:rsidRPr="006167D6">
        <w:rPr>
          <w:rFonts w:ascii="Times New Roman" w:hAnsi="Times New Roman" w:cs="Times New Roman"/>
          <w:sz w:val="24"/>
          <w:szCs w:val="24"/>
        </w:rPr>
        <w:t xml:space="preserve">a firewall. Methods to control the ability to reconnect, if necessary, could </w:t>
      </w:r>
      <w:proofErr w:type="gramStart"/>
      <w:r w:rsidRPr="006167D6">
        <w:rPr>
          <w:rFonts w:ascii="Times New Roman" w:hAnsi="Times New Roman" w:cs="Times New Roman"/>
          <w:sz w:val="24"/>
          <w:szCs w:val="24"/>
        </w:rPr>
        <w:t>be:</w:t>
      </w:r>
      <w:proofErr w:type="gramEnd"/>
      <w:r w:rsidRPr="006167D6">
        <w:rPr>
          <w:rFonts w:ascii="Times New Roman" w:hAnsi="Times New Roman" w:cs="Times New Roman"/>
          <w:sz w:val="24"/>
          <w:szCs w:val="24"/>
        </w:rPr>
        <w:t xml:space="preserve"> disabling an Active Directory account; disabling a security token; restricting IP addresses from vendor sources in a firewall; or physically disconnecting a network cable to prevent a reconnection.</w:t>
      </w:r>
    </w:p>
    <w:bookmarkEnd w:id="4"/>
    <w:p w:rsidRPr="00425500" w:rsidR="006167D6" w:rsidP="00425500" w:rsidRDefault="006167D6" w14:paraId="300F58CA" w14:textId="5894D7EC">
      <w:pPr>
        <w:spacing w:after="0"/>
        <w:ind w:left="360"/>
        <w:rPr>
          <w:rFonts w:ascii="Times New Roman" w:hAnsi="Times New Roman" w:cs="Times New Roman"/>
          <w:sz w:val="24"/>
          <w:szCs w:val="24"/>
        </w:rPr>
      </w:pPr>
    </w:p>
    <w:p w:rsidRPr="00425500" w:rsidR="00E57DDB" w:rsidP="00425500" w:rsidRDefault="007617CB" w14:paraId="006F4AB9" w14:textId="48248D29">
      <w:pPr>
        <w:spacing w:after="0"/>
        <w:rPr>
          <w:rFonts w:ascii="Times New Roman" w:hAnsi="Times New Roman" w:cs="Times New Roman"/>
          <w:sz w:val="24"/>
          <w:szCs w:val="24"/>
        </w:rPr>
      </w:pPr>
      <w:r w:rsidRPr="007617CB">
        <w:rPr>
          <w:rFonts w:ascii="Times New Roman" w:hAnsi="Times New Roman" w:cs="Times New Roman"/>
          <w:b/>
          <w:bCs/>
          <w:sz w:val="24"/>
          <w:szCs w:val="24"/>
        </w:rPr>
        <w:t>Reliability Standard CIP-010-4.</w:t>
      </w:r>
      <w:r>
        <w:rPr>
          <w:rFonts w:ascii="Times New Roman" w:hAnsi="Times New Roman" w:cs="Times New Roman"/>
          <w:sz w:val="24"/>
          <w:szCs w:val="24"/>
        </w:rPr>
        <w:t xml:space="preserve"> </w:t>
      </w:r>
      <w:r w:rsidRPr="00425500" w:rsidR="00E57DDB">
        <w:rPr>
          <w:rFonts w:ascii="Times New Roman" w:hAnsi="Times New Roman" w:cs="Times New Roman"/>
          <w:sz w:val="24"/>
          <w:szCs w:val="24"/>
        </w:rPr>
        <w:t>Per NERC’s petition, CIP-010-4–Cyber Security—</w:t>
      </w:r>
      <w:r w:rsidR="00944A16">
        <w:rPr>
          <w:rFonts w:ascii="Times New Roman" w:hAnsi="Times New Roman" w:cs="Times New Roman"/>
          <w:sz w:val="24"/>
          <w:szCs w:val="24"/>
        </w:rPr>
        <w:t>C</w:t>
      </w:r>
      <w:r w:rsidRPr="00425500" w:rsidR="00E57DDB">
        <w:rPr>
          <w:rFonts w:ascii="Times New Roman" w:hAnsi="Times New Roman" w:cs="Times New Roman"/>
          <w:sz w:val="24"/>
          <w:szCs w:val="24"/>
        </w:rPr>
        <w:t xml:space="preserve">onfiguration Change Management and Vulnerability Assessments has the following reporting requirements: </w:t>
      </w:r>
    </w:p>
    <w:p w:rsidRPr="00425500" w:rsidR="00E57DDB" w:rsidP="00425500" w:rsidRDefault="00E57DDB" w14:paraId="5BDFD7D9" w14:textId="356879D2">
      <w:pPr>
        <w:spacing w:after="0"/>
        <w:rPr>
          <w:rFonts w:ascii="Times New Roman" w:hAnsi="Times New Roman" w:cs="Times New Roman"/>
          <w:sz w:val="24"/>
          <w:szCs w:val="24"/>
        </w:rPr>
      </w:pPr>
    </w:p>
    <w:p w:rsidRPr="00425500" w:rsidR="00E57DDB" w:rsidP="00425500" w:rsidRDefault="00E57DDB" w14:paraId="301EC4A0" w14:textId="28F5C606">
      <w:pPr>
        <w:spacing w:after="0"/>
        <w:rPr>
          <w:rFonts w:ascii="Times New Roman" w:hAnsi="Times New Roman" w:cs="Times New Roman"/>
          <w:sz w:val="24"/>
          <w:szCs w:val="24"/>
        </w:rPr>
      </w:pPr>
      <w:r w:rsidRPr="00425500">
        <w:rPr>
          <w:rFonts w:ascii="Times New Roman" w:hAnsi="Times New Roman" w:cs="Times New Roman"/>
          <w:sz w:val="24"/>
          <w:szCs w:val="24"/>
        </w:rPr>
        <w:t xml:space="preserve">R1. Each Responsible Entity shall implement one or more documented process(es) that collectively include each of the applicable requirement parts in CIP-010-4 </w:t>
      </w:r>
      <w:r w:rsidRPr="00425500" w:rsidR="00301D30">
        <w:rPr>
          <w:rFonts w:ascii="Times New Roman" w:hAnsi="Times New Roman" w:cs="Times New Roman"/>
          <w:sz w:val="24"/>
          <w:szCs w:val="24"/>
        </w:rPr>
        <w:t>(</w:t>
      </w:r>
      <w:r w:rsidRPr="00425500">
        <w:rPr>
          <w:rFonts w:ascii="Times New Roman" w:hAnsi="Times New Roman" w:cs="Times New Roman"/>
          <w:sz w:val="24"/>
          <w:szCs w:val="24"/>
        </w:rPr>
        <w:t>Configuration Change Management</w:t>
      </w:r>
      <w:r w:rsidRPr="00425500" w:rsidR="00301D30">
        <w:rPr>
          <w:rFonts w:ascii="Times New Roman" w:hAnsi="Times New Roman" w:cs="Times New Roman"/>
          <w:sz w:val="24"/>
          <w:szCs w:val="24"/>
        </w:rPr>
        <w:t>)</w:t>
      </w:r>
      <w:r w:rsidRPr="00425500">
        <w:rPr>
          <w:rFonts w:ascii="Times New Roman" w:hAnsi="Times New Roman" w:cs="Times New Roman"/>
          <w:sz w:val="24"/>
          <w:szCs w:val="24"/>
        </w:rPr>
        <w:t xml:space="preserve">. </w:t>
      </w:r>
    </w:p>
    <w:p w:rsidRPr="00425500" w:rsidR="00E57DDB" w:rsidP="00425500" w:rsidRDefault="00E57DDB" w14:paraId="04164CE7" w14:textId="640ED5FB">
      <w:pPr>
        <w:spacing w:after="0"/>
        <w:rPr>
          <w:rFonts w:ascii="Times New Roman" w:hAnsi="Times New Roman" w:cs="Times New Roman"/>
          <w:sz w:val="24"/>
          <w:szCs w:val="24"/>
        </w:rPr>
      </w:pPr>
      <w:r w:rsidRPr="00425500">
        <w:rPr>
          <w:rFonts w:ascii="Times New Roman" w:hAnsi="Times New Roman" w:cs="Times New Roman"/>
          <w:sz w:val="24"/>
          <w:szCs w:val="24"/>
        </w:rPr>
        <w:t xml:space="preserve">M1. Evidence must include each of the applicable documented processes that collectively include each of the applicable requirement parts in CIP-010-4 </w:t>
      </w:r>
      <w:r w:rsidRPr="00425500" w:rsidR="00301D30">
        <w:rPr>
          <w:rFonts w:ascii="Times New Roman" w:hAnsi="Times New Roman" w:cs="Times New Roman"/>
          <w:sz w:val="24"/>
          <w:szCs w:val="24"/>
        </w:rPr>
        <w:t>(</w:t>
      </w:r>
      <w:r w:rsidRPr="00425500">
        <w:rPr>
          <w:rFonts w:ascii="Times New Roman" w:hAnsi="Times New Roman" w:cs="Times New Roman"/>
          <w:sz w:val="24"/>
          <w:szCs w:val="24"/>
        </w:rPr>
        <w:t>Configuration Change Managemen</w:t>
      </w:r>
      <w:r w:rsidRPr="00425500" w:rsidR="00301D30">
        <w:rPr>
          <w:rFonts w:ascii="Times New Roman" w:hAnsi="Times New Roman" w:cs="Times New Roman"/>
          <w:sz w:val="24"/>
          <w:szCs w:val="24"/>
        </w:rPr>
        <w:t>t).</w:t>
      </w:r>
    </w:p>
    <w:p w:rsidRPr="00425500" w:rsidR="00301D30" w:rsidP="00425500" w:rsidRDefault="00301D30" w14:paraId="42CA8C91" w14:textId="77777777">
      <w:pPr>
        <w:pStyle w:val="ListParagraph"/>
        <w:numPr>
          <w:ilvl w:val="0"/>
          <w:numId w:val="15"/>
        </w:numPr>
        <w:spacing w:after="0"/>
        <w:ind w:left="720"/>
        <w:rPr>
          <w:rFonts w:ascii="Times New Roman" w:hAnsi="Times New Roman" w:cs="Times New Roman"/>
          <w:sz w:val="24"/>
          <w:szCs w:val="24"/>
        </w:rPr>
      </w:pPr>
      <w:r w:rsidRPr="00425500">
        <w:rPr>
          <w:rFonts w:ascii="Times New Roman" w:hAnsi="Times New Roman" w:cs="Times New Roman"/>
          <w:sz w:val="24"/>
          <w:szCs w:val="24"/>
        </w:rPr>
        <w:t xml:space="preserve">1.1 Develop a baseline configuration, individually or by group, which shall include the following items: </w:t>
      </w:r>
    </w:p>
    <w:p w:rsidRPr="00425500" w:rsidR="00301D30" w:rsidP="00425500" w:rsidRDefault="00301D30" w14:paraId="6CC4A55D" w14:textId="77777777">
      <w:pPr>
        <w:pStyle w:val="ListParagraph"/>
        <w:numPr>
          <w:ilvl w:val="1"/>
          <w:numId w:val="15"/>
        </w:numPr>
        <w:spacing w:after="0"/>
        <w:ind w:left="1440"/>
        <w:rPr>
          <w:rFonts w:ascii="Times New Roman" w:hAnsi="Times New Roman" w:cs="Times New Roman"/>
          <w:sz w:val="24"/>
          <w:szCs w:val="24"/>
        </w:rPr>
      </w:pPr>
      <w:r w:rsidRPr="00425500">
        <w:rPr>
          <w:rFonts w:ascii="Times New Roman" w:hAnsi="Times New Roman" w:cs="Times New Roman"/>
          <w:sz w:val="24"/>
          <w:szCs w:val="24"/>
        </w:rPr>
        <w:lastRenderedPageBreak/>
        <w:t xml:space="preserve">1.1.1. Operating system(s) (including version) or firmware where no independent operating system exists; </w:t>
      </w:r>
    </w:p>
    <w:p w:rsidRPr="00425500" w:rsidR="00301D30" w:rsidP="00425500" w:rsidRDefault="00301D30" w14:paraId="21646A67" w14:textId="77777777">
      <w:pPr>
        <w:pStyle w:val="ListParagraph"/>
        <w:numPr>
          <w:ilvl w:val="1"/>
          <w:numId w:val="15"/>
        </w:numPr>
        <w:spacing w:after="0"/>
        <w:ind w:left="1440"/>
        <w:rPr>
          <w:rFonts w:ascii="Times New Roman" w:hAnsi="Times New Roman" w:cs="Times New Roman"/>
          <w:sz w:val="24"/>
          <w:szCs w:val="24"/>
        </w:rPr>
      </w:pPr>
      <w:r w:rsidRPr="00425500">
        <w:rPr>
          <w:rFonts w:ascii="Times New Roman" w:hAnsi="Times New Roman" w:cs="Times New Roman"/>
          <w:sz w:val="24"/>
          <w:szCs w:val="24"/>
        </w:rPr>
        <w:t xml:space="preserve">1.1.2. Any commercially available or open-source application software (including version) intentionally installed; </w:t>
      </w:r>
    </w:p>
    <w:p w:rsidRPr="00425500" w:rsidR="00301D30" w:rsidP="00425500" w:rsidRDefault="00301D30" w14:paraId="13F0FB52" w14:textId="77777777">
      <w:pPr>
        <w:pStyle w:val="ListParagraph"/>
        <w:numPr>
          <w:ilvl w:val="1"/>
          <w:numId w:val="15"/>
        </w:numPr>
        <w:spacing w:after="0"/>
        <w:ind w:left="1440"/>
        <w:rPr>
          <w:rFonts w:ascii="Times New Roman" w:hAnsi="Times New Roman" w:cs="Times New Roman"/>
          <w:sz w:val="24"/>
          <w:szCs w:val="24"/>
        </w:rPr>
      </w:pPr>
      <w:r w:rsidRPr="00425500">
        <w:rPr>
          <w:rFonts w:ascii="Times New Roman" w:hAnsi="Times New Roman" w:cs="Times New Roman"/>
          <w:sz w:val="24"/>
          <w:szCs w:val="24"/>
        </w:rPr>
        <w:t xml:space="preserve">1.1.3. Any custom software installed; </w:t>
      </w:r>
    </w:p>
    <w:p w:rsidRPr="00425500" w:rsidR="00301D30" w:rsidP="00425500" w:rsidRDefault="00301D30" w14:paraId="7FDB1742" w14:textId="77777777">
      <w:pPr>
        <w:pStyle w:val="ListParagraph"/>
        <w:numPr>
          <w:ilvl w:val="1"/>
          <w:numId w:val="15"/>
        </w:numPr>
        <w:spacing w:after="0"/>
        <w:ind w:left="1440"/>
        <w:rPr>
          <w:rFonts w:ascii="Times New Roman" w:hAnsi="Times New Roman" w:cs="Times New Roman"/>
          <w:sz w:val="24"/>
          <w:szCs w:val="24"/>
        </w:rPr>
      </w:pPr>
      <w:r w:rsidRPr="00425500">
        <w:rPr>
          <w:rFonts w:ascii="Times New Roman" w:hAnsi="Times New Roman" w:cs="Times New Roman"/>
          <w:sz w:val="24"/>
          <w:szCs w:val="24"/>
        </w:rPr>
        <w:t xml:space="preserve">1.1.4. Any logical network accessible ports; and </w:t>
      </w:r>
    </w:p>
    <w:p w:rsidRPr="00425500" w:rsidR="00301D30" w:rsidP="00425500" w:rsidRDefault="00301D30" w14:paraId="2833F4F2" w14:textId="7C9307FA">
      <w:pPr>
        <w:pStyle w:val="ListParagraph"/>
        <w:numPr>
          <w:ilvl w:val="1"/>
          <w:numId w:val="15"/>
        </w:numPr>
        <w:spacing w:after="0"/>
        <w:ind w:left="1440"/>
        <w:rPr>
          <w:rFonts w:ascii="Times New Roman" w:hAnsi="Times New Roman" w:cs="Times New Roman"/>
          <w:sz w:val="24"/>
          <w:szCs w:val="24"/>
        </w:rPr>
      </w:pPr>
      <w:r w:rsidRPr="00425500">
        <w:rPr>
          <w:rFonts w:ascii="Times New Roman" w:hAnsi="Times New Roman" w:cs="Times New Roman"/>
          <w:sz w:val="24"/>
          <w:szCs w:val="24"/>
        </w:rPr>
        <w:t>1.1.5. Any security patches applied.</w:t>
      </w:r>
    </w:p>
    <w:p w:rsidRPr="00425500" w:rsidR="00FB5823" w:rsidP="00425500" w:rsidRDefault="00FB5823" w14:paraId="2FA60060" w14:textId="4A0C8CE7">
      <w:pPr>
        <w:pStyle w:val="ListParagraph"/>
        <w:numPr>
          <w:ilvl w:val="0"/>
          <w:numId w:val="15"/>
        </w:numPr>
        <w:spacing w:after="0"/>
        <w:ind w:left="720"/>
        <w:rPr>
          <w:rFonts w:ascii="Times New Roman" w:hAnsi="Times New Roman" w:cs="Times New Roman"/>
          <w:sz w:val="24"/>
          <w:szCs w:val="24"/>
        </w:rPr>
      </w:pPr>
      <w:r w:rsidRPr="00425500">
        <w:rPr>
          <w:rFonts w:ascii="Times New Roman" w:hAnsi="Times New Roman" w:cs="Times New Roman"/>
          <w:sz w:val="24"/>
          <w:szCs w:val="24"/>
        </w:rPr>
        <w:t>1.2 Authorize and document changes that deviate from the existing baseline configuration.</w:t>
      </w:r>
    </w:p>
    <w:p w:rsidRPr="00425500" w:rsidR="00FB5823" w:rsidP="00425500" w:rsidRDefault="00FB5823" w14:paraId="4AC573AA" w14:textId="19721E99">
      <w:pPr>
        <w:pStyle w:val="ListParagraph"/>
        <w:numPr>
          <w:ilvl w:val="0"/>
          <w:numId w:val="15"/>
        </w:numPr>
        <w:spacing w:after="0"/>
        <w:ind w:left="720"/>
        <w:rPr>
          <w:rFonts w:ascii="Times New Roman" w:hAnsi="Times New Roman" w:cs="Times New Roman"/>
          <w:sz w:val="24"/>
          <w:szCs w:val="24"/>
        </w:rPr>
      </w:pPr>
      <w:r w:rsidRPr="00425500">
        <w:rPr>
          <w:rFonts w:ascii="Times New Roman" w:hAnsi="Times New Roman" w:cs="Times New Roman"/>
          <w:sz w:val="24"/>
          <w:szCs w:val="24"/>
        </w:rPr>
        <w:t>1.3 For a change that deviates from the existing baseline configuration, update the baseline configuration as necessary within 30 calendar days of completing the change</w:t>
      </w:r>
    </w:p>
    <w:p w:rsidRPr="00425500" w:rsidR="00FB5823" w:rsidP="00425500" w:rsidRDefault="00FB5823" w14:paraId="1FAB5BC9" w14:textId="13896847">
      <w:pPr>
        <w:pStyle w:val="ListParagraph"/>
        <w:numPr>
          <w:ilvl w:val="0"/>
          <w:numId w:val="15"/>
        </w:numPr>
        <w:spacing w:after="0"/>
        <w:ind w:left="720"/>
        <w:rPr>
          <w:rFonts w:ascii="Times New Roman" w:hAnsi="Times New Roman" w:cs="Times New Roman"/>
          <w:sz w:val="24"/>
          <w:szCs w:val="24"/>
        </w:rPr>
      </w:pPr>
      <w:r w:rsidRPr="00425500">
        <w:rPr>
          <w:rFonts w:ascii="Times New Roman" w:hAnsi="Times New Roman" w:cs="Times New Roman"/>
          <w:sz w:val="24"/>
          <w:szCs w:val="24"/>
        </w:rPr>
        <w:t>1.</w:t>
      </w:r>
      <w:r w:rsidRPr="00425500" w:rsidR="00D04EC3">
        <w:rPr>
          <w:rFonts w:ascii="Times New Roman" w:hAnsi="Times New Roman" w:cs="Times New Roman"/>
          <w:sz w:val="24"/>
          <w:szCs w:val="24"/>
        </w:rPr>
        <w:t>4</w:t>
      </w:r>
      <w:r w:rsidRPr="00425500">
        <w:rPr>
          <w:rFonts w:ascii="Times New Roman" w:hAnsi="Times New Roman" w:cs="Times New Roman"/>
          <w:sz w:val="24"/>
          <w:szCs w:val="24"/>
        </w:rPr>
        <w:t xml:space="preserve"> For a change that deviates from the existing baseline configuration: </w:t>
      </w:r>
    </w:p>
    <w:p w:rsidRPr="00425500" w:rsidR="00FB5823" w:rsidP="00425500" w:rsidRDefault="00FB5823" w14:paraId="5AD9703E" w14:textId="77777777">
      <w:pPr>
        <w:pStyle w:val="ListParagraph"/>
        <w:numPr>
          <w:ilvl w:val="0"/>
          <w:numId w:val="15"/>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1.4.1. Prior to the change, determine required cyber security controls in CIP-005 and CIP-007 that could be impacted by the change; </w:t>
      </w:r>
    </w:p>
    <w:p w:rsidRPr="00425500" w:rsidR="00FB5823" w:rsidP="00425500" w:rsidRDefault="00FB5823" w14:paraId="45CF8A0A" w14:textId="77777777">
      <w:pPr>
        <w:pStyle w:val="ListParagraph"/>
        <w:numPr>
          <w:ilvl w:val="0"/>
          <w:numId w:val="15"/>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1.4.2. Following the change, verify that required cyber security controls determined in 1.4.1 are not adversely affected; and </w:t>
      </w:r>
    </w:p>
    <w:p w:rsidRPr="00425500" w:rsidR="00FB5823" w:rsidP="00425500" w:rsidRDefault="00FB5823" w14:paraId="5F467A3C" w14:textId="45EF8849">
      <w:pPr>
        <w:pStyle w:val="ListParagraph"/>
        <w:numPr>
          <w:ilvl w:val="0"/>
          <w:numId w:val="15"/>
        </w:numPr>
        <w:spacing w:after="0"/>
        <w:rPr>
          <w:rFonts w:ascii="Times New Roman" w:hAnsi="Times New Roman" w:cs="Times New Roman"/>
          <w:sz w:val="24"/>
          <w:szCs w:val="24"/>
        </w:rPr>
      </w:pPr>
      <w:r w:rsidRPr="00425500">
        <w:rPr>
          <w:rFonts w:ascii="Times New Roman" w:hAnsi="Times New Roman" w:cs="Times New Roman"/>
          <w:sz w:val="24"/>
          <w:szCs w:val="24"/>
        </w:rPr>
        <w:t>1.4.3. Document the results of the verification.</w:t>
      </w:r>
    </w:p>
    <w:p w:rsidRPr="00425500" w:rsidR="00FB5823" w:rsidP="00425500" w:rsidRDefault="00FB5823" w14:paraId="25A5D7AF" w14:textId="6A307409">
      <w:pPr>
        <w:pStyle w:val="ListParagraph"/>
        <w:numPr>
          <w:ilvl w:val="0"/>
          <w:numId w:val="15"/>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1.5 Where technically feasible, for each change that deviates from the existing baseline configuration: </w:t>
      </w:r>
    </w:p>
    <w:p w:rsidRPr="00425500" w:rsidR="00FB5823" w:rsidP="00425500" w:rsidRDefault="00FB5823" w14:paraId="55F0F6D7" w14:textId="77777777">
      <w:pPr>
        <w:pStyle w:val="ListParagraph"/>
        <w:numPr>
          <w:ilvl w:val="1"/>
          <w:numId w:val="15"/>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1.5.1. Prior to implementing any change in the production environment, test the changes in a test environment or test the changes in a production environment where the test is performed in a manner that minimizes adverse effects, that models the baseline configuration to ensure that required cyber security controls in CIP-005 and CIP-007 are not adversely affected; and </w:t>
      </w:r>
    </w:p>
    <w:p w:rsidRPr="00425500" w:rsidR="00FB5823" w:rsidP="00425500" w:rsidRDefault="00FB5823" w14:paraId="114C2C84" w14:textId="054DA601">
      <w:pPr>
        <w:pStyle w:val="ListParagraph"/>
        <w:numPr>
          <w:ilvl w:val="1"/>
          <w:numId w:val="15"/>
        </w:numPr>
        <w:spacing w:after="0"/>
        <w:rPr>
          <w:rFonts w:ascii="Times New Roman" w:hAnsi="Times New Roman" w:cs="Times New Roman"/>
          <w:sz w:val="24"/>
          <w:szCs w:val="24"/>
        </w:rPr>
      </w:pPr>
      <w:r w:rsidRPr="00425500">
        <w:rPr>
          <w:rFonts w:ascii="Times New Roman" w:hAnsi="Times New Roman" w:cs="Times New Roman"/>
          <w:sz w:val="24"/>
          <w:szCs w:val="24"/>
        </w:rPr>
        <w:t>1.5.2. Document the results of the testing and, if a test environment was used, the differences between the test environment and the production environment, including a description of the measures used to account for any differences in operation between the test and production environments.</w:t>
      </w:r>
    </w:p>
    <w:p w:rsidRPr="00425500" w:rsidR="00FB5823" w:rsidP="00425500" w:rsidRDefault="00FB5823" w14:paraId="7816A00A" w14:textId="77777777">
      <w:pPr>
        <w:pStyle w:val="ListParagraph"/>
        <w:numPr>
          <w:ilvl w:val="0"/>
          <w:numId w:val="15"/>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1.6 Prior to a change that deviates from the existing baseline configuration associated with baseline items in Parts 1.1.1, 1.1.2, and 1.1.5, and when the method to do so is available to the Responsible Entity from the software source: </w:t>
      </w:r>
    </w:p>
    <w:p w:rsidRPr="00425500" w:rsidR="00FB5823" w:rsidP="00425500" w:rsidRDefault="00FB5823" w14:paraId="1DE523AD" w14:textId="77777777">
      <w:pPr>
        <w:pStyle w:val="ListParagraph"/>
        <w:numPr>
          <w:ilvl w:val="1"/>
          <w:numId w:val="15"/>
        </w:numPr>
        <w:spacing w:after="0"/>
        <w:rPr>
          <w:rFonts w:ascii="Times New Roman" w:hAnsi="Times New Roman" w:cs="Times New Roman"/>
          <w:sz w:val="24"/>
          <w:szCs w:val="24"/>
        </w:rPr>
      </w:pPr>
      <w:r w:rsidRPr="00425500">
        <w:rPr>
          <w:rFonts w:ascii="Times New Roman" w:hAnsi="Times New Roman" w:cs="Times New Roman"/>
          <w:sz w:val="24"/>
          <w:szCs w:val="24"/>
        </w:rPr>
        <w:t xml:space="preserve">1.6.1. Verify the identity of the software source; and </w:t>
      </w:r>
    </w:p>
    <w:p w:rsidR="00FB5823" w:rsidP="00425500" w:rsidRDefault="00FB5823" w14:paraId="0EE6346E" w14:textId="138FC3EB">
      <w:pPr>
        <w:pStyle w:val="ListParagraph"/>
        <w:numPr>
          <w:ilvl w:val="1"/>
          <w:numId w:val="15"/>
        </w:numPr>
        <w:spacing w:after="0"/>
        <w:rPr>
          <w:rFonts w:ascii="Times New Roman" w:hAnsi="Times New Roman" w:cs="Times New Roman"/>
          <w:sz w:val="24"/>
          <w:szCs w:val="24"/>
        </w:rPr>
      </w:pPr>
      <w:r w:rsidRPr="00425500">
        <w:rPr>
          <w:rFonts w:ascii="Times New Roman" w:hAnsi="Times New Roman" w:cs="Times New Roman"/>
          <w:sz w:val="24"/>
          <w:szCs w:val="24"/>
        </w:rPr>
        <w:t>1.6.2. Verify the integrity of the software obtained from the software source.</w:t>
      </w:r>
    </w:p>
    <w:p w:rsidRPr="00425500" w:rsidR="007617CB" w:rsidP="007617CB" w:rsidRDefault="007617CB" w14:paraId="0D5BCB97" w14:textId="77777777">
      <w:pPr>
        <w:pStyle w:val="ListParagraph"/>
        <w:spacing w:after="0"/>
        <w:ind w:left="1800"/>
        <w:rPr>
          <w:rFonts w:ascii="Times New Roman" w:hAnsi="Times New Roman" w:cs="Times New Roman"/>
          <w:sz w:val="24"/>
          <w:szCs w:val="24"/>
        </w:rPr>
      </w:pPr>
    </w:p>
    <w:p w:rsidRPr="00425500" w:rsidR="00FB5823" w:rsidP="00425500" w:rsidRDefault="00FB5823" w14:paraId="79834490" w14:textId="2E6F96E0">
      <w:pPr>
        <w:spacing w:after="0"/>
        <w:rPr>
          <w:rFonts w:ascii="Times New Roman" w:hAnsi="Times New Roman" w:cs="Times New Roman"/>
          <w:sz w:val="24"/>
          <w:szCs w:val="24"/>
        </w:rPr>
      </w:pPr>
      <w:r w:rsidRPr="00425500">
        <w:rPr>
          <w:rFonts w:ascii="Times New Roman" w:hAnsi="Times New Roman" w:cs="Times New Roman"/>
          <w:sz w:val="24"/>
          <w:szCs w:val="24"/>
        </w:rPr>
        <w:t>R2</w:t>
      </w:r>
      <w:r w:rsidRPr="00425500" w:rsidR="00D04EC3">
        <w:rPr>
          <w:rFonts w:ascii="Times New Roman" w:hAnsi="Times New Roman" w:cs="Times New Roman"/>
          <w:sz w:val="24"/>
          <w:szCs w:val="24"/>
        </w:rPr>
        <w:t>.</w:t>
      </w:r>
      <w:r w:rsidRPr="00425500">
        <w:rPr>
          <w:rFonts w:ascii="Times New Roman" w:hAnsi="Times New Roman" w:cs="Times New Roman"/>
          <w:sz w:val="24"/>
          <w:szCs w:val="24"/>
        </w:rPr>
        <w:t xml:space="preserve"> Each Responsible Entity shall implement one or more documented process(es) that collectively include each of the applicable requirement parts in CIP-010-4 (Configuration Monitoring)</w:t>
      </w:r>
      <w:r w:rsidR="008F2815">
        <w:rPr>
          <w:rFonts w:ascii="Times New Roman" w:hAnsi="Times New Roman" w:cs="Times New Roman"/>
          <w:sz w:val="24"/>
          <w:szCs w:val="24"/>
        </w:rPr>
        <w:t>.</w:t>
      </w:r>
    </w:p>
    <w:p w:rsidRPr="00425500" w:rsidR="00FB5823" w:rsidP="00425500" w:rsidRDefault="00FB5823" w14:paraId="6D53751D" w14:textId="77777777">
      <w:pPr>
        <w:spacing w:after="0"/>
        <w:rPr>
          <w:rFonts w:ascii="Times New Roman" w:hAnsi="Times New Roman" w:cs="Times New Roman"/>
          <w:sz w:val="24"/>
          <w:szCs w:val="24"/>
        </w:rPr>
      </w:pPr>
      <w:r w:rsidRPr="00425500">
        <w:rPr>
          <w:rFonts w:ascii="Times New Roman" w:hAnsi="Times New Roman" w:cs="Times New Roman"/>
          <w:sz w:val="24"/>
          <w:szCs w:val="24"/>
        </w:rPr>
        <w:t>M2 Evidence must include each of the applicable documented processes that collectively include each of the applicable requirement parts in CIP-010-4 (Configuration Monitoring)</w:t>
      </w:r>
    </w:p>
    <w:p w:rsidR="00FB5823" w:rsidP="00425500" w:rsidRDefault="00FB5823" w14:paraId="1C8F5DCF" w14:textId="3C1B807A">
      <w:pPr>
        <w:pStyle w:val="ListParagraph"/>
        <w:numPr>
          <w:ilvl w:val="1"/>
          <w:numId w:val="1"/>
        </w:numPr>
        <w:spacing w:after="0"/>
        <w:rPr>
          <w:rFonts w:ascii="Times New Roman" w:hAnsi="Times New Roman" w:cs="Times New Roman"/>
          <w:sz w:val="24"/>
          <w:szCs w:val="24"/>
        </w:rPr>
      </w:pPr>
      <w:r w:rsidRPr="00425500">
        <w:rPr>
          <w:rFonts w:ascii="Times New Roman" w:hAnsi="Times New Roman" w:cs="Times New Roman"/>
          <w:sz w:val="24"/>
          <w:szCs w:val="24"/>
        </w:rPr>
        <w:lastRenderedPageBreak/>
        <w:t>2.1 Monitor at least once every 35 calendar days for changes to the baseline configuration (as described in Requirement R1, Part 1.1). Document and investigate detected unauthorized changes.</w:t>
      </w:r>
    </w:p>
    <w:p w:rsidRPr="00425500" w:rsidR="007617CB" w:rsidP="007617CB" w:rsidRDefault="007617CB" w14:paraId="061CAE4D" w14:textId="77777777">
      <w:pPr>
        <w:pStyle w:val="ListParagraph"/>
        <w:spacing w:after="0"/>
        <w:rPr>
          <w:rFonts w:ascii="Times New Roman" w:hAnsi="Times New Roman" w:cs="Times New Roman"/>
          <w:sz w:val="24"/>
          <w:szCs w:val="24"/>
        </w:rPr>
      </w:pPr>
    </w:p>
    <w:p w:rsidRPr="00425500" w:rsidR="00FB5823" w:rsidP="00425500" w:rsidRDefault="00FB5823" w14:paraId="44233736" w14:textId="5C11A004">
      <w:pPr>
        <w:spacing w:after="0"/>
        <w:rPr>
          <w:rFonts w:ascii="Times New Roman" w:hAnsi="Times New Roman" w:cs="Times New Roman"/>
          <w:sz w:val="24"/>
          <w:szCs w:val="24"/>
        </w:rPr>
      </w:pPr>
      <w:r w:rsidRPr="00425500">
        <w:rPr>
          <w:rFonts w:ascii="Times New Roman" w:hAnsi="Times New Roman" w:cs="Times New Roman"/>
          <w:sz w:val="24"/>
          <w:szCs w:val="24"/>
        </w:rPr>
        <w:t>R3</w:t>
      </w:r>
      <w:r w:rsidRPr="00425500" w:rsidR="00D04EC3">
        <w:rPr>
          <w:rFonts w:ascii="Times New Roman" w:hAnsi="Times New Roman" w:cs="Times New Roman"/>
          <w:sz w:val="24"/>
          <w:szCs w:val="24"/>
        </w:rPr>
        <w:t>.</w:t>
      </w:r>
      <w:r w:rsidRPr="00425500">
        <w:rPr>
          <w:rFonts w:ascii="Times New Roman" w:hAnsi="Times New Roman" w:cs="Times New Roman"/>
          <w:sz w:val="24"/>
          <w:szCs w:val="24"/>
        </w:rPr>
        <w:t xml:space="preserve"> Each Responsible Entity shall implement one or more documented process(es) that collectively include each of the applicable requirement parts in CIP-010-3 (Vulnerability Assessments)</w:t>
      </w:r>
      <w:r w:rsidR="008F2815">
        <w:rPr>
          <w:rFonts w:ascii="Times New Roman" w:hAnsi="Times New Roman" w:cs="Times New Roman"/>
          <w:sz w:val="24"/>
          <w:szCs w:val="24"/>
        </w:rPr>
        <w:t xml:space="preserve">. </w:t>
      </w:r>
      <w:r w:rsidRPr="00425500">
        <w:rPr>
          <w:rFonts w:ascii="Times New Roman" w:hAnsi="Times New Roman" w:cs="Times New Roman"/>
          <w:sz w:val="24"/>
          <w:szCs w:val="24"/>
        </w:rPr>
        <w:t>Evidence must include each of the applicable documented processes that collectively include each of the applicable requirement parts in CIP-010-3 (Vulnerability Assessments)</w:t>
      </w:r>
    </w:p>
    <w:p w:rsidRPr="00425500" w:rsidR="00FB5823" w:rsidP="00425500" w:rsidRDefault="00FB5823" w14:paraId="60AA3D26" w14:textId="6E4F1E58">
      <w:pPr>
        <w:pStyle w:val="ListParagraph"/>
        <w:numPr>
          <w:ilvl w:val="1"/>
          <w:numId w:val="1"/>
        </w:numPr>
        <w:spacing w:after="0"/>
        <w:rPr>
          <w:rFonts w:ascii="Times New Roman" w:hAnsi="Times New Roman" w:cs="Times New Roman"/>
          <w:sz w:val="24"/>
          <w:szCs w:val="24"/>
        </w:rPr>
      </w:pPr>
      <w:r w:rsidRPr="00425500">
        <w:rPr>
          <w:rFonts w:ascii="Times New Roman" w:hAnsi="Times New Roman" w:cs="Times New Roman"/>
          <w:sz w:val="24"/>
          <w:szCs w:val="24"/>
        </w:rPr>
        <w:t>3.1 At least once every 15 calendar months, conduct a paper or active vulnerability assessment.</w:t>
      </w:r>
    </w:p>
    <w:p w:rsidRPr="00425500" w:rsidR="00FB5823" w:rsidP="00425500" w:rsidRDefault="00FB5823" w14:paraId="10AD3B6A" w14:textId="77777777">
      <w:pPr>
        <w:pStyle w:val="ListParagraph"/>
        <w:numPr>
          <w:ilvl w:val="1"/>
          <w:numId w:val="1"/>
        </w:numPr>
        <w:spacing w:after="0"/>
        <w:rPr>
          <w:rFonts w:ascii="Times New Roman" w:hAnsi="Times New Roman" w:cs="Times New Roman"/>
          <w:sz w:val="24"/>
          <w:szCs w:val="24"/>
        </w:rPr>
      </w:pPr>
      <w:r w:rsidRPr="00425500">
        <w:rPr>
          <w:rFonts w:ascii="Times New Roman" w:hAnsi="Times New Roman" w:cs="Times New Roman"/>
          <w:sz w:val="24"/>
          <w:szCs w:val="24"/>
        </w:rPr>
        <w:t xml:space="preserve">3.2 Where technically feasible, at least once every 36 calendar months: </w:t>
      </w:r>
    </w:p>
    <w:p w:rsidRPr="00425500" w:rsidR="00FB5823" w:rsidP="00425500" w:rsidRDefault="00FB5823" w14:paraId="37950312" w14:textId="34406AF0">
      <w:pPr>
        <w:pStyle w:val="ListParagraph"/>
        <w:numPr>
          <w:ilvl w:val="0"/>
          <w:numId w:val="18"/>
        </w:numPr>
        <w:spacing w:after="0"/>
        <w:rPr>
          <w:rFonts w:ascii="Times New Roman" w:hAnsi="Times New Roman" w:cs="Times New Roman"/>
          <w:sz w:val="24"/>
          <w:szCs w:val="24"/>
        </w:rPr>
      </w:pPr>
      <w:r w:rsidRPr="00425500">
        <w:rPr>
          <w:rFonts w:ascii="Times New Roman" w:hAnsi="Times New Roman" w:cs="Times New Roman"/>
          <w:sz w:val="24"/>
          <w:szCs w:val="24"/>
        </w:rPr>
        <w:t xml:space="preserve">3.2.1 Perform an active vulnerability assessment in a test environment, or </w:t>
      </w:r>
      <w:r w:rsidR="00944A16">
        <w:rPr>
          <w:rFonts w:ascii="Times New Roman" w:hAnsi="Times New Roman" w:cs="Times New Roman"/>
          <w:sz w:val="24"/>
          <w:szCs w:val="24"/>
        </w:rPr>
        <w:t>p</w:t>
      </w:r>
      <w:r w:rsidRPr="00425500">
        <w:rPr>
          <w:rFonts w:ascii="Times New Roman" w:hAnsi="Times New Roman" w:cs="Times New Roman"/>
          <w:sz w:val="24"/>
          <w:szCs w:val="24"/>
        </w:rPr>
        <w:t xml:space="preserve">erform an active vulnerability assessment in a production environment where the test is performed in a manner that minimizes adverse effects, that models the baseline configuration of the BES Cyber System in a production environment; and </w:t>
      </w:r>
    </w:p>
    <w:p w:rsidRPr="00425500" w:rsidR="00FB5823" w:rsidP="00425500" w:rsidRDefault="00FB5823" w14:paraId="6C4C06E2" w14:textId="2109F1E5">
      <w:pPr>
        <w:pStyle w:val="ListParagraph"/>
        <w:numPr>
          <w:ilvl w:val="0"/>
          <w:numId w:val="18"/>
        </w:numPr>
        <w:spacing w:after="0"/>
        <w:rPr>
          <w:rFonts w:ascii="Times New Roman" w:hAnsi="Times New Roman" w:cs="Times New Roman"/>
          <w:sz w:val="24"/>
          <w:szCs w:val="24"/>
        </w:rPr>
      </w:pPr>
      <w:r w:rsidRPr="00425500">
        <w:rPr>
          <w:rFonts w:ascii="Times New Roman" w:hAnsi="Times New Roman" w:cs="Times New Roman"/>
          <w:sz w:val="24"/>
          <w:szCs w:val="24"/>
        </w:rPr>
        <w:t>3.2.2 Document the results of the testing and, if a test environment was used, the differences between the test environment and the production environment, including a description of the measures used to account for any differences in operation between the test and production environments.</w:t>
      </w:r>
    </w:p>
    <w:p w:rsidRPr="00425500" w:rsidR="00FB5823" w:rsidP="00425500" w:rsidRDefault="00D04EC3" w14:paraId="15919CE9" w14:textId="4EDFF7F7">
      <w:pPr>
        <w:pStyle w:val="ListParagraph"/>
        <w:numPr>
          <w:ilvl w:val="0"/>
          <w:numId w:val="19"/>
        </w:numPr>
        <w:spacing w:after="0"/>
        <w:rPr>
          <w:rFonts w:ascii="Times New Roman" w:hAnsi="Times New Roman" w:cs="Times New Roman"/>
          <w:sz w:val="24"/>
          <w:szCs w:val="24"/>
        </w:rPr>
      </w:pPr>
      <w:r w:rsidRPr="00425500">
        <w:rPr>
          <w:rFonts w:ascii="Times New Roman" w:hAnsi="Times New Roman" w:cs="Times New Roman"/>
          <w:sz w:val="24"/>
          <w:szCs w:val="24"/>
        </w:rPr>
        <w:t>3.3 Prior to adding a new applicable Cyber Asset to a production environment, perform an active vulnerability assessment of the new Cyber Asset, except for CIP Exceptional Circumstances and like replacements of the same type of Cyber Asset with a baseline configuration that models an existing baseline configuration of the previous or other existing Cyber Asset.</w:t>
      </w:r>
    </w:p>
    <w:p w:rsidR="00E57DDB" w:rsidP="00425500" w:rsidRDefault="00D04EC3" w14:paraId="65CBBD33" w14:textId="065B7AF4">
      <w:pPr>
        <w:pStyle w:val="ListParagraph"/>
        <w:numPr>
          <w:ilvl w:val="0"/>
          <w:numId w:val="19"/>
        </w:numPr>
        <w:spacing w:after="0"/>
        <w:rPr>
          <w:rFonts w:ascii="Times New Roman" w:hAnsi="Times New Roman" w:cs="Times New Roman"/>
          <w:sz w:val="24"/>
          <w:szCs w:val="24"/>
        </w:rPr>
      </w:pPr>
      <w:r w:rsidRPr="00425500">
        <w:rPr>
          <w:rFonts w:ascii="Times New Roman" w:hAnsi="Times New Roman" w:cs="Times New Roman"/>
          <w:sz w:val="24"/>
          <w:szCs w:val="24"/>
        </w:rPr>
        <w:t>3.4 Document the results of the assessments conducted according to Parts 3.1, 3.2, and 3.3 and the action plan to remediate or mitigate vulnerabilities identified in the assessments including the planned date of completing the action plan and the execution status of any remediation or mitigation action items.</w:t>
      </w:r>
    </w:p>
    <w:p w:rsidR="007617CB" w:rsidP="007617CB" w:rsidRDefault="007617CB" w14:paraId="7E8887E0" w14:textId="22B3FB9F">
      <w:pPr>
        <w:spacing w:after="0"/>
        <w:rPr>
          <w:rFonts w:ascii="Times New Roman" w:hAnsi="Times New Roman" w:cs="Times New Roman"/>
          <w:sz w:val="24"/>
          <w:szCs w:val="24"/>
        </w:rPr>
      </w:pPr>
      <w:r>
        <w:rPr>
          <w:rFonts w:ascii="Times New Roman" w:hAnsi="Times New Roman" w:cs="Times New Roman"/>
          <w:sz w:val="24"/>
          <w:szCs w:val="24"/>
        </w:rPr>
        <w:t xml:space="preserve">M3. </w:t>
      </w:r>
      <w:r w:rsidRPr="007617CB">
        <w:rPr>
          <w:rFonts w:ascii="Times New Roman" w:hAnsi="Times New Roman" w:cs="Times New Roman"/>
          <w:sz w:val="24"/>
          <w:szCs w:val="24"/>
        </w:rPr>
        <w:t>Evidence must include each of the applicable documented processes that collectively include each of the applicable</w:t>
      </w:r>
      <w:r>
        <w:rPr>
          <w:rFonts w:ascii="Times New Roman" w:hAnsi="Times New Roman" w:cs="Times New Roman"/>
          <w:sz w:val="24"/>
          <w:szCs w:val="24"/>
        </w:rPr>
        <w:t xml:space="preserve"> </w:t>
      </w:r>
      <w:r w:rsidRPr="007617CB">
        <w:rPr>
          <w:rFonts w:ascii="Times New Roman" w:hAnsi="Times New Roman" w:cs="Times New Roman"/>
          <w:sz w:val="24"/>
          <w:szCs w:val="24"/>
        </w:rPr>
        <w:t>requirement parts in CIP-010-3 Table R3 – Vulnerability Assessments and additional evidence to demonstrate</w:t>
      </w:r>
      <w:r>
        <w:rPr>
          <w:rFonts w:ascii="Times New Roman" w:hAnsi="Times New Roman" w:cs="Times New Roman"/>
          <w:sz w:val="24"/>
          <w:szCs w:val="24"/>
        </w:rPr>
        <w:t xml:space="preserve"> </w:t>
      </w:r>
      <w:r w:rsidRPr="007617CB">
        <w:rPr>
          <w:rFonts w:ascii="Times New Roman" w:hAnsi="Times New Roman" w:cs="Times New Roman"/>
          <w:sz w:val="24"/>
          <w:szCs w:val="24"/>
        </w:rPr>
        <w:t>implementation as described in the Measures column of the table</w:t>
      </w:r>
      <w:r w:rsidR="00944A16">
        <w:rPr>
          <w:rFonts w:ascii="Times New Roman" w:hAnsi="Times New Roman" w:cs="Times New Roman"/>
          <w:sz w:val="24"/>
          <w:szCs w:val="24"/>
        </w:rPr>
        <w:t>.</w:t>
      </w:r>
      <w:r w:rsidRPr="00C54DAF" w:rsidR="00944A16">
        <w:rPr>
          <w:rStyle w:val="FootnoteReference"/>
          <w:rFonts w:ascii="Times New Roman" w:hAnsi="Times New Roman" w:cs="Times New Roman"/>
          <w:sz w:val="24"/>
          <w:szCs w:val="24"/>
          <w:vertAlign w:val="superscript"/>
        </w:rPr>
        <w:footnoteReference w:id="14"/>
      </w:r>
    </w:p>
    <w:p w:rsidRPr="007617CB" w:rsidR="007617CB" w:rsidP="007617CB" w:rsidRDefault="007617CB" w14:paraId="48B5AAA0" w14:textId="77777777">
      <w:pPr>
        <w:spacing w:after="0"/>
        <w:rPr>
          <w:rFonts w:ascii="Times New Roman" w:hAnsi="Times New Roman" w:cs="Times New Roman"/>
          <w:sz w:val="24"/>
          <w:szCs w:val="24"/>
        </w:rPr>
      </w:pPr>
    </w:p>
    <w:p w:rsidRPr="00425500" w:rsidR="00D04EC3" w:rsidP="00425500" w:rsidRDefault="00D04EC3" w14:paraId="1ABB25D4" w14:textId="35BC9655">
      <w:pPr>
        <w:spacing w:after="0"/>
        <w:rPr>
          <w:rFonts w:ascii="Times New Roman" w:hAnsi="Times New Roman" w:cs="Times New Roman"/>
          <w:sz w:val="24"/>
          <w:szCs w:val="24"/>
        </w:rPr>
      </w:pPr>
      <w:r w:rsidRPr="00425500">
        <w:rPr>
          <w:rFonts w:ascii="Times New Roman" w:hAnsi="Times New Roman" w:cs="Times New Roman"/>
          <w:sz w:val="24"/>
          <w:szCs w:val="24"/>
        </w:rPr>
        <w:t xml:space="preserve">R4. Each Responsible Entity, for its high impact and medium impact BES Cyber Systems and associated Protected Cyber Assets, shall implement, except under CIP Exceptional </w:t>
      </w:r>
      <w:r w:rsidRPr="00425500">
        <w:rPr>
          <w:rFonts w:ascii="Times New Roman" w:hAnsi="Times New Roman" w:cs="Times New Roman"/>
          <w:sz w:val="24"/>
          <w:szCs w:val="24"/>
        </w:rPr>
        <w:lastRenderedPageBreak/>
        <w:t>circumstances, one or more documented plan(s) for Transient Cyber Assets and Removable Media</w:t>
      </w:r>
      <w:r w:rsidR="008F2815">
        <w:rPr>
          <w:rFonts w:ascii="Times New Roman" w:hAnsi="Times New Roman" w:cs="Times New Roman"/>
          <w:sz w:val="24"/>
          <w:szCs w:val="24"/>
        </w:rPr>
        <w:t>.</w:t>
      </w:r>
      <w:r w:rsidRPr="00425500">
        <w:rPr>
          <w:rStyle w:val="FootnoteReference"/>
          <w:rFonts w:ascii="Times New Roman" w:hAnsi="Times New Roman" w:cs="Times New Roman"/>
          <w:sz w:val="24"/>
          <w:szCs w:val="24"/>
          <w:vertAlign w:val="superscript"/>
        </w:rPr>
        <w:footnoteReference w:id="15"/>
      </w:r>
    </w:p>
    <w:p w:rsidRPr="00425500" w:rsidR="00D04EC3" w:rsidP="00425500" w:rsidRDefault="00D04EC3" w14:paraId="54BF7071" w14:textId="3949EFC6">
      <w:pPr>
        <w:spacing w:after="0"/>
        <w:rPr>
          <w:rFonts w:ascii="Times New Roman" w:hAnsi="Times New Roman" w:cs="Times New Roman"/>
          <w:sz w:val="24"/>
          <w:szCs w:val="24"/>
        </w:rPr>
      </w:pPr>
      <w:r w:rsidRPr="00425500">
        <w:rPr>
          <w:rFonts w:ascii="Times New Roman" w:hAnsi="Times New Roman" w:cs="Times New Roman"/>
          <w:sz w:val="24"/>
          <w:szCs w:val="24"/>
        </w:rPr>
        <w:t>M4. Evidence shall include each of the documented plan(s) for Transient Cyber Assets and Removable Media that collectively include each of the applicable sections in Attachment 1 and additional evidence to demonstrate implementation of plan(s) for Transient Cyber Assets and Removable Media. If a Responsible Entity does not use Transient Cyber Asset(s) or Removable Media, examples of evidence include, but are not limited to, a statement, policy, or other document that states the Responsible Entity does not use Transient Cyber Asset(s) or Removable Media.</w:t>
      </w:r>
    </w:p>
    <w:p w:rsidR="00D04EC3" w:rsidP="00425500" w:rsidRDefault="00D04EC3" w14:paraId="188D06B6" w14:textId="147A8421">
      <w:pPr>
        <w:spacing w:after="0"/>
        <w:rPr>
          <w:rFonts w:ascii="Times New Roman" w:hAnsi="Times New Roman" w:cs="Times New Roman"/>
          <w:sz w:val="24"/>
          <w:szCs w:val="24"/>
        </w:rPr>
      </w:pPr>
    </w:p>
    <w:p w:rsidR="006167D6" w:rsidP="00425500" w:rsidRDefault="006167D6" w14:paraId="3B2BA78E" w14:textId="34453678">
      <w:pPr>
        <w:spacing w:after="0"/>
        <w:rPr>
          <w:rFonts w:ascii="Times New Roman" w:hAnsi="Times New Roman" w:cs="Times New Roman"/>
          <w:sz w:val="24"/>
          <w:szCs w:val="24"/>
        </w:rPr>
      </w:pPr>
      <w:r w:rsidRPr="006167D6">
        <w:rPr>
          <w:rFonts w:ascii="Times New Roman" w:hAnsi="Times New Roman" w:cs="Times New Roman"/>
          <w:sz w:val="24"/>
          <w:szCs w:val="24"/>
        </w:rPr>
        <w:t>The following applicable systems have been added to CIP-0</w:t>
      </w:r>
      <w:r>
        <w:rPr>
          <w:rFonts w:ascii="Times New Roman" w:hAnsi="Times New Roman" w:cs="Times New Roman"/>
          <w:sz w:val="24"/>
          <w:szCs w:val="24"/>
        </w:rPr>
        <w:t>10-4</w:t>
      </w:r>
      <w:r w:rsidRPr="006167D6">
        <w:rPr>
          <w:rFonts w:ascii="Times New Roman" w:hAnsi="Times New Roman" w:cs="Times New Roman"/>
          <w:sz w:val="24"/>
          <w:szCs w:val="24"/>
        </w:rPr>
        <w:t xml:space="preserve"> which specifies the scope of the requirements.</w:t>
      </w:r>
    </w:p>
    <w:p w:rsidR="00E056DD" w:rsidP="00E056DD" w:rsidRDefault="006167D6" w14:paraId="7718AB57" w14:textId="6000408F">
      <w:pPr>
        <w:pStyle w:val="ListParagraph"/>
        <w:numPr>
          <w:ilvl w:val="1"/>
          <w:numId w:val="27"/>
        </w:numPr>
        <w:spacing w:after="0"/>
        <w:rPr>
          <w:rFonts w:ascii="Times New Roman" w:hAnsi="Times New Roman" w:cs="Times New Roman"/>
          <w:sz w:val="24"/>
          <w:szCs w:val="24"/>
        </w:rPr>
      </w:pPr>
      <w:r w:rsidRPr="00E056DD">
        <w:rPr>
          <w:rFonts w:ascii="Times New Roman" w:hAnsi="Times New Roman" w:cs="Times New Roman"/>
          <w:sz w:val="24"/>
          <w:szCs w:val="24"/>
        </w:rPr>
        <w:t xml:space="preserve">Applicable Systems: High Impact BES Cyber Systems and their associated: 1. EACMS; and 1.2. PACS Medium Impact BES Cyber Systems and their associated: 1. EACMS; and 1.2. </w:t>
      </w:r>
    </w:p>
    <w:p w:rsidRPr="00B62064" w:rsidR="00E056DD" w:rsidP="00B62064" w:rsidRDefault="00E056DD" w14:paraId="66D17171" w14:textId="77777777">
      <w:pPr>
        <w:spacing w:after="0"/>
        <w:rPr>
          <w:rFonts w:ascii="Times New Roman" w:hAnsi="Times New Roman" w:cs="Times New Roman"/>
          <w:sz w:val="24"/>
          <w:szCs w:val="24"/>
        </w:rPr>
      </w:pPr>
      <w:r w:rsidRPr="00B62064">
        <w:rPr>
          <w:rFonts w:ascii="Times New Roman" w:hAnsi="Times New Roman" w:cs="Times New Roman"/>
          <w:sz w:val="24"/>
          <w:szCs w:val="24"/>
        </w:rPr>
        <w:t>PACS Note: Implementation does not require the Responsible Entity to renegotiate or abrogate existing contracts (including amendments to master agreements and purchase orders). Additionally, the following issues are beyond the scope of Part 1.6: (1) the actual terms and conditions of a procurement contract; and (2) vendor performance and adherence to a contract.</w:t>
      </w:r>
    </w:p>
    <w:p w:rsidR="00E056DD" w:rsidP="00E056DD" w:rsidRDefault="00E056DD" w14:paraId="073B4C48" w14:textId="498DD2FB">
      <w:pPr>
        <w:pStyle w:val="ListParagraph"/>
        <w:numPr>
          <w:ilvl w:val="1"/>
          <w:numId w:val="27"/>
        </w:numPr>
        <w:spacing w:after="0"/>
        <w:rPr>
          <w:rFonts w:ascii="Times New Roman" w:hAnsi="Times New Roman" w:cs="Times New Roman"/>
          <w:sz w:val="24"/>
          <w:szCs w:val="24"/>
        </w:rPr>
      </w:pPr>
      <w:r>
        <w:rPr>
          <w:rFonts w:ascii="Times New Roman" w:hAnsi="Times New Roman" w:cs="Times New Roman"/>
          <w:sz w:val="24"/>
          <w:szCs w:val="24"/>
        </w:rPr>
        <w:t xml:space="preserve">Requirements: </w:t>
      </w:r>
      <w:r w:rsidRPr="00E056DD">
        <w:rPr>
          <w:rFonts w:ascii="Times New Roman" w:hAnsi="Times New Roman" w:cs="Times New Roman"/>
          <w:sz w:val="24"/>
          <w:szCs w:val="24"/>
        </w:rPr>
        <w:t>Prior to a change that deviates from the existing baseline configuration associated with baseline items in Parts 1.1.1, 1.1.2, and 1.1.5, and when the method to do so is available to the Responsible Entity from the software source: 1.6.1. Verify the identity of the software source; and 1.6.2. Verify the integrity of the software obtained from the software source</w:t>
      </w:r>
    </w:p>
    <w:p w:rsidR="00E056DD" w:rsidP="00E056DD" w:rsidRDefault="00E056DD" w14:paraId="60E3BF39" w14:textId="58ED88C7">
      <w:pPr>
        <w:pStyle w:val="ListParagraph"/>
        <w:numPr>
          <w:ilvl w:val="1"/>
          <w:numId w:val="27"/>
        </w:numPr>
        <w:spacing w:after="0"/>
        <w:rPr>
          <w:rFonts w:ascii="Times New Roman" w:hAnsi="Times New Roman" w:cs="Times New Roman"/>
          <w:sz w:val="24"/>
          <w:szCs w:val="24"/>
        </w:rPr>
      </w:pPr>
      <w:r>
        <w:rPr>
          <w:rFonts w:ascii="Times New Roman" w:hAnsi="Times New Roman" w:cs="Times New Roman"/>
          <w:sz w:val="24"/>
          <w:szCs w:val="24"/>
        </w:rPr>
        <w:t xml:space="preserve">Measurements: </w:t>
      </w:r>
      <w:r w:rsidRPr="00E056DD">
        <w:rPr>
          <w:rFonts w:ascii="Times New Roman" w:hAnsi="Times New Roman" w:cs="Times New Roman"/>
          <w:sz w:val="24"/>
          <w:szCs w:val="24"/>
        </w:rPr>
        <w:t>An example of evidence may include, but is not limited to a change request record that demonstrates the verification of identity of the software source and integrity of the software was performed prior to the baseline change or a process which documents the mechanisms in place that would automatically ensure the identity of the software source and integrity of the software.</w:t>
      </w:r>
    </w:p>
    <w:p w:rsidRPr="00425500" w:rsidR="00D04EC3" w:rsidP="00425500" w:rsidRDefault="00641F4B" w14:paraId="3BBDC83B" w14:textId="0A616170">
      <w:pPr>
        <w:spacing w:after="0"/>
        <w:rPr>
          <w:rFonts w:ascii="Times New Roman" w:hAnsi="Times New Roman" w:cs="Times New Roman"/>
          <w:sz w:val="24"/>
          <w:szCs w:val="24"/>
        </w:rPr>
      </w:pPr>
      <w:r w:rsidRPr="00641F4B">
        <w:rPr>
          <w:rFonts w:ascii="Times New Roman" w:hAnsi="Times New Roman" w:cs="Times New Roman"/>
          <w:b/>
          <w:bCs/>
          <w:sz w:val="24"/>
          <w:szCs w:val="24"/>
        </w:rPr>
        <w:t>Evidence Retention.</w:t>
      </w:r>
      <w:r>
        <w:rPr>
          <w:rFonts w:ascii="Times New Roman" w:hAnsi="Times New Roman" w:cs="Times New Roman"/>
          <w:sz w:val="24"/>
          <w:szCs w:val="24"/>
        </w:rPr>
        <w:t xml:space="preserve"> </w:t>
      </w:r>
      <w:r w:rsidRPr="00425500" w:rsidR="00D04EC3">
        <w:rPr>
          <w:rFonts w:ascii="Times New Roman" w:hAnsi="Times New Roman" w:cs="Times New Roman"/>
          <w:sz w:val="24"/>
          <w:szCs w:val="24"/>
        </w:rPr>
        <w:t xml:space="preserve">Per NERC’s petition, </w:t>
      </w:r>
      <w:r w:rsidRPr="00425500" w:rsidR="000325F7">
        <w:rPr>
          <w:rFonts w:ascii="Times New Roman" w:hAnsi="Times New Roman" w:cs="Times New Roman"/>
          <w:sz w:val="24"/>
          <w:szCs w:val="24"/>
        </w:rPr>
        <w:t>CIP-013-2 (</w:t>
      </w:r>
      <w:r w:rsidRPr="00425500" w:rsidR="003C3E94">
        <w:rPr>
          <w:rFonts w:ascii="Times New Roman" w:hAnsi="Times New Roman" w:cs="Times New Roman"/>
          <w:sz w:val="24"/>
          <w:szCs w:val="24"/>
        </w:rPr>
        <w:t>Cyber Security–</w:t>
      </w:r>
      <w:r w:rsidRPr="00425500" w:rsidR="000325F7">
        <w:rPr>
          <w:rFonts w:ascii="Times New Roman" w:hAnsi="Times New Roman" w:cs="Times New Roman"/>
          <w:sz w:val="24"/>
          <w:szCs w:val="24"/>
        </w:rPr>
        <w:t xml:space="preserve">Supply Chain Risk Management), </w:t>
      </w:r>
      <w:r w:rsidRPr="00425500" w:rsidR="00D04EC3">
        <w:rPr>
          <w:rFonts w:ascii="Times New Roman" w:hAnsi="Times New Roman" w:cs="Times New Roman"/>
          <w:sz w:val="24"/>
          <w:szCs w:val="24"/>
        </w:rPr>
        <w:t>CIP-005</w:t>
      </w:r>
      <w:r w:rsidRPr="00425500" w:rsidR="00B54C2A">
        <w:rPr>
          <w:rFonts w:ascii="Times New Roman" w:hAnsi="Times New Roman" w:cs="Times New Roman"/>
          <w:sz w:val="24"/>
          <w:szCs w:val="24"/>
        </w:rPr>
        <w:t>-</w:t>
      </w:r>
      <w:r w:rsidRPr="00425500" w:rsidR="00D04EC3">
        <w:rPr>
          <w:rFonts w:ascii="Times New Roman" w:hAnsi="Times New Roman" w:cs="Times New Roman"/>
          <w:sz w:val="24"/>
          <w:szCs w:val="24"/>
        </w:rPr>
        <w:t>7</w:t>
      </w:r>
      <w:r w:rsidRPr="00425500" w:rsidR="000325F7">
        <w:rPr>
          <w:rFonts w:ascii="Times New Roman" w:hAnsi="Times New Roman" w:cs="Times New Roman"/>
          <w:sz w:val="24"/>
          <w:szCs w:val="24"/>
        </w:rPr>
        <w:t xml:space="preserve"> (</w:t>
      </w:r>
      <w:r w:rsidRPr="00425500" w:rsidR="003C3E94">
        <w:rPr>
          <w:rFonts w:ascii="Times New Roman" w:hAnsi="Times New Roman" w:cs="Times New Roman"/>
          <w:sz w:val="24"/>
          <w:szCs w:val="24"/>
        </w:rPr>
        <w:t>Cyber Security–</w:t>
      </w:r>
      <w:r w:rsidRPr="00425500" w:rsidR="00D04EC3">
        <w:rPr>
          <w:rFonts w:ascii="Times New Roman" w:hAnsi="Times New Roman" w:cs="Times New Roman"/>
          <w:sz w:val="24"/>
          <w:szCs w:val="24"/>
        </w:rPr>
        <w:t>Electronic Security Perimeter(s)</w:t>
      </w:r>
      <w:r w:rsidRPr="00425500" w:rsidR="000325F7">
        <w:rPr>
          <w:rFonts w:ascii="Times New Roman" w:hAnsi="Times New Roman" w:cs="Times New Roman"/>
          <w:sz w:val="24"/>
          <w:szCs w:val="24"/>
        </w:rPr>
        <w:t>), CIP-010-4 (</w:t>
      </w:r>
      <w:r w:rsidRPr="00425500" w:rsidR="003C3E94">
        <w:rPr>
          <w:rFonts w:ascii="Times New Roman" w:hAnsi="Times New Roman" w:cs="Times New Roman"/>
          <w:sz w:val="24"/>
          <w:szCs w:val="24"/>
        </w:rPr>
        <w:t>Cyber Security–</w:t>
      </w:r>
      <w:r w:rsidRPr="00425500" w:rsidR="000325F7">
        <w:rPr>
          <w:rFonts w:ascii="Times New Roman" w:hAnsi="Times New Roman" w:cs="Times New Roman"/>
          <w:sz w:val="24"/>
          <w:szCs w:val="24"/>
        </w:rPr>
        <w:t>Configuration Monitoring)</w:t>
      </w:r>
      <w:r>
        <w:rPr>
          <w:rFonts w:ascii="Times New Roman" w:hAnsi="Times New Roman" w:cs="Times New Roman"/>
          <w:sz w:val="24"/>
          <w:szCs w:val="24"/>
        </w:rPr>
        <w:t>,</w:t>
      </w:r>
      <w:r w:rsidRPr="00425500" w:rsidR="000325F7">
        <w:rPr>
          <w:rFonts w:ascii="Times New Roman" w:hAnsi="Times New Roman" w:cs="Times New Roman"/>
          <w:sz w:val="24"/>
          <w:szCs w:val="24"/>
        </w:rPr>
        <w:t xml:space="preserve"> all have</w:t>
      </w:r>
      <w:r w:rsidRPr="00425500" w:rsidR="00D04EC3">
        <w:rPr>
          <w:rFonts w:ascii="Times New Roman" w:hAnsi="Times New Roman" w:cs="Times New Roman"/>
          <w:sz w:val="24"/>
          <w:szCs w:val="24"/>
        </w:rPr>
        <w:t xml:space="preserve"> the following </w:t>
      </w:r>
      <w:r w:rsidRPr="00425500" w:rsidR="000325F7">
        <w:rPr>
          <w:rFonts w:ascii="Times New Roman" w:hAnsi="Times New Roman" w:cs="Times New Roman"/>
          <w:sz w:val="24"/>
          <w:szCs w:val="24"/>
        </w:rPr>
        <w:t>evidence</w:t>
      </w:r>
      <w:r w:rsidRPr="00425500" w:rsidR="00D04EC3">
        <w:rPr>
          <w:rFonts w:ascii="Times New Roman" w:hAnsi="Times New Roman" w:cs="Times New Roman"/>
          <w:sz w:val="24"/>
          <w:szCs w:val="24"/>
        </w:rPr>
        <w:t xml:space="preserve"> retention</w:t>
      </w:r>
      <w:r w:rsidRPr="00425500" w:rsidR="000325F7">
        <w:rPr>
          <w:rFonts w:ascii="Times New Roman" w:hAnsi="Times New Roman" w:cs="Times New Roman"/>
          <w:sz w:val="24"/>
          <w:szCs w:val="24"/>
        </w:rPr>
        <w:t xml:space="preserve"> </w:t>
      </w:r>
      <w:r w:rsidRPr="00425500" w:rsidR="00D04EC3">
        <w:rPr>
          <w:rFonts w:ascii="Times New Roman" w:hAnsi="Times New Roman" w:cs="Times New Roman"/>
          <w:sz w:val="24"/>
          <w:szCs w:val="24"/>
        </w:rPr>
        <w:t xml:space="preserve">requirements: </w:t>
      </w:r>
    </w:p>
    <w:p w:rsidRPr="00425500" w:rsidR="00D04EC3" w:rsidP="00425500" w:rsidRDefault="00D04EC3" w14:paraId="18417A7B" w14:textId="3A074AE2">
      <w:pPr>
        <w:pStyle w:val="ListParagraph"/>
        <w:numPr>
          <w:ilvl w:val="0"/>
          <w:numId w:val="21"/>
        </w:numPr>
        <w:spacing w:after="0"/>
        <w:rPr>
          <w:rFonts w:ascii="Times New Roman" w:hAnsi="Times New Roman" w:cs="Times New Roman"/>
          <w:sz w:val="24"/>
          <w:szCs w:val="24"/>
        </w:rPr>
      </w:pPr>
      <w:r w:rsidRPr="00425500">
        <w:rPr>
          <w:rFonts w:ascii="Times New Roman" w:hAnsi="Times New Roman" w:cs="Times New Roman"/>
          <w:sz w:val="24"/>
          <w:szCs w:val="24"/>
        </w:rPr>
        <w:t>The applicable entity shall keep data or evidence to show compliance as</w:t>
      </w:r>
      <w:r w:rsidRPr="00425500" w:rsidR="000325F7">
        <w:rPr>
          <w:rFonts w:ascii="Times New Roman" w:hAnsi="Times New Roman" w:cs="Times New Roman"/>
          <w:sz w:val="24"/>
          <w:szCs w:val="24"/>
        </w:rPr>
        <w:t xml:space="preserve"> </w:t>
      </w:r>
      <w:r w:rsidRPr="00425500">
        <w:rPr>
          <w:rFonts w:ascii="Times New Roman" w:hAnsi="Times New Roman" w:cs="Times New Roman"/>
          <w:sz w:val="24"/>
          <w:szCs w:val="24"/>
        </w:rPr>
        <w:t>identified below unless directed by its C</w:t>
      </w:r>
      <w:r w:rsidR="00641F4B">
        <w:rPr>
          <w:rFonts w:ascii="Times New Roman" w:hAnsi="Times New Roman" w:cs="Times New Roman"/>
          <w:sz w:val="24"/>
          <w:szCs w:val="24"/>
        </w:rPr>
        <w:t>ompliance Enforcement Authority (CEA)</w:t>
      </w:r>
      <w:r w:rsidRPr="00425500">
        <w:rPr>
          <w:rFonts w:ascii="Times New Roman" w:hAnsi="Times New Roman" w:cs="Times New Roman"/>
          <w:sz w:val="24"/>
          <w:szCs w:val="24"/>
        </w:rPr>
        <w:t xml:space="preserve"> to retain specific evidence for a</w:t>
      </w:r>
      <w:r w:rsidRPr="00425500" w:rsidR="000325F7">
        <w:rPr>
          <w:rFonts w:ascii="Times New Roman" w:hAnsi="Times New Roman" w:cs="Times New Roman"/>
          <w:sz w:val="24"/>
          <w:szCs w:val="24"/>
        </w:rPr>
        <w:t xml:space="preserve"> </w:t>
      </w:r>
      <w:r w:rsidRPr="00425500">
        <w:rPr>
          <w:rFonts w:ascii="Times New Roman" w:hAnsi="Times New Roman" w:cs="Times New Roman"/>
          <w:sz w:val="24"/>
          <w:szCs w:val="24"/>
        </w:rPr>
        <w:t xml:space="preserve">longer </w:t>
      </w:r>
      <w:proofErr w:type="gramStart"/>
      <w:r w:rsidRPr="00425500">
        <w:rPr>
          <w:rFonts w:ascii="Times New Roman" w:hAnsi="Times New Roman" w:cs="Times New Roman"/>
          <w:sz w:val="24"/>
          <w:szCs w:val="24"/>
        </w:rPr>
        <w:t>period of time</w:t>
      </w:r>
      <w:proofErr w:type="gramEnd"/>
      <w:r w:rsidRPr="00425500">
        <w:rPr>
          <w:rFonts w:ascii="Times New Roman" w:hAnsi="Times New Roman" w:cs="Times New Roman"/>
          <w:sz w:val="24"/>
          <w:szCs w:val="24"/>
        </w:rPr>
        <w:t xml:space="preserve"> as part of an investigation.</w:t>
      </w:r>
    </w:p>
    <w:p w:rsidRPr="00425500" w:rsidR="00D04EC3" w:rsidP="00425500" w:rsidRDefault="00D04EC3" w14:paraId="230487DE" w14:textId="77777777">
      <w:pPr>
        <w:pStyle w:val="ListParagraph"/>
        <w:numPr>
          <w:ilvl w:val="0"/>
          <w:numId w:val="9"/>
        </w:numPr>
        <w:spacing w:after="0"/>
        <w:rPr>
          <w:rFonts w:ascii="Times New Roman" w:hAnsi="Times New Roman" w:cs="Times New Roman"/>
          <w:sz w:val="24"/>
          <w:szCs w:val="24"/>
        </w:rPr>
      </w:pPr>
      <w:r w:rsidRPr="00425500">
        <w:rPr>
          <w:rFonts w:ascii="Times New Roman" w:hAnsi="Times New Roman" w:cs="Times New Roman"/>
          <w:sz w:val="24"/>
          <w:szCs w:val="24"/>
        </w:rPr>
        <w:lastRenderedPageBreak/>
        <w:t>Each applicable entity shall retain evidence of each requirement in this standard for three calendar years.</w:t>
      </w:r>
    </w:p>
    <w:p w:rsidRPr="00425500" w:rsidR="00D04EC3" w:rsidP="00425500" w:rsidRDefault="00D04EC3" w14:paraId="7FDD188D" w14:textId="77777777">
      <w:pPr>
        <w:pStyle w:val="ListParagraph"/>
        <w:numPr>
          <w:ilvl w:val="0"/>
          <w:numId w:val="9"/>
        </w:numPr>
        <w:spacing w:after="0"/>
        <w:rPr>
          <w:rFonts w:ascii="Times New Roman" w:hAnsi="Times New Roman" w:cs="Times New Roman"/>
          <w:sz w:val="24"/>
          <w:szCs w:val="24"/>
        </w:rPr>
      </w:pPr>
      <w:r w:rsidRPr="00425500">
        <w:rPr>
          <w:rFonts w:ascii="Times New Roman" w:hAnsi="Times New Roman" w:cs="Times New Roman"/>
          <w:sz w:val="24"/>
          <w:szCs w:val="24"/>
        </w:rPr>
        <w:t>If an applicable entity is found non-compliant, it shall keep information related to the non-compliance until mitigation is complete and approved or for the time specified above, whichever is longer.</w:t>
      </w:r>
    </w:p>
    <w:p w:rsidRPr="00425500" w:rsidR="00D04EC3" w:rsidP="00425500" w:rsidRDefault="00D04EC3" w14:paraId="6003CF4F" w14:textId="77777777">
      <w:pPr>
        <w:pStyle w:val="ListParagraph"/>
        <w:numPr>
          <w:ilvl w:val="0"/>
          <w:numId w:val="9"/>
        </w:numPr>
        <w:spacing w:after="0"/>
        <w:rPr>
          <w:rFonts w:ascii="Times New Roman" w:hAnsi="Times New Roman" w:cs="Times New Roman"/>
          <w:sz w:val="24"/>
          <w:szCs w:val="24"/>
        </w:rPr>
      </w:pPr>
      <w:r w:rsidRPr="00425500">
        <w:rPr>
          <w:rFonts w:ascii="Times New Roman" w:hAnsi="Times New Roman" w:cs="Times New Roman"/>
          <w:sz w:val="24"/>
          <w:szCs w:val="24"/>
        </w:rPr>
        <w:t xml:space="preserve">The CEA shall keep the last audit </w:t>
      </w:r>
      <w:proofErr w:type="gramStart"/>
      <w:r w:rsidRPr="00425500">
        <w:rPr>
          <w:rFonts w:ascii="Times New Roman" w:hAnsi="Times New Roman" w:cs="Times New Roman"/>
          <w:sz w:val="24"/>
          <w:szCs w:val="24"/>
        </w:rPr>
        <w:t>records</w:t>
      </w:r>
      <w:proofErr w:type="gramEnd"/>
      <w:r w:rsidRPr="00425500">
        <w:rPr>
          <w:rFonts w:ascii="Times New Roman" w:hAnsi="Times New Roman" w:cs="Times New Roman"/>
          <w:sz w:val="24"/>
          <w:szCs w:val="24"/>
        </w:rPr>
        <w:t xml:space="preserve"> and all requested and submitted subsequent audit records.</w:t>
      </w:r>
    </w:p>
    <w:p w:rsidRPr="00425500" w:rsidR="00D04EC3" w:rsidP="00425500" w:rsidRDefault="00D04EC3" w14:paraId="3F4B8B92" w14:textId="77777777">
      <w:pPr>
        <w:spacing w:after="0"/>
        <w:rPr>
          <w:rFonts w:ascii="Times New Roman" w:hAnsi="Times New Roman" w:cs="Times New Roman"/>
          <w:sz w:val="24"/>
          <w:szCs w:val="24"/>
        </w:rPr>
      </w:pPr>
    </w:p>
    <w:p w:rsidRPr="00425500" w:rsidR="00F875B9" w:rsidP="00425500" w:rsidRDefault="00F875B9" w14:paraId="5F528CDB" w14:textId="565AD157">
      <w:pPr>
        <w:spacing w:after="0"/>
        <w:rPr>
          <w:rFonts w:ascii="Times New Roman" w:hAnsi="Times New Roman" w:cs="Times New Roman"/>
          <w:sz w:val="24"/>
          <w:szCs w:val="24"/>
        </w:rPr>
      </w:pPr>
      <w:r w:rsidRPr="00425500">
        <w:rPr>
          <w:rFonts w:ascii="Times New Roman" w:hAnsi="Times New Roman" w:cs="Times New Roman"/>
          <w:sz w:val="24"/>
          <w:szCs w:val="24"/>
        </w:rPr>
        <w:t xml:space="preserve">If the information collection </w:t>
      </w:r>
      <w:r w:rsidR="00641F4B">
        <w:rPr>
          <w:rFonts w:ascii="Times New Roman" w:hAnsi="Times New Roman" w:cs="Times New Roman"/>
          <w:sz w:val="24"/>
          <w:szCs w:val="24"/>
        </w:rPr>
        <w:t xml:space="preserve">and record retention </w:t>
      </w:r>
      <w:r w:rsidRPr="00425500">
        <w:rPr>
          <w:rFonts w:ascii="Times New Roman" w:hAnsi="Times New Roman" w:cs="Times New Roman"/>
          <w:sz w:val="24"/>
          <w:szCs w:val="24"/>
        </w:rPr>
        <w:t xml:space="preserve">requirements did not </w:t>
      </w:r>
      <w:r w:rsidRPr="00425500" w:rsidR="007404BA">
        <w:rPr>
          <w:rFonts w:ascii="Times New Roman" w:hAnsi="Times New Roman" w:cs="Times New Roman"/>
          <w:sz w:val="24"/>
          <w:szCs w:val="24"/>
        </w:rPr>
        <w:t>exist,</w:t>
      </w:r>
      <w:r w:rsidRPr="00425500">
        <w:rPr>
          <w:rFonts w:ascii="Times New Roman" w:hAnsi="Times New Roman" w:cs="Times New Roman"/>
          <w:sz w:val="24"/>
          <w:szCs w:val="24"/>
        </w:rPr>
        <w:t xml:space="preserve"> then it would be difficult to monitor and enforce compliance with the standards which could lead entities to relax their compliance with the requirements. Also, creating and maintaining documentation is integral to the task of performing cyber security, as reflected in the fact that some of the reliability standards’ requirements require an entity to create a document (as opposed to documenting compliance with a requirement).  Without such information collection an entity may fail to perform actions that may </w:t>
      </w:r>
      <w:r w:rsidR="00641F4B">
        <w:rPr>
          <w:rFonts w:ascii="Times New Roman" w:hAnsi="Times New Roman" w:cs="Times New Roman"/>
          <w:sz w:val="24"/>
          <w:szCs w:val="24"/>
        </w:rPr>
        <w:t xml:space="preserve">adversely </w:t>
      </w:r>
      <w:r w:rsidRPr="00425500">
        <w:rPr>
          <w:rFonts w:ascii="Times New Roman" w:hAnsi="Times New Roman" w:cs="Times New Roman"/>
          <w:sz w:val="24"/>
          <w:szCs w:val="24"/>
        </w:rPr>
        <w:t>affect the reliability and security of the grid.</w:t>
      </w:r>
    </w:p>
    <w:p w:rsidRPr="00425500" w:rsidR="00F875B9" w:rsidP="00425500" w:rsidRDefault="00F875B9" w14:paraId="416F93B4" w14:textId="77777777">
      <w:pPr>
        <w:spacing w:after="0"/>
        <w:ind w:left="360"/>
        <w:rPr>
          <w:rFonts w:ascii="Times New Roman" w:hAnsi="Times New Roman" w:cs="Times New Roman"/>
          <w:sz w:val="24"/>
          <w:szCs w:val="24"/>
        </w:rPr>
      </w:pPr>
    </w:p>
    <w:p w:rsidRPr="0051723A" w:rsidR="00EB3E6F" w:rsidP="0051723A" w:rsidRDefault="00EB3E6F" w14:paraId="4AEE3A66" w14:textId="26BE2FEF">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DESCRIBE ANY CONSIDERATION OF THE USE OF IMPROVED INFORMATION TECHNOLOGY TO REDUCE THE BURDEN AND TECHNICAL OR LEGAL OBSTACLES TO REDUCING BURDEN</w:t>
      </w:r>
    </w:p>
    <w:p w:rsidRPr="00F67CEE" w:rsidR="00F67CEE" w:rsidP="00F67CEE" w:rsidRDefault="00F875B9" w14:paraId="76D2F734" w14:textId="77777777">
      <w:pPr>
        <w:spacing w:after="0"/>
        <w:rPr>
          <w:rFonts w:ascii="Times New Roman" w:hAnsi="Times New Roman" w:cs="Times New Roman"/>
          <w:sz w:val="24"/>
          <w:szCs w:val="24"/>
        </w:rPr>
      </w:pPr>
      <w:r w:rsidRPr="00425500">
        <w:rPr>
          <w:rFonts w:ascii="Times New Roman" w:hAnsi="Times New Roman" w:cs="Times New Roman"/>
          <w:sz w:val="24"/>
          <w:szCs w:val="24"/>
        </w:rPr>
        <w:t>The use of current or improved technology is not covered in the CIP Reliability Standards and is therefore left to the discretion of each responsible entity.</w:t>
      </w:r>
      <w:r w:rsidRPr="00425500" w:rsidR="007F2E80">
        <w:rPr>
          <w:rFonts w:ascii="Times New Roman" w:hAnsi="Times New Roman" w:cs="Times New Roman"/>
          <w:sz w:val="24"/>
          <w:szCs w:val="24"/>
        </w:rPr>
        <w:t xml:space="preserve"> This collection does not require industry to file the information with the Commission.</w:t>
      </w:r>
      <w:r w:rsidR="00F67CEE">
        <w:rPr>
          <w:rFonts w:ascii="Times New Roman" w:hAnsi="Times New Roman" w:cs="Times New Roman"/>
          <w:sz w:val="24"/>
          <w:szCs w:val="24"/>
        </w:rPr>
        <w:t xml:space="preserve"> </w:t>
      </w:r>
      <w:r w:rsidRPr="00F67CEE" w:rsidR="00F67CEE">
        <w:rPr>
          <w:rFonts w:ascii="Times New Roman" w:hAnsi="Times New Roman" w:cs="Times New Roman"/>
          <w:sz w:val="24"/>
          <w:szCs w:val="24"/>
        </w:rPr>
        <w:t xml:space="preserve">We think that nearly </w:t>
      </w:r>
      <w:proofErr w:type="gramStart"/>
      <w:r w:rsidRPr="00F67CEE" w:rsidR="00F67CEE">
        <w:rPr>
          <w:rFonts w:ascii="Times New Roman" w:hAnsi="Times New Roman" w:cs="Times New Roman"/>
          <w:sz w:val="24"/>
          <w:szCs w:val="24"/>
        </w:rPr>
        <w:t>all of</w:t>
      </w:r>
      <w:proofErr w:type="gramEnd"/>
      <w:r w:rsidRPr="00F67CEE" w:rsidR="00F67CEE">
        <w:rPr>
          <w:rFonts w:ascii="Times New Roman" w:hAnsi="Times New Roman" w:cs="Times New Roman"/>
          <w:sz w:val="24"/>
          <w:szCs w:val="24"/>
        </w:rPr>
        <w:t xml:space="preserve">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rsidRPr="00F67CEE" w:rsidR="00F67CEE" w:rsidP="00F67CEE" w:rsidRDefault="00F67CEE" w14:paraId="16628130" w14:textId="77777777">
      <w:pPr>
        <w:spacing w:after="0"/>
        <w:rPr>
          <w:rFonts w:ascii="Times New Roman" w:hAnsi="Times New Roman" w:cs="Times New Roman"/>
          <w:sz w:val="24"/>
          <w:szCs w:val="24"/>
        </w:rPr>
      </w:pPr>
    </w:p>
    <w:p w:rsidRPr="00425500" w:rsidR="00EB3E6F" w:rsidP="00425500" w:rsidRDefault="00F67CEE" w14:paraId="4AEE3A67" w14:textId="36454DF0">
      <w:pPr>
        <w:spacing w:after="0"/>
        <w:rPr>
          <w:rFonts w:ascii="Times New Roman" w:hAnsi="Times New Roman" w:cs="Times New Roman"/>
          <w:sz w:val="24"/>
          <w:szCs w:val="24"/>
        </w:rPr>
      </w:pPr>
      <w:r w:rsidRPr="00F67CEE">
        <w:rPr>
          <w:rFonts w:ascii="Times New Roman" w:hAnsi="Times New Roman" w:cs="Times New Roman"/>
          <w:sz w:val="24"/>
          <w:szCs w:val="24"/>
        </w:rPr>
        <w:t>In general, the Commission supports the use of information technology to reduce burden.</w:t>
      </w:r>
    </w:p>
    <w:p w:rsidRPr="00425500" w:rsidR="00EB3E6F" w:rsidP="00425500" w:rsidRDefault="00EB3E6F" w14:paraId="4AEE3A69" w14:textId="77777777">
      <w:pPr>
        <w:spacing w:after="0"/>
        <w:rPr>
          <w:rFonts w:ascii="Times New Roman" w:hAnsi="Times New Roman" w:cs="Times New Roman"/>
          <w:sz w:val="24"/>
          <w:szCs w:val="24"/>
        </w:rPr>
      </w:pPr>
    </w:p>
    <w:p w:rsidRPr="0051723A" w:rsidR="00EB3E6F" w:rsidP="0051723A" w:rsidRDefault="00EB3E6F" w14:paraId="4AEE3A6A"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DESCRIBE EFFORTS TO IDENTIF</w:t>
      </w:r>
      <w:r w:rsidRPr="0051723A" w:rsidR="00912E0D">
        <w:rPr>
          <w:rFonts w:ascii="Times New Roman" w:hAnsi="Times New Roman" w:cs="Times New Roman"/>
          <w:b/>
          <w:sz w:val="24"/>
          <w:szCs w:val="24"/>
        </w:rPr>
        <w:t>Y</w:t>
      </w:r>
      <w:r w:rsidRPr="0051723A">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Pr="00425500" w:rsidR="00A532AE" w:rsidP="00425500" w:rsidRDefault="00F67CEE" w14:paraId="0D97F41A" w14:textId="020831F6">
      <w:pPr>
        <w:spacing w:after="0"/>
        <w:rPr>
          <w:rFonts w:ascii="Times New Roman" w:hAnsi="Times New Roman" w:cs="Times New Roman"/>
          <w:sz w:val="24"/>
          <w:szCs w:val="24"/>
        </w:rPr>
      </w:pPr>
      <w:r w:rsidRPr="00F67CEE">
        <w:rPr>
          <w:rFonts w:ascii="Times New Roman" w:hAnsi="Times New Roman" w:cs="Times New Roman"/>
          <w:sz w:val="24"/>
          <w:szCs w:val="24"/>
        </w:rPr>
        <w:t xml:space="preserve">Filing requirements are periodically reviewed as OMB review dates arise or as the Commission may deem necessary in carrying out its regulatory responsibilities under the FPA in order to eliminate duplication and ensure that filing burden is minimized. </w:t>
      </w:r>
      <w:r w:rsidRPr="00425500" w:rsidR="00F875B9">
        <w:rPr>
          <w:rFonts w:ascii="Times New Roman" w:hAnsi="Times New Roman" w:cs="Times New Roman"/>
          <w:sz w:val="24"/>
          <w:szCs w:val="24"/>
        </w:rPr>
        <w:t xml:space="preserve">The information collection requirements are unique to </w:t>
      </w:r>
      <w:proofErr w:type="spellStart"/>
      <w:r w:rsidRPr="00425500" w:rsidR="00F875B9">
        <w:rPr>
          <w:rFonts w:ascii="Times New Roman" w:hAnsi="Times New Roman" w:cs="Times New Roman"/>
          <w:sz w:val="24"/>
          <w:szCs w:val="24"/>
        </w:rPr>
        <w:t>th</w:t>
      </w:r>
      <w:r w:rsidR="00F91C08">
        <w:rPr>
          <w:rFonts w:ascii="Times New Roman" w:hAnsi="Times New Roman" w:cs="Times New Roman"/>
          <w:sz w:val="24"/>
          <w:szCs w:val="24"/>
        </w:rPr>
        <w:t>e</w:t>
      </w:r>
      <w:r w:rsidRPr="00425500" w:rsidR="00F875B9">
        <w:rPr>
          <w:rFonts w:ascii="Times New Roman" w:hAnsi="Times New Roman" w:cs="Times New Roman"/>
          <w:sz w:val="24"/>
          <w:szCs w:val="24"/>
        </w:rPr>
        <w:t>s</w:t>
      </w:r>
      <w:proofErr w:type="spellEnd"/>
      <w:r w:rsidRPr="00425500" w:rsidR="00F875B9">
        <w:rPr>
          <w:rFonts w:ascii="Times New Roman" w:hAnsi="Times New Roman" w:cs="Times New Roman"/>
          <w:sz w:val="24"/>
          <w:szCs w:val="24"/>
        </w:rPr>
        <w:t xml:space="preserve"> reliability standard</w:t>
      </w:r>
      <w:r w:rsidR="00F91C08">
        <w:rPr>
          <w:rFonts w:ascii="Times New Roman" w:hAnsi="Times New Roman" w:cs="Times New Roman"/>
          <w:sz w:val="24"/>
          <w:szCs w:val="24"/>
        </w:rPr>
        <w:t>s</w:t>
      </w:r>
      <w:r w:rsidRPr="00425500" w:rsidR="00F875B9">
        <w:rPr>
          <w:rFonts w:ascii="Times New Roman" w:hAnsi="Times New Roman" w:cs="Times New Roman"/>
          <w:sz w:val="24"/>
          <w:szCs w:val="24"/>
        </w:rPr>
        <w:t xml:space="preserve"> and to this information collection. The Commission does not know of any duplication in the requirements.</w:t>
      </w:r>
    </w:p>
    <w:p w:rsidRPr="00425500" w:rsidR="00F875B9" w:rsidP="00425500" w:rsidRDefault="00F875B9" w14:paraId="777EE4AF" w14:textId="77777777">
      <w:pPr>
        <w:spacing w:after="0"/>
        <w:rPr>
          <w:rFonts w:ascii="Times New Roman" w:hAnsi="Times New Roman" w:cs="Times New Roman"/>
          <w:sz w:val="24"/>
          <w:szCs w:val="24"/>
        </w:rPr>
      </w:pPr>
    </w:p>
    <w:p w:rsidRPr="0051723A" w:rsidR="00EB3E6F" w:rsidP="0051723A" w:rsidRDefault="00EB3E6F" w14:paraId="4AEE3A6E"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METHODS USED TO MINIMIZE THE BURDEN IN COLLECTION OF INFORMATION INVOLVING SMALL ENTITIES</w:t>
      </w:r>
    </w:p>
    <w:p w:rsidR="006A0724" w:rsidP="00425500" w:rsidRDefault="006A0724" w14:paraId="51F8AF67" w14:textId="50F54C94">
      <w:pPr>
        <w:spacing w:after="0"/>
        <w:rPr>
          <w:rFonts w:ascii="Times New Roman" w:hAnsi="Times New Roman" w:cs="Times New Roman"/>
          <w:sz w:val="24"/>
          <w:szCs w:val="24"/>
        </w:rPr>
      </w:pPr>
      <w:r w:rsidRPr="00425500">
        <w:rPr>
          <w:rFonts w:ascii="Times New Roman" w:hAnsi="Times New Roman" w:cs="Times New Roman"/>
          <w:sz w:val="24"/>
          <w:szCs w:val="24"/>
        </w:rPr>
        <w:t>The CIP Reliability Standards generally do apply to small entities, depending first on their registered function(s) and then on the types of facilities they own.  Nearly all the small entities</w:t>
      </w:r>
      <w:r w:rsidRPr="00B62064" w:rsidR="00B54AF7">
        <w:rPr>
          <w:rStyle w:val="FootnoteReference"/>
          <w:rFonts w:ascii="Times New Roman" w:hAnsi="Times New Roman" w:cs="Times New Roman"/>
          <w:sz w:val="24"/>
          <w:szCs w:val="24"/>
          <w:vertAlign w:val="superscript"/>
        </w:rPr>
        <w:footnoteReference w:id="16"/>
      </w:r>
      <w:r w:rsidRPr="00425500">
        <w:rPr>
          <w:rFonts w:ascii="Times New Roman" w:hAnsi="Times New Roman" w:cs="Times New Roman"/>
          <w:sz w:val="24"/>
          <w:szCs w:val="24"/>
        </w:rPr>
        <w:t xml:space="preserve">, which are subject to the CIP standards, own only facilities that should fall into the Low impact category for these standards.  This means the burden for these entities is relatively minor compared with the rest of the applicable entities.  </w:t>
      </w:r>
    </w:p>
    <w:p w:rsidR="00F67CEE" w:rsidP="00425500" w:rsidRDefault="00F67CEE" w14:paraId="1F104370" w14:textId="32CFED65">
      <w:pPr>
        <w:spacing w:after="0"/>
        <w:rPr>
          <w:rFonts w:ascii="Times New Roman" w:hAnsi="Times New Roman" w:cs="Times New Roman"/>
          <w:sz w:val="24"/>
          <w:szCs w:val="24"/>
        </w:rPr>
      </w:pPr>
    </w:p>
    <w:p w:rsidRPr="00425500" w:rsidR="00F67CEE" w:rsidP="00425500" w:rsidRDefault="00F67CEE" w14:paraId="6DD30977" w14:textId="2BEB28CA">
      <w:pPr>
        <w:spacing w:after="0"/>
        <w:rPr>
          <w:rFonts w:ascii="Times New Roman" w:hAnsi="Times New Roman" w:cs="Times New Roman"/>
          <w:sz w:val="24"/>
          <w:szCs w:val="24"/>
        </w:rPr>
      </w:pPr>
    </w:p>
    <w:p w:rsidR="00F67CEE" w:rsidP="00425500" w:rsidRDefault="00F67CEE" w14:paraId="4D636A8A" w14:textId="77777777">
      <w:pPr>
        <w:spacing w:after="0"/>
        <w:rPr>
          <w:rFonts w:ascii="Times New Roman" w:hAnsi="Times New Roman" w:cs="Times New Roman"/>
          <w:sz w:val="24"/>
          <w:szCs w:val="24"/>
        </w:rPr>
      </w:pPr>
    </w:p>
    <w:p w:rsidRPr="00425500" w:rsidR="00EB3E6F" w:rsidP="00425500" w:rsidRDefault="006A0724" w14:paraId="4AEE3A71" w14:textId="7904DC60">
      <w:pPr>
        <w:spacing w:after="0"/>
        <w:rPr>
          <w:rFonts w:ascii="Times New Roman" w:hAnsi="Times New Roman" w:cs="Times New Roman"/>
          <w:sz w:val="24"/>
          <w:szCs w:val="24"/>
        </w:rPr>
      </w:pPr>
      <w:r w:rsidRPr="00425500">
        <w:rPr>
          <w:rFonts w:ascii="Times New Roman" w:hAnsi="Times New Roman" w:cs="Times New Roman"/>
          <w:sz w:val="24"/>
          <w:szCs w:val="24"/>
        </w:rPr>
        <w:t xml:space="preserve">As FERC stated in Order No. 761, “…control systems that support Bulk-Power System </w:t>
      </w:r>
      <w:r w:rsidR="00186D2C">
        <w:rPr>
          <w:rFonts w:ascii="Times New Roman" w:hAnsi="Times New Roman" w:cs="Times New Roman"/>
          <w:sz w:val="24"/>
          <w:szCs w:val="24"/>
        </w:rPr>
        <w:t>r</w:t>
      </w:r>
      <w:r w:rsidRPr="00425500">
        <w:rPr>
          <w:rFonts w:ascii="Times New Roman" w:hAnsi="Times New Roman" w:cs="Times New Roman"/>
          <w:sz w:val="24"/>
          <w:szCs w:val="24"/>
        </w:rPr>
        <w:t>eliability are only as secure as their weakest links, and that a single vulnerability opens the computer network and all other networks with which it is interconnected to potential malicious activity.” Due to the inherent connectivity between entities that must occur to operate the Bulk-Power System, the CIP Reliability Standards cannot exclude entities based on size alone without creating a weak point in the security of the Bulk-Power System that can be exploited to navigate to higher value cyber systems.</w:t>
      </w:r>
    </w:p>
    <w:p w:rsidRPr="00425500" w:rsidR="006A0724" w:rsidP="00425500" w:rsidRDefault="006A0724" w14:paraId="29165B70" w14:textId="77777777">
      <w:pPr>
        <w:spacing w:after="0"/>
        <w:rPr>
          <w:rFonts w:ascii="Times New Roman" w:hAnsi="Times New Roman" w:cs="Times New Roman"/>
          <w:sz w:val="24"/>
          <w:szCs w:val="24"/>
        </w:rPr>
      </w:pPr>
    </w:p>
    <w:p w:rsidRPr="0051723A" w:rsidR="00EB3E6F" w:rsidP="0051723A" w:rsidRDefault="00EB3E6F" w14:paraId="4AEE3A72" w14:textId="0B83CE4C">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CONSEQUENCE TO FEDERAL PROGRAM IF COLLECTION WERE CONDUCTED LESS FREQUENTLY</w:t>
      </w:r>
    </w:p>
    <w:p w:rsidRPr="00425500" w:rsidR="00EB3E6F" w:rsidP="00425500" w:rsidRDefault="006A0724" w14:paraId="4AEE3A75" w14:textId="649CEC73">
      <w:pPr>
        <w:spacing w:after="0"/>
        <w:rPr>
          <w:rFonts w:ascii="Times New Roman" w:hAnsi="Times New Roman" w:cs="Times New Roman"/>
          <w:sz w:val="24"/>
          <w:szCs w:val="24"/>
        </w:rPr>
      </w:pPr>
      <w:r w:rsidRPr="00425500">
        <w:rPr>
          <w:rFonts w:ascii="Times New Roman" w:hAnsi="Times New Roman" w:cs="Times New Roman"/>
          <w:sz w:val="24"/>
          <w:szCs w:val="24"/>
        </w:rPr>
        <w:t>As stated in response to item #2, the documentation related to the CIP reliability standards is an integral part of establishing and maintaining cyber security. The power grid would be at greater risk to cyber threats if the collection was conducted less frequently.</w:t>
      </w:r>
      <w:r w:rsidR="00E675F7">
        <w:rPr>
          <w:rFonts w:ascii="Times New Roman" w:hAnsi="Times New Roman" w:cs="Times New Roman"/>
          <w:sz w:val="24"/>
          <w:szCs w:val="24"/>
        </w:rPr>
        <w:t xml:space="preserve">  Through periodic compliance enforcement by FERC and the ERO, responsible entities </w:t>
      </w:r>
      <w:proofErr w:type="gramStart"/>
      <w:r w:rsidR="00E675F7">
        <w:rPr>
          <w:rFonts w:ascii="Times New Roman" w:hAnsi="Times New Roman" w:cs="Times New Roman"/>
          <w:sz w:val="24"/>
          <w:szCs w:val="24"/>
        </w:rPr>
        <w:t>are able to</w:t>
      </w:r>
      <w:proofErr w:type="gramEnd"/>
      <w:r w:rsidR="00E675F7">
        <w:rPr>
          <w:rFonts w:ascii="Times New Roman" w:hAnsi="Times New Roman" w:cs="Times New Roman"/>
          <w:sz w:val="24"/>
          <w:szCs w:val="24"/>
        </w:rPr>
        <w:t xml:space="preserve"> identify instances of non-compliance and mitigate the identified cybersecurity risk(s), thereby improving the reliability of the bulk electric system.</w:t>
      </w:r>
    </w:p>
    <w:p w:rsidRPr="00425500" w:rsidR="006A0724" w:rsidP="00425500" w:rsidRDefault="006A0724" w14:paraId="0C659C2C" w14:textId="77777777">
      <w:pPr>
        <w:spacing w:after="0"/>
        <w:ind w:left="360"/>
        <w:rPr>
          <w:rFonts w:ascii="Times New Roman" w:hAnsi="Times New Roman" w:cs="Times New Roman"/>
          <w:sz w:val="24"/>
          <w:szCs w:val="24"/>
        </w:rPr>
      </w:pPr>
    </w:p>
    <w:p w:rsidRPr="0051723A" w:rsidR="00EB3E6F" w:rsidP="0051723A" w:rsidRDefault="00EB3E6F" w14:paraId="4AEE3A76"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EXPLAIN ANY SPECIAL CIRCUMSTANCES RELATING TO THE INFORMATION COLLECTION</w:t>
      </w:r>
    </w:p>
    <w:p w:rsidRPr="00425500" w:rsidR="006A0724" w:rsidP="00425500" w:rsidRDefault="006A0724" w14:paraId="27A88E6E" w14:textId="775887E8">
      <w:pPr>
        <w:spacing w:after="0"/>
        <w:rPr>
          <w:rFonts w:ascii="Times New Roman" w:hAnsi="Times New Roman" w:cs="Times New Roman"/>
          <w:sz w:val="24"/>
          <w:szCs w:val="24"/>
        </w:rPr>
      </w:pPr>
      <w:r w:rsidRPr="00425500">
        <w:rPr>
          <w:rFonts w:ascii="Times New Roman" w:hAnsi="Times New Roman" w:cs="Times New Roman"/>
          <w:sz w:val="24"/>
          <w:szCs w:val="24"/>
        </w:rPr>
        <w:t>There is one special circumstance as described in 5 CFR 1320.5(d)(2) related to this information collection.</w:t>
      </w:r>
    </w:p>
    <w:p w:rsidRPr="00425500" w:rsidR="006A0724" w:rsidP="00425500" w:rsidRDefault="006A0724" w14:paraId="086CE85B" w14:textId="77777777">
      <w:pPr>
        <w:spacing w:after="0"/>
        <w:rPr>
          <w:rFonts w:ascii="Times New Roman" w:hAnsi="Times New Roman" w:cs="Times New Roman"/>
          <w:sz w:val="24"/>
          <w:szCs w:val="24"/>
        </w:rPr>
      </w:pPr>
    </w:p>
    <w:p w:rsidRPr="00425500" w:rsidR="00EB3E6F" w:rsidP="00425500" w:rsidRDefault="006A0724" w14:paraId="4AEE3A85" w14:textId="57CDC3BB">
      <w:pPr>
        <w:spacing w:after="0"/>
        <w:rPr>
          <w:rFonts w:ascii="Times New Roman" w:hAnsi="Times New Roman" w:cs="Times New Roman"/>
          <w:sz w:val="24"/>
          <w:szCs w:val="24"/>
        </w:rPr>
      </w:pPr>
      <w:r w:rsidRPr="00425500">
        <w:rPr>
          <w:rFonts w:ascii="Times New Roman" w:hAnsi="Times New Roman" w:cs="Times New Roman"/>
          <w:sz w:val="24"/>
          <w:szCs w:val="24"/>
        </w:rPr>
        <w:t xml:space="preserve">Entities may have to submit to or show the auditors security or confidential information that is related to the CIP standards.  The general practice is that the auditor often does not remove the information from the site of the entity and, in any case, returns the confidential information to the entity following the audit. This special circumstance is necessary to maintain an effective cyber-security program.  </w:t>
      </w:r>
    </w:p>
    <w:p w:rsidRPr="00425500" w:rsidR="003C3E94" w:rsidP="00425500" w:rsidRDefault="003C3E94" w14:paraId="6243994C" w14:textId="77777777">
      <w:pPr>
        <w:spacing w:after="0"/>
        <w:rPr>
          <w:rFonts w:ascii="Times New Roman" w:hAnsi="Times New Roman" w:cs="Times New Roman"/>
          <w:b/>
          <w:sz w:val="24"/>
          <w:szCs w:val="24"/>
        </w:rPr>
      </w:pPr>
    </w:p>
    <w:p w:rsidRPr="0051723A" w:rsidR="003C3E94" w:rsidP="0051723A" w:rsidRDefault="00EB3E6F" w14:paraId="4AB8F0CD" w14:textId="0F121BB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DESCRIBE EFFORTS TO CONSULT OUTSIDE THE AGENCY: SUMMARIZE PUBLIC COMMENTS AND THE AGENCY’S RESPONSE</w:t>
      </w:r>
    </w:p>
    <w:p w:rsidR="00AF351B" w:rsidP="00425500" w:rsidRDefault="007854C4" w14:paraId="22AE2277" w14:textId="77777777">
      <w:pPr>
        <w:spacing w:after="0"/>
        <w:rPr>
          <w:rFonts w:ascii="Times New Roman" w:hAnsi="Times New Roman" w:cs="Times New Roman"/>
          <w:sz w:val="24"/>
          <w:szCs w:val="24"/>
        </w:rPr>
      </w:pPr>
      <w:r>
        <w:rPr>
          <w:rFonts w:ascii="Times New Roman" w:hAnsi="Times New Roman" w:cs="Times New Roman"/>
          <w:sz w:val="24"/>
          <w:szCs w:val="24"/>
        </w:rPr>
        <w:t xml:space="preserve">FERC issued a public notice requesting comments on the NERC petition on January 7, 2021 and no comments were received. </w:t>
      </w:r>
    </w:p>
    <w:p w:rsidR="00AF351B" w:rsidP="00425500" w:rsidRDefault="00AF351B" w14:paraId="28D4224D" w14:textId="77777777">
      <w:pPr>
        <w:spacing w:after="0"/>
        <w:rPr>
          <w:rFonts w:ascii="Times New Roman" w:hAnsi="Times New Roman" w:cs="Times New Roman"/>
          <w:sz w:val="24"/>
          <w:szCs w:val="24"/>
        </w:rPr>
      </w:pPr>
    </w:p>
    <w:p w:rsidR="007854C4" w:rsidP="00425500" w:rsidRDefault="00AF351B" w14:paraId="7DBA703B" w14:textId="5098B644">
      <w:pPr>
        <w:spacing w:after="0"/>
        <w:rPr>
          <w:rFonts w:ascii="Times New Roman" w:hAnsi="Times New Roman" w:cs="Times New Roman"/>
          <w:sz w:val="24"/>
          <w:szCs w:val="24"/>
        </w:rPr>
      </w:pPr>
      <w:r>
        <w:rPr>
          <w:rFonts w:ascii="Times New Roman" w:hAnsi="Times New Roman" w:cs="Times New Roman"/>
          <w:sz w:val="24"/>
          <w:szCs w:val="24"/>
        </w:rPr>
        <w:t>FERC issued a Commission Letter Order (CLO) on March 18, 202</w:t>
      </w:r>
      <w:r w:rsidR="00101134">
        <w:rPr>
          <w:rFonts w:ascii="Times New Roman" w:hAnsi="Times New Roman" w:cs="Times New Roman"/>
          <w:sz w:val="24"/>
          <w:szCs w:val="24"/>
        </w:rPr>
        <w:t>1.</w:t>
      </w:r>
      <w:r w:rsidRPr="00101134" w:rsidR="00101134">
        <w:rPr>
          <w:rStyle w:val="FootnoteReference"/>
          <w:rFonts w:ascii="Times New Roman" w:hAnsi="Times New Roman" w:cs="Times New Roman"/>
          <w:sz w:val="24"/>
          <w:szCs w:val="24"/>
          <w:vertAlign w:val="superscript"/>
        </w:rPr>
        <w:footnoteReference w:id="17"/>
      </w:r>
    </w:p>
    <w:p w:rsidR="007854C4" w:rsidP="00425500" w:rsidRDefault="007854C4" w14:paraId="1A194085" w14:textId="77777777">
      <w:pPr>
        <w:spacing w:after="0"/>
        <w:rPr>
          <w:rFonts w:ascii="Times New Roman" w:hAnsi="Times New Roman" w:cs="Times New Roman"/>
          <w:sz w:val="24"/>
          <w:szCs w:val="24"/>
        </w:rPr>
      </w:pPr>
    </w:p>
    <w:p w:rsidR="0057221D" w:rsidP="00425500" w:rsidRDefault="0045384E" w14:paraId="44546046" w14:textId="227CD5FC">
      <w:pPr>
        <w:spacing w:after="0"/>
        <w:rPr>
          <w:rFonts w:ascii="Times New Roman" w:hAnsi="Times New Roman" w:cs="Times New Roman"/>
          <w:sz w:val="24"/>
          <w:szCs w:val="24"/>
        </w:rPr>
      </w:pPr>
      <w:r w:rsidRPr="00425500">
        <w:rPr>
          <w:rFonts w:ascii="Times New Roman" w:hAnsi="Times New Roman" w:cs="Times New Roman"/>
          <w:sz w:val="24"/>
          <w:szCs w:val="24"/>
        </w:rPr>
        <w:t>In accordance with OMB requirements</w:t>
      </w:r>
      <w:r w:rsidRPr="00425500">
        <w:rPr>
          <w:rStyle w:val="FootnoteReference"/>
          <w:rFonts w:ascii="Times New Roman" w:hAnsi="Times New Roman" w:cs="Times New Roman"/>
          <w:sz w:val="24"/>
          <w:szCs w:val="24"/>
          <w:vertAlign w:val="superscript"/>
        </w:rPr>
        <w:footnoteReference w:id="18"/>
      </w:r>
      <w:r w:rsidRPr="00425500">
        <w:rPr>
          <w:rFonts w:ascii="Times New Roman" w:hAnsi="Times New Roman" w:cs="Times New Roman"/>
          <w:sz w:val="24"/>
          <w:szCs w:val="24"/>
        </w:rPr>
        <w:t>, the Commission published a 60-da</w:t>
      </w:r>
      <w:r w:rsidR="007854C4">
        <w:rPr>
          <w:rFonts w:ascii="Times New Roman" w:hAnsi="Times New Roman" w:cs="Times New Roman"/>
          <w:sz w:val="24"/>
          <w:szCs w:val="24"/>
        </w:rPr>
        <w:t>y</w:t>
      </w:r>
      <w:r w:rsidRPr="00425500">
        <w:rPr>
          <w:rFonts w:ascii="Times New Roman" w:hAnsi="Times New Roman" w:cs="Times New Roman"/>
          <w:sz w:val="24"/>
          <w:szCs w:val="24"/>
        </w:rPr>
        <w:t xml:space="preserve"> notice </w:t>
      </w:r>
      <w:r w:rsidR="00101134">
        <w:rPr>
          <w:rFonts w:ascii="Times New Roman" w:hAnsi="Times New Roman" w:cs="Times New Roman"/>
          <w:sz w:val="24"/>
          <w:szCs w:val="24"/>
        </w:rPr>
        <w:t>(</w:t>
      </w:r>
      <w:r w:rsidRPr="00101134" w:rsidR="00101134">
        <w:rPr>
          <w:rFonts w:ascii="Times New Roman" w:hAnsi="Times New Roman" w:cs="Times New Roman"/>
          <w:sz w:val="24"/>
          <w:szCs w:val="24"/>
        </w:rPr>
        <w:t>86 FR 11760</w:t>
      </w:r>
      <w:r w:rsidR="00101134">
        <w:rPr>
          <w:rFonts w:ascii="Times New Roman" w:hAnsi="Times New Roman" w:cs="Times New Roman"/>
          <w:sz w:val="24"/>
          <w:szCs w:val="24"/>
        </w:rPr>
        <w:t xml:space="preserve">) </w:t>
      </w:r>
      <w:r w:rsidRPr="00425500">
        <w:rPr>
          <w:rFonts w:ascii="Times New Roman" w:hAnsi="Times New Roman" w:cs="Times New Roman"/>
          <w:sz w:val="24"/>
          <w:szCs w:val="24"/>
        </w:rPr>
        <w:t>and a 30-</w:t>
      </w:r>
      <w:r w:rsidRPr="00B62064">
        <w:rPr>
          <w:rFonts w:ascii="Times New Roman" w:hAnsi="Times New Roman" w:cs="Times New Roman"/>
          <w:sz w:val="24"/>
          <w:szCs w:val="24"/>
        </w:rPr>
        <w:t xml:space="preserve">day </w:t>
      </w:r>
      <w:r w:rsidRPr="00B62064" w:rsidR="00101134">
        <w:rPr>
          <w:rFonts w:ascii="Times New Roman" w:hAnsi="Times New Roman" w:cs="Times New Roman"/>
          <w:sz w:val="24"/>
          <w:szCs w:val="24"/>
        </w:rPr>
        <w:t>(</w:t>
      </w:r>
      <w:r w:rsidRPr="00B62064" w:rsidR="00B62064">
        <w:rPr>
          <w:rFonts w:ascii="Times New Roman" w:hAnsi="Times New Roman" w:cs="Times New Roman"/>
          <w:sz w:val="24"/>
          <w:szCs w:val="24"/>
        </w:rPr>
        <w:t>86 FR 23718</w:t>
      </w:r>
      <w:r w:rsidRPr="00B62064" w:rsidR="00101134">
        <w:rPr>
          <w:rFonts w:ascii="Times New Roman" w:hAnsi="Times New Roman" w:cs="Times New Roman"/>
          <w:sz w:val="24"/>
          <w:szCs w:val="24"/>
        </w:rPr>
        <w:t xml:space="preserve">) </w:t>
      </w:r>
      <w:r w:rsidRPr="00B62064">
        <w:rPr>
          <w:rFonts w:ascii="Times New Roman" w:hAnsi="Times New Roman" w:cs="Times New Roman"/>
          <w:sz w:val="24"/>
          <w:szCs w:val="24"/>
        </w:rPr>
        <w:t xml:space="preserve">notice in the </w:t>
      </w:r>
      <w:r w:rsidRPr="00B62064">
        <w:rPr>
          <w:rFonts w:ascii="Times New Roman" w:hAnsi="Times New Roman" w:cs="Times New Roman"/>
          <w:i/>
          <w:iCs/>
          <w:sz w:val="24"/>
          <w:szCs w:val="24"/>
        </w:rPr>
        <w:t>Federal Register</w:t>
      </w:r>
      <w:r w:rsidRPr="00B62064">
        <w:rPr>
          <w:rFonts w:ascii="Times New Roman" w:hAnsi="Times New Roman" w:cs="Times New Roman"/>
          <w:sz w:val="24"/>
          <w:szCs w:val="24"/>
        </w:rPr>
        <w:t xml:space="preserve"> to the public regarding this information collection on 2/22/2021 and </w:t>
      </w:r>
      <w:r w:rsidRPr="00B62064" w:rsidR="00B62064">
        <w:rPr>
          <w:rFonts w:ascii="Times New Roman" w:hAnsi="Times New Roman" w:cs="Times New Roman"/>
          <w:sz w:val="24"/>
          <w:szCs w:val="24"/>
        </w:rPr>
        <w:t>5/4/2021</w:t>
      </w:r>
      <w:r w:rsidRPr="00B62064" w:rsidR="00101134">
        <w:rPr>
          <w:rFonts w:ascii="Times New Roman" w:hAnsi="Times New Roman" w:cs="Times New Roman"/>
          <w:sz w:val="24"/>
          <w:szCs w:val="24"/>
        </w:rPr>
        <w:t xml:space="preserve"> </w:t>
      </w:r>
      <w:r w:rsidRPr="00B62064">
        <w:rPr>
          <w:rFonts w:ascii="Times New Roman" w:hAnsi="Times New Roman" w:cs="Times New Roman"/>
          <w:sz w:val="24"/>
          <w:szCs w:val="24"/>
        </w:rPr>
        <w:t>respectively. The Commission noted that it would be requesting a three-year extension of the</w:t>
      </w:r>
      <w:r w:rsidRPr="00425500">
        <w:rPr>
          <w:rFonts w:ascii="Times New Roman" w:hAnsi="Times New Roman" w:cs="Times New Roman"/>
          <w:sz w:val="24"/>
          <w:szCs w:val="24"/>
        </w:rPr>
        <w:t xml:space="preserve"> public reporting burden concerning the collection of data. </w:t>
      </w:r>
    </w:p>
    <w:p w:rsidR="0057221D" w:rsidP="00425500" w:rsidRDefault="0057221D" w14:paraId="7CCE8A63" w14:textId="77777777">
      <w:pPr>
        <w:spacing w:after="0"/>
        <w:rPr>
          <w:rFonts w:ascii="Times New Roman" w:hAnsi="Times New Roman" w:cs="Times New Roman"/>
          <w:sz w:val="24"/>
          <w:szCs w:val="24"/>
        </w:rPr>
      </w:pPr>
    </w:p>
    <w:p w:rsidR="00EB3E6F" w:rsidP="00425500" w:rsidRDefault="0045384E" w14:paraId="4AEE3A8D" w14:textId="57B02A2F">
      <w:pPr>
        <w:spacing w:after="0"/>
        <w:rPr>
          <w:rFonts w:ascii="Times New Roman" w:hAnsi="Times New Roman" w:cs="Times New Roman"/>
          <w:sz w:val="24"/>
          <w:szCs w:val="24"/>
        </w:rPr>
      </w:pPr>
      <w:r w:rsidRPr="00425500">
        <w:rPr>
          <w:rFonts w:ascii="Times New Roman" w:hAnsi="Times New Roman" w:cs="Times New Roman"/>
          <w:sz w:val="24"/>
          <w:szCs w:val="24"/>
        </w:rPr>
        <w:t>The Commission received no comments</w:t>
      </w:r>
      <w:r w:rsidR="0057221D">
        <w:rPr>
          <w:rFonts w:ascii="Times New Roman" w:hAnsi="Times New Roman" w:cs="Times New Roman"/>
          <w:sz w:val="24"/>
          <w:szCs w:val="24"/>
        </w:rPr>
        <w:t xml:space="preserve"> on the 60-day </w:t>
      </w:r>
      <w:r w:rsidR="00403571">
        <w:rPr>
          <w:rFonts w:ascii="Times New Roman" w:hAnsi="Times New Roman" w:cs="Times New Roman"/>
          <w:sz w:val="24"/>
          <w:szCs w:val="24"/>
        </w:rPr>
        <w:t xml:space="preserve">Paperwork Reduction Act </w:t>
      </w:r>
      <w:r w:rsidR="0057221D">
        <w:rPr>
          <w:rFonts w:ascii="Times New Roman" w:hAnsi="Times New Roman" w:cs="Times New Roman"/>
          <w:sz w:val="24"/>
          <w:szCs w:val="24"/>
        </w:rPr>
        <w:t>notice</w:t>
      </w:r>
      <w:r w:rsidRPr="00425500">
        <w:rPr>
          <w:rFonts w:ascii="Times New Roman" w:hAnsi="Times New Roman" w:cs="Times New Roman"/>
          <w:sz w:val="24"/>
          <w:szCs w:val="24"/>
        </w:rPr>
        <w:t>.</w:t>
      </w:r>
    </w:p>
    <w:p w:rsidRPr="00425500" w:rsidR="006A3B04" w:rsidP="00425500" w:rsidRDefault="006A3B04" w14:paraId="72BABBDD" w14:textId="77777777">
      <w:pPr>
        <w:spacing w:after="0"/>
        <w:rPr>
          <w:rFonts w:ascii="Times New Roman" w:hAnsi="Times New Roman" w:cs="Times New Roman"/>
          <w:sz w:val="24"/>
          <w:szCs w:val="24"/>
        </w:rPr>
      </w:pPr>
    </w:p>
    <w:p w:rsidRPr="0051723A" w:rsidR="00EB3E6F" w:rsidP="0051723A" w:rsidRDefault="00D80FBD" w14:paraId="4AEE3A8E"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EXPLAIN ANY PAYMENT OR GIFTS TO RESPONDENTS</w:t>
      </w:r>
    </w:p>
    <w:p w:rsidRPr="00425500" w:rsidR="00D80FBD" w:rsidP="00425500" w:rsidRDefault="00D80FBD" w14:paraId="4AEE3A91" w14:textId="77777777">
      <w:pPr>
        <w:spacing w:after="0"/>
        <w:rPr>
          <w:rFonts w:ascii="Times New Roman" w:hAnsi="Times New Roman" w:cs="Times New Roman"/>
          <w:sz w:val="24"/>
          <w:szCs w:val="24"/>
        </w:rPr>
      </w:pPr>
    </w:p>
    <w:p w:rsidRPr="00425500" w:rsidR="00B31749" w:rsidP="00425500" w:rsidRDefault="00B31749" w14:paraId="4AEE3A92" w14:textId="77777777">
      <w:pPr>
        <w:spacing w:after="0"/>
        <w:rPr>
          <w:rFonts w:ascii="Times New Roman" w:hAnsi="Times New Roman" w:cs="Times New Roman"/>
          <w:sz w:val="24"/>
          <w:szCs w:val="24"/>
        </w:rPr>
      </w:pPr>
      <w:r w:rsidRPr="00425500">
        <w:rPr>
          <w:rFonts w:ascii="Times New Roman" w:hAnsi="Times New Roman" w:cs="Times New Roman"/>
          <w:sz w:val="24"/>
          <w:szCs w:val="24"/>
        </w:rPr>
        <w:t>The</w:t>
      </w:r>
      <w:r w:rsidRPr="00425500" w:rsidR="00A014C6">
        <w:rPr>
          <w:rFonts w:ascii="Times New Roman" w:hAnsi="Times New Roman" w:cs="Times New Roman"/>
          <w:sz w:val="24"/>
          <w:szCs w:val="24"/>
        </w:rPr>
        <w:t xml:space="preserve"> Commission makes no payments or gifts </w:t>
      </w:r>
      <w:r w:rsidRPr="00425500">
        <w:rPr>
          <w:rFonts w:ascii="Times New Roman" w:hAnsi="Times New Roman" w:cs="Times New Roman"/>
          <w:sz w:val="24"/>
          <w:szCs w:val="24"/>
        </w:rPr>
        <w:t>to respondents as part of this collection.</w:t>
      </w:r>
    </w:p>
    <w:p w:rsidRPr="00425500" w:rsidR="00B31749" w:rsidP="00425500" w:rsidRDefault="00B31749" w14:paraId="4AEE3A93" w14:textId="77777777">
      <w:pPr>
        <w:spacing w:after="0"/>
        <w:rPr>
          <w:rFonts w:ascii="Times New Roman" w:hAnsi="Times New Roman" w:cs="Times New Roman"/>
          <w:sz w:val="24"/>
          <w:szCs w:val="24"/>
        </w:rPr>
      </w:pPr>
    </w:p>
    <w:p w:rsidRPr="00E36F70" w:rsidR="0051723A" w:rsidP="0051723A" w:rsidRDefault="00D80FBD" w14:paraId="01084F76" w14:textId="77777777">
      <w:pPr>
        <w:pStyle w:val="ListParagraph"/>
        <w:numPr>
          <w:ilvl w:val="0"/>
          <w:numId w:val="24"/>
        </w:numPr>
        <w:spacing w:after="0"/>
        <w:rPr>
          <w:rFonts w:ascii="Times New Roman" w:hAnsi="Times New Roman" w:cs="Times New Roman"/>
          <w:bCs/>
          <w:sz w:val="24"/>
          <w:szCs w:val="24"/>
        </w:rPr>
      </w:pPr>
      <w:r w:rsidRPr="0051723A">
        <w:rPr>
          <w:rFonts w:ascii="Times New Roman" w:hAnsi="Times New Roman" w:cs="Times New Roman"/>
          <w:b/>
          <w:sz w:val="24"/>
          <w:szCs w:val="24"/>
        </w:rPr>
        <w:t>DESCRIBE ANY ASSURANCE OF CONFIDENTIALITY PROVIDED TO RESPONDENTS</w:t>
      </w:r>
      <w:r w:rsidR="0051723A">
        <w:rPr>
          <w:rFonts w:ascii="Times New Roman" w:hAnsi="Times New Roman" w:cs="Times New Roman"/>
          <w:b/>
          <w:sz w:val="24"/>
          <w:szCs w:val="24"/>
        </w:rPr>
        <w:tab/>
      </w:r>
    </w:p>
    <w:p w:rsidRPr="00186D2C" w:rsidR="00EB6B25" w:rsidP="00186D2C" w:rsidRDefault="00E36F70" w14:paraId="400A08A8" w14:textId="2F0C3D65">
      <w:pPr>
        <w:spacing w:after="0" w:line="240" w:lineRule="auto"/>
        <w:rPr>
          <w:rFonts w:ascii="Times New Roman" w:hAnsi="Times New Roman" w:cs="Times New Roman"/>
          <w:bCs/>
          <w:sz w:val="24"/>
          <w:szCs w:val="24"/>
        </w:rPr>
      </w:pPr>
      <w:r w:rsidRPr="00186D2C">
        <w:rPr>
          <w:rFonts w:ascii="Times New Roman" w:hAnsi="Times New Roman" w:cs="Times New Roman"/>
          <w:sz w:val="26"/>
          <w:szCs w:val="26"/>
        </w:rPr>
        <w:t>A</w:t>
      </w:r>
      <w:r w:rsidRPr="00186D2C" w:rsidR="00EB6B25">
        <w:rPr>
          <w:rFonts w:ascii="Times New Roman" w:hAnsi="Times New Roman" w:cs="Times New Roman"/>
          <w:bCs/>
          <w:sz w:val="24"/>
          <w:szCs w:val="24"/>
        </w:rPr>
        <w:t>ccording to the NERC Rules of Procedure</w:t>
      </w:r>
      <w:r w:rsidRPr="00E36F70" w:rsidR="00EB6B25">
        <w:rPr>
          <w:vertAlign w:val="superscript"/>
        </w:rPr>
        <w:footnoteReference w:id="19"/>
      </w:r>
      <w:r w:rsidRPr="00186D2C" w:rsidR="00EB6B25">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r w:rsidRPr="00186D2C" w:rsidR="005C4C02">
        <w:rPr>
          <w:rFonts w:ascii="Times New Roman" w:hAnsi="Times New Roman" w:cs="Times New Roman"/>
          <w:bCs/>
          <w:sz w:val="24"/>
          <w:szCs w:val="24"/>
        </w:rPr>
        <w:t xml:space="preserve"> </w:t>
      </w:r>
      <w:r w:rsidRPr="00186D2C" w:rsidR="00EB6B25">
        <w:rPr>
          <w:rFonts w:ascii="Times New Roman" w:hAnsi="Times New Roman" w:cs="Times New Roman"/>
          <w:bCs/>
          <w:sz w:val="24"/>
          <w:szCs w:val="24"/>
        </w:rPr>
        <w:t>Responding entities do not submit the information collected due to the Reliability Standards to FERC.  Rather, they submit the information to NERC or Regional Entities, or they maintain it internally.  Since there are no submissions made to FERC, FERC provides no specific provisions in order to protect confidentiality.</w:t>
      </w:r>
    </w:p>
    <w:p w:rsidRPr="00425500" w:rsidR="00B31749" w:rsidP="00425500" w:rsidRDefault="00B31749" w14:paraId="4AEE3A99" w14:textId="77777777">
      <w:pPr>
        <w:spacing w:after="0"/>
        <w:rPr>
          <w:rFonts w:ascii="Times New Roman" w:hAnsi="Times New Roman" w:cs="Times New Roman"/>
          <w:sz w:val="24"/>
          <w:szCs w:val="24"/>
        </w:rPr>
      </w:pPr>
    </w:p>
    <w:p w:rsidRPr="0051723A" w:rsidR="00D80FBD" w:rsidP="0051723A" w:rsidRDefault="00D80FBD" w14:paraId="4AEE3A9A" w14:textId="61C1EA7C">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 xml:space="preserve">PROVIDE </w:t>
      </w:r>
      <w:r w:rsidRPr="0051723A" w:rsidR="00782C8D">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Pr="00425500" w:rsidR="00D80FBD" w:rsidP="00425500" w:rsidRDefault="00D80FBD" w14:paraId="4AEE3A9D" w14:textId="77777777">
      <w:pPr>
        <w:spacing w:after="0"/>
        <w:rPr>
          <w:rFonts w:ascii="Times New Roman" w:hAnsi="Times New Roman" w:cs="Times New Roman"/>
          <w:sz w:val="24"/>
          <w:szCs w:val="24"/>
        </w:rPr>
      </w:pPr>
    </w:p>
    <w:p w:rsidRPr="00425500" w:rsidR="00B31749" w:rsidP="00425500" w:rsidRDefault="00782C8D" w14:paraId="4AEE3A9F" w14:textId="3CAFE525">
      <w:pPr>
        <w:spacing w:after="0"/>
        <w:rPr>
          <w:rFonts w:ascii="Times New Roman" w:hAnsi="Times New Roman" w:cs="Times New Roman"/>
          <w:sz w:val="24"/>
          <w:szCs w:val="24"/>
        </w:rPr>
      </w:pPr>
      <w:r w:rsidRPr="00425500">
        <w:rPr>
          <w:rFonts w:ascii="Times New Roman" w:hAnsi="Times New Roman" w:cs="Times New Roman"/>
          <w:sz w:val="24"/>
          <w:szCs w:val="24"/>
        </w:rPr>
        <w:t>This collection does not include any questions of a sensitive nature.</w:t>
      </w:r>
    </w:p>
    <w:p w:rsidRPr="00425500" w:rsidR="00782C8D" w:rsidP="00425500" w:rsidRDefault="00782C8D" w14:paraId="36B63E6B" w14:textId="77777777">
      <w:pPr>
        <w:spacing w:after="0"/>
        <w:rPr>
          <w:rFonts w:ascii="Times New Roman" w:hAnsi="Times New Roman" w:cs="Times New Roman"/>
          <w:sz w:val="24"/>
          <w:szCs w:val="24"/>
        </w:rPr>
      </w:pPr>
    </w:p>
    <w:p w:rsidRPr="0051723A" w:rsidR="00D80FBD" w:rsidP="0051723A" w:rsidRDefault="00D80FBD" w14:paraId="4AEE3AA0"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ESTIMATED BURDEN OF COLLECTION OF INFORMATION</w:t>
      </w:r>
    </w:p>
    <w:p w:rsidRPr="00E36F70" w:rsidR="00E36F70" w:rsidP="00E36F70" w:rsidRDefault="00E36F70" w14:paraId="4B428DC2" w14:textId="1A9FF5C6">
      <w:pPr>
        <w:spacing w:line="240" w:lineRule="auto"/>
        <w:rPr>
          <w:rFonts w:ascii="Times New Roman" w:hAnsi="Times New Roman" w:cs="Times New Roman"/>
          <w:sz w:val="24"/>
          <w:szCs w:val="24"/>
        </w:rPr>
      </w:pPr>
      <w:r w:rsidRPr="00E36F70">
        <w:rPr>
          <w:rFonts w:ascii="Times New Roman" w:hAnsi="Times New Roman" w:cs="Times New Roman"/>
          <w:sz w:val="24"/>
          <w:szCs w:val="24"/>
        </w:rPr>
        <w:t>For the hourly cost (for wages and benefits) for the reporting requirements, FERC estimate</w:t>
      </w:r>
      <w:r w:rsidR="0057221D">
        <w:rPr>
          <w:rFonts w:ascii="Times New Roman" w:hAnsi="Times New Roman" w:cs="Times New Roman"/>
          <w:sz w:val="24"/>
          <w:szCs w:val="24"/>
        </w:rPr>
        <w:t>s</w:t>
      </w:r>
      <w:r w:rsidRPr="00E36F70">
        <w:rPr>
          <w:rFonts w:ascii="Times New Roman" w:hAnsi="Times New Roman" w:cs="Times New Roman"/>
          <w:sz w:val="24"/>
          <w:szCs w:val="24"/>
        </w:rPr>
        <w:t xml:space="preserve"> that </w:t>
      </w:r>
    </w:p>
    <w:p w:rsidRPr="00E36F70" w:rsidR="00E36F70" w:rsidP="00E36F70" w:rsidRDefault="00E36F70" w14:paraId="53452A8F" w14:textId="77777777">
      <w:pPr>
        <w:pStyle w:val="ListParagraph"/>
        <w:numPr>
          <w:ilvl w:val="0"/>
          <w:numId w:val="25"/>
        </w:numPr>
        <w:spacing w:after="0" w:line="240" w:lineRule="auto"/>
        <w:rPr>
          <w:rFonts w:ascii="Times New Roman" w:hAnsi="Times New Roman" w:cs="Times New Roman"/>
          <w:sz w:val="24"/>
          <w:szCs w:val="24"/>
        </w:rPr>
      </w:pPr>
      <w:r w:rsidRPr="00E36F70">
        <w:rPr>
          <w:rFonts w:ascii="Times New Roman" w:hAnsi="Times New Roman" w:cs="Times New Roman"/>
          <w:sz w:val="24"/>
          <w:szCs w:val="24"/>
        </w:rPr>
        <w:t xml:space="preserve">2% of the time is spent by Electrical Engineers (code 17-2071, at $70.19/hr.), </w:t>
      </w:r>
    </w:p>
    <w:p w:rsidRPr="00E36F70" w:rsidR="00E36F70" w:rsidP="00E36F70" w:rsidRDefault="00E36F70" w14:paraId="1F7E9D0C" w14:textId="77777777">
      <w:pPr>
        <w:pStyle w:val="ListParagraph"/>
        <w:numPr>
          <w:ilvl w:val="0"/>
          <w:numId w:val="25"/>
        </w:numPr>
        <w:spacing w:after="0" w:line="240" w:lineRule="auto"/>
        <w:rPr>
          <w:rFonts w:ascii="Times New Roman" w:hAnsi="Times New Roman" w:cs="Times New Roman"/>
          <w:sz w:val="24"/>
          <w:szCs w:val="24"/>
        </w:rPr>
      </w:pPr>
      <w:r w:rsidRPr="00E36F70">
        <w:rPr>
          <w:rFonts w:ascii="Times New Roman" w:hAnsi="Times New Roman" w:cs="Times New Roman"/>
          <w:sz w:val="24"/>
          <w:szCs w:val="24"/>
        </w:rPr>
        <w:t xml:space="preserve">15% of the time is spent by Legal (code 23-0000, at $142.65/hr.),  </w:t>
      </w:r>
    </w:p>
    <w:p w:rsidRPr="00E36F70" w:rsidR="00E36F70" w:rsidP="00E36F70" w:rsidRDefault="00E36F70" w14:paraId="575B9AD1" w14:textId="77777777">
      <w:pPr>
        <w:pStyle w:val="ListParagraph"/>
        <w:numPr>
          <w:ilvl w:val="0"/>
          <w:numId w:val="25"/>
        </w:numPr>
        <w:spacing w:after="0" w:line="240" w:lineRule="auto"/>
        <w:rPr>
          <w:rFonts w:ascii="Times New Roman" w:hAnsi="Times New Roman" w:cs="Times New Roman"/>
          <w:sz w:val="24"/>
          <w:szCs w:val="24"/>
        </w:rPr>
      </w:pPr>
      <w:r w:rsidRPr="00E36F70">
        <w:rPr>
          <w:rFonts w:ascii="Times New Roman" w:hAnsi="Times New Roman" w:cs="Times New Roman"/>
          <w:sz w:val="24"/>
          <w:szCs w:val="24"/>
        </w:rPr>
        <w:t>31.5% of the time is spent by Information Security Analysts (Occupation Code 15-1122, at $71.47/hr.),</w:t>
      </w:r>
    </w:p>
    <w:p w:rsidRPr="00E36F70" w:rsidR="00E36F70" w:rsidP="00E36F70" w:rsidRDefault="00E36F70" w14:paraId="704F2C60" w14:textId="77777777">
      <w:pPr>
        <w:pStyle w:val="ListParagraph"/>
        <w:numPr>
          <w:ilvl w:val="0"/>
          <w:numId w:val="25"/>
        </w:numPr>
        <w:spacing w:after="0" w:line="240" w:lineRule="auto"/>
        <w:rPr>
          <w:rFonts w:ascii="Times New Roman" w:hAnsi="Times New Roman" w:cs="Times New Roman"/>
          <w:sz w:val="24"/>
          <w:szCs w:val="24"/>
        </w:rPr>
      </w:pPr>
      <w:r w:rsidRPr="00E36F70">
        <w:rPr>
          <w:rFonts w:ascii="Times New Roman" w:hAnsi="Times New Roman" w:cs="Times New Roman"/>
          <w:sz w:val="24"/>
          <w:szCs w:val="24"/>
        </w:rPr>
        <w:t>10% of the time is spent by Computer and Information Systems Managers (Occupation Code: 11-3021, at $101.58/hr.),</w:t>
      </w:r>
    </w:p>
    <w:p w:rsidRPr="00E36F70" w:rsidR="00E36F70" w:rsidP="00E36F70" w:rsidRDefault="00E36F70" w14:paraId="286640A8" w14:textId="77777777">
      <w:pPr>
        <w:pStyle w:val="ListParagraph"/>
        <w:numPr>
          <w:ilvl w:val="0"/>
          <w:numId w:val="25"/>
        </w:numPr>
        <w:spacing w:after="0" w:line="240" w:lineRule="auto"/>
        <w:rPr>
          <w:rFonts w:ascii="Times New Roman" w:hAnsi="Times New Roman" w:cs="Times New Roman"/>
          <w:sz w:val="24"/>
          <w:szCs w:val="24"/>
        </w:rPr>
      </w:pPr>
      <w:r w:rsidRPr="00E36F70">
        <w:rPr>
          <w:rFonts w:ascii="Times New Roman" w:hAnsi="Times New Roman" w:cs="Times New Roman"/>
          <w:sz w:val="24"/>
          <w:szCs w:val="24"/>
        </w:rPr>
        <w:t>10% of the time is spent by Management (Occupation Code: 11-0000, at $97.15/hr.), and</w:t>
      </w:r>
    </w:p>
    <w:p w:rsidR="0057221D" w:rsidP="00425500" w:rsidRDefault="00E36F70" w14:paraId="79EDF74E" w14:textId="77777777">
      <w:pPr>
        <w:pStyle w:val="ListParagraph"/>
        <w:numPr>
          <w:ilvl w:val="0"/>
          <w:numId w:val="25"/>
        </w:numPr>
        <w:spacing w:after="0" w:line="240" w:lineRule="auto"/>
        <w:ind w:left="0" w:firstLine="360"/>
        <w:rPr>
          <w:rFonts w:ascii="Times New Roman" w:hAnsi="Times New Roman" w:cs="Times New Roman"/>
          <w:sz w:val="24"/>
          <w:szCs w:val="24"/>
        </w:rPr>
      </w:pPr>
      <w:r w:rsidRPr="00E36F70">
        <w:rPr>
          <w:rFonts w:ascii="Times New Roman" w:hAnsi="Times New Roman" w:cs="Times New Roman"/>
          <w:sz w:val="24"/>
          <w:szCs w:val="24"/>
        </w:rPr>
        <w:t xml:space="preserve">31.5% of the time is spent by Management Analyst (Code: 43-0000 at $66.23/hr.).  Therefore, for reporting requirements, we use the weighted hourly cost (for wages and benefits) of $86.05. </w:t>
      </w:r>
    </w:p>
    <w:p w:rsidR="0057221D" w:rsidP="00403571" w:rsidRDefault="0057221D" w14:paraId="50D5E59B" w14:textId="77777777">
      <w:pPr>
        <w:pStyle w:val="ListParagraph"/>
        <w:spacing w:after="0" w:line="240" w:lineRule="auto"/>
        <w:ind w:left="360"/>
        <w:rPr>
          <w:rFonts w:ascii="Times New Roman" w:hAnsi="Times New Roman" w:cs="Times New Roman"/>
          <w:sz w:val="24"/>
          <w:szCs w:val="24"/>
        </w:rPr>
      </w:pPr>
    </w:p>
    <w:p w:rsidR="00E36F70" w:rsidP="0057221D" w:rsidRDefault="00E36F70" w14:paraId="098FDFD9" w14:textId="38D63BC8">
      <w:pPr>
        <w:pStyle w:val="ListParagraph"/>
        <w:spacing w:after="0" w:line="240" w:lineRule="auto"/>
        <w:ind w:left="360"/>
        <w:rPr>
          <w:rFonts w:ascii="Times New Roman" w:hAnsi="Times New Roman" w:cs="Times New Roman"/>
          <w:sz w:val="24"/>
          <w:szCs w:val="24"/>
        </w:rPr>
      </w:pPr>
      <w:r w:rsidRPr="00E36F70">
        <w:rPr>
          <w:rFonts w:ascii="Times New Roman" w:hAnsi="Times New Roman" w:cs="Times New Roman"/>
          <w:sz w:val="24"/>
          <w:szCs w:val="24"/>
        </w:rPr>
        <w:t>For recordkeeping requirements, for hourly cost (for wages and benefits), we are using $41.03 for Information and Record Clerks (code 43-4199).</w:t>
      </w:r>
    </w:p>
    <w:p w:rsidRPr="00E36F70" w:rsidR="00856177" w:rsidP="00E36F70" w:rsidRDefault="00EB6B25" w14:paraId="3E0F1754" w14:textId="3280D059">
      <w:pPr>
        <w:spacing w:after="0" w:line="240" w:lineRule="auto"/>
        <w:rPr>
          <w:rFonts w:ascii="Times New Roman" w:hAnsi="Times New Roman" w:cs="Times New Roman"/>
          <w:sz w:val="24"/>
          <w:szCs w:val="24"/>
        </w:rPr>
      </w:pPr>
      <w:r w:rsidRPr="00E36F70">
        <w:rPr>
          <w:rFonts w:ascii="Times New Roman" w:hAnsi="Times New Roman" w:cs="Times New Roman"/>
          <w:sz w:val="24"/>
          <w:szCs w:val="24"/>
        </w:rPr>
        <w:t xml:space="preserve">The estimated </w:t>
      </w:r>
      <w:r w:rsidRPr="00E36F70" w:rsidR="002C4DB2">
        <w:rPr>
          <w:rFonts w:ascii="Times New Roman" w:hAnsi="Times New Roman" w:cs="Times New Roman"/>
          <w:sz w:val="24"/>
          <w:szCs w:val="24"/>
        </w:rPr>
        <w:t xml:space="preserve">additional </w:t>
      </w:r>
      <w:r w:rsidRPr="00E36F70">
        <w:rPr>
          <w:rFonts w:ascii="Times New Roman" w:hAnsi="Times New Roman" w:cs="Times New Roman"/>
          <w:sz w:val="24"/>
          <w:szCs w:val="24"/>
        </w:rPr>
        <w:t>burden</w:t>
      </w:r>
      <w:r w:rsidRPr="00E36F70">
        <w:rPr>
          <w:rStyle w:val="FootnoteReference"/>
          <w:rFonts w:ascii="Times New Roman" w:hAnsi="Times New Roman" w:cs="Times New Roman"/>
          <w:sz w:val="24"/>
          <w:szCs w:val="24"/>
          <w:vertAlign w:val="superscript"/>
        </w:rPr>
        <w:footnoteReference w:id="20"/>
      </w:r>
      <w:r w:rsidRPr="00E36F70">
        <w:rPr>
          <w:rFonts w:ascii="Times New Roman" w:hAnsi="Times New Roman" w:cs="Times New Roman"/>
          <w:sz w:val="24"/>
          <w:szCs w:val="24"/>
        </w:rPr>
        <w:t xml:space="preserve"> and cost</w:t>
      </w:r>
      <w:r w:rsidRPr="00E36F70">
        <w:rPr>
          <w:rStyle w:val="FootnoteReference"/>
          <w:rFonts w:ascii="Times New Roman" w:hAnsi="Times New Roman" w:cs="Times New Roman"/>
          <w:sz w:val="24"/>
          <w:szCs w:val="24"/>
          <w:vertAlign w:val="superscript"/>
        </w:rPr>
        <w:footnoteReference w:id="21"/>
      </w:r>
      <w:r w:rsidRPr="00E36F70">
        <w:rPr>
          <w:rFonts w:ascii="Times New Roman" w:hAnsi="Times New Roman" w:cs="Times New Roman"/>
          <w:sz w:val="24"/>
          <w:szCs w:val="24"/>
          <w:vertAlign w:val="superscript"/>
        </w:rPr>
        <w:t xml:space="preserve"> </w:t>
      </w:r>
      <w:r w:rsidRPr="00E36F70">
        <w:rPr>
          <w:rFonts w:ascii="Times New Roman" w:hAnsi="Times New Roman" w:cs="Times New Roman"/>
          <w:sz w:val="24"/>
          <w:szCs w:val="24"/>
        </w:rPr>
        <w:t xml:space="preserve">for FERC-725B2 due to </w:t>
      </w:r>
      <w:r w:rsidRPr="00E36F70" w:rsidR="006A3B04">
        <w:rPr>
          <w:rFonts w:ascii="Times New Roman" w:hAnsi="Times New Roman" w:cs="Times New Roman"/>
          <w:sz w:val="24"/>
          <w:szCs w:val="24"/>
        </w:rPr>
        <w:t xml:space="preserve">proposed changes (in Docket No. RD21-2) to </w:t>
      </w:r>
      <w:r w:rsidRPr="00E36F70">
        <w:rPr>
          <w:rFonts w:ascii="Times New Roman" w:hAnsi="Times New Roman" w:cs="Times New Roman"/>
          <w:sz w:val="24"/>
          <w:szCs w:val="24"/>
        </w:rPr>
        <w:t>Reliability Standard</w:t>
      </w:r>
      <w:r w:rsidR="0057221D">
        <w:rPr>
          <w:rFonts w:ascii="Times New Roman" w:hAnsi="Times New Roman" w:cs="Times New Roman"/>
          <w:sz w:val="24"/>
          <w:szCs w:val="24"/>
        </w:rPr>
        <w:t>s</w:t>
      </w:r>
      <w:r w:rsidRPr="00E36F70">
        <w:rPr>
          <w:rFonts w:ascii="Times New Roman" w:hAnsi="Times New Roman" w:cs="Times New Roman"/>
          <w:sz w:val="24"/>
          <w:szCs w:val="24"/>
        </w:rPr>
        <w:t xml:space="preserve"> CIP-013-2, CIP-005-7, </w:t>
      </w:r>
      <w:r w:rsidRPr="00E36F70" w:rsidR="006A3B04">
        <w:rPr>
          <w:rFonts w:ascii="Times New Roman" w:hAnsi="Times New Roman" w:cs="Times New Roman"/>
          <w:sz w:val="24"/>
          <w:szCs w:val="24"/>
        </w:rPr>
        <w:t>and</w:t>
      </w:r>
      <w:r w:rsidRPr="00E36F70">
        <w:rPr>
          <w:rFonts w:ascii="Times New Roman" w:hAnsi="Times New Roman" w:cs="Times New Roman"/>
          <w:sz w:val="24"/>
          <w:szCs w:val="24"/>
        </w:rPr>
        <w:t xml:space="preserve"> CIP-010-4 follow:</w:t>
      </w:r>
    </w:p>
    <w:tbl>
      <w:tblPr>
        <w:tblpPr w:leftFromText="180" w:rightFromText="180" w:vertAnchor="text" w:horzAnchor="margin" w:tblpX="108" w:tblpY="229"/>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800"/>
        <w:gridCol w:w="1350"/>
        <w:gridCol w:w="1350"/>
        <w:gridCol w:w="1350"/>
        <w:gridCol w:w="1327"/>
        <w:gridCol w:w="1643"/>
      </w:tblGrid>
      <w:tr w:rsidRPr="00425500" w:rsidR="00EB6B25" w:rsidTr="007854C4" w14:paraId="087DBEBB" w14:textId="77777777">
        <w:trPr>
          <w:trHeight w:val="347"/>
        </w:trPr>
        <w:tc>
          <w:tcPr>
            <w:tcW w:w="10188" w:type="dxa"/>
            <w:gridSpan w:val="7"/>
            <w:shd w:val="clear" w:color="auto" w:fill="D9D9D9"/>
            <w:vAlign w:val="bottom"/>
          </w:tcPr>
          <w:p w:rsidRPr="00425500" w:rsidR="00EB6B25" w:rsidP="00425500" w:rsidRDefault="00EB6B25" w14:paraId="67823024"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FERC-725B2, Estimated Additional Annual Burden Due to Docket No. RD21-2</w:t>
            </w:r>
            <w:r w:rsidRPr="00425500">
              <w:rPr>
                <w:rFonts w:ascii="Times New Roman" w:hAnsi="Times New Roman" w:eastAsia="Times New Roman" w:cs="Times New Roman"/>
                <w:b/>
                <w:sz w:val="24"/>
                <w:szCs w:val="24"/>
                <w:vertAlign w:val="superscript"/>
              </w:rPr>
              <w:fldChar w:fldCharType="begin"/>
            </w:r>
            <w:r w:rsidRPr="00425500">
              <w:rPr>
                <w:rFonts w:ascii="Times New Roman" w:hAnsi="Times New Roman" w:eastAsia="Times New Roman" w:cs="Times New Roman"/>
                <w:b/>
                <w:sz w:val="24"/>
                <w:szCs w:val="24"/>
                <w:vertAlign w:val="superscript"/>
              </w:rPr>
              <w:instrText xml:space="preserve"> NOTEREF _Ref63945320 \h  \* MERGEFORMAT </w:instrText>
            </w:r>
            <w:r w:rsidRPr="00425500">
              <w:rPr>
                <w:rFonts w:ascii="Times New Roman" w:hAnsi="Times New Roman" w:eastAsia="Times New Roman" w:cs="Times New Roman"/>
                <w:b/>
                <w:sz w:val="24"/>
                <w:szCs w:val="24"/>
                <w:vertAlign w:val="superscript"/>
              </w:rPr>
            </w:r>
            <w:r w:rsidRPr="00425500">
              <w:rPr>
                <w:rFonts w:ascii="Times New Roman" w:hAnsi="Times New Roman" w:eastAsia="Times New Roman" w:cs="Times New Roman"/>
                <w:b/>
                <w:sz w:val="24"/>
                <w:szCs w:val="24"/>
                <w:vertAlign w:val="superscript"/>
              </w:rPr>
              <w:fldChar w:fldCharType="separate"/>
            </w:r>
            <w:r w:rsidRPr="00425500">
              <w:rPr>
                <w:rFonts w:ascii="Times New Roman" w:hAnsi="Times New Roman" w:eastAsia="Times New Roman" w:cs="Times New Roman"/>
                <w:b/>
                <w:sz w:val="24"/>
                <w:szCs w:val="24"/>
                <w:vertAlign w:val="superscript"/>
              </w:rPr>
              <w:t>1</w:t>
            </w:r>
            <w:r w:rsidRPr="00425500">
              <w:rPr>
                <w:rFonts w:ascii="Times New Roman" w:hAnsi="Times New Roman" w:eastAsia="Times New Roman" w:cs="Times New Roman"/>
                <w:b/>
                <w:sz w:val="24"/>
                <w:szCs w:val="24"/>
                <w:vertAlign w:val="superscript"/>
              </w:rPr>
              <w:fldChar w:fldCharType="end"/>
            </w:r>
          </w:p>
        </w:tc>
      </w:tr>
      <w:tr w:rsidRPr="00425500" w:rsidR="00EB6B25" w:rsidTr="004C2E0F" w14:paraId="5082B4E3" w14:textId="77777777">
        <w:trPr>
          <w:trHeight w:val="1250"/>
        </w:trPr>
        <w:tc>
          <w:tcPr>
            <w:tcW w:w="1368" w:type="dxa"/>
            <w:shd w:val="clear" w:color="auto" w:fill="D9D9D9"/>
            <w:vAlign w:val="bottom"/>
          </w:tcPr>
          <w:p w:rsidRPr="00425500" w:rsidR="00EB6B25" w:rsidP="00425500" w:rsidRDefault="00EB6B25" w14:paraId="5B0AC3C1" w14:textId="77777777">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Type and No. of Respondents</w:t>
            </w:r>
            <w:r w:rsidRPr="00425500">
              <w:rPr>
                <w:rFonts w:ascii="Times New Roman" w:hAnsi="Times New Roman" w:eastAsia="Times New Roman" w:cs="Times New Roman"/>
                <w:sz w:val="24"/>
                <w:szCs w:val="24"/>
                <w:vertAlign w:val="superscript"/>
              </w:rPr>
              <w:footnoteReference w:id="22"/>
            </w:r>
          </w:p>
        </w:tc>
        <w:tc>
          <w:tcPr>
            <w:tcW w:w="1800" w:type="dxa"/>
            <w:shd w:val="clear" w:color="auto" w:fill="D9D9D9"/>
            <w:vAlign w:val="bottom"/>
          </w:tcPr>
          <w:p w:rsidRPr="00425500" w:rsidR="00EB6B25" w:rsidP="00425500" w:rsidRDefault="00EB6B25" w14:paraId="4704A951" w14:textId="77777777">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Type of Reporting or Recordkeeping Requirement</w:t>
            </w:r>
          </w:p>
        </w:tc>
        <w:tc>
          <w:tcPr>
            <w:tcW w:w="1350" w:type="dxa"/>
            <w:shd w:val="clear" w:color="auto" w:fill="D9D9D9"/>
            <w:vAlign w:val="bottom"/>
          </w:tcPr>
          <w:p w:rsidRPr="00425500" w:rsidR="00EB6B25" w:rsidP="00425500" w:rsidRDefault="00EB6B25" w14:paraId="18E058FA"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Annual No. of Respondents</w:t>
            </w:r>
          </w:p>
          <w:p w:rsidRPr="00425500" w:rsidR="00EB6B25" w:rsidP="00425500" w:rsidRDefault="00EB6B25" w14:paraId="71C22C69"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(A)</w:t>
            </w:r>
          </w:p>
        </w:tc>
        <w:tc>
          <w:tcPr>
            <w:tcW w:w="1350" w:type="dxa"/>
            <w:shd w:val="clear" w:color="auto" w:fill="D9D9D9"/>
            <w:vAlign w:val="bottom"/>
          </w:tcPr>
          <w:p w:rsidRPr="00425500" w:rsidR="00EB6B25" w:rsidP="00425500" w:rsidRDefault="00EB6B25" w14:paraId="412E9DD3"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Annual No. of Responses Per Respondent</w:t>
            </w:r>
          </w:p>
          <w:p w:rsidRPr="00425500" w:rsidR="00EB6B25" w:rsidP="00425500" w:rsidRDefault="00EB6B25" w14:paraId="34696DDC"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(B)</w:t>
            </w:r>
          </w:p>
        </w:tc>
        <w:tc>
          <w:tcPr>
            <w:tcW w:w="1350" w:type="dxa"/>
            <w:shd w:val="clear" w:color="auto" w:fill="D9D9D9"/>
            <w:vAlign w:val="bottom"/>
          </w:tcPr>
          <w:p w:rsidRPr="00425500" w:rsidR="00EB6B25" w:rsidP="00425500" w:rsidRDefault="00EB6B25" w14:paraId="4BA87254"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 xml:space="preserve">Total No. of Annual Responses </w:t>
            </w:r>
          </w:p>
          <w:p w:rsidRPr="00425500" w:rsidR="00EB6B25" w:rsidP="00425500" w:rsidRDefault="00EB6B25" w14:paraId="1836DF74"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(A)x(B)=(C)</w:t>
            </w:r>
          </w:p>
        </w:tc>
        <w:tc>
          <w:tcPr>
            <w:tcW w:w="1327" w:type="dxa"/>
            <w:shd w:val="clear" w:color="auto" w:fill="D9D9D9"/>
            <w:vAlign w:val="bottom"/>
          </w:tcPr>
          <w:p w:rsidRPr="00425500" w:rsidR="00EB6B25" w:rsidP="00425500" w:rsidRDefault="00EB6B25" w14:paraId="0C271DF1"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 xml:space="preserve">Average Annual Burden Hours &amp; Cost ($) per Response </w:t>
            </w:r>
          </w:p>
          <w:p w:rsidRPr="00425500" w:rsidR="00EB6B25" w:rsidP="00425500" w:rsidRDefault="00EB6B25" w14:paraId="53B44DE3"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(D)</w:t>
            </w:r>
          </w:p>
        </w:tc>
        <w:tc>
          <w:tcPr>
            <w:tcW w:w="1643" w:type="dxa"/>
            <w:shd w:val="clear" w:color="auto" w:fill="D9D9D9"/>
            <w:vAlign w:val="bottom"/>
          </w:tcPr>
          <w:p w:rsidRPr="00425500" w:rsidR="00EB6B25" w:rsidP="00425500" w:rsidRDefault="00EB6B25" w14:paraId="471CE52A"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 xml:space="preserve">Estimated Total Annual Burden Hrs. &amp; Cost ($) </w:t>
            </w:r>
          </w:p>
          <w:p w:rsidRPr="00425500" w:rsidR="00EB6B25" w:rsidP="00425500" w:rsidRDefault="00EB6B25" w14:paraId="3A906515"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(C)x(D)</w:t>
            </w:r>
          </w:p>
        </w:tc>
      </w:tr>
      <w:tr w:rsidRPr="00425500" w:rsidR="00EB6B25" w:rsidTr="007854C4" w14:paraId="5816E9E8" w14:textId="77777777">
        <w:trPr>
          <w:trHeight w:val="387"/>
        </w:trPr>
        <w:tc>
          <w:tcPr>
            <w:tcW w:w="10188" w:type="dxa"/>
            <w:gridSpan w:val="7"/>
            <w:shd w:val="clear" w:color="auto" w:fill="D9D9D9"/>
            <w:vAlign w:val="bottom"/>
          </w:tcPr>
          <w:p w:rsidRPr="00425500" w:rsidR="00EB6B25" w:rsidP="00425500" w:rsidRDefault="00EB6B25" w14:paraId="416255A3" w14:textId="77777777">
            <w:pPr>
              <w:spacing w:after="0"/>
              <w:rPr>
                <w:rFonts w:ascii="Times New Roman" w:hAnsi="Times New Roman" w:eastAsia="Times New Roman" w:cs="Times New Roman"/>
                <w:b/>
                <w:sz w:val="24"/>
                <w:szCs w:val="24"/>
              </w:rPr>
            </w:pPr>
          </w:p>
          <w:p w:rsidRPr="00425500" w:rsidR="00EB6B25" w:rsidP="00425500" w:rsidRDefault="00EB6B25" w14:paraId="747C1AA4"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Reliability Standard CIP-013-2</w:t>
            </w:r>
          </w:p>
        </w:tc>
      </w:tr>
      <w:tr w:rsidRPr="00425500" w:rsidR="00EB6B25" w:rsidTr="004C2E0F" w14:paraId="52E22D9E" w14:textId="77777777">
        <w:trPr>
          <w:trHeight w:val="252"/>
        </w:trPr>
        <w:tc>
          <w:tcPr>
            <w:tcW w:w="1368" w:type="dxa"/>
          </w:tcPr>
          <w:p w:rsidRPr="00425500" w:rsidR="00EB6B25" w:rsidP="00425500" w:rsidRDefault="00EB6B25" w14:paraId="02184B84" w14:textId="77777777">
            <w:pPr>
              <w:spacing w:after="0"/>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 xml:space="preserve">343 (BA, DP, GO, GOP, RC, </w:t>
            </w:r>
            <w:r w:rsidRPr="00425500">
              <w:rPr>
                <w:rFonts w:ascii="Times New Roman" w:hAnsi="Times New Roman" w:eastAsia="Times New Roman" w:cs="Times New Roman"/>
                <w:sz w:val="24"/>
                <w:szCs w:val="24"/>
              </w:rPr>
              <w:lastRenderedPageBreak/>
              <w:t>TO, and TOP)</w:t>
            </w:r>
          </w:p>
        </w:tc>
        <w:tc>
          <w:tcPr>
            <w:tcW w:w="1800" w:type="dxa"/>
          </w:tcPr>
          <w:p w:rsidRPr="00425500" w:rsidR="00EB6B25" w:rsidP="00425500" w:rsidRDefault="00EB6B25" w14:paraId="7915BF72" w14:textId="77777777">
            <w:pPr>
              <w:spacing w:after="0"/>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lastRenderedPageBreak/>
              <w:t xml:space="preserve">Reporting, Implementation </w:t>
            </w:r>
            <w:r w:rsidRPr="00425500">
              <w:rPr>
                <w:rFonts w:ascii="Times New Roman" w:hAnsi="Times New Roman" w:eastAsia="Times New Roman" w:cs="Times New Roman"/>
                <w:sz w:val="24"/>
                <w:szCs w:val="24"/>
              </w:rPr>
              <w:lastRenderedPageBreak/>
              <w:t xml:space="preserve">(one-time in Year 1) </w:t>
            </w:r>
          </w:p>
        </w:tc>
        <w:tc>
          <w:tcPr>
            <w:tcW w:w="1350" w:type="dxa"/>
            <w:vAlign w:val="bottom"/>
          </w:tcPr>
          <w:p w:rsidRPr="00425500" w:rsidR="00EB6B25" w:rsidP="00425500" w:rsidRDefault="00EB6B25" w14:paraId="525E76F8"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lastRenderedPageBreak/>
              <w:t>343</w:t>
            </w:r>
          </w:p>
        </w:tc>
        <w:tc>
          <w:tcPr>
            <w:tcW w:w="1350" w:type="dxa"/>
            <w:shd w:val="clear" w:color="auto" w:fill="auto"/>
            <w:vAlign w:val="bottom"/>
          </w:tcPr>
          <w:p w:rsidRPr="00425500" w:rsidR="00EB6B25" w:rsidP="00425500" w:rsidRDefault="00EB6B25" w14:paraId="0D06F0EC"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w:t>
            </w:r>
          </w:p>
        </w:tc>
        <w:tc>
          <w:tcPr>
            <w:tcW w:w="1350" w:type="dxa"/>
            <w:shd w:val="clear" w:color="auto" w:fill="auto"/>
            <w:vAlign w:val="bottom"/>
          </w:tcPr>
          <w:p w:rsidRPr="00425500" w:rsidR="00EB6B25" w:rsidP="00425500" w:rsidRDefault="00EB6B25" w14:paraId="5E5545A1"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27" w:type="dxa"/>
            <w:shd w:val="clear" w:color="auto" w:fill="auto"/>
            <w:vAlign w:val="bottom"/>
          </w:tcPr>
          <w:p w:rsidRPr="00425500" w:rsidR="00EB6B25" w:rsidP="00425500" w:rsidRDefault="00EB6B25" w14:paraId="085D1EAA"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136 hrs.; $11,702.80</w:t>
            </w:r>
          </w:p>
        </w:tc>
        <w:tc>
          <w:tcPr>
            <w:tcW w:w="1643" w:type="dxa"/>
            <w:shd w:val="clear" w:color="auto" w:fill="auto"/>
            <w:vAlign w:val="bottom"/>
          </w:tcPr>
          <w:p w:rsidRPr="00425500" w:rsidR="00EB6B25" w:rsidP="00425500" w:rsidRDefault="00EB6B25" w14:paraId="776E05D1"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46,648 hrs.; $4,014,060.40</w:t>
            </w:r>
          </w:p>
        </w:tc>
      </w:tr>
      <w:tr w:rsidRPr="00425500" w:rsidR="00EB6B25" w:rsidTr="004C2E0F" w14:paraId="1D8376B1" w14:textId="77777777">
        <w:trPr>
          <w:trHeight w:val="251"/>
        </w:trPr>
        <w:tc>
          <w:tcPr>
            <w:tcW w:w="1368" w:type="dxa"/>
          </w:tcPr>
          <w:p w:rsidRPr="00425500" w:rsidR="00EB6B25" w:rsidP="00425500" w:rsidRDefault="00EB6B25" w14:paraId="49FCE8A1" w14:textId="77777777">
            <w:pPr>
              <w:spacing w:after="0"/>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 (BA, DP, GO, GOP, RC, TO, and TOP)</w:t>
            </w:r>
          </w:p>
        </w:tc>
        <w:tc>
          <w:tcPr>
            <w:tcW w:w="1800" w:type="dxa"/>
          </w:tcPr>
          <w:p w:rsidRPr="00425500" w:rsidR="00EB6B25" w:rsidP="00425500" w:rsidRDefault="00EB6B25" w14:paraId="0675475A" w14:textId="77777777">
            <w:pPr>
              <w:spacing w:after="0"/>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Reporting (ongoing starting in Year 2)</w:t>
            </w:r>
          </w:p>
        </w:tc>
        <w:tc>
          <w:tcPr>
            <w:tcW w:w="1350" w:type="dxa"/>
            <w:vAlign w:val="bottom"/>
          </w:tcPr>
          <w:p w:rsidRPr="00425500" w:rsidR="00EB6B25" w:rsidP="00425500" w:rsidRDefault="00EB6B25" w14:paraId="5C3EF985"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50" w:type="dxa"/>
            <w:tcBorders>
              <w:bottom w:val="single" w:color="auto" w:sz="4" w:space="0"/>
            </w:tcBorders>
            <w:shd w:val="clear" w:color="auto" w:fill="auto"/>
            <w:vAlign w:val="bottom"/>
          </w:tcPr>
          <w:p w:rsidRPr="00425500" w:rsidR="00EB6B25" w:rsidP="00425500" w:rsidRDefault="00EB6B25" w14:paraId="76F75B80"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w:t>
            </w:r>
          </w:p>
        </w:tc>
        <w:tc>
          <w:tcPr>
            <w:tcW w:w="1350" w:type="dxa"/>
            <w:tcBorders>
              <w:bottom w:val="single" w:color="auto" w:sz="4" w:space="0"/>
            </w:tcBorders>
            <w:shd w:val="clear" w:color="auto" w:fill="auto"/>
            <w:vAlign w:val="bottom"/>
          </w:tcPr>
          <w:p w:rsidRPr="00425500" w:rsidR="00EB6B25" w:rsidP="00425500" w:rsidRDefault="00EB6B25" w14:paraId="0A7E24D4"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27" w:type="dxa"/>
            <w:tcBorders>
              <w:bottom w:val="single" w:color="auto" w:sz="4" w:space="0"/>
            </w:tcBorders>
            <w:shd w:val="clear" w:color="auto" w:fill="auto"/>
            <w:vAlign w:val="bottom"/>
          </w:tcPr>
          <w:p w:rsidRPr="00425500" w:rsidR="00EB6B25" w:rsidP="00425500" w:rsidRDefault="00EB6B25" w14:paraId="24579F13"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30 hrs.; $2,581.50</w:t>
            </w:r>
          </w:p>
        </w:tc>
        <w:tc>
          <w:tcPr>
            <w:tcW w:w="1643" w:type="dxa"/>
            <w:shd w:val="clear" w:color="auto" w:fill="auto"/>
            <w:vAlign w:val="bottom"/>
          </w:tcPr>
          <w:p w:rsidRPr="00425500" w:rsidR="00EB6B25" w:rsidP="00425500" w:rsidRDefault="00EB6B25" w14:paraId="507E6F5F" w14:textId="77777777">
            <w:pPr>
              <w:spacing w:after="0"/>
              <w:jc w:val="right"/>
              <w:rPr>
                <w:rFonts w:ascii="Times New Roman" w:hAnsi="Times New Roman" w:eastAsia="Times New Roman" w:cs="Times New Roman"/>
                <w:sz w:val="24"/>
                <w:szCs w:val="24"/>
              </w:rPr>
            </w:pPr>
            <w:bookmarkStart w:name="_Hlk71039846" w:id="6"/>
            <w:r w:rsidRPr="00425500">
              <w:rPr>
                <w:rFonts w:ascii="Times New Roman" w:hAnsi="Times New Roman" w:eastAsia="Times New Roman" w:cs="Times New Roman"/>
                <w:sz w:val="24"/>
                <w:szCs w:val="24"/>
              </w:rPr>
              <w:t xml:space="preserve">10,290 </w:t>
            </w:r>
            <w:bookmarkEnd w:id="6"/>
            <w:r w:rsidRPr="00425500">
              <w:rPr>
                <w:rFonts w:ascii="Times New Roman" w:hAnsi="Times New Roman" w:eastAsia="Times New Roman" w:cs="Times New Roman"/>
                <w:sz w:val="24"/>
                <w:szCs w:val="24"/>
              </w:rPr>
              <w:t xml:space="preserve">hrs.; </w:t>
            </w:r>
            <w:bookmarkStart w:name="_Hlk71117927" w:id="7"/>
            <w:r w:rsidRPr="00425500">
              <w:rPr>
                <w:rFonts w:ascii="Times New Roman" w:hAnsi="Times New Roman" w:eastAsia="Times New Roman" w:cs="Times New Roman"/>
                <w:sz w:val="24"/>
                <w:szCs w:val="24"/>
              </w:rPr>
              <w:t>$885,454.50</w:t>
            </w:r>
            <w:bookmarkEnd w:id="7"/>
          </w:p>
        </w:tc>
      </w:tr>
      <w:tr w:rsidRPr="00425500" w:rsidR="00EB6B25" w:rsidTr="004C2E0F" w14:paraId="470B5801" w14:textId="77777777">
        <w:trPr>
          <w:trHeight w:val="982"/>
        </w:trPr>
        <w:tc>
          <w:tcPr>
            <w:tcW w:w="1368" w:type="dxa"/>
            <w:tcBorders>
              <w:bottom w:val="single" w:color="auto" w:sz="4" w:space="0"/>
            </w:tcBorders>
          </w:tcPr>
          <w:p w:rsidRPr="00425500" w:rsidR="00EB6B25" w:rsidP="00425500" w:rsidRDefault="00EB6B25" w14:paraId="576D1C59" w14:textId="77777777">
            <w:pPr>
              <w:spacing w:after="0"/>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 (BA, DP, GO, GOP, RC, TO, and TOP)</w:t>
            </w:r>
          </w:p>
        </w:tc>
        <w:tc>
          <w:tcPr>
            <w:tcW w:w="1800" w:type="dxa"/>
            <w:tcBorders>
              <w:bottom w:val="single" w:color="auto" w:sz="4" w:space="0"/>
            </w:tcBorders>
          </w:tcPr>
          <w:p w:rsidRPr="00425500" w:rsidR="00EB6B25" w:rsidP="00425500" w:rsidRDefault="00EB6B25" w14:paraId="0FE55714" w14:textId="77777777">
            <w:pPr>
              <w:spacing w:after="0"/>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Recordkeeping (ongoing starting in Year 1)</w:t>
            </w:r>
          </w:p>
        </w:tc>
        <w:tc>
          <w:tcPr>
            <w:tcW w:w="1350" w:type="dxa"/>
            <w:tcBorders>
              <w:bottom w:val="single" w:color="auto" w:sz="4" w:space="0"/>
            </w:tcBorders>
            <w:vAlign w:val="bottom"/>
          </w:tcPr>
          <w:p w:rsidRPr="00425500" w:rsidR="00EB6B25" w:rsidP="00425500" w:rsidRDefault="00EB6B25" w14:paraId="6C4A5E73"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50" w:type="dxa"/>
            <w:tcBorders>
              <w:bottom w:val="single" w:color="auto" w:sz="4" w:space="0"/>
            </w:tcBorders>
            <w:shd w:val="clear" w:color="auto" w:fill="auto"/>
            <w:vAlign w:val="bottom"/>
          </w:tcPr>
          <w:p w:rsidRPr="00425500" w:rsidR="00EB6B25" w:rsidP="00425500" w:rsidRDefault="00EB6B25" w14:paraId="7C1646DA"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w:t>
            </w:r>
          </w:p>
        </w:tc>
        <w:tc>
          <w:tcPr>
            <w:tcW w:w="1350" w:type="dxa"/>
            <w:tcBorders>
              <w:bottom w:val="single" w:color="auto" w:sz="4" w:space="0"/>
            </w:tcBorders>
            <w:shd w:val="clear" w:color="auto" w:fill="auto"/>
            <w:vAlign w:val="bottom"/>
          </w:tcPr>
          <w:p w:rsidRPr="00425500" w:rsidR="00EB6B25" w:rsidP="00425500" w:rsidRDefault="00EB6B25" w14:paraId="7DA91ABE"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27" w:type="dxa"/>
            <w:tcBorders>
              <w:bottom w:val="single" w:color="auto" w:sz="4" w:space="0"/>
            </w:tcBorders>
            <w:shd w:val="clear" w:color="auto" w:fill="auto"/>
            <w:vAlign w:val="bottom"/>
          </w:tcPr>
          <w:p w:rsidRPr="00425500" w:rsidR="00EB6B25" w:rsidP="00425500" w:rsidRDefault="00EB6B25" w14:paraId="5B73ED79"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5 hrs.; $205.15</w:t>
            </w:r>
          </w:p>
        </w:tc>
        <w:tc>
          <w:tcPr>
            <w:tcW w:w="1643" w:type="dxa"/>
            <w:tcBorders>
              <w:bottom w:val="single" w:color="auto" w:sz="4" w:space="0"/>
            </w:tcBorders>
            <w:shd w:val="clear" w:color="auto" w:fill="auto"/>
            <w:vAlign w:val="bottom"/>
          </w:tcPr>
          <w:p w:rsidRPr="00425500" w:rsidR="00EB6B25" w:rsidP="00425500" w:rsidRDefault="00EB6B25" w14:paraId="096A1DF1"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 xml:space="preserve">1,715 hrs.; </w:t>
            </w:r>
            <w:bookmarkStart w:name="_Hlk71117897" w:id="8"/>
            <w:r w:rsidRPr="00425500">
              <w:rPr>
                <w:rFonts w:ascii="Times New Roman" w:hAnsi="Times New Roman" w:eastAsia="Times New Roman" w:cs="Times New Roman"/>
                <w:sz w:val="24"/>
                <w:szCs w:val="24"/>
              </w:rPr>
              <w:t>$70,366.45</w:t>
            </w:r>
            <w:bookmarkEnd w:id="8"/>
          </w:p>
        </w:tc>
      </w:tr>
      <w:tr w:rsidRPr="00425500" w:rsidR="00EB6B25" w:rsidTr="004C2E0F" w14:paraId="320D782D" w14:textId="77777777">
        <w:trPr>
          <w:trHeight w:val="158"/>
        </w:trPr>
        <w:tc>
          <w:tcPr>
            <w:tcW w:w="1368" w:type="dxa"/>
            <w:shd w:val="clear" w:color="auto" w:fill="D9D9D9"/>
          </w:tcPr>
          <w:p w:rsidRPr="00425500" w:rsidR="00EB6B25" w:rsidP="00425500" w:rsidRDefault="00EB6B25" w14:paraId="193BF3B6" w14:textId="628D3F9E">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Sub-Total for CIP-013-2</w:t>
            </w:r>
            <w:r w:rsidRPr="004515AD" w:rsidR="00B15A01">
              <w:rPr>
                <w:rStyle w:val="FootnoteReference"/>
                <w:rFonts w:ascii="Times New Roman" w:hAnsi="Times New Roman" w:eastAsia="Times New Roman" w:cs="Times New Roman"/>
                <w:b/>
                <w:sz w:val="24"/>
                <w:szCs w:val="24"/>
                <w:vertAlign w:val="superscript"/>
              </w:rPr>
              <w:footnoteReference w:id="23"/>
            </w:r>
          </w:p>
        </w:tc>
        <w:tc>
          <w:tcPr>
            <w:tcW w:w="1800" w:type="dxa"/>
            <w:shd w:val="clear" w:color="auto" w:fill="D9D9D9"/>
          </w:tcPr>
          <w:p w:rsidRPr="00425500" w:rsidR="00EB6B25" w:rsidP="00425500" w:rsidRDefault="00EB6B25" w14:paraId="2C013C53" w14:textId="77777777">
            <w:pPr>
              <w:spacing w:after="0"/>
              <w:jc w:val="center"/>
              <w:rPr>
                <w:rFonts w:ascii="Times New Roman" w:hAnsi="Times New Roman" w:eastAsia="Times New Roman" w:cs="Times New Roman"/>
                <w:b/>
                <w:sz w:val="24"/>
                <w:szCs w:val="24"/>
              </w:rPr>
            </w:pPr>
          </w:p>
        </w:tc>
        <w:tc>
          <w:tcPr>
            <w:tcW w:w="1350" w:type="dxa"/>
            <w:shd w:val="clear" w:color="auto" w:fill="D9D9D9"/>
          </w:tcPr>
          <w:p w:rsidRPr="00425500" w:rsidR="00EB6B25" w:rsidP="00425500" w:rsidRDefault="00EB6B25" w14:paraId="46740043"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EB6B25" w:rsidP="00425500" w:rsidRDefault="00EB6B25" w14:paraId="6B3AE873"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EB6B25" w:rsidP="00425500" w:rsidRDefault="00EB6B25" w14:paraId="4DF46303" w14:textId="77777777">
            <w:pPr>
              <w:spacing w:after="0"/>
              <w:jc w:val="right"/>
              <w:rPr>
                <w:rFonts w:ascii="Times New Roman" w:hAnsi="Times New Roman" w:eastAsia="Times New Roman" w:cs="Times New Roman"/>
                <w:sz w:val="24"/>
                <w:szCs w:val="24"/>
              </w:rPr>
            </w:pPr>
          </w:p>
        </w:tc>
        <w:tc>
          <w:tcPr>
            <w:tcW w:w="1327" w:type="dxa"/>
            <w:shd w:val="clear" w:color="auto" w:fill="D9D9D9"/>
          </w:tcPr>
          <w:p w:rsidRPr="00425500" w:rsidR="00EB6B25" w:rsidP="00425500" w:rsidRDefault="00EB6B25" w14:paraId="33873ED6" w14:textId="77777777">
            <w:pPr>
              <w:spacing w:after="0"/>
              <w:jc w:val="right"/>
              <w:rPr>
                <w:rFonts w:ascii="Times New Roman" w:hAnsi="Times New Roman" w:eastAsia="Times New Roman" w:cs="Times New Roman"/>
                <w:sz w:val="24"/>
                <w:szCs w:val="24"/>
              </w:rPr>
            </w:pPr>
          </w:p>
        </w:tc>
        <w:tc>
          <w:tcPr>
            <w:tcW w:w="1643" w:type="dxa"/>
            <w:shd w:val="clear" w:color="auto" w:fill="D9D9D9"/>
          </w:tcPr>
          <w:p w:rsidRPr="00425500" w:rsidR="00EB6B25" w:rsidP="00425500" w:rsidRDefault="00EB6B25" w14:paraId="66825BED" w14:textId="77777777">
            <w:pPr>
              <w:spacing w:after="0"/>
              <w:jc w:val="right"/>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58,653 hrs.; $4,969,881.35</w:t>
            </w:r>
          </w:p>
        </w:tc>
      </w:tr>
      <w:tr w:rsidRPr="00425500" w:rsidR="00EB6B25" w:rsidTr="007854C4" w14:paraId="201E50EA" w14:textId="77777777">
        <w:trPr>
          <w:trHeight w:val="546"/>
        </w:trPr>
        <w:tc>
          <w:tcPr>
            <w:tcW w:w="10188" w:type="dxa"/>
            <w:gridSpan w:val="7"/>
            <w:shd w:val="clear" w:color="auto" w:fill="D9D9D9"/>
            <w:vAlign w:val="bottom"/>
          </w:tcPr>
          <w:p w:rsidRPr="00425500" w:rsidR="00EB6B25" w:rsidP="00425500" w:rsidRDefault="00EB6B25" w14:paraId="49C83176"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Reliability Standard CIP-005-7</w:t>
            </w:r>
          </w:p>
        </w:tc>
      </w:tr>
      <w:tr w:rsidRPr="00425500" w:rsidR="00EB6B25" w:rsidTr="004C2E0F" w14:paraId="4AB88A3C" w14:textId="77777777">
        <w:trPr>
          <w:trHeight w:val="158"/>
        </w:trPr>
        <w:tc>
          <w:tcPr>
            <w:tcW w:w="1368" w:type="dxa"/>
            <w:vAlign w:val="bottom"/>
          </w:tcPr>
          <w:p w:rsidRPr="00425500" w:rsidR="00EB6B25" w:rsidP="00425500" w:rsidRDefault="00EB6B25" w14:paraId="4612DAB4" w14:textId="77777777">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sz w:val="24"/>
                <w:szCs w:val="24"/>
              </w:rPr>
              <w:t>343 (BA, DP, GO, GOP, RC, TO, and TOP)</w:t>
            </w:r>
          </w:p>
        </w:tc>
        <w:tc>
          <w:tcPr>
            <w:tcW w:w="1800" w:type="dxa"/>
          </w:tcPr>
          <w:p w:rsidRPr="00425500" w:rsidR="00EB6B25" w:rsidP="00425500" w:rsidRDefault="00EB6B25" w14:paraId="5C5CFFFC" w14:textId="77777777">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sz w:val="24"/>
                <w:szCs w:val="24"/>
              </w:rPr>
              <w:t>Reporting, Implementation (one-time in Year 1)</w:t>
            </w:r>
          </w:p>
        </w:tc>
        <w:tc>
          <w:tcPr>
            <w:tcW w:w="1350" w:type="dxa"/>
            <w:vAlign w:val="bottom"/>
          </w:tcPr>
          <w:p w:rsidRPr="00425500" w:rsidR="00EB6B25" w:rsidP="00425500" w:rsidRDefault="00EB6B25" w14:paraId="76D54328"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50" w:type="dxa"/>
            <w:vAlign w:val="bottom"/>
          </w:tcPr>
          <w:p w:rsidRPr="00425500" w:rsidR="00EB6B25" w:rsidP="00425500" w:rsidRDefault="00EB6B25" w14:paraId="6E7E42D9"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w:t>
            </w:r>
          </w:p>
        </w:tc>
        <w:tc>
          <w:tcPr>
            <w:tcW w:w="1350" w:type="dxa"/>
            <w:vAlign w:val="bottom"/>
          </w:tcPr>
          <w:p w:rsidRPr="00425500" w:rsidR="00EB6B25" w:rsidP="00425500" w:rsidRDefault="00EB6B25" w14:paraId="7CD77FA1"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27" w:type="dxa"/>
            <w:vAlign w:val="bottom"/>
          </w:tcPr>
          <w:p w:rsidRPr="00425500" w:rsidR="00EB6B25" w:rsidP="00425500" w:rsidRDefault="00EB6B25" w14:paraId="72484CFB" w14:textId="484BE399">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12</w:t>
            </w:r>
            <w:r w:rsidR="0057221D">
              <w:rPr>
                <w:rFonts w:ascii="Times New Roman" w:hAnsi="Times New Roman" w:eastAsia="Times New Roman" w:cs="Times New Roman"/>
                <w:sz w:val="24"/>
                <w:szCs w:val="24"/>
              </w:rPr>
              <w:t xml:space="preserve"> </w:t>
            </w:r>
            <w:r w:rsidRPr="00425500">
              <w:rPr>
                <w:rFonts w:ascii="Times New Roman" w:hAnsi="Times New Roman" w:eastAsia="Times New Roman" w:cs="Times New Roman"/>
                <w:sz w:val="24"/>
                <w:szCs w:val="24"/>
              </w:rPr>
              <w:t>hrs.; $1,032.60</w:t>
            </w:r>
          </w:p>
        </w:tc>
        <w:tc>
          <w:tcPr>
            <w:tcW w:w="1643" w:type="dxa"/>
            <w:vAlign w:val="bottom"/>
          </w:tcPr>
          <w:p w:rsidRPr="00425500" w:rsidR="00EB6B25" w:rsidP="00425500" w:rsidRDefault="00EB6B25" w14:paraId="5ABE1F03" w14:textId="226735E2">
            <w:pPr>
              <w:spacing w:after="0"/>
              <w:jc w:val="right"/>
              <w:rPr>
                <w:rFonts w:ascii="Times New Roman" w:hAnsi="Times New Roman" w:eastAsia="Times New Roman" w:cs="Times New Roman"/>
                <w:b/>
                <w:sz w:val="24"/>
                <w:szCs w:val="24"/>
              </w:rPr>
            </w:pPr>
            <w:r w:rsidRPr="00425500">
              <w:rPr>
                <w:rFonts w:ascii="Times New Roman" w:hAnsi="Times New Roman" w:eastAsia="Times New Roman" w:cs="Times New Roman"/>
                <w:sz w:val="24"/>
                <w:szCs w:val="24"/>
              </w:rPr>
              <w:t>4,116</w:t>
            </w:r>
            <w:r w:rsidR="0057221D">
              <w:rPr>
                <w:rFonts w:ascii="Times New Roman" w:hAnsi="Times New Roman" w:eastAsia="Times New Roman" w:cs="Times New Roman"/>
                <w:sz w:val="24"/>
                <w:szCs w:val="24"/>
              </w:rPr>
              <w:t xml:space="preserve"> </w:t>
            </w:r>
            <w:r w:rsidRPr="00425500">
              <w:rPr>
                <w:rFonts w:ascii="Times New Roman" w:hAnsi="Times New Roman" w:eastAsia="Times New Roman" w:cs="Times New Roman"/>
                <w:sz w:val="24"/>
                <w:szCs w:val="24"/>
              </w:rPr>
              <w:t>hrs.; $354,181.80</w:t>
            </w:r>
          </w:p>
        </w:tc>
      </w:tr>
      <w:tr w:rsidRPr="00425500" w:rsidR="00EB6B25" w:rsidTr="004C2E0F" w14:paraId="45B7E078" w14:textId="77777777">
        <w:trPr>
          <w:trHeight w:val="158"/>
        </w:trPr>
        <w:tc>
          <w:tcPr>
            <w:tcW w:w="1368" w:type="dxa"/>
            <w:vAlign w:val="bottom"/>
          </w:tcPr>
          <w:p w:rsidRPr="00425500" w:rsidR="00EB6B25" w:rsidP="00425500" w:rsidRDefault="00EB6B25" w14:paraId="249BF8F7" w14:textId="77777777">
            <w:pPr>
              <w:spacing w:after="0"/>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343 (BA, DP, GO, GOP, RC, TO, and TOP)</w:t>
            </w:r>
          </w:p>
        </w:tc>
        <w:tc>
          <w:tcPr>
            <w:tcW w:w="1800" w:type="dxa"/>
          </w:tcPr>
          <w:p w:rsidRPr="00425500" w:rsidR="00EB6B25" w:rsidP="00425500" w:rsidRDefault="00EB6B25" w14:paraId="0EAAD50E" w14:textId="77777777">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sz w:val="24"/>
                <w:szCs w:val="24"/>
              </w:rPr>
              <w:t>Recordkeeping (ongoing starting in Year 1)</w:t>
            </w:r>
          </w:p>
        </w:tc>
        <w:tc>
          <w:tcPr>
            <w:tcW w:w="1350" w:type="dxa"/>
            <w:vAlign w:val="bottom"/>
          </w:tcPr>
          <w:p w:rsidRPr="00425500" w:rsidR="00EB6B25" w:rsidP="00425500" w:rsidRDefault="00EB6B25" w14:paraId="4ABC2BD7"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50" w:type="dxa"/>
            <w:vAlign w:val="bottom"/>
          </w:tcPr>
          <w:p w:rsidRPr="00425500" w:rsidR="00EB6B25" w:rsidP="00425500" w:rsidRDefault="00EB6B25" w14:paraId="2FEAA1F6"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1</w:t>
            </w:r>
          </w:p>
        </w:tc>
        <w:tc>
          <w:tcPr>
            <w:tcW w:w="1350" w:type="dxa"/>
            <w:vAlign w:val="bottom"/>
          </w:tcPr>
          <w:p w:rsidRPr="00425500" w:rsidR="00EB6B25" w:rsidP="00425500" w:rsidRDefault="00EB6B25" w14:paraId="57541F73"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343</w:t>
            </w:r>
          </w:p>
        </w:tc>
        <w:tc>
          <w:tcPr>
            <w:tcW w:w="1327" w:type="dxa"/>
            <w:vAlign w:val="bottom"/>
          </w:tcPr>
          <w:p w:rsidRPr="00425500" w:rsidR="00EB6B25" w:rsidP="00425500" w:rsidRDefault="00EB6B25" w14:paraId="51476AC0" w14:textId="77777777">
            <w:pPr>
              <w:spacing w:after="0"/>
              <w:jc w:val="right"/>
              <w:rPr>
                <w:rFonts w:ascii="Times New Roman" w:hAnsi="Times New Roman" w:eastAsia="Times New Roman" w:cs="Times New Roman"/>
                <w:sz w:val="24"/>
                <w:szCs w:val="24"/>
              </w:rPr>
            </w:pPr>
            <w:r w:rsidRPr="00425500">
              <w:rPr>
                <w:rFonts w:ascii="Times New Roman" w:hAnsi="Times New Roman" w:eastAsia="Times New Roman" w:cs="Times New Roman"/>
                <w:sz w:val="24"/>
                <w:szCs w:val="24"/>
              </w:rPr>
              <w:t>3 hrs.; $123.09</w:t>
            </w:r>
          </w:p>
        </w:tc>
        <w:tc>
          <w:tcPr>
            <w:tcW w:w="1643" w:type="dxa"/>
            <w:vAlign w:val="bottom"/>
          </w:tcPr>
          <w:p w:rsidRPr="00425500" w:rsidR="00EB6B25" w:rsidP="00425500" w:rsidRDefault="00EB6B25" w14:paraId="3BD717C6"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1,029 hrs.; $42,219.87</w:t>
            </w:r>
          </w:p>
        </w:tc>
      </w:tr>
      <w:tr w:rsidRPr="00425500" w:rsidR="00EB6B25" w:rsidTr="004C2E0F" w14:paraId="0A5EC122" w14:textId="77777777">
        <w:trPr>
          <w:trHeight w:val="158"/>
        </w:trPr>
        <w:tc>
          <w:tcPr>
            <w:tcW w:w="1368" w:type="dxa"/>
            <w:shd w:val="clear" w:color="auto" w:fill="D9D9D9"/>
          </w:tcPr>
          <w:p w:rsidRPr="00425500" w:rsidR="00EB6B25" w:rsidP="00425500" w:rsidRDefault="00EB6B25" w14:paraId="3A2B37C2" w14:textId="0DC5CC6F">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Sub-Total for CIP-005-7</w:t>
            </w:r>
            <w:r w:rsidR="001A1F70">
              <w:rPr>
                <w:rFonts w:ascii="Times New Roman" w:hAnsi="Times New Roman" w:eastAsia="Times New Roman" w:cs="Times New Roman"/>
                <w:b/>
                <w:sz w:val="24"/>
                <w:szCs w:val="24"/>
              </w:rPr>
              <w:t xml:space="preserve"> For Year 1</w:t>
            </w:r>
            <w:bookmarkStart w:name="_Ref71117048" w:id="9"/>
            <w:r w:rsidRPr="004515AD" w:rsidR="00B15A01">
              <w:rPr>
                <w:rStyle w:val="FootnoteReference"/>
                <w:rFonts w:ascii="Times New Roman" w:hAnsi="Times New Roman" w:eastAsia="Times New Roman" w:cs="Times New Roman"/>
                <w:b/>
                <w:sz w:val="24"/>
                <w:szCs w:val="24"/>
                <w:vertAlign w:val="superscript"/>
              </w:rPr>
              <w:footnoteReference w:id="24"/>
            </w:r>
            <w:bookmarkEnd w:id="9"/>
          </w:p>
        </w:tc>
        <w:tc>
          <w:tcPr>
            <w:tcW w:w="1800" w:type="dxa"/>
            <w:shd w:val="clear" w:color="auto" w:fill="D9D9D9"/>
          </w:tcPr>
          <w:p w:rsidRPr="00425500" w:rsidR="00EB6B25" w:rsidP="00425500" w:rsidRDefault="00EB6B25" w14:paraId="2706D0FD" w14:textId="77777777">
            <w:pPr>
              <w:spacing w:after="0"/>
              <w:rPr>
                <w:rFonts w:ascii="Times New Roman" w:hAnsi="Times New Roman" w:eastAsia="Times New Roman" w:cs="Times New Roman"/>
                <w:b/>
                <w:sz w:val="24"/>
                <w:szCs w:val="24"/>
              </w:rPr>
            </w:pPr>
          </w:p>
        </w:tc>
        <w:tc>
          <w:tcPr>
            <w:tcW w:w="1350" w:type="dxa"/>
            <w:shd w:val="clear" w:color="auto" w:fill="D9D9D9"/>
          </w:tcPr>
          <w:p w:rsidRPr="00425500" w:rsidR="00EB6B25" w:rsidP="00425500" w:rsidRDefault="00EB6B25" w14:paraId="4B8C46A3"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EB6B25" w:rsidP="00425500" w:rsidRDefault="00EB6B25" w14:paraId="5F7EB50D"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EB6B25" w:rsidP="00425500" w:rsidRDefault="00EB6B25" w14:paraId="1AF4ABC3" w14:textId="77777777">
            <w:pPr>
              <w:spacing w:after="0"/>
              <w:jc w:val="right"/>
              <w:rPr>
                <w:rFonts w:ascii="Times New Roman" w:hAnsi="Times New Roman" w:eastAsia="Times New Roman" w:cs="Times New Roman"/>
                <w:sz w:val="24"/>
                <w:szCs w:val="24"/>
              </w:rPr>
            </w:pPr>
          </w:p>
        </w:tc>
        <w:tc>
          <w:tcPr>
            <w:tcW w:w="1327" w:type="dxa"/>
            <w:shd w:val="clear" w:color="auto" w:fill="D9D9D9"/>
          </w:tcPr>
          <w:p w:rsidRPr="00425500" w:rsidR="00EB6B25" w:rsidP="00425500" w:rsidRDefault="00EB6B25" w14:paraId="376E0ADE" w14:textId="77777777">
            <w:pPr>
              <w:spacing w:after="0"/>
              <w:jc w:val="right"/>
              <w:rPr>
                <w:rFonts w:ascii="Times New Roman" w:hAnsi="Times New Roman" w:eastAsia="Times New Roman" w:cs="Times New Roman"/>
                <w:sz w:val="24"/>
                <w:szCs w:val="24"/>
              </w:rPr>
            </w:pPr>
          </w:p>
        </w:tc>
        <w:tc>
          <w:tcPr>
            <w:tcW w:w="1643" w:type="dxa"/>
            <w:shd w:val="clear" w:color="auto" w:fill="D9D9D9"/>
          </w:tcPr>
          <w:p w:rsidRPr="00425500" w:rsidR="00EB6B25" w:rsidP="00425500" w:rsidRDefault="00EB6B25" w14:paraId="13A3B4E0" w14:textId="3122593A">
            <w:pPr>
              <w:spacing w:after="0"/>
              <w:jc w:val="right"/>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5,145 hrs.</w:t>
            </w:r>
            <w:proofErr w:type="gramStart"/>
            <w:r w:rsidRPr="00425500">
              <w:rPr>
                <w:rFonts w:ascii="Times New Roman" w:hAnsi="Times New Roman" w:eastAsia="Times New Roman" w:cs="Times New Roman"/>
                <w:b/>
                <w:sz w:val="24"/>
                <w:szCs w:val="24"/>
              </w:rPr>
              <w:t>;</w:t>
            </w:r>
            <w:r w:rsidR="00B15A01">
              <w:rPr>
                <w:rStyle w:val="CommentReference"/>
              </w:rPr>
              <w:t xml:space="preserve"> </w:t>
            </w:r>
            <w:r w:rsidRPr="00425500">
              <w:rPr>
                <w:rFonts w:ascii="Times New Roman" w:hAnsi="Times New Roman" w:eastAsia="Times New Roman" w:cs="Times New Roman"/>
                <w:b/>
                <w:sz w:val="24"/>
                <w:szCs w:val="24"/>
              </w:rPr>
              <w:t xml:space="preserve"> $</w:t>
            </w:r>
            <w:proofErr w:type="gramEnd"/>
            <w:r w:rsidRPr="00425500">
              <w:rPr>
                <w:rFonts w:ascii="Times New Roman" w:hAnsi="Times New Roman" w:eastAsia="Times New Roman" w:cs="Times New Roman"/>
                <w:b/>
                <w:sz w:val="24"/>
                <w:szCs w:val="24"/>
              </w:rPr>
              <w:t>396,401.67</w:t>
            </w:r>
          </w:p>
        </w:tc>
      </w:tr>
      <w:tr w:rsidRPr="00425500" w:rsidR="00EB6B25" w:rsidTr="007854C4" w14:paraId="2A94169D" w14:textId="77777777">
        <w:trPr>
          <w:trHeight w:val="158"/>
        </w:trPr>
        <w:tc>
          <w:tcPr>
            <w:tcW w:w="10188" w:type="dxa"/>
            <w:gridSpan w:val="7"/>
            <w:tcBorders>
              <w:bottom w:val="single" w:color="auto" w:sz="4" w:space="0"/>
            </w:tcBorders>
            <w:shd w:val="clear" w:color="auto" w:fill="D9D9D9"/>
          </w:tcPr>
          <w:p w:rsidRPr="00425500" w:rsidR="00EB6B25" w:rsidP="00425500" w:rsidRDefault="00EB6B25" w14:paraId="7023DAF7" w14:textId="77777777">
            <w:pPr>
              <w:spacing w:after="0"/>
              <w:jc w:val="center"/>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Reliability Standard CIP-010-4</w:t>
            </w:r>
          </w:p>
        </w:tc>
      </w:tr>
      <w:tr w:rsidRPr="00425500" w:rsidR="00EB6B25" w:rsidTr="004C2E0F" w14:paraId="7739CD29" w14:textId="77777777">
        <w:trPr>
          <w:trHeight w:val="158"/>
        </w:trPr>
        <w:tc>
          <w:tcPr>
            <w:tcW w:w="1368" w:type="dxa"/>
            <w:shd w:val="clear" w:color="auto" w:fill="auto"/>
          </w:tcPr>
          <w:p w:rsidRPr="00425500" w:rsidR="00EB6B25" w:rsidP="00425500" w:rsidRDefault="00EB6B25" w14:paraId="0E3459A2" w14:textId="77777777">
            <w:pPr>
              <w:spacing w:after="0"/>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 xml:space="preserve">343 (BA, DP, GO, GOP, RC, </w:t>
            </w:r>
            <w:r w:rsidRPr="00425500">
              <w:rPr>
                <w:rFonts w:ascii="Times New Roman" w:hAnsi="Times New Roman" w:eastAsia="Times New Roman" w:cs="Times New Roman"/>
                <w:bCs/>
                <w:sz w:val="24"/>
                <w:szCs w:val="24"/>
              </w:rPr>
              <w:lastRenderedPageBreak/>
              <w:t>TO, and TOP)</w:t>
            </w:r>
          </w:p>
        </w:tc>
        <w:tc>
          <w:tcPr>
            <w:tcW w:w="1800" w:type="dxa"/>
            <w:shd w:val="clear" w:color="auto" w:fill="auto"/>
          </w:tcPr>
          <w:p w:rsidRPr="00425500" w:rsidR="00EB6B25" w:rsidP="00425500" w:rsidRDefault="00EB6B25" w14:paraId="095F521A" w14:textId="77777777">
            <w:pPr>
              <w:spacing w:after="0"/>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lastRenderedPageBreak/>
              <w:t xml:space="preserve">Reporting, Implementation </w:t>
            </w:r>
            <w:r w:rsidRPr="00425500">
              <w:rPr>
                <w:rFonts w:ascii="Times New Roman" w:hAnsi="Times New Roman" w:eastAsia="Times New Roman" w:cs="Times New Roman"/>
                <w:bCs/>
                <w:sz w:val="24"/>
                <w:szCs w:val="24"/>
              </w:rPr>
              <w:lastRenderedPageBreak/>
              <w:t>(one-time in Yr. 1)</w:t>
            </w:r>
          </w:p>
        </w:tc>
        <w:tc>
          <w:tcPr>
            <w:tcW w:w="1350" w:type="dxa"/>
            <w:shd w:val="clear" w:color="auto" w:fill="auto"/>
            <w:vAlign w:val="bottom"/>
          </w:tcPr>
          <w:p w:rsidRPr="00425500" w:rsidR="00EB6B25" w:rsidP="00425500" w:rsidRDefault="00EB6B25" w14:paraId="28DD7667"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lastRenderedPageBreak/>
              <w:t>343</w:t>
            </w:r>
          </w:p>
        </w:tc>
        <w:tc>
          <w:tcPr>
            <w:tcW w:w="1350" w:type="dxa"/>
            <w:shd w:val="clear" w:color="auto" w:fill="auto"/>
            <w:vAlign w:val="bottom"/>
          </w:tcPr>
          <w:p w:rsidRPr="00425500" w:rsidR="00EB6B25" w:rsidP="00425500" w:rsidRDefault="00EB6B25" w14:paraId="531427C8"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1</w:t>
            </w:r>
          </w:p>
        </w:tc>
        <w:tc>
          <w:tcPr>
            <w:tcW w:w="1350" w:type="dxa"/>
            <w:shd w:val="clear" w:color="auto" w:fill="auto"/>
            <w:vAlign w:val="bottom"/>
          </w:tcPr>
          <w:p w:rsidRPr="00425500" w:rsidR="00EB6B25" w:rsidP="00425500" w:rsidRDefault="00EB6B25" w14:paraId="4746FFBE"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343</w:t>
            </w:r>
          </w:p>
        </w:tc>
        <w:tc>
          <w:tcPr>
            <w:tcW w:w="1327" w:type="dxa"/>
            <w:shd w:val="clear" w:color="auto" w:fill="auto"/>
            <w:vAlign w:val="bottom"/>
          </w:tcPr>
          <w:p w:rsidRPr="00425500" w:rsidR="00EB6B25" w:rsidP="00425500" w:rsidRDefault="00EB6B25" w14:paraId="09CDFEEF"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12 hrs.; $1,032.60</w:t>
            </w:r>
          </w:p>
        </w:tc>
        <w:tc>
          <w:tcPr>
            <w:tcW w:w="1643" w:type="dxa"/>
            <w:shd w:val="clear" w:color="auto" w:fill="auto"/>
            <w:vAlign w:val="bottom"/>
          </w:tcPr>
          <w:p w:rsidRPr="00425500" w:rsidR="00EB6B25" w:rsidP="00425500" w:rsidRDefault="00EB6B25" w14:paraId="3EB9C14F" w14:textId="4D796C51">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4</w:t>
            </w:r>
            <w:r w:rsidR="006261F9">
              <w:rPr>
                <w:rFonts w:ascii="Times New Roman" w:hAnsi="Times New Roman" w:eastAsia="Times New Roman" w:cs="Times New Roman"/>
                <w:bCs/>
                <w:sz w:val="24"/>
                <w:szCs w:val="24"/>
              </w:rPr>
              <w:t>,</w:t>
            </w:r>
            <w:r w:rsidRPr="00425500">
              <w:rPr>
                <w:rFonts w:ascii="Times New Roman" w:hAnsi="Times New Roman" w:eastAsia="Times New Roman" w:cs="Times New Roman"/>
                <w:bCs/>
                <w:sz w:val="24"/>
                <w:szCs w:val="24"/>
              </w:rPr>
              <w:t>116 hrs.; $354,181.80</w:t>
            </w:r>
          </w:p>
        </w:tc>
      </w:tr>
      <w:tr w:rsidRPr="00425500" w:rsidR="00EB6B25" w:rsidTr="004C2E0F" w14:paraId="11BF480D" w14:textId="77777777">
        <w:trPr>
          <w:trHeight w:val="158"/>
        </w:trPr>
        <w:tc>
          <w:tcPr>
            <w:tcW w:w="1368" w:type="dxa"/>
            <w:shd w:val="clear" w:color="auto" w:fill="auto"/>
          </w:tcPr>
          <w:p w:rsidRPr="00425500" w:rsidR="00EB6B25" w:rsidP="00425500" w:rsidRDefault="00EB6B25" w14:paraId="7F809973" w14:textId="77777777">
            <w:pPr>
              <w:spacing w:after="0"/>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343 (BA, DP, GO, GOP, RC, TO, and TOP)</w:t>
            </w:r>
          </w:p>
        </w:tc>
        <w:tc>
          <w:tcPr>
            <w:tcW w:w="1800" w:type="dxa"/>
          </w:tcPr>
          <w:p w:rsidRPr="00425500" w:rsidR="00EB6B25" w:rsidP="00425500" w:rsidRDefault="00EB6B25" w14:paraId="038BBEDA" w14:textId="77777777">
            <w:pPr>
              <w:spacing w:after="0"/>
              <w:rPr>
                <w:rFonts w:ascii="Times New Roman" w:hAnsi="Times New Roman" w:eastAsia="Times New Roman" w:cs="Times New Roman"/>
                <w:bCs/>
                <w:sz w:val="24"/>
                <w:szCs w:val="24"/>
              </w:rPr>
            </w:pPr>
            <w:r w:rsidRPr="00425500">
              <w:rPr>
                <w:rFonts w:ascii="Times New Roman" w:hAnsi="Times New Roman" w:eastAsia="Times New Roman" w:cs="Times New Roman"/>
                <w:sz w:val="24"/>
                <w:szCs w:val="24"/>
              </w:rPr>
              <w:t>Recordkeeping (ongoing starting in Year 1)</w:t>
            </w:r>
          </w:p>
        </w:tc>
        <w:tc>
          <w:tcPr>
            <w:tcW w:w="1350" w:type="dxa"/>
            <w:shd w:val="clear" w:color="auto" w:fill="auto"/>
            <w:vAlign w:val="bottom"/>
          </w:tcPr>
          <w:p w:rsidRPr="00425500" w:rsidR="00EB6B25" w:rsidP="00425500" w:rsidRDefault="00EB6B25" w14:paraId="23255E3B"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343</w:t>
            </w:r>
          </w:p>
        </w:tc>
        <w:tc>
          <w:tcPr>
            <w:tcW w:w="1350" w:type="dxa"/>
            <w:shd w:val="clear" w:color="auto" w:fill="auto"/>
            <w:vAlign w:val="bottom"/>
          </w:tcPr>
          <w:p w:rsidRPr="00425500" w:rsidR="00EB6B25" w:rsidP="00425500" w:rsidRDefault="00EB6B25" w14:paraId="6B9CB747"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1</w:t>
            </w:r>
          </w:p>
        </w:tc>
        <w:tc>
          <w:tcPr>
            <w:tcW w:w="1350" w:type="dxa"/>
            <w:shd w:val="clear" w:color="auto" w:fill="auto"/>
            <w:vAlign w:val="bottom"/>
          </w:tcPr>
          <w:p w:rsidRPr="00425500" w:rsidR="00EB6B25" w:rsidP="00425500" w:rsidRDefault="00EB6B25" w14:paraId="76300152"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343</w:t>
            </w:r>
          </w:p>
        </w:tc>
        <w:tc>
          <w:tcPr>
            <w:tcW w:w="1327" w:type="dxa"/>
            <w:shd w:val="clear" w:color="auto" w:fill="auto"/>
            <w:vAlign w:val="bottom"/>
          </w:tcPr>
          <w:p w:rsidRPr="00425500" w:rsidR="00EB6B25" w:rsidP="00425500" w:rsidRDefault="00EB6B25" w14:paraId="2AAFA199" w14:textId="29268E9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 xml:space="preserve">3 </w:t>
            </w:r>
            <w:r w:rsidRPr="00425500" w:rsidR="004C2E0F">
              <w:rPr>
                <w:rFonts w:ascii="Times New Roman" w:hAnsi="Times New Roman" w:eastAsia="Times New Roman" w:cs="Times New Roman"/>
                <w:bCs/>
                <w:sz w:val="24"/>
                <w:szCs w:val="24"/>
              </w:rPr>
              <w:t>hrs.,</w:t>
            </w:r>
            <w:r w:rsidRPr="00425500">
              <w:rPr>
                <w:rFonts w:ascii="Times New Roman" w:hAnsi="Times New Roman" w:eastAsia="Times New Roman" w:cs="Times New Roman"/>
                <w:bCs/>
                <w:sz w:val="24"/>
                <w:szCs w:val="24"/>
              </w:rPr>
              <w:t xml:space="preserve"> $123.09</w:t>
            </w:r>
          </w:p>
        </w:tc>
        <w:tc>
          <w:tcPr>
            <w:tcW w:w="1643" w:type="dxa"/>
            <w:tcBorders>
              <w:bottom w:val="single" w:color="auto" w:sz="4" w:space="0"/>
            </w:tcBorders>
            <w:shd w:val="clear" w:color="auto" w:fill="auto"/>
            <w:vAlign w:val="bottom"/>
          </w:tcPr>
          <w:p w:rsidRPr="00425500" w:rsidR="00EB6B25" w:rsidP="00425500" w:rsidRDefault="00EB6B25" w14:paraId="2ED73955" w14:textId="77777777">
            <w:pPr>
              <w:spacing w:after="0"/>
              <w:jc w:val="right"/>
              <w:rPr>
                <w:rFonts w:ascii="Times New Roman" w:hAnsi="Times New Roman" w:eastAsia="Times New Roman" w:cs="Times New Roman"/>
                <w:bCs/>
                <w:sz w:val="24"/>
                <w:szCs w:val="24"/>
              </w:rPr>
            </w:pPr>
            <w:r w:rsidRPr="00425500">
              <w:rPr>
                <w:rFonts w:ascii="Times New Roman" w:hAnsi="Times New Roman" w:eastAsia="Times New Roman" w:cs="Times New Roman"/>
                <w:bCs/>
                <w:sz w:val="24"/>
                <w:szCs w:val="24"/>
              </w:rPr>
              <w:t>1,029 hrs.; $42,219.87</w:t>
            </w:r>
          </w:p>
        </w:tc>
      </w:tr>
      <w:tr w:rsidRPr="00425500" w:rsidR="00EB6B25" w:rsidTr="00B62064" w14:paraId="770D7E6A" w14:textId="77777777">
        <w:trPr>
          <w:trHeight w:val="158"/>
        </w:trPr>
        <w:tc>
          <w:tcPr>
            <w:tcW w:w="1368" w:type="dxa"/>
            <w:tcBorders>
              <w:bottom w:val="single" w:color="auto" w:sz="4" w:space="0"/>
            </w:tcBorders>
            <w:shd w:val="clear" w:color="auto" w:fill="D9D9D9"/>
          </w:tcPr>
          <w:p w:rsidRPr="00425500" w:rsidR="00EB6B25" w:rsidP="00425500" w:rsidRDefault="00EB6B25" w14:paraId="723BC9DA" w14:textId="03830730">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 xml:space="preserve"> Sub-Total for CIP-010-4</w:t>
            </w:r>
            <w:r w:rsidR="00834831">
              <w:rPr>
                <w:rFonts w:ascii="Times New Roman" w:hAnsi="Times New Roman" w:eastAsia="Times New Roman" w:cs="Times New Roman"/>
                <w:b/>
                <w:sz w:val="24"/>
                <w:szCs w:val="24"/>
              </w:rPr>
              <w:t xml:space="preserve"> For Year 1</w:t>
            </w:r>
            <w:r w:rsidRPr="004515AD" w:rsidR="0019394F">
              <w:rPr>
                <w:rFonts w:ascii="Times New Roman" w:hAnsi="Times New Roman" w:eastAsia="Times New Roman" w:cs="Times New Roman"/>
                <w:b/>
                <w:sz w:val="24"/>
                <w:szCs w:val="24"/>
                <w:vertAlign w:val="superscript"/>
              </w:rPr>
              <w:fldChar w:fldCharType="begin"/>
            </w:r>
            <w:r w:rsidRPr="004515AD" w:rsidR="0019394F">
              <w:rPr>
                <w:rFonts w:ascii="Times New Roman" w:hAnsi="Times New Roman" w:eastAsia="Times New Roman" w:cs="Times New Roman"/>
                <w:b/>
                <w:sz w:val="24"/>
                <w:szCs w:val="24"/>
                <w:vertAlign w:val="superscript"/>
              </w:rPr>
              <w:instrText xml:space="preserve"> NOTEREF _Ref71117048 \h </w:instrText>
            </w:r>
            <w:r w:rsidR="0019394F">
              <w:rPr>
                <w:rFonts w:ascii="Times New Roman" w:hAnsi="Times New Roman" w:eastAsia="Times New Roman" w:cs="Times New Roman"/>
                <w:b/>
                <w:sz w:val="24"/>
                <w:szCs w:val="24"/>
                <w:vertAlign w:val="superscript"/>
              </w:rPr>
              <w:instrText xml:space="preserve"> \* MERGEFORMAT </w:instrText>
            </w:r>
            <w:r w:rsidRPr="004515AD" w:rsidR="0019394F">
              <w:rPr>
                <w:rFonts w:ascii="Times New Roman" w:hAnsi="Times New Roman" w:eastAsia="Times New Roman" w:cs="Times New Roman"/>
                <w:b/>
                <w:sz w:val="24"/>
                <w:szCs w:val="24"/>
                <w:vertAlign w:val="superscript"/>
              </w:rPr>
            </w:r>
            <w:r w:rsidRPr="004515AD" w:rsidR="0019394F">
              <w:rPr>
                <w:rFonts w:ascii="Times New Roman" w:hAnsi="Times New Roman" w:eastAsia="Times New Roman" w:cs="Times New Roman"/>
                <w:b/>
                <w:sz w:val="24"/>
                <w:szCs w:val="24"/>
                <w:vertAlign w:val="superscript"/>
              </w:rPr>
              <w:fldChar w:fldCharType="separate"/>
            </w:r>
            <w:r w:rsidRPr="004515AD" w:rsidR="0019394F">
              <w:rPr>
                <w:rFonts w:ascii="Times New Roman" w:hAnsi="Times New Roman" w:eastAsia="Times New Roman" w:cs="Times New Roman"/>
                <w:b/>
                <w:sz w:val="24"/>
                <w:szCs w:val="24"/>
                <w:vertAlign w:val="superscript"/>
              </w:rPr>
              <w:t>24</w:t>
            </w:r>
            <w:r w:rsidRPr="004515AD" w:rsidR="0019394F">
              <w:rPr>
                <w:rFonts w:ascii="Times New Roman" w:hAnsi="Times New Roman" w:eastAsia="Times New Roman" w:cs="Times New Roman"/>
                <w:b/>
                <w:sz w:val="24"/>
                <w:szCs w:val="24"/>
                <w:vertAlign w:val="superscript"/>
              </w:rPr>
              <w:fldChar w:fldCharType="end"/>
            </w:r>
          </w:p>
        </w:tc>
        <w:tc>
          <w:tcPr>
            <w:tcW w:w="1800" w:type="dxa"/>
            <w:tcBorders>
              <w:bottom w:val="single" w:color="auto" w:sz="4" w:space="0"/>
            </w:tcBorders>
            <w:shd w:val="clear" w:color="auto" w:fill="D9D9D9"/>
          </w:tcPr>
          <w:p w:rsidRPr="00425500" w:rsidR="00EB6B25" w:rsidP="00425500" w:rsidRDefault="00EB6B25" w14:paraId="7ABB93B2" w14:textId="77777777">
            <w:pPr>
              <w:spacing w:after="0"/>
              <w:jc w:val="center"/>
              <w:rPr>
                <w:rFonts w:ascii="Times New Roman" w:hAnsi="Times New Roman" w:eastAsia="Times New Roman" w:cs="Times New Roman"/>
                <w:b/>
                <w:sz w:val="24"/>
                <w:szCs w:val="24"/>
              </w:rPr>
            </w:pPr>
          </w:p>
        </w:tc>
        <w:tc>
          <w:tcPr>
            <w:tcW w:w="1350" w:type="dxa"/>
            <w:tcBorders>
              <w:bottom w:val="single" w:color="auto" w:sz="4" w:space="0"/>
            </w:tcBorders>
            <w:shd w:val="clear" w:color="auto" w:fill="D9D9D9"/>
          </w:tcPr>
          <w:p w:rsidRPr="00425500" w:rsidR="00EB6B25" w:rsidP="00425500" w:rsidRDefault="00EB6B25" w14:paraId="091E1C43" w14:textId="77777777">
            <w:pPr>
              <w:spacing w:after="0"/>
              <w:jc w:val="right"/>
              <w:rPr>
                <w:rFonts w:ascii="Times New Roman" w:hAnsi="Times New Roman" w:eastAsia="Times New Roman" w:cs="Times New Roman"/>
                <w:sz w:val="24"/>
                <w:szCs w:val="24"/>
              </w:rPr>
            </w:pPr>
          </w:p>
        </w:tc>
        <w:tc>
          <w:tcPr>
            <w:tcW w:w="1350" w:type="dxa"/>
            <w:tcBorders>
              <w:bottom w:val="single" w:color="auto" w:sz="4" w:space="0"/>
            </w:tcBorders>
            <w:shd w:val="clear" w:color="auto" w:fill="D9D9D9"/>
          </w:tcPr>
          <w:p w:rsidRPr="00425500" w:rsidR="00EB6B25" w:rsidP="00425500" w:rsidRDefault="00EB6B25" w14:paraId="632EEEE9" w14:textId="77777777">
            <w:pPr>
              <w:spacing w:after="0"/>
              <w:jc w:val="right"/>
              <w:rPr>
                <w:rFonts w:ascii="Times New Roman" w:hAnsi="Times New Roman" w:eastAsia="Times New Roman" w:cs="Times New Roman"/>
                <w:sz w:val="24"/>
                <w:szCs w:val="24"/>
              </w:rPr>
            </w:pPr>
          </w:p>
        </w:tc>
        <w:tc>
          <w:tcPr>
            <w:tcW w:w="1350" w:type="dxa"/>
            <w:tcBorders>
              <w:bottom w:val="single" w:color="auto" w:sz="4" w:space="0"/>
            </w:tcBorders>
            <w:shd w:val="clear" w:color="auto" w:fill="D9D9D9"/>
            <w:vAlign w:val="bottom"/>
          </w:tcPr>
          <w:p w:rsidRPr="00425500" w:rsidR="00EB6B25" w:rsidP="00425500" w:rsidRDefault="006E62CD" w14:paraId="1A903FCE" w14:textId="6695D5FB">
            <w:pPr>
              <w:spacing w:after="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1327" w:type="dxa"/>
            <w:tcBorders>
              <w:bottom w:val="single" w:color="auto" w:sz="4" w:space="0"/>
            </w:tcBorders>
            <w:shd w:val="clear" w:color="auto" w:fill="D9D9D9"/>
            <w:vAlign w:val="bottom"/>
          </w:tcPr>
          <w:p w:rsidRPr="00425500" w:rsidR="00EB6B25" w:rsidP="00425500" w:rsidRDefault="00EB6B25" w14:paraId="2AEC8F8A" w14:textId="77777777">
            <w:pPr>
              <w:spacing w:after="0"/>
              <w:jc w:val="right"/>
              <w:rPr>
                <w:rFonts w:ascii="Times New Roman" w:hAnsi="Times New Roman" w:eastAsia="Times New Roman" w:cs="Times New Roman"/>
                <w:sz w:val="24"/>
                <w:szCs w:val="24"/>
              </w:rPr>
            </w:pPr>
          </w:p>
        </w:tc>
        <w:tc>
          <w:tcPr>
            <w:tcW w:w="1643" w:type="dxa"/>
            <w:tcBorders>
              <w:bottom w:val="single" w:color="auto" w:sz="4" w:space="0"/>
            </w:tcBorders>
            <w:shd w:val="clear" w:color="auto" w:fill="D9D9D9"/>
            <w:vAlign w:val="bottom"/>
          </w:tcPr>
          <w:p w:rsidRPr="00425500" w:rsidR="00EB6B25" w:rsidP="00425500" w:rsidRDefault="00EB6B25" w14:paraId="504B6278" w14:textId="77777777">
            <w:pPr>
              <w:spacing w:after="0"/>
              <w:jc w:val="right"/>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5,145 hrs.; $396,401.67</w:t>
            </w:r>
          </w:p>
        </w:tc>
      </w:tr>
      <w:tr w:rsidRPr="00425500" w:rsidR="001933C0" w:rsidTr="00B62064" w14:paraId="1796CABF" w14:textId="77777777">
        <w:trPr>
          <w:trHeight w:val="158"/>
        </w:trPr>
        <w:tc>
          <w:tcPr>
            <w:tcW w:w="1368" w:type="dxa"/>
            <w:shd w:val="clear" w:color="auto" w:fill="D9D9D9"/>
          </w:tcPr>
          <w:p w:rsidRPr="00425500" w:rsidR="001933C0" w:rsidP="00425500" w:rsidRDefault="001933C0" w14:paraId="73E47C4E" w14:textId="7D29474B">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Sub-Total for Year 1 Burden</w:t>
            </w:r>
            <w:r w:rsidR="0043342F">
              <w:rPr>
                <w:rFonts w:ascii="Times New Roman" w:hAnsi="Times New Roman" w:eastAsia="Times New Roman" w:cs="Times New Roman"/>
                <w:b/>
                <w:sz w:val="24"/>
                <w:szCs w:val="24"/>
              </w:rPr>
              <w:t xml:space="preserve"> (Includes reporting and recordkeeping) </w:t>
            </w:r>
          </w:p>
        </w:tc>
        <w:tc>
          <w:tcPr>
            <w:tcW w:w="1800" w:type="dxa"/>
            <w:shd w:val="clear" w:color="auto" w:fill="D9D9D9"/>
          </w:tcPr>
          <w:p w:rsidRPr="00425500" w:rsidR="001933C0" w:rsidP="00425500" w:rsidRDefault="001933C0" w14:paraId="1F81B7BF" w14:textId="77777777">
            <w:pPr>
              <w:spacing w:after="0"/>
              <w:jc w:val="center"/>
              <w:rPr>
                <w:rFonts w:ascii="Times New Roman" w:hAnsi="Times New Roman" w:eastAsia="Times New Roman" w:cs="Times New Roman"/>
                <w:b/>
                <w:sz w:val="24"/>
                <w:szCs w:val="24"/>
              </w:rPr>
            </w:pPr>
          </w:p>
        </w:tc>
        <w:tc>
          <w:tcPr>
            <w:tcW w:w="1350" w:type="dxa"/>
            <w:shd w:val="clear" w:color="auto" w:fill="D9D9D9"/>
          </w:tcPr>
          <w:p w:rsidRPr="00425500" w:rsidR="001933C0" w:rsidP="00425500" w:rsidRDefault="001933C0" w14:paraId="4E72D428"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1933C0" w:rsidP="00425500" w:rsidRDefault="001933C0" w14:paraId="2641DE18" w14:textId="77777777">
            <w:pPr>
              <w:spacing w:after="0"/>
              <w:jc w:val="right"/>
              <w:rPr>
                <w:rFonts w:ascii="Times New Roman" w:hAnsi="Times New Roman" w:eastAsia="Times New Roman" w:cs="Times New Roman"/>
                <w:sz w:val="24"/>
                <w:szCs w:val="24"/>
              </w:rPr>
            </w:pPr>
          </w:p>
        </w:tc>
        <w:tc>
          <w:tcPr>
            <w:tcW w:w="1350" w:type="dxa"/>
            <w:shd w:val="clear" w:color="auto" w:fill="D9D9D9"/>
            <w:vAlign w:val="bottom"/>
          </w:tcPr>
          <w:p w:rsidR="001933C0" w:rsidP="00425500" w:rsidRDefault="001933C0" w14:paraId="47F21735" w14:textId="77777777">
            <w:pPr>
              <w:spacing w:after="0"/>
              <w:jc w:val="right"/>
              <w:rPr>
                <w:rFonts w:ascii="Times New Roman" w:hAnsi="Times New Roman" w:eastAsia="Times New Roman" w:cs="Times New Roman"/>
                <w:sz w:val="24"/>
                <w:szCs w:val="24"/>
              </w:rPr>
            </w:pPr>
          </w:p>
        </w:tc>
        <w:tc>
          <w:tcPr>
            <w:tcW w:w="1327" w:type="dxa"/>
            <w:shd w:val="clear" w:color="auto" w:fill="D9D9D9"/>
            <w:vAlign w:val="bottom"/>
          </w:tcPr>
          <w:p w:rsidRPr="006E62CD" w:rsidR="001933C0" w:rsidP="00425500" w:rsidRDefault="001933C0" w14:paraId="2D7139F3" w14:textId="77777777">
            <w:pPr>
              <w:spacing w:after="0"/>
              <w:jc w:val="right"/>
              <w:rPr>
                <w:rFonts w:ascii="Times New Roman" w:hAnsi="Times New Roman" w:eastAsia="Times New Roman" w:cs="Times New Roman"/>
                <w:bCs/>
                <w:sz w:val="24"/>
                <w:szCs w:val="24"/>
              </w:rPr>
            </w:pPr>
          </w:p>
        </w:tc>
        <w:tc>
          <w:tcPr>
            <w:tcW w:w="1643" w:type="dxa"/>
            <w:shd w:val="clear" w:color="auto" w:fill="D9D9D9"/>
            <w:vAlign w:val="bottom"/>
          </w:tcPr>
          <w:p w:rsidRPr="00425500" w:rsidR="001933C0" w:rsidP="00425500" w:rsidRDefault="001933C0" w14:paraId="6BC8F61E" w14:textId="440A3DE3">
            <w:pPr>
              <w:spacing w:after="0"/>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58,653 hrs.</w:t>
            </w:r>
          </w:p>
        </w:tc>
      </w:tr>
      <w:tr w:rsidRPr="00425500" w:rsidR="001933C0" w:rsidTr="00B62064" w14:paraId="35B2102C" w14:textId="77777777">
        <w:trPr>
          <w:trHeight w:val="158"/>
        </w:trPr>
        <w:tc>
          <w:tcPr>
            <w:tcW w:w="1368" w:type="dxa"/>
            <w:shd w:val="clear" w:color="auto" w:fill="D9D9D9"/>
          </w:tcPr>
          <w:p w:rsidR="001933C0" w:rsidP="00425500" w:rsidRDefault="001933C0" w14:paraId="1ABC902D" w14:textId="45CE81B8">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Sub-Total for Year 2 Burden</w:t>
            </w:r>
            <w:r w:rsidR="0043342F">
              <w:rPr>
                <w:rFonts w:ascii="Times New Roman" w:hAnsi="Times New Roman" w:eastAsia="Times New Roman" w:cs="Times New Roman"/>
                <w:b/>
                <w:sz w:val="24"/>
                <w:szCs w:val="24"/>
              </w:rPr>
              <w:t xml:space="preserve"> (Includes reporting and recordkeeping)</w:t>
            </w:r>
          </w:p>
        </w:tc>
        <w:tc>
          <w:tcPr>
            <w:tcW w:w="1800" w:type="dxa"/>
            <w:shd w:val="clear" w:color="auto" w:fill="D9D9D9"/>
          </w:tcPr>
          <w:p w:rsidRPr="00425500" w:rsidR="001933C0" w:rsidP="00425500" w:rsidRDefault="001933C0" w14:paraId="4EF3C1E6" w14:textId="77777777">
            <w:pPr>
              <w:spacing w:after="0"/>
              <w:jc w:val="center"/>
              <w:rPr>
                <w:rFonts w:ascii="Times New Roman" w:hAnsi="Times New Roman" w:eastAsia="Times New Roman" w:cs="Times New Roman"/>
                <w:b/>
                <w:sz w:val="24"/>
                <w:szCs w:val="24"/>
              </w:rPr>
            </w:pPr>
          </w:p>
        </w:tc>
        <w:tc>
          <w:tcPr>
            <w:tcW w:w="1350" w:type="dxa"/>
            <w:shd w:val="clear" w:color="auto" w:fill="D9D9D9"/>
          </w:tcPr>
          <w:p w:rsidRPr="00425500" w:rsidR="001933C0" w:rsidP="00425500" w:rsidRDefault="001933C0" w14:paraId="78626D31"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1933C0" w:rsidP="00425500" w:rsidRDefault="001933C0" w14:paraId="7303EC6E" w14:textId="77777777">
            <w:pPr>
              <w:spacing w:after="0"/>
              <w:jc w:val="right"/>
              <w:rPr>
                <w:rFonts w:ascii="Times New Roman" w:hAnsi="Times New Roman" w:eastAsia="Times New Roman" w:cs="Times New Roman"/>
                <w:sz w:val="24"/>
                <w:szCs w:val="24"/>
              </w:rPr>
            </w:pPr>
          </w:p>
        </w:tc>
        <w:tc>
          <w:tcPr>
            <w:tcW w:w="1350" w:type="dxa"/>
            <w:shd w:val="clear" w:color="auto" w:fill="D9D9D9"/>
            <w:vAlign w:val="bottom"/>
          </w:tcPr>
          <w:p w:rsidR="001933C0" w:rsidP="00425500" w:rsidRDefault="001933C0" w14:paraId="78922D12" w14:textId="77777777">
            <w:pPr>
              <w:spacing w:after="0"/>
              <w:jc w:val="right"/>
              <w:rPr>
                <w:rFonts w:ascii="Times New Roman" w:hAnsi="Times New Roman" w:eastAsia="Times New Roman" w:cs="Times New Roman"/>
                <w:sz w:val="24"/>
                <w:szCs w:val="24"/>
              </w:rPr>
            </w:pPr>
          </w:p>
        </w:tc>
        <w:tc>
          <w:tcPr>
            <w:tcW w:w="1327" w:type="dxa"/>
            <w:shd w:val="clear" w:color="auto" w:fill="D9D9D9"/>
            <w:vAlign w:val="bottom"/>
          </w:tcPr>
          <w:p w:rsidRPr="006E62CD" w:rsidR="001933C0" w:rsidP="00425500" w:rsidRDefault="001933C0" w14:paraId="1AD80826" w14:textId="77777777">
            <w:pPr>
              <w:spacing w:after="0"/>
              <w:jc w:val="right"/>
              <w:rPr>
                <w:rFonts w:ascii="Times New Roman" w:hAnsi="Times New Roman" w:eastAsia="Times New Roman" w:cs="Times New Roman"/>
                <w:bCs/>
                <w:sz w:val="24"/>
                <w:szCs w:val="24"/>
              </w:rPr>
            </w:pPr>
          </w:p>
        </w:tc>
        <w:tc>
          <w:tcPr>
            <w:tcW w:w="1643" w:type="dxa"/>
            <w:shd w:val="clear" w:color="auto" w:fill="D9D9D9"/>
            <w:vAlign w:val="bottom"/>
          </w:tcPr>
          <w:p w:rsidR="001933C0" w:rsidP="00425500" w:rsidRDefault="001933C0" w14:paraId="6CBD4FFA" w14:textId="0B79C554">
            <w:pPr>
              <w:spacing w:after="0"/>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14,063 hrs.</w:t>
            </w:r>
          </w:p>
        </w:tc>
      </w:tr>
      <w:tr w:rsidRPr="00425500" w:rsidR="001933C0" w:rsidTr="00B62064" w14:paraId="6CB7C671" w14:textId="77777777">
        <w:trPr>
          <w:trHeight w:val="158"/>
        </w:trPr>
        <w:tc>
          <w:tcPr>
            <w:tcW w:w="1368" w:type="dxa"/>
            <w:shd w:val="clear" w:color="auto" w:fill="D9D9D9"/>
          </w:tcPr>
          <w:p w:rsidR="001933C0" w:rsidP="00425500" w:rsidRDefault="001933C0" w14:paraId="59E98465" w14:textId="668F0822">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Sub-Total for Year 3 Burden</w:t>
            </w:r>
          </w:p>
        </w:tc>
        <w:tc>
          <w:tcPr>
            <w:tcW w:w="1800" w:type="dxa"/>
            <w:shd w:val="clear" w:color="auto" w:fill="D9D9D9"/>
          </w:tcPr>
          <w:p w:rsidRPr="00425500" w:rsidR="001933C0" w:rsidP="00425500" w:rsidRDefault="001933C0" w14:paraId="6E8904AF" w14:textId="77777777">
            <w:pPr>
              <w:spacing w:after="0"/>
              <w:jc w:val="center"/>
              <w:rPr>
                <w:rFonts w:ascii="Times New Roman" w:hAnsi="Times New Roman" w:eastAsia="Times New Roman" w:cs="Times New Roman"/>
                <w:b/>
                <w:sz w:val="24"/>
                <w:szCs w:val="24"/>
              </w:rPr>
            </w:pPr>
          </w:p>
        </w:tc>
        <w:tc>
          <w:tcPr>
            <w:tcW w:w="1350" w:type="dxa"/>
            <w:shd w:val="clear" w:color="auto" w:fill="D9D9D9"/>
          </w:tcPr>
          <w:p w:rsidRPr="00425500" w:rsidR="001933C0" w:rsidP="00425500" w:rsidRDefault="001933C0" w14:paraId="1985A04B"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1933C0" w:rsidP="00425500" w:rsidRDefault="001933C0" w14:paraId="36631452" w14:textId="77777777">
            <w:pPr>
              <w:spacing w:after="0"/>
              <w:jc w:val="right"/>
              <w:rPr>
                <w:rFonts w:ascii="Times New Roman" w:hAnsi="Times New Roman" w:eastAsia="Times New Roman" w:cs="Times New Roman"/>
                <w:sz w:val="24"/>
                <w:szCs w:val="24"/>
              </w:rPr>
            </w:pPr>
          </w:p>
        </w:tc>
        <w:tc>
          <w:tcPr>
            <w:tcW w:w="1350" w:type="dxa"/>
            <w:shd w:val="clear" w:color="auto" w:fill="D9D9D9"/>
            <w:vAlign w:val="bottom"/>
          </w:tcPr>
          <w:p w:rsidR="001933C0" w:rsidP="00425500" w:rsidRDefault="001933C0" w14:paraId="120F54AD" w14:textId="77777777">
            <w:pPr>
              <w:spacing w:after="0"/>
              <w:jc w:val="right"/>
              <w:rPr>
                <w:rFonts w:ascii="Times New Roman" w:hAnsi="Times New Roman" w:eastAsia="Times New Roman" w:cs="Times New Roman"/>
                <w:sz w:val="24"/>
                <w:szCs w:val="24"/>
              </w:rPr>
            </w:pPr>
          </w:p>
        </w:tc>
        <w:tc>
          <w:tcPr>
            <w:tcW w:w="1327" w:type="dxa"/>
            <w:shd w:val="clear" w:color="auto" w:fill="D9D9D9"/>
            <w:vAlign w:val="bottom"/>
          </w:tcPr>
          <w:p w:rsidRPr="006E62CD" w:rsidR="001933C0" w:rsidP="00425500" w:rsidRDefault="001933C0" w14:paraId="71301DE0" w14:textId="77777777">
            <w:pPr>
              <w:spacing w:after="0"/>
              <w:jc w:val="right"/>
              <w:rPr>
                <w:rFonts w:ascii="Times New Roman" w:hAnsi="Times New Roman" w:eastAsia="Times New Roman" w:cs="Times New Roman"/>
                <w:bCs/>
                <w:sz w:val="24"/>
                <w:szCs w:val="24"/>
              </w:rPr>
            </w:pPr>
          </w:p>
        </w:tc>
        <w:tc>
          <w:tcPr>
            <w:tcW w:w="1643" w:type="dxa"/>
            <w:shd w:val="clear" w:color="auto" w:fill="D9D9D9"/>
            <w:vAlign w:val="bottom"/>
          </w:tcPr>
          <w:p w:rsidR="001933C0" w:rsidP="00425500" w:rsidRDefault="001933C0" w14:paraId="5DF720F2" w14:textId="1E53B63B">
            <w:pPr>
              <w:spacing w:after="0"/>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14,063 hrs.</w:t>
            </w:r>
          </w:p>
        </w:tc>
      </w:tr>
      <w:tr w:rsidRPr="00425500" w:rsidR="00EB6B25" w:rsidTr="00B62064" w14:paraId="50DA68FA" w14:textId="77777777">
        <w:trPr>
          <w:trHeight w:val="158"/>
        </w:trPr>
        <w:tc>
          <w:tcPr>
            <w:tcW w:w="1368" w:type="dxa"/>
            <w:shd w:val="clear" w:color="auto" w:fill="D9D9D9"/>
          </w:tcPr>
          <w:p w:rsidRPr="00425500" w:rsidR="00EB6B25" w:rsidP="00425500" w:rsidRDefault="00EB6B25" w14:paraId="5BB7AD21" w14:textId="7418A155">
            <w:pPr>
              <w:spacing w:after="0"/>
              <w:rPr>
                <w:rFonts w:ascii="Times New Roman" w:hAnsi="Times New Roman" w:eastAsia="Times New Roman" w:cs="Times New Roman"/>
                <w:b/>
                <w:sz w:val="24"/>
                <w:szCs w:val="24"/>
              </w:rPr>
            </w:pPr>
            <w:r w:rsidRPr="00425500">
              <w:rPr>
                <w:rFonts w:ascii="Times New Roman" w:hAnsi="Times New Roman" w:eastAsia="Times New Roman" w:cs="Times New Roman"/>
                <w:b/>
                <w:sz w:val="24"/>
                <w:szCs w:val="24"/>
              </w:rPr>
              <w:t xml:space="preserve">Total </w:t>
            </w:r>
            <w:r w:rsidR="001933C0">
              <w:rPr>
                <w:rFonts w:ascii="Times New Roman" w:hAnsi="Times New Roman" w:eastAsia="Times New Roman" w:cs="Times New Roman"/>
                <w:b/>
                <w:sz w:val="24"/>
                <w:szCs w:val="24"/>
              </w:rPr>
              <w:t xml:space="preserve">Average </w:t>
            </w:r>
            <w:r w:rsidRPr="00425500">
              <w:rPr>
                <w:rFonts w:ascii="Times New Roman" w:hAnsi="Times New Roman" w:eastAsia="Times New Roman" w:cs="Times New Roman"/>
                <w:b/>
                <w:sz w:val="24"/>
                <w:szCs w:val="24"/>
              </w:rPr>
              <w:t>Annual Burden Hrs.</w:t>
            </w:r>
            <w:r w:rsidR="001933C0">
              <w:rPr>
                <w:rFonts w:ascii="Times New Roman" w:hAnsi="Times New Roman" w:eastAsia="Times New Roman" w:cs="Times New Roman"/>
                <w:b/>
                <w:sz w:val="24"/>
                <w:szCs w:val="24"/>
              </w:rPr>
              <w:t xml:space="preserve"> for Years 1-3,</w:t>
            </w:r>
            <w:r w:rsidRPr="00425500">
              <w:rPr>
                <w:rFonts w:ascii="Times New Roman" w:hAnsi="Times New Roman" w:eastAsia="Times New Roman" w:cs="Times New Roman"/>
                <w:b/>
                <w:sz w:val="24"/>
                <w:szCs w:val="24"/>
              </w:rPr>
              <w:t xml:space="preserve"> and Cost</w:t>
            </w:r>
            <w:r w:rsidRPr="004515AD" w:rsidR="0001162E">
              <w:rPr>
                <w:rStyle w:val="FootnoteReference"/>
                <w:rFonts w:ascii="Times New Roman" w:hAnsi="Times New Roman" w:eastAsia="Times New Roman" w:cs="Times New Roman"/>
                <w:b/>
                <w:sz w:val="24"/>
                <w:szCs w:val="24"/>
                <w:vertAlign w:val="superscript"/>
              </w:rPr>
              <w:footnoteReference w:id="25"/>
            </w:r>
            <w:r w:rsidRPr="00425500">
              <w:rPr>
                <w:rFonts w:ascii="Times New Roman" w:hAnsi="Times New Roman" w:eastAsia="Times New Roman" w:cs="Times New Roman"/>
                <w:b/>
                <w:sz w:val="24"/>
                <w:szCs w:val="24"/>
              </w:rPr>
              <w:t xml:space="preserve">, </w:t>
            </w:r>
            <w:r w:rsidRPr="00425500">
              <w:rPr>
                <w:rFonts w:ascii="Times New Roman" w:hAnsi="Times New Roman" w:eastAsia="Times New Roman" w:cs="Times New Roman"/>
                <w:b/>
                <w:sz w:val="24"/>
                <w:szCs w:val="24"/>
              </w:rPr>
              <w:lastRenderedPageBreak/>
              <w:t>due to RD21-2</w:t>
            </w:r>
          </w:p>
        </w:tc>
        <w:tc>
          <w:tcPr>
            <w:tcW w:w="1800" w:type="dxa"/>
            <w:shd w:val="clear" w:color="auto" w:fill="D9D9D9"/>
          </w:tcPr>
          <w:p w:rsidRPr="00425500" w:rsidR="00EB6B25" w:rsidP="00425500" w:rsidRDefault="00EB6B25" w14:paraId="3079B84F" w14:textId="77777777">
            <w:pPr>
              <w:spacing w:after="0"/>
              <w:jc w:val="center"/>
              <w:rPr>
                <w:rFonts w:ascii="Times New Roman" w:hAnsi="Times New Roman" w:eastAsia="Times New Roman" w:cs="Times New Roman"/>
                <w:b/>
                <w:sz w:val="24"/>
                <w:szCs w:val="24"/>
              </w:rPr>
            </w:pPr>
          </w:p>
        </w:tc>
        <w:tc>
          <w:tcPr>
            <w:tcW w:w="1350" w:type="dxa"/>
            <w:shd w:val="clear" w:color="auto" w:fill="D9D9D9"/>
          </w:tcPr>
          <w:p w:rsidRPr="00425500" w:rsidR="00EB6B25" w:rsidP="00425500" w:rsidRDefault="00EB6B25" w14:paraId="48A08910" w14:textId="77777777">
            <w:pPr>
              <w:spacing w:after="0"/>
              <w:jc w:val="right"/>
              <w:rPr>
                <w:rFonts w:ascii="Times New Roman" w:hAnsi="Times New Roman" w:eastAsia="Times New Roman" w:cs="Times New Roman"/>
                <w:sz w:val="24"/>
                <w:szCs w:val="24"/>
              </w:rPr>
            </w:pPr>
          </w:p>
        </w:tc>
        <w:tc>
          <w:tcPr>
            <w:tcW w:w="1350" w:type="dxa"/>
            <w:shd w:val="clear" w:color="auto" w:fill="D9D9D9"/>
          </w:tcPr>
          <w:p w:rsidRPr="00425500" w:rsidR="00EB6B25" w:rsidP="00425500" w:rsidRDefault="00EB6B25" w14:paraId="51B706E6" w14:textId="77777777">
            <w:pPr>
              <w:spacing w:after="0"/>
              <w:jc w:val="right"/>
              <w:rPr>
                <w:rFonts w:ascii="Times New Roman" w:hAnsi="Times New Roman" w:eastAsia="Times New Roman" w:cs="Times New Roman"/>
                <w:sz w:val="24"/>
                <w:szCs w:val="24"/>
              </w:rPr>
            </w:pPr>
          </w:p>
        </w:tc>
        <w:tc>
          <w:tcPr>
            <w:tcW w:w="1350" w:type="dxa"/>
            <w:shd w:val="clear" w:color="auto" w:fill="D9D9D9"/>
            <w:vAlign w:val="bottom"/>
          </w:tcPr>
          <w:p w:rsidRPr="00425500" w:rsidR="00EB6B25" w:rsidP="00425500" w:rsidRDefault="006E62CD" w14:paraId="75908875" w14:textId="28DB1B11">
            <w:pPr>
              <w:spacing w:after="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343</w:t>
            </w:r>
          </w:p>
        </w:tc>
        <w:tc>
          <w:tcPr>
            <w:tcW w:w="1327" w:type="dxa"/>
            <w:shd w:val="clear" w:color="auto" w:fill="D9D9D9"/>
            <w:vAlign w:val="bottom"/>
          </w:tcPr>
          <w:p w:rsidRPr="006E62CD" w:rsidR="00EB6B25" w:rsidP="00425500" w:rsidRDefault="00EB6B25" w14:paraId="44CFE7B7" w14:textId="1BDDA0CD">
            <w:pPr>
              <w:spacing w:after="0"/>
              <w:jc w:val="right"/>
              <w:rPr>
                <w:rFonts w:ascii="Times New Roman" w:hAnsi="Times New Roman" w:eastAsia="Times New Roman" w:cs="Times New Roman"/>
                <w:bCs/>
                <w:sz w:val="24"/>
                <w:szCs w:val="24"/>
              </w:rPr>
            </w:pPr>
          </w:p>
        </w:tc>
        <w:tc>
          <w:tcPr>
            <w:tcW w:w="1643" w:type="dxa"/>
            <w:shd w:val="clear" w:color="auto" w:fill="D9D9D9"/>
            <w:vAlign w:val="bottom"/>
          </w:tcPr>
          <w:p w:rsidRPr="00425500" w:rsidR="00EB6B25" w:rsidP="00425500" w:rsidRDefault="001933C0" w14:paraId="76F93104" w14:textId="0E53B050">
            <w:pPr>
              <w:spacing w:after="0"/>
              <w:jc w:val="right"/>
              <w:rPr>
                <w:rFonts w:ascii="Times New Roman" w:hAnsi="Times New Roman" w:eastAsia="Times New Roman" w:cs="Times New Roman"/>
                <w:b/>
                <w:sz w:val="24"/>
                <w:szCs w:val="24"/>
              </w:rPr>
            </w:pPr>
            <w:bookmarkStart w:name="_Hlk71102531" w:id="10"/>
            <w:r>
              <w:rPr>
                <w:rFonts w:ascii="Times New Roman" w:hAnsi="Times New Roman" w:eastAsia="Times New Roman" w:cs="Times New Roman"/>
                <w:b/>
                <w:sz w:val="24"/>
                <w:szCs w:val="24"/>
              </w:rPr>
              <w:t>28,926.33</w:t>
            </w:r>
            <w:r w:rsidRPr="00425500" w:rsidR="00EB6B25">
              <w:rPr>
                <w:rFonts w:ascii="Times New Roman" w:hAnsi="Times New Roman" w:eastAsia="Times New Roman" w:cs="Times New Roman"/>
                <w:b/>
                <w:sz w:val="24"/>
                <w:szCs w:val="24"/>
              </w:rPr>
              <w:t xml:space="preserve"> </w:t>
            </w:r>
            <w:bookmarkEnd w:id="10"/>
            <w:r w:rsidRPr="00425500" w:rsidR="00EB6B25">
              <w:rPr>
                <w:rFonts w:ascii="Times New Roman" w:hAnsi="Times New Roman" w:eastAsia="Times New Roman" w:cs="Times New Roman"/>
                <w:b/>
                <w:sz w:val="24"/>
                <w:szCs w:val="24"/>
              </w:rPr>
              <w:t xml:space="preserve">hrs.; </w:t>
            </w:r>
            <w:r w:rsidRPr="004515AD" w:rsidR="00EB6B25">
              <w:rPr>
                <w:rFonts w:ascii="Times New Roman" w:hAnsi="Times New Roman" w:eastAsia="Times New Roman" w:cs="Times New Roman"/>
                <w:b/>
                <w:sz w:val="24"/>
                <w:szCs w:val="24"/>
              </w:rPr>
              <w:t>$</w:t>
            </w:r>
            <w:r w:rsidRPr="004515AD" w:rsidR="0001162E">
              <w:rPr>
                <w:rFonts w:ascii="Times New Roman" w:hAnsi="Times New Roman" w:eastAsia="Times New Roman" w:cs="Times New Roman"/>
                <w:b/>
                <w:sz w:val="24"/>
                <w:szCs w:val="24"/>
              </w:rPr>
              <w:t>2</w:t>
            </w:r>
            <w:r w:rsidR="0001162E">
              <w:rPr>
                <w:rFonts w:ascii="Times New Roman" w:hAnsi="Times New Roman" w:eastAsia="Times New Roman" w:cs="Times New Roman"/>
                <w:b/>
                <w:sz w:val="24"/>
                <w:szCs w:val="24"/>
              </w:rPr>
              <w:t>,</w:t>
            </w:r>
            <w:r w:rsidR="00691032">
              <w:rPr>
                <w:rFonts w:ascii="Times New Roman" w:hAnsi="Times New Roman" w:eastAsia="Times New Roman" w:cs="Times New Roman"/>
                <w:b/>
                <w:sz w:val="24"/>
                <w:szCs w:val="24"/>
              </w:rPr>
              <w:t>555,371.72</w:t>
            </w:r>
          </w:p>
        </w:tc>
      </w:tr>
    </w:tbl>
    <w:p w:rsidR="00EB6B25" w:rsidP="00425500" w:rsidRDefault="00EB6B25" w14:paraId="66B660B4" w14:textId="54F8096A">
      <w:pPr>
        <w:spacing w:after="0"/>
        <w:rPr>
          <w:rFonts w:ascii="Times New Roman" w:hAnsi="Times New Roman" w:cs="Times New Roman"/>
          <w:sz w:val="24"/>
          <w:szCs w:val="24"/>
        </w:rPr>
      </w:pPr>
    </w:p>
    <w:p w:rsidR="00915405" w:rsidP="00CF3EF8" w:rsidRDefault="0001162E" w14:paraId="0B6DA72C" w14:textId="6C9CAB09">
      <w:pPr>
        <w:spacing w:after="0"/>
        <w:rPr>
          <w:rFonts w:ascii="Times New Roman" w:hAnsi="Times New Roman" w:cs="Times New Roman"/>
          <w:sz w:val="24"/>
          <w:szCs w:val="24"/>
        </w:rPr>
      </w:pPr>
      <w:r>
        <w:rPr>
          <w:rFonts w:ascii="Times New Roman" w:hAnsi="Times New Roman" w:cs="Times New Roman"/>
          <w:sz w:val="24"/>
          <w:szCs w:val="24"/>
        </w:rPr>
        <w:t xml:space="preserve">The subtotal for reporting and recordkeeping burden hours for all three </w:t>
      </w:r>
      <w:proofErr w:type="spellStart"/>
      <w:r>
        <w:rPr>
          <w:rFonts w:ascii="Times New Roman" w:hAnsi="Times New Roman" w:cs="Times New Roman"/>
          <w:sz w:val="24"/>
          <w:szCs w:val="24"/>
        </w:rPr>
        <w:t>standars</w:t>
      </w:r>
      <w:proofErr w:type="spellEnd"/>
      <w:r>
        <w:rPr>
          <w:rFonts w:ascii="Times New Roman" w:hAnsi="Times New Roman" w:cs="Times New Roman"/>
          <w:sz w:val="24"/>
          <w:szCs w:val="24"/>
        </w:rPr>
        <w:t xml:space="preserve"> for each year is as follows:</w:t>
      </w:r>
    </w:p>
    <w:p w:rsidR="00915405" w:rsidP="00CF3EF8" w:rsidRDefault="00915405" w14:paraId="57DED96C" w14:textId="11EEC51B">
      <w:pPr>
        <w:spacing w:after="0"/>
        <w:rPr>
          <w:rFonts w:ascii="Times New Roman" w:hAnsi="Times New Roman" w:cs="Times New Roman"/>
          <w:sz w:val="24"/>
          <w:szCs w:val="24"/>
        </w:rPr>
      </w:pPr>
      <w:r>
        <w:rPr>
          <w:rFonts w:ascii="Times New Roman" w:hAnsi="Times New Roman" w:cs="Times New Roman"/>
          <w:sz w:val="24"/>
          <w:szCs w:val="24"/>
        </w:rPr>
        <w:t>Year 1: 58,653</w:t>
      </w:r>
      <w:r w:rsidR="0001162E">
        <w:rPr>
          <w:rFonts w:ascii="Times New Roman" w:hAnsi="Times New Roman" w:cs="Times New Roman"/>
          <w:sz w:val="24"/>
          <w:szCs w:val="24"/>
        </w:rPr>
        <w:t xml:space="preserve"> hours</w:t>
      </w:r>
    </w:p>
    <w:p w:rsidR="00915405" w:rsidP="00CF3EF8" w:rsidRDefault="00915405" w14:paraId="1016A06C" w14:textId="3056A31E">
      <w:pPr>
        <w:spacing w:after="0"/>
        <w:rPr>
          <w:rFonts w:ascii="Times New Roman" w:hAnsi="Times New Roman" w:cs="Times New Roman"/>
          <w:sz w:val="24"/>
          <w:szCs w:val="24"/>
        </w:rPr>
      </w:pPr>
      <w:r>
        <w:rPr>
          <w:rFonts w:ascii="Times New Roman" w:hAnsi="Times New Roman" w:cs="Times New Roman"/>
          <w:sz w:val="24"/>
          <w:szCs w:val="24"/>
        </w:rPr>
        <w:t>Year 2: 14,063</w:t>
      </w:r>
      <w:r w:rsidR="0001162E">
        <w:rPr>
          <w:rFonts w:ascii="Times New Roman" w:hAnsi="Times New Roman" w:cs="Times New Roman"/>
          <w:sz w:val="24"/>
          <w:szCs w:val="24"/>
        </w:rPr>
        <w:t xml:space="preserve"> hours </w:t>
      </w:r>
    </w:p>
    <w:p w:rsidR="00915405" w:rsidP="00CF3EF8" w:rsidRDefault="00915405" w14:paraId="08C25DF7" w14:textId="0CACE980">
      <w:pPr>
        <w:spacing w:after="0"/>
        <w:rPr>
          <w:rFonts w:ascii="Times New Roman" w:hAnsi="Times New Roman" w:cs="Times New Roman"/>
          <w:sz w:val="24"/>
          <w:szCs w:val="24"/>
        </w:rPr>
      </w:pPr>
      <w:r>
        <w:rPr>
          <w:rFonts w:ascii="Times New Roman" w:hAnsi="Times New Roman" w:cs="Times New Roman"/>
          <w:sz w:val="24"/>
          <w:szCs w:val="24"/>
        </w:rPr>
        <w:t>Year 3: 14,063</w:t>
      </w:r>
      <w:r w:rsidR="0001162E">
        <w:rPr>
          <w:rFonts w:ascii="Times New Roman" w:hAnsi="Times New Roman" w:cs="Times New Roman"/>
          <w:sz w:val="24"/>
          <w:szCs w:val="24"/>
        </w:rPr>
        <w:t xml:space="preserve"> hours</w:t>
      </w:r>
    </w:p>
    <w:p w:rsidR="00223900" w:rsidP="00CF3EF8" w:rsidRDefault="00223900" w14:paraId="60869E5A" w14:textId="2775CE25">
      <w:pPr>
        <w:spacing w:after="0"/>
        <w:rPr>
          <w:rFonts w:ascii="Times New Roman" w:hAnsi="Times New Roman" w:cs="Times New Roman"/>
          <w:sz w:val="24"/>
          <w:szCs w:val="24"/>
        </w:rPr>
      </w:pPr>
    </w:p>
    <w:p w:rsidR="00223900" w:rsidP="00223900" w:rsidRDefault="00223900" w14:paraId="4F50EDBF" w14:textId="77777777">
      <w:pPr>
        <w:spacing w:after="0"/>
        <w:rPr>
          <w:rFonts w:ascii="Times New Roman" w:hAnsi="Times New Roman" w:cs="Times New Roman"/>
          <w:sz w:val="24"/>
          <w:szCs w:val="24"/>
        </w:rPr>
      </w:pPr>
      <w:r w:rsidRPr="00B62064">
        <w:rPr>
          <w:rFonts w:ascii="Times New Roman" w:hAnsi="Times New Roman" w:cs="Times New Roman"/>
          <w:sz w:val="24"/>
          <w:szCs w:val="24"/>
        </w:rPr>
        <w:t>For administrative purposes, we are averaging the one-time burden in Year 1</w:t>
      </w:r>
      <w:r>
        <w:rPr>
          <w:rFonts w:ascii="Times New Roman" w:hAnsi="Times New Roman" w:cs="Times New Roman"/>
          <w:sz w:val="24"/>
          <w:szCs w:val="24"/>
        </w:rPr>
        <w:t xml:space="preserve"> and ongoing burden</w:t>
      </w:r>
      <w:r w:rsidRPr="00B62064">
        <w:rPr>
          <w:rFonts w:ascii="Times New Roman" w:hAnsi="Times New Roman" w:cs="Times New Roman"/>
          <w:sz w:val="24"/>
          <w:szCs w:val="24"/>
        </w:rPr>
        <w:t xml:space="preserve"> over a </w:t>
      </w:r>
      <w:proofErr w:type="gramStart"/>
      <w:r w:rsidRPr="00B62064">
        <w:rPr>
          <w:rFonts w:ascii="Times New Roman" w:hAnsi="Times New Roman" w:cs="Times New Roman"/>
          <w:sz w:val="24"/>
          <w:szCs w:val="24"/>
        </w:rPr>
        <w:t>three year</w:t>
      </w:r>
      <w:proofErr w:type="gramEnd"/>
      <w:r w:rsidRPr="00B62064">
        <w:rPr>
          <w:rFonts w:ascii="Times New Roman" w:hAnsi="Times New Roman" w:cs="Times New Roman"/>
          <w:sz w:val="24"/>
          <w:szCs w:val="24"/>
        </w:rPr>
        <w:t xml:space="preserve"> period</w:t>
      </w:r>
      <w:r>
        <w:rPr>
          <w:rFonts w:ascii="Times New Roman" w:hAnsi="Times New Roman" w:cs="Times New Roman"/>
          <w:sz w:val="24"/>
          <w:szCs w:val="24"/>
        </w:rPr>
        <w:t xml:space="preserve"> for each </w:t>
      </w:r>
      <w:r w:rsidRPr="00B62064">
        <w:rPr>
          <w:rFonts w:ascii="Times New Roman" w:hAnsi="Times New Roman" w:cs="Times New Roman"/>
          <w:sz w:val="24"/>
          <w:szCs w:val="24"/>
        </w:rPr>
        <w:t xml:space="preserve">Reliability Standard. </w:t>
      </w:r>
      <w:r>
        <w:rPr>
          <w:rFonts w:ascii="Times New Roman" w:hAnsi="Times New Roman" w:cs="Times New Roman"/>
          <w:sz w:val="24"/>
          <w:szCs w:val="24"/>
        </w:rPr>
        <w:t>Exact calculations can be found in footnotes 23 and 24.</w:t>
      </w:r>
    </w:p>
    <w:p w:rsidR="0001162E" w:rsidP="00CF3EF8" w:rsidRDefault="0001162E" w14:paraId="42AD5A6D" w14:textId="0F72D90C">
      <w:pPr>
        <w:spacing w:after="0"/>
        <w:rPr>
          <w:rFonts w:ascii="Times New Roman" w:hAnsi="Times New Roman" w:cs="Times New Roman"/>
          <w:sz w:val="24"/>
          <w:szCs w:val="24"/>
        </w:rPr>
      </w:pPr>
    </w:p>
    <w:p w:rsidR="0001162E" w:rsidP="00CF3EF8" w:rsidRDefault="00223900" w14:paraId="43FD65D8" w14:textId="30C1DE73">
      <w:pPr>
        <w:spacing w:after="0"/>
        <w:rPr>
          <w:rFonts w:ascii="Times New Roman" w:hAnsi="Times New Roman" w:cs="Times New Roman"/>
          <w:sz w:val="24"/>
          <w:szCs w:val="24"/>
        </w:rPr>
      </w:pPr>
      <w:r>
        <w:rPr>
          <w:rFonts w:ascii="Times New Roman" w:hAnsi="Times New Roman" w:cs="Times New Roman"/>
          <w:sz w:val="24"/>
          <w:szCs w:val="24"/>
        </w:rPr>
        <w:t>The</w:t>
      </w:r>
      <w:r w:rsidRPr="00223900">
        <w:rPr>
          <w:rFonts w:ascii="Times New Roman" w:hAnsi="Times New Roman" w:cs="Times New Roman"/>
          <w:sz w:val="24"/>
          <w:szCs w:val="24"/>
        </w:rPr>
        <w:t xml:space="preserve"> total average annual burden for Reliability Standard CIP-013-2 over years 1-3 is 72,373 ÷ 3 = 24,124.33 hours</w:t>
      </w:r>
      <w:r>
        <w:rPr>
          <w:rFonts w:ascii="Times New Roman" w:hAnsi="Times New Roman" w:cs="Times New Roman"/>
          <w:sz w:val="24"/>
          <w:szCs w:val="24"/>
        </w:rPr>
        <w:t>.  T</w:t>
      </w:r>
      <w:r w:rsidRPr="00223900">
        <w:rPr>
          <w:rFonts w:ascii="Times New Roman" w:hAnsi="Times New Roman" w:cs="Times New Roman"/>
          <w:sz w:val="24"/>
          <w:szCs w:val="24"/>
        </w:rPr>
        <w:t>he total average annual burden for Reliability Standard CIP-005-7 and CIP-010-4 over years 1-3 is 7,203 ÷ 3 = 2,401 hours.</w:t>
      </w:r>
      <w:r>
        <w:rPr>
          <w:rFonts w:ascii="Times New Roman" w:hAnsi="Times New Roman" w:cs="Times New Roman"/>
          <w:sz w:val="24"/>
          <w:szCs w:val="24"/>
        </w:rPr>
        <w:t xml:space="preserve">  </w:t>
      </w:r>
      <w:r w:rsidR="0001162E">
        <w:rPr>
          <w:rFonts w:ascii="Times New Roman" w:hAnsi="Times New Roman" w:cs="Times New Roman"/>
          <w:sz w:val="24"/>
          <w:szCs w:val="24"/>
        </w:rPr>
        <w:t xml:space="preserve">Therefore, the total average annual burden hours for years 1-3 </w:t>
      </w:r>
      <w:r>
        <w:rPr>
          <w:rFonts w:ascii="Times New Roman" w:hAnsi="Times New Roman" w:cs="Times New Roman"/>
          <w:sz w:val="24"/>
          <w:szCs w:val="24"/>
        </w:rPr>
        <w:t xml:space="preserve">for all three CIP standards </w:t>
      </w:r>
      <w:r w:rsidR="0001162E">
        <w:rPr>
          <w:rFonts w:ascii="Times New Roman" w:hAnsi="Times New Roman" w:cs="Times New Roman"/>
          <w:sz w:val="24"/>
          <w:szCs w:val="24"/>
        </w:rPr>
        <w:t>is</w:t>
      </w:r>
      <w:r>
        <w:rPr>
          <w:rFonts w:ascii="Times New Roman" w:hAnsi="Times New Roman" w:cs="Times New Roman"/>
          <w:sz w:val="24"/>
          <w:szCs w:val="24"/>
        </w:rPr>
        <w:t xml:space="preserve"> (24,124.33+2,401+2,401=</w:t>
      </w:r>
      <w:r w:rsidRPr="0001162E" w:rsidR="0001162E">
        <w:rPr>
          <w:rFonts w:ascii="Times New Roman" w:hAnsi="Times New Roman" w:cs="Times New Roman"/>
          <w:sz w:val="24"/>
          <w:szCs w:val="24"/>
        </w:rPr>
        <w:t>28,926.33</w:t>
      </w:r>
      <w:r>
        <w:rPr>
          <w:rFonts w:ascii="Times New Roman" w:hAnsi="Times New Roman" w:cs="Times New Roman"/>
          <w:sz w:val="24"/>
          <w:szCs w:val="24"/>
        </w:rPr>
        <w:t>) rounded to 28,926</w:t>
      </w:r>
      <w:r w:rsidR="0001162E">
        <w:rPr>
          <w:rFonts w:ascii="Times New Roman" w:hAnsi="Times New Roman" w:cs="Times New Roman"/>
          <w:sz w:val="24"/>
          <w:szCs w:val="24"/>
        </w:rPr>
        <w:t xml:space="preserve"> hours.</w:t>
      </w:r>
    </w:p>
    <w:p w:rsidRPr="00CF3EF8" w:rsidR="00505FDF" w:rsidP="00CF3EF8" w:rsidRDefault="00505FDF" w14:paraId="073253CE" w14:textId="302E7C25">
      <w:pPr>
        <w:spacing w:after="0"/>
        <w:rPr>
          <w:rFonts w:ascii="Times New Roman" w:hAnsi="Times New Roman" w:cs="Times New Roman"/>
          <w:sz w:val="24"/>
          <w:szCs w:val="24"/>
        </w:rPr>
      </w:pPr>
    </w:p>
    <w:p w:rsidRPr="0051723A" w:rsidR="00D80FBD" w:rsidP="0051723A" w:rsidRDefault="00E636D7" w14:paraId="4AEE3AC4"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ESTIMATE OF THE TOTAL ANNUAL COST BURDEN TO RESPONDENTS</w:t>
      </w:r>
    </w:p>
    <w:p w:rsidRPr="00425500" w:rsidR="00E636D7" w:rsidP="00425500" w:rsidRDefault="00E636D7" w14:paraId="4AEE3AC5" w14:textId="77777777">
      <w:pPr>
        <w:spacing w:after="0"/>
        <w:rPr>
          <w:rFonts w:ascii="Times New Roman" w:hAnsi="Times New Roman" w:cs="Times New Roman"/>
          <w:sz w:val="24"/>
          <w:szCs w:val="24"/>
        </w:rPr>
      </w:pPr>
    </w:p>
    <w:p w:rsidRPr="00425500" w:rsidR="00E636D7" w:rsidP="00425500" w:rsidRDefault="0045384E" w14:paraId="4AEE3AD0" w14:textId="71ADCDE1">
      <w:pPr>
        <w:spacing w:after="0"/>
        <w:rPr>
          <w:rFonts w:ascii="Times New Roman" w:hAnsi="Times New Roman" w:cs="Times New Roman"/>
          <w:sz w:val="24"/>
          <w:szCs w:val="24"/>
        </w:rPr>
      </w:pPr>
      <w:r w:rsidRPr="00425500">
        <w:rPr>
          <w:rFonts w:ascii="Times New Roman" w:hAnsi="Times New Roman" w:cs="Times New Roman"/>
          <w:sz w:val="24"/>
          <w:szCs w:val="24"/>
        </w:rPr>
        <w:t>There are no non-labor start-up costs.</w:t>
      </w:r>
      <w:r w:rsidR="002C4DB2">
        <w:rPr>
          <w:rFonts w:ascii="Times New Roman" w:hAnsi="Times New Roman" w:cs="Times New Roman"/>
          <w:sz w:val="24"/>
          <w:szCs w:val="24"/>
        </w:rPr>
        <w:t xml:space="preserve"> All costs are discussed in question 12 and 15. </w:t>
      </w:r>
    </w:p>
    <w:p w:rsidRPr="00425500" w:rsidR="0045384E" w:rsidP="00425500" w:rsidRDefault="0045384E" w14:paraId="33DE307F" w14:textId="77777777">
      <w:pPr>
        <w:spacing w:after="0"/>
        <w:rPr>
          <w:rFonts w:ascii="Times New Roman" w:hAnsi="Times New Roman" w:cs="Times New Roman"/>
          <w:sz w:val="24"/>
          <w:szCs w:val="24"/>
        </w:rPr>
      </w:pPr>
    </w:p>
    <w:p w:rsidRPr="0051723A" w:rsidR="00E636D7" w:rsidP="0051723A" w:rsidRDefault="00A276F5" w14:paraId="4AEE3AD1"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ESTIMATED ANNUALIZED COST TO FEDERAL GOVERNMENT</w:t>
      </w:r>
    </w:p>
    <w:p w:rsidRPr="0012643A" w:rsidR="0012643A" w:rsidP="0012643A" w:rsidRDefault="0012643A" w14:paraId="160623D4" w14:textId="4930D521">
      <w:pPr>
        <w:spacing w:after="0"/>
        <w:rPr>
          <w:rFonts w:ascii="Times New Roman" w:hAnsi="Times New Roman" w:cs="Times New Roman"/>
          <w:sz w:val="24"/>
          <w:szCs w:val="24"/>
        </w:rPr>
      </w:pPr>
      <w:r w:rsidRPr="0012643A">
        <w:rPr>
          <w:rFonts w:ascii="Times New Roman" w:hAnsi="Times New Roman"/>
          <w:sz w:val="24"/>
          <w:szCs w:val="24"/>
        </w:rPr>
        <w:t xml:space="preserve">The Regional Entities and NERC do most of the data processing, monitoring, auditing, and compliance work for Reliability Standards. </w:t>
      </w:r>
      <w:r w:rsidRPr="0012643A">
        <w:rPr>
          <w:rFonts w:ascii="Times New Roman" w:hAnsi="Times New Roman" w:cs="Times New Roman"/>
          <w:sz w:val="24"/>
          <w:szCs w:val="24"/>
        </w:rPr>
        <w:t>Any involvement by the Commission is covered under the FERC-725B2 (OMB Control No. 1902-0304)</w:t>
      </w:r>
      <w:r w:rsidRPr="0012643A">
        <w:rPr>
          <w:rFonts w:ascii="Times New Roman" w:hAnsi="Times New Roman"/>
          <w:sz w:val="24"/>
          <w:szCs w:val="24"/>
        </w:rPr>
        <w:t xml:space="preserve"> and is not part of this request or package</w:t>
      </w:r>
      <w:r w:rsidRPr="0012643A">
        <w:rPr>
          <w:rFonts w:ascii="Times New Roman" w:hAnsi="Times New Roman" w:cs="Times New Roman"/>
          <w:sz w:val="24"/>
          <w:szCs w:val="24"/>
        </w:rPr>
        <w:t xml:space="preserve">. The data for FERC-725B2 is not submitted to FERC.  </w:t>
      </w:r>
    </w:p>
    <w:p w:rsidR="0012643A" w:rsidP="00425500" w:rsidRDefault="0012643A" w14:paraId="28713F2B" w14:textId="77777777">
      <w:pPr>
        <w:spacing w:after="0"/>
        <w:rPr>
          <w:rFonts w:ascii="Times New Roman" w:hAnsi="Times New Roman" w:cs="Times New Roman"/>
          <w:sz w:val="24"/>
          <w:szCs w:val="24"/>
        </w:rPr>
      </w:pPr>
    </w:p>
    <w:p w:rsidRPr="00425500" w:rsidR="0045384E" w:rsidP="00425500" w:rsidRDefault="0045384E" w14:paraId="7B10F0CF" w14:textId="4CE5D6E0">
      <w:pPr>
        <w:spacing w:after="0"/>
        <w:rPr>
          <w:rFonts w:ascii="Times New Roman" w:hAnsi="Times New Roman" w:cs="Times New Roman"/>
          <w:sz w:val="24"/>
          <w:szCs w:val="24"/>
        </w:rPr>
      </w:pPr>
      <w:r w:rsidRPr="00425500">
        <w:rPr>
          <w:rFonts w:ascii="Times New Roman" w:hAnsi="Times New Roman" w:cs="Times New Roman"/>
          <w:sz w:val="24"/>
          <w:szCs w:val="24"/>
        </w:rPr>
        <w:t>The Commission does incur the costs associated with obtaining OMB clearance for FERC-725B2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cost for this effort to be $6,475.</w:t>
      </w:r>
    </w:p>
    <w:p w:rsidRPr="00425500" w:rsidR="00A276F5" w:rsidP="00425500" w:rsidRDefault="0045384E" w14:paraId="4AEE3AEB" w14:textId="240FC3AF">
      <w:pPr>
        <w:spacing w:after="0"/>
        <w:rPr>
          <w:rFonts w:ascii="Times New Roman" w:hAnsi="Times New Roman" w:cs="Times New Roman"/>
          <w:sz w:val="24"/>
          <w:szCs w:val="24"/>
        </w:rPr>
      </w:pPr>
      <w:r w:rsidRPr="00425500">
        <w:rPr>
          <w:rFonts w:ascii="Times New Roman" w:hAnsi="Times New Roman" w:cs="Times New Roman"/>
          <w:sz w:val="24"/>
          <w:szCs w:val="24"/>
        </w:rPr>
        <w:lastRenderedPageBreak/>
        <w:t>The estimated annualized cost to the Federal Government related to the data collection</w:t>
      </w:r>
      <w:r w:rsidR="0057221D">
        <w:rPr>
          <w:rFonts w:ascii="Times New Roman" w:hAnsi="Times New Roman" w:cs="Times New Roman"/>
          <w:sz w:val="24"/>
          <w:szCs w:val="24"/>
        </w:rPr>
        <w:t xml:space="preserve"> is</w:t>
      </w:r>
      <w:r w:rsidRPr="00425500">
        <w:rPr>
          <w:rFonts w:ascii="Times New Roman" w:hAnsi="Times New Roman" w:cs="Times New Roman"/>
          <w:sz w:val="24"/>
          <w:szCs w:val="24"/>
        </w:rPr>
        <w:t xml:space="preserve"> shown below:</w:t>
      </w:r>
    </w:p>
    <w:p w:rsidRPr="00425500" w:rsidR="0045384E" w:rsidP="00425500" w:rsidRDefault="0045384E" w14:paraId="7F8A5603" w14:textId="7912A0A8">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425500" w:rsidR="0045384E" w:rsidTr="007854C4" w14:paraId="76C1C6FB"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425500" w:rsidR="0045384E" w:rsidP="00425500" w:rsidRDefault="0045384E" w14:paraId="60699460" w14:textId="6E546AF7">
            <w:pPr>
              <w:spacing w:after="0"/>
              <w:rPr>
                <w:rFonts w:ascii="Times New Roman" w:hAnsi="Times New Roman" w:cs="Times New Roman"/>
                <w:b/>
                <w:sz w:val="24"/>
                <w:szCs w:val="24"/>
              </w:rPr>
            </w:pPr>
            <w:r w:rsidRPr="00425500">
              <w:rPr>
                <w:rFonts w:ascii="Times New Roman" w:hAnsi="Times New Roman" w:cs="Times New Roman"/>
                <w:b/>
                <w:sz w:val="24"/>
                <w:szCs w:val="24"/>
              </w:rPr>
              <w:t>FERC-725B2</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425500" w:rsidR="0045384E" w:rsidP="00425500" w:rsidRDefault="0045384E" w14:paraId="4D6E1249" w14:textId="77777777">
            <w:pPr>
              <w:spacing w:after="0"/>
              <w:rPr>
                <w:rFonts w:ascii="Times New Roman" w:hAnsi="Times New Roman" w:cs="Times New Roman"/>
                <w:b/>
                <w:sz w:val="24"/>
                <w:szCs w:val="24"/>
              </w:rPr>
            </w:pPr>
            <w:r w:rsidRPr="00425500">
              <w:rPr>
                <w:rFonts w:ascii="Times New Roman" w:hAnsi="Times New Roman" w:cs="Times New Roman"/>
                <w:b/>
                <w:sz w:val="24"/>
                <w:szCs w:val="24"/>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425500" w:rsidR="0045384E" w:rsidP="00425500" w:rsidRDefault="0045384E" w14:paraId="12C04FCA" w14:textId="77777777">
            <w:pPr>
              <w:spacing w:after="0"/>
              <w:rPr>
                <w:rFonts w:ascii="Times New Roman" w:hAnsi="Times New Roman" w:cs="Times New Roman"/>
                <w:b/>
                <w:sz w:val="24"/>
                <w:szCs w:val="24"/>
              </w:rPr>
            </w:pPr>
            <w:r w:rsidRPr="00425500">
              <w:rPr>
                <w:rFonts w:ascii="Times New Roman" w:hAnsi="Times New Roman" w:cs="Times New Roman"/>
                <w:b/>
                <w:sz w:val="24"/>
                <w:szCs w:val="24"/>
              </w:rPr>
              <w:t>Estimated Annual Federal Cost</w:t>
            </w:r>
          </w:p>
        </w:tc>
      </w:tr>
      <w:tr w:rsidRPr="00425500" w:rsidR="0045384E" w:rsidTr="007854C4" w14:paraId="6987C3E0" w14:textId="77777777">
        <w:tc>
          <w:tcPr>
            <w:tcW w:w="3182" w:type="dxa"/>
            <w:tcBorders>
              <w:top w:val="single" w:color="auto" w:sz="4" w:space="0"/>
              <w:left w:val="single" w:color="auto" w:sz="4" w:space="0"/>
              <w:bottom w:val="single" w:color="auto" w:sz="4" w:space="0"/>
              <w:right w:val="single" w:color="auto" w:sz="4" w:space="0"/>
            </w:tcBorders>
            <w:hideMark/>
          </w:tcPr>
          <w:p w:rsidRPr="00425500" w:rsidR="0045384E" w:rsidP="00425500" w:rsidRDefault="0045384E" w14:paraId="02FB79C8" w14:textId="77777777">
            <w:pPr>
              <w:spacing w:after="0"/>
              <w:rPr>
                <w:rFonts w:ascii="Times New Roman" w:hAnsi="Times New Roman" w:cs="Times New Roman"/>
                <w:sz w:val="24"/>
                <w:szCs w:val="24"/>
              </w:rPr>
            </w:pPr>
            <w:r w:rsidRPr="00425500">
              <w:rPr>
                <w:rFonts w:ascii="Times New Roman" w:hAnsi="Times New Roman" w:cs="Times New Roman"/>
                <w:sz w:val="24"/>
                <w:szCs w:val="24"/>
              </w:rPr>
              <w:t>Analysis of Filings</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425500" w:rsidR="0045384E" w:rsidP="00425500" w:rsidRDefault="0045384E" w14:paraId="047BA508" w14:textId="77777777">
            <w:pPr>
              <w:spacing w:after="0"/>
              <w:rPr>
                <w:rFonts w:ascii="Times New Roman" w:hAnsi="Times New Roman" w:cs="Times New Roman"/>
                <w:sz w:val="24"/>
                <w:szCs w:val="24"/>
              </w:rPr>
            </w:pPr>
            <w:r w:rsidRPr="00425500">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425500" w:rsidR="0045384E" w:rsidP="00425500" w:rsidRDefault="0045384E" w14:paraId="1676E04E" w14:textId="77777777">
            <w:pPr>
              <w:spacing w:after="0"/>
              <w:rPr>
                <w:rFonts w:ascii="Times New Roman" w:hAnsi="Times New Roman" w:cs="Times New Roman"/>
                <w:sz w:val="24"/>
                <w:szCs w:val="24"/>
              </w:rPr>
            </w:pPr>
            <w:r w:rsidRPr="00425500">
              <w:rPr>
                <w:rFonts w:ascii="Times New Roman" w:hAnsi="Times New Roman" w:cs="Times New Roman"/>
                <w:sz w:val="24"/>
                <w:szCs w:val="24"/>
              </w:rPr>
              <w:t>$0</w:t>
            </w:r>
          </w:p>
        </w:tc>
      </w:tr>
      <w:tr w:rsidRPr="00425500" w:rsidR="0045384E" w:rsidTr="007854C4" w14:paraId="0906ED1E" w14:textId="77777777">
        <w:tc>
          <w:tcPr>
            <w:tcW w:w="3182" w:type="dxa"/>
            <w:tcBorders>
              <w:top w:val="single" w:color="auto" w:sz="4" w:space="0"/>
              <w:left w:val="single" w:color="auto" w:sz="4" w:space="0"/>
              <w:bottom w:val="single" w:color="auto" w:sz="4" w:space="0"/>
              <w:right w:val="single" w:color="auto" w:sz="4" w:space="0"/>
            </w:tcBorders>
          </w:tcPr>
          <w:p w:rsidRPr="00425500" w:rsidR="0045384E" w:rsidP="00425500" w:rsidRDefault="0045384E" w14:paraId="18725822" w14:textId="77777777">
            <w:pPr>
              <w:spacing w:after="0"/>
              <w:rPr>
                <w:rFonts w:ascii="Times New Roman" w:hAnsi="Times New Roman" w:cs="Times New Roman"/>
                <w:sz w:val="24"/>
                <w:szCs w:val="24"/>
              </w:rPr>
            </w:pPr>
            <w:r w:rsidRPr="00425500">
              <w:rPr>
                <w:rFonts w:ascii="Times New Roman" w:hAnsi="Times New Roman" w:cs="Times New Roman"/>
                <w:sz w:val="24"/>
                <w:szCs w:val="24"/>
              </w:rPr>
              <w:t>Processing of Filings</w:t>
            </w:r>
          </w:p>
        </w:tc>
        <w:tc>
          <w:tcPr>
            <w:tcW w:w="3201" w:type="dxa"/>
            <w:tcBorders>
              <w:top w:val="single" w:color="auto" w:sz="4" w:space="0"/>
              <w:left w:val="single" w:color="auto" w:sz="4" w:space="0"/>
              <w:bottom w:val="single" w:color="auto" w:sz="4" w:space="0"/>
              <w:right w:val="single" w:color="auto" w:sz="4" w:space="0"/>
            </w:tcBorders>
            <w:vAlign w:val="center"/>
          </w:tcPr>
          <w:p w:rsidRPr="00425500" w:rsidR="0045384E" w:rsidP="00425500" w:rsidRDefault="0045384E" w14:paraId="75ABD3C9" w14:textId="77777777">
            <w:pPr>
              <w:spacing w:after="0"/>
              <w:rPr>
                <w:rFonts w:ascii="Times New Roman" w:hAnsi="Times New Roman" w:cs="Times New Roman"/>
                <w:sz w:val="24"/>
                <w:szCs w:val="24"/>
              </w:rPr>
            </w:pPr>
            <w:r w:rsidRPr="00425500">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center"/>
          </w:tcPr>
          <w:p w:rsidRPr="00425500" w:rsidR="0045384E" w:rsidP="00425500" w:rsidRDefault="0045384E" w14:paraId="5BE8B224" w14:textId="77777777">
            <w:pPr>
              <w:spacing w:after="0"/>
              <w:rPr>
                <w:rFonts w:ascii="Times New Roman" w:hAnsi="Times New Roman" w:cs="Times New Roman"/>
                <w:sz w:val="24"/>
                <w:szCs w:val="24"/>
              </w:rPr>
            </w:pPr>
            <w:r w:rsidRPr="00425500">
              <w:rPr>
                <w:rFonts w:ascii="Times New Roman" w:hAnsi="Times New Roman" w:cs="Times New Roman"/>
                <w:sz w:val="24"/>
                <w:szCs w:val="24"/>
              </w:rPr>
              <w:t>$0</w:t>
            </w:r>
          </w:p>
        </w:tc>
      </w:tr>
      <w:tr w:rsidRPr="00425500" w:rsidR="0045384E" w:rsidTr="007854C4" w14:paraId="54BE2037" w14:textId="77777777">
        <w:tc>
          <w:tcPr>
            <w:tcW w:w="3182" w:type="dxa"/>
            <w:tcBorders>
              <w:top w:val="single" w:color="auto" w:sz="4" w:space="0"/>
              <w:left w:val="single" w:color="auto" w:sz="4" w:space="0"/>
              <w:bottom w:val="single" w:color="auto" w:sz="4" w:space="0"/>
              <w:right w:val="single" w:color="auto" w:sz="4" w:space="0"/>
            </w:tcBorders>
            <w:hideMark/>
          </w:tcPr>
          <w:p w:rsidRPr="00425500" w:rsidR="0045384E" w:rsidP="00425500" w:rsidRDefault="0045384E" w14:paraId="69C349CC" w14:textId="77777777">
            <w:pPr>
              <w:spacing w:after="0"/>
              <w:rPr>
                <w:rFonts w:ascii="Times New Roman" w:hAnsi="Times New Roman" w:cs="Times New Roman"/>
                <w:sz w:val="24"/>
                <w:szCs w:val="24"/>
              </w:rPr>
            </w:pPr>
            <w:r w:rsidRPr="00425500">
              <w:rPr>
                <w:rFonts w:ascii="Times New Roman" w:hAnsi="Times New Roman" w:cs="Times New Roman"/>
                <w:sz w:val="24"/>
                <w:szCs w:val="24"/>
              </w:rPr>
              <w:t>Paperwork Reduction Act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5500" w:rsidR="0045384E" w:rsidP="00425500" w:rsidRDefault="0045384E" w14:paraId="03F31644"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425500" w:rsidR="0045384E" w:rsidP="00425500" w:rsidRDefault="0045384E" w14:paraId="1FA9EB8C" w14:textId="77777777">
            <w:pPr>
              <w:spacing w:after="0"/>
              <w:rPr>
                <w:rFonts w:ascii="Times New Roman" w:hAnsi="Times New Roman" w:cs="Times New Roman"/>
                <w:sz w:val="24"/>
                <w:szCs w:val="24"/>
              </w:rPr>
            </w:pPr>
            <w:r w:rsidRPr="00425500">
              <w:rPr>
                <w:rFonts w:ascii="Times New Roman" w:hAnsi="Times New Roman" w:cs="Times New Roman"/>
                <w:sz w:val="24"/>
                <w:szCs w:val="24"/>
              </w:rPr>
              <w:t>$6,475</w:t>
            </w:r>
          </w:p>
        </w:tc>
      </w:tr>
      <w:tr w:rsidRPr="00425500" w:rsidR="0045384E" w:rsidTr="007854C4" w14:paraId="32EECCE6" w14:textId="77777777">
        <w:tc>
          <w:tcPr>
            <w:tcW w:w="3182" w:type="dxa"/>
            <w:tcBorders>
              <w:top w:val="single" w:color="auto" w:sz="4" w:space="0"/>
              <w:left w:val="single" w:color="auto" w:sz="4" w:space="0"/>
              <w:bottom w:val="single" w:color="auto" w:sz="4" w:space="0"/>
              <w:right w:val="single" w:color="auto" w:sz="4" w:space="0"/>
            </w:tcBorders>
            <w:hideMark/>
          </w:tcPr>
          <w:p w:rsidRPr="00425500" w:rsidR="0045384E" w:rsidP="00425500" w:rsidRDefault="0045384E" w14:paraId="1CE6CD54" w14:textId="77777777">
            <w:pPr>
              <w:spacing w:after="0"/>
              <w:rPr>
                <w:rFonts w:ascii="Times New Roman" w:hAnsi="Times New Roman" w:cs="Times New Roman"/>
                <w:b/>
                <w:sz w:val="24"/>
                <w:szCs w:val="24"/>
              </w:rPr>
            </w:pPr>
            <w:r w:rsidRPr="00425500">
              <w:rPr>
                <w:rFonts w:ascii="Times New Roman" w:hAnsi="Times New Roman" w:cs="Times New Roman"/>
                <w:b/>
                <w:sz w:val="24"/>
                <w:szCs w:val="24"/>
              </w:rPr>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25500" w:rsidR="0045384E" w:rsidP="00425500" w:rsidRDefault="0045384E" w14:paraId="5D5FBFD8"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425500" w:rsidR="0045384E" w:rsidP="00425500" w:rsidRDefault="0045384E" w14:paraId="3D4FA161" w14:textId="77777777">
            <w:pPr>
              <w:spacing w:after="0"/>
              <w:rPr>
                <w:rFonts w:ascii="Times New Roman" w:hAnsi="Times New Roman" w:cs="Times New Roman"/>
                <w:sz w:val="24"/>
                <w:szCs w:val="24"/>
              </w:rPr>
            </w:pPr>
            <w:r w:rsidRPr="00425500">
              <w:rPr>
                <w:rFonts w:ascii="Times New Roman" w:hAnsi="Times New Roman" w:cs="Times New Roman"/>
                <w:sz w:val="24"/>
                <w:szCs w:val="24"/>
              </w:rPr>
              <w:t>$6,475</w:t>
            </w:r>
          </w:p>
        </w:tc>
      </w:tr>
    </w:tbl>
    <w:p w:rsidRPr="00425500" w:rsidR="0045384E" w:rsidP="00425500" w:rsidRDefault="0045384E" w14:paraId="0E37520C" w14:textId="77777777">
      <w:pPr>
        <w:spacing w:after="0"/>
        <w:rPr>
          <w:rFonts w:ascii="Times New Roman" w:hAnsi="Times New Roman" w:cs="Times New Roman"/>
          <w:sz w:val="24"/>
          <w:szCs w:val="24"/>
        </w:rPr>
      </w:pPr>
    </w:p>
    <w:p w:rsidRPr="00425500" w:rsidR="0045384E" w:rsidP="00425500" w:rsidRDefault="0045384E" w14:paraId="5AAA38B4" w14:textId="77777777">
      <w:pPr>
        <w:spacing w:after="0"/>
        <w:rPr>
          <w:rFonts w:ascii="Times New Roman" w:hAnsi="Times New Roman" w:cs="Times New Roman"/>
          <w:sz w:val="24"/>
          <w:szCs w:val="24"/>
        </w:rPr>
      </w:pPr>
    </w:p>
    <w:p w:rsidRPr="0051723A" w:rsidR="00A276F5" w:rsidP="0051723A" w:rsidRDefault="00A276F5" w14:paraId="4AEE3AEC"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REASONS FOR CHANGES IN BURDEN INCLUDING THE NEED FOR ANY INCREASE</w:t>
      </w:r>
    </w:p>
    <w:p w:rsidR="006155F9" w:rsidP="006155F9" w:rsidRDefault="002C4DB2" w14:paraId="24366AFC" w14:textId="77777777">
      <w:pPr>
        <w:spacing w:after="0"/>
        <w:rPr>
          <w:rFonts w:ascii="Times New Roman" w:hAnsi="Times New Roman" w:cs="Times New Roman"/>
          <w:sz w:val="24"/>
          <w:szCs w:val="24"/>
        </w:rPr>
      </w:pPr>
      <w:r>
        <w:rPr>
          <w:rFonts w:ascii="Times New Roman" w:hAnsi="Times New Roman" w:cs="Times New Roman"/>
          <w:sz w:val="24"/>
          <w:szCs w:val="24"/>
        </w:rPr>
        <w:t>As stated in C</w:t>
      </w:r>
      <w:r w:rsidR="006155F9">
        <w:rPr>
          <w:rFonts w:ascii="Times New Roman" w:hAnsi="Times New Roman" w:cs="Times New Roman"/>
          <w:sz w:val="24"/>
          <w:szCs w:val="24"/>
        </w:rPr>
        <w:t>ommission Letter Order</w:t>
      </w:r>
      <w:r>
        <w:rPr>
          <w:rFonts w:ascii="Times New Roman" w:hAnsi="Times New Roman" w:cs="Times New Roman"/>
          <w:sz w:val="24"/>
          <w:szCs w:val="24"/>
        </w:rPr>
        <w:t xml:space="preserve">, </w:t>
      </w:r>
    </w:p>
    <w:p w:rsidR="006155F9" w:rsidP="006155F9" w:rsidRDefault="006155F9" w14:paraId="7FFD6B40" w14:textId="2FA236B2">
      <w:pPr>
        <w:spacing w:after="0"/>
        <w:ind w:left="720"/>
        <w:rPr>
          <w:rFonts w:ascii="Times New Roman" w:hAnsi="Times New Roman" w:cs="Times New Roman"/>
          <w:sz w:val="24"/>
          <w:szCs w:val="24"/>
        </w:rPr>
      </w:pPr>
      <w:r>
        <w:rPr>
          <w:rFonts w:ascii="Times New Roman" w:hAnsi="Times New Roman" w:cs="Times New Roman"/>
          <w:sz w:val="24"/>
          <w:szCs w:val="24"/>
        </w:rPr>
        <w:t>“</w:t>
      </w:r>
      <w:r w:rsidRPr="006155F9">
        <w:rPr>
          <w:rFonts w:ascii="Times New Roman" w:hAnsi="Times New Roman" w:cs="Times New Roman"/>
          <w:sz w:val="24"/>
          <w:szCs w:val="24"/>
        </w:rPr>
        <w:t>NERC explains that the revised Reliability Standard will now help reduce the risk of an attacker exploiting a legitimate vendor patch management process for EACMS and PACS by requiring responsible entities to apply these protections to EACMS and PAC</w:t>
      </w:r>
      <w:r>
        <w:rPr>
          <w:rFonts w:ascii="Times New Roman" w:hAnsi="Times New Roman" w:cs="Times New Roman"/>
          <w:sz w:val="24"/>
          <w:szCs w:val="24"/>
        </w:rPr>
        <w:t>S…</w:t>
      </w:r>
    </w:p>
    <w:p w:rsidRPr="00425500" w:rsidR="00A276F5" w:rsidP="006155F9" w:rsidRDefault="006155F9" w14:paraId="4AEE3AED" w14:textId="75A70FB0">
      <w:pPr>
        <w:spacing w:after="0"/>
        <w:ind w:left="720"/>
        <w:rPr>
          <w:rFonts w:ascii="Times New Roman" w:hAnsi="Times New Roman" w:cs="Times New Roman"/>
          <w:sz w:val="24"/>
          <w:szCs w:val="24"/>
        </w:rPr>
      </w:pPr>
      <w:r w:rsidRPr="00B62064">
        <w:rPr>
          <w:rFonts w:ascii="Times New Roman" w:hAnsi="Times New Roman" w:cs="Times New Roman"/>
          <w:sz w:val="24"/>
          <w:szCs w:val="24"/>
        </w:rPr>
        <w:t xml:space="preserve"> [FERC]</w:t>
      </w:r>
      <w:r w:rsidRPr="003B3A5B">
        <w:rPr>
          <w:rFonts w:ascii="Times New Roman" w:hAnsi="Times New Roman" w:cs="Times New Roman"/>
          <w:sz w:val="24"/>
          <w:szCs w:val="24"/>
        </w:rPr>
        <w:t xml:space="preserve"> d</w:t>
      </w:r>
      <w:r w:rsidRPr="006155F9">
        <w:rPr>
          <w:rFonts w:ascii="Times New Roman" w:hAnsi="Times New Roman" w:cs="Times New Roman"/>
          <w:sz w:val="24"/>
          <w:szCs w:val="24"/>
        </w:rPr>
        <w:t>etermine</w:t>
      </w:r>
      <w:r>
        <w:rPr>
          <w:rFonts w:ascii="Times New Roman" w:hAnsi="Times New Roman" w:cs="Times New Roman"/>
          <w:sz w:val="24"/>
          <w:szCs w:val="24"/>
        </w:rPr>
        <w:t>[s]</w:t>
      </w:r>
      <w:r w:rsidRPr="006155F9">
        <w:rPr>
          <w:rFonts w:ascii="Times New Roman" w:hAnsi="Times New Roman" w:cs="Times New Roman"/>
          <w:sz w:val="24"/>
          <w:szCs w:val="24"/>
        </w:rPr>
        <w:t xml:space="preserve"> that the proposed Reliability Standards satisfy the directive in Order No. 850 to modify these Reliability Standards to include EACMS as applicable systems.  The proposed Reliability Standards also address</w:t>
      </w:r>
      <w:r>
        <w:rPr>
          <w:rFonts w:ascii="Times New Roman" w:hAnsi="Times New Roman" w:cs="Times New Roman"/>
          <w:sz w:val="24"/>
          <w:szCs w:val="24"/>
        </w:rPr>
        <w:t xml:space="preserve"> </w:t>
      </w:r>
      <w:r w:rsidRPr="006155F9">
        <w:rPr>
          <w:rFonts w:ascii="Times New Roman" w:hAnsi="Times New Roman" w:cs="Times New Roman"/>
          <w:sz w:val="24"/>
          <w:szCs w:val="24"/>
        </w:rPr>
        <w:t>the Commission’s concern that the exclusion of PACS may leave a gap in the supply chain risk management Reliability Standards.</w:t>
      </w:r>
      <w:r>
        <w:rPr>
          <w:rFonts w:ascii="Times New Roman" w:hAnsi="Times New Roman" w:cs="Times New Roman"/>
          <w:sz w:val="24"/>
          <w:szCs w:val="24"/>
        </w:rPr>
        <w:t>”</w:t>
      </w:r>
      <w:r w:rsidRPr="0012643A" w:rsidR="0012643A">
        <w:rPr>
          <w:rStyle w:val="FootnoteReference"/>
          <w:rFonts w:ascii="Times New Roman" w:hAnsi="Times New Roman" w:cs="Times New Roman"/>
          <w:sz w:val="24"/>
          <w:szCs w:val="24"/>
          <w:vertAlign w:val="superscript"/>
        </w:rPr>
        <w:footnoteReference w:id="26"/>
      </w:r>
    </w:p>
    <w:p w:rsidRPr="00425500" w:rsidR="00A276F5" w:rsidP="00425500" w:rsidRDefault="00A276F5" w14:paraId="4AEE3AF1" w14:textId="77777777">
      <w:pPr>
        <w:spacing w:after="0"/>
        <w:rPr>
          <w:rFonts w:ascii="Times New Roman" w:hAnsi="Times New Roman" w:cs="Times New Roman"/>
          <w:sz w:val="24"/>
          <w:szCs w:val="24"/>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425500" w:rsidR="00C01698" w:rsidTr="005F1C3C" w14:paraId="4AEE3AF7" w14:textId="77777777">
        <w:trPr>
          <w:trHeight w:val="870"/>
        </w:trPr>
        <w:tc>
          <w:tcPr>
            <w:tcW w:w="2679" w:type="dxa"/>
            <w:shd w:val="clear" w:color="auto" w:fill="D9D9D9"/>
            <w:vAlign w:val="bottom"/>
          </w:tcPr>
          <w:p w:rsidRPr="00425500" w:rsidR="00C01698" w:rsidP="00425500" w:rsidRDefault="00C01698" w14:paraId="4AEE3AF2" w14:textId="3C554386">
            <w:pPr>
              <w:spacing w:after="0"/>
              <w:jc w:val="center"/>
              <w:rPr>
                <w:rFonts w:ascii="Times New Roman" w:hAnsi="Times New Roman" w:cs="Times New Roman"/>
                <w:b/>
                <w:sz w:val="24"/>
                <w:szCs w:val="24"/>
              </w:rPr>
            </w:pPr>
            <w:r w:rsidRPr="00425500">
              <w:rPr>
                <w:rFonts w:ascii="Times New Roman" w:hAnsi="Times New Roman" w:cs="Times New Roman"/>
                <w:b/>
                <w:sz w:val="24"/>
                <w:szCs w:val="24"/>
              </w:rPr>
              <w:t>FERC-</w:t>
            </w:r>
            <w:r w:rsidR="006155F9">
              <w:rPr>
                <w:rFonts w:ascii="Times New Roman" w:hAnsi="Times New Roman" w:cs="Times New Roman"/>
                <w:b/>
                <w:sz w:val="24"/>
                <w:szCs w:val="24"/>
              </w:rPr>
              <w:t>725B2</w:t>
            </w:r>
          </w:p>
        </w:tc>
        <w:tc>
          <w:tcPr>
            <w:tcW w:w="1461" w:type="dxa"/>
            <w:shd w:val="clear" w:color="auto" w:fill="D9D9D9"/>
            <w:vAlign w:val="bottom"/>
          </w:tcPr>
          <w:p w:rsidRPr="00425500" w:rsidR="00C01698" w:rsidP="00425500" w:rsidRDefault="00C01698" w14:paraId="4AEE3AF3" w14:textId="77777777">
            <w:pPr>
              <w:spacing w:after="0"/>
              <w:jc w:val="center"/>
              <w:rPr>
                <w:rFonts w:ascii="Times New Roman" w:hAnsi="Times New Roman" w:cs="Times New Roman"/>
                <w:b/>
                <w:sz w:val="24"/>
                <w:szCs w:val="24"/>
              </w:rPr>
            </w:pPr>
            <w:r w:rsidRPr="00425500">
              <w:rPr>
                <w:rFonts w:ascii="Times New Roman" w:hAnsi="Times New Roman" w:cs="Times New Roman"/>
                <w:b/>
                <w:sz w:val="24"/>
                <w:szCs w:val="24"/>
              </w:rPr>
              <w:t>Total Request</w:t>
            </w:r>
          </w:p>
        </w:tc>
        <w:tc>
          <w:tcPr>
            <w:tcW w:w="1620" w:type="dxa"/>
            <w:shd w:val="clear" w:color="auto" w:fill="D9D9D9"/>
            <w:vAlign w:val="bottom"/>
          </w:tcPr>
          <w:p w:rsidRPr="00425500" w:rsidR="00C01698" w:rsidP="00425500" w:rsidRDefault="00C01698" w14:paraId="4AEE3AF4" w14:textId="77777777">
            <w:pPr>
              <w:spacing w:after="0"/>
              <w:jc w:val="center"/>
              <w:rPr>
                <w:rFonts w:ascii="Times New Roman" w:hAnsi="Times New Roman" w:cs="Times New Roman"/>
                <w:b/>
                <w:sz w:val="24"/>
                <w:szCs w:val="24"/>
              </w:rPr>
            </w:pPr>
            <w:r w:rsidRPr="00425500">
              <w:rPr>
                <w:rFonts w:ascii="Times New Roman" w:hAnsi="Times New Roman" w:cs="Times New Roman"/>
                <w:b/>
                <w:sz w:val="24"/>
                <w:szCs w:val="24"/>
              </w:rPr>
              <w:t>Previously Approved</w:t>
            </w:r>
          </w:p>
        </w:tc>
        <w:tc>
          <w:tcPr>
            <w:tcW w:w="1800" w:type="dxa"/>
            <w:shd w:val="clear" w:color="auto" w:fill="D9D9D9"/>
            <w:vAlign w:val="bottom"/>
          </w:tcPr>
          <w:p w:rsidRPr="00425500" w:rsidR="00C01698" w:rsidP="00425500" w:rsidRDefault="00C01698" w14:paraId="4AEE3AF5" w14:textId="77777777">
            <w:pPr>
              <w:spacing w:after="0"/>
              <w:jc w:val="center"/>
              <w:rPr>
                <w:rFonts w:ascii="Times New Roman" w:hAnsi="Times New Roman" w:cs="Times New Roman"/>
                <w:b/>
                <w:sz w:val="24"/>
                <w:szCs w:val="24"/>
              </w:rPr>
            </w:pPr>
            <w:r w:rsidRPr="00425500">
              <w:rPr>
                <w:rFonts w:ascii="Times New Roman" w:hAnsi="Times New Roman" w:cs="Times New Roman"/>
                <w:b/>
                <w:sz w:val="24"/>
                <w:szCs w:val="24"/>
              </w:rPr>
              <w:t>Change due to Adjustment in Estimate</w:t>
            </w:r>
          </w:p>
        </w:tc>
        <w:tc>
          <w:tcPr>
            <w:tcW w:w="1800" w:type="dxa"/>
            <w:shd w:val="clear" w:color="auto" w:fill="D9D9D9"/>
            <w:vAlign w:val="bottom"/>
          </w:tcPr>
          <w:p w:rsidRPr="00425500" w:rsidR="00C01698" w:rsidP="00425500" w:rsidRDefault="00C01698" w14:paraId="4AEE3AF6" w14:textId="77777777">
            <w:pPr>
              <w:spacing w:after="0"/>
              <w:jc w:val="center"/>
              <w:rPr>
                <w:rFonts w:ascii="Times New Roman" w:hAnsi="Times New Roman" w:cs="Times New Roman"/>
                <w:b/>
                <w:sz w:val="24"/>
                <w:szCs w:val="24"/>
              </w:rPr>
            </w:pPr>
            <w:r w:rsidRPr="00425500">
              <w:rPr>
                <w:rFonts w:ascii="Times New Roman" w:hAnsi="Times New Roman" w:cs="Times New Roman"/>
                <w:b/>
                <w:sz w:val="24"/>
                <w:szCs w:val="24"/>
              </w:rPr>
              <w:t>Change Due to Agency Discretion</w:t>
            </w:r>
          </w:p>
        </w:tc>
      </w:tr>
      <w:tr w:rsidRPr="00425500" w:rsidR="00C01698" w:rsidTr="005F1C3C" w14:paraId="4AEE3AFD" w14:textId="77777777">
        <w:trPr>
          <w:trHeight w:val="591"/>
        </w:trPr>
        <w:tc>
          <w:tcPr>
            <w:tcW w:w="2679" w:type="dxa"/>
            <w:shd w:val="clear" w:color="auto" w:fill="auto"/>
          </w:tcPr>
          <w:p w:rsidRPr="00425500" w:rsidR="00C01698" w:rsidP="00425500" w:rsidRDefault="00C01698" w14:paraId="4AEE3AF8" w14:textId="77777777">
            <w:pPr>
              <w:spacing w:after="0"/>
              <w:jc w:val="center"/>
              <w:rPr>
                <w:rFonts w:ascii="Times New Roman" w:hAnsi="Times New Roman" w:cs="Times New Roman"/>
                <w:sz w:val="24"/>
                <w:szCs w:val="24"/>
              </w:rPr>
            </w:pPr>
            <w:r w:rsidRPr="00425500">
              <w:rPr>
                <w:rFonts w:ascii="Times New Roman" w:hAnsi="Times New Roman" w:cs="Times New Roman"/>
                <w:sz w:val="24"/>
                <w:szCs w:val="24"/>
              </w:rPr>
              <w:t>Annual Number of Responses</w:t>
            </w:r>
          </w:p>
        </w:tc>
        <w:tc>
          <w:tcPr>
            <w:tcW w:w="1461" w:type="dxa"/>
            <w:shd w:val="clear" w:color="auto" w:fill="auto"/>
            <w:vAlign w:val="center"/>
          </w:tcPr>
          <w:p w:rsidRPr="00425500" w:rsidR="00C01698" w:rsidP="00425500" w:rsidRDefault="00231C94" w14:paraId="4AEE3AF9" w14:textId="05B0C4CD">
            <w:pPr>
              <w:spacing w:after="0"/>
              <w:jc w:val="right"/>
              <w:rPr>
                <w:rFonts w:ascii="Times New Roman" w:hAnsi="Times New Roman" w:cs="Times New Roman"/>
                <w:sz w:val="24"/>
                <w:szCs w:val="24"/>
              </w:rPr>
            </w:pPr>
            <w:r>
              <w:rPr>
                <w:rFonts w:ascii="Times New Roman" w:hAnsi="Times New Roman" w:cs="Times New Roman"/>
                <w:sz w:val="24"/>
                <w:szCs w:val="24"/>
              </w:rPr>
              <w:t>1,029</w:t>
            </w:r>
            <w:bookmarkStart w:name="_GoBack" w:id="11"/>
            <w:r w:rsidRPr="00223900" w:rsidR="005E63E7">
              <w:rPr>
                <w:rStyle w:val="FootnoteReference"/>
                <w:rFonts w:ascii="Times New Roman" w:hAnsi="Times New Roman" w:cs="Times New Roman"/>
                <w:sz w:val="24"/>
                <w:szCs w:val="24"/>
                <w:vertAlign w:val="superscript"/>
              </w:rPr>
              <w:footnoteReference w:id="27"/>
            </w:r>
            <w:bookmarkEnd w:id="11"/>
          </w:p>
        </w:tc>
        <w:tc>
          <w:tcPr>
            <w:tcW w:w="1620" w:type="dxa"/>
            <w:shd w:val="clear" w:color="auto" w:fill="auto"/>
            <w:vAlign w:val="center"/>
          </w:tcPr>
          <w:p w:rsidRPr="00425500" w:rsidR="00C01698" w:rsidP="00425500" w:rsidRDefault="006155F9" w14:paraId="4AEE3AFA" w14:textId="2E0C40A6">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Pr="00425500" w:rsidR="00C01698" w:rsidP="00425500" w:rsidRDefault="006E62CD" w14:paraId="4AEE3AFB" w14:textId="467A7131">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Pr="00425500" w:rsidR="00C01698" w:rsidP="00425500" w:rsidRDefault="00231C94" w14:paraId="4AEE3AFC" w14:textId="697A95C2">
            <w:pPr>
              <w:spacing w:after="0"/>
              <w:jc w:val="right"/>
              <w:rPr>
                <w:rFonts w:ascii="Times New Roman" w:hAnsi="Times New Roman" w:cs="Times New Roman"/>
                <w:sz w:val="24"/>
                <w:szCs w:val="24"/>
              </w:rPr>
            </w:pPr>
            <w:r>
              <w:rPr>
                <w:rFonts w:ascii="Times New Roman" w:hAnsi="Times New Roman" w:cs="Times New Roman"/>
                <w:sz w:val="24"/>
                <w:szCs w:val="24"/>
              </w:rPr>
              <w:t>1,029</w:t>
            </w:r>
          </w:p>
        </w:tc>
      </w:tr>
      <w:tr w:rsidRPr="00425500" w:rsidR="00C01698" w:rsidTr="005F1C3C" w14:paraId="4AEE3B03" w14:textId="77777777">
        <w:trPr>
          <w:trHeight w:val="575"/>
        </w:trPr>
        <w:tc>
          <w:tcPr>
            <w:tcW w:w="2679" w:type="dxa"/>
            <w:shd w:val="clear" w:color="auto" w:fill="auto"/>
          </w:tcPr>
          <w:p w:rsidRPr="00425500" w:rsidR="00C01698" w:rsidP="00425500" w:rsidRDefault="00C01698" w14:paraId="4AEE3AFE" w14:textId="44EA3912">
            <w:pPr>
              <w:spacing w:after="0"/>
              <w:jc w:val="center"/>
              <w:rPr>
                <w:rFonts w:ascii="Times New Roman" w:hAnsi="Times New Roman" w:cs="Times New Roman"/>
                <w:sz w:val="24"/>
                <w:szCs w:val="24"/>
              </w:rPr>
            </w:pPr>
            <w:r w:rsidRPr="00425500">
              <w:rPr>
                <w:rFonts w:ascii="Times New Roman" w:hAnsi="Times New Roman" w:cs="Times New Roman"/>
                <w:sz w:val="24"/>
                <w:szCs w:val="24"/>
              </w:rPr>
              <w:t>Annual Time Burden (Hr</w:t>
            </w:r>
            <w:r w:rsidR="006E62CD">
              <w:rPr>
                <w:rFonts w:ascii="Times New Roman" w:hAnsi="Times New Roman" w:cs="Times New Roman"/>
                <w:sz w:val="24"/>
                <w:szCs w:val="24"/>
              </w:rPr>
              <w:t>s.</w:t>
            </w:r>
            <w:r w:rsidRPr="00425500">
              <w:rPr>
                <w:rFonts w:ascii="Times New Roman" w:hAnsi="Times New Roman" w:cs="Times New Roman"/>
                <w:sz w:val="24"/>
                <w:szCs w:val="24"/>
              </w:rPr>
              <w:t>)</w:t>
            </w:r>
          </w:p>
        </w:tc>
        <w:tc>
          <w:tcPr>
            <w:tcW w:w="1461" w:type="dxa"/>
            <w:shd w:val="clear" w:color="auto" w:fill="auto"/>
            <w:vAlign w:val="center"/>
          </w:tcPr>
          <w:p w:rsidRPr="00425500" w:rsidR="00C01698" w:rsidP="00425500" w:rsidRDefault="00231C94" w14:paraId="4AEE3AFF" w14:textId="1ED0108A">
            <w:pPr>
              <w:spacing w:after="0"/>
              <w:jc w:val="right"/>
              <w:rPr>
                <w:rFonts w:ascii="Times New Roman" w:hAnsi="Times New Roman" w:cs="Times New Roman"/>
                <w:sz w:val="24"/>
                <w:szCs w:val="24"/>
              </w:rPr>
            </w:pPr>
            <w:r>
              <w:rPr>
                <w:rFonts w:ascii="Times New Roman" w:hAnsi="Times New Roman" w:cs="Times New Roman"/>
                <w:sz w:val="24"/>
                <w:szCs w:val="24"/>
              </w:rPr>
              <w:t>28,296</w:t>
            </w:r>
          </w:p>
        </w:tc>
        <w:tc>
          <w:tcPr>
            <w:tcW w:w="1620" w:type="dxa"/>
            <w:shd w:val="clear" w:color="auto" w:fill="auto"/>
            <w:vAlign w:val="center"/>
          </w:tcPr>
          <w:p w:rsidRPr="00425500" w:rsidR="00C01698" w:rsidP="00425500" w:rsidRDefault="006155F9" w14:paraId="4AEE3B00" w14:textId="04F92206">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Pr="00425500" w:rsidR="00C01698" w:rsidP="00425500" w:rsidRDefault="006E62CD" w14:paraId="4AEE3B01" w14:textId="6255436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Pr="00425500" w:rsidR="00C01698" w:rsidP="00425500" w:rsidRDefault="00231C94" w14:paraId="4AEE3B02" w14:textId="2B4697C6">
            <w:pPr>
              <w:spacing w:after="0"/>
              <w:jc w:val="right"/>
              <w:rPr>
                <w:rFonts w:ascii="Times New Roman" w:hAnsi="Times New Roman" w:cs="Times New Roman"/>
                <w:sz w:val="24"/>
                <w:szCs w:val="24"/>
              </w:rPr>
            </w:pPr>
            <w:r>
              <w:rPr>
                <w:rFonts w:ascii="Times New Roman" w:hAnsi="Times New Roman" w:cs="Times New Roman"/>
                <w:sz w:val="24"/>
                <w:szCs w:val="24"/>
              </w:rPr>
              <w:t>28,296</w:t>
            </w:r>
          </w:p>
        </w:tc>
      </w:tr>
      <w:tr w:rsidRPr="00425500" w:rsidR="00C01698" w:rsidTr="005F1C3C" w14:paraId="4AEE3B09" w14:textId="77777777">
        <w:trPr>
          <w:trHeight w:val="295"/>
        </w:trPr>
        <w:tc>
          <w:tcPr>
            <w:tcW w:w="2679" w:type="dxa"/>
            <w:tcBorders>
              <w:bottom w:val="single" w:color="auto" w:sz="4" w:space="0"/>
            </w:tcBorders>
            <w:shd w:val="clear" w:color="auto" w:fill="auto"/>
          </w:tcPr>
          <w:p w:rsidRPr="00425500" w:rsidR="00C01698" w:rsidP="00425500" w:rsidRDefault="00C01698" w14:paraId="4AEE3B04" w14:textId="77777777">
            <w:pPr>
              <w:spacing w:after="0"/>
              <w:jc w:val="center"/>
              <w:rPr>
                <w:rFonts w:ascii="Times New Roman" w:hAnsi="Times New Roman" w:cs="Times New Roman"/>
                <w:sz w:val="24"/>
                <w:szCs w:val="24"/>
              </w:rPr>
            </w:pPr>
            <w:r w:rsidRPr="00425500">
              <w:rPr>
                <w:rFonts w:ascii="Times New Roman" w:hAnsi="Times New Roman" w:cs="Times New Roman"/>
                <w:sz w:val="24"/>
                <w:szCs w:val="24"/>
              </w:rPr>
              <w:t>Annual Cost Burden ($)</w:t>
            </w:r>
          </w:p>
        </w:tc>
        <w:tc>
          <w:tcPr>
            <w:tcW w:w="1461" w:type="dxa"/>
            <w:tcBorders>
              <w:bottom w:val="single" w:color="auto" w:sz="4" w:space="0"/>
            </w:tcBorders>
            <w:shd w:val="clear" w:color="auto" w:fill="auto"/>
            <w:vAlign w:val="center"/>
          </w:tcPr>
          <w:p w:rsidRPr="00425500" w:rsidR="00C01698" w:rsidP="00425500" w:rsidRDefault="006E62CD" w14:paraId="4AEE3B05" w14:textId="4E06D0EC">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color="auto" w:sz="4" w:space="0"/>
            </w:tcBorders>
            <w:shd w:val="clear" w:color="auto" w:fill="auto"/>
            <w:vAlign w:val="center"/>
          </w:tcPr>
          <w:p w:rsidRPr="00425500" w:rsidR="00C01698" w:rsidP="00425500" w:rsidRDefault="006155F9" w14:paraId="4AEE3B06" w14:textId="7D561831">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color="auto" w:sz="4" w:space="0"/>
            </w:tcBorders>
            <w:shd w:val="clear" w:color="auto" w:fill="auto"/>
            <w:vAlign w:val="center"/>
          </w:tcPr>
          <w:p w:rsidRPr="00425500" w:rsidR="00C01698" w:rsidP="00425500" w:rsidRDefault="006E62CD" w14:paraId="4AEE3B07" w14:textId="7F07A1DA">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color="auto" w:sz="4" w:space="0"/>
            </w:tcBorders>
            <w:shd w:val="clear" w:color="auto" w:fill="auto"/>
            <w:vAlign w:val="center"/>
          </w:tcPr>
          <w:p w:rsidRPr="00425500" w:rsidR="00C01698" w:rsidP="00425500" w:rsidRDefault="006E62CD" w14:paraId="4AEE3B08" w14:textId="7B050A1B">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rsidRPr="00425500" w:rsidR="00C01698" w:rsidP="00425500" w:rsidRDefault="00C01698" w14:paraId="4AEE3B0A" w14:textId="77777777">
      <w:pPr>
        <w:spacing w:after="0"/>
        <w:rPr>
          <w:rFonts w:ascii="Times New Roman" w:hAnsi="Times New Roman" w:cs="Times New Roman"/>
          <w:sz w:val="24"/>
          <w:szCs w:val="24"/>
        </w:rPr>
      </w:pPr>
    </w:p>
    <w:p w:rsidRPr="00425500" w:rsidR="00C01698" w:rsidP="00425500" w:rsidRDefault="00970FE4" w14:paraId="4AEE3B0B" w14:textId="77777777">
      <w:pPr>
        <w:spacing w:after="0"/>
        <w:rPr>
          <w:rFonts w:ascii="Times New Roman" w:hAnsi="Times New Roman" w:cs="Times New Roman"/>
          <w:sz w:val="24"/>
          <w:szCs w:val="24"/>
        </w:rPr>
      </w:pPr>
      <w:r w:rsidRPr="00425500">
        <w:rPr>
          <w:rFonts w:ascii="Times New Roman" w:hAnsi="Times New Roman" w:cs="Times New Roman"/>
          <w:sz w:val="24"/>
          <w:szCs w:val="24"/>
        </w:rPr>
        <w:t xml:space="preserve">The format, label, and definitions of the table above follow the </w:t>
      </w:r>
      <w:r w:rsidRPr="00425500" w:rsidR="00CE4C25">
        <w:rPr>
          <w:rFonts w:ascii="Times New Roman" w:hAnsi="Times New Roman" w:cs="Times New Roman"/>
          <w:sz w:val="24"/>
          <w:szCs w:val="24"/>
        </w:rPr>
        <w:t xml:space="preserve">Office of Management and Budget’s online submittal system for information collection requests. </w:t>
      </w:r>
    </w:p>
    <w:p w:rsidRPr="00425500" w:rsidR="00970FE4" w:rsidP="00425500" w:rsidRDefault="00970FE4" w14:paraId="4AEE3B0C" w14:textId="77777777">
      <w:pPr>
        <w:spacing w:after="0"/>
        <w:rPr>
          <w:rFonts w:ascii="Times New Roman" w:hAnsi="Times New Roman" w:cs="Times New Roman"/>
          <w:sz w:val="24"/>
          <w:szCs w:val="24"/>
        </w:rPr>
      </w:pPr>
    </w:p>
    <w:p w:rsidRPr="0051723A" w:rsidR="00A276F5" w:rsidP="0051723A" w:rsidRDefault="00414F32" w14:paraId="4AEE3B0D"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TIME SCHEDULE FOR PUBLICATION OF DATA</w:t>
      </w:r>
    </w:p>
    <w:p w:rsidR="00414F32" w:rsidP="00425500" w:rsidRDefault="00457AFD" w14:paraId="4AEE3B12" w14:textId="4485E35C">
      <w:pPr>
        <w:spacing w:after="0"/>
        <w:rPr>
          <w:rFonts w:ascii="Times New Roman" w:hAnsi="Times New Roman" w:cs="Times New Roman"/>
          <w:sz w:val="24"/>
          <w:szCs w:val="24"/>
        </w:rPr>
      </w:pPr>
      <w:r w:rsidRPr="00425500">
        <w:rPr>
          <w:rFonts w:ascii="Times New Roman" w:hAnsi="Times New Roman" w:cs="Times New Roman"/>
          <w:sz w:val="24"/>
          <w:szCs w:val="24"/>
        </w:rPr>
        <w:t>There is no publication of data associated with this collection of information.</w:t>
      </w:r>
    </w:p>
    <w:p w:rsidRPr="00425500" w:rsidR="00186D2C" w:rsidP="00425500" w:rsidRDefault="00186D2C" w14:paraId="5F70263F" w14:textId="77777777">
      <w:pPr>
        <w:spacing w:after="0"/>
        <w:rPr>
          <w:rFonts w:ascii="Times New Roman" w:hAnsi="Times New Roman" w:cs="Times New Roman"/>
          <w:sz w:val="24"/>
          <w:szCs w:val="24"/>
        </w:rPr>
      </w:pPr>
    </w:p>
    <w:p w:rsidRPr="0051723A" w:rsidR="00414F32" w:rsidP="0051723A" w:rsidRDefault="00414F32" w14:paraId="4AEE3B13" w14:textId="77777777">
      <w:pPr>
        <w:pStyle w:val="ListParagraph"/>
        <w:numPr>
          <w:ilvl w:val="0"/>
          <w:numId w:val="24"/>
        </w:numPr>
        <w:spacing w:after="0"/>
        <w:rPr>
          <w:rFonts w:ascii="Times New Roman" w:hAnsi="Times New Roman" w:cs="Times New Roman"/>
          <w:b/>
          <w:sz w:val="24"/>
          <w:szCs w:val="24"/>
        </w:rPr>
      </w:pPr>
      <w:bookmarkStart w:name="_Hlk66281421" w:id="12"/>
      <w:r w:rsidRPr="0051723A">
        <w:rPr>
          <w:rFonts w:ascii="Times New Roman" w:hAnsi="Times New Roman" w:cs="Times New Roman"/>
          <w:b/>
          <w:sz w:val="24"/>
          <w:szCs w:val="24"/>
        </w:rPr>
        <w:t>DISPLAY OF EXPIRATION DATE</w:t>
      </w:r>
    </w:p>
    <w:bookmarkEnd w:id="12"/>
    <w:p w:rsidRPr="00425500" w:rsidR="00414F32" w:rsidP="00425500" w:rsidRDefault="003C3E94" w14:paraId="4AEE3B16" w14:textId="6857DFAF">
      <w:pPr>
        <w:spacing w:after="0"/>
        <w:rPr>
          <w:rFonts w:ascii="Times New Roman" w:hAnsi="Times New Roman" w:cs="Times New Roman"/>
          <w:sz w:val="24"/>
          <w:szCs w:val="24"/>
        </w:rPr>
      </w:pPr>
      <w:r w:rsidRPr="00425500">
        <w:rPr>
          <w:rFonts w:ascii="Times New Roman" w:hAnsi="Times New Roman" w:cs="Times New Roman"/>
          <w:sz w:val="24"/>
          <w:szCs w:val="24"/>
        </w:rPr>
        <w:t xml:space="preserve">The expiration date is displayed at </w:t>
      </w:r>
      <w:hyperlink w:history="1"/>
      <w:hyperlink w:history="1" r:id="rId13">
        <w:r w:rsidRPr="00425500">
          <w:rPr>
            <w:rStyle w:val="Hyperlink"/>
            <w:rFonts w:ascii="Times New Roman" w:hAnsi="Times New Roman" w:cs="Times New Roman"/>
            <w:sz w:val="24"/>
            <w:szCs w:val="24"/>
          </w:rPr>
          <w:t>https://www.reginfo.gov/public/do/PRAMain</w:t>
        </w:r>
      </w:hyperlink>
    </w:p>
    <w:p w:rsidRPr="00425500" w:rsidR="003C3E94" w:rsidP="00425500" w:rsidRDefault="003C3E94" w14:paraId="0E2D3D01" w14:textId="77777777">
      <w:pPr>
        <w:spacing w:after="0"/>
        <w:rPr>
          <w:rFonts w:ascii="Times New Roman" w:hAnsi="Times New Roman" w:cs="Times New Roman"/>
          <w:sz w:val="24"/>
          <w:szCs w:val="24"/>
        </w:rPr>
      </w:pPr>
    </w:p>
    <w:p w:rsidRPr="0051723A" w:rsidR="00414F32" w:rsidP="0051723A" w:rsidRDefault="00414F32" w14:paraId="4AEE3B17" w14:textId="77777777">
      <w:pPr>
        <w:pStyle w:val="ListParagraph"/>
        <w:numPr>
          <w:ilvl w:val="0"/>
          <w:numId w:val="24"/>
        </w:numPr>
        <w:spacing w:after="0"/>
        <w:rPr>
          <w:rFonts w:ascii="Times New Roman" w:hAnsi="Times New Roman" w:cs="Times New Roman"/>
          <w:b/>
          <w:sz w:val="24"/>
          <w:szCs w:val="24"/>
        </w:rPr>
      </w:pPr>
      <w:r w:rsidRPr="0051723A">
        <w:rPr>
          <w:rFonts w:ascii="Times New Roman" w:hAnsi="Times New Roman" w:cs="Times New Roman"/>
          <w:b/>
          <w:sz w:val="24"/>
          <w:szCs w:val="24"/>
        </w:rPr>
        <w:t>EXCEPTIONS TO THE CERTIFICATION STATEMENT</w:t>
      </w:r>
    </w:p>
    <w:p w:rsidRPr="00425500" w:rsidR="00414F32" w:rsidP="00425500" w:rsidRDefault="0062089F" w14:paraId="4AEE3B19" w14:textId="1D97043D">
      <w:pPr>
        <w:spacing w:after="0"/>
        <w:rPr>
          <w:rFonts w:ascii="Times New Roman" w:hAnsi="Times New Roman" w:cs="Times New Roman"/>
          <w:sz w:val="24"/>
          <w:szCs w:val="24"/>
        </w:rPr>
      </w:pPr>
      <w:r w:rsidRPr="00425500">
        <w:rPr>
          <w:rFonts w:ascii="Times New Roman" w:hAnsi="Times New Roman" w:cs="Times New Roman"/>
          <w:sz w:val="24"/>
          <w:szCs w:val="24"/>
        </w:rPr>
        <w:t xml:space="preserve">The Commission does not use the data collected for this reporting requirement for statistical purposes.  Therefore, the Commission does not use as stated in item (i) of the certification to OMB </w:t>
      </w:r>
      <w:r w:rsidRPr="00425500" w:rsidR="003C3E94">
        <w:rPr>
          <w:rFonts w:ascii="Times New Roman" w:hAnsi="Times New Roman" w:cs="Times New Roman"/>
          <w:sz w:val="24"/>
          <w:szCs w:val="24"/>
        </w:rPr>
        <w:t>“</w:t>
      </w:r>
      <w:r w:rsidRPr="00425500">
        <w:rPr>
          <w:rFonts w:ascii="Times New Roman" w:hAnsi="Times New Roman" w:cs="Times New Roman"/>
          <w:sz w:val="24"/>
          <w:szCs w:val="24"/>
        </w:rPr>
        <w:t>effective and efficient statistical survey methodology.</w:t>
      </w:r>
      <w:r w:rsidRPr="00425500" w:rsidR="003C3E94">
        <w:rPr>
          <w:rFonts w:ascii="Times New Roman" w:hAnsi="Times New Roman" w:cs="Times New Roman"/>
          <w:sz w:val="24"/>
          <w:szCs w:val="24"/>
        </w:rPr>
        <w:t>”</w:t>
      </w:r>
      <w:r w:rsidRPr="00425500">
        <w:rPr>
          <w:rFonts w:ascii="Times New Roman" w:hAnsi="Times New Roman" w:cs="Times New Roman"/>
          <w:sz w:val="24"/>
          <w:szCs w:val="24"/>
        </w:rPr>
        <w:t xml:space="preserve">  The information collected is case specific to each information collection.</w:t>
      </w:r>
    </w:p>
    <w:sectPr w:rsidRPr="00425500" w:rsidR="00414F3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7AFF3" w14:textId="77777777" w:rsidR="004C523C" w:rsidRDefault="004C523C" w:rsidP="00FD66F1">
      <w:pPr>
        <w:spacing w:after="0" w:line="240" w:lineRule="auto"/>
      </w:pPr>
      <w:r>
        <w:separator/>
      </w:r>
    </w:p>
  </w:endnote>
  <w:endnote w:type="continuationSeparator" w:id="0">
    <w:p w14:paraId="233EE7D7" w14:textId="77777777" w:rsidR="004C523C" w:rsidRDefault="004C523C"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9A26" w14:textId="77777777" w:rsidR="001A1F70" w:rsidRDefault="001A1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46847"/>
      <w:docPartObj>
        <w:docPartGallery w:val="Page Numbers (Bottom of Page)"/>
        <w:docPartUnique/>
      </w:docPartObj>
    </w:sdtPr>
    <w:sdtEndPr>
      <w:rPr>
        <w:noProof/>
      </w:rPr>
    </w:sdtEndPr>
    <w:sdtContent>
      <w:p w14:paraId="4AEE3B22" w14:textId="77777777" w:rsidR="001A1F70" w:rsidRDefault="001A1F7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AEE3B23" w14:textId="77777777" w:rsidR="001A1F70" w:rsidRDefault="001A1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49FF8" w14:textId="77777777" w:rsidR="001A1F70" w:rsidRDefault="001A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FDBB" w14:textId="77777777" w:rsidR="004C523C" w:rsidRDefault="004C523C" w:rsidP="00FD66F1">
      <w:pPr>
        <w:spacing w:after="0" w:line="240" w:lineRule="auto"/>
      </w:pPr>
      <w:r>
        <w:separator/>
      </w:r>
    </w:p>
  </w:footnote>
  <w:footnote w:type="continuationSeparator" w:id="0">
    <w:p w14:paraId="4CAE3D57" w14:textId="77777777" w:rsidR="004C523C" w:rsidRDefault="004C523C" w:rsidP="00FD66F1">
      <w:pPr>
        <w:spacing w:after="0" w:line="240" w:lineRule="auto"/>
      </w:pPr>
      <w:r>
        <w:continuationSeparator/>
      </w:r>
    </w:p>
  </w:footnote>
  <w:footnote w:id="1">
    <w:p w14:paraId="6B9CA80D" w14:textId="77777777" w:rsidR="001A1F70" w:rsidRPr="00755F95" w:rsidRDefault="001A1F70" w:rsidP="00C31161">
      <w:pPr>
        <w:pStyle w:val="FootnoteText"/>
      </w:pPr>
      <w:r w:rsidRPr="008F2815">
        <w:rPr>
          <w:rStyle w:val="FootnoteReference"/>
          <w:vertAlign w:val="superscript"/>
        </w:rPr>
        <w:footnoteRef/>
      </w:r>
      <w:r w:rsidRPr="008F2815">
        <w:rPr>
          <w:vertAlign w:val="superscript"/>
        </w:rPr>
        <w:t xml:space="preserve"> </w:t>
      </w:r>
      <w:r w:rsidRPr="00755F95">
        <w:t>16 U.S.C. 824</w:t>
      </w:r>
      <w:r w:rsidRPr="00047F24">
        <w:rPr>
          <w:i/>
          <w:iCs/>
        </w:rPr>
        <w:t>o</w:t>
      </w:r>
      <w:r w:rsidRPr="00755F95">
        <w:t xml:space="preserve">. </w:t>
      </w:r>
    </w:p>
  </w:footnote>
  <w:footnote w:id="2">
    <w:p w14:paraId="73E7F2C1" w14:textId="78B6D89E" w:rsidR="001A1F70" w:rsidRPr="00755F95" w:rsidRDefault="001A1F70" w:rsidP="00C31161">
      <w:pPr>
        <w:pStyle w:val="FootnoteText"/>
      </w:pPr>
      <w:r w:rsidRPr="008F2815">
        <w:rPr>
          <w:rStyle w:val="FootnoteReference"/>
          <w:vertAlign w:val="superscript"/>
        </w:rPr>
        <w:footnoteRef/>
      </w:r>
      <w:r w:rsidRPr="00755F95">
        <w:t xml:space="preserve"> </w:t>
      </w:r>
      <w:r w:rsidRPr="00755F95">
        <w:rPr>
          <w:i/>
          <w:iCs/>
        </w:rPr>
        <w:t>North American Electric Reliability Corp.</w:t>
      </w:r>
      <w:r w:rsidRPr="00755F95">
        <w:t xml:space="preserve">, 116 FERC 61,062, </w:t>
      </w:r>
      <w:r w:rsidRPr="00755F95">
        <w:rPr>
          <w:i/>
          <w:iCs/>
        </w:rPr>
        <w:t>order on reh’g &amp; compliance</w:t>
      </w:r>
      <w:r w:rsidRPr="00755F95">
        <w:t xml:space="preserve">, 117 FERC 61,126 (2006), </w:t>
      </w:r>
      <w:r w:rsidRPr="00755F95">
        <w:rPr>
          <w:i/>
        </w:rPr>
        <w:t xml:space="preserve">aff’d </w:t>
      </w:r>
      <w:r w:rsidRPr="00755F95">
        <w:rPr>
          <w:i/>
          <w:iCs/>
        </w:rPr>
        <w:t>sub nom. Alcoa, Inc. v. FERC</w:t>
      </w:r>
      <w:r w:rsidRPr="00755F95">
        <w:t xml:space="preserve">, 564 F.3d 1342 (D.C. Cir. 2009).  </w:t>
      </w:r>
    </w:p>
  </w:footnote>
  <w:footnote w:id="3">
    <w:p w14:paraId="5D1221D5" w14:textId="5D3B9934" w:rsidR="001A1F70" w:rsidRDefault="001A1F70" w:rsidP="0089694A">
      <w:pPr>
        <w:pStyle w:val="FootnoteText"/>
      </w:pPr>
      <w:r w:rsidRPr="008F2815">
        <w:rPr>
          <w:rStyle w:val="FootnoteReference"/>
          <w:vertAlign w:val="superscript"/>
        </w:rPr>
        <w:footnoteRef/>
      </w:r>
      <w:r w:rsidRPr="008F2815">
        <w:rPr>
          <w:vertAlign w:val="superscript"/>
        </w:rPr>
        <w:t xml:space="preserve"> </w:t>
      </w:r>
      <w:r>
        <w:t>Revised Critical Infrastructure Protection Reliability Standards, Order No. 829, 156 FERC 61,050 (2016)</w:t>
      </w:r>
    </w:p>
    <w:p w14:paraId="051F3070" w14:textId="1BA8DA1F" w:rsidR="001A1F70" w:rsidRDefault="001A1F70" w:rsidP="0089694A">
      <w:pPr>
        <w:pStyle w:val="FootnoteText"/>
      </w:pPr>
      <w:r>
        <w:t xml:space="preserve">[hereinafter Order No. 829]. </w:t>
      </w:r>
    </w:p>
  </w:footnote>
  <w:footnote w:id="4">
    <w:p w14:paraId="009DF815" w14:textId="7BE0BA35" w:rsidR="001A1F70" w:rsidRDefault="001A1F70">
      <w:pPr>
        <w:pStyle w:val="FootnoteText"/>
      </w:pPr>
      <w:r w:rsidRPr="008F2815">
        <w:rPr>
          <w:rStyle w:val="FootnoteReference"/>
          <w:vertAlign w:val="superscript"/>
        </w:rPr>
        <w:footnoteRef/>
      </w:r>
      <w:r w:rsidRPr="008F2815">
        <w:rPr>
          <w:vertAlign w:val="superscript"/>
        </w:rPr>
        <w:t xml:space="preserve"> </w:t>
      </w:r>
      <w:r w:rsidRPr="0089694A">
        <w:t>Order No. 850 at P 28. These four objectives were the subject of directives from Order No. 829.</w:t>
      </w:r>
    </w:p>
  </w:footnote>
  <w:footnote w:id="5">
    <w:p w14:paraId="07D68671" w14:textId="25CE4123" w:rsidR="001A1F70" w:rsidRDefault="001A1F70">
      <w:pPr>
        <w:pStyle w:val="FootnoteText"/>
      </w:pPr>
      <w:r w:rsidRPr="008F2815">
        <w:rPr>
          <w:rStyle w:val="FootnoteReference"/>
          <w:vertAlign w:val="superscript"/>
        </w:rPr>
        <w:footnoteRef/>
      </w:r>
      <w:r w:rsidRPr="008F2815">
        <w:rPr>
          <w:vertAlign w:val="superscript"/>
        </w:rPr>
        <w:t xml:space="preserve"> </w:t>
      </w:r>
      <w:r w:rsidRPr="003A41AA">
        <w:rPr>
          <w:i/>
          <w:iCs/>
        </w:rPr>
        <w:t>Id.</w:t>
      </w:r>
      <w:r w:rsidRPr="003A41AA">
        <w:t xml:space="preserve"> P 4.  EACMS are defined as “Cyber Assets that perform electronic access control or electronic access monitoring of the Electronic Security Perimeter(s) or BES Cyber Systems.  This includes Intermediate Systems.”  North American Electric Reliability Corporation, Glossary of Terms Used in NERC Reliability Standards (Jan. 4, 2021) (NERC Glossary).</w:t>
      </w:r>
    </w:p>
  </w:footnote>
  <w:footnote w:id="6">
    <w:p w14:paraId="780B79A5" w14:textId="4F881CD6" w:rsidR="001A1F70" w:rsidRPr="00425500" w:rsidRDefault="001A1F70">
      <w:pPr>
        <w:pStyle w:val="FootnoteText"/>
      </w:pPr>
      <w:r w:rsidRPr="008F2815">
        <w:rPr>
          <w:rStyle w:val="FootnoteReference"/>
          <w:vertAlign w:val="superscript"/>
        </w:rPr>
        <w:footnoteRef/>
      </w:r>
      <w:r w:rsidRPr="008F2815">
        <w:rPr>
          <w:vertAlign w:val="superscript"/>
        </w:rPr>
        <w:t xml:space="preserve"> </w:t>
      </w:r>
      <w:r w:rsidRPr="00425500">
        <w:t>Order No. 850, 165 FERC 61,020 at P 5.</w:t>
      </w:r>
    </w:p>
  </w:footnote>
  <w:footnote w:id="7">
    <w:p w14:paraId="73C4CBA4" w14:textId="5947B4E8" w:rsidR="001A1F70" w:rsidRPr="008F2815" w:rsidRDefault="001A1F70" w:rsidP="008F2815">
      <w:pPr>
        <w:spacing w:after="0" w:line="240" w:lineRule="auto"/>
        <w:rPr>
          <w:rFonts w:ascii="Times New Roman" w:hAnsi="Times New Roman" w:cs="Times New Roman"/>
          <w:sz w:val="20"/>
          <w:szCs w:val="20"/>
        </w:rPr>
      </w:pPr>
      <w:r w:rsidRPr="008F2815">
        <w:rPr>
          <w:rStyle w:val="FootnoteReference"/>
          <w:rFonts w:ascii="Times New Roman" w:hAnsi="Times New Roman" w:cs="Times New Roman"/>
          <w:sz w:val="20"/>
          <w:szCs w:val="20"/>
          <w:vertAlign w:val="superscript"/>
        </w:rPr>
        <w:footnoteRef/>
      </w:r>
      <w:r w:rsidRPr="008F2815">
        <w:rPr>
          <w:rFonts w:ascii="Times New Roman" w:hAnsi="Times New Roman" w:cs="Times New Roman"/>
          <w:sz w:val="20"/>
          <w:szCs w:val="20"/>
          <w:vertAlign w:val="superscript"/>
        </w:rPr>
        <w:t xml:space="preserve"> </w:t>
      </w:r>
      <w:r w:rsidRPr="00425500">
        <w:rPr>
          <w:rFonts w:ascii="Times New Roman" w:hAnsi="Times New Roman" w:cs="Times New Roman"/>
          <w:sz w:val="20"/>
          <w:szCs w:val="20"/>
        </w:rPr>
        <w:t>The NERC Glossary defines PACS as “Cyber Assets that control, alert, or log access to the Physical Security Perimeter(s), exclusive of locally mounted hardware or devices at the Physical Security Perimeter such as motion sensors, electronic lock control mechanisms, and badge readers.”  NERC defines PCAs as “[o]</w:t>
      </w:r>
      <w:proofErr w:type="spellStart"/>
      <w:r w:rsidRPr="00425500">
        <w:rPr>
          <w:rFonts w:ascii="Times New Roman" w:hAnsi="Times New Roman" w:cs="Times New Roman"/>
          <w:sz w:val="20"/>
          <w:szCs w:val="20"/>
        </w:rPr>
        <w:t>ne</w:t>
      </w:r>
      <w:proofErr w:type="spellEnd"/>
      <w:r w:rsidRPr="00425500">
        <w:rPr>
          <w:rFonts w:ascii="Times New Roman" w:hAnsi="Times New Roman" w:cs="Times New Roman"/>
          <w:sz w:val="20"/>
          <w:szCs w:val="20"/>
        </w:rPr>
        <w:t xml:space="preserve"> or more Cyber Assets connected using a routable protocol within or on an Electronic Security Perimeter that is not part of the highest impact BES Cyber System within the same Electronic Security Perimeter. …” </w:t>
      </w:r>
    </w:p>
  </w:footnote>
  <w:footnote w:id="8">
    <w:p w14:paraId="5FC54F7B" w14:textId="06F934C5" w:rsidR="001A1F70" w:rsidRDefault="001A1F70" w:rsidP="008F2815">
      <w:pPr>
        <w:pStyle w:val="FootnoteText"/>
        <w:widowControl/>
      </w:pPr>
      <w:r w:rsidRPr="008F2815">
        <w:rPr>
          <w:rStyle w:val="FootnoteReference"/>
          <w:vertAlign w:val="superscript"/>
        </w:rPr>
        <w:footnoteRef/>
      </w:r>
      <w:r w:rsidRPr="008F2815">
        <w:rPr>
          <w:vertAlign w:val="superscript"/>
        </w:rPr>
        <w:t xml:space="preserve"> </w:t>
      </w:r>
      <w:r>
        <w:t>Order No. 850</w:t>
      </w:r>
      <w:r>
        <w:rPr>
          <w:i/>
          <w:iCs/>
        </w:rPr>
        <w:t xml:space="preserve">, </w:t>
      </w:r>
      <w:r>
        <w:t xml:space="preserve">165 FERC 61,020 at P 6. </w:t>
      </w:r>
    </w:p>
  </w:footnote>
  <w:footnote w:id="9">
    <w:p w14:paraId="74B10BFD" w14:textId="167ADEE9" w:rsidR="001A1F70" w:rsidRPr="00425500" w:rsidRDefault="001A1F70" w:rsidP="008F2815">
      <w:pPr>
        <w:pStyle w:val="FootnoteText"/>
        <w:widowControl/>
        <w:rPr>
          <w:sz w:val="26"/>
        </w:rPr>
      </w:pPr>
      <w:r w:rsidRPr="008F2815">
        <w:rPr>
          <w:rStyle w:val="FootnoteReference"/>
          <w:vertAlign w:val="superscript"/>
        </w:rPr>
        <w:footnoteRef/>
      </w:r>
      <w:r>
        <w:t xml:space="preserve"> </w:t>
      </w:r>
      <w:r>
        <w:rPr>
          <w:i/>
          <w:iCs/>
        </w:rPr>
        <w:t>Id</w:t>
      </w:r>
      <w:r>
        <w:t xml:space="preserve">.  </w:t>
      </w:r>
    </w:p>
  </w:footnote>
  <w:footnote w:id="10">
    <w:p w14:paraId="24CAFA55" w14:textId="4855349E" w:rsidR="001A1F70" w:rsidRDefault="001A1F70">
      <w:pPr>
        <w:pStyle w:val="FootnoteText"/>
      </w:pPr>
      <w:r w:rsidRPr="008F2815">
        <w:rPr>
          <w:rStyle w:val="FootnoteReference"/>
          <w:vertAlign w:val="superscript"/>
        </w:rPr>
        <w:footnoteRef/>
      </w:r>
      <w:r w:rsidRPr="008F2815">
        <w:rPr>
          <w:vertAlign w:val="superscript"/>
        </w:rPr>
        <w:t xml:space="preserve"> </w:t>
      </w:r>
      <w:r w:rsidRPr="00B00330">
        <w:t xml:space="preserve">The NERC Petition is available on FERC’s </w:t>
      </w:r>
      <w:proofErr w:type="spellStart"/>
      <w:r w:rsidRPr="00B00330">
        <w:t>eLibrary</w:t>
      </w:r>
      <w:proofErr w:type="spellEnd"/>
      <w:r w:rsidRPr="00B00330">
        <w:t xml:space="preserve"> system (</w:t>
      </w:r>
      <w:hyperlink r:id="rId1" w:history="1">
        <w:r w:rsidRPr="00844787">
          <w:rPr>
            <w:rStyle w:val="Hyperlink"/>
          </w:rPr>
          <w:t>https://elibrary.ferc.gov/eLibrary/search</w:t>
        </w:r>
      </w:hyperlink>
      <w:hyperlink r:id="rId2" w:history="1"/>
      <w:r w:rsidRPr="00B00330">
        <w:t>)</w:t>
      </w:r>
      <w:r>
        <w:t xml:space="preserve"> </w:t>
      </w:r>
      <w:r w:rsidRPr="00B00330">
        <w:t>by searching in Docket Number R</w:t>
      </w:r>
      <w:r>
        <w:t>D21-2</w:t>
      </w:r>
      <w:r w:rsidRPr="00B00330">
        <w:t xml:space="preserve">.  </w:t>
      </w:r>
    </w:p>
  </w:footnote>
  <w:footnote w:id="11">
    <w:p w14:paraId="48621718" w14:textId="45E37EC8" w:rsidR="001A1F70" w:rsidRDefault="001A1F70" w:rsidP="007900E2">
      <w:pPr>
        <w:pStyle w:val="FootnoteText"/>
      </w:pPr>
      <w:r w:rsidRPr="008F2815">
        <w:rPr>
          <w:rStyle w:val="FootnoteReference"/>
          <w:vertAlign w:val="superscript"/>
        </w:rPr>
        <w:footnoteRef/>
      </w:r>
      <w:r w:rsidRPr="008F2815">
        <w:rPr>
          <w:vertAlign w:val="superscript"/>
        </w:rPr>
        <w:t xml:space="preserve"> </w:t>
      </w:r>
      <w:r>
        <w:t>Supply Chain Risk Management Reliability Standards, Order No. 850, 165 FERC 61,020 (2018)</w:t>
      </w:r>
    </w:p>
    <w:p w14:paraId="3244ED9D" w14:textId="761CC04B" w:rsidR="001A1F70" w:rsidRDefault="001A1F70" w:rsidP="007900E2">
      <w:pPr>
        <w:pStyle w:val="FootnoteText"/>
      </w:pPr>
      <w:r>
        <w:t>[hereinafter Order No. 850].</w:t>
      </w:r>
    </w:p>
  </w:footnote>
  <w:footnote w:id="12">
    <w:p w14:paraId="01271B15" w14:textId="64EB9A77" w:rsidR="001A1F70" w:rsidRPr="001177D7" w:rsidRDefault="001A1F70">
      <w:pPr>
        <w:pStyle w:val="FootnoteText"/>
      </w:pPr>
      <w:r w:rsidRPr="00B62064">
        <w:rPr>
          <w:rStyle w:val="FootnoteReference"/>
          <w:vertAlign w:val="superscript"/>
        </w:rPr>
        <w:footnoteRef/>
      </w:r>
      <w:r w:rsidRPr="00B62064">
        <w:rPr>
          <w:vertAlign w:val="superscript"/>
        </w:rPr>
        <w:t xml:space="preserve"> </w:t>
      </w:r>
      <w:bookmarkStart w:id="2" w:name="_Hlk70507439"/>
      <w:r w:rsidRPr="001177D7">
        <w:t xml:space="preserve">The applicability portion of </w:t>
      </w:r>
      <w:r w:rsidRPr="00B62064">
        <w:t xml:space="preserve">Reliability Standard CIP-013-2 (Cyber Security - Supply Chain Risk Management) remains unchanged from </w:t>
      </w:r>
      <w:r>
        <w:t>CIP-013-1 and was</w:t>
      </w:r>
      <w:r w:rsidRPr="001177D7">
        <w:t xml:space="preserve"> not </w:t>
      </w:r>
      <w:proofErr w:type="spellStart"/>
      <w:r w:rsidRPr="001177D7">
        <w:t>intentially</w:t>
      </w:r>
      <w:proofErr w:type="spellEnd"/>
      <w:r w:rsidRPr="001177D7">
        <w:t xml:space="preserve"> excluded in this supporting statement.</w:t>
      </w:r>
      <w:r>
        <w:t xml:space="preserve"> Full details of the applicability portion can be found in the NERC petition which </w:t>
      </w:r>
      <w:r w:rsidRPr="00B00330">
        <w:t xml:space="preserve">is available on FERC’s </w:t>
      </w:r>
      <w:proofErr w:type="spellStart"/>
      <w:r w:rsidRPr="00B00330">
        <w:t>eLibrary</w:t>
      </w:r>
      <w:proofErr w:type="spellEnd"/>
      <w:r w:rsidRPr="00B00330">
        <w:t xml:space="preserve"> system (</w:t>
      </w:r>
      <w:hyperlink r:id="rId3" w:history="1">
        <w:r w:rsidRPr="00844787">
          <w:rPr>
            <w:rStyle w:val="Hyperlink"/>
          </w:rPr>
          <w:t>https://elibrary.ferc.gov/eLibrary/search</w:t>
        </w:r>
      </w:hyperlink>
      <w:hyperlink r:id="rId4" w:history="1"/>
      <w:r w:rsidRPr="00B00330">
        <w:t>)</w:t>
      </w:r>
      <w:r>
        <w:t xml:space="preserve"> </w:t>
      </w:r>
      <w:r w:rsidRPr="00B00330">
        <w:t>by searching in Docket Number R</w:t>
      </w:r>
      <w:r>
        <w:t>D21-2</w:t>
      </w:r>
      <w:r w:rsidRPr="00B00330">
        <w:t xml:space="preserve">.  </w:t>
      </w:r>
      <w:bookmarkEnd w:id="2"/>
    </w:p>
  </w:footnote>
  <w:footnote w:id="13">
    <w:p w14:paraId="16AD87F2" w14:textId="0B9E6126" w:rsidR="001A1F70" w:rsidRDefault="001A1F70" w:rsidP="0012643A">
      <w:pPr>
        <w:pStyle w:val="FootnoteText"/>
      </w:pPr>
      <w:r w:rsidRPr="0012643A">
        <w:rPr>
          <w:rStyle w:val="FootnoteReference"/>
          <w:vertAlign w:val="superscript"/>
        </w:rPr>
        <w:footnoteRef/>
      </w:r>
      <w:r w:rsidRPr="0012643A">
        <w:rPr>
          <w:vertAlign w:val="superscript"/>
        </w:rPr>
        <w:t xml:space="preserve"> </w:t>
      </w:r>
      <w:r>
        <w:t xml:space="preserve">The full table can be found in </w:t>
      </w:r>
      <w:r w:rsidRPr="00C54DAF">
        <w:t>Exhibit A-2</w:t>
      </w:r>
      <w:r>
        <w:t xml:space="preserve"> (pg. 6) of the NERC petition </w:t>
      </w:r>
      <w:r w:rsidRPr="00B00330">
        <w:t xml:space="preserve">on FERC’s </w:t>
      </w:r>
      <w:proofErr w:type="spellStart"/>
      <w:r w:rsidRPr="00B00330">
        <w:t>eLibrary</w:t>
      </w:r>
      <w:proofErr w:type="spellEnd"/>
      <w:r w:rsidRPr="00B00330">
        <w:t xml:space="preserve"> system (</w:t>
      </w:r>
      <w:hyperlink r:id="rId5" w:history="1">
        <w:r w:rsidRPr="00844787">
          <w:rPr>
            <w:rStyle w:val="Hyperlink"/>
          </w:rPr>
          <w:t>https://elibrary.ferc.gov/eLibrary/search</w:t>
        </w:r>
      </w:hyperlink>
      <w:r>
        <w:t xml:space="preserve">) </w:t>
      </w:r>
      <w:r w:rsidRPr="00B00330">
        <w:t>by searching in Docket Number R</w:t>
      </w:r>
      <w:r>
        <w:t>D21-2</w:t>
      </w:r>
      <w:r w:rsidRPr="00B00330">
        <w:t>.</w:t>
      </w:r>
      <w:r>
        <w:t xml:space="preserve"> </w:t>
      </w:r>
    </w:p>
    <w:p w14:paraId="52621A4A" w14:textId="1A45064A" w:rsidR="001A1F70" w:rsidRDefault="001A1F70">
      <w:pPr>
        <w:pStyle w:val="FootnoteText"/>
      </w:pPr>
    </w:p>
  </w:footnote>
  <w:footnote w:id="14">
    <w:p w14:paraId="4DDD4832" w14:textId="15BE32B8" w:rsidR="001A1F70" w:rsidRDefault="001A1F70" w:rsidP="00944A16">
      <w:pPr>
        <w:pStyle w:val="FootnoteText"/>
      </w:pPr>
      <w:r w:rsidRPr="0012643A">
        <w:rPr>
          <w:rStyle w:val="FootnoteReference"/>
          <w:vertAlign w:val="superscript"/>
        </w:rPr>
        <w:footnoteRef/>
      </w:r>
      <w:r>
        <w:t xml:space="preserve"> The full table can be found in </w:t>
      </w:r>
      <w:r w:rsidRPr="00C54DAF">
        <w:t>Exhibit A-</w:t>
      </w:r>
      <w:r>
        <w:t xml:space="preserve">3 (pg. 12) of the NERC petition through </w:t>
      </w:r>
      <w:r w:rsidRPr="00B00330">
        <w:t xml:space="preserve">on FERC’s </w:t>
      </w:r>
      <w:proofErr w:type="spellStart"/>
      <w:r w:rsidRPr="00B00330">
        <w:t>eLibrary</w:t>
      </w:r>
      <w:proofErr w:type="spellEnd"/>
      <w:r w:rsidRPr="00B00330">
        <w:t xml:space="preserve"> system (</w:t>
      </w:r>
      <w:hyperlink r:id="rId6" w:history="1">
        <w:r w:rsidRPr="00844787">
          <w:rPr>
            <w:rStyle w:val="Hyperlink"/>
          </w:rPr>
          <w:t>https://elibrary.ferc.gov/eLibrary/search</w:t>
        </w:r>
      </w:hyperlink>
      <w:r>
        <w:t xml:space="preserve">) </w:t>
      </w:r>
      <w:r w:rsidRPr="00B00330">
        <w:t>by searching in Docket Number R</w:t>
      </w:r>
      <w:r>
        <w:t>D21-2</w:t>
      </w:r>
      <w:r w:rsidRPr="00B00330">
        <w:t>.</w:t>
      </w:r>
      <w:r>
        <w:t xml:space="preserve"> </w:t>
      </w:r>
    </w:p>
    <w:p w14:paraId="6DC8BD0E" w14:textId="3D27937C" w:rsidR="001A1F70" w:rsidRDefault="001A1F70">
      <w:pPr>
        <w:pStyle w:val="FootnoteText"/>
      </w:pPr>
    </w:p>
  </w:footnote>
  <w:footnote w:id="15">
    <w:p w14:paraId="6DD8A950" w14:textId="5D4F70EB" w:rsidR="001A1F70" w:rsidRDefault="001A1F70">
      <w:pPr>
        <w:pStyle w:val="FootnoteText"/>
      </w:pPr>
      <w:r w:rsidRPr="008F2815">
        <w:rPr>
          <w:rStyle w:val="FootnoteReference"/>
          <w:vertAlign w:val="superscript"/>
        </w:rPr>
        <w:footnoteRef/>
      </w:r>
      <w:r w:rsidRPr="008F2815">
        <w:rPr>
          <w:vertAlign w:val="superscript"/>
        </w:rPr>
        <w:t xml:space="preserve"> </w:t>
      </w:r>
      <w:r>
        <w:t xml:space="preserve">A list of Transient Cyber Assets and Removable Media can be found in Attachment 1 of the NERC Petition which </w:t>
      </w:r>
      <w:r w:rsidRPr="00B00330">
        <w:t xml:space="preserve">is available on FERC’s </w:t>
      </w:r>
      <w:proofErr w:type="spellStart"/>
      <w:r w:rsidRPr="00B00330">
        <w:t>eLibrary</w:t>
      </w:r>
      <w:proofErr w:type="spellEnd"/>
      <w:r w:rsidRPr="00B00330">
        <w:t xml:space="preserve"> system (</w:t>
      </w:r>
      <w:hyperlink r:id="rId7" w:history="1">
        <w:r w:rsidRPr="00844787">
          <w:rPr>
            <w:rStyle w:val="Hyperlink"/>
          </w:rPr>
          <w:t>https://elibrary.ferc.gov/eLibrary/search</w:t>
        </w:r>
      </w:hyperlink>
      <w:r w:rsidRPr="00B00330">
        <w:t>)</w:t>
      </w:r>
      <w:r>
        <w:t xml:space="preserve"> </w:t>
      </w:r>
      <w:r w:rsidRPr="00B00330">
        <w:t>by searching in Docket Number R</w:t>
      </w:r>
      <w:r>
        <w:t>D21-2</w:t>
      </w:r>
      <w:r w:rsidRPr="00B00330">
        <w:t xml:space="preserve">.  </w:t>
      </w:r>
    </w:p>
  </w:footnote>
  <w:footnote w:id="16">
    <w:p w14:paraId="6D879EF5" w14:textId="1E9AB407" w:rsidR="001A1F70" w:rsidRPr="00B54AF7" w:rsidRDefault="001A1F70">
      <w:pPr>
        <w:pStyle w:val="FootnoteText"/>
      </w:pPr>
      <w:r w:rsidRPr="00B62064">
        <w:rPr>
          <w:rStyle w:val="FootnoteReference"/>
          <w:vertAlign w:val="superscript"/>
        </w:rPr>
        <w:footnoteRef/>
      </w:r>
      <w:r w:rsidRPr="00B62064">
        <w:rPr>
          <w:vertAlign w:val="superscript"/>
        </w:rPr>
        <w:t xml:space="preserve"> </w:t>
      </w:r>
      <w:r>
        <w:t xml:space="preserve">While it is </w:t>
      </w:r>
      <w:r w:rsidRPr="00B54AF7">
        <w:t xml:space="preserve">possible for a small entity to have medium or high impact BES cyber system, it would be unlikely </w:t>
      </w:r>
      <w:r>
        <w:t xml:space="preserve">and have a </w:t>
      </w:r>
      <w:proofErr w:type="spellStart"/>
      <w:r>
        <w:t>negliable</w:t>
      </w:r>
      <w:proofErr w:type="spellEnd"/>
      <w:r>
        <w:t xml:space="preserve"> </w:t>
      </w:r>
      <w:proofErr w:type="spellStart"/>
      <w:r>
        <w:t>affect</w:t>
      </w:r>
      <w:proofErr w:type="spellEnd"/>
      <w:r>
        <w:t xml:space="preserve"> on the Paperwork Reduction Act (PRA) requirements.</w:t>
      </w:r>
    </w:p>
  </w:footnote>
  <w:footnote w:id="17">
    <w:p w14:paraId="0D953608" w14:textId="0E502A9D" w:rsidR="001A1F70" w:rsidRDefault="001A1F70">
      <w:pPr>
        <w:pStyle w:val="FootnoteText"/>
      </w:pPr>
      <w:r w:rsidRPr="002B65CC">
        <w:rPr>
          <w:rStyle w:val="FootnoteReference"/>
          <w:vertAlign w:val="superscript"/>
        </w:rPr>
        <w:footnoteRef/>
      </w:r>
      <w:r>
        <w:t xml:space="preserve"> </w:t>
      </w:r>
      <w:bookmarkStart w:id="5" w:name="_Hlk68175143"/>
      <w:r>
        <w:t xml:space="preserve">The Commission Letter Order is available </w:t>
      </w:r>
      <w:r w:rsidRPr="00101134">
        <w:t xml:space="preserve">on FERC’s </w:t>
      </w:r>
      <w:proofErr w:type="spellStart"/>
      <w:r w:rsidRPr="00101134">
        <w:t>eLibrary</w:t>
      </w:r>
      <w:proofErr w:type="spellEnd"/>
      <w:r w:rsidRPr="00101134">
        <w:t xml:space="preserve"> system (</w:t>
      </w:r>
      <w:hyperlink r:id="rId8" w:history="1">
        <w:r w:rsidRPr="00844787">
          <w:rPr>
            <w:rStyle w:val="Hyperlink"/>
          </w:rPr>
          <w:t>https://elibrary.ferc.gov/eLibrary/search</w:t>
        </w:r>
      </w:hyperlink>
      <w:r w:rsidRPr="00101134">
        <w:t>)</w:t>
      </w:r>
      <w:r>
        <w:t xml:space="preserve"> </w:t>
      </w:r>
      <w:r w:rsidRPr="00101134">
        <w:t xml:space="preserve">by searching in Docket Number RD21-2.  </w:t>
      </w:r>
      <w:bookmarkEnd w:id="5"/>
    </w:p>
  </w:footnote>
  <w:footnote w:id="18">
    <w:p w14:paraId="1F28B40A" w14:textId="53EF7084" w:rsidR="001A1F70" w:rsidRDefault="001A1F70">
      <w:pPr>
        <w:pStyle w:val="FootnoteText"/>
      </w:pPr>
      <w:r w:rsidRPr="005C4C02">
        <w:rPr>
          <w:rStyle w:val="FootnoteReference"/>
          <w:vertAlign w:val="superscript"/>
        </w:rPr>
        <w:footnoteRef/>
      </w:r>
      <w:r>
        <w:t xml:space="preserve"> </w:t>
      </w:r>
      <w:r w:rsidRPr="0045384E">
        <w:t>5 CFR 1320.8(d)</w:t>
      </w:r>
    </w:p>
  </w:footnote>
  <w:footnote w:id="19">
    <w:p w14:paraId="5BFAE31B" w14:textId="2A07F883" w:rsidR="001A1F70" w:rsidRPr="00755F95" w:rsidRDefault="001A1F70" w:rsidP="00EB6B25">
      <w:pPr>
        <w:pStyle w:val="FootnoteText"/>
      </w:pPr>
      <w:r w:rsidRPr="002B65CC">
        <w:rPr>
          <w:rStyle w:val="FootnoteReference"/>
          <w:vertAlign w:val="superscript"/>
        </w:rPr>
        <w:footnoteRef/>
      </w:r>
      <w:r w:rsidRPr="002B65CC">
        <w:rPr>
          <w:vertAlign w:val="superscript"/>
        </w:rPr>
        <w:t xml:space="preserve"> </w:t>
      </w:r>
      <w:r w:rsidRPr="00755F95">
        <w:t>Section 1502, Paragraph 2, available at NERC</w:t>
      </w:r>
      <w:r>
        <w:t>’</w:t>
      </w:r>
      <w:r w:rsidRPr="00755F95">
        <w:t>s website</w:t>
      </w:r>
      <w:r>
        <w:t>.</w:t>
      </w:r>
    </w:p>
  </w:footnote>
  <w:footnote w:id="20">
    <w:p w14:paraId="5AC4275F" w14:textId="7C726C0E" w:rsidR="001A1F70" w:rsidRDefault="001A1F70">
      <w:pPr>
        <w:pStyle w:val="FootnoteText"/>
      </w:pPr>
      <w:r w:rsidRPr="0012643A">
        <w:rPr>
          <w:rStyle w:val="FootnoteReference"/>
          <w:vertAlign w:val="superscript"/>
        </w:rPr>
        <w:footnoteRef/>
      </w:r>
      <w:r w:rsidRPr="0012643A">
        <w:rPr>
          <w:vertAlign w:val="superscript"/>
        </w:rPr>
        <w:t xml:space="preserve"> </w:t>
      </w:r>
      <w:r w:rsidRPr="00EB6B25">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1">
    <w:p w14:paraId="6E5BC664" w14:textId="699B88E9" w:rsidR="001A1F70" w:rsidRDefault="001A1F70">
      <w:pPr>
        <w:pStyle w:val="FootnoteText"/>
      </w:pPr>
      <w:r w:rsidRPr="0012643A">
        <w:rPr>
          <w:rStyle w:val="FootnoteReference"/>
          <w:vertAlign w:val="superscript"/>
        </w:rPr>
        <w:footnoteRef/>
      </w:r>
      <w:r>
        <w:t xml:space="preserve"> </w:t>
      </w:r>
      <w:r w:rsidRPr="0012643A">
        <w:t xml:space="preserve">Costs (for wages and benefits) are based on wage figures from the Bureau of Labor Statistics (BLS) for May 2019 (at </w:t>
      </w:r>
      <w:hyperlink r:id="rId9" w:history="1">
        <w:r w:rsidRPr="00844787">
          <w:rPr>
            <w:rStyle w:val="Hyperlink"/>
          </w:rPr>
          <w:t>https://www.bls.gov/oes/current/naics2_22.htm</w:t>
        </w:r>
      </w:hyperlink>
      <w:r w:rsidRPr="0012643A">
        <w:t>)</w:t>
      </w:r>
      <w:r>
        <w:t xml:space="preserve"> </w:t>
      </w:r>
      <w:r w:rsidRPr="0012643A">
        <w:t>and benefits information issued March 19,</w:t>
      </w:r>
      <w:r>
        <w:t xml:space="preserve"> </w:t>
      </w:r>
      <w:r w:rsidRPr="0012643A">
        <w:t xml:space="preserve">2020 (at </w:t>
      </w:r>
      <w:hyperlink r:id="rId10" w:history="1">
        <w:r w:rsidRPr="00844787">
          <w:rPr>
            <w:rStyle w:val="Hyperlink"/>
          </w:rPr>
          <w:t>https://www.bls.gov/news.release/ecec.nr0.htm</w:t>
        </w:r>
      </w:hyperlink>
      <w:r w:rsidRPr="0012643A">
        <w:t>)</w:t>
      </w:r>
      <w:r>
        <w:t xml:space="preserve">. </w:t>
      </w:r>
    </w:p>
  </w:footnote>
  <w:footnote w:id="22">
    <w:p w14:paraId="65FA28D8" w14:textId="0ED586FE" w:rsidR="001A1F70" w:rsidRDefault="001A1F70" w:rsidP="00EB6B25">
      <w:pPr>
        <w:pStyle w:val="FootnoteText"/>
      </w:pPr>
      <w:r w:rsidRPr="0012643A">
        <w:rPr>
          <w:rStyle w:val="FootnoteReference"/>
          <w:vertAlign w:val="superscript"/>
        </w:rPr>
        <w:footnoteRef/>
      </w:r>
      <w:r w:rsidRPr="0012643A">
        <w:rPr>
          <w:vertAlign w:val="superscript"/>
        </w:rPr>
        <w:t xml:space="preserve"> </w:t>
      </w:r>
      <w:r w:rsidRPr="00EB6B25">
        <w:t>There are 1,494 unique registered entities in the NERC compliance registry as of February 5, 2021. Of this total, we estimate that 343 entities (Balancing Authority [BA], Distribution Provider [DP], Generator Owner [GO], Generator Operator [GOP], Reliability Coordinator [RC], Transmission Owner [TO], and Transmission Operator [TOP]) will face an increased paperwork burden due to Docket No. RD21-2.</w:t>
      </w:r>
    </w:p>
  </w:footnote>
  <w:footnote w:id="23">
    <w:p w14:paraId="3C50642C" w14:textId="158BA1B2" w:rsidR="00B15A01" w:rsidRDefault="00B15A01">
      <w:pPr>
        <w:pStyle w:val="FootnoteText"/>
      </w:pPr>
      <w:r w:rsidRPr="004515AD">
        <w:rPr>
          <w:rStyle w:val="FootnoteReference"/>
          <w:vertAlign w:val="superscript"/>
        </w:rPr>
        <w:footnoteRef/>
      </w:r>
      <w:r>
        <w:t xml:space="preserve"> The burden is </w:t>
      </w:r>
      <w:r w:rsidR="00834831">
        <w:t>4</w:t>
      </w:r>
      <w:r w:rsidRPr="00B15A01">
        <w:t>8,</w:t>
      </w:r>
      <w:r w:rsidR="00834831">
        <w:t>363</w:t>
      </w:r>
      <w:r>
        <w:t xml:space="preserve"> hours (which includes ongoing and </w:t>
      </w:r>
      <w:proofErr w:type="gramStart"/>
      <w:r>
        <w:t>one time</w:t>
      </w:r>
      <w:proofErr w:type="gramEnd"/>
      <w:r>
        <w:t xml:space="preserve"> burdens in year 1). The burden in year</w:t>
      </w:r>
      <w:r w:rsidR="00834831">
        <w:t>s</w:t>
      </w:r>
      <w:r>
        <w:t xml:space="preserve"> 2 </w:t>
      </w:r>
      <w:r w:rsidR="00834831">
        <w:t xml:space="preserve">and 3 is </w:t>
      </w:r>
      <w:r>
        <w:t>12,005 hours</w:t>
      </w:r>
      <w:r w:rsidR="00834831">
        <w:t xml:space="preserve"> each</w:t>
      </w:r>
      <w:r>
        <w:t>. Therefore, the total average annual burden for Reliability Standard CIP-013-2</w:t>
      </w:r>
      <w:r w:rsidR="00834831">
        <w:t xml:space="preserve"> over years 1-3 is 72,373 </w:t>
      </w:r>
      <w:r w:rsidR="00834831" w:rsidRPr="00834831">
        <w:t>÷</w:t>
      </w:r>
      <w:r w:rsidR="00834831">
        <w:t xml:space="preserve"> 3 = 24,124.33 hours.</w:t>
      </w:r>
    </w:p>
  </w:footnote>
  <w:footnote w:id="24">
    <w:p w14:paraId="784077F1" w14:textId="2F3CABC3" w:rsidR="00B15A01" w:rsidRDefault="00B15A01">
      <w:pPr>
        <w:pStyle w:val="FootnoteText"/>
      </w:pPr>
      <w:r w:rsidRPr="004515AD">
        <w:rPr>
          <w:rStyle w:val="FootnoteReference"/>
          <w:vertAlign w:val="superscript"/>
        </w:rPr>
        <w:footnoteRef/>
      </w:r>
      <w:r>
        <w:t xml:space="preserve"> The burden is 5,145 hours (which includes ongoing and </w:t>
      </w:r>
      <w:proofErr w:type="gramStart"/>
      <w:r>
        <w:t>one time</w:t>
      </w:r>
      <w:proofErr w:type="gramEnd"/>
      <w:r>
        <w:t xml:space="preserve"> burdens in year 1). The burden in years 2 and 3 is 1,029 hours each. Therefore, the total average annual burden for Reliability Standard CIP-005-7 </w:t>
      </w:r>
      <w:r w:rsidR="0019394F" w:rsidRPr="004515AD">
        <w:rPr>
          <w:b/>
          <w:bCs/>
        </w:rPr>
        <w:t>and</w:t>
      </w:r>
      <w:r w:rsidR="0019394F">
        <w:t xml:space="preserve"> CIP-010-4 </w:t>
      </w:r>
      <w:r>
        <w:t xml:space="preserve">over years 1-3 is </w:t>
      </w:r>
      <w:r w:rsidR="00834831">
        <w:t xml:space="preserve">7,203 </w:t>
      </w:r>
      <w:r w:rsidR="00834831" w:rsidRPr="00834831">
        <w:t xml:space="preserve">÷ </w:t>
      </w:r>
      <w:r w:rsidR="00834831">
        <w:t xml:space="preserve">3 = </w:t>
      </w:r>
      <w:r>
        <w:t>2,401 hours.</w:t>
      </w:r>
    </w:p>
  </w:footnote>
  <w:footnote w:id="25">
    <w:p w14:paraId="6FF2379B" w14:textId="511BE505" w:rsidR="0001162E" w:rsidRDefault="0001162E">
      <w:pPr>
        <w:pStyle w:val="FootnoteText"/>
      </w:pPr>
      <w:r w:rsidRPr="004515AD">
        <w:rPr>
          <w:rStyle w:val="FootnoteReference"/>
          <w:vertAlign w:val="superscript"/>
        </w:rPr>
        <w:footnoteRef/>
      </w:r>
      <w:r w:rsidRPr="004515AD">
        <w:rPr>
          <w:vertAlign w:val="superscript"/>
        </w:rPr>
        <w:t xml:space="preserve"> </w:t>
      </w:r>
      <w:r>
        <w:t>The total a</w:t>
      </w:r>
      <w:r w:rsidR="003D0D3C">
        <w:t>v</w:t>
      </w:r>
      <w:r>
        <w:t xml:space="preserve">erage cost due to RD21-2 </w:t>
      </w:r>
      <w:r w:rsidR="003D0D3C">
        <w:t xml:space="preserve">over three years </w:t>
      </w:r>
      <w:r>
        <w:t>is determined by adding the costs from each Reliability Standard and dividing by 3 as follows</w:t>
      </w:r>
      <w:r w:rsidR="003D0D3C">
        <w:t>. We multiply the costs if it is ongoing in years 1, 2 and/or 3</w:t>
      </w:r>
      <w:r>
        <w:t>:</w:t>
      </w:r>
    </w:p>
    <w:p w14:paraId="10E71918" w14:textId="30058A28" w:rsidR="003D0D3C" w:rsidRDefault="003D0D3C" w:rsidP="003D0D3C">
      <w:pPr>
        <w:pStyle w:val="FootnoteText"/>
        <w:numPr>
          <w:ilvl w:val="0"/>
          <w:numId w:val="32"/>
        </w:numPr>
      </w:pPr>
      <w:r w:rsidRPr="003D0D3C">
        <w:t>CIP-013-2</w:t>
      </w:r>
      <w:r>
        <w:t xml:space="preserve">: </w:t>
      </w:r>
      <w:r w:rsidRPr="003D0D3C">
        <w:t>$4,014,060.40</w:t>
      </w:r>
      <w:r>
        <w:t>+(</w:t>
      </w:r>
      <w:r w:rsidRPr="003D0D3C">
        <w:t>$885,454.50</w:t>
      </w:r>
      <w:r>
        <w:t>*</w:t>
      </w:r>
      <w:proofErr w:type="gramStart"/>
      <w:r>
        <w:t>2)+</w:t>
      </w:r>
      <w:proofErr w:type="gramEnd"/>
      <w:r w:rsidRPr="003D0D3C">
        <w:t xml:space="preserve"> </w:t>
      </w:r>
      <w:r>
        <w:t>(</w:t>
      </w:r>
      <w:r w:rsidRPr="003D0D3C">
        <w:t>$70,366.45</w:t>
      </w:r>
      <w:r>
        <w:t xml:space="preserve">*3)=$5,996,068.75 </w:t>
      </w:r>
      <w:r w:rsidRPr="00834831">
        <w:t xml:space="preserve">÷ </w:t>
      </w:r>
      <w:r>
        <w:t>3 = 1,998,689.58</w:t>
      </w:r>
      <w:r w:rsidR="00223900">
        <w:t xml:space="preserve"> (</w:t>
      </w:r>
      <w:proofErr w:type="spellStart"/>
      <w:r w:rsidR="00223900">
        <w:t>cont</w:t>
      </w:r>
      <w:proofErr w:type="spellEnd"/>
      <w:r w:rsidR="00223900">
        <w:t>…)</w:t>
      </w:r>
    </w:p>
    <w:p w14:paraId="26426045" w14:textId="11703D76" w:rsidR="003D0D3C" w:rsidRDefault="003D0D3C" w:rsidP="003D0D3C">
      <w:pPr>
        <w:pStyle w:val="FootnoteText"/>
        <w:numPr>
          <w:ilvl w:val="0"/>
          <w:numId w:val="32"/>
        </w:numPr>
      </w:pPr>
      <w:r w:rsidRPr="003D0D3C">
        <w:t>CIP-005-7</w:t>
      </w:r>
      <w:r>
        <w:t xml:space="preserve">: </w:t>
      </w:r>
      <w:r w:rsidRPr="003D0D3C">
        <w:t>$354,181.80</w:t>
      </w:r>
      <w:r>
        <w:t>+ (</w:t>
      </w:r>
      <w:r w:rsidRPr="003D0D3C">
        <w:t>$42,219.87</w:t>
      </w:r>
      <w:r>
        <w:t>*</w:t>
      </w:r>
      <w:proofErr w:type="gramStart"/>
      <w:r>
        <w:t>3)=</w:t>
      </w:r>
      <w:proofErr w:type="gramEnd"/>
      <w:r>
        <w:t xml:space="preserve">$835,023.21 </w:t>
      </w:r>
      <w:r w:rsidRPr="00834831">
        <w:t xml:space="preserve">÷ </w:t>
      </w:r>
      <w:r>
        <w:t>3 = 278,341.07</w:t>
      </w:r>
    </w:p>
    <w:p w14:paraId="6132802F" w14:textId="77777777" w:rsidR="003D0D3C" w:rsidRDefault="003D0D3C" w:rsidP="003D0D3C">
      <w:pPr>
        <w:pStyle w:val="FootnoteText"/>
        <w:numPr>
          <w:ilvl w:val="0"/>
          <w:numId w:val="32"/>
        </w:numPr>
      </w:pPr>
      <w:r w:rsidRPr="003D0D3C">
        <w:t>CIP-010-4</w:t>
      </w:r>
      <w:r>
        <w:t xml:space="preserve">: </w:t>
      </w:r>
      <w:r w:rsidRPr="003D0D3C">
        <w:t>$354,181.80</w:t>
      </w:r>
      <w:r>
        <w:t>+ (</w:t>
      </w:r>
      <w:r w:rsidRPr="003D0D3C">
        <w:t>$42,219.87</w:t>
      </w:r>
      <w:r>
        <w:t>*</w:t>
      </w:r>
      <w:proofErr w:type="gramStart"/>
      <w:r>
        <w:t>3)=</w:t>
      </w:r>
      <w:proofErr w:type="gramEnd"/>
      <w:r>
        <w:t xml:space="preserve">$835,023.21 </w:t>
      </w:r>
      <w:r w:rsidRPr="00834831">
        <w:t xml:space="preserve">÷ </w:t>
      </w:r>
      <w:r>
        <w:t>3 = 278,341.07</w:t>
      </w:r>
    </w:p>
    <w:p w14:paraId="19F2843A" w14:textId="1FDEC5C4" w:rsidR="003D0D3C" w:rsidRDefault="003D0D3C" w:rsidP="004515AD">
      <w:pPr>
        <w:pStyle w:val="FootnoteText"/>
      </w:pPr>
      <w:r>
        <w:t xml:space="preserve">Therefore, the total average </w:t>
      </w:r>
      <w:r w:rsidR="00691032">
        <w:t xml:space="preserve">annual </w:t>
      </w:r>
      <w:r>
        <w:t xml:space="preserve">cost is </w:t>
      </w:r>
      <w:r w:rsidR="00691032">
        <w:t>$2,555,371.72</w:t>
      </w:r>
    </w:p>
    <w:p w14:paraId="17F42609" w14:textId="77777777" w:rsidR="0001162E" w:rsidRDefault="0001162E">
      <w:pPr>
        <w:pStyle w:val="FootnoteText"/>
      </w:pPr>
    </w:p>
  </w:footnote>
  <w:footnote w:id="26">
    <w:p w14:paraId="2511C043" w14:textId="064113DA" w:rsidR="001A1F70" w:rsidRDefault="001A1F70">
      <w:pPr>
        <w:pStyle w:val="FootnoteText"/>
      </w:pPr>
      <w:r w:rsidRPr="0012643A">
        <w:rPr>
          <w:rStyle w:val="FootnoteReference"/>
          <w:vertAlign w:val="superscript"/>
        </w:rPr>
        <w:footnoteRef/>
      </w:r>
      <w:r>
        <w:t xml:space="preserve"> </w:t>
      </w:r>
      <w:r w:rsidRPr="0012643A">
        <w:t xml:space="preserve">The Commission Letter Order is available on FERC’s </w:t>
      </w:r>
      <w:proofErr w:type="spellStart"/>
      <w:r w:rsidRPr="0012643A">
        <w:t>eLibrary</w:t>
      </w:r>
      <w:proofErr w:type="spellEnd"/>
      <w:r w:rsidRPr="0012643A">
        <w:t xml:space="preserve"> system (</w:t>
      </w:r>
      <w:hyperlink r:id="rId11" w:history="1">
        <w:r w:rsidRPr="00844787">
          <w:rPr>
            <w:rStyle w:val="Hyperlink"/>
          </w:rPr>
          <w:t>https://elibrary.ferc.gov/eLibrary/search</w:t>
        </w:r>
      </w:hyperlink>
      <w:r w:rsidRPr="0012643A">
        <w:t>)</w:t>
      </w:r>
      <w:r>
        <w:t xml:space="preserve"> </w:t>
      </w:r>
      <w:r w:rsidRPr="0012643A">
        <w:t xml:space="preserve">by searching in Docket Number RD21-2.  </w:t>
      </w:r>
    </w:p>
  </w:footnote>
  <w:footnote w:id="27">
    <w:p w14:paraId="1E1797ED" w14:textId="50F9EC17" w:rsidR="005E63E7" w:rsidRDefault="005E63E7">
      <w:pPr>
        <w:pStyle w:val="FootnoteText"/>
      </w:pPr>
      <w:r w:rsidRPr="00223900">
        <w:rPr>
          <w:rStyle w:val="FootnoteReference"/>
          <w:vertAlign w:val="superscript"/>
        </w:rPr>
        <w:footnoteRef/>
      </w:r>
      <w:r w:rsidRPr="00223900">
        <w:rPr>
          <w:vertAlign w:val="superscript"/>
        </w:rPr>
        <w:t xml:space="preserve"> </w:t>
      </w:r>
      <w:r>
        <w:t xml:space="preserve">The number </w:t>
      </w:r>
      <w:r w:rsidR="00231C94">
        <w:t>of respondents is</w:t>
      </w:r>
      <w:r>
        <w:t xml:space="preserve"> 343 </w:t>
      </w:r>
      <w:r w:rsidR="00414558">
        <w:t xml:space="preserve">per CIP standard. In this request we are discussing 3 CIP Standards. Therefore, </w:t>
      </w:r>
      <w:r>
        <w:t>343*3=1,029 respon</w:t>
      </w:r>
      <w:r w:rsidR="00231C94">
        <w:t>ses.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DE20" w14:textId="77777777" w:rsidR="001A1F70" w:rsidRDefault="001A1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3B20" w14:textId="598C865F" w:rsidR="001A1F70" w:rsidRDefault="001A1F70">
    <w:pPr>
      <w:pStyle w:val="Header"/>
      <w:rPr>
        <w:rFonts w:ascii="Times New Roman" w:hAnsi="Times New Roman" w:cs="Times New Roman"/>
        <w:sz w:val="24"/>
        <w:szCs w:val="24"/>
      </w:rPr>
    </w:pPr>
    <w:r w:rsidRPr="001F33E7">
      <w:rPr>
        <w:rFonts w:ascii="Times New Roman" w:hAnsi="Times New Roman" w:cs="Times New Roman"/>
        <w:sz w:val="24"/>
        <w:szCs w:val="24"/>
      </w:rPr>
      <w:t>FERC-</w:t>
    </w:r>
    <w:r>
      <w:rPr>
        <w:rFonts w:ascii="Times New Roman" w:hAnsi="Times New Roman" w:cs="Times New Roman"/>
        <w:sz w:val="24"/>
        <w:szCs w:val="24"/>
      </w:rPr>
      <w:t>725B2</w:t>
    </w:r>
    <w:r w:rsidRPr="001F33E7">
      <w:rPr>
        <w:rFonts w:ascii="Times New Roman" w:hAnsi="Times New Roman" w:cs="Times New Roman"/>
        <w:sz w:val="24"/>
        <w:szCs w:val="24"/>
      </w:rPr>
      <w:t xml:space="preserve"> (OMB Control No. 1902-030</w:t>
    </w:r>
    <w:r>
      <w:rPr>
        <w:rFonts w:ascii="Times New Roman" w:hAnsi="Times New Roman" w:cs="Times New Roman"/>
        <w:sz w:val="24"/>
        <w:szCs w:val="24"/>
      </w:rPr>
      <w:t>4)</w:t>
    </w:r>
  </w:p>
  <w:p w14:paraId="590BB9A1" w14:textId="35AF5B96" w:rsidR="001A1F70" w:rsidRDefault="001A1F70">
    <w:pPr>
      <w:pStyle w:val="Header"/>
      <w:rPr>
        <w:rFonts w:ascii="Times New Roman" w:hAnsi="Times New Roman" w:cs="Times New Roman"/>
        <w:sz w:val="24"/>
        <w:szCs w:val="24"/>
      </w:rPr>
    </w:pPr>
    <w:r>
      <w:rPr>
        <w:rFonts w:ascii="Times New Roman" w:hAnsi="Times New Roman" w:cs="Times New Roman"/>
        <w:sz w:val="24"/>
        <w:szCs w:val="24"/>
      </w:rPr>
      <w:t xml:space="preserve">Docket No. RD21-2-000 </w:t>
    </w:r>
  </w:p>
  <w:p w14:paraId="23596282" w14:textId="3723E8FD" w:rsidR="001A1F70" w:rsidRDefault="001A1F70">
    <w:pPr>
      <w:pStyle w:val="Header"/>
    </w:pPr>
    <w:r>
      <w:rPr>
        <w:rFonts w:ascii="Times New Roman" w:hAnsi="Times New Roman" w:cs="Times New Roman"/>
        <w:sz w:val="24"/>
        <w:szCs w:val="24"/>
      </w:rPr>
      <w:t>(CLO issued March 18,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1B02" w14:textId="77777777" w:rsidR="001A1F70" w:rsidRDefault="001A1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9B3"/>
    <w:multiLevelType w:val="hybridMultilevel"/>
    <w:tmpl w:val="735063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D34754"/>
    <w:multiLevelType w:val="hybridMultilevel"/>
    <w:tmpl w:val="44D4E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F8"/>
    <w:multiLevelType w:val="multilevel"/>
    <w:tmpl w:val="9C086DA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A67C3"/>
    <w:multiLevelType w:val="hybridMultilevel"/>
    <w:tmpl w:val="FEF8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C5866"/>
    <w:multiLevelType w:val="multilevel"/>
    <w:tmpl w:val="08A27F5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250B5204"/>
    <w:multiLevelType w:val="hybridMultilevel"/>
    <w:tmpl w:val="48EA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A51F8"/>
    <w:multiLevelType w:val="hybridMultilevel"/>
    <w:tmpl w:val="34F4E3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77E43"/>
    <w:multiLevelType w:val="hybridMultilevel"/>
    <w:tmpl w:val="5D668C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B73DF1"/>
    <w:multiLevelType w:val="hybridMultilevel"/>
    <w:tmpl w:val="001EB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96447"/>
    <w:multiLevelType w:val="hybridMultilevel"/>
    <w:tmpl w:val="75B87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3EAB58C5"/>
    <w:multiLevelType w:val="hybridMultilevel"/>
    <w:tmpl w:val="A148DA0E"/>
    <w:lvl w:ilvl="0" w:tplc="C2385F90">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D8430C"/>
    <w:multiLevelType w:val="hybridMultilevel"/>
    <w:tmpl w:val="D78EEC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406600B"/>
    <w:multiLevelType w:val="hybridMultilevel"/>
    <w:tmpl w:val="233E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91B1D"/>
    <w:multiLevelType w:val="hybridMultilevel"/>
    <w:tmpl w:val="C19AE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2F02CE"/>
    <w:multiLevelType w:val="hybridMultilevel"/>
    <w:tmpl w:val="8DDCC5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62ECD"/>
    <w:multiLevelType w:val="hybridMultilevel"/>
    <w:tmpl w:val="6D2A7E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CC1895"/>
    <w:multiLevelType w:val="multilevel"/>
    <w:tmpl w:val="E86CFE0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51922401"/>
    <w:multiLevelType w:val="hybridMultilevel"/>
    <w:tmpl w:val="9A96E3F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263778"/>
    <w:multiLevelType w:val="hybridMultilevel"/>
    <w:tmpl w:val="758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470B8"/>
    <w:multiLevelType w:val="hybridMultilevel"/>
    <w:tmpl w:val="0CBE54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0346D7"/>
    <w:multiLevelType w:val="hybridMultilevel"/>
    <w:tmpl w:val="C1AC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B429F"/>
    <w:multiLevelType w:val="hybridMultilevel"/>
    <w:tmpl w:val="1C96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40A53"/>
    <w:multiLevelType w:val="hybridMultilevel"/>
    <w:tmpl w:val="4EB4A528"/>
    <w:lvl w:ilvl="0" w:tplc="14EAD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E00FA"/>
    <w:multiLevelType w:val="multilevel"/>
    <w:tmpl w:val="6B1C7260"/>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608B730E"/>
    <w:multiLevelType w:val="hybridMultilevel"/>
    <w:tmpl w:val="84BE01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81A8A"/>
    <w:multiLevelType w:val="hybridMultilevel"/>
    <w:tmpl w:val="A8425F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C72494"/>
    <w:multiLevelType w:val="hybridMultilevel"/>
    <w:tmpl w:val="01F68C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3B09D3"/>
    <w:multiLevelType w:val="hybridMultilevel"/>
    <w:tmpl w:val="FA38E5B6"/>
    <w:lvl w:ilvl="0" w:tplc="FFDA01B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11"/>
  </w:num>
  <w:num w:numId="3">
    <w:abstractNumId w:val="23"/>
  </w:num>
  <w:num w:numId="4">
    <w:abstractNumId w:val="29"/>
  </w:num>
  <w:num w:numId="5">
    <w:abstractNumId w:val="25"/>
  </w:num>
  <w:num w:numId="6">
    <w:abstractNumId w:val="30"/>
  </w:num>
  <w:num w:numId="7">
    <w:abstractNumId w:val="2"/>
  </w:num>
  <w:num w:numId="8">
    <w:abstractNumId w:val="10"/>
  </w:num>
  <w:num w:numId="9">
    <w:abstractNumId w:val="24"/>
  </w:num>
  <w:num w:numId="10">
    <w:abstractNumId w:val="15"/>
  </w:num>
  <w:num w:numId="11">
    <w:abstractNumId w:val="26"/>
  </w:num>
  <w:num w:numId="12">
    <w:abstractNumId w:val="21"/>
  </w:num>
  <w:num w:numId="13">
    <w:abstractNumId w:val="0"/>
  </w:num>
  <w:num w:numId="14">
    <w:abstractNumId w:val="19"/>
  </w:num>
  <w:num w:numId="15">
    <w:abstractNumId w:val="28"/>
  </w:num>
  <w:num w:numId="16">
    <w:abstractNumId w:val="9"/>
  </w:num>
  <w:num w:numId="17">
    <w:abstractNumId w:val="5"/>
  </w:num>
  <w:num w:numId="18">
    <w:abstractNumId w:val="13"/>
  </w:num>
  <w:num w:numId="19">
    <w:abstractNumId w:val="1"/>
  </w:num>
  <w:num w:numId="20">
    <w:abstractNumId w:val="8"/>
  </w:num>
  <w:num w:numId="21">
    <w:abstractNumId w:val="14"/>
  </w:num>
  <w:num w:numId="22">
    <w:abstractNumId w:val="17"/>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7"/>
  </w:num>
  <w:num w:numId="27">
    <w:abstractNumId w:val="16"/>
  </w:num>
  <w:num w:numId="28">
    <w:abstractNumId w:val="22"/>
  </w:num>
  <w:num w:numId="29">
    <w:abstractNumId w:val="6"/>
  </w:num>
  <w:num w:numId="30">
    <w:abstractNumId w:val="20"/>
  </w:num>
  <w:num w:numId="31">
    <w:abstractNumId w:val="2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1162E"/>
    <w:rsid w:val="00025CF0"/>
    <w:rsid w:val="00027841"/>
    <w:rsid w:val="000325F7"/>
    <w:rsid w:val="00035845"/>
    <w:rsid w:val="00035DF1"/>
    <w:rsid w:val="0004326A"/>
    <w:rsid w:val="000551C0"/>
    <w:rsid w:val="0006644E"/>
    <w:rsid w:val="00086B9E"/>
    <w:rsid w:val="000B0C37"/>
    <w:rsid w:val="000B2C78"/>
    <w:rsid w:val="000B783F"/>
    <w:rsid w:val="000E5003"/>
    <w:rsid w:val="00101134"/>
    <w:rsid w:val="0010531D"/>
    <w:rsid w:val="001177D7"/>
    <w:rsid w:val="0012643A"/>
    <w:rsid w:val="00126D24"/>
    <w:rsid w:val="001427A1"/>
    <w:rsid w:val="00143103"/>
    <w:rsid w:val="00175B09"/>
    <w:rsid w:val="00181727"/>
    <w:rsid w:val="0018278D"/>
    <w:rsid w:val="00185730"/>
    <w:rsid w:val="00186D2C"/>
    <w:rsid w:val="001933C0"/>
    <w:rsid w:val="0019394F"/>
    <w:rsid w:val="001A1F70"/>
    <w:rsid w:val="001B0A73"/>
    <w:rsid w:val="001C257A"/>
    <w:rsid w:val="001F33E7"/>
    <w:rsid w:val="00211A9B"/>
    <w:rsid w:val="00223900"/>
    <w:rsid w:val="00231C94"/>
    <w:rsid w:val="0026674D"/>
    <w:rsid w:val="00273E55"/>
    <w:rsid w:val="002B1CB7"/>
    <w:rsid w:val="002B65CC"/>
    <w:rsid w:val="002C0846"/>
    <w:rsid w:val="002C4DB2"/>
    <w:rsid w:val="00301A89"/>
    <w:rsid w:val="00301D30"/>
    <w:rsid w:val="00327288"/>
    <w:rsid w:val="00396932"/>
    <w:rsid w:val="003A41AA"/>
    <w:rsid w:val="003B3A5B"/>
    <w:rsid w:val="003C2ED2"/>
    <w:rsid w:val="003C3E94"/>
    <w:rsid w:val="003D0D3C"/>
    <w:rsid w:val="00403571"/>
    <w:rsid w:val="00414558"/>
    <w:rsid w:val="00414F32"/>
    <w:rsid w:val="00425500"/>
    <w:rsid w:val="0043342F"/>
    <w:rsid w:val="004515AD"/>
    <w:rsid w:val="0045384E"/>
    <w:rsid w:val="00457AFD"/>
    <w:rsid w:val="00461520"/>
    <w:rsid w:val="004C2E0F"/>
    <w:rsid w:val="004C4C89"/>
    <w:rsid w:val="004C523C"/>
    <w:rsid w:val="004D298C"/>
    <w:rsid w:val="004E6401"/>
    <w:rsid w:val="004F4177"/>
    <w:rsid w:val="004F6977"/>
    <w:rsid w:val="00505FDF"/>
    <w:rsid w:val="0051723A"/>
    <w:rsid w:val="00521A08"/>
    <w:rsid w:val="00522F69"/>
    <w:rsid w:val="0053287C"/>
    <w:rsid w:val="00533384"/>
    <w:rsid w:val="00571C5E"/>
    <w:rsid w:val="0057221D"/>
    <w:rsid w:val="0057700F"/>
    <w:rsid w:val="00577884"/>
    <w:rsid w:val="00595D0A"/>
    <w:rsid w:val="00595F16"/>
    <w:rsid w:val="005A2792"/>
    <w:rsid w:val="005B77CE"/>
    <w:rsid w:val="005C4C02"/>
    <w:rsid w:val="005C757E"/>
    <w:rsid w:val="005D0E7F"/>
    <w:rsid w:val="005E3C81"/>
    <w:rsid w:val="005E63E7"/>
    <w:rsid w:val="005F1C3C"/>
    <w:rsid w:val="006155F9"/>
    <w:rsid w:val="006166FA"/>
    <w:rsid w:val="006167D6"/>
    <w:rsid w:val="0062089F"/>
    <w:rsid w:val="00621B3D"/>
    <w:rsid w:val="006261F9"/>
    <w:rsid w:val="0063153F"/>
    <w:rsid w:val="00640848"/>
    <w:rsid w:val="00641F4B"/>
    <w:rsid w:val="006511E3"/>
    <w:rsid w:val="00664BC0"/>
    <w:rsid w:val="00680FA4"/>
    <w:rsid w:val="00690136"/>
    <w:rsid w:val="00691032"/>
    <w:rsid w:val="00691F13"/>
    <w:rsid w:val="00697ECA"/>
    <w:rsid w:val="006A0724"/>
    <w:rsid w:val="006A3B04"/>
    <w:rsid w:val="006B7806"/>
    <w:rsid w:val="006C61FA"/>
    <w:rsid w:val="006D55FB"/>
    <w:rsid w:val="006E62CD"/>
    <w:rsid w:val="0070421D"/>
    <w:rsid w:val="007404BA"/>
    <w:rsid w:val="007531CA"/>
    <w:rsid w:val="00753984"/>
    <w:rsid w:val="00754AEA"/>
    <w:rsid w:val="007617CB"/>
    <w:rsid w:val="00773AEB"/>
    <w:rsid w:val="00782C8D"/>
    <w:rsid w:val="007854C4"/>
    <w:rsid w:val="00787670"/>
    <w:rsid w:val="007900E2"/>
    <w:rsid w:val="007A2F92"/>
    <w:rsid w:val="007E7C0F"/>
    <w:rsid w:val="007F2E80"/>
    <w:rsid w:val="007F6B50"/>
    <w:rsid w:val="00802E45"/>
    <w:rsid w:val="00834831"/>
    <w:rsid w:val="008435CF"/>
    <w:rsid w:val="00854630"/>
    <w:rsid w:val="00856177"/>
    <w:rsid w:val="0086062F"/>
    <w:rsid w:val="008619E1"/>
    <w:rsid w:val="0087322D"/>
    <w:rsid w:val="00876F75"/>
    <w:rsid w:val="0089694A"/>
    <w:rsid w:val="008A21A4"/>
    <w:rsid w:val="008C288D"/>
    <w:rsid w:val="008E180E"/>
    <w:rsid w:val="008E44AA"/>
    <w:rsid w:val="008E70CD"/>
    <w:rsid w:val="008E7B1C"/>
    <w:rsid w:val="008F2815"/>
    <w:rsid w:val="00912E0D"/>
    <w:rsid w:val="00913A8B"/>
    <w:rsid w:val="00915405"/>
    <w:rsid w:val="009407B5"/>
    <w:rsid w:val="00944A16"/>
    <w:rsid w:val="00962926"/>
    <w:rsid w:val="00965A72"/>
    <w:rsid w:val="00970FE4"/>
    <w:rsid w:val="009C3DFC"/>
    <w:rsid w:val="009E1190"/>
    <w:rsid w:val="00A014C6"/>
    <w:rsid w:val="00A11630"/>
    <w:rsid w:val="00A20DBA"/>
    <w:rsid w:val="00A276F5"/>
    <w:rsid w:val="00A303C7"/>
    <w:rsid w:val="00A3627B"/>
    <w:rsid w:val="00A532AE"/>
    <w:rsid w:val="00A5542C"/>
    <w:rsid w:val="00A66E24"/>
    <w:rsid w:val="00A72E7B"/>
    <w:rsid w:val="00A96B65"/>
    <w:rsid w:val="00AA1AAD"/>
    <w:rsid w:val="00AA2627"/>
    <w:rsid w:val="00AA2E7C"/>
    <w:rsid w:val="00AB5BA8"/>
    <w:rsid w:val="00AD3DE5"/>
    <w:rsid w:val="00AE74D8"/>
    <w:rsid w:val="00AF351B"/>
    <w:rsid w:val="00B00330"/>
    <w:rsid w:val="00B15A01"/>
    <w:rsid w:val="00B31749"/>
    <w:rsid w:val="00B37650"/>
    <w:rsid w:val="00B525FF"/>
    <w:rsid w:val="00B54AF7"/>
    <w:rsid w:val="00B54C2A"/>
    <w:rsid w:val="00B60B1B"/>
    <w:rsid w:val="00B62064"/>
    <w:rsid w:val="00B94AB6"/>
    <w:rsid w:val="00BA1C7D"/>
    <w:rsid w:val="00BA5865"/>
    <w:rsid w:val="00BA7C56"/>
    <w:rsid w:val="00BC455C"/>
    <w:rsid w:val="00C01698"/>
    <w:rsid w:val="00C31161"/>
    <w:rsid w:val="00C510DD"/>
    <w:rsid w:val="00C54DAF"/>
    <w:rsid w:val="00C82B9B"/>
    <w:rsid w:val="00C84C5A"/>
    <w:rsid w:val="00CA59C3"/>
    <w:rsid w:val="00CB313D"/>
    <w:rsid w:val="00CB5007"/>
    <w:rsid w:val="00CE4C25"/>
    <w:rsid w:val="00CF3EF8"/>
    <w:rsid w:val="00CF54D6"/>
    <w:rsid w:val="00D04EC3"/>
    <w:rsid w:val="00D1199A"/>
    <w:rsid w:val="00D30D7B"/>
    <w:rsid w:val="00D358AE"/>
    <w:rsid w:val="00D608BF"/>
    <w:rsid w:val="00D738FE"/>
    <w:rsid w:val="00D80FBD"/>
    <w:rsid w:val="00D92EC6"/>
    <w:rsid w:val="00DB0850"/>
    <w:rsid w:val="00DC4E36"/>
    <w:rsid w:val="00DD6006"/>
    <w:rsid w:val="00E00A12"/>
    <w:rsid w:val="00E056DD"/>
    <w:rsid w:val="00E11CA6"/>
    <w:rsid w:val="00E14565"/>
    <w:rsid w:val="00E20612"/>
    <w:rsid w:val="00E36F70"/>
    <w:rsid w:val="00E57DDB"/>
    <w:rsid w:val="00E6012A"/>
    <w:rsid w:val="00E636D7"/>
    <w:rsid w:val="00E675F7"/>
    <w:rsid w:val="00E725C9"/>
    <w:rsid w:val="00E84A39"/>
    <w:rsid w:val="00E87A4F"/>
    <w:rsid w:val="00E909C6"/>
    <w:rsid w:val="00E936C7"/>
    <w:rsid w:val="00EA1CE8"/>
    <w:rsid w:val="00EB3E6F"/>
    <w:rsid w:val="00EB6B25"/>
    <w:rsid w:val="00ED3407"/>
    <w:rsid w:val="00ED5560"/>
    <w:rsid w:val="00ED76D0"/>
    <w:rsid w:val="00EE5934"/>
    <w:rsid w:val="00EF21B5"/>
    <w:rsid w:val="00F111E1"/>
    <w:rsid w:val="00F12DC2"/>
    <w:rsid w:val="00F152DF"/>
    <w:rsid w:val="00F22CEB"/>
    <w:rsid w:val="00F32C64"/>
    <w:rsid w:val="00F400D7"/>
    <w:rsid w:val="00F67CEE"/>
    <w:rsid w:val="00F875B9"/>
    <w:rsid w:val="00F91C08"/>
    <w:rsid w:val="00FB5823"/>
    <w:rsid w:val="00FB60BC"/>
    <w:rsid w:val="00FC48C9"/>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E3A51"/>
  <w15:docId w15:val="{C11A53D0-F1F8-46DC-9461-05348520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nhideWhenUsed/>
    <w:rsid w:val="007F6B50"/>
    <w:rPr>
      <w:color w:val="0000FF"/>
      <w:u w:val="single"/>
    </w:rPr>
  </w:style>
  <w:style w:type="character" w:styleId="FollowedHyperlink">
    <w:name w:val="FollowedHyperlink"/>
    <w:basedOn w:val="DefaultParagraphFont"/>
    <w:uiPriority w:val="99"/>
    <w:semiHidden/>
    <w:unhideWhenUsed/>
    <w:rsid w:val="00E6012A"/>
    <w:rPr>
      <w:color w:val="800080" w:themeColor="followedHyperlink"/>
      <w:u w:val="single"/>
    </w:rPr>
  </w:style>
  <w:style w:type="character" w:styleId="UnresolvedMention">
    <w:name w:val="Unresolved Mention"/>
    <w:basedOn w:val="DefaultParagraphFont"/>
    <w:uiPriority w:val="99"/>
    <w:semiHidden/>
    <w:unhideWhenUsed/>
    <w:rsid w:val="00EB6B25"/>
    <w:rPr>
      <w:color w:val="605E5C"/>
      <w:shd w:val="clear" w:color="auto" w:fill="E1DFDD"/>
    </w:rPr>
  </w:style>
  <w:style w:type="table" w:styleId="TableGrid">
    <w:name w:val="Table Grid"/>
    <w:basedOn w:val="TableNormal"/>
    <w:uiPriority w:val="59"/>
    <w:rsid w:val="004D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RCparanumberChar">
    <w:name w:val="FERC paranumber Char"/>
    <w:basedOn w:val="DefaultParagraphFont"/>
    <w:link w:val="FERCparanumber"/>
    <w:locked/>
    <w:rsid w:val="00425500"/>
    <w:rPr>
      <w:rFonts w:ascii="Times New Roman" w:hAnsi="Times New Roman" w:cs="Times New Roman"/>
      <w:sz w:val="26"/>
    </w:rPr>
  </w:style>
  <w:style w:type="paragraph" w:customStyle="1" w:styleId="FERCparanumber">
    <w:name w:val="FERC paranumber"/>
    <w:basedOn w:val="Normal"/>
    <w:link w:val="FERCparanumberChar"/>
    <w:qFormat/>
    <w:rsid w:val="00425500"/>
    <w:pPr>
      <w:numPr>
        <w:numId w:val="23"/>
      </w:numPr>
      <w:spacing w:after="26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6873">
      <w:bodyDiv w:val="1"/>
      <w:marLeft w:val="0"/>
      <w:marRight w:val="0"/>
      <w:marTop w:val="0"/>
      <w:marBottom w:val="0"/>
      <w:divBdr>
        <w:top w:val="none" w:sz="0" w:space="0" w:color="auto"/>
        <w:left w:val="none" w:sz="0" w:space="0" w:color="auto"/>
        <w:bottom w:val="none" w:sz="0" w:space="0" w:color="auto"/>
        <w:right w:val="none" w:sz="0" w:space="0" w:color="auto"/>
      </w:divBdr>
    </w:div>
    <w:div w:id="193621006">
      <w:bodyDiv w:val="1"/>
      <w:marLeft w:val="0"/>
      <w:marRight w:val="0"/>
      <w:marTop w:val="0"/>
      <w:marBottom w:val="0"/>
      <w:divBdr>
        <w:top w:val="none" w:sz="0" w:space="0" w:color="auto"/>
        <w:left w:val="none" w:sz="0" w:space="0" w:color="auto"/>
        <w:bottom w:val="none" w:sz="0" w:space="0" w:color="auto"/>
        <w:right w:val="none" w:sz="0" w:space="0" w:color="auto"/>
      </w:divBdr>
    </w:div>
    <w:div w:id="194539902">
      <w:bodyDiv w:val="1"/>
      <w:marLeft w:val="0"/>
      <w:marRight w:val="0"/>
      <w:marTop w:val="0"/>
      <w:marBottom w:val="0"/>
      <w:divBdr>
        <w:top w:val="none" w:sz="0" w:space="0" w:color="auto"/>
        <w:left w:val="none" w:sz="0" w:space="0" w:color="auto"/>
        <w:bottom w:val="none" w:sz="0" w:space="0" w:color="auto"/>
        <w:right w:val="none" w:sz="0" w:space="0" w:color="auto"/>
      </w:divBdr>
    </w:div>
    <w:div w:id="252471509">
      <w:bodyDiv w:val="1"/>
      <w:marLeft w:val="0"/>
      <w:marRight w:val="0"/>
      <w:marTop w:val="0"/>
      <w:marBottom w:val="0"/>
      <w:divBdr>
        <w:top w:val="none" w:sz="0" w:space="0" w:color="auto"/>
        <w:left w:val="none" w:sz="0" w:space="0" w:color="auto"/>
        <w:bottom w:val="none" w:sz="0" w:space="0" w:color="auto"/>
        <w:right w:val="none" w:sz="0" w:space="0" w:color="auto"/>
      </w:divBdr>
    </w:div>
    <w:div w:id="587546734">
      <w:bodyDiv w:val="1"/>
      <w:marLeft w:val="0"/>
      <w:marRight w:val="0"/>
      <w:marTop w:val="0"/>
      <w:marBottom w:val="0"/>
      <w:divBdr>
        <w:top w:val="none" w:sz="0" w:space="0" w:color="auto"/>
        <w:left w:val="none" w:sz="0" w:space="0" w:color="auto"/>
        <w:bottom w:val="none" w:sz="0" w:space="0" w:color="auto"/>
        <w:right w:val="none" w:sz="0" w:space="0" w:color="auto"/>
      </w:divBdr>
    </w:div>
    <w:div w:id="892933214">
      <w:bodyDiv w:val="1"/>
      <w:marLeft w:val="0"/>
      <w:marRight w:val="0"/>
      <w:marTop w:val="0"/>
      <w:marBottom w:val="0"/>
      <w:divBdr>
        <w:top w:val="none" w:sz="0" w:space="0" w:color="auto"/>
        <w:left w:val="none" w:sz="0" w:space="0" w:color="auto"/>
        <w:bottom w:val="none" w:sz="0" w:space="0" w:color="auto"/>
        <w:right w:val="none" w:sz="0" w:space="0" w:color="auto"/>
      </w:divBdr>
    </w:div>
    <w:div w:id="1070542000">
      <w:bodyDiv w:val="1"/>
      <w:marLeft w:val="0"/>
      <w:marRight w:val="0"/>
      <w:marTop w:val="0"/>
      <w:marBottom w:val="0"/>
      <w:divBdr>
        <w:top w:val="none" w:sz="0" w:space="0" w:color="auto"/>
        <w:left w:val="none" w:sz="0" w:space="0" w:color="auto"/>
        <w:bottom w:val="none" w:sz="0" w:space="0" w:color="auto"/>
        <w:right w:val="none" w:sz="0" w:space="0" w:color="auto"/>
      </w:divBdr>
    </w:div>
    <w:div w:id="1200699798">
      <w:bodyDiv w:val="1"/>
      <w:marLeft w:val="0"/>
      <w:marRight w:val="0"/>
      <w:marTop w:val="0"/>
      <w:marBottom w:val="0"/>
      <w:divBdr>
        <w:top w:val="none" w:sz="0" w:space="0" w:color="auto"/>
        <w:left w:val="none" w:sz="0" w:space="0" w:color="auto"/>
        <w:bottom w:val="none" w:sz="0" w:space="0" w:color="auto"/>
        <w:right w:val="none" w:sz="0" w:space="0" w:color="auto"/>
      </w:divBdr>
    </w:div>
    <w:div w:id="1372609713">
      <w:bodyDiv w:val="1"/>
      <w:marLeft w:val="0"/>
      <w:marRight w:val="0"/>
      <w:marTop w:val="0"/>
      <w:marBottom w:val="0"/>
      <w:divBdr>
        <w:top w:val="none" w:sz="0" w:space="0" w:color="auto"/>
        <w:left w:val="none" w:sz="0" w:space="0" w:color="auto"/>
        <w:bottom w:val="none" w:sz="0" w:space="0" w:color="auto"/>
        <w:right w:val="none" w:sz="0" w:space="0" w:color="auto"/>
      </w:divBdr>
    </w:div>
    <w:div w:id="1552040789">
      <w:bodyDiv w:val="1"/>
      <w:marLeft w:val="0"/>
      <w:marRight w:val="0"/>
      <w:marTop w:val="0"/>
      <w:marBottom w:val="0"/>
      <w:divBdr>
        <w:top w:val="none" w:sz="0" w:space="0" w:color="auto"/>
        <w:left w:val="none" w:sz="0" w:space="0" w:color="auto"/>
        <w:bottom w:val="none" w:sz="0" w:space="0" w:color="auto"/>
        <w:right w:val="none" w:sz="0" w:space="0" w:color="auto"/>
      </w:divBdr>
    </w:div>
    <w:div w:id="1714309927">
      <w:bodyDiv w:val="1"/>
      <w:marLeft w:val="0"/>
      <w:marRight w:val="0"/>
      <w:marTop w:val="0"/>
      <w:marBottom w:val="0"/>
      <w:divBdr>
        <w:top w:val="none" w:sz="0" w:space="0" w:color="auto"/>
        <w:left w:val="none" w:sz="0" w:space="0" w:color="auto"/>
        <w:bottom w:val="none" w:sz="0" w:space="0" w:color="auto"/>
        <w:right w:val="none" w:sz="0" w:space="0" w:color="auto"/>
      </w:divBdr>
    </w:div>
    <w:div w:id="1850440597">
      <w:bodyDiv w:val="1"/>
      <w:marLeft w:val="0"/>
      <w:marRight w:val="0"/>
      <w:marTop w:val="0"/>
      <w:marBottom w:val="0"/>
      <w:divBdr>
        <w:top w:val="none" w:sz="0" w:space="0" w:color="auto"/>
        <w:left w:val="none" w:sz="0" w:space="0" w:color="auto"/>
        <w:bottom w:val="none" w:sz="0" w:space="0" w:color="auto"/>
        <w:right w:val="none" w:sz="0" w:space="0" w:color="auto"/>
      </w:divBdr>
    </w:div>
    <w:div w:id="20459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info.gov/public/do/PRAMa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eLibrary/search" TargetMode="External"/><Relationship Id="rId3" Type="http://schemas.openxmlformats.org/officeDocument/2006/relationships/hyperlink" Target="https://elibrary.ferc.gov/eLibrary/search" TargetMode="External"/><Relationship Id="rId7" Type="http://schemas.openxmlformats.org/officeDocument/2006/relationships/hyperlink" Target="https://elibrary.ferc.gov/eLibrary/search" TargetMode="External"/><Relationship Id="rId2" Type="http://schemas.openxmlformats.org/officeDocument/2006/relationships/hyperlink" Target="http://www.ferc.gov/docs-filing/elibrary.asp" TargetMode="External"/><Relationship Id="rId1" Type="http://schemas.openxmlformats.org/officeDocument/2006/relationships/hyperlink" Target="https://elibrary.ferc.gov/eLibrary/search" TargetMode="External"/><Relationship Id="rId6" Type="http://schemas.openxmlformats.org/officeDocument/2006/relationships/hyperlink" Target="https://elibrary.ferc.gov/eLibrary/search" TargetMode="External"/><Relationship Id="rId11" Type="http://schemas.openxmlformats.org/officeDocument/2006/relationships/hyperlink" Target="https://elibrary.ferc.gov/eLibrary/search" TargetMode="External"/><Relationship Id="rId5" Type="http://schemas.openxmlformats.org/officeDocument/2006/relationships/hyperlink" Target="https://elibrary.ferc.gov/eLibrary/search" TargetMode="External"/><Relationship Id="rId10" Type="http://schemas.openxmlformats.org/officeDocument/2006/relationships/hyperlink" Target="https://www.bls.gov/news.release/ecec.nr0.htm" TargetMode="External"/><Relationship Id="rId4" Type="http://schemas.openxmlformats.org/officeDocument/2006/relationships/hyperlink" Target="http://www.ferc.gov/docs-filing/elibrary.asp" TargetMode="External"/><Relationship Id="rId9"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enewal_x0020_Document_x0020_Type xmlns="d6eefc7d-9817-4fa6-84d5-3bc009be21b8" xsi:nil="tru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725B2</_x0031__x002e__x0020_Collection_x0020_Number>
    <Date xmlns="d6eefc7d-9817-4fa6-84d5-3bc009be21b8" xsi:nil="tru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RD21-2</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6098-B2F7-491C-A530-773DF6BAD83B}">
  <ds:schemaRefs>
    <ds:schemaRef ds:uri="http://schemas.microsoft.com/office/2006/metadata/properties"/>
    <ds:schemaRef ds:uri="d6eefc7d-9817-4fa6-84d5-3bc009be21b8"/>
  </ds:schemaRefs>
</ds:datastoreItem>
</file>

<file path=customXml/itemProps2.xml><?xml version="1.0" encoding="utf-8"?>
<ds:datastoreItem xmlns:ds="http://schemas.openxmlformats.org/officeDocument/2006/customXml" ds:itemID="{E708DD6F-8DE3-4C5D-9192-BC1BFFA1DE83}">
  <ds:schemaRefs>
    <ds:schemaRef ds:uri="Microsoft.SharePoint.Taxonomy.ContentTypeSync"/>
  </ds:schemaRefs>
</ds:datastoreItem>
</file>

<file path=customXml/itemProps3.xml><?xml version="1.0" encoding="utf-8"?>
<ds:datastoreItem xmlns:ds="http://schemas.openxmlformats.org/officeDocument/2006/customXml" ds:itemID="{F98116AB-9D7F-4D71-8589-44D962B97750}">
  <ds:schemaRefs>
    <ds:schemaRef ds:uri="http://schemas.microsoft.com/sharepoint/v3/contenttype/forms"/>
  </ds:schemaRefs>
</ds:datastoreItem>
</file>

<file path=customXml/itemProps4.xml><?xml version="1.0" encoding="utf-8"?>
<ds:datastoreItem xmlns:ds="http://schemas.openxmlformats.org/officeDocument/2006/customXml" ds:itemID="{9333EF9A-8205-4EEA-A13C-EF200BEAB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024379-533E-44E3-850E-94B2031897E1}">
  <ds:schemaRefs>
    <ds:schemaRef ds:uri="http://schemas.microsoft.com/office/2006/metadata/customXsn"/>
  </ds:schemaRefs>
</ds:datastoreItem>
</file>

<file path=customXml/itemProps6.xml><?xml version="1.0" encoding="utf-8"?>
<ds:datastoreItem xmlns:ds="http://schemas.openxmlformats.org/officeDocument/2006/customXml" ds:itemID="{6CDBB756-D677-4897-973F-090E1CB1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5725</Words>
  <Characters>32638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PRA Supporting Statement Guide</vt:lpstr>
    </vt:vector>
  </TitlesOfParts>
  <Company>FERC</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Guide</dc:title>
  <dc:creator>ferc</dc:creator>
  <cp:lastModifiedBy>Lena Nour</cp:lastModifiedBy>
  <cp:revision>4</cp:revision>
  <cp:lastPrinted>2012-08-28T12:27:00Z</cp:lastPrinted>
  <dcterms:created xsi:type="dcterms:W3CDTF">2021-05-05T19:17:00Z</dcterms:created>
  <dcterms:modified xsi:type="dcterms:W3CDTF">2021-05-06T20:55:00Z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CIO Division">
    <vt:lpwstr>CIO Front Office</vt:lpwstr>
  </property>
  <property fmtid="{D5CDD505-2E9C-101B-9397-08002B2CF9AE}" pid="4" name="Audience">
    <vt:lpwstr>External</vt:lpwstr>
  </property>
  <property fmtid="{D5CDD505-2E9C-101B-9397-08002B2CF9AE}" pid="5" name="Document Type">
    <vt:lpwstr>Guidance</vt:lpwstr>
  </property>
  <property fmtid="{D5CDD505-2E9C-101B-9397-08002B2CF9AE}" pid="6" name="Sub Category">
    <vt:lpwstr>None</vt:lpwstr>
  </property>
  <property fmtid="{D5CDD505-2E9C-101B-9397-08002B2CF9AE}" pid="7" name="MSIP_Label_6155a89b-0f08-4a93-8ea2-8a916d6643b5_Name">
    <vt:lpwstr>General</vt:lpwstr>
  </property>
  <property fmtid="{D5CDD505-2E9C-101B-9397-08002B2CF9AE}" pid="8" name="MSIP_Label_6155a89b-0f08-4a93-8ea2-8a916d6643b5_Owner">
    <vt:lpwstr>ellen.brown@ferc.gov</vt:lpwstr>
  </property>
  <property fmtid="{D5CDD505-2E9C-101B-9397-08002B2CF9AE}" pid="9" name="Sensitivity">
    <vt:lpwstr>General</vt:lpwstr>
  </property>
  <property fmtid="{D5CDD505-2E9C-101B-9397-08002B2CF9AE}" pid="10" name="MSIP_Label_6155a89b-0f08-4a93-8ea2-8a916d6643b5_Enabled">
    <vt:lpwstr>True</vt:lpwstr>
  </property>
  <property fmtid="{D5CDD505-2E9C-101B-9397-08002B2CF9AE}" pid="11" name="MSIP_Label_6155a89b-0f08-4a93-8ea2-8a916d6643b5_Extended_MSFT_Method">
    <vt:lpwstr>Manual</vt:lpwstr>
  </property>
  <property fmtid="{D5CDD505-2E9C-101B-9397-08002B2CF9AE}" pid="12" name="MSIP_Label_6155a89b-0f08-4a93-8ea2-8a916d6643b5_SiteId">
    <vt:lpwstr>19caa9e9-04ff-43fa-885f-d77fac387903</vt:lpwstr>
  </property>
  <property fmtid="{D5CDD505-2E9C-101B-9397-08002B2CF9AE}" pid="13" name="MSIP_Label_6155a89b-0f08-4a93-8ea2-8a916d6643b5_Application">
    <vt:lpwstr>Microsoft Azure Information Protection</vt:lpwstr>
  </property>
  <property fmtid="{D5CDD505-2E9C-101B-9397-08002B2CF9AE}" pid="14" name="MSIP_Label_6155a89b-0f08-4a93-8ea2-8a916d6643b5_SetDate">
    <vt:lpwstr>2021-03-18T19:12:24.3991181Z</vt:lpwstr>
  </property>
  <property fmtid="{D5CDD505-2E9C-101B-9397-08002B2CF9AE}" pid="15" name="MSIP_Label_6155a89b-0f08-4a93-8ea2-8a916d6643b5_ActionId">
    <vt:lpwstr>f339222c-15f7-4486-a8b5-33ce6db8e75b</vt:lpwstr>
  </property>
</Properties>
</file>