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Pr="00CE720B" w:rsidR="00041909" w:rsidP="00FE2197" w:rsidRDefault="00711414" w14:paraId="3C8C074B" w14:textId="3EB5D545">
          <w:r w:rsidRPr="00CE720B">
            <w:rPr>
              <w:noProof/>
            </w:rPr>
            <mc:AlternateContent>
              <mc:Choice Requires="wps">
                <w:drawing>
                  <wp:anchor distT="0" distB="0" distL="114300" distR="114300" simplePos="0" relativeHeight="251676672" behindDoc="1" locked="0" layoutInCell="1" allowOverlap="1" wp14:editId="0507E8AF" wp14:anchorId="5F1A0A3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CE89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CE720B" w:rsidR="001F3A8F">
            <w:rPr>
              <w:noProof/>
            </w:rPr>
            <w:softHyphen/>
          </w:r>
          <w:r w:rsidRPr="00CE720B" w:rsidR="001F3A8F">
            <w:rPr>
              <w:noProof/>
            </w:rPr>
            <w:softHyphen/>
          </w:r>
        </w:p>
      </w:sdtContent>
    </w:sdt>
    <w:p w:rsidRPr="00CE720B" w:rsidR="00D928FD" w:rsidP="00D928FD" w:rsidRDefault="00D928FD" w14:paraId="630091F9" w14:textId="44E3066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CE720B" w:rsidR="00711414" w:rsidP="00711414" w:rsidRDefault="00687840" w14:paraId="27ECF379" w14:textId="0C009842">
          <w:pPr>
            <w:spacing w:line="240" w:lineRule="auto"/>
            <w:ind w:left="90"/>
            <w:rPr>
              <w:rFonts w:ascii="Times New Roman" w:hAnsi="Times New Roman" w:cs="Times New Roman"/>
              <w:color w:val="139CD8"/>
              <w:sz w:val="56"/>
              <w:szCs w:val="52"/>
            </w:rPr>
          </w:pPr>
          <w:r w:rsidRPr="00CE720B">
            <w:rPr>
              <w:rFonts w:ascii="Times New Roman" w:hAnsi="Times New Roman" w:cs="Times New Roman"/>
              <w:color w:val="139CD8"/>
              <w:sz w:val="56"/>
              <w:szCs w:val="52"/>
            </w:rPr>
            <w:t xml:space="preserve">Supporting Statement for the </w:t>
          </w:r>
          <w:r>
            <w:rPr>
              <w:rFonts w:ascii="Times New Roman" w:hAnsi="Times New Roman" w:cs="Times New Roman"/>
              <w:color w:val="139CD8"/>
              <w:sz w:val="56"/>
              <w:szCs w:val="52"/>
            </w:rPr>
            <w:t xml:space="preserve">Extension of Collection of Information for the </w:t>
          </w:r>
          <w:r w:rsidRPr="00CE720B">
            <w:rPr>
              <w:rFonts w:ascii="Times New Roman" w:hAnsi="Times New Roman" w:cs="Times New Roman"/>
              <w:color w:val="139CD8"/>
              <w:sz w:val="56"/>
              <w:szCs w:val="52"/>
            </w:rPr>
            <w:t>American Assured Fuel Supply</w:t>
          </w:r>
        </w:p>
      </w:sdtContent>
    </w:sdt>
    <w:p w:rsidRPr="00CE720B" w:rsidR="0059212D" w:rsidP="00EE2CAF" w:rsidRDefault="00EE2CAF" w14:paraId="48451FA8" w14:textId="77777777">
      <w:pPr>
        <w:pStyle w:val="Heading1"/>
      </w:pPr>
      <w:bookmarkStart w:name="_Toc16271317" w:id="0"/>
      <w:r w:rsidRPr="00CE720B">
        <w:t>Part A: Justification</w:t>
      </w:r>
      <w:bookmarkEnd w:id="0"/>
    </w:p>
    <w:p w:rsidRPr="00CE720B" w:rsidR="00711414" w:rsidP="00D928FD" w:rsidRDefault="0059212D" w14:paraId="1EDC3A70" w14:textId="2ECB919B">
      <w:pPr>
        <w:rPr>
          <w:b/>
          <w:sz w:val="36"/>
          <w:szCs w:val="36"/>
        </w:rPr>
      </w:pPr>
      <w:r w:rsidRPr="00CE720B">
        <w:rPr>
          <w:noProof/>
        </w:rPr>
        <mc:AlternateContent>
          <mc:Choice Requires="wps">
            <w:drawing>
              <wp:anchor distT="0" distB="0" distL="114300" distR="114300" simplePos="0" relativeHeight="251693056" behindDoc="0" locked="0" layoutInCell="1" allowOverlap="1" wp14:editId="270E85FB" wp14:anchorId="1B76343A">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8F16EC" w:rsidP="00FB6BF3" w:rsidRDefault="00BC1AC8" w14:paraId="4075A525" w14:textId="3CB6D70E">
                            <w:pPr>
                              <w:rPr>
                                <w:i/>
                                <w:sz w:val="28"/>
                                <w:szCs w:val="28"/>
                              </w:rPr>
                            </w:pPr>
                            <w:r w:rsidRPr="00BC1AC8">
                              <w:rPr>
                                <w:i/>
                                <w:sz w:val="28"/>
                                <w:szCs w:val="28"/>
                              </w:rPr>
                              <w:t>American Assured Fuel Supply</w:t>
                            </w:r>
                            <w:r w:rsidR="00EB77D5">
                              <w:rPr>
                                <w:i/>
                                <w:sz w:val="28"/>
                                <w:szCs w:val="28"/>
                              </w:rPr>
                              <w:t xml:space="preserve"> Application</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B76343A">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i8gEAAMUDAAAOAAAAZHJzL2Uyb0RvYy54bWysU9tu2zAMfR+wfxD0vthOs64x4hRdiw4D&#10;ugvQ7gMYWY6F2aJGKbGzrx8lp2m2vQ17EXjT4eERtboe+07sNXmDtpLFLJdCW4W1sdtKfnu6f3Ml&#10;hQ9ga+jQ6koetJfX69evVoMr9Rxb7GpNgkGsLwdXyTYEV2aZV63uwc/QacvJBqmHwC5ts5pgYPS+&#10;y+Z5fpkNSLUjVNp7jt5NSblO+E2jVfjSNF4H0VWSuYV0Ujo38czWKyi3BK416kgD/oFFD8Zy0xPU&#10;HQQQOzJ/QfVGEXpswkxhn2HTGKXTDDxNkf8xzWMLTqdZWBzvTjL5/werPu+/kjA1vx3LY6HnN3rS&#10;YxDvcRQcYn0G50sue3RcGEaOc22a1bsHVN+9sHjbgt3qGyIcWg018yvizezs6oTjI8hm+IQ194Fd&#10;wAQ0NtRH8VgOwehM5HB6m8hFcfAyL5ZXOacU5y4ulvmSndgDyufrjnz4oLEX0agk8eMneNg/+DCV&#10;PpfEbhbvTddxHMrO/hZgzBhJ9CPjiXsYNyNXx5k2WB94EMJpn3j/2WiRfkox8C5V0v/YAWkpuo+W&#10;xYiLl4zF23dzdig5y2KxYGdzngGrGKaSQYrJvA3Tsu4cmW3LXSbpLd6weI1JY70wOnLmXUnCHPc6&#10;LuO5n6peft/6FwAAAP//AwBQSwMEFAAGAAgAAAAhAPkkUeTeAAAACAEAAA8AAABkcnMvZG93bnJl&#10;di54bWxMj81OwzAQhO9IvIO1SNyoA/1NGqdCSD1QVARtH2ATmzgiXofYbcLbs5zgtrszmv0m34yu&#10;FRfTh8aTgvtJAsJQ5XVDtYLTcXu3AhEiksbWk1HwbQJsiuurHDPtB3o3l0OsBYdQyFCBjbHLpAyV&#10;NQ7DxHeGWPvwvcPIa19L3ePA4a6VD0mykA4b4g8WO/NkTfV5ODsF++3ry3M67o4lNrvBf71NT3Yg&#10;pW5vxsc1iGjG+GeGX3xGh4KZSn8mHUSrgItEBbPFdA6C5XS24kvJQ7qcgyxy+b9A8QMAAP//AwBQ&#10;SwECLQAUAAYACAAAACEAtoM4kv4AAADhAQAAEwAAAAAAAAAAAAAAAAAAAAAAW0NvbnRlbnRfVHlw&#10;ZXNdLnhtbFBLAQItABQABgAIAAAAIQA4/SH/1gAAAJQBAAALAAAAAAAAAAAAAAAAAC8BAABfcmVs&#10;cy8ucmVsc1BLAQItABQABgAIAAAAIQD+1pWi8gEAAMUDAAAOAAAAAAAAAAAAAAAAAC4CAABkcnMv&#10;ZTJvRG9jLnhtbFBLAQItABQABgAIAAAAIQD5JFHk3gAAAAgBAAAPAAAAAAAAAAAAAAAAAEwEAABk&#10;cnMvZG93bnJldi54bWxQSwUGAAAAAAQABADzAAAAVwUAAAAA&#10;">
                <v:textbox inset="0">
                  <w:txbxContent>
                    <w:p w:rsidRPr="0059212D" w:rsidR="008F16EC" w:rsidP="00FB6BF3" w:rsidRDefault="00BC1AC8" w14:paraId="4075A525" w14:textId="3CB6D70E">
                      <w:pPr>
                        <w:rPr>
                          <w:i/>
                          <w:sz w:val="28"/>
                          <w:szCs w:val="28"/>
                        </w:rPr>
                      </w:pPr>
                      <w:r w:rsidRPr="00BC1AC8">
                        <w:rPr>
                          <w:i/>
                          <w:sz w:val="28"/>
                          <w:szCs w:val="28"/>
                        </w:rPr>
                        <w:t>American Assured Fuel Supply</w:t>
                      </w:r>
                      <w:r w:rsidR="00EB77D5">
                        <w:rPr>
                          <w:i/>
                          <w:sz w:val="28"/>
                          <w:szCs w:val="28"/>
                        </w:rPr>
                        <w:t xml:space="preserve"> Application</w:t>
                      </w:r>
                    </w:p>
                  </w:txbxContent>
                </v:textbox>
                <w10:wrap type="square" anchorx="margin" anchory="margin"/>
              </v:shape>
            </w:pict>
          </mc:Fallback>
        </mc:AlternateContent>
      </w:r>
      <w:r w:rsidRPr="00CE720B" w:rsidR="00711414">
        <w:rPr>
          <w:rFonts w:ascii="Times New Roman" w:hAnsi="Times New Roman" w:cs="Times New Roman"/>
          <w:b/>
          <w:sz w:val="36"/>
          <w:szCs w:val="36"/>
        </w:rPr>
        <w:t>OMB No. 19</w:t>
      </w:r>
      <w:r w:rsidRPr="00CE720B" w:rsidR="00FE2197">
        <w:rPr>
          <w:rFonts w:ascii="Times New Roman" w:hAnsi="Times New Roman" w:cs="Times New Roman"/>
          <w:b/>
          <w:sz w:val="36"/>
          <w:szCs w:val="36"/>
        </w:rPr>
        <w:t>10</w:t>
      </w:r>
      <w:r w:rsidRPr="00CE720B" w:rsidR="00711414">
        <w:rPr>
          <w:rFonts w:ascii="Times New Roman" w:hAnsi="Times New Roman" w:cs="Times New Roman"/>
          <w:b/>
          <w:sz w:val="36"/>
          <w:szCs w:val="36"/>
        </w:rPr>
        <w:t>-</w:t>
      </w:r>
      <w:r w:rsidRPr="00CE720B" w:rsidR="004D4FEE">
        <w:rPr>
          <w:rFonts w:ascii="Times New Roman" w:hAnsi="Times New Roman" w:cs="Times New Roman"/>
          <w:b/>
          <w:sz w:val="36"/>
          <w:szCs w:val="36"/>
        </w:rPr>
        <w:t>5173</w:t>
      </w:r>
    </w:p>
    <w:p w:rsidRPr="00CE720B" w:rsidR="001F3A8F" w:rsidP="00711414" w:rsidRDefault="00EE2CAF" w14:paraId="01BA9C54" w14:textId="5C23F05F">
      <w:pPr>
        <w:rPr>
          <w:i/>
          <w:sz w:val="28"/>
          <w:szCs w:val="28"/>
        </w:rPr>
      </w:pPr>
      <w:r w:rsidRPr="00CE720B">
        <w:rPr>
          <w:noProof/>
        </w:rPr>
        <mc:AlternateContent>
          <mc:Choice Requires="wps">
            <w:drawing>
              <wp:anchor distT="0" distB="0" distL="114300" distR="114300" simplePos="0" relativeHeight="251681792" behindDoc="0" locked="0" layoutInCell="1" allowOverlap="1" wp14:editId="6A5DFA9F" wp14:anchorId="437B4049">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8F16EC" w:rsidRDefault="00A454B7" w14:paraId="3ACEFE0A" w14:textId="6B7C55D8">
                            <w:pPr>
                              <w:rPr>
                                <w:color w:val="A6A6A6" w:themeColor="background1" w:themeShade="A6"/>
                                <w:sz w:val="36"/>
                              </w:rPr>
                            </w:pPr>
                            <w:r>
                              <w:rPr>
                                <w:color w:val="A6A6A6" w:themeColor="background1" w:themeShade="A6"/>
                                <w:sz w:val="36"/>
                              </w:rPr>
                              <w:t>January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437B4049">
                <v:textbox style="mso-fit-shape-to-text:t" inset="0">
                  <w:txbxContent>
                    <w:p w:rsidRPr="009818F9" w:rsidR="008F16EC" w:rsidRDefault="00A454B7" w14:paraId="3ACEFE0A" w14:textId="6B7C55D8">
                      <w:pPr>
                        <w:rPr>
                          <w:color w:val="A6A6A6" w:themeColor="background1" w:themeShade="A6"/>
                          <w:sz w:val="36"/>
                        </w:rPr>
                      </w:pPr>
                      <w:r>
                        <w:rPr>
                          <w:color w:val="A6A6A6" w:themeColor="background1" w:themeShade="A6"/>
                          <w:sz w:val="36"/>
                        </w:rPr>
                        <w:t>January</w:t>
                      </w:r>
                      <w:r>
                        <w:rPr>
                          <w:color w:val="A6A6A6" w:themeColor="background1" w:themeShade="A6"/>
                          <w:sz w:val="36"/>
                        </w:rPr>
                        <w:t xml:space="preserve"> 202</w:t>
                      </w:r>
                      <w:r>
                        <w:rPr>
                          <w:color w:val="A6A6A6" w:themeColor="background1" w:themeShade="A6"/>
                          <w:sz w:val="36"/>
                        </w:rPr>
                        <w:t>1</w:t>
                      </w:r>
                    </w:p>
                  </w:txbxContent>
                </v:textbox>
                <w10:wrap type="square" anchorx="margin" anchory="margin"/>
              </v:shape>
            </w:pict>
          </mc:Fallback>
        </mc:AlternateContent>
      </w:r>
      <w:r w:rsidRPr="00CE720B">
        <w:rPr>
          <w:noProof/>
        </w:rPr>
        <mc:AlternateContent>
          <mc:Choice Requires="wps">
            <w:drawing>
              <wp:anchor distT="0" distB="0" distL="114300" distR="114300" simplePos="0" relativeHeight="251689984" behindDoc="1" locked="0" layoutInCell="1" allowOverlap="1" wp14:editId="5831BE11" wp14:anchorId="32649841">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7047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CE720B" w:rsidR="00FB6BF3">
        <w:rPr>
          <w:noProof/>
        </w:rPr>
        <w:t xml:space="preserve"> </w:t>
      </w:r>
      <w:r w:rsidRPr="00CE720B" w:rsidR="00711414">
        <w:rPr>
          <w:noProof/>
        </w:rPr>
        <mc:AlternateContent>
          <mc:Choice Requires="wps">
            <w:drawing>
              <wp:anchor distT="0" distB="0" distL="114300" distR="114300" simplePos="0" relativeHeight="251680768" behindDoc="0" locked="0" layoutInCell="1" allowOverlap="1" wp14:editId="76D51C51" wp14:anchorId="075584D2">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8F16EC" w:rsidP="00D001E4" w:rsidRDefault="008F16EC" w14:paraId="10FE31FA"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075584D2">
                <v:textbox inset="0">
                  <w:txbxContent>
                    <w:p w:rsidRPr="00AA3D91" w:rsidR="008F16EC" w:rsidP="00D001E4" w:rsidRDefault="008F16EC" w14:paraId="10FE31FA" w14:textId="77777777">
                      <w:pPr>
                        <w:spacing w:line="240" w:lineRule="auto"/>
                        <w:ind w:left="90"/>
                        <w:rPr>
                          <w:sz w:val="52"/>
                          <w:szCs w:val="52"/>
                        </w:rPr>
                      </w:pPr>
                    </w:p>
                  </w:txbxContent>
                </v:textbox>
                <w10:wrap anchorx="margin"/>
              </v:shape>
            </w:pict>
          </mc:Fallback>
        </mc:AlternateContent>
      </w:r>
      <w:r w:rsidRPr="00CE720B" w:rsidR="00711414">
        <w:rPr>
          <w:noProof/>
          <w:color w:val="A6A6A6" w:themeColor="background1" w:themeShade="A6"/>
        </w:rPr>
        <mc:AlternateContent>
          <mc:Choice Requires="wps">
            <w:drawing>
              <wp:anchor distT="0" distB="0" distL="114300" distR="114300" simplePos="0" relativeHeight="251691008" behindDoc="0" locked="0" layoutInCell="1" allowOverlap="1" wp14:editId="32332ACC" wp14:anchorId="68AC39D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6EC" w:rsidP="00FE2197" w:rsidRDefault="008F16EC" w14:paraId="00012844"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68AC39D2">
                <v:textbox inset="0,,0">
                  <w:txbxContent>
                    <w:p w:rsidR="008F16EC" w:rsidP="00FE2197" w:rsidRDefault="008F16EC" w14:paraId="00012844" w14:textId="77777777">
                      <w:pPr>
                        <w:spacing w:before="40" w:after="0"/>
                      </w:pPr>
                    </w:p>
                  </w:txbxContent>
                </v:textbox>
                <w10:wrap type="square" anchorx="margin" anchory="margin"/>
              </v:shape>
            </w:pict>
          </mc:Fallback>
        </mc:AlternateContent>
      </w:r>
      <w:r w:rsidRPr="00CE720B" w:rsidR="00711414">
        <w:rPr>
          <w:noProof/>
          <w:color w:val="A6A6A6" w:themeColor="background1" w:themeShade="A6"/>
        </w:rPr>
        <mc:AlternateContent>
          <mc:Choice Requires="wps">
            <w:drawing>
              <wp:anchor distT="0" distB="0" distL="114300" distR="114300" simplePos="0" relativeHeight="251692032" behindDoc="0" locked="0" layoutInCell="1" allowOverlap="1" wp14:editId="6DB466BD" wp14:anchorId="6FFD9119">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8F16EC" w:rsidP="002556F3" w:rsidRDefault="008F16EC" w14:paraId="0D8FF3A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668331C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6FFD9119">
                <v:textbox inset="0">
                  <w:txbxContent>
                    <w:p w:rsidRPr="008F4CBD" w:rsidR="008F16EC" w:rsidP="002556F3" w:rsidRDefault="008F16EC" w14:paraId="0D8FF3A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8F16EC" w:rsidP="002556F3" w:rsidRDefault="008F16EC" w14:paraId="668331C5"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CE720B" w:rsidR="001F3A8F">
        <w:br w:type="page"/>
      </w:r>
    </w:p>
    <w:p w:rsidRPr="00CE720B" w:rsidR="00755C3D" w:rsidP="00D928FD" w:rsidRDefault="00755C3D" w14:paraId="6F0BFA7C" w14:textId="77777777">
      <w:pPr>
        <w:sectPr w:rsidRPr="00CE720B"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Pr="00CE720B" w:rsidR="0059212D" w:rsidP="00EE2CAF" w:rsidRDefault="0059212D" w14:paraId="39955B30" w14:textId="3CF37AA9">
          <w:pPr>
            <w:pStyle w:val="TOCHeading"/>
          </w:pPr>
          <w:r w:rsidRPr="00CE720B">
            <w:t>Table of Content</w:t>
          </w:r>
          <w:r w:rsidR="00836497">
            <w:t>s</w:t>
          </w:r>
        </w:p>
        <w:p w:rsidRPr="00CE720B" w:rsidR="00537A91" w:rsidRDefault="0059212D" w14:paraId="31D81FD3" w14:textId="0539E378">
          <w:pPr>
            <w:pStyle w:val="TOC1"/>
            <w:rPr>
              <w:rFonts w:eastAsiaTheme="minorEastAsia"/>
              <w:noProof/>
              <w:color w:val="auto"/>
            </w:rPr>
          </w:pPr>
          <w:r w:rsidRPr="00CE720B">
            <w:fldChar w:fldCharType="begin"/>
          </w:r>
          <w:r w:rsidRPr="00CE720B">
            <w:instrText xml:space="preserve"> TOC \o "1-3" \h \z \u </w:instrText>
          </w:r>
          <w:r w:rsidRPr="00CE720B">
            <w:fldChar w:fldCharType="separate"/>
          </w:r>
          <w:hyperlink w:history="1" w:anchor="_Toc16271317">
            <w:r w:rsidRPr="00CE720B" w:rsidR="00537A91">
              <w:rPr>
                <w:rStyle w:val="Hyperlink"/>
                <w:noProof/>
              </w:rPr>
              <w:t>Part A: Justification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_Toc16271317 \h </w:instrText>
            </w:r>
            <w:r w:rsidRPr="00CE720B" w:rsidR="00537A91">
              <w:rPr>
                <w:noProof/>
                <w:webHidden/>
              </w:rPr>
            </w:r>
            <w:r w:rsidRPr="00CE720B" w:rsidR="00537A91">
              <w:rPr>
                <w:noProof/>
                <w:webHidden/>
              </w:rPr>
              <w:fldChar w:fldCharType="separate"/>
            </w:r>
            <w:r w:rsidR="00EE3EFF">
              <w:rPr>
                <w:noProof/>
                <w:webHidden/>
              </w:rPr>
              <w:t>i</w:t>
            </w:r>
            <w:r w:rsidRPr="00CE720B" w:rsidR="00537A91">
              <w:rPr>
                <w:noProof/>
                <w:webHidden/>
              </w:rPr>
              <w:fldChar w:fldCharType="end"/>
            </w:r>
          </w:hyperlink>
        </w:p>
        <w:p w:rsidRPr="00CE720B" w:rsidR="00537A91" w:rsidRDefault="00B76BE7" w14:paraId="4B499DE5" w14:textId="73DAF656">
          <w:pPr>
            <w:pStyle w:val="TOC2"/>
            <w:rPr>
              <w:rFonts w:eastAsiaTheme="minorEastAsia"/>
              <w:noProof/>
              <w:color w:val="auto"/>
            </w:rPr>
          </w:pPr>
          <w:hyperlink w:history="1" w:anchor="_Toc16271318">
            <w:r w:rsidRPr="00CE720B" w:rsidR="00537A91">
              <w:rPr>
                <w:rStyle w:val="Hyperlink"/>
                <w:noProof/>
              </w:rPr>
              <w:t>Introduction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_Toc16271318 \h </w:instrText>
            </w:r>
            <w:r w:rsidRPr="00CE720B" w:rsidR="00537A91">
              <w:rPr>
                <w:noProof/>
                <w:webHidden/>
              </w:rPr>
            </w:r>
            <w:r w:rsidRPr="00CE720B" w:rsidR="00537A91">
              <w:rPr>
                <w:noProof/>
                <w:webHidden/>
              </w:rPr>
              <w:fldChar w:fldCharType="separate"/>
            </w:r>
            <w:r w:rsidR="00EE3EFF">
              <w:rPr>
                <w:noProof/>
                <w:webHidden/>
              </w:rPr>
              <w:t>2</w:t>
            </w:r>
            <w:r w:rsidRPr="00CE720B" w:rsidR="00537A91">
              <w:rPr>
                <w:noProof/>
                <w:webHidden/>
              </w:rPr>
              <w:fldChar w:fldCharType="end"/>
            </w:r>
          </w:hyperlink>
        </w:p>
        <w:p w:rsidRPr="00CE720B" w:rsidR="00537A91" w:rsidRDefault="00B76BE7" w14:paraId="623B3587" w14:textId="4C093CD5">
          <w:pPr>
            <w:pStyle w:val="TOC2"/>
            <w:rPr>
              <w:rFonts w:eastAsiaTheme="minorEastAsia"/>
              <w:noProof/>
              <w:color w:val="auto"/>
            </w:rPr>
          </w:pPr>
          <w:hyperlink w:history="1" w:anchor="_Toc16271319">
            <w:r w:rsidRPr="00CE720B" w:rsidR="00537A91">
              <w:rPr>
                <w:rStyle w:val="Hyperlink"/>
                <w:noProof/>
              </w:rPr>
              <w:t>A.1. Legal Justification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_Toc16271319 \h </w:instrText>
            </w:r>
            <w:r w:rsidRPr="00CE720B" w:rsidR="00537A91">
              <w:rPr>
                <w:noProof/>
                <w:webHidden/>
              </w:rPr>
            </w:r>
            <w:r w:rsidRPr="00CE720B" w:rsidR="00537A91">
              <w:rPr>
                <w:noProof/>
                <w:webHidden/>
              </w:rPr>
              <w:fldChar w:fldCharType="separate"/>
            </w:r>
            <w:r w:rsidR="00EE3EFF">
              <w:rPr>
                <w:noProof/>
                <w:webHidden/>
              </w:rPr>
              <w:t>2</w:t>
            </w:r>
            <w:r w:rsidRPr="00CE720B" w:rsidR="00537A91">
              <w:rPr>
                <w:noProof/>
                <w:webHidden/>
              </w:rPr>
              <w:fldChar w:fldCharType="end"/>
            </w:r>
          </w:hyperlink>
        </w:p>
        <w:p w:rsidRPr="00CE720B" w:rsidR="00537A91" w:rsidRDefault="00B76BE7" w14:paraId="148165FF" w14:textId="2D1F7EC8">
          <w:pPr>
            <w:pStyle w:val="TOC2"/>
            <w:rPr>
              <w:rFonts w:eastAsiaTheme="minorEastAsia"/>
              <w:noProof/>
              <w:color w:val="auto"/>
            </w:rPr>
          </w:pPr>
          <w:hyperlink w:history="1" w:anchor="_Toc16271320">
            <w:r w:rsidRPr="00CE720B" w:rsidR="00537A91">
              <w:rPr>
                <w:rStyle w:val="Hyperlink"/>
                <w:noProof/>
              </w:rPr>
              <w:t>A.2. Needs and Uses of Data</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_Toc16271320 \h </w:instrText>
            </w:r>
            <w:r w:rsidRPr="00CE720B" w:rsidR="00537A91">
              <w:rPr>
                <w:noProof/>
                <w:webHidden/>
              </w:rPr>
            </w:r>
            <w:r w:rsidRPr="00CE720B" w:rsidR="00537A91">
              <w:rPr>
                <w:noProof/>
                <w:webHidden/>
              </w:rPr>
              <w:fldChar w:fldCharType="separate"/>
            </w:r>
            <w:r w:rsidR="00EE3EFF">
              <w:rPr>
                <w:noProof/>
                <w:webHidden/>
              </w:rPr>
              <w:t>2</w:t>
            </w:r>
            <w:r w:rsidRPr="00CE720B" w:rsidR="00537A91">
              <w:rPr>
                <w:noProof/>
                <w:webHidden/>
              </w:rPr>
              <w:fldChar w:fldCharType="end"/>
            </w:r>
          </w:hyperlink>
        </w:p>
        <w:p w:rsidRPr="00CE720B" w:rsidR="00537A91" w:rsidRDefault="00B76BE7" w14:paraId="433294F8" w14:textId="2F89D73B">
          <w:pPr>
            <w:pStyle w:val="TOC2"/>
            <w:rPr>
              <w:rFonts w:eastAsiaTheme="minorEastAsia"/>
              <w:noProof/>
              <w:color w:val="auto"/>
            </w:rPr>
          </w:pPr>
          <w:hyperlink w:history="1" w:anchor="_Toc16271321">
            <w:r w:rsidRPr="00CE720B" w:rsidR="00537A91">
              <w:rPr>
                <w:rStyle w:val="Hyperlink"/>
                <w:noProof/>
              </w:rPr>
              <w:t>A.3. Use of Technology</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_Toc16271321 \h </w:instrText>
            </w:r>
            <w:r w:rsidRPr="00CE720B" w:rsidR="00537A91">
              <w:rPr>
                <w:noProof/>
                <w:webHidden/>
              </w:rPr>
            </w:r>
            <w:r w:rsidRPr="00CE720B" w:rsidR="00537A91">
              <w:rPr>
                <w:noProof/>
                <w:webHidden/>
              </w:rPr>
              <w:fldChar w:fldCharType="separate"/>
            </w:r>
            <w:r w:rsidR="00EE3EFF">
              <w:rPr>
                <w:noProof/>
                <w:webHidden/>
              </w:rPr>
              <w:t>3</w:t>
            </w:r>
            <w:r w:rsidRPr="00CE720B" w:rsidR="00537A91">
              <w:rPr>
                <w:noProof/>
                <w:webHidden/>
              </w:rPr>
              <w:fldChar w:fldCharType="end"/>
            </w:r>
          </w:hyperlink>
        </w:p>
        <w:p w:rsidRPr="00CE720B" w:rsidR="00537A91" w:rsidRDefault="00B76BE7" w14:paraId="0689C3D1" w14:textId="7E5D7AFB">
          <w:pPr>
            <w:pStyle w:val="TOC2"/>
            <w:rPr>
              <w:rFonts w:eastAsiaTheme="minorEastAsia"/>
              <w:noProof/>
              <w:color w:val="auto"/>
            </w:rPr>
          </w:pPr>
          <w:hyperlink w:history="1" w:anchor="_Toc16271322">
            <w:r w:rsidRPr="00CE720B" w:rsidR="00537A91">
              <w:rPr>
                <w:rStyle w:val="Hyperlink"/>
                <w:noProof/>
              </w:rPr>
              <w:t>A.4. Efforts to Identify Duplication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_Toc16271322 \h </w:instrText>
            </w:r>
            <w:r w:rsidRPr="00CE720B" w:rsidR="00537A91">
              <w:rPr>
                <w:noProof/>
                <w:webHidden/>
              </w:rPr>
            </w:r>
            <w:r w:rsidRPr="00CE720B" w:rsidR="00537A91">
              <w:rPr>
                <w:noProof/>
                <w:webHidden/>
              </w:rPr>
              <w:fldChar w:fldCharType="separate"/>
            </w:r>
            <w:r w:rsidR="00EE3EFF">
              <w:rPr>
                <w:noProof/>
                <w:webHidden/>
              </w:rPr>
              <w:t>4</w:t>
            </w:r>
            <w:r w:rsidRPr="00CE720B" w:rsidR="00537A91">
              <w:rPr>
                <w:noProof/>
                <w:webHidden/>
              </w:rPr>
              <w:fldChar w:fldCharType="end"/>
            </w:r>
          </w:hyperlink>
        </w:p>
        <w:p w:rsidRPr="00CE720B" w:rsidR="00537A91" w:rsidRDefault="00B76BE7" w14:paraId="6E29D49B" w14:textId="6C801D11">
          <w:pPr>
            <w:pStyle w:val="TOC2"/>
            <w:rPr>
              <w:rFonts w:eastAsiaTheme="minorEastAsia"/>
              <w:noProof/>
              <w:color w:val="auto"/>
            </w:rPr>
          </w:pPr>
          <w:hyperlink w:history="1" w:anchor="_Toc16271323">
            <w:r w:rsidRPr="00CE720B" w:rsidR="00537A91">
              <w:rPr>
                <w:rStyle w:val="Hyperlink"/>
                <w:noProof/>
              </w:rPr>
              <w:t>A.5. Provisions for Reducing Burden on Small Businesses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_Toc16271323 \h </w:instrText>
            </w:r>
            <w:r w:rsidRPr="00CE720B" w:rsidR="00537A91">
              <w:rPr>
                <w:noProof/>
                <w:webHidden/>
              </w:rPr>
            </w:r>
            <w:r w:rsidRPr="00CE720B" w:rsidR="00537A91">
              <w:rPr>
                <w:noProof/>
                <w:webHidden/>
              </w:rPr>
              <w:fldChar w:fldCharType="separate"/>
            </w:r>
            <w:r w:rsidR="00EE3EFF">
              <w:rPr>
                <w:noProof/>
                <w:webHidden/>
              </w:rPr>
              <w:t>4</w:t>
            </w:r>
            <w:r w:rsidRPr="00CE720B" w:rsidR="00537A91">
              <w:rPr>
                <w:noProof/>
                <w:webHidden/>
              </w:rPr>
              <w:fldChar w:fldCharType="end"/>
            </w:r>
          </w:hyperlink>
        </w:p>
        <w:p w:rsidRPr="00CE720B" w:rsidR="00537A91" w:rsidRDefault="00B76BE7" w14:paraId="55CE3A8A" w14:textId="145C658F">
          <w:pPr>
            <w:pStyle w:val="TOC2"/>
            <w:rPr>
              <w:rFonts w:eastAsiaTheme="minorEastAsia"/>
              <w:noProof/>
              <w:color w:val="auto"/>
            </w:rPr>
          </w:pPr>
          <w:hyperlink w:history="1" w:anchor="_Toc16271324">
            <w:r w:rsidRPr="00CE720B" w:rsidR="00537A91">
              <w:rPr>
                <w:rStyle w:val="Hyperlink"/>
                <w:noProof/>
              </w:rPr>
              <w:t>A.6. Consequences of Less-Frequent Reporting</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_Toc16271324 \h </w:instrText>
            </w:r>
            <w:r w:rsidRPr="00CE720B" w:rsidR="00537A91">
              <w:rPr>
                <w:noProof/>
                <w:webHidden/>
              </w:rPr>
            </w:r>
            <w:r w:rsidRPr="00CE720B" w:rsidR="00537A91">
              <w:rPr>
                <w:noProof/>
                <w:webHidden/>
              </w:rPr>
              <w:fldChar w:fldCharType="separate"/>
            </w:r>
            <w:r w:rsidR="00EE3EFF">
              <w:rPr>
                <w:noProof/>
                <w:webHidden/>
              </w:rPr>
              <w:t>4</w:t>
            </w:r>
            <w:r w:rsidRPr="00CE720B" w:rsidR="00537A91">
              <w:rPr>
                <w:noProof/>
                <w:webHidden/>
              </w:rPr>
              <w:fldChar w:fldCharType="end"/>
            </w:r>
          </w:hyperlink>
        </w:p>
        <w:p w:rsidRPr="00CE720B" w:rsidR="00537A91" w:rsidRDefault="00B76BE7" w14:paraId="63A8A044" w14:textId="42F2CDB6">
          <w:pPr>
            <w:pStyle w:val="TOC2"/>
            <w:rPr>
              <w:rFonts w:eastAsiaTheme="minorEastAsia"/>
              <w:noProof/>
              <w:color w:val="auto"/>
            </w:rPr>
          </w:pPr>
          <w:hyperlink w:history="1" w:anchor="_Toc16271325">
            <w:r w:rsidRPr="00CE720B" w:rsidR="00537A91">
              <w:rPr>
                <w:rStyle w:val="Hyperlink"/>
                <w:noProof/>
              </w:rPr>
              <w:t>A.7. Compliance with 5 CFR 1320.5</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_Toc16271325 \h </w:instrText>
            </w:r>
            <w:r w:rsidRPr="00CE720B" w:rsidR="00537A91">
              <w:rPr>
                <w:noProof/>
                <w:webHidden/>
              </w:rPr>
            </w:r>
            <w:r w:rsidRPr="00CE720B" w:rsidR="00537A91">
              <w:rPr>
                <w:noProof/>
                <w:webHidden/>
              </w:rPr>
              <w:fldChar w:fldCharType="separate"/>
            </w:r>
            <w:r w:rsidR="00EE3EFF">
              <w:rPr>
                <w:noProof/>
                <w:webHidden/>
              </w:rPr>
              <w:t>4</w:t>
            </w:r>
            <w:r w:rsidRPr="00CE720B" w:rsidR="00537A91">
              <w:rPr>
                <w:noProof/>
                <w:webHidden/>
              </w:rPr>
              <w:fldChar w:fldCharType="end"/>
            </w:r>
          </w:hyperlink>
        </w:p>
        <w:p w:rsidRPr="00CE720B" w:rsidR="00537A91" w:rsidRDefault="00B76BE7" w14:paraId="57192C44" w14:textId="33327285">
          <w:pPr>
            <w:pStyle w:val="TOC2"/>
            <w:rPr>
              <w:rFonts w:eastAsiaTheme="minorEastAsia"/>
              <w:noProof/>
              <w:color w:val="auto"/>
            </w:rPr>
          </w:pPr>
          <w:hyperlink w:history="1" w:anchor="_Toc16271326">
            <w:r w:rsidRPr="00CE720B" w:rsidR="00537A91">
              <w:rPr>
                <w:rStyle w:val="Hyperlink"/>
                <w:noProof/>
              </w:rPr>
              <w:t>A.8. Summary of Consultations Outside of the Agency</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_Toc16271326 \h </w:instrText>
            </w:r>
            <w:r w:rsidRPr="00CE720B" w:rsidR="00537A91">
              <w:rPr>
                <w:noProof/>
                <w:webHidden/>
              </w:rPr>
            </w:r>
            <w:r w:rsidRPr="00CE720B" w:rsidR="00537A91">
              <w:rPr>
                <w:noProof/>
                <w:webHidden/>
              </w:rPr>
              <w:fldChar w:fldCharType="separate"/>
            </w:r>
            <w:r w:rsidR="00EE3EFF">
              <w:rPr>
                <w:noProof/>
                <w:webHidden/>
              </w:rPr>
              <w:t>5</w:t>
            </w:r>
            <w:r w:rsidRPr="00CE720B" w:rsidR="00537A91">
              <w:rPr>
                <w:noProof/>
                <w:webHidden/>
              </w:rPr>
              <w:fldChar w:fldCharType="end"/>
            </w:r>
          </w:hyperlink>
        </w:p>
        <w:p w:rsidRPr="00CE720B" w:rsidR="00537A91" w:rsidRDefault="00B76BE7" w14:paraId="7BC40531" w14:textId="383DA611">
          <w:pPr>
            <w:pStyle w:val="TOC2"/>
            <w:rPr>
              <w:rFonts w:eastAsiaTheme="minorEastAsia"/>
              <w:noProof/>
              <w:color w:val="auto"/>
            </w:rPr>
          </w:pPr>
          <w:hyperlink w:history="1" w:anchor="_Toc16271327">
            <w:r w:rsidRPr="00CE720B" w:rsidR="00537A91">
              <w:rPr>
                <w:rStyle w:val="Hyperlink"/>
                <w:noProof/>
              </w:rPr>
              <w:t>A.9. Payments or Gifts to Respondents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_Toc16271327 \h </w:instrText>
            </w:r>
            <w:r w:rsidRPr="00CE720B" w:rsidR="00537A91">
              <w:rPr>
                <w:noProof/>
                <w:webHidden/>
              </w:rPr>
            </w:r>
            <w:r w:rsidRPr="00CE720B" w:rsidR="00537A91">
              <w:rPr>
                <w:noProof/>
                <w:webHidden/>
              </w:rPr>
              <w:fldChar w:fldCharType="separate"/>
            </w:r>
            <w:r w:rsidR="00EE3EFF">
              <w:rPr>
                <w:noProof/>
                <w:webHidden/>
              </w:rPr>
              <w:t>5</w:t>
            </w:r>
            <w:r w:rsidRPr="00CE720B" w:rsidR="00537A91">
              <w:rPr>
                <w:noProof/>
                <w:webHidden/>
              </w:rPr>
              <w:fldChar w:fldCharType="end"/>
            </w:r>
          </w:hyperlink>
        </w:p>
        <w:p w:rsidRPr="00CE720B" w:rsidR="00537A91" w:rsidRDefault="00B76BE7" w14:paraId="2A08167F" w14:textId="140101F3">
          <w:pPr>
            <w:pStyle w:val="TOC2"/>
            <w:rPr>
              <w:rFonts w:eastAsiaTheme="minorEastAsia"/>
              <w:noProof/>
              <w:color w:val="auto"/>
            </w:rPr>
          </w:pPr>
          <w:hyperlink w:history="1" w:anchor="_Toc16271328">
            <w:r w:rsidRPr="00CE720B" w:rsidR="00537A91">
              <w:rPr>
                <w:rStyle w:val="Hyperlink"/>
                <w:noProof/>
              </w:rPr>
              <w:t>A.10. Provisions for Protection of Information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_Toc16271328 \h </w:instrText>
            </w:r>
            <w:r w:rsidRPr="00CE720B" w:rsidR="00537A91">
              <w:rPr>
                <w:noProof/>
                <w:webHidden/>
              </w:rPr>
            </w:r>
            <w:r w:rsidRPr="00CE720B" w:rsidR="00537A91">
              <w:rPr>
                <w:noProof/>
                <w:webHidden/>
              </w:rPr>
              <w:fldChar w:fldCharType="separate"/>
            </w:r>
            <w:r w:rsidR="00EE3EFF">
              <w:rPr>
                <w:noProof/>
                <w:webHidden/>
              </w:rPr>
              <w:t>5</w:t>
            </w:r>
            <w:r w:rsidRPr="00CE720B" w:rsidR="00537A91">
              <w:rPr>
                <w:noProof/>
                <w:webHidden/>
              </w:rPr>
              <w:fldChar w:fldCharType="end"/>
            </w:r>
          </w:hyperlink>
        </w:p>
        <w:p w:rsidRPr="00CE720B" w:rsidR="00537A91" w:rsidRDefault="00B76BE7" w14:paraId="1353DCFB" w14:textId="05A2B00E">
          <w:pPr>
            <w:pStyle w:val="TOC2"/>
            <w:rPr>
              <w:rFonts w:eastAsiaTheme="minorEastAsia"/>
              <w:noProof/>
              <w:color w:val="auto"/>
            </w:rPr>
          </w:pPr>
          <w:hyperlink w:history="1" w:anchor="_Toc16271329">
            <w:r w:rsidRPr="00CE720B" w:rsidR="00537A91">
              <w:rPr>
                <w:rStyle w:val="Hyperlink"/>
                <w:noProof/>
              </w:rPr>
              <w:t>A.11. Justification for Sensitive Questions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_Toc16271329 \h </w:instrText>
            </w:r>
            <w:r w:rsidRPr="00CE720B" w:rsidR="00537A91">
              <w:rPr>
                <w:noProof/>
                <w:webHidden/>
              </w:rPr>
            </w:r>
            <w:r w:rsidRPr="00CE720B" w:rsidR="00537A91">
              <w:rPr>
                <w:noProof/>
                <w:webHidden/>
              </w:rPr>
              <w:fldChar w:fldCharType="separate"/>
            </w:r>
            <w:r w:rsidR="00EE3EFF">
              <w:rPr>
                <w:noProof/>
                <w:webHidden/>
              </w:rPr>
              <w:t>6</w:t>
            </w:r>
            <w:r w:rsidRPr="00CE720B" w:rsidR="00537A91">
              <w:rPr>
                <w:noProof/>
                <w:webHidden/>
              </w:rPr>
              <w:fldChar w:fldCharType="end"/>
            </w:r>
          </w:hyperlink>
        </w:p>
        <w:p w:rsidRPr="00CE720B" w:rsidR="00537A91" w:rsidRDefault="00B76BE7" w14:paraId="135150AB" w14:textId="57E4F7E0">
          <w:pPr>
            <w:pStyle w:val="TOC2"/>
            <w:rPr>
              <w:rFonts w:eastAsiaTheme="minorEastAsia"/>
              <w:noProof/>
              <w:color w:val="auto"/>
            </w:rPr>
          </w:pPr>
          <w:hyperlink w:history="1" w:anchor="_Toc16271330">
            <w:r w:rsidRPr="00CE720B" w:rsidR="00537A91">
              <w:rPr>
                <w:rStyle w:val="Hyperlink"/>
                <w:noProof/>
              </w:rPr>
              <w:t>A.12A. Estimate of Respondent Burden Hours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_Toc16271330 \h </w:instrText>
            </w:r>
            <w:r w:rsidRPr="00CE720B" w:rsidR="00537A91">
              <w:rPr>
                <w:noProof/>
                <w:webHidden/>
              </w:rPr>
            </w:r>
            <w:r w:rsidRPr="00CE720B" w:rsidR="00537A91">
              <w:rPr>
                <w:noProof/>
                <w:webHidden/>
              </w:rPr>
              <w:fldChar w:fldCharType="separate"/>
            </w:r>
            <w:r w:rsidR="00EE3EFF">
              <w:rPr>
                <w:noProof/>
                <w:webHidden/>
              </w:rPr>
              <w:t>6</w:t>
            </w:r>
            <w:r w:rsidRPr="00CE720B" w:rsidR="00537A91">
              <w:rPr>
                <w:noProof/>
                <w:webHidden/>
              </w:rPr>
              <w:fldChar w:fldCharType="end"/>
            </w:r>
          </w:hyperlink>
        </w:p>
        <w:p w:rsidRPr="00CE720B" w:rsidR="00537A91" w:rsidRDefault="00B76BE7" w14:paraId="31906E8A" w14:textId="0112BB9B">
          <w:pPr>
            <w:pStyle w:val="TOC2"/>
            <w:rPr>
              <w:rFonts w:eastAsiaTheme="minorEastAsia"/>
              <w:noProof/>
              <w:color w:val="auto"/>
            </w:rPr>
          </w:pPr>
          <w:hyperlink w:history="1" w:anchor="_Toc16271331">
            <w:r w:rsidRPr="00CE720B" w:rsidR="00537A91">
              <w:rPr>
                <w:rStyle w:val="Hyperlink"/>
                <w:noProof/>
              </w:rPr>
              <w:t>A.12B. Estimate of Annual Cost to Respondent for Burden Hours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_Toc16271331 \h </w:instrText>
            </w:r>
            <w:r w:rsidRPr="00CE720B" w:rsidR="00537A91">
              <w:rPr>
                <w:noProof/>
                <w:webHidden/>
              </w:rPr>
            </w:r>
            <w:r w:rsidRPr="00CE720B" w:rsidR="00537A91">
              <w:rPr>
                <w:noProof/>
                <w:webHidden/>
              </w:rPr>
              <w:fldChar w:fldCharType="separate"/>
            </w:r>
            <w:r w:rsidR="00EE3EFF">
              <w:rPr>
                <w:noProof/>
                <w:webHidden/>
              </w:rPr>
              <w:t>7</w:t>
            </w:r>
            <w:r w:rsidRPr="00CE720B" w:rsidR="00537A91">
              <w:rPr>
                <w:noProof/>
                <w:webHidden/>
              </w:rPr>
              <w:fldChar w:fldCharType="end"/>
            </w:r>
          </w:hyperlink>
        </w:p>
        <w:p w:rsidRPr="00CE720B" w:rsidR="00537A91" w:rsidRDefault="00B76BE7" w14:paraId="0CED6360" w14:textId="6FBBBEC1">
          <w:pPr>
            <w:pStyle w:val="TOC2"/>
            <w:rPr>
              <w:rFonts w:eastAsiaTheme="minorEastAsia"/>
              <w:noProof/>
              <w:color w:val="auto"/>
            </w:rPr>
          </w:pPr>
          <w:hyperlink w:history="1" w:anchor="_Toc16271332">
            <w:r w:rsidRPr="00CE720B" w:rsidR="00537A91">
              <w:rPr>
                <w:rStyle w:val="Hyperlink"/>
                <w:noProof/>
              </w:rPr>
              <w:t>A.13. Other Estimated Annual Cost to Respondents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_Toc16271332 \h </w:instrText>
            </w:r>
            <w:r w:rsidRPr="00CE720B" w:rsidR="00537A91">
              <w:rPr>
                <w:noProof/>
                <w:webHidden/>
              </w:rPr>
            </w:r>
            <w:r w:rsidRPr="00CE720B" w:rsidR="00537A91">
              <w:rPr>
                <w:noProof/>
                <w:webHidden/>
              </w:rPr>
              <w:fldChar w:fldCharType="separate"/>
            </w:r>
            <w:r w:rsidR="00EE3EFF">
              <w:rPr>
                <w:noProof/>
                <w:webHidden/>
              </w:rPr>
              <w:t>7</w:t>
            </w:r>
            <w:r w:rsidRPr="00CE720B" w:rsidR="00537A91">
              <w:rPr>
                <w:noProof/>
                <w:webHidden/>
              </w:rPr>
              <w:fldChar w:fldCharType="end"/>
            </w:r>
          </w:hyperlink>
        </w:p>
        <w:p w:rsidRPr="00CE720B" w:rsidR="00537A91" w:rsidRDefault="00B76BE7" w14:paraId="0A0A190B" w14:textId="60361BEF">
          <w:pPr>
            <w:pStyle w:val="TOC2"/>
            <w:rPr>
              <w:rFonts w:eastAsiaTheme="minorEastAsia"/>
              <w:noProof/>
              <w:color w:val="auto"/>
            </w:rPr>
          </w:pPr>
          <w:hyperlink w:history="1" w:anchor="_Toc16271333">
            <w:r w:rsidRPr="00CE720B" w:rsidR="00537A91">
              <w:rPr>
                <w:rStyle w:val="Hyperlink"/>
                <w:noProof/>
              </w:rPr>
              <w:t>A.14. Annual Cost to the Federal Government</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_Toc16271333 \h </w:instrText>
            </w:r>
            <w:r w:rsidRPr="00CE720B" w:rsidR="00537A91">
              <w:rPr>
                <w:noProof/>
                <w:webHidden/>
              </w:rPr>
            </w:r>
            <w:r w:rsidRPr="00CE720B" w:rsidR="00537A91">
              <w:rPr>
                <w:noProof/>
                <w:webHidden/>
              </w:rPr>
              <w:fldChar w:fldCharType="separate"/>
            </w:r>
            <w:r w:rsidR="00EE3EFF">
              <w:rPr>
                <w:noProof/>
                <w:webHidden/>
              </w:rPr>
              <w:t>7</w:t>
            </w:r>
            <w:r w:rsidRPr="00CE720B" w:rsidR="00537A91">
              <w:rPr>
                <w:noProof/>
                <w:webHidden/>
              </w:rPr>
              <w:fldChar w:fldCharType="end"/>
            </w:r>
          </w:hyperlink>
        </w:p>
        <w:p w:rsidRPr="00CE720B" w:rsidR="00537A91" w:rsidRDefault="00B76BE7" w14:paraId="406F7331" w14:textId="4C54A34A">
          <w:pPr>
            <w:pStyle w:val="TOC2"/>
            <w:rPr>
              <w:rFonts w:eastAsiaTheme="minorEastAsia"/>
              <w:noProof/>
              <w:color w:val="auto"/>
            </w:rPr>
          </w:pPr>
          <w:hyperlink w:history="1" w:anchor="_Toc16271334">
            <w:r w:rsidRPr="00CE720B" w:rsidR="00537A91">
              <w:rPr>
                <w:rStyle w:val="Hyperlink"/>
                <w:noProof/>
              </w:rPr>
              <w:t>A.15. Reasons for Changes in Burden</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_Toc16271334 \h </w:instrText>
            </w:r>
            <w:r w:rsidRPr="00CE720B" w:rsidR="00537A91">
              <w:rPr>
                <w:noProof/>
                <w:webHidden/>
              </w:rPr>
            </w:r>
            <w:r w:rsidRPr="00CE720B" w:rsidR="00537A91">
              <w:rPr>
                <w:noProof/>
                <w:webHidden/>
              </w:rPr>
              <w:fldChar w:fldCharType="separate"/>
            </w:r>
            <w:r w:rsidR="00EE3EFF">
              <w:rPr>
                <w:noProof/>
                <w:webHidden/>
              </w:rPr>
              <w:t>8</w:t>
            </w:r>
            <w:r w:rsidRPr="00CE720B" w:rsidR="00537A91">
              <w:rPr>
                <w:noProof/>
                <w:webHidden/>
              </w:rPr>
              <w:fldChar w:fldCharType="end"/>
            </w:r>
          </w:hyperlink>
        </w:p>
        <w:p w:rsidRPr="00CE720B" w:rsidR="00537A91" w:rsidRDefault="00B76BE7" w14:paraId="0EA3017C" w14:textId="57437AC7">
          <w:pPr>
            <w:pStyle w:val="TOC2"/>
            <w:rPr>
              <w:rFonts w:eastAsiaTheme="minorEastAsia"/>
              <w:noProof/>
              <w:color w:val="auto"/>
            </w:rPr>
          </w:pPr>
          <w:hyperlink w:history="1" w:anchor="_Toc16271335">
            <w:r w:rsidRPr="00CE720B" w:rsidR="00537A91">
              <w:rPr>
                <w:rStyle w:val="Hyperlink"/>
                <w:noProof/>
              </w:rPr>
              <w:t>A.16. Collection, Tabulation, and Publication Plans</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_Toc16271335 \h </w:instrText>
            </w:r>
            <w:r w:rsidRPr="00CE720B" w:rsidR="00537A91">
              <w:rPr>
                <w:noProof/>
                <w:webHidden/>
              </w:rPr>
            </w:r>
            <w:r w:rsidRPr="00CE720B" w:rsidR="00537A91">
              <w:rPr>
                <w:noProof/>
                <w:webHidden/>
              </w:rPr>
              <w:fldChar w:fldCharType="separate"/>
            </w:r>
            <w:r w:rsidR="00EE3EFF">
              <w:rPr>
                <w:noProof/>
                <w:webHidden/>
              </w:rPr>
              <w:t>8</w:t>
            </w:r>
            <w:r w:rsidRPr="00CE720B" w:rsidR="00537A91">
              <w:rPr>
                <w:noProof/>
                <w:webHidden/>
              </w:rPr>
              <w:fldChar w:fldCharType="end"/>
            </w:r>
          </w:hyperlink>
        </w:p>
        <w:p w:rsidRPr="00CE720B" w:rsidR="00537A91" w:rsidRDefault="00B76BE7" w14:paraId="1E7CADFE" w14:textId="47954DBD">
          <w:pPr>
            <w:pStyle w:val="TOC2"/>
            <w:rPr>
              <w:rFonts w:eastAsiaTheme="minorEastAsia"/>
              <w:noProof/>
              <w:color w:val="auto"/>
            </w:rPr>
          </w:pPr>
          <w:hyperlink w:history="1" w:anchor="_Toc16271336">
            <w:r w:rsidRPr="00CE720B" w:rsidR="00537A91">
              <w:rPr>
                <w:rStyle w:val="Hyperlink"/>
                <w:noProof/>
              </w:rPr>
              <w:t>A.17. OMB Number and Expiration Date</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_Toc16271336 \h </w:instrText>
            </w:r>
            <w:r w:rsidRPr="00CE720B" w:rsidR="00537A91">
              <w:rPr>
                <w:noProof/>
                <w:webHidden/>
              </w:rPr>
            </w:r>
            <w:r w:rsidRPr="00CE720B" w:rsidR="00537A91">
              <w:rPr>
                <w:noProof/>
                <w:webHidden/>
              </w:rPr>
              <w:fldChar w:fldCharType="separate"/>
            </w:r>
            <w:r w:rsidR="00EE3EFF">
              <w:rPr>
                <w:noProof/>
                <w:webHidden/>
              </w:rPr>
              <w:t>9</w:t>
            </w:r>
            <w:r w:rsidRPr="00CE720B" w:rsidR="00537A91">
              <w:rPr>
                <w:noProof/>
                <w:webHidden/>
              </w:rPr>
              <w:fldChar w:fldCharType="end"/>
            </w:r>
          </w:hyperlink>
        </w:p>
        <w:p w:rsidRPr="00CE720B" w:rsidR="00537A91" w:rsidRDefault="00B76BE7" w14:paraId="302BA8BD" w14:textId="104FA01D">
          <w:pPr>
            <w:pStyle w:val="TOC2"/>
            <w:rPr>
              <w:rFonts w:eastAsiaTheme="minorEastAsia"/>
              <w:noProof/>
              <w:color w:val="auto"/>
            </w:rPr>
          </w:pPr>
          <w:hyperlink w:history="1" w:anchor="_Toc16271337">
            <w:r w:rsidRPr="00CE720B" w:rsidR="00537A91">
              <w:rPr>
                <w:rStyle w:val="Hyperlink"/>
                <w:noProof/>
              </w:rPr>
              <w:t>A.18. Certification Statement</w:t>
            </w:r>
            <w:r w:rsidRPr="00CE720B" w:rsidR="00537A91">
              <w:rPr>
                <w:noProof/>
                <w:webHidden/>
              </w:rPr>
              <w:tab/>
            </w:r>
            <w:r w:rsidRPr="00CE720B" w:rsidR="00537A91">
              <w:rPr>
                <w:noProof/>
                <w:webHidden/>
              </w:rPr>
              <w:fldChar w:fldCharType="begin"/>
            </w:r>
            <w:r w:rsidRPr="00CE720B" w:rsidR="00537A91">
              <w:rPr>
                <w:noProof/>
                <w:webHidden/>
              </w:rPr>
              <w:instrText xml:space="preserve"> PAGEREF _Toc16271337 \h </w:instrText>
            </w:r>
            <w:r w:rsidRPr="00CE720B" w:rsidR="00537A91">
              <w:rPr>
                <w:noProof/>
                <w:webHidden/>
              </w:rPr>
            </w:r>
            <w:r w:rsidRPr="00CE720B" w:rsidR="00537A91">
              <w:rPr>
                <w:noProof/>
                <w:webHidden/>
              </w:rPr>
              <w:fldChar w:fldCharType="separate"/>
            </w:r>
            <w:r w:rsidR="00EE3EFF">
              <w:rPr>
                <w:noProof/>
                <w:webHidden/>
              </w:rPr>
              <w:t>9</w:t>
            </w:r>
            <w:r w:rsidRPr="00CE720B" w:rsidR="00537A91">
              <w:rPr>
                <w:noProof/>
                <w:webHidden/>
              </w:rPr>
              <w:fldChar w:fldCharType="end"/>
            </w:r>
          </w:hyperlink>
        </w:p>
        <w:p w:rsidRPr="00CE720B" w:rsidR="0059212D" w:rsidRDefault="0059212D" w14:paraId="15F52EBC" w14:textId="77777777">
          <w:r w:rsidRPr="00CE720B">
            <w:rPr>
              <w:b/>
              <w:bCs/>
              <w:noProof/>
            </w:rPr>
            <w:fldChar w:fldCharType="end"/>
          </w:r>
        </w:p>
      </w:sdtContent>
    </w:sdt>
    <w:p w:rsidRPr="00CE720B" w:rsidR="001F3A8F" w:rsidP="00D928FD" w:rsidRDefault="001F3A8F" w14:paraId="7A0E8E20" w14:textId="77777777"/>
    <w:p w:rsidRPr="00CE720B" w:rsidR="00D928FD" w:rsidP="00D928FD" w:rsidRDefault="00D928FD" w14:paraId="1B6F6BCC" w14:textId="77777777">
      <w:pPr>
        <w:sectPr w:rsidRPr="00CE720B"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CE720B" w:rsidR="00933D5D" w:rsidP="00836D62" w:rsidRDefault="00933D5D" w14:paraId="1C87227D" w14:textId="77777777">
      <w:pPr>
        <w:spacing w:line="240" w:lineRule="auto"/>
      </w:pPr>
    </w:p>
    <w:p w:rsidRPr="00CE720B" w:rsidR="00933D5D" w:rsidP="00933D5D" w:rsidRDefault="00933D5D" w14:paraId="0742E3CA" w14:textId="77777777">
      <w:pPr>
        <w:tabs>
          <w:tab w:val="left" w:pos="7365"/>
        </w:tabs>
      </w:pPr>
      <w:r w:rsidRPr="00CE720B">
        <w:tab/>
      </w:r>
    </w:p>
    <w:p w:rsidRPr="00CE720B" w:rsidR="00041909" w:rsidP="00933D5D" w:rsidRDefault="00933D5D" w14:paraId="2C296FB6" w14:textId="77777777">
      <w:pPr>
        <w:tabs>
          <w:tab w:val="left" w:pos="7365"/>
        </w:tabs>
        <w:sectPr w:rsidRPr="00CE720B"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CE720B">
        <w:tab/>
      </w:r>
    </w:p>
    <w:p w:rsidRPr="00CE720B" w:rsidR="008C734C" w:rsidP="00A454B7" w:rsidRDefault="008C734C" w14:paraId="009F4D9C" w14:textId="77777777">
      <w:pPr>
        <w:pStyle w:val="Heading2"/>
      </w:pPr>
      <w:bookmarkStart w:name="_Toc16271318" w:id="1"/>
      <w:r w:rsidRPr="00CE720B">
        <w:lastRenderedPageBreak/>
        <w:t>Introdu</w:t>
      </w:r>
      <w:r w:rsidRPr="00CE720B" w:rsidR="00844524">
        <w:t>ction</w:t>
      </w:r>
      <w:bookmarkEnd w:id="1"/>
    </w:p>
    <w:p w:rsidRPr="00CE720B" w:rsidR="006D42EC" w:rsidP="00070FF4" w:rsidRDefault="006D42EC" w14:paraId="7A710833" w14:textId="77777777">
      <w:pPr>
        <w:spacing w:line="240" w:lineRule="atLeast"/>
        <w:rPr>
          <w:b/>
        </w:rPr>
      </w:pPr>
      <w:r w:rsidRPr="00CE720B">
        <w:rPr>
          <w:b/>
        </w:rPr>
        <w:t xml:space="preserve">Provide a brief introduction of the Information Collection Request.  Include the purpose of this collection, note the publication of the 60-Day </w:t>
      </w:r>
      <w:r w:rsidRPr="00CF52D9">
        <w:rPr>
          <w:b/>
          <w:i/>
        </w:rPr>
        <w:t>Federal Register</w:t>
      </w:r>
      <w:r w:rsidRPr="00CE720B">
        <w:rPr>
          <w:b/>
        </w:rPr>
        <w:t xml:space="preserve"> Notice, and provide the list of forms within this collection.</w:t>
      </w:r>
    </w:p>
    <w:p w:rsidRPr="00CE720B" w:rsidR="00905B60" w:rsidP="00070FF4" w:rsidRDefault="00905B60" w14:paraId="56605C8B" w14:textId="2748239F">
      <w:pPr>
        <w:spacing w:line="240" w:lineRule="atLeast"/>
      </w:pPr>
      <w:r w:rsidRPr="00CE720B">
        <w:t>The Department of Energy (</w:t>
      </w:r>
      <w:r w:rsidRPr="00CE720B" w:rsidR="0081121C">
        <w:t>DOE</w:t>
      </w:r>
      <w:r w:rsidRPr="00CE720B">
        <w:t>)</w:t>
      </w:r>
      <w:r w:rsidRPr="00CE720B" w:rsidR="0081121C">
        <w:t xml:space="preserve"> created the </w:t>
      </w:r>
      <w:r w:rsidRPr="00CE720B">
        <w:t>American Assured Fuel Supply (</w:t>
      </w:r>
      <w:r w:rsidRPr="00CE720B" w:rsidR="00825B7E">
        <w:t>AAFS</w:t>
      </w:r>
      <w:r w:rsidRPr="00CE720B">
        <w:t>)</w:t>
      </w:r>
      <w:r w:rsidRPr="00CE720B" w:rsidR="00472A96">
        <w:t>, a reserve of low-enriched uranium (LEU), to serve as a backup supply</w:t>
      </w:r>
      <w:r w:rsidR="00687840">
        <w:t xml:space="preserve"> of LEU</w:t>
      </w:r>
      <w:r w:rsidRPr="00CE720B" w:rsidR="00472A96">
        <w:t xml:space="preserve"> </w:t>
      </w:r>
      <w:r w:rsidR="002E32B2">
        <w:t>available to</w:t>
      </w:r>
      <w:r w:rsidRPr="00CE720B" w:rsidR="00472A96">
        <w:t xml:space="preserve"> foreign </w:t>
      </w:r>
      <w:r w:rsidR="002E32B2">
        <w:t>end-users</w:t>
      </w:r>
      <w:r w:rsidR="00CF52D9">
        <w:t xml:space="preserve"> to</w:t>
      </w:r>
      <w:r w:rsidRPr="00CE720B" w:rsidR="00472A96">
        <w:t xml:space="preserve"> be supplied </w:t>
      </w:r>
      <w:r w:rsidRPr="00CE720B" w:rsidR="0081121C">
        <w:t xml:space="preserve">through U.S. persons, or </w:t>
      </w:r>
      <w:r w:rsidR="00CF52D9">
        <w:t>to</w:t>
      </w:r>
      <w:r w:rsidRPr="00CE720B" w:rsidR="00CF52D9">
        <w:t xml:space="preserve"> </w:t>
      </w:r>
      <w:r w:rsidRPr="00CE720B" w:rsidR="0081121C">
        <w:t>domestic recipients, in the event of a supply disruption</w:t>
      </w:r>
      <w:r w:rsidR="002E32B2">
        <w:t xml:space="preserve"> in the nuclear fuel market</w:t>
      </w:r>
      <w:r w:rsidRPr="00CE720B" w:rsidR="0081121C">
        <w:t xml:space="preserve">.  </w:t>
      </w:r>
      <w:r w:rsidRPr="00CE720B" w:rsidR="00AB7EBB">
        <w:t xml:space="preserve">This </w:t>
      </w:r>
      <w:r w:rsidR="00687840">
        <w:t>reserve</w:t>
      </w:r>
      <w:r w:rsidRPr="00CE720B" w:rsidR="00687840">
        <w:t xml:space="preserve"> </w:t>
      </w:r>
      <w:r w:rsidRPr="00CE720B" w:rsidR="00AB7EBB">
        <w:t xml:space="preserve">of LEU </w:t>
      </w:r>
      <w:r w:rsidR="00687840">
        <w:t>as a backup supply</w:t>
      </w:r>
      <w:r w:rsidRPr="00CE720B" w:rsidR="00687840">
        <w:t xml:space="preserve"> </w:t>
      </w:r>
      <w:r w:rsidRPr="00CE720B" w:rsidR="00AB7EBB">
        <w:t xml:space="preserve">supports </w:t>
      </w:r>
      <w:r w:rsidRPr="00CE720B" w:rsidR="0081121C">
        <w:t xml:space="preserve">DOE’s nuclear nonproliferation </w:t>
      </w:r>
      <w:r w:rsidRPr="00CE720B" w:rsidR="00AB7EBB">
        <w:t>and civil nuclear energy objectives.</w:t>
      </w:r>
      <w:r w:rsidRPr="00CE720B" w:rsidR="00093288">
        <w:t xml:space="preserve"> </w:t>
      </w:r>
    </w:p>
    <w:p w:rsidRPr="00CE720B" w:rsidR="003D53F2" w:rsidP="00070FF4" w:rsidRDefault="003D53F2" w14:paraId="29B4528F" w14:textId="24701D91">
      <w:pPr>
        <w:spacing w:line="240" w:lineRule="atLeast"/>
        <w:rPr>
          <w:color w:val="000000" w:themeColor="text1"/>
        </w:rPr>
      </w:pPr>
      <w:r w:rsidRPr="00CE720B">
        <w:t>DOE requests a three-year extension to the previously approved information collection</w:t>
      </w:r>
      <w:r w:rsidRPr="00CE720B" w:rsidR="00D9326C">
        <w:t xml:space="preserve"> for </w:t>
      </w:r>
      <w:r w:rsidRPr="00CE720B" w:rsidR="00AB7EBB">
        <w:t>the AAFS</w:t>
      </w:r>
      <w:r w:rsidRPr="00CE720B">
        <w:t xml:space="preserve"> Program.</w:t>
      </w:r>
      <w:r w:rsidRPr="00CE720B" w:rsidR="00795E4A">
        <w:t xml:space="preserve">  DOE published </w:t>
      </w:r>
      <w:r w:rsidRPr="00CE720B" w:rsidR="00AB7EBB">
        <w:rPr>
          <w:bCs/>
        </w:rPr>
        <w:t>a 60-day notice and request for c</w:t>
      </w:r>
      <w:r w:rsidRPr="00CE720B" w:rsidR="00795E4A">
        <w:rPr>
          <w:bCs/>
        </w:rPr>
        <w:t xml:space="preserve">omments concerning </w:t>
      </w:r>
      <w:r w:rsidRPr="00CE720B" w:rsidR="006C0315">
        <w:rPr>
          <w:bCs/>
        </w:rPr>
        <w:t xml:space="preserve">the </w:t>
      </w:r>
      <w:r w:rsidRPr="00CE720B" w:rsidR="00795E4A">
        <w:rPr>
          <w:bCs/>
        </w:rPr>
        <w:t xml:space="preserve">extension of </w:t>
      </w:r>
      <w:r w:rsidR="00990F31">
        <w:rPr>
          <w:bCs/>
        </w:rPr>
        <w:t xml:space="preserve">the </w:t>
      </w:r>
      <w:r w:rsidRPr="00CE720B" w:rsidR="00795E4A">
        <w:rPr>
          <w:bCs/>
        </w:rPr>
        <w:t xml:space="preserve">information collection in the </w:t>
      </w:r>
      <w:r w:rsidRPr="00CE720B" w:rsidR="00795E4A">
        <w:rPr>
          <w:bCs/>
          <w:i/>
        </w:rPr>
        <w:t xml:space="preserve">Federal </w:t>
      </w:r>
      <w:r w:rsidRPr="00CE720B" w:rsidR="00795E4A">
        <w:rPr>
          <w:bCs/>
          <w:i/>
          <w:color w:val="000000" w:themeColor="text1"/>
        </w:rPr>
        <w:t>Register</w:t>
      </w:r>
      <w:r w:rsidR="00990F31">
        <w:rPr>
          <w:bCs/>
          <w:color w:val="000000" w:themeColor="text1"/>
        </w:rPr>
        <w:t>,</w:t>
      </w:r>
      <w:r w:rsidRPr="00CE720B" w:rsidR="003B6E2F">
        <w:rPr>
          <w:bCs/>
          <w:color w:val="000000" w:themeColor="text1"/>
        </w:rPr>
        <w:t xml:space="preserve"> </w:t>
      </w:r>
      <w:r w:rsidRPr="00CE720B" w:rsidR="00AB7EBB">
        <w:rPr>
          <w:bCs/>
          <w:color w:val="000000" w:themeColor="text1"/>
        </w:rPr>
        <w:t>85</w:t>
      </w:r>
      <w:r w:rsidRPr="00CE720B" w:rsidR="00EA7043">
        <w:rPr>
          <w:bCs/>
          <w:color w:val="000000" w:themeColor="text1"/>
        </w:rPr>
        <w:t xml:space="preserve"> FR </w:t>
      </w:r>
      <w:r w:rsidRPr="00CE720B" w:rsidR="00FE5199">
        <w:rPr>
          <w:bCs/>
          <w:color w:val="000000" w:themeColor="text1"/>
        </w:rPr>
        <w:t>60451</w:t>
      </w:r>
      <w:r w:rsidRPr="00CE720B" w:rsidR="003B6E2F">
        <w:rPr>
          <w:bCs/>
          <w:color w:val="000000" w:themeColor="text1"/>
        </w:rPr>
        <w:t xml:space="preserve"> (Sept. 25, 2020).</w:t>
      </w:r>
    </w:p>
    <w:p w:rsidRPr="00CE720B" w:rsidR="009F31B6" w:rsidP="00070FF4" w:rsidRDefault="00EA4A7C" w14:paraId="2339A71B" w14:textId="60527326">
      <w:pPr>
        <w:spacing w:line="240" w:lineRule="atLeast"/>
      </w:pPr>
      <w:r w:rsidRPr="00CE720B">
        <w:rPr>
          <w:bCs/>
        </w:rPr>
        <w:t>DOE published the application requirements</w:t>
      </w:r>
      <w:r w:rsidRPr="00CE720B" w:rsidR="0092149C">
        <w:rPr>
          <w:bCs/>
        </w:rPr>
        <w:t xml:space="preserve"> </w:t>
      </w:r>
      <w:r w:rsidRPr="00CE720B">
        <w:rPr>
          <w:bCs/>
        </w:rPr>
        <w:t xml:space="preserve">in the </w:t>
      </w:r>
      <w:r w:rsidRPr="00CE720B">
        <w:rPr>
          <w:bCs/>
          <w:i/>
        </w:rPr>
        <w:t>Federal Register</w:t>
      </w:r>
      <w:r w:rsidR="005B597B">
        <w:t>,</w:t>
      </w:r>
      <w:r w:rsidRPr="00CE720B" w:rsidR="005B597B">
        <w:t xml:space="preserve"> </w:t>
      </w:r>
      <w:r w:rsidRPr="00CE720B" w:rsidR="003B6E2F">
        <w:t>78 FR 72071 (Dec. 2, 2013).</w:t>
      </w:r>
      <w:r w:rsidRPr="00CE720B">
        <w:t xml:space="preserve">  </w:t>
      </w:r>
      <w:r w:rsidRPr="00CE720B" w:rsidR="0044735F">
        <w:t xml:space="preserve">U.S. persons who want to access the AAFS will need </w:t>
      </w:r>
      <w:r w:rsidR="00E356C4">
        <w:t xml:space="preserve">to </w:t>
      </w:r>
      <w:r w:rsidRPr="00CE720B" w:rsidR="0044735F">
        <w:t>submit an</w:t>
      </w:r>
      <w:r w:rsidRPr="00CE720B">
        <w:t xml:space="preserve"> </w:t>
      </w:r>
      <w:r w:rsidRPr="00CE720B" w:rsidR="0081121C">
        <w:t>applicatio</w:t>
      </w:r>
      <w:r w:rsidRPr="00CE720B" w:rsidR="009F31B6">
        <w:t>n</w:t>
      </w:r>
      <w:r w:rsidRPr="00CE720B" w:rsidR="0044735F">
        <w:t xml:space="preserve">, which is necessary </w:t>
      </w:r>
      <w:r w:rsidRPr="00CE720B" w:rsidR="00093288">
        <w:t xml:space="preserve">in order for DOE </w:t>
      </w:r>
      <w:r w:rsidRPr="00CE720B" w:rsidR="009F31B6">
        <w:t xml:space="preserve">to identify </w:t>
      </w:r>
      <w:r w:rsidR="00DC1461">
        <w:t>whether</w:t>
      </w:r>
      <w:r w:rsidRPr="00CE720B" w:rsidR="00DC1461">
        <w:t xml:space="preserve"> </w:t>
      </w:r>
      <w:r w:rsidRPr="00CE720B" w:rsidR="009F31B6">
        <w:t xml:space="preserve">applicants meet basic requirements for use of the </w:t>
      </w:r>
      <w:r w:rsidRPr="00CE720B" w:rsidR="00825B7E">
        <w:t>A</w:t>
      </w:r>
      <w:r w:rsidRPr="00CE720B" w:rsidR="009F31B6">
        <w:t xml:space="preserve">AFS, and </w:t>
      </w:r>
      <w:r w:rsidR="00DC1461">
        <w:t xml:space="preserve">to </w:t>
      </w:r>
      <w:r w:rsidRPr="00CE720B" w:rsidR="009F31B6">
        <w:t>implement this important initiative.</w:t>
      </w:r>
    </w:p>
    <w:p w:rsidRPr="00CE720B" w:rsidR="008C734C" w:rsidP="00A454B7" w:rsidRDefault="008C734C" w14:paraId="0E7FAC78" w14:textId="77777777">
      <w:pPr>
        <w:pStyle w:val="Heading2"/>
      </w:pPr>
      <w:bookmarkStart w:name="_Toc16271319" w:id="2"/>
      <w:r w:rsidRPr="00CE720B">
        <w:t>A.1. Legal Justification</w:t>
      </w:r>
      <w:bookmarkEnd w:id="2"/>
    </w:p>
    <w:p w:rsidRPr="00CE720B" w:rsidR="00A41763" w:rsidP="00070FF4" w:rsidRDefault="00A41763" w14:paraId="53082C0B" w14:textId="77777777">
      <w:pPr>
        <w:spacing w:line="240" w:lineRule="atLeast"/>
      </w:pPr>
      <w:r w:rsidRPr="00CE720B">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CE720B" w:rsidR="006B3AC4" w:rsidP="00070FF4" w:rsidRDefault="009D5A70" w14:paraId="4FEC6454" w14:textId="14D75B9A">
      <w:pPr>
        <w:spacing w:line="240" w:lineRule="atLeast"/>
      </w:pPr>
      <w:r w:rsidRPr="00CE720B">
        <w:t>The Secretary of Energy is authorized</w:t>
      </w:r>
      <w:r w:rsidR="00990F31">
        <w:t>,</w:t>
      </w:r>
      <w:r w:rsidRPr="00CE720B">
        <w:t xml:space="preserve"> pursuant to the Atomic Energy of 1954, as amended (P.L. 83-703) (42 U</w:t>
      </w:r>
      <w:r w:rsidR="00F54567">
        <w:t>.</w:t>
      </w:r>
      <w:r w:rsidRPr="00CE720B">
        <w:t>S</w:t>
      </w:r>
      <w:r w:rsidR="00F54567">
        <w:t>.</w:t>
      </w:r>
      <w:r w:rsidRPr="00CE720B">
        <w:t>C</w:t>
      </w:r>
      <w:r w:rsidR="00F54567">
        <w:t>.</w:t>
      </w:r>
      <w:r w:rsidRPr="00CE720B">
        <w:t xml:space="preserve"> 201</w:t>
      </w:r>
      <w:r w:rsidR="00694267">
        <w:t>1</w:t>
      </w:r>
      <w:r w:rsidRPr="00CE720B">
        <w:t xml:space="preserve"> et seq.), and the Nuclear Non-Proliferation Act of 1978 (P.L. 95-242) (22 U</w:t>
      </w:r>
      <w:r w:rsidR="00F54567">
        <w:t>.</w:t>
      </w:r>
      <w:r w:rsidRPr="00CE720B">
        <w:t>S</w:t>
      </w:r>
      <w:r w:rsidR="00F54567">
        <w:t>.</w:t>
      </w:r>
      <w:r w:rsidRPr="00CE720B">
        <w:t>C</w:t>
      </w:r>
      <w:r w:rsidR="00F54567">
        <w:t>.</w:t>
      </w:r>
      <w:r w:rsidRPr="00CE720B">
        <w:t xml:space="preserve"> 3201 et seq.)</w:t>
      </w:r>
      <w:r w:rsidR="00990F31">
        <w:t>,</w:t>
      </w:r>
      <w:r w:rsidRPr="00CE720B">
        <w:t xml:space="preserve"> to encourage the widespread use of atomic energy for peaceful purposes, and to enter into agreements and distribute nuclear material in cooperation with other nations where appropriate safeguard measures are in place to ensure the material is properly controlled and used for peaceful purposes. </w:t>
      </w:r>
    </w:p>
    <w:p w:rsidRPr="00CE720B" w:rsidR="003B6E2F" w:rsidP="00070FF4" w:rsidRDefault="003B6E2F" w14:paraId="62AEF27C" w14:textId="0E228C93">
      <w:pPr>
        <w:spacing w:line="240" w:lineRule="atLeast"/>
      </w:pPr>
      <w:r w:rsidRPr="00CE720B">
        <w:t xml:space="preserve">DOE published in the </w:t>
      </w:r>
      <w:r w:rsidRPr="00CE720B">
        <w:rPr>
          <w:i/>
        </w:rPr>
        <w:t>Federal Register</w:t>
      </w:r>
      <w:r w:rsidRPr="00CE720B">
        <w:t xml:space="preserve"> a not</w:t>
      </w:r>
      <w:r w:rsidR="00182268">
        <w:t>ice</w:t>
      </w:r>
      <w:r w:rsidRPr="00CE720B">
        <w:t xml:space="preserve"> of availability for the AAFS</w:t>
      </w:r>
      <w:r w:rsidR="00182BB8">
        <w:t>,</w:t>
      </w:r>
      <w:r w:rsidRPr="00CE720B">
        <w:t xml:space="preserve"> 76 FR 51357 (Aug. 18, 2011), and a</w:t>
      </w:r>
      <w:r w:rsidR="00182BB8">
        <w:t xml:space="preserve"> </w:t>
      </w:r>
      <w:r w:rsidRPr="00CE720B">
        <w:t>n</w:t>
      </w:r>
      <w:r w:rsidR="00182BB8">
        <w:t>otice of availability of</w:t>
      </w:r>
      <w:r w:rsidRPr="00CE720B">
        <w:t xml:space="preserve"> application </w:t>
      </w:r>
      <w:r w:rsidR="00182BB8">
        <w:t xml:space="preserve">requirements </w:t>
      </w:r>
      <w:r w:rsidRPr="00CE720B">
        <w:t>to standardize the information that must be provided in a</w:t>
      </w:r>
      <w:r w:rsidR="00687840">
        <w:t xml:space="preserve">n application </w:t>
      </w:r>
      <w:r w:rsidRPr="00CE720B">
        <w:t>request</w:t>
      </w:r>
      <w:r w:rsidR="00687840">
        <w:t xml:space="preserve">ing LEU from </w:t>
      </w:r>
      <w:r w:rsidRPr="00CE720B">
        <w:t>the AAFS</w:t>
      </w:r>
      <w:r w:rsidR="005B597B">
        <w:t>,</w:t>
      </w:r>
      <w:r w:rsidRPr="00CE720B" w:rsidR="005B597B">
        <w:t xml:space="preserve"> </w:t>
      </w:r>
      <w:r w:rsidRPr="00CE720B">
        <w:t>78 FR 72071 (Dec. 2, 2013).</w:t>
      </w:r>
    </w:p>
    <w:p w:rsidRPr="00CE720B" w:rsidR="008C734C" w:rsidP="00A454B7" w:rsidRDefault="008C734C" w14:paraId="24C465EF" w14:textId="77777777">
      <w:pPr>
        <w:pStyle w:val="Heading2"/>
      </w:pPr>
      <w:bookmarkStart w:name="_Toc16271320" w:id="3"/>
      <w:r w:rsidRPr="00CE720B">
        <w:t>A.2. Needs and Uses of Data</w:t>
      </w:r>
      <w:bookmarkEnd w:id="3"/>
    </w:p>
    <w:p w:rsidRPr="00CE720B" w:rsidR="00A41763" w:rsidP="00070FF4" w:rsidRDefault="00A41763" w14:paraId="1D87463C" w14:textId="6E7A8910">
      <w:pPr>
        <w:spacing w:line="240" w:lineRule="atLeast"/>
      </w:pPr>
      <w:bookmarkStart w:name="_Hlk59115266" w:id="4"/>
      <w:r w:rsidRPr="00CE720B">
        <w:rPr>
          <w:b/>
          <w:bCs/>
        </w:rPr>
        <w:t>Indicate how, by whom, and for what purpose the information is to be used. Except for a new collection, indicate the actual use the agency has made of the information received from the current collection</w:t>
      </w:r>
      <w:r w:rsidR="005B597B">
        <w:rPr>
          <w:b/>
          <w:bCs/>
        </w:rPr>
        <w:t>.</w:t>
      </w:r>
      <w:r w:rsidRPr="00CE720B">
        <w:rPr>
          <w:b/>
          <w:bCs/>
        </w:rPr>
        <w:t xml:space="preserve"> </w:t>
      </w:r>
    </w:p>
    <w:p w:rsidR="00083768" w:rsidP="00070FF4" w:rsidRDefault="00083768" w14:paraId="6D7B20FA" w14:textId="762F5964">
      <w:pPr>
        <w:spacing w:line="240" w:lineRule="atLeast"/>
      </w:pPr>
      <w:r w:rsidRPr="00CE720B">
        <w:t xml:space="preserve">DOE has established an AAFS Committee, which will be responsible </w:t>
      </w:r>
      <w:r w:rsidR="00185E49">
        <w:t>for</w:t>
      </w:r>
      <w:r w:rsidRPr="00CE720B" w:rsidR="00185E49">
        <w:t xml:space="preserve"> </w:t>
      </w:r>
      <w:r w:rsidRPr="00CE720B">
        <w:t>review</w:t>
      </w:r>
      <w:r w:rsidR="00185E49">
        <w:t>ing</w:t>
      </w:r>
      <w:r w:rsidR="00182BB8">
        <w:t xml:space="preserve"> </w:t>
      </w:r>
      <w:r w:rsidRPr="00CE720B">
        <w:t xml:space="preserve">requests for LEU </w:t>
      </w:r>
      <w:r w:rsidR="002E32B2">
        <w:t>in</w:t>
      </w:r>
      <w:r w:rsidRPr="00CE720B" w:rsidR="002E32B2">
        <w:t xml:space="preserve"> </w:t>
      </w:r>
      <w:r w:rsidRPr="00CE720B">
        <w:t xml:space="preserve">the AAFS and make recommendations </w:t>
      </w:r>
      <w:r w:rsidR="00182268">
        <w:t xml:space="preserve">to the Secretary of Energy </w:t>
      </w:r>
      <w:r w:rsidRPr="00CE720B">
        <w:t xml:space="preserve">on the sale of LEU from the AAFS. </w:t>
      </w:r>
      <w:r w:rsidR="00990F31">
        <w:t xml:space="preserve"> </w:t>
      </w:r>
      <w:r w:rsidRPr="00CE720B">
        <w:t xml:space="preserve">The Committee </w:t>
      </w:r>
      <w:r w:rsidR="00CD4560">
        <w:t>is</w:t>
      </w:r>
      <w:r w:rsidRPr="00CE720B">
        <w:t xml:space="preserve"> chaired by the National Nuclear Security Administration (NNSA) Office of Nonproliferation and Arms Control (NPAC) and include</w:t>
      </w:r>
      <w:r w:rsidR="00CD4560">
        <w:t>s</w:t>
      </w:r>
      <w:r w:rsidRPr="00CE720B">
        <w:t xml:space="preserve"> representatives from</w:t>
      </w:r>
      <w:r w:rsidRPr="00CE720B">
        <w:rPr>
          <w:color w:val="000000"/>
        </w:rPr>
        <w:t xml:space="preserve"> </w:t>
      </w:r>
      <w:r w:rsidRPr="00CE720B">
        <w:t xml:space="preserve">NNSA’s Office of Materials Management and Minimization, DOE’s Office of Nuclear Energy, DOE’s Office of Environmental Management, and the DOE and NNSA Offices of General Counsel.  </w:t>
      </w:r>
    </w:p>
    <w:p w:rsidRPr="00183102" w:rsidR="00D37BDB" w:rsidP="00D37BDB" w:rsidRDefault="00D37BDB" w14:paraId="430E9BEE" w14:textId="1FB2943B">
      <w:pPr>
        <w:rPr>
          <w:color w:val="000000" w:themeColor="text1"/>
        </w:rPr>
      </w:pPr>
      <w:r w:rsidRPr="00183102">
        <w:rPr>
          <w:color w:val="000000" w:themeColor="text1"/>
        </w:rPr>
        <w:lastRenderedPageBreak/>
        <w:t>Foreign end users, through U.S. persons, or domestic recipients who want access to the LEU in the AAFS</w:t>
      </w:r>
      <w:r w:rsidR="003E6FC7">
        <w:rPr>
          <w:color w:val="000000" w:themeColor="text1"/>
        </w:rPr>
        <w:t>,</w:t>
      </w:r>
      <w:r w:rsidRPr="00183102">
        <w:rPr>
          <w:color w:val="000000" w:themeColor="text1"/>
        </w:rPr>
        <w:t xml:space="preserve"> are required to follow the application requirements on the information the AAFS Committee will consider in evaluating the requests of potential applicants for access to the AAFS. This collection of information provides the Secretary of Energy with the information to make an informed decision concerning the approval on the sale of LEU from AAFS.</w:t>
      </w:r>
    </w:p>
    <w:p w:rsidR="00D37BDB" w:rsidP="00D37BDB" w:rsidRDefault="00D37BDB" w14:paraId="2280DACB" w14:textId="1402522F">
      <w:pPr>
        <w:rPr>
          <w:color w:val="000000" w:themeColor="text1"/>
        </w:rPr>
      </w:pPr>
      <w:r w:rsidRPr="00183102">
        <w:rPr>
          <w:color w:val="000000" w:themeColor="text1"/>
        </w:rPr>
        <w:t xml:space="preserve">The application requirements asks for the following for the AAFS Committee to have sufficient information to evaluate compliance with legal and regulatory requirements concerning the possession and use of the LEU and, if applicable, to address nonproliferation policy considerations regarding the export of the LEU to another country. </w:t>
      </w:r>
    </w:p>
    <w:tbl>
      <w:tblPr>
        <w:tblStyle w:val="TableGridLight"/>
        <w:tblW w:w="0" w:type="auto"/>
        <w:tblInd w:w="355" w:type="dxa"/>
        <w:tblLook w:val="04A0" w:firstRow="1" w:lastRow="0" w:firstColumn="1" w:lastColumn="0" w:noHBand="0" w:noVBand="1"/>
      </w:tblPr>
      <w:tblGrid>
        <w:gridCol w:w="630"/>
        <w:gridCol w:w="8365"/>
      </w:tblGrid>
      <w:tr w:rsidR="00917EF6" w:rsidTr="00393588" w14:paraId="7B813371" w14:textId="77777777">
        <w:tc>
          <w:tcPr>
            <w:tcW w:w="630" w:type="dxa"/>
          </w:tcPr>
          <w:p w:rsidR="00917EF6" w:rsidP="00D37BDB" w:rsidRDefault="00917EF6" w14:paraId="32357879" w14:textId="1739D0E2">
            <w:pPr>
              <w:rPr>
                <w:color w:val="000000" w:themeColor="text1"/>
              </w:rPr>
            </w:pPr>
            <w:r>
              <w:rPr>
                <w:color w:val="000000" w:themeColor="text1"/>
              </w:rPr>
              <w:t>1.</w:t>
            </w:r>
          </w:p>
        </w:tc>
        <w:tc>
          <w:tcPr>
            <w:tcW w:w="8365" w:type="dxa"/>
          </w:tcPr>
          <w:p w:rsidR="00917EF6" w:rsidP="00917EF6" w:rsidRDefault="00917EF6" w14:paraId="623190DB" w14:textId="77777777">
            <w:pPr>
              <w:rPr>
                <w:color w:val="000000" w:themeColor="text1"/>
              </w:rPr>
            </w:pPr>
            <w:r w:rsidRPr="005E38A1">
              <w:rPr>
                <w:color w:val="000000" w:themeColor="text1"/>
              </w:rPr>
              <w:t>Prov</w:t>
            </w:r>
            <w:r>
              <w:rPr>
                <w:color w:val="000000" w:themeColor="text1"/>
              </w:rPr>
              <w:t>ide name and contact information for end-user of desired LEU.</w:t>
            </w:r>
          </w:p>
          <w:p w:rsidR="00917EF6" w:rsidP="00D37BDB" w:rsidRDefault="00917EF6" w14:paraId="485B8EC7" w14:textId="77777777">
            <w:pPr>
              <w:rPr>
                <w:color w:val="000000" w:themeColor="text1"/>
              </w:rPr>
            </w:pPr>
          </w:p>
        </w:tc>
      </w:tr>
      <w:tr w:rsidR="00917EF6" w:rsidTr="00393588" w14:paraId="4EFC6E43" w14:textId="77777777">
        <w:tc>
          <w:tcPr>
            <w:tcW w:w="630" w:type="dxa"/>
          </w:tcPr>
          <w:p w:rsidR="00917EF6" w:rsidP="00D37BDB" w:rsidRDefault="00917EF6" w14:paraId="269F7D60" w14:textId="2E5AC9F9">
            <w:pPr>
              <w:rPr>
                <w:color w:val="000000" w:themeColor="text1"/>
              </w:rPr>
            </w:pPr>
            <w:r>
              <w:rPr>
                <w:color w:val="000000" w:themeColor="text1"/>
              </w:rPr>
              <w:t>2.</w:t>
            </w:r>
          </w:p>
        </w:tc>
        <w:tc>
          <w:tcPr>
            <w:tcW w:w="8365" w:type="dxa"/>
          </w:tcPr>
          <w:p w:rsidR="00917EF6" w:rsidP="00D37BDB" w:rsidRDefault="00917EF6" w14:paraId="4F998126" w14:textId="4DCFD849">
            <w:pPr>
              <w:rPr>
                <w:color w:val="000000" w:themeColor="text1"/>
              </w:rPr>
            </w:pPr>
            <w:r w:rsidRPr="00D37BDB">
              <w:rPr>
                <w:color w:val="000000" w:themeColor="text1"/>
              </w:rPr>
              <w:t>If end-user is not in the United States, provide country and name of end-user.</w:t>
            </w:r>
          </w:p>
        </w:tc>
      </w:tr>
      <w:tr w:rsidR="00917EF6" w:rsidTr="00393588" w14:paraId="5604617E" w14:textId="77777777">
        <w:tc>
          <w:tcPr>
            <w:tcW w:w="630" w:type="dxa"/>
          </w:tcPr>
          <w:p w:rsidR="00917EF6" w:rsidP="00D37BDB" w:rsidRDefault="00917EF6" w14:paraId="77551BC0" w14:textId="0AB91744">
            <w:pPr>
              <w:rPr>
                <w:color w:val="000000" w:themeColor="text1"/>
              </w:rPr>
            </w:pPr>
            <w:r>
              <w:rPr>
                <w:color w:val="000000" w:themeColor="text1"/>
              </w:rPr>
              <w:t>3.</w:t>
            </w:r>
          </w:p>
        </w:tc>
        <w:tc>
          <w:tcPr>
            <w:tcW w:w="8365" w:type="dxa"/>
          </w:tcPr>
          <w:p w:rsidR="00917EF6" w:rsidP="00917EF6" w:rsidRDefault="00917EF6" w14:paraId="363449C9" w14:textId="77777777">
            <w:pPr>
              <w:rPr>
                <w:color w:val="000000" w:themeColor="text1"/>
              </w:rPr>
            </w:pPr>
            <w:r w:rsidRPr="00D37BDB">
              <w:rPr>
                <w:color w:val="000000" w:themeColor="text1"/>
              </w:rPr>
              <w:t>Is there any other logistical information that DOE should be made aware of?</w:t>
            </w:r>
          </w:p>
          <w:p w:rsidRPr="00D37BDB" w:rsidR="00917EF6" w:rsidP="00D37BDB" w:rsidRDefault="00917EF6" w14:paraId="1716854C" w14:textId="77777777">
            <w:pPr>
              <w:rPr>
                <w:color w:val="000000" w:themeColor="text1"/>
              </w:rPr>
            </w:pPr>
          </w:p>
        </w:tc>
      </w:tr>
      <w:tr w:rsidR="00917EF6" w:rsidTr="00393588" w14:paraId="2F6545D2" w14:textId="77777777">
        <w:tc>
          <w:tcPr>
            <w:tcW w:w="630" w:type="dxa"/>
          </w:tcPr>
          <w:p w:rsidR="00917EF6" w:rsidP="00393588" w:rsidRDefault="007572FB" w14:paraId="257AE231" w14:textId="546CDB08">
            <w:pPr>
              <w:rPr>
                <w:color w:val="000000" w:themeColor="text1"/>
              </w:rPr>
            </w:pPr>
            <w:r>
              <w:rPr>
                <w:color w:val="000000" w:themeColor="text1"/>
              </w:rPr>
              <w:t>4.</w:t>
            </w:r>
          </w:p>
        </w:tc>
        <w:tc>
          <w:tcPr>
            <w:tcW w:w="8365" w:type="dxa"/>
          </w:tcPr>
          <w:p w:rsidRPr="00D37BDB" w:rsidR="00917EF6" w:rsidP="00D37BDB" w:rsidRDefault="00917EF6" w14:paraId="764425A6" w14:textId="43CD82D1">
            <w:pPr>
              <w:rPr>
                <w:color w:val="000000" w:themeColor="text1"/>
              </w:rPr>
            </w:pPr>
            <w:r w:rsidRPr="00D37BDB">
              <w:rPr>
                <w:color w:val="000000" w:themeColor="text1"/>
              </w:rPr>
              <w:t>Is the foreign recipient requesting LEU from the AAFS experiencing a fuel supply disruptio</w:t>
            </w:r>
            <w:r>
              <w:rPr>
                <w:color w:val="000000" w:themeColor="text1"/>
              </w:rPr>
              <w:t xml:space="preserve">n </w:t>
            </w:r>
            <w:r w:rsidRPr="00D37BDB">
              <w:rPr>
                <w:color w:val="000000" w:themeColor="text1"/>
              </w:rPr>
              <w:t>for which LEU cannot be obtained through normal market conditions? If yes, please provid</w:t>
            </w:r>
            <w:r w:rsidR="007572FB">
              <w:rPr>
                <w:color w:val="000000" w:themeColor="text1"/>
              </w:rPr>
              <w:t xml:space="preserve">e </w:t>
            </w:r>
            <w:r>
              <w:rPr>
                <w:color w:val="000000" w:themeColor="text1"/>
              </w:rPr>
              <w:t>f</w:t>
            </w:r>
            <w:r w:rsidRPr="00D37BDB">
              <w:rPr>
                <w:color w:val="000000" w:themeColor="text1"/>
              </w:rPr>
              <w:t>acts that demonstrate that LEU is unavailable in the timeframe that it is needed</w:t>
            </w:r>
            <w:r>
              <w:rPr>
                <w:color w:val="000000" w:themeColor="text1"/>
              </w:rPr>
              <w:t>.</w:t>
            </w:r>
          </w:p>
        </w:tc>
      </w:tr>
      <w:tr w:rsidR="00917EF6" w:rsidTr="00393588" w14:paraId="76AFFFD2" w14:textId="77777777">
        <w:tc>
          <w:tcPr>
            <w:tcW w:w="630" w:type="dxa"/>
          </w:tcPr>
          <w:p w:rsidR="00917EF6" w:rsidP="00393588" w:rsidRDefault="00917EF6" w14:paraId="0194E906" w14:textId="77777777">
            <w:pPr>
              <w:rPr>
                <w:color w:val="000000" w:themeColor="text1"/>
              </w:rPr>
            </w:pPr>
            <w:r>
              <w:rPr>
                <w:color w:val="000000" w:themeColor="text1"/>
              </w:rPr>
              <w:t xml:space="preserve">5.a.  </w:t>
            </w:r>
          </w:p>
          <w:p w:rsidR="00917EF6" w:rsidP="00D37BDB" w:rsidRDefault="00917EF6" w14:paraId="1CC0ED67" w14:textId="77777777">
            <w:pPr>
              <w:rPr>
                <w:color w:val="000000" w:themeColor="text1"/>
              </w:rPr>
            </w:pPr>
          </w:p>
        </w:tc>
        <w:tc>
          <w:tcPr>
            <w:tcW w:w="8365" w:type="dxa"/>
          </w:tcPr>
          <w:p w:rsidRPr="00D37BDB" w:rsidR="00917EF6" w:rsidP="00D37BDB" w:rsidRDefault="00917EF6" w14:paraId="30603A79" w14:textId="61B0E02C">
            <w:pPr>
              <w:rPr>
                <w:color w:val="000000" w:themeColor="text1"/>
              </w:rPr>
            </w:pPr>
            <w:r w:rsidRPr="00183102">
              <w:rPr>
                <w:color w:val="000000" w:themeColor="text1"/>
              </w:rPr>
              <w:t>For all U.S. end-users, is a Nuclear Regulatory Commission license authorizing possession and use in place</w:t>
            </w:r>
          </w:p>
        </w:tc>
      </w:tr>
      <w:tr w:rsidR="00917EF6" w:rsidTr="00393588" w14:paraId="384EB4BB" w14:textId="77777777">
        <w:tc>
          <w:tcPr>
            <w:tcW w:w="630" w:type="dxa"/>
          </w:tcPr>
          <w:p w:rsidR="007572FB" w:rsidP="00393588" w:rsidRDefault="007572FB" w14:paraId="51EB7547" w14:textId="77777777">
            <w:pPr>
              <w:rPr>
                <w:color w:val="000000" w:themeColor="text1"/>
              </w:rPr>
            </w:pPr>
            <w:r>
              <w:rPr>
                <w:color w:val="000000" w:themeColor="text1"/>
              </w:rPr>
              <w:t xml:space="preserve">5.b.  </w:t>
            </w:r>
          </w:p>
          <w:p w:rsidR="00917EF6" w:rsidP="00D37BDB" w:rsidRDefault="00917EF6" w14:paraId="7A71E2B3" w14:textId="77777777">
            <w:pPr>
              <w:rPr>
                <w:color w:val="000000" w:themeColor="text1"/>
              </w:rPr>
            </w:pPr>
          </w:p>
        </w:tc>
        <w:tc>
          <w:tcPr>
            <w:tcW w:w="8365" w:type="dxa"/>
          </w:tcPr>
          <w:p w:rsidRPr="00D37BDB" w:rsidR="00917EF6" w:rsidP="00D37BDB" w:rsidRDefault="00917EF6" w14:paraId="7E12F505" w14:textId="2E51F0B0">
            <w:pPr>
              <w:rPr>
                <w:color w:val="000000" w:themeColor="text1"/>
              </w:rPr>
            </w:pPr>
            <w:r w:rsidRPr="00183102">
              <w:rPr>
                <w:color w:val="000000" w:themeColor="text1"/>
              </w:rPr>
              <w:t>If end-user is not in the United States, describe steps to be taken to obtain the necessary Nuclear Regulatory Commission export license.</w:t>
            </w:r>
          </w:p>
        </w:tc>
      </w:tr>
      <w:tr w:rsidR="00917EF6" w:rsidTr="00393588" w14:paraId="6F884D58" w14:textId="77777777">
        <w:tc>
          <w:tcPr>
            <w:tcW w:w="630" w:type="dxa"/>
          </w:tcPr>
          <w:p w:rsidR="00917EF6" w:rsidP="00D37BDB" w:rsidRDefault="007572FB" w14:paraId="1B04F156" w14:textId="0400D2E4">
            <w:pPr>
              <w:rPr>
                <w:color w:val="000000" w:themeColor="text1"/>
              </w:rPr>
            </w:pPr>
            <w:r>
              <w:rPr>
                <w:color w:val="000000" w:themeColor="text1"/>
              </w:rPr>
              <w:t xml:space="preserve">5.c.  </w:t>
            </w:r>
          </w:p>
        </w:tc>
        <w:tc>
          <w:tcPr>
            <w:tcW w:w="8365" w:type="dxa"/>
          </w:tcPr>
          <w:p w:rsidRPr="00D37BDB" w:rsidR="00917EF6" w:rsidP="00D37BDB" w:rsidRDefault="007572FB" w14:paraId="27AB3E78" w14:textId="5D4F27AB">
            <w:pPr>
              <w:rPr>
                <w:color w:val="000000" w:themeColor="text1"/>
              </w:rPr>
            </w:pPr>
            <w:r w:rsidRPr="00183102">
              <w:rPr>
                <w:color w:val="000000" w:themeColor="text1"/>
              </w:rPr>
              <w:t>If end-user is not in the United States, does the country have any outstanding issues with the International Atomic Energy Agency over their comprehensive safeguards agreement? If yes, please describe the nature of these issues.</w:t>
            </w:r>
          </w:p>
        </w:tc>
      </w:tr>
      <w:tr w:rsidR="00917EF6" w:rsidTr="00393588" w14:paraId="71B55C80" w14:textId="77777777">
        <w:tc>
          <w:tcPr>
            <w:tcW w:w="630" w:type="dxa"/>
          </w:tcPr>
          <w:p w:rsidR="00917EF6" w:rsidP="00D37BDB" w:rsidRDefault="007572FB" w14:paraId="2FBD9664" w14:textId="27557AD0">
            <w:pPr>
              <w:rPr>
                <w:color w:val="000000" w:themeColor="text1"/>
              </w:rPr>
            </w:pPr>
            <w:r>
              <w:rPr>
                <w:color w:val="000000" w:themeColor="text1"/>
              </w:rPr>
              <w:t>6.</w:t>
            </w:r>
          </w:p>
        </w:tc>
        <w:tc>
          <w:tcPr>
            <w:tcW w:w="8365" w:type="dxa"/>
          </w:tcPr>
          <w:p w:rsidRPr="00D37BDB" w:rsidR="00917EF6" w:rsidP="00393588" w:rsidRDefault="007572FB" w14:paraId="173F47E2" w14:textId="54DF6D09">
            <w:pPr>
              <w:rPr>
                <w:color w:val="000000" w:themeColor="text1"/>
              </w:rPr>
            </w:pPr>
            <w:r w:rsidRPr="00183102">
              <w:rPr>
                <w:color w:val="000000" w:themeColor="text1"/>
              </w:rPr>
              <w:t xml:space="preserve">What is the desired quantity of LEU and when is anticipated fueling into reactor? Please note that the LEU will be in the form of uranium hexafluoride at a specific assay (4.95% U–235). </w:t>
            </w:r>
          </w:p>
        </w:tc>
      </w:tr>
      <w:tr w:rsidR="007572FB" w:rsidTr="00393588" w14:paraId="1393CC3D" w14:textId="77777777">
        <w:tc>
          <w:tcPr>
            <w:tcW w:w="630" w:type="dxa"/>
          </w:tcPr>
          <w:p w:rsidR="007572FB" w:rsidP="00D37BDB" w:rsidRDefault="007572FB" w14:paraId="12169D20" w14:textId="03C51617">
            <w:pPr>
              <w:rPr>
                <w:color w:val="000000" w:themeColor="text1"/>
              </w:rPr>
            </w:pPr>
            <w:r>
              <w:rPr>
                <w:color w:val="000000" w:themeColor="text1"/>
              </w:rPr>
              <w:t>7.</w:t>
            </w:r>
          </w:p>
        </w:tc>
        <w:tc>
          <w:tcPr>
            <w:tcW w:w="8365" w:type="dxa"/>
          </w:tcPr>
          <w:p w:rsidRPr="00D37BDB" w:rsidR="007572FB" w:rsidP="00393588" w:rsidRDefault="007572FB" w14:paraId="0896930B" w14:textId="1A66E30A">
            <w:pPr>
              <w:rPr>
                <w:color w:val="000000" w:themeColor="text1"/>
              </w:rPr>
            </w:pPr>
            <w:r w:rsidRPr="00183102">
              <w:rPr>
                <w:color w:val="000000" w:themeColor="text1"/>
              </w:rPr>
              <w:t>When does requester want to take title of LEU from DOE</w:t>
            </w:r>
            <w:r>
              <w:rPr>
                <w:color w:val="000000" w:themeColor="text1"/>
              </w:rPr>
              <w:t>.</w:t>
            </w:r>
          </w:p>
        </w:tc>
      </w:tr>
      <w:tr w:rsidR="007572FB" w:rsidTr="00393588" w14:paraId="70730955" w14:textId="77777777">
        <w:tc>
          <w:tcPr>
            <w:tcW w:w="630" w:type="dxa"/>
          </w:tcPr>
          <w:p w:rsidR="007572FB" w:rsidP="00D37BDB" w:rsidRDefault="007572FB" w14:paraId="7BF6B5CB" w14:textId="341A6FDB">
            <w:pPr>
              <w:rPr>
                <w:color w:val="000000" w:themeColor="text1"/>
              </w:rPr>
            </w:pPr>
            <w:r>
              <w:rPr>
                <w:color w:val="000000" w:themeColor="text1"/>
              </w:rPr>
              <w:t>8.</w:t>
            </w:r>
          </w:p>
        </w:tc>
        <w:tc>
          <w:tcPr>
            <w:tcW w:w="8365" w:type="dxa"/>
          </w:tcPr>
          <w:p w:rsidRPr="00D37BDB" w:rsidR="007572FB" w:rsidP="00D37BDB" w:rsidRDefault="007572FB" w14:paraId="42A9356A" w14:textId="6119D2D6">
            <w:pPr>
              <w:rPr>
                <w:color w:val="000000" w:themeColor="text1"/>
              </w:rPr>
            </w:pPr>
            <w:r>
              <w:rPr>
                <w:color w:val="000000" w:themeColor="text1"/>
              </w:rPr>
              <w:t>Pl</w:t>
            </w:r>
            <w:r w:rsidRPr="00917EF6">
              <w:rPr>
                <w:color w:val="000000" w:themeColor="text1"/>
              </w:rPr>
              <w:t>ease provide evidence that requester can make all necessary and required arrangements</w:t>
            </w:r>
            <w:r w:rsidR="00393588">
              <w:rPr>
                <w:color w:val="000000" w:themeColor="text1"/>
              </w:rPr>
              <w:t xml:space="preserve"> </w:t>
            </w:r>
            <w:r w:rsidRPr="00917EF6">
              <w:rPr>
                <w:color w:val="000000" w:themeColor="text1"/>
              </w:rPr>
              <w:t>to accept custody and take possession of the LEU from the place of storage, (Westinghouse’s Columbia, South Carolina site) once title is transferred.)</w:t>
            </w:r>
          </w:p>
        </w:tc>
      </w:tr>
    </w:tbl>
    <w:p w:rsidRPr="00CE720B" w:rsidR="007572FB" w:rsidP="00070FF4" w:rsidRDefault="007572FB" w14:paraId="7B28BFA4" w14:textId="77777777">
      <w:pPr>
        <w:spacing w:line="240" w:lineRule="atLeast"/>
      </w:pPr>
    </w:p>
    <w:p w:rsidR="00AA2D0C" w:rsidP="00070FF4" w:rsidRDefault="00E32285" w14:paraId="1B5CE024" w14:textId="59EA4D75">
      <w:pPr>
        <w:spacing w:line="240" w:lineRule="atLeast"/>
      </w:pPr>
      <w:bookmarkStart w:name="_Toc16271321" w:id="5"/>
      <w:r w:rsidRPr="00CE720B">
        <w:t xml:space="preserve">To date, </w:t>
      </w:r>
      <w:r w:rsidRPr="00CE720B" w:rsidR="00AA2D0C">
        <w:t>DOE has not received an application for access to the LEU from the AAFS.</w:t>
      </w:r>
    </w:p>
    <w:bookmarkEnd w:id="4"/>
    <w:p w:rsidRPr="00CE720B" w:rsidR="008C734C" w:rsidP="00A454B7" w:rsidRDefault="008C734C" w14:paraId="76F3BA9E" w14:textId="77777777">
      <w:pPr>
        <w:pStyle w:val="Heading2"/>
      </w:pPr>
      <w:r w:rsidRPr="00CE720B">
        <w:t>A.</w:t>
      </w:r>
      <w:r w:rsidRPr="00CE720B" w:rsidR="00A41763">
        <w:t xml:space="preserve">3. </w:t>
      </w:r>
      <w:r w:rsidRPr="00CE720B">
        <w:t>Use of Technology</w:t>
      </w:r>
      <w:bookmarkEnd w:id="5"/>
    </w:p>
    <w:p w:rsidRPr="00CE720B" w:rsidR="00A41763" w:rsidP="00070FF4" w:rsidRDefault="00A41763" w14:paraId="7F4B3BED" w14:textId="77777777">
      <w:pPr>
        <w:spacing w:line="240" w:lineRule="atLeast"/>
      </w:pPr>
      <w:r w:rsidRPr="00CE720B">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CE720B" w:rsidR="00810D85" w:rsidP="00070FF4" w:rsidRDefault="00322775" w14:paraId="219672A2" w14:textId="0CB0C705">
      <w:pPr>
        <w:spacing w:line="240" w:lineRule="atLeast"/>
      </w:pPr>
      <w:r w:rsidRPr="00CE720B">
        <w:t xml:space="preserve">Applicants can submit applications </w:t>
      </w:r>
      <w:r w:rsidRPr="00CE720B" w:rsidR="00286FA8">
        <w:t xml:space="preserve">to </w:t>
      </w:r>
      <w:r w:rsidRPr="00CE720B" w:rsidR="00286FA8">
        <w:rPr>
          <w:color w:val="000000"/>
        </w:rPr>
        <w:t>NPAC</w:t>
      </w:r>
      <w:r w:rsidRPr="00CE720B" w:rsidR="00286FA8">
        <w:t xml:space="preserve"> </w:t>
      </w:r>
      <w:r w:rsidRPr="00CE720B">
        <w:t xml:space="preserve">electronically through email </w:t>
      </w:r>
      <w:r w:rsidR="007A5A8E">
        <w:t xml:space="preserve">or </w:t>
      </w:r>
      <w:r w:rsidR="00182268">
        <w:t xml:space="preserve">by mail </w:t>
      </w:r>
      <w:r w:rsidR="007A5A8E">
        <w:t>in hardcopy</w:t>
      </w:r>
      <w:r w:rsidRPr="00CE720B">
        <w:rPr>
          <w:color w:val="000000"/>
        </w:rPr>
        <w:t xml:space="preserve">. </w:t>
      </w:r>
      <w:r w:rsidR="00286FA8">
        <w:t>H</w:t>
      </w:r>
      <w:r w:rsidRPr="00CE720B">
        <w:t>ardcopy/paper submission is accepta</w:t>
      </w:r>
      <w:r w:rsidRPr="00CE720B" w:rsidR="00485950">
        <w:t xml:space="preserve">ble and </w:t>
      </w:r>
      <w:r w:rsidRPr="00CE720B" w:rsidR="000D4314">
        <w:t>is</w:t>
      </w:r>
      <w:r w:rsidRPr="00CE720B" w:rsidR="00485950">
        <w:t xml:space="preserve"> </w:t>
      </w:r>
      <w:r w:rsidRPr="00CE720B">
        <w:t>indicated on the application</w:t>
      </w:r>
      <w:r w:rsidRPr="00CE720B" w:rsidR="000D4314">
        <w:t xml:space="preserve"> requirements</w:t>
      </w:r>
      <w:r w:rsidRPr="00CE720B">
        <w:t xml:space="preserve">.  </w:t>
      </w:r>
      <w:bookmarkStart w:name="_Toc16271322" w:id="6"/>
    </w:p>
    <w:p w:rsidRPr="00CE720B" w:rsidR="008C734C" w:rsidP="00A454B7" w:rsidRDefault="008C734C" w14:paraId="304FA9F7" w14:textId="77777777">
      <w:pPr>
        <w:pStyle w:val="Heading2"/>
      </w:pPr>
      <w:r w:rsidRPr="00CE720B">
        <w:lastRenderedPageBreak/>
        <w:t>A.</w:t>
      </w:r>
      <w:r w:rsidRPr="00CE720B" w:rsidR="00A41763">
        <w:t xml:space="preserve">4. </w:t>
      </w:r>
      <w:r w:rsidRPr="00CE720B">
        <w:t>Efforts to Identify Duplication</w:t>
      </w:r>
      <w:bookmarkEnd w:id="6"/>
    </w:p>
    <w:p w:rsidRPr="00CE720B" w:rsidR="00A41763" w:rsidP="00070FF4" w:rsidRDefault="00A41763" w14:paraId="7B382352" w14:textId="77777777">
      <w:pPr>
        <w:spacing w:line="240" w:lineRule="atLeast"/>
      </w:pPr>
      <w:r w:rsidRPr="00CE720B">
        <w:rPr>
          <w:b/>
          <w:bCs/>
        </w:rPr>
        <w:t xml:space="preserve">Describe efforts to identify duplication. </w:t>
      </w:r>
    </w:p>
    <w:p w:rsidRPr="00CE720B" w:rsidR="00322775" w:rsidP="00070FF4" w:rsidRDefault="00322775" w14:paraId="33B002A4" w14:textId="1F1606E2">
      <w:pPr>
        <w:spacing w:line="240" w:lineRule="atLeast"/>
      </w:pPr>
      <w:r w:rsidRPr="00CE720B">
        <w:t xml:space="preserve">The AAFS is a unique program and opportunity. </w:t>
      </w:r>
      <w:r w:rsidR="00990F31">
        <w:t xml:space="preserve"> </w:t>
      </w:r>
      <w:r w:rsidRPr="00CE720B">
        <w:t xml:space="preserve">Applicants should not apply to withdraw material from the AAFS unless </w:t>
      </w:r>
      <w:r w:rsidRPr="00CE720B" w:rsidR="00EB0ED2">
        <w:t xml:space="preserve">they have exhausted all other </w:t>
      </w:r>
      <w:r w:rsidRPr="00CE720B">
        <w:t xml:space="preserve">market options.  A complete </w:t>
      </w:r>
      <w:r w:rsidRPr="00CE720B" w:rsidR="00987F17">
        <w:t>supply</w:t>
      </w:r>
      <w:r w:rsidRPr="00CE720B">
        <w:t xml:space="preserve"> disruption for LEU has never occurred before, and DOE has </w:t>
      </w:r>
      <w:r w:rsidRPr="00CE720B" w:rsidR="00B76BE7">
        <w:t>never</w:t>
      </w:r>
      <w:r w:rsidRPr="00CE720B">
        <w:t xml:space="preserve"> made this kind of fuel reserve available in the event of a supply disruption.</w:t>
      </w:r>
      <w:r w:rsidR="00D060C0">
        <w:t xml:space="preserve"> </w:t>
      </w:r>
      <w:r w:rsidRPr="00CE720B">
        <w:t xml:space="preserve"> As a result, there has never been any such information collected</w:t>
      </w:r>
      <w:r w:rsidR="00B8679E">
        <w:t xml:space="preserve">. </w:t>
      </w:r>
      <w:r w:rsidR="00D060C0">
        <w:t xml:space="preserve"> T</w:t>
      </w:r>
      <w:r w:rsidR="00B8679E">
        <w:t>his information would not be</w:t>
      </w:r>
      <w:r w:rsidR="00D060C0">
        <w:t xml:space="preserve"> available for</w:t>
      </w:r>
      <w:r w:rsidR="00B8679E">
        <w:t xml:space="preserve"> collect</w:t>
      </w:r>
      <w:r w:rsidR="00D060C0">
        <w:t>ion</w:t>
      </w:r>
      <w:r w:rsidR="00B8679E">
        <w:t xml:space="preserve"> elsewhere</w:t>
      </w:r>
      <w:r w:rsidR="00805F41">
        <w:t>.</w:t>
      </w:r>
    </w:p>
    <w:p w:rsidRPr="00CE720B" w:rsidR="008C734C" w:rsidP="00A454B7" w:rsidRDefault="008C734C" w14:paraId="02621F2E" w14:textId="08FADB98">
      <w:pPr>
        <w:pStyle w:val="Heading2"/>
      </w:pPr>
      <w:bookmarkStart w:name="_Toc16271323" w:id="7"/>
      <w:r w:rsidRPr="00CE720B">
        <w:t>A.</w:t>
      </w:r>
      <w:r w:rsidRPr="00CE720B" w:rsidR="00A41763">
        <w:t xml:space="preserve">5. </w:t>
      </w:r>
      <w:r w:rsidRPr="00CE720B">
        <w:t>Provisions for Reducing Burden on Small Businesses</w:t>
      </w:r>
      <w:bookmarkEnd w:id="7"/>
      <w:r w:rsidRPr="00CE720B">
        <w:t xml:space="preserve"> </w:t>
      </w:r>
    </w:p>
    <w:p w:rsidRPr="00CE720B" w:rsidR="00A41763" w:rsidP="00070FF4" w:rsidRDefault="00A41763" w14:paraId="0952D3C6" w14:textId="565004F5">
      <w:pPr>
        <w:spacing w:line="240" w:lineRule="atLeast"/>
        <w:rPr>
          <w:b/>
          <w:bCs/>
        </w:rPr>
      </w:pPr>
      <w:r w:rsidRPr="00CE720B">
        <w:rPr>
          <w:b/>
          <w:bCs/>
        </w:rPr>
        <w:t xml:space="preserve">If the collection of information impacts small businesses or other small entities, describe any methods used to minimize burden. </w:t>
      </w:r>
    </w:p>
    <w:p w:rsidRPr="00CE720B" w:rsidR="008C734C" w:rsidP="00070FF4" w:rsidRDefault="00CD4560" w14:paraId="4992FEEA" w14:textId="28EAA499">
      <w:pPr>
        <w:spacing w:line="240" w:lineRule="atLeast"/>
      </w:pPr>
      <w:r>
        <w:rPr>
          <w:iCs/>
        </w:rPr>
        <w:t>S</w:t>
      </w:r>
      <w:r w:rsidRPr="00CE720B" w:rsidR="00F64F2A">
        <w:rPr>
          <w:iCs/>
        </w:rPr>
        <w:t xml:space="preserve">mall businesses </w:t>
      </w:r>
      <w:r>
        <w:rPr>
          <w:iCs/>
        </w:rPr>
        <w:t>may</w:t>
      </w:r>
      <w:r w:rsidRPr="00CE720B" w:rsidR="00F64F2A">
        <w:rPr>
          <w:iCs/>
        </w:rPr>
        <w:t xml:space="preserve"> apply for </w:t>
      </w:r>
      <w:r w:rsidR="007A5A8E">
        <w:rPr>
          <w:iCs/>
        </w:rPr>
        <w:t xml:space="preserve">LEU </w:t>
      </w:r>
      <w:r w:rsidR="00836497">
        <w:rPr>
          <w:iCs/>
        </w:rPr>
        <w:t xml:space="preserve">from </w:t>
      </w:r>
      <w:r w:rsidRPr="00CE720B" w:rsidR="00836497">
        <w:rPr>
          <w:iCs/>
        </w:rPr>
        <w:t>the</w:t>
      </w:r>
      <w:r w:rsidRPr="00CE720B" w:rsidR="00F64F2A">
        <w:rPr>
          <w:iCs/>
        </w:rPr>
        <w:t xml:space="preserve"> AAFS, and they</w:t>
      </w:r>
      <w:r w:rsidR="00836497">
        <w:rPr>
          <w:iCs/>
        </w:rPr>
        <w:t xml:space="preserve"> </w:t>
      </w:r>
      <w:r w:rsidRPr="00CE720B" w:rsidR="00F64F2A">
        <w:rPr>
          <w:iCs/>
        </w:rPr>
        <w:t xml:space="preserve">would have no extra burden </w:t>
      </w:r>
      <w:r w:rsidR="00F24DA9">
        <w:rPr>
          <w:iCs/>
        </w:rPr>
        <w:t>relative to the burden incurred by</w:t>
      </w:r>
      <w:r w:rsidRPr="00CE720B" w:rsidR="00F24DA9">
        <w:rPr>
          <w:iCs/>
        </w:rPr>
        <w:t xml:space="preserve"> </w:t>
      </w:r>
      <w:r w:rsidRPr="00CE720B" w:rsidR="00F64F2A">
        <w:rPr>
          <w:iCs/>
        </w:rPr>
        <w:t xml:space="preserve">larger companies.  All applicants would have </w:t>
      </w:r>
      <w:r w:rsidR="007A5A8E">
        <w:rPr>
          <w:iCs/>
        </w:rPr>
        <w:t xml:space="preserve">to </w:t>
      </w:r>
      <w:r w:rsidRPr="00CE720B" w:rsidR="00F64F2A">
        <w:rPr>
          <w:iCs/>
        </w:rPr>
        <w:t xml:space="preserve">exhaust all market options before applying for use of the </w:t>
      </w:r>
      <w:r w:rsidRPr="00CE720B" w:rsidR="00322775">
        <w:rPr>
          <w:iCs/>
        </w:rPr>
        <w:t>A</w:t>
      </w:r>
      <w:r w:rsidRPr="00CE720B" w:rsidR="00F64F2A">
        <w:rPr>
          <w:iCs/>
        </w:rPr>
        <w:t>AFS</w:t>
      </w:r>
      <w:r w:rsidR="00721D68">
        <w:rPr>
          <w:iCs/>
        </w:rPr>
        <w:t>.</w:t>
      </w:r>
      <w:r w:rsidRPr="00CE720B" w:rsidR="00F64F2A">
        <w:rPr>
          <w:iCs/>
        </w:rPr>
        <w:t xml:space="preserve"> </w:t>
      </w:r>
      <w:r w:rsidR="00525517">
        <w:rPr>
          <w:iCs/>
        </w:rPr>
        <w:t xml:space="preserve"> </w:t>
      </w:r>
      <w:r w:rsidRPr="00CE720B" w:rsidR="00F64F2A">
        <w:rPr>
          <w:iCs/>
        </w:rPr>
        <w:t xml:space="preserve">In general, it is more likely that large U.S. suppliers of LEU and/or fuel fabricators would be applying for use of the </w:t>
      </w:r>
      <w:r w:rsidRPr="00CE720B" w:rsidR="00485950">
        <w:rPr>
          <w:iCs/>
        </w:rPr>
        <w:t>A</w:t>
      </w:r>
      <w:r w:rsidRPr="00CE720B" w:rsidR="00F64F2A">
        <w:rPr>
          <w:iCs/>
        </w:rPr>
        <w:t xml:space="preserve">AFS, but there is not a disproportionate burden on small businesses.  </w:t>
      </w:r>
    </w:p>
    <w:p w:rsidRPr="00CE720B" w:rsidR="008C734C" w:rsidP="00A454B7" w:rsidRDefault="008C734C" w14:paraId="274A3962" w14:textId="77777777">
      <w:pPr>
        <w:pStyle w:val="Heading2"/>
      </w:pPr>
      <w:bookmarkStart w:name="_Toc16271324" w:id="8"/>
      <w:r w:rsidRPr="00CE720B">
        <w:t>A.</w:t>
      </w:r>
      <w:r w:rsidRPr="00CE720B" w:rsidR="00A41763">
        <w:t xml:space="preserve">6. </w:t>
      </w:r>
      <w:r w:rsidRPr="00CE720B">
        <w:t>Consequences of Less-Frequent Reporting</w:t>
      </w:r>
      <w:bookmarkEnd w:id="8"/>
    </w:p>
    <w:p w:rsidRPr="00CE720B" w:rsidR="00A41763" w:rsidP="00070FF4" w:rsidRDefault="00A41763" w14:paraId="65881BBF" w14:textId="77777777">
      <w:pPr>
        <w:spacing w:line="240" w:lineRule="atLeast"/>
      </w:pPr>
      <w:r w:rsidRPr="00CE720B">
        <w:rPr>
          <w:b/>
          <w:bCs/>
        </w:rPr>
        <w:t xml:space="preserve">Describe the consequence to Federal program or policy activities if the collection is not conducted or is conducted less frequently, as well as any technical or legal obstacles to reducing burden. </w:t>
      </w:r>
    </w:p>
    <w:p w:rsidRPr="00CE720B" w:rsidR="00003271" w:rsidP="00070FF4" w:rsidRDefault="00003271" w14:paraId="319D629A" w14:textId="77C2D22F">
      <w:pPr>
        <w:spacing w:line="240" w:lineRule="atLeast"/>
        <w:rPr>
          <w:color w:val="FF0000"/>
        </w:rPr>
      </w:pPr>
      <w:r w:rsidRPr="00CE720B">
        <w:t xml:space="preserve">If DOE does not </w:t>
      </w:r>
      <w:r w:rsidR="00CD4560">
        <w:t xml:space="preserve">extend its </w:t>
      </w:r>
      <w:r w:rsidR="008122A4">
        <w:t>information collection</w:t>
      </w:r>
      <w:r w:rsidRPr="00CE720B">
        <w:t xml:space="preserve">, DOE </w:t>
      </w:r>
      <w:r w:rsidR="008122A4">
        <w:t>would</w:t>
      </w:r>
      <w:r w:rsidRPr="00CE720B" w:rsidR="008122A4">
        <w:t xml:space="preserve"> </w:t>
      </w:r>
      <w:r w:rsidRPr="00CE720B">
        <w:t xml:space="preserve">not be able to </w:t>
      </w:r>
      <w:r w:rsidR="00D54DC7">
        <w:t>receive applications</w:t>
      </w:r>
      <w:r w:rsidRPr="00CE720B">
        <w:t xml:space="preserve"> </w:t>
      </w:r>
      <w:r w:rsidR="006E2BB7">
        <w:t>for material from</w:t>
      </w:r>
      <w:r w:rsidRPr="00CE720B">
        <w:t xml:space="preserve"> the </w:t>
      </w:r>
      <w:r w:rsidRPr="00CE720B" w:rsidR="000D6137">
        <w:t>A</w:t>
      </w:r>
      <w:r w:rsidRPr="00CE720B">
        <w:t xml:space="preserve">AFS.  Implementing the </w:t>
      </w:r>
      <w:r w:rsidRPr="00CE720B" w:rsidR="000D6137">
        <w:t>A</w:t>
      </w:r>
      <w:r w:rsidRPr="00CE720B">
        <w:t>AFS could provide significant nonproliferation and nuclear security benefits to the United States</w:t>
      </w:r>
      <w:r w:rsidR="00D54DC7">
        <w:t>, in the event of a supply disruption in the nuclear fuel market</w:t>
      </w:r>
      <w:r w:rsidRPr="00CE720B">
        <w:t xml:space="preserve">.    </w:t>
      </w:r>
    </w:p>
    <w:p w:rsidRPr="00CE720B" w:rsidR="008C734C" w:rsidP="00A454B7" w:rsidRDefault="008C734C" w14:paraId="0EBCADEE" w14:textId="77777777">
      <w:pPr>
        <w:pStyle w:val="Heading2"/>
      </w:pPr>
      <w:bookmarkStart w:name="_Toc16271325" w:id="9"/>
      <w:r w:rsidRPr="00CE720B">
        <w:t>A.</w:t>
      </w:r>
      <w:r w:rsidRPr="00CE720B" w:rsidR="00A41763">
        <w:t xml:space="preserve">7. </w:t>
      </w:r>
      <w:r w:rsidRPr="00CE720B">
        <w:t>Compliance with 5 CFR 1320.5</w:t>
      </w:r>
      <w:bookmarkEnd w:id="9"/>
    </w:p>
    <w:p w:rsidRPr="00CE720B" w:rsidR="00A41763" w:rsidP="00070FF4" w:rsidRDefault="00A41763" w14:paraId="77693C2E" w14:textId="38A37FDC">
      <w:pPr>
        <w:spacing w:line="240" w:lineRule="atLeast"/>
      </w:pPr>
      <w:r w:rsidRPr="00CE720B">
        <w:rPr>
          <w:b/>
          <w:bCs/>
        </w:rPr>
        <w:t xml:space="preserve">Explain any special circumstances that require the collection to be conducted in a manner inconsistent with OMB guidelines. (a) </w:t>
      </w:r>
      <w:r w:rsidR="00983B58">
        <w:rPr>
          <w:b/>
          <w:bCs/>
        </w:rPr>
        <w:t>R</w:t>
      </w:r>
      <w:r w:rsidRPr="00CE720B" w:rsidR="00983B58">
        <w:rPr>
          <w:b/>
          <w:bCs/>
        </w:rPr>
        <w:t xml:space="preserve">equiring </w:t>
      </w:r>
      <w:r w:rsidRPr="00CE720B">
        <w:rPr>
          <w:b/>
          <w:bCs/>
        </w:rPr>
        <w:t xml:space="preserve">respondents to report information to the agency more often than quarterly; (b) </w:t>
      </w:r>
      <w:r w:rsidR="00983B58">
        <w:rPr>
          <w:b/>
          <w:bCs/>
        </w:rPr>
        <w:t>R</w:t>
      </w:r>
      <w:r w:rsidRPr="00CE720B" w:rsidR="00983B58">
        <w:rPr>
          <w:b/>
          <w:bCs/>
        </w:rPr>
        <w:t xml:space="preserve">equiring </w:t>
      </w:r>
      <w:r w:rsidRPr="00CE720B">
        <w:rPr>
          <w:b/>
          <w:bCs/>
        </w:rPr>
        <w:t xml:space="preserve">respondents to prepare a written response to a collection of information in fewer than 30 days after receipt of it; (c) </w:t>
      </w:r>
      <w:r w:rsidR="00983B58">
        <w:rPr>
          <w:b/>
          <w:bCs/>
        </w:rPr>
        <w:t>R</w:t>
      </w:r>
      <w:r w:rsidRPr="00CE720B" w:rsidR="00983B58">
        <w:rPr>
          <w:b/>
          <w:bCs/>
        </w:rPr>
        <w:t xml:space="preserve">equiring </w:t>
      </w:r>
      <w:r w:rsidRPr="00CE720B">
        <w:rPr>
          <w:b/>
          <w:bCs/>
        </w:rPr>
        <w:t xml:space="preserve">respondents to submit more than an original and two copies of any document; (d) </w:t>
      </w:r>
      <w:r w:rsidR="00983B58">
        <w:rPr>
          <w:b/>
          <w:bCs/>
        </w:rPr>
        <w:t>R</w:t>
      </w:r>
      <w:r w:rsidRPr="00CE720B" w:rsidR="00983B58">
        <w:rPr>
          <w:b/>
          <w:bCs/>
        </w:rPr>
        <w:t xml:space="preserve">equiring </w:t>
      </w:r>
      <w:r w:rsidRPr="00CE720B">
        <w:rPr>
          <w:b/>
          <w:bCs/>
        </w:rPr>
        <w:t xml:space="preserve">respondents to retain records, other than health, medical government contract, grant-in-aid, or tax records, for more than three years; (e) </w:t>
      </w:r>
      <w:r w:rsidR="00983B58">
        <w:rPr>
          <w:b/>
          <w:bCs/>
        </w:rPr>
        <w:t>I</w:t>
      </w:r>
      <w:r w:rsidRPr="00CE720B" w:rsidR="00983B58">
        <w:rPr>
          <w:b/>
          <w:bCs/>
        </w:rPr>
        <w:t xml:space="preserve">n </w:t>
      </w:r>
      <w:r w:rsidRPr="00CE720B">
        <w:rPr>
          <w:b/>
          <w:bCs/>
        </w:rPr>
        <w:t xml:space="preserve">connection with a statistical survey, that is not designed to product valid and reliable results that can be generalized to the universe of study; (f) </w:t>
      </w:r>
      <w:r w:rsidR="00983B58">
        <w:rPr>
          <w:b/>
          <w:bCs/>
        </w:rPr>
        <w:t>R</w:t>
      </w:r>
      <w:r w:rsidRPr="00CE720B" w:rsidR="00983B58">
        <w:rPr>
          <w:b/>
          <w:bCs/>
        </w:rPr>
        <w:t xml:space="preserve">equiring </w:t>
      </w:r>
      <w:r w:rsidRPr="00CE720B">
        <w:rPr>
          <w:b/>
          <w:bCs/>
        </w:rPr>
        <w:t xml:space="preserve">the use of statistical data classification that has not been reviewed and approved by OMB; (g) </w:t>
      </w:r>
      <w:r w:rsidR="00983B58">
        <w:rPr>
          <w:b/>
          <w:bCs/>
        </w:rPr>
        <w:t>T</w:t>
      </w:r>
      <w:r w:rsidRPr="00CE720B" w:rsidR="00983B58">
        <w:rPr>
          <w:b/>
          <w:bCs/>
        </w:rPr>
        <w:t xml:space="preserve">hat </w:t>
      </w:r>
      <w:r w:rsidRPr="00CE720B">
        <w:rPr>
          <w:b/>
          <w:bCs/>
        </w:rPr>
        <w:t xml:space="preserve">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w:t>
      </w:r>
      <w:r w:rsidR="00983B58">
        <w:rPr>
          <w:b/>
          <w:bCs/>
        </w:rPr>
        <w:t>R</w:t>
      </w:r>
      <w:r w:rsidRPr="00CE720B" w:rsidR="00983B58">
        <w:rPr>
          <w:b/>
          <w:bCs/>
        </w:rPr>
        <w:t xml:space="preserve">equiring </w:t>
      </w:r>
      <w:r w:rsidRPr="00CE720B">
        <w:rPr>
          <w:b/>
          <w:bCs/>
        </w:rPr>
        <w:t xml:space="preserve">respondents to submit proprietary trade secrets, or other confidential information unless the agency can demonstrate that it has instituted procedures to protect the information’s confidentiality to the extent permitted by law. </w:t>
      </w:r>
    </w:p>
    <w:p w:rsidRPr="00CE720B" w:rsidR="008C734C" w:rsidP="00070FF4" w:rsidRDefault="008C4C5A" w14:paraId="1B369DCF" w14:textId="77777777">
      <w:pPr>
        <w:spacing w:line="240" w:lineRule="atLeast"/>
        <w:rPr>
          <w:bCs/>
        </w:rPr>
      </w:pPr>
      <w:r w:rsidRPr="00CE720B">
        <w:rPr>
          <w:iCs/>
        </w:rPr>
        <w:t xml:space="preserve">There is nothing that will require the collection to be conducted in a manner inconsistent with OMB guidelines. </w:t>
      </w:r>
    </w:p>
    <w:p w:rsidRPr="00CE720B" w:rsidR="008C734C" w:rsidP="00A454B7" w:rsidRDefault="008C734C" w14:paraId="1950D3A9" w14:textId="77777777">
      <w:pPr>
        <w:pStyle w:val="Heading2"/>
      </w:pPr>
      <w:bookmarkStart w:name="_Toc16271326" w:id="10"/>
      <w:r w:rsidRPr="00CE720B">
        <w:lastRenderedPageBreak/>
        <w:t>A.</w:t>
      </w:r>
      <w:r w:rsidRPr="00CE720B" w:rsidR="00A41763">
        <w:t xml:space="preserve">8. </w:t>
      </w:r>
      <w:r w:rsidRPr="00CE720B">
        <w:t>Summary of Consultations Outside of the Agency</w:t>
      </w:r>
      <w:bookmarkEnd w:id="10"/>
    </w:p>
    <w:p w:rsidRPr="00CE720B" w:rsidR="00A41763" w:rsidP="00070FF4" w:rsidRDefault="00A41763" w14:paraId="4CD4BC7B" w14:textId="0FC5DCCD">
      <w:pPr>
        <w:spacing w:line="240" w:lineRule="atLeast"/>
      </w:pPr>
      <w:r w:rsidRPr="00CE720B">
        <w:rPr>
          <w:b/>
          <w:bCs/>
        </w:rPr>
        <w:t xml:space="preserve">If applicable, provide a copy and identify the date and page number of publication in the </w:t>
      </w:r>
      <w:r w:rsidRPr="0034133B">
        <w:rPr>
          <w:b/>
          <w:bCs/>
          <w:i/>
        </w:rPr>
        <w:t>Federal</w:t>
      </w:r>
      <w:r w:rsidRPr="00CE720B">
        <w:rPr>
          <w:b/>
          <w:bCs/>
        </w:rPr>
        <w:t xml:space="preserve"> </w:t>
      </w:r>
      <w:r w:rsidRPr="0034133B">
        <w:rPr>
          <w:b/>
          <w:bCs/>
          <w:i/>
        </w:rPr>
        <w:t>Register</w:t>
      </w:r>
      <w:r w:rsidRPr="00CE720B">
        <w:rPr>
          <w:b/>
          <w:bCs/>
        </w:rPr>
        <w:t xml:space="preserve"> of the agency’s notice, required by 5</w:t>
      </w:r>
      <w:r w:rsidR="00F54567">
        <w:rPr>
          <w:b/>
          <w:bCs/>
        </w:rPr>
        <w:t xml:space="preserve"> </w:t>
      </w:r>
      <w:r w:rsidRPr="00CE720B">
        <w:rPr>
          <w:b/>
          <w:bCs/>
        </w:rPr>
        <w:t xml:space="preserve">CFR </w:t>
      </w:r>
      <w:r w:rsidRPr="00CE720B" w:rsidR="00AF161C">
        <w:rPr>
          <w:b/>
          <w:bCs/>
        </w:rPr>
        <w:t>1</w:t>
      </w:r>
      <w:r w:rsidRPr="00CE720B">
        <w:rPr>
          <w:b/>
          <w:bCs/>
        </w:rPr>
        <w:t>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Pr="00CE720B" w:rsidR="00810D85" w:rsidP="00070FF4" w:rsidRDefault="00AD406C" w14:paraId="1DD71708" w14:textId="2E16D827">
      <w:pPr>
        <w:spacing w:line="240" w:lineRule="atLeast"/>
        <w:rPr>
          <w:bCs/>
        </w:rPr>
      </w:pPr>
      <w:r w:rsidRPr="00CE720B">
        <w:rPr>
          <w:bCs/>
        </w:rPr>
        <w:t>DOE</w:t>
      </w:r>
      <w:r w:rsidRPr="00CE720B" w:rsidR="008C4C5A">
        <w:rPr>
          <w:bCs/>
        </w:rPr>
        <w:t xml:space="preserve"> published a 60-day </w:t>
      </w:r>
      <w:r w:rsidRPr="00CE720B" w:rsidR="008C4C5A">
        <w:rPr>
          <w:bCs/>
          <w:i/>
        </w:rPr>
        <w:t>Federal Register</w:t>
      </w:r>
      <w:r w:rsidRPr="00CE720B" w:rsidR="008C4C5A">
        <w:rPr>
          <w:bCs/>
        </w:rPr>
        <w:t xml:space="preserve"> </w:t>
      </w:r>
      <w:r w:rsidRPr="00CE720B" w:rsidR="008A5A53">
        <w:rPr>
          <w:bCs/>
        </w:rPr>
        <w:t>notice</w:t>
      </w:r>
      <w:r w:rsidRPr="00CE720B" w:rsidR="008C4C5A">
        <w:rPr>
          <w:bCs/>
        </w:rPr>
        <w:t xml:space="preserve"> on </w:t>
      </w:r>
      <w:r w:rsidRPr="00CE720B" w:rsidR="008A5A53">
        <w:rPr>
          <w:bCs/>
          <w:color w:val="000000" w:themeColor="text1"/>
        </w:rPr>
        <w:t>September 25, 2020 at 85 FR 60451</w:t>
      </w:r>
      <w:r w:rsidRPr="00CE720B" w:rsidR="008C4C5A">
        <w:rPr>
          <w:bCs/>
        </w:rPr>
        <w:t xml:space="preserve">.  The notice described </w:t>
      </w:r>
      <w:r w:rsidRPr="00CE720B">
        <w:rPr>
          <w:bCs/>
        </w:rPr>
        <w:t xml:space="preserve">the </w:t>
      </w:r>
      <w:r w:rsidRPr="00CE720B" w:rsidR="008C4C5A">
        <w:rPr>
          <w:bCs/>
        </w:rPr>
        <w:t xml:space="preserve">collection and invited interested parties to submit comments or recommendations regarding the collection.  </w:t>
      </w:r>
      <w:r w:rsidR="005D2A40">
        <w:rPr>
          <w:bCs/>
        </w:rPr>
        <w:t>DOE did not receive any comments.</w:t>
      </w:r>
      <w:r w:rsidRPr="00CE720B" w:rsidDel="005D2A40" w:rsidR="005D2A40">
        <w:rPr>
          <w:bCs/>
        </w:rPr>
        <w:t xml:space="preserve"> </w:t>
      </w:r>
      <w:bookmarkStart w:name="_Toc16271327" w:id="11"/>
      <w:r w:rsidR="005D32C0">
        <w:rPr>
          <w:bCs/>
        </w:rPr>
        <w:t xml:space="preserve"> DOE made no efforts to consult with persons outside of DOE to obtain their views on the availability of data, frequency of collection, the clarity of instructions and recordkeeping, disclosure, or reporting format, and on the data elements to be recorded, disclosed, or reported.</w:t>
      </w:r>
    </w:p>
    <w:p w:rsidRPr="003873CC" w:rsidR="008C734C" w:rsidP="005D2A40" w:rsidRDefault="008C734C" w14:paraId="41325CA5" w14:textId="77777777">
      <w:pPr>
        <w:spacing w:line="240" w:lineRule="atLeast"/>
        <w:rPr>
          <w:rFonts w:eastAsiaTheme="majorEastAsia" w:cstheme="majorBidi"/>
          <w:b/>
          <w:color w:val="1396D8"/>
          <w:sz w:val="28"/>
          <w:szCs w:val="26"/>
        </w:rPr>
      </w:pPr>
      <w:r w:rsidRPr="003873CC">
        <w:rPr>
          <w:rFonts w:eastAsiaTheme="majorEastAsia" w:cstheme="majorBidi"/>
          <w:b/>
          <w:color w:val="1396D8"/>
          <w:sz w:val="28"/>
          <w:szCs w:val="26"/>
        </w:rPr>
        <w:t>A.</w:t>
      </w:r>
      <w:r w:rsidRPr="003873CC" w:rsidR="00A41763">
        <w:rPr>
          <w:rFonts w:eastAsiaTheme="majorEastAsia" w:cstheme="majorBidi"/>
          <w:b/>
          <w:color w:val="1396D8"/>
          <w:sz w:val="28"/>
          <w:szCs w:val="26"/>
        </w:rPr>
        <w:t xml:space="preserve">9. </w:t>
      </w:r>
      <w:r w:rsidRPr="003873CC">
        <w:rPr>
          <w:rFonts w:eastAsiaTheme="majorEastAsia" w:cstheme="majorBidi"/>
          <w:b/>
          <w:color w:val="1396D8"/>
          <w:sz w:val="28"/>
          <w:szCs w:val="26"/>
        </w:rPr>
        <w:t>Payments or Gifts to Respondents</w:t>
      </w:r>
      <w:bookmarkEnd w:id="11"/>
      <w:r w:rsidRPr="003873CC">
        <w:rPr>
          <w:rFonts w:eastAsiaTheme="majorEastAsia" w:cstheme="majorBidi"/>
          <w:b/>
          <w:color w:val="1396D8"/>
          <w:sz w:val="28"/>
          <w:szCs w:val="26"/>
        </w:rPr>
        <w:t xml:space="preserve"> </w:t>
      </w:r>
    </w:p>
    <w:p w:rsidRPr="00CE720B" w:rsidR="00A41763" w:rsidP="00070FF4" w:rsidRDefault="00A41763" w14:paraId="4418F07F" w14:textId="77777777">
      <w:pPr>
        <w:spacing w:line="240" w:lineRule="atLeast"/>
      </w:pPr>
      <w:r w:rsidRPr="00CE720B">
        <w:rPr>
          <w:b/>
          <w:bCs/>
        </w:rPr>
        <w:t xml:space="preserve">Explain any decision to provide any payment or gift to respondents, other than </w:t>
      </w:r>
      <w:r w:rsidRPr="00CE720B" w:rsidR="001A6E9A">
        <w:rPr>
          <w:b/>
          <w:bCs/>
        </w:rPr>
        <w:t>remuneration</w:t>
      </w:r>
      <w:r w:rsidRPr="00CE720B">
        <w:rPr>
          <w:b/>
          <w:bCs/>
        </w:rPr>
        <w:t xml:space="preserve"> of contractors or grantees. </w:t>
      </w:r>
    </w:p>
    <w:p w:rsidRPr="00CE720B" w:rsidR="003074C3" w:rsidP="00070FF4" w:rsidRDefault="0040206E" w14:paraId="0BCF07B7" w14:textId="1EF8716E">
      <w:pPr>
        <w:spacing w:line="240" w:lineRule="atLeast"/>
      </w:pPr>
      <w:r w:rsidRPr="00CE720B">
        <w:t>No payment or gift to respondents is being proposed under this information collection.</w:t>
      </w:r>
    </w:p>
    <w:p w:rsidRPr="00CE720B" w:rsidR="008C734C" w:rsidP="00A454B7" w:rsidRDefault="008C734C" w14:paraId="2067A736" w14:textId="77777777">
      <w:pPr>
        <w:pStyle w:val="Heading2"/>
      </w:pPr>
      <w:bookmarkStart w:name="_Toc16271328" w:id="12"/>
      <w:r w:rsidRPr="00CE720B">
        <w:t>A.</w:t>
      </w:r>
      <w:r w:rsidRPr="00CE720B" w:rsidR="00A41763">
        <w:t xml:space="preserve">10. </w:t>
      </w:r>
      <w:r w:rsidRPr="00CE720B">
        <w:t>Provisions for Protection of Information</w:t>
      </w:r>
      <w:bookmarkEnd w:id="12"/>
      <w:r w:rsidRPr="00CE720B">
        <w:t xml:space="preserve"> </w:t>
      </w:r>
    </w:p>
    <w:p w:rsidRPr="00CE720B" w:rsidR="00A41763" w:rsidP="00070FF4" w:rsidRDefault="00A41763" w14:paraId="43869124" w14:textId="77777777">
      <w:pPr>
        <w:spacing w:line="240" w:lineRule="atLeast"/>
      </w:pPr>
      <w:r w:rsidRPr="00CE720B">
        <w:rPr>
          <w:b/>
          <w:bCs/>
        </w:rPr>
        <w:t xml:space="preserve">Describe any assurance of confidentiality provided to respondents and the basis for the assurance in statute, regulation, or agency policy. </w:t>
      </w:r>
    </w:p>
    <w:p w:rsidR="0040206E" w:rsidP="00070FF4" w:rsidRDefault="0040206E" w14:paraId="1C7AF9B5" w14:textId="7FEE0318">
      <w:pPr>
        <w:spacing w:line="240" w:lineRule="atLeast"/>
      </w:pPr>
      <w:r w:rsidRPr="00CE720B">
        <w:t>Confidential business or financial information will be protected to the extent allowable under Exemption 4 of the Freedom of Information Act (FOIA), 5 U.S.C. 552(b)(4).</w:t>
      </w:r>
      <w:r w:rsidR="00525517">
        <w:t xml:space="preserve"> </w:t>
      </w:r>
      <w:r w:rsidRPr="00CE720B">
        <w:t xml:space="preserve"> </w:t>
      </w:r>
      <w:r w:rsidR="008122A4">
        <w:t xml:space="preserve">Other </w:t>
      </w:r>
      <w:r w:rsidRPr="00CE720B">
        <w:t>Information will be available upon request, subject to appropriate release and withholding determinations under FOIA.</w:t>
      </w:r>
    </w:p>
    <w:p w:rsidR="00A454B7" w:rsidRDefault="00A454B7" w14:paraId="68F9B5EA" w14:textId="432CEE08">
      <w:pPr>
        <w:spacing w:line="240" w:lineRule="auto"/>
      </w:pPr>
      <w:r>
        <w:br w:type="page"/>
      </w:r>
    </w:p>
    <w:p w:rsidRPr="00CE720B" w:rsidR="00F056C3" w:rsidP="00A454B7" w:rsidRDefault="00F056C3" w14:paraId="34CA503F" w14:textId="58264437">
      <w:pPr>
        <w:pStyle w:val="Heading2"/>
      </w:pPr>
      <w:bookmarkStart w:name="_Toc16271329" w:id="13"/>
      <w:r w:rsidRPr="00CE720B">
        <w:lastRenderedPageBreak/>
        <w:t>A.</w:t>
      </w:r>
      <w:r w:rsidRPr="00CE720B" w:rsidR="00A41763">
        <w:t xml:space="preserve">11. </w:t>
      </w:r>
      <w:r w:rsidRPr="00CE720B">
        <w:t>Justification for Sensitive Questions</w:t>
      </w:r>
      <w:bookmarkEnd w:id="13"/>
      <w:r w:rsidRPr="00CE720B">
        <w:t xml:space="preserve"> </w:t>
      </w:r>
    </w:p>
    <w:p w:rsidRPr="00CE720B" w:rsidR="00A41763" w:rsidP="00070FF4" w:rsidRDefault="00A41763" w14:paraId="50756344" w14:textId="77777777">
      <w:pPr>
        <w:spacing w:line="240" w:lineRule="atLeast"/>
      </w:pPr>
      <w:r w:rsidRPr="00CE720B">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CE720B" w:rsidR="00F056C3">
        <w:rPr>
          <w:b/>
          <w:bCs/>
        </w:rPr>
        <w:t>s to be made of the information</w:t>
      </w:r>
      <w:r w:rsidRPr="00CE720B">
        <w:rPr>
          <w:b/>
          <w:bCs/>
        </w:rPr>
        <w:t xml:space="preserve">, the explanation to be given to persons from whom the information is requested, and any steps to be taken to obtain their consent. </w:t>
      </w:r>
    </w:p>
    <w:p w:rsidRPr="00CE720B" w:rsidR="00F64F2A" w:rsidP="00070FF4" w:rsidRDefault="00F64F2A" w14:paraId="426E1480" w14:textId="77777777">
      <w:pPr>
        <w:spacing w:line="240" w:lineRule="atLeast"/>
      </w:pPr>
      <w:r w:rsidRPr="00CE720B">
        <w:t xml:space="preserve">No questions of a personally sensitive nature, such as sexual behavior and attitudes, religious beliefs, or other private matters are included in this information collection. </w:t>
      </w:r>
    </w:p>
    <w:p w:rsidRPr="00CE720B" w:rsidR="00F056C3" w:rsidP="00A454B7" w:rsidRDefault="00F056C3" w14:paraId="14154274" w14:textId="77777777">
      <w:pPr>
        <w:pStyle w:val="Heading2"/>
      </w:pPr>
      <w:bookmarkStart w:name="_Toc16271330" w:id="14"/>
      <w:r w:rsidRPr="00CE720B">
        <w:t>A.</w:t>
      </w:r>
      <w:r w:rsidRPr="00CE720B" w:rsidR="00A41763">
        <w:t>12</w:t>
      </w:r>
      <w:r w:rsidRPr="00CE720B" w:rsidR="006F3C12">
        <w:t>A</w:t>
      </w:r>
      <w:r w:rsidRPr="00CE720B" w:rsidR="00A41763">
        <w:t xml:space="preserve">. </w:t>
      </w:r>
      <w:r w:rsidRPr="00CE720B">
        <w:t>Estimate of Respondent Burden Hours</w:t>
      </w:r>
      <w:bookmarkEnd w:id="14"/>
      <w:r w:rsidRPr="00CE720B">
        <w:t xml:space="preserve"> </w:t>
      </w:r>
    </w:p>
    <w:p w:rsidRPr="00CE720B" w:rsidR="00AE3FF7" w:rsidP="00070FF4" w:rsidRDefault="00A41763" w14:paraId="2FFF7B7D" w14:textId="05EB7E21">
      <w:pPr>
        <w:pStyle w:val="Default"/>
        <w:spacing w:after="200" w:line="240" w:lineRule="atLeast"/>
        <w:rPr>
          <w:rFonts w:asciiTheme="minorHAnsi" w:hAnsiTheme="minorHAnsi"/>
          <w:b/>
          <w:bCs/>
          <w:sz w:val="22"/>
          <w:szCs w:val="22"/>
        </w:rPr>
      </w:pPr>
      <w:r w:rsidRPr="00CE720B">
        <w:rPr>
          <w:rFonts w:asciiTheme="minorHAnsi" w:hAnsiTheme="minorHAnsi"/>
          <w:b/>
          <w:bCs/>
          <w:sz w:val="22"/>
          <w:szCs w:val="22"/>
        </w:rPr>
        <w:t xml:space="preserve">Provide estimates of the hour burden of the collection of information. The statement should indicate the number of respondents, frequency of response, annual hour burden, and </w:t>
      </w:r>
      <w:r w:rsidRPr="00CE720B">
        <w:rPr>
          <w:rFonts w:asciiTheme="minorHAnsi" w:hAnsiTheme="minorHAnsi"/>
          <w:b/>
          <w:bCs/>
          <w:sz w:val="22"/>
          <w:szCs w:val="22"/>
          <w:u w:val="single"/>
        </w:rPr>
        <w:t>an explanation of how the burden was estimated</w:t>
      </w:r>
      <w:r w:rsidRPr="00CE720B">
        <w:rPr>
          <w:rFonts w:asciiTheme="minorHAnsi" w:hAnsi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r w:rsidRPr="00CE720B" w:rsidR="00AC69E8">
        <w:rPr>
          <w:rFonts w:asciiTheme="minorHAnsi" w:hAnsi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CE720B" w:rsidR="00756E89" w:rsidP="00070FF4" w:rsidRDefault="00B32BEB" w14:paraId="4C0DB7D4" w14:textId="169225DB">
      <w:pPr>
        <w:pStyle w:val="Default"/>
        <w:spacing w:after="200" w:line="240" w:lineRule="atLeast"/>
        <w:rPr>
          <w:rFonts w:asciiTheme="minorHAnsi" w:hAnsiTheme="minorHAnsi"/>
          <w:bCs/>
          <w:sz w:val="22"/>
          <w:szCs w:val="22"/>
        </w:rPr>
      </w:pPr>
      <w:r w:rsidRPr="00CE720B">
        <w:rPr>
          <w:rFonts w:asciiTheme="minorHAnsi" w:hAnsiTheme="minorHAnsi"/>
          <w:bCs/>
          <w:sz w:val="22"/>
          <w:szCs w:val="22"/>
        </w:rPr>
        <w:t xml:space="preserve">DOE has yet to receive an application under this information collection, though there </w:t>
      </w:r>
      <w:r w:rsidR="00286FA8">
        <w:rPr>
          <w:rFonts w:asciiTheme="minorHAnsi" w:hAnsiTheme="minorHAnsi"/>
          <w:bCs/>
          <w:sz w:val="22"/>
          <w:szCs w:val="22"/>
        </w:rPr>
        <w:t>could be</w:t>
      </w:r>
      <w:r w:rsidRPr="00CE720B" w:rsidR="00286FA8">
        <w:rPr>
          <w:rFonts w:asciiTheme="minorHAnsi" w:hAnsiTheme="minorHAnsi"/>
          <w:bCs/>
          <w:sz w:val="22"/>
          <w:szCs w:val="22"/>
        </w:rPr>
        <w:t xml:space="preserve"> </w:t>
      </w:r>
      <w:r w:rsidRPr="00CE720B">
        <w:rPr>
          <w:rFonts w:asciiTheme="minorHAnsi" w:hAnsiTheme="minorHAnsi"/>
          <w:bCs/>
          <w:sz w:val="22"/>
          <w:szCs w:val="22"/>
        </w:rPr>
        <w:t xml:space="preserve">a large potential number of applicants that </w:t>
      </w:r>
      <w:r w:rsidR="008122A4">
        <w:rPr>
          <w:rFonts w:asciiTheme="minorHAnsi" w:hAnsiTheme="minorHAnsi"/>
          <w:bCs/>
          <w:sz w:val="22"/>
          <w:szCs w:val="22"/>
        </w:rPr>
        <w:t xml:space="preserve">would </w:t>
      </w:r>
      <w:r w:rsidRPr="00CE720B">
        <w:rPr>
          <w:rFonts w:asciiTheme="minorHAnsi" w:hAnsiTheme="minorHAnsi"/>
          <w:bCs/>
          <w:sz w:val="22"/>
          <w:szCs w:val="22"/>
        </w:rPr>
        <w:t>qualify to apply</w:t>
      </w:r>
      <w:r w:rsidR="008122A4">
        <w:rPr>
          <w:rFonts w:asciiTheme="minorHAnsi" w:hAnsiTheme="minorHAnsi"/>
          <w:bCs/>
          <w:sz w:val="22"/>
          <w:szCs w:val="22"/>
        </w:rPr>
        <w:t xml:space="preserve"> if there were a supply interruption</w:t>
      </w:r>
      <w:r w:rsidRPr="00CE720B">
        <w:rPr>
          <w:rFonts w:asciiTheme="minorHAnsi" w:hAnsiTheme="minorHAnsi"/>
          <w:bCs/>
          <w:sz w:val="22"/>
          <w:szCs w:val="22"/>
        </w:rPr>
        <w:t>.</w:t>
      </w:r>
    </w:p>
    <w:p w:rsidRPr="00CE720B" w:rsidR="00F0382F" w:rsidP="00070FF4" w:rsidRDefault="00411ED1" w14:paraId="1EFAF23D" w14:textId="58F19F51">
      <w:pPr>
        <w:pStyle w:val="Default"/>
        <w:spacing w:after="200" w:line="240" w:lineRule="atLeast"/>
        <w:rPr>
          <w:rFonts w:asciiTheme="minorHAnsi" w:hAnsiTheme="minorHAnsi"/>
          <w:bCs/>
          <w:sz w:val="22"/>
          <w:szCs w:val="22"/>
        </w:rPr>
      </w:pPr>
      <w:r w:rsidRPr="00CE720B">
        <w:rPr>
          <w:rFonts w:asciiTheme="minorHAnsi" w:hAnsiTheme="minorHAnsi"/>
          <w:bCs/>
          <w:sz w:val="22"/>
          <w:szCs w:val="22"/>
        </w:rPr>
        <w:t xml:space="preserve">The burden hours for the information collection </w:t>
      </w:r>
      <w:r w:rsidR="008122A4">
        <w:rPr>
          <w:rFonts w:asciiTheme="minorHAnsi" w:hAnsiTheme="minorHAnsi"/>
          <w:bCs/>
          <w:sz w:val="22"/>
          <w:szCs w:val="22"/>
        </w:rPr>
        <w:t>sh</w:t>
      </w:r>
      <w:r w:rsidRPr="00CE720B" w:rsidR="008122A4">
        <w:rPr>
          <w:rFonts w:asciiTheme="minorHAnsi" w:hAnsiTheme="minorHAnsi"/>
          <w:bCs/>
          <w:sz w:val="22"/>
          <w:szCs w:val="22"/>
        </w:rPr>
        <w:t xml:space="preserve">ould </w:t>
      </w:r>
      <w:r w:rsidRPr="00CE720B">
        <w:rPr>
          <w:rFonts w:asciiTheme="minorHAnsi" w:hAnsiTheme="minorHAnsi"/>
          <w:bCs/>
          <w:sz w:val="22"/>
          <w:szCs w:val="22"/>
        </w:rPr>
        <w:t xml:space="preserve">be </w:t>
      </w:r>
      <w:r w:rsidRPr="00CE720B" w:rsidR="00D55F6E">
        <w:rPr>
          <w:rFonts w:asciiTheme="minorHAnsi" w:hAnsiTheme="minorHAnsi"/>
          <w:bCs/>
          <w:sz w:val="22"/>
          <w:szCs w:val="22"/>
        </w:rPr>
        <w:t xml:space="preserve">minimal because of the unlikely event of a fuel supply disruption that the market cannot correct.  </w:t>
      </w:r>
      <w:r w:rsidRPr="00CE720B" w:rsidR="001B4B30">
        <w:rPr>
          <w:rFonts w:asciiTheme="minorHAnsi" w:hAnsiTheme="minorHAnsi"/>
          <w:bCs/>
          <w:sz w:val="22"/>
          <w:szCs w:val="22"/>
        </w:rPr>
        <w:t xml:space="preserve">The information collection is required </w:t>
      </w:r>
      <w:r w:rsidR="00286FA8">
        <w:rPr>
          <w:rFonts w:asciiTheme="minorHAnsi" w:hAnsiTheme="minorHAnsi"/>
          <w:bCs/>
          <w:sz w:val="22"/>
          <w:szCs w:val="22"/>
        </w:rPr>
        <w:t xml:space="preserve">only </w:t>
      </w:r>
      <w:r w:rsidRPr="00CE720B" w:rsidR="000806AF">
        <w:rPr>
          <w:rFonts w:asciiTheme="minorHAnsi" w:hAnsiTheme="minorHAnsi"/>
          <w:bCs/>
          <w:sz w:val="22"/>
          <w:szCs w:val="22"/>
        </w:rPr>
        <w:t xml:space="preserve">when a U.S. </w:t>
      </w:r>
      <w:r w:rsidRPr="00CE720B" w:rsidR="00D55F6E">
        <w:rPr>
          <w:rFonts w:asciiTheme="minorHAnsi" w:hAnsiTheme="minorHAnsi"/>
          <w:bCs/>
          <w:sz w:val="22"/>
          <w:szCs w:val="22"/>
        </w:rPr>
        <w:t>entity</w:t>
      </w:r>
      <w:r w:rsidRPr="00CE720B" w:rsidR="000806AF">
        <w:rPr>
          <w:rFonts w:asciiTheme="minorHAnsi" w:hAnsiTheme="minorHAnsi"/>
          <w:bCs/>
          <w:sz w:val="22"/>
          <w:szCs w:val="22"/>
        </w:rPr>
        <w:t xml:space="preserve"> request</w:t>
      </w:r>
      <w:r w:rsidRPr="00CE720B" w:rsidR="00D55F6E">
        <w:rPr>
          <w:rFonts w:asciiTheme="minorHAnsi" w:hAnsiTheme="minorHAnsi"/>
          <w:bCs/>
          <w:sz w:val="22"/>
          <w:szCs w:val="22"/>
        </w:rPr>
        <w:t>s</w:t>
      </w:r>
      <w:r w:rsidRPr="00CE720B" w:rsidR="000806AF">
        <w:rPr>
          <w:rFonts w:asciiTheme="minorHAnsi" w:hAnsiTheme="minorHAnsi"/>
          <w:bCs/>
          <w:sz w:val="22"/>
          <w:szCs w:val="22"/>
        </w:rPr>
        <w:t xml:space="preserve"> access to the LEU in the AAFS</w:t>
      </w:r>
      <w:r w:rsidR="00C55291">
        <w:rPr>
          <w:rFonts w:asciiTheme="minorHAnsi" w:hAnsiTheme="minorHAnsi"/>
          <w:bCs/>
          <w:sz w:val="22"/>
          <w:szCs w:val="22"/>
        </w:rPr>
        <w:t xml:space="preserve"> to supply a foreign or domestic end-user</w:t>
      </w:r>
      <w:r w:rsidRPr="00CE720B" w:rsidR="001B4B30">
        <w:rPr>
          <w:rFonts w:asciiTheme="minorHAnsi" w:hAnsiTheme="minorHAnsi"/>
          <w:bCs/>
          <w:sz w:val="22"/>
          <w:szCs w:val="22"/>
        </w:rPr>
        <w:t xml:space="preserve"> </w:t>
      </w:r>
      <w:r w:rsidRPr="00CE720B" w:rsidR="001B4B30">
        <w:rPr>
          <w:rFonts w:asciiTheme="minorHAnsi" w:hAnsiTheme="minorHAnsi"/>
          <w:sz w:val="22"/>
          <w:szCs w:val="22"/>
        </w:rPr>
        <w:t>in the event of a fuel supply disruption</w:t>
      </w:r>
      <w:r w:rsidRPr="00CE720B" w:rsidR="001B4B30">
        <w:rPr>
          <w:rFonts w:asciiTheme="minorHAnsi" w:hAnsiTheme="minorHAnsi"/>
          <w:bCs/>
          <w:sz w:val="22"/>
          <w:szCs w:val="22"/>
        </w:rPr>
        <w:t xml:space="preserve">. </w:t>
      </w:r>
      <w:r w:rsidR="00525517">
        <w:rPr>
          <w:rFonts w:asciiTheme="minorHAnsi" w:hAnsiTheme="minorHAnsi"/>
          <w:bCs/>
          <w:sz w:val="22"/>
          <w:szCs w:val="22"/>
        </w:rPr>
        <w:t xml:space="preserve"> </w:t>
      </w:r>
      <w:r w:rsidRPr="00CE720B" w:rsidR="00A0564D">
        <w:rPr>
          <w:rFonts w:asciiTheme="minorHAnsi" w:hAnsiTheme="minorHAnsi"/>
          <w:bCs/>
          <w:sz w:val="22"/>
          <w:szCs w:val="22"/>
        </w:rPr>
        <w:t xml:space="preserve">The number of unduplicated respondents and burden hours </w:t>
      </w:r>
      <w:r w:rsidRPr="00CE720B" w:rsidR="00AC7799">
        <w:rPr>
          <w:rFonts w:asciiTheme="minorHAnsi" w:hAnsiTheme="minorHAnsi"/>
          <w:bCs/>
          <w:sz w:val="22"/>
          <w:szCs w:val="22"/>
        </w:rPr>
        <w:t xml:space="preserve">is </w:t>
      </w:r>
      <w:r w:rsidRPr="00CE720B" w:rsidR="00B76BE7">
        <w:rPr>
          <w:rFonts w:asciiTheme="minorHAnsi" w:hAnsiTheme="minorHAnsi"/>
          <w:bCs/>
          <w:sz w:val="22"/>
          <w:szCs w:val="22"/>
        </w:rPr>
        <w:t>uncertain and</w:t>
      </w:r>
      <w:r w:rsidRPr="00CE720B" w:rsidR="00AC7799">
        <w:rPr>
          <w:rFonts w:asciiTheme="minorHAnsi" w:hAnsiTheme="minorHAnsi"/>
          <w:bCs/>
          <w:sz w:val="22"/>
          <w:szCs w:val="22"/>
        </w:rPr>
        <w:t xml:space="preserve"> may be as little as zero. </w:t>
      </w:r>
      <w:r w:rsidR="00525517">
        <w:rPr>
          <w:rFonts w:asciiTheme="minorHAnsi" w:hAnsiTheme="minorHAnsi"/>
          <w:bCs/>
          <w:sz w:val="22"/>
          <w:szCs w:val="22"/>
        </w:rPr>
        <w:t xml:space="preserve"> </w:t>
      </w:r>
      <w:r w:rsidRPr="00CE720B" w:rsidR="00AC7799">
        <w:rPr>
          <w:rFonts w:asciiTheme="minorHAnsi" w:hAnsiTheme="minorHAnsi"/>
          <w:bCs/>
          <w:sz w:val="22"/>
          <w:szCs w:val="22"/>
        </w:rPr>
        <w:t>However, if there is an unprecedented disruption in the global supply of LEU, that is to say, there are no suppliers anywher</w:t>
      </w:r>
      <w:r w:rsidRPr="00CE720B" w:rsidR="00B34F15">
        <w:rPr>
          <w:rFonts w:asciiTheme="minorHAnsi" w:hAnsiTheme="minorHAnsi"/>
          <w:bCs/>
          <w:sz w:val="22"/>
          <w:szCs w:val="22"/>
        </w:rPr>
        <w:t xml:space="preserve">e in the world able to supply </w:t>
      </w:r>
      <w:r w:rsidRPr="00CE720B" w:rsidR="00AC7799">
        <w:rPr>
          <w:rFonts w:asciiTheme="minorHAnsi" w:hAnsiTheme="minorHAnsi"/>
          <w:bCs/>
          <w:sz w:val="22"/>
          <w:szCs w:val="22"/>
        </w:rPr>
        <w:t>LEU</w:t>
      </w:r>
      <w:r w:rsidRPr="00CE720B" w:rsidR="00B34F15">
        <w:rPr>
          <w:rFonts w:asciiTheme="minorHAnsi" w:hAnsiTheme="minorHAnsi"/>
          <w:bCs/>
          <w:sz w:val="22"/>
          <w:szCs w:val="22"/>
        </w:rPr>
        <w:t xml:space="preserve"> to an end-user</w:t>
      </w:r>
      <w:r w:rsidRPr="00CE720B" w:rsidR="00AC7799">
        <w:rPr>
          <w:rFonts w:asciiTheme="minorHAnsi" w:hAnsiTheme="minorHAnsi"/>
          <w:bCs/>
          <w:sz w:val="22"/>
          <w:szCs w:val="22"/>
        </w:rPr>
        <w:t xml:space="preserve"> (this has never happened before), th</w:t>
      </w:r>
      <w:r w:rsidR="005A235E">
        <w:rPr>
          <w:rFonts w:asciiTheme="minorHAnsi" w:hAnsiTheme="minorHAnsi"/>
          <w:bCs/>
          <w:sz w:val="22"/>
          <w:szCs w:val="22"/>
        </w:rPr>
        <w:t>en</w:t>
      </w:r>
      <w:r w:rsidRPr="00CE720B" w:rsidR="00AC7799">
        <w:rPr>
          <w:rFonts w:asciiTheme="minorHAnsi" w:hAnsiTheme="minorHAnsi"/>
          <w:bCs/>
          <w:sz w:val="22"/>
          <w:szCs w:val="22"/>
        </w:rPr>
        <w:t xml:space="preserve"> </w:t>
      </w:r>
      <w:r w:rsidRPr="00CE720B" w:rsidR="00300C98">
        <w:rPr>
          <w:rFonts w:asciiTheme="minorHAnsi" w:hAnsiTheme="minorHAnsi"/>
          <w:bCs/>
          <w:sz w:val="22"/>
          <w:szCs w:val="22"/>
        </w:rPr>
        <w:t>a U.S. entity</w:t>
      </w:r>
      <w:r w:rsidRPr="00CE720B" w:rsidR="00AC7799">
        <w:rPr>
          <w:rFonts w:asciiTheme="minorHAnsi" w:hAnsiTheme="minorHAnsi"/>
          <w:bCs/>
          <w:sz w:val="22"/>
          <w:szCs w:val="22"/>
        </w:rPr>
        <w:t xml:space="preserve"> could apply with this application for use of the DOE’s LEU reserve.</w:t>
      </w:r>
      <w:r w:rsidRPr="00CE720B" w:rsidR="00070FF4">
        <w:rPr>
          <w:rFonts w:asciiTheme="minorHAnsi" w:hAnsiTheme="minorHAnsi"/>
          <w:bCs/>
          <w:sz w:val="22"/>
          <w:szCs w:val="22"/>
        </w:rPr>
        <w:t xml:space="preserve"> </w:t>
      </w:r>
      <w:r w:rsidR="00525517">
        <w:rPr>
          <w:rFonts w:asciiTheme="minorHAnsi" w:hAnsiTheme="minorHAnsi"/>
          <w:bCs/>
          <w:sz w:val="22"/>
          <w:szCs w:val="22"/>
        </w:rPr>
        <w:t xml:space="preserve"> </w:t>
      </w:r>
      <w:r w:rsidRPr="00CE720B" w:rsidR="00F75BE8">
        <w:rPr>
          <w:rFonts w:asciiTheme="minorHAnsi" w:hAnsiTheme="minorHAnsi"/>
          <w:bCs/>
          <w:sz w:val="22"/>
          <w:szCs w:val="22"/>
        </w:rPr>
        <w:t>DOE use</w:t>
      </w:r>
      <w:r w:rsidRPr="00CE720B" w:rsidR="0049489A">
        <w:rPr>
          <w:rFonts w:asciiTheme="minorHAnsi" w:hAnsiTheme="minorHAnsi"/>
          <w:bCs/>
          <w:sz w:val="22"/>
          <w:szCs w:val="22"/>
        </w:rPr>
        <w:t>d</w:t>
      </w:r>
      <w:r w:rsidRPr="00CE720B" w:rsidR="00F75BE8">
        <w:rPr>
          <w:rFonts w:asciiTheme="minorHAnsi" w:hAnsiTheme="minorHAnsi"/>
          <w:bCs/>
          <w:sz w:val="22"/>
          <w:szCs w:val="22"/>
        </w:rPr>
        <w:t xml:space="preserve"> professional judgement to calculate the </w:t>
      </w:r>
      <w:r w:rsidRPr="00CE720B" w:rsidR="000806AF">
        <w:rPr>
          <w:rFonts w:asciiTheme="minorHAnsi" w:hAnsiTheme="minorHAnsi"/>
          <w:bCs/>
          <w:sz w:val="22"/>
          <w:szCs w:val="22"/>
        </w:rPr>
        <w:t xml:space="preserve">estimated </w:t>
      </w:r>
      <w:r w:rsidRPr="00CE720B" w:rsidR="00F75BE8">
        <w:rPr>
          <w:rFonts w:asciiTheme="minorHAnsi" w:hAnsiTheme="minorHAnsi"/>
          <w:bCs/>
          <w:sz w:val="22"/>
          <w:szCs w:val="22"/>
        </w:rPr>
        <w:t>burden</w:t>
      </w:r>
      <w:r w:rsidRPr="00CE720B" w:rsidR="00263DCF">
        <w:rPr>
          <w:rFonts w:asciiTheme="minorHAnsi" w:hAnsiTheme="minorHAnsi"/>
          <w:bCs/>
          <w:sz w:val="22"/>
          <w:szCs w:val="22"/>
        </w:rPr>
        <w:t xml:space="preserve"> hours for employee</w:t>
      </w:r>
      <w:r w:rsidR="00525517">
        <w:rPr>
          <w:rFonts w:asciiTheme="minorHAnsi" w:hAnsiTheme="minorHAnsi"/>
          <w:bCs/>
          <w:sz w:val="22"/>
          <w:szCs w:val="22"/>
        </w:rPr>
        <w:t>s</w:t>
      </w:r>
      <w:r w:rsidRPr="00CE720B" w:rsidR="00263DCF">
        <w:rPr>
          <w:rFonts w:asciiTheme="minorHAnsi" w:hAnsiTheme="minorHAnsi"/>
          <w:bCs/>
          <w:sz w:val="22"/>
          <w:szCs w:val="22"/>
        </w:rPr>
        <w:t xml:space="preserve"> of a company to </w:t>
      </w:r>
      <w:r w:rsidRPr="00CE720B" w:rsidR="00C76056">
        <w:rPr>
          <w:rFonts w:asciiTheme="minorHAnsi" w:hAnsiTheme="minorHAnsi"/>
          <w:bCs/>
          <w:sz w:val="22"/>
          <w:szCs w:val="22"/>
        </w:rPr>
        <w:t xml:space="preserve">review instructions, </w:t>
      </w:r>
      <w:r w:rsidRPr="00CE720B" w:rsidR="007F3759">
        <w:rPr>
          <w:rFonts w:asciiTheme="minorHAnsi" w:hAnsiTheme="minorHAnsi"/>
          <w:bCs/>
          <w:sz w:val="22"/>
          <w:szCs w:val="22"/>
        </w:rPr>
        <w:t>search</w:t>
      </w:r>
      <w:r w:rsidRPr="00CE720B" w:rsidR="00C76056">
        <w:rPr>
          <w:rFonts w:asciiTheme="minorHAnsi" w:hAnsiTheme="minorHAnsi"/>
          <w:bCs/>
          <w:sz w:val="22"/>
          <w:szCs w:val="22"/>
        </w:rPr>
        <w:t xml:space="preserve"> existing data</w:t>
      </w:r>
      <w:r w:rsidRPr="00CE720B" w:rsidR="007F3759">
        <w:rPr>
          <w:rFonts w:asciiTheme="minorHAnsi" w:hAnsiTheme="minorHAnsi"/>
          <w:bCs/>
          <w:sz w:val="22"/>
          <w:szCs w:val="22"/>
        </w:rPr>
        <w:t xml:space="preserve"> sources</w:t>
      </w:r>
      <w:r w:rsidRPr="00CE720B" w:rsidR="000B23E3">
        <w:rPr>
          <w:rFonts w:asciiTheme="minorHAnsi" w:hAnsiTheme="minorHAnsi"/>
          <w:bCs/>
          <w:sz w:val="22"/>
          <w:szCs w:val="22"/>
        </w:rPr>
        <w:t xml:space="preserve">, </w:t>
      </w:r>
      <w:r w:rsidRPr="00CE720B" w:rsidR="00263DCF">
        <w:rPr>
          <w:rFonts w:asciiTheme="minorHAnsi" w:hAnsiTheme="minorHAnsi"/>
          <w:bCs/>
          <w:sz w:val="22"/>
          <w:szCs w:val="22"/>
        </w:rPr>
        <w:t xml:space="preserve">gather the </w:t>
      </w:r>
      <w:r w:rsidRPr="00CE720B" w:rsidR="00C76056">
        <w:rPr>
          <w:rFonts w:asciiTheme="minorHAnsi" w:hAnsiTheme="minorHAnsi"/>
          <w:bCs/>
          <w:sz w:val="22"/>
          <w:szCs w:val="22"/>
        </w:rPr>
        <w:t>data</w:t>
      </w:r>
      <w:r w:rsidRPr="00CE720B" w:rsidR="000B23E3">
        <w:rPr>
          <w:rFonts w:asciiTheme="minorHAnsi" w:hAnsiTheme="minorHAnsi"/>
          <w:bCs/>
          <w:sz w:val="22"/>
          <w:szCs w:val="22"/>
        </w:rPr>
        <w:t>,</w:t>
      </w:r>
      <w:r w:rsidRPr="00CE720B" w:rsidR="00C76056">
        <w:rPr>
          <w:rFonts w:asciiTheme="minorHAnsi" w:hAnsiTheme="minorHAnsi"/>
          <w:bCs/>
          <w:sz w:val="22"/>
          <w:szCs w:val="22"/>
        </w:rPr>
        <w:t xml:space="preserve"> and complete</w:t>
      </w:r>
      <w:r w:rsidRPr="00CE720B" w:rsidR="000B23E3">
        <w:rPr>
          <w:rFonts w:asciiTheme="minorHAnsi" w:hAnsiTheme="minorHAnsi"/>
          <w:bCs/>
          <w:sz w:val="22"/>
          <w:szCs w:val="22"/>
        </w:rPr>
        <w:t xml:space="preserve"> and review the </w:t>
      </w:r>
      <w:r w:rsidRPr="00CE720B" w:rsidR="00C76056">
        <w:rPr>
          <w:rFonts w:asciiTheme="minorHAnsi" w:hAnsiTheme="minorHAnsi"/>
          <w:bCs/>
          <w:sz w:val="22"/>
          <w:szCs w:val="22"/>
        </w:rPr>
        <w:t xml:space="preserve">collection of </w:t>
      </w:r>
      <w:r w:rsidRPr="00CE720B" w:rsidR="000B23E3">
        <w:rPr>
          <w:rFonts w:asciiTheme="minorHAnsi" w:hAnsiTheme="minorHAnsi"/>
          <w:bCs/>
          <w:sz w:val="22"/>
          <w:szCs w:val="22"/>
        </w:rPr>
        <w:t xml:space="preserve">information </w:t>
      </w:r>
      <w:r w:rsidRPr="00CE720B" w:rsidR="0066003D">
        <w:rPr>
          <w:rFonts w:asciiTheme="minorHAnsi" w:hAnsiTheme="minorHAnsi"/>
          <w:bCs/>
          <w:sz w:val="22"/>
          <w:szCs w:val="22"/>
        </w:rPr>
        <w:t>(see Table A1).</w:t>
      </w:r>
    </w:p>
    <w:p w:rsidRPr="00CE720B" w:rsidR="00F0382F" w:rsidRDefault="00F0382F" w14:paraId="37DCBC04" w14:textId="77777777">
      <w:pPr>
        <w:spacing w:line="240" w:lineRule="auto"/>
        <w:rPr>
          <w:rFonts w:cs="Times New Roman"/>
          <w:bCs/>
          <w:color w:val="000000"/>
        </w:rPr>
      </w:pPr>
      <w:r w:rsidRPr="00CE720B">
        <w:rPr>
          <w:bCs/>
        </w:rPr>
        <w:br w:type="page"/>
      </w:r>
    </w:p>
    <w:tbl>
      <w:tblPr>
        <w:tblW w:w="10020" w:type="dxa"/>
        <w:tblLook w:val="04A0" w:firstRow="1" w:lastRow="0" w:firstColumn="1" w:lastColumn="0" w:noHBand="0" w:noVBand="1"/>
      </w:tblPr>
      <w:tblGrid>
        <w:gridCol w:w="2340"/>
        <w:gridCol w:w="1296"/>
        <w:gridCol w:w="1314"/>
        <w:gridCol w:w="1092"/>
        <w:gridCol w:w="1068"/>
        <w:gridCol w:w="1620"/>
        <w:gridCol w:w="1290"/>
      </w:tblGrid>
      <w:tr w:rsidRPr="00CE720B" w:rsidR="006F3C12" w:rsidTr="00F41FEC" w14:paraId="78A91FB1" w14:textId="77777777">
        <w:trPr>
          <w:trHeight w:val="360"/>
        </w:trPr>
        <w:tc>
          <w:tcPr>
            <w:tcW w:w="8730" w:type="dxa"/>
            <w:gridSpan w:val="6"/>
            <w:tcBorders>
              <w:top w:val="nil"/>
              <w:left w:val="nil"/>
              <w:bottom w:val="single" w:color="auto" w:sz="4" w:space="0"/>
              <w:right w:val="nil"/>
            </w:tcBorders>
            <w:shd w:val="clear" w:color="auto" w:fill="auto"/>
            <w:hideMark/>
          </w:tcPr>
          <w:p w:rsidRPr="00CE720B" w:rsidR="006F3C12" w:rsidP="006F3C12" w:rsidRDefault="006F3C12" w14:paraId="3E8B05E6" w14:textId="77777777">
            <w:pPr>
              <w:spacing w:after="0" w:line="240" w:lineRule="auto"/>
              <w:jc w:val="center"/>
              <w:rPr>
                <w:rFonts w:ascii="Calibri" w:hAnsi="Calibri" w:eastAsia="Times New Roman" w:cs="Arial"/>
                <w:b/>
                <w:bCs/>
                <w:color w:val="0070C0"/>
                <w:sz w:val="28"/>
                <w:szCs w:val="28"/>
              </w:rPr>
            </w:pPr>
            <w:r w:rsidRPr="00CE720B">
              <w:rPr>
                <w:rFonts w:ascii="Calibri" w:hAnsi="Calibri" w:eastAsia="Times New Roman" w:cs="Arial"/>
                <w:b/>
                <w:bCs/>
                <w:color w:val="0070C0"/>
                <w:sz w:val="28"/>
                <w:szCs w:val="28"/>
              </w:rPr>
              <w:lastRenderedPageBreak/>
              <w:t xml:space="preserve">Table A1. Estimated Respondent </w:t>
            </w:r>
            <w:r w:rsidRPr="00CE720B" w:rsidR="00537A91">
              <w:rPr>
                <w:rFonts w:ascii="Calibri" w:hAnsi="Calibri" w:eastAsia="Times New Roman" w:cs="Arial"/>
                <w:b/>
                <w:bCs/>
                <w:color w:val="0070C0"/>
                <w:sz w:val="28"/>
                <w:szCs w:val="28"/>
              </w:rPr>
              <w:t xml:space="preserve">Hour </w:t>
            </w:r>
            <w:r w:rsidRPr="00CE720B">
              <w:rPr>
                <w:rFonts w:ascii="Calibri" w:hAnsi="Calibri" w:eastAsia="Times New Roman" w:cs="Arial"/>
                <w:b/>
                <w:bCs/>
                <w:color w:val="0070C0"/>
                <w:sz w:val="28"/>
                <w:szCs w:val="28"/>
              </w:rPr>
              <w:t>Burden</w:t>
            </w:r>
          </w:p>
        </w:tc>
        <w:tc>
          <w:tcPr>
            <w:tcW w:w="1290" w:type="dxa"/>
            <w:tcBorders>
              <w:top w:val="nil"/>
              <w:left w:val="nil"/>
              <w:bottom w:val="nil"/>
              <w:right w:val="nil"/>
            </w:tcBorders>
            <w:shd w:val="clear" w:color="auto" w:fill="auto"/>
            <w:noWrap/>
            <w:vAlign w:val="bottom"/>
            <w:hideMark/>
          </w:tcPr>
          <w:p w:rsidRPr="00CE720B" w:rsidR="006F3C12" w:rsidP="006F3C12" w:rsidRDefault="006F3C12" w14:paraId="766E185A" w14:textId="77777777">
            <w:pPr>
              <w:spacing w:after="0" w:line="240" w:lineRule="auto"/>
              <w:jc w:val="center"/>
              <w:rPr>
                <w:rFonts w:ascii="Calibri" w:hAnsi="Calibri" w:eastAsia="Times New Roman" w:cs="Arial"/>
                <w:b/>
                <w:bCs/>
                <w:color w:val="0070C0"/>
                <w:sz w:val="28"/>
                <w:szCs w:val="28"/>
              </w:rPr>
            </w:pPr>
          </w:p>
        </w:tc>
      </w:tr>
      <w:tr w:rsidRPr="00CE720B" w:rsidR="006F3C12" w:rsidTr="00F41FEC" w14:paraId="5F6FD071" w14:textId="77777777">
        <w:trPr>
          <w:trHeight w:val="765"/>
        </w:trPr>
        <w:tc>
          <w:tcPr>
            <w:tcW w:w="2340" w:type="dxa"/>
            <w:tcBorders>
              <w:top w:val="nil"/>
              <w:left w:val="single" w:color="auto" w:sz="4" w:space="0"/>
              <w:bottom w:val="single" w:color="auto" w:sz="4" w:space="0"/>
              <w:right w:val="single" w:color="auto" w:sz="4" w:space="0"/>
            </w:tcBorders>
            <w:shd w:val="clear" w:color="000000" w:fill="00B0F0"/>
            <w:vAlign w:val="center"/>
            <w:hideMark/>
          </w:tcPr>
          <w:p w:rsidRPr="00CE720B" w:rsidR="006F3C12" w:rsidP="006F3C12" w:rsidRDefault="006F3C12" w14:paraId="0B31B1D4"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Form Number/Title (and/or other Collection Instrument name)</w:t>
            </w:r>
          </w:p>
        </w:tc>
        <w:tc>
          <w:tcPr>
            <w:tcW w:w="1296" w:type="dxa"/>
            <w:tcBorders>
              <w:top w:val="nil"/>
              <w:left w:val="nil"/>
              <w:bottom w:val="single" w:color="auto" w:sz="4" w:space="0"/>
              <w:right w:val="single" w:color="auto" w:sz="4" w:space="0"/>
            </w:tcBorders>
            <w:shd w:val="clear" w:color="000000" w:fill="00B0F0"/>
            <w:vAlign w:val="center"/>
            <w:hideMark/>
          </w:tcPr>
          <w:p w:rsidRPr="00CE720B" w:rsidR="006F3C12" w:rsidP="006F3C12" w:rsidRDefault="006F3C12" w14:paraId="0C7FD47B"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Type of Respondents</w:t>
            </w:r>
          </w:p>
        </w:tc>
        <w:tc>
          <w:tcPr>
            <w:tcW w:w="1314" w:type="dxa"/>
            <w:tcBorders>
              <w:top w:val="nil"/>
              <w:left w:val="nil"/>
              <w:bottom w:val="single" w:color="auto" w:sz="4" w:space="0"/>
              <w:right w:val="single" w:color="auto" w:sz="4" w:space="0"/>
            </w:tcBorders>
            <w:shd w:val="clear" w:color="000000" w:fill="00B0F0"/>
            <w:vAlign w:val="center"/>
            <w:hideMark/>
          </w:tcPr>
          <w:p w:rsidRPr="00CE720B" w:rsidR="006F3C12" w:rsidP="006F3C12" w:rsidRDefault="006F3C12" w14:paraId="1F072A95"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Number of Respondents</w:t>
            </w:r>
          </w:p>
        </w:tc>
        <w:tc>
          <w:tcPr>
            <w:tcW w:w="1092" w:type="dxa"/>
            <w:tcBorders>
              <w:top w:val="nil"/>
              <w:left w:val="nil"/>
              <w:bottom w:val="single" w:color="auto" w:sz="4" w:space="0"/>
              <w:right w:val="single" w:color="auto" w:sz="4" w:space="0"/>
            </w:tcBorders>
            <w:shd w:val="clear" w:color="000000" w:fill="00B0F0"/>
            <w:vAlign w:val="center"/>
            <w:hideMark/>
          </w:tcPr>
          <w:p w:rsidRPr="00CE720B" w:rsidR="006F3C12" w:rsidP="006F3C12" w:rsidRDefault="006F3C12" w14:paraId="70F95CEF"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Annual Number of Responses</w:t>
            </w:r>
          </w:p>
        </w:tc>
        <w:tc>
          <w:tcPr>
            <w:tcW w:w="1068" w:type="dxa"/>
            <w:tcBorders>
              <w:top w:val="nil"/>
              <w:left w:val="nil"/>
              <w:bottom w:val="single" w:color="auto" w:sz="4" w:space="0"/>
              <w:right w:val="single" w:color="auto" w:sz="4" w:space="0"/>
            </w:tcBorders>
            <w:shd w:val="clear" w:color="000000" w:fill="00B0F0"/>
            <w:vAlign w:val="center"/>
            <w:hideMark/>
          </w:tcPr>
          <w:p w:rsidRPr="00CE720B" w:rsidR="006F3C12" w:rsidP="006F3C12" w:rsidRDefault="006F3C12" w14:paraId="296F2F9E"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Burden Hours Per Response</w:t>
            </w:r>
          </w:p>
        </w:tc>
        <w:tc>
          <w:tcPr>
            <w:tcW w:w="1620" w:type="dxa"/>
            <w:tcBorders>
              <w:top w:val="nil"/>
              <w:left w:val="nil"/>
              <w:bottom w:val="single" w:color="auto" w:sz="4" w:space="0"/>
              <w:right w:val="single" w:color="auto" w:sz="4" w:space="0"/>
            </w:tcBorders>
            <w:shd w:val="clear" w:color="000000" w:fill="00B0F0"/>
            <w:vAlign w:val="center"/>
            <w:hideMark/>
          </w:tcPr>
          <w:p w:rsidRPr="00CE720B" w:rsidR="006F3C12" w:rsidP="006F3C12" w:rsidRDefault="006F3C12" w14:paraId="29827E5E"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Annual Burden Hours</w:t>
            </w:r>
          </w:p>
        </w:tc>
        <w:tc>
          <w:tcPr>
            <w:tcW w:w="1290" w:type="dxa"/>
            <w:tcBorders>
              <w:top w:val="single" w:color="auto" w:sz="4" w:space="0"/>
              <w:left w:val="nil"/>
              <w:bottom w:val="single" w:color="auto" w:sz="4" w:space="0"/>
              <w:right w:val="single" w:color="auto" w:sz="4" w:space="0"/>
            </w:tcBorders>
            <w:shd w:val="clear" w:color="000000" w:fill="00B0F0"/>
            <w:vAlign w:val="center"/>
            <w:hideMark/>
          </w:tcPr>
          <w:p w:rsidRPr="00CE720B" w:rsidR="006F3C12" w:rsidP="006F3C12" w:rsidRDefault="006F3C12" w14:paraId="0E3697F2"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Annual Reporting Frequency</w:t>
            </w:r>
          </w:p>
        </w:tc>
      </w:tr>
      <w:tr w:rsidRPr="00CE720B" w:rsidR="006F3C12" w:rsidTr="00F41FEC" w14:paraId="14371E93" w14:textId="77777777">
        <w:trPr>
          <w:trHeight w:val="255"/>
        </w:trPr>
        <w:tc>
          <w:tcPr>
            <w:tcW w:w="2340" w:type="dxa"/>
            <w:tcBorders>
              <w:top w:val="nil"/>
              <w:left w:val="single" w:color="auto" w:sz="4" w:space="0"/>
              <w:bottom w:val="single" w:color="auto" w:sz="4" w:space="0"/>
              <w:right w:val="single" w:color="auto" w:sz="4" w:space="0"/>
            </w:tcBorders>
            <w:shd w:val="clear" w:color="auto" w:fill="auto"/>
            <w:vAlign w:val="bottom"/>
            <w:hideMark/>
          </w:tcPr>
          <w:p w:rsidRPr="00CE720B" w:rsidR="006F3C12" w:rsidP="00AC7799" w:rsidRDefault="00563AA8" w14:paraId="5F9C5B5C" w14:textId="13755654">
            <w:pPr>
              <w:spacing w:after="0" w:line="240" w:lineRule="auto"/>
              <w:rPr>
                <w:rFonts w:ascii="Calibri" w:hAnsi="Calibri" w:eastAsia="Times New Roman" w:cs="Arial"/>
                <w:color w:val="000000"/>
                <w:sz w:val="20"/>
                <w:szCs w:val="20"/>
              </w:rPr>
            </w:pPr>
            <w:r w:rsidRPr="00CE720B">
              <w:rPr>
                <w:rFonts w:ascii="Calibri" w:hAnsi="Calibri" w:eastAsia="Times New Roman" w:cs="Arial"/>
                <w:color w:val="000000"/>
                <w:sz w:val="20"/>
                <w:szCs w:val="20"/>
              </w:rPr>
              <w:t>American Assured Fuel Supply Application</w:t>
            </w:r>
          </w:p>
        </w:tc>
        <w:tc>
          <w:tcPr>
            <w:tcW w:w="1296" w:type="dxa"/>
            <w:tcBorders>
              <w:top w:val="nil"/>
              <w:left w:val="nil"/>
              <w:bottom w:val="single" w:color="auto" w:sz="4" w:space="0"/>
              <w:right w:val="single" w:color="auto" w:sz="4" w:space="0"/>
            </w:tcBorders>
            <w:shd w:val="clear" w:color="auto" w:fill="auto"/>
            <w:noWrap/>
            <w:vAlign w:val="bottom"/>
            <w:hideMark/>
          </w:tcPr>
          <w:p w:rsidRPr="00CE720B" w:rsidR="006F3C12" w:rsidP="006F3C12" w:rsidRDefault="008B6807" w14:paraId="0C69D03C" w14:textId="2A2381A0">
            <w:pPr>
              <w:spacing w:after="0" w:line="240" w:lineRule="auto"/>
              <w:rPr>
                <w:rFonts w:ascii="Calibri" w:hAnsi="Calibri" w:eastAsia="Times New Roman" w:cs="Arial"/>
                <w:color w:val="000000"/>
                <w:sz w:val="20"/>
                <w:szCs w:val="20"/>
              </w:rPr>
            </w:pPr>
            <w:r w:rsidRPr="00CE720B">
              <w:rPr>
                <w:rFonts w:ascii="Calibri" w:hAnsi="Calibri" w:eastAsia="Times New Roman" w:cs="Arial"/>
                <w:color w:val="000000"/>
                <w:sz w:val="20"/>
                <w:szCs w:val="20"/>
              </w:rPr>
              <w:t>Business or other for-profit</w:t>
            </w:r>
          </w:p>
        </w:tc>
        <w:tc>
          <w:tcPr>
            <w:tcW w:w="1314" w:type="dxa"/>
            <w:tcBorders>
              <w:top w:val="nil"/>
              <w:left w:val="nil"/>
              <w:bottom w:val="single" w:color="auto" w:sz="4" w:space="0"/>
              <w:right w:val="single" w:color="auto" w:sz="4" w:space="0"/>
            </w:tcBorders>
            <w:shd w:val="clear" w:color="auto" w:fill="auto"/>
            <w:noWrap/>
            <w:vAlign w:val="bottom"/>
            <w:hideMark/>
          </w:tcPr>
          <w:p w:rsidRPr="00CE720B" w:rsidR="006F3C12" w:rsidP="00070FF4" w:rsidRDefault="008B6807" w14:paraId="52665248" w14:textId="54CF5D59">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10</w:t>
            </w:r>
          </w:p>
        </w:tc>
        <w:tc>
          <w:tcPr>
            <w:tcW w:w="1092" w:type="dxa"/>
            <w:tcBorders>
              <w:top w:val="nil"/>
              <w:left w:val="nil"/>
              <w:bottom w:val="single" w:color="auto" w:sz="4" w:space="0"/>
              <w:right w:val="single" w:color="auto" w:sz="4" w:space="0"/>
            </w:tcBorders>
            <w:shd w:val="clear" w:color="000000" w:fill="E2A5AC"/>
            <w:noWrap/>
            <w:vAlign w:val="bottom"/>
            <w:hideMark/>
          </w:tcPr>
          <w:p w:rsidRPr="00CE720B" w:rsidR="006F3C12" w:rsidP="00070FF4" w:rsidRDefault="008B6807" w14:paraId="3A6F6EBF" w14:textId="1795B11B">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10</w:t>
            </w:r>
          </w:p>
        </w:tc>
        <w:tc>
          <w:tcPr>
            <w:tcW w:w="1068" w:type="dxa"/>
            <w:tcBorders>
              <w:top w:val="nil"/>
              <w:left w:val="nil"/>
              <w:bottom w:val="single" w:color="auto" w:sz="4" w:space="0"/>
              <w:right w:val="single" w:color="auto" w:sz="4" w:space="0"/>
            </w:tcBorders>
            <w:shd w:val="clear" w:color="auto" w:fill="auto"/>
            <w:noWrap/>
            <w:vAlign w:val="bottom"/>
            <w:hideMark/>
          </w:tcPr>
          <w:p w:rsidRPr="00CE720B" w:rsidR="006F3C12" w:rsidP="00070FF4" w:rsidRDefault="008B6807" w14:paraId="5FF86004" w14:textId="06FAD8D2">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8</w:t>
            </w:r>
          </w:p>
        </w:tc>
        <w:tc>
          <w:tcPr>
            <w:tcW w:w="1620" w:type="dxa"/>
            <w:tcBorders>
              <w:top w:val="nil"/>
              <w:left w:val="nil"/>
              <w:bottom w:val="single" w:color="auto" w:sz="4" w:space="0"/>
              <w:right w:val="single" w:color="auto" w:sz="4" w:space="0"/>
            </w:tcBorders>
            <w:shd w:val="clear" w:color="000000" w:fill="E2A5AC"/>
            <w:noWrap/>
            <w:vAlign w:val="bottom"/>
            <w:hideMark/>
          </w:tcPr>
          <w:p w:rsidRPr="00CE720B" w:rsidR="006F3C12" w:rsidP="00070FF4" w:rsidRDefault="008B6807" w14:paraId="56884FFF" w14:textId="68BAD6EF">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80</w:t>
            </w:r>
          </w:p>
        </w:tc>
        <w:tc>
          <w:tcPr>
            <w:tcW w:w="1290" w:type="dxa"/>
            <w:tcBorders>
              <w:top w:val="nil"/>
              <w:left w:val="nil"/>
              <w:bottom w:val="single" w:color="auto" w:sz="4" w:space="0"/>
              <w:right w:val="single" w:color="auto" w:sz="4" w:space="0"/>
            </w:tcBorders>
            <w:shd w:val="clear" w:color="auto" w:fill="auto"/>
            <w:noWrap/>
            <w:vAlign w:val="bottom"/>
            <w:hideMark/>
          </w:tcPr>
          <w:p w:rsidRPr="00CE720B" w:rsidR="006F3C12" w:rsidP="00070FF4" w:rsidRDefault="00F41FEC" w14:paraId="4671BB9C" w14:textId="34D5D9A0">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1</w:t>
            </w:r>
          </w:p>
        </w:tc>
      </w:tr>
      <w:tr w:rsidRPr="00CE720B" w:rsidR="006F3C12" w:rsidTr="00F41FEC" w14:paraId="2AEEC881" w14:textId="77777777">
        <w:trPr>
          <w:trHeight w:val="255"/>
        </w:trPr>
        <w:tc>
          <w:tcPr>
            <w:tcW w:w="2340" w:type="dxa"/>
            <w:tcBorders>
              <w:top w:val="nil"/>
              <w:left w:val="single" w:color="auto" w:sz="4" w:space="0"/>
              <w:bottom w:val="single" w:color="auto" w:sz="4" w:space="0"/>
              <w:right w:val="single" w:color="auto" w:sz="4" w:space="0"/>
            </w:tcBorders>
            <w:shd w:val="clear" w:color="auto" w:fill="auto"/>
            <w:vAlign w:val="bottom"/>
            <w:hideMark/>
          </w:tcPr>
          <w:p w:rsidRPr="00CE720B" w:rsidR="006F3C12" w:rsidP="006F3C12" w:rsidRDefault="006F3C12" w14:paraId="68A9C3E4" w14:textId="77777777">
            <w:pPr>
              <w:spacing w:after="0" w:line="240" w:lineRule="auto"/>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TOTAL</w:t>
            </w:r>
          </w:p>
        </w:tc>
        <w:tc>
          <w:tcPr>
            <w:tcW w:w="1296" w:type="dxa"/>
            <w:tcBorders>
              <w:top w:val="nil"/>
              <w:left w:val="nil"/>
              <w:bottom w:val="single" w:color="auto" w:sz="4" w:space="0"/>
              <w:right w:val="single" w:color="auto" w:sz="4" w:space="0"/>
            </w:tcBorders>
            <w:shd w:val="clear" w:color="000000" w:fill="333333"/>
            <w:noWrap/>
            <w:vAlign w:val="bottom"/>
            <w:hideMark/>
          </w:tcPr>
          <w:p w:rsidRPr="00CE720B" w:rsidR="006F3C12" w:rsidP="006F3C12" w:rsidRDefault="006F3C12" w14:paraId="53CCE1A9" w14:textId="77777777">
            <w:pPr>
              <w:spacing w:after="0" w:line="240" w:lineRule="auto"/>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 </w:t>
            </w:r>
          </w:p>
        </w:tc>
        <w:tc>
          <w:tcPr>
            <w:tcW w:w="1314" w:type="dxa"/>
            <w:tcBorders>
              <w:top w:val="nil"/>
              <w:left w:val="nil"/>
              <w:bottom w:val="single" w:color="auto" w:sz="4" w:space="0"/>
              <w:right w:val="single" w:color="auto" w:sz="4" w:space="0"/>
            </w:tcBorders>
            <w:shd w:val="clear" w:color="000000" w:fill="E2A5AC"/>
            <w:noWrap/>
            <w:vAlign w:val="bottom"/>
            <w:hideMark/>
          </w:tcPr>
          <w:p w:rsidRPr="00CE720B" w:rsidR="006F3C12" w:rsidP="00070FF4" w:rsidRDefault="007E3B6C" w14:paraId="75F9F672" w14:textId="1625B280">
            <w:pPr>
              <w:spacing w:after="0" w:line="240" w:lineRule="auto"/>
              <w:jc w:val="center"/>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10</w:t>
            </w:r>
          </w:p>
        </w:tc>
        <w:tc>
          <w:tcPr>
            <w:tcW w:w="1092" w:type="dxa"/>
            <w:tcBorders>
              <w:top w:val="nil"/>
              <w:left w:val="nil"/>
              <w:bottom w:val="single" w:color="auto" w:sz="4" w:space="0"/>
              <w:right w:val="single" w:color="auto" w:sz="4" w:space="0"/>
            </w:tcBorders>
            <w:shd w:val="clear" w:color="000000" w:fill="E2A5AC"/>
            <w:noWrap/>
            <w:vAlign w:val="bottom"/>
            <w:hideMark/>
          </w:tcPr>
          <w:p w:rsidRPr="00CE720B" w:rsidR="006F3C12" w:rsidP="00070FF4" w:rsidRDefault="007E3B6C" w14:paraId="11705C64" w14:textId="46817950">
            <w:pPr>
              <w:spacing w:after="0" w:line="240" w:lineRule="auto"/>
              <w:jc w:val="center"/>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10</w:t>
            </w:r>
          </w:p>
        </w:tc>
        <w:tc>
          <w:tcPr>
            <w:tcW w:w="1068" w:type="dxa"/>
            <w:tcBorders>
              <w:top w:val="nil"/>
              <w:left w:val="nil"/>
              <w:bottom w:val="single" w:color="auto" w:sz="4" w:space="0"/>
              <w:right w:val="single" w:color="auto" w:sz="4" w:space="0"/>
            </w:tcBorders>
            <w:shd w:val="clear" w:color="000000" w:fill="333333"/>
            <w:noWrap/>
            <w:vAlign w:val="bottom"/>
            <w:hideMark/>
          </w:tcPr>
          <w:p w:rsidRPr="00CE720B" w:rsidR="006F3C12" w:rsidP="00070FF4" w:rsidRDefault="006F3C12" w14:paraId="1E952E3D" w14:textId="0B0AABE4">
            <w:pPr>
              <w:spacing w:after="0" w:line="240" w:lineRule="auto"/>
              <w:jc w:val="center"/>
              <w:rPr>
                <w:rFonts w:ascii="Calibri" w:hAnsi="Calibri" w:eastAsia="Times New Roman" w:cs="Arial"/>
                <w:b/>
                <w:bCs/>
                <w:color w:val="000000"/>
                <w:sz w:val="20"/>
                <w:szCs w:val="20"/>
              </w:rPr>
            </w:pPr>
          </w:p>
        </w:tc>
        <w:tc>
          <w:tcPr>
            <w:tcW w:w="1620" w:type="dxa"/>
            <w:tcBorders>
              <w:top w:val="nil"/>
              <w:left w:val="nil"/>
              <w:bottom w:val="single" w:color="auto" w:sz="4" w:space="0"/>
              <w:right w:val="single" w:color="auto" w:sz="4" w:space="0"/>
            </w:tcBorders>
            <w:shd w:val="clear" w:color="000000" w:fill="E2A5AC"/>
            <w:noWrap/>
            <w:vAlign w:val="bottom"/>
            <w:hideMark/>
          </w:tcPr>
          <w:p w:rsidRPr="00CE720B" w:rsidR="006F3C12" w:rsidP="00070FF4" w:rsidRDefault="007E3B6C" w14:paraId="5C1B9FB1" w14:textId="558AC2E5">
            <w:pPr>
              <w:spacing w:after="0" w:line="240" w:lineRule="auto"/>
              <w:jc w:val="center"/>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80</w:t>
            </w:r>
          </w:p>
        </w:tc>
        <w:tc>
          <w:tcPr>
            <w:tcW w:w="1290" w:type="dxa"/>
            <w:tcBorders>
              <w:top w:val="nil"/>
              <w:left w:val="nil"/>
              <w:bottom w:val="single" w:color="auto" w:sz="4" w:space="0"/>
              <w:right w:val="single" w:color="auto" w:sz="4" w:space="0"/>
            </w:tcBorders>
            <w:shd w:val="clear" w:color="000000" w:fill="333333"/>
            <w:noWrap/>
            <w:vAlign w:val="bottom"/>
            <w:hideMark/>
          </w:tcPr>
          <w:p w:rsidRPr="00CE720B" w:rsidR="006F3C12" w:rsidP="006F3C12" w:rsidRDefault="006F3C12" w14:paraId="2ACA38B9" w14:textId="77777777">
            <w:pPr>
              <w:spacing w:after="0" w:line="240" w:lineRule="auto"/>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 </w:t>
            </w:r>
          </w:p>
        </w:tc>
      </w:tr>
    </w:tbl>
    <w:p w:rsidRPr="00CE720B" w:rsidR="00070FF4" w:rsidRDefault="00070FF4" w14:paraId="25C95F44" w14:textId="3B416569">
      <w:pPr>
        <w:spacing w:line="240" w:lineRule="auto"/>
        <w:rPr>
          <w:rFonts w:eastAsiaTheme="majorEastAsia" w:cstheme="majorBidi"/>
          <w:b/>
          <w:color w:val="1396D8"/>
          <w:sz w:val="28"/>
          <w:szCs w:val="26"/>
        </w:rPr>
      </w:pPr>
      <w:bookmarkStart w:name="_Toc16271331" w:id="15"/>
    </w:p>
    <w:p w:rsidRPr="00CE720B" w:rsidR="007D4E3D" w:rsidP="00A454B7" w:rsidRDefault="006F3C12" w14:paraId="564385D2" w14:textId="1E7658C3">
      <w:pPr>
        <w:pStyle w:val="Heading2"/>
      </w:pPr>
      <w:r w:rsidRPr="00CE720B">
        <w:t>A.12B. Estimate of Annual Cost to Respondent for Burden Hours</w:t>
      </w:r>
      <w:bookmarkEnd w:id="15"/>
      <w:r w:rsidRPr="00CE720B">
        <w:t xml:space="preserve"> </w:t>
      </w:r>
    </w:p>
    <w:p w:rsidRPr="00CE720B" w:rsidR="00756E89" w:rsidP="00466D85" w:rsidRDefault="00FE52B1" w14:paraId="78044094" w14:textId="48E9B64D">
      <w:pPr>
        <w:spacing w:line="240" w:lineRule="atLeast"/>
        <w:rPr>
          <w:bCs/>
        </w:rPr>
      </w:pPr>
      <w:r w:rsidRPr="00CE720B">
        <w:rPr>
          <w:bCs/>
        </w:rPr>
        <w:t>To date, DOE has not received an application und</w:t>
      </w:r>
      <w:r w:rsidRPr="00CE720B" w:rsidR="00581216">
        <w:rPr>
          <w:bCs/>
        </w:rPr>
        <w:t>er this information collection.</w:t>
      </w:r>
    </w:p>
    <w:p w:rsidRPr="00CE720B" w:rsidR="0066003D" w:rsidP="00466D85" w:rsidRDefault="00DF5CF4" w14:paraId="0DEEDABB" w14:textId="4F2ADD64">
      <w:pPr>
        <w:spacing w:line="240" w:lineRule="atLeast"/>
      </w:pPr>
      <w:r w:rsidRPr="00CE720B">
        <w:t xml:space="preserve">For the purposes of this </w:t>
      </w:r>
      <w:r w:rsidRPr="00CE720B" w:rsidR="00FE52B1">
        <w:t xml:space="preserve">estimated </w:t>
      </w:r>
      <w:r w:rsidRPr="00CE720B">
        <w:t xml:space="preserve">annual cost burden analysis, DOE </w:t>
      </w:r>
      <w:r w:rsidRPr="00CE720B" w:rsidR="00FE52B1">
        <w:t xml:space="preserve">assumes </w:t>
      </w:r>
      <w:r w:rsidRPr="00CE720B" w:rsidR="00B150B8">
        <w:t xml:space="preserve">that </w:t>
      </w:r>
      <w:r w:rsidRPr="00CE720B" w:rsidR="00F0382F">
        <w:t>a</w:t>
      </w:r>
      <w:r w:rsidRPr="00CE720B" w:rsidR="00B150B8">
        <w:t xml:space="preserve"> typical respondent </w:t>
      </w:r>
      <w:r w:rsidRPr="00CE720B" w:rsidR="00F0382F">
        <w:t>could</w:t>
      </w:r>
      <w:r w:rsidRPr="00CE720B" w:rsidR="00B150B8">
        <w:t xml:space="preserve"> be</w:t>
      </w:r>
      <w:r w:rsidRPr="00CE720B">
        <w:t xml:space="preserve"> a </w:t>
      </w:r>
      <w:r w:rsidRPr="00CE720B" w:rsidR="00B150B8">
        <w:t xml:space="preserve">purchasing manager at a utility. </w:t>
      </w:r>
      <w:r w:rsidRPr="00CE720B">
        <w:t xml:space="preserve"> </w:t>
      </w:r>
      <w:r w:rsidRPr="00CE720B" w:rsidR="00B150B8">
        <w:t xml:space="preserve">According to the Bureau of Labor Statistics, the </w:t>
      </w:r>
      <w:r w:rsidRPr="00CE720B" w:rsidR="0069209A">
        <w:t xml:space="preserve">2019 </w:t>
      </w:r>
      <w:r w:rsidRPr="00CE720B" w:rsidR="00B150B8">
        <w:t xml:space="preserve">mean </w:t>
      </w:r>
      <w:r w:rsidRPr="00CE720B" w:rsidR="00F0382F">
        <w:t xml:space="preserve">U.S. </w:t>
      </w:r>
      <w:r w:rsidRPr="00CE720B" w:rsidR="00B150B8">
        <w:t xml:space="preserve">wage rate of a purchasing manager in the utilities sector is </w:t>
      </w:r>
      <w:r w:rsidRPr="00CE720B" w:rsidR="00AA24BA">
        <w:t xml:space="preserve">$75.01/hour. </w:t>
      </w:r>
      <w:r w:rsidRPr="00CE720B" w:rsidR="000B1B24">
        <w:t xml:space="preserve"> A fully burdened wage</w:t>
      </w:r>
      <w:r w:rsidRPr="00CE720B" w:rsidR="0069209A">
        <w:t xml:space="preserve"> ($75.01*1.6) would be $120.02/hour.  </w:t>
      </w:r>
      <w:r w:rsidRPr="00CE720B" w:rsidR="00AA24BA">
        <w:t>The</w:t>
      </w:r>
      <w:r w:rsidRPr="00CE720B" w:rsidR="00280FEA">
        <w:t xml:space="preserve"> estimate of annualized cost to respondents for the annual burden hours for information collection is shown in Table A2.</w:t>
      </w:r>
    </w:p>
    <w:p w:rsidRPr="00CE720B" w:rsidR="00F41FEC" w:rsidP="00466D85" w:rsidRDefault="000B6BF8" w14:paraId="7E5D2E03" w14:textId="3FB64967">
      <w:pPr>
        <w:spacing w:line="240" w:lineRule="atLeast"/>
      </w:pPr>
      <w:r w:rsidRPr="00CE720B">
        <w:t>DOE estimates the</w:t>
      </w:r>
      <w:r w:rsidRPr="00CE720B" w:rsidR="00AA24BA">
        <w:t xml:space="preserve"> total annual cost </w:t>
      </w:r>
      <w:r w:rsidRPr="00CE720B" w:rsidR="00466D85">
        <w:t xml:space="preserve">burden </w:t>
      </w:r>
      <w:r w:rsidRPr="00CE720B" w:rsidR="00AA24BA">
        <w:t xml:space="preserve">per </w:t>
      </w:r>
      <w:r w:rsidRPr="00CE720B" w:rsidR="00466D85">
        <w:t xml:space="preserve">applicant for each response </w:t>
      </w:r>
      <w:r w:rsidRPr="00CE720B" w:rsidR="00FE52B1">
        <w:t>would be</w:t>
      </w:r>
      <w:r w:rsidRPr="00CE720B" w:rsidR="00F41FEC">
        <w:t xml:space="preserve"> approximately </w:t>
      </w:r>
      <w:r w:rsidRPr="00CE720B" w:rsidR="00AA24BA">
        <w:t>$</w:t>
      </w:r>
      <w:r w:rsidRPr="00CE720B" w:rsidR="0069209A">
        <w:t>960.13</w:t>
      </w:r>
      <w:r w:rsidRPr="00CE720B" w:rsidR="00466D85">
        <w:t>, or $</w:t>
      </w:r>
      <w:r w:rsidRPr="00CE720B" w:rsidR="0069209A">
        <w:t>9,601.28</w:t>
      </w:r>
      <w:r w:rsidRPr="00CE720B" w:rsidR="00466D85">
        <w:t xml:space="preserve"> for all responses from all applicants.</w:t>
      </w:r>
    </w:p>
    <w:tbl>
      <w:tblPr>
        <w:tblW w:w="10020" w:type="dxa"/>
        <w:tblLook w:val="04A0" w:firstRow="1" w:lastRow="0" w:firstColumn="1" w:lastColumn="0" w:noHBand="0" w:noVBand="1"/>
      </w:tblPr>
      <w:tblGrid>
        <w:gridCol w:w="2226"/>
        <w:gridCol w:w="1374"/>
        <w:gridCol w:w="2700"/>
        <w:gridCol w:w="2424"/>
        <w:gridCol w:w="1296"/>
      </w:tblGrid>
      <w:tr w:rsidRPr="00CE720B" w:rsidR="006F3C12" w:rsidTr="0097299A" w14:paraId="32BA8F0A" w14:textId="77777777">
        <w:trPr>
          <w:trHeight w:val="360"/>
        </w:trPr>
        <w:tc>
          <w:tcPr>
            <w:tcW w:w="8724" w:type="dxa"/>
            <w:gridSpan w:val="4"/>
            <w:tcBorders>
              <w:top w:val="nil"/>
              <w:left w:val="nil"/>
              <w:bottom w:val="single" w:color="auto" w:sz="4" w:space="0"/>
              <w:right w:val="nil"/>
            </w:tcBorders>
            <w:shd w:val="clear" w:color="auto" w:fill="auto"/>
            <w:hideMark/>
          </w:tcPr>
          <w:p w:rsidRPr="00CE720B" w:rsidR="006F3C12" w:rsidP="008F16EC" w:rsidRDefault="006F3C12" w14:paraId="6424141E" w14:textId="77777777">
            <w:pPr>
              <w:spacing w:after="0" w:line="240" w:lineRule="auto"/>
              <w:jc w:val="center"/>
              <w:rPr>
                <w:rFonts w:ascii="Calibri" w:hAnsi="Calibri" w:eastAsia="Times New Roman" w:cs="Arial"/>
                <w:b/>
                <w:bCs/>
                <w:color w:val="0070C0"/>
                <w:sz w:val="28"/>
                <w:szCs w:val="28"/>
              </w:rPr>
            </w:pPr>
            <w:r w:rsidRPr="00CE720B">
              <w:rPr>
                <w:rFonts w:ascii="Calibri" w:hAnsi="Calibri"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CE720B" w:rsidR="006F3C12" w:rsidP="008F16EC" w:rsidRDefault="006F3C12" w14:paraId="57249D7C" w14:textId="77777777">
            <w:pPr>
              <w:spacing w:after="0" w:line="240" w:lineRule="auto"/>
              <w:jc w:val="center"/>
              <w:rPr>
                <w:rFonts w:ascii="Calibri" w:hAnsi="Calibri" w:eastAsia="Times New Roman" w:cs="Arial"/>
                <w:b/>
                <w:bCs/>
                <w:color w:val="0070C0"/>
                <w:sz w:val="28"/>
                <w:szCs w:val="28"/>
              </w:rPr>
            </w:pPr>
          </w:p>
        </w:tc>
      </w:tr>
      <w:tr w:rsidRPr="00CE720B" w:rsidR="00D01BEA" w:rsidTr="0046045E" w14:paraId="46C0683F"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CE720B" w:rsidR="00D01BEA" w:rsidP="008F16EC" w:rsidRDefault="00D01BEA" w14:paraId="3A0E492D" w14:textId="781D0344">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Type of Respondents</w:t>
            </w:r>
          </w:p>
        </w:tc>
        <w:tc>
          <w:tcPr>
            <w:tcW w:w="1374" w:type="dxa"/>
            <w:tcBorders>
              <w:top w:val="nil"/>
              <w:left w:val="nil"/>
              <w:bottom w:val="single" w:color="auto" w:sz="4" w:space="0"/>
              <w:right w:val="single" w:color="auto" w:sz="4" w:space="0"/>
            </w:tcBorders>
            <w:shd w:val="clear" w:color="000000" w:fill="00B0F0"/>
            <w:vAlign w:val="center"/>
            <w:hideMark/>
          </w:tcPr>
          <w:p w:rsidRPr="00CE720B" w:rsidR="00D01BEA" w:rsidP="008F16EC" w:rsidRDefault="00D01BEA" w14:paraId="511A1552"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Total Annual Burden Hours</w:t>
            </w:r>
          </w:p>
        </w:tc>
        <w:tc>
          <w:tcPr>
            <w:tcW w:w="2700" w:type="dxa"/>
            <w:tcBorders>
              <w:top w:val="nil"/>
              <w:left w:val="nil"/>
              <w:bottom w:val="single" w:color="auto" w:sz="4" w:space="0"/>
              <w:right w:val="single" w:color="auto" w:sz="4" w:space="0"/>
            </w:tcBorders>
            <w:shd w:val="clear" w:color="000000" w:fill="00B0F0"/>
            <w:vAlign w:val="center"/>
            <w:hideMark/>
          </w:tcPr>
          <w:p w:rsidRPr="00CE720B" w:rsidR="00D01BEA" w:rsidP="008F16EC" w:rsidRDefault="00D01BEA" w14:paraId="70B0B9B0"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CE720B" w:rsidR="00D01BEA" w:rsidP="008F16EC" w:rsidRDefault="00D01BEA" w14:paraId="46D0790B"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Total Respondent Costs</w:t>
            </w:r>
          </w:p>
        </w:tc>
      </w:tr>
      <w:tr w:rsidRPr="00CE720B" w:rsidR="00D01BEA" w:rsidTr="0046045E" w14:paraId="6FAD5ED6"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CE720B" w:rsidR="00D01BEA" w:rsidP="008F16EC" w:rsidRDefault="00D01BEA" w14:paraId="5E6C1D24" w14:textId="65F73413">
            <w:pPr>
              <w:spacing w:after="0" w:line="240" w:lineRule="auto"/>
              <w:rPr>
                <w:rFonts w:ascii="Calibri" w:hAnsi="Calibri" w:eastAsia="Times New Roman" w:cs="Arial"/>
                <w:color w:val="000000"/>
                <w:sz w:val="20"/>
                <w:szCs w:val="20"/>
              </w:rPr>
            </w:pPr>
            <w:r w:rsidRPr="00CE720B">
              <w:rPr>
                <w:rFonts w:ascii="Calibri" w:hAnsi="Calibri" w:eastAsia="Times New Roman" w:cs="Arial"/>
                <w:color w:val="000000"/>
                <w:sz w:val="20"/>
                <w:szCs w:val="20"/>
              </w:rPr>
              <w:t> </w:t>
            </w:r>
            <w:r w:rsidRPr="00CE720B" w:rsidR="00423A6A">
              <w:rPr>
                <w:rFonts w:ascii="Calibri" w:hAnsi="Calibri" w:eastAsia="Times New Roman" w:cs="Arial"/>
                <w:color w:val="000000"/>
                <w:sz w:val="20"/>
                <w:szCs w:val="20"/>
              </w:rPr>
              <w:t>Business or other for-profit</w:t>
            </w:r>
          </w:p>
        </w:tc>
        <w:tc>
          <w:tcPr>
            <w:tcW w:w="1374" w:type="dxa"/>
            <w:tcBorders>
              <w:top w:val="nil"/>
              <w:left w:val="nil"/>
              <w:bottom w:val="single" w:color="auto" w:sz="4" w:space="0"/>
              <w:right w:val="single" w:color="auto" w:sz="4" w:space="0"/>
            </w:tcBorders>
            <w:shd w:val="clear" w:color="auto" w:fill="auto"/>
            <w:noWrap/>
            <w:vAlign w:val="bottom"/>
            <w:hideMark/>
          </w:tcPr>
          <w:p w:rsidRPr="00CE720B" w:rsidR="00D01BEA" w:rsidP="00AA24BA" w:rsidRDefault="00423A6A" w14:paraId="74A6C943" w14:textId="06E2F9F4">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8</w:t>
            </w:r>
            <w:r w:rsidRPr="00CE720B" w:rsidR="00E76DAE">
              <w:rPr>
                <w:rFonts w:ascii="Calibri" w:hAnsi="Calibri" w:eastAsia="Times New Roman" w:cs="Arial"/>
                <w:color w:val="000000"/>
                <w:sz w:val="20"/>
                <w:szCs w:val="20"/>
              </w:rPr>
              <w:t>0</w:t>
            </w:r>
          </w:p>
        </w:tc>
        <w:tc>
          <w:tcPr>
            <w:tcW w:w="2700" w:type="dxa"/>
            <w:tcBorders>
              <w:top w:val="nil"/>
              <w:left w:val="nil"/>
              <w:bottom w:val="single" w:color="auto" w:sz="4" w:space="0"/>
              <w:right w:val="single" w:color="auto" w:sz="4" w:space="0"/>
            </w:tcBorders>
            <w:shd w:val="clear" w:color="auto" w:fill="auto"/>
            <w:noWrap/>
            <w:vAlign w:val="bottom"/>
            <w:hideMark/>
          </w:tcPr>
          <w:p w:rsidRPr="00CE720B" w:rsidR="00D01BEA" w:rsidP="0069209A" w:rsidRDefault="00AA24BA" w14:paraId="3D8411B7" w14:textId="7B77E949">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w:t>
            </w:r>
            <w:r w:rsidRPr="00CE720B" w:rsidR="0069209A">
              <w:rPr>
                <w:rFonts w:ascii="Calibri" w:hAnsi="Calibri" w:eastAsia="Times New Roman" w:cs="Arial"/>
                <w:color w:val="000000"/>
                <w:sz w:val="20"/>
                <w:szCs w:val="20"/>
              </w:rPr>
              <w:t>120.02</w:t>
            </w:r>
          </w:p>
        </w:tc>
        <w:tc>
          <w:tcPr>
            <w:tcW w:w="2424" w:type="dxa"/>
            <w:tcBorders>
              <w:top w:val="nil"/>
              <w:left w:val="nil"/>
              <w:bottom w:val="single" w:color="auto" w:sz="4" w:space="0"/>
              <w:right w:val="single" w:color="auto" w:sz="4" w:space="0"/>
            </w:tcBorders>
            <w:shd w:val="clear" w:color="000000" w:fill="E2A5AC"/>
            <w:noWrap/>
            <w:vAlign w:val="bottom"/>
            <w:hideMark/>
          </w:tcPr>
          <w:p w:rsidRPr="00CE720B" w:rsidR="00D01BEA" w:rsidP="0069209A" w:rsidRDefault="00AA24BA" w14:paraId="0EA8756C" w14:textId="78858B92">
            <w:pPr>
              <w:spacing w:after="0" w:line="240" w:lineRule="auto"/>
              <w:jc w:val="center"/>
              <w:rPr>
                <w:rFonts w:ascii="Calibri" w:hAnsi="Calibri" w:eastAsia="Times New Roman" w:cs="Arial"/>
                <w:color w:val="000000"/>
                <w:sz w:val="20"/>
                <w:szCs w:val="20"/>
              </w:rPr>
            </w:pPr>
            <w:r w:rsidRPr="00CE720B">
              <w:rPr>
                <w:rFonts w:ascii="Calibri" w:hAnsi="Calibri" w:eastAsia="Times New Roman" w:cs="Arial"/>
                <w:color w:val="000000"/>
                <w:sz w:val="20"/>
                <w:szCs w:val="20"/>
              </w:rPr>
              <w:t>$</w:t>
            </w:r>
            <w:r w:rsidRPr="00CE720B" w:rsidR="0069209A">
              <w:rPr>
                <w:rFonts w:ascii="Calibri" w:hAnsi="Calibri" w:eastAsia="Times New Roman" w:cs="Arial"/>
                <w:color w:val="000000"/>
                <w:sz w:val="20"/>
                <w:szCs w:val="20"/>
              </w:rPr>
              <w:t>9,601.28</w:t>
            </w:r>
          </w:p>
        </w:tc>
      </w:tr>
      <w:tr w:rsidRPr="00CE720B" w:rsidR="00D01BEA" w:rsidTr="0046045E" w14:paraId="559B0929"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CE720B" w:rsidR="00D01BEA" w:rsidP="008F16EC" w:rsidRDefault="00D01BEA" w14:paraId="25787A65" w14:textId="77777777">
            <w:pPr>
              <w:spacing w:after="0" w:line="240" w:lineRule="auto"/>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TOTAL</w:t>
            </w:r>
          </w:p>
        </w:tc>
        <w:tc>
          <w:tcPr>
            <w:tcW w:w="1374" w:type="dxa"/>
            <w:tcBorders>
              <w:top w:val="nil"/>
              <w:left w:val="nil"/>
              <w:bottom w:val="single" w:color="auto" w:sz="4" w:space="0"/>
              <w:right w:val="single" w:color="auto" w:sz="4" w:space="0"/>
            </w:tcBorders>
            <w:shd w:val="clear" w:color="000000" w:fill="E2A5AC"/>
            <w:noWrap/>
            <w:vAlign w:val="bottom"/>
            <w:hideMark/>
          </w:tcPr>
          <w:p w:rsidRPr="00CE720B" w:rsidR="00D01BEA" w:rsidP="00AA24BA" w:rsidRDefault="00E76DAE" w14:paraId="19FC447E" w14:textId="20F4EAD0">
            <w:pPr>
              <w:spacing w:after="0" w:line="240" w:lineRule="auto"/>
              <w:jc w:val="center"/>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80</w:t>
            </w:r>
          </w:p>
        </w:tc>
        <w:tc>
          <w:tcPr>
            <w:tcW w:w="2700" w:type="dxa"/>
            <w:tcBorders>
              <w:top w:val="nil"/>
              <w:left w:val="nil"/>
              <w:bottom w:val="single" w:color="auto" w:sz="4" w:space="0"/>
              <w:right w:val="single" w:color="auto" w:sz="4" w:space="0"/>
            </w:tcBorders>
            <w:shd w:val="clear" w:color="000000" w:fill="333333"/>
            <w:noWrap/>
            <w:vAlign w:val="bottom"/>
            <w:hideMark/>
          </w:tcPr>
          <w:p w:rsidRPr="00CE720B" w:rsidR="00D01BEA" w:rsidP="00AA24BA" w:rsidRDefault="00D01BEA" w14:paraId="7DDC5A68" w14:textId="12413912">
            <w:pPr>
              <w:spacing w:after="0" w:line="240" w:lineRule="auto"/>
              <w:jc w:val="center"/>
              <w:rPr>
                <w:rFonts w:ascii="Calibri" w:hAnsi="Calibri" w:eastAsia="Times New Roman" w:cs="Arial"/>
                <w:b/>
                <w:bCs/>
                <w:color w:val="000000"/>
                <w:sz w:val="20"/>
                <w:szCs w:val="20"/>
              </w:rPr>
            </w:pPr>
          </w:p>
        </w:tc>
        <w:tc>
          <w:tcPr>
            <w:tcW w:w="2424" w:type="dxa"/>
            <w:tcBorders>
              <w:top w:val="nil"/>
              <w:left w:val="nil"/>
              <w:bottom w:val="single" w:color="auto" w:sz="4" w:space="0"/>
              <w:right w:val="single" w:color="auto" w:sz="4" w:space="0"/>
            </w:tcBorders>
            <w:shd w:val="clear" w:color="000000" w:fill="E2A5AC"/>
            <w:noWrap/>
            <w:vAlign w:val="bottom"/>
            <w:hideMark/>
          </w:tcPr>
          <w:p w:rsidRPr="00CE720B" w:rsidR="00D01BEA" w:rsidP="0069209A" w:rsidRDefault="00AA24BA" w14:paraId="0985304F" w14:textId="7257A899">
            <w:pPr>
              <w:spacing w:after="0" w:line="240" w:lineRule="auto"/>
              <w:jc w:val="center"/>
              <w:rPr>
                <w:rFonts w:ascii="Calibri" w:hAnsi="Calibri" w:eastAsia="Times New Roman" w:cs="Arial"/>
                <w:b/>
                <w:bCs/>
                <w:color w:val="000000"/>
                <w:sz w:val="20"/>
                <w:szCs w:val="20"/>
              </w:rPr>
            </w:pPr>
            <w:r w:rsidRPr="00CE720B">
              <w:rPr>
                <w:rFonts w:ascii="Calibri" w:hAnsi="Calibri" w:eastAsia="Times New Roman" w:cs="Arial"/>
                <w:b/>
                <w:bCs/>
                <w:color w:val="000000"/>
                <w:sz w:val="20"/>
                <w:szCs w:val="20"/>
              </w:rPr>
              <w:t>$</w:t>
            </w:r>
            <w:r w:rsidRPr="00CE720B" w:rsidR="0069209A">
              <w:rPr>
                <w:rFonts w:ascii="Calibri" w:hAnsi="Calibri" w:eastAsia="Times New Roman" w:cs="Arial"/>
                <w:b/>
                <w:bCs/>
                <w:color w:val="000000"/>
                <w:sz w:val="20"/>
                <w:szCs w:val="20"/>
              </w:rPr>
              <w:t>9,601.28</w:t>
            </w:r>
          </w:p>
        </w:tc>
      </w:tr>
    </w:tbl>
    <w:p w:rsidRPr="00CE720B" w:rsidR="00F056C3" w:rsidP="00F04816" w:rsidRDefault="00F056C3" w14:paraId="37BB4828" w14:textId="39B2624A">
      <w:pPr>
        <w:spacing w:line="240" w:lineRule="atLeast"/>
        <w:rPr>
          <w:b/>
          <w:bCs/>
        </w:rPr>
      </w:pPr>
    </w:p>
    <w:p w:rsidRPr="00CE720B" w:rsidR="00F056C3" w:rsidP="00A454B7" w:rsidRDefault="00F056C3" w14:paraId="26CBED57" w14:textId="77777777">
      <w:pPr>
        <w:pStyle w:val="Heading2"/>
      </w:pPr>
      <w:bookmarkStart w:name="_Toc16271332" w:id="16"/>
      <w:r w:rsidRPr="00CE720B">
        <w:t>A.</w:t>
      </w:r>
      <w:r w:rsidRPr="00CE720B" w:rsidR="00A41763">
        <w:t xml:space="preserve">13. </w:t>
      </w:r>
      <w:r w:rsidRPr="00CE720B" w:rsidR="006F3C12">
        <w:t xml:space="preserve">Other Estimated </w:t>
      </w:r>
      <w:r w:rsidRPr="00CE720B">
        <w:t xml:space="preserve">Annual Cost to </w:t>
      </w:r>
      <w:r w:rsidRPr="00CE720B" w:rsidR="00FE2197">
        <w:t>Respondents</w:t>
      </w:r>
      <w:bookmarkEnd w:id="16"/>
    </w:p>
    <w:p w:rsidRPr="00CE720B" w:rsidR="00A41763" w:rsidP="00F04816" w:rsidRDefault="00A41763" w14:paraId="785CEF07" w14:textId="77777777">
      <w:pPr>
        <w:spacing w:line="240" w:lineRule="atLeast"/>
        <w:rPr>
          <w:b/>
          <w:bCs/>
        </w:rPr>
      </w:pPr>
      <w:r w:rsidRPr="00CE720B">
        <w:rPr>
          <w:b/>
          <w:bCs/>
        </w:rPr>
        <w:t xml:space="preserve">Provide an estimate for the total annual cost burden to respondents or recordkeepers resulting from the collection of information. </w:t>
      </w:r>
    </w:p>
    <w:p w:rsidRPr="00CE720B" w:rsidR="00F115FC" w:rsidP="00F04816" w:rsidRDefault="00E32285" w14:paraId="241B7878" w14:textId="696B8188">
      <w:pPr>
        <w:spacing w:line="240" w:lineRule="atLeast"/>
      </w:pPr>
      <w:r w:rsidRPr="00CE720B">
        <w:t xml:space="preserve">There </w:t>
      </w:r>
      <w:r w:rsidRPr="00CE720B" w:rsidR="00E01A73">
        <w:t>would be</w:t>
      </w:r>
      <w:r w:rsidRPr="00CE720B">
        <w:t xml:space="preserve"> no capital</w:t>
      </w:r>
      <w:r w:rsidRPr="00CE720B" w:rsidR="00372B17">
        <w:t>/</w:t>
      </w:r>
      <w:r w:rsidRPr="00CE720B">
        <w:t>start-up</w:t>
      </w:r>
      <w:r w:rsidRPr="00CE720B" w:rsidR="00372B17">
        <w:t xml:space="preserve"> and operation and maintenance costs</w:t>
      </w:r>
      <w:r w:rsidRPr="00CE720B" w:rsidR="00E01A73">
        <w:t xml:space="preserve"> related to this information collection</w:t>
      </w:r>
      <w:r w:rsidRPr="00CE720B">
        <w:t>.</w:t>
      </w:r>
      <w:r w:rsidRPr="00CE720B" w:rsidR="00372B17">
        <w:t xml:space="preserve">  Therefore, the other estimated annualized costs requested is zero.</w:t>
      </w:r>
    </w:p>
    <w:p w:rsidRPr="00CE720B" w:rsidR="0045017D" w:rsidP="00A454B7" w:rsidRDefault="0045017D" w14:paraId="408C78C2" w14:textId="411681D3">
      <w:pPr>
        <w:pStyle w:val="Heading2"/>
      </w:pPr>
      <w:bookmarkStart w:name="_Toc16271333" w:id="17"/>
      <w:r w:rsidRPr="00CE720B">
        <w:t>A.14. Annual Cost to the Federal Government</w:t>
      </w:r>
      <w:bookmarkEnd w:id="17"/>
      <w:r w:rsidRPr="00CE720B">
        <w:t xml:space="preserve"> </w:t>
      </w:r>
    </w:p>
    <w:p w:rsidRPr="00CE720B" w:rsidR="0045017D" w:rsidP="00F04816" w:rsidRDefault="0045017D" w14:paraId="68017EB2" w14:textId="77777777">
      <w:pPr>
        <w:spacing w:line="240" w:lineRule="atLeast"/>
      </w:pPr>
      <w:r w:rsidRPr="00CE720B">
        <w:rPr>
          <w:b/>
          <w:bCs/>
        </w:rPr>
        <w:t xml:space="preserve">Provide estimates of annualized cost to the Federal government. </w:t>
      </w:r>
    </w:p>
    <w:p w:rsidRPr="00CE720B" w:rsidR="00D56CCB" w:rsidP="00F04816" w:rsidRDefault="00D35226" w14:paraId="255B3054" w14:textId="52E0DDDB">
      <w:pPr>
        <w:spacing w:line="240" w:lineRule="atLeast"/>
        <w:rPr>
          <w:color w:val="000000" w:themeColor="text1"/>
        </w:rPr>
      </w:pPr>
      <w:r w:rsidRPr="00CE720B">
        <w:t>The</w:t>
      </w:r>
      <w:r w:rsidRPr="00CE720B" w:rsidR="0045017D">
        <w:t xml:space="preserve"> </w:t>
      </w:r>
      <w:r w:rsidR="00805F41">
        <w:t xml:space="preserve">members of the </w:t>
      </w:r>
      <w:r w:rsidRPr="00CE720B" w:rsidR="0045017D">
        <w:t>AAFS Committee</w:t>
      </w:r>
      <w:r w:rsidRPr="00CE720B" w:rsidR="009D4A47">
        <w:t xml:space="preserve"> that will </w:t>
      </w:r>
      <w:r w:rsidRPr="00CE720B" w:rsidR="0045017D">
        <w:t xml:space="preserve">review </w:t>
      </w:r>
      <w:r w:rsidRPr="00CE720B">
        <w:t xml:space="preserve">applications </w:t>
      </w:r>
      <w:r w:rsidR="00286FA8">
        <w:t xml:space="preserve">to access </w:t>
      </w:r>
      <w:r w:rsidR="00704E11">
        <w:t xml:space="preserve">to </w:t>
      </w:r>
      <w:r w:rsidRPr="00CE720B">
        <w:t>LEU</w:t>
      </w:r>
      <w:r w:rsidR="00704E11">
        <w:t xml:space="preserve"> </w:t>
      </w:r>
      <w:r w:rsidRPr="00CE720B">
        <w:t xml:space="preserve">from the AAFS </w:t>
      </w:r>
      <w:r w:rsidR="00704E11">
        <w:t xml:space="preserve">and </w:t>
      </w:r>
      <w:r w:rsidRPr="00CE720B">
        <w:t>make</w:t>
      </w:r>
      <w:r w:rsidRPr="00CE720B" w:rsidR="0045017D">
        <w:t xml:space="preserve"> recommendations to the </w:t>
      </w:r>
      <w:r w:rsidRPr="00CE720B" w:rsidR="0045017D">
        <w:rPr>
          <w:color w:val="000000" w:themeColor="text1"/>
        </w:rPr>
        <w:t>Secretary of Energy</w:t>
      </w:r>
      <w:r w:rsidRPr="00CE720B" w:rsidR="0045017D">
        <w:t xml:space="preserve"> for approval</w:t>
      </w:r>
      <w:r w:rsidRPr="00CE720B" w:rsidR="009D4A47">
        <w:t xml:space="preserve"> </w:t>
      </w:r>
      <w:r w:rsidR="00704E11">
        <w:t>of</w:t>
      </w:r>
      <w:r w:rsidRPr="00CE720B" w:rsidR="00704E11">
        <w:t xml:space="preserve"> the sale of LEU </w:t>
      </w:r>
      <w:r w:rsidR="00706912">
        <w:t>would</w:t>
      </w:r>
      <w:r w:rsidRPr="00BE15FC" w:rsidR="00BE15FC">
        <w:t xml:space="preserve"> </w:t>
      </w:r>
      <w:r w:rsidR="00805F41">
        <w:t xml:space="preserve">be </w:t>
      </w:r>
      <w:r w:rsidRPr="00CE720B" w:rsidR="00BE15FC">
        <w:t xml:space="preserve">federal employees located in </w:t>
      </w:r>
      <w:r w:rsidR="00BE15FC">
        <w:t xml:space="preserve">the </w:t>
      </w:r>
      <w:r w:rsidRPr="00CE720B" w:rsidR="00BE15FC">
        <w:t>Washington D.C</w:t>
      </w:r>
      <w:r w:rsidR="00BE15FC">
        <w:t>.</w:t>
      </w:r>
      <w:r w:rsidRPr="00CE720B" w:rsidR="00BE15FC">
        <w:t xml:space="preserve"> metro area</w:t>
      </w:r>
      <w:r w:rsidR="00BE15FC">
        <w:t xml:space="preserve"> with </w:t>
      </w:r>
      <w:r w:rsidR="00706912">
        <w:t>average</w:t>
      </w:r>
      <w:r w:rsidR="00BE15FC">
        <w:t xml:space="preserve"> </w:t>
      </w:r>
      <w:r w:rsidR="00A3340F">
        <w:t xml:space="preserve">annual </w:t>
      </w:r>
      <w:r w:rsidR="00BE15FC">
        <w:t>salaries</w:t>
      </w:r>
      <w:r w:rsidR="00460DE8">
        <w:t xml:space="preserve"> of $161</w:t>
      </w:r>
      <w:r w:rsidR="00A3340F">
        <w:t>,730</w:t>
      </w:r>
      <w:r w:rsidR="00BE15FC">
        <w:t xml:space="preserve"> at</w:t>
      </w:r>
      <w:r w:rsidRPr="00CE720B" w:rsidR="009D4A47">
        <w:t xml:space="preserve"> </w:t>
      </w:r>
      <w:r w:rsidR="00BE15FC">
        <w:t xml:space="preserve">the </w:t>
      </w:r>
      <w:r w:rsidRPr="00CE720B" w:rsidR="00336AA0">
        <w:t>GS-</w:t>
      </w:r>
      <w:r w:rsidRPr="00CE720B" w:rsidR="00A73352">
        <w:t>1</w:t>
      </w:r>
      <w:r w:rsidR="00A73352">
        <w:t>5</w:t>
      </w:r>
      <w:r w:rsidRPr="00CE720B" w:rsidR="00336AA0">
        <w:t>, step 5</w:t>
      </w:r>
      <w:r w:rsidR="00BE15FC">
        <w:t xml:space="preserve"> pay-scale</w:t>
      </w:r>
      <w:r w:rsidR="00DA5EBC">
        <w:t xml:space="preserve"> under the</w:t>
      </w:r>
      <w:r w:rsidR="00EA7E88">
        <w:t xml:space="preserve"> 2020 OPM General Schedule</w:t>
      </w:r>
      <w:r w:rsidR="00A3340F">
        <w:t>. T</w:t>
      </w:r>
      <w:r w:rsidR="00EA7E88">
        <w:t xml:space="preserve">he </w:t>
      </w:r>
      <w:r w:rsidR="00A3340F">
        <w:t xml:space="preserve">hourly </w:t>
      </w:r>
      <w:r w:rsidR="00DA5EBC">
        <w:t>wage</w:t>
      </w:r>
      <w:r w:rsidR="00EA7E88">
        <w:t xml:space="preserve"> </w:t>
      </w:r>
      <w:r w:rsidR="00A3340F">
        <w:t xml:space="preserve">($161,730 </w:t>
      </w:r>
      <w:r w:rsidR="00A3340F">
        <w:rPr>
          <w:rFonts w:cstheme="minorHAnsi"/>
        </w:rPr>
        <w:t>÷</w:t>
      </w:r>
      <w:r w:rsidR="00A3340F">
        <w:t xml:space="preserve"> 2080</w:t>
      </w:r>
      <w:r w:rsidR="00EE3EFF">
        <w:t>) would</w:t>
      </w:r>
      <w:r w:rsidR="00DA5EBC">
        <w:t xml:space="preserve"> be </w:t>
      </w:r>
      <w:r w:rsidR="00EA7E88">
        <w:t>$77.75/hr</w:t>
      </w:r>
      <w:r w:rsidR="00DA5EBC">
        <w:t xml:space="preserve"> and the fully </w:t>
      </w:r>
      <w:r w:rsidR="00EA7E88">
        <w:t xml:space="preserve">burdened wage ($77.75*1.6) would be $124.40/hour. </w:t>
      </w:r>
      <w:r w:rsidRPr="00CE720B" w:rsidR="00D56CCB">
        <w:rPr>
          <w:color w:val="000000" w:themeColor="text1"/>
        </w:rPr>
        <w:t xml:space="preserve">DOE estimates </w:t>
      </w:r>
      <w:r w:rsidRPr="00CE720B" w:rsidR="00D56CCB">
        <w:rPr>
          <w:color w:val="000000" w:themeColor="text1"/>
        </w:rPr>
        <w:lastRenderedPageBreak/>
        <w:t xml:space="preserve">that processing an AAFS application would take an average of </w:t>
      </w:r>
      <w:r w:rsidRPr="00CE720B" w:rsidR="00807FE1">
        <w:rPr>
          <w:color w:val="000000" w:themeColor="text1"/>
        </w:rPr>
        <w:t>1</w:t>
      </w:r>
      <w:r w:rsidRPr="00CE720B" w:rsidR="00D56CCB">
        <w:rPr>
          <w:color w:val="000000" w:themeColor="text1"/>
        </w:rPr>
        <w:t>8 hours of staff time</w:t>
      </w:r>
      <w:r w:rsidR="00DA5EBC">
        <w:rPr>
          <w:color w:val="000000" w:themeColor="text1"/>
        </w:rPr>
        <w:t xml:space="preserve"> at the cost of $2,239.20</w:t>
      </w:r>
      <w:r w:rsidRPr="00CE720B" w:rsidR="00D56CCB">
        <w:rPr>
          <w:color w:val="000000" w:themeColor="text1"/>
        </w:rPr>
        <w:t xml:space="preserve"> </w:t>
      </w:r>
      <w:r w:rsidRPr="00CE720B" w:rsidR="00807FE1">
        <w:rPr>
          <w:color w:val="000000" w:themeColor="text1"/>
        </w:rPr>
        <w:t xml:space="preserve">and $55 </w:t>
      </w:r>
      <w:r w:rsidR="00EA7E88">
        <w:rPr>
          <w:color w:val="000000" w:themeColor="text1"/>
        </w:rPr>
        <w:t xml:space="preserve">in </w:t>
      </w:r>
      <w:r w:rsidRPr="00CE720B" w:rsidR="00807FE1">
        <w:rPr>
          <w:color w:val="000000" w:themeColor="text1"/>
        </w:rPr>
        <w:t>paper/printing/administrative costs</w:t>
      </w:r>
      <w:r w:rsidRPr="00CE720B" w:rsidR="00D56CCB">
        <w:rPr>
          <w:color w:val="000000" w:themeColor="text1"/>
        </w:rPr>
        <w:t xml:space="preserve">. </w:t>
      </w:r>
      <w:r w:rsidR="00525517">
        <w:rPr>
          <w:color w:val="000000" w:themeColor="text1"/>
        </w:rPr>
        <w:t xml:space="preserve"> </w:t>
      </w:r>
      <w:r w:rsidRPr="00CE720B" w:rsidR="00807FE1">
        <w:t>DOE estimates that it would cost the government approximately $</w:t>
      </w:r>
      <w:r w:rsidR="007C4881">
        <w:t>2,294.20</w:t>
      </w:r>
      <w:r w:rsidRPr="00CE720B" w:rsidR="00807FE1">
        <w:t xml:space="preserve"> to process one application a year.  </w:t>
      </w:r>
      <w:r w:rsidRPr="00CE720B" w:rsidR="00D56CCB">
        <w:rPr>
          <w:color w:val="000000" w:themeColor="text1"/>
        </w:rPr>
        <w:t>If 10 applications were submitted to DOE, the annualized cost to the Federal government for this collection would be $</w:t>
      </w:r>
      <w:r w:rsidR="007C4881">
        <w:rPr>
          <w:color w:val="000000" w:themeColor="text1"/>
        </w:rPr>
        <w:t>22,942.00</w:t>
      </w:r>
      <w:r w:rsidRPr="00CE720B" w:rsidR="00D56CCB">
        <w:rPr>
          <w:color w:val="000000" w:themeColor="text1"/>
        </w:rPr>
        <w:t>.</w:t>
      </w:r>
    </w:p>
    <w:p w:rsidRPr="00E01A73" w:rsidR="009D4A47" w:rsidP="00F04816" w:rsidRDefault="009D4A47" w14:paraId="65C91145" w14:textId="0DDF8570">
      <w:pPr>
        <w:spacing w:line="240" w:lineRule="atLeast"/>
        <w:rPr>
          <w:color w:val="000000" w:themeColor="text1"/>
        </w:rPr>
      </w:pPr>
      <w:r w:rsidRPr="00CE720B">
        <w:rPr>
          <w:color w:val="000000" w:themeColor="text1"/>
        </w:rPr>
        <w:t xml:space="preserve">To date, DOE has not spent any staff time on this collection because there has not been a supply disruption event that would </w:t>
      </w:r>
      <w:r w:rsidRPr="00CE720B" w:rsidR="000B6BF8">
        <w:rPr>
          <w:color w:val="000000" w:themeColor="text1"/>
        </w:rPr>
        <w:t>create</w:t>
      </w:r>
      <w:r w:rsidRPr="00CE720B">
        <w:rPr>
          <w:color w:val="000000" w:themeColor="text1"/>
        </w:rPr>
        <w:t xml:space="preserve"> the need for U.S. entities to submit an application to access LEU from the AAFS.</w:t>
      </w:r>
      <w:r w:rsidRPr="00E01A73">
        <w:rPr>
          <w:color w:val="000000" w:themeColor="text1"/>
        </w:rPr>
        <w:t xml:space="preserve"> </w:t>
      </w:r>
    </w:p>
    <w:p w:rsidR="00B02629" w:rsidP="00F115FC" w:rsidRDefault="00B02629" w14:paraId="0022AA50" w14:textId="11FA1014">
      <w:r w:rsidRPr="00E01A73">
        <w:t>DOE envisions no start-up or on-going costs to be incurred as a result of this information collection.</w:t>
      </w:r>
    </w:p>
    <w:p w:rsidRPr="006606AD" w:rsidR="00DC7318" w:rsidP="00A454B7" w:rsidRDefault="00DC7318" w14:paraId="159FFEC1" w14:textId="77777777">
      <w:pPr>
        <w:pStyle w:val="Heading2"/>
      </w:pPr>
      <w:bookmarkStart w:name="_Toc16271334" w:id="18"/>
      <w:r w:rsidRPr="006606AD">
        <w:t>A.15. Reasons for Changes in Burden</w:t>
      </w:r>
      <w:bookmarkEnd w:id="18"/>
    </w:p>
    <w:p w:rsidRPr="006606AD" w:rsidR="00DC7318" w:rsidP="00DC7318" w:rsidRDefault="00DC7318" w14:paraId="35FCDCC0" w14:textId="77777777">
      <w:pPr>
        <w:rPr>
          <w:b/>
          <w:bCs/>
        </w:rPr>
      </w:pPr>
      <w:r w:rsidRPr="006606AD">
        <w:rPr>
          <w:b/>
          <w:bCs/>
        </w:rPr>
        <w:t xml:space="preserve">Explain the reasons for any program changes or adjustments reported in Items 13 (or 14) of OMB Form 83-I. </w:t>
      </w:r>
    </w:p>
    <w:p w:rsidRPr="00212D40" w:rsidR="00CE720B" w:rsidP="00CF7920" w:rsidRDefault="006B2CCA" w14:paraId="271B282D" w14:textId="2A2170DB">
      <w:r>
        <w:t xml:space="preserve">DOE has </w:t>
      </w:r>
      <w:r w:rsidR="00A35889">
        <w:t>reexamined</w:t>
      </w:r>
      <w:r>
        <w:t xml:space="preserve"> the </w:t>
      </w:r>
      <w:r w:rsidRPr="00212D40" w:rsidR="00212D40">
        <w:t>annual information collection burden</w:t>
      </w:r>
      <w:r w:rsidR="001549C0">
        <w:t xml:space="preserve"> cost</w:t>
      </w:r>
      <w:r w:rsidRPr="00212D40" w:rsidR="00212D40">
        <w:t xml:space="preserve"> reported in the previously approved Information Collection Request </w:t>
      </w:r>
      <w:r w:rsidR="00212D40">
        <w:t>of $</w:t>
      </w:r>
      <w:r w:rsidR="005A4053">
        <w:t>1,800</w:t>
      </w:r>
      <w:r w:rsidR="001549C0">
        <w:t>.</w:t>
      </w:r>
      <w:r w:rsidR="005A4053">
        <w:t xml:space="preserve">  This cost burden was not included on the prior burden worksheet in ROCIS, however, it was listed in the supporting statement during the last renewal. </w:t>
      </w:r>
      <w:r>
        <w:t xml:space="preserve"> Using wage information from the Bureau of Labor Statistic</w:t>
      </w:r>
      <w:r w:rsidR="00A34266">
        <w:t xml:space="preserve"> and professional judgement, DOE has re-</w:t>
      </w:r>
      <w:r>
        <w:t xml:space="preserve">estimated </w:t>
      </w:r>
      <w:r w:rsidR="00A34266">
        <w:t xml:space="preserve">the </w:t>
      </w:r>
      <w:r>
        <w:t xml:space="preserve">total </w:t>
      </w:r>
      <w:r w:rsidR="00A34266">
        <w:t>annual</w:t>
      </w:r>
      <w:r>
        <w:t xml:space="preserve"> burden</w:t>
      </w:r>
      <w:r w:rsidR="00A34266">
        <w:t xml:space="preserve"> cost to be </w:t>
      </w:r>
      <w:r w:rsidRPr="00CE720B" w:rsidR="00A34266">
        <w:t>$9,601.28 for all responses from all applicants</w:t>
      </w:r>
      <w:r w:rsidR="001549C0">
        <w:t xml:space="preserve">, an increase of </w:t>
      </w:r>
      <w:r w:rsidR="004125AC">
        <w:t>$</w:t>
      </w:r>
      <w:r w:rsidR="005A4053">
        <w:t>7</w:t>
      </w:r>
      <w:r w:rsidR="004125AC">
        <w:t>,</w:t>
      </w:r>
      <w:r w:rsidR="005A4053">
        <w:t>801</w:t>
      </w:r>
      <w:r w:rsidR="004125AC">
        <w:t xml:space="preserve">.28 </w:t>
      </w:r>
      <w:r w:rsidR="004125AC">
        <w:rPr>
          <w:bCs/>
        </w:rPr>
        <w:t xml:space="preserve">(see Table A3).  </w:t>
      </w:r>
      <w:r w:rsidRPr="00DD685A" w:rsidR="00DD685A">
        <w:t>To date, DOE has not received an application un</w:t>
      </w:r>
      <w:r w:rsidR="001549C0">
        <w:t>der this information collection</w:t>
      </w:r>
      <w:r w:rsidR="00A35889">
        <w:t>;</w:t>
      </w:r>
      <w:r w:rsidR="001549C0">
        <w:t xml:space="preserve"> thus</w:t>
      </w:r>
      <w:r w:rsidR="00A35889">
        <w:t>,</w:t>
      </w:r>
      <w:r w:rsidR="001549C0">
        <w:t xml:space="preserve"> the adjustment in annual burden cost is an estimate.</w:t>
      </w:r>
    </w:p>
    <w:p w:rsidRPr="0084694C" w:rsidR="002002E5" w:rsidP="00CF7920" w:rsidRDefault="00DC7318" w14:paraId="05E84ADB" w14:textId="60DA5BB7">
      <w:pPr>
        <w:rPr>
          <w:iCs/>
        </w:rPr>
      </w:pPr>
      <w:r w:rsidRPr="0084694C">
        <w:rPr>
          <w:iCs/>
        </w:rPr>
        <w:t xml:space="preserve">There are no program changes or adjustments for the number of responses and the total time burden.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CE720B" w:rsidR="002D61CC" w:rsidTr="0049556B" w14:paraId="44D37E76"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34133B" w:rsidR="002D61CC" w:rsidP="001549C0" w:rsidRDefault="002D61CC" w14:paraId="7499A172" w14:textId="6E6638B8">
            <w:pPr>
              <w:spacing w:after="0" w:line="240" w:lineRule="auto"/>
              <w:jc w:val="center"/>
              <w:rPr>
                <w:rFonts w:ascii="Calibri" w:hAnsi="Calibri" w:eastAsia="Times New Roman" w:cs="Arial"/>
                <w:b/>
                <w:color w:val="0070C0"/>
                <w:sz w:val="28"/>
                <w:szCs w:val="28"/>
              </w:rPr>
            </w:pPr>
            <w:r w:rsidRPr="00CE720B">
              <w:br w:type="page"/>
            </w:r>
            <w:r w:rsidRPr="0034133B">
              <w:rPr>
                <w:rFonts w:ascii="Calibri" w:hAnsi="Calibri" w:eastAsia="Times New Roman" w:cs="Arial"/>
                <w:b/>
                <w:color w:val="0070C0"/>
                <w:sz w:val="28"/>
                <w:szCs w:val="28"/>
              </w:rPr>
              <w:t>Table A</w:t>
            </w:r>
            <w:r w:rsidRPr="0034133B" w:rsidR="001549C0">
              <w:rPr>
                <w:rFonts w:ascii="Calibri" w:hAnsi="Calibri" w:eastAsia="Times New Roman" w:cs="Arial"/>
                <w:b/>
                <w:color w:val="0070C0"/>
                <w:sz w:val="28"/>
                <w:szCs w:val="28"/>
              </w:rPr>
              <w:t>3</w:t>
            </w:r>
            <w:r w:rsidRPr="0034133B">
              <w:rPr>
                <w:rFonts w:ascii="Calibri" w:hAnsi="Calibri" w:eastAsia="Times New Roman" w:cs="Arial"/>
                <w:b/>
                <w:color w:val="0070C0"/>
                <w:sz w:val="28"/>
                <w:szCs w:val="28"/>
              </w:rPr>
              <w:t>. ICR Summary of Burden</w:t>
            </w:r>
          </w:p>
        </w:tc>
      </w:tr>
      <w:tr w:rsidRPr="00CE720B" w:rsidR="002D61CC" w:rsidTr="005A43D5" w14:paraId="3AE9D445"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CE720B" w:rsidR="002D61CC" w:rsidP="0049556B" w:rsidRDefault="002D61CC" w14:paraId="00A74C03" w14:textId="77777777">
            <w:pPr>
              <w:spacing w:after="0" w:line="240" w:lineRule="auto"/>
              <w:jc w:val="center"/>
              <w:rPr>
                <w:rFonts w:ascii="Calibri" w:hAnsi="Calibri" w:eastAsia="Times New Roman" w:cs="Arial"/>
                <w:b/>
                <w:bCs/>
                <w:color w:val="FFFFFF"/>
                <w:sz w:val="20"/>
                <w:szCs w:val="20"/>
              </w:rPr>
            </w:pPr>
            <w:r w:rsidRPr="00CE720B">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CE720B" w:rsidR="002D61CC" w:rsidP="0049556B" w:rsidRDefault="002D61CC" w14:paraId="2D1BCC15"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CE720B" w:rsidR="002D61CC" w:rsidP="0049556B" w:rsidRDefault="002D61CC" w14:paraId="1E7115ED"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CE720B" w:rsidR="002D61CC" w:rsidP="0049556B" w:rsidRDefault="002D61CC" w14:paraId="7362F156"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CE720B" w:rsidR="002D61CC" w:rsidP="0049556B" w:rsidRDefault="002D61CC" w14:paraId="35D15655" w14:textId="77777777">
            <w:pPr>
              <w:spacing w:after="0" w:line="240" w:lineRule="auto"/>
              <w:jc w:val="center"/>
              <w:rPr>
                <w:rFonts w:ascii="Calibri" w:hAnsi="Calibri" w:eastAsia="Times New Roman" w:cs="Arial"/>
                <w:b/>
                <w:bCs/>
                <w:sz w:val="20"/>
                <w:szCs w:val="20"/>
              </w:rPr>
            </w:pPr>
            <w:r w:rsidRPr="00CE720B">
              <w:rPr>
                <w:rFonts w:ascii="Calibri" w:hAnsi="Calibri" w:eastAsia="Times New Roman" w:cs="Arial"/>
                <w:b/>
                <w:bCs/>
                <w:sz w:val="20"/>
                <w:szCs w:val="20"/>
              </w:rPr>
              <w:t>Previously Approved</w:t>
            </w:r>
          </w:p>
        </w:tc>
      </w:tr>
      <w:tr w:rsidRPr="00CE720B" w:rsidR="002D61CC" w:rsidTr="005A43D5" w14:paraId="0726A113"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CE720B" w:rsidR="002D61CC" w:rsidP="0049556B" w:rsidRDefault="002D61CC" w14:paraId="3781294B"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Total 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CE720B" w:rsidR="002D61CC" w:rsidP="0049556B" w:rsidRDefault="002D61CC" w14:paraId="7119EDFF"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 10</w:t>
            </w:r>
          </w:p>
        </w:tc>
        <w:tc>
          <w:tcPr>
            <w:tcW w:w="1872" w:type="dxa"/>
            <w:tcBorders>
              <w:top w:val="nil"/>
              <w:left w:val="nil"/>
              <w:bottom w:val="single" w:color="auto" w:sz="4" w:space="0"/>
              <w:right w:val="single" w:color="auto" w:sz="4" w:space="0"/>
            </w:tcBorders>
            <w:shd w:val="clear" w:color="auto" w:fill="auto"/>
            <w:vAlign w:val="center"/>
            <w:hideMark/>
          </w:tcPr>
          <w:p w:rsidRPr="00CE720B" w:rsidR="002D61CC" w:rsidP="0049556B" w:rsidRDefault="002D61CC" w14:paraId="0ACC41FB"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CE720B" w:rsidR="002D61CC" w:rsidP="0049556B" w:rsidRDefault="002D61CC" w14:paraId="590BF4DA"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 0</w:t>
            </w:r>
          </w:p>
        </w:tc>
        <w:tc>
          <w:tcPr>
            <w:tcW w:w="1872" w:type="dxa"/>
            <w:tcBorders>
              <w:top w:val="nil"/>
              <w:left w:val="nil"/>
              <w:bottom w:val="single" w:color="auto" w:sz="4" w:space="0"/>
              <w:right w:val="single" w:color="auto" w:sz="4" w:space="0"/>
            </w:tcBorders>
            <w:shd w:val="clear" w:color="auto" w:fill="auto"/>
            <w:vAlign w:val="center"/>
            <w:hideMark/>
          </w:tcPr>
          <w:p w:rsidRPr="00CE720B" w:rsidR="002D61CC" w:rsidP="0049556B" w:rsidRDefault="002D61CC" w14:paraId="3ABD31A7"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 10</w:t>
            </w:r>
          </w:p>
        </w:tc>
      </w:tr>
      <w:tr w:rsidRPr="00CE720B" w:rsidR="002D61CC" w:rsidTr="005A43D5" w14:paraId="2A3BBA65"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E720B" w:rsidR="002D61CC" w:rsidP="0049556B" w:rsidRDefault="002D61CC" w14:paraId="6FFDFB5D"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Total Time Burden (Hr)</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CE720B" w:rsidR="002D61CC" w:rsidP="0049556B" w:rsidRDefault="002D61CC" w14:paraId="7DA11817"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80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CE720B" w:rsidR="002D61CC" w:rsidP="0049556B" w:rsidRDefault="002D61CC" w14:paraId="28262D8F"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CE720B" w:rsidR="002D61CC" w:rsidP="0049556B" w:rsidRDefault="002D61CC" w14:paraId="5BAE7C86"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 0</w:t>
            </w:r>
          </w:p>
        </w:tc>
        <w:tc>
          <w:tcPr>
            <w:tcW w:w="1872" w:type="dxa"/>
            <w:tcBorders>
              <w:top w:val="single" w:color="auto" w:sz="4" w:space="0"/>
              <w:left w:val="nil"/>
              <w:bottom w:val="single" w:color="auto" w:sz="4" w:space="0"/>
              <w:right w:val="single" w:color="auto" w:sz="4" w:space="0"/>
            </w:tcBorders>
            <w:shd w:val="clear" w:color="auto" w:fill="auto"/>
            <w:vAlign w:val="center"/>
            <w:hideMark/>
          </w:tcPr>
          <w:p w:rsidRPr="00CE720B" w:rsidR="002D61CC" w:rsidP="0049556B" w:rsidRDefault="002D61CC" w14:paraId="4FEBF5A6"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 80</w:t>
            </w:r>
          </w:p>
        </w:tc>
      </w:tr>
      <w:tr w:rsidRPr="00CE720B" w:rsidR="005A43D5" w:rsidTr="005A43D5" w14:paraId="3B1FDD51" w14:textId="77777777">
        <w:trPr>
          <w:trHeight w:val="525"/>
          <w:jc w:val="center"/>
        </w:trPr>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rsidRPr="00CE720B" w:rsidR="005A43D5" w:rsidP="005A43D5" w:rsidRDefault="005A43D5" w14:paraId="506A8D68"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Total Cost Burden</w:t>
            </w:r>
          </w:p>
        </w:tc>
        <w:tc>
          <w:tcPr>
            <w:tcW w:w="1872" w:type="dxa"/>
            <w:tcBorders>
              <w:top w:val="single" w:color="auto" w:sz="4" w:space="0"/>
              <w:left w:val="nil"/>
              <w:bottom w:val="single" w:color="auto" w:sz="4" w:space="0"/>
              <w:right w:val="single" w:color="auto" w:sz="4" w:space="0"/>
            </w:tcBorders>
            <w:shd w:val="clear" w:color="auto" w:fill="auto"/>
            <w:vAlign w:val="center"/>
          </w:tcPr>
          <w:p w:rsidRPr="00CE720B" w:rsidR="005A43D5" w:rsidP="005A43D5" w:rsidRDefault="005A43D5" w14:paraId="22BFAB05" w14:textId="77777777">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$9,601.28</w:t>
            </w:r>
          </w:p>
        </w:tc>
        <w:tc>
          <w:tcPr>
            <w:tcW w:w="1872" w:type="dxa"/>
            <w:tcBorders>
              <w:top w:val="single" w:color="auto" w:sz="4" w:space="0"/>
              <w:left w:val="nil"/>
              <w:bottom w:val="single" w:color="auto" w:sz="4" w:space="0"/>
              <w:right w:val="single" w:color="auto" w:sz="4" w:space="0"/>
            </w:tcBorders>
            <w:shd w:val="clear" w:color="auto" w:fill="auto"/>
            <w:vAlign w:val="center"/>
          </w:tcPr>
          <w:p w:rsidRPr="00CE720B" w:rsidR="005A43D5" w:rsidP="005A43D5" w:rsidRDefault="005A43D5" w14:paraId="2E10A94C" w14:textId="175256EA">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0</w:t>
            </w:r>
          </w:p>
        </w:tc>
        <w:tc>
          <w:tcPr>
            <w:tcW w:w="1872" w:type="dxa"/>
            <w:tcBorders>
              <w:top w:val="single" w:color="auto" w:sz="4" w:space="0"/>
              <w:left w:val="nil"/>
              <w:bottom w:val="single" w:color="auto" w:sz="4" w:space="0"/>
              <w:right w:val="single" w:color="auto" w:sz="4" w:space="0"/>
            </w:tcBorders>
            <w:shd w:val="clear" w:color="auto" w:fill="auto"/>
            <w:vAlign w:val="center"/>
          </w:tcPr>
          <w:p w:rsidRPr="00CE720B" w:rsidR="005A43D5" w:rsidP="005A43D5" w:rsidRDefault="005A43D5" w14:paraId="503B9137" w14:textId="4C4CD534">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$7,801.28</w:t>
            </w:r>
          </w:p>
        </w:tc>
        <w:tc>
          <w:tcPr>
            <w:tcW w:w="1872" w:type="dxa"/>
            <w:tcBorders>
              <w:top w:val="single" w:color="auto" w:sz="4" w:space="0"/>
              <w:left w:val="nil"/>
              <w:bottom w:val="single" w:color="auto" w:sz="4" w:space="0"/>
              <w:right w:val="single" w:color="auto" w:sz="4" w:space="0"/>
            </w:tcBorders>
            <w:shd w:val="clear" w:color="auto" w:fill="auto"/>
            <w:vAlign w:val="center"/>
          </w:tcPr>
          <w:p w:rsidRPr="00CE720B" w:rsidR="005A43D5" w:rsidP="005A43D5" w:rsidRDefault="005A43D5" w14:paraId="183EC532" w14:textId="048B8D31">
            <w:pPr>
              <w:spacing w:after="0" w:line="240" w:lineRule="auto"/>
              <w:rPr>
                <w:rFonts w:ascii="Calibri" w:hAnsi="Calibri" w:eastAsia="Times New Roman" w:cs="Arial"/>
                <w:color w:val="576170"/>
                <w:sz w:val="20"/>
                <w:szCs w:val="20"/>
              </w:rPr>
            </w:pPr>
            <w:r w:rsidRPr="00CE720B">
              <w:rPr>
                <w:rFonts w:ascii="Calibri" w:hAnsi="Calibri" w:eastAsia="Times New Roman" w:cs="Arial"/>
                <w:color w:val="576170"/>
                <w:sz w:val="20"/>
                <w:szCs w:val="20"/>
              </w:rPr>
              <w:t>$</w:t>
            </w:r>
            <w:r>
              <w:rPr>
                <w:rFonts w:ascii="Calibri" w:hAnsi="Calibri" w:eastAsia="Times New Roman" w:cs="Arial"/>
                <w:color w:val="576170"/>
                <w:sz w:val="20"/>
                <w:szCs w:val="20"/>
              </w:rPr>
              <w:t>1,800</w:t>
            </w:r>
          </w:p>
        </w:tc>
      </w:tr>
    </w:tbl>
    <w:p w:rsidR="001549C0" w:rsidP="00A454B7" w:rsidRDefault="001549C0" w14:paraId="32456326" w14:textId="77777777">
      <w:pPr>
        <w:pStyle w:val="Heading2"/>
      </w:pPr>
      <w:bookmarkStart w:name="_Toc16271335" w:id="19"/>
    </w:p>
    <w:p w:rsidRPr="00CE720B" w:rsidR="00F056C3" w:rsidP="00A454B7" w:rsidRDefault="00F056C3" w14:paraId="3CFC9AEF" w14:textId="0676025C">
      <w:pPr>
        <w:pStyle w:val="Heading2"/>
      </w:pPr>
      <w:r w:rsidRPr="00CE720B">
        <w:t>A.</w:t>
      </w:r>
      <w:r w:rsidRPr="00CE720B" w:rsidR="00A41763">
        <w:t xml:space="preserve">16. </w:t>
      </w:r>
      <w:r w:rsidRPr="00CE720B">
        <w:t>Collection, Tabulation, and Publication Plans</w:t>
      </w:r>
      <w:bookmarkEnd w:id="19"/>
      <w:r w:rsidRPr="00CE720B">
        <w:t xml:space="preserve"> </w:t>
      </w:r>
    </w:p>
    <w:p w:rsidRPr="00CE720B" w:rsidR="00A41763" w:rsidP="00070FF4" w:rsidRDefault="00A41763" w14:paraId="41D09000" w14:textId="77777777">
      <w:pPr>
        <w:spacing w:line="240" w:lineRule="atLeast"/>
      </w:pPr>
      <w:r w:rsidRPr="00CE720B">
        <w:rPr>
          <w:b/>
          <w:bCs/>
        </w:rPr>
        <w:t xml:space="preserve">For collections whose results will be published, outline the plans for tabulation and publication. </w:t>
      </w:r>
    </w:p>
    <w:p w:rsidRPr="00CE720B" w:rsidR="00546372" w:rsidP="00070FF4" w:rsidRDefault="002E71C3" w14:paraId="79312D48" w14:textId="606BA91D">
      <w:pPr>
        <w:spacing w:line="240" w:lineRule="atLeast"/>
      </w:pPr>
      <w:r w:rsidRPr="00CE720B">
        <w:t>DOE does not intend to publish or report</w:t>
      </w:r>
      <w:r w:rsidRPr="00CE720B" w:rsidR="003F155A">
        <w:t xml:space="preserve"> on</w:t>
      </w:r>
      <w:r w:rsidRPr="00CE720B">
        <w:t xml:space="preserve"> the i</w:t>
      </w:r>
      <w:r w:rsidRPr="00CE720B" w:rsidR="00546372">
        <w:t>nformation collected.</w:t>
      </w:r>
      <w:r w:rsidRPr="00CE720B">
        <w:t xml:space="preserve"> </w:t>
      </w:r>
      <w:r w:rsidR="00525517">
        <w:t xml:space="preserve"> </w:t>
      </w:r>
      <w:r w:rsidRPr="00CE720B">
        <w:t>DOE will not use any complex</w:t>
      </w:r>
      <w:r w:rsidRPr="00CE720B" w:rsidR="00546372">
        <w:t xml:space="preserve"> analytical techniques </w:t>
      </w:r>
      <w:r w:rsidRPr="00CE720B" w:rsidR="003F155A">
        <w:t>on the information collected</w:t>
      </w:r>
      <w:r w:rsidRPr="00CE720B" w:rsidR="00546372">
        <w:t xml:space="preserve">.  </w:t>
      </w:r>
    </w:p>
    <w:p w:rsidRPr="00CE720B" w:rsidR="00F056C3" w:rsidP="00A454B7" w:rsidRDefault="00F056C3" w14:paraId="6EA328D3" w14:textId="77777777">
      <w:pPr>
        <w:pStyle w:val="Heading2"/>
      </w:pPr>
      <w:bookmarkStart w:name="_Toc16271336" w:id="20"/>
      <w:r w:rsidRPr="00CE720B">
        <w:lastRenderedPageBreak/>
        <w:t>A.</w:t>
      </w:r>
      <w:r w:rsidRPr="00CE720B" w:rsidR="00A41763">
        <w:t xml:space="preserve">17. </w:t>
      </w:r>
      <w:r w:rsidRPr="00CE720B">
        <w:t>OMB Number and Expiration Date</w:t>
      </w:r>
      <w:bookmarkEnd w:id="20"/>
      <w:r w:rsidRPr="00CE720B">
        <w:t xml:space="preserve"> </w:t>
      </w:r>
    </w:p>
    <w:p w:rsidRPr="00CE720B" w:rsidR="00A41763" w:rsidP="00070FF4" w:rsidRDefault="00A41763" w14:paraId="046228A8" w14:textId="77777777">
      <w:pPr>
        <w:spacing w:line="240" w:lineRule="atLeast"/>
      </w:pPr>
      <w:r w:rsidRPr="00CE720B">
        <w:rPr>
          <w:b/>
          <w:bCs/>
        </w:rPr>
        <w:t xml:space="preserve">If seeking approval to not display the expiration date for OMB approval of the information collection, explain the reasons why display would be inappropriate. </w:t>
      </w:r>
    </w:p>
    <w:p w:rsidRPr="00CE720B" w:rsidR="00A41763" w:rsidP="00070FF4" w:rsidRDefault="00003271" w14:paraId="44BE6E34" w14:textId="4C2FB9E4">
      <w:pPr>
        <w:spacing w:line="240" w:lineRule="atLeast"/>
      </w:pPr>
      <w:r w:rsidRPr="00CE720B">
        <w:rPr>
          <w:iCs/>
        </w:rPr>
        <w:t xml:space="preserve">DOE is not seeking approval not to display the expiration date for OMB approval of this information collection.  </w:t>
      </w:r>
    </w:p>
    <w:p w:rsidRPr="00CE720B" w:rsidR="00F056C3" w:rsidP="00A454B7" w:rsidRDefault="00F056C3" w14:paraId="58968B12" w14:textId="77777777">
      <w:pPr>
        <w:pStyle w:val="Heading2"/>
      </w:pPr>
      <w:bookmarkStart w:name="_Toc16271337" w:id="21"/>
      <w:r w:rsidRPr="00CE720B">
        <w:t>A.</w:t>
      </w:r>
      <w:r w:rsidRPr="00CE720B" w:rsidR="00A41763">
        <w:t xml:space="preserve">18. </w:t>
      </w:r>
      <w:r w:rsidRPr="00CE720B">
        <w:t>Certification Statement</w:t>
      </w:r>
      <w:bookmarkEnd w:id="21"/>
      <w:r w:rsidRPr="00CE720B">
        <w:t xml:space="preserve"> </w:t>
      </w:r>
    </w:p>
    <w:p w:rsidRPr="00CE720B" w:rsidR="00A41763" w:rsidP="00070FF4" w:rsidRDefault="00A41763" w14:paraId="226204A3" w14:textId="77777777">
      <w:pPr>
        <w:spacing w:line="240" w:lineRule="atLeast"/>
      </w:pPr>
      <w:r w:rsidRPr="00CE720B">
        <w:rPr>
          <w:b/>
          <w:bCs/>
        </w:rPr>
        <w:t xml:space="preserve">Explain each exception to the certification statement identified in Item 19 of OMB Form 83-I. </w:t>
      </w:r>
    </w:p>
    <w:p w:rsidR="00003271" w:rsidP="00070FF4" w:rsidRDefault="00003271" w14:paraId="2558A58D" w14:textId="77777777">
      <w:pPr>
        <w:spacing w:line="240" w:lineRule="atLeast"/>
      </w:pPr>
      <w:r w:rsidRPr="00CE720B">
        <w:t>There are no exceptions to the certification statement.</w:t>
      </w:r>
      <w:r>
        <w:t xml:space="preserve"> </w:t>
      </w:r>
    </w:p>
    <w:p w:rsidRPr="00003271" w:rsidR="00A41763" w:rsidP="00003271" w:rsidRDefault="00A41763" w14:paraId="54D3DEE0" w14:textId="77777777"/>
    <w:sectPr w:rsidRPr="00003271" w:rsidR="00A41763" w:rsidSect="00933D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E5BFA" w14:textId="77777777" w:rsidR="005F1540" w:rsidRDefault="005F1540" w:rsidP="00536CE1">
      <w:pPr>
        <w:spacing w:after="0" w:line="240" w:lineRule="auto"/>
      </w:pPr>
      <w:r>
        <w:separator/>
      </w:r>
    </w:p>
  </w:endnote>
  <w:endnote w:type="continuationSeparator" w:id="0">
    <w:p w14:paraId="2C8EC3F2" w14:textId="77777777" w:rsidR="005F1540" w:rsidRDefault="005F1540"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DD92" w14:textId="4FBC89AB" w:rsidR="008F16EC" w:rsidRPr="001F3A8F" w:rsidRDefault="008F16EC"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687840">
          <w:t>Supporting Statement for the Extension of Collection of Information for the American Assured Fuel Supply</w:t>
        </w:r>
      </w:sdtContent>
    </w:sdt>
    <w:r>
      <w:t xml:space="preserve"> </w:t>
    </w:r>
    <w:r>
      <w:tab/>
      <w:t xml:space="preserve"> </w:t>
    </w:r>
    <w:r>
      <w:fldChar w:fldCharType="begin"/>
    </w:r>
    <w:r>
      <w:instrText xml:space="preserve"> PAGE   \* MERGEFORMAT </w:instrText>
    </w:r>
    <w:r>
      <w:fldChar w:fldCharType="separate"/>
    </w:r>
    <w:r w:rsidR="00005719">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4D95" w14:textId="77777777" w:rsidR="008F16EC" w:rsidRDefault="00B76BE7" w:rsidP="00760677">
    <w:pPr>
      <w:pStyle w:val="Footer"/>
    </w:pPr>
    <w:sdt>
      <w:sdtPr>
        <w:id w:val="272451101"/>
        <w:docPartObj>
          <w:docPartGallery w:val="Page Numbers (Bottom of Page)"/>
          <w:docPartUnique/>
        </w:docPartObj>
      </w:sdtPr>
      <w:sdtEndPr/>
      <w:sdtContent>
        <w:r w:rsidR="008F16EC"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w:t>
    </w:r>
    <w:r w:rsidR="008F16EC">
      <w:rPr>
        <w:noProof/>
      </w:rPr>
      <w:fldChar w:fldCharType="end"/>
    </w:r>
  </w:p>
  <w:p w14:paraId="33224491" w14:textId="77777777" w:rsidR="008F16EC" w:rsidRDefault="008F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D6025" w14:textId="77777777" w:rsidR="008F16EC" w:rsidRDefault="00B76BE7" w:rsidP="00760677">
    <w:pPr>
      <w:pStyle w:val="Footer"/>
    </w:pPr>
    <w:sdt>
      <w:sdtPr>
        <w:id w:val="-22715443"/>
        <w:docPartObj>
          <w:docPartGallery w:val="Page Numbers (Bottom of Page)"/>
          <w:docPartUnique/>
        </w:docPartObj>
      </w:sdtPr>
      <w:sdtEndPr/>
      <w:sdtContent>
        <w:r w:rsidR="008F16EC"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8F16EC">
              <w:t>Improving the Quality and Scope of EIA Data</w:t>
            </w:r>
          </w:sdtContent>
        </w:sdt>
        <w:r w:rsidR="008F16EC" w:rsidRPr="00CB180D">
          <w:tab/>
        </w:r>
      </w:sdtContent>
    </w:sdt>
    <w:r w:rsidR="008F16EC" w:rsidRPr="00760677">
      <w:t xml:space="preserve"> </w:t>
    </w:r>
    <w:r w:rsidR="008F16EC">
      <w:fldChar w:fldCharType="begin"/>
    </w:r>
    <w:r w:rsidR="008F16EC">
      <w:instrText xml:space="preserve"> PAGE   \* MERGEFORMAT </w:instrText>
    </w:r>
    <w:r w:rsidR="008F16EC">
      <w:fldChar w:fldCharType="separate"/>
    </w:r>
    <w:r w:rsidR="008F16EC">
      <w:rPr>
        <w:noProof/>
      </w:rPr>
      <w:t>ii</w:t>
    </w:r>
    <w:r w:rsidR="008F16EC">
      <w:rPr>
        <w:noProof/>
      </w:rPr>
      <w:fldChar w:fldCharType="end"/>
    </w:r>
  </w:p>
  <w:p w14:paraId="35FE5252" w14:textId="77777777" w:rsidR="008F16EC" w:rsidRDefault="008F16EC" w:rsidP="00760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CEF79" w14:textId="2FCFE63E" w:rsidR="008F16EC" w:rsidRPr="001F3A8F" w:rsidRDefault="008F16EC" w:rsidP="00616E46">
    <w:pPr>
      <w:pStyle w:val="Footer"/>
      <w:tabs>
        <w:tab w:val="clear" w:pos="9720"/>
        <w:tab w:val="left" w:pos="8655"/>
      </w:tabs>
    </w:pPr>
    <w:r>
      <w:t>U.S. Department of Energy</w:t>
    </w:r>
    <w:r w:rsidRPr="00CB180D">
      <w:t xml:space="preserve">   |</w:t>
    </w:r>
    <w:r>
      <w:t xml:space="preserve">   </w:t>
    </w:r>
    <w:sdt>
      <w:sdtPr>
        <w:alias w:val="Title"/>
        <w:tag w:val=""/>
        <w:id w:val="-150062779"/>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rsidR="00687840">
          <w:t>Supporting Statement for the Extension of Collection of Information for the American Assured Fuel Supply</w:t>
        </w:r>
      </w:sdtContent>
    </w:sdt>
    <w:r>
      <w:t xml:space="preserve"> </w:t>
    </w:r>
    <w:r>
      <w:tab/>
      <w:t xml:space="preserve"> </w:t>
    </w:r>
    <w:r>
      <w:fldChar w:fldCharType="begin"/>
    </w:r>
    <w:r>
      <w:instrText xml:space="preserve"> PAGE   \* MERGEFORMAT </w:instrText>
    </w:r>
    <w:r>
      <w:fldChar w:fldCharType="separate"/>
    </w:r>
    <w:r w:rsidR="00005719">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E4391" w14:textId="77777777" w:rsidR="005F1540" w:rsidRDefault="005F1540" w:rsidP="00536CE1">
      <w:pPr>
        <w:spacing w:after="0" w:line="240" w:lineRule="auto"/>
      </w:pPr>
      <w:r>
        <w:separator/>
      </w:r>
    </w:p>
  </w:footnote>
  <w:footnote w:type="continuationSeparator" w:id="0">
    <w:p w14:paraId="1B1CA90A" w14:textId="77777777" w:rsidR="005F1540" w:rsidRDefault="005F1540"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C1C4C" w14:textId="77777777" w:rsidR="008F16EC" w:rsidRDefault="008F16EC"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2420149B"/>
    <w:multiLevelType w:val="hybridMultilevel"/>
    <w:tmpl w:val="CA408BB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F345449"/>
    <w:multiLevelType w:val="hybridMultilevel"/>
    <w:tmpl w:val="5E26727E"/>
    <w:lvl w:ilvl="0" w:tplc="479ED20A">
      <w:start w:val="8"/>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4"/>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3"/>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3686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271"/>
    <w:rsid w:val="0000364C"/>
    <w:rsid w:val="00004135"/>
    <w:rsid w:val="000041A1"/>
    <w:rsid w:val="000053BB"/>
    <w:rsid w:val="00005719"/>
    <w:rsid w:val="000057C0"/>
    <w:rsid w:val="00011B3F"/>
    <w:rsid w:val="00013373"/>
    <w:rsid w:val="000142E5"/>
    <w:rsid w:val="00015DA7"/>
    <w:rsid w:val="000248CE"/>
    <w:rsid w:val="00024E1E"/>
    <w:rsid w:val="00034A4B"/>
    <w:rsid w:val="00041909"/>
    <w:rsid w:val="000445BF"/>
    <w:rsid w:val="00046593"/>
    <w:rsid w:val="00047C08"/>
    <w:rsid w:val="0005401F"/>
    <w:rsid w:val="00055769"/>
    <w:rsid w:val="000561DD"/>
    <w:rsid w:val="00056EC3"/>
    <w:rsid w:val="00062CFE"/>
    <w:rsid w:val="00070FF4"/>
    <w:rsid w:val="0007129A"/>
    <w:rsid w:val="00071C6A"/>
    <w:rsid w:val="00076FD4"/>
    <w:rsid w:val="000806AF"/>
    <w:rsid w:val="000806C2"/>
    <w:rsid w:val="000831C4"/>
    <w:rsid w:val="00083768"/>
    <w:rsid w:val="000844CA"/>
    <w:rsid w:val="00093288"/>
    <w:rsid w:val="00097A9D"/>
    <w:rsid w:val="000A6D69"/>
    <w:rsid w:val="000A6F86"/>
    <w:rsid w:val="000B1B24"/>
    <w:rsid w:val="000B23E3"/>
    <w:rsid w:val="000B3FBE"/>
    <w:rsid w:val="000B6BF8"/>
    <w:rsid w:val="000C18BE"/>
    <w:rsid w:val="000C28E1"/>
    <w:rsid w:val="000C5311"/>
    <w:rsid w:val="000D07C3"/>
    <w:rsid w:val="000D4314"/>
    <w:rsid w:val="000D6137"/>
    <w:rsid w:val="000D6C47"/>
    <w:rsid w:val="000F040A"/>
    <w:rsid w:val="000F4415"/>
    <w:rsid w:val="000F7623"/>
    <w:rsid w:val="001034E8"/>
    <w:rsid w:val="001045F3"/>
    <w:rsid w:val="00110597"/>
    <w:rsid w:val="00112A69"/>
    <w:rsid w:val="0011541D"/>
    <w:rsid w:val="00120065"/>
    <w:rsid w:val="00132F4A"/>
    <w:rsid w:val="00144760"/>
    <w:rsid w:val="00145195"/>
    <w:rsid w:val="00154192"/>
    <w:rsid w:val="001549C0"/>
    <w:rsid w:val="00155FBA"/>
    <w:rsid w:val="00160BC8"/>
    <w:rsid w:val="00167425"/>
    <w:rsid w:val="001754E2"/>
    <w:rsid w:val="001807A3"/>
    <w:rsid w:val="00182268"/>
    <w:rsid w:val="00182BB8"/>
    <w:rsid w:val="00185E49"/>
    <w:rsid w:val="001947D5"/>
    <w:rsid w:val="001A29C5"/>
    <w:rsid w:val="001A6B4F"/>
    <w:rsid w:val="001A6E1E"/>
    <w:rsid w:val="001A6E9A"/>
    <w:rsid w:val="001B0E69"/>
    <w:rsid w:val="001B4B30"/>
    <w:rsid w:val="001B6585"/>
    <w:rsid w:val="001C105B"/>
    <w:rsid w:val="001D03A8"/>
    <w:rsid w:val="001D0BD4"/>
    <w:rsid w:val="001E1BE2"/>
    <w:rsid w:val="001F1F20"/>
    <w:rsid w:val="001F3A8F"/>
    <w:rsid w:val="002002E5"/>
    <w:rsid w:val="002008B4"/>
    <w:rsid w:val="00201F24"/>
    <w:rsid w:val="002127CE"/>
    <w:rsid w:val="00212D40"/>
    <w:rsid w:val="00215842"/>
    <w:rsid w:val="002159E6"/>
    <w:rsid w:val="002207DF"/>
    <w:rsid w:val="00221AC2"/>
    <w:rsid w:val="00227CEE"/>
    <w:rsid w:val="00227E4B"/>
    <w:rsid w:val="0023015A"/>
    <w:rsid w:val="00236739"/>
    <w:rsid w:val="0023708A"/>
    <w:rsid w:val="002447B0"/>
    <w:rsid w:val="0025022D"/>
    <w:rsid w:val="002530BB"/>
    <w:rsid w:val="002556F3"/>
    <w:rsid w:val="00260EDF"/>
    <w:rsid w:val="00263DCF"/>
    <w:rsid w:val="00264148"/>
    <w:rsid w:val="00264C0B"/>
    <w:rsid w:val="002722D9"/>
    <w:rsid w:val="00274179"/>
    <w:rsid w:val="002765F2"/>
    <w:rsid w:val="00280FEA"/>
    <w:rsid w:val="00286FA8"/>
    <w:rsid w:val="002B0FD2"/>
    <w:rsid w:val="002B16D6"/>
    <w:rsid w:val="002C378C"/>
    <w:rsid w:val="002D2D9F"/>
    <w:rsid w:val="002D61CC"/>
    <w:rsid w:val="002E32B2"/>
    <w:rsid w:val="002E3FD5"/>
    <w:rsid w:val="002E71C3"/>
    <w:rsid w:val="002E7A38"/>
    <w:rsid w:val="002F67C4"/>
    <w:rsid w:val="00300C98"/>
    <w:rsid w:val="00305AE3"/>
    <w:rsid w:val="00306516"/>
    <w:rsid w:val="003074C3"/>
    <w:rsid w:val="003142E7"/>
    <w:rsid w:val="0031715A"/>
    <w:rsid w:val="00322775"/>
    <w:rsid w:val="00336AA0"/>
    <w:rsid w:val="00337B80"/>
    <w:rsid w:val="0034133B"/>
    <w:rsid w:val="003469CB"/>
    <w:rsid w:val="00350C8B"/>
    <w:rsid w:val="00351313"/>
    <w:rsid w:val="00363331"/>
    <w:rsid w:val="00371E14"/>
    <w:rsid w:val="00372B17"/>
    <w:rsid w:val="00373208"/>
    <w:rsid w:val="00383DB3"/>
    <w:rsid w:val="003854B2"/>
    <w:rsid w:val="00385AE6"/>
    <w:rsid w:val="00387344"/>
    <w:rsid w:val="003873CC"/>
    <w:rsid w:val="00387C8D"/>
    <w:rsid w:val="00392728"/>
    <w:rsid w:val="00392DD0"/>
    <w:rsid w:val="00393588"/>
    <w:rsid w:val="00393EA7"/>
    <w:rsid w:val="00396BCB"/>
    <w:rsid w:val="00397825"/>
    <w:rsid w:val="003A1073"/>
    <w:rsid w:val="003A10F3"/>
    <w:rsid w:val="003A3906"/>
    <w:rsid w:val="003B03A4"/>
    <w:rsid w:val="003B6E2F"/>
    <w:rsid w:val="003C03EA"/>
    <w:rsid w:val="003C57B9"/>
    <w:rsid w:val="003C690C"/>
    <w:rsid w:val="003D422F"/>
    <w:rsid w:val="003D53F2"/>
    <w:rsid w:val="003E40FA"/>
    <w:rsid w:val="003E6FC7"/>
    <w:rsid w:val="003F0413"/>
    <w:rsid w:val="003F155A"/>
    <w:rsid w:val="003F24ED"/>
    <w:rsid w:val="003F529E"/>
    <w:rsid w:val="003F7104"/>
    <w:rsid w:val="0040206E"/>
    <w:rsid w:val="00407CCE"/>
    <w:rsid w:val="00411ED1"/>
    <w:rsid w:val="004125AC"/>
    <w:rsid w:val="004133A6"/>
    <w:rsid w:val="00415A6A"/>
    <w:rsid w:val="00420F5F"/>
    <w:rsid w:val="00423A6A"/>
    <w:rsid w:val="00426481"/>
    <w:rsid w:val="00432966"/>
    <w:rsid w:val="00442416"/>
    <w:rsid w:val="004460EB"/>
    <w:rsid w:val="0044735F"/>
    <w:rsid w:val="0045017D"/>
    <w:rsid w:val="0045608E"/>
    <w:rsid w:val="0045662F"/>
    <w:rsid w:val="0046045E"/>
    <w:rsid w:val="00460DE8"/>
    <w:rsid w:val="00461A6A"/>
    <w:rsid w:val="00466959"/>
    <w:rsid w:val="00466D85"/>
    <w:rsid w:val="00472A96"/>
    <w:rsid w:val="0047784B"/>
    <w:rsid w:val="00485950"/>
    <w:rsid w:val="0048735C"/>
    <w:rsid w:val="004946F0"/>
    <w:rsid w:val="0049489A"/>
    <w:rsid w:val="00497C2A"/>
    <w:rsid w:val="004B1075"/>
    <w:rsid w:val="004B1C8B"/>
    <w:rsid w:val="004C0D8E"/>
    <w:rsid w:val="004C277B"/>
    <w:rsid w:val="004C765A"/>
    <w:rsid w:val="004D05FB"/>
    <w:rsid w:val="004D29C7"/>
    <w:rsid w:val="004D4FEE"/>
    <w:rsid w:val="004F6232"/>
    <w:rsid w:val="00504119"/>
    <w:rsid w:val="005065CF"/>
    <w:rsid w:val="00506BB4"/>
    <w:rsid w:val="0050705F"/>
    <w:rsid w:val="005170D3"/>
    <w:rsid w:val="0052493A"/>
    <w:rsid w:val="00525517"/>
    <w:rsid w:val="0052783E"/>
    <w:rsid w:val="00534A23"/>
    <w:rsid w:val="00535CAF"/>
    <w:rsid w:val="00536054"/>
    <w:rsid w:val="00536503"/>
    <w:rsid w:val="0053654B"/>
    <w:rsid w:val="00536CE1"/>
    <w:rsid w:val="00537A91"/>
    <w:rsid w:val="0054180D"/>
    <w:rsid w:val="00545C0F"/>
    <w:rsid w:val="00546372"/>
    <w:rsid w:val="00547B53"/>
    <w:rsid w:val="005515CD"/>
    <w:rsid w:val="00563AA8"/>
    <w:rsid w:val="00567606"/>
    <w:rsid w:val="00571D8F"/>
    <w:rsid w:val="0057367D"/>
    <w:rsid w:val="00581216"/>
    <w:rsid w:val="00585BE3"/>
    <w:rsid w:val="005861BF"/>
    <w:rsid w:val="00586F54"/>
    <w:rsid w:val="0059212D"/>
    <w:rsid w:val="005A00C4"/>
    <w:rsid w:val="005A235E"/>
    <w:rsid w:val="005A4053"/>
    <w:rsid w:val="005A43D5"/>
    <w:rsid w:val="005B235C"/>
    <w:rsid w:val="005B2B58"/>
    <w:rsid w:val="005B2D72"/>
    <w:rsid w:val="005B597B"/>
    <w:rsid w:val="005C00FA"/>
    <w:rsid w:val="005C0D3D"/>
    <w:rsid w:val="005C1723"/>
    <w:rsid w:val="005C2D89"/>
    <w:rsid w:val="005C485B"/>
    <w:rsid w:val="005D2A40"/>
    <w:rsid w:val="005D32C0"/>
    <w:rsid w:val="005D39D7"/>
    <w:rsid w:val="005D3F53"/>
    <w:rsid w:val="005D5956"/>
    <w:rsid w:val="005D6F63"/>
    <w:rsid w:val="005F1540"/>
    <w:rsid w:val="005F4848"/>
    <w:rsid w:val="005F530A"/>
    <w:rsid w:val="00607F34"/>
    <w:rsid w:val="00614915"/>
    <w:rsid w:val="00615A22"/>
    <w:rsid w:val="00616E46"/>
    <w:rsid w:val="0062008C"/>
    <w:rsid w:val="00620797"/>
    <w:rsid w:val="00624FB7"/>
    <w:rsid w:val="00626494"/>
    <w:rsid w:val="00641DE2"/>
    <w:rsid w:val="00643384"/>
    <w:rsid w:val="0065064D"/>
    <w:rsid w:val="0065406F"/>
    <w:rsid w:val="0066003D"/>
    <w:rsid w:val="006606AD"/>
    <w:rsid w:val="00661717"/>
    <w:rsid w:val="00663EC4"/>
    <w:rsid w:val="00672B02"/>
    <w:rsid w:val="00677C5F"/>
    <w:rsid w:val="00687840"/>
    <w:rsid w:val="0069209A"/>
    <w:rsid w:val="00694267"/>
    <w:rsid w:val="006A0BC7"/>
    <w:rsid w:val="006A7E6F"/>
    <w:rsid w:val="006B1AD7"/>
    <w:rsid w:val="006B2CCA"/>
    <w:rsid w:val="006B3AC4"/>
    <w:rsid w:val="006C0062"/>
    <w:rsid w:val="006C0315"/>
    <w:rsid w:val="006C0424"/>
    <w:rsid w:val="006C097E"/>
    <w:rsid w:val="006C2DC3"/>
    <w:rsid w:val="006D0439"/>
    <w:rsid w:val="006D42EC"/>
    <w:rsid w:val="006E2BB7"/>
    <w:rsid w:val="006F1B05"/>
    <w:rsid w:val="006F3C12"/>
    <w:rsid w:val="00704B7D"/>
    <w:rsid w:val="00704E11"/>
    <w:rsid w:val="00706912"/>
    <w:rsid w:val="00711414"/>
    <w:rsid w:val="007172AE"/>
    <w:rsid w:val="00721D68"/>
    <w:rsid w:val="00724865"/>
    <w:rsid w:val="00725453"/>
    <w:rsid w:val="00730DA0"/>
    <w:rsid w:val="00737591"/>
    <w:rsid w:val="00741D3A"/>
    <w:rsid w:val="007438F2"/>
    <w:rsid w:val="00744BF8"/>
    <w:rsid w:val="007465E2"/>
    <w:rsid w:val="00752B6B"/>
    <w:rsid w:val="00755C3D"/>
    <w:rsid w:val="00756E89"/>
    <w:rsid w:val="007572FB"/>
    <w:rsid w:val="007576EF"/>
    <w:rsid w:val="00760677"/>
    <w:rsid w:val="00761904"/>
    <w:rsid w:val="00761C12"/>
    <w:rsid w:val="007658BA"/>
    <w:rsid w:val="00766E7E"/>
    <w:rsid w:val="00776CF4"/>
    <w:rsid w:val="00777E63"/>
    <w:rsid w:val="00784F89"/>
    <w:rsid w:val="00786336"/>
    <w:rsid w:val="00791B2A"/>
    <w:rsid w:val="007924C8"/>
    <w:rsid w:val="007951D6"/>
    <w:rsid w:val="00795E4A"/>
    <w:rsid w:val="007A0E7F"/>
    <w:rsid w:val="007A1706"/>
    <w:rsid w:val="007A4378"/>
    <w:rsid w:val="007A5A8E"/>
    <w:rsid w:val="007B571D"/>
    <w:rsid w:val="007C4881"/>
    <w:rsid w:val="007C5CE9"/>
    <w:rsid w:val="007D39CC"/>
    <w:rsid w:val="007D4E3D"/>
    <w:rsid w:val="007D66AF"/>
    <w:rsid w:val="007D6AAF"/>
    <w:rsid w:val="007E29F8"/>
    <w:rsid w:val="007E2AE6"/>
    <w:rsid w:val="007E3B6C"/>
    <w:rsid w:val="007E4BBA"/>
    <w:rsid w:val="007E5A11"/>
    <w:rsid w:val="007E73E6"/>
    <w:rsid w:val="007F1954"/>
    <w:rsid w:val="007F21D7"/>
    <w:rsid w:val="007F3759"/>
    <w:rsid w:val="007F5690"/>
    <w:rsid w:val="008057F8"/>
    <w:rsid w:val="00805F41"/>
    <w:rsid w:val="00807FE1"/>
    <w:rsid w:val="00810D85"/>
    <w:rsid w:val="0081121C"/>
    <w:rsid w:val="00811910"/>
    <w:rsid w:val="008122A4"/>
    <w:rsid w:val="00812C91"/>
    <w:rsid w:val="008213F9"/>
    <w:rsid w:val="00825B7E"/>
    <w:rsid w:val="008307E1"/>
    <w:rsid w:val="00836497"/>
    <w:rsid w:val="00836D62"/>
    <w:rsid w:val="00844524"/>
    <w:rsid w:val="0084694C"/>
    <w:rsid w:val="00867160"/>
    <w:rsid w:val="0087205B"/>
    <w:rsid w:val="00873F40"/>
    <w:rsid w:val="00874FB8"/>
    <w:rsid w:val="00895669"/>
    <w:rsid w:val="00897946"/>
    <w:rsid w:val="008A3276"/>
    <w:rsid w:val="008A3447"/>
    <w:rsid w:val="008A5A53"/>
    <w:rsid w:val="008A7E5F"/>
    <w:rsid w:val="008B6807"/>
    <w:rsid w:val="008C3842"/>
    <w:rsid w:val="008C4C5A"/>
    <w:rsid w:val="008C734C"/>
    <w:rsid w:val="008E28B2"/>
    <w:rsid w:val="008E4BF2"/>
    <w:rsid w:val="008E7C42"/>
    <w:rsid w:val="008F16EC"/>
    <w:rsid w:val="008F49AB"/>
    <w:rsid w:val="008F4CBD"/>
    <w:rsid w:val="009017AD"/>
    <w:rsid w:val="00901BED"/>
    <w:rsid w:val="00905735"/>
    <w:rsid w:val="00905B60"/>
    <w:rsid w:val="009131B9"/>
    <w:rsid w:val="0091409C"/>
    <w:rsid w:val="00917EF6"/>
    <w:rsid w:val="0092149C"/>
    <w:rsid w:val="0092164E"/>
    <w:rsid w:val="00933D5D"/>
    <w:rsid w:val="00935805"/>
    <w:rsid w:val="009368F3"/>
    <w:rsid w:val="00947C42"/>
    <w:rsid w:val="00950489"/>
    <w:rsid w:val="00954300"/>
    <w:rsid w:val="00957DE9"/>
    <w:rsid w:val="009616F7"/>
    <w:rsid w:val="00965A44"/>
    <w:rsid w:val="00967D7C"/>
    <w:rsid w:val="0097299A"/>
    <w:rsid w:val="009757AD"/>
    <w:rsid w:val="00980B6A"/>
    <w:rsid w:val="009818F9"/>
    <w:rsid w:val="00983B58"/>
    <w:rsid w:val="00985911"/>
    <w:rsid w:val="0098618F"/>
    <w:rsid w:val="00987C32"/>
    <w:rsid w:val="00987E97"/>
    <w:rsid w:val="00987F17"/>
    <w:rsid w:val="00990F31"/>
    <w:rsid w:val="00991646"/>
    <w:rsid w:val="0099448B"/>
    <w:rsid w:val="00997347"/>
    <w:rsid w:val="009A08CD"/>
    <w:rsid w:val="009A31C1"/>
    <w:rsid w:val="009A5E80"/>
    <w:rsid w:val="009B19CE"/>
    <w:rsid w:val="009B40D8"/>
    <w:rsid w:val="009C0C4B"/>
    <w:rsid w:val="009C202F"/>
    <w:rsid w:val="009C7027"/>
    <w:rsid w:val="009C77F7"/>
    <w:rsid w:val="009D1ADE"/>
    <w:rsid w:val="009D35A3"/>
    <w:rsid w:val="009D4A47"/>
    <w:rsid w:val="009D5A70"/>
    <w:rsid w:val="009E1FC8"/>
    <w:rsid w:val="009E48F1"/>
    <w:rsid w:val="009E5ABC"/>
    <w:rsid w:val="009E5B9C"/>
    <w:rsid w:val="009F31B6"/>
    <w:rsid w:val="009F4ED1"/>
    <w:rsid w:val="00A00D71"/>
    <w:rsid w:val="00A00EDF"/>
    <w:rsid w:val="00A0564D"/>
    <w:rsid w:val="00A06CA9"/>
    <w:rsid w:val="00A1369F"/>
    <w:rsid w:val="00A20E12"/>
    <w:rsid w:val="00A26A17"/>
    <w:rsid w:val="00A30169"/>
    <w:rsid w:val="00A312A3"/>
    <w:rsid w:val="00A3340F"/>
    <w:rsid w:val="00A33D9F"/>
    <w:rsid w:val="00A34266"/>
    <w:rsid w:val="00A35889"/>
    <w:rsid w:val="00A37229"/>
    <w:rsid w:val="00A41763"/>
    <w:rsid w:val="00A418C9"/>
    <w:rsid w:val="00A454B7"/>
    <w:rsid w:val="00A50C05"/>
    <w:rsid w:val="00A72AA8"/>
    <w:rsid w:val="00A73352"/>
    <w:rsid w:val="00A74202"/>
    <w:rsid w:val="00A74C9B"/>
    <w:rsid w:val="00A874E4"/>
    <w:rsid w:val="00A93478"/>
    <w:rsid w:val="00A97FE7"/>
    <w:rsid w:val="00AA24BA"/>
    <w:rsid w:val="00AA2D0C"/>
    <w:rsid w:val="00AA3763"/>
    <w:rsid w:val="00AA3FD0"/>
    <w:rsid w:val="00AA46CA"/>
    <w:rsid w:val="00AA7EFA"/>
    <w:rsid w:val="00AB61B3"/>
    <w:rsid w:val="00AB7EBB"/>
    <w:rsid w:val="00AC323A"/>
    <w:rsid w:val="00AC69E8"/>
    <w:rsid w:val="00AC7799"/>
    <w:rsid w:val="00AD406C"/>
    <w:rsid w:val="00AD6357"/>
    <w:rsid w:val="00AD7F81"/>
    <w:rsid w:val="00AE3FF7"/>
    <w:rsid w:val="00AE4CA9"/>
    <w:rsid w:val="00AE6862"/>
    <w:rsid w:val="00AF161C"/>
    <w:rsid w:val="00AF367D"/>
    <w:rsid w:val="00AF45FD"/>
    <w:rsid w:val="00B02629"/>
    <w:rsid w:val="00B150B8"/>
    <w:rsid w:val="00B2386E"/>
    <w:rsid w:val="00B32BEB"/>
    <w:rsid w:val="00B34F15"/>
    <w:rsid w:val="00B35E2A"/>
    <w:rsid w:val="00B37BCD"/>
    <w:rsid w:val="00B4263D"/>
    <w:rsid w:val="00B55446"/>
    <w:rsid w:val="00B56B23"/>
    <w:rsid w:val="00B56F49"/>
    <w:rsid w:val="00B7442A"/>
    <w:rsid w:val="00B76ADF"/>
    <w:rsid w:val="00B76BE7"/>
    <w:rsid w:val="00B8679E"/>
    <w:rsid w:val="00B97002"/>
    <w:rsid w:val="00BB2F70"/>
    <w:rsid w:val="00BB4459"/>
    <w:rsid w:val="00BB6CF4"/>
    <w:rsid w:val="00BC14C3"/>
    <w:rsid w:val="00BC1ABE"/>
    <w:rsid w:val="00BC1AC8"/>
    <w:rsid w:val="00BD2F20"/>
    <w:rsid w:val="00BD4F62"/>
    <w:rsid w:val="00BE15FC"/>
    <w:rsid w:val="00BE4AFD"/>
    <w:rsid w:val="00BF348B"/>
    <w:rsid w:val="00C00590"/>
    <w:rsid w:val="00C02FE7"/>
    <w:rsid w:val="00C04647"/>
    <w:rsid w:val="00C058CF"/>
    <w:rsid w:val="00C12551"/>
    <w:rsid w:val="00C154B2"/>
    <w:rsid w:val="00C207D2"/>
    <w:rsid w:val="00C211CD"/>
    <w:rsid w:val="00C25328"/>
    <w:rsid w:val="00C3744D"/>
    <w:rsid w:val="00C43A84"/>
    <w:rsid w:val="00C54EDD"/>
    <w:rsid w:val="00C55291"/>
    <w:rsid w:val="00C632D2"/>
    <w:rsid w:val="00C64137"/>
    <w:rsid w:val="00C656B2"/>
    <w:rsid w:val="00C658E4"/>
    <w:rsid w:val="00C66413"/>
    <w:rsid w:val="00C66778"/>
    <w:rsid w:val="00C711A2"/>
    <w:rsid w:val="00C71FFC"/>
    <w:rsid w:val="00C7266E"/>
    <w:rsid w:val="00C76056"/>
    <w:rsid w:val="00C76C66"/>
    <w:rsid w:val="00C7731D"/>
    <w:rsid w:val="00C82DF9"/>
    <w:rsid w:val="00C87190"/>
    <w:rsid w:val="00CA1564"/>
    <w:rsid w:val="00CA7C8A"/>
    <w:rsid w:val="00CB44E8"/>
    <w:rsid w:val="00CB7978"/>
    <w:rsid w:val="00CC1D12"/>
    <w:rsid w:val="00CD4560"/>
    <w:rsid w:val="00CE42E9"/>
    <w:rsid w:val="00CE52AF"/>
    <w:rsid w:val="00CE720B"/>
    <w:rsid w:val="00CE76FA"/>
    <w:rsid w:val="00CF52D9"/>
    <w:rsid w:val="00CF7920"/>
    <w:rsid w:val="00D001E4"/>
    <w:rsid w:val="00D00AA8"/>
    <w:rsid w:val="00D01BEA"/>
    <w:rsid w:val="00D02778"/>
    <w:rsid w:val="00D05A24"/>
    <w:rsid w:val="00D060C0"/>
    <w:rsid w:val="00D13E84"/>
    <w:rsid w:val="00D230EB"/>
    <w:rsid w:val="00D300F4"/>
    <w:rsid w:val="00D3344B"/>
    <w:rsid w:val="00D35226"/>
    <w:rsid w:val="00D359F4"/>
    <w:rsid w:val="00D37BDB"/>
    <w:rsid w:val="00D40175"/>
    <w:rsid w:val="00D44AC5"/>
    <w:rsid w:val="00D54DC7"/>
    <w:rsid w:val="00D55243"/>
    <w:rsid w:val="00D55EF0"/>
    <w:rsid w:val="00D55F6E"/>
    <w:rsid w:val="00D56CCB"/>
    <w:rsid w:val="00D5778D"/>
    <w:rsid w:val="00D62DDB"/>
    <w:rsid w:val="00D62F90"/>
    <w:rsid w:val="00D63E74"/>
    <w:rsid w:val="00D7038F"/>
    <w:rsid w:val="00D70944"/>
    <w:rsid w:val="00D715C4"/>
    <w:rsid w:val="00D74A71"/>
    <w:rsid w:val="00D752ED"/>
    <w:rsid w:val="00D80192"/>
    <w:rsid w:val="00D854D8"/>
    <w:rsid w:val="00D928FD"/>
    <w:rsid w:val="00D9326C"/>
    <w:rsid w:val="00D97325"/>
    <w:rsid w:val="00DA5EBC"/>
    <w:rsid w:val="00DA6FC8"/>
    <w:rsid w:val="00DB1736"/>
    <w:rsid w:val="00DB6EAB"/>
    <w:rsid w:val="00DC1461"/>
    <w:rsid w:val="00DC7318"/>
    <w:rsid w:val="00DC79E3"/>
    <w:rsid w:val="00DD51E1"/>
    <w:rsid w:val="00DD685A"/>
    <w:rsid w:val="00DE2D54"/>
    <w:rsid w:val="00DE3049"/>
    <w:rsid w:val="00DF4CDC"/>
    <w:rsid w:val="00DF5CF4"/>
    <w:rsid w:val="00E00C9B"/>
    <w:rsid w:val="00E01A73"/>
    <w:rsid w:val="00E02BB0"/>
    <w:rsid w:val="00E03CE6"/>
    <w:rsid w:val="00E05DE5"/>
    <w:rsid w:val="00E06F61"/>
    <w:rsid w:val="00E13716"/>
    <w:rsid w:val="00E266FF"/>
    <w:rsid w:val="00E27661"/>
    <w:rsid w:val="00E32285"/>
    <w:rsid w:val="00E356C4"/>
    <w:rsid w:val="00E35C1D"/>
    <w:rsid w:val="00E40E68"/>
    <w:rsid w:val="00E47DB3"/>
    <w:rsid w:val="00E47F14"/>
    <w:rsid w:val="00E509A9"/>
    <w:rsid w:val="00E51F8B"/>
    <w:rsid w:val="00E5242A"/>
    <w:rsid w:val="00E53398"/>
    <w:rsid w:val="00E66AE2"/>
    <w:rsid w:val="00E71A84"/>
    <w:rsid w:val="00E73AC9"/>
    <w:rsid w:val="00E74DA4"/>
    <w:rsid w:val="00E76DAE"/>
    <w:rsid w:val="00E81B89"/>
    <w:rsid w:val="00E835FB"/>
    <w:rsid w:val="00E8450F"/>
    <w:rsid w:val="00E91432"/>
    <w:rsid w:val="00E91B5A"/>
    <w:rsid w:val="00E91C42"/>
    <w:rsid w:val="00EA4A7C"/>
    <w:rsid w:val="00EA65A8"/>
    <w:rsid w:val="00EA7043"/>
    <w:rsid w:val="00EA7E88"/>
    <w:rsid w:val="00EB0ED2"/>
    <w:rsid w:val="00EB77D5"/>
    <w:rsid w:val="00ED6E45"/>
    <w:rsid w:val="00EE088B"/>
    <w:rsid w:val="00EE2CAF"/>
    <w:rsid w:val="00EE3EFF"/>
    <w:rsid w:val="00EE43E4"/>
    <w:rsid w:val="00EE6547"/>
    <w:rsid w:val="00EF0B69"/>
    <w:rsid w:val="00EF2CBF"/>
    <w:rsid w:val="00EF5CE5"/>
    <w:rsid w:val="00F001EA"/>
    <w:rsid w:val="00F0382F"/>
    <w:rsid w:val="00F04816"/>
    <w:rsid w:val="00F056C3"/>
    <w:rsid w:val="00F115FC"/>
    <w:rsid w:val="00F16214"/>
    <w:rsid w:val="00F16B90"/>
    <w:rsid w:val="00F2041C"/>
    <w:rsid w:val="00F24DA9"/>
    <w:rsid w:val="00F32CF9"/>
    <w:rsid w:val="00F335CC"/>
    <w:rsid w:val="00F34F19"/>
    <w:rsid w:val="00F41FEC"/>
    <w:rsid w:val="00F44A21"/>
    <w:rsid w:val="00F46C11"/>
    <w:rsid w:val="00F54567"/>
    <w:rsid w:val="00F5702E"/>
    <w:rsid w:val="00F575F0"/>
    <w:rsid w:val="00F630CF"/>
    <w:rsid w:val="00F64F2A"/>
    <w:rsid w:val="00F6664C"/>
    <w:rsid w:val="00F714A0"/>
    <w:rsid w:val="00F715AB"/>
    <w:rsid w:val="00F74C88"/>
    <w:rsid w:val="00F750E7"/>
    <w:rsid w:val="00F75BE8"/>
    <w:rsid w:val="00F80AF1"/>
    <w:rsid w:val="00F8298C"/>
    <w:rsid w:val="00F90245"/>
    <w:rsid w:val="00F920D9"/>
    <w:rsid w:val="00F94781"/>
    <w:rsid w:val="00FA5388"/>
    <w:rsid w:val="00FA6232"/>
    <w:rsid w:val="00FB08E3"/>
    <w:rsid w:val="00FB6BF3"/>
    <w:rsid w:val="00FD1B60"/>
    <w:rsid w:val="00FD397B"/>
    <w:rsid w:val="00FD4B01"/>
    <w:rsid w:val="00FD52F2"/>
    <w:rsid w:val="00FD6774"/>
    <w:rsid w:val="00FD7CDC"/>
    <w:rsid w:val="00FE2197"/>
    <w:rsid w:val="00FE5199"/>
    <w:rsid w:val="00FE52B1"/>
    <w:rsid w:val="00FE58E0"/>
    <w:rsid w:val="00FE74D0"/>
    <w:rsid w:val="00FF2443"/>
    <w:rsid w:val="00FF5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f" fillcolor="white" stroke="f">
      <v:fill color="white" on="f"/>
      <v:stroke on="f"/>
    </o:shapedefaults>
    <o:shapelayout v:ext="edit">
      <o:idmap v:ext="edit" data="1"/>
    </o:shapelayout>
  </w:shapeDefaults>
  <w:decimalSymbol w:val="."/>
  <w:listSeparator w:val=","/>
  <w14:docId w14:val="30E0CE8A"/>
  <w15:docId w15:val="{FBE9A1E3-2795-4532-B672-78B6FC03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A454B7"/>
    <w:pPr>
      <w:keepNext/>
      <w:keepLines/>
      <w:spacing w:line="240" w:lineRule="atLeast"/>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A454B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8C4C5A"/>
    <w:rPr>
      <w:sz w:val="16"/>
      <w:szCs w:val="16"/>
    </w:rPr>
  </w:style>
  <w:style w:type="paragraph" w:styleId="CommentText">
    <w:name w:val="annotation text"/>
    <w:basedOn w:val="Normal"/>
    <w:link w:val="CommentTextChar"/>
    <w:uiPriority w:val="99"/>
    <w:semiHidden/>
    <w:unhideWhenUsed/>
    <w:locked/>
    <w:rsid w:val="008C4C5A"/>
    <w:pPr>
      <w:spacing w:line="240" w:lineRule="auto"/>
    </w:pPr>
    <w:rPr>
      <w:sz w:val="20"/>
      <w:szCs w:val="20"/>
    </w:rPr>
  </w:style>
  <w:style w:type="character" w:customStyle="1" w:styleId="CommentTextChar">
    <w:name w:val="Comment Text Char"/>
    <w:basedOn w:val="DefaultParagraphFont"/>
    <w:link w:val="CommentText"/>
    <w:uiPriority w:val="99"/>
    <w:semiHidden/>
    <w:rsid w:val="008C4C5A"/>
    <w:rPr>
      <w:sz w:val="20"/>
      <w:szCs w:val="20"/>
    </w:rPr>
  </w:style>
  <w:style w:type="paragraph" w:styleId="CommentSubject">
    <w:name w:val="annotation subject"/>
    <w:basedOn w:val="CommentText"/>
    <w:next w:val="CommentText"/>
    <w:link w:val="CommentSubjectChar"/>
    <w:uiPriority w:val="99"/>
    <w:semiHidden/>
    <w:unhideWhenUsed/>
    <w:locked/>
    <w:rsid w:val="008C4C5A"/>
    <w:rPr>
      <w:b/>
      <w:bCs/>
    </w:rPr>
  </w:style>
  <w:style w:type="character" w:customStyle="1" w:styleId="CommentSubjectChar">
    <w:name w:val="Comment Subject Char"/>
    <w:basedOn w:val="CommentTextChar"/>
    <w:link w:val="CommentSubject"/>
    <w:uiPriority w:val="99"/>
    <w:semiHidden/>
    <w:rsid w:val="008C4C5A"/>
    <w:rPr>
      <w:b/>
      <w:bCs/>
      <w:sz w:val="20"/>
      <w:szCs w:val="20"/>
    </w:rPr>
  </w:style>
  <w:style w:type="paragraph" w:styleId="Revision">
    <w:name w:val="Revision"/>
    <w:hidden/>
    <w:uiPriority w:val="99"/>
    <w:semiHidden/>
    <w:rsid w:val="00BB4459"/>
    <w:pPr>
      <w:spacing w:after="0"/>
    </w:pPr>
  </w:style>
  <w:style w:type="table" w:styleId="TableGridLight">
    <w:name w:val="Grid Table Light"/>
    <w:basedOn w:val="TableNormal"/>
    <w:uiPriority w:val="40"/>
    <w:rsid w:val="00917EF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355B16"/>
    <w:rsid w:val="00387D72"/>
    <w:rsid w:val="003B0C7E"/>
    <w:rsid w:val="00411C84"/>
    <w:rsid w:val="00624AD2"/>
    <w:rsid w:val="0065501B"/>
    <w:rsid w:val="008826B7"/>
    <w:rsid w:val="00913400"/>
    <w:rsid w:val="0097548D"/>
    <w:rsid w:val="009E75B6"/>
    <w:rsid w:val="00B42F71"/>
    <w:rsid w:val="00D17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63D8D8-7541-4EBF-8792-AF5B0D43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the Extension of Collection of Information for the American Assured Fuel Supply</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Extension of Collection of Information for the American Assured Fuel Supply</dc:title>
  <dc:subject>Improving the Quality and Scope of EIA Data</dc:subject>
  <dc:creator>Stroud, Lawrence</dc:creator>
  <cp:keywords/>
  <dc:description/>
  <cp:lastModifiedBy>Freeman, Yohanna</cp:lastModifiedBy>
  <cp:revision>8</cp:revision>
  <cp:lastPrinted>2011-12-12T20:42:00Z</cp:lastPrinted>
  <dcterms:created xsi:type="dcterms:W3CDTF">2021-01-05T21:17:00Z</dcterms:created>
  <dcterms:modified xsi:type="dcterms:W3CDTF">2021-02-04T19:41:00Z</dcterms:modified>
</cp:coreProperties>
</file>