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11E5" w:rsidR="00F811E5" w:rsidP="00E81AE8" w:rsidRDefault="00F811E5" w14:paraId="49BFCA4A" w14:textId="77777777">
      <w:pPr>
        <w:pStyle w:val="Title"/>
        <w:rPr>
          <w:rFonts w:ascii="Times New Roman" w:hAnsi="Times New Roman"/>
          <w:u w:val="none"/>
        </w:rPr>
      </w:pPr>
      <w:r w:rsidRPr="00F811E5">
        <w:rPr>
          <w:rFonts w:ascii="Times New Roman" w:hAnsi="Times New Roman"/>
          <w:u w:val="none"/>
        </w:rPr>
        <w:t>Department of Transportation</w:t>
      </w:r>
    </w:p>
    <w:p w:rsidRPr="00F811E5" w:rsidR="00F811E5" w:rsidP="00E81AE8" w:rsidRDefault="00F811E5" w14:paraId="5DC049BB" w14:textId="77777777">
      <w:pPr>
        <w:pStyle w:val="Title"/>
        <w:rPr>
          <w:rFonts w:ascii="Times New Roman" w:hAnsi="Times New Roman"/>
        </w:rPr>
      </w:pPr>
      <w:r w:rsidRPr="00F811E5">
        <w:rPr>
          <w:rFonts w:ascii="Times New Roman" w:hAnsi="Times New Roman"/>
          <w:u w:val="none"/>
        </w:rPr>
        <w:t>Office of the Chief Information Officer</w:t>
      </w:r>
    </w:p>
    <w:p w:rsidRPr="00F811E5" w:rsidR="00F811E5" w:rsidP="00E81AE8" w:rsidRDefault="00F811E5" w14:paraId="34D96466" w14:textId="77777777">
      <w:pPr>
        <w:pStyle w:val="Title"/>
        <w:rPr>
          <w:rFonts w:ascii="Times New Roman" w:hAnsi="Times New Roman"/>
        </w:rPr>
      </w:pPr>
      <w:r w:rsidRPr="00F811E5">
        <w:rPr>
          <w:rFonts w:ascii="Times New Roman" w:hAnsi="Times New Roman"/>
          <w:u w:val="none"/>
        </w:rPr>
        <w:t>Supporting Statement</w:t>
      </w:r>
    </w:p>
    <w:p w:rsidR="00C877F0" w:rsidP="00E81AE8" w:rsidRDefault="00C877F0" w14:paraId="12ED7240" w14:textId="77777777">
      <w:pPr>
        <w:jc w:val="center"/>
        <w:rPr>
          <w:b/>
        </w:rPr>
      </w:pPr>
    </w:p>
    <w:p w:rsidRPr="00C877F0" w:rsidR="00F811E5" w:rsidP="00E81AE8" w:rsidRDefault="00F811E5" w14:paraId="3A44C8E2" w14:textId="77777777">
      <w:pPr>
        <w:jc w:val="center"/>
      </w:pPr>
      <w:r w:rsidRPr="00C877F0">
        <w:t>Testing, Inspection and Marking Requirements for Cylinders</w:t>
      </w:r>
    </w:p>
    <w:p w:rsidRPr="00C877F0" w:rsidR="00F811E5" w:rsidP="00E81AE8" w:rsidRDefault="00F811E5" w14:paraId="7BDB5273" w14:textId="77777777">
      <w:pPr>
        <w:jc w:val="center"/>
        <w:rPr>
          <w:bCs/>
        </w:rPr>
      </w:pPr>
      <w:r w:rsidRPr="00C877F0">
        <w:rPr>
          <w:bCs/>
        </w:rPr>
        <w:t>OMB Control No. 2137-0022</w:t>
      </w:r>
    </w:p>
    <w:p w:rsidRPr="00F811E5" w:rsidR="00115876" w:rsidP="00E81AE8" w:rsidRDefault="00115876" w14:paraId="27F70981" w14:textId="77777777">
      <w:pPr>
        <w:jc w:val="center"/>
      </w:pPr>
    </w:p>
    <w:p w:rsidRPr="00C877F0" w:rsidR="00115876" w:rsidP="00E81AE8" w:rsidRDefault="00F811E5" w14:paraId="4B3459ED" w14:textId="2D70A6CD">
      <w:pPr>
        <w:jc w:val="center"/>
      </w:pPr>
      <w:r w:rsidRPr="00C877F0">
        <w:t xml:space="preserve">(Expiration Date: </w:t>
      </w:r>
      <w:r w:rsidR="009B04FC">
        <w:t xml:space="preserve">July </w:t>
      </w:r>
      <w:r w:rsidR="00E81AE8">
        <w:t xml:space="preserve">31, </w:t>
      </w:r>
      <w:r w:rsidR="009B04FC">
        <w:t>2021</w:t>
      </w:r>
      <w:r w:rsidRPr="00C877F0">
        <w:t>)</w:t>
      </w:r>
    </w:p>
    <w:p w:rsidRPr="00F811E5" w:rsidR="004C14A2" w:rsidP="00E81AE8" w:rsidRDefault="004C14A2" w14:paraId="326ABE8D" w14:textId="77777777"/>
    <w:p w:rsidRPr="00075E22" w:rsidR="00AC1E4C" w:rsidP="00E81AE8" w:rsidRDefault="00AC1E4C" w14:paraId="441CFED0" w14:textId="77777777">
      <w:pPr>
        <w:rPr>
          <w:b/>
          <w:u w:val="single"/>
        </w:rPr>
      </w:pPr>
      <w:r w:rsidRPr="00075E22">
        <w:rPr>
          <w:b/>
          <w:u w:val="single"/>
        </w:rPr>
        <w:t>Introduction:</w:t>
      </w:r>
    </w:p>
    <w:p w:rsidRPr="00F811E5" w:rsidR="004C14A2" w:rsidP="00E81AE8" w:rsidRDefault="004C14A2" w14:paraId="2768585E" w14:textId="77777777">
      <w:pPr>
        <w:rPr>
          <w:u w:val="single"/>
        </w:rPr>
      </w:pPr>
    </w:p>
    <w:p w:rsidR="006C5F11" w:rsidP="00E81AE8" w:rsidRDefault="00075E22" w14:paraId="6E914CD1" w14:textId="050532A0">
      <w:r>
        <w:t xml:space="preserve">This is to request </w:t>
      </w:r>
      <w:r w:rsidR="004E287C">
        <w:t xml:space="preserve">that </w:t>
      </w:r>
      <w:r>
        <w:t xml:space="preserve">the Office of Management and Budget (OMB) </w:t>
      </w:r>
      <w:r w:rsidR="004E287C">
        <w:t xml:space="preserve">approve a </w:t>
      </w:r>
      <w:r w:rsidR="00566B34">
        <w:t xml:space="preserve">three-year </w:t>
      </w:r>
      <w:r w:rsidR="00902AA1">
        <w:t>extension</w:t>
      </w:r>
      <w:r w:rsidR="00077747">
        <w:t xml:space="preserve"> </w:t>
      </w:r>
      <w:r w:rsidR="00566B34">
        <w:t>of the</w:t>
      </w:r>
      <w:r>
        <w:t xml:space="preserve"> information collection “</w:t>
      </w:r>
      <w:r w:rsidRPr="00F811E5">
        <w:t>Testing, Inspection and Marking Requirements for Cylinders</w:t>
      </w:r>
      <w:r>
        <w:t xml:space="preserve">,” </w:t>
      </w:r>
      <w:r w:rsidR="00E82F1B">
        <w:t xml:space="preserve">under </w:t>
      </w:r>
      <w:r>
        <w:t xml:space="preserve">OMB Control No. 2137-0022, which is currently due to expire on </w:t>
      </w:r>
      <w:r w:rsidR="009B04FC">
        <w:t>July </w:t>
      </w:r>
      <w:r w:rsidR="00934696">
        <w:t xml:space="preserve">31, </w:t>
      </w:r>
      <w:r w:rsidR="009B04FC">
        <w:t>2021</w:t>
      </w:r>
      <w:r w:rsidRPr="00570183">
        <w:t xml:space="preserve">.  </w:t>
      </w:r>
      <w:r w:rsidR="0065011B">
        <w:t>Th</w:t>
      </w:r>
      <w:r w:rsidR="00934696">
        <w:t xml:space="preserve">ese reporting </w:t>
      </w:r>
      <w:r w:rsidR="0065011B">
        <w:t xml:space="preserve">and recordkeeping requirements pertain to </w:t>
      </w:r>
      <w:r w:rsidRPr="00F811E5" w:rsidR="0065011B">
        <w:t>manufacturers, requalifiers</w:t>
      </w:r>
      <w:r w:rsidR="00934696">
        <w:t>,</w:t>
      </w:r>
      <w:r w:rsidRPr="00F811E5" w:rsidR="0065011B">
        <w:t xml:space="preserve"> and repairers</w:t>
      </w:r>
      <w:r w:rsidR="00566B34">
        <w:t xml:space="preserve"> of </w:t>
      </w:r>
      <w:r w:rsidR="00234080">
        <w:t>Department of Transportation (</w:t>
      </w:r>
      <w:r w:rsidR="00566B34">
        <w:t>DOT</w:t>
      </w:r>
      <w:r w:rsidR="00234080">
        <w:t>)</w:t>
      </w:r>
      <w:r w:rsidR="00566B34">
        <w:t xml:space="preserve"> </w:t>
      </w:r>
      <w:r w:rsidR="009B04FC">
        <w:t>s</w:t>
      </w:r>
      <w:r w:rsidR="00566B34">
        <w:t xml:space="preserve">pecification </w:t>
      </w:r>
      <w:r w:rsidR="009B04FC">
        <w:t>c</w:t>
      </w:r>
      <w:r w:rsidR="00566B34">
        <w:t>ylinders</w:t>
      </w:r>
      <w:r w:rsidR="00934696">
        <w:t xml:space="preserve">. </w:t>
      </w:r>
      <w:r w:rsidRPr="00570183" w:rsidR="00570183">
        <w:t xml:space="preserve">This OMB control number </w:t>
      </w:r>
      <w:r w:rsidR="009D30D8">
        <w:t xml:space="preserve">was </w:t>
      </w:r>
      <w:r w:rsidRPr="00570183" w:rsidR="00570183">
        <w:t xml:space="preserve">initiated on </w:t>
      </w:r>
      <w:r w:rsidRPr="00570183" w:rsidR="009B04FC">
        <w:t>July</w:t>
      </w:r>
      <w:r w:rsidR="009B04FC">
        <w:t> </w:t>
      </w:r>
      <w:r w:rsidRPr="00570183" w:rsidR="00570183">
        <w:t>29, 1981</w:t>
      </w:r>
      <w:r w:rsidR="00F10054">
        <w:t>,</w:t>
      </w:r>
      <w:r w:rsidRPr="00570183" w:rsidR="00570183">
        <w:t xml:space="preserve"> and was preceded by a cylinder rulemaking </w:t>
      </w:r>
      <w:r w:rsidRPr="00570183" w:rsidR="4FBF6519">
        <w:t xml:space="preserve">published </w:t>
      </w:r>
      <w:r w:rsidRPr="00570183" w:rsidR="00570183">
        <w:t>on</w:t>
      </w:r>
      <w:r w:rsidRPr="00570183">
        <w:t xml:space="preserve"> January</w:t>
      </w:r>
      <w:r w:rsidR="004E287C">
        <w:t> </w:t>
      </w:r>
      <w:r w:rsidRPr="00570183">
        <w:t>29, 1981 [46 FR 9880</w:t>
      </w:r>
      <w:r w:rsidR="00566B34">
        <w:t>; HM</w:t>
      </w:r>
      <w:r w:rsidR="009B04FC">
        <w:noBreakHyphen/>
      </w:r>
      <w:r w:rsidR="00566B34">
        <w:t>167</w:t>
      </w:r>
      <w:r w:rsidRPr="00570183">
        <w:t>]</w:t>
      </w:r>
      <w:r w:rsidRPr="00570183" w:rsidR="0D874307">
        <w:t xml:space="preserve"> </w:t>
      </w:r>
      <w:r w:rsidRPr="00570183">
        <w:t>titled “Intermodal Portable Tanks</w:t>
      </w:r>
      <w:r w:rsidR="00566B34">
        <w:t>.</w:t>
      </w:r>
      <w:r w:rsidRPr="00570183">
        <w:t>”</w:t>
      </w:r>
    </w:p>
    <w:p w:rsidR="006C5F11" w:rsidP="00E81AE8" w:rsidRDefault="006C5F11" w14:paraId="06ADDDB1" w14:textId="77777777"/>
    <w:p w:rsidRPr="006C5F11" w:rsidR="00E81AE8" w:rsidP="00E81AE8" w:rsidRDefault="006C5F11" w14:paraId="4A965FB1" w14:textId="14F0D6E0">
      <w:r>
        <w:t>The requested change stems from a final rule published on December 28, 2020, titled “Hazardous Materials: Miscellaneous Amendments Pertaining to DOT-Specification Cylinders” [HM</w:t>
      </w:r>
      <w:r>
        <w:noBreakHyphen/>
        <w:t xml:space="preserve">234; 85 FR 85380], which revised certain requirements for the manufacture, use, and requalification of DOT-specification cylinders. Some of these revisions result in an increase in reporting requirements of this OMB control number. </w:t>
      </w:r>
      <w:r w:rsidR="00C95530">
        <w:t xml:space="preserve">In addition, PHMSA has adjusted four information collections to account for the actual number of cylinder manufacture and requalification facilities, based on </w:t>
      </w:r>
      <w:r w:rsidR="00A8757D">
        <w:t xml:space="preserve">the </w:t>
      </w:r>
      <w:r w:rsidR="00C95530">
        <w:t xml:space="preserve">current </w:t>
      </w:r>
      <w:r w:rsidR="00A8757D">
        <w:t xml:space="preserve">number of </w:t>
      </w:r>
      <w:r w:rsidR="00C95530">
        <w:t>approvals</w:t>
      </w:r>
      <w:r w:rsidR="00A8757D">
        <w:t xml:space="preserve"> that PHMSA has issued</w:t>
      </w:r>
      <w:r w:rsidR="00C95530">
        <w:t>.</w:t>
      </w:r>
    </w:p>
    <w:p w:rsidR="00566B34" w:rsidP="00E81AE8" w:rsidRDefault="00566B34" w14:paraId="05E1D9A1" w14:textId="77777777">
      <w:pPr>
        <w:rPr>
          <w:bCs/>
        </w:rPr>
      </w:pPr>
    </w:p>
    <w:p w:rsidRPr="00F811E5" w:rsidR="00566B34" w:rsidP="00E81AE8" w:rsidRDefault="00566B34" w14:paraId="44669E2D" w14:textId="77777777">
      <w:pPr>
        <w:rPr>
          <w:bCs/>
        </w:rPr>
      </w:pPr>
    </w:p>
    <w:p w:rsidR="00E81AE8" w:rsidP="00E81AE8" w:rsidRDefault="00AC1E4C" w14:paraId="2FCEF007" w14:textId="77777777">
      <w:pPr>
        <w:rPr>
          <w:b/>
        </w:rPr>
      </w:pPr>
      <w:r w:rsidRPr="00075E22">
        <w:rPr>
          <w:b/>
          <w:u w:val="single"/>
        </w:rPr>
        <w:t>Part A. Justification</w:t>
      </w:r>
      <w:r w:rsidRPr="00075E22">
        <w:rPr>
          <w:b/>
        </w:rPr>
        <w:t>.</w:t>
      </w:r>
    </w:p>
    <w:p w:rsidR="00E81AE8" w:rsidP="00E81AE8" w:rsidRDefault="00E81AE8" w14:paraId="30DB018E" w14:textId="77777777">
      <w:pPr>
        <w:rPr>
          <w:b/>
        </w:rPr>
      </w:pPr>
    </w:p>
    <w:p w:rsidRPr="00E81AE8" w:rsidR="00C37D59" w:rsidP="00E81AE8" w:rsidRDefault="00E81AE8" w14:paraId="5CD76339" w14:textId="02A22E44">
      <w:pPr>
        <w:rPr>
          <w:b/>
        </w:rPr>
      </w:pPr>
      <w:r w:rsidRPr="00E81AE8">
        <w:t>1.</w:t>
      </w:r>
      <w:r>
        <w:rPr>
          <w:b/>
        </w:rPr>
        <w:tab/>
      </w:r>
      <w:r w:rsidRPr="00F811E5" w:rsidR="00C37D59">
        <w:rPr>
          <w:u w:val="single"/>
        </w:rPr>
        <w:t xml:space="preserve">Circumstances that make </w:t>
      </w:r>
      <w:r w:rsidRPr="00F811E5" w:rsidR="004C14A2">
        <w:rPr>
          <w:u w:val="single"/>
        </w:rPr>
        <w:t>c</w:t>
      </w:r>
      <w:r w:rsidRPr="00F811E5" w:rsidR="00C37D59">
        <w:rPr>
          <w:u w:val="single"/>
        </w:rPr>
        <w:t xml:space="preserve">ollection </w:t>
      </w:r>
      <w:r w:rsidRPr="00F811E5" w:rsidR="004C14A2">
        <w:rPr>
          <w:u w:val="single"/>
        </w:rPr>
        <w:t xml:space="preserve">of information </w:t>
      </w:r>
      <w:r w:rsidRPr="00F811E5" w:rsidR="00C37D59">
        <w:rPr>
          <w:u w:val="single"/>
        </w:rPr>
        <w:t>necessary</w:t>
      </w:r>
      <w:r w:rsidRPr="00F811E5" w:rsidR="00C37D59">
        <w:t xml:space="preserve">  </w:t>
      </w:r>
    </w:p>
    <w:p w:rsidRPr="00F811E5" w:rsidR="00C37D59" w:rsidP="00E81AE8" w:rsidRDefault="00C37D59" w14:paraId="4E067C37" w14:textId="77777777"/>
    <w:p w:rsidR="00566B34" w:rsidP="00E81AE8" w:rsidRDefault="0071345E" w14:paraId="69D82325" w14:textId="0C248ED7">
      <w:r>
        <w:t xml:space="preserve">This is a request for </w:t>
      </w:r>
      <w:r w:rsidR="001E59AE">
        <w:t xml:space="preserve">a renewal with change </w:t>
      </w:r>
      <w:r>
        <w:t xml:space="preserve">of an existing </w:t>
      </w:r>
      <w:r w:rsidR="00E82F1B">
        <w:t xml:space="preserve">information collection </w:t>
      </w:r>
      <w:r>
        <w:t xml:space="preserve">under OMB Control No. 2137-0022 for </w:t>
      </w:r>
      <w:r w:rsidR="00566B34">
        <w:t>reporting</w:t>
      </w:r>
      <w:r>
        <w:t xml:space="preserve"> and recordkeeping requirements pertaining to </w:t>
      </w:r>
      <w:r w:rsidRPr="00F811E5" w:rsidR="00FC58A4">
        <w:t>manufacturers, requalifiers</w:t>
      </w:r>
      <w:r w:rsidR="00934696">
        <w:t>,</w:t>
      </w:r>
      <w:r w:rsidRPr="00F811E5" w:rsidR="00FC58A4">
        <w:t xml:space="preserve"> and repairers</w:t>
      </w:r>
      <w:r w:rsidR="00566B34">
        <w:t xml:space="preserve"> of DOT </w:t>
      </w:r>
      <w:r w:rsidR="00294F40">
        <w:t>s</w:t>
      </w:r>
      <w:r w:rsidR="00566B34">
        <w:t xml:space="preserve">pecification </w:t>
      </w:r>
      <w:r w:rsidR="00294F40">
        <w:t>c</w:t>
      </w:r>
      <w:r w:rsidR="00566B34">
        <w:t>ylinders</w:t>
      </w:r>
      <w:r w:rsidR="00934696">
        <w:t xml:space="preserve">. </w:t>
      </w:r>
      <w:r w:rsidRPr="00F811E5" w:rsidR="00FC58A4">
        <w:t>Th</w:t>
      </w:r>
      <w:r w:rsidRPr="00F811E5" w:rsidR="00533491">
        <w:t>is</w:t>
      </w:r>
      <w:r w:rsidRPr="00F811E5" w:rsidR="00FC58A4">
        <w:t xml:space="preserve"> information is used to verify that cylinders meet required manufacturing standards prior to being authorized for initial use, and once </w:t>
      </w:r>
      <w:r w:rsidR="00AE4618">
        <w:t>in use</w:t>
      </w:r>
      <w:r w:rsidRPr="00F811E5" w:rsidR="00FC58A4">
        <w:t xml:space="preserve">, </w:t>
      </w:r>
      <w:r w:rsidR="00E82F1B">
        <w:t xml:space="preserve">that </w:t>
      </w:r>
      <w:r w:rsidRPr="00F811E5" w:rsidR="00FC58A4">
        <w:t xml:space="preserve">the cylinders are maintained and used in compliance with applicable requirements of the </w:t>
      </w:r>
      <w:r w:rsidR="009D30D8">
        <w:t>Hazardous Materials Regulations (</w:t>
      </w:r>
      <w:r w:rsidRPr="00F811E5" w:rsidR="00FC58A4">
        <w:t>HMR</w:t>
      </w:r>
      <w:r w:rsidR="009D30D8">
        <w:t>; 49 CFR Parts 171-180)</w:t>
      </w:r>
      <w:r w:rsidRPr="00F811E5" w:rsidR="00FC58A4">
        <w:t xml:space="preserve"> as safe packagings for hazardous materials</w:t>
      </w:r>
      <w:r w:rsidRPr="00F811E5" w:rsidR="00533491">
        <w:t>. T</w:t>
      </w:r>
      <w:r w:rsidRPr="00F811E5" w:rsidR="00FC58A4">
        <w:t xml:space="preserve">he HMR are promulgated in accordance with </w:t>
      </w:r>
      <w:r w:rsidR="00D341C3">
        <w:t>49 </w:t>
      </w:r>
      <w:r w:rsidRPr="00F811E5" w:rsidR="00FC58A4">
        <w:t>U.S.C. 5110, the Federal hazardous materials transportation law</w:t>
      </w:r>
      <w:r w:rsidRPr="00F811E5" w:rsidR="00533491">
        <w:t>. This information collection supports the Departmental Strategic Goal for Safety.</w:t>
      </w:r>
    </w:p>
    <w:p w:rsidR="00566B34" w:rsidP="00E81AE8" w:rsidRDefault="00566B34" w14:paraId="23C92220" w14:textId="57E9018F"/>
    <w:p w:rsidR="009A62FD" w:rsidP="00E81AE8" w:rsidRDefault="001E59AE" w14:paraId="5754C14A" w14:textId="1501BC4A">
      <w:r>
        <w:t xml:space="preserve">As previously mentioned, the change in this request is due to </w:t>
      </w:r>
      <w:r w:rsidR="58065A34">
        <w:t xml:space="preserve">the </w:t>
      </w:r>
      <w:r>
        <w:t>publication of the HM-234 final rule on December 27, 2020.</w:t>
      </w:r>
      <w:r w:rsidR="009A62FD">
        <w:t xml:space="preserve"> This final rule results in an increase in </w:t>
      </w:r>
      <w:r w:rsidR="00352372">
        <w:t>burden</w:t>
      </w:r>
      <w:r w:rsidR="007B54C2">
        <w:t xml:space="preserve"> hours under this OMB control number which</w:t>
      </w:r>
      <w:r w:rsidR="009A62FD">
        <w:t xml:space="preserve"> </w:t>
      </w:r>
      <w:r w:rsidR="007B54C2">
        <w:t>includes</w:t>
      </w:r>
      <w:r w:rsidR="009A62FD">
        <w:t xml:space="preserve"> two new information collections and increase</w:t>
      </w:r>
      <w:r w:rsidR="007B54C2">
        <w:t>s</w:t>
      </w:r>
      <w:r w:rsidR="009A62FD">
        <w:t xml:space="preserve"> in two </w:t>
      </w:r>
      <w:r w:rsidR="007B54C2">
        <w:t>existing</w:t>
      </w:r>
      <w:r w:rsidR="009A62FD">
        <w:t xml:space="preserve"> information collect</w:t>
      </w:r>
      <w:r w:rsidR="007B54C2">
        <w:t>ion</w:t>
      </w:r>
      <w:r w:rsidR="009A62FD">
        <w:t>s. Th</w:t>
      </w:r>
      <w:r w:rsidR="563BEF05">
        <w:t>e</w:t>
      </w:r>
      <w:r w:rsidR="009A62FD">
        <w:t xml:space="preserve"> increase </w:t>
      </w:r>
      <w:r w:rsidR="00352372">
        <w:t xml:space="preserve">from the two </w:t>
      </w:r>
      <w:r w:rsidR="00835607">
        <w:t>existing</w:t>
      </w:r>
      <w:r w:rsidR="00352372">
        <w:t xml:space="preserve"> information collections is</w:t>
      </w:r>
      <w:r w:rsidR="009A62FD">
        <w:t xml:space="preserve"> </w:t>
      </w:r>
      <w:r w:rsidR="00294F40">
        <w:t xml:space="preserve">a small </w:t>
      </w:r>
      <w:r w:rsidR="00294F40">
        <w:lastRenderedPageBreak/>
        <w:t>increase in reporting requirements when marking new</w:t>
      </w:r>
      <w:r w:rsidR="1AC33879">
        <w:t xml:space="preserve"> DOT specification cylinders, </w:t>
      </w:r>
      <w:r w:rsidR="00294F40">
        <w:t xml:space="preserve">as well as when requalifying </w:t>
      </w:r>
      <w:r w:rsidR="009A62FD">
        <w:t>DOT</w:t>
      </w:r>
      <w:r w:rsidR="00294F40">
        <w:t xml:space="preserve"> s</w:t>
      </w:r>
      <w:r w:rsidR="009A62FD">
        <w:t>pecification cylinders.</w:t>
      </w:r>
      <w:r w:rsidR="00352372">
        <w:t xml:space="preserve"> </w:t>
      </w:r>
      <w:r w:rsidR="00835607">
        <w:t xml:space="preserve">The two </w:t>
      </w:r>
      <w:r w:rsidR="00294F40">
        <w:t xml:space="preserve">new </w:t>
      </w:r>
      <w:r w:rsidR="00835607">
        <w:t xml:space="preserve">information collections </w:t>
      </w:r>
      <w:r w:rsidR="00474990">
        <w:t>reflect new reporting requirements for recording any intentionally added alloy elements to steel or aluminum and recording</w:t>
      </w:r>
      <w:r w:rsidR="00835607">
        <w:t xml:space="preserve"> the most recent cylinder calibration certificate.</w:t>
      </w:r>
      <w:r w:rsidR="00660D91">
        <w:t xml:space="preserve"> In review for this request, </w:t>
      </w:r>
      <w:r w:rsidR="00660D91">
        <w:t xml:space="preserve">PHMSA </w:t>
      </w:r>
      <w:r w:rsidR="00660D91">
        <w:t xml:space="preserve">also </w:t>
      </w:r>
      <w:r w:rsidR="00660D91">
        <w:t xml:space="preserve">adjusted four information collections to </w:t>
      </w:r>
      <w:r w:rsidR="00660D91">
        <w:t xml:space="preserve">ensure the </w:t>
      </w:r>
      <w:r w:rsidR="00660D91">
        <w:t>actual number of cylinder manufacture and requalification facilities</w:t>
      </w:r>
      <w:r w:rsidR="00660D91">
        <w:t xml:space="preserve"> was being report.  These revisions are </w:t>
      </w:r>
      <w:r w:rsidR="00660D91">
        <w:t>based on the current number of approvals that PHMSA has issued.</w:t>
      </w:r>
    </w:p>
    <w:p w:rsidR="009A62FD" w:rsidP="00E81AE8" w:rsidRDefault="009A62FD" w14:paraId="27F403B7" w14:textId="77777777"/>
    <w:p w:rsidR="0097172B" w:rsidP="00E81AE8" w:rsidRDefault="0097172B" w14:paraId="57CB78E5" w14:textId="77777777"/>
    <w:p w:rsidRPr="00E81AE8" w:rsidR="00C37D59" w:rsidP="00E81AE8" w:rsidRDefault="00C37D59" w14:paraId="33E9DC22" w14:textId="5C8094E8">
      <w:pPr>
        <w:rPr>
          <w:highlight w:val="white"/>
        </w:rPr>
      </w:pPr>
      <w:r w:rsidRPr="00F811E5">
        <w:t>2.</w:t>
      </w:r>
      <w:r w:rsidRPr="00F811E5">
        <w:tab/>
      </w:r>
      <w:r w:rsidR="0071345E">
        <w:rPr>
          <w:u w:val="single"/>
        </w:rPr>
        <w:t>How, by whom, and for what purpose the information is to be used</w:t>
      </w:r>
    </w:p>
    <w:p w:rsidR="00510EFF" w:rsidP="00E81AE8" w:rsidRDefault="00510EFF" w14:paraId="2DAED041" w14:textId="77777777">
      <w:pPr>
        <w:rPr>
          <w:b/>
          <w:u w:val="single"/>
        </w:rPr>
      </w:pPr>
    </w:p>
    <w:p w:rsidR="00AA3B2C" w:rsidP="00E81AE8" w:rsidRDefault="005A283A" w14:paraId="26782787" w14:textId="77777777">
      <w:pPr>
        <w:rPr>
          <w:b/>
        </w:rPr>
      </w:pPr>
      <w:r>
        <w:rPr>
          <w:b/>
        </w:rPr>
        <w:t>Cylinder Manufacture</w:t>
      </w:r>
    </w:p>
    <w:p w:rsidRPr="006649A7" w:rsidR="005A283A" w:rsidP="00E81AE8" w:rsidRDefault="005A283A" w14:paraId="6A913EAE" w14:textId="4BDD6E85">
      <w:pPr>
        <w:rPr>
          <w:b/>
        </w:rPr>
      </w:pPr>
    </w:p>
    <w:p w:rsidR="0097172B" w:rsidP="00E81AE8" w:rsidRDefault="0097172B" w14:paraId="611E94D7" w14:textId="77777777">
      <w:r>
        <w:t xml:space="preserve">Part 178, subpart C of the HMR provides specifications for cylinders, including </w:t>
      </w:r>
      <w:r w:rsidR="00F10054">
        <w:t>design requirements</w:t>
      </w:r>
      <w:r>
        <w:t>, marking, and testing requirements for the manufacturing of new cylinders.</w:t>
      </w:r>
    </w:p>
    <w:p w:rsidR="0097172B" w:rsidP="00E81AE8" w:rsidRDefault="0097172B" w14:paraId="6D40F111" w14:textId="77777777"/>
    <w:p w:rsidR="00212076" w:rsidP="00212076" w:rsidRDefault="00F76419" w14:paraId="6F6D07C4" w14:textId="332D2835">
      <w:r w:rsidRPr="5D5D4BF1">
        <w:rPr>
          <w:u w:val="single"/>
          <w:lang w:val="en-CA"/>
        </w:rPr>
        <w:fldChar w:fldCharType="begin"/>
      </w:r>
      <w:r w:rsidRPr="5D5D4BF1">
        <w:rPr>
          <w:u w:val="single"/>
          <w:lang w:val="en-CA"/>
        </w:rPr>
        <w:instrText xml:space="preserve"> SEQ CHAPTER \h \r 1</w:instrText>
      </w:r>
      <w:r w:rsidRPr="5D5D4BF1">
        <w:rPr>
          <w:u w:val="single"/>
          <w:lang w:val="en-CA"/>
        </w:rPr>
        <w:fldChar w:fldCharType="end"/>
      </w:r>
      <w:r w:rsidRPr="5D5D4BF1">
        <w:rPr>
          <w:u w:val="single"/>
        </w:rPr>
        <w:t>Specificat</w:t>
      </w:r>
      <w:r w:rsidRPr="5D5D4BF1" w:rsidR="005A283A">
        <w:rPr>
          <w:u w:val="single"/>
        </w:rPr>
        <w:t>i</w:t>
      </w:r>
      <w:r w:rsidRPr="5D5D4BF1">
        <w:rPr>
          <w:u w:val="single"/>
        </w:rPr>
        <w:t>on Marking</w:t>
      </w:r>
      <w:r>
        <w:t xml:space="preserve">:  </w:t>
      </w:r>
      <w:r w:rsidR="00F10054">
        <w:t>Upon manufacture, cylinders must be marked</w:t>
      </w:r>
      <w:r>
        <w:t xml:space="preserve">, where applicable, </w:t>
      </w:r>
      <w:r w:rsidR="00AA3B2C">
        <w:t xml:space="preserve">with </w:t>
      </w:r>
      <w:r>
        <w:t>the name and address or symbol of the packaging manufacturer or approval agency</w:t>
      </w:r>
      <w:r w:rsidR="002343FB">
        <w:t>.</w:t>
      </w:r>
      <w:r w:rsidR="0097172B">
        <w:t xml:space="preserve"> </w:t>
      </w:r>
      <w:r>
        <w:t xml:space="preserve">Except for marked service pressure, markings required on cylinders may not be altered or removed. </w:t>
      </w:r>
      <w:r w:rsidR="20DFFA4E">
        <w:t xml:space="preserve">Such </w:t>
      </w:r>
      <w:r>
        <w:t>marking certifies that all requirements of the DOT specification, including performance tests</w:t>
      </w:r>
      <w:r w:rsidR="00577CAD">
        <w:t>,</w:t>
      </w:r>
      <w:r>
        <w:t xml:space="preserve"> have been met and that all functions performed by, or on behalf of, the person whose name or symbol appears as part of the marking conform to the specified requirements. A packaging not conforming to the applicable specifications or standards may not be marked.</w:t>
      </w:r>
    </w:p>
    <w:p w:rsidR="00212076" w:rsidP="00212076" w:rsidRDefault="00212076" w14:paraId="44CFEE4D" w14:textId="77777777"/>
    <w:p w:rsidR="00212076" w:rsidP="00212076" w:rsidRDefault="005A283A" w14:paraId="77F5E2CD" w14:textId="388DE54F">
      <w:r w:rsidRPr="5D5D4BF1">
        <w:rPr>
          <w:u w:val="single"/>
        </w:rPr>
        <w:t>Inspector’s</w:t>
      </w:r>
      <w:r w:rsidRPr="5D5D4BF1" w:rsidR="0097172B">
        <w:rPr>
          <w:u w:val="single"/>
        </w:rPr>
        <w:t xml:space="preserve"> Report</w:t>
      </w:r>
      <w:r w:rsidR="00F76419">
        <w:t xml:space="preserve">:  </w:t>
      </w:r>
      <w:r w:rsidR="00A90C8B">
        <w:t xml:space="preserve">The Compressed Gas Association (CGA) Pamphlet C-11 (incorporated by reference in § 171.7) dictates requirements for the </w:t>
      </w:r>
      <w:r>
        <w:t>inspector’s</w:t>
      </w:r>
      <w:r w:rsidR="00A90C8B">
        <w:t xml:space="preserve"> report</w:t>
      </w:r>
      <w:r>
        <w:t xml:space="preserve"> and is required to be created for each cylinder in accordance with § 178.35(c)(4)</w:t>
      </w:r>
      <w:r w:rsidR="00A90C8B">
        <w:t xml:space="preserve">. </w:t>
      </w:r>
      <w:r w:rsidR="00F76419">
        <w:t>An inspector determines that all materials are in compliance with the specification requirements in Part 178 for that specific cylinder. After completion of the inspection, an inspector must determine that each cylinder is marked in compliance with the specification and furnish complete test reports to the maker of the cylinder, and upon request, to the purchaser. The inspector's report must be retained by the inspector and the manufacturer for 15 years from the original test date or the authorized service life of the cylinder.</w:t>
      </w:r>
      <w:r>
        <w:t xml:space="preserve"> During this time, an entity of the DOT m</w:t>
      </w:r>
      <w:r w:rsidR="00F10054">
        <w:t>ay request a copy of the report</w:t>
      </w:r>
      <w:r>
        <w:t>.</w:t>
      </w:r>
    </w:p>
    <w:p w:rsidR="00212076" w:rsidP="00212076" w:rsidRDefault="00212076" w14:paraId="2F0AC2B7" w14:textId="77777777"/>
    <w:p w:rsidR="00212076" w:rsidP="00212076" w:rsidRDefault="00212076" w14:paraId="4ADCC437" w14:textId="77777777"/>
    <w:p w:rsidRPr="006649A7" w:rsidR="00212076" w:rsidP="00212076" w:rsidRDefault="005A283A" w14:paraId="126054BD" w14:textId="77777777">
      <w:pPr>
        <w:rPr>
          <w:b/>
        </w:rPr>
      </w:pPr>
      <w:r>
        <w:rPr>
          <w:b/>
        </w:rPr>
        <w:t>Cylinder Requalification</w:t>
      </w:r>
    </w:p>
    <w:p w:rsidR="00212076" w:rsidP="00212076" w:rsidRDefault="00212076" w14:paraId="149F9993" w14:textId="77777777"/>
    <w:p w:rsidR="00E21C18" w:rsidP="00212076" w:rsidRDefault="00E21C18" w14:paraId="49D357BF" w14:textId="4A79AD82">
      <w:r>
        <w:t>Part 180, subpart C of the HMR provides specif</w:t>
      </w:r>
      <w:r w:rsidR="00F10054">
        <w:t xml:space="preserve">ications for the requalification and </w:t>
      </w:r>
      <w:r>
        <w:t xml:space="preserve">maintenance of cylinders, </w:t>
      </w:r>
      <w:r w:rsidR="00D74944">
        <w:t>to ensure that cylinders remain safe for transportation throughout their lifetime</w:t>
      </w:r>
      <w:r w:rsidR="00AA3B2C">
        <w:t>s</w:t>
      </w:r>
      <w:r w:rsidR="00D74944">
        <w:t xml:space="preserve">. At periodic intervals as specified in the HMR, various retesting must be conducted on </w:t>
      </w:r>
      <w:r w:rsidR="00AA3B2C">
        <w:t xml:space="preserve">a </w:t>
      </w:r>
      <w:r w:rsidR="00D74944">
        <w:t xml:space="preserve">DOT </w:t>
      </w:r>
      <w:r w:rsidR="02247CBF">
        <w:t>s</w:t>
      </w:r>
      <w:r w:rsidR="00D74944">
        <w:t xml:space="preserve">pecification </w:t>
      </w:r>
      <w:r w:rsidR="13156561">
        <w:t>c</w:t>
      </w:r>
      <w:r w:rsidR="00D74944">
        <w:t xml:space="preserve">ylinder to ensure that </w:t>
      </w:r>
      <w:r w:rsidR="00AA3B2C">
        <w:t xml:space="preserve">it is </w:t>
      </w:r>
      <w:r w:rsidR="00D74944">
        <w:t xml:space="preserve">being properly maintained. The following details the information collection burden for these tests.  </w:t>
      </w:r>
    </w:p>
    <w:p w:rsidR="00D74944" w:rsidP="00212076" w:rsidRDefault="00D74944" w14:paraId="4BDA0ED5" w14:textId="77777777"/>
    <w:p w:rsidR="00E21C18" w:rsidP="00E21C18" w:rsidRDefault="00E21C18" w14:paraId="0777D00F" w14:textId="61DD9659">
      <w:r w:rsidRPr="5D5D4BF1">
        <w:rPr>
          <w:u w:val="single"/>
        </w:rPr>
        <w:t>Cylinder markings:</w:t>
      </w:r>
      <w:r>
        <w:t xml:space="preserve">  Each cylinder passing retest must be marked with the cylinder retester's identification number set in a square pattern, between the month and year of the retest date in characters not less than 1/8" high</w:t>
      </w:r>
      <w:r w:rsidR="382997B3">
        <w:t>,</w:t>
      </w:r>
      <w:r>
        <w:t xml:space="preserve"> with the first character occupying the upper left corner of the </w:t>
      </w:r>
      <w:r>
        <w:lastRenderedPageBreak/>
        <w:t>square pattern. The second character must</w:t>
      </w:r>
      <w:r w:rsidR="00AA3B2C">
        <w:t xml:space="preserve"> be</w:t>
      </w:r>
      <w:r>
        <w:t xml:space="preserve"> in the upper right, the third in the lower right</w:t>
      </w:r>
      <w:r w:rsidR="00AA3B2C">
        <w:t>,</w:t>
      </w:r>
      <w:r>
        <w:t xml:space="preserve"> and the fourth in the lower left. For example, a cylinder retested May 1984 and approved by a retester who has been issued identification number A123 would be stamped:</w:t>
      </w:r>
    </w:p>
    <w:p w:rsidR="00E21C18" w:rsidP="00E21C18" w:rsidRDefault="00E21C18" w14:paraId="1A75784A" w14:textId="77777777"/>
    <w:p w:rsidR="00E21C18" w:rsidP="00E21C18" w:rsidRDefault="00E21C18" w14:paraId="27946223" w14:textId="77777777">
      <w:r w:rsidRPr="00F811E5">
        <w:tab/>
      </w:r>
      <w:r w:rsidRPr="00F811E5">
        <w:tab/>
      </w:r>
      <w:r w:rsidRPr="00F811E5">
        <w:tab/>
      </w:r>
      <w:r w:rsidRPr="00F811E5">
        <w:tab/>
      </w:r>
      <w:r w:rsidRPr="00F811E5">
        <w:tab/>
      </w:r>
      <w:r w:rsidRPr="00F811E5">
        <w:tab/>
      </w:r>
      <w:r w:rsidRPr="00F811E5">
        <w:t>A</w:t>
      </w:r>
      <w:r w:rsidRPr="00F811E5">
        <w:tab/>
      </w:r>
      <w:r w:rsidRPr="00F811E5">
        <w:t>1</w:t>
      </w:r>
      <w:r w:rsidRPr="00F811E5">
        <w:tab/>
      </w:r>
      <w:r w:rsidRPr="00F811E5">
        <w:tab/>
      </w:r>
      <w:r w:rsidRPr="00F811E5">
        <w:tab/>
      </w:r>
    </w:p>
    <w:p w:rsidR="00E21C18" w:rsidP="00E21C18" w:rsidRDefault="00E21C18" w14:paraId="0285957C" w14:textId="77777777">
      <w:r w:rsidRPr="00F811E5">
        <w:tab/>
      </w:r>
      <w:r w:rsidRPr="00F811E5">
        <w:tab/>
      </w:r>
      <w:r w:rsidRPr="00F811E5">
        <w:tab/>
      </w:r>
      <w:r w:rsidRPr="00F811E5">
        <w:tab/>
      </w:r>
      <w:r w:rsidRPr="00F811E5">
        <w:tab/>
      </w:r>
      <w:r w:rsidRPr="00F811E5">
        <w:t>5</w:t>
      </w:r>
      <w:r w:rsidRPr="00F811E5">
        <w:tab/>
      </w:r>
      <w:r w:rsidRPr="00F811E5">
        <w:tab/>
      </w:r>
      <w:r w:rsidRPr="00F811E5">
        <w:tab/>
      </w:r>
      <w:r w:rsidRPr="00F811E5">
        <w:t>84</w:t>
      </w:r>
    </w:p>
    <w:p w:rsidR="00E21C18" w:rsidP="00E21C18" w:rsidRDefault="00E21C18" w14:paraId="59C4756F" w14:textId="77777777">
      <w:r w:rsidRPr="00F811E5">
        <w:tab/>
      </w:r>
      <w:r w:rsidRPr="00F811E5">
        <w:tab/>
      </w:r>
      <w:r w:rsidRPr="00F811E5">
        <w:tab/>
      </w:r>
      <w:r w:rsidRPr="00F811E5">
        <w:tab/>
      </w:r>
      <w:r w:rsidRPr="00F811E5">
        <w:tab/>
      </w:r>
      <w:r w:rsidRPr="00F811E5">
        <w:tab/>
      </w:r>
      <w:r w:rsidRPr="00F811E5">
        <w:t>3</w:t>
      </w:r>
      <w:r w:rsidRPr="00F811E5">
        <w:tab/>
      </w:r>
      <w:r w:rsidRPr="00F811E5">
        <w:t>2</w:t>
      </w:r>
    </w:p>
    <w:p w:rsidR="00E21C18" w:rsidP="00E21C18" w:rsidRDefault="00E21C18" w14:paraId="60DA16CA" w14:textId="77777777"/>
    <w:p w:rsidR="00E21C18" w:rsidP="00E21C18" w:rsidRDefault="00E21C18" w14:paraId="29A930B4" w14:textId="701596CC">
      <w:r>
        <w:t xml:space="preserve">Variations from the marking requirements may be </w:t>
      </w:r>
      <w:r w:rsidR="00E76C86">
        <w:t xml:space="preserve">requested in writing, and may be implemented with </w:t>
      </w:r>
      <w:r w:rsidR="57C1F395">
        <w:t xml:space="preserve">the </w:t>
      </w:r>
      <w:r w:rsidR="00660D91">
        <w:t>PHMSA</w:t>
      </w:r>
      <w:r w:rsidR="57C1F395">
        <w:t>’s</w:t>
      </w:r>
      <w:r w:rsidR="00E76C86">
        <w:t xml:space="preserve"> written approval</w:t>
      </w:r>
      <w:r>
        <w:t>. Stamping must be in accordance with the location requirements of the cylinder specification. Date</w:t>
      </w:r>
      <w:r w:rsidR="00DC2D3B">
        <w:t>s</w:t>
      </w:r>
      <w:r>
        <w:t xml:space="preserve"> of previous </w:t>
      </w:r>
      <w:r w:rsidR="00D74944">
        <w:t>tests must not be obliterated.</w:t>
      </w:r>
    </w:p>
    <w:p w:rsidR="00D74944" w:rsidP="00E21C18" w:rsidRDefault="00D74944" w14:paraId="5ABE43C1" w14:textId="77777777"/>
    <w:p w:rsidR="00212076" w:rsidP="00212076" w:rsidRDefault="00F76419" w14:paraId="503A1F33" w14:textId="15C95907">
      <w:r w:rsidRPr="00F811E5">
        <w:t xml:space="preserve">No person may represent that a DOT specification cylinder </w:t>
      </w:r>
      <w:r w:rsidR="00577CAD">
        <w:t xml:space="preserve">has been retested </w:t>
      </w:r>
      <w:r w:rsidRPr="00F811E5">
        <w:t xml:space="preserve">under this section, unless that person holds a current retester's identification number issued by </w:t>
      </w:r>
      <w:r w:rsidRPr="00F811E5" w:rsidR="00313A45">
        <w:t xml:space="preserve">PHMSA. </w:t>
      </w:r>
      <w:r w:rsidRPr="00F811E5">
        <w:t>Each required marking on a cylinder must be maintained so that it is legible. Original and retest markings which are becoming illegible may be reproduced by stamping</w:t>
      </w:r>
      <w:r w:rsidR="00C879ED">
        <w:t xml:space="preserve"> them</w:t>
      </w:r>
      <w:r w:rsidRPr="00F811E5">
        <w:t xml:space="preserve"> on a metal plate</w:t>
      </w:r>
      <w:r w:rsidR="00C879ED">
        <w:t>,</w:t>
      </w:r>
      <w:r w:rsidRPr="00F811E5">
        <w:t xml:space="preserve"> which must be permanently secured to the cylinder.</w:t>
      </w:r>
    </w:p>
    <w:p w:rsidR="00212076" w:rsidP="00212076" w:rsidRDefault="00212076" w14:paraId="60CBCA6E" w14:textId="77777777"/>
    <w:p w:rsidR="00212076" w:rsidP="00212076" w:rsidRDefault="00F76419" w14:paraId="0521D52D" w14:textId="726D07EB">
      <w:r w:rsidRPr="00F811E5">
        <w:t>No cylinder required to be retested may be used for the transportation of a hazardous material unless it has been retested successfully and the retester has marked the cylinder by stamping the cylinder retester identification number and date of retest plainly and permanently into the metal of the cylinder or on a metal plate permanently secured to the cylinder.</w:t>
      </w:r>
    </w:p>
    <w:p w:rsidR="00212076" w:rsidP="00212076" w:rsidRDefault="00212076" w14:paraId="7DFBD272" w14:textId="77777777"/>
    <w:p w:rsidR="00305826" w:rsidP="00E01E1A" w:rsidRDefault="00D74944" w14:paraId="40C55AF9" w14:textId="33A5018F">
      <w:r w:rsidRPr="006649A7">
        <w:rPr>
          <w:bCs/>
          <w:u w:val="single"/>
        </w:rPr>
        <w:t>Requalification Record</w:t>
      </w:r>
      <w:r w:rsidRPr="006649A7" w:rsidR="00F76419">
        <w:rPr>
          <w:bCs/>
          <w:u w:val="single"/>
        </w:rPr>
        <w:t>:</w:t>
      </w:r>
      <w:r w:rsidRPr="00F811E5" w:rsidR="00F76419">
        <w:t xml:space="preserve"> </w:t>
      </w:r>
      <w:r>
        <w:t xml:space="preserve"> Each facility that retests or requalifies cylinders must maintain requalification records. Requalification records will differ </w:t>
      </w:r>
      <w:r w:rsidR="00C80972">
        <w:t xml:space="preserve">based on </w:t>
      </w:r>
      <w:r>
        <w:t>the type of requalification tests the facility is authorized to conduct by PHMSA. The type of requalification tests</w:t>
      </w:r>
      <w:r w:rsidR="00C80972">
        <w:t xml:space="preserve"> authorized</w:t>
      </w:r>
      <w:r>
        <w:t xml:space="preserve"> will be indicated on a requalification identification</w:t>
      </w:r>
      <w:r w:rsidR="00F10054">
        <w:t xml:space="preserve"> number (RIN) approval. This approval is a burden captured under</w:t>
      </w:r>
      <w:r>
        <w:t xml:space="preserve"> OMB Control Number 2137-</w:t>
      </w:r>
      <w:r w:rsidR="00F10054">
        <w:t>0557, “Approval for Hazardous M</w:t>
      </w:r>
      <w:r w:rsidR="00305826">
        <w:t>aterials.”</w:t>
      </w:r>
    </w:p>
    <w:p w:rsidR="00305826" w:rsidP="00CB6E8B" w:rsidRDefault="00305826" w14:paraId="6E3FCA29" w14:textId="77777777"/>
    <w:p w:rsidR="00305826" w:rsidP="00212076" w:rsidRDefault="00D74944" w14:paraId="203B8095" w14:textId="32136351">
      <w:r>
        <w:t xml:space="preserve">These records </w:t>
      </w:r>
      <w:r w:rsidR="00F10054">
        <w:t>include details of</w:t>
      </w:r>
      <w:r>
        <w:t xml:space="preserve"> </w:t>
      </w:r>
      <w:r w:rsidR="00F76419">
        <w:t>visual inspection</w:t>
      </w:r>
      <w:r>
        <w:t>, pressure test,</w:t>
      </w:r>
      <w:r w:rsidR="00F76419">
        <w:t xml:space="preserve"> and </w:t>
      </w:r>
      <w:r>
        <w:t>ultrasonic examination, as applicable</w:t>
      </w:r>
      <w:r w:rsidR="00F10054">
        <w:t>,</w:t>
      </w:r>
      <w:r>
        <w:t xml:space="preserve"> until the expiration of the requalification period or until the cylinder is requalified, whichever occurs first. The records must also include information such as the date or retest, dimension, manufacturer’s name or symbol, owner’s name or symbol, and test operator. Furthermore</w:t>
      </w:r>
      <w:r w:rsidR="00305826">
        <w:t>,</w:t>
      </w:r>
      <w:r>
        <w:t xml:space="preserve"> </w:t>
      </w:r>
      <w:r w:rsidR="00F10054">
        <w:t xml:space="preserve">it </w:t>
      </w:r>
      <w:r>
        <w:t xml:space="preserve">must include records of the calibration test, pressure test, visual inspection, wall stress, and calibration certificates, as applicable. </w:t>
      </w:r>
      <w:r w:rsidR="00305826">
        <w:t>These records may be requested by an authorized person of the DOT, particularly during enforcement inspections.</w:t>
      </w:r>
    </w:p>
    <w:p w:rsidR="004D0E4C" w:rsidP="004D0E4C" w:rsidRDefault="004D0E4C" w14:paraId="25C08702" w14:textId="77777777"/>
    <w:p w:rsidR="00F10054" w:rsidP="00CB6E8B" w:rsidRDefault="00305826" w14:paraId="66081803" w14:textId="3B4BEEB9">
      <w:r w:rsidRPr="5D5D4BF1">
        <w:rPr>
          <w:u w:val="single"/>
        </w:rPr>
        <w:t xml:space="preserve">Repair, Rebuilding, or </w:t>
      </w:r>
      <w:r w:rsidRPr="5D5D4BF1" w:rsidR="00F76419">
        <w:rPr>
          <w:u w:val="single"/>
        </w:rPr>
        <w:t xml:space="preserve">Reheat </w:t>
      </w:r>
      <w:r w:rsidRPr="5D5D4BF1" w:rsidR="00C80972">
        <w:rPr>
          <w:u w:val="single"/>
        </w:rPr>
        <w:t>T</w:t>
      </w:r>
      <w:r w:rsidRPr="5D5D4BF1" w:rsidR="00F76419">
        <w:rPr>
          <w:u w:val="single"/>
        </w:rPr>
        <w:t>reatment:</w:t>
      </w:r>
      <w:r w:rsidR="00F76419">
        <w:t xml:space="preserve">  </w:t>
      </w:r>
      <w:r>
        <w:t xml:space="preserve">Section 180.215(c) details the reporting and recordkeeping requirements for facilities that repair, rebuild, or reheat </w:t>
      </w:r>
      <w:r w:rsidR="00130DA3">
        <w:t>treat</w:t>
      </w:r>
      <w:r w:rsidR="5C03748E">
        <w:t>ment</w:t>
      </w:r>
      <w:r w:rsidR="00130DA3">
        <w:t xml:space="preserve"> </w:t>
      </w:r>
      <w:r>
        <w:t>cylinders.</w:t>
      </w:r>
      <w:r w:rsidR="2D83A2AD">
        <w:t xml:space="preserve"> </w:t>
      </w:r>
      <w:r w:rsidR="00130DA3">
        <w:t xml:space="preserve">These specialized tests are conducted by a specific group of cylinder retest facilities, </w:t>
      </w:r>
      <w:r w:rsidR="00F36C2C">
        <w:t xml:space="preserve">which </w:t>
      </w:r>
      <w:r w:rsidR="00130DA3">
        <w:t xml:space="preserve">are required to obtain approval (and a “K#”) </w:t>
      </w:r>
      <w:r w:rsidR="00F36C2C">
        <w:t xml:space="preserve">from </w:t>
      </w:r>
      <w:r w:rsidR="00130DA3">
        <w:t>PHMSA.</w:t>
      </w:r>
      <w:r w:rsidR="00F10054">
        <w:t xml:space="preserve"> This approval is a burden captured under OMB Control Number 2137-0557, “Approval for Hazardous Materials.”</w:t>
      </w:r>
      <w:r w:rsidR="00130DA3">
        <w:t xml:space="preserve"> PHMSA specifically details requirements for </w:t>
      </w:r>
      <w:r w:rsidR="00F10054">
        <w:t xml:space="preserve">the record </w:t>
      </w:r>
      <w:r w:rsidR="00F36C2C">
        <w:t xml:space="preserve">that </w:t>
      </w:r>
      <w:r w:rsidR="00F10054">
        <w:t>a person who rebuilds a cylinder must maintain. These details include:</w:t>
      </w:r>
    </w:p>
    <w:p w:rsidR="00E01E1A" w:rsidP="00F36C2C" w:rsidRDefault="00130DA3" w14:paraId="5F8E2572" w14:textId="77777777">
      <w:pPr>
        <w:numPr>
          <w:ilvl w:val="0"/>
          <w:numId w:val="23"/>
        </w:numPr>
        <w:ind w:left="720" w:hanging="360"/>
      </w:pPr>
      <w:r>
        <w:t>Name and address of test facility, date of test report, and name of original manufacturer;</w:t>
      </w:r>
    </w:p>
    <w:p w:rsidR="00E01E1A" w:rsidP="006649A7" w:rsidRDefault="00130DA3" w14:paraId="6B3F7801" w14:textId="5F2DE0DE">
      <w:pPr>
        <w:numPr>
          <w:ilvl w:val="0"/>
          <w:numId w:val="23"/>
        </w:numPr>
        <w:ind w:left="720" w:hanging="360"/>
      </w:pPr>
      <w:r>
        <w:lastRenderedPageBreak/>
        <w:t xml:space="preserve">Marks stamped on </w:t>
      </w:r>
      <w:r w:rsidR="00F36C2C">
        <w:t xml:space="preserve">a </w:t>
      </w:r>
      <w:r>
        <w:t>cylinder</w:t>
      </w:r>
      <w:r w:rsidR="00F36C2C">
        <w:t>,</w:t>
      </w:r>
      <w:r>
        <w:t xml:space="preserve"> to include specification number, service pressure, serial number, symbol of manufacturer, inspector's mark, and other marks, if any;</w:t>
      </w:r>
    </w:p>
    <w:p w:rsidR="00E01E1A" w:rsidP="006649A7" w:rsidRDefault="00130DA3" w14:paraId="7CEBA649" w14:textId="77777777">
      <w:pPr>
        <w:numPr>
          <w:ilvl w:val="0"/>
          <w:numId w:val="23"/>
        </w:numPr>
        <w:ind w:left="720" w:hanging="360"/>
      </w:pPr>
      <w:r>
        <w:t>Cylinder outside diameter and length in inches;</w:t>
      </w:r>
    </w:p>
    <w:p w:rsidR="00E01E1A" w:rsidP="006649A7" w:rsidRDefault="00130DA3" w14:paraId="77573C52" w14:textId="563A8B41">
      <w:pPr>
        <w:numPr>
          <w:ilvl w:val="0"/>
          <w:numId w:val="23"/>
        </w:numPr>
        <w:ind w:left="720" w:hanging="360"/>
      </w:pPr>
      <w:r>
        <w:t>Rebuild process (</w:t>
      </w:r>
      <w:r w:rsidR="00F36C2C">
        <w:t xml:space="preserve">e.g., </w:t>
      </w:r>
      <w:r>
        <w:t>welded, brazed, type seams, etc.);</w:t>
      </w:r>
    </w:p>
    <w:p w:rsidR="00E01E1A" w:rsidP="006649A7" w:rsidRDefault="00130DA3" w14:paraId="68B21517" w14:textId="77777777">
      <w:pPr>
        <w:numPr>
          <w:ilvl w:val="0"/>
          <w:numId w:val="23"/>
        </w:numPr>
        <w:ind w:left="720" w:hanging="360"/>
      </w:pPr>
      <w:r>
        <w:t>Description of assembly and any attachments replaced (e.g., neckrings, footrings);</w:t>
      </w:r>
    </w:p>
    <w:p w:rsidR="00E01E1A" w:rsidP="006649A7" w:rsidRDefault="00E01E1A" w14:paraId="12E00493" w14:textId="5963F1D6">
      <w:pPr>
        <w:numPr>
          <w:ilvl w:val="0"/>
          <w:numId w:val="23"/>
        </w:numPr>
        <w:ind w:left="720" w:hanging="360"/>
      </w:pPr>
      <w:r>
        <w:t>Chemical analysis of material for the cylinder, including seat and Code No., type of analysis (ladle, check), chemical components (Carbon (C), Phosphorous (P), Sulfur (S), Silicon (Si), Manganese (Mn), Nickel (Ni), Chromium (Cr), Molybdenum (Mo), Copper (Cu), Aluminum (Al), Zinc (Zn)), material manufacturer, name of person performing the analysis, results of physical tests of material for cylinder (yield strength (psi), tensile strength (psi), elongation percentage (inches), reduction in area percentage, weld bend, tensile bend, name of inspector);</w:t>
      </w:r>
    </w:p>
    <w:p w:rsidR="00E01E1A" w:rsidP="006649A7" w:rsidRDefault="00130DA3" w14:paraId="371C407D" w14:textId="4F4B00D1">
      <w:pPr>
        <w:numPr>
          <w:ilvl w:val="0"/>
          <w:numId w:val="23"/>
        </w:numPr>
        <w:ind w:left="720" w:hanging="360"/>
      </w:pPr>
      <w:r>
        <w:t xml:space="preserve">Results of proof pressure test on cylinder, including test method, test pressure, total expansion, permanent expansion, elastic expansion, percent permanent expansion (permanent expansion may not exceed </w:t>
      </w:r>
      <w:r w:rsidR="006A533E">
        <w:t xml:space="preserve">10 </w:t>
      </w:r>
      <w:r>
        <w:t>percent of total expansion), and volumetric capacity (volumetric capacity of a rebuilt cylinder must be within ±3</w:t>
      </w:r>
      <w:r w:rsidR="006A533E">
        <w:t xml:space="preserve"> percent</w:t>
      </w:r>
      <w:r>
        <w:t xml:space="preserve"> of the calculated capacity); and </w:t>
      </w:r>
    </w:p>
    <w:p w:rsidR="00E01E1A" w:rsidP="006649A7" w:rsidRDefault="00130DA3" w14:paraId="51E2C105" w14:textId="0CB95B6F">
      <w:pPr>
        <w:numPr>
          <w:ilvl w:val="0"/>
          <w:numId w:val="23"/>
        </w:numPr>
        <w:ind w:left="720" w:hanging="360"/>
      </w:pPr>
      <w:r>
        <w:t>The certification statement: “I certify that this rebuilt cylinder is accurately represented by the data above and conforms to all of the requirements in Subchapter C of Chapter I of Title 49 of the Code of Federal Regulations.” The certification must be signed by the rebuild technician and principal, officer, or partner of the rebuild facility.</w:t>
      </w:r>
    </w:p>
    <w:p w:rsidR="00E01E1A" w:rsidP="00CB6E8B" w:rsidRDefault="00E01E1A" w14:paraId="0313ACD8" w14:textId="77777777"/>
    <w:p w:rsidR="00E01E1A" w:rsidP="00CB6E8B" w:rsidRDefault="00E01E1A" w14:paraId="24DA8DA6" w14:textId="1333367F">
      <w:r>
        <w:t xml:space="preserve">These records must be maintained at the approved facility for a minimum of 15 years. During this time, </w:t>
      </w:r>
      <w:r w:rsidR="006A533E">
        <w:t xml:space="preserve">these records must be provided to </w:t>
      </w:r>
      <w:r>
        <w:t>an official of the DOT upon request.</w:t>
      </w:r>
    </w:p>
    <w:p w:rsidR="00E01E1A" w:rsidP="00902AA1" w:rsidRDefault="00E01E1A" w14:paraId="6F78CF1A" w14:textId="77777777"/>
    <w:p w:rsidR="00130DA3" w:rsidP="004D0E4C" w:rsidRDefault="00E01E1A" w14:paraId="08AE1953" w14:textId="43F72E76">
      <w:r>
        <w:rPr>
          <w:u w:val="single"/>
        </w:rPr>
        <w:t>Changing Marked Service Pressure:</w:t>
      </w:r>
      <w:r>
        <w:t xml:space="preserve">  The marked service pressure on a cylinder may be changed, upon approval by the Associate Ad</w:t>
      </w:r>
      <w:r w:rsidR="00EC62D1">
        <w:t xml:space="preserve">ministrator, in accordance with § 180.205(c)(3). </w:t>
      </w:r>
      <w:r w:rsidR="00F10054">
        <w:t>This would require an adjustment of the original manufacture marking, as specified earlier in this section.</w:t>
      </w:r>
    </w:p>
    <w:p w:rsidR="00130DA3" w:rsidP="004D0E4C" w:rsidRDefault="00130DA3" w14:paraId="1A0E48D1" w14:textId="77777777"/>
    <w:p w:rsidR="004D0E4C" w:rsidP="004D0E4C" w:rsidRDefault="004D0E4C" w14:paraId="310C2E3A" w14:textId="77777777"/>
    <w:p w:rsidRPr="00F811E5" w:rsidR="00C37D59" w:rsidP="004D0E4C" w:rsidRDefault="00C37D59" w14:paraId="3B5638AB" w14:textId="6380A865">
      <w:r w:rsidRPr="00F811E5">
        <w:t>3.</w:t>
      </w:r>
      <w:r w:rsidRPr="00F811E5">
        <w:tab/>
      </w:r>
      <w:r w:rsidRPr="00F811E5" w:rsidR="00AC1E4C">
        <w:rPr>
          <w:u w:val="single"/>
        </w:rPr>
        <w:t>Extent of automated information collection</w:t>
      </w:r>
    </w:p>
    <w:p w:rsidRPr="00F811E5" w:rsidR="00C37D59" w:rsidP="00E81AE8" w:rsidRDefault="00C37D59" w14:paraId="75C8CA8A" w14:textId="77777777"/>
    <w:p w:rsidR="004D0E4C" w:rsidP="00E81AE8" w:rsidRDefault="00C37D59" w14:paraId="330F08D8" w14:textId="4B7AF8DD">
      <w:r>
        <w:t xml:space="preserve">The information required is particular and unique. Industry may use any type of technology to meet information collection and recordkeeping requirements </w:t>
      </w:r>
      <w:r w:rsidR="6854AEFF">
        <w:t xml:space="preserve">provided </w:t>
      </w:r>
      <w:r w:rsidR="008E7184">
        <w:t xml:space="preserve">the information </w:t>
      </w:r>
      <w:r>
        <w:t xml:space="preserve">is retrievable when requested. </w:t>
      </w:r>
      <w:r w:rsidR="00313A45">
        <w:t xml:space="preserve">PHMSA </w:t>
      </w:r>
      <w:r>
        <w:t>encourages the use of automated technology to reduce burden.</w:t>
      </w:r>
    </w:p>
    <w:p w:rsidR="004D0E4C" w:rsidP="00E81AE8" w:rsidRDefault="004D0E4C" w14:paraId="62D311EB" w14:textId="77777777"/>
    <w:p w:rsidR="004D0E4C" w:rsidP="004D0E4C" w:rsidRDefault="00C37D59" w14:paraId="56636133" w14:textId="62A3E839">
      <w:r w:rsidRPr="00F811E5">
        <w:t>The Government Paperwork Elimination Act directs agencies to allow the option of electronic filing and recordkeeping by October 2003, when practicable. Electronic filing and recordkeeping for tests for manufacture and inspection of cylinders is authorized; however,</w:t>
      </w:r>
      <w:r w:rsidRPr="00F811E5" w:rsidR="00313A45">
        <w:t xml:space="preserve"> </w:t>
      </w:r>
      <w:r w:rsidRPr="00F811E5">
        <w:t>we do not require these records to be submitted to us, so this is not applicable.</w:t>
      </w:r>
    </w:p>
    <w:p w:rsidR="004D0E4C" w:rsidP="004D0E4C" w:rsidRDefault="004D0E4C" w14:paraId="3D94D2E5" w14:textId="77777777"/>
    <w:p w:rsidR="004D0E4C" w:rsidP="004D0E4C" w:rsidRDefault="004D0E4C" w14:paraId="116B6E37" w14:textId="77777777"/>
    <w:p w:rsidRPr="00F811E5" w:rsidR="00C37D59" w:rsidP="004D0E4C" w:rsidRDefault="00C37D59" w14:paraId="616FF158" w14:textId="1323C006">
      <w:r w:rsidRPr="00F811E5">
        <w:t>4.</w:t>
      </w:r>
      <w:r w:rsidRPr="00F811E5">
        <w:tab/>
      </w:r>
      <w:r w:rsidRPr="00F811E5">
        <w:rPr>
          <w:u w:val="single"/>
        </w:rPr>
        <w:t>Efforts to identify duplication</w:t>
      </w:r>
    </w:p>
    <w:p w:rsidRPr="00F811E5" w:rsidR="00C37D59" w:rsidP="00E81AE8" w:rsidRDefault="00C37D59" w14:paraId="1E8AB41B" w14:textId="77777777"/>
    <w:p w:rsidR="004D0E4C" w:rsidP="004D0E4C" w:rsidRDefault="00C37D59" w14:paraId="4A2C424E" w14:textId="3C814F4A">
      <w:r w:rsidRPr="00F811E5">
        <w:lastRenderedPageBreak/>
        <w:t xml:space="preserve">There is no duplication, as the information requested is not required by any other </w:t>
      </w:r>
      <w:r w:rsidR="00EF4C1C">
        <w:t>agency</w:t>
      </w:r>
      <w:r w:rsidRPr="00F811E5">
        <w:t>. Each response is unique and information derived from one source may not be obtained from another.</w:t>
      </w:r>
      <w:r w:rsidR="00CB6E8B">
        <w:t xml:space="preserve"> PHMSA has done its due diligence to ensure that this information is not duplicated.</w:t>
      </w:r>
    </w:p>
    <w:p w:rsidR="004D0E4C" w:rsidP="004D0E4C" w:rsidRDefault="004D0E4C" w14:paraId="1EF883A7" w14:textId="77777777"/>
    <w:p w:rsidR="004D0E4C" w:rsidP="004D0E4C" w:rsidRDefault="004D0E4C" w14:paraId="3EDF64ED" w14:textId="77777777"/>
    <w:p w:rsidRPr="00F811E5" w:rsidR="00C37D59" w:rsidP="00077747" w:rsidRDefault="00C37D59" w14:paraId="1B2FA7F9" w14:textId="22C32F7E">
      <w:pPr>
        <w:keepNext/>
      </w:pPr>
      <w:r w:rsidRPr="00F811E5">
        <w:t>5.</w:t>
      </w:r>
      <w:r w:rsidRPr="00F811E5">
        <w:tab/>
      </w:r>
      <w:r w:rsidRPr="00F811E5" w:rsidR="00AC1E4C">
        <w:rPr>
          <w:u w:val="single"/>
        </w:rPr>
        <w:t>Efforts to minimize the burden on small businesses</w:t>
      </w:r>
    </w:p>
    <w:p w:rsidRPr="00F811E5" w:rsidR="00C37D59" w:rsidP="00077747" w:rsidRDefault="00C37D59" w14:paraId="0E4BC710" w14:textId="77777777">
      <w:pPr>
        <w:keepNext/>
      </w:pPr>
    </w:p>
    <w:p w:rsidR="004D0E4C" w:rsidP="00077747" w:rsidRDefault="00C37D59" w14:paraId="0C206EDB" w14:textId="0B3D86C5">
      <w:pPr>
        <w:keepNext/>
      </w:pPr>
      <w:r w:rsidRPr="00F811E5">
        <w:t xml:space="preserve">Because this information is unique, similar information is unavailable. </w:t>
      </w:r>
      <w:r w:rsidR="00EF4C1C">
        <w:t>T</w:t>
      </w:r>
      <w:r w:rsidRPr="00F811E5">
        <w:t>he collection of this information is reviewed periodically to ensure that the requirements involving safety in the transportation of hazardous materials are kept to the necessary standards to protect all involved.</w:t>
      </w:r>
    </w:p>
    <w:p w:rsidR="004D0E4C" w:rsidP="004D0E4C" w:rsidRDefault="004D0E4C" w14:paraId="53498A52" w14:textId="77777777"/>
    <w:p w:rsidR="004D0E4C" w:rsidP="004D0E4C" w:rsidRDefault="004D0E4C" w14:paraId="474C3F8F" w14:textId="77777777"/>
    <w:p w:rsidRPr="00F811E5" w:rsidR="00C37D59" w:rsidP="004D0E4C" w:rsidRDefault="00C37D59" w14:paraId="532F2DA2" w14:textId="20DBF4A9">
      <w:r w:rsidRPr="00F811E5">
        <w:t>6.</w:t>
      </w:r>
      <w:r w:rsidRPr="00F811E5">
        <w:tab/>
      </w:r>
      <w:r w:rsidRPr="00F811E5" w:rsidR="00AC1E4C">
        <w:rPr>
          <w:bCs/>
          <w:u w:val="single"/>
        </w:rPr>
        <w:t>Impact of less frequent collection of information</w:t>
      </w:r>
    </w:p>
    <w:p w:rsidRPr="00F811E5" w:rsidR="00C37D59" w:rsidP="00E81AE8" w:rsidRDefault="00C37D59" w14:paraId="53F69424" w14:textId="77777777"/>
    <w:p w:rsidR="004D0E4C" w:rsidP="004D0E4C" w:rsidRDefault="00C37D59" w14:paraId="359DFF52" w14:textId="005A2E8B">
      <w:r w:rsidRPr="00F811E5">
        <w:t>Due to the hazards involved in transporting cylinders, if collection of information or recordkeeping w</w:t>
      </w:r>
      <w:r w:rsidR="002E38E2">
        <w:t>ere</w:t>
      </w:r>
      <w:r w:rsidRPr="00F811E5">
        <w:t xml:space="preserve"> required less frequently, the hazards to the public safety would increase due to the </w:t>
      </w:r>
      <w:r w:rsidR="005169C9">
        <w:t xml:space="preserve">increasing </w:t>
      </w:r>
      <w:r w:rsidRPr="00F811E5">
        <w:t xml:space="preserve">probability of incidents </w:t>
      </w:r>
      <w:r w:rsidR="002E38E2">
        <w:t xml:space="preserve">occurring </w:t>
      </w:r>
      <w:r w:rsidRPr="00F811E5">
        <w:t>during transportation.</w:t>
      </w:r>
      <w:r w:rsidR="00CB6E8B">
        <w:t xml:space="preserve"> Therefore, the benefits of reducing this burden do not outweigh the benefits of safety.</w:t>
      </w:r>
    </w:p>
    <w:p w:rsidR="004D0E4C" w:rsidP="004D0E4C" w:rsidRDefault="004D0E4C" w14:paraId="0958C941" w14:textId="77777777"/>
    <w:p w:rsidR="004D0E4C" w:rsidP="004D0E4C" w:rsidRDefault="004D0E4C" w14:paraId="2E2D7BA3" w14:textId="77777777"/>
    <w:p w:rsidRPr="00F811E5" w:rsidR="00C37D59" w:rsidP="004D0E4C" w:rsidRDefault="00C37D59" w14:paraId="21ECD876" w14:textId="4A2874E6">
      <w:r w:rsidRPr="00F811E5">
        <w:t>7.</w:t>
      </w:r>
      <w:r w:rsidRPr="00F811E5">
        <w:tab/>
      </w:r>
      <w:r w:rsidRPr="00F811E5">
        <w:rPr>
          <w:u w:val="single"/>
        </w:rPr>
        <w:t>Special circumstances</w:t>
      </w:r>
    </w:p>
    <w:p w:rsidRPr="00F811E5" w:rsidR="00C37D59" w:rsidP="00E81AE8" w:rsidRDefault="00C37D59" w14:paraId="1638DBD8" w14:textId="77777777"/>
    <w:p w:rsidR="00CB6E8B" w:rsidP="004D0E4C" w:rsidRDefault="00C37D59" w14:paraId="1E56B10E" w14:textId="6F0B5316">
      <w:r w:rsidRPr="00F811E5">
        <w:t>This collection of information is generally conducted in a manner consistent with the guidelines in 5 CFR 1320.5(d)(2)</w:t>
      </w:r>
      <w:r w:rsidR="00B42AB4">
        <w:t>,</w:t>
      </w:r>
      <w:r w:rsidRPr="00F811E5">
        <w:t xml:space="preserve"> with the following qualifications:</w:t>
      </w:r>
    </w:p>
    <w:p w:rsidR="00CB6E8B" w:rsidP="006649A7" w:rsidRDefault="00EA14E2" w14:paraId="7ED339C7" w14:textId="388780D3">
      <w:pPr>
        <w:numPr>
          <w:ilvl w:val="0"/>
          <w:numId w:val="26"/>
        </w:numPr>
      </w:pPr>
      <w:r>
        <w:t>The l</w:t>
      </w:r>
      <w:r w:rsidRPr="00F811E5" w:rsidR="00C37D59">
        <w:t xml:space="preserve">ength of time between tests and inspections and </w:t>
      </w:r>
      <w:r>
        <w:t xml:space="preserve">the fact that </w:t>
      </w:r>
      <w:r w:rsidRPr="00F811E5" w:rsidR="00C37D59">
        <w:t>results of prior tests must be kept until the next re</w:t>
      </w:r>
      <w:r w:rsidRPr="00F811E5" w:rsidR="00A8416D">
        <w:t>-</w:t>
      </w:r>
      <w:r w:rsidRPr="00F811E5" w:rsidR="00C37D59">
        <w:t>qualification</w:t>
      </w:r>
      <w:r>
        <w:t>;</w:t>
      </w:r>
    </w:p>
    <w:p w:rsidR="00CB6E8B" w:rsidP="006649A7" w:rsidRDefault="00EA14E2" w14:paraId="085C8361" w14:textId="0D9A68F4">
      <w:pPr>
        <w:numPr>
          <w:ilvl w:val="0"/>
          <w:numId w:val="26"/>
        </w:numPr>
      </w:pPr>
      <w:r>
        <w:t>The fact that t</w:t>
      </w:r>
      <w:r w:rsidRPr="00F811E5" w:rsidR="00C37D59">
        <w:t xml:space="preserve">ests must be </w:t>
      </w:r>
      <w:r w:rsidR="00B42AB4">
        <w:t>performed</w:t>
      </w:r>
      <w:r w:rsidRPr="00F811E5" w:rsidR="00B42AB4">
        <w:t xml:space="preserve"> </w:t>
      </w:r>
      <w:r w:rsidRPr="00F811E5" w:rsidR="00C37D59">
        <w:t>every time a cylinder is recharged or when there is evidence of damage or corrosion</w:t>
      </w:r>
      <w:r w:rsidR="00905F47">
        <w:t>,</w:t>
      </w:r>
      <w:r w:rsidRPr="00F811E5" w:rsidR="00C37D59">
        <w:t xml:space="preserve"> and </w:t>
      </w:r>
      <w:r>
        <w:t xml:space="preserve">that </w:t>
      </w:r>
      <w:r w:rsidRPr="00F811E5" w:rsidR="00C37D59">
        <w:t>records of re</w:t>
      </w:r>
      <w:r w:rsidRPr="00F811E5" w:rsidR="00A8416D">
        <w:t>-</w:t>
      </w:r>
      <w:r w:rsidRPr="00F811E5" w:rsidR="00C37D59">
        <w:t>qualification results</w:t>
      </w:r>
      <w:r w:rsidR="00905F47">
        <w:t xml:space="preserve"> must be </w:t>
      </w:r>
      <w:r w:rsidRPr="00F811E5" w:rsidR="00905F47">
        <w:t>maintained</w:t>
      </w:r>
      <w:r>
        <w:t>; and</w:t>
      </w:r>
    </w:p>
    <w:p w:rsidR="004D0E4C" w:rsidP="006649A7" w:rsidRDefault="00EA14E2" w14:paraId="6028CBEB" w14:textId="77B91D0C">
      <w:pPr>
        <w:numPr>
          <w:ilvl w:val="0"/>
          <w:numId w:val="26"/>
        </w:numPr>
      </w:pPr>
      <w:r>
        <w:t>The fact that t</w:t>
      </w:r>
      <w:r w:rsidRPr="00F811E5" w:rsidR="00C37D59">
        <w:t xml:space="preserve">ests that must be made after repairs to verify integrity of repaired cylinders and </w:t>
      </w:r>
      <w:r>
        <w:t xml:space="preserve">that </w:t>
      </w:r>
      <w:r w:rsidRPr="00F811E5" w:rsidR="00C37D59">
        <w:t xml:space="preserve">records </w:t>
      </w:r>
      <w:r>
        <w:t xml:space="preserve">must be </w:t>
      </w:r>
      <w:r w:rsidRPr="00F811E5" w:rsidR="00C37D59">
        <w:t>maintained to verify repairs.</w:t>
      </w:r>
    </w:p>
    <w:p w:rsidR="004D0E4C" w:rsidP="004D0E4C" w:rsidRDefault="004D0E4C" w14:paraId="1823F29B" w14:textId="77777777"/>
    <w:p w:rsidR="004D0E4C" w:rsidP="004D0E4C" w:rsidRDefault="004D0E4C" w14:paraId="361EDDEE" w14:textId="77777777"/>
    <w:p w:rsidRPr="00F811E5" w:rsidR="00C37D59" w:rsidP="004D0E4C" w:rsidRDefault="00C37D59" w14:paraId="5934C116" w14:textId="139C4F58">
      <w:r w:rsidRPr="00F811E5">
        <w:t>8.</w:t>
      </w:r>
      <w:r w:rsidRPr="00F811E5">
        <w:tab/>
      </w:r>
      <w:r w:rsidRPr="00F811E5" w:rsidR="00AC1E4C">
        <w:rPr>
          <w:bCs/>
          <w:u w:val="single"/>
        </w:rPr>
        <w:t>Compliance with 5 CFR 1320.8</w:t>
      </w:r>
    </w:p>
    <w:p w:rsidR="002E38E2" w:rsidP="00E81AE8" w:rsidRDefault="002E38E2" w14:paraId="57E049B9" w14:textId="77777777">
      <w:pPr>
        <w:rPr>
          <w:highlight w:val="white"/>
        </w:rPr>
      </w:pPr>
    </w:p>
    <w:p w:rsidR="004D0E4C" w:rsidP="00DA7E8C" w:rsidRDefault="004D0E4C" w14:paraId="6F944B97" w14:textId="30802DBA">
      <w:r>
        <w:t xml:space="preserve">PHMSA </w:t>
      </w:r>
      <w:r w:rsidRPr="00FA4EA6">
        <w:t xml:space="preserve">published a </w:t>
      </w:r>
      <w:r w:rsidR="00C506AE">
        <w:t xml:space="preserve">notice of proposed rulemaking (NPRM) </w:t>
      </w:r>
      <w:r w:rsidRPr="00FA4EA6">
        <w:t xml:space="preserve">on </w:t>
      </w:r>
      <w:r w:rsidR="00C506AE">
        <w:t>July 26, 2016</w:t>
      </w:r>
      <w:r w:rsidRPr="00FA4EA6">
        <w:t xml:space="preserve">, in the </w:t>
      </w:r>
      <w:r w:rsidRPr="00DC61DC">
        <w:rPr>
          <w:i/>
        </w:rPr>
        <w:t>Federal Register</w:t>
      </w:r>
      <w:r w:rsidRPr="00FA4EA6">
        <w:t xml:space="preserve"> [</w:t>
      </w:r>
      <w:r w:rsidRPr="00FA4EA6" w:rsidR="00C506AE">
        <w:t>8</w:t>
      </w:r>
      <w:r w:rsidR="00C506AE">
        <w:t>1 </w:t>
      </w:r>
      <w:r w:rsidRPr="00FA4EA6">
        <w:t>FR</w:t>
      </w:r>
      <w:r>
        <w:t> </w:t>
      </w:r>
      <w:r w:rsidR="00C506AE">
        <w:t>48977</w:t>
      </w:r>
      <w:r w:rsidRPr="00FA4EA6">
        <w:t>]</w:t>
      </w:r>
      <w:r w:rsidR="00C506AE">
        <w:t>, titled “</w:t>
      </w:r>
      <w:r w:rsidRPr="00C506AE" w:rsidR="00C506AE">
        <w:t>Hazardous Materials: Miscellaneous Amendments Pertaining to DOT-Specification Cylinders (RRR)</w:t>
      </w:r>
      <w:r w:rsidR="00C506AE">
        <w:t xml:space="preserve">.” </w:t>
      </w:r>
      <w:r>
        <w:t xml:space="preserve">PHMSA received </w:t>
      </w:r>
      <w:r w:rsidR="008B3829">
        <w:t xml:space="preserve">one comment </w:t>
      </w:r>
      <w:r w:rsidR="00C506AE">
        <w:t>to the NPRM that identified a proposed amendment that had paperwork reduction implications. PHMSA agreed, and in the final rule,</w:t>
      </w:r>
      <w:r w:rsidR="004F6436">
        <w:t xml:space="preserve"> which was</w:t>
      </w:r>
      <w:r w:rsidR="00C506AE">
        <w:t xml:space="preserve"> </w:t>
      </w:r>
      <w:r w:rsidRPr="00FA4EA6">
        <w:t xml:space="preserve">published on </w:t>
      </w:r>
      <w:r w:rsidR="00C506AE">
        <w:t>December</w:t>
      </w:r>
      <w:r w:rsidRPr="00FA4EA6" w:rsidR="00C506AE">
        <w:t xml:space="preserve"> </w:t>
      </w:r>
      <w:r w:rsidRPr="00FA4EA6">
        <w:t>28, 20</w:t>
      </w:r>
      <w:r w:rsidR="00C506AE">
        <w:t>20</w:t>
      </w:r>
      <w:r w:rsidR="00322AA4">
        <w:t xml:space="preserve"> [</w:t>
      </w:r>
      <w:r w:rsidRPr="00322AA4" w:rsidR="00322AA4">
        <w:t>85 FR 85380</w:t>
      </w:r>
      <w:r w:rsidR="00322AA4">
        <w:t>]</w:t>
      </w:r>
      <w:r w:rsidRPr="00FA4EA6">
        <w:t xml:space="preserve">, </w:t>
      </w:r>
      <w:r w:rsidR="00C506AE">
        <w:t xml:space="preserve">PHMSA outlined the </w:t>
      </w:r>
      <w:r w:rsidR="00322AA4">
        <w:t xml:space="preserve">rationale for the </w:t>
      </w:r>
      <w:r w:rsidR="00C506AE">
        <w:t xml:space="preserve">increase in </w:t>
      </w:r>
      <w:r w:rsidR="00322AA4">
        <w:t xml:space="preserve">this </w:t>
      </w:r>
      <w:r w:rsidR="00C506AE">
        <w:t>information collection.</w:t>
      </w:r>
      <w:r w:rsidDel="00C506AE" w:rsidR="00C506AE">
        <w:t xml:space="preserve"> </w:t>
      </w:r>
    </w:p>
    <w:p w:rsidR="004D0E4C" w:rsidP="004D0E4C" w:rsidRDefault="004D0E4C" w14:paraId="2724C443" w14:textId="77777777"/>
    <w:p w:rsidR="004D0E4C" w:rsidP="004D0E4C" w:rsidRDefault="004D0E4C" w14:paraId="488A011A" w14:textId="77777777"/>
    <w:p w:rsidRPr="00F811E5" w:rsidR="00C37D59" w:rsidP="004D0E4C" w:rsidRDefault="00C37D59" w14:paraId="71591636" w14:textId="6E9CB1B7">
      <w:r w:rsidRPr="00F811E5">
        <w:t>9.</w:t>
      </w:r>
      <w:r w:rsidRPr="00F811E5">
        <w:tab/>
      </w:r>
      <w:r w:rsidRPr="00F811E5" w:rsidR="00EE07DB">
        <w:rPr>
          <w:bCs/>
          <w:u w:val="single"/>
        </w:rPr>
        <w:t>Payments or gifts to respondents</w:t>
      </w:r>
    </w:p>
    <w:p w:rsidRPr="00F811E5" w:rsidR="00C37D59" w:rsidP="00E81AE8" w:rsidRDefault="00C37D59" w14:paraId="01B618AC" w14:textId="77777777"/>
    <w:p w:rsidR="004D0E4C" w:rsidP="004D0E4C" w:rsidRDefault="00C37D59" w14:paraId="41DD261F" w14:textId="77777777">
      <w:r w:rsidRPr="00F811E5">
        <w:lastRenderedPageBreak/>
        <w:t>There is no payment or gift provided to respondents associated with this collection of information.</w:t>
      </w:r>
    </w:p>
    <w:p w:rsidR="004D0E4C" w:rsidP="004D0E4C" w:rsidRDefault="004D0E4C" w14:paraId="5C0C5079" w14:textId="77777777"/>
    <w:p w:rsidR="004D0E4C" w:rsidP="004D0E4C" w:rsidRDefault="004D0E4C" w14:paraId="5F78214D" w14:textId="77777777"/>
    <w:p w:rsidRPr="00F811E5" w:rsidR="00C37D59" w:rsidP="004D0E4C" w:rsidRDefault="00C37D59" w14:paraId="1EA25DAB" w14:textId="0C5AB604">
      <w:r w:rsidRPr="00F811E5">
        <w:t>10.</w:t>
      </w:r>
      <w:r w:rsidRPr="00F811E5">
        <w:tab/>
      </w:r>
      <w:r w:rsidRPr="00F811E5">
        <w:rPr>
          <w:u w:val="single"/>
        </w:rPr>
        <w:t>Assurance of confidentiality</w:t>
      </w:r>
    </w:p>
    <w:p w:rsidRPr="00F811E5" w:rsidR="00C37D59" w:rsidP="00E81AE8" w:rsidRDefault="00C37D59" w14:paraId="55F022AA" w14:textId="77777777"/>
    <w:p w:rsidR="004D0E4C" w:rsidP="004D0E4C" w:rsidRDefault="005B0DD9" w14:paraId="786EC0C6" w14:textId="27EAE694">
      <w:pPr>
        <w:rPr>
          <w:bCs/>
        </w:rPr>
      </w:pPr>
      <w:r w:rsidRPr="00F811E5">
        <w:rPr>
          <w:bCs/>
        </w:rPr>
        <w:t>The r</w:t>
      </w:r>
      <w:r w:rsidR="00CB6E8B">
        <w:rPr>
          <w:bCs/>
        </w:rPr>
        <w:t>eporting and r</w:t>
      </w:r>
      <w:r w:rsidRPr="00F811E5">
        <w:rPr>
          <w:bCs/>
        </w:rPr>
        <w:t xml:space="preserve">ecordkeeping requirements of this information collection do not include anything of a sensitive nature or any matters considered private. </w:t>
      </w:r>
      <w:r w:rsidR="008B3829">
        <w:rPr>
          <w:bCs/>
        </w:rPr>
        <w:t>There is no assurance of confidentiality.</w:t>
      </w:r>
    </w:p>
    <w:p w:rsidR="004D0E4C" w:rsidP="004D0E4C" w:rsidRDefault="004D0E4C" w14:paraId="4BE67725" w14:textId="77777777">
      <w:pPr>
        <w:rPr>
          <w:bCs/>
        </w:rPr>
      </w:pPr>
    </w:p>
    <w:p w:rsidR="004D0E4C" w:rsidP="004D0E4C" w:rsidRDefault="004D0E4C" w14:paraId="6375B329" w14:textId="77777777">
      <w:pPr>
        <w:rPr>
          <w:bCs/>
        </w:rPr>
      </w:pPr>
    </w:p>
    <w:p w:rsidRPr="004D0E4C" w:rsidR="00C37D59" w:rsidP="004D0E4C" w:rsidRDefault="00C37D59" w14:paraId="35671B3D" w14:textId="5D430560">
      <w:pPr>
        <w:rPr>
          <w:bCs/>
        </w:rPr>
      </w:pPr>
      <w:r w:rsidRPr="00F811E5">
        <w:t>11.</w:t>
      </w:r>
      <w:r w:rsidRPr="00F811E5">
        <w:tab/>
      </w:r>
      <w:r w:rsidRPr="00F811E5" w:rsidR="00EE07DB">
        <w:rPr>
          <w:bCs/>
          <w:u w:val="single"/>
        </w:rPr>
        <w:t>Justification for collection of sensitive information</w:t>
      </w:r>
    </w:p>
    <w:p w:rsidRPr="00F811E5" w:rsidR="009C1615" w:rsidP="00E81AE8" w:rsidRDefault="009C1615" w14:paraId="4F8CC9DA" w14:textId="77777777">
      <w:pPr>
        <w:tabs>
          <w:tab w:val="left" w:pos="720"/>
        </w:tabs>
        <w:ind w:left="720" w:hanging="720"/>
      </w:pPr>
    </w:p>
    <w:p w:rsidR="004D0E4C" w:rsidP="004D0E4C" w:rsidRDefault="00C37D59" w14:paraId="6728901A" w14:textId="77777777">
      <w:r w:rsidRPr="00F811E5">
        <w:t>Not applicable. Information is not of a sensitive nature.</w:t>
      </w:r>
    </w:p>
    <w:p w:rsidR="004D0E4C" w:rsidP="004D0E4C" w:rsidRDefault="004D0E4C" w14:paraId="1A2D2278" w14:textId="77777777"/>
    <w:p w:rsidR="004D0E4C" w:rsidP="004D0E4C" w:rsidRDefault="004D0E4C" w14:paraId="50901415" w14:textId="77777777"/>
    <w:p w:rsidR="004D0E4C" w:rsidP="004D0E4C" w:rsidRDefault="00C37D59" w14:paraId="425F5633" w14:textId="77777777">
      <w:r w:rsidRPr="00F811E5">
        <w:t>12.</w:t>
      </w:r>
      <w:r w:rsidRPr="00F811E5">
        <w:tab/>
      </w:r>
      <w:r w:rsidRPr="00F811E5">
        <w:rPr>
          <w:u w:val="single"/>
        </w:rPr>
        <w:t xml:space="preserve">Estimate of burden </w:t>
      </w:r>
      <w:r w:rsidRPr="00F811E5" w:rsidR="00EE07DB">
        <w:rPr>
          <w:u w:val="single"/>
        </w:rPr>
        <w:t xml:space="preserve">hours for </w:t>
      </w:r>
      <w:r w:rsidRPr="00F811E5">
        <w:rPr>
          <w:u w:val="single"/>
        </w:rPr>
        <w:t>information</w:t>
      </w:r>
      <w:r w:rsidRPr="00F811E5" w:rsidR="00EE07DB">
        <w:rPr>
          <w:u w:val="single"/>
        </w:rPr>
        <w:t xml:space="preserve"> requested</w:t>
      </w:r>
      <w:r w:rsidRPr="00F811E5">
        <w:t>.</w:t>
      </w:r>
    </w:p>
    <w:p w:rsidR="004D0E4C" w:rsidP="004D0E4C" w:rsidRDefault="004D0E4C" w14:paraId="5E7AC3EF" w14:textId="77777777"/>
    <w:tbl>
      <w:tblPr>
        <w:tblW w:w="0" w:type="auto"/>
        <w:jc w:val="center"/>
        <w:tblLayout w:type="fixed"/>
        <w:tblCellMar>
          <w:top w:w="15" w:type="dxa"/>
          <w:bottom w:w="15" w:type="dxa"/>
        </w:tblCellMar>
        <w:tblLook w:val="04A0" w:firstRow="1" w:lastRow="0" w:firstColumn="1" w:lastColumn="0" w:noHBand="0" w:noVBand="1"/>
      </w:tblPr>
      <w:tblGrid>
        <w:gridCol w:w="1975"/>
        <w:gridCol w:w="2250"/>
        <w:gridCol w:w="1890"/>
        <w:gridCol w:w="1710"/>
        <w:gridCol w:w="1525"/>
      </w:tblGrid>
      <w:tr w:rsidRPr="00264B4F" w:rsidR="00C506AE" w:rsidTr="00B24367" w14:paraId="6D8DDC92" w14:textId="31622F87">
        <w:trPr>
          <w:trHeight w:val="35"/>
          <w:jc w:val="center"/>
        </w:trPr>
        <w:tc>
          <w:tcPr>
            <w:tcW w:w="1975" w:type="dxa"/>
            <w:tcBorders>
              <w:top w:val="single" w:color="auto" w:sz="4" w:space="0"/>
              <w:left w:val="single" w:color="auto" w:sz="4" w:space="0"/>
              <w:bottom w:val="single" w:color="auto" w:sz="4" w:space="0"/>
              <w:right w:val="single" w:color="auto" w:sz="4" w:space="0"/>
            </w:tcBorders>
            <w:vAlign w:val="center"/>
            <w:hideMark/>
          </w:tcPr>
          <w:p w:rsidRPr="00264B4F" w:rsidR="00C506AE" w:rsidP="00DA7E8C" w:rsidRDefault="00C506AE" w14:paraId="26BB86C3" w14:textId="77777777">
            <w:pPr>
              <w:jc w:val="center"/>
              <w:rPr>
                <w:bCs/>
                <w:color w:val="000000"/>
                <w:u w:val="single"/>
              </w:rPr>
            </w:pPr>
            <w:r w:rsidRPr="00264B4F">
              <w:rPr>
                <w:bCs/>
                <w:color w:val="000000"/>
                <w:u w:val="single"/>
              </w:rPr>
              <w:t>Total Number of Respondents</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264B4F" w:rsidR="00C506AE" w:rsidP="00A559DA" w:rsidRDefault="00C506AE" w14:paraId="032D9FA4" w14:textId="77777777">
            <w:pPr>
              <w:jc w:val="center"/>
              <w:rPr>
                <w:bCs/>
                <w:color w:val="000000"/>
                <w:u w:val="single"/>
              </w:rPr>
            </w:pPr>
            <w:r w:rsidRPr="00264B4F">
              <w:rPr>
                <w:bCs/>
                <w:color w:val="000000"/>
                <w:u w:val="single"/>
              </w:rPr>
              <w:t>Total Number of Annual Responses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264B4F" w:rsidR="00C506AE" w:rsidRDefault="00C506AE" w14:paraId="0851FDEB" w14:textId="77777777">
            <w:pPr>
              <w:jc w:val="center"/>
              <w:rPr>
                <w:bCs/>
                <w:color w:val="000000"/>
                <w:u w:val="single"/>
              </w:rPr>
            </w:pPr>
            <w:r w:rsidRPr="00264B4F">
              <w:rPr>
                <w:bCs/>
                <w:color w:val="000000"/>
                <w:u w:val="single"/>
              </w:rPr>
              <w:t>Total Annual Burden Hours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264B4F" w:rsidR="00C506AE" w:rsidRDefault="00C506AE" w14:paraId="4C86E1B6" w14:textId="5BDD81AB">
            <w:pPr>
              <w:jc w:val="center"/>
              <w:rPr>
                <w:bCs/>
                <w:color w:val="000000"/>
                <w:u w:val="single"/>
              </w:rPr>
            </w:pPr>
            <w:r w:rsidRPr="00264B4F">
              <w:rPr>
                <w:bCs/>
                <w:color w:val="000000"/>
                <w:u w:val="single"/>
              </w:rPr>
              <w:t xml:space="preserve">Total Annual </w:t>
            </w:r>
            <w:r>
              <w:rPr>
                <w:bCs/>
                <w:color w:val="000000"/>
                <w:u w:val="single"/>
              </w:rPr>
              <w:t>Salary</w:t>
            </w:r>
            <w:r w:rsidRPr="00264B4F">
              <w:rPr>
                <w:bCs/>
                <w:color w:val="000000"/>
                <w:u w:val="single"/>
              </w:rPr>
              <w:t xml:space="preserve"> Costs</w:t>
            </w:r>
          </w:p>
        </w:tc>
        <w:tc>
          <w:tcPr>
            <w:tcW w:w="1525" w:type="dxa"/>
            <w:tcBorders>
              <w:top w:val="single" w:color="auto" w:sz="4" w:space="0"/>
              <w:left w:val="single" w:color="auto" w:sz="4" w:space="0"/>
              <w:bottom w:val="single" w:color="auto" w:sz="4" w:space="0"/>
              <w:right w:val="single" w:color="auto" w:sz="4" w:space="0"/>
            </w:tcBorders>
            <w:vAlign w:val="center"/>
          </w:tcPr>
          <w:p w:rsidRPr="00264B4F" w:rsidR="00C506AE" w:rsidRDefault="00C506AE" w14:paraId="1EC6177A" w14:textId="0BC92615">
            <w:pPr>
              <w:jc w:val="center"/>
              <w:rPr>
                <w:bCs/>
                <w:color w:val="000000"/>
                <w:u w:val="single"/>
              </w:rPr>
            </w:pPr>
            <w:r>
              <w:rPr>
                <w:bCs/>
                <w:color w:val="000000"/>
                <w:u w:val="single"/>
              </w:rPr>
              <w:t>T</w:t>
            </w:r>
            <w:r w:rsidR="00391EC0">
              <w:rPr>
                <w:bCs/>
                <w:color w:val="000000"/>
                <w:u w:val="single"/>
              </w:rPr>
              <w:t>otal Annual Burden Costs</w:t>
            </w:r>
          </w:p>
        </w:tc>
      </w:tr>
      <w:tr w:rsidRPr="00264B4F" w:rsidR="00C506AE" w:rsidTr="00B24367" w14:paraId="1785C242" w14:textId="6431F69B">
        <w:trPr>
          <w:trHeight w:val="35"/>
          <w:jc w:val="center"/>
        </w:trPr>
        <w:tc>
          <w:tcPr>
            <w:tcW w:w="1975" w:type="dxa"/>
            <w:tcBorders>
              <w:top w:val="single" w:color="auto" w:sz="4" w:space="0"/>
              <w:left w:val="single" w:color="auto" w:sz="4" w:space="0"/>
              <w:bottom w:val="single" w:color="auto" w:sz="4" w:space="0"/>
              <w:right w:val="single" w:color="auto" w:sz="4" w:space="0"/>
            </w:tcBorders>
            <w:noWrap/>
            <w:vAlign w:val="bottom"/>
            <w:hideMark/>
          </w:tcPr>
          <w:p w:rsidRPr="00264B4F" w:rsidR="00C506AE" w:rsidP="00B65140" w:rsidRDefault="00C95530" w14:paraId="7653B94F" w14:textId="392332A1">
            <w:pPr>
              <w:jc w:val="center"/>
              <w:rPr>
                <w:color w:val="000000"/>
              </w:rPr>
            </w:pPr>
            <w:r>
              <w:rPr>
                <w:color w:val="000000"/>
              </w:rPr>
              <w:t>33,194</w:t>
            </w:r>
          </w:p>
        </w:tc>
        <w:tc>
          <w:tcPr>
            <w:tcW w:w="2250" w:type="dxa"/>
            <w:tcBorders>
              <w:top w:val="single" w:color="auto" w:sz="4" w:space="0"/>
              <w:left w:val="single" w:color="auto" w:sz="4" w:space="0"/>
              <w:bottom w:val="single" w:color="auto" w:sz="4" w:space="0"/>
              <w:right w:val="single" w:color="auto" w:sz="4" w:space="0"/>
            </w:tcBorders>
            <w:noWrap/>
            <w:vAlign w:val="bottom"/>
            <w:hideMark/>
          </w:tcPr>
          <w:p w:rsidRPr="00264B4F" w:rsidR="00C506AE" w:rsidP="00DA7E8C" w:rsidRDefault="00C95530" w14:paraId="04F8F7AD" w14:textId="5F852758">
            <w:pPr>
              <w:jc w:val="center"/>
              <w:rPr>
                <w:color w:val="000000"/>
              </w:rPr>
            </w:pPr>
            <w:r>
              <w:rPr>
                <w:color w:val="000000"/>
              </w:rPr>
              <w:t>29,20</w:t>
            </w:r>
            <w:r w:rsidR="00E619E0">
              <w:rPr>
                <w:color w:val="000000"/>
              </w:rPr>
              <w:t>8,822</w:t>
            </w: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264B4F" w:rsidR="00C506AE" w:rsidP="00A559DA" w:rsidRDefault="00C95530" w14:paraId="5E425195" w14:textId="2BF9687D">
            <w:pPr>
              <w:jc w:val="center"/>
              <w:rPr>
                <w:color w:val="000000"/>
              </w:rPr>
            </w:pPr>
            <w:r>
              <w:rPr>
                <w:color w:val="000000"/>
              </w:rPr>
              <w:t>380,9</w:t>
            </w:r>
            <w:r w:rsidR="00E619E0">
              <w:rPr>
                <w:color w:val="000000"/>
              </w:rPr>
              <w:t>22</w:t>
            </w:r>
          </w:p>
        </w:tc>
        <w:tc>
          <w:tcPr>
            <w:tcW w:w="1710" w:type="dxa"/>
            <w:tcBorders>
              <w:top w:val="single" w:color="auto" w:sz="4" w:space="0"/>
              <w:left w:val="single" w:color="auto" w:sz="4" w:space="0"/>
              <w:bottom w:val="single" w:color="auto" w:sz="4" w:space="0"/>
              <w:right w:val="single" w:color="auto" w:sz="4" w:space="0"/>
            </w:tcBorders>
            <w:noWrap/>
            <w:vAlign w:val="bottom"/>
            <w:hideMark/>
          </w:tcPr>
          <w:p w:rsidRPr="00264B4F" w:rsidR="00C506AE" w:rsidP="00020391" w:rsidRDefault="00C506AE" w14:paraId="3140A1A3" w14:textId="67577752">
            <w:pPr>
              <w:jc w:val="center"/>
              <w:rPr>
                <w:color w:val="000000"/>
              </w:rPr>
            </w:pPr>
            <w:r w:rsidRPr="00264B4F">
              <w:rPr>
                <w:color w:val="000000"/>
              </w:rPr>
              <w:t>$</w:t>
            </w:r>
            <w:r w:rsidR="00C95530">
              <w:rPr>
                <w:color w:val="000000"/>
              </w:rPr>
              <w:t>11,80</w:t>
            </w:r>
            <w:r w:rsidR="00E619E0">
              <w:rPr>
                <w:color w:val="000000"/>
              </w:rPr>
              <w:t>6,905</w:t>
            </w:r>
          </w:p>
        </w:tc>
        <w:tc>
          <w:tcPr>
            <w:tcW w:w="1525" w:type="dxa"/>
            <w:tcBorders>
              <w:top w:val="single" w:color="auto" w:sz="4" w:space="0"/>
              <w:left w:val="single" w:color="auto" w:sz="4" w:space="0"/>
              <w:bottom w:val="single" w:color="auto" w:sz="4" w:space="0"/>
              <w:right w:val="single" w:color="auto" w:sz="4" w:space="0"/>
            </w:tcBorders>
            <w:vAlign w:val="bottom"/>
          </w:tcPr>
          <w:p w:rsidR="00C506AE" w:rsidP="00DA7E8C" w:rsidRDefault="00391EC0" w14:paraId="6BCE8E65" w14:textId="7BFCB8E1">
            <w:pPr>
              <w:jc w:val="center"/>
              <w:rPr>
                <w:color w:val="000000"/>
              </w:rPr>
            </w:pPr>
            <w:r>
              <w:rPr>
                <w:color w:val="000000"/>
              </w:rPr>
              <w:t>$0</w:t>
            </w:r>
          </w:p>
        </w:tc>
      </w:tr>
    </w:tbl>
    <w:p w:rsidR="00B12DC1" w:rsidP="006649A7" w:rsidRDefault="00B12DC1" w14:paraId="017A21DE" w14:textId="77777777">
      <w:pPr>
        <w:rPr>
          <w:b/>
        </w:rPr>
      </w:pPr>
    </w:p>
    <w:p w:rsidR="00B12DC1" w:rsidP="006649A7" w:rsidRDefault="00B12DC1" w14:paraId="4571E47D" w14:textId="77777777">
      <w:pPr>
        <w:rPr>
          <w:b/>
        </w:rPr>
      </w:pPr>
    </w:p>
    <w:p w:rsidR="00FC70C1" w:rsidP="006649A7" w:rsidRDefault="00FC70C1" w14:paraId="3D577B02" w14:textId="77777777">
      <w:r>
        <w:rPr>
          <w:b/>
        </w:rPr>
        <w:t>Cylinder Manufacture</w:t>
      </w:r>
    </w:p>
    <w:p w:rsidR="00FC70C1" w:rsidP="006649A7" w:rsidRDefault="00FC70C1" w14:paraId="6016DABC" w14:textId="77777777"/>
    <w:p w:rsidR="00391EC0" w:rsidP="006649A7" w:rsidRDefault="00FC70C1" w14:paraId="01F879F3" w14:textId="5F264E0D">
      <w:r>
        <w:t xml:space="preserve">Each time a cylinder is manufactured, it must be stamped with the appropriate marking. It is estimated that there are </w:t>
      </w:r>
      <w:r w:rsidR="00C95530">
        <w:t xml:space="preserve">225 </w:t>
      </w:r>
      <w:r>
        <w:t xml:space="preserve">cylinder manufactures who manufacture an average of </w:t>
      </w:r>
      <w:r w:rsidR="00C95530">
        <w:t>450 </w:t>
      </w:r>
      <w:r>
        <w:t xml:space="preserve">cylinders </w:t>
      </w:r>
      <w:r w:rsidR="003F70FA">
        <w:t xml:space="preserve">each </w:t>
      </w:r>
      <w:r>
        <w:t xml:space="preserve">per year, for a total of </w:t>
      </w:r>
      <w:r w:rsidR="00C95530">
        <w:t>101,250</w:t>
      </w:r>
      <w:r>
        <w:t xml:space="preserve"> annual responses (</w:t>
      </w:r>
      <w:r w:rsidR="00C95530">
        <w:t>225 </w:t>
      </w:r>
      <w:r>
        <w:t xml:space="preserve">manufacturers x 450 cylinders). It takes approximately </w:t>
      </w:r>
      <w:r w:rsidR="00DA7E8C">
        <w:t>7</w:t>
      </w:r>
      <w:r w:rsidR="00C95530">
        <w:t>.17</w:t>
      </w:r>
      <w:r w:rsidR="00391EC0">
        <w:t xml:space="preserve"> </w:t>
      </w:r>
      <w:r>
        <w:t>minute</w:t>
      </w:r>
      <w:r w:rsidR="00391EC0">
        <w:t>s</w:t>
      </w:r>
      <w:r>
        <w:t xml:space="preserve"> to stamp each new cylinder</w:t>
      </w:r>
      <w:r w:rsidR="00CB6E8B">
        <w:t>,</w:t>
      </w:r>
      <w:r>
        <w:t xml:space="preserve"> for a total annual burden hour estimate of </w:t>
      </w:r>
      <w:r w:rsidR="00C95530">
        <w:t>12,099</w:t>
      </w:r>
      <w:r w:rsidR="00391EC0">
        <w:t xml:space="preserve"> </w:t>
      </w:r>
      <w:r>
        <w:t>hours</w:t>
      </w:r>
      <w:r w:rsidR="00CB6E8B">
        <w:t xml:space="preserve"> (</w:t>
      </w:r>
      <w:r w:rsidR="00C95530">
        <w:t>101,250</w:t>
      </w:r>
      <w:r w:rsidR="00CB6E8B">
        <w:t xml:space="preserve"> new cylinders x </w:t>
      </w:r>
      <w:r w:rsidR="00DA7E8C">
        <w:t>7</w:t>
      </w:r>
      <w:r w:rsidR="00C95530">
        <w:t>.17</w:t>
      </w:r>
      <w:r w:rsidR="00CB6E8B">
        <w:t xml:space="preserve"> minute</w:t>
      </w:r>
      <w:r w:rsidR="00391EC0">
        <w:t>s</w:t>
      </w:r>
      <w:r w:rsidR="00CB6E8B">
        <w:t>)</w:t>
      </w:r>
      <w:r>
        <w:t>.</w:t>
      </w:r>
      <w:r w:rsidR="00391EC0">
        <w:t xml:space="preserve"> At an estimated salary of $31.00 per hour,</w:t>
      </w:r>
      <w:r w:rsidR="00391EC0">
        <w:rPr>
          <w:rStyle w:val="FootnoteReference"/>
        </w:rPr>
        <w:footnoteReference w:id="1"/>
      </w:r>
      <w:r w:rsidR="00391EC0">
        <w:t xml:space="preserve"> PHMSA estimates a total of $</w:t>
      </w:r>
      <w:r w:rsidR="00C95530">
        <w:t>375,027</w:t>
      </w:r>
      <w:r w:rsidR="00391EC0">
        <w:t xml:space="preserve"> annual salary cost (</w:t>
      </w:r>
      <w:r w:rsidR="00C95530">
        <w:t>12,099</w:t>
      </w:r>
      <w:r w:rsidR="00391EC0">
        <w:t xml:space="preserve"> burden hours x $31.00). PHMSA does not estimate any out-of-pocket expenses. </w:t>
      </w:r>
    </w:p>
    <w:p w:rsidR="00391EC0" w:rsidP="006649A7" w:rsidRDefault="00391EC0" w14:paraId="60F6E920" w14:textId="77777777"/>
    <w:p w:rsidR="00FC70C1" w:rsidP="006649A7" w:rsidRDefault="00391EC0" w14:paraId="67D2446C" w14:textId="31850119">
      <w:r>
        <w:t xml:space="preserve">This information collection reflects an increase in burden, resulting from </w:t>
      </w:r>
      <w:r w:rsidR="677B1FC2">
        <w:t xml:space="preserve">the </w:t>
      </w:r>
      <w:r>
        <w:t>HM-234</w:t>
      </w:r>
      <w:r w:rsidR="7FAE81E7">
        <w:t xml:space="preserve"> final rule</w:t>
      </w:r>
      <w:r w:rsidR="00C95530">
        <w:t xml:space="preserve"> as well as an agency adjustment based on the current number of approved cylinder manufacturers</w:t>
      </w:r>
      <w:r>
        <w:t>.</w:t>
      </w:r>
    </w:p>
    <w:p w:rsidR="00FC70C1" w:rsidP="006649A7" w:rsidRDefault="00FC70C1" w14:paraId="0897D32E" w14:textId="77777777"/>
    <w:tbl>
      <w:tblPr>
        <w:tblW w:w="10516" w:type="dxa"/>
        <w:jc w:val="center"/>
        <w:tblLayout w:type="fixed"/>
        <w:tblLook w:val="04A0" w:firstRow="1" w:lastRow="0" w:firstColumn="1" w:lastColumn="0" w:noHBand="0" w:noVBand="1"/>
      </w:tblPr>
      <w:tblGrid>
        <w:gridCol w:w="1308"/>
        <w:gridCol w:w="1470"/>
        <w:gridCol w:w="1717"/>
        <w:gridCol w:w="1092"/>
        <w:gridCol w:w="1495"/>
        <w:gridCol w:w="1102"/>
        <w:gridCol w:w="1166"/>
        <w:gridCol w:w="1166"/>
      </w:tblGrid>
      <w:tr w:rsidRPr="006649A7" w:rsidR="00391EC0" w:rsidTr="004F6436" w14:paraId="78A883BB" w14:textId="7970E6BF">
        <w:trPr>
          <w:trHeight w:val="630"/>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391EC0" w:rsidP="00077747" w:rsidRDefault="00391EC0" w14:paraId="438D4D6C" w14:textId="77777777">
            <w:pPr>
              <w:keepNext/>
              <w:jc w:val="center"/>
              <w:rPr>
                <w:bCs/>
                <w:color w:val="000000"/>
                <w:u w:val="single"/>
              </w:rPr>
            </w:pPr>
            <w:r w:rsidRPr="006649A7">
              <w:rPr>
                <w:bCs/>
                <w:color w:val="000000"/>
                <w:u w:val="single"/>
              </w:rPr>
              <w:lastRenderedPageBreak/>
              <w:t xml:space="preserve">Number of </w:t>
            </w:r>
            <w:r>
              <w:rPr>
                <w:bCs/>
                <w:color w:val="000000"/>
                <w:u w:val="single"/>
              </w:rPr>
              <w:t>Facilities</w:t>
            </w:r>
          </w:p>
        </w:tc>
        <w:tc>
          <w:tcPr>
            <w:tcW w:w="1470"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077747" w:rsidRDefault="00391EC0" w14:paraId="1EE00D8A" w14:textId="77777777">
            <w:pPr>
              <w:keepNext/>
              <w:jc w:val="center"/>
              <w:rPr>
                <w:bCs/>
                <w:color w:val="000000"/>
                <w:u w:val="single"/>
              </w:rPr>
            </w:pPr>
            <w:r>
              <w:rPr>
                <w:bCs/>
                <w:color w:val="000000"/>
                <w:u w:val="single"/>
              </w:rPr>
              <w:t>New Cylinders</w:t>
            </w:r>
            <w:r w:rsidRPr="006649A7">
              <w:rPr>
                <w:bCs/>
                <w:color w:val="000000"/>
                <w:u w:val="single"/>
              </w:rPr>
              <w:t xml:space="preserve"> per Facility</w:t>
            </w:r>
          </w:p>
        </w:tc>
        <w:tc>
          <w:tcPr>
            <w:tcW w:w="1717"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077747" w:rsidRDefault="00391EC0" w14:paraId="147430CA" w14:textId="77777777">
            <w:pPr>
              <w:keepNext/>
              <w:jc w:val="center"/>
              <w:rPr>
                <w:bCs/>
                <w:color w:val="000000"/>
                <w:u w:val="single"/>
              </w:rPr>
            </w:pPr>
            <w:r w:rsidRPr="006649A7">
              <w:rPr>
                <w:bCs/>
                <w:color w:val="000000"/>
                <w:u w:val="single"/>
              </w:rPr>
              <w:t xml:space="preserve">Annual Number of </w:t>
            </w:r>
            <w:r>
              <w:rPr>
                <w:bCs/>
                <w:color w:val="000000"/>
                <w:u w:val="single"/>
              </w:rPr>
              <w:t>New Cylinders</w:t>
            </w:r>
          </w:p>
        </w:tc>
        <w:tc>
          <w:tcPr>
            <w:tcW w:w="1092"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077747" w:rsidRDefault="00391EC0" w14:paraId="48807E10" w14:textId="6B7F8F25">
            <w:pPr>
              <w:keepNext/>
              <w:jc w:val="center"/>
              <w:rPr>
                <w:bCs/>
                <w:color w:val="000000"/>
                <w:u w:val="single"/>
              </w:rPr>
            </w:pPr>
            <w:r w:rsidRPr="006649A7">
              <w:rPr>
                <w:bCs/>
                <w:color w:val="000000"/>
                <w:u w:val="single"/>
              </w:rPr>
              <w:t>Minute</w:t>
            </w:r>
            <w:r>
              <w:rPr>
                <w:bCs/>
                <w:color w:val="000000"/>
                <w:u w:val="single"/>
              </w:rPr>
              <w:t>s</w:t>
            </w:r>
            <w:r w:rsidRPr="006649A7">
              <w:rPr>
                <w:bCs/>
                <w:color w:val="000000"/>
                <w:u w:val="single"/>
              </w:rPr>
              <w:t xml:space="preserve"> per </w:t>
            </w:r>
            <w:r>
              <w:rPr>
                <w:bCs/>
                <w:color w:val="000000"/>
                <w:u w:val="single"/>
              </w:rPr>
              <w:t>Stamp</w:t>
            </w:r>
          </w:p>
        </w:tc>
        <w:tc>
          <w:tcPr>
            <w:tcW w:w="1495"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077747" w:rsidRDefault="00391EC0" w14:paraId="04710D00" w14:textId="77777777">
            <w:pPr>
              <w:keepNext/>
              <w:jc w:val="center"/>
              <w:rPr>
                <w:bCs/>
                <w:color w:val="000000"/>
                <w:u w:val="single"/>
              </w:rPr>
            </w:pPr>
            <w:r w:rsidRPr="006649A7">
              <w:rPr>
                <w:bCs/>
                <w:color w:val="000000"/>
                <w:u w:val="single"/>
              </w:rPr>
              <w:t>Annual Burden Hours</w:t>
            </w:r>
          </w:p>
        </w:tc>
        <w:tc>
          <w:tcPr>
            <w:tcW w:w="1102"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077747" w:rsidRDefault="00391EC0" w14:paraId="000C5CAC" w14:textId="68233C40">
            <w:pPr>
              <w:keepNext/>
              <w:jc w:val="center"/>
              <w:rPr>
                <w:bCs/>
                <w:color w:val="000000"/>
                <w:u w:val="single"/>
              </w:rPr>
            </w:pPr>
            <w:r>
              <w:rPr>
                <w:bCs/>
                <w:color w:val="000000"/>
                <w:u w:val="single"/>
              </w:rPr>
              <w:t>Salary</w:t>
            </w:r>
            <w:r w:rsidRPr="006649A7">
              <w:rPr>
                <w:bCs/>
                <w:color w:val="000000"/>
                <w:u w:val="single"/>
              </w:rPr>
              <w:t xml:space="preserve"> Cost per Hour</w:t>
            </w:r>
          </w:p>
        </w:tc>
        <w:tc>
          <w:tcPr>
            <w:tcW w:w="1166" w:type="dxa"/>
            <w:tcBorders>
              <w:top w:val="single" w:color="auto" w:sz="4" w:space="0"/>
              <w:left w:val="nil"/>
              <w:bottom w:val="single" w:color="auto" w:sz="4" w:space="0"/>
              <w:right w:val="single" w:color="auto" w:sz="4" w:space="0"/>
            </w:tcBorders>
            <w:shd w:val="clear" w:color="auto" w:fill="auto"/>
            <w:vAlign w:val="bottom"/>
            <w:hideMark/>
          </w:tcPr>
          <w:p w:rsidRPr="006649A7" w:rsidR="00391EC0" w:rsidP="00973122" w:rsidRDefault="00391EC0" w14:paraId="754BD147" w14:textId="2ACB5298">
            <w:pPr>
              <w:keepNext/>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66" w:type="dxa"/>
            <w:tcBorders>
              <w:top w:val="single" w:color="auto" w:sz="4" w:space="0"/>
              <w:left w:val="nil"/>
              <w:bottom w:val="single" w:color="auto" w:sz="4" w:space="0"/>
              <w:right w:val="single" w:color="auto" w:sz="4" w:space="0"/>
            </w:tcBorders>
            <w:vAlign w:val="bottom"/>
          </w:tcPr>
          <w:p w:rsidRPr="006649A7" w:rsidR="00391EC0" w:rsidP="00DA7E8C" w:rsidRDefault="00391EC0" w14:paraId="7B511A67" w14:textId="5E00EA5C">
            <w:pPr>
              <w:keepNext/>
              <w:jc w:val="center"/>
              <w:rPr>
                <w:bCs/>
                <w:color w:val="000000"/>
                <w:u w:val="single"/>
              </w:rPr>
            </w:pPr>
            <w:r>
              <w:rPr>
                <w:bCs/>
                <w:color w:val="000000"/>
                <w:u w:val="single"/>
              </w:rPr>
              <w:t>Annual Burden Costs</w:t>
            </w:r>
          </w:p>
        </w:tc>
      </w:tr>
      <w:tr w:rsidRPr="006649A7" w:rsidR="00391EC0" w:rsidTr="004F6436" w14:paraId="39315EDD" w14:textId="73CF2D79">
        <w:trPr>
          <w:trHeight w:val="77"/>
          <w:jc w:val="center"/>
        </w:trPr>
        <w:tc>
          <w:tcPr>
            <w:tcW w:w="1308" w:type="dxa"/>
            <w:tcBorders>
              <w:top w:val="nil"/>
              <w:left w:val="single" w:color="auto" w:sz="4" w:space="0"/>
              <w:bottom w:val="single" w:color="auto" w:sz="4" w:space="0"/>
              <w:right w:val="single" w:color="auto" w:sz="4" w:space="0"/>
            </w:tcBorders>
            <w:shd w:val="clear" w:color="auto" w:fill="auto"/>
            <w:vAlign w:val="bottom"/>
            <w:hideMark/>
          </w:tcPr>
          <w:p w:rsidRPr="006649A7" w:rsidR="00391EC0" w:rsidP="00077747" w:rsidRDefault="00C95530" w14:paraId="73D29CFC" w14:textId="6F2D1C54">
            <w:pPr>
              <w:keepNext/>
              <w:jc w:val="right"/>
              <w:rPr>
                <w:color w:val="000000"/>
              </w:rPr>
            </w:pPr>
            <w:r>
              <w:rPr>
                <w:color w:val="000000"/>
              </w:rPr>
              <w:t>225</w:t>
            </w:r>
          </w:p>
        </w:tc>
        <w:tc>
          <w:tcPr>
            <w:tcW w:w="1470" w:type="dxa"/>
            <w:tcBorders>
              <w:top w:val="nil"/>
              <w:left w:val="nil"/>
              <w:bottom w:val="single" w:color="auto" w:sz="4" w:space="0"/>
              <w:right w:val="single" w:color="auto" w:sz="4" w:space="0"/>
            </w:tcBorders>
            <w:shd w:val="clear" w:color="auto" w:fill="auto"/>
            <w:vAlign w:val="bottom"/>
            <w:hideMark/>
          </w:tcPr>
          <w:p w:rsidRPr="006649A7" w:rsidR="00391EC0" w:rsidP="00077747" w:rsidRDefault="00391EC0" w14:paraId="71DD59B8" w14:textId="77777777">
            <w:pPr>
              <w:keepNext/>
              <w:jc w:val="right"/>
              <w:rPr>
                <w:color w:val="000000"/>
              </w:rPr>
            </w:pPr>
            <w:r w:rsidRPr="006649A7">
              <w:rPr>
                <w:color w:val="000000"/>
              </w:rPr>
              <w:t>450</w:t>
            </w:r>
          </w:p>
        </w:tc>
        <w:tc>
          <w:tcPr>
            <w:tcW w:w="1717" w:type="dxa"/>
            <w:tcBorders>
              <w:top w:val="nil"/>
              <w:left w:val="nil"/>
              <w:bottom w:val="single" w:color="auto" w:sz="4" w:space="0"/>
              <w:right w:val="single" w:color="auto" w:sz="4" w:space="0"/>
            </w:tcBorders>
            <w:shd w:val="clear" w:color="auto" w:fill="auto"/>
            <w:vAlign w:val="bottom"/>
            <w:hideMark/>
          </w:tcPr>
          <w:p w:rsidRPr="00B65140" w:rsidR="00391EC0" w:rsidP="00077747" w:rsidRDefault="00C95530" w14:paraId="53C7D085" w14:textId="6A6E5948">
            <w:pPr>
              <w:keepNext/>
              <w:jc w:val="right"/>
              <w:rPr>
                <w:color w:val="000000"/>
              </w:rPr>
            </w:pPr>
            <w:r>
              <w:rPr>
                <w:color w:val="000000"/>
              </w:rPr>
              <w:t>101,250</w:t>
            </w:r>
          </w:p>
        </w:tc>
        <w:tc>
          <w:tcPr>
            <w:tcW w:w="1092" w:type="dxa"/>
            <w:tcBorders>
              <w:top w:val="nil"/>
              <w:left w:val="nil"/>
              <w:bottom w:val="single" w:color="auto" w:sz="4" w:space="0"/>
              <w:right w:val="single" w:color="auto" w:sz="4" w:space="0"/>
            </w:tcBorders>
            <w:shd w:val="clear" w:color="auto" w:fill="auto"/>
            <w:vAlign w:val="bottom"/>
            <w:hideMark/>
          </w:tcPr>
          <w:p w:rsidRPr="00566B34" w:rsidR="00391EC0" w:rsidP="00DA7E8C" w:rsidRDefault="00DA7E8C" w14:paraId="33974EB7" w14:textId="04079D0F">
            <w:pPr>
              <w:keepNext/>
              <w:jc w:val="right"/>
              <w:rPr>
                <w:color w:val="000000"/>
              </w:rPr>
            </w:pPr>
            <w:r>
              <w:rPr>
                <w:color w:val="000000"/>
              </w:rPr>
              <w:t>7</w:t>
            </w:r>
            <w:r w:rsidR="00C95530">
              <w:rPr>
                <w:color w:val="000000"/>
              </w:rPr>
              <w:t>.17</w:t>
            </w:r>
          </w:p>
        </w:tc>
        <w:tc>
          <w:tcPr>
            <w:tcW w:w="1495" w:type="dxa"/>
            <w:tcBorders>
              <w:top w:val="nil"/>
              <w:left w:val="nil"/>
              <w:bottom w:val="single" w:color="auto" w:sz="4" w:space="0"/>
              <w:right w:val="single" w:color="auto" w:sz="4" w:space="0"/>
            </w:tcBorders>
            <w:shd w:val="clear" w:color="auto" w:fill="auto"/>
            <w:vAlign w:val="bottom"/>
            <w:hideMark/>
          </w:tcPr>
          <w:p w:rsidRPr="00B65140" w:rsidR="00391EC0" w:rsidP="00A559DA" w:rsidRDefault="00C95530" w14:paraId="4EB3987F" w14:textId="0A24A7E3">
            <w:pPr>
              <w:keepNext/>
              <w:jc w:val="right"/>
              <w:rPr>
                <w:color w:val="000000"/>
              </w:rPr>
            </w:pPr>
            <w:r>
              <w:rPr>
                <w:color w:val="000000"/>
              </w:rPr>
              <w:t>12,099</w:t>
            </w:r>
          </w:p>
        </w:tc>
        <w:tc>
          <w:tcPr>
            <w:tcW w:w="1102" w:type="dxa"/>
            <w:tcBorders>
              <w:top w:val="nil"/>
              <w:left w:val="nil"/>
              <w:bottom w:val="single" w:color="auto" w:sz="4" w:space="0"/>
              <w:right w:val="single" w:color="auto" w:sz="4" w:space="0"/>
            </w:tcBorders>
            <w:shd w:val="clear" w:color="auto" w:fill="auto"/>
            <w:vAlign w:val="bottom"/>
            <w:hideMark/>
          </w:tcPr>
          <w:p w:rsidRPr="00566B34" w:rsidR="00391EC0" w:rsidP="00077747" w:rsidRDefault="00391EC0" w14:paraId="5AEE2E0E" w14:textId="7E860307">
            <w:pPr>
              <w:keepNext/>
              <w:jc w:val="right"/>
              <w:rPr>
                <w:color w:val="000000"/>
              </w:rPr>
            </w:pPr>
            <w:r w:rsidRPr="00566B34">
              <w:rPr>
                <w:color w:val="000000"/>
              </w:rPr>
              <w:t>$</w:t>
            </w:r>
            <w:r>
              <w:rPr>
                <w:color w:val="000000"/>
              </w:rPr>
              <w:t>31.00</w:t>
            </w:r>
          </w:p>
        </w:tc>
        <w:tc>
          <w:tcPr>
            <w:tcW w:w="1166" w:type="dxa"/>
            <w:tcBorders>
              <w:top w:val="nil"/>
              <w:left w:val="nil"/>
              <w:bottom w:val="single" w:color="auto" w:sz="4" w:space="0"/>
              <w:right w:val="single" w:color="auto" w:sz="4" w:space="0"/>
            </w:tcBorders>
            <w:shd w:val="clear" w:color="auto" w:fill="auto"/>
            <w:vAlign w:val="bottom"/>
            <w:hideMark/>
          </w:tcPr>
          <w:p w:rsidRPr="00E01E1A" w:rsidR="00391EC0" w:rsidP="00A559DA" w:rsidRDefault="00391EC0" w14:paraId="7E69BAD4" w14:textId="2A17C0AB">
            <w:pPr>
              <w:keepNext/>
              <w:jc w:val="right"/>
              <w:rPr>
                <w:color w:val="000000"/>
              </w:rPr>
            </w:pPr>
            <w:r w:rsidRPr="00E01E1A">
              <w:rPr>
                <w:color w:val="000000"/>
              </w:rPr>
              <w:t>$</w:t>
            </w:r>
            <w:r w:rsidR="00C95530">
              <w:rPr>
                <w:color w:val="000000"/>
              </w:rPr>
              <w:t>375,027</w:t>
            </w:r>
          </w:p>
        </w:tc>
        <w:tc>
          <w:tcPr>
            <w:tcW w:w="1166" w:type="dxa"/>
            <w:tcBorders>
              <w:top w:val="nil"/>
              <w:left w:val="nil"/>
              <w:bottom w:val="single" w:color="auto" w:sz="4" w:space="0"/>
              <w:right w:val="single" w:color="auto" w:sz="4" w:space="0"/>
            </w:tcBorders>
            <w:vAlign w:val="bottom"/>
          </w:tcPr>
          <w:p w:rsidR="00391EC0" w:rsidP="00DA7E8C" w:rsidRDefault="00391EC0" w14:paraId="6E108379" w14:textId="2D5F544A">
            <w:pPr>
              <w:keepNext/>
              <w:jc w:val="right"/>
              <w:rPr>
                <w:color w:val="000000"/>
              </w:rPr>
            </w:pPr>
            <w:r>
              <w:rPr>
                <w:color w:val="000000"/>
              </w:rPr>
              <w:t>$0</w:t>
            </w:r>
          </w:p>
        </w:tc>
      </w:tr>
    </w:tbl>
    <w:p w:rsidR="00FC70C1" w:rsidP="006649A7" w:rsidRDefault="00FC70C1" w14:paraId="361103E6" w14:textId="77777777">
      <w:r>
        <w:t xml:space="preserve"> </w:t>
      </w:r>
    </w:p>
    <w:p w:rsidRPr="006649A7" w:rsidR="00FC70C1" w:rsidP="006649A7" w:rsidRDefault="00FC70C1" w14:paraId="45CF7090" w14:textId="77777777"/>
    <w:p w:rsidR="00FC70C1" w:rsidP="006649A7" w:rsidRDefault="00FC70C1" w14:paraId="421E0E44" w14:textId="38C32B96">
      <w:r>
        <w:t>Each cylinder manufacture</w:t>
      </w:r>
      <w:r w:rsidR="007A0E5B">
        <w:t>r</w:t>
      </w:r>
      <w:r>
        <w:t xml:space="preserve"> is estimated to build one new</w:t>
      </w:r>
      <w:r w:rsidR="005A283A">
        <w:t xml:space="preserve"> type of cylinder each year. An inspector’s </w:t>
      </w:r>
      <w:r>
        <w:t xml:space="preserve">report must be created for each new cylinder type, for a total of </w:t>
      </w:r>
      <w:r w:rsidR="00C95530">
        <w:t xml:space="preserve">225 </w:t>
      </w:r>
      <w:r>
        <w:t xml:space="preserve">annual responses. It is estimated to take 30 minutes to create the </w:t>
      </w:r>
      <w:r w:rsidR="00CB6E8B">
        <w:t>inspector’s</w:t>
      </w:r>
      <w:r>
        <w:t xml:space="preserve"> report, for a total of </w:t>
      </w:r>
      <w:r w:rsidR="00C95530">
        <w:t>113 </w:t>
      </w:r>
      <w:r>
        <w:t>annual burden hours (</w:t>
      </w:r>
      <w:r w:rsidR="00C95530">
        <w:t xml:space="preserve">225 </w:t>
      </w:r>
      <w:r>
        <w:t xml:space="preserve">new cylinders x 30 minutes per response). </w:t>
      </w:r>
      <w:r w:rsidR="00CC4574">
        <w:t>At a salary of $31.00 per hour,</w:t>
      </w:r>
      <w:r w:rsidR="00CC4574">
        <w:rPr>
          <w:rStyle w:val="FootnoteReference"/>
        </w:rPr>
        <w:footnoteReference w:id="2"/>
      </w:r>
      <w:r w:rsidR="00CC4574">
        <w:t xml:space="preserve"> it is estimated to cost $</w:t>
      </w:r>
      <w:r w:rsidR="00C95530">
        <w:t>3,487</w:t>
      </w:r>
      <w:r w:rsidR="00CC4574">
        <w:t xml:space="preserve"> in annual salary cost. PHMSA does not estimate any out-of-pocket expenses.</w:t>
      </w:r>
    </w:p>
    <w:p w:rsidR="00C95530" w:rsidP="006649A7" w:rsidRDefault="00C95530" w14:paraId="7EF6DE20" w14:textId="018B0770"/>
    <w:p w:rsidRPr="006649A7" w:rsidR="00C95530" w:rsidP="006649A7" w:rsidRDefault="00C95530" w14:paraId="4DA8F4A8" w14:textId="6B3ED4DE">
      <w:r>
        <w:t>This information collection reflects an increase in burden, resulting from an agency adjustment based on the current number of approved cylinder manufacturers.</w:t>
      </w:r>
    </w:p>
    <w:p w:rsidR="00FC70C1" w:rsidP="006649A7" w:rsidRDefault="00FC70C1" w14:paraId="16162B43" w14:textId="77777777">
      <w:pPr>
        <w:rPr>
          <w:b/>
        </w:rPr>
      </w:pPr>
    </w:p>
    <w:tbl>
      <w:tblPr>
        <w:tblW w:w="0" w:type="auto"/>
        <w:jc w:val="center"/>
        <w:tblLayout w:type="fixed"/>
        <w:tblLook w:val="04A0" w:firstRow="1" w:lastRow="0" w:firstColumn="1" w:lastColumn="0" w:noHBand="0" w:noVBand="1"/>
      </w:tblPr>
      <w:tblGrid>
        <w:gridCol w:w="1490"/>
        <w:gridCol w:w="1187"/>
        <w:gridCol w:w="1312"/>
        <w:gridCol w:w="1189"/>
        <w:gridCol w:w="985"/>
        <w:gridCol w:w="1209"/>
        <w:gridCol w:w="996"/>
        <w:gridCol w:w="982"/>
      </w:tblGrid>
      <w:tr w:rsidRPr="006649A7" w:rsidR="00CC4574" w:rsidTr="00C95530" w14:paraId="3EA1E0EF" w14:textId="2DD4A41A">
        <w:trPr>
          <w:trHeight w:val="630"/>
          <w:jc w:val="center"/>
        </w:trPr>
        <w:tc>
          <w:tcPr>
            <w:tcW w:w="14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CC4574" w:rsidRDefault="00CC4574" w14:paraId="6B8653AC" w14:textId="77777777">
            <w:pPr>
              <w:jc w:val="center"/>
              <w:rPr>
                <w:bCs/>
                <w:color w:val="000000"/>
                <w:u w:val="single"/>
              </w:rPr>
            </w:pPr>
            <w:r w:rsidRPr="006649A7">
              <w:rPr>
                <w:bCs/>
                <w:color w:val="000000"/>
                <w:u w:val="single"/>
              </w:rPr>
              <w:t>Number of Respondents</w:t>
            </w:r>
          </w:p>
        </w:tc>
        <w:tc>
          <w:tcPr>
            <w:tcW w:w="1187"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1B44DF61" w14:textId="77777777">
            <w:pPr>
              <w:jc w:val="center"/>
              <w:rPr>
                <w:bCs/>
                <w:color w:val="000000"/>
                <w:u w:val="single"/>
              </w:rPr>
            </w:pPr>
            <w:r w:rsidRPr="006649A7">
              <w:rPr>
                <w:bCs/>
                <w:color w:val="000000"/>
                <w:u w:val="single"/>
              </w:rPr>
              <w:t>Response per Facility</w:t>
            </w:r>
          </w:p>
        </w:tc>
        <w:tc>
          <w:tcPr>
            <w:tcW w:w="1312"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3C3A4350" w14:textId="77777777">
            <w:pPr>
              <w:jc w:val="center"/>
              <w:rPr>
                <w:bCs/>
                <w:color w:val="000000"/>
                <w:u w:val="single"/>
              </w:rPr>
            </w:pPr>
            <w:r w:rsidRPr="006649A7">
              <w:rPr>
                <w:bCs/>
                <w:color w:val="000000"/>
                <w:u w:val="single"/>
              </w:rPr>
              <w:t>Annual Number of Responses</w:t>
            </w:r>
          </w:p>
        </w:tc>
        <w:tc>
          <w:tcPr>
            <w:tcW w:w="1189"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22351AF2" w14:textId="77777777">
            <w:pPr>
              <w:jc w:val="center"/>
              <w:rPr>
                <w:bCs/>
                <w:color w:val="000000"/>
                <w:u w:val="single"/>
              </w:rPr>
            </w:pPr>
            <w:r w:rsidRPr="006649A7">
              <w:rPr>
                <w:bCs/>
                <w:color w:val="000000"/>
                <w:u w:val="single"/>
              </w:rPr>
              <w:t>Minutes per Response</w:t>
            </w:r>
          </w:p>
        </w:tc>
        <w:tc>
          <w:tcPr>
            <w:tcW w:w="985"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6A57894F" w14:textId="77777777">
            <w:pPr>
              <w:jc w:val="center"/>
              <w:rPr>
                <w:bCs/>
                <w:color w:val="000000"/>
                <w:u w:val="single"/>
              </w:rPr>
            </w:pPr>
            <w:r w:rsidRPr="006649A7">
              <w:rPr>
                <w:bCs/>
                <w:color w:val="000000"/>
                <w:u w:val="single"/>
              </w:rPr>
              <w:t>Annual Burden Hours</w:t>
            </w:r>
          </w:p>
        </w:tc>
        <w:tc>
          <w:tcPr>
            <w:tcW w:w="1209"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3B3B7BE8" w14:textId="14624F3F">
            <w:pPr>
              <w:jc w:val="center"/>
              <w:rPr>
                <w:bCs/>
                <w:color w:val="000000"/>
                <w:u w:val="single"/>
              </w:rPr>
            </w:pPr>
            <w:r>
              <w:rPr>
                <w:bCs/>
                <w:color w:val="000000"/>
                <w:u w:val="single"/>
              </w:rPr>
              <w:t>Salary</w:t>
            </w:r>
            <w:r w:rsidRPr="006649A7">
              <w:rPr>
                <w:bCs/>
                <w:color w:val="000000"/>
                <w:u w:val="single"/>
              </w:rPr>
              <w:t xml:space="preserve"> Cost per Hour</w:t>
            </w:r>
          </w:p>
        </w:tc>
        <w:tc>
          <w:tcPr>
            <w:tcW w:w="996"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P="00973122" w:rsidRDefault="00CC4574" w14:paraId="740D55CF" w14:textId="1A86E261">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982" w:type="dxa"/>
            <w:tcBorders>
              <w:top w:val="single" w:color="auto" w:sz="4" w:space="0"/>
              <w:left w:val="nil"/>
              <w:bottom w:val="single" w:color="auto" w:sz="4" w:space="0"/>
              <w:right w:val="single" w:color="auto" w:sz="4" w:space="0"/>
            </w:tcBorders>
            <w:vAlign w:val="bottom"/>
          </w:tcPr>
          <w:p w:rsidRPr="006649A7" w:rsidR="00CC4574" w:rsidP="004F6436" w:rsidRDefault="00CC4574" w14:paraId="51A8519F" w14:textId="10F83BEB">
            <w:pPr>
              <w:jc w:val="center"/>
              <w:rPr>
                <w:bCs/>
                <w:color w:val="000000"/>
                <w:u w:val="single"/>
              </w:rPr>
            </w:pPr>
            <w:r w:rsidRPr="006649A7">
              <w:rPr>
                <w:bCs/>
                <w:color w:val="000000"/>
                <w:u w:val="single"/>
              </w:rPr>
              <w:t xml:space="preserve">Annual </w:t>
            </w:r>
            <w:r>
              <w:rPr>
                <w:bCs/>
                <w:color w:val="000000"/>
                <w:u w:val="single"/>
              </w:rPr>
              <w:t>Burden</w:t>
            </w:r>
            <w:r w:rsidRPr="006649A7">
              <w:rPr>
                <w:bCs/>
                <w:color w:val="000000"/>
                <w:u w:val="single"/>
              </w:rPr>
              <w:t xml:space="preserve"> Costs</w:t>
            </w:r>
          </w:p>
        </w:tc>
      </w:tr>
      <w:tr w:rsidRPr="006649A7" w:rsidR="00CC4574" w:rsidTr="00C95530" w14:paraId="1738940F" w14:textId="78A2B9D7">
        <w:trPr>
          <w:trHeight w:val="134"/>
          <w:jc w:val="center"/>
        </w:trPr>
        <w:tc>
          <w:tcPr>
            <w:tcW w:w="1490" w:type="dxa"/>
            <w:tcBorders>
              <w:top w:val="nil"/>
              <w:left w:val="single" w:color="auto" w:sz="4" w:space="0"/>
              <w:bottom w:val="single" w:color="auto" w:sz="4" w:space="0"/>
              <w:right w:val="single" w:color="auto" w:sz="4" w:space="0"/>
            </w:tcBorders>
            <w:shd w:val="clear" w:color="auto" w:fill="auto"/>
            <w:vAlign w:val="bottom"/>
            <w:hideMark/>
          </w:tcPr>
          <w:p w:rsidRPr="006649A7" w:rsidR="00CC4574" w:rsidRDefault="00C95530" w14:paraId="633EF8AE" w14:textId="0E6EE993">
            <w:pPr>
              <w:jc w:val="right"/>
              <w:rPr>
                <w:color w:val="000000"/>
              </w:rPr>
            </w:pPr>
            <w:r>
              <w:rPr>
                <w:color w:val="000000"/>
              </w:rPr>
              <w:t>225</w:t>
            </w:r>
          </w:p>
        </w:tc>
        <w:tc>
          <w:tcPr>
            <w:tcW w:w="1187" w:type="dxa"/>
            <w:tcBorders>
              <w:top w:val="nil"/>
              <w:left w:val="nil"/>
              <w:bottom w:val="single" w:color="auto" w:sz="4" w:space="0"/>
              <w:right w:val="single" w:color="auto" w:sz="4" w:space="0"/>
            </w:tcBorders>
            <w:shd w:val="clear" w:color="auto" w:fill="auto"/>
            <w:vAlign w:val="bottom"/>
            <w:hideMark/>
          </w:tcPr>
          <w:p w:rsidRPr="006649A7" w:rsidR="00CC4574" w:rsidRDefault="00CC4574" w14:paraId="01D70C79" w14:textId="77777777">
            <w:pPr>
              <w:jc w:val="right"/>
              <w:rPr>
                <w:color w:val="000000"/>
              </w:rPr>
            </w:pPr>
            <w:r w:rsidRPr="006649A7">
              <w:rPr>
                <w:color w:val="000000"/>
              </w:rPr>
              <w:t>1</w:t>
            </w:r>
          </w:p>
        </w:tc>
        <w:tc>
          <w:tcPr>
            <w:tcW w:w="1312" w:type="dxa"/>
            <w:tcBorders>
              <w:top w:val="nil"/>
              <w:left w:val="nil"/>
              <w:bottom w:val="single" w:color="auto" w:sz="4" w:space="0"/>
              <w:right w:val="single" w:color="auto" w:sz="4" w:space="0"/>
            </w:tcBorders>
            <w:shd w:val="clear" w:color="auto" w:fill="auto"/>
            <w:vAlign w:val="bottom"/>
            <w:hideMark/>
          </w:tcPr>
          <w:p w:rsidRPr="006649A7" w:rsidR="00CC4574" w:rsidRDefault="00C95530" w14:paraId="32062898" w14:textId="53D393F3">
            <w:pPr>
              <w:jc w:val="right"/>
              <w:rPr>
                <w:color w:val="000000"/>
              </w:rPr>
            </w:pPr>
            <w:r>
              <w:rPr>
                <w:color w:val="000000"/>
              </w:rPr>
              <w:t>225</w:t>
            </w:r>
          </w:p>
        </w:tc>
        <w:tc>
          <w:tcPr>
            <w:tcW w:w="1189" w:type="dxa"/>
            <w:tcBorders>
              <w:top w:val="nil"/>
              <w:left w:val="nil"/>
              <w:bottom w:val="single" w:color="auto" w:sz="4" w:space="0"/>
              <w:right w:val="single" w:color="auto" w:sz="4" w:space="0"/>
            </w:tcBorders>
            <w:shd w:val="clear" w:color="auto" w:fill="auto"/>
            <w:vAlign w:val="bottom"/>
            <w:hideMark/>
          </w:tcPr>
          <w:p w:rsidRPr="006649A7" w:rsidR="00CC4574" w:rsidRDefault="00CC4574" w14:paraId="31501043" w14:textId="77777777">
            <w:pPr>
              <w:jc w:val="right"/>
              <w:rPr>
                <w:color w:val="000000"/>
              </w:rPr>
            </w:pPr>
            <w:r w:rsidRPr="006649A7">
              <w:rPr>
                <w:color w:val="000000"/>
              </w:rPr>
              <w:t>30</w:t>
            </w:r>
          </w:p>
        </w:tc>
        <w:tc>
          <w:tcPr>
            <w:tcW w:w="985" w:type="dxa"/>
            <w:tcBorders>
              <w:top w:val="nil"/>
              <w:left w:val="nil"/>
              <w:bottom w:val="single" w:color="auto" w:sz="4" w:space="0"/>
              <w:right w:val="single" w:color="auto" w:sz="4" w:space="0"/>
            </w:tcBorders>
            <w:shd w:val="clear" w:color="auto" w:fill="auto"/>
            <w:vAlign w:val="bottom"/>
            <w:hideMark/>
          </w:tcPr>
          <w:p w:rsidRPr="006649A7" w:rsidR="00CC4574" w:rsidRDefault="00C95530" w14:paraId="678C97EE" w14:textId="7B61C2B4">
            <w:pPr>
              <w:jc w:val="right"/>
              <w:rPr>
                <w:color w:val="000000"/>
              </w:rPr>
            </w:pPr>
            <w:r>
              <w:rPr>
                <w:color w:val="000000"/>
              </w:rPr>
              <w:t>113</w:t>
            </w:r>
          </w:p>
        </w:tc>
        <w:tc>
          <w:tcPr>
            <w:tcW w:w="1209" w:type="dxa"/>
            <w:tcBorders>
              <w:top w:val="nil"/>
              <w:left w:val="nil"/>
              <w:bottom w:val="single" w:color="auto" w:sz="4" w:space="0"/>
              <w:right w:val="single" w:color="auto" w:sz="4" w:space="0"/>
            </w:tcBorders>
            <w:shd w:val="clear" w:color="auto" w:fill="auto"/>
            <w:vAlign w:val="bottom"/>
            <w:hideMark/>
          </w:tcPr>
          <w:p w:rsidRPr="006649A7" w:rsidR="00CC4574" w:rsidP="00DA7E8C" w:rsidRDefault="00CC4574" w14:paraId="17AD6B24" w14:textId="2E3D4CFF">
            <w:pPr>
              <w:jc w:val="right"/>
              <w:rPr>
                <w:color w:val="000000"/>
              </w:rPr>
            </w:pPr>
            <w:r w:rsidRPr="006649A7">
              <w:rPr>
                <w:color w:val="000000"/>
              </w:rPr>
              <w:t>$</w:t>
            </w:r>
            <w:r>
              <w:rPr>
                <w:color w:val="000000"/>
              </w:rPr>
              <w:t>31.00</w:t>
            </w:r>
          </w:p>
        </w:tc>
        <w:tc>
          <w:tcPr>
            <w:tcW w:w="996" w:type="dxa"/>
            <w:tcBorders>
              <w:top w:val="nil"/>
              <w:left w:val="nil"/>
              <w:bottom w:val="single" w:color="auto" w:sz="4" w:space="0"/>
              <w:right w:val="single" w:color="auto" w:sz="4" w:space="0"/>
            </w:tcBorders>
            <w:shd w:val="clear" w:color="auto" w:fill="auto"/>
            <w:vAlign w:val="bottom"/>
            <w:hideMark/>
          </w:tcPr>
          <w:p w:rsidRPr="006649A7" w:rsidR="00CC4574" w:rsidRDefault="00CC4574" w14:paraId="72F40A35" w14:textId="4A115079">
            <w:pPr>
              <w:jc w:val="right"/>
              <w:rPr>
                <w:color w:val="000000"/>
              </w:rPr>
            </w:pPr>
            <w:r w:rsidRPr="006649A7">
              <w:rPr>
                <w:color w:val="000000"/>
              </w:rPr>
              <w:t>$</w:t>
            </w:r>
            <w:r w:rsidR="00C95530">
              <w:rPr>
                <w:color w:val="000000"/>
              </w:rPr>
              <w:t>3,487</w:t>
            </w:r>
          </w:p>
        </w:tc>
        <w:tc>
          <w:tcPr>
            <w:tcW w:w="982" w:type="dxa"/>
            <w:tcBorders>
              <w:top w:val="nil"/>
              <w:left w:val="nil"/>
              <w:bottom w:val="single" w:color="auto" w:sz="4" w:space="0"/>
              <w:right w:val="single" w:color="auto" w:sz="4" w:space="0"/>
            </w:tcBorders>
            <w:vAlign w:val="bottom"/>
          </w:tcPr>
          <w:p w:rsidR="00CC4574" w:rsidP="00DA7E8C" w:rsidRDefault="00CC4574" w14:paraId="15C071BB" w14:textId="147DEF6B">
            <w:pPr>
              <w:jc w:val="right"/>
              <w:rPr>
                <w:color w:val="000000"/>
              </w:rPr>
            </w:pPr>
            <w:r w:rsidRPr="006649A7">
              <w:rPr>
                <w:color w:val="000000"/>
              </w:rPr>
              <w:t>$</w:t>
            </w:r>
            <w:r>
              <w:rPr>
                <w:color w:val="000000"/>
              </w:rPr>
              <w:t>0</w:t>
            </w:r>
          </w:p>
        </w:tc>
      </w:tr>
    </w:tbl>
    <w:p w:rsidR="00FC70C1" w:rsidP="006649A7" w:rsidRDefault="00FC70C1" w14:paraId="7094C037" w14:textId="77777777">
      <w:pPr>
        <w:rPr>
          <w:b/>
        </w:rPr>
      </w:pPr>
    </w:p>
    <w:p w:rsidR="00FC70C1" w:rsidP="006649A7" w:rsidRDefault="00FC70C1" w14:paraId="159EE3BC" w14:textId="77777777">
      <w:pPr>
        <w:rPr>
          <w:b/>
        </w:rPr>
      </w:pPr>
    </w:p>
    <w:p w:rsidR="00FC70C1" w:rsidP="006649A7" w:rsidRDefault="00FC70C1" w14:paraId="0B93708D" w14:textId="7046A8BC">
      <w:r>
        <w:t xml:space="preserve">Each </w:t>
      </w:r>
      <w:r w:rsidR="005A283A">
        <w:t>inspector’s</w:t>
      </w:r>
      <w:r>
        <w:t xml:space="preserve"> report must be maintained at the</w:t>
      </w:r>
      <w:r w:rsidR="00E21C18">
        <w:t xml:space="preserve"> inspector and</w:t>
      </w:r>
      <w:r>
        <w:t xml:space="preserve"> manufacturer’s facility for </w:t>
      </w:r>
      <w:r w:rsidR="00CC4574">
        <w:t>15 </w:t>
      </w:r>
      <w:r>
        <w:t xml:space="preserve">years from the original test date of the cylinder. While </w:t>
      </w:r>
      <w:r w:rsidR="00400ED7">
        <w:t xml:space="preserve">a </w:t>
      </w:r>
      <w:r>
        <w:t xml:space="preserve">report is not required to be submitted to PHMSA, </w:t>
      </w:r>
      <w:r w:rsidR="00400ED7">
        <w:t xml:space="preserve">it may be </w:t>
      </w:r>
      <w:r>
        <w:t xml:space="preserve">inspected at a reasonable time and location </w:t>
      </w:r>
      <w:r w:rsidR="00400ED7">
        <w:t xml:space="preserve">upon request </w:t>
      </w:r>
      <w:r>
        <w:t>by authorized persons</w:t>
      </w:r>
      <w:r w:rsidR="00CB6E8B">
        <w:t xml:space="preserve"> of the DOT. Many of these </w:t>
      </w:r>
      <w:r w:rsidR="47561CAB">
        <w:t xml:space="preserve">requests </w:t>
      </w:r>
      <w:r w:rsidR="00CB6E8B">
        <w:t>involve review during routine enforcement inspection</w:t>
      </w:r>
      <w:r w:rsidR="00400ED7">
        <w:t>s</w:t>
      </w:r>
      <w:r w:rsidR="00CB6E8B">
        <w:t xml:space="preserve"> at</w:t>
      </w:r>
      <w:r w:rsidR="00E21C18">
        <w:t xml:space="preserve"> an inspector or </w:t>
      </w:r>
      <w:r>
        <w:t xml:space="preserve">manufacturer’s facility. It is estimated that there are 30 </w:t>
      </w:r>
      <w:r w:rsidR="00CB6E8B">
        <w:t xml:space="preserve">recordkeeping </w:t>
      </w:r>
      <w:r>
        <w:t>requests per year. Each request is estimated to take 12 minutes for a total annual burden of 6 hours</w:t>
      </w:r>
      <w:r w:rsidR="00CB6E8B">
        <w:t xml:space="preserve"> (</w:t>
      </w:r>
      <w:r w:rsidR="00CC4574">
        <w:t>30 </w:t>
      </w:r>
      <w:r w:rsidR="00CB6E8B">
        <w:t>annual responses x 12 minutes)</w:t>
      </w:r>
      <w:r>
        <w:t xml:space="preserve">. </w:t>
      </w:r>
      <w:r w:rsidR="00CC4574">
        <w:t>At a salary of $31.00 per hour,</w:t>
      </w:r>
      <w:r w:rsidR="00CC4574">
        <w:rPr>
          <w:rStyle w:val="FootnoteReference"/>
        </w:rPr>
        <w:footnoteReference w:id="3"/>
      </w:r>
      <w:r w:rsidR="00CC4574">
        <w:t xml:space="preserve"> it is estimated to cost $186 in annual salary costs for this burden. PHMSA does not estimate any out-of-pocket expenses.</w:t>
      </w:r>
    </w:p>
    <w:p w:rsidR="00FC70C1" w:rsidP="006649A7" w:rsidRDefault="00FC70C1" w14:paraId="32518F1D" w14:textId="77777777"/>
    <w:tbl>
      <w:tblPr>
        <w:tblW w:w="0" w:type="auto"/>
        <w:jc w:val="center"/>
        <w:tblLook w:val="04A0" w:firstRow="1" w:lastRow="0" w:firstColumn="1" w:lastColumn="0" w:noHBand="0" w:noVBand="1"/>
      </w:tblPr>
      <w:tblGrid>
        <w:gridCol w:w="1513"/>
        <w:gridCol w:w="1210"/>
        <w:gridCol w:w="1349"/>
        <w:gridCol w:w="1213"/>
        <w:gridCol w:w="1013"/>
        <w:gridCol w:w="1119"/>
        <w:gridCol w:w="923"/>
        <w:gridCol w:w="1010"/>
      </w:tblGrid>
      <w:tr w:rsidRPr="006649A7" w:rsidR="00CC4574" w:rsidTr="004F6436" w14:paraId="64F206E5" w14:textId="686AC2FD">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CC4574" w:rsidRDefault="00CC4574" w14:paraId="7DEC26B8" w14:textId="77777777">
            <w:pPr>
              <w:jc w:val="center"/>
              <w:rPr>
                <w:bCs/>
                <w:color w:val="000000"/>
                <w:u w:val="single"/>
              </w:rPr>
            </w:pPr>
            <w:r w:rsidRPr="006649A7">
              <w:rPr>
                <w:bCs/>
                <w:color w:val="000000"/>
                <w:u w:val="single"/>
              </w:rPr>
              <w:t>Number of Respondents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67966338" w14:textId="77777777">
            <w:pPr>
              <w:jc w:val="center"/>
              <w:rPr>
                <w:bCs/>
                <w:color w:val="000000"/>
                <w:u w:val="single"/>
              </w:rPr>
            </w:pPr>
            <w:r w:rsidRPr="006649A7">
              <w:rPr>
                <w:bCs/>
                <w:color w:val="000000"/>
                <w:u w:val="single"/>
              </w:rPr>
              <w:t>Response per Facility</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0F693749" w14:textId="77777777">
            <w:pPr>
              <w:jc w:val="center"/>
              <w:rPr>
                <w:bCs/>
                <w:color w:val="000000"/>
                <w:u w:val="single"/>
              </w:rPr>
            </w:pPr>
            <w:r w:rsidRPr="006649A7">
              <w:rPr>
                <w:bCs/>
                <w:color w:val="000000"/>
                <w:u w:val="single"/>
              </w:rPr>
              <w:t>Annual Number of Responses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527A9A20" w14:textId="77777777">
            <w:pPr>
              <w:jc w:val="center"/>
              <w:rPr>
                <w:bCs/>
                <w:color w:val="000000"/>
                <w:u w:val="single"/>
              </w:rPr>
            </w:pPr>
            <w:r w:rsidRPr="006649A7">
              <w:rPr>
                <w:bCs/>
                <w:color w:val="000000"/>
                <w:u w:val="single"/>
              </w:rPr>
              <w:t>Minutes per Response</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447796B7" w14:textId="77777777">
            <w:pPr>
              <w:jc w:val="center"/>
              <w:rPr>
                <w:bCs/>
                <w:color w:val="000000"/>
                <w:u w:val="single"/>
              </w:rPr>
            </w:pPr>
            <w:r w:rsidRPr="006649A7">
              <w:rPr>
                <w:bCs/>
                <w:color w:val="000000"/>
                <w:u w:val="single"/>
              </w:rPr>
              <w:t>Annual Burden Hours</w:t>
            </w:r>
          </w:p>
        </w:tc>
        <w:tc>
          <w:tcPr>
            <w:tcW w:w="1119"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RDefault="00CC4574" w14:paraId="3ADDC332" w14:textId="75892638">
            <w:pPr>
              <w:jc w:val="center"/>
              <w:rPr>
                <w:bCs/>
                <w:color w:val="000000"/>
                <w:u w:val="single"/>
              </w:rPr>
            </w:pPr>
            <w:r>
              <w:rPr>
                <w:bCs/>
                <w:color w:val="000000"/>
                <w:u w:val="single"/>
              </w:rPr>
              <w:t>Salary</w:t>
            </w:r>
            <w:r w:rsidRPr="006649A7">
              <w:rPr>
                <w:bCs/>
                <w:color w:val="000000"/>
                <w:u w:val="single"/>
              </w:rPr>
              <w:t xml:space="preserve"> Cost per Hour</w:t>
            </w:r>
          </w:p>
        </w:tc>
        <w:tc>
          <w:tcPr>
            <w:tcW w:w="866" w:type="dxa"/>
            <w:tcBorders>
              <w:top w:val="single" w:color="auto" w:sz="4" w:space="0"/>
              <w:left w:val="nil"/>
              <w:bottom w:val="single" w:color="auto" w:sz="4" w:space="0"/>
              <w:right w:val="single" w:color="auto" w:sz="4" w:space="0"/>
            </w:tcBorders>
            <w:shd w:val="clear" w:color="auto" w:fill="auto"/>
            <w:vAlign w:val="bottom"/>
            <w:hideMark/>
          </w:tcPr>
          <w:p w:rsidRPr="006649A7" w:rsidR="00CC4574" w:rsidP="00973122" w:rsidRDefault="00CC4574" w14:paraId="68963166" w14:textId="298C37DE">
            <w:pPr>
              <w:jc w:val="center"/>
              <w:rPr>
                <w:bCs/>
                <w:color w:val="000000"/>
                <w:u w:val="single"/>
              </w:rPr>
            </w:pPr>
            <w:r w:rsidRPr="006649A7">
              <w:rPr>
                <w:bCs/>
                <w:color w:val="000000"/>
                <w:u w:val="single"/>
              </w:rPr>
              <w:t xml:space="preserve">Annual </w:t>
            </w:r>
            <w:r>
              <w:rPr>
                <w:bCs/>
                <w:color w:val="000000"/>
                <w:u w:val="single"/>
              </w:rPr>
              <w:t xml:space="preserve">Salary </w:t>
            </w:r>
            <w:r w:rsidRPr="006649A7">
              <w:rPr>
                <w:bCs/>
                <w:color w:val="000000"/>
                <w:u w:val="single"/>
              </w:rPr>
              <w:t>Costs</w:t>
            </w:r>
          </w:p>
        </w:tc>
        <w:tc>
          <w:tcPr>
            <w:tcW w:w="0" w:type="auto"/>
            <w:tcBorders>
              <w:top w:val="single" w:color="auto" w:sz="4" w:space="0"/>
              <w:left w:val="nil"/>
              <w:bottom w:val="single" w:color="auto" w:sz="4" w:space="0"/>
              <w:right w:val="single" w:color="auto" w:sz="4" w:space="0"/>
            </w:tcBorders>
          </w:tcPr>
          <w:p w:rsidRPr="006649A7" w:rsidR="00CC4574" w:rsidP="00DA7E8C" w:rsidRDefault="00CC4574" w14:paraId="62C75A98" w14:textId="7A220DEF">
            <w:pPr>
              <w:jc w:val="center"/>
              <w:rPr>
                <w:bCs/>
                <w:color w:val="000000"/>
                <w:u w:val="single"/>
              </w:rPr>
            </w:pPr>
            <w:r w:rsidRPr="006649A7">
              <w:rPr>
                <w:bCs/>
                <w:color w:val="000000"/>
                <w:u w:val="single"/>
              </w:rPr>
              <w:t xml:space="preserve">Annual </w:t>
            </w:r>
            <w:r>
              <w:rPr>
                <w:bCs/>
                <w:color w:val="000000"/>
                <w:u w:val="single"/>
              </w:rPr>
              <w:t xml:space="preserve">Burden </w:t>
            </w:r>
            <w:r w:rsidRPr="006649A7">
              <w:rPr>
                <w:bCs/>
                <w:color w:val="000000"/>
                <w:u w:val="single"/>
              </w:rPr>
              <w:t>Costs</w:t>
            </w:r>
          </w:p>
        </w:tc>
      </w:tr>
      <w:tr w:rsidRPr="006649A7" w:rsidR="00CC4574" w:rsidTr="004F6436" w14:paraId="65A08661" w14:textId="47540E6A">
        <w:trPr>
          <w:trHeight w:val="269"/>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649A7" w:rsidR="00CC4574" w:rsidRDefault="00CC4574" w14:paraId="33FF6E29" w14:textId="77777777">
            <w:pPr>
              <w:jc w:val="right"/>
              <w:rPr>
                <w:color w:val="000000"/>
              </w:rPr>
            </w:pPr>
            <w:r w:rsidRPr="006649A7">
              <w:rPr>
                <w:color w:val="000000"/>
              </w:rPr>
              <w:t>30</w:t>
            </w:r>
          </w:p>
        </w:tc>
        <w:tc>
          <w:tcPr>
            <w:tcW w:w="0" w:type="auto"/>
            <w:tcBorders>
              <w:top w:val="nil"/>
              <w:left w:val="nil"/>
              <w:bottom w:val="single" w:color="auto" w:sz="4" w:space="0"/>
              <w:right w:val="single" w:color="auto" w:sz="4" w:space="0"/>
            </w:tcBorders>
            <w:shd w:val="clear" w:color="auto" w:fill="auto"/>
            <w:vAlign w:val="bottom"/>
            <w:hideMark/>
          </w:tcPr>
          <w:p w:rsidRPr="006649A7" w:rsidR="00CC4574" w:rsidRDefault="00CC4574" w14:paraId="6931F51B" w14:textId="77777777">
            <w:pPr>
              <w:jc w:val="right"/>
              <w:rPr>
                <w:color w:val="000000"/>
              </w:rPr>
            </w:pPr>
            <w:r w:rsidRPr="006649A7">
              <w:rPr>
                <w:color w:val="000000"/>
              </w:rPr>
              <w:t>1</w:t>
            </w:r>
          </w:p>
        </w:tc>
        <w:tc>
          <w:tcPr>
            <w:tcW w:w="0" w:type="auto"/>
            <w:tcBorders>
              <w:top w:val="nil"/>
              <w:left w:val="nil"/>
              <w:bottom w:val="single" w:color="auto" w:sz="4" w:space="0"/>
              <w:right w:val="single" w:color="auto" w:sz="4" w:space="0"/>
            </w:tcBorders>
            <w:shd w:val="clear" w:color="auto" w:fill="auto"/>
            <w:vAlign w:val="bottom"/>
            <w:hideMark/>
          </w:tcPr>
          <w:p w:rsidRPr="006649A7" w:rsidR="00CC4574" w:rsidRDefault="00CC4574" w14:paraId="3C950153" w14:textId="77777777">
            <w:pPr>
              <w:jc w:val="right"/>
              <w:rPr>
                <w:color w:val="000000"/>
              </w:rPr>
            </w:pPr>
            <w:r w:rsidRPr="006649A7">
              <w:rPr>
                <w:color w:val="000000"/>
              </w:rPr>
              <w:t>30</w:t>
            </w:r>
          </w:p>
        </w:tc>
        <w:tc>
          <w:tcPr>
            <w:tcW w:w="0" w:type="auto"/>
            <w:tcBorders>
              <w:top w:val="nil"/>
              <w:left w:val="nil"/>
              <w:bottom w:val="single" w:color="auto" w:sz="4" w:space="0"/>
              <w:right w:val="single" w:color="auto" w:sz="4" w:space="0"/>
            </w:tcBorders>
            <w:shd w:val="clear" w:color="auto" w:fill="auto"/>
            <w:vAlign w:val="bottom"/>
            <w:hideMark/>
          </w:tcPr>
          <w:p w:rsidRPr="006649A7" w:rsidR="00CC4574" w:rsidRDefault="00CC4574" w14:paraId="3B6091F0" w14:textId="77777777">
            <w:pPr>
              <w:jc w:val="right"/>
              <w:rPr>
                <w:color w:val="000000"/>
              </w:rPr>
            </w:pPr>
            <w:r w:rsidRPr="006649A7">
              <w:rPr>
                <w:color w:val="000000"/>
              </w:rPr>
              <w:t>12</w:t>
            </w:r>
          </w:p>
        </w:tc>
        <w:tc>
          <w:tcPr>
            <w:tcW w:w="0" w:type="auto"/>
            <w:tcBorders>
              <w:top w:val="nil"/>
              <w:left w:val="nil"/>
              <w:bottom w:val="single" w:color="auto" w:sz="4" w:space="0"/>
              <w:right w:val="single" w:color="auto" w:sz="4" w:space="0"/>
            </w:tcBorders>
            <w:shd w:val="clear" w:color="auto" w:fill="auto"/>
            <w:vAlign w:val="bottom"/>
            <w:hideMark/>
          </w:tcPr>
          <w:p w:rsidRPr="006649A7" w:rsidR="00CC4574" w:rsidRDefault="00CC4574" w14:paraId="02CB744A" w14:textId="77777777">
            <w:pPr>
              <w:jc w:val="right"/>
              <w:rPr>
                <w:color w:val="000000"/>
              </w:rPr>
            </w:pPr>
            <w:r w:rsidRPr="006649A7">
              <w:rPr>
                <w:color w:val="000000"/>
              </w:rPr>
              <w:t>6</w:t>
            </w:r>
          </w:p>
        </w:tc>
        <w:tc>
          <w:tcPr>
            <w:tcW w:w="1119" w:type="dxa"/>
            <w:tcBorders>
              <w:top w:val="nil"/>
              <w:left w:val="nil"/>
              <w:bottom w:val="single" w:color="auto" w:sz="4" w:space="0"/>
              <w:right w:val="single" w:color="auto" w:sz="4" w:space="0"/>
            </w:tcBorders>
            <w:shd w:val="clear" w:color="auto" w:fill="auto"/>
            <w:vAlign w:val="bottom"/>
            <w:hideMark/>
          </w:tcPr>
          <w:p w:rsidRPr="006649A7" w:rsidR="00CC4574" w:rsidRDefault="00CC4574" w14:paraId="5238F507" w14:textId="10AEBE55">
            <w:pPr>
              <w:jc w:val="right"/>
              <w:rPr>
                <w:color w:val="000000"/>
              </w:rPr>
            </w:pPr>
            <w:r w:rsidRPr="006649A7">
              <w:rPr>
                <w:color w:val="000000"/>
              </w:rPr>
              <w:t>$</w:t>
            </w:r>
            <w:r>
              <w:rPr>
                <w:color w:val="000000"/>
              </w:rPr>
              <w:t>31.00</w:t>
            </w:r>
          </w:p>
        </w:tc>
        <w:tc>
          <w:tcPr>
            <w:tcW w:w="866" w:type="dxa"/>
            <w:tcBorders>
              <w:top w:val="nil"/>
              <w:left w:val="nil"/>
              <w:bottom w:val="single" w:color="auto" w:sz="4" w:space="0"/>
              <w:right w:val="single" w:color="auto" w:sz="4" w:space="0"/>
            </w:tcBorders>
            <w:shd w:val="clear" w:color="auto" w:fill="auto"/>
            <w:vAlign w:val="bottom"/>
            <w:hideMark/>
          </w:tcPr>
          <w:p w:rsidRPr="006649A7" w:rsidR="00CC4574" w:rsidP="00DA7E8C" w:rsidRDefault="00CC4574" w14:paraId="6E1CE595" w14:textId="16B96FDC">
            <w:pPr>
              <w:jc w:val="right"/>
              <w:rPr>
                <w:color w:val="000000"/>
              </w:rPr>
            </w:pPr>
            <w:r w:rsidRPr="006649A7">
              <w:rPr>
                <w:color w:val="000000"/>
              </w:rPr>
              <w:t>$</w:t>
            </w:r>
            <w:r>
              <w:rPr>
                <w:color w:val="000000"/>
              </w:rPr>
              <w:t>186</w:t>
            </w:r>
          </w:p>
        </w:tc>
        <w:tc>
          <w:tcPr>
            <w:tcW w:w="0" w:type="auto"/>
            <w:tcBorders>
              <w:top w:val="nil"/>
              <w:left w:val="nil"/>
              <w:bottom w:val="single" w:color="auto" w:sz="4" w:space="0"/>
              <w:right w:val="single" w:color="auto" w:sz="4" w:space="0"/>
            </w:tcBorders>
          </w:tcPr>
          <w:p w:rsidR="00CC4574" w:rsidP="00CC4574" w:rsidRDefault="00CC4574" w14:paraId="7EB9DD82" w14:textId="4504FAA3">
            <w:pPr>
              <w:jc w:val="right"/>
              <w:rPr>
                <w:color w:val="000000"/>
              </w:rPr>
            </w:pPr>
            <w:r>
              <w:rPr>
                <w:color w:val="000000"/>
              </w:rPr>
              <w:t>$0</w:t>
            </w:r>
          </w:p>
        </w:tc>
      </w:tr>
    </w:tbl>
    <w:p w:rsidR="00FC70C1" w:rsidP="006649A7" w:rsidRDefault="00FC70C1" w14:paraId="5A501DD0" w14:textId="2B4033CC"/>
    <w:p w:rsidR="008F76D9" w:rsidP="006649A7" w:rsidRDefault="008F76D9" w14:paraId="590FEDDA" w14:textId="561D91F3"/>
    <w:p w:rsidR="008F76D9" w:rsidP="006649A7" w:rsidRDefault="008F76D9" w14:paraId="4774EC78" w14:textId="74B019C2">
      <w:r>
        <w:t xml:space="preserve">A record is required when </w:t>
      </w:r>
      <w:r w:rsidRPr="00421855" w:rsidR="00421855">
        <w:t xml:space="preserve">manufacturers of DOT 4B, 4BA, 4BW, and 4E cylinders </w:t>
      </w:r>
      <w:r w:rsidR="003E59A8">
        <w:t>intentionally add</w:t>
      </w:r>
      <w:r w:rsidRPr="00421855" w:rsidR="00421855">
        <w:t xml:space="preserve"> alloying elements in the steel or aluminu</w:t>
      </w:r>
      <w:r w:rsidR="003E59A8">
        <w:t>m used to produce the cylinders.</w:t>
      </w:r>
      <w:r>
        <w:t xml:space="preserve"> PHMSA estimates that </w:t>
      </w:r>
      <w:r w:rsidR="003E59A8">
        <w:t xml:space="preserve">there are 23 manufacturers that will make one record annually, for a total of 23 responses. PHMSA estimates each record takes 1 hour to develop, for a total of 23 annual burden hours </w:t>
      </w:r>
      <w:r w:rsidR="003E59A8">
        <w:lastRenderedPageBreak/>
        <w:t xml:space="preserve">(23 responses x 1 hour). </w:t>
      </w:r>
      <w:r w:rsidR="00594D03">
        <w:t>At a salary of $31.00 per hour,</w:t>
      </w:r>
      <w:r w:rsidR="00594D03">
        <w:rPr>
          <w:rStyle w:val="FootnoteReference"/>
        </w:rPr>
        <w:footnoteReference w:id="4"/>
      </w:r>
      <w:r w:rsidR="003E59A8">
        <w:t xml:space="preserve"> </w:t>
      </w:r>
      <w:r w:rsidR="00594D03">
        <w:t>it is estimated to cost $713 in annual salary costs. PHMSA does not estimate any out-of-pocket expenses.</w:t>
      </w:r>
    </w:p>
    <w:p w:rsidR="00594D03" w:rsidP="006649A7" w:rsidRDefault="00594D03" w14:paraId="259A7704" w14:textId="1947FF09"/>
    <w:p w:rsidR="00594D03" w:rsidP="006649A7" w:rsidRDefault="00594D03" w14:paraId="7A0FC88B" w14:textId="7D253BDE">
      <w:r>
        <w:t xml:space="preserve">This is a new information collection </w:t>
      </w:r>
      <w:r w:rsidR="00DA7E8C">
        <w:t>resulting from the HM-234 final rule.</w:t>
      </w:r>
    </w:p>
    <w:p w:rsidR="003E59A8" w:rsidP="006649A7" w:rsidRDefault="003E59A8" w14:paraId="6ADAA81C" w14:textId="374EF7EB"/>
    <w:tbl>
      <w:tblPr>
        <w:tblW w:w="0" w:type="auto"/>
        <w:jc w:val="center"/>
        <w:tblLook w:val="04A0" w:firstRow="1" w:lastRow="0" w:firstColumn="1" w:lastColumn="0" w:noHBand="0" w:noVBand="1"/>
      </w:tblPr>
      <w:tblGrid>
        <w:gridCol w:w="1506"/>
        <w:gridCol w:w="1203"/>
        <w:gridCol w:w="1338"/>
        <w:gridCol w:w="1136"/>
        <w:gridCol w:w="932"/>
        <w:gridCol w:w="1238"/>
        <w:gridCol w:w="996"/>
        <w:gridCol w:w="1001"/>
      </w:tblGrid>
      <w:tr w:rsidRPr="006649A7" w:rsidR="003E59A8" w:rsidTr="004F6436" w14:paraId="10354729" w14:textId="77777777">
        <w:trPr>
          <w:trHeight w:val="630"/>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3E59A8" w:rsidP="00CC2AB1" w:rsidRDefault="003E59A8" w14:paraId="61D319E7" w14:textId="77777777">
            <w:pPr>
              <w:jc w:val="center"/>
              <w:rPr>
                <w:bCs/>
                <w:color w:val="000000"/>
                <w:u w:val="single"/>
              </w:rPr>
            </w:pPr>
            <w:r w:rsidRPr="006649A7">
              <w:rPr>
                <w:bCs/>
                <w:color w:val="000000"/>
                <w:u w:val="single"/>
              </w:rPr>
              <w:t>Number of Respondents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7A95A435" w14:textId="77777777">
            <w:pPr>
              <w:jc w:val="center"/>
              <w:rPr>
                <w:bCs/>
                <w:color w:val="000000"/>
                <w:u w:val="single"/>
              </w:rPr>
            </w:pPr>
            <w:r w:rsidRPr="006649A7">
              <w:rPr>
                <w:bCs/>
                <w:color w:val="000000"/>
                <w:u w:val="single"/>
              </w:rPr>
              <w:t>Response per Facility</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59C977AB" w14:textId="77777777">
            <w:pPr>
              <w:jc w:val="center"/>
              <w:rPr>
                <w:bCs/>
                <w:color w:val="000000"/>
                <w:u w:val="single"/>
              </w:rPr>
            </w:pPr>
            <w:r w:rsidRPr="006649A7">
              <w:rPr>
                <w:bCs/>
                <w:color w:val="000000"/>
                <w:u w:val="single"/>
              </w:rPr>
              <w:t>Annual Number of Responses</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2100C30D" w14:textId="475649C5">
            <w:pPr>
              <w:jc w:val="center"/>
              <w:rPr>
                <w:bCs/>
                <w:color w:val="000000"/>
                <w:u w:val="single"/>
              </w:rPr>
            </w:pPr>
            <w:r>
              <w:rPr>
                <w:bCs/>
                <w:color w:val="000000"/>
                <w:u w:val="single"/>
              </w:rPr>
              <w:t>Hours</w:t>
            </w:r>
            <w:r w:rsidRPr="006649A7">
              <w:rPr>
                <w:bCs/>
                <w:color w:val="000000"/>
                <w:u w:val="single"/>
              </w:rPr>
              <w:t xml:space="preserve"> per Response</w:t>
            </w:r>
          </w:p>
        </w:tc>
        <w:tc>
          <w:tcPr>
            <w:tcW w:w="932" w:type="dxa"/>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35477ABA" w14:textId="77777777">
            <w:pPr>
              <w:jc w:val="center"/>
              <w:rPr>
                <w:bCs/>
                <w:color w:val="000000"/>
                <w:u w:val="single"/>
              </w:rPr>
            </w:pPr>
            <w:r w:rsidRPr="006649A7">
              <w:rPr>
                <w:bCs/>
                <w:color w:val="000000"/>
                <w:u w:val="single"/>
              </w:rPr>
              <w:t>Annual Burden Hours</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123C0378" w14:textId="77777777">
            <w:pPr>
              <w:jc w:val="center"/>
              <w:rPr>
                <w:bCs/>
                <w:color w:val="000000"/>
                <w:u w:val="single"/>
              </w:rPr>
            </w:pPr>
            <w:r>
              <w:rPr>
                <w:bCs/>
                <w:color w:val="000000"/>
                <w:u w:val="single"/>
              </w:rPr>
              <w:t>Salary</w:t>
            </w:r>
            <w:r w:rsidRPr="006649A7">
              <w:rPr>
                <w:bCs/>
                <w:color w:val="000000"/>
                <w:u w:val="single"/>
              </w:rPr>
              <w:t xml:space="preserve"> Cost per Hour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649A7" w:rsidR="003E59A8" w:rsidP="00CC2AB1" w:rsidRDefault="003E59A8" w14:paraId="235DDA87" w14:textId="77777777">
            <w:pPr>
              <w:jc w:val="center"/>
              <w:rPr>
                <w:bCs/>
                <w:color w:val="000000"/>
                <w:u w:val="single"/>
              </w:rPr>
            </w:pPr>
            <w:r w:rsidRPr="006649A7">
              <w:rPr>
                <w:bCs/>
                <w:color w:val="000000"/>
                <w:u w:val="single"/>
              </w:rPr>
              <w:t xml:space="preserve">Annual </w:t>
            </w:r>
            <w:r>
              <w:rPr>
                <w:bCs/>
                <w:color w:val="000000"/>
                <w:u w:val="single"/>
              </w:rPr>
              <w:t xml:space="preserve">Salary </w:t>
            </w:r>
            <w:r w:rsidRPr="006649A7">
              <w:rPr>
                <w:bCs/>
                <w:color w:val="000000"/>
                <w:u w:val="single"/>
              </w:rPr>
              <w:t>Costs</w:t>
            </w:r>
          </w:p>
        </w:tc>
        <w:tc>
          <w:tcPr>
            <w:tcW w:w="0" w:type="auto"/>
            <w:tcBorders>
              <w:top w:val="single" w:color="auto" w:sz="4" w:space="0"/>
              <w:left w:val="nil"/>
              <w:bottom w:val="single" w:color="auto" w:sz="4" w:space="0"/>
              <w:right w:val="single" w:color="auto" w:sz="4" w:space="0"/>
            </w:tcBorders>
          </w:tcPr>
          <w:p w:rsidRPr="006649A7" w:rsidR="003E59A8" w:rsidP="00CC2AB1" w:rsidRDefault="003E59A8" w14:paraId="62952EE7" w14:textId="77777777">
            <w:pPr>
              <w:jc w:val="center"/>
              <w:rPr>
                <w:bCs/>
                <w:color w:val="000000"/>
                <w:u w:val="single"/>
              </w:rPr>
            </w:pPr>
            <w:r w:rsidRPr="006649A7">
              <w:rPr>
                <w:bCs/>
                <w:color w:val="000000"/>
                <w:u w:val="single"/>
              </w:rPr>
              <w:t xml:space="preserve">Annual </w:t>
            </w:r>
            <w:r>
              <w:rPr>
                <w:bCs/>
                <w:color w:val="000000"/>
                <w:u w:val="single"/>
              </w:rPr>
              <w:t xml:space="preserve">Burden </w:t>
            </w:r>
            <w:r w:rsidRPr="006649A7">
              <w:rPr>
                <w:bCs/>
                <w:color w:val="000000"/>
                <w:u w:val="single"/>
              </w:rPr>
              <w:t>Costs</w:t>
            </w:r>
          </w:p>
        </w:tc>
      </w:tr>
      <w:tr w:rsidRPr="006649A7" w:rsidR="003E59A8" w:rsidTr="004F6436" w14:paraId="2226A1B8" w14:textId="77777777">
        <w:trPr>
          <w:trHeight w:val="269"/>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649A7" w:rsidR="003E59A8" w:rsidP="00CC2AB1" w:rsidRDefault="003E59A8" w14:paraId="66F7B14E" w14:textId="035D0529">
            <w:pPr>
              <w:jc w:val="right"/>
              <w:rPr>
                <w:color w:val="000000"/>
              </w:rPr>
            </w:pPr>
            <w:r>
              <w:rPr>
                <w:color w:val="000000"/>
              </w:rPr>
              <w:t>23</w:t>
            </w:r>
          </w:p>
        </w:tc>
        <w:tc>
          <w:tcPr>
            <w:tcW w:w="0" w:type="auto"/>
            <w:tcBorders>
              <w:top w:val="nil"/>
              <w:left w:val="nil"/>
              <w:bottom w:val="single" w:color="auto" w:sz="4" w:space="0"/>
              <w:right w:val="single" w:color="auto" w:sz="4" w:space="0"/>
            </w:tcBorders>
            <w:shd w:val="clear" w:color="auto" w:fill="auto"/>
            <w:vAlign w:val="bottom"/>
            <w:hideMark/>
          </w:tcPr>
          <w:p w:rsidRPr="006649A7" w:rsidR="003E59A8" w:rsidP="00CC2AB1" w:rsidRDefault="003E59A8" w14:paraId="4759ED21" w14:textId="77777777">
            <w:pPr>
              <w:jc w:val="right"/>
              <w:rPr>
                <w:color w:val="000000"/>
              </w:rPr>
            </w:pPr>
            <w:r w:rsidRPr="006649A7">
              <w:rPr>
                <w:color w:val="000000"/>
              </w:rPr>
              <w:t>1</w:t>
            </w:r>
          </w:p>
        </w:tc>
        <w:tc>
          <w:tcPr>
            <w:tcW w:w="0" w:type="auto"/>
            <w:tcBorders>
              <w:top w:val="nil"/>
              <w:left w:val="nil"/>
              <w:bottom w:val="single" w:color="auto" w:sz="4" w:space="0"/>
              <w:right w:val="single" w:color="auto" w:sz="4" w:space="0"/>
            </w:tcBorders>
            <w:shd w:val="clear" w:color="auto" w:fill="auto"/>
            <w:vAlign w:val="bottom"/>
            <w:hideMark/>
          </w:tcPr>
          <w:p w:rsidRPr="006649A7" w:rsidR="003E59A8" w:rsidP="00CC2AB1" w:rsidRDefault="003E59A8" w14:paraId="5FEAE520" w14:textId="1ED31C40">
            <w:pPr>
              <w:jc w:val="right"/>
              <w:rPr>
                <w:color w:val="000000"/>
              </w:rPr>
            </w:pPr>
            <w:r>
              <w:rPr>
                <w:color w:val="000000"/>
              </w:rPr>
              <w:t>23</w:t>
            </w:r>
          </w:p>
        </w:tc>
        <w:tc>
          <w:tcPr>
            <w:tcW w:w="1136" w:type="dxa"/>
            <w:tcBorders>
              <w:top w:val="nil"/>
              <w:left w:val="nil"/>
              <w:bottom w:val="single" w:color="auto" w:sz="4" w:space="0"/>
              <w:right w:val="single" w:color="auto" w:sz="4" w:space="0"/>
            </w:tcBorders>
            <w:shd w:val="clear" w:color="auto" w:fill="auto"/>
            <w:vAlign w:val="bottom"/>
            <w:hideMark/>
          </w:tcPr>
          <w:p w:rsidRPr="006649A7" w:rsidR="003E59A8" w:rsidP="00DA7E8C" w:rsidRDefault="003E59A8" w14:paraId="5164EA2B" w14:textId="1468E20F">
            <w:pPr>
              <w:jc w:val="right"/>
              <w:rPr>
                <w:color w:val="000000"/>
              </w:rPr>
            </w:pPr>
            <w:r w:rsidRPr="006649A7">
              <w:rPr>
                <w:color w:val="000000"/>
              </w:rPr>
              <w:t>1</w:t>
            </w:r>
          </w:p>
        </w:tc>
        <w:tc>
          <w:tcPr>
            <w:tcW w:w="932" w:type="dxa"/>
            <w:tcBorders>
              <w:top w:val="nil"/>
              <w:left w:val="nil"/>
              <w:bottom w:val="single" w:color="auto" w:sz="4" w:space="0"/>
              <w:right w:val="single" w:color="auto" w:sz="4" w:space="0"/>
            </w:tcBorders>
            <w:shd w:val="clear" w:color="auto" w:fill="auto"/>
            <w:vAlign w:val="bottom"/>
            <w:hideMark/>
          </w:tcPr>
          <w:p w:rsidRPr="006649A7" w:rsidR="003E59A8" w:rsidP="00CC2AB1" w:rsidRDefault="003E59A8" w14:paraId="277862E4" w14:textId="575D64A3">
            <w:pPr>
              <w:jc w:val="right"/>
              <w:rPr>
                <w:color w:val="000000"/>
              </w:rPr>
            </w:pPr>
            <w:r>
              <w:rPr>
                <w:color w:val="000000"/>
              </w:rPr>
              <w:t>23</w:t>
            </w:r>
          </w:p>
        </w:tc>
        <w:tc>
          <w:tcPr>
            <w:tcW w:w="1238" w:type="dxa"/>
            <w:tcBorders>
              <w:top w:val="nil"/>
              <w:left w:val="nil"/>
              <w:bottom w:val="single" w:color="auto" w:sz="4" w:space="0"/>
              <w:right w:val="single" w:color="auto" w:sz="4" w:space="0"/>
            </w:tcBorders>
            <w:shd w:val="clear" w:color="auto" w:fill="auto"/>
            <w:vAlign w:val="bottom"/>
            <w:hideMark/>
          </w:tcPr>
          <w:p w:rsidRPr="006649A7" w:rsidR="003E59A8" w:rsidP="00CC2AB1" w:rsidRDefault="003E59A8" w14:paraId="5076948D" w14:textId="77777777">
            <w:pPr>
              <w:jc w:val="right"/>
              <w:rPr>
                <w:color w:val="000000"/>
              </w:rPr>
            </w:pPr>
            <w:r w:rsidRPr="006649A7">
              <w:rPr>
                <w:color w:val="000000"/>
              </w:rPr>
              <w:t>$</w:t>
            </w:r>
            <w:r>
              <w:rPr>
                <w:color w:val="000000"/>
              </w:rPr>
              <w:t>31.00</w:t>
            </w:r>
          </w:p>
        </w:tc>
        <w:tc>
          <w:tcPr>
            <w:tcW w:w="0" w:type="auto"/>
            <w:tcBorders>
              <w:top w:val="nil"/>
              <w:left w:val="nil"/>
              <w:bottom w:val="single" w:color="auto" w:sz="4" w:space="0"/>
              <w:right w:val="single" w:color="auto" w:sz="4" w:space="0"/>
            </w:tcBorders>
            <w:shd w:val="clear" w:color="auto" w:fill="auto"/>
            <w:vAlign w:val="bottom"/>
            <w:hideMark/>
          </w:tcPr>
          <w:p w:rsidRPr="006649A7" w:rsidR="003E59A8" w:rsidP="00DA7E8C" w:rsidRDefault="003E59A8" w14:paraId="702DC940" w14:textId="6DD4AF7B">
            <w:pPr>
              <w:jc w:val="right"/>
              <w:rPr>
                <w:color w:val="000000"/>
              </w:rPr>
            </w:pPr>
            <w:r w:rsidRPr="006649A7">
              <w:rPr>
                <w:color w:val="000000"/>
              </w:rPr>
              <w:t>$</w:t>
            </w:r>
            <w:r>
              <w:rPr>
                <w:color w:val="000000"/>
              </w:rPr>
              <w:t>713</w:t>
            </w:r>
          </w:p>
        </w:tc>
        <w:tc>
          <w:tcPr>
            <w:tcW w:w="0" w:type="auto"/>
            <w:tcBorders>
              <w:top w:val="nil"/>
              <w:left w:val="nil"/>
              <w:bottom w:val="single" w:color="auto" w:sz="4" w:space="0"/>
              <w:right w:val="single" w:color="auto" w:sz="4" w:space="0"/>
            </w:tcBorders>
          </w:tcPr>
          <w:p w:rsidR="003E59A8" w:rsidP="00CC2AB1" w:rsidRDefault="003E59A8" w14:paraId="278E88E6" w14:textId="77777777">
            <w:pPr>
              <w:jc w:val="right"/>
              <w:rPr>
                <w:color w:val="000000"/>
              </w:rPr>
            </w:pPr>
            <w:r>
              <w:rPr>
                <w:color w:val="000000"/>
              </w:rPr>
              <w:t>$0</w:t>
            </w:r>
          </w:p>
        </w:tc>
      </w:tr>
    </w:tbl>
    <w:p w:rsidRPr="006649A7" w:rsidR="003E59A8" w:rsidP="006649A7" w:rsidRDefault="003E59A8" w14:paraId="6B89D3C7" w14:textId="77777777"/>
    <w:p w:rsidR="00FC70C1" w:rsidP="006649A7" w:rsidRDefault="00FC70C1" w14:paraId="4E94A7F4" w14:textId="77777777">
      <w:pPr>
        <w:rPr>
          <w:b/>
        </w:rPr>
      </w:pPr>
    </w:p>
    <w:p w:rsidR="007D006D" w:rsidP="006649A7" w:rsidRDefault="007D006D" w14:paraId="37FC0AFE" w14:textId="77777777">
      <w:pPr>
        <w:rPr>
          <w:b/>
          <w:highlight w:val="white"/>
        </w:rPr>
      </w:pPr>
      <w:r w:rsidRPr="002B6443">
        <w:rPr>
          <w:b/>
          <w:highlight w:val="white"/>
        </w:rPr>
        <w:t>Cylinder Requalification</w:t>
      </w:r>
    </w:p>
    <w:p w:rsidR="00A939EA" w:rsidP="00A939EA" w:rsidRDefault="00A939EA" w14:paraId="5B3E7376" w14:textId="77777777">
      <w:pPr>
        <w:rPr>
          <w:highlight w:val="white"/>
        </w:rPr>
      </w:pPr>
    </w:p>
    <w:p w:rsidR="00A939EA" w:rsidP="00A939EA" w:rsidRDefault="00A939EA" w14:paraId="05E050C2" w14:textId="626E4132">
      <w:pPr>
        <w:rPr>
          <w:highlight w:val="white"/>
        </w:rPr>
      </w:pPr>
      <w:r>
        <w:rPr>
          <w:highlight w:val="white"/>
        </w:rPr>
        <w:t xml:space="preserve">There are approximately </w:t>
      </w:r>
      <w:r w:rsidR="00C95530">
        <w:rPr>
          <w:highlight w:val="white"/>
        </w:rPr>
        <w:t>15,000</w:t>
      </w:r>
      <w:r>
        <w:rPr>
          <w:highlight w:val="white"/>
        </w:rPr>
        <w:t xml:space="preserve"> authorized cylinder requalifiers. </w:t>
      </w:r>
      <w:r w:rsidR="00D8414D">
        <w:rPr>
          <w:highlight w:val="white"/>
        </w:rPr>
        <w:t xml:space="preserve">After each requalification, </w:t>
      </w:r>
      <w:r w:rsidR="009D6178">
        <w:rPr>
          <w:highlight w:val="white"/>
        </w:rPr>
        <w:t xml:space="preserve">a </w:t>
      </w:r>
      <w:r w:rsidR="00D8414D">
        <w:rPr>
          <w:highlight w:val="white"/>
        </w:rPr>
        <w:t xml:space="preserve">cylinder must be stamped or marked with an indication of the type of requalification performed and the approval number of the requalifier. </w:t>
      </w:r>
      <w:r>
        <w:rPr>
          <w:highlight w:val="white"/>
        </w:rPr>
        <w:t xml:space="preserve">On average, 970 cylinders are requalified </w:t>
      </w:r>
      <w:r w:rsidR="00FF2B86">
        <w:rPr>
          <w:highlight w:val="white"/>
        </w:rPr>
        <w:t xml:space="preserve">annually </w:t>
      </w:r>
      <w:r w:rsidR="00CB6E8B">
        <w:rPr>
          <w:highlight w:val="white"/>
        </w:rPr>
        <w:t xml:space="preserve">by </w:t>
      </w:r>
      <w:r>
        <w:rPr>
          <w:highlight w:val="white"/>
        </w:rPr>
        <w:t>each</w:t>
      </w:r>
      <w:r w:rsidR="00CB6E8B">
        <w:rPr>
          <w:highlight w:val="white"/>
        </w:rPr>
        <w:t xml:space="preserve"> requalification facility </w:t>
      </w:r>
      <w:r>
        <w:rPr>
          <w:highlight w:val="white"/>
        </w:rPr>
        <w:t xml:space="preserve">for a total of </w:t>
      </w:r>
      <w:r w:rsidR="00C95530">
        <w:rPr>
          <w:highlight w:val="white"/>
        </w:rPr>
        <w:t>14,550</w:t>
      </w:r>
      <w:r>
        <w:rPr>
          <w:highlight w:val="white"/>
        </w:rPr>
        <w:t xml:space="preserve">,000 </w:t>
      </w:r>
      <w:r w:rsidR="00D8414D">
        <w:rPr>
          <w:highlight w:val="white"/>
        </w:rPr>
        <w:t>cylinder</w:t>
      </w:r>
      <w:r w:rsidR="00CB6E8B">
        <w:rPr>
          <w:highlight w:val="white"/>
        </w:rPr>
        <w:t>s</w:t>
      </w:r>
      <w:r w:rsidR="00D8414D">
        <w:rPr>
          <w:highlight w:val="white"/>
        </w:rPr>
        <w:t xml:space="preserve"> (</w:t>
      </w:r>
      <w:r w:rsidR="00C95530">
        <w:rPr>
          <w:highlight w:val="white"/>
        </w:rPr>
        <w:t>15</w:t>
      </w:r>
      <w:r w:rsidR="00D8414D">
        <w:rPr>
          <w:highlight w:val="white"/>
        </w:rPr>
        <w:t xml:space="preserve">,000 requalifiers x </w:t>
      </w:r>
      <w:r w:rsidR="00FF2B86">
        <w:rPr>
          <w:highlight w:val="white"/>
        </w:rPr>
        <w:t>970 </w:t>
      </w:r>
      <w:r w:rsidR="00D8414D">
        <w:rPr>
          <w:highlight w:val="white"/>
        </w:rPr>
        <w:t>cylinders).</w:t>
      </w:r>
      <w:r>
        <w:rPr>
          <w:highlight w:val="white"/>
        </w:rPr>
        <w:t xml:space="preserve"> On aver</w:t>
      </w:r>
      <w:r w:rsidR="00D8414D">
        <w:rPr>
          <w:highlight w:val="white"/>
        </w:rPr>
        <w:t>age, the requalification take 4</w:t>
      </w:r>
      <w:r w:rsidR="00FF2B86">
        <w:rPr>
          <w:highlight w:val="white"/>
        </w:rPr>
        <w:t>6</w:t>
      </w:r>
      <w:r>
        <w:rPr>
          <w:highlight w:val="white"/>
        </w:rPr>
        <w:t xml:space="preserve"> seconds </w:t>
      </w:r>
      <w:r w:rsidR="00D8414D">
        <w:rPr>
          <w:highlight w:val="white"/>
        </w:rPr>
        <w:t xml:space="preserve">to perform </w:t>
      </w:r>
      <w:r>
        <w:rPr>
          <w:highlight w:val="white"/>
        </w:rPr>
        <w:t xml:space="preserve">for a total of </w:t>
      </w:r>
      <w:r w:rsidR="00C95530">
        <w:rPr>
          <w:highlight w:val="white"/>
        </w:rPr>
        <w:t>185,917</w:t>
      </w:r>
      <w:r w:rsidR="00FF2B86">
        <w:rPr>
          <w:highlight w:val="white"/>
        </w:rPr>
        <w:t> </w:t>
      </w:r>
      <w:r>
        <w:rPr>
          <w:highlight w:val="white"/>
        </w:rPr>
        <w:t>annual burden hours (</w:t>
      </w:r>
      <w:r w:rsidR="00C95530">
        <w:rPr>
          <w:highlight w:val="white"/>
        </w:rPr>
        <w:t>14,550,000</w:t>
      </w:r>
      <w:r w:rsidR="008C3036">
        <w:rPr>
          <w:highlight w:val="white"/>
        </w:rPr>
        <w:t xml:space="preserve"> requalifications </w:t>
      </w:r>
      <w:r>
        <w:rPr>
          <w:highlight w:val="white"/>
        </w:rPr>
        <w:t>x</w:t>
      </w:r>
      <w:r w:rsidR="00D8414D">
        <w:rPr>
          <w:highlight w:val="white"/>
        </w:rPr>
        <w:t xml:space="preserve"> </w:t>
      </w:r>
      <w:r w:rsidR="00FF2B86">
        <w:rPr>
          <w:highlight w:val="white"/>
        </w:rPr>
        <w:t xml:space="preserve">46 </w:t>
      </w:r>
      <w:r>
        <w:rPr>
          <w:highlight w:val="white"/>
        </w:rPr>
        <w:t>seconds).</w:t>
      </w:r>
      <w:r w:rsidR="00FF2B86">
        <w:rPr>
          <w:highlight w:val="white"/>
        </w:rPr>
        <w:t xml:space="preserve"> At an estimated salary cost of $31.00 per hour,</w:t>
      </w:r>
      <w:r w:rsidR="00FF2B86">
        <w:rPr>
          <w:rStyle w:val="FootnoteReference"/>
          <w:highlight w:val="white"/>
        </w:rPr>
        <w:footnoteReference w:id="5"/>
      </w:r>
      <w:r w:rsidR="00FF2B86">
        <w:rPr>
          <w:highlight w:val="white"/>
        </w:rPr>
        <w:t xml:space="preserve"> this information collection is estimated to cost $</w:t>
      </w:r>
      <w:r w:rsidR="00C95530">
        <w:rPr>
          <w:highlight w:val="white"/>
        </w:rPr>
        <w:t>5,762,600</w:t>
      </w:r>
      <w:r w:rsidR="00FF2B86">
        <w:rPr>
          <w:highlight w:val="white"/>
        </w:rPr>
        <w:t xml:space="preserve"> annually (</w:t>
      </w:r>
      <w:r w:rsidR="00C95530">
        <w:rPr>
          <w:highlight w:val="white"/>
        </w:rPr>
        <w:t>185,917</w:t>
      </w:r>
      <w:r w:rsidR="00FF2B86">
        <w:rPr>
          <w:highlight w:val="white"/>
        </w:rPr>
        <w:t xml:space="preserve"> burden hours x $31.00). </w:t>
      </w:r>
      <w:r w:rsidR="00CC2AB1">
        <w:rPr>
          <w:highlight w:val="white"/>
        </w:rPr>
        <w:t>PHMSA does not estimate any out-of-pocket expenses.</w:t>
      </w:r>
    </w:p>
    <w:p w:rsidR="00CC2AB1" w:rsidP="00A939EA" w:rsidRDefault="00CC2AB1" w14:paraId="09B3D200" w14:textId="514A7C2A">
      <w:pPr>
        <w:rPr>
          <w:highlight w:val="white"/>
        </w:rPr>
      </w:pPr>
    </w:p>
    <w:p w:rsidR="00C95530" w:rsidP="00C95530" w:rsidRDefault="00E11776" w14:paraId="54130211" w14:textId="4AD820A1">
      <w:r>
        <w:t xml:space="preserve">This information collection reflects an increase in burden, resulting from </w:t>
      </w:r>
      <w:r w:rsidR="00C95530">
        <w:t xml:space="preserve">the </w:t>
      </w:r>
      <w:r>
        <w:t>HM-234</w:t>
      </w:r>
      <w:r w:rsidR="00C95530">
        <w:t xml:space="preserve"> final rule as well as an agency adjustment based on the current number of approved cylinder manufacturers.</w:t>
      </w:r>
    </w:p>
    <w:p w:rsidR="00A939EA" w:rsidP="00A939EA" w:rsidRDefault="00A939EA" w14:paraId="0986E29E" w14:textId="77777777">
      <w:pPr>
        <w:rPr>
          <w:highlight w:val="white"/>
        </w:rPr>
      </w:pPr>
    </w:p>
    <w:tbl>
      <w:tblPr>
        <w:tblW w:w="10695" w:type="dxa"/>
        <w:jc w:val="center"/>
        <w:tblLayout w:type="fixed"/>
        <w:tblLook w:val="04A0" w:firstRow="1" w:lastRow="0" w:firstColumn="1" w:lastColumn="0" w:noHBand="0" w:noVBand="1"/>
      </w:tblPr>
      <w:tblGrid>
        <w:gridCol w:w="1389"/>
        <w:gridCol w:w="1789"/>
        <w:gridCol w:w="1789"/>
        <w:gridCol w:w="1023"/>
        <w:gridCol w:w="1025"/>
        <w:gridCol w:w="1080"/>
        <w:gridCol w:w="1350"/>
        <w:gridCol w:w="1250"/>
      </w:tblGrid>
      <w:tr w:rsidRPr="006649A7" w:rsidR="00DA7E8C" w:rsidTr="00B24367" w14:paraId="3384E6B7" w14:textId="2A1F1B90">
        <w:trPr>
          <w:trHeight w:val="630"/>
          <w:jc w:val="center"/>
        </w:trPr>
        <w:tc>
          <w:tcPr>
            <w:tcW w:w="138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DA7E8C" w:rsidP="00DA7E8C" w:rsidRDefault="00DA7E8C" w14:paraId="16B08D76" w14:textId="77777777">
            <w:pPr>
              <w:jc w:val="center"/>
              <w:rPr>
                <w:bCs/>
                <w:color w:val="000000"/>
                <w:u w:val="single"/>
              </w:rPr>
            </w:pPr>
            <w:r w:rsidRPr="006649A7">
              <w:rPr>
                <w:bCs/>
                <w:color w:val="000000"/>
                <w:u w:val="single"/>
              </w:rPr>
              <w:t xml:space="preserve">Number of </w:t>
            </w:r>
            <w:r>
              <w:rPr>
                <w:bCs/>
                <w:color w:val="000000"/>
                <w:u w:val="single"/>
              </w:rPr>
              <w:t>Cylinder Requalifiers</w:t>
            </w:r>
          </w:p>
        </w:tc>
        <w:tc>
          <w:tcPr>
            <w:tcW w:w="1789"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0E2F94FA" w14:textId="77777777">
            <w:pPr>
              <w:jc w:val="center"/>
              <w:rPr>
                <w:bCs/>
                <w:color w:val="000000"/>
                <w:u w:val="single"/>
              </w:rPr>
            </w:pPr>
            <w:r>
              <w:rPr>
                <w:bCs/>
                <w:color w:val="000000"/>
                <w:u w:val="single"/>
              </w:rPr>
              <w:t>Cylinder Requalifications</w:t>
            </w:r>
            <w:r w:rsidRPr="006649A7">
              <w:rPr>
                <w:bCs/>
                <w:color w:val="000000"/>
                <w:u w:val="single"/>
              </w:rPr>
              <w:t xml:space="preserve"> per Re</w:t>
            </w:r>
            <w:r>
              <w:rPr>
                <w:bCs/>
                <w:color w:val="000000"/>
                <w:u w:val="single"/>
              </w:rPr>
              <w:t>qualifier</w:t>
            </w:r>
          </w:p>
        </w:tc>
        <w:tc>
          <w:tcPr>
            <w:tcW w:w="1789"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5272FBA2" w14:textId="77777777">
            <w:pPr>
              <w:jc w:val="center"/>
              <w:rPr>
                <w:bCs/>
                <w:color w:val="000000"/>
                <w:u w:val="single"/>
              </w:rPr>
            </w:pPr>
            <w:r w:rsidRPr="006649A7">
              <w:rPr>
                <w:bCs/>
                <w:color w:val="000000"/>
                <w:u w:val="single"/>
              </w:rPr>
              <w:t xml:space="preserve">Number of </w:t>
            </w:r>
            <w:r>
              <w:rPr>
                <w:bCs/>
                <w:color w:val="000000"/>
                <w:u w:val="single"/>
              </w:rPr>
              <w:t>Requalifications</w:t>
            </w:r>
          </w:p>
        </w:tc>
        <w:tc>
          <w:tcPr>
            <w:tcW w:w="1023"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202C5443" w14:textId="77777777">
            <w:pPr>
              <w:jc w:val="center"/>
              <w:rPr>
                <w:bCs/>
                <w:color w:val="000000"/>
                <w:u w:val="single"/>
              </w:rPr>
            </w:pPr>
            <w:r w:rsidRPr="006649A7">
              <w:rPr>
                <w:bCs/>
                <w:color w:val="000000"/>
                <w:u w:val="single"/>
              </w:rPr>
              <w:t xml:space="preserve">Seconds per </w:t>
            </w:r>
            <w:r>
              <w:rPr>
                <w:bCs/>
                <w:color w:val="000000"/>
                <w:u w:val="single"/>
              </w:rPr>
              <w:t>Stamp</w:t>
            </w:r>
          </w:p>
        </w:tc>
        <w:tc>
          <w:tcPr>
            <w:tcW w:w="1025"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5FA96315" w14:textId="77777777">
            <w:pPr>
              <w:jc w:val="center"/>
              <w:rPr>
                <w:bCs/>
                <w:color w:val="000000"/>
                <w:u w:val="single"/>
              </w:rPr>
            </w:pPr>
            <w:r w:rsidRPr="006649A7">
              <w:rPr>
                <w:bCs/>
                <w:color w:val="000000"/>
                <w:u w:val="single"/>
              </w:rPr>
              <w:t>Annual Burden Hours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004B072E" w14:textId="7E3AB6C5">
            <w:pPr>
              <w:jc w:val="center"/>
              <w:rPr>
                <w:bCs/>
                <w:color w:val="000000"/>
                <w:u w:val="single"/>
              </w:rPr>
            </w:pPr>
            <w:r>
              <w:rPr>
                <w:bCs/>
                <w:color w:val="000000"/>
                <w:u w:val="single"/>
              </w:rPr>
              <w:t>Salary</w:t>
            </w:r>
            <w:r w:rsidRPr="006649A7">
              <w:rPr>
                <w:bCs/>
                <w:color w:val="000000"/>
                <w:u w:val="single"/>
              </w:rPr>
              <w:t xml:space="preserve"> Cost per Hour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6649A7" w:rsidR="00DA7E8C" w:rsidP="00DA7E8C" w:rsidRDefault="00DA7E8C" w14:paraId="595F2E6D" w14:textId="2D82AA84">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250" w:type="dxa"/>
            <w:tcBorders>
              <w:top w:val="single" w:color="auto" w:sz="4" w:space="0"/>
              <w:left w:val="nil"/>
              <w:bottom w:val="single" w:color="auto" w:sz="4" w:space="0"/>
              <w:right w:val="single" w:color="auto" w:sz="4" w:space="0"/>
            </w:tcBorders>
            <w:vAlign w:val="bottom"/>
          </w:tcPr>
          <w:p w:rsidRPr="006649A7" w:rsidR="00DA7E8C" w:rsidP="00A559DA" w:rsidRDefault="00DA7E8C" w14:paraId="0671228E" w14:textId="7BF80971">
            <w:pPr>
              <w:jc w:val="center"/>
              <w:rPr>
                <w:bCs/>
                <w:color w:val="000000"/>
                <w:u w:val="single"/>
              </w:rPr>
            </w:pPr>
            <w:r w:rsidRPr="006649A7">
              <w:rPr>
                <w:bCs/>
                <w:color w:val="000000"/>
                <w:u w:val="single"/>
              </w:rPr>
              <w:t xml:space="preserve">Annual </w:t>
            </w:r>
            <w:r>
              <w:rPr>
                <w:bCs/>
                <w:color w:val="000000"/>
                <w:u w:val="single"/>
              </w:rPr>
              <w:t>Burden</w:t>
            </w:r>
            <w:r w:rsidRPr="006649A7">
              <w:rPr>
                <w:bCs/>
                <w:color w:val="000000"/>
                <w:u w:val="single"/>
              </w:rPr>
              <w:t xml:space="preserve"> Costs</w:t>
            </w:r>
          </w:p>
        </w:tc>
      </w:tr>
      <w:tr w:rsidRPr="006649A7" w:rsidR="00DA7E8C" w:rsidTr="00B24367" w14:paraId="2258ED8E" w14:textId="167BAD62">
        <w:trPr>
          <w:trHeight w:val="77"/>
          <w:jc w:val="center"/>
        </w:trPr>
        <w:tc>
          <w:tcPr>
            <w:tcW w:w="1389" w:type="dxa"/>
            <w:tcBorders>
              <w:top w:val="nil"/>
              <w:left w:val="single" w:color="auto" w:sz="4" w:space="0"/>
              <w:bottom w:val="single" w:color="auto" w:sz="4" w:space="0"/>
              <w:right w:val="single" w:color="auto" w:sz="4" w:space="0"/>
            </w:tcBorders>
            <w:shd w:val="clear" w:color="auto" w:fill="auto"/>
            <w:vAlign w:val="bottom"/>
            <w:hideMark/>
          </w:tcPr>
          <w:p w:rsidRPr="00566B34" w:rsidR="00DA7E8C" w:rsidP="00DA7E8C" w:rsidRDefault="00C95530" w14:paraId="0C93B78D" w14:textId="0A71CA4A">
            <w:pPr>
              <w:jc w:val="right"/>
              <w:rPr>
                <w:color w:val="000000"/>
              </w:rPr>
            </w:pPr>
            <w:r>
              <w:rPr>
                <w:color w:val="000000"/>
              </w:rPr>
              <w:t>15</w:t>
            </w:r>
            <w:r w:rsidR="00DA7E8C">
              <w:rPr>
                <w:color w:val="000000"/>
              </w:rPr>
              <w:t>,</w:t>
            </w:r>
            <w:r w:rsidRPr="00566B34" w:rsidR="00DA7E8C">
              <w:rPr>
                <w:color w:val="000000"/>
              </w:rPr>
              <w:t>000</w:t>
            </w:r>
          </w:p>
        </w:tc>
        <w:tc>
          <w:tcPr>
            <w:tcW w:w="1789" w:type="dxa"/>
            <w:tcBorders>
              <w:top w:val="nil"/>
              <w:left w:val="nil"/>
              <w:bottom w:val="single" w:color="auto" w:sz="4" w:space="0"/>
              <w:right w:val="single" w:color="auto" w:sz="4" w:space="0"/>
            </w:tcBorders>
            <w:shd w:val="clear" w:color="auto" w:fill="auto"/>
            <w:vAlign w:val="bottom"/>
            <w:hideMark/>
          </w:tcPr>
          <w:p w:rsidRPr="00E01E1A" w:rsidR="00DA7E8C" w:rsidP="00DA7E8C" w:rsidRDefault="00DA7E8C" w14:paraId="19F55120" w14:textId="77777777">
            <w:pPr>
              <w:jc w:val="right"/>
              <w:rPr>
                <w:color w:val="000000"/>
              </w:rPr>
            </w:pPr>
            <w:r w:rsidRPr="00E01E1A">
              <w:rPr>
                <w:color w:val="000000"/>
              </w:rPr>
              <w:t>970</w:t>
            </w:r>
          </w:p>
        </w:tc>
        <w:tc>
          <w:tcPr>
            <w:tcW w:w="1789" w:type="dxa"/>
            <w:tcBorders>
              <w:top w:val="nil"/>
              <w:left w:val="nil"/>
              <w:bottom w:val="single" w:color="auto" w:sz="4" w:space="0"/>
              <w:right w:val="single" w:color="auto" w:sz="4" w:space="0"/>
            </w:tcBorders>
            <w:shd w:val="clear" w:color="auto" w:fill="auto"/>
            <w:vAlign w:val="bottom"/>
            <w:hideMark/>
          </w:tcPr>
          <w:p w:rsidRPr="00566B34" w:rsidR="00DA7E8C" w:rsidP="00DA7E8C" w:rsidRDefault="00C95530" w14:paraId="7335F53D" w14:textId="04DB1063">
            <w:pPr>
              <w:jc w:val="right"/>
              <w:rPr>
                <w:color w:val="000000"/>
              </w:rPr>
            </w:pPr>
            <w:r>
              <w:rPr>
                <w:color w:val="000000"/>
              </w:rPr>
              <w:t>14,55</w:t>
            </w:r>
            <w:r w:rsidRPr="00566B34" w:rsidR="00DA7E8C">
              <w:rPr>
                <w:color w:val="000000"/>
              </w:rPr>
              <w:t>0</w:t>
            </w:r>
            <w:r w:rsidR="00DA7E8C">
              <w:rPr>
                <w:color w:val="000000"/>
              </w:rPr>
              <w:t>,</w:t>
            </w:r>
            <w:r w:rsidRPr="00566B34" w:rsidR="00DA7E8C">
              <w:rPr>
                <w:color w:val="000000"/>
              </w:rPr>
              <w:t>000</w:t>
            </w:r>
          </w:p>
        </w:tc>
        <w:tc>
          <w:tcPr>
            <w:tcW w:w="1023" w:type="dxa"/>
            <w:tcBorders>
              <w:top w:val="nil"/>
              <w:left w:val="nil"/>
              <w:bottom w:val="single" w:color="auto" w:sz="4" w:space="0"/>
              <w:right w:val="single" w:color="auto" w:sz="4" w:space="0"/>
            </w:tcBorders>
            <w:shd w:val="clear" w:color="auto" w:fill="auto"/>
            <w:vAlign w:val="bottom"/>
            <w:hideMark/>
          </w:tcPr>
          <w:p w:rsidRPr="00E01E1A" w:rsidR="00DA7E8C" w:rsidP="00DA7E8C" w:rsidRDefault="00DA7E8C" w14:paraId="780E2356" w14:textId="3D9A1EB2">
            <w:pPr>
              <w:jc w:val="right"/>
              <w:rPr>
                <w:color w:val="000000"/>
              </w:rPr>
            </w:pPr>
            <w:r w:rsidRPr="00E01E1A">
              <w:rPr>
                <w:color w:val="000000"/>
              </w:rPr>
              <w:t>4</w:t>
            </w:r>
            <w:r>
              <w:rPr>
                <w:color w:val="000000"/>
              </w:rPr>
              <w:t>6</w:t>
            </w:r>
          </w:p>
        </w:tc>
        <w:tc>
          <w:tcPr>
            <w:tcW w:w="1025" w:type="dxa"/>
            <w:tcBorders>
              <w:top w:val="nil"/>
              <w:left w:val="nil"/>
              <w:bottom w:val="single" w:color="auto" w:sz="4" w:space="0"/>
              <w:right w:val="single" w:color="auto" w:sz="4" w:space="0"/>
            </w:tcBorders>
            <w:shd w:val="clear" w:color="auto" w:fill="auto"/>
            <w:vAlign w:val="bottom"/>
            <w:hideMark/>
          </w:tcPr>
          <w:p w:rsidRPr="00566B34" w:rsidR="00DA7E8C" w:rsidP="00DA7E8C" w:rsidRDefault="00C95530" w14:paraId="516E95F3" w14:textId="3E7BBEA5">
            <w:pPr>
              <w:jc w:val="right"/>
              <w:rPr>
                <w:color w:val="000000"/>
              </w:rPr>
            </w:pPr>
            <w:r>
              <w:rPr>
                <w:color w:val="000000"/>
              </w:rPr>
              <w:t>185,917</w:t>
            </w:r>
          </w:p>
        </w:tc>
        <w:tc>
          <w:tcPr>
            <w:tcW w:w="1080" w:type="dxa"/>
            <w:tcBorders>
              <w:top w:val="nil"/>
              <w:left w:val="nil"/>
              <w:bottom w:val="single" w:color="auto" w:sz="4" w:space="0"/>
              <w:right w:val="single" w:color="auto" w:sz="4" w:space="0"/>
            </w:tcBorders>
            <w:shd w:val="clear" w:color="auto" w:fill="auto"/>
            <w:vAlign w:val="bottom"/>
            <w:hideMark/>
          </w:tcPr>
          <w:p w:rsidRPr="00E01E1A" w:rsidR="00DA7E8C" w:rsidP="00DA7E8C" w:rsidRDefault="00DA7E8C" w14:paraId="1A7B60EC" w14:textId="01FC3706">
            <w:pPr>
              <w:jc w:val="right"/>
              <w:rPr>
                <w:color w:val="000000"/>
              </w:rPr>
            </w:pPr>
            <w:r w:rsidRPr="00E01E1A">
              <w:rPr>
                <w:color w:val="000000"/>
              </w:rPr>
              <w:t>$</w:t>
            </w:r>
            <w:r>
              <w:rPr>
                <w:color w:val="000000"/>
              </w:rPr>
              <w:t>31.00</w:t>
            </w:r>
          </w:p>
        </w:tc>
        <w:tc>
          <w:tcPr>
            <w:tcW w:w="1350" w:type="dxa"/>
            <w:tcBorders>
              <w:top w:val="nil"/>
              <w:left w:val="nil"/>
              <w:bottom w:val="single" w:color="auto" w:sz="4" w:space="0"/>
              <w:right w:val="single" w:color="auto" w:sz="4" w:space="0"/>
            </w:tcBorders>
            <w:shd w:val="clear" w:color="auto" w:fill="auto"/>
            <w:vAlign w:val="bottom"/>
            <w:hideMark/>
          </w:tcPr>
          <w:p w:rsidRPr="00CB6E8B" w:rsidR="00DA7E8C" w:rsidP="00DA7E8C" w:rsidRDefault="00DA7E8C" w14:paraId="0A4208D1" w14:textId="2DE9DFB1">
            <w:pPr>
              <w:jc w:val="right"/>
              <w:rPr>
                <w:color w:val="000000"/>
              </w:rPr>
            </w:pPr>
            <w:r w:rsidRPr="00CB6E8B">
              <w:rPr>
                <w:color w:val="000000"/>
              </w:rPr>
              <w:t>$</w:t>
            </w:r>
            <w:r w:rsidR="00C95530">
              <w:rPr>
                <w:color w:val="000000"/>
              </w:rPr>
              <w:t>5,762,600</w:t>
            </w:r>
          </w:p>
        </w:tc>
        <w:tc>
          <w:tcPr>
            <w:tcW w:w="1250" w:type="dxa"/>
            <w:tcBorders>
              <w:top w:val="nil"/>
              <w:left w:val="nil"/>
              <w:bottom w:val="single" w:color="auto" w:sz="4" w:space="0"/>
              <w:right w:val="single" w:color="auto" w:sz="4" w:space="0"/>
            </w:tcBorders>
            <w:vAlign w:val="bottom"/>
          </w:tcPr>
          <w:p w:rsidR="00DA7E8C" w:rsidP="00A559DA" w:rsidRDefault="00DA7E8C" w14:paraId="21B7449F" w14:textId="4894F8AE">
            <w:pPr>
              <w:jc w:val="right"/>
              <w:rPr>
                <w:color w:val="000000"/>
              </w:rPr>
            </w:pPr>
            <w:r>
              <w:rPr>
                <w:color w:val="000000"/>
              </w:rPr>
              <w:t>$0</w:t>
            </w:r>
          </w:p>
        </w:tc>
      </w:tr>
    </w:tbl>
    <w:p w:rsidRPr="00B65140" w:rsidR="00A939EA" w:rsidP="00A939EA" w:rsidRDefault="00A939EA" w14:paraId="489E19D5" w14:textId="77777777">
      <w:pPr>
        <w:rPr>
          <w:highlight w:val="white"/>
        </w:rPr>
      </w:pPr>
    </w:p>
    <w:p w:rsidR="00D8414D" w:rsidP="00E81AE8" w:rsidRDefault="00D8414D" w14:paraId="7451D186" w14:textId="77777777">
      <w:pPr>
        <w:rPr>
          <w:highlight w:val="white"/>
        </w:rPr>
      </w:pPr>
    </w:p>
    <w:p w:rsidR="004E2BF7" w:rsidP="00483D25" w:rsidRDefault="00D8414D" w14:paraId="01DFF706" w14:textId="4E7C77FA">
      <w:pPr>
        <w:rPr>
          <w:highlight w:val="white"/>
        </w:rPr>
      </w:pPr>
      <w:r>
        <w:rPr>
          <w:highlight w:val="white"/>
        </w:rPr>
        <w:t>Each requalification facility must keep a record of each cylinder that i</w:t>
      </w:r>
      <w:r w:rsidR="008C3036">
        <w:rPr>
          <w:highlight w:val="white"/>
        </w:rPr>
        <w:t>t</w:t>
      </w:r>
      <w:r w:rsidR="009D6178">
        <w:rPr>
          <w:highlight w:val="white"/>
        </w:rPr>
        <w:t xml:space="preserve"> has</w:t>
      </w:r>
      <w:r>
        <w:rPr>
          <w:highlight w:val="white"/>
        </w:rPr>
        <w:t xml:space="preserve"> requalif</w:t>
      </w:r>
      <w:r w:rsidR="008C3036">
        <w:rPr>
          <w:highlight w:val="white"/>
        </w:rPr>
        <w:t>i</w:t>
      </w:r>
      <w:r>
        <w:rPr>
          <w:highlight w:val="white"/>
        </w:rPr>
        <w:t xml:space="preserve">ed. </w:t>
      </w:r>
      <w:r w:rsidRPr="00F811E5" w:rsidR="0053553E">
        <w:rPr>
          <w:highlight w:val="white"/>
        </w:rPr>
        <w:t xml:space="preserve">Approximately </w:t>
      </w:r>
      <w:r w:rsidR="00C95530">
        <w:rPr>
          <w:highlight w:val="white"/>
        </w:rPr>
        <w:t>15</w:t>
      </w:r>
      <w:r>
        <w:rPr>
          <w:highlight w:val="white"/>
        </w:rPr>
        <w:t>,000 r</w:t>
      </w:r>
      <w:r w:rsidR="00627AF7">
        <w:rPr>
          <w:highlight w:val="white"/>
        </w:rPr>
        <w:t xml:space="preserve">equalification facilities requalify </w:t>
      </w:r>
      <w:r>
        <w:rPr>
          <w:highlight w:val="white"/>
        </w:rPr>
        <w:t>970</w:t>
      </w:r>
      <w:r w:rsidRPr="00F811E5" w:rsidR="0053553E">
        <w:rPr>
          <w:highlight w:val="white"/>
        </w:rPr>
        <w:t xml:space="preserve"> cylinders</w:t>
      </w:r>
      <w:r>
        <w:rPr>
          <w:highlight w:val="white"/>
        </w:rPr>
        <w:t xml:space="preserve"> for a total of </w:t>
      </w:r>
      <w:r w:rsidR="00C95530">
        <w:rPr>
          <w:highlight w:val="white"/>
        </w:rPr>
        <w:t>14,550</w:t>
      </w:r>
      <w:r>
        <w:rPr>
          <w:highlight w:val="white"/>
        </w:rPr>
        <w:t>,</w:t>
      </w:r>
      <w:r w:rsidR="00B24367">
        <w:rPr>
          <w:highlight w:val="white"/>
        </w:rPr>
        <w:t>000</w:t>
      </w:r>
      <w:r w:rsidR="00B24367">
        <w:rPr>
          <w:highlight w:val="white"/>
        </w:rPr>
        <w:t> </w:t>
      </w:r>
      <w:r>
        <w:rPr>
          <w:highlight w:val="white"/>
        </w:rPr>
        <w:t>cylinder records</w:t>
      </w:r>
      <w:r w:rsidR="004E2BF7">
        <w:rPr>
          <w:highlight w:val="white"/>
        </w:rPr>
        <w:t xml:space="preserve"> (</w:t>
      </w:r>
      <w:r w:rsidR="00C95530">
        <w:rPr>
          <w:highlight w:val="white"/>
        </w:rPr>
        <w:t>15</w:t>
      </w:r>
      <w:r>
        <w:rPr>
          <w:highlight w:val="white"/>
        </w:rPr>
        <w:t>,000</w:t>
      </w:r>
      <w:r w:rsidR="004E2BF7">
        <w:rPr>
          <w:highlight w:val="white"/>
        </w:rPr>
        <w:t xml:space="preserve"> respondents x </w:t>
      </w:r>
      <w:r>
        <w:rPr>
          <w:highlight w:val="white"/>
        </w:rPr>
        <w:t>970</w:t>
      </w:r>
      <w:r w:rsidR="004E2BF7">
        <w:rPr>
          <w:highlight w:val="white"/>
        </w:rPr>
        <w:t xml:space="preserve"> </w:t>
      </w:r>
      <w:r>
        <w:rPr>
          <w:highlight w:val="white"/>
        </w:rPr>
        <w:t xml:space="preserve">records). </w:t>
      </w:r>
      <w:r w:rsidR="004E2BF7">
        <w:rPr>
          <w:highlight w:val="white"/>
        </w:rPr>
        <w:t xml:space="preserve">To create a record, it is estimated to take </w:t>
      </w:r>
      <w:r>
        <w:rPr>
          <w:highlight w:val="white"/>
        </w:rPr>
        <w:t>45 seconds</w:t>
      </w:r>
      <w:r w:rsidR="004E2BF7">
        <w:rPr>
          <w:highlight w:val="white"/>
        </w:rPr>
        <w:t xml:space="preserve">, for a total of </w:t>
      </w:r>
      <w:r w:rsidR="00E619E0">
        <w:rPr>
          <w:highlight w:val="white"/>
        </w:rPr>
        <w:t>181,875</w:t>
      </w:r>
      <w:r w:rsidR="003A2D73">
        <w:rPr>
          <w:highlight w:val="white"/>
        </w:rPr>
        <w:t xml:space="preserve"> annual burden hours</w:t>
      </w:r>
      <w:r w:rsidR="008C3036">
        <w:rPr>
          <w:highlight w:val="white"/>
        </w:rPr>
        <w:t xml:space="preserve"> (</w:t>
      </w:r>
      <w:r w:rsidR="00E619E0">
        <w:rPr>
          <w:highlight w:val="white"/>
        </w:rPr>
        <w:t>14,550</w:t>
      </w:r>
      <w:r w:rsidR="008C3036">
        <w:rPr>
          <w:highlight w:val="white"/>
        </w:rPr>
        <w:t>,</w:t>
      </w:r>
      <w:r w:rsidR="00B24367">
        <w:rPr>
          <w:highlight w:val="white"/>
        </w:rPr>
        <w:t>000</w:t>
      </w:r>
      <w:r w:rsidR="00B24367">
        <w:rPr>
          <w:highlight w:val="white"/>
        </w:rPr>
        <w:t> </w:t>
      </w:r>
      <w:r w:rsidR="008C3036">
        <w:rPr>
          <w:highlight w:val="white"/>
        </w:rPr>
        <w:t xml:space="preserve">requalifications x </w:t>
      </w:r>
      <w:r w:rsidR="00E619E0">
        <w:rPr>
          <w:highlight w:val="white"/>
        </w:rPr>
        <w:t>45 </w:t>
      </w:r>
      <w:r w:rsidR="008C3036">
        <w:rPr>
          <w:highlight w:val="white"/>
        </w:rPr>
        <w:t>seconds)</w:t>
      </w:r>
      <w:r w:rsidR="003A2D73">
        <w:rPr>
          <w:highlight w:val="white"/>
        </w:rPr>
        <w:t>.</w:t>
      </w:r>
      <w:r w:rsidR="00CC2AB1">
        <w:rPr>
          <w:highlight w:val="white"/>
        </w:rPr>
        <w:t xml:space="preserve"> At a salary of $31.00 per hour,</w:t>
      </w:r>
      <w:r w:rsidR="00CC2AB1">
        <w:rPr>
          <w:rStyle w:val="FootnoteReference"/>
          <w:highlight w:val="white"/>
        </w:rPr>
        <w:footnoteReference w:id="6"/>
      </w:r>
      <w:r w:rsidR="00CC2AB1">
        <w:rPr>
          <w:highlight w:val="white"/>
        </w:rPr>
        <w:t xml:space="preserve"> this information is estimated to cost $</w:t>
      </w:r>
      <w:r w:rsidR="00E619E0">
        <w:rPr>
          <w:highlight w:val="white"/>
        </w:rPr>
        <w:t>5,637,326</w:t>
      </w:r>
      <w:r w:rsidR="00CC2AB1">
        <w:rPr>
          <w:highlight w:val="white"/>
        </w:rPr>
        <w:t>. PHMSA does not estimate any out-of-pocket expenses.</w:t>
      </w:r>
    </w:p>
    <w:p w:rsidR="00E619E0" w:rsidP="00483D25" w:rsidRDefault="00E619E0" w14:paraId="5F0CA6AD" w14:textId="373923DA">
      <w:pPr>
        <w:rPr>
          <w:highlight w:val="white"/>
        </w:rPr>
      </w:pPr>
    </w:p>
    <w:p w:rsidRPr="00B24367" w:rsidR="00E619E0" w:rsidP="00483D25" w:rsidRDefault="00E619E0" w14:paraId="26213418" w14:textId="4470AC1E">
      <w:r>
        <w:t>This information collection reflects an increase in burden, resulting from an agency adjustment based on the current number of approved cylinder manufacturers.</w:t>
      </w:r>
    </w:p>
    <w:p w:rsidR="004E2BF7" w:rsidP="00B65140" w:rsidRDefault="004E2BF7" w14:paraId="08143FAE" w14:textId="77777777">
      <w:pPr>
        <w:rPr>
          <w:highlight w:val="white"/>
        </w:rPr>
      </w:pPr>
    </w:p>
    <w:tbl>
      <w:tblPr>
        <w:tblW w:w="10435" w:type="dxa"/>
        <w:jc w:val="center"/>
        <w:tblLayout w:type="fixed"/>
        <w:tblLook w:val="04A0" w:firstRow="1" w:lastRow="0" w:firstColumn="1" w:lastColumn="0" w:noHBand="0" w:noVBand="1"/>
      </w:tblPr>
      <w:tblGrid>
        <w:gridCol w:w="1389"/>
        <w:gridCol w:w="1789"/>
        <w:gridCol w:w="1789"/>
        <w:gridCol w:w="1029"/>
        <w:gridCol w:w="1019"/>
        <w:gridCol w:w="1080"/>
        <w:gridCol w:w="1350"/>
        <w:gridCol w:w="990"/>
      </w:tblGrid>
      <w:tr w:rsidRPr="006649A7" w:rsidR="00CC2AB1" w:rsidTr="00B24367" w14:paraId="2958A04D" w14:textId="71DDBEA3">
        <w:trPr>
          <w:trHeight w:val="630"/>
          <w:jc w:val="center"/>
        </w:trPr>
        <w:tc>
          <w:tcPr>
            <w:tcW w:w="138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CC2AB1" w:rsidP="006649A7" w:rsidRDefault="00CC2AB1" w14:paraId="0BDBA6EC" w14:textId="77777777">
            <w:pPr>
              <w:keepNext/>
              <w:keepLines/>
              <w:jc w:val="center"/>
              <w:rPr>
                <w:bCs/>
                <w:color w:val="000000"/>
                <w:u w:val="single"/>
              </w:rPr>
            </w:pPr>
            <w:r w:rsidRPr="007430B3">
              <w:rPr>
                <w:bCs/>
                <w:color w:val="000000"/>
                <w:u w:val="single"/>
              </w:rPr>
              <w:lastRenderedPageBreak/>
              <w:t xml:space="preserve">Number of </w:t>
            </w:r>
            <w:r>
              <w:rPr>
                <w:bCs/>
                <w:color w:val="000000"/>
                <w:u w:val="single"/>
              </w:rPr>
              <w:t>Cylinder Requalifiers</w:t>
            </w:r>
          </w:p>
        </w:tc>
        <w:tc>
          <w:tcPr>
            <w:tcW w:w="1789"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6649A7" w:rsidRDefault="00CC2AB1" w14:paraId="049F5264" w14:textId="77777777">
            <w:pPr>
              <w:keepNext/>
              <w:keepLines/>
              <w:jc w:val="center"/>
              <w:rPr>
                <w:bCs/>
                <w:color w:val="000000"/>
                <w:u w:val="single"/>
              </w:rPr>
            </w:pPr>
            <w:r>
              <w:rPr>
                <w:bCs/>
                <w:color w:val="000000"/>
                <w:u w:val="single"/>
              </w:rPr>
              <w:t>Cylinder Requalifications</w:t>
            </w:r>
            <w:r w:rsidRPr="007430B3">
              <w:rPr>
                <w:bCs/>
                <w:color w:val="000000"/>
                <w:u w:val="single"/>
              </w:rPr>
              <w:t xml:space="preserve"> per Re</w:t>
            </w:r>
            <w:r>
              <w:rPr>
                <w:bCs/>
                <w:color w:val="000000"/>
                <w:u w:val="single"/>
              </w:rPr>
              <w:t>qualifier</w:t>
            </w:r>
          </w:p>
        </w:tc>
        <w:tc>
          <w:tcPr>
            <w:tcW w:w="1789"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6649A7" w:rsidRDefault="00CC2AB1" w14:paraId="6F28866B" w14:textId="77777777">
            <w:pPr>
              <w:keepNext/>
              <w:keepLines/>
              <w:jc w:val="center"/>
              <w:rPr>
                <w:bCs/>
                <w:color w:val="000000"/>
                <w:u w:val="single"/>
              </w:rPr>
            </w:pPr>
            <w:r w:rsidRPr="007430B3">
              <w:rPr>
                <w:bCs/>
                <w:color w:val="000000"/>
                <w:u w:val="single"/>
              </w:rPr>
              <w:t xml:space="preserve">Number of </w:t>
            </w:r>
            <w:r>
              <w:rPr>
                <w:bCs/>
                <w:color w:val="000000"/>
                <w:u w:val="single"/>
              </w:rPr>
              <w:t>Requalifications</w:t>
            </w:r>
          </w:p>
        </w:tc>
        <w:tc>
          <w:tcPr>
            <w:tcW w:w="1029"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6649A7" w:rsidRDefault="00CC2AB1" w14:paraId="00B9A3BD" w14:textId="77777777">
            <w:pPr>
              <w:keepNext/>
              <w:keepLines/>
              <w:jc w:val="center"/>
              <w:rPr>
                <w:bCs/>
                <w:color w:val="000000"/>
                <w:u w:val="single"/>
              </w:rPr>
            </w:pPr>
            <w:r w:rsidRPr="006649A7">
              <w:rPr>
                <w:bCs/>
                <w:color w:val="000000"/>
                <w:u w:val="single"/>
              </w:rPr>
              <w:t>Second</w:t>
            </w:r>
            <w:r>
              <w:rPr>
                <w:bCs/>
                <w:color w:val="000000"/>
                <w:u w:val="single"/>
              </w:rPr>
              <w:t>s</w:t>
            </w:r>
            <w:r w:rsidRPr="006649A7">
              <w:rPr>
                <w:bCs/>
                <w:color w:val="000000"/>
                <w:u w:val="single"/>
              </w:rPr>
              <w:t xml:space="preserve"> per </w:t>
            </w:r>
            <w:r>
              <w:rPr>
                <w:bCs/>
                <w:color w:val="000000"/>
                <w:u w:val="single"/>
              </w:rPr>
              <w:t>Record</w:t>
            </w:r>
          </w:p>
        </w:tc>
        <w:tc>
          <w:tcPr>
            <w:tcW w:w="1019"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6649A7" w:rsidRDefault="00CC2AB1" w14:paraId="6CCB2B00" w14:textId="77777777">
            <w:pPr>
              <w:keepNext/>
              <w:keepLines/>
              <w:jc w:val="center"/>
              <w:rPr>
                <w:bCs/>
                <w:color w:val="000000"/>
                <w:u w:val="single"/>
              </w:rPr>
            </w:pPr>
            <w:r w:rsidRPr="006649A7">
              <w:rPr>
                <w:bCs/>
                <w:color w:val="000000"/>
                <w:u w:val="single"/>
              </w:rPr>
              <w:t>Annual Burden Hours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6649A7" w:rsidRDefault="00CC2AB1" w14:paraId="493D98AF" w14:textId="531981EF">
            <w:pPr>
              <w:keepNext/>
              <w:keepLines/>
              <w:jc w:val="center"/>
              <w:rPr>
                <w:bCs/>
                <w:color w:val="000000"/>
                <w:u w:val="single"/>
              </w:rPr>
            </w:pPr>
            <w:r>
              <w:rPr>
                <w:bCs/>
                <w:color w:val="000000"/>
                <w:u w:val="single"/>
              </w:rPr>
              <w:t>Salary</w:t>
            </w:r>
            <w:r w:rsidRPr="006649A7">
              <w:rPr>
                <w:bCs/>
                <w:color w:val="000000"/>
                <w:u w:val="single"/>
              </w:rPr>
              <w:t xml:space="preserve"> Cost per Hour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973122" w:rsidRDefault="00CC2AB1" w14:paraId="5B17565A" w14:textId="149A8E8F">
            <w:pPr>
              <w:keepNext/>
              <w:keepLines/>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990" w:type="dxa"/>
            <w:tcBorders>
              <w:top w:val="single" w:color="auto" w:sz="4" w:space="0"/>
              <w:left w:val="nil"/>
              <w:bottom w:val="single" w:color="auto" w:sz="4" w:space="0"/>
              <w:right w:val="single" w:color="auto" w:sz="4" w:space="0"/>
            </w:tcBorders>
            <w:vAlign w:val="bottom"/>
          </w:tcPr>
          <w:p w:rsidRPr="006649A7" w:rsidR="00CC2AB1" w:rsidP="00A559DA" w:rsidRDefault="00CC2AB1" w14:paraId="62E76182" w14:textId="6990FFE1">
            <w:pPr>
              <w:keepNext/>
              <w:keepLines/>
              <w:jc w:val="center"/>
              <w:rPr>
                <w:bCs/>
                <w:color w:val="000000"/>
                <w:u w:val="single"/>
              </w:rPr>
            </w:pPr>
            <w:r w:rsidRPr="006649A7">
              <w:rPr>
                <w:bCs/>
                <w:color w:val="000000"/>
                <w:u w:val="single"/>
              </w:rPr>
              <w:t xml:space="preserve">Annual </w:t>
            </w:r>
            <w:r>
              <w:rPr>
                <w:bCs/>
                <w:color w:val="000000"/>
                <w:u w:val="single"/>
              </w:rPr>
              <w:t>Burden</w:t>
            </w:r>
            <w:r w:rsidRPr="006649A7">
              <w:rPr>
                <w:bCs/>
                <w:color w:val="000000"/>
                <w:u w:val="single"/>
              </w:rPr>
              <w:t xml:space="preserve"> Costs</w:t>
            </w:r>
          </w:p>
        </w:tc>
      </w:tr>
      <w:tr w:rsidRPr="006649A7" w:rsidR="00CC2AB1" w:rsidTr="00B24367" w14:paraId="57ADB4D8" w14:textId="27D0343B">
        <w:trPr>
          <w:trHeight w:val="350"/>
          <w:jc w:val="center"/>
        </w:trPr>
        <w:tc>
          <w:tcPr>
            <w:tcW w:w="1389" w:type="dxa"/>
            <w:tcBorders>
              <w:top w:val="nil"/>
              <w:left w:val="single" w:color="auto" w:sz="4" w:space="0"/>
              <w:bottom w:val="single" w:color="auto" w:sz="4" w:space="0"/>
              <w:right w:val="single" w:color="auto" w:sz="4" w:space="0"/>
            </w:tcBorders>
            <w:shd w:val="clear" w:color="auto" w:fill="auto"/>
            <w:vAlign w:val="bottom"/>
            <w:hideMark/>
          </w:tcPr>
          <w:p w:rsidRPr="00566B34" w:rsidR="00CC2AB1" w:rsidP="006649A7" w:rsidRDefault="00E619E0" w14:paraId="480A6923" w14:textId="4883A268">
            <w:pPr>
              <w:keepNext/>
              <w:keepLines/>
              <w:jc w:val="right"/>
              <w:rPr>
                <w:color w:val="000000"/>
              </w:rPr>
            </w:pPr>
            <w:r>
              <w:rPr>
                <w:color w:val="000000"/>
              </w:rPr>
              <w:t>15</w:t>
            </w:r>
            <w:r w:rsidR="00CC2AB1">
              <w:rPr>
                <w:color w:val="000000"/>
              </w:rPr>
              <w:t>,</w:t>
            </w:r>
            <w:r w:rsidRPr="00566B34" w:rsidR="00CC2AB1">
              <w:rPr>
                <w:color w:val="000000"/>
              </w:rPr>
              <w:t>000</w:t>
            </w:r>
          </w:p>
        </w:tc>
        <w:tc>
          <w:tcPr>
            <w:tcW w:w="1789" w:type="dxa"/>
            <w:tcBorders>
              <w:top w:val="nil"/>
              <w:left w:val="nil"/>
              <w:bottom w:val="single" w:color="auto" w:sz="4" w:space="0"/>
              <w:right w:val="single" w:color="auto" w:sz="4" w:space="0"/>
            </w:tcBorders>
            <w:shd w:val="clear" w:color="auto" w:fill="auto"/>
            <w:vAlign w:val="bottom"/>
            <w:hideMark/>
          </w:tcPr>
          <w:p w:rsidRPr="00E01E1A" w:rsidR="00CC2AB1" w:rsidP="006649A7" w:rsidRDefault="00CC2AB1" w14:paraId="52704246" w14:textId="77777777">
            <w:pPr>
              <w:keepNext/>
              <w:keepLines/>
              <w:jc w:val="right"/>
              <w:rPr>
                <w:color w:val="000000"/>
              </w:rPr>
            </w:pPr>
            <w:r w:rsidRPr="00E01E1A">
              <w:rPr>
                <w:color w:val="000000"/>
              </w:rPr>
              <w:t>970</w:t>
            </w:r>
          </w:p>
        </w:tc>
        <w:tc>
          <w:tcPr>
            <w:tcW w:w="1789" w:type="dxa"/>
            <w:tcBorders>
              <w:top w:val="nil"/>
              <w:left w:val="nil"/>
              <w:bottom w:val="single" w:color="auto" w:sz="4" w:space="0"/>
              <w:right w:val="single" w:color="auto" w:sz="4" w:space="0"/>
            </w:tcBorders>
            <w:shd w:val="clear" w:color="auto" w:fill="auto"/>
            <w:vAlign w:val="bottom"/>
            <w:hideMark/>
          </w:tcPr>
          <w:p w:rsidRPr="00566B34" w:rsidR="00CC2AB1" w:rsidP="006649A7" w:rsidRDefault="00E619E0" w14:paraId="37AB5A1C" w14:textId="2082542D">
            <w:pPr>
              <w:keepNext/>
              <w:keepLines/>
              <w:jc w:val="right"/>
              <w:rPr>
                <w:color w:val="000000"/>
              </w:rPr>
            </w:pPr>
            <w:r>
              <w:rPr>
                <w:color w:val="000000"/>
              </w:rPr>
              <w:t>14,55</w:t>
            </w:r>
            <w:r w:rsidRPr="00566B34" w:rsidR="00CC2AB1">
              <w:rPr>
                <w:color w:val="000000"/>
              </w:rPr>
              <w:t>0</w:t>
            </w:r>
            <w:r w:rsidR="00CC2AB1">
              <w:rPr>
                <w:color w:val="000000"/>
              </w:rPr>
              <w:t>,</w:t>
            </w:r>
            <w:r w:rsidRPr="00566B34" w:rsidR="00CC2AB1">
              <w:rPr>
                <w:color w:val="000000"/>
              </w:rPr>
              <w:t>000</w:t>
            </w:r>
          </w:p>
        </w:tc>
        <w:tc>
          <w:tcPr>
            <w:tcW w:w="1029" w:type="dxa"/>
            <w:tcBorders>
              <w:top w:val="nil"/>
              <w:left w:val="nil"/>
              <w:bottom w:val="single" w:color="auto" w:sz="4" w:space="0"/>
              <w:right w:val="single" w:color="auto" w:sz="4" w:space="0"/>
            </w:tcBorders>
            <w:shd w:val="clear" w:color="auto" w:fill="auto"/>
            <w:vAlign w:val="bottom"/>
            <w:hideMark/>
          </w:tcPr>
          <w:p w:rsidRPr="00E01E1A" w:rsidR="00CC2AB1" w:rsidP="006649A7" w:rsidRDefault="00CC2AB1" w14:paraId="43ACC67A" w14:textId="77777777">
            <w:pPr>
              <w:keepNext/>
              <w:keepLines/>
              <w:jc w:val="right"/>
              <w:rPr>
                <w:color w:val="000000"/>
              </w:rPr>
            </w:pPr>
            <w:r w:rsidRPr="00E01E1A">
              <w:rPr>
                <w:color w:val="000000"/>
              </w:rPr>
              <w:t>45</w:t>
            </w:r>
          </w:p>
        </w:tc>
        <w:tc>
          <w:tcPr>
            <w:tcW w:w="1019" w:type="dxa"/>
            <w:tcBorders>
              <w:top w:val="nil"/>
              <w:left w:val="nil"/>
              <w:bottom w:val="single" w:color="auto" w:sz="4" w:space="0"/>
              <w:right w:val="single" w:color="auto" w:sz="4" w:space="0"/>
            </w:tcBorders>
            <w:shd w:val="clear" w:color="auto" w:fill="auto"/>
            <w:vAlign w:val="bottom"/>
            <w:hideMark/>
          </w:tcPr>
          <w:p w:rsidRPr="00566B34" w:rsidR="00CC2AB1" w:rsidP="006649A7" w:rsidRDefault="00E619E0" w14:paraId="56471C26" w14:textId="58DBCF10">
            <w:pPr>
              <w:keepNext/>
              <w:keepLines/>
              <w:jc w:val="right"/>
              <w:rPr>
                <w:color w:val="000000"/>
              </w:rPr>
            </w:pPr>
            <w:r>
              <w:rPr>
                <w:color w:val="000000"/>
              </w:rPr>
              <w:t>181,875</w:t>
            </w:r>
          </w:p>
        </w:tc>
        <w:tc>
          <w:tcPr>
            <w:tcW w:w="1080" w:type="dxa"/>
            <w:tcBorders>
              <w:top w:val="nil"/>
              <w:left w:val="nil"/>
              <w:bottom w:val="single" w:color="auto" w:sz="4" w:space="0"/>
              <w:right w:val="single" w:color="auto" w:sz="4" w:space="0"/>
            </w:tcBorders>
            <w:shd w:val="clear" w:color="auto" w:fill="auto"/>
            <w:vAlign w:val="bottom"/>
            <w:hideMark/>
          </w:tcPr>
          <w:p w:rsidRPr="00E01E1A" w:rsidR="00CC2AB1" w:rsidP="006649A7" w:rsidRDefault="00CC2AB1" w14:paraId="010FB1E1" w14:textId="71B77777">
            <w:pPr>
              <w:keepNext/>
              <w:keepLines/>
              <w:jc w:val="right"/>
              <w:rPr>
                <w:color w:val="000000"/>
              </w:rPr>
            </w:pPr>
            <w:r w:rsidRPr="00E01E1A">
              <w:rPr>
                <w:color w:val="000000"/>
              </w:rPr>
              <w:t>$</w:t>
            </w:r>
            <w:r>
              <w:rPr>
                <w:color w:val="000000"/>
              </w:rPr>
              <w:t>31.00</w:t>
            </w:r>
          </w:p>
        </w:tc>
        <w:tc>
          <w:tcPr>
            <w:tcW w:w="1350" w:type="dxa"/>
            <w:tcBorders>
              <w:top w:val="nil"/>
              <w:left w:val="nil"/>
              <w:bottom w:val="single" w:color="auto" w:sz="4" w:space="0"/>
              <w:right w:val="single" w:color="auto" w:sz="4" w:space="0"/>
            </w:tcBorders>
            <w:shd w:val="clear" w:color="auto" w:fill="auto"/>
            <w:vAlign w:val="bottom"/>
            <w:hideMark/>
          </w:tcPr>
          <w:p w:rsidRPr="00CB6E8B" w:rsidR="00CC2AB1" w:rsidP="006649A7" w:rsidRDefault="00CC2AB1" w14:paraId="5227B092" w14:textId="339D0895">
            <w:pPr>
              <w:keepNext/>
              <w:keepLines/>
              <w:jc w:val="right"/>
              <w:rPr>
                <w:color w:val="000000"/>
              </w:rPr>
            </w:pPr>
            <w:r w:rsidRPr="00CB6E8B">
              <w:rPr>
                <w:color w:val="000000"/>
              </w:rPr>
              <w:t>$</w:t>
            </w:r>
            <w:r w:rsidR="00E619E0">
              <w:rPr>
                <w:color w:val="000000"/>
              </w:rPr>
              <w:t>5,637,326</w:t>
            </w:r>
          </w:p>
        </w:tc>
        <w:tc>
          <w:tcPr>
            <w:tcW w:w="990" w:type="dxa"/>
            <w:tcBorders>
              <w:top w:val="nil"/>
              <w:left w:val="nil"/>
              <w:bottom w:val="single" w:color="auto" w:sz="4" w:space="0"/>
              <w:right w:val="single" w:color="auto" w:sz="4" w:space="0"/>
            </w:tcBorders>
            <w:vAlign w:val="bottom"/>
          </w:tcPr>
          <w:p w:rsidR="00CC2AB1" w:rsidP="00A559DA" w:rsidRDefault="00CC2AB1" w14:paraId="797084DC" w14:textId="553288DD">
            <w:pPr>
              <w:keepNext/>
              <w:keepLines/>
              <w:jc w:val="right"/>
              <w:rPr>
                <w:color w:val="000000"/>
              </w:rPr>
            </w:pPr>
            <w:r w:rsidRPr="00CB6E8B">
              <w:rPr>
                <w:color w:val="000000"/>
              </w:rPr>
              <w:t>$</w:t>
            </w:r>
            <w:r>
              <w:rPr>
                <w:color w:val="000000"/>
              </w:rPr>
              <w:t>0</w:t>
            </w:r>
          </w:p>
        </w:tc>
      </w:tr>
    </w:tbl>
    <w:p w:rsidR="00D8414D" w:rsidP="00B65140" w:rsidRDefault="00D8414D" w14:paraId="3DFFA5AD" w14:textId="77777777">
      <w:pPr>
        <w:rPr>
          <w:highlight w:val="white"/>
        </w:rPr>
      </w:pPr>
    </w:p>
    <w:p w:rsidR="00D8414D" w:rsidP="00B65140" w:rsidRDefault="00D8414D" w14:paraId="1383A435" w14:textId="77777777">
      <w:pPr>
        <w:rPr>
          <w:highlight w:val="white"/>
        </w:rPr>
      </w:pPr>
    </w:p>
    <w:p w:rsidR="004E2BF7" w:rsidP="00566B34" w:rsidRDefault="004E2BF7" w14:paraId="3C3F4E3C" w14:textId="79AE4C92">
      <w:pPr>
        <w:rPr>
          <w:highlight w:val="white"/>
        </w:rPr>
      </w:pPr>
      <w:r>
        <w:rPr>
          <w:highlight w:val="white"/>
        </w:rPr>
        <w:t xml:space="preserve">Each of these cylinder requalification records is subject to inspection and review by a representative of the DOT, upon request. It is estimated that </w:t>
      </w:r>
      <w:r w:rsidR="00D8414D">
        <w:rPr>
          <w:highlight w:val="white"/>
        </w:rPr>
        <w:t>330</w:t>
      </w:r>
      <w:r w:rsidR="00FA7C23">
        <w:rPr>
          <w:highlight w:val="white"/>
        </w:rPr>
        <w:t xml:space="preserve"> cylinder requalification facilities </w:t>
      </w:r>
      <w:r w:rsidR="00D8414D">
        <w:rPr>
          <w:highlight w:val="white"/>
        </w:rPr>
        <w:t>are inspected</w:t>
      </w:r>
      <w:r w:rsidR="00235C06">
        <w:rPr>
          <w:highlight w:val="white"/>
        </w:rPr>
        <w:t xml:space="preserve"> annually</w:t>
      </w:r>
      <w:r w:rsidR="00FA7C23">
        <w:rPr>
          <w:highlight w:val="white"/>
        </w:rPr>
        <w:t xml:space="preserve">. Each inspection is estimated to </w:t>
      </w:r>
      <w:r w:rsidR="00D8414D">
        <w:rPr>
          <w:highlight w:val="white"/>
        </w:rPr>
        <w:t>take 6</w:t>
      </w:r>
      <w:r w:rsidR="00FA7C23">
        <w:rPr>
          <w:highlight w:val="white"/>
        </w:rPr>
        <w:t xml:space="preserve"> minutes, for a t</w:t>
      </w:r>
      <w:r w:rsidR="00D8414D">
        <w:rPr>
          <w:highlight w:val="white"/>
        </w:rPr>
        <w:t xml:space="preserve">otal of </w:t>
      </w:r>
      <w:r w:rsidR="00B24367">
        <w:rPr>
          <w:highlight w:val="white"/>
        </w:rPr>
        <w:t>33</w:t>
      </w:r>
      <w:r w:rsidR="00B24367">
        <w:rPr>
          <w:highlight w:val="white"/>
        </w:rPr>
        <w:t> </w:t>
      </w:r>
      <w:r w:rsidR="00FA7C23">
        <w:rPr>
          <w:highlight w:val="white"/>
        </w:rPr>
        <w:t>annual burden hours</w:t>
      </w:r>
      <w:r w:rsidR="00D8414D">
        <w:rPr>
          <w:highlight w:val="white"/>
        </w:rPr>
        <w:t xml:space="preserve"> (330 facilities x 6 minutes)</w:t>
      </w:r>
      <w:r w:rsidR="00FA7C23">
        <w:rPr>
          <w:highlight w:val="white"/>
        </w:rPr>
        <w:t>.</w:t>
      </w:r>
      <w:r w:rsidR="00D406D2">
        <w:rPr>
          <w:highlight w:val="white"/>
        </w:rPr>
        <w:t xml:space="preserve"> At an estimated salary of $31.00 per hour,</w:t>
      </w:r>
      <w:r w:rsidR="00D406D2">
        <w:rPr>
          <w:rStyle w:val="FootnoteReference"/>
          <w:highlight w:val="white"/>
        </w:rPr>
        <w:footnoteReference w:id="7"/>
      </w:r>
      <w:r w:rsidR="00D406D2">
        <w:rPr>
          <w:highlight w:val="white"/>
        </w:rPr>
        <w:t xml:space="preserve"> this information collection is estimated to cost $1,023. PHMSA does not estimate any out-of-pocket expenses.</w:t>
      </w:r>
    </w:p>
    <w:p w:rsidR="004E2BF7" w:rsidP="00E01E1A" w:rsidRDefault="004E2BF7" w14:paraId="63A92A7D" w14:textId="77777777">
      <w:pPr>
        <w:rPr>
          <w:highlight w:val="white"/>
        </w:rPr>
      </w:pPr>
    </w:p>
    <w:tbl>
      <w:tblPr>
        <w:tblW w:w="9895" w:type="dxa"/>
        <w:jc w:val="center"/>
        <w:tblLayout w:type="fixed"/>
        <w:tblLook w:val="04A0" w:firstRow="1" w:lastRow="0" w:firstColumn="1" w:lastColumn="0" w:noHBand="0" w:noVBand="1"/>
      </w:tblPr>
      <w:tblGrid>
        <w:gridCol w:w="1525"/>
        <w:gridCol w:w="1440"/>
        <w:gridCol w:w="1260"/>
        <w:gridCol w:w="1260"/>
        <w:gridCol w:w="1080"/>
        <w:gridCol w:w="1080"/>
        <w:gridCol w:w="1080"/>
        <w:gridCol w:w="1170"/>
      </w:tblGrid>
      <w:tr w:rsidRPr="006649A7" w:rsidR="00CC2AB1" w:rsidTr="004F6436" w14:paraId="3DC58F56" w14:textId="6000BD56">
        <w:trPr>
          <w:trHeight w:val="630"/>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CC2AB1" w:rsidRDefault="00CC2AB1" w14:paraId="6BCFDD51" w14:textId="2DDA98AF">
            <w:pPr>
              <w:jc w:val="center"/>
              <w:rPr>
                <w:bCs/>
                <w:color w:val="000000"/>
                <w:u w:val="single"/>
              </w:rPr>
            </w:pPr>
            <w:r w:rsidRPr="006649A7">
              <w:rPr>
                <w:bCs/>
                <w:color w:val="000000"/>
                <w:u w:val="single"/>
              </w:rPr>
              <w:t>Number of Respondents</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RDefault="00CC2AB1" w14:paraId="206A5973" w14:textId="77777777">
            <w:pPr>
              <w:jc w:val="center"/>
              <w:rPr>
                <w:bCs/>
                <w:color w:val="000000"/>
                <w:u w:val="single"/>
              </w:rPr>
            </w:pPr>
            <w:r w:rsidRPr="006649A7">
              <w:rPr>
                <w:bCs/>
                <w:color w:val="000000"/>
                <w:u w:val="single"/>
              </w:rPr>
              <w:t>Response per Respondent</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RDefault="00CC2AB1" w14:paraId="2AF64F58" w14:textId="77777777">
            <w:pPr>
              <w:jc w:val="center"/>
              <w:rPr>
                <w:bCs/>
                <w:color w:val="000000"/>
                <w:u w:val="single"/>
              </w:rPr>
            </w:pPr>
            <w:r w:rsidRPr="006649A7">
              <w:rPr>
                <w:bCs/>
                <w:color w:val="000000"/>
                <w:u w:val="single"/>
              </w:rPr>
              <w:t>Number of Responses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RDefault="00CC2AB1" w14:paraId="464EB025" w14:textId="77777777">
            <w:pPr>
              <w:jc w:val="center"/>
              <w:rPr>
                <w:bCs/>
                <w:color w:val="000000"/>
                <w:u w:val="single"/>
              </w:rPr>
            </w:pPr>
            <w:r w:rsidRPr="006649A7">
              <w:rPr>
                <w:bCs/>
                <w:color w:val="000000"/>
                <w:u w:val="single"/>
              </w:rPr>
              <w:t>Minutes per Response</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RDefault="00CC2AB1" w14:paraId="53C858BA" w14:textId="77777777">
            <w:pPr>
              <w:jc w:val="center"/>
              <w:rPr>
                <w:bCs/>
                <w:color w:val="000000"/>
                <w:u w:val="single"/>
              </w:rPr>
            </w:pPr>
            <w:r w:rsidRPr="006649A7">
              <w:rPr>
                <w:bCs/>
                <w:color w:val="000000"/>
                <w:u w:val="single"/>
              </w:rPr>
              <w:t>Annual Burden Hours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RDefault="00CC2AB1" w14:paraId="4800B6E1" w14:textId="4A7A6C04">
            <w:pPr>
              <w:jc w:val="center"/>
              <w:rPr>
                <w:bCs/>
                <w:color w:val="000000"/>
                <w:u w:val="single"/>
              </w:rPr>
            </w:pPr>
            <w:r>
              <w:rPr>
                <w:bCs/>
                <w:color w:val="000000"/>
                <w:u w:val="single"/>
              </w:rPr>
              <w:t>Salary</w:t>
            </w:r>
            <w:r w:rsidRPr="006649A7">
              <w:rPr>
                <w:bCs/>
                <w:color w:val="000000"/>
                <w:u w:val="single"/>
              </w:rPr>
              <w:t xml:space="preserve"> Cost per Hour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CC2AB1" w:rsidP="00973122" w:rsidRDefault="00CC2AB1" w14:paraId="5E74B160" w14:textId="558EB5A9">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70" w:type="dxa"/>
            <w:tcBorders>
              <w:top w:val="single" w:color="auto" w:sz="4" w:space="0"/>
              <w:left w:val="nil"/>
              <w:bottom w:val="single" w:color="auto" w:sz="4" w:space="0"/>
              <w:right w:val="single" w:color="auto" w:sz="4" w:space="0"/>
            </w:tcBorders>
            <w:vAlign w:val="bottom"/>
          </w:tcPr>
          <w:p w:rsidRPr="006649A7" w:rsidR="00CC2AB1" w:rsidP="00A559DA" w:rsidRDefault="00CC2AB1" w14:paraId="176C7F8F" w14:textId="71C23CE8">
            <w:pPr>
              <w:jc w:val="center"/>
              <w:rPr>
                <w:bCs/>
                <w:color w:val="000000"/>
                <w:u w:val="single"/>
              </w:rPr>
            </w:pPr>
            <w:r w:rsidRPr="006649A7">
              <w:rPr>
                <w:bCs/>
                <w:color w:val="000000"/>
                <w:u w:val="single"/>
              </w:rPr>
              <w:t xml:space="preserve">Annual </w:t>
            </w:r>
            <w:r w:rsidR="00D406D2">
              <w:rPr>
                <w:bCs/>
                <w:color w:val="000000"/>
                <w:u w:val="single"/>
              </w:rPr>
              <w:t>Burden</w:t>
            </w:r>
            <w:r w:rsidRPr="006649A7">
              <w:rPr>
                <w:bCs/>
                <w:color w:val="000000"/>
                <w:u w:val="single"/>
              </w:rPr>
              <w:t xml:space="preserve"> Costs</w:t>
            </w:r>
          </w:p>
        </w:tc>
      </w:tr>
      <w:tr w:rsidRPr="006649A7" w:rsidR="00CC2AB1" w:rsidTr="004F6436" w14:paraId="26E7BBC2" w14:textId="7BB526F3">
        <w:trPr>
          <w:trHeight w:val="269"/>
          <w:jc w:val="center"/>
        </w:trPr>
        <w:tc>
          <w:tcPr>
            <w:tcW w:w="1525" w:type="dxa"/>
            <w:tcBorders>
              <w:top w:val="nil"/>
              <w:left w:val="single" w:color="auto" w:sz="4" w:space="0"/>
              <w:bottom w:val="single" w:color="auto" w:sz="4" w:space="0"/>
              <w:right w:val="single" w:color="auto" w:sz="4" w:space="0"/>
            </w:tcBorders>
            <w:shd w:val="clear" w:color="auto" w:fill="auto"/>
            <w:vAlign w:val="bottom"/>
            <w:hideMark/>
          </w:tcPr>
          <w:p w:rsidRPr="006649A7" w:rsidR="00CC2AB1" w:rsidRDefault="00CC2AB1" w14:paraId="5F189974" w14:textId="77777777">
            <w:pPr>
              <w:jc w:val="right"/>
              <w:rPr>
                <w:color w:val="000000"/>
              </w:rPr>
            </w:pPr>
            <w:r w:rsidRPr="006649A7">
              <w:rPr>
                <w:color w:val="000000"/>
              </w:rPr>
              <w:t>330</w:t>
            </w:r>
          </w:p>
        </w:tc>
        <w:tc>
          <w:tcPr>
            <w:tcW w:w="1440" w:type="dxa"/>
            <w:tcBorders>
              <w:top w:val="nil"/>
              <w:left w:val="nil"/>
              <w:bottom w:val="single" w:color="auto" w:sz="4" w:space="0"/>
              <w:right w:val="single" w:color="auto" w:sz="4" w:space="0"/>
            </w:tcBorders>
            <w:shd w:val="clear" w:color="auto" w:fill="auto"/>
            <w:vAlign w:val="bottom"/>
            <w:hideMark/>
          </w:tcPr>
          <w:p w:rsidRPr="006649A7" w:rsidR="00CC2AB1" w:rsidRDefault="00CC2AB1" w14:paraId="4DC3CE5B" w14:textId="77777777">
            <w:pPr>
              <w:jc w:val="right"/>
              <w:rPr>
                <w:color w:val="000000"/>
              </w:rPr>
            </w:pPr>
            <w:r w:rsidRPr="006649A7">
              <w:rPr>
                <w:color w:val="000000"/>
              </w:rPr>
              <w:t>1</w:t>
            </w:r>
          </w:p>
        </w:tc>
        <w:tc>
          <w:tcPr>
            <w:tcW w:w="1260" w:type="dxa"/>
            <w:tcBorders>
              <w:top w:val="nil"/>
              <w:left w:val="nil"/>
              <w:bottom w:val="single" w:color="auto" w:sz="4" w:space="0"/>
              <w:right w:val="single" w:color="auto" w:sz="4" w:space="0"/>
            </w:tcBorders>
            <w:shd w:val="clear" w:color="auto" w:fill="auto"/>
            <w:vAlign w:val="bottom"/>
            <w:hideMark/>
          </w:tcPr>
          <w:p w:rsidRPr="006649A7" w:rsidR="00CC2AB1" w:rsidRDefault="00CC2AB1" w14:paraId="6BD06361" w14:textId="77777777">
            <w:pPr>
              <w:jc w:val="right"/>
              <w:rPr>
                <w:color w:val="000000"/>
              </w:rPr>
            </w:pPr>
            <w:r w:rsidRPr="006649A7">
              <w:rPr>
                <w:color w:val="000000"/>
              </w:rPr>
              <w:t>330</w:t>
            </w:r>
          </w:p>
        </w:tc>
        <w:tc>
          <w:tcPr>
            <w:tcW w:w="1260" w:type="dxa"/>
            <w:tcBorders>
              <w:top w:val="nil"/>
              <w:left w:val="nil"/>
              <w:bottom w:val="single" w:color="auto" w:sz="4" w:space="0"/>
              <w:right w:val="single" w:color="auto" w:sz="4" w:space="0"/>
            </w:tcBorders>
            <w:shd w:val="clear" w:color="auto" w:fill="auto"/>
            <w:vAlign w:val="bottom"/>
            <w:hideMark/>
          </w:tcPr>
          <w:p w:rsidRPr="006649A7" w:rsidR="00CC2AB1" w:rsidRDefault="00CC2AB1" w14:paraId="348176C7" w14:textId="77777777">
            <w:pPr>
              <w:jc w:val="right"/>
              <w:rPr>
                <w:color w:val="000000"/>
              </w:rPr>
            </w:pPr>
            <w:r w:rsidRPr="006649A7">
              <w:rPr>
                <w:color w:val="000000"/>
              </w:rPr>
              <w:t>6</w:t>
            </w:r>
          </w:p>
        </w:tc>
        <w:tc>
          <w:tcPr>
            <w:tcW w:w="1080" w:type="dxa"/>
            <w:tcBorders>
              <w:top w:val="nil"/>
              <w:left w:val="nil"/>
              <w:bottom w:val="single" w:color="auto" w:sz="4" w:space="0"/>
              <w:right w:val="single" w:color="auto" w:sz="4" w:space="0"/>
            </w:tcBorders>
            <w:shd w:val="clear" w:color="auto" w:fill="auto"/>
            <w:vAlign w:val="bottom"/>
            <w:hideMark/>
          </w:tcPr>
          <w:p w:rsidRPr="006649A7" w:rsidR="00CC2AB1" w:rsidRDefault="00CC2AB1" w14:paraId="65B6718E" w14:textId="77777777">
            <w:pPr>
              <w:jc w:val="right"/>
              <w:rPr>
                <w:color w:val="000000"/>
              </w:rPr>
            </w:pPr>
            <w:r w:rsidRPr="006649A7">
              <w:rPr>
                <w:color w:val="000000"/>
              </w:rPr>
              <w:t>33</w:t>
            </w:r>
          </w:p>
        </w:tc>
        <w:tc>
          <w:tcPr>
            <w:tcW w:w="1080" w:type="dxa"/>
            <w:tcBorders>
              <w:top w:val="nil"/>
              <w:left w:val="nil"/>
              <w:bottom w:val="single" w:color="auto" w:sz="4" w:space="0"/>
              <w:right w:val="single" w:color="auto" w:sz="4" w:space="0"/>
            </w:tcBorders>
            <w:shd w:val="clear" w:color="auto" w:fill="auto"/>
            <w:vAlign w:val="bottom"/>
            <w:hideMark/>
          </w:tcPr>
          <w:p w:rsidRPr="006649A7" w:rsidR="00CC2AB1" w:rsidRDefault="00CC2AB1" w14:paraId="232F3672" w14:textId="261C42D3">
            <w:pPr>
              <w:jc w:val="right"/>
              <w:rPr>
                <w:color w:val="000000"/>
              </w:rPr>
            </w:pPr>
            <w:r w:rsidRPr="006649A7">
              <w:rPr>
                <w:color w:val="000000"/>
              </w:rPr>
              <w:t>$</w:t>
            </w:r>
            <w:r>
              <w:rPr>
                <w:color w:val="000000"/>
              </w:rPr>
              <w:t>31.00</w:t>
            </w:r>
          </w:p>
        </w:tc>
        <w:tc>
          <w:tcPr>
            <w:tcW w:w="1080" w:type="dxa"/>
            <w:tcBorders>
              <w:top w:val="nil"/>
              <w:left w:val="nil"/>
              <w:bottom w:val="single" w:color="auto" w:sz="4" w:space="0"/>
              <w:right w:val="single" w:color="auto" w:sz="4" w:space="0"/>
            </w:tcBorders>
            <w:shd w:val="clear" w:color="auto" w:fill="auto"/>
            <w:vAlign w:val="bottom"/>
            <w:hideMark/>
          </w:tcPr>
          <w:p w:rsidRPr="006649A7" w:rsidR="00CC2AB1" w:rsidP="00A559DA" w:rsidRDefault="00CC2AB1" w14:paraId="65486F6E" w14:textId="53A7521C">
            <w:pPr>
              <w:jc w:val="right"/>
              <w:rPr>
                <w:color w:val="000000"/>
              </w:rPr>
            </w:pPr>
            <w:r w:rsidRPr="006649A7">
              <w:rPr>
                <w:color w:val="000000"/>
              </w:rPr>
              <w:t>$</w:t>
            </w:r>
            <w:r>
              <w:rPr>
                <w:color w:val="000000"/>
              </w:rPr>
              <w:t>1,023</w:t>
            </w:r>
          </w:p>
        </w:tc>
        <w:tc>
          <w:tcPr>
            <w:tcW w:w="1170" w:type="dxa"/>
            <w:tcBorders>
              <w:top w:val="nil"/>
              <w:left w:val="nil"/>
              <w:bottom w:val="single" w:color="auto" w:sz="4" w:space="0"/>
              <w:right w:val="single" w:color="auto" w:sz="4" w:space="0"/>
            </w:tcBorders>
          </w:tcPr>
          <w:p w:rsidR="00CC2AB1" w:rsidP="00CC2AB1" w:rsidRDefault="00D406D2" w14:paraId="6FA4224C" w14:textId="541F92FC">
            <w:pPr>
              <w:jc w:val="right"/>
              <w:rPr>
                <w:color w:val="000000"/>
              </w:rPr>
            </w:pPr>
            <w:r>
              <w:rPr>
                <w:color w:val="000000"/>
              </w:rPr>
              <w:t>$0</w:t>
            </w:r>
          </w:p>
        </w:tc>
      </w:tr>
    </w:tbl>
    <w:p w:rsidR="004E2BF7" w:rsidP="00483D25" w:rsidRDefault="004E2BF7" w14:paraId="231AD16D" w14:textId="77777777">
      <w:pPr>
        <w:rPr>
          <w:highlight w:val="white"/>
        </w:rPr>
      </w:pPr>
    </w:p>
    <w:p w:rsidR="0084474A" w:rsidP="00483D25" w:rsidRDefault="0084474A" w14:paraId="56E1152B" w14:textId="77777777">
      <w:pPr>
        <w:rPr>
          <w:highlight w:val="white"/>
        </w:rPr>
      </w:pPr>
    </w:p>
    <w:p w:rsidR="00D406D2" w:rsidP="00483D25" w:rsidRDefault="00D406D2" w14:paraId="468590B5" w14:textId="248F13C5">
      <w:r>
        <w:t>Cy</w:t>
      </w:r>
      <w:r w:rsidRPr="00D406D2">
        <w:t xml:space="preserve">linder requalifiers </w:t>
      </w:r>
      <w:r w:rsidR="00C266EC">
        <w:t>must</w:t>
      </w:r>
      <w:r w:rsidRPr="00D406D2">
        <w:t xml:space="preserve"> retain the most recent calibration certificate for their pressure indicating device</w:t>
      </w:r>
      <w:r w:rsidR="00E11776">
        <w:t xml:space="preserve"> (PID)</w:t>
      </w:r>
      <w:r w:rsidRPr="00D406D2">
        <w:t xml:space="preserve">. </w:t>
      </w:r>
      <w:r w:rsidR="00E11776">
        <w:t>PHMSA estimates there are 2,300 cylinder requalifiers. Ea</w:t>
      </w:r>
      <w:r w:rsidRPr="00D406D2">
        <w:t>ch requalifier will be required to re-calibrate their PID every 6 months</w:t>
      </w:r>
      <w:r w:rsidR="00E11776">
        <w:t>, for a total of 2 responses per year</w:t>
      </w:r>
      <w:r w:rsidRPr="00D406D2">
        <w:t>.</w:t>
      </w:r>
      <w:r w:rsidR="00E11776">
        <w:t xml:space="preserve"> This results in an estimate of 4,</w:t>
      </w:r>
      <w:r w:rsidR="00E619E0">
        <w:t xml:space="preserve">600 </w:t>
      </w:r>
      <w:r w:rsidR="00E11776">
        <w:t xml:space="preserve">annual responses (2,300 respondents x 2 annual responses). PHMSA estimate each record will take 5 minutes to complete, for a total of </w:t>
      </w:r>
      <w:r w:rsidR="00E619E0">
        <w:t>383 </w:t>
      </w:r>
      <w:r w:rsidR="00E11776">
        <w:t>annual burden hours (4,</w:t>
      </w:r>
      <w:r w:rsidR="00E619E0">
        <w:t xml:space="preserve">600 </w:t>
      </w:r>
      <w:r w:rsidR="00E11776">
        <w:t>responses x 5 minutes). At an estimated salary of $31.00 per hour,</w:t>
      </w:r>
      <w:r w:rsidR="00E11776">
        <w:rPr>
          <w:rStyle w:val="FootnoteReference"/>
        </w:rPr>
        <w:footnoteReference w:id="8"/>
      </w:r>
      <w:r w:rsidR="00E11776">
        <w:t xml:space="preserve"> PHMSA estimates a total of $</w:t>
      </w:r>
      <w:r w:rsidR="00E619E0">
        <w:t>11,882</w:t>
      </w:r>
      <w:r w:rsidR="00E11776">
        <w:t xml:space="preserve"> in annual salary costs. PHMSA does not estimate any out-of-pocket expenses.</w:t>
      </w:r>
    </w:p>
    <w:p w:rsidR="00E11776" w:rsidP="00483D25" w:rsidRDefault="00E11776" w14:paraId="325B257C" w14:textId="3D84A3E3"/>
    <w:p w:rsidR="00E619E0" w:rsidP="00E619E0" w:rsidRDefault="00E11776" w14:paraId="2DA3EAE9" w14:textId="5252264D">
      <w:r>
        <w:t>This is a new information collection resulting from the HM-234 final rule.</w:t>
      </w:r>
    </w:p>
    <w:p w:rsidR="00E11776" w:rsidP="00483D25" w:rsidRDefault="00E11776" w14:paraId="24900965" w14:textId="411D063E"/>
    <w:p w:rsidR="00C266EC" w:rsidP="00483D25" w:rsidRDefault="00C266EC" w14:paraId="0EC4610E" w14:textId="320F0CDC"/>
    <w:tbl>
      <w:tblPr>
        <w:tblW w:w="9895" w:type="dxa"/>
        <w:jc w:val="center"/>
        <w:tblLayout w:type="fixed"/>
        <w:tblLook w:val="04A0" w:firstRow="1" w:lastRow="0" w:firstColumn="1" w:lastColumn="0" w:noHBand="0" w:noVBand="1"/>
      </w:tblPr>
      <w:tblGrid>
        <w:gridCol w:w="1525"/>
        <w:gridCol w:w="1440"/>
        <w:gridCol w:w="1260"/>
        <w:gridCol w:w="1260"/>
        <w:gridCol w:w="1080"/>
        <w:gridCol w:w="1080"/>
        <w:gridCol w:w="1080"/>
        <w:gridCol w:w="1170"/>
      </w:tblGrid>
      <w:tr w:rsidRPr="006649A7" w:rsidR="00E11776" w:rsidTr="005A2931" w14:paraId="5C6A6B9E" w14:textId="77777777">
        <w:trPr>
          <w:trHeight w:val="630"/>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E11776" w:rsidP="005A2931" w:rsidRDefault="00E11776" w14:paraId="11E9C650" w14:textId="77777777">
            <w:pPr>
              <w:jc w:val="center"/>
              <w:rPr>
                <w:bCs/>
                <w:color w:val="000000"/>
                <w:u w:val="single"/>
              </w:rPr>
            </w:pPr>
            <w:r w:rsidRPr="006649A7">
              <w:rPr>
                <w:bCs/>
                <w:color w:val="000000"/>
                <w:u w:val="single"/>
              </w:rPr>
              <w:t>Number of Respondents</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5069AF06" w14:textId="77777777">
            <w:pPr>
              <w:jc w:val="center"/>
              <w:rPr>
                <w:bCs/>
                <w:color w:val="000000"/>
                <w:u w:val="single"/>
              </w:rPr>
            </w:pPr>
            <w:r w:rsidRPr="006649A7">
              <w:rPr>
                <w:bCs/>
                <w:color w:val="000000"/>
                <w:u w:val="single"/>
              </w:rPr>
              <w:t>Response per Respondent</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016C495B" w14:textId="77777777">
            <w:pPr>
              <w:jc w:val="center"/>
              <w:rPr>
                <w:bCs/>
                <w:color w:val="000000"/>
                <w:u w:val="single"/>
              </w:rPr>
            </w:pPr>
            <w:r w:rsidRPr="006649A7">
              <w:rPr>
                <w:bCs/>
                <w:color w:val="000000"/>
                <w:u w:val="single"/>
              </w:rPr>
              <w:t>Number of Responses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3246E92C" w14:textId="77777777">
            <w:pPr>
              <w:jc w:val="center"/>
              <w:rPr>
                <w:bCs/>
                <w:color w:val="000000"/>
                <w:u w:val="single"/>
              </w:rPr>
            </w:pPr>
            <w:r w:rsidRPr="006649A7">
              <w:rPr>
                <w:bCs/>
                <w:color w:val="000000"/>
                <w:u w:val="single"/>
              </w:rPr>
              <w:t>Minutes per Response</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656C10E7" w14:textId="77777777">
            <w:pPr>
              <w:jc w:val="center"/>
              <w:rPr>
                <w:bCs/>
                <w:color w:val="000000"/>
                <w:u w:val="single"/>
              </w:rPr>
            </w:pPr>
            <w:r w:rsidRPr="006649A7">
              <w:rPr>
                <w:bCs/>
                <w:color w:val="000000"/>
                <w:u w:val="single"/>
              </w:rPr>
              <w:t>Annual Burden Hours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7DD1640A" w14:textId="77777777">
            <w:pPr>
              <w:jc w:val="center"/>
              <w:rPr>
                <w:bCs/>
                <w:color w:val="000000"/>
                <w:u w:val="single"/>
              </w:rPr>
            </w:pPr>
            <w:r>
              <w:rPr>
                <w:bCs/>
                <w:color w:val="000000"/>
                <w:u w:val="single"/>
              </w:rPr>
              <w:t>Salary</w:t>
            </w:r>
            <w:r w:rsidRPr="006649A7">
              <w:rPr>
                <w:bCs/>
                <w:color w:val="000000"/>
                <w:u w:val="single"/>
              </w:rPr>
              <w:t xml:space="preserve"> Cost per Hour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5A2931" w:rsidRDefault="00E11776" w14:paraId="64F7CE5D" w14:textId="77777777">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70" w:type="dxa"/>
            <w:tcBorders>
              <w:top w:val="single" w:color="auto" w:sz="4" w:space="0"/>
              <w:left w:val="nil"/>
              <w:bottom w:val="single" w:color="auto" w:sz="4" w:space="0"/>
              <w:right w:val="single" w:color="auto" w:sz="4" w:space="0"/>
            </w:tcBorders>
            <w:vAlign w:val="bottom"/>
          </w:tcPr>
          <w:p w:rsidRPr="006649A7" w:rsidR="00E11776" w:rsidP="005A2931" w:rsidRDefault="00E11776" w14:paraId="11B4B402" w14:textId="77777777">
            <w:pPr>
              <w:jc w:val="center"/>
              <w:rPr>
                <w:bCs/>
                <w:color w:val="000000"/>
                <w:u w:val="single"/>
              </w:rPr>
            </w:pPr>
            <w:r w:rsidRPr="006649A7">
              <w:rPr>
                <w:bCs/>
                <w:color w:val="000000"/>
                <w:u w:val="single"/>
              </w:rPr>
              <w:t xml:space="preserve">Annual </w:t>
            </w:r>
            <w:r>
              <w:rPr>
                <w:bCs/>
                <w:color w:val="000000"/>
                <w:u w:val="single"/>
              </w:rPr>
              <w:t>Burden</w:t>
            </w:r>
            <w:r w:rsidRPr="006649A7">
              <w:rPr>
                <w:bCs/>
                <w:color w:val="000000"/>
                <w:u w:val="single"/>
              </w:rPr>
              <w:t xml:space="preserve"> Costs</w:t>
            </w:r>
          </w:p>
        </w:tc>
      </w:tr>
      <w:tr w:rsidRPr="006649A7" w:rsidR="00E11776" w:rsidTr="005A2931" w14:paraId="64188555" w14:textId="77777777">
        <w:trPr>
          <w:trHeight w:val="269"/>
          <w:jc w:val="center"/>
        </w:trPr>
        <w:tc>
          <w:tcPr>
            <w:tcW w:w="1525" w:type="dxa"/>
            <w:tcBorders>
              <w:top w:val="nil"/>
              <w:left w:val="single" w:color="auto" w:sz="4" w:space="0"/>
              <w:bottom w:val="single" w:color="auto" w:sz="4" w:space="0"/>
              <w:right w:val="single" w:color="auto" w:sz="4" w:space="0"/>
            </w:tcBorders>
            <w:shd w:val="clear" w:color="auto" w:fill="auto"/>
            <w:vAlign w:val="bottom"/>
            <w:hideMark/>
          </w:tcPr>
          <w:p w:rsidRPr="006649A7" w:rsidR="00E11776" w:rsidP="00A559DA" w:rsidRDefault="00E11776" w14:paraId="79AF83C2" w14:textId="7A053174">
            <w:pPr>
              <w:jc w:val="right"/>
              <w:rPr>
                <w:color w:val="000000"/>
              </w:rPr>
            </w:pPr>
            <w:r>
              <w:rPr>
                <w:color w:val="000000"/>
              </w:rPr>
              <w:t>2,</w:t>
            </w:r>
            <w:r w:rsidRPr="006649A7">
              <w:rPr>
                <w:color w:val="000000"/>
              </w:rPr>
              <w:t>3</w:t>
            </w:r>
            <w:r>
              <w:rPr>
                <w:color w:val="000000"/>
              </w:rPr>
              <w:t>0</w:t>
            </w:r>
            <w:r w:rsidRPr="006649A7">
              <w:rPr>
                <w:color w:val="000000"/>
              </w:rPr>
              <w:t>0</w:t>
            </w:r>
          </w:p>
        </w:tc>
        <w:tc>
          <w:tcPr>
            <w:tcW w:w="1440" w:type="dxa"/>
            <w:tcBorders>
              <w:top w:val="nil"/>
              <w:left w:val="nil"/>
              <w:bottom w:val="single" w:color="auto" w:sz="4" w:space="0"/>
              <w:right w:val="single" w:color="auto" w:sz="4" w:space="0"/>
            </w:tcBorders>
            <w:shd w:val="clear" w:color="auto" w:fill="auto"/>
            <w:vAlign w:val="bottom"/>
            <w:hideMark/>
          </w:tcPr>
          <w:p w:rsidRPr="006649A7" w:rsidR="00E11776" w:rsidP="005A2931" w:rsidRDefault="00E11776" w14:paraId="5D5E90E0" w14:textId="7EEFBE92">
            <w:pPr>
              <w:jc w:val="right"/>
              <w:rPr>
                <w:color w:val="000000"/>
              </w:rPr>
            </w:pPr>
            <w:r>
              <w:rPr>
                <w:color w:val="000000"/>
              </w:rPr>
              <w:t>2</w:t>
            </w:r>
          </w:p>
        </w:tc>
        <w:tc>
          <w:tcPr>
            <w:tcW w:w="1260" w:type="dxa"/>
            <w:tcBorders>
              <w:top w:val="nil"/>
              <w:left w:val="nil"/>
              <w:bottom w:val="single" w:color="auto" w:sz="4" w:space="0"/>
              <w:right w:val="single" w:color="auto" w:sz="4" w:space="0"/>
            </w:tcBorders>
            <w:shd w:val="clear" w:color="auto" w:fill="auto"/>
            <w:vAlign w:val="bottom"/>
            <w:hideMark/>
          </w:tcPr>
          <w:p w:rsidRPr="006649A7" w:rsidR="00E11776" w:rsidP="005A2931" w:rsidRDefault="00E11776" w14:paraId="0FE8D4B1" w14:textId="3ABA206B">
            <w:pPr>
              <w:jc w:val="right"/>
              <w:rPr>
                <w:color w:val="000000"/>
              </w:rPr>
            </w:pPr>
            <w:r>
              <w:rPr>
                <w:color w:val="000000"/>
              </w:rPr>
              <w:t>4,</w:t>
            </w:r>
            <w:r w:rsidR="00E619E0">
              <w:rPr>
                <w:color w:val="000000"/>
              </w:rPr>
              <w:t>60</w:t>
            </w:r>
            <w:r w:rsidRPr="006649A7" w:rsidR="00E619E0">
              <w:rPr>
                <w:color w:val="000000"/>
              </w:rPr>
              <w:t>0</w:t>
            </w:r>
          </w:p>
        </w:tc>
        <w:tc>
          <w:tcPr>
            <w:tcW w:w="1260" w:type="dxa"/>
            <w:tcBorders>
              <w:top w:val="nil"/>
              <w:left w:val="nil"/>
              <w:bottom w:val="single" w:color="auto" w:sz="4" w:space="0"/>
              <w:right w:val="single" w:color="auto" w:sz="4" w:space="0"/>
            </w:tcBorders>
            <w:shd w:val="clear" w:color="auto" w:fill="auto"/>
            <w:vAlign w:val="bottom"/>
            <w:hideMark/>
          </w:tcPr>
          <w:p w:rsidRPr="006649A7" w:rsidR="00E11776" w:rsidP="005A2931" w:rsidRDefault="00E11776" w14:paraId="723452AE" w14:textId="10F2473D">
            <w:pPr>
              <w:jc w:val="right"/>
              <w:rPr>
                <w:color w:val="000000"/>
              </w:rPr>
            </w:pPr>
            <w:r>
              <w:rPr>
                <w:color w:val="000000"/>
              </w:rPr>
              <w:t>5</w:t>
            </w:r>
          </w:p>
        </w:tc>
        <w:tc>
          <w:tcPr>
            <w:tcW w:w="1080" w:type="dxa"/>
            <w:tcBorders>
              <w:top w:val="nil"/>
              <w:left w:val="nil"/>
              <w:bottom w:val="single" w:color="auto" w:sz="4" w:space="0"/>
              <w:right w:val="single" w:color="auto" w:sz="4" w:space="0"/>
            </w:tcBorders>
            <w:shd w:val="clear" w:color="auto" w:fill="auto"/>
            <w:vAlign w:val="bottom"/>
            <w:hideMark/>
          </w:tcPr>
          <w:p w:rsidRPr="006649A7" w:rsidR="00E11776" w:rsidP="005A2931" w:rsidRDefault="00E619E0" w14:paraId="5C54C8E2" w14:textId="4A84EAE9">
            <w:pPr>
              <w:jc w:val="right"/>
              <w:rPr>
                <w:color w:val="000000"/>
              </w:rPr>
            </w:pPr>
            <w:r>
              <w:rPr>
                <w:color w:val="000000"/>
              </w:rPr>
              <w:t>383</w:t>
            </w:r>
          </w:p>
        </w:tc>
        <w:tc>
          <w:tcPr>
            <w:tcW w:w="1080" w:type="dxa"/>
            <w:tcBorders>
              <w:top w:val="nil"/>
              <w:left w:val="nil"/>
              <w:bottom w:val="single" w:color="auto" w:sz="4" w:space="0"/>
              <w:right w:val="single" w:color="auto" w:sz="4" w:space="0"/>
            </w:tcBorders>
            <w:shd w:val="clear" w:color="auto" w:fill="auto"/>
            <w:vAlign w:val="bottom"/>
            <w:hideMark/>
          </w:tcPr>
          <w:p w:rsidRPr="006649A7" w:rsidR="00E11776" w:rsidP="005A2931" w:rsidRDefault="00E11776" w14:paraId="3BAB60B1" w14:textId="77777777">
            <w:pPr>
              <w:jc w:val="right"/>
              <w:rPr>
                <w:color w:val="000000"/>
              </w:rPr>
            </w:pPr>
            <w:r w:rsidRPr="006649A7">
              <w:rPr>
                <w:color w:val="000000"/>
              </w:rPr>
              <w:t>$</w:t>
            </w:r>
            <w:r>
              <w:rPr>
                <w:color w:val="000000"/>
              </w:rPr>
              <w:t>31.00</w:t>
            </w:r>
          </w:p>
        </w:tc>
        <w:tc>
          <w:tcPr>
            <w:tcW w:w="1080" w:type="dxa"/>
            <w:tcBorders>
              <w:top w:val="nil"/>
              <w:left w:val="nil"/>
              <w:bottom w:val="single" w:color="auto" w:sz="4" w:space="0"/>
              <w:right w:val="single" w:color="auto" w:sz="4" w:space="0"/>
            </w:tcBorders>
            <w:shd w:val="clear" w:color="auto" w:fill="auto"/>
            <w:vAlign w:val="bottom"/>
            <w:hideMark/>
          </w:tcPr>
          <w:p w:rsidRPr="006649A7" w:rsidR="00E11776" w:rsidP="00A559DA" w:rsidRDefault="00E11776" w14:paraId="38A930EE" w14:textId="3E29FC56">
            <w:pPr>
              <w:jc w:val="right"/>
              <w:rPr>
                <w:color w:val="000000"/>
              </w:rPr>
            </w:pPr>
            <w:r w:rsidRPr="006649A7">
              <w:rPr>
                <w:color w:val="000000"/>
              </w:rPr>
              <w:t>$</w:t>
            </w:r>
            <w:r>
              <w:rPr>
                <w:color w:val="000000"/>
              </w:rPr>
              <w:t>1</w:t>
            </w:r>
            <w:r w:rsidR="00E619E0">
              <w:rPr>
                <w:color w:val="000000"/>
              </w:rPr>
              <w:t>1,882</w:t>
            </w:r>
          </w:p>
        </w:tc>
        <w:tc>
          <w:tcPr>
            <w:tcW w:w="1170" w:type="dxa"/>
            <w:tcBorders>
              <w:top w:val="nil"/>
              <w:left w:val="nil"/>
              <w:bottom w:val="single" w:color="auto" w:sz="4" w:space="0"/>
              <w:right w:val="single" w:color="auto" w:sz="4" w:space="0"/>
            </w:tcBorders>
          </w:tcPr>
          <w:p w:rsidR="00E11776" w:rsidP="005A2931" w:rsidRDefault="00E11776" w14:paraId="4DC6F101" w14:textId="77777777">
            <w:pPr>
              <w:jc w:val="right"/>
              <w:rPr>
                <w:color w:val="000000"/>
              </w:rPr>
            </w:pPr>
            <w:r>
              <w:rPr>
                <w:color w:val="000000"/>
              </w:rPr>
              <w:t>$0</w:t>
            </w:r>
          </w:p>
        </w:tc>
      </w:tr>
    </w:tbl>
    <w:p w:rsidR="00C266EC" w:rsidP="00483D25" w:rsidRDefault="00C266EC" w14:paraId="066D23E0" w14:textId="77777777">
      <w:pPr>
        <w:rPr>
          <w:highlight w:val="white"/>
        </w:rPr>
      </w:pPr>
    </w:p>
    <w:p w:rsidR="00D406D2" w:rsidP="00483D25" w:rsidRDefault="00D406D2" w14:paraId="64EEC54E" w14:textId="77777777">
      <w:pPr>
        <w:rPr>
          <w:highlight w:val="white"/>
        </w:rPr>
      </w:pPr>
    </w:p>
    <w:p w:rsidR="0084474A" w:rsidP="00483D25" w:rsidRDefault="0084474A" w14:paraId="13F5F2E8" w14:textId="712D754E">
      <w:pPr>
        <w:rPr>
          <w:highlight w:val="white"/>
        </w:rPr>
      </w:pPr>
      <w:r>
        <w:rPr>
          <w:highlight w:val="white"/>
        </w:rPr>
        <w:t xml:space="preserve">Each time a cylinder is repaired, rebuilt, or reheat treated, a record must be created. There are </w:t>
      </w:r>
      <w:r w:rsidR="00E11776">
        <w:rPr>
          <w:highlight w:val="white"/>
        </w:rPr>
        <w:t>47 </w:t>
      </w:r>
      <w:r>
        <w:rPr>
          <w:highlight w:val="white"/>
        </w:rPr>
        <w:t xml:space="preserve">facilities authorized to perform these tests on approximately 50 cylinders per year, for a total of 2,350 cylinders (47 respondents x 50 responses). It is estimated to take 12 minutes to create </w:t>
      </w:r>
      <w:r w:rsidR="00E11776">
        <w:rPr>
          <w:highlight w:val="white"/>
        </w:rPr>
        <w:t xml:space="preserve">each </w:t>
      </w:r>
      <w:r>
        <w:rPr>
          <w:highlight w:val="white"/>
        </w:rPr>
        <w:t>record, for a total of 470 burden hour</w:t>
      </w:r>
      <w:r w:rsidR="00D632F5">
        <w:rPr>
          <w:highlight w:val="white"/>
        </w:rPr>
        <w:t>s</w:t>
      </w:r>
      <w:r>
        <w:rPr>
          <w:highlight w:val="white"/>
        </w:rPr>
        <w:t xml:space="preserve"> (2,350 responses x 12 minutes).</w:t>
      </w:r>
      <w:r w:rsidR="00E11776">
        <w:rPr>
          <w:highlight w:val="white"/>
        </w:rPr>
        <w:t xml:space="preserve"> At $31.00 per hour,</w:t>
      </w:r>
      <w:r w:rsidR="00E11776">
        <w:rPr>
          <w:rStyle w:val="FootnoteReference"/>
          <w:highlight w:val="white"/>
        </w:rPr>
        <w:footnoteReference w:id="9"/>
      </w:r>
      <w:r w:rsidR="00E11776">
        <w:rPr>
          <w:highlight w:val="white"/>
        </w:rPr>
        <w:t xml:space="preserve"> </w:t>
      </w:r>
      <w:r w:rsidR="00E11776">
        <w:rPr>
          <w:highlight w:val="white"/>
        </w:rPr>
        <w:lastRenderedPageBreak/>
        <w:t>it is estimated that this burden costs $14,568 in salary costs. PHMSA does not estimate any out-of-pocket expenses.</w:t>
      </w:r>
    </w:p>
    <w:p w:rsidR="0084474A" w:rsidP="00483D25" w:rsidRDefault="0084474A" w14:paraId="5D74716A" w14:textId="77777777">
      <w:pPr>
        <w:rPr>
          <w:highlight w:val="white"/>
        </w:rPr>
      </w:pPr>
    </w:p>
    <w:tbl>
      <w:tblPr>
        <w:tblW w:w="0" w:type="auto"/>
        <w:jc w:val="center"/>
        <w:tblLayout w:type="fixed"/>
        <w:tblLook w:val="04A0" w:firstRow="1" w:lastRow="0" w:firstColumn="1" w:lastColumn="0" w:noHBand="0" w:noVBand="1"/>
      </w:tblPr>
      <w:tblGrid>
        <w:gridCol w:w="1530"/>
        <w:gridCol w:w="1440"/>
        <w:gridCol w:w="1307"/>
        <w:gridCol w:w="1343"/>
        <w:gridCol w:w="1164"/>
        <w:gridCol w:w="1072"/>
        <w:gridCol w:w="1139"/>
        <w:gridCol w:w="1139"/>
      </w:tblGrid>
      <w:tr w:rsidRPr="006649A7" w:rsidR="00E11776" w:rsidTr="004F6436" w14:paraId="3347F512" w14:textId="32AA30F8">
        <w:trPr>
          <w:trHeight w:val="630"/>
          <w:jc w:val="center"/>
        </w:trPr>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E11776" w:rsidRDefault="00E11776" w14:paraId="572FE61E" w14:textId="77777777">
            <w:pPr>
              <w:jc w:val="center"/>
              <w:rPr>
                <w:bCs/>
                <w:color w:val="000000"/>
                <w:u w:val="single"/>
              </w:rPr>
            </w:pPr>
            <w:r w:rsidRPr="006649A7">
              <w:rPr>
                <w:bCs/>
                <w:color w:val="000000"/>
                <w:u w:val="single"/>
              </w:rPr>
              <w:t>Number of Respondents</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639BFB57" w14:textId="77777777">
            <w:pPr>
              <w:jc w:val="center"/>
              <w:rPr>
                <w:bCs/>
                <w:color w:val="000000"/>
                <w:u w:val="single"/>
              </w:rPr>
            </w:pPr>
            <w:r w:rsidRPr="006649A7">
              <w:rPr>
                <w:bCs/>
                <w:color w:val="000000"/>
                <w:u w:val="single"/>
              </w:rPr>
              <w:t>Response per Respondent</w:t>
            </w:r>
          </w:p>
        </w:tc>
        <w:tc>
          <w:tcPr>
            <w:tcW w:w="1307"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72062EC4" w14:textId="77777777">
            <w:pPr>
              <w:jc w:val="center"/>
              <w:rPr>
                <w:bCs/>
                <w:color w:val="000000"/>
                <w:u w:val="single"/>
              </w:rPr>
            </w:pPr>
            <w:r w:rsidRPr="006649A7">
              <w:rPr>
                <w:bCs/>
                <w:color w:val="000000"/>
                <w:u w:val="single"/>
              </w:rPr>
              <w:t>Number of Responses</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723D0033" w14:textId="77777777">
            <w:pPr>
              <w:jc w:val="center"/>
              <w:rPr>
                <w:bCs/>
                <w:color w:val="000000"/>
                <w:u w:val="single"/>
              </w:rPr>
            </w:pPr>
            <w:r w:rsidRPr="006649A7">
              <w:rPr>
                <w:bCs/>
                <w:color w:val="000000"/>
                <w:u w:val="single"/>
              </w:rPr>
              <w:t>Minutes per Response</w:t>
            </w:r>
          </w:p>
        </w:tc>
        <w:tc>
          <w:tcPr>
            <w:tcW w:w="1164"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293D8D0E" w14:textId="77777777">
            <w:pPr>
              <w:jc w:val="center"/>
              <w:rPr>
                <w:bCs/>
                <w:color w:val="000000"/>
                <w:u w:val="single"/>
              </w:rPr>
            </w:pPr>
            <w:r w:rsidRPr="006649A7">
              <w:rPr>
                <w:bCs/>
                <w:color w:val="000000"/>
                <w:u w:val="single"/>
              </w:rPr>
              <w:t>Annual Burden Hours</w:t>
            </w:r>
          </w:p>
        </w:tc>
        <w:tc>
          <w:tcPr>
            <w:tcW w:w="1072"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3959148C" w14:textId="1210E14E">
            <w:pPr>
              <w:jc w:val="center"/>
              <w:rPr>
                <w:bCs/>
                <w:color w:val="000000"/>
                <w:u w:val="single"/>
              </w:rPr>
            </w:pPr>
            <w:r>
              <w:rPr>
                <w:bCs/>
                <w:color w:val="000000"/>
                <w:u w:val="single"/>
              </w:rPr>
              <w:t>Salary</w:t>
            </w:r>
            <w:r w:rsidRPr="006649A7">
              <w:rPr>
                <w:bCs/>
                <w:color w:val="000000"/>
                <w:u w:val="single"/>
              </w:rPr>
              <w:t xml:space="preserve"> Cost per Hour</w:t>
            </w:r>
          </w:p>
        </w:tc>
        <w:tc>
          <w:tcPr>
            <w:tcW w:w="1139"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973122" w:rsidRDefault="00E11776" w14:paraId="29761D1F" w14:textId="2CA01A4B">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39" w:type="dxa"/>
            <w:tcBorders>
              <w:top w:val="single" w:color="auto" w:sz="4" w:space="0"/>
              <w:left w:val="nil"/>
              <w:bottom w:val="single" w:color="auto" w:sz="4" w:space="0"/>
              <w:right w:val="single" w:color="auto" w:sz="4" w:space="0"/>
            </w:tcBorders>
            <w:vAlign w:val="bottom"/>
          </w:tcPr>
          <w:p w:rsidRPr="006649A7" w:rsidR="00E11776" w:rsidP="00A559DA" w:rsidRDefault="00E11776" w14:paraId="462562B3" w14:textId="1457D1A0">
            <w:pPr>
              <w:jc w:val="center"/>
              <w:rPr>
                <w:bCs/>
                <w:color w:val="000000"/>
                <w:u w:val="single"/>
              </w:rPr>
            </w:pPr>
            <w:r>
              <w:rPr>
                <w:bCs/>
                <w:color w:val="000000"/>
                <w:u w:val="single"/>
              </w:rPr>
              <w:t>Annual Burden Costs</w:t>
            </w:r>
          </w:p>
        </w:tc>
      </w:tr>
      <w:tr w:rsidRPr="006649A7" w:rsidR="00E11776" w:rsidTr="004F6436" w14:paraId="4D4D91DE" w14:textId="42E828A2">
        <w:trPr>
          <w:trHeight w:val="77"/>
          <w:jc w:val="center"/>
        </w:trPr>
        <w:tc>
          <w:tcPr>
            <w:tcW w:w="1530" w:type="dxa"/>
            <w:tcBorders>
              <w:top w:val="nil"/>
              <w:left w:val="single" w:color="auto" w:sz="4" w:space="0"/>
              <w:bottom w:val="single" w:color="auto" w:sz="4" w:space="0"/>
              <w:right w:val="single" w:color="auto" w:sz="4" w:space="0"/>
            </w:tcBorders>
            <w:shd w:val="clear" w:color="000000" w:fill="FFFFFF"/>
            <w:vAlign w:val="bottom"/>
            <w:hideMark/>
          </w:tcPr>
          <w:p w:rsidRPr="006649A7" w:rsidR="00E11776" w:rsidRDefault="00E11776" w14:paraId="6A917FF7" w14:textId="77777777">
            <w:pPr>
              <w:jc w:val="right"/>
              <w:rPr>
                <w:color w:val="000000"/>
              </w:rPr>
            </w:pPr>
            <w:r w:rsidRPr="006649A7">
              <w:rPr>
                <w:color w:val="000000"/>
              </w:rPr>
              <w:t>47</w:t>
            </w:r>
          </w:p>
        </w:tc>
        <w:tc>
          <w:tcPr>
            <w:tcW w:w="1440" w:type="dxa"/>
            <w:tcBorders>
              <w:top w:val="nil"/>
              <w:left w:val="nil"/>
              <w:bottom w:val="single" w:color="auto" w:sz="4" w:space="0"/>
              <w:right w:val="single" w:color="auto" w:sz="4" w:space="0"/>
            </w:tcBorders>
            <w:shd w:val="clear" w:color="000000" w:fill="FFFFFF"/>
            <w:vAlign w:val="bottom"/>
            <w:hideMark/>
          </w:tcPr>
          <w:p w:rsidRPr="006649A7" w:rsidR="00E11776" w:rsidRDefault="00E11776" w14:paraId="6AE70B0F" w14:textId="77777777">
            <w:pPr>
              <w:jc w:val="right"/>
              <w:rPr>
                <w:color w:val="000000"/>
              </w:rPr>
            </w:pPr>
            <w:r w:rsidRPr="006649A7">
              <w:rPr>
                <w:color w:val="000000"/>
              </w:rPr>
              <w:t>50</w:t>
            </w:r>
          </w:p>
        </w:tc>
        <w:tc>
          <w:tcPr>
            <w:tcW w:w="1307" w:type="dxa"/>
            <w:tcBorders>
              <w:top w:val="nil"/>
              <w:left w:val="nil"/>
              <w:bottom w:val="single" w:color="auto" w:sz="4" w:space="0"/>
              <w:right w:val="single" w:color="auto" w:sz="4" w:space="0"/>
            </w:tcBorders>
            <w:shd w:val="clear" w:color="auto" w:fill="auto"/>
            <w:vAlign w:val="bottom"/>
            <w:hideMark/>
          </w:tcPr>
          <w:p w:rsidRPr="00566B34" w:rsidR="00E11776" w:rsidRDefault="00E11776" w14:paraId="3CA0209B" w14:textId="77777777">
            <w:pPr>
              <w:jc w:val="right"/>
              <w:rPr>
                <w:color w:val="000000"/>
              </w:rPr>
            </w:pPr>
            <w:r w:rsidRPr="006649A7">
              <w:rPr>
                <w:color w:val="000000"/>
              </w:rPr>
              <w:t>2</w:t>
            </w:r>
            <w:r>
              <w:rPr>
                <w:color w:val="000000"/>
              </w:rPr>
              <w:t>,</w:t>
            </w:r>
            <w:r w:rsidRPr="00566B34">
              <w:rPr>
                <w:color w:val="000000"/>
              </w:rPr>
              <w:t>350</w:t>
            </w:r>
          </w:p>
        </w:tc>
        <w:tc>
          <w:tcPr>
            <w:tcW w:w="1343" w:type="dxa"/>
            <w:tcBorders>
              <w:top w:val="nil"/>
              <w:left w:val="nil"/>
              <w:bottom w:val="single" w:color="auto" w:sz="4" w:space="0"/>
              <w:right w:val="single" w:color="auto" w:sz="4" w:space="0"/>
            </w:tcBorders>
            <w:shd w:val="clear" w:color="000000" w:fill="FFFFFF"/>
            <w:vAlign w:val="bottom"/>
            <w:hideMark/>
          </w:tcPr>
          <w:p w:rsidRPr="00E01E1A" w:rsidR="00E11776" w:rsidRDefault="00E11776" w14:paraId="660FB259" w14:textId="77777777">
            <w:pPr>
              <w:jc w:val="right"/>
              <w:rPr>
                <w:color w:val="000000"/>
              </w:rPr>
            </w:pPr>
            <w:r w:rsidRPr="00E01E1A">
              <w:rPr>
                <w:color w:val="000000"/>
              </w:rPr>
              <w:t>12</w:t>
            </w:r>
          </w:p>
        </w:tc>
        <w:tc>
          <w:tcPr>
            <w:tcW w:w="1164" w:type="dxa"/>
            <w:tcBorders>
              <w:top w:val="nil"/>
              <w:left w:val="nil"/>
              <w:bottom w:val="single" w:color="auto" w:sz="4" w:space="0"/>
              <w:right w:val="single" w:color="auto" w:sz="4" w:space="0"/>
            </w:tcBorders>
            <w:shd w:val="clear" w:color="auto" w:fill="auto"/>
            <w:vAlign w:val="bottom"/>
            <w:hideMark/>
          </w:tcPr>
          <w:p w:rsidRPr="00CB6E8B" w:rsidR="00E11776" w:rsidRDefault="00E11776" w14:paraId="0339EA96" w14:textId="77777777">
            <w:pPr>
              <w:jc w:val="right"/>
              <w:rPr>
                <w:color w:val="000000"/>
              </w:rPr>
            </w:pPr>
            <w:r w:rsidRPr="00CB6E8B">
              <w:rPr>
                <w:color w:val="000000"/>
              </w:rPr>
              <w:t>470</w:t>
            </w:r>
          </w:p>
        </w:tc>
        <w:tc>
          <w:tcPr>
            <w:tcW w:w="1072" w:type="dxa"/>
            <w:tcBorders>
              <w:top w:val="nil"/>
              <w:left w:val="nil"/>
              <w:bottom w:val="single" w:color="auto" w:sz="4" w:space="0"/>
              <w:right w:val="single" w:color="auto" w:sz="4" w:space="0"/>
            </w:tcBorders>
            <w:shd w:val="clear" w:color="auto" w:fill="auto"/>
            <w:vAlign w:val="bottom"/>
            <w:hideMark/>
          </w:tcPr>
          <w:p w:rsidRPr="00CB6E8B" w:rsidR="00E11776" w:rsidRDefault="00E11776" w14:paraId="5FE91F55" w14:textId="29A9115F">
            <w:pPr>
              <w:jc w:val="right"/>
              <w:rPr>
                <w:color w:val="000000"/>
              </w:rPr>
            </w:pPr>
            <w:r w:rsidRPr="00CB6E8B">
              <w:rPr>
                <w:color w:val="000000"/>
              </w:rPr>
              <w:t>$</w:t>
            </w:r>
            <w:r>
              <w:rPr>
                <w:color w:val="000000"/>
              </w:rPr>
              <w:t>31.00</w:t>
            </w:r>
          </w:p>
        </w:tc>
        <w:tc>
          <w:tcPr>
            <w:tcW w:w="1139" w:type="dxa"/>
            <w:tcBorders>
              <w:top w:val="nil"/>
              <w:left w:val="nil"/>
              <w:bottom w:val="single" w:color="auto" w:sz="4" w:space="0"/>
              <w:right w:val="single" w:color="auto" w:sz="4" w:space="0"/>
            </w:tcBorders>
            <w:shd w:val="clear" w:color="auto" w:fill="auto"/>
            <w:vAlign w:val="bottom"/>
            <w:hideMark/>
          </w:tcPr>
          <w:p w:rsidRPr="00902AA1" w:rsidR="00E11776" w:rsidP="00A559DA" w:rsidRDefault="00E11776" w14:paraId="0D63EB7B" w14:textId="786B71AA">
            <w:pPr>
              <w:jc w:val="right"/>
              <w:rPr>
                <w:color w:val="000000"/>
              </w:rPr>
            </w:pPr>
            <w:r w:rsidRPr="00902AA1">
              <w:rPr>
                <w:color w:val="000000"/>
              </w:rPr>
              <w:t>$</w:t>
            </w:r>
            <w:r>
              <w:rPr>
                <w:color w:val="000000"/>
              </w:rPr>
              <w:t>14,568</w:t>
            </w:r>
          </w:p>
        </w:tc>
        <w:tc>
          <w:tcPr>
            <w:tcW w:w="1139" w:type="dxa"/>
            <w:tcBorders>
              <w:top w:val="nil"/>
              <w:left w:val="nil"/>
              <w:bottom w:val="single" w:color="auto" w:sz="4" w:space="0"/>
              <w:right w:val="single" w:color="auto" w:sz="4" w:space="0"/>
            </w:tcBorders>
            <w:vAlign w:val="bottom"/>
          </w:tcPr>
          <w:p w:rsidRPr="00902AA1" w:rsidR="00E11776" w:rsidRDefault="00E11776" w14:paraId="5F6B9EF3" w14:textId="6595FDC3">
            <w:pPr>
              <w:jc w:val="right"/>
              <w:rPr>
                <w:color w:val="000000"/>
              </w:rPr>
            </w:pPr>
            <w:r>
              <w:rPr>
                <w:color w:val="000000"/>
              </w:rPr>
              <w:t>$0</w:t>
            </w:r>
          </w:p>
        </w:tc>
      </w:tr>
    </w:tbl>
    <w:p w:rsidR="0084474A" w:rsidP="00483D25" w:rsidRDefault="0084474A" w14:paraId="33E1D6BA" w14:textId="77777777">
      <w:pPr>
        <w:rPr>
          <w:highlight w:val="white"/>
        </w:rPr>
      </w:pPr>
    </w:p>
    <w:p w:rsidR="0084474A" w:rsidP="00483D25" w:rsidRDefault="0084474A" w14:paraId="79F778AE" w14:textId="77777777">
      <w:pPr>
        <w:rPr>
          <w:highlight w:val="white"/>
        </w:rPr>
      </w:pPr>
    </w:p>
    <w:p w:rsidR="0084474A" w:rsidP="00483D25" w:rsidRDefault="0084474A" w14:paraId="25DDA69F" w14:textId="54C11486">
      <w:pPr>
        <w:rPr>
          <w:highlight w:val="white"/>
        </w:rPr>
      </w:pPr>
      <w:r>
        <w:rPr>
          <w:highlight w:val="white"/>
        </w:rPr>
        <w:t xml:space="preserve">The </w:t>
      </w:r>
      <w:r w:rsidR="00E11776">
        <w:rPr>
          <w:highlight w:val="white"/>
        </w:rPr>
        <w:t xml:space="preserve">repair, rebuilding, or reheat treatment </w:t>
      </w:r>
      <w:r>
        <w:rPr>
          <w:highlight w:val="white"/>
        </w:rPr>
        <w:t xml:space="preserve">records must be produced if requested by an official of the DOT. It is estimated that </w:t>
      </w:r>
      <w:r w:rsidR="00E11776">
        <w:rPr>
          <w:highlight w:val="white"/>
        </w:rPr>
        <w:t xml:space="preserve">6 </w:t>
      </w:r>
      <w:r>
        <w:rPr>
          <w:highlight w:val="white"/>
        </w:rPr>
        <w:t>facilities must provide their records each year. It takes approximately 10 minutes to produce the records for a total of 1 annual burden hour (6 responses x 10 minutes).</w:t>
      </w:r>
      <w:r w:rsidR="00E11776">
        <w:rPr>
          <w:highlight w:val="white"/>
        </w:rPr>
        <w:t xml:space="preserve"> At a salary of $31.00 per hour,</w:t>
      </w:r>
      <w:r w:rsidR="00E11776">
        <w:rPr>
          <w:rStyle w:val="FootnoteReference"/>
          <w:highlight w:val="white"/>
        </w:rPr>
        <w:footnoteReference w:id="10"/>
      </w:r>
      <w:r w:rsidR="00E11776">
        <w:rPr>
          <w:highlight w:val="white"/>
        </w:rPr>
        <w:t xml:space="preserve"> this burden is estimated to cost $31 in salary costs. PHMSA does not estimate any out-of-pocket expenses.</w:t>
      </w:r>
    </w:p>
    <w:p w:rsidR="0084474A" w:rsidP="00483D25" w:rsidRDefault="0084474A" w14:paraId="434DDB88" w14:textId="77777777">
      <w:pPr>
        <w:rPr>
          <w:highlight w:val="white"/>
        </w:rPr>
      </w:pPr>
    </w:p>
    <w:tbl>
      <w:tblPr>
        <w:tblW w:w="0" w:type="auto"/>
        <w:jc w:val="center"/>
        <w:tblLayout w:type="fixed"/>
        <w:tblLook w:val="04A0" w:firstRow="1" w:lastRow="0" w:firstColumn="1" w:lastColumn="0" w:noHBand="0" w:noVBand="1"/>
      </w:tblPr>
      <w:tblGrid>
        <w:gridCol w:w="1633"/>
        <w:gridCol w:w="1580"/>
        <w:gridCol w:w="1419"/>
        <w:gridCol w:w="1343"/>
        <w:gridCol w:w="1164"/>
        <w:gridCol w:w="1072"/>
        <w:gridCol w:w="1139"/>
        <w:gridCol w:w="1139"/>
      </w:tblGrid>
      <w:tr w:rsidRPr="006649A7" w:rsidR="00E11776" w:rsidTr="004F6436" w14:paraId="7199D5CE" w14:textId="5AE82F8C">
        <w:trPr>
          <w:trHeight w:val="630"/>
          <w:jc w:val="center"/>
        </w:trPr>
        <w:tc>
          <w:tcPr>
            <w:tcW w:w="16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E11776" w:rsidRDefault="00E11776" w14:paraId="1CEBCBF9" w14:textId="77777777">
            <w:pPr>
              <w:jc w:val="center"/>
              <w:rPr>
                <w:bCs/>
                <w:color w:val="000000"/>
                <w:u w:val="single"/>
              </w:rPr>
            </w:pPr>
            <w:r w:rsidRPr="006649A7">
              <w:rPr>
                <w:bCs/>
                <w:color w:val="000000"/>
                <w:u w:val="single"/>
              </w:rPr>
              <w:t>Number of Respondents</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1CFCC196" w14:textId="77777777">
            <w:pPr>
              <w:jc w:val="center"/>
              <w:rPr>
                <w:bCs/>
                <w:color w:val="000000"/>
                <w:u w:val="single"/>
              </w:rPr>
            </w:pPr>
            <w:r w:rsidRPr="006649A7">
              <w:rPr>
                <w:bCs/>
                <w:color w:val="000000"/>
                <w:u w:val="single"/>
              </w:rPr>
              <w:t>Response per Respondent</w:t>
            </w:r>
          </w:p>
        </w:tc>
        <w:tc>
          <w:tcPr>
            <w:tcW w:w="1419"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279B5ED3" w14:textId="77777777">
            <w:pPr>
              <w:jc w:val="center"/>
              <w:rPr>
                <w:bCs/>
                <w:color w:val="000000"/>
                <w:u w:val="single"/>
              </w:rPr>
            </w:pPr>
            <w:r w:rsidRPr="006649A7">
              <w:rPr>
                <w:bCs/>
                <w:color w:val="000000"/>
                <w:u w:val="single"/>
              </w:rPr>
              <w:t>Number of Responses</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0E919B7F" w14:textId="77777777">
            <w:pPr>
              <w:jc w:val="center"/>
              <w:rPr>
                <w:bCs/>
                <w:color w:val="000000"/>
                <w:u w:val="single"/>
              </w:rPr>
            </w:pPr>
            <w:r w:rsidRPr="006649A7">
              <w:rPr>
                <w:bCs/>
                <w:color w:val="000000"/>
                <w:u w:val="single"/>
              </w:rPr>
              <w:t>Minutes per Response</w:t>
            </w:r>
          </w:p>
        </w:tc>
        <w:tc>
          <w:tcPr>
            <w:tcW w:w="1164"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03071E9F" w14:textId="77777777">
            <w:pPr>
              <w:jc w:val="center"/>
              <w:rPr>
                <w:bCs/>
                <w:color w:val="000000"/>
                <w:u w:val="single"/>
              </w:rPr>
            </w:pPr>
            <w:r w:rsidRPr="006649A7">
              <w:rPr>
                <w:bCs/>
                <w:color w:val="000000"/>
                <w:u w:val="single"/>
              </w:rPr>
              <w:t>Annual Burden Hours</w:t>
            </w:r>
          </w:p>
        </w:tc>
        <w:tc>
          <w:tcPr>
            <w:tcW w:w="1072"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RDefault="00E11776" w14:paraId="432E782D" w14:textId="2909E3B3">
            <w:pPr>
              <w:jc w:val="center"/>
              <w:rPr>
                <w:bCs/>
                <w:color w:val="000000"/>
                <w:u w:val="single"/>
              </w:rPr>
            </w:pPr>
            <w:r>
              <w:rPr>
                <w:bCs/>
                <w:color w:val="000000"/>
                <w:u w:val="single"/>
              </w:rPr>
              <w:t>Salary</w:t>
            </w:r>
            <w:r w:rsidRPr="006649A7">
              <w:rPr>
                <w:bCs/>
                <w:color w:val="000000"/>
                <w:u w:val="single"/>
              </w:rPr>
              <w:t xml:space="preserve"> Cost per Hour</w:t>
            </w:r>
          </w:p>
        </w:tc>
        <w:tc>
          <w:tcPr>
            <w:tcW w:w="1139" w:type="dxa"/>
            <w:tcBorders>
              <w:top w:val="single" w:color="auto" w:sz="4" w:space="0"/>
              <w:left w:val="nil"/>
              <w:bottom w:val="single" w:color="auto" w:sz="4" w:space="0"/>
              <w:right w:val="single" w:color="auto" w:sz="4" w:space="0"/>
            </w:tcBorders>
            <w:shd w:val="clear" w:color="auto" w:fill="auto"/>
            <w:vAlign w:val="bottom"/>
            <w:hideMark/>
          </w:tcPr>
          <w:p w:rsidRPr="006649A7" w:rsidR="00E11776" w:rsidP="00973122" w:rsidRDefault="00E11776" w14:paraId="68C53BF3" w14:textId="7B711E05">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39" w:type="dxa"/>
            <w:tcBorders>
              <w:top w:val="single" w:color="auto" w:sz="4" w:space="0"/>
              <w:left w:val="nil"/>
              <w:bottom w:val="single" w:color="auto" w:sz="4" w:space="0"/>
              <w:right w:val="single" w:color="auto" w:sz="4" w:space="0"/>
            </w:tcBorders>
            <w:vAlign w:val="bottom"/>
          </w:tcPr>
          <w:p w:rsidRPr="006649A7" w:rsidR="00E11776" w:rsidP="00A559DA" w:rsidRDefault="00E11776" w14:paraId="1874E4B4" w14:textId="79F5E40C">
            <w:pPr>
              <w:jc w:val="center"/>
              <w:rPr>
                <w:bCs/>
                <w:color w:val="000000"/>
                <w:u w:val="single"/>
              </w:rPr>
            </w:pPr>
            <w:r>
              <w:rPr>
                <w:bCs/>
                <w:color w:val="000000"/>
                <w:u w:val="single"/>
              </w:rPr>
              <w:t>Annual Burden Costs</w:t>
            </w:r>
          </w:p>
        </w:tc>
      </w:tr>
      <w:tr w:rsidRPr="006649A7" w:rsidR="00E11776" w:rsidTr="004F6436" w14:paraId="015C16D8" w14:textId="7E1611FB">
        <w:trPr>
          <w:trHeight w:val="77"/>
          <w:jc w:val="center"/>
        </w:trPr>
        <w:tc>
          <w:tcPr>
            <w:tcW w:w="1633" w:type="dxa"/>
            <w:tcBorders>
              <w:top w:val="nil"/>
              <w:left w:val="single" w:color="auto" w:sz="4" w:space="0"/>
              <w:bottom w:val="single" w:color="auto" w:sz="4" w:space="0"/>
              <w:right w:val="single" w:color="auto" w:sz="4" w:space="0"/>
            </w:tcBorders>
            <w:shd w:val="clear" w:color="auto" w:fill="auto"/>
            <w:vAlign w:val="bottom"/>
            <w:hideMark/>
          </w:tcPr>
          <w:p w:rsidRPr="006649A7" w:rsidR="00E11776" w:rsidRDefault="00E11776" w14:paraId="35AC3BB2" w14:textId="77777777">
            <w:pPr>
              <w:jc w:val="right"/>
              <w:rPr>
                <w:color w:val="000000"/>
              </w:rPr>
            </w:pPr>
            <w:r w:rsidRPr="006649A7">
              <w:rPr>
                <w:color w:val="000000"/>
              </w:rPr>
              <w:t>6</w:t>
            </w:r>
          </w:p>
        </w:tc>
        <w:tc>
          <w:tcPr>
            <w:tcW w:w="1580"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2B7AD8E2" w14:textId="77777777">
            <w:pPr>
              <w:jc w:val="right"/>
              <w:rPr>
                <w:color w:val="000000"/>
              </w:rPr>
            </w:pPr>
            <w:r w:rsidRPr="006649A7">
              <w:rPr>
                <w:color w:val="000000"/>
              </w:rPr>
              <w:t>1</w:t>
            </w:r>
          </w:p>
        </w:tc>
        <w:tc>
          <w:tcPr>
            <w:tcW w:w="1419"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22DF18F1" w14:textId="77777777">
            <w:pPr>
              <w:jc w:val="right"/>
              <w:rPr>
                <w:color w:val="000000"/>
              </w:rPr>
            </w:pPr>
            <w:r w:rsidRPr="006649A7">
              <w:rPr>
                <w:color w:val="000000"/>
              </w:rPr>
              <w:t>6</w:t>
            </w:r>
          </w:p>
        </w:tc>
        <w:tc>
          <w:tcPr>
            <w:tcW w:w="1343"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63CC89EC" w14:textId="77777777">
            <w:pPr>
              <w:jc w:val="right"/>
              <w:rPr>
                <w:color w:val="000000"/>
              </w:rPr>
            </w:pPr>
            <w:r w:rsidRPr="006649A7">
              <w:rPr>
                <w:color w:val="000000"/>
              </w:rPr>
              <w:t>10</w:t>
            </w:r>
          </w:p>
        </w:tc>
        <w:tc>
          <w:tcPr>
            <w:tcW w:w="1164"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38D421AA" w14:textId="77777777">
            <w:pPr>
              <w:jc w:val="right"/>
              <w:rPr>
                <w:color w:val="000000"/>
              </w:rPr>
            </w:pPr>
            <w:r w:rsidRPr="006649A7">
              <w:rPr>
                <w:color w:val="000000"/>
              </w:rPr>
              <w:t>1</w:t>
            </w:r>
          </w:p>
        </w:tc>
        <w:tc>
          <w:tcPr>
            <w:tcW w:w="1072"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3D1C450F" w14:textId="172A5BA4">
            <w:pPr>
              <w:jc w:val="right"/>
              <w:rPr>
                <w:color w:val="000000"/>
              </w:rPr>
            </w:pPr>
            <w:r w:rsidRPr="006649A7">
              <w:rPr>
                <w:color w:val="000000"/>
              </w:rPr>
              <w:t>$</w:t>
            </w:r>
            <w:r>
              <w:rPr>
                <w:color w:val="000000"/>
              </w:rPr>
              <w:t>31.00</w:t>
            </w:r>
          </w:p>
        </w:tc>
        <w:tc>
          <w:tcPr>
            <w:tcW w:w="1139" w:type="dxa"/>
            <w:tcBorders>
              <w:top w:val="nil"/>
              <w:left w:val="nil"/>
              <w:bottom w:val="single" w:color="auto" w:sz="4" w:space="0"/>
              <w:right w:val="single" w:color="auto" w:sz="4" w:space="0"/>
            </w:tcBorders>
            <w:shd w:val="clear" w:color="auto" w:fill="auto"/>
            <w:vAlign w:val="bottom"/>
            <w:hideMark/>
          </w:tcPr>
          <w:p w:rsidRPr="006649A7" w:rsidR="00E11776" w:rsidRDefault="00E11776" w14:paraId="0092232D" w14:textId="61ACBB6C">
            <w:pPr>
              <w:jc w:val="right"/>
              <w:rPr>
                <w:color w:val="000000"/>
              </w:rPr>
            </w:pPr>
            <w:r w:rsidRPr="006649A7">
              <w:rPr>
                <w:color w:val="000000"/>
              </w:rPr>
              <w:t>$</w:t>
            </w:r>
            <w:r>
              <w:rPr>
                <w:color w:val="000000"/>
              </w:rPr>
              <w:t>31</w:t>
            </w:r>
          </w:p>
        </w:tc>
        <w:tc>
          <w:tcPr>
            <w:tcW w:w="1139" w:type="dxa"/>
            <w:tcBorders>
              <w:top w:val="nil"/>
              <w:left w:val="nil"/>
              <w:bottom w:val="single" w:color="auto" w:sz="4" w:space="0"/>
              <w:right w:val="single" w:color="auto" w:sz="4" w:space="0"/>
            </w:tcBorders>
          </w:tcPr>
          <w:p w:rsidRPr="006649A7" w:rsidR="00E11776" w:rsidRDefault="00E11776" w14:paraId="2FBCD613" w14:textId="7B37C744">
            <w:pPr>
              <w:jc w:val="right"/>
              <w:rPr>
                <w:color w:val="000000"/>
              </w:rPr>
            </w:pPr>
            <w:r>
              <w:rPr>
                <w:color w:val="000000"/>
              </w:rPr>
              <w:t>$0</w:t>
            </w:r>
          </w:p>
        </w:tc>
      </w:tr>
    </w:tbl>
    <w:p w:rsidR="0084474A" w:rsidP="00483D25" w:rsidRDefault="0084474A" w14:paraId="44E5175D" w14:textId="77777777">
      <w:pPr>
        <w:rPr>
          <w:highlight w:val="white"/>
        </w:rPr>
      </w:pPr>
    </w:p>
    <w:p w:rsidR="0084474A" w:rsidP="00483D25" w:rsidRDefault="0084474A" w14:paraId="23BE2749" w14:textId="77777777">
      <w:pPr>
        <w:rPr>
          <w:highlight w:val="white"/>
        </w:rPr>
      </w:pPr>
    </w:p>
    <w:p w:rsidR="0084474A" w:rsidP="00483D25" w:rsidRDefault="00EC0D99" w14:paraId="50F5D43D" w14:textId="5B38E1F8">
      <w:pPr>
        <w:rPr>
          <w:highlight w:val="white"/>
        </w:rPr>
      </w:pPr>
      <w:r>
        <w:rPr>
          <w:highlight w:val="white"/>
        </w:rPr>
        <w:t xml:space="preserve">A marked service pressure </w:t>
      </w:r>
      <w:r w:rsidR="001D5E57">
        <w:rPr>
          <w:highlight w:val="white"/>
        </w:rPr>
        <w:t xml:space="preserve">on a cylinder </w:t>
      </w:r>
      <w:r>
        <w:rPr>
          <w:highlight w:val="white"/>
        </w:rPr>
        <w:t xml:space="preserve">may be changed, if approved by the Associate Administrator. It is estimated that </w:t>
      </w:r>
      <w:r w:rsidR="001D5E57">
        <w:rPr>
          <w:highlight w:val="white"/>
        </w:rPr>
        <w:t xml:space="preserve">8 </w:t>
      </w:r>
      <w:r>
        <w:rPr>
          <w:highlight w:val="white"/>
        </w:rPr>
        <w:t>respondents change the marked service pressure each year. It takes approximately 15 minutes to change the marked service pressure for a total of 2 annual burden hours (8 responses x 15 minutes).</w:t>
      </w:r>
      <w:r w:rsidR="001D5E57">
        <w:rPr>
          <w:highlight w:val="white"/>
        </w:rPr>
        <w:t xml:space="preserve"> At an estimated salary of $31.00 per hour,</w:t>
      </w:r>
      <w:r w:rsidR="001D5E57">
        <w:rPr>
          <w:rStyle w:val="FootnoteReference"/>
          <w:highlight w:val="white"/>
        </w:rPr>
        <w:footnoteReference w:id="11"/>
      </w:r>
      <w:r w:rsidR="001D5E57">
        <w:rPr>
          <w:highlight w:val="white"/>
        </w:rPr>
        <w:t xml:space="preserve"> it is estimated to cost $62 in salary costs. PHMSA does not estimate any out-of-pocket expenses.</w:t>
      </w:r>
    </w:p>
    <w:p w:rsidR="00EC0D99" w:rsidP="00483D25" w:rsidRDefault="00EC0D99" w14:paraId="01DC1543" w14:textId="77777777">
      <w:pPr>
        <w:rPr>
          <w:highlight w:val="white"/>
        </w:rPr>
      </w:pPr>
    </w:p>
    <w:tbl>
      <w:tblPr>
        <w:tblW w:w="0" w:type="auto"/>
        <w:jc w:val="center"/>
        <w:tblLayout w:type="fixed"/>
        <w:tblLook w:val="04A0" w:firstRow="1" w:lastRow="0" w:firstColumn="1" w:lastColumn="0" w:noHBand="0" w:noVBand="1"/>
      </w:tblPr>
      <w:tblGrid>
        <w:gridCol w:w="1633"/>
        <w:gridCol w:w="1580"/>
        <w:gridCol w:w="1419"/>
        <w:gridCol w:w="1343"/>
        <w:gridCol w:w="1164"/>
        <w:gridCol w:w="1072"/>
        <w:gridCol w:w="1139"/>
        <w:gridCol w:w="1139"/>
      </w:tblGrid>
      <w:tr w:rsidRPr="006649A7" w:rsidR="001D5E57" w:rsidTr="004F6436" w14:paraId="04040F06" w14:textId="0EC04F80">
        <w:trPr>
          <w:trHeight w:val="630"/>
          <w:jc w:val="center"/>
        </w:trPr>
        <w:tc>
          <w:tcPr>
            <w:tcW w:w="16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649A7" w:rsidR="001D5E57" w:rsidRDefault="001D5E57" w14:paraId="73284A6F" w14:textId="77777777">
            <w:pPr>
              <w:jc w:val="center"/>
              <w:rPr>
                <w:bCs/>
                <w:color w:val="000000"/>
                <w:u w:val="single"/>
              </w:rPr>
            </w:pPr>
            <w:r w:rsidRPr="006649A7">
              <w:rPr>
                <w:bCs/>
                <w:color w:val="000000"/>
                <w:u w:val="single"/>
              </w:rPr>
              <w:t>Number of Respondents</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RDefault="001D5E57" w14:paraId="6BBC6CC6" w14:textId="77777777">
            <w:pPr>
              <w:jc w:val="center"/>
              <w:rPr>
                <w:bCs/>
                <w:color w:val="000000"/>
                <w:u w:val="single"/>
              </w:rPr>
            </w:pPr>
            <w:r w:rsidRPr="006649A7">
              <w:rPr>
                <w:bCs/>
                <w:color w:val="000000"/>
                <w:u w:val="single"/>
              </w:rPr>
              <w:t>Response per Respondent</w:t>
            </w:r>
          </w:p>
        </w:tc>
        <w:tc>
          <w:tcPr>
            <w:tcW w:w="1419"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RDefault="001D5E57" w14:paraId="36A5E0CA" w14:textId="77777777">
            <w:pPr>
              <w:jc w:val="center"/>
              <w:rPr>
                <w:bCs/>
                <w:color w:val="000000"/>
                <w:u w:val="single"/>
              </w:rPr>
            </w:pPr>
            <w:r w:rsidRPr="006649A7">
              <w:rPr>
                <w:bCs/>
                <w:color w:val="000000"/>
                <w:u w:val="single"/>
              </w:rPr>
              <w:t>Number of Responses</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RDefault="001D5E57" w14:paraId="14AD7EC6" w14:textId="77777777">
            <w:pPr>
              <w:jc w:val="center"/>
              <w:rPr>
                <w:bCs/>
                <w:color w:val="000000"/>
                <w:u w:val="single"/>
              </w:rPr>
            </w:pPr>
            <w:r w:rsidRPr="006649A7">
              <w:rPr>
                <w:bCs/>
                <w:color w:val="000000"/>
                <w:u w:val="single"/>
              </w:rPr>
              <w:t>Minutes per Response</w:t>
            </w:r>
          </w:p>
        </w:tc>
        <w:tc>
          <w:tcPr>
            <w:tcW w:w="1164"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RDefault="001D5E57" w14:paraId="5EE54027" w14:textId="77777777">
            <w:pPr>
              <w:jc w:val="center"/>
              <w:rPr>
                <w:bCs/>
                <w:color w:val="000000"/>
                <w:u w:val="single"/>
              </w:rPr>
            </w:pPr>
            <w:r w:rsidRPr="006649A7">
              <w:rPr>
                <w:bCs/>
                <w:color w:val="000000"/>
                <w:u w:val="single"/>
              </w:rPr>
              <w:t>Annual Burden Hours</w:t>
            </w:r>
          </w:p>
        </w:tc>
        <w:tc>
          <w:tcPr>
            <w:tcW w:w="1072"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RDefault="001D5E57" w14:paraId="1BDB0A49" w14:textId="485258B5">
            <w:pPr>
              <w:jc w:val="center"/>
              <w:rPr>
                <w:bCs/>
                <w:color w:val="000000"/>
                <w:u w:val="single"/>
              </w:rPr>
            </w:pPr>
            <w:r>
              <w:rPr>
                <w:bCs/>
                <w:color w:val="000000"/>
                <w:u w:val="single"/>
              </w:rPr>
              <w:t>Salary</w:t>
            </w:r>
            <w:r w:rsidRPr="006649A7">
              <w:rPr>
                <w:bCs/>
                <w:color w:val="000000"/>
                <w:u w:val="single"/>
              </w:rPr>
              <w:t xml:space="preserve"> Cost per Hour</w:t>
            </w:r>
          </w:p>
        </w:tc>
        <w:tc>
          <w:tcPr>
            <w:tcW w:w="1139" w:type="dxa"/>
            <w:tcBorders>
              <w:top w:val="single" w:color="auto" w:sz="4" w:space="0"/>
              <w:left w:val="nil"/>
              <w:bottom w:val="single" w:color="auto" w:sz="4" w:space="0"/>
              <w:right w:val="single" w:color="auto" w:sz="4" w:space="0"/>
            </w:tcBorders>
            <w:shd w:val="clear" w:color="auto" w:fill="auto"/>
            <w:vAlign w:val="bottom"/>
            <w:hideMark/>
          </w:tcPr>
          <w:p w:rsidRPr="006649A7" w:rsidR="001D5E57" w:rsidP="000825EB" w:rsidRDefault="001D5E57" w14:paraId="3D265E7F" w14:textId="1A21EF1F">
            <w:pPr>
              <w:jc w:val="center"/>
              <w:rPr>
                <w:bCs/>
                <w:color w:val="000000"/>
                <w:u w:val="single"/>
              </w:rPr>
            </w:pPr>
            <w:r w:rsidRPr="006649A7">
              <w:rPr>
                <w:bCs/>
                <w:color w:val="000000"/>
                <w:u w:val="single"/>
              </w:rPr>
              <w:t xml:space="preserve">Annual </w:t>
            </w:r>
            <w:r>
              <w:rPr>
                <w:bCs/>
                <w:color w:val="000000"/>
                <w:u w:val="single"/>
              </w:rPr>
              <w:t>Salary</w:t>
            </w:r>
            <w:r w:rsidRPr="006649A7">
              <w:rPr>
                <w:bCs/>
                <w:color w:val="000000"/>
                <w:u w:val="single"/>
              </w:rPr>
              <w:t xml:space="preserve"> Costs</w:t>
            </w:r>
          </w:p>
        </w:tc>
        <w:tc>
          <w:tcPr>
            <w:tcW w:w="1139" w:type="dxa"/>
            <w:tcBorders>
              <w:top w:val="single" w:color="auto" w:sz="4" w:space="0"/>
              <w:left w:val="nil"/>
              <w:bottom w:val="single" w:color="auto" w:sz="4" w:space="0"/>
              <w:right w:val="single" w:color="auto" w:sz="4" w:space="0"/>
            </w:tcBorders>
            <w:vAlign w:val="bottom"/>
          </w:tcPr>
          <w:p w:rsidRPr="006649A7" w:rsidR="001D5E57" w:rsidP="00A559DA" w:rsidRDefault="001D5E57" w14:paraId="02B6A8E9" w14:textId="45FBDFA3">
            <w:pPr>
              <w:jc w:val="center"/>
              <w:rPr>
                <w:bCs/>
                <w:color w:val="000000"/>
                <w:u w:val="single"/>
              </w:rPr>
            </w:pPr>
            <w:r>
              <w:rPr>
                <w:bCs/>
                <w:color w:val="000000"/>
                <w:u w:val="single"/>
              </w:rPr>
              <w:t>Annual Burden Costs</w:t>
            </w:r>
          </w:p>
        </w:tc>
      </w:tr>
      <w:tr w:rsidRPr="006649A7" w:rsidR="001D5E57" w:rsidTr="004F6436" w14:paraId="595519A5" w14:textId="777AE16B">
        <w:trPr>
          <w:trHeight w:val="77"/>
          <w:jc w:val="center"/>
        </w:trPr>
        <w:tc>
          <w:tcPr>
            <w:tcW w:w="1633" w:type="dxa"/>
            <w:tcBorders>
              <w:top w:val="nil"/>
              <w:left w:val="single" w:color="auto" w:sz="4" w:space="0"/>
              <w:bottom w:val="single" w:color="auto" w:sz="4" w:space="0"/>
              <w:right w:val="single" w:color="auto" w:sz="4" w:space="0"/>
            </w:tcBorders>
            <w:shd w:val="clear" w:color="auto" w:fill="auto"/>
            <w:vAlign w:val="bottom"/>
            <w:hideMark/>
          </w:tcPr>
          <w:p w:rsidRPr="006649A7" w:rsidR="001D5E57" w:rsidRDefault="001D5E57" w14:paraId="2AC10756" w14:textId="77777777">
            <w:pPr>
              <w:jc w:val="right"/>
              <w:rPr>
                <w:color w:val="000000"/>
              </w:rPr>
            </w:pPr>
            <w:r w:rsidRPr="006649A7">
              <w:rPr>
                <w:color w:val="000000"/>
              </w:rPr>
              <w:t>8</w:t>
            </w:r>
          </w:p>
        </w:tc>
        <w:tc>
          <w:tcPr>
            <w:tcW w:w="1580" w:type="dxa"/>
            <w:tcBorders>
              <w:top w:val="nil"/>
              <w:left w:val="nil"/>
              <w:bottom w:val="single" w:color="auto" w:sz="4" w:space="0"/>
              <w:right w:val="single" w:color="auto" w:sz="4" w:space="0"/>
            </w:tcBorders>
            <w:shd w:val="clear" w:color="auto" w:fill="auto"/>
            <w:vAlign w:val="bottom"/>
            <w:hideMark/>
          </w:tcPr>
          <w:p w:rsidRPr="006649A7" w:rsidR="001D5E57" w:rsidRDefault="001D5E57" w14:paraId="4A4343E3" w14:textId="77777777">
            <w:pPr>
              <w:jc w:val="right"/>
              <w:rPr>
                <w:color w:val="000000"/>
              </w:rPr>
            </w:pPr>
            <w:r w:rsidRPr="006649A7">
              <w:rPr>
                <w:color w:val="000000"/>
              </w:rPr>
              <w:t>1</w:t>
            </w:r>
          </w:p>
        </w:tc>
        <w:tc>
          <w:tcPr>
            <w:tcW w:w="1419" w:type="dxa"/>
            <w:tcBorders>
              <w:top w:val="nil"/>
              <w:left w:val="nil"/>
              <w:bottom w:val="single" w:color="auto" w:sz="4" w:space="0"/>
              <w:right w:val="single" w:color="auto" w:sz="4" w:space="0"/>
            </w:tcBorders>
            <w:shd w:val="clear" w:color="auto" w:fill="auto"/>
            <w:vAlign w:val="bottom"/>
            <w:hideMark/>
          </w:tcPr>
          <w:p w:rsidRPr="006649A7" w:rsidR="001D5E57" w:rsidRDefault="001D5E57" w14:paraId="1190268C" w14:textId="77777777">
            <w:pPr>
              <w:jc w:val="right"/>
              <w:rPr>
                <w:color w:val="000000"/>
              </w:rPr>
            </w:pPr>
            <w:r w:rsidRPr="006649A7">
              <w:rPr>
                <w:color w:val="000000"/>
              </w:rPr>
              <w:t>8</w:t>
            </w:r>
          </w:p>
        </w:tc>
        <w:tc>
          <w:tcPr>
            <w:tcW w:w="1343" w:type="dxa"/>
            <w:tcBorders>
              <w:top w:val="nil"/>
              <w:left w:val="nil"/>
              <w:bottom w:val="single" w:color="auto" w:sz="4" w:space="0"/>
              <w:right w:val="single" w:color="auto" w:sz="4" w:space="0"/>
            </w:tcBorders>
            <w:shd w:val="clear" w:color="auto" w:fill="auto"/>
            <w:vAlign w:val="bottom"/>
            <w:hideMark/>
          </w:tcPr>
          <w:p w:rsidRPr="006649A7" w:rsidR="001D5E57" w:rsidRDefault="001D5E57" w14:paraId="62237C7C" w14:textId="77777777">
            <w:pPr>
              <w:jc w:val="right"/>
              <w:rPr>
                <w:color w:val="000000"/>
              </w:rPr>
            </w:pPr>
            <w:r w:rsidRPr="006649A7">
              <w:rPr>
                <w:color w:val="000000"/>
              </w:rPr>
              <w:t>15</w:t>
            </w:r>
          </w:p>
        </w:tc>
        <w:tc>
          <w:tcPr>
            <w:tcW w:w="1164" w:type="dxa"/>
            <w:tcBorders>
              <w:top w:val="nil"/>
              <w:left w:val="nil"/>
              <w:bottom w:val="single" w:color="auto" w:sz="4" w:space="0"/>
              <w:right w:val="single" w:color="auto" w:sz="4" w:space="0"/>
            </w:tcBorders>
            <w:shd w:val="clear" w:color="auto" w:fill="auto"/>
            <w:vAlign w:val="bottom"/>
            <w:hideMark/>
          </w:tcPr>
          <w:p w:rsidRPr="006649A7" w:rsidR="001D5E57" w:rsidRDefault="001D5E57" w14:paraId="066B80A9" w14:textId="77777777">
            <w:pPr>
              <w:jc w:val="right"/>
              <w:rPr>
                <w:color w:val="000000"/>
              </w:rPr>
            </w:pPr>
            <w:r w:rsidRPr="006649A7">
              <w:rPr>
                <w:color w:val="000000"/>
              </w:rPr>
              <w:t>2</w:t>
            </w:r>
          </w:p>
        </w:tc>
        <w:tc>
          <w:tcPr>
            <w:tcW w:w="1072" w:type="dxa"/>
            <w:tcBorders>
              <w:top w:val="nil"/>
              <w:left w:val="nil"/>
              <w:bottom w:val="single" w:color="auto" w:sz="4" w:space="0"/>
              <w:right w:val="single" w:color="auto" w:sz="4" w:space="0"/>
            </w:tcBorders>
            <w:shd w:val="clear" w:color="auto" w:fill="auto"/>
            <w:vAlign w:val="bottom"/>
            <w:hideMark/>
          </w:tcPr>
          <w:p w:rsidRPr="006649A7" w:rsidR="001D5E57" w:rsidP="00A559DA" w:rsidRDefault="001D5E57" w14:paraId="65337E2D" w14:textId="2C683BDF">
            <w:pPr>
              <w:jc w:val="right"/>
              <w:rPr>
                <w:color w:val="000000"/>
              </w:rPr>
            </w:pPr>
            <w:r w:rsidRPr="006649A7">
              <w:rPr>
                <w:color w:val="000000"/>
              </w:rPr>
              <w:t>$</w:t>
            </w:r>
            <w:r>
              <w:rPr>
                <w:color w:val="000000"/>
              </w:rPr>
              <w:t>31.00</w:t>
            </w:r>
          </w:p>
        </w:tc>
        <w:tc>
          <w:tcPr>
            <w:tcW w:w="1139" w:type="dxa"/>
            <w:tcBorders>
              <w:top w:val="nil"/>
              <w:left w:val="nil"/>
              <w:bottom w:val="single" w:color="auto" w:sz="4" w:space="0"/>
              <w:right w:val="single" w:color="auto" w:sz="4" w:space="0"/>
            </w:tcBorders>
            <w:shd w:val="clear" w:color="auto" w:fill="auto"/>
            <w:vAlign w:val="bottom"/>
            <w:hideMark/>
          </w:tcPr>
          <w:p w:rsidRPr="006649A7" w:rsidR="001D5E57" w:rsidRDefault="001D5E57" w14:paraId="037C79B0" w14:textId="18B9B048">
            <w:pPr>
              <w:jc w:val="right"/>
              <w:rPr>
                <w:color w:val="000000"/>
              </w:rPr>
            </w:pPr>
            <w:r w:rsidRPr="006649A7">
              <w:rPr>
                <w:color w:val="000000"/>
              </w:rPr>
              <w:t>$</w:t>
            </w:r>
            <w:r>
              <w:rPr>
                <w:color w:val="000000"/>
              </w:rPr>
              <w:t>62</w:t>
            </w:r>
          </w:p>
        </w:tc>
        <w:tc>
          <w:tcPr>
            <w:tcW w:w="1139" w:type="dxa"/>
            <w:tcBorders>
              <w:top w:val="nil"/>
              <w:left w:val="nil"/>
              <w:bottom w:val="single" w:color="auto" w:sz="4" w:space="0"/>
              <w:right w:val="single" w:color="auto" w:sz="4" w:space="0"/>
            </w:tcBorders>
          </w:tcPr>
          <w:p w:rsidR="001D5E57" w:rsidP="001D5E57" w:rsidRDefault="001D5E57" w14:paraId="4026C540" w14:textId="53C8D788">
            <w:pPr>
              <w:jc w:val="right"/>
              <w:rPr>
                <w:color w:val="000000"/>
              </w:rPr>
            </w:pPr>
            <w:r>
              <w:rPr>
                <w:color w:val="000000"/>
              </w:rPr>
              <w:t>$0</w:t>
            </w:r>
          </w:p>
        </w:tc>
      </w:tr>
    </w:tbl>
    <w:p w:rsidR="00EC0D99" w:rsidP="00483D25" w:rsidRDefault="00EC0D99" w14:paraId="30C5BE70" w14:textId="77777777">
      <w:pPr>
        <w:rPr>
          <w:highlight w:val="white"/>
        </w:rPr>
      </w:pPr>
    </w:p>
    <w:p w:rsidRPr="00F811E5" w:rsidR="00C37D59" w:rsidP="00E81AE8" w:rsidRDefault="00C37D59" w14:paraId="2D278CF4" w14:textId="77777777"/>
    <w:p w:rsidRPr="00F811E5" w:rsidR="00C37D59" w:rsidP="00E81AE8" w:rsidRDefault="00DC7B18" w14:paraId="6157444E" w14:textId="3960B8C6">
      <w:r w:rsidRPr="00F811E5">
        <w:t>13.</w:t>
      </w:r>
      <w:r w:rsidRPr="00F811E5">
        <w:tab/>
      </w:r>
      <w:r w:rsidRPr="00F811E5" w:rsidR="00EE07DB">
        <w:rPr>
          <w:bCs/>
          <w:u w:val="single"/>
        </w:rPr>
        <w:t>Estimate of total annual costs to respondents</w:t>
      </w:r>
    </w:p>
    <w:p w:rsidRPr="00F811E5" w:rsidR="00C37D59" w:rsidP="00E81AE8" w:rsidRDefault="00C37D59" w14:paraId="6BE4521B" w14:textId="77777777"/>
    <w:p w:rsidRPr="00F811E5" w:rsidR="00912212" w:rsidP="00E81AE8" w:rsidRDefault="000825EB" w14:paraId="312EB39F" w14:textId="6E94E808">
      <w:r>
        <w:t xml:space="preserve">PHMSA </w:t>
      </w:r>
      <w:r w:rsidR="001D5E57">
        <w:t>does not estimate any</w:t>
      </w:r>
      <w:r>
        <w:t xml:space="preserve"> out-of-pocket expenses for these information collection activities.</w:t>
      </w:r>
    </w:p>
    <w:p w:rsidR="00B608FA" w:rsidP="00E81AE8" w:rsidRDefault="00B608FA" w14:paraId="67AD9E1F" w14:textId="77777777"/>
    <w:p w:rsidRPr="00F811E5" w:rsidR="008C3036" w:rsidP="00E81AE8" w:rsidRDefault="008C3036" w14:paraId="0A97F06B" w14:textId="77777777"/>
    <w:p w:rsidRPr="00F811E5" w:rsidR="00C37D59" w:rsidP="00E81AE8" w:rsidRDefault="00C37D59" w14:paraId="01EEF498" w14:textId="032C4262">
      <w:pPr>
        <w:tabs>
          <w:tab w:val="left" w:pos="720"/>
        </w:tabs>
        <w:ind w:left="720" w:hanging="720"/>
      </w:pPr>
      <w:r w:rsidRPr="00F811E5">
        <w:t>14.</w:t>
      </w:r>
      <w:r w:rsidRPr="00F811E5">
        <w:tab/>
      </w:r>
      <w:r w:rsidRPr="00F811E5" w:rsidR="00EE07DB">
        <w:rPr>
          <w:bCs/>
          <w:u w:val="single"/>
        </w:rPr>
        <w:t xml:space="preserve">Estimate of cost to the Federal </w:t>
      </w:r>
      <w:r w:rsidR="00D632F5">
        <w:rPr>
          <w:bCs/>
          <w:u w:val="single"/>
        </w:rPr>
        <w:t>G</w:t>
      </w:r>
      <w:r w:rsidRPr="00F811E5" w:rsidR="00EE07DB">
        <w:rPr>
          <w:bCs/>
          <w:u w:val="single"/>
        </w:rPr>
        <w:t>overnment</w:t>
      </w:r>
    </w:p>
    <w:p w:rsidRPr="00F811E5" w:rsidR="00C37D59" w:rsidP="00E81AE8" w:rsidRDefault="00C37D59" w14:paraId="472A15C7" w14:textId="77777777"/>
    <w:p w:rsidR="004D0E4C" w:rsidP="006649A7" w:rsidRDefault="00EC0D99" w14:paraId="349253BB" w14:textId="53FB6A6A">
      <w:r>
        <w:t xml:space="preserve">There are no costs to the Federal </w:t>
      </w:r>
      <w:r w:rsidR="00D632F5">
        <w:t>G</w:t>
      </w:r>
      <w:r>
        <w:t>overnment</w:t>
      </w:r>
      <w:r w:rsidR="007156B0">
        <w:t>.</w:t>
      </w:r>
    </w:p>
    <w:p w:rsidR="004D0E4C" w:rsidP="004D0E4C" w:rsidRDefault="004D0E4C" w14:paraId="6CA2EEA5" w14:textId="77777777"/>
    <w:p w:rsidR="004D0E4C" w:rsidP="004D0E4C" w:rsidRDefault="004D0E4C" w14:paraId="41AA153F" w14:textId="77777777"/>
    <w:p w:rsidRPr="00F811E5" w:rsidR="00C37D59" w:rsidP="004D0E4C" w:rsidRDefault="00C37D59" w14:paraId="34FDDB8B" w14:textId="6F2E42EB">
      <w:r w:rsidRPr="00F811E5">
        <w:lastRenderedPageBreak/>
        <w:t>15.</w:t>
      </w:r>
      <w:r w:rsidRPr="00F811E5">
        <w:tab/>
      </w:r>
      <w:r w:rsidRPr="00F811E5" w:rsidR="00EE07DB">
        <w:rPr>
          <w:bCs/>
          <w:u w:val="single"/>
        </w:rPr>
        <w:t>Explanation of program changes or adjustments</w:t>
      </w:r>
    </w:p>
    <w:p w:rsidRPr="00F811E5" w:rsidR="00C37D59" w:rsidP="00E81AE8" w:rsidRDefault="00C37D59" w14:paraId="09DC2C2E" w14:textId="77777777"/>
    <w:p w:rsidR="004D0E4C" w:rsidP="004D0E4C" w:rsidRDefault="00A559DA" w14:paraId="5E979B87" w14:textId="07397483">
      <w:r w:rsidRPr="00A559DA">
        <w:t xml:space="preserve">This </w:t>
      </w:r>
      <w:r>
        <w:t>request</w:t>
      </w:r>
      <w:r w:rsidRPr="00A559DA">
        <w:t xml:space="preserve"> reflects an increase in </w:t>
      </w:r>
      <w:r>
        <w:t xml:space="preserve">two </w:t>
      </w:r>
      <w:r w:rsidR="00EF01EF">
        <w:t>existing</w:t>
      </w:r>
      <w:r>
        <w:t xml:space="preserve"> information collections and two new information collections. </w:t>
      </w:r>
      <w:r w:rsidRPr="00A559DA">
        <w:t xml:space="preserve">The increase stems from a final rule published on </w:t>
      </w:r>
      <w:r>
        <w:t>December 28</w:t>
      </w:r>
      <w:r w:rsidRPr="00A559DA">
        <w:t>, 2020, titled “Hazardous Materials: Hazardous Materials: Miscellaneous Amendments Pertaining to DOT-Specification Cylinders” [HM</w:t>
      </w:r>
      <w:r>
        <w:t>-23</w:t>
      </w:r>
      <w:r w:rsidRPr="00A559DA">
        <w:t xml:space="preserve">4; 85 FR </w:t>
      </w:r>
      <w:r>
        <w:t>85380], which amended certain requirements for the manufacture, use, and requalification of specification cylinders.</w:t>
      </w:r>
      <w:r w:rsidR="00A8757D">
        <w:t xml:space="preserve"> In addition, PHMSA has adjusted four information collections to account for the actual number of cylinder manufacture and requalification facilities, based on the current number of approvals that PHMSA has issued.</w:t>
      </w:r>
    </w:p>
    <w:p w:rsidR="004D0E4C" w:rsidP="004D0E4C" w:rsidRDefault="004D0E4C" w14:paraId="79367A6F" w14:textId="77777777"/>
    <w:p w:rsidR="00EC0D99" w:rsidP="004D0E4C" w:rsidRDefault="00EC0D99" w14:paraId="3A03DFD9" w14:textId="77777777"/>
    <w:p w:rsidRPr="00F811E5" w:rsidR="00C37D59" w:rsidP="004D0E4C" w:rsidRDefault="00C37D59" w14:paraId="41AF547C" w14:textId="39CAD3E2">
      <w:r w:rsidRPr="00F811E5">
        <w:t>16.</w:t>
      </w:r>
      <w:r w:rsidRPr="00F811E5">
        <w:tab/>
      </w:r>
      <w:r w:rsidRPr="00F811E5" w:rsidR="00EE07DB">
        <w:rPr>
          <w:bCs/>
          <w:u w:val="single"/>
        </w:rPr>
        <w:t>Publication of results of data collection</w:t>
      </w:r>
    </w:p>
    <w:p w:rsidRPr="00F811E5" w:rsidR="00C37D59" w:rsidP="00E81AE8" w:rsidRDefault="00C37D59" w14:paraId="7E48EBEA" w14:textId="77777777"/>
    <w:p w:rsidR="004D0E4C" w:rsidP="004D0E4C" w:rsidRDefault="000825EB" w14:paraId="4E8F6C2A" w14:textId="18D05367">
      <w:r>
        <w:t xml:space="preserve">The information is marked on the DOT cylinder, but there is no publication of the data collected by PHMSA. </w:t>
      </w:r>
      <w:r w:rsidRPr="00F811E5" w:rsidR="00C37D59">
        <w:t>There is no statistical techniques involved.</w:t>
      </w:r>
    </w:p>
    <w:p w:rsidR="004D0E4C" w:rsidP="004D0E4C" w:rsidRDefault="004D0E4C" w14:paraId="6F356058" w14:textId="77777777"/>
    <w:p w:rsidR="004D0E4C" w:rsidP="004D0E4C" w:rsidRDefault="004D0E4C" w14:paraId="6DBE0F0B" w14:textId="77777777"/>
    <w:p w:rsidRPr="00F811E5" w:rsidR="00C37D59" w:rsidP="004D0E4C" w:rsidRDefault="00C37D59" w14:paraId="2F541B99" w14:textId="352F57E6">
      <w:r w:rsidRPr="00F811E5">
        <w:t>17.</w:t>
      </w:r>
      <w:r w:rsidRPr="00F811E5">
        <w:tab/>
      </w:r>
      <w:r w:rsidRPr="00F811E5" w:rsidR="00EE07DB">
        <w:rPr>
          <w:bCs/>
          <w:u w:val="single"/>
        </w:rPr>
        <w:t>Approval for not displaying the expiration date of OMB approval</w:t>
      </w:r>
    </w:p>
    <w:p w:rsidRPr="00F811E5" w:rsidR="00C37D59" w:rsidP="00E81AE8" w:rsidRDefault="00C37D59" w14:paraId="48B38723" w14:textId="77777777"/>
    <w:p w:rsidR="004D0E4C" w:rsidP="004D0E4C" w:rsidRDefault="00C37D59" w14:paraId="2A54194A" w14:textId="77777777">
      <w:r w:rsidRPr="00F811E5">
        <w:t xml:space="preserve">Approved OMB number </w:t>
      </w:r>
      <w:r w:rsidR="00FE21DC">
        <w:t xml:space="preserve">2137-0022 </w:t>
      </w:r>
      <w:r w:rsidRPr="00F811E5">
        <w:t>is prominently displayed in the text of 49 CFR 171.6</w:t>
      </w:r>
      <w:r w:rsidR="00FE21DC">
        <w:t xml:space="preserve"> of the HMR.</w:t>
      </w:r>
      <w:r w:rsidRPr="00F811E5">
        <w:t xml:space="preserve"> </w:t>
      </w:r>
    </w:p>
    <w:p w:rsidR="004D0E4C" w:rsidP="004D0E4C" w:rsidRDefault="004D0E4C" w14:paraId="775B01F9" w14:textId="77777777"/>
    <w:p w:rsidR="004D0E4C" w:rsidP="004D0E4C" w:rsidRDefault="004D0E4C" w14:paraId="7967A258" w14:textId="77777777"/>
    <w:p w:rsidRPr="00F811E5" w:rsidR="00C37D59" w:rsidP="004F6436" w:rsidRDefault="00C37D59" w14:paraId="17CBF199" w14:textId="77777777">
      <w:pPr>
        <w:keepNext/>
        <w:keepLines/>
      </w:pPr>
      <w:r w:rsidRPr="00F811E5">
        <w:t>18.</w:t>
      </w:r>
      <w:r w:rsidRPr="00F811E5">
        <w:tab/>
      </w:r>
      <w:r w:rsidRPr="00F811E5" w:rsidR="00EE07DB">
        <w:rPr>
          <w:bCs/>
          <w:u w:val="single"/>
        </w:rPr>
        <w:t>Exceptions to certification statement</w:t>
      </w:r>
      <w:r w:rsidRPr="00F811E5">
        <w:t>.</w:t>
      </w:r>
    </w:p>
    <w:p w:rsidRPr="00F811E5" w:rsidR="00C37D59" w:rsidP="004F6436" w:rsidRDefault="00C37D59" w14:paraId="06003627" w14:textId="77777777">
      <w:pPr>
        <w:keepNext/>
        <w:keepLines/>
      </w:pPr>
    </w:p>
    <w:p w:rsidR="00C37D59" w:rsidP="00E81AE8" w:rsidRDefault="00C37D59" w14:paraId="512A3927" w14:textId="77777777">
      <w:r w:rsidRPr="00F811E5">
        <w:t xml:space="preserve">There is no exception to </w:t>
      </w:r>
      <w:r w:rsidRPr="00F811E5" w:rsidR="00313A45">
        <w:t>PHMSA</w:t>
      </w:r>
      <w:r w:rsidRPr="00F811E5">
        <w:t>'s certification of this request for in</w:t>
      </w:r>
      <w:r w:rsidR="00283B56">
        <w:t>formation collection approval.</w:t>
      </w:r>
    </w:p>
    <w:sectPr w:rsidR="00C37D59" w:rsidSect="00533491">
      <w:footerReference w:type="even"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E18760" w16cex:dateUtc="2021-02-17T20:31:28.158Z"/>
  <w16cex:commentExtensible w16cex:durableId="472B7578" w16cex:dateUtc="2021-02-17T20:46:54.6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AB1" w:rsidRDefault="00CC2AB1" w14:paraId="7A4FAAA7" w14:textId="77777777">
      <w:r>
        <w:separator/>
      </w:r>
    </w:p>
  </w:endnote>
  <w:endnote w:type="continuationSeparator" w:id="0">
    <w:p w:rsidR="00CC2AB1" w:rsidRDefault="00CC2AB1" w14:paraId="4BA068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AB1" w:rsidP="00D73FB5" w:rsidRDefault="00CC2AB1" w14:paraId="52666BB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AB1" w:rsidRDefault="00CC2AB1" w14:paraId="3E3E72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AB1" w:rsidP="00D73FB5" w:rsidRDefault="00CC2AB1" w14:paraId="527D63AE" w14:textId="670BB048">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367">
      <w:rPr>
        <w:rStyle w:val="PageNumber"/>
        <w:noProof/>
      </w:rPr>
      <w:t>7</w:t>
    </w:r>
    <w:r>
      <w:rPr>
        <w:rStyle w:val="PageNumber"/>
      </w:rPr>
      <w:fldChar w:fldCharType="end"/>
    </w:r>
  </w:p>
  <w:p w:rsidR="00CC2AB1" w:rsidRDefault="00CC2AB1" w14:paraId="2F65F1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AB1" w:rsidRDefault="00CC2AB1" w14:paraId="54E3A34A" w14:textId="77777777">
      <w:r>
        <w:separator/>
      </w:r>
    </w:p>
  </w:footnote>
  <w:footnote w:type="continuationSeparator" w:id="0">
    <w:p w:rsidR="00CC2AB1" w:rsidRDefault="00CC2AB1" w14:paraId="5558A130" w14:textId="77777777">
      <w:r>
        <w:continuationSeparator/>
      </w:r>
    </w:p>
  </w:footnote>
  <w:footnote w:id="1">
    <w:p w:rsidR="00CC2AB1" w:rsidRDefault="00CC2AB1" w14:paraId="171417A8" w14:textId="4C3EDF7F">
      <w:pPr>
        <w:pStyle w:val="FootnoteText"/>
      </w:pPr>
      <w:r>
        <w:rPr>
          <w:rStyle w:val="FootnoteReference"/>
        </w:rPr>
        <w:footnoteRef/>
      </w:r>
      <w:r>
        <w:t xml:space="preserve"> </w:t>
      </w:r>
      <w:r w:rsidRPr="00391EC0">
        <w:t xml:space="preserve">Occupation labor rates based on 2019 Occupational and Employment Statistics Survey (OES) for “Miscellaneous Construction and Related Workers (47-4090)” https://www.bls.gov/oes/current/oes474090.htm. </w:t>
      </w:r>
      <w:bookmarkStart w:name="_GoBack" w:id="0"/>
      <w:bookmarkEnd w:id="0"/>
      <w:r w:rsidRPr="00391EC0">
        <w:t>The hourly mean wage for this occupation ($21.17)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CC2AB1" w:rsidRDefault="00CC2AB1" w14:paraId="19DE285E" w14:textId="6F14A74E">
      <w:pPr>
        <w:pStyle w:val="FootnoteText"/>
      </w:pPr>
      <w:r>
        <w:rPr>
          <w:rStyle w:val="FootnoteReference"/>
        </w:rPr>
        <w:footnoteRef/>
      </w:r>
      <w:r>
        <w:t xml:space="preserve"> Ibid.</w:t>
      </w:r>
    </w:p>
  </w:footnote>
  <w:footnote w:id="3">
    <w:p w:rsidR="00CC2AB1" w:rsidRDefault="00CC2AB1" w14:paraId="011304D0" w14:textId="71F098EB">
      <w:pPr>
        <w:pStyle w:val="FootnoteText"/>
      </w:pPr>
      <w:r>
        <w:rPr>
          <w:rStyle w:val="FootnoteReference"/>
        </w:rPr>
        <w:footnoteRef/>
      </w:r>
      <w:r>
        <w:t xml:space="preserve"> Ibid.</w:t>
      </w:r>
    </w:p>
  </w:footnote>
  <w:footnote w:id="4">
    <w:p w:rsidR="00CC2AB1" w:rsidRDefault="00CC2AB1" w14:paraId="6CD84DD5" w14:textId="77F5AA61">
      <w:pPr>
        <w:pStyle w:val="FootnoteText"/>
      </w:pPr>
      <w:r>
        <w:rPr>
          <w:rStyle w:val="FootnoteReference"/>
        </w:rPr>
        <w:footnoteRef/>
      </w:r>
      <w:r>
        <w:t xml:space="preserve"> Ibid.</w:t>
      </w:r>
    </w:p>
  </w:footnote>
  <w:footnote w:id="5">
    <w:p w:rsidR="00CC2AB1" w:rsidRDefault="00CC2AB1" w14:paraId="079CF446" w14:textId="3ECE1D3C">
      <w:pPr>
        <w:pStyle w:val="FootnoteText"/>
      </w:pPr>
      <w:r>
        <w:rPr>
          <w:rStyle w:val="FootnoteReference"/>
        </w:rPr>
        <w:footnoteRef/>
      </w:r>
      <w:r>
        <w:t xml:space="preserve"> Ibid.</w:t>
      </w:r>
    </w:p>
  </w:footnote>
  <w:footnote w:id="6">
    <w:p w:rsidR="00CC2AB1" w:rsidRDefault="00CC2AB1" w14:paraId="2A332B82" w14:textId="3802305A">
      <w:pPr>
        <w:pStyle w:val="FootnoteText"/>
      </w:pPr>
      <w:r>
        <w:rPr>
          <w:rStyle w:val="FootnoteReference"/>
        </w:rPr>
        <w:footnoteRef/>
      </w:r>
      <w:r>
        <w:t xml:space="preserve"> Ibid.</w:t>
      </w:r>
    </w:p>
  </w:footnote>
  <w:footnote w:id="7">
    <w:p w:rsidR="00D406D2" w:rsidRDefault="00D406D2" w14:paraId="2D6A7BC0" w14:textId="52456053">
      <w:pPr>
        <w:pStyle w:val="FootnoteText"/>
      </w:pPr>
      <w:r>
        <w:rPr>
          <w:rStyle w:val="FootnoteReference"/>
        </w:rPr>
        <w:footnoteRef/>
      </w:r>
      <w:r>
        <w:t xml:space="preserve"> Ibid.</w:t>
      </w:r>
    </w:p>
  </w:footnote>
  <w:footnote w:id="8">
    <w:p w:rsidR="00E11776" w:rsidRDefault="00E11776" w14:paraId="736C0644" w14:textId="68D078C1">
      <w:pPr>
        <w:pStyle w:val="FootnoteText"/>
      </w:pPr>
      <w:r>
        <w:rPr>
          <w:rStyle w:val="FootnoteReference"/>
        </w:rPr>
        <w:footnoteRef/>
      </w:r>
      <w:r>
        <w:t xml:space="preserve"> Ibid.</w:t>
      </w:r>
    </w:p>
  </w:footnote>
  <w:footnote w:id="9">
    <w:p w:rsidR="00E11776" w:rsidRDefault="00E11776" w14:paraId="02518D13" w14:textId="5A403562">
      <w:pPr>
        <w:pStyle w:val="FootnoteText"/>
      </w:pPr>
      <w:r>
        <w:rPr>
          <w:rStyle w:val="FootnoteReference"/>
        </w:rPr>
        <w:footnoteRef/>
      </w:r>
      <w:r>
        <w:t xml:space="preserve"> Ibid.</w:t>
      </w:r>
    </w:p>
  </w:footnote>
  <w:footnote w:id="10">
    <w:p w:rsidR="00E11776" w:rsidRDefault="00E11776" w14:paraId="0ABD3B46" w14:textId="6B7F9383">
      <w:pPr>
        <w:pStyle w:val="FootnoteText"/>
      </w:pPr>
      <w:r>
        <w:rPr>
          <w:rStyle w:val="FootnoteReference"/>
        </w:rPr>
        <w:footnoteRef/>
      </w:r>
      <w:r>
        <w:t xml:space="preserve"> Ibid.</w:t>
      </w:r>
    </w:p>
  </w:footnote>
  <w:footnote w:id="11">
    <w:p w:rsidR="001D5E57" w:rsidRDefault="001D5E57" w14:paraId="474BF36F" w14:textId="52CD7952">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B38"/>
    <w:multiLevelType w:val="hybridMultilevel"/>
    <w:tmpl w:val="83AE53E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F1619"/>
    <w:multiLevelType w:val="hybridMultilevel"/>
    <w:tmpl w:val="BFF81B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D30042"/>
    <w:multiLevelType w:val="hybridMultilevel"/>
    <w:tmpl w:val="C660CE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E49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160722"/>
    <w:multiLevelType w:val="hybridMultilevel"/>
    <w:tmpl w:val="604810E2"/>
    <w:lvl w:ilvl="0" w:tplc="7946FB4C">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676E"/>
    <w:multiLevelType w:val="hybridMultilevel"/>
    <w:tmpl w:val="354ACEB0"/>
    <w:lvl w:ilvl="0" w:tplc="222EB944">
      <w:start w:val="1"/>
      <w:numFmt w:val="decimal"/>
      <w:lvlText w:val="%1."/>
      <w:legacy w:legacy="1" w:legacySpace="0" w:legacyIndent="720"/>
      <w:lvlJc w:val="left"/>
      <w:pPr>
        <w:ind w:left="720" w:hanging="720"/>
      </w:pPr>
    </w:lvl>
    <w:lvl w:ilvl="1" w:tplc="0C0CA4CC">
      <w:start w:val="1"/>
      <w:numFmt w:val="decimal"/>
      <w:lvlText w:val="%2."/>
      <w:legacy w:legacy="1" w:legacySpace="0" w:legacyIndent="720"/>
      <w:lvlJc w:val="left"/>
      <w:pPr>
        <w:ind w:left="1440" w:hanging="720"/>
      </w:pPr>
    </w:lvl>
    <w:lvl w:ilvl="2" w:tplc="BE7885AE">
      <w:start w:val="1"/>
      <w:numFmt w:val="decimal"/>
      <w:lvlText w:val="%3."/>
      <w:legacy w:legacy="1" w:legacySpace="0" w:legacyIndent="720"/>
      <w:lvlJc w:val="left"/>
      <w:pPr>
        <w:ind w:left="2160" w:hanging="720"/>
      </w:pPr>
    </w:lvl>
    <w:lvl w:ilvl="3" w:tplc="04FA6072">
      <w:start w:val="1"/>
      <w:numFmt w:val="decimal"/>
      <w:lvlText w:val="%4."/>
      <w:legacy w:legacy="1" w:legacySpace="0" w:legacyIndent="720"/>
      <w:lvlJc w:val="left"/>
      <w:pPr>
        <w:ind w:left="2880" w:hanging="720"/>
      </w:pPr>
    </w:lvl>
    <w:lvl w:ilvl="4" w:tplc="8ED85590">
      <w:start w:val="1"/>
      <w:numFmt w:val="decimal"/>
      <w:lvlText w:val="%5."/>
      <w:legacy w:legacy="1" w:legacySpace="0" w:legacyIndent="720"/>
      <w:lvlJc w:val="left"/>
      <w:pPr>
        <w:ind w:left="3600" w:hanging="720"/>
      </w:pPr>
    </w:lvl>
    <w:lvl w:ilvl="5" w:tplc="0F9C4992">
      <w:start w:val="1"/>
      <w:numFmt w:val="decimal"/>
      <w:lvlText w:val="%6."/>
      <w:legacy w:legacy="1" w:legacySpace="0" w:legacyIndent="720"/>
      <w:lvlJc w:val="left"/>
      <w:pPr>
        <w:ind w:left="4320" w:hanging="720"/>
      </w:pPr>
    </w:lvl>
    <w:lvl w:ilvl="6" w:tplc="EBBE9206">
      <w:start w:val="1"/>
      <w:numFmt w:val="decimal"/>
      <w:lvlText w:val="%7."/>
      <w:legacy w:legacy="1" w:legacySpace="0" w:legacyIndent="720"/>
      <w:lvlJc w:val="left"/>
      <w:pPr>
        <w:ind w:left="5040" w:hanging="720"/>
      </w:pPr>
    </w:lvl>
    <w:lvl w:ilvl="7" w:tplc="716A77A4">
      <w:start w:val="1"/>
      <w:numFmt w:val="decimal"/>
      <w:lvlText w:val="%8."/>
      <w:legacy w:legacy="1" w:legacySpace="0" w:legacyIndent="720"/>
      <w:lvlJc w:val="left"/>
      <w:pPr>
        <w:ind w:left="5760" w:hanging="720"/>
      </w:pPr>
    </w:lvl>
    <w:lvl w:ilvl="8" w:tplc="4776EC2A">
      <w:start w:val="1"/>
      <w:numFmt w:val="lowerRoman"/>
      <w:lvlText w:val="%9"/>
      <w:legacy w:legacy="1" w:legacySpace="0" w:legacyIndent="720"/>
      <w:lvlJc w:val="left"/>
      <w:pPr>
        <w:ind w:left="6480" w:hanging="720"/>
      </w:pPr>
    </w:lvl>
  </w:abstractNum>
  <w:abstractNum w:abstractNumId="6" w15:restartNumberingAfterBreak="0">
    <w:nsid w:val="25E1597F"/>
    <w:multiLevelType w:val="hybridMultilevel"/>
    <w:tmpl w:val="6616D8E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521BE"/>
    <w:multiLevelType w:val="hybridMultilevel"/>
    <w:tmpl w:val="398868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8A2874"/>
    <w:multiLevelType w:val="hybridMultilevel"/>
    <w:tmpl w:val="5088E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5D404E"/>
    <w:multiLevelType w:val="hybridMultilevel"/>
    <w:tmpl w:val="6DE686EA"/>
    <w:lvl w:ilvl="0" w:tplc="EF2AA74A">
      <w:start w:val="1"/>
      <w:numFmt w:val="upperRoman"/>
      <w:lvlText w:val="%1."/>
      <w:legacy w:legacy="1" w:legacySpace="0" w:legacyIndent="720"/>
      <w:lvlJc w:val="left"/>
      <w:pPr>
        <w:ind w:left="720" w:hanging="720"/>
      </w:pPr>
    </w:lvl>
    <w:lvl w:ilvl="1" w:tplc="504C0E52">
      <w:start w:val="1"/>
      <w:numFmt w:val="upperLetter"/>
      <w:lvlText w:val="%2."/>
      <w:legacy w:legacy="1" w:legacySpace="0" w:legacyIndent="720"/>
      <w:lvlJc w:val="left"/>
      <w:pPr>
        <w:ind w:left="1440" w:hanging="720"/>
      </w:pPr>
    </w:lvl>
    <w:lvl w:ilvl="2" w:tplc="CB78706A">
      <w:start w:val="1"/>
      <w:numFmt w:val="decimal"/>
      <w:lvlText w:val="%3."/>
      <w:legacy w:legacy="1" w:legacySpace="0" w:legacyIndent="720"/>
      <w:lvlJc w:val="left"/>
      <w:pPr>
        <w:ind w:left="2160" w:hanging="720"/>
      </w:pPr>
    </w:lvl>
    <w:lvl w:ilvl="3" w:tplc="F7B205E2">
      <w:start w:val="1"/>
      <w:numFmt w:val="lowerLetter"/>
      <w:lvlText w:val="%4)"/>
      <w:legacy w:legacy="1" w:legacySpace="0" w:legacyIndent="720"/>
      <w:lvlJc w:val="left"/>
      <w:pPr>
        <w:ind w:left="2880" w:hanging="720"/>
      </w:pPr>
    </w:lvl>
    <w:lvl w:ilvl="4" w:tplc="F44EDBAE">
      <w:start w:val="1"/>
      <w:numFmt w:val="decimal"/>
      <w:lvlText w:val="(%5)"/>
      <w:legacy w:legacy="1" w:legacySpace="0" w:legacyIndent="720"/>
      <w:lvlJc w:val="left"/>
      <w:pPr>
        <w:ind w:left="3600" w:hanging="720"/>
      </w:pPr>
    </w:lvl>
    <w:lvl w:ilvl="5" w:tplc="467EE3C8">
      <w:start w:val="1"/>
      <w:numFmt w:val="lowerLetter"/>
      <w:lvlText w:val="(%6)"/>
      <w:legacy w:legacy="1" w:legacySpace="0" w:legacyIndent="720"/>
      <w:lvlJc w:val="left"/>
      <w:pPr>
        <w:ind w:left="4320" w:hanging="720"/>
      </w:pPr>
    </w:lvl>
    <w:lvl w:ilvl="6" w:tplc="F57054B0">
      <w:start w:val="1"/>
      <w:numFmt w:val="lowerRoman"/>
      <w:lvlText w:val="(%7)"/>
      <w:legacy w:legacy="1" w:legacySpace="0" w:legacyIndent="720"/>
      <w:lvlJc w:val="left"/>
      <w:pPr>
        <w:ind w:left="5040" w:hanging="720"/>
      </w:pPr>
    </w:lvl>
    <w:lvl w:ilvl="7" w:tplc="4C0A7F8C">
      <w:start w:val="1"/>
      <w:numFmt w:val="lowerLetter"/>
      <w:lvlText w:val="(%8)"/>
      <w:legacy w:legacy="1" w:legacySpace="0" w:legacyIndent="720"/>
      <w:lvlJc w:val="left"/>
      <w:pPr>
        <w:ind w:left="5760" w:hanging="720"/>
      </w:pPr>
    </w:lvl>
    <w:lvl w:ilvl="8" w:tplc="B0F4FC80">
      <w:start w:val="1"/>
      <w:numFmt w:val="lowerRoman"/>
      <w:lvlText w:val="(%9)"/>
      <w:legacy w:legacy="1" w:legacySpace="0" w:legacyIndent="720"/>
      <w:lvlJc w:val="left"/>
      <w:pPr>
        <w:ind w:left="6480" w:hanging="720"/>
      </w:pPr>
    </w:lvl>
  </w:abstractNum>
  <w:abstractNum w:abstractNumId="10" w15:restartNumberingAfterBreak="0">
    <w:nsid w:val="354D0A3B"/>
    <w:multiLevelType w:val="hybridMultilevel"/>
    <w:tmpl w:val="7774F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E36797"/>
    <w:multiLevelType w:val="hybridMultilevel"/>
    <w:tmpl w:val="D562A6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341237"/>
    <w:multiLevelType w:val="hybridMultilevel"/>
    <w:tmpl w:val="F77AA6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4A5A07"/>
    <w:multiLevelType w:val="hybridMultilevel"/>
    <w:tmpl w:val="187E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B419A"/>
    <w:multiLevelType w:val="hybridMultilevel"/>
    <w:tmpl w:val="F5EAC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7025E1"/>
    <w:multiLevelType w:val="hybridMultilevel"/>
    <w:tmpl w:val="86ACDBA8"/>
    <w:lvl w:ilvl="0" w:tplc="43F0A496">
      <w:start w:val="1"/>
      <w:numFmt w:val="lowerRoman"/>
      <w:lvlText w:val="(%1)"/>
      <w:lvlJc w:val="left"/>
      <w:pPr>
        <w:ind w:left="1080" w:hanging="72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D1130"/>
    <w:multiLevelType w:val="hybridMultilevel"/>
    <w:tmpl w:val="399ED5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DA82D6D"/>
    <w:multiLevelType w:val="hybridMultilevel"/>
    <w:tmpl w:val="C6FEB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172CE5"/>
    <w:multiLevelType w:val="hybridMultilevel"/>
    <w:tmpl w:val="5428FD52"/>
    <w:lvl w:ilvl="0" w:tplc="391A0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2546C"/>
    <w:multiLevelType w:val="hybridMultilevel"/>
    <w:tmpl w:val="F8348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30A3673"/>
    <w:multiLevelType w:val="multilevel"/>
    <w:tmpl w:val="354ACEB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64A72BEF"/>
    <w:multiLevelType w:val="hybridMultilevel"/>
    <w:tmpl w:val="46E40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5524DC0"/>
    <w:multiLevelType w:val="hybridMultilevel"/>
    <w:tmpl w:val="2BC0B57E"/>
    <w:lvl w:ilvl="0" w:tplc="04090001">
      <w:start w:val="1"/>
      <w:numFmt w:val="bullet"/>
      <w:lvlText w:val=""/>
      <w:lvlJc w:val="left"/>
      <w:pPr>
        <w:ind w:left="1080" w:hanging="72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C0091"/>
    <w:multiLevelType w:val="hybridMultilevel"/>
    <w:tmpl w:val="E2B02970"/>
    <w:lvl w:ilvl="0" w:tplc="026E7AEC">
      <w:start w:val="13"/>
      <w:numFmt w:val="decimal"/>
      <w:lvlText w:val="%1."/>
      <w:legacy w:legacy="1" w:legacySpace="0" w:legacyIndent="720"/>
      <w:lvlJc w:val="left"/>
      <w:pPr>
        <w:ind w:left="720" w:hanging="720"/>
      </w:pPr>
    </w:lvl>
    <w:lvl w:ilvl="1" w:tplc="1E945C88">
      <w:start w:val="1"/>
      <w:numFmt w:val="decimal"/>
      <w:lvlText w:val="%2."/>
      <w:legacy w:legacy="1" w:legacySpace="0" w:legacyIndent="720"/>
      <w:lvlJc w:val="left"/>
      <w:pPr>
        <w:ind w:left="1440" w:hanging="720"/>
      </w:pPr>
    </w:lvl>
    <w:lvl w:ilvl="2" w:tplc="39E2E4F4">
      <w:start w:val="1"/>
      <w:numFmt w:val="decimal"/>
      <w:lvlText w:val="%3."/>
      <w:legacy w:legacy="1" w:legacySpace="0" w:legacyIndent="720"/>
      <w:lvlJc w:val="left"/>
      <w:pPr>
        <w:ind w:left="2160" w:hanging="720"/>
      </w:pPr>
    </w:lvl>
    <w:lvl w:ilvl="3" w:tplc="128252FA">
      <w:start w:val="1"/>
      <w:numFmt w:val="decimal"/>
      <w:lvlText w:val="%4."/>
      <w:legacy w:legacy="1" w:legacySpace="0" w:legacyIndent="720"/>
      <w:lvlJc w:val="left"/>
      <w:pPr>
        <w:ind w:left="2880" w:hanging="720"/>
      </w:pPr>
    </w:lvl>
    <w:lvl w:ilvl="4" w:tplc="B60C8868">
      <w:start w:val="1"/>
      <w:numFmt w:val="decimal"/>
      <w:lvlText w:val="%5."/>
      <w:legacy w:legacy="1" w:legacySpace="0" w:legacyIndent="720"/>
      <w:lvlJc w:val="left"/>
      <w:pPr>
        <w:ind w:left="3600" w:hanging="720"/>
      </w:pPr>
    </w:lvl>
    <w:lvl w:ilvl="5" w:tplc="627A4DE4">
      <w:start w:val="1"/>
      <w:numFmt w:val="decimal"/>
      <w:lvlText w:val="%6."/>
      <w:legacy w:legacy="1" w:legacySpace="0" w:legacyIndent="720"/>
      <w:lvlJc w:val="left"/>
      <w:pPr>
        <w:ind w:left="4320" w:hanging="720"/>
      </w:pPr>
    </w:lvl>
    <w:lvl w:ilvl="6" w:tplc="8F8C6C6E">
      <w:start w:val="1"/>
      <w:numFmt w:val="decimal"/>
      <w:lvlText w:val="%7."/>
      <w:legacy w:legacy="1" w:legacySpace="0" w:legacyIndent="720"/>
      <w:lvlJc w:val="left"/>
      <w:pPr>
        <w:ind w:left="5040" w:hanging="720"/>
      </w:pPr>
    </w:lvl>
    <w:lvl w:ilvl="7" w:tplc="55C27246">
      <w:start w:val="1"/>
      <w:numFmt w:val="decimal"/>
      <w:lvlText w:val="%8."/>
      <w:legacy w:legacy="1" w:legacySpace="0" w:legacyIndent="720"/>
      <w:lvlJc w:val="left"/>
      <w:pPr>
        <w:ind w:left="5760" w:hanging="720"/>
      </w:pPr>
    </w:lvl>
    <w:lvl w:ilvl="8" w:tplc="4154C374">
      <w:start w:val="1"/>
      <w:numFmt w:val="lowerRoman"/>
      <w:lvlText w:val="%9"/>
      <w:legacy w:legacy="1" w:legacySpace="0" w:legacyIndent="720"/>
      <w:lvlJc w:val="left"/>
      <w:pPr>
        <w:ind w:left="6480" w:hanging="720"/>
      </w:pPr>
    </w:lvl>
  </w:abstractNum>
  <w:abstractNum w:abstractNumId="24" w15:restartNumberingAfterBreak="0">
    <w:nsid w:val="6EC30CB8"/>
    <w:multiLevelType w:val="hybridMultilevel"/>
    <w:tmpl w:val="0528532E"/>
    <w:lvl w:ilvl="0" w:tplc="8CF07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1215C"/>
    <w:multiLevelType w:val="hybridMultilevel"/>
    <w:tmpl w:val="D0F8723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5"/>
  </w:num>
  <w:num w:numId="4">
    <w:abstractNumId w:val="9"/>
  </w:num>
  <w:num w:numId="5">
    <w:abstractNumId w:val="6"/>
  </w:num>
  <w:num w:numId="6">
    <w:abstractNumId w:val="25"/>
  </w:num>
  <w:num w:numId="7">
    <w:abstractNumId w:val="0"/>
  </w:num>
  <w:num w:numId="8">
    <w:abstractNumId w:val="2"/>
  </w:num>
  <w:num w:numId="9">
    <w:abstractNumId w:val="19"/>
  </w:num>
  <w:num w:numId="10">
    <w:abstractNumId w:val="21"/>
  </w:num>
  <w:num w:numId="11">
    <w:abstractNumId w:val="8"/>
  </w:num>
  <w:num w:numId="12">
    <w:abstractNumId w:val="14"/>
  </w:num>
  <w:num w:numId="13">
    <w:abstractNumId w:val="7"/>
  </w:num>
  <w:num w:numId="14">
    <w:abstractNumId w:val="1"/>
  </w:num>
  <w:num w:numId="15">
    <w:abstractNumId w:val="11"/>
  </w:num>
  <w:num w:numId="16">
    <w:abstractNumId w:val="10"/>
  </w:num>
  <w:num w:numId="17">
    <w:abstractNumId w:val="17"/>
  </w:num>
  <w:num w:numId="18">
    <w:abstractNumId w:val="16"/>
  </w:num>
  <w:num w:numId="19">
    <w:abstractNumId w:val="24"/>
  </w:num>
  <w:num w:numId="20">
    <w:abstractNumId w:val="3"/>
  </w:num>
  <w:num w:numId="21">
    <w:abstractNumId w:val="15"/>
  </w:num>
  <w:num w:numId="22">
    <w:abstractNumId w:val="18"/>
  </w:num>
  <w:num w:numId="23">
    <w:abstractNumId w:val="22"/>
  </w:num>
  <w:num w:numId="24">
    <w:abstractNumId w:val="12"/>
  </w:num>
  <w:num w:numId="25">
    <w:abstractNumId w:val="4"/>
  </w:num>
  <w:num w:numId="2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6E"/>
    <w:rsid w:val="00020391"/>
    <w:rsid w:val="000219B5"/>
    <w:rsid w:val="00030817"/>
    <w:rsid w:val="00033842"/>
    <w:rsid w:val="00055A07"/>
    <w:rsid w:val="00063EA8"/>
    <w:rsid w:val="00075E22"/>
    <w:rsid w:val="00077747"/>
    <w:rsid w:val="000825EB"/>
    <w:rsid w:val="00092CCF"/>
    <w:rsid w:val="00093722"/>
    <w:rsid w:val="000A4EA6"/>
    <w:rsid w:val="000A4F40"/>
    <w:rsid w:val="000B3FD9"/>
    <w:rsid w:val="000C7288"/>
    <w:rsid w:val="000E61DC"/>
    <w:rsid w:val="000F3DE3"/>
    <w:rsid w:val="000F4AB2"/>
    <w:rsid w:val="00105B3E"/>
    <w:rsid w:val="00115876"/>
    <w:rsid w:val="00130DA3"/>
    <w:rsid w:val="0013512F"/>
    <w:rsid w:val="00135179"/>
    <w:rsid w:val="00135DD4"/>
    <w:rsid w:val="00144F38"/>
    <w:rsid w:val="001457B0"/>
    <w:rsid w:val="00153F6E"/>
    <w:rsid w:val="00162652"/>
    <w:rsid w:val="00166B01"/>
    <w:rsid w:val="00167423"/>
    <w:rsid w:val="00190AA7"/>
    <w:rsid w:val="001C0BC5"/>
    <w:rsid w:val="001C7228"/>
    <w:rsid w:val="001D1A69"/>
    <w:rsid w:val="001D5E57"/>
    <w:rsid w:val="001E034A"/>
    <w:rsid w:val="001E0359"/>
    <w:rsid w:val="001E59AE"/>
    <w:rsid w:val="00206577"/>
    <w:rsid w:val="00212076"/>
    <w:rsid w:val="00213091"/>
    <w:rsid w:val="00234080"/>
    <w:rsid w:val="002343FB"/>
    <w:rsid w:val="00235C06"/>
    <w:rsid w:val="00236D44"/>
    <w:rsid w:val="0025285E"/>
    <w:rsid w:val="00256FE3"/>
    <w:rsid w:val="00264B4F"/>
    <w:rsid w:val="00277ABC"/>
    <w:rsid w:val="00283B56"/>
    <w:rsid w:val="00287C6E"/>
    <w:rsid w:val="00294F40"/>
    <w:rsid w:val="002A08AD"/>
    <w:rsid w:val="002B6443"/>
    <w:rsid w:val="002B7804"/>
    <w:rsid w:val="002B7E02"/>
    <w:rsid w:val="002C15F1"/>
    <w:rsid w:val="002D6501"/>
    <w:rsid w:val="002E38E2"/>
    <w:rsid w:val="002E401C"/>
    <w:rsid w:val="002E6001"/>
    <w:rsid w:val="002E670C"/>
    <w:rsid w:val="002F60CF"/>
    <w:rsid w:val="003033AF"/>
    <w:rsid w:val="00305826"/>
    <w:rsid w:val="003115B3"/>
    <w:rsid w:val="00313A45"/>
    <w:rsid w:val="00315158"/>
    <w:rsid w:val="00320E52"/>
    <w:rsid w:val="003220C3"/>
    <w:rsid w:val="00322AA4"/>
    <w:rsid w:val="00327C6E"/>
    <w:rsid w:val="00333381"/>
    <w:rsid w:val="00340628"/>
    <w:rsid w:val="00352372"/>
    <w:rsid w:val="00363171"/>
    <w:rsid w:val="003701DA"/>
    <w:rsid w:val="003715D7"/>
    <w:rsid w:val="00381DEA"/>
    <w:rsid w:val="003875E0"/>
    <w:rsid w:val="0039036E"/>
    <w:rsid w:val="003904E7"/>
    <w:rsid w:val="00391EC0"/>
    <w:rsid w:val="003A2D73"/>
    <w:rsid w:val="003B27A9"/>
    <w:rsid w:val="003B5AFD"/>
    <w:rsid w:val="003C15A8"/>
    <w:rsid w:val="003C71B3"/>
    <w:rsid w:val="003D0572"/>
    <w:rsid w:val="003D22BE"/>
    <w:rsid w:val="003D4F55"/>
    <w:rsid w:val="003D6FF8"/>
    <w:rsid w:val="003E3090"/>
    <w:rsid w:val="003E59A8"/>
    <w:rsid w:val="003F0E2D"/>
    <w:rsid w:val="003F62C0"/>
    <w:rsid w:val="003F70FA"/>
    <w:rsid w:val="00400ED7"/>
    <w:rsid w:val="00412B1D"/>
    <w:rsid w:val="004152A6"/>
    <w:rsid w:val="00415F72"/>
    <w:rsid w:val="00421855"/>
    <w:rsid w:val="00423C6C"/>
    <w:rsid w:val="00426856"/>
    <w:rsid w:val="00451E8C"/>
    <w:rsid w:val="00464792"/>
    <w:rsid w:val="00470447"/>
    <w:rsid w:val="00474990"/>
    <w:rsid w:val="00483D25"/>
    <w:rsid w:val="004925A7"/>
    <w:rsid w:val="004A158F"/>
    <w:rsid w:val="004A7F27"/>
    <w:rsid w:val="004B20C9"/>
    <w:rsid w:val="004B2E11"/>
    <w:rsid w:val="004B3978"/>
    <w:rsid w:val="004B5BCF"/>
    <w:rsid w:val="004C14A2"/>
    <w:rsid w:val="004D0E4C"/>
    <w:rsid w:val="004E287C"/>
    <w:rsid w:val="004E2BF7"/>
    <w:rsid w:val="004F0F70"/>
    <w:rsid w:val="004F2607"/>
    <w:rsid w:val="004F2C25"/>
    <w:rsid w:val="004F6436"/>
    <w:rsid w:val="004F6E14"/>
    <w:rsid w:val="00501046"/>
    <w:rsid w:val="005079B7"/>
    <w:rsid w:val="00510EFF"/>
    <w:rsid w:val="00513C4A"/>
    <w:rsid w:val="005169C9"/>
    <w:rsid w:val="00533491"/>
    <w:rsid w:val="00534F14"/>
    <w:rsid w:val="0053553E"/>
    <w:rsid w:val="005379FD"/>
    <w:rsid w:val="0054639F"/>
    <w:rsid w:val="00555F45"/>
    <w:rsid w:val="0055788A"/>
    <w:rsid w:val="00566B34"/>
    <w:rsid w:val="00570183"/>
    <w:rsid w:val="005701B0"/>
    <w:rsid w:val="00577CAD"/>
    <w:rsid w:val="00594D03"/>
    <w:rsid w:val="00597AD0"/>
    <w:rsid w:val="005A283A"/>
    <w:rsid w:val="005A28D7"/>
    <w:rsid w:val="005B0DD9"/>
    <w:rsid w:val="005B1371"/>
    <w:rsid w:val="005B5DA6"/>
    <w:rsid w:val="005C4131"/>
    <w:rsid w:val="005C6CD7"/>
    <w:rsid w:val="005D6CD3"/>
    <w:rsid w:val="005E19D3"/>
    <w:rsid w:val="005F6855"/>
    <w:rsid w:val="00600FB1"/>
    <w:rsid w:val="00627AF7"/>
    <w:rsid w:val="00627E63"/>
    <w:rsid w:val="00634D33"/>
    <w:rsid w:val="0065011B"/>
    <w:rsid w:val="006512ED"/>
    <w:rsid w:val="00655DF7"/>
    <w:rsid w:val="00660D91"/>
    <w:rsid w:val="006614B5"/>
    <w:rsid w:val="006631BF"/>
    <w:rsid w:val="006649A7"/>
    <w:rsid w:val="00671F5B"/>
    <w:rsid w:val="0067501D"/>
    <w:rsid w:val="00690AB0"/>
    <w:rsid w:val="00697267"/>
    <w:rsid w:val="006A533E"/>
    <w:rsid w:val="006B0FC6"/>
    <w:rsid w:val="006B3E15"/>
    <w:rsid w:val="006B7F6A"/>
    <w:rsid w:val="006C0D70"/>
    <w:rsid w:val="006C5F11"/>
    <w:rsid w:val="006D3B8C"/>
    <w:rsid w:val="006E3BAA"/>
    <w:rsid w:val="006F16D5"/>
    <w:rsid w:val="006F6AAF"/>
    <w:rsid w:val="006F78B0"/>
    <w:rsid w:val="007015B5"/>
    <w:rsid w:val="00702959"/>
    <w:rsid w:val="0071345E"/>
    <w:rsid w:val="007156B0"/>
    <w:rsid w:val="007227B8"/>
    <w:rsid w:val="00737A3B"/>
    <w:rsid w:val="007417D7"/>
    <w:rsid w:val="00755DAB"/>
    <w:rsid w:val="00787DA0"/>
    <w:rsid w:val="007A0E5B"/>
    <w:rsid w:val="007A204A"/>
    <w:rsid w:val="007B4A4C"/>
    <w:rsid w:val="007B54C2"/>
    <w:rsid w:val="007B7B8C"/>
    <w:rsid w:val="007C0115"/>
    <w:rsid w:val="007C0FD0"/>
    <w:rsid w:val="007D006D"/>
    <w:rsid w:val="007D247A"/>
    <w:rsid w:val="008034D4"/>
    <w:rsid w:val="0080612B"/>
    <w:rsid w:val="00835607"/>
    <w:rsid w:val="00835B5C"/>
    <w:rsid w:val="0084474A"/>
    <w:rsid w:val="00845550"/>
    <w:rsid w:val="008458FC"/>
    <w:rsid w:val="008773DE"/>
    <w:rsid w:val="008A6632"/>
    <w:rsid w:val="008B3829"/>
    <w:rsid w:val="008B4B28"/>
    <w:rsid w:val="008C3036"/>
    <w:rsid w:val="008C3E42"/>
    <w:rsid w:val="008C71EF"/>
    <w:rsid w:val="008D1A70"/>
    <w:rsid w:val="008E7184"/>
    <w:rsid w:val="008F3D0B"/>
    <w:rsid w:val="008F5B3A"/>
    <w:rsid w:val="008F76D9"/>
    <w:rsid w:val="0090056F"/>
    <w:rsid w:val="00902AA1"/>
    <w:rsid w:val="00905F47"/>
    <w:rsid w:val="00912212"/>
    <w:rsid w:val="00923B72"/>
    <w:rsid w:val="00934696"/>
    <w:rsid w:val="00952144"/>
    <w:rsid w:val="0096550C"/>
    <w:rsid w:val="009665B6"/>
    <w:rsid w:val="00970677"/>
    <w:rsid w:val="0097172B"/>
    <w:rsid w:val="00973122"/>
    <w:rsid w:val="0098781D"/>
    <w:rsid w:val="00995FDB"/>
    <w:rsid w:val="009A62FD"/>
    <w:rsid w:val="009A791C"/>
    <w:rsid w:val="009B04FC"/>
    <w:rsid w:val="009C1615"/>
    <w:rsid w:val="009D30D8"/>
    <w:rsid w:val="009D6178"/>
    <w:rsid w:val="009D696D"/>
    <w:rsid w:val="00A034BF"/>
    <w:rsid w:val="00A11BFB"/>
    <w:rsid w:val="00A26936"/>
    <w:rsid w:val="00A37A86"/>
    <w:rsid w:val="00A559DA"/>
    <w:rsid w:val="00A57317"/>
    <w:rsid w:val="00A63C8C"/>
    <w:rsid w:val="00A748AB"/>
    <w:rsid w:val="00A8032F"/>
    <w:rsid w:val="00A8416D"/>
    <w:rsid w:val="00A8757D"/>
    <w:rsid w:val="00A90C8B"/>
    <w:rsid w:val="00A939EA"/>
    <w:rsid w:val="00A97C5D"/>
    <w:rsid w:val="00AA3B2C"/>
    <w:rsid w:val="00AA65E0"/>
    <w:rsid w:val="00AA6BD9"/>
    <w:rsid w:val="00AA6D71"/>
    <w:rsid w:val="00AB240D"/>
    <w:rsid w:val="00AC1E4C"/>
    <w:rsid w:val="00AC46EC"/>
    <w:rsid w:val="00AC570C"/>
    <w:rsid w:val="00AC6709"/>
    <w:rsid w:val="00AD2FB2"/>
    <w:rsid w:val="00AE4618"/>
    <w:rsid w:val="00B112E4"/>
    <w:rsid w:val="00B12DC1"/>
    <w:rsid w:val="00B1569F"/>
    <w:rsid w:val="00B21484"/>
    <w:rsid w:val="00B24367"/>
    <w:rsid w:val="00B25CF3"/>
    <w:rsid w:val="00B31022"/>
    <w:rsid w:val="00B37EA0"/>
    <w:rsid w:val="00B42AB4"/>
    <w:rsid w:val="00B50141"/>
    <w:rsid w:val="00B608FA"/>
    <w:rsid w:val="00B65140"/>
    <w:rsid w:val="00B82020"/>
    <w:rsid w:val="00B8546F"/>
    <w:rsid w:val="00B877C3"/>
    <w:rsid w:val="00BA1DDD"/>
    <w:rsid w:val="00BB1E17"/>
    <w:rsid w:val="00BE3D65"/>
    <w:rsid w:val="00BE60B9"/>
    <w:rsid w:val="00BE6EE6"/>
    <w:rsid w:val="00C02B7B"/>
    <w:rsid w:val="00C0318B"/>
    <w:rsid w:val="00C06A63"/>
    <w:rsid w:val="00C152D3"/>
    <w:rsid w:val="00C24F25"/>
    <w:rsid w:val="00C266EC"/>
    <w:rsid w:val="00C37D59"/>
    <w:rsid w:val="00C506AE"/>
    <w:rsid w:val="00C63609"/>
    <w:rsid w:val="00C63EF4"/>
    <w:rsid w:val="00C673D6"/>
    <w:rsid w:val="00C80972"/>
    <w:rsid w:val="00C80CCA"/>
    <w:rsid w:val="00C877F0"/>
    <w:rsid w:val="00C879ED"/>
    <w:rsid w:val="00C95530"/>
    <w:rsid w:val="00CB6B53"/>
    <w:rsid w:val="00CB6E8B"/>
    <w:rsid w:val="00CC192C"/>
    <w:rsid w:val="00CC2AB1"/>
    <w:rsid w:val="00CC4574"/>
    <w:rsid w:val="00CD4163"/>
    <w:rsid w:val="00CE69F8"/>
    <w:rsid w:val="00CE7FFD"/>
    <w:rsid w:val="00CF3ED5"/>
    <w:rsid w:val="00D00964"/>
    <w:rsid w:val="00D039CA"/>
    <w:rsid w:val="00D06052"/>
    <w:rsid w:val="00D15C5F"/>
    <w:rsid w:val="00D15D68"/>
    <w:rsid w:val="00D23DCD"/>
    <w:rsid w:val="00D33907"/>
    <w:rsid w:val="00D33A7E"/>
    <w:rsid w:val="00D341C3"/>
    <w:rsid w:val="00D3496C"/>
    <w:rsid w:val="00D3543F"/>
    <w:rsid w:val="00D406D2"/>
    <w:rsid w:val="00D435DA"/>
    <w:rsid w:val="00D56F0C"/>
    <w:rsid w:val="00D618ED"/>
    <w:rsid w:val="00D61B21"/>
    <w:rsid w:val="00D632F5"/>
    <w:rsid w:val="00D6373B"/>
    <w:rsid w:val="00D65142"/>
    <w:rsid w:val="00D72134"/>
    <w:rsid w:val="00D73FB5"/>
    <w:rsid w:val="00D74944"/>
    <w:rsid w:val="00D74DF1"/>
    <w:rsid w:val="00D8414D"/>
    <w:rsid w:val="00D85EC4"/>
    <w:rsid w:val="00DA7E8C"/>
    <w:rsid w:val="00DB7832"/>
    <w:rsid w:val="00DC0975"/>
    <w:rsid w:val="00DC2D3B"/>
    <w:rsid w:val="00DC7B18"/>
    <w:rsid w:val="00DD7D0A"/>
    <w:rsid w:val="00DE4061"/>
    <w:rsid w:val="00DE488A"/>
    <w:rsid w:val="00DE6AD1"/>
    <w:rsid w:val="00DF7D03"/>
    <w:rsid w:val="00E0159C"/>
    <w:rsid w:val="00E01E1A"/>
    <w:rsid w:val="00E11776"/>
    <w:rsid w:val="00E12F93"/>
    <w:rsid w:val="00E165A3"/>
    <w:rsid w:val="00E16D4F"/>
    <w:rsid w:val="00E21C18"/>
    <w:rsid w:val="00E5790B"/>
    <w:rsid w:val="00E619E0"/>
    <w:rsid w:val="00E67438"/>
    <w:rsid w:val="00E76C86"/>
    <w:rsid w:val="00E81AE8"/>
    <w:rsid w:val="00E82F1B"/>
    <w:rsid w:val="00EA14E2"/>
    <w:rsid w:val="00EA44B8"/>
    <w:rsid w:val="00EA45FD"/>
    <w:rsid w:val="00EA5C6C"/>
    <w:rsid w:val="00EC0D99"/>
    <w:rsid w:val="00EC18C3"/>
    <w:rsid w:val="00EC32CD"/>
    <w:rsid w:val="00EC6084"/>
    <w:rsid w:val="00EC62D1"/>
    <w:rsid w:val="00ED1365"/>
    <w:rsid w:val="00EE07DB"/>
    <w:rsid w:val="00EF01EF"/>
    <w:rsid w:val="00EF1E4E"/>
    <w:rsid w:val="00EF4C1C"/>
    <w:rsid w:val="00F06155"/>
    <w:rsid w:val="00F0625D"/>
    <w:rsid w:val="00F06C93"/>
    <w:rsid w:val="00F10054"/>
    <w:rsid w:val="00F200D2"/>
    <w:rsid w:val="00F2370D"/>
    <w:rsid w:val="00F26A5B"/>
    <w:rsid w:val="00F2743B"/>
    <w:rsid w:val="00F30A7C"/>
    <w:rsid w:val="00F36C2C"/>
    <w:rsid w:val="00F5272F"/>
    <w:rsid w:val="00F565BB"/>
    <w:rsid w:val="00F64D13"/>
    <w:rsid w:val="00F665CF"/>
    <w:rsid w:val="00F70EBD"/>
    <w:rsid w:val="00F76419"/>
    <w:rsid w:val="00F811E5"/>
    <w:rsid w:val="00F839E6"/>
    <w:rsid w:val="00FA7C23"/>
    <w:rsid w:val="00FB0DA2"/>
    <w:rsid w:val="00FB1E73"/>
    <w:rsid w:val="00FC580C"/>
    <w:rsid w:val="00FC58A4"/>
    <w:rsid w:val="00FC5D14"/>
    <w:rsid w:val="00FC70C1"/>
    <w:rsid w:val="00FD7EF6"/>
    <w:rsid w:val="00FE21DC"/>
    <w:rsid w:val="00FF2B86"/>
    <w:rsid w:val="02247CBF"/>
    <w:rsid w:val="0BB0F282"/>
    <w:rsid w:val="0D874307"/>
    <w:rsid w:val="13156561"/>
    <w:rsid w:val="1AC33879"/>
    <w:rsid w:val="20DFFA4E"/>
    <w:rsid w:val="226A0855"/>
    <w:rsid w:val="2538116B"/>
    <w:rsid w:val="2D3C65B5"/>
    <w:rsid w:val="2D588D07"/>
    <w:rsid w:val="2D83A2AD"/>
    <w:rsid w:val="3253C615"/>
    <w:rsid w:val="35B6A984"/>
    <w:rsid w:val="36138E4D"/>
    <w:rsid w:val="382997B3"/>
    <w:rsid w:val="429553CA"/>
    <w:rsid w:val="42AECCA7"/>
    <w:rsid w:val="456B0CFD"/>
    <w:rsid w:val="47561CAB"/>
    <w:rsid w:val="47F510AB"/>
    <w:rsid w:val="4FBF6519"/>
    <w:rsid w:val="563BEF05"/>
    <w:rsid w:val="57C1F395"/>
    <w:rsid w:val="58065A34"/>
    <w:rsid w:val="5C03748E"/>
    <w:rsid w:val="5D5D4BF1"/>
    <w:rsid w:val="62AF6468"/>
    <w:rsid w:val="64D399A8"/>
    <w:rsid w:val="677B1FC2"/>
    <w:rsid w:val="6854AEFF"/>
    <w:rsid w:val="6C8ACC14"/>
    <w:rsid w:val="727859AB"/>
    <w:rsid w:val="7A54012C"/>
    <w:rsid w:val="7B888196"/>
    <w:rsid w:val="7CCE2AC9"/>
    <w:rsid w:val="7EC5630E"/>
    <w:rsid w:val="7FAE81E7"/>
    <w:rsid w:val="7FE0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54984"/>
  <w15:chartTrackingRefBased/>
  <w15:docId w15:val="{9CB742E6-25EE-4E5D-B80C-DB38D76938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AutoList1" w:customStyle="1">
    <w:name w:val="1AutoList1"/>
    <w:pPr>
      <w:tabs>
        <w:tab w:val="left" w:pos="720"/>
      </w:tabs>
      <w:autoSpaceDE w:val="0"/>
      <w:autoSpaceDN w:val="0"/>
      <w:adjustRightInd w:val="0"/>
      <w:ind w:left="720" w:hanging="720"/>
    </w:pPr>
    <w:rPr>
      <w:szCs w:val="24"/>
    </w:rPr>
  </w:style>
  <w:style w:type="paragraph" w:styleId="Footer">
    <w:name w:val="footer"/>
    <w:basedOn w:val="Normal"/>
    <w:rsid w:val="008C71EF"/>
    <w:pPr>
      <w:tabs>
        <w:tab w:val="center" w:pos="4320"/>
        <w:tab w:val="right" w:pos="8640"/>
      </w:tabs>
    </w:pPr>
  </w:style>
  <w:style w:type="character" w:styleId="PageNumber">
    <w:name w:val="page number"/>
    <w:basedOn w:val="DefaultParagraphFont"/>
    <w:rsid w:val="008C71EF"/>
  </w:style>
  <w:style w:type="paragraph" w:styleId="BalloonText">
    <w:name w:val="Balloon Text"/>
    <w:basedOn w:val="Normal"/>
    <w:semiHidden/>
    <w:rsid w:val="00FB1E73"/>
    <w:rPr>
      <w:rFonts w:ascii="Tahoma" w:hAnsi="Tahoma" w:cs="Tahoma"/>
      <w:sz w:val="16"/>
      <w:szCs w:val="16"/>
    </w:rPr>
  </w:style>
  <w:style w:type="paragraph" w:styleId="Title">
    <w:name w:val="Title"/>
    <w:basedOn w:val="Normal"/>
    <w:qFormat/>
    <w:rsid w:val="00115876"/>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rsid w:val="002E38E2"/>
    <w:rPr>
      <w:sz w:val="16"/>
      <w:szCs w:val="16"/>
    </w:rPr>
  </w:style>
  <w:style w:type="paragraph" w:styleId="CommentText">
    <w:name w:val="annotation text"/>
    <w:basedOn w:val="Normal"/>
    <w:link w:val="CommentTextChar"/>
    <w:rsid w:val="002E38E2"/>
    <w:rPr>
      <w:sz w:val="20"/>
      <w:szCs w:val="20"/>
    </w:rPr>
  </w:style>
  <w:style w:type="character" w:styleId="CommentTextChar" w:customStyle="1">
    <w:name w:val="Comment Text Char"/>
    <w:basedOn w:val="DefaultParagraphFont"/>
    <w:link w:val="CommentText"/>
    <w:rsid w:val="002E38E2"/>
  </w:style>
  <w:style w:type="paragraph" w:styleId="CommentSubject">
    <w:name w:val="annotation subject"/>
    <w:basedOn w:val="CommentText"/>
    <w:next w:val="CommentText"/>
    <w:link w:val="CommentSubjectChar"/>
    <w:rsid w:val="002E38E2"/>
    <w:rPr>
      <w:b/>
      <w:bCs/>
    </w:rPr>
  </w:style>
  <w:style w:type="character" w:styleId="CommentSubjectChar" w:customStyle="1">
    <w:name w:val="Comment Subject Char"/>
    <w:link w:val="CommentSubject"/>
    <w:rsid w:val="002E38E2"/>
    <w:rPr>
      <w:b/>
      <w:bCs/>
    </w:rPr>
  </w:style>
  <w:style w:type="paragraph" w:styleId="Header">
    <w:name w:val="header"/>
    <w:basedOn w:val="Normal"/>
    <w:link w:val="HeaderChar"/>
    <w:rsid w:val="004B2E11"/>
    <w:pPr>
      <w:tabs>
        <w:tab w:val="center" w:pos="4680"/>
        <w:tab w:val="right" w:pos="9360"/>
      </w:tabs>
    </w:pPr>
  </w:style>
  <w:style w:type="character" w:styleId="HeaderChar" w:customStyle="1">
    <w:name w:val="Header Char"/>
    <w:link w:val="Header"/>
    <w:rsid w:val="004B2E11"/>
    <w:rPr>
      <w:sz w:val="24"/>
      <w:szCs w:val="24"/>
    </w:rPr>
  </w:style>
  <w:style w:type="paragraph" w:styleId="ListParagraph">
    <w:name w:val="List Paragraph"/>
    <w:basedOn w:val="Normal"/>
    <w:uiPriority w:val="34"/>
    <w:qFormat/>
    <w:rsid w:val="004D0E4C"/>
    <w:pPr>
      <w:spacing w:after="160" w:line="259" w:lineRule="auto"/>
      <w:ind w:left="720"/>
      <w:contextualSpacing/>
    </w:pPr>
    <w:rPr>
      <w:rFonts w:ascii="Calibri" w:hAnsi="Calibri" w:eastAsia="Calibri"/>
      <w:sz w:val="22"/>
      <w:szCs w:val="22"/>
    </w:rPr>
  </w:style>
  <w:style w:type="paragraph" w:styleId="FootnoteText">
    <w:name w:val="footnote text"/>
    <w:basedOn w:val="Normal"/>
    <w:link w:val="FootnoteTextChar"/>
    <w:rsid w:val="00391EC0"/>
    <w:rPr>
      <w:sz w:val="20"/>
      <w:szCs w:val="20"/>
    </w:rPr>
  </w:style>
  <w:style w:type="character" w:styleId="FootnoteTextChar" w:customStyle="1">
    <w:name w:val="Footnote Text Char"/>
    <w:basedOn w:val="DefaultParagraphFont"/>
    <w:link w:val="FootnoteText"/>
    <w:rsid w:val="00391EC0"/>
  </w:style>
  <w:style w:type="character" w:styleId="FootnoteReference">
    <w:name w:val="footnote reference"/>
    <w:basedOn w:val="DefaultParagraphFont"/>
    <w:rsid w:val="00391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8514">
      <w:bodyDiv w:val="1"/>
      <w:marLeft w:val="0"/>
      <w:marRight w:val="0"/>
      <w:marTop w:val="0"/>
      <w:marBottom w:val="0"/>
      <w:divBdr>
        <w:top w:val="none" w:sz="0" w:space="0" w:color="auto"/>
        <w:left w:val="none" w:sz="0" w:space="0" w:color="auto"/>
        <w:bottom w:val="none" w:sz="0" w:space="0" w:color="auto"/>
        <w:right w:val="none" w:sz="0" w:space="0" w:color="auto"/>
      </w:divBdr>
    </w:div>
    <w:div w:id="332611263">
      <w:bodyDiv w:val="1"/>
      <w:marLeft w:val="0"/>
      <w:marRight w:val="0"/>
      <w:marTop w:val="0"/>
      <w:marBottom w:val="0"/>
      <w:divBdr>
        <w:top w:val="none" w:sz="0" w:space="0" w:color="auto"/>
        <w:left w:val="none" w:sz="0" w:space="0" w:color="auto"/>
        <w:bottom w:val="none" w:sz="0" w:space="0" w:color="auto"/>
        <w:right w:val="none" w:sz="0" w:space="0" w:color="auto"/>
      </w:divBdr>
    </w:div>
    <w:div w:id="398795883">
      <w:bodyDiv w:val="1"/>
      <w:marLeft w:val="0"/>
      <w:marRight w:val="0"/>
      <w:marTop w:val="0"/>
      <w:marBottom w:val="0"/>
      <w:divBdr>
        <w:top w:val="none" w:sz="0" w:space="0" w:color="auto"/>
        <w:left w:val="none" w:sz="0" w:space="0" w:color="auto"/>
        <w:bottom w:val="none" w:sz="0" w:space="0" w:color="auto"/>
        <w:right w:val="none" w:sz="0" w:space="0" w:color="auto"/>
      </w:divBdr>
    </w:div>
    <w:div w:id="513761042">
      <w:bodyDiv w:val="1"/>
      <w:marLeft w:val="0"/>
      <w:marRight w:val="0"/>
      <w:marTop w:val="0"/>
      <w:marBottom w:val="0"/>
      <w:divBdr>
        <w:top w:val="none" w:sz="0" w:space="0" w:color="auto"/>
        <w:left w:val="none" w:sz="0" w:space="0" w:color="auto"/>
        <w:bottom w:val="none" w:sz="0" w:space="0" w:color="auto"/>
        <w:right w:val="none" w:sz="0" w:space="0" w:color="auto"/>
      </w:divBdr>
    </w:div>
    <w:div w:id="550121629">
      <w:bodyDiv w:val="1"/>
      <w:marLeft w:val="0"/>
      <w:marRight w:val="0"/>
      <w:marTop w:val="0"/>
      <w:marBottom w:val="0"/>
      <w:divBdr>
        <w:top w:val="none" w:sz="0" w:space="0" w:color="auto"/>
        <w:left w:val="none" w:sz="0" w:space="0" w:color="auto"/>
        <w:bottom w:val="none" w:sz="0" w:space="0" w:color="auto"/>
        <w:right w:val="none" w:sz="0" w:space="0" w:color="auto"/>
      </w:divBdr>
    </w:div>
    <w:div w:id="675887990">
      <w:bodyDiv w:val="1"/>
      <w:marLeft w:val="0"/>
      <w:marRight w:val="0"/>
      <w:marTop w:val="0"/>
      <w:marBottom w:val="0"/>
      <w:divBdr>
        <w:top w:val="none" w:sz="0" w:space="0" w:color="auto"/>
        <w:left w:val="none" w:sz="0" w:space="0" w:color="auto"/>
        <w:bottom w:val="none" w:sz="0" w:space="0" w:color="auto"/>
        <w:right w:val="none" w:sz="0" w:space="0" w:color="auto"/>
      </w:divBdr>
    </w:div>
    <w:div w:id="966858707">
      <w:bodyDiv w:val="1"/>
      <w:marLeft w:val="0"/>
      <w:marRight w:val="0"/>
      <w:marTop w:val="0"/>
      <w:marBottom w:val="0"/>
      <w:divBdr>
        <w:top w:val="none" w:sz="0" w:space="0" w:color="auto"/>
        <w:left w:val="none" w:sz="0" w:space="0" w:color="auto"/>
        <w:bottom w:val="none" w:sz="0" w:space="0" w:color="auto"/>
        <w:right w:val="none" w:sz="0" w:space="0" w:color="auto"/>
      </w:divBdr>
    </w:div>
    <w:div w:id="1116750256">
      <w:bodyDiv w:val="1"/>
      <w:marLeft w:val="0"/>
      <w:marRight w:val="0"/>
      <w:marTop w:val="0"/>
      <w:marBottom w:val="0"/>
      <w:divBdr>
        <w:top w:val="none" w:sz="0" w:space="0" w:color="auto"/>
        <w:left w:val="none" w:sz="0" w:space="0" w:color="auto"/>
        <w:bottom w:val="none" w:sz="0" w:space="0" w:color="auto"/>
        <w:right w:val="none" w:sz="0" w:space="0" w:color="auto"/>
      </w:divBdr>
    </w:div>
    <w:div w:id="1282883018">
      <w:bodyDiv w:val="1"/>
      <w:marLeft w:val="0"/>
      <w:marRight w:val="0"/>
      <w:marTop w:val="0"/>
      <w:marBottom w:val="0"/>
      <w:divBdr>
        <w:top w:val="none" w:sz="0" w:space="0" w:color="auto"/>
        <w:left w:val="none" w:sz="0" w:space="0" w:color="auto"/>
        <w:bottom w:val="none" w:sz="0" w:space="0" w:color="auto"/>
        <w:right w:val="none" w:sz="0" w:space="0" w:color="auto"/>
      </w:divBdr>
    </w:div>
    <w:div w:id="1447315443">
      <w:bodyDiv w:val="1"/>
      <w:marLeft w:val="0"/>
      <w:marRight w:val="0"/>
      <w:marTop w:val="0"/>
      <w:marBottom w:val="0"/>
      <w:divBdr>
        <w:top w:val="none" w:sz="0" w:space="0" w:color="auto"/>
        <w:left w:val="none" w:sz="0" w:space="0" w:color="auto"/>
        <w:bottom w:val="none" w:sz="0" w:space="0" w:color="auto"/>
        <w:right w:val="none" w:sz="0" w:space="0" w:color="auto"/>
      </w:divBdr>
    </w:div>
    <w:div w:id="1550923042">
      <w:bodyDiv w:val="1"/>
      <w:marLeft w:val="0"/>
      <w:marRight w:val="0"/>
      <w:marTop w:val="0"/>
      <w:marBottom w:val="0"/>
      <w:divBdr>
        <w:top w:val="none" w:sz="0" w:space="0" w:color="auto"/>
        <w:left w:val="none" w:sz="0" w:space="0" w:color="auto"/>
        <w:bottom w:val="none" w:sz="0" w:space="0" w:color="auto"/>
        <w:right w:val="none" w:sz="0" w:space="0" w:color="auto"/>
      </w:divBdr>
    </w:div>
    <w:div w:id="1608654687">
      <w:bodyDiv w:val="1"/>
      <w:marLeft w:val="0"/>
      <w:marRight w:val="0"/>
      <w:marTop w:val="0"/>
      <w:marBottom w:val="0"/>
      <w:divBdr>
        <w:top w:val="none" w:sz="0" w:space="0" w:color="auto"/>
        <w:left w:val="none" w:sz="0" w:space="0" w:color="auto"/>
        <w:bottom w:val="none" w:sz="0" w:space="0" w:color="auto"/>
        <w:right w:val="none" w:sz="0" w:space="0" w:color="auto"/>
      </w:divBdr>
    </w:div>
    <w:div w:id="1689990646">
      <w:bodyDiv w:val="1"/>
      <w:marLeft w:val="0"/>
      <w:marRight w:val="0"/>
      <w:marTop w:val="0"/>
      <w:marBottom w:val="0"/>
      <w:divBdr>
        <w:top w:val="none" w:sz="0" w:space="0" w:color="auto"/>
        <w:left w:val="none" w:sz="0" w:space="0" w:color="auto"/>
        <w:bottom w:val="none" w:sz="0" w:space="0" w:color="auto"/>
        <w:right w:val="none" w:sz="0" w:space="0" w:color="auto"/>
      </w:divBdr>
    </w:div>
    <w:div w:id="1725252039">
      <w:bodyDiv w:val="1"/>
      <w:marLeft w:val="0"/>
      <w:marRight w:val="0"/>
      <w:marTop w:val="0"/>
      <w:marBottom w:val="0"/>
      <w:divBdr>
        <w:top w:val="none" w:sz="0" w:space="0" w:color="auto"/>
        <w:left w:val="none" w:sz="0" w:space="0" w:color="auto"/>
        <w:bottom w:val="none" w:sz="0" w:space="0" w:color="auto"/>
        <w:right w:val="none" w:sz="0" w:space="0" w:color="auto"/>
      </w:divBdr>
    </w:div>
    <w:div w:id="1811558128">
      <w:bodyDiv w:val="1"/>
      <w:marLeft w:val="0"/>
      <w:marRight w:val="0"/>
      <w:marTop w:val="0"/>
      <w:marBottom w:val="0"/>
      <w:divBdr>
        <w:top w:val="none" w:sz="0" w:space="0" w:color="auto"/>
        <w:left w:val="none" w:sz="0" w:space="0" w:color="auto"/>
        <w:bottom w:val="none" w:sz="0" w:space="0" w:color="auto"/>
        <w:right w:val="none" w:sz="0" w:space="0" w:color="auto"/>
      </w:divBdr>
    </w:div>
    <w:div w:id="1938830580">
      <w:bodyDiv w:val="1"/>
      <w:marLeft w:val="0"/>
      <w:marRight w:val="0"/>
      <w:marTop w:val="0"/>
      <w:marBottom w:val="0"/>
      <w:divBdr>
        <w:top w:val="none" w:sz="0" w:space="0" w:color="auto"/>
        <w:left w:val="none" w:sz="0" w:space="0" w:color="auto"/>
        <w:bottom w:val="none" w:sz="0" w:space="0" w:color="auto"/>
        <w:right w:val="none" w:sz="0" w:space="0" w:color="auto"/>
      </w:divBdr>
    </w:div>
    <w:div w:id="2001998938">
      <w:bodyDiv w:val="1"/>
      <w:marLeft w:val="0"/>
      <w:marRight w:val="0"/>
      <w:marTop w:val="0"/>
      <w:marBottom w:val="0"/>
      <w:divBdr>
        <w:top w:val="none" w:sz="0" w:space="0" w:color="auto"/>
        <w:left w:val="none" w:sz="0" w:space="0" w:color="auto"/>
        <w:bottom w:val="none" w:sz="0" w:space="0" w:color="auto"/>
        <w:right w:val="none" w:sz="0" w:space="0" w:color="auto"/>
      </w:divBdr>
    </w:div>
    <w:div w:id="20164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8/08/relationships/commentsExtensible" Target="commentsExtensible.xml" Id="Rc93a3e6d7e5642f1"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96A7B-45F8-46FE-BD19-2665DEEE2A42}">
  <ds:schemaRefs>
    <ds:schemaRef ds:uri="http://schemas.microsoft.com/sharepoint/v3/contenttype/forms"/>
  </ds:schemaRefs>
</ds:datastoreItem>
</file>

<file path=customXml/itemProps2.xml><?xml version="1.0" encoding="utf-8"?>
<ds:datastoreItem xmlns:ds="http://schemas.openxmlformats.org/officeDocument/2006/customXml" ds:itemID="{CAACD984-26CC-4BD4-BAB9-D2A72144D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38FC8-7CD6-4848-A029-FE6C8BFE8EBF}">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b3ce6949-99fe-4549-b75a-2322037c47c1"/>
    <ds:schemaRef ds:uri="http://schemas.openxmlformats.org/package/2006/metadata/core-properties"/>
    <ds:schemaRef ds:uri="63ed583d-7590-47b9-98bc-2af72f9646ac"/>
    <ds:schemaRef ds:uri="http://www.w3.org/XML/1998/namespace"/>
  </ds:schemaRefs>
</ds:datastoreItem>
</file>

<file path=customXml/itemProps4.xml><?xml version="1.0" encoding="utf-8"?>
<ds:datastoreItem xmlns:ds="http://schemas.openxmlformats.org/officeDocument/2006/customXml" ds:itemID="{9DBA2170-9316-4908-B914-DD01C370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3841</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USDOT</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Foster, T. Glenn</dc:creator>
  <cp:keywords/>
  <cp:lastModifiedBy>Geller, Shelby (PHMSA)</cp:lastModifiedBy>
  <cp:revision>27</cp:revision>
  <cp:lastPrinted>2014-08-26T15:56:00Z</cp:lastPrinted>
  <dcterms:created xsi:type="dcterms:W3CDTF">2021-01-11T21:40:00Z</dcterms:created>
  <dcterms:modified xsi:type="dcterms:W3CDTF">2021-02-26T18:15:00Z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