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418E" w:rsidP="009E418E" w:rsidRDefault="009E418E" w14:paraId="7C4C4B7E" w14:textId="7F4DB96C">
      <w:pPr>
        <w:spacing w:after="0" w:line="240" w:lineRule="auto"/>
        <w:rPr>
          <w:rFonts w:ascii="Open Sans" w:hAnsi="Open Sans" w:cs="Open Sans"/>
        </w:rPr>
      </w:pPr>
      <w:r>
        <w:rPr>
          <w:rFonts w:ascii="Open Sans" w:hAnsi="Open Sans" w:cs="Open Sans"/>
        </w:rPr>
        <w:t>The Following Section replaces Section G just before the signature page:</w:t>
      </w:r>
    </w:p>
    <w:p w:rsidRPr="009E418E" w:rsidR="009E418E" w:rsidP="009E418E" w:rsidRDefault="009E418E" w14:paraId="70087E15" w14:textId="77777777">
      <w:pPr>
        <w:spacing w:after="0" w:line="240" w:lineRule="auto"/>
        <w:rPr>
          <w:rFonts w:ascii="Open Sans" w:hAnsi="Open Sans" w:cs="Open Sans"/>
        </w:rPr>
      </w:pPr>
    </w:p>
    <w:p w:rsidR="009E418E" w:rsidP="00C4606F" w:rsidRDefault="009E418E" w14:paraId="1372918D" w14:textId="77777777">
      <w:pPr>
        <w:spacing w:after="0" w:line="240" w:lineRule="auto"/>
        <w:jc w:val="center"/>
        <w:rPr>
          <w:rFonts w:ascii="Open Sans" w:hAnsi="Open Sans" w:cs="Open Sans"/>
          <w:b/>
          <w:bCs/>
          <w:u w:val="single"/>
        </w:rPr>
      </w:pPr>
    </w:p>
    <w:p w:rsidRPr="000C6125" w:rsidR="00E5412A" w:rsidP="00C4606F" w:rsidRDefault="00E5412A" w14:paraId="283B74C8" w14:textId="7C58F8C3">
      <w:pPr>
        <w:spacing w:after="0" w:line="240" w:lineRule="auto"/>
        <w:jc w:val="center"/>
        <w:rPr>
          <w:rFonts w:ascii="Open Sans" w:hAnsi="Open Sans" w:cs="Open Sans"/>
          <w:b/>
          <w:bCs/>
          <w:u w:val="single"/>
        </w:rPr>
      </w:pPr>
      <w:r w:rsidRPr="000C6125">
        <w:rPr>
          <w:rFonts w:ascii="Open Sans" w:hAnsi="Open Sans" w:cs="Open Sans"/>
          <w:b/>
          <w:bCs/>
          <w:u w:val="single"/>
        </w:rPr>
        <w:t xml:space="preserve">Certifications for Notice of Claim and Proof of Loss – </w:t>
      </w:r>
    </w:p>
    <w:p w:rsidR="00E5412A" w:rsidP="00C4606F" w:rsidRDefault="005103DA" w14:paraId="270FE761" w14:textId="1ACE772B">
      <w:pPr>
        <w:spacing w:after="0" w:line="240" w:lineRule="auto"/>
        <w:jc w:val="center"/>
        <w:rPr>
          <w:rFonts w:ascii="Open Sans" w:hAnsi="Open Sans" w:cs="Open Sans"/>
          <w:b/>
          <w:bCs/>
          <w:u w:val="single"/>
        </w:rPr>
      </w:pPr>
      <w:r>
        <w:rPr>
          <w:rFonts w:ascii="Open Sans" w:hAnsi="Open Sans" w:cs="Open Sans"/>
          <w:b/>
          <w:bCs/>
          <w:u w:val="single"/>
        </w:rPr>
        <w:t>Working Capital</w:t>
      </w:r>
      <w:r w:rsidR="00A72B24">
        <w:rPr>
          <w:rFonts w:ascii="Open Sans" w:hAnsi="Open Sans" w:cs="Open Sans"/>
          <w:b/>
          <w:bCs/>
          <w:u w:val="single"/>
        </w:rPr>
        <w:t xml:space="preserve"> </w:t>
      </w:r>
      <w:r w:rsidRPr="000C6125" w:rsidR="00E5412A">
        <w:rPr>
          <w:rFonts w:ascii="Open Sans" w:hAnsi="Open Sans" w:cs="Open Sans"/>
          <w:b/>
          <w:bCs/>
          <w:u w:val="single"/>
        </w:rPr>
        <w:t xml:space="preserve">(Section </w:t>
      </w:r>
      <w:r w:rsidR="005F34DE">
        <w:rPr>
          <w:rFonts w:ascii="Open Sans" w:hAnsi="Open Sans" w:cs="Open Sans"/>
          <w:b/>
          <w:bCs/>
          <w:u w:val="single"/>
        </w:rPr>
        <w:t>G</w:t>
      </w:r>
      <w:r w:rsidRPr="000C6125" w:rsidR="00E5412A">
        <w:rPr>
          <w:rFonts w:ascii="Open Sans" w:hAnsi="Open Sans" w:cs="Open Sans"/>
          <w:b/>
          <w:bCs/>
          <w:u w:val="single"/>
        </w:rPr>
        <w:t>)</w:t>
      </w:r>
    </w:p>
    <w:p w:rsidRPr="000C6125" w:rsidR="00C4606F" w:rsidP="00C4606F" w:rsidRDefault="00A72B24" w14:paraId="3139E9E3" w14:textId="7883C82F">
      <w:pPr>
        <w:spacing w:after="0" w:line="240" w:lineRule="auto"/>
        <w:jc w:val="center"/>
        <w:rPr>
          <w:rFonts w:ascii="Open Sans" w:hAnsi="Open Sans" w:cs="Open Sans"/>
          <w:b/>
          <w:bCs/>
          <w:u w:val="single"/>
        </w:rPr>
      </w:pPr>
      <w:r w:rsidRPr="00A72B24">
        <w:rPr>
          <w:rFonts w:ascii="Open Sans" w:hAnsi="Open Sans" w:cs="Open Sans"/>
          <w:b/>
          <w:bCs/>
          <w:noProof/>
        </w:rPr>
        <mc:AlternateContent>
          <mc:Choice Requires="wps">
            <w:drawing>
              <wp:anchor distT="45720" distB="45720" distL="114300" distR="114300" simplePos="0" relativeHeight="251659264" behindDoc="0" locked="0" layoutInCell="1" allowOverlap="1" wp14:editId="0CDBCBBF" wp14:anchorId="7C390BD1">
                <wp:simplePos x="0" y="0"/>
                <wp:positionH relativeFrom="column">
                  <wp:posOffset>457200</wp:posOffset>
                </wp:positionH>
                <wp:positionV relativeFrom="paragraph">
                  <wp:posOffset>76835</wp:posOffset>
                </wp:positionV>
                <wp:extent cx="5029200" cy="3543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543300"/>
                        </a:xfrm>
                        <a:prstGeom prst="rect">
                          <a:avLst/>
                        </a:prstGeom>
                        <a:solidFill>
                          <a:srgbClr val="FFFFFF"/>
                        </a:solidFill>
                        <a:ln w="9525">
                          <a:solidFill>
                            <a:srgbClr val="000000"/>
                          </a:solidFill>
                          <a:miter lim="800000"/>
                          <a:headEnd/>
                          <a:tailEnd/>
                        </a:ln>
                      </wps:spPr>
                      <wps:txbx>
                        <w:txbxContent>
                          <w:p w:rsidR="00A72B24" w:rsidP="00A72B24" w:rsidRDefault="00A72B24" w14:paraId="7CD348D4" w14:textId="65D73A69">
                            <w:pPr>
                              <w:spacing w:line="240" w:lineRule="auto"/>
                              <w:rPr>
                                <w:rFonts w:ascii="Open Sans" w:hAnsi="Open Sans" w:cs="Open Sans"/>
                                <w:b/>
                                <w:bCs/>
                              </w:rPr>
                            </w:pPr>
                            <w:r w:rsidRPr="000C6125">
                              <w:rPr>
                                <w:rFonts w:ascii="Open Sans" w:hAnsi="Open Sans" w:cs="Open Sans"/>
                                <w:b/>
                                <w:bCs/>
                              </w:rPr>
                              <w:t xml:space="preserve">These certifications are incorporated into the Notice of Claim and Proof of Loss – </w:t>
                            </w:r>
                            <w:r w:rsidR="005103DA">
                              <w:rPr>
                                <w:rFonts w:ascii="Open Sans" w:hAnsi="Open Sans" w:cs="Open Sans"/>
                                <w:b/>
                                <w:bCs/>
                              </w:rPr>
                              <w:t>Working Capital</w:t>
                            </w:r>
                            <w:r>
                              <w:rPr>
                                <w:rFonts w:ascii="Open Sans" w:hAnsi="Open Sans" w:cs="Open Sans"/>
                                <w:b/>
                                <w:bCs/>
                              </w:rPr>
                              <w:t xml:space="preserve"> </w:t>
                            </w:r>
                            <w:r w:rsidRPr="000C6125">
                              <w:rPr>
                                <w:rFonts w:ascii="Open Sans" w:hAnsi="Open Sans" w:cs="Open Sans"/>
                                <w:b/>
                                <w:bCs/>
                              </w:rPr>
                              <w:t xml:space="preserve">as if fully </w:t>
                            </w:r>
                            <w:r>
                              <w:rPr>
                                <w:rFonts w:ascii="Open Sans" w:hAnsi="Open Sans" w:cs="Open Sans"/>
                                <w:b/>
                                <w:bCs/>
                              </w:rPr>
                              <w:t xml:space="preserve">and directly </w:t>
                            </w:r>
                            <w:r w:rsidRPr="000C6125">
                              <w:rPr>
                                <w:rFonts w:ascii="Open Sans" w:hAnsi="Open Sans" w:cs="Open Sans"/>
                                <w:b/>
                                <w:bCs/>
                              </w:rPr>
                              <w:t xml:space="preserve">set forth in the Notice of Claim and Proof of Loss – </w:t>
                            </w:r>
                            <w:r w:rsidR="005103DA">
                              <w:rPr>
                                <w:rFonts w:ascii="Open Sans" w:hAnsi="Open Sans" w:cs="Open Sans"/>
                                <w:b/>
                                <w:bCs/>
                              </w:rPr>
                              <w:t>Working Capital</w:t>
                            </w:r>
                            <w:r w:rsidRPr="000C6125">
                              <w:rPr>
                                <w:rFonts w:ascii="Open Sans" w:hAnsi="Open Sans" w:cs="Open Sans"/>
                                <w:b/>
                                <w:bCs/>
                              </w:rPr>
                              <w:t xml:space="preserve">.  When signing a Notice of Claim and Proof of Loss, the Lender certifies that the representations made and the facts stated in both the Notice of Claim and Proof of Loss and these Certifications are true to the best of the Lender’s knowledge and belief, and the Lender has not misrepresented or omitted any material facts. With knowledge that EXIM will rely on the certifications and representations made in both the Notice of Claim and Proof of Loss and these Certifications, the Lender agrees that it is liable for any damages suffered by EXIM’s reliance. </w:t>
                            </w:r>
                          </w:p>
                          <w:p w:rsidRPr="000C6125" w:rsidR="00A72B24" w:rsidP="00A72B24" w:rsidRDefault="00A72B24" w14:paraId="509DF84E" w14:textId="77777777">
                            <w:pPr>
                              <w:spacing w:line="240" w:lineRule="auto"/>
                              <w:rPr>
                                <w:rFonts w:ascii="Open Sans" w:hAnsi="Open Sans" w:cs="Open Sans"/>
                                <w:b/>
                                <w:bCs/>
                              </w:rPr>
                            </w:pPr>
                            <w:r>
                              <w:rPr>
                                <w:rFonts w:ascii="Open Sans" w:hAnsi="Open Sans" w:cs="Open Sans"/>
                                <w:b/>
                                <w:bCs/>
                              </w:rPr>
                              <w:t>All statements and certifications to EXIM set forth in</w:t>
                            </w:r>
                            <w:r w:rsidRPr="000C6125">
                              <w:rPr>
                                <w:rFonts w:ascii="Open Sans" w:hAnsi="Open Sans" w:cs="Open Sans"/>
                                <w:b/>
                                <w:bCs/>
                              </w:rPr>
                              <w:t xml:space="preserve"> these certifications are subject to penalties for fraud and for providing false documentation, including, but not limited to, those </w:t>
                            </w:r>
                            <w:r>
                              <w:rPr>
                                <w:rFonts w:ascii="Open Sans" w:hAnsi="Open Sans" w:cs="Open Sans"/>
                                <w:b/>
                                <w:bCs/>
                              </w:rPr>
                              <w:t xml:space="preserve">criminal </w:t>
                            </w:r>
                            <w:r w:rsidRPr="000C6125">
                              <w:rPr>
                                <w:rFonts w:ascii="Open Sans" w:hAnsi="Open Sans" w:cs="Open Sans"/>
                                <w:b/>
                                <w:bCs/>
                              </w:rPr>
                              <w:t>penalties provided for in Article 18 U.S.C. Section 1001.</w:t>
                            </w:r>
                          </w:p>
                          <w:p w:rsidR="00A72B24" w:rsidRDefault="00A72B24" w14:paraId="5CECB05F" w14:textId="56FD5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390BD1">
                <v:stroke joinstyle="miter"/>
                <v:path gradientshapeok="t" o:connecttype="rect"/>
              </v:shapetype>
              <v:shape id="Text Box 2" style="position:absolute;left:0;text-align:left;margin-left:36pt;margin-top:6.05pt;width:396pt;height:2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96IwIAAEcEAAAOAAAAZHJzL2Uyb0RvYy54bWysU9uO2yAQfa/Uf0C8N3acpLux4qy22aaq&#10;tL1Iu/0AjHGMCgwFEjv9+g44m01vL1V5QAwzHGbOmVndDFqRg3BegqnodJJTIgyHRppdRb88bl9d&#10;U+IDMw1TYERFj8LTm/XLF6velqKADlQjHEEQ48veVrQLwZZZ5nknNPMTsMKgswWnWUDT7bLGsR7R&#10;tcqKPH+d9eAa64AL7/H2bnTSdcJvW8HDp7b1IhBVUcwtpN2lvY57tl6xcueY7SQ/pcH+IQvNpMFP&#10;z1B3LDCyd/I3KC25Aw9tmHDQGbSt5CLVgNVM81+qeeiYFakWJMfbM03+/8Hyj4fPjsimosX0ihLD&#10;NIr0KIZA3sBAishPb32JYQ8WA8OA16hzqtXbe+BfPTGw6ZjZiVvnoO8EazC/aXyZXTwdcXwEqfsP&#10;0OA3bB8gAQ2t05E8pIMgOup0PGsTU+F4uciLJQpOCUffbDGfzdCIf7Dy6bl1PrwToEk8VNSh+Ame&#10;He59GEOfQuJvHpRstlKpZLhdvVGOHBg2yjatE/pPYcqQvqLLRbEYGfgrRJ7WnyC0DNjxSuqKXp+D&#10;WBl5e2saTJOVgUk1nrE6ZU5ERu5GFsNQDxgY2a2hOSKlDsbOxknEQwfuOyU9dnVF/bc9c4IS9d6g&#10;LMvpfB7HIBnzxVWBhrv01JceZjhCVTRQMh43IY1OzNHALcrXykTscyanXLFbkzSnyYrjcGmnqOf5&#10;X/8AAAD//wMAUEsDBBQABgAIAAAAIQCEqtf33wAAAAkBAAAPAAAAZHJzL2Rvd25yZXYueG1sTI/N&#10;TsMwEITvSLyDtUhcUOsklCSEOBVCAtEbtAiubrxNIvwTbDcNb89yguPOjGa/qdez0WxCHwZnBaTL&#10;BBja1qnBdgLedo+LEliI0iqpnUUB3xhg3Zyf1bJS7mRfcdrGjlGJDZUU0Mc4VpyHtkcjw9KNaMk7&#10;OG9kpNN3XHl5onKjeZYkOTdysPShlyM+9Nh+bo9GQLl6nj7C5vrlvc0P+jZeFdPTlxfi8mK+vwMW&#10;cY5/YfjFJ3RoiGnvjlYFpgUUGU2JpGcpMPLLfEXCXsBNkaTAm5r/X9D8AAAA//8DAFBLAQItABQA&#10;BgAIAAAAIQC2gziS/gAAAOEBAAATAAAAAAAAAAAAAAAAAAAAAABbQ29udGVudF9UeXBlc10ueG1s&#10;UEsBAi0AFAAGAAgAAAAhADj9If/WAAAAlAEAAAsAAAAAAAAAAAAAAAAALwEAAF9yZWxzLy5yZWxz&#10;UEsBAi0AFAAGAAgAAAAhAI6Zj3ojAgAARwQAAA4AAAAAAAAAAAAAAAAALgIAAGRycy9lMm9Eb2Mu&#10;eG1sUEsBAi0AFAAGAAgAAAAhAISq1/ffAAAACQEAAA8AAAAAAAAAAAAAAAAAfQQAAGRycy9kb3du&#10;cmV2LnhtbFBLBQYAAAAABAAEAPMAAACJBQAAAAA=&#10;">
                <v:textbox>
                  <w:txbxContent>
                    <w:p w:rsidR="00A72B24" w:rsidP="00A72B24" w:rsidRDefault="00A72B24" w14:paraId="7CD348D4" w14:textId="65D73A69">
                      <w:pPr>
                        <w:spacing w:line="240" w:lineRule="auto"/>
                        <w:rPr>
                          <w:rFonts w:ascii="Open Sans" w:hAnsi="Open Sans" w:cs="Open Sans"/>
                          <w:b/>
                          <w:bCs/>
                        </w:rPr>
                      </w:pPr>
                      <w:r w:rsidRPr="000C6125">
                        <w:rPr>
                          <w:rFonts w:ascii="Open Sans" w:hAnsi="Open Sans" w:cs="Open Sans"/>
                          <w:b/>
                          <w:bCs/>
                        </w:rPr>
                        <w:t xml:space="preserve">These certifications are incorporated into the Notice of Claim and Proof of Loss – </w:t>
                      </w:r>
                      <w:r w:rsidR="005103DA">
                        <w:rPr>
                          <w:rFonts w:ascii="Open Sans" w:hAnsi="Open Sans" w:cs="Open Sans"/>
                          <w:b/>
                          <w:bCs/>
                        </w:rPr>
                        <w:t>Working Capital</w:t>
                      </w:r>
                      <w:r>
                        <w:rPr>
                          <w:rFonts w:ascii="Open Sans" w:hAnsi="Open Sans" w:cs="Open Sans"/>
                          <w:b/>
                          <w:bCs/>
                        </w:rPr>
                        <w:t xml:space="preserve"> </w:t>
                      </w:r>
                      <w:r w:rsidRPr="000C6125">
                        <w:rPr>
                          <w:rFonts w:ascii="Open Sans" w:hAnsi="Open Sans" w:cs="Open Sans"/>
                          <w:b/>
                          <w:bCs/>
                        </w:rPr>
                        <w:t xml:space="preserve">as if fully </w:t>
                      </w:r>
                      <w:r>
                        <w:rPr>
                          <w:rFonts w:ascii="Open Sans" w:hAnsi="Open Sans" w:cs="Open Sans"/>
                          <w:b/>
                          <w:bCs/>
                        </w:rPr>
                        <w:t xml:space="preserve">and directly </w:t>
                      </w:r>
                      <w:r w:rsidRPr="000C6125">
                        <w:rPr>
                          <w:rFonts w:ascii="Open Sans" w:hAnsi="Open Sans" w:cs="Open Sans"/>
                          <w:b/>
                          <w:bCs/>
                        </w:rPr>
                        <w:t xml:space="preserve">set forth in the Notice of Claim and Proof of Loss – </w:t>
                      </w:r>
                      <w:r w:rsidR="005103DA">
                        <w:rPr>
                          <w:rFonts w:ascii="Open Sans" w:hAnsi="Open Sans" w:cs="Open Sans"/>
                          <w:b/>
                          <w:bCs/>
                        </w:rPr>
                        <w:t>Working Capital</w:t>
                      </w:r>
                      <w:r w:rsidRPr="000C6125">
                        <w:rPr>
                          <w:rFonts w:ascii="Open Sans" w:hAnsi="Open Sans" w:cs="Open Sans"/>
                          <w:b/>
                          <w:bCs/>
                        </w:rPr>
                        <w:t xml:space="preserve">.  When signing a Notice of Claim and Proof of Loss, the Lender certifies that the representations made and the facts stated in both the Notice of Claim and Proof of Loss and these Certifications are true to the best of the Lender’s knowledge and belief, and the Lender has not misrepresented or omitted any material facts. With knowledge that EXIM will rely on the certifications and representations made in both the Notice of Claim and Proof of Loss and these Certifications, the Lender agrees that it is liable for any damages suffered by EXIM’s reliance. </w:t>
                      </w:r>
                    </w:p>
                    <w:p w:rsidRPr="000C6125" w:rsidR="00A72B24" w:rsidP="00A72B24" w:rsidRDefault="00A72B24" w14:paraId="509DF84E" w14:textId="77777777">
                      <w:pPr>
                        <w:spacing w:line="240" w:lineRule="auto"/>
                        <w:rPr>
                          <w:rFonts w:ascii="Open Sans" w:hAnsi="Open Sans" w:cs="Open Sans"/>
                          <w:b/>
                          <w:bCs/>
                        </w:rPr>
                      </w:pPr>
                      <w:r>
                        <w:rPr>
                          <w:rFonts w:ascii="Open Sans" w:hAnsi="Open Sans" w:cs="Open Sans"/>
                          <w:b/>
                          <w:bCs/>
                        </w:rPr>
                        <w:t>All statements and certifications to EXIM set forth in</w:t>
                      </w:r>
                      <w:r w:rsidRPr="000C6125">
                        <w:rPr>
                          <w:rFonts w:ascii="Open Sans" w:hAnsi="Open Sans" w:cs="Open Sans"/>
                          <w:b/>
                          <w:bCs/>
                        </w:rPr>
                        <w:t xml:space="preserve"> these certifications are subject to penalties for fraud and for providing false documentation, including, but not limited to, those </w:t>
                      </w:r>
                      <w:r>
                        <w:rPr>
                          <w:rFonts w:ascii="Open Sans" w:hAnsi="Open Sans" w:cs="Open Sans"/>
                          <w:b/>
                          <w:bCs/>
                        </w:rPr>
                        <w:t xml:space="preserve">criminal </w:t>
                      </w:r>
                      <w:r w:rsidRPr="000C6125">
                        <w:rPr>
                          <w:rFonts w:ascii="Open Sans" w:hAnsi="Open Sans" w:cs="Open Sans"/>
                          <w:b/>
                          <w:bCs/>
                        </w:rPr>
                        <w:t>penalties provided for in Article 18 U.S.C. Section 1001.</w:t>
                      </w:r>
                    </w:p>
                    <w:p w:rsidR="00A72B24" w:rsidRDefault="00A72B24" w14:paraId="5CECB05F" w14:textId="56FD543B"/>
                  </w:txbxContent>
                </v:textbox>
                <w10:wrap type="square"/>
              </v:shape>
            </w:pict>
          </mc:Fallback>
        </mc:AlternateContent>
      </w:r>
    </w:p>
    <w:p w:rsidR="00A72B24" w:rsidP="00E5412A" w:rsidRDefault="00A72B24" w14:paraId="4A87A2E0" w14:textId="77777777">
      <w:pPr>
        <w:rPr>
          <w:rFonts w:ascii="Open Sans" w:hAnsi="Open Sans" w:cs="Open Sans"/>
          <w:bCs/>
          <w:u w:val="single"/>
        </w:rPr>
      </w:pPr>
    </w:p>
    <w:p w:rsidR="00CA352A" w:rsidP="00E5412A" w:rsidRDefault="00CA352A" w14:paraId="65A0A164" w14:textId="77777777">
      <w:pPr>
        <w:rPr>
          <w:rFonts w:ascii="Open Sans" w:hAnsi="Open Sans" w:cs="Open Sans"/>
          <w:bCs/>
          <w:u w:val="single"/>
        </w:rPr>
      </w:pPr>
    </w:p>
    <w:p w:rsidR="00CA352A" w:rsidP="00E5412A" w:rsidRDefault="00CA352A" w14:paraId="672F63E0" w14:textId="77777777">
      <w:pPr>
        <w:rPr>
          <w:rFonts w:ascii="Open Sans" w:hAnsi="Open Sans" w:cs="Open Sans"/>
          <w:bCs/>
          <w:u w:val="single"/>
        </w:rPr>
      </w:pPr>
    </w:p>
    <w:p w:rsidR="00CA352A" w:rsidP="00E5412A" w:rsidRDefault="00CA352A" w14:paraId="40051CC7" w14:textId="77777777">
      <w:pPr>
        <w:rPr>
          <w:rFonts w:ascii="Open Sans" w:hAnsi="Open Sans" w:cs="Open Sans"/>
          <w:bCs/>
          <w:u w:val="single"/>
        </w:rPr>
      </w:pPr>
    </w:p>
    <w:p w:rsidR="00CA352A" w:rsidP="00E5412A" w:rsidRDefault="00CA352A" w14:paraId="3B22D509" w14:textId="77777777">
      <w:pPr>
        <w:rPr>
          <w:rFonts w:ascii="Open Sans" w:hAnsi="Open Sans" w:cs="Open Sans"/>
          <w:bCs/>
          <w:u w:val="single"/>
        </w:rPr>
      </w:pPr>
    </w:p>
    <w:p w:rsidR="00CA352A" w:rsidP="00E5412A" w:rsidRDefault="00CA352A" w14:paraId="1A20F676" w14:textId="77777777">
      <w:pPr>
        <w:rPr>
          <w:rFonts w:ascii="Open Sans" w:hAnsi="Open Sans" w:cs="Open Sans"/>
          <w:bCs/>
          <w:u w:val="single"/>
        </w:rPr>
      </w:pPr>
    </w:p>
    <w:p w:rsidR="00CA352A" w:rsidP="00E5412A" w:rsidRDefault="00CA352A" w14:paraId="5BE9993C" w14:textId="77777777">
      <w:pPr>
        <w:rPr>
          <w:rFonts w:ascii="Open Sans" w:hAnsi="Open Sans" w:cs="Open Sans"/>
          <w:bCs/>
          <w:u w:val="single"/>
        </w:rPr>
      </w:pPr>
    </w:p>
    <w:p w:rsidR="00CA352A" w:rsidP="00E5412A" w:rsidRDefault="00CA352A" w14:paraId="7767FA5E" w14:textId="77777777">
      <w:pPr>
        <w:rPr>
          <w:rFonts w:ascii="Open Sans" w:hAnsi="Open Sans" w:cs="Open Sans"/>
          <w:bCs/>
          <w:u w:val="single"/>
        </w:rPr>
      </w:pPr>
    </w:p>
    <w:p w:rsidR="00CA352A" w:rsidP="00E5412A" w:rsidRDefault="00CA352A" w14:paraId="00E0F3AD" w14:textId="77777777">
      <w:pPr>
        <w:rPr>
          <w:rFonts w:ascii="Open Sans" w:hAnsi="Open Sans" w:cs="Open Sans"/>
          <w:bCs/>
          <w:u w:val="single"/>
        </w:rPr>
      </w:pPr>
    </w:p>
    <w:p w:rsidR="00CA352A" w:rsidP="00E5412A" w:rsidRDefault="00CA352A" w14:paraId="41BC914C" w14:textId="77777777">
      <w:pPr>
        <w:rPr>
          <w:rFonts w:ascii="Open Sans" w:hAnsi="Open Sans" w:cs="Open Sans"/>
          <w:bCs/>
          <w:u w:val="single"/>
        </w:rPr>
      </w:pPr>
    </w:p>
    <w:p w:rsidR="00CA352A" w:rsidP="00E5412A" w:rsidRDefault="00CA352A" w14:paraId="0CAB0B42" w14:textId="77777777">
      <w:pPr>
        <w:rPr>
          <w:rFonts w:ascii="Open Sans" w:hAnsi="Open Sans" w:cs="Open Sans"/>
          <w:bCs/>
          <w:u w:val="single"/>
        </w:rPr>
      </w:pPr>
    </w:p>
    <w:p w:rsidRPr="00A72B24" w:rsidR="00A72B24" w:rsidP="00E5412A" w:rsidRDefault="00CA352A" w14:paraId="67365AC2" w14:textId="7A1EDA56">
      <w:pPr>
        <w:rPr>
          <w:rFonts w:ascii="Open Sans" w:hAnsi="Open Sans" w:cs="Open Sans"/>
          <w:bCs/>
          <w:u w:val="single"/>
        </w:rPr>
      </w:pPr>
      <w:r>
        <w:rPr>
          <w:rFonts w:ascii="Open Sans" w:hAnsi="Open Sans" w:cs="Open Sans"/>
          <w:bCs/>
          <w:u w:val="single"/>
        </w:rPr>
        <w:t xml:space="preserve">The </w:t>
      </w:r>
      <w:r w:rsidR="00A72B24">
        <w:rPr>
          <w:rFonts w:ascii="Open Sans" w:hAnsi="Open Sans" w:cs="Open Sans"/>
          <w:bCs/>
          <w:u w:val="single"/>
        </w:rPr>
        <w:t xml:space="preserve">Lender </w:t>
      </w:r>
      <w:r w:rsidR="00A72B24">
        <w:rPr>
          <w:rFonts w:ascii="Open Sans" w:hAnsi="Open Sans" w:cs="Open Sans"/>
          <w:b/>
          <w:u w:val="single"/>
        </w:rPr>
        <w:t>CERTIFIES, ACKNOWLEDGES AND COVENANTS</w:t>
      </w:r>
      <w:r w:rsidR="00A72B24">
        <w:rPr>
          <w:rFonts w:ascii="Open Sans" w:hAnsi="Open Sans" w:cs="Open Sans"/>
          <w:bCs/>
          <w:u w:val="single"/>
        </w:rPr>
        <w:t xml:space="preserve"> to the Export-Import Bank of the United States (“EXIM”) that to the best of Lender’s knowledge and belief, after due diligence, the statements set forth below are true and correct.</w:t>
      </w:r>
    </w:p>
    <w:p w:rsidRPr="000C6125" w:rsidR="00E5412A" w:rsidP="00E5412A" w:rsidRDefault="000C6125" w14:paraId="30502829" w14:textId="50805B2B">
      <w:pPr>
        <w:rPr>
          <w:rFonts w:ascii="Open Sans" w:hAnsi="Open Sans" w:cs="Open Sans"/>
          <w:bCs/>
        </w:rPr>
      </w:pPr>
      <w:r w:rsidRPr="000C6125">
        <w:rPr>
          <w:rFonts w:ascii="Open Sans" w:hAnsi="Open Sans" w:cs="Open Sans"/>
          <w:bCs/>
          <w:u w:val="single"/>
        </w:rPr>
        <w:t>SECTION G:  CERTIFICATIONS</w:t>
      </w:r>
    </w:p>
    <w:p w:rsidRPr="000C6125" w:rsidR="000C6125" w:rsidP="000C6125" w:rsidRDefault="000C6125" w14:paraId="13D0EC8F" w14:textId="7E0B54F5">
      <w:pPr>
        <w:pStyle w:val="Default"/>
        <w:rPr>
          <w:sz w:val="22"/>
          <w:szCs w:val="22"/>
        </w:rPr>
      </w:pPr>
      <w:r w:rsidRPr="000C6125">
        <w:rPr>
          <w:sz w:val="22"/>
          <w:szCs w:val="22"/>
        </w:rPr>
        <w:t xml:space="preserve">Neither Lender, nor any of its Principals (as defined in the Debarment Regulations identified below), has, within the past 3 years, been: </w:t>
      </w:r>
    </w:p>
    <w:p w:rsidRPr="000C6125" w:rsidR="000C6125" w:rsidP="000C6125" w:rsidRDefault="000C6125" w14:paraId="13C730A5" w14:textId="77777777">
      <w:pPr>
        <w:pStyle w:val="Default"/>
        <w:rPr>
          <w:sz w:val="22"/>
          <w:szCs w:val="22"/>
        </w:rPr>
      </w:pPr>
    </w:p>
    <w:p w:rsidRPr="000C6125" w:rsidR="000C6125" w:rsidP="000C6125" w:rsidRDefault="000C6125" w14:paraId="30E28999" w14:textId="77777777">
      <w:pPr>
        <w:pStyle w:val="Default"/>
        <w:numPr>
          <w:ilvl w:val="0"/>
          <w:numId w:val="2"/>
        </w:numPr>
        <w:rPr>
          <w:sz w:val="22"/>
          <w:szCs w:val="22"/>
        </w:rPr>
      </w:pPr>
      <w:r w:rsidRPr="000C6125">
        <w:rPr>
          <w:sz w:val="22"/>
          <w:szCs w:val="22"/>
        </w:rPr>
        <w:t xml:space="preserve">debarred, suspended, declared ineligible from participating in, or voluntarily excluded from participation in a Covered Transaction (as defined in the EXIM and Government-wide debarment regulations, found at 2 CFR Part 3513 and 2 CFR Part 180, respectively) (collectively the “Debarment Regulations”); </w:t>
      </w:r>
    </w:p>
    <w:p w:rsidRPr="000C6125" w:rsidR="000C6125" w:rsidP="007775F5" w:rsidRDefault="000C6125" w14:paraId="540CBDAE" w14:textId="27CAA3D2">
      <w:pPr>
        <w:pStyle w:val="Default"/>
        <w:numPr>
          <w:ilvl w:val="0"/>
          <w:numId w:val="2"/>
        </w:numPr>
        <w:rPr>
          <w:sz w:val="22"/>
          <w:szCs w:val="22"/>
        </w:rPr>
      </w:pPr>
      <w:r w:rsidRPr="000C6125">
        <w:rPr>
          <w:sz w:val="22"/>
          <w:szCs w:val="22"/>
        </w:rPr>
        <w:t xml:space="preserve">formally proposed for debarment from participating in a Covered Transaction, with a final determination still pending; </w:t>
      </w:r>
    </w:p>
    <w:p w:rsidRPr="000C6125" w:rsidR="000C6125" w:rsidP="00BA0075" w:rsidRDefault="000C6125" w14:paraId="526DC0B2" w14:textId="354BA931">
      <w:pPr>
        <w:pStyle w:val="Default"/>
        <w:numPr>
          <w:ilvl w:val="0"/>
          <w:numId w:val="2"/>
        </w:numPr>
        <w:rPr>
          <w:sz w:val="22"/>
          <w:szCs w:val="22"/>
        </w:rPr>
      </w:pPr>
      <w:r w:rsidRPr="000C6125">
        <w:rPr>
          <w:sz w:val="22"/>
          <w:szCs w:val="22"/>
        </w:rPr>
        <w:t xml:space="preserve">indicted, convicted or had a civil judgment rendered against it for any conduct or offenses described at 2 CFR § 180.800 in the Debarment Regulations; </w:t>
      </w:r>
      <w:r w:rsidR="00C4606F">
        <w:rPr>
          <w:sz w:val="22"/>
          <w:szCs w:val="22"/>
        </w:rPr>
        <w:t>and</w:t>
      </w:r>
    </w:p>
    <w:p w:rsidRPr="000C6125" w:rsidR="000C6125" w:rsidP="00C4606F" w:rsidRDefault="000C6125" w14:paraId="7E43470F" w14:textId="5260ED27">
      <w:pPr>
        <w:pStyle w:val="Default"/>
        <w:numPr>
          <w:ilvl w:val="0"/>
          <w:numId w:val="2"/>
        </w:numPr>
        <w:rPr>
          <w:sz w:val="22"/>
          <w:szCs w:val="22"/>
        </w:rPr>
      </w:pPr>
      <w:r w:rsidRPr="000C6125">
        <w:rPr>
          <w:sz w:val="22"/>
          <w:szCs w:val="22"/>
        </w:rPr>
        <w:lastRenderedPageBreak/>
        <w:t>delinquent on any amounts due and owing to the U.S. Government or its agencies or instrumentalities as of the date of execution of this certification</w:t>
      </w:r>
      <w:r w:rsidR="00C4606F">
        <w:rPr>
          <w:sz w:val="22"/>
          <w:szCs w:val="22"/>
        </w:rPr>
        <w:t xml:space="preserve">. </w:t>
      </w:r>
    </w:p>
    <w:p w:rsidR="00C4606F" w:rsidP="00C4606F" w:rsidRDefault="00C4606F" w14:paraId="3B66C954" w14:textId="77777777">
      <w:pPr>
        <w:spacing w:after="0" w:line="240" w:lineRule="auto"/>
        <w:rPr>
          <w:rFonts w:ascii="Open Sans" w:hAnsi="Open Sans" w:cs="Open Sans"/>
          <w:bCs/>
        </w:rPr>
      </w:pPr>
    </w:p>
    <w:sectPr w:rsidR="00C460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8C279" w14:textId="77777777" w:rsidR="00D07D55" w:rsidRDefault="00D07D55" w:rsidP="00D07D55">
      <w:pPr>
        <w:spacing w:after="0" w:line="240" w:lineRule="auto"/>
      </w:pPr>
      <w:r>
        <w:separator/>
      </w:r>
    </w:p>
  </w:endnote>
  <w:endnote w:type="continuationSeparator" w:id="0">
    <w:p w14:paraId="0EE5983D" w14:textId="77777777" w:rsidR="00D07D55" w:rsidRDefault="00D07D55" w:rsidP="00D0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23C35" w14:textId="07849D0E" w:rsidR="00D07D55" w:rsidRDefault="00D07D55">
    <w:pPr>
      <w:pStyle w:val="Footer"/>
    </w:pPr>
    <w:r>
      <w:t>EIB XX-XX (</w:t>
    </w:r>
    <w:r w:rsidR="005C65BD">
      <w:t>09/20</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DEFEC" w14:textId="77777777" w:rsidR="00D07D55" w:rsidRDefault="00D07D55" w:rsidP="00D07D55">
      <w:pPr>
        <w:spacing w:after="0" w:line="240" w:lineRule="auto"/>
      </w:pPr>
      <w:r>
        <w:separator/>
      </w:r>
    </w:p>
  </w:footnote>
  <w:footnote w:type="continuationSeparator" w:id="0">
    <w:p w14:paraId="505AE7DB" w14:textId="77777777" w:rsidR="00D07D55" w:rsidRDefault="00D07D55" w:rsidP="00D07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52302"/>
    <w:multiLevelType w:val="hybridMultilevel"/>
    <w:tmpl w:val="2F10F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8265B"/>
    <w:multiLevelType w:val="hybridMultilevel"/>
    <w:tmpl w:val="CBC49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2A"/>
    <w:rsid w:val="00017FA1"/>
    <w:rsid w:val="000247E6"/>
    <w:rsid w:val="000C6125"/>
    <w:rsid w:val="0014085E"/>
    <w:rsid w:val="002D6965"/>
    <w:rsid w:val="005103DA"/>
    <w:rsid w:val="005C65BD"/>
    <w:rsid w:val="005F34DE"/>
    <w:rsid w:val="0086088D"/>
    <w:rsid w:val="00890CAD"/>
    <w:rsid w:val="009E418E"/>
    <w:rsid w:val="00A72B24"/>
    <w:rsid w:val="00C4606F"/>
    <w:rsid w:val="00CA352A"/>
    <w:rsid w:val="00CB0485"/>
    <w:rsid w:val="00D07D55"/>
    <w:rsid w:val="00DB0B00"/>
    <w:rsid w:val="00E5412A"/>
    <w:rsid w:val="00F0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080E"/>
  <w15:chartTrackingRefBased/>
  <w15:docId w15:val="{5075C6C4-40E2-4821-B5BC-A34653A4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12A"/>
    <w:pPr>
      <w:spacing w:after="200" w:line="27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0CAD"/>
    <w:pPr>
      <w:framePr w:w="7920" w:h="1980" w:hRule="exact" w:hSpace="180" w:wrap="auto" w:hAnchor="page" w:xAlign="center" w:yAlign="bottom"/>
      <w:ind w:left="2880"/>
    </w:pPr>
    <w:rPr>
      <w:rFonts w:ascii="Calibri" w:eastAsiaTheme="majorEastAsia" w:hAnsi="Calibri" w:cstheme="majorBidi"/>
      <w:szCs w:val="24"/>
    </w:rPr>
  </w:style>
  <w:style w:type="paragraph" w:customStyle="1" w:styleId="Default">
    <w:name w:val="Default"/>
    <w:basedOn w:val="Normal"/>
    <w:rsid w:val="000C6125"/>
    <w:pPr>
      <w:autoSpaceDE w:val="0"/>
      <w:autoSpaceDN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rsid w:val="000C6125"/>
    <w:pPr>
      <w:ind w:left="720"/>
      <w:contextualSpacing/>
    </w:pPr>
  </w:style>
  <w:style w:type="paragraph" w:styleId="Header">
    <w:name w:val="header"/>
    <w:basedOn w:val="Normal"/>
    <w:link w:val="HeaderChar"/>
    <w:uiPriority w:val="99"/>
    <w:unhideWhenUsed/>
    <w:rsid w:val="00D0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55"/>
    <w:rPr>
      <w:rFonts w:asciiTheme="minorHAnsi" w:hAnsiTheme="minorHAnsi" w:cstheme="minorBidi"/>
    </w:rPr>
  </w:style>
  <w:style w:type="paragraph" w:styleId="Footer">
    <w:name w:val="footer"/>
    <w:basedOn w:val="Normal"/>
    <w:link w:val="FooterChar"/>
    <w:uiPriority w:val="99"/>
    <w:unhideWhenUsed/>
    <w:rsid w:val="00D0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55"/>
    <w:rPr>
      <w:rFonts w:asciiTheme="minorHAnsi" w:hAnsiTheme="minorHAnsi" w:cstheme="minorBidi"/>
    </w:rPr>
  </w:style>
  <w:style w:type="paragraph" w:styleId="BalloonText">
    <w:name w:val="Balloon Text"/>
    <w:basedOn w:val="Normal"/>
    <w:link w:val="BalloonTextChar"/>
    <w:uiPriority w:val="99"/>
    <w:semiHidden/>
    <w:unhideWhenUsed/>
    <w:rsid w:val="00017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F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9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Schneider</dc:creator>
  <cp:keywords/>
  <dc:description/>
  <cp:lastModifiedBy>Bassam Doughman</cp:lastModifiedBy>
  <cp:revision>2</cp:revision>
  <dcterms:created xsi:type="dcterms:W3CDTF">2021-02-18T14:22:00Z</dcterms:created>
  <dcterms:modified xsi:type="dcterms:W3CDTF">2021-02-18T14:22:00Z</dcterms:modified>
</cp:coreProperties>
</file>