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661BE" w:rsidR="007A47E3" w:rsidP="007A47E3" w:rsidRDefault="007A47E3" w14:paraId="33D4E0B1" w14:textId="77777777">
      <w:pPr>
        <w:rPr>
          <w:b/>
          <w:sz w:val="22"/>
          <w:szCs w:val="22"/>
        </w:rPr>
      </w:pPr>
      <w:r w:rsidRPr="00F661BE">
        <w:rPr>
          <w:b/>
          <w:sz w:val="22"/>
          <w:szCs w:val="22"/>
        </w:rPr>
        <w:t>A.</w:t>
      </w:r>
      <w:r w:rsidRPr="00F661BE">
        <w:rPr>
          <w:b/>
          <w:sz w:val="22"/>
          <w:szCs w:val="22"/>
        </w:rPr>
        <w:tab/>
        <w:t>Justification</w:t>
      </w:r>
    </w:p>
    <w:p w:rsidRPr="00F661BE" w:rsidR="007A47E3" w:rsidP="007A47E3" w:rsidRDefault="007A47E3" w14:paraId="08BCC17E" w14:textId="77777777">
      <w:pPr>
        <w:rPr>
          <w:b/>
          <w:sz w:val="22"/>
          <w:szCs w:val="22"/>
        </w:rPr>
      </w:pPr>
    </w:p>
    <w:p w:rsidRPr="00F661BE" w:rsidR="007A47E3" w:rsidP="007A47E3" w:rsidRDefault="007A47E3" w14:paraId="4C57B46C" w14:textId="77777777">
      <w:pPr>
        <w:rPr>
          <w:sz w:val="22"/>
          <w:szCs w:val="22"/>
        </w:rPr>
      </w:pPr>
      <w:r w:rsidRPr="00F661BE">
        <w:rPr>
          <w:b/>
          <w:sz w:val="22"/>
          <w:szCs w:val="22"/>
        </w:rPr>
        <w:t>Background</w:t>
      </w:r>
    </w:p>
    <w:p w:rsidRPr="00F661BE" w:rsidR="007A47E3" w:rsidP="007A47E3" w:rsidRDefault="007A47E3" w14:paraId="5BB16F2C" w14:textId="77777777">
      <w:pPr>
        <w:rPr>
          <w:sz w:val="22"/>
          <w:szCs w:val="22"/>
        </w:rPr>
      </w:pPr>
    </w:p>
    <w:p w:rsidRPr="003511DB" w:rsidR="00E5353D" w:rsidP="007A47E3" w:rsidRDefault="007A47E3" w14:paraId="2239DD52" w14:textId="5C979755">
      <w:pPr>
        <w:ind w:left="360" w:hanging="360"/>
        <w:rPr>
          <w:sz w:val="22"/>
          <w:szCs w:val="22"/>
        </w:rPr>
      </w:pPr>
      <w:r w:rsidRPr="00F661BE">
        <w:rPr>
          <w:sz w:val="22"/>
          <w:szCs w:val="22"/>
        </w:rPr>
        <w:t>1.</w:t>
      </w:r>
      <w:r w:rsidRPr="00F661BE">
        <w:rPr>
          <w:sz w:val="22"/>
          <w:szCs w:val="22"/>
        </w:rPr>
        <w:tab/>
      </w:r>
    </w:p>
    <w:p w:rsidRPr="003511DB" w:rsidR="00E5353D" w:rsidP="007A47E3" w:rsidRDefault="00417276" w14:paraId="09FFD207" w14:textId="1ECD22EA">
      <w:pPr>
        <w:ind w:left="360" w:hanging="360"/>
        <w:rPr>
          <w:sz w:val="22"/>
          <w:szCs w:val="22"/>
        </w:rPr>
      </w:pPr>
      <w:r w:rsidRPr="003511DB">
        <w:rPr>
          <w:sz w:val="22"/>
          <w:szCs w:val="22"/>
        </w:rPr>
        <w:tab/>
      </w:r>
    </w:p>
    <w:p w:rsidR="00DE09BA" w:rsidP="003511DB" w:rsidRDefault="006F4AB1" w14:paraId="5CF556A0" w14:textId="5EB64621">
      <w:pPr>
        <w:ind w:left="360"/>
        <w:rPr>
          <w:sz w:val="22"/>
          <w:szCs w:val="22"/>
        </w:rPr>
      </w:pPr>
      <w:r w:rsidRPr="003511DB">
        <w:rPr>
          <w:sz w:val="22"/>
          <w:szCs w:val="22"/>
        </w:rPr>
        <w:t xml:space="preserve">On December 14, 2017, the </w:t>
      </w:r>
      <w:r w:rsidR="0046167D">
        <w:rPr>
          <w:sz w:val="22"/>
          <w:szCs w:val="22"/>
        </w:rPr>
        <w:t xml:space="preserve">Federal Communications </w:t>
      </w:r>
      <w:r w:rsidRPr="003511DB">
        <w:rPr>
          <w:sz w:val="22"/>
          <w:szCs w:val="22"/>
        </w:rPr>
        <w:t xml:space="preserve">Commission </w:t>
      </w:r>
      <w:r w:rsidR="0046167D">
        <w:rPr>
          <w:sz w:val="22"/>
          <w:szCs w:val="22"/>
        </w:rPr>
        <w:t xml:space="preserve">(“Commission”) </w:t>
      </w:r>
      <w:r w:rsidRPr="003511DB">
        <w:rPr>
          <w:sz w:val="22"/>
          <w:szCs w:val="22"/>
        </w:rPr>
        <w:t xml:space="preserve">adopted the </w:t>
      </w:r>
      <w:r w:rsidRPr="003511DB">
        <w:rPr>
          <w:i/>
          <w:sz w:val="22"/>
          <w:szCs w:val="22"/>
        </w:rPr>
        <w:t xml:space="preserve">Restoring Internet Freedom Declaratory Ruling, Report and Order, and Order </w:t>
      </w:r>
      <w:r w:rsidRPr="003511DB">
        <w:rPr>
          <w:sz w:val="22"/>
          <w:szCs w:val="22"/>
        </w:rPr>
        <w:t>(</w:t>
      </w:r>
      <w:r w:rsidRPr="00EC6E5E">
        <w:rPr>
          <w:sz w:val="22"/>
          <w:szCs w:val="22"/>
        </w:rPr>
        <w:t>“</w:t>
      </w:r>
      <w:r w:rsidRPr="003511DB">
        <w:rPr>
          <w:i/>
          <w:sz w:val="22"/>
          <w:szCs w:val="22"/>
        </w:rPr>
        <w:t>Restoring Internet Freedom Order</w:t>
      </w:r>
      <w:r w:rsidRPr="00EC6E5E">
        <w:rPr>
          <w:sz w:val="22"/>
          <w:szCs w:val="22"/>
        </w:rPr>
        <w:t>”</w:t>
      </w:r>
      <w:r w:rsidRPr="003511DB">
        <w:rPr>
          <w:sz w:val="22"/>
          <w:szCs w:val="22"/>
        </w:rPr>
        <w:t>).</w:t>
      </w:r>
      <w:r w:rsidRPr="003511DB">
        <w:rPr>
          <w:rStyle w:val="FootnoteReference"/>
          <w:sz w:val="22"/>
          <w:szCs w:val="22"/>
        </w:rPr>
        <w:footnoteReference w:id="1"/>
      </w:r>
      <w:r w:rsidRPr="003511DB">
        <w:rPr>
          <w:sz w:val="22"/>
          <w:szCs w:val="22"/>
        </w:rPr>
        <w:t xml:space="preserve"> </w:t>
      </w:r>
      <w:r w:rsidRPr="003511DB">
        <w:rPr>
          <w:i/>
          <w:sz w:val="22"/>
          <w:szCs w:val="22"/>
        </w:rPr>
        <w:t xml:space="preserve"> </w:t>
      </w:r>
      <w:r w:rsidRPr="003511DB" w:rsidR="001F2AD5">
        <w:rPr>
          <w:sz w:val="22"/>
          <w:szCs w:val="22"/>
        </w:rPr>
        <w:t xml:space="preserve">The </w:t>
      </w:r>
      <w:r w:rsidRPr="003511DB" w:rsidR="001F2AD5">
        <w:rPr>
          <w:i/>
          <w:sz w:val="22"/>
          <w:szCs w:val="22"/>
        </w:rPr>
        <w:t>Restoring Internet Freedom Order</w:t>
      </w:r>
      <w:r w:rsidRPr="003511DB" w:rsidR="001F2AD5">
        <w:rPr>
          <w:sz w:val="22"/>
          <w:szCs w:val="22"/>
        </w:rPr>
        <w:t xml:space="preserve"> restore</w:t>
      </w:r>
      <w:r w:rsidR="00F27265">
        <w:rPr>
          <w:sz w:val="22"/>
          <w:szCs w:val="22"/>
        </w:rPr>
        <w:t>d</w:t>
      </w:r>
      <w:r w:rsidRPr="003511DB" w:rsidR="001F2AD5">
        <w:rPr>
          <w:sz w:val="22"/>
          <w:szCs w:val="22"/>
        </w:rPr>
        <w:t xml:space="preserve"> the light-touch regulatory framework that existed prior to the </w:t>
      </w:r>
      <w:r w:rsidR="001F2AD5">
        <w:rPr>
          <w:sz w:val="22"/>
          <w:szCs w:val="22"/>
        </w:rPr>
        <w:t xml:space="preserve">2015 </w:t>
      </w:r>
      <w:r w:rsidRPr="003511DB" w:rsidR="001F2AD5">
        <w:rPr>
          <w:i/>
          <w:sz w:val="22"/>
          <w:szCs w:val="22"/>
        </w:rPr>
        <w:t>Title II Order</w:t>
      </w:r>
      <w:r w:rsidRPr="003511DB" w:rsidR="001F2AD5">
        <w:rPr>
          <w:sz w:val="22"/>
          <w:szCs w:val="22"/>
        </w:rPr>
        <w:t>,</w:t>
      </w:r>
      <w:r w:rsidRPr="003511DB" w:rsidR="001F2AD5">
        <w:rPr>
          <w:rStyle w:val="FootnoteReference"/>
          <w:bCs/>
          <w:sz w:val="22"/>
          <w:szCs w:val="22"/>
        </w:rPr>
        <w:footnoteReference w:id="2"/>
      </w:r>
      <w:r w:rsidRPr="003511DB" w:rsidR="001F2AD5">
        <w:rPr>
          <w:sz w:val="22"/>
          <w:szCs w:val="22"/>
        </w:rPr>
        <w:t xml:space="preserve"> which allowed the Internet to flourish for almost two decades.  It conclude</w:t>
      </w:r>
      <w:r w:rsidR="00F27265">
        <w:rPr>
          <w:sz w:val="22"/>
          <w:szCs w:val="22"/>
        </w:rPr>
        <w:t>d</w:t>
      </w:r>
      <w:r w:rsidRPr="003511DB" w:rsidR="001F2AD5">
        <w:rPr>
          <w:sz w:val="22"/>
          <w:szCs w:val="22"/>
        </w:rPr>
        <w:t xml:space="preserve"> that light-</w:t>
      </w:r>
      <w:r w:rsidR="001F2AD5">
        <w:rPr>
          <w:sz w:val="22"/>
          <w:szCs w:val="22"/>
        </w:rPr>
        <w:t>touch</w:t>
      </w:r>
      <w:r w:rsidRPr="003511DB" w:rsidR="001F2AD5">
        <w:rPr>
          <w:sz w:val="22"/>
          <w:szCs w:val="22"/>
        </w:rPr>
        <w:t xml:space="preserve"> regulation promotes investment and innovation better than applying costly and restrictive laws of a bygone era to broadband Internet access service.</w:t>
      </w:r>
      <w:r w:rsidR="001F2AD5">
        <w:rPr>
          <w:sz w:val="22"/>
          <w:szCs w:val="22"/>
        </w:rPr>
        <w:t xml:space="preserve">  </w:t>
      </w:r>
    </w:p>
    <w:p w:rsidR="00DE09BA" w:rsidP="003511DB" w:rsidRDefault="00DE09BA" w14:paraId="3564E984" w14:textId="77777777">
      <w:pPr>
        <w:ind w:left="360"/>
        <w:rPr>
          <w:sz w:val="22"/>
          <w:szCs w:val="22"/>
        </w:rPr>
      </w:pPr>
    </w:p>
    <w:p w:rsidRPr="003511DB" w:rsidR="006F4AB1" w:rsidP="003511DB" w:rsidRDefault="001F2AD5" w14:paraId="4A12E4DF" w14:textId="4FB6A6D5">
      <w:pPr>
        <w:ind w:left="360"/>
        <w:rPr>
          <w:sz w:val="22"/>
          <w:szCs w:val="22"/>
        </w:rPr>
      </w:pPr>
      <w:r>
        <w:rPr>
          <w:bCs/>
          <w:sz w:val="22"/>
          <w:szCs w:val="22"/>
        </w:rPr>
        <w:t>Additionally, t</w:t>
      </w:r>
      <w:r w:rsidRPr="003511DB" w:rsidR="00F1611E">
        <w:rPr>
          <w:bCs/>
          <w:sz w:val="22"/>
          <w:szCs w:val="22"/>
        </w:rPr>
        <w:t xml:space="preserve">he </w:t>
      </w:r>
      <w:r w:rsidRPr="003511DB" w:rsidR="00F1611E">
        <w:rPr>
          <w:bCs/>
          <w:i/>
          <w:sz w:val="22"/>
          <w:szCs w:val="22"/>
        </w:rPr>
        <w:t>Restoring Internet Freedom Order</w:t>
      </w:r>
      <w:r w:rsidRPr="003511DB" w:rsidR="00F1611E">
        <w:rPr>
          <w:bCs/>
          <w:sz w:val="22"/>
          <w:szCs w:val="22"/>
        </w:rPr>
        <w:t xml:space="preserve"> revise</w:t>
      </w:r>
      <w:r w:rsidR="00F27265">
        <w:rPr>
          <w:bCs/>
          <w:sz w:val="22"/>
          <w:szCs w:val="22"/>
        </w:rPr>
        <w:t>d</w:t>
      </w:r>
      <w:r w:rsidRPr="003511DB" w:rsidR="00F1611E">
        <w:rPr>
          <w:bCs/>
          <w:sz w:val="22"/>
          <w:szCs w:val="22"/>
        </w:rPr>
        <w:t xml:space="preserve"> the information collection requirements applicable to Internet service providers (ISPs).  The </w:t>
      </w:r>
      <w:r w:rsidRPr="003511DB" w:rsidR="00F1611E">
        <w:rPr>
          <w:bCs/>
          <w:i/>
          <w:sz w:val="22"/>
          <w:szCs w:val="22"/>
        </w:rPr>
        <w:t>Open Internet Order</w:t>
      </w:r>
      <w:r w:rsidRPr="003511DB" w:rsidR="00F1611E">
        <w:rPr>
          <w:bCs/>
          <w:sz w:val="22"/>
          <w:szCs w:val="22"/>
        </w:rPr>
        <w:t>,</w:t>
      </w:r>
      <w:r w:rsidRPr="003511DB" w:rsidR="006F4AB1">
        <w:rPr>
          <w:rStyle w:val="FootnoteReference"/>
          <w:bCs/>
          <w:sz w:val="22"/>
          <w:szCs w:val="22"/>
        </w:rPr>
        <w:footnoteReference w:id="3"/>
      </w:r>
      <w:r w:rsidRPr="003511DB" w:rsidR="00F1611E">
        <w:rPr>
          <w:bCs/>
          <w:sz w:val="22"/>
          <w:szCs w:val="22"/>
        </w:rPr>
        <w:t xml:space="preserve"> adopted in 2010, required ISPs to disclose certain network management processes, performance characteristics, and other attributes of broadband Internet access service.  These </w:t>
      </w:r>
      <w:r w:rsidR="00471B1D">
        <w:rPr>
          <w:bCs/>
          <w:sz w:val="22"/>
          <w:szCs w:val="22"/>
        </w:rPr>
        <w:t xml:space="preserve">transparency rule </w:t>
      </w:r>
      <w:r w:rsidRPr="003511DB" w:rsidR="00F1611E">
        <w:rPr>
          <w:bCs/>
          <w:sz w:val="22"/>
          <w:szCs w:val="22"/>
        </w:rPr>
        <w:t xml:space="preserve">disclosure requirements were significantly increased by the </w:t>
      </w:r>
      <w:r w:rsidRPr="003511DB" w:rsidR="00F1611E">
        <w:rPr>
          <w:bCs/>
          <w:i/>
          <w:sz w:val="22"/>
          <w:szCs w:val="22"/>
        </w:rPr>
        <w:t>Title II Order</w:t>
      </w:r>
      <w:r w:rsidRPr="003511DB" w:rsidR="00F1611E">
        <w:rPr>
          <w:bCs/>
          <w:sz w:val="22"/>
          <w:szCs w:val="22"/>
        </w:rPr>
        <w:t xml:space="preserve">.  </w:t>
      </w:r>
      <w:r w:rsidRPr="003511DB" w:rsidR="00F1611E">
        <w:rPr>
          <w:sz w:val="22"/>
          <w:szCs w:val="22"/>
        </w:rPr>
        <w:t xml:space="preserve">The </w:t>
      </w:r>
      <w:r w:rsidRPr="003511DB" w:rsidR="00F1611E">
        <w:rPr>
          <w:i/>
          <w:sz w:val="22"/>
          <w:szCs w:val="22"/>
        </w:rPr>
        <w:t>Restoring Internet Freedom Order</w:t>
      </w:r>
      <w:r w:rsidRPr="003511DB" w:rsidR="00F1611E">
        <w:rPr>
          <w:sz w:val="22"/>
          <w:szCs w:val="22"/>
        </w:rPr>
        <w:t xml:space="preserve"> eliminate</w:t>
      </w:r>
      <w:r w:rsidR="00F27265">
        <w:rPr>
          <w:sz w:val="22"/>
          <w:szCs w:val="22"/>
        </w:rPr>
        <w:t>d</w:t>
      </w:r>
      <w:r w:rsidRPr="003511DB" w:rsidR="00F1611E">
        <w:rPr>
          <w:sz w:val="22"/>
          <w:szCs w:val="22"/>
        </w:rPr>
        <w:t xml:space="preserve"> the additional </w:t>
      </w:r>
      <w:r w:rsidR="00471B1D">
        <w:rPr>
          <w:sz w:val="22"/>
          <w:szCs w:val="22"/>
        </w:rPr>
        <w:t xml:space="preserve">information </w:t>
      </w:r>
      <w:r w:rsidRPr="003511DB" w:rsidR="00F1611E">
        <w:rPr>
          <w:sz w:val="22"/>
          <w:szCs w:val="22"/>
        </w:rPr>
        <w:t>collection</w:t>
      </w:r>
      <w:r w:rsidR="00471B1D">
        <w:rPr>
          <w:sz w:val="22"/>
          <w:szCs w:val="22"/>
        </w:rPr>
        <w:t xml:space="preserve"> obligations</w:t>
      </w:r>
      <w:r w:rsidRPr="003511DB" w:rsidR="00F1611E">
        <w:rPr>
          <w:sz w:val="22"/>
          <w:szCs w:val="22"/>
        </w:rPr>
        <w:t xml:space="preserve"> imposed by the </w:t>
      </w:r>
      <w:r w:rsidRPr="003511DB" w:rsidR="00F1611E">
        <w:rPr>
          <w:i/>
          <w:sz w:val="22"/>
          <w:szCs w:val="22"/>
        </w:rPr>
        <w:t>Title II Order</w:t>
      </w:r>
      <w:r w:rsidRPr="003511DB" w:rsidR="00F1611E">
        <w:rPr>
          <w:sz w:val="22"/>
          <w:szCs w:val="22"/>
        </w:rPr>
        <w:t xml:space="preserve"> and add</w:t>
      </w:r>
      <w:r w:rsidR="00F27265">
        <w:rPr>
          <w:sz w:val="22"/>
          <w:szCs w:val="22"/>
        </w:rPr>
        <w:t>ed</w:t>
      </w:r>
      <w:r w:rsidRPr="003511DB" w:rsidR="00F1611E">
        <w:rPr>
          <w:sz w:val="22"/>
          <w:szCs w:val="22"/>
        </w:rPr>
        <w:t xml:space="preserve"> a few discrete elements to the </w:t>
      </w:r>
      <w:r w:rsidRPr="003511DB" w:rsidR="00F1611E">
        <w:rPr>
          <w:i/>
          <w:sz w:val="22"/>
          <w:szCs w:val="22"/>
        </w:rPr>
        <w:t>Open Internet Order</w:t>
      </w:r>
      <w:r w:rsidRPr="003511DB" w:rsidR="00F1611E">
        <w:rPr>
          <w:sz w:val="22"/>
          <w:szCs w:val="22"/>
        </w:rPr>
        <w:t>’s information collection requirements</w:t>
      </w:r>
      <w:r w:rsidRPr="003511DB" w:rsidR="00F1611E">
        <w:rPr>
          <w:bCs/>
          <w:sz w:val="22"/>
          <w:szCs w:val="22"/>
        </w:rPr>
        <w:t xml:space="preserve">.  </w:t>
      </w:r>
    </w:p>
    <w:p w:rsidRPr="003511DB" w:rsidR="006F4AB1" w:rsidP="007A47E3" w:rsidRDefault="006F4AB1" w14:paraId="11A02C91" w14:textId="7908A781">
      <w:pPr>
        <w:ind w:left="360" w:hanging="360"/>
        <w:rPr>
          <w:sz w:val="22"/>
          <w:szCs w:val="22"/>
        </w:rPr>
      </w:pPr>
    </w:p>
    <w:p w:rsidRPr="003511DB" w:rsidR="006F4AB1" w:rsidP="003511DB" w:rsidRDefault="006F4AB1" w14:paraId="5C0F0589" w14:textId="358AA268">
      <w:pPr>
        <w:ind w:left="360"/>
        <w:rPr>
          <w:bCs/>
          <w:sz w:val="22"/>
          <w:szCs w:val="22"/>
        </w:rPr>
      </w:pPr>
      <w:r w:rsidRPr="003511DB">
        <w:rPr>
          <w:sz w:val="22"/>
          <w:szCs w:val="22"/>
        </w:rPr>
        <w:t xml:space="preserve">The Commission is requesting </w:t>
      </w:r>
      <w:r w:rsidR="00F27265">
        <w:rPr>
          <w:sz w:val="22"/>
          <w:szCs w:val="22"/>
        </w:rPr>
        <w:t xml:space="preserve">renewal </w:t>
      </w:r>
      <w:r w:rsidRPr="003511DB">
        <w:rPr>
          <w:sz w:val="22"/>
          <w:szCs w:val="22"/>
        </w:rPr>
        <w:t xml:space="preserve">of </w:t>
      </w:r>
      <w:r w:rsidR="00F27265">
        <w:rPr>
          <w:sz w:val="22"/>
          <w:szCs w:val="22"/>
        </w:rPr>
        <w:t>the current</w:t>
      </w:r>
      <w:r w:rsidRPr="003511DB">
        <w:rPr>
          <w:sz w:val="22"/>
          <w:szCs w:val="22"/>
        </w:rPr>
        <w:t xml:space="preserve"> information </w:t>
      </w:r>
      <w:r w:rsidR="00CE641B">
        <w:rPr>
          <w:sz w:val="22"/>
          <w:szCs w:val="22"/>
        </w:rPr>
        <w:t>collection associated with the transparency r</w:t>
      </w:r>
      <w:r w:rsidRPr="003511DB">
        <w:rPr>
          <w:sz w:val="22"/>
          <w:szCs w:val="22"/>
        </w:rPr>
        <w:t>ule disclosures</w:t>
      </w:r>
      <w:r w:rsidR="00117D37">
        <w:rPr>
          <w:sz w:val="22"/>
          <w:szCs w:val="22"/>
        </w:rPr>
        <w:t xml:space="preserve"> from the Office of Management and Budget (OMB)</w:t>
      </w:r>
      <w:r w:rsidR="0046167D">
        <w:rPr>
          <w:sz w:val="22"/>
          <w:szCs w:val="22"/>
        </w:rPr>
        <w:t xml:space="preserve"> for the three-year clearance</w:t>
      </w:r>
      <w:r w:rsidRPr="003511DB">
        <w:rPr>
          <w:sz w:val="22"/>
          <w:szCs w:val="22"/>
        </w:rPr>
        <w:t>.</w:t>
      </w:r>
      <w:r w:rsidRPr="003511DB" w:rsidR="00FA08D7">
        <w:rPr>
          <w:sz w:val="22"/>
          <w:szCs w:val="22"/>
        </w:rPr>
        <w:t xml:space="preserve">  </w:t>
      </w:r>
      <w:r w:rsidRPr="003511DB" w:rsidR="003511DB">
        <w:rPr>
          <w:sz w:val="22"/>
          <w:szCs w:val="22"/>
        </w:rPr>
        <w:t>The informa</w:t>
      </w:r>
      <w:r w:rsidR="00CE641B">
        <w:rPr>
          <w:sz w:val="22"/>
          <w:szCs w:val="22"/>
        </w:rPr>
        <w:t>tion collection related to the transparency r</w:t>
      </w:r>
      <w:r w:rsidRPr="003511DB" w:rsidR="003511DB">
        <w:rPr>
          <w:sz w:val="22"/>
          <w:szCs w:val="22"/>
        </w:rPr>
        <w:t>ule is approved under OMB Control No. 3060-1158.</w:t>
      </w:r>
      <w:r w:rsidRPr="003511DB" w:rsidR="00471B1D">
        <w:rPr>
          <w:rStyle w:val="FootnoteReference"/>
          <w:bCs/>
          <w:sz w:val="22"/>
          <w:szCs w:val="22"/>
        </w:rPr>
        <w:footnoteReference w:id="4"/>
      </w:r>
      <w:r w:rsidRPr="003511DB" w:rsidR="003511DB">
        <w:rPr>
          <w:sz w:val="22"/>
          <w:szCs w:val="22"/>
        </w:rPr>
        <w:t xml:space="preserve">  </w:t>
      </w:r>
      <w:r w:rsidR="00357519">
        <w:rPr>
          <w:sz w:val="22"/>
          <w:szCs w:val="22"/>
        </w:rPr>
        <w:t>Again, a</w:t>
      </w:r>
      <w:r w:rsidRPr="003511DB" w:rsidR="00FA08D7">
        <w:rPr>
          <w:sz w:val="22"/>
          <w:szCs w:val="22"/>
        </w:rPr>
        <w:t>lthough this collection was bifurcated in 2016 with respect to fixed and mobile ISPs, the Commission seeks to have this collection encompass both fixed and mobile ISPs.</w:t>
      </w:r>
      <w:r w:rsidRPr="003511DB">
        <w:rPr>
          <w:sz w:val="22"/>
          <w:szCs w:val="22"/>
        </w:rPr>
        <w:t xml:space="preserve">  </w:t>
      </w:r>
    </w:p>
    <w:p w:rsidRPr="003511DB" w:rsidR="00FE2B79" w:rsidP="003511DB" w:rsidRDefault="00FE2B79" w14:paraId="64DCFAA6" w14:textId="6E8DC52F">
      <w:pPr>
        <w:rPr>
          <w:sz w:val="22"/>
          <w:szCs w:val="22"/>
        </w:rPr>
      </w:pPr>
    </w:p>
    <w:p w:rsidRPr="00091C5F" w:rsidR="007A47E3" w:rsidP="007A47E3" w:rsidRDefault="007A47E3" w14:paraId="0C888E8B" w14:textId="77777777">
      <w:pPr>
        <w:ind w:left="360"/>
        <w:rPr>
          <w:sz w:val="22"/>
          <w:szCs w:val="22"/>
        </w:rPr>
      </w:pPr>
      <w:r w:rsidRPr="00091C5F">
        <w:rPr>
          <w:b/>
          <w:i/>
          <w:sz w:val="22"/>
          <w:szCs w:val="22"/>
        </w:rPr>
        <w:t>Information Collection Requirements:</w:t>
      </w:r>
    </w:p>
    <w:p w:rsidRPr="00091C5F" w:rsidR="00FA08D7" w:rsidP="007A47E3" w:rsidRDefault="00FA08D7" w14:paraId="4F631518" w14:textId="3969A664">
      <w:pPr>
        <w:ind w:left="360"/>
        <w:rPr>
          <w:sz w:val="22"/>
          <w:szCs w:val="22"/>
        </w:rPr>
      </w:pPr>
    </w:p>
    <w:p w:rsidRPr="00D84D18" w:rsidR="0079069C" w:rsidP="00343C64" w:rsidRDefault="00CE641B" w14:paraId="0E7CD3C5" w14:textId="12891915">
      <w:pPr>
        <w:pStyle w:val="ParaNum"/>
        <w:numPr>
          <w:ilvl w:val="0"/>
          <w:numId w:val="0"/>
        </w:numPr>
        <w:ind w:left="360"/>
      </w:pPr>
      <w:r>
        <w:rPr>
          <w:bCs/>
          <w:szCs w:val="22"/>
        </w:rPr>
        <w:t>The transparency rule</w:t>
      </w:r>
      <w:r w:rsidRPr="00091C5F" w:rsidR="00FA08D7">
        <w:rPr>
          <w:bCs/>
          <w:szCs w:val="22"/>
        </w:rPr>
        <w:t xml:space="preserve"> adopted in the </w:t>
      </w:r>
      <w:r w:rsidRPr="00091C5F" w:rsidR="00FA08D7">
        <w:rPr>
          <w:bCs/>
          <w:i/>
          <w:szCs w:val="22"/>
        </w:rPr>
        <w:t>Restoring Internet Freedom Order</w:t>
      </w:r>
      <w:r w:rsidRPr="00091C5F" w:rsidR="00FA08D7">
        <w:rPr>
          <w:bCs/>
          <w:szCs w:val="22"/>
        </w:rPr>
        <w:t xml:space="preserve"> requires an ISP to publicly disclose network management practices, performance</w:t>
      </w:r>
      <w:r w:rsidR="00B924C5">
        <w:rPr>
          <w:bCs/>
          <w:szCs w:val="22"/>
        </w:rPr>
        <w:t xml:space="preserve"> characteristics</w:t>
      </w:r>
      <w:r w:rsidRPr="00091C5F" w:rsidR="00FA08D7">
        <w:rPr>
          <w:bCs/>
          <w:szCs w:val="22"/>
        </w:rPr>
        <w:t xml:space="preserve">, and commercial terms of its broadband Internet access service sufficient to enable consumers to make informed choices regarding the purchase and use of such services, and entrepreneurs and other small businesses to develop, market, and maintain Internet offerings.  As part of these disclosures, the rule requires ISPs to disclose their congestion management, application-specific behavior, device attachment rules, and security practices, as well as any blocking, </w:t>
      </w:r>
      <w:r w:rsidRPr="00091C5F" w:rsidR="00FA08D7">
        <w:rPr>
          <w:bCs/>
          <w:szCs w:val="22"/>
        </w:rPr>
        <w:lastRenderedPageBreak/>
        <w:t xml:space="preserve">throttling, affiliated prioritization, or paid prioritization in which they engage.  </w:t>
      </w:r>
      <w:r w:rsidR="00343C64">
        <w:rPr>
          <w:bCs/>
          <w:szCs w:val="22"/>
        </w:rPr>
        <w:t>S</w:t>
      </w:r>
      <w:r w:rsidR="00343C64">
        <w:t>pecifically, the rule requires</w:t>
      </w:r>
      <w:r w:rsidRPr="00D84D18" w:rsidR="0079069C">
        <w:t xml:space="preserve"> ISPs to disclose:</w:t>
      </w:r>
    </w:p>
    <w:p w:rsidRPr="00343C64" w:rsidR="0079069C" w:rsidP="00343C64" w:rsidRDefault="0079069C" w14:paraId="65D4DF37" w14:textId="77777777">
      <w:pPr>
        <w:widowControl w:val="0"/>
        <w:numPr>
          <w:ilvl w:val="0"/>
          <w:numId w:val="6"/>
        </w:numPr>
        <w:ind w:left="720"/>
        <w:rPr>
          <w:sz w:val="22"/>
          <w:szCs w:val="22"/>
        </w:rPr>
      </w:pPr>
      <w:r w:rsidRPr="00343C64">
        <w:rPr>
          <w:i/>
          <w:sz w:val="22"/>
          <w:szCs w:val="22"/>
        </w:rPr>
        <w:t>Blocking</w:t>
      </w:r>
      <w:bookmarkStart w:name="_Hlk500611159" w:id="0"/>
      <w:r w:rsidRPr="00343C64">
        <w:rPr>
          <w:i/>
          <w:sz w:val="22"/>
          <w:szCs w:val="22"/>
        </w:rPr>
        <w:t>.</w:t>
      </w:r>
      <w:r w:rsidRPr="00343C64">
        <w:rPr>
          <w:sz w:val="22"/>
          <w:szCs w:val="22"/>
        </w:rPr>
        <w:t xml:space="preserve">  Any practice (other than reasonable network management elsewhere disclosed) that blocks or otherwise prevents end user access to lawful content, applications, service, or non-harmful devices, including a description of what is blocked.</w:t>
      </w:r>
      <w:r w:rsidRPr="00343C64">
        <w:rPr>
          <w:rStyle w:val="FootnoteReference"/>
          <w:sz w:val="22"/>
          <w:szCs w:val="22"/>
        </w:rPr>
        <w:t xml:space="preserve">  </w:t>
      </w:r>
      <w:bookmarkEnd w:id="0"/>
    </w:p>
    <w:p w:rsidRPr="00343C64" w:rsidR="0079069C" w:rsidP="00343C64" w:rsidRDefault="0079069C" w14:paraId="32843917" w14:textId="77777777">
      <w:pPr>
        <w:widowControl w:val="0"/>
        <w:numPr>
          <w:ilvl w:val="0"/>
          <w:numId w:val="6"/>
        </w:numPr>
        <w:ind w:left="720"/>
        <w:rPr>
          <w:sz w:val="22"/>
          <w:szCs w:val="22"/>
        </w:rPr>
      </w:pPr>
      <w:r w:rsidRPr="00343C64">
        <w:rPr>
          <w:i/>
          <w:sz w:val="22"/>
          <w:szCs w:val="22"/>
        </w:rPr>
        <w:t>Throttling</w:t>
      </w:r>
      <w:r w:rsidRPr="00343C64">
        <w:rPr>
          <w:sz w:val="22"/>
          <w:szCs w:val="22"/>
        </w:rPr>
        <w:t>.  Any practice (other than reasonable network management elsewhere disclosed) that degrades or impairs access to lawful Internet traffic on the basis of content, application, service, user, or use of a non-harmful device, including a description of what is throttled.</w:t>
      </w:r>
      <w:r w:rsidRPr="00343C64">
        <w:rPr>
          <w:rStyle w:val="FootnoteReference"/>
          <w:sz w:val="22"/>
          <w:szCs w:val="22"/>
        </w:rPr>
        <w:t xml:space="preserve"> </w:t>
      </w:r>
    </w:p>
    <w:p w:rsidRPr="00343C64" w:rsidR="0079069C" w:rsidP="00343C64" w:rsidRDefault="0079069C" w14:paraId="158F07B7" w14:textId="77777777">
      <w:pPr>
        <w:widowControl w:val="0"/>
        <w:numPr>
          <w:ilvl w:val="0"/>
          <w:numId w:val="6"/>
        </w:numPr>
        <w:ind w:left="720"/>
        <w:rPr>
          <w:sz w:val="22"/>
          <w:szCs w:val="22"/>
        </w:rPr>
      </w:pPr>
      <w:r w:rsidRPr="00343C64">
        <w:rPr>
          <w:i/>
          <w:sz w:val="22"/>
          <w:szCs w:val="22"/>
        </w:rPr>
        <w:t xml:space="preserve">Affiliated Prioritization. </w:t>
      </w:r>
      <w:r w:rsidRPr="00343C64">
        <w:rPr>
          <w:sz w:val="22"/>
          <w:szCs w:val="22"/>
        </w:rPr>
        <w:t xml:space="preserve"> Any practice that directly or indirectly favors some traffic over other traffic, including through use of techniques such as traffic shaping, prioritization, or resource reservation, to benefit an affiliate, including identification of the affiliate. </w:t>
      </w:r>
    </w:p>
    <w:p w:rsidRPr="00343C64" w:rsidR="0079069C" w:rsidP="00343C64" w:rsidRDefault="0079069C" w14:paraId="2B27C196" w14:textId="393ACE86">
      <w:pPr>
        <w:widowControl w:val="0"/>
        <w:numPr>
          <w:ilvl w:val="0"/>
          <w:numId w:val="6"/>
        </w:numPr>
        <w:ind w:left="720"/>
        <w:rPr>
          <w:sz w:val="22"/>
          <w:szCs w:val="22"/>
        </w:rPr>
      </w:pPr>
      <w:r w:rsidRPr="00343C64">
        <w:rPr>
          <w:i/>
          <w:sz w:val="22"/>
          <w:szCs w:val="22"/>
        </w:rPr>
        <w:t xml:space="preserve">Paid Prioritization. </w:t>
      </w:r>
      <w:r w:rsidRPr="00343C64">
        <w:rPr>
          <w:sz w:val="22"/>
          <w:szCs w:val="22"/>
        </w:rPr>
        <w:t xml:space="preserve"> Any practice that directly or indirectly favors some traffic over other traffic, including through use of techniques such as traffic shaping, prioritization, or resource reservation, in exchange for consideration, monetary or otherwise.</w:t>
      </w:r>
    </w:p>
    <w:p w:rsidRPr="00343C64" w:rsidR="0079069C" w:rsidP="00343C64" w:rsidRDefault="0079069C" w14:paraId="2F3A639F" w14:textId="29240E8F">
      <w:pPr>
        <w:widowControl w:val="0"/>
        <w:numPr>
          <w:ilvl w:val="0"/>
          <w:numId w:val="6"/>
        </w:numPr>
        <w:ind w:left="720"/>
        <w:rPr>
          <w:sz w:val="22"/>
          <w:szCs w:val="22"/>
        </w:rPr>
      </w:pPr>
      <w:r w:rsidRPr="00343C64">
        <w:rPr>
          <w:i/>
          <w:sz w:val="22"/>
          <w:szCs w:val="22"/>
        </w:rPr>
        <w:t>Congestion Management</w:t>
      </w:r>
      <w:r w:rsidRPr="00343C64">
        <w:rPr>
          <w:sz w:val="22"/>
          <w:szCs w:val="22"/>
        </w:rPr>
        <w:t>.  Descriptions of congestion management practices, if any.  These descriptions should include the types of traffic subject to the practices; the purposes served by the practices; the practices’ effects on end users’ experience; criteria used in practices, such as indicators of congestion that trigger a practice, including any usage limits triggering the practice, and the typical frequency of congestion; usage limits and the consequences of exceeding them; and references to engineering standards, where appropriate.</w:t>
      </w:r>
    </w:p>
    <w:p w:rsidRPr="00343C64" w:rsidR="0079069C" w:rsidP="00343C64" w:rsidRDefault="0079069C" w14:paraId="6E0C9337" w14:textId="053FDE48">
      <w:pPr>
        <w:widowControl w:val="0"/>
        <w:numPr>
          <w:ilvl w:val="0"/>
          <w:numId w:val="6"/>
        </w:numPr>
        <w:ind w:left="720"/>
        <w:rPr>
          <w:sz w:val="22"/>
          <w:szCs w:val="22"/>
        </w:rPr>
      </w:pPr>
      <w:r w:rsidRPr="00343C64">
        <w:rPr>
          <w:i/>
          <w:sz w:val="22"/>
          <w:szCs w:val="22"/>
        </w:rPr>
        <w:t>Application-Specific Behavior.</w:t>
      </w:r>
      <w:r w:rsidRPr="00343C64">
        <w:rPr>
          <w:sz w:val="22"/>
          <w:szCs w:val="22"/>
        </w:rPr>
        <w:t xml:space="preserve">  Whether and why the ISP blocks or rate-controls specific protocols or protocol ports, modifies protocol fields in ways not prescribed by the protocol standard, or otherwise inhibits or favors certain applications or classes of applications.</w:t>
      </w:r>
    </w:p>
    <w:p w:rsidR="00343C64" w:rsidP="00343C64" w:rsidRDefault="0079069C" w14:paraId="5C72B37B" w14:textId="45CFBE94">
      <w:pPr>
        <w:widowControl w:val="0"/>
        <w:numPr>
          <w:ilvl w:val="0"/>
          <w:numId w:val="6"/>
        </w:numPr>
        <w:ind w:left="720"/>
        <w:rPr>
          <w:sz w:val="22"/>
          <w:szCs w:val="22"/>
        </w:rPr>
      </w:pPr>
      <w:r w:rsidRPr="00343C64">
        <w:rPr>
          <w:i/>
          <w:sz w:val="22"/>
          <w:szCs w:val="22"/>
        </w:rPr>
        <w:t>Device Attachment Rules.</w:t>
      </w:r>
      <w:r w:rsidRPr="00343C64">
        <w:rPr>
          <w:sz w:val="22"/>
          <w:szCs w:val="22"/>
        </w:rPr>
        <w:t xml:space="preserve">  Any restrictions on the types of devices and any approval procedures for devices to connect to the network.</w:t>
      </w:r>
    </w:p>
    <w:p w:rsidRPr="00343C64" w:rsidR="0079069C" w:rsidP="00343C64" w:rsidRDefault="0079069C" w14:paraId="3B59C964" w14:textId="0F5D13A4">
      <w:pPr>
        <w:widowControl w:val="0"/>
        <w:numPr>
          <w:ilvl w:val="0"/>
          <w:numId w:val="6"/>
        </w:numPr>
        <w:ind w:left="720"/>
        <w:rPr>
          <w:sz w:val="22"/>
          <w:szCs w:val="22"/>
        </w:rPr>
      </w:pPr>
      <w:r w:rsidRPr="00343C64">
        <w:rPr>
          <w:i/>
          <w:sz w:val="22"/>
          <w:szCs w:val="22"/>
        </w:rPr>
        <w:t>Security.</w:t>
      </w:r>
      <w:r w:rsidRPr="00343C64">
        <w:rPr>
          <w:sz w:val="22"/>
          <w:szCs w:val="22"/>
        </w:rPr>
        <w:t xml:space="preserve">  Any practices used to ensure end-user security or security of the network, including types of triggering conditions that cause a mechanism to be invoked (but excluding information that could reasonably be used to circumvent network security).</w:t>
      </w:r>
    </w:p>
    <w:p w:rsidR="0079069C" w:rsidP="00091C5F" w:rsidRDefault="0079069C" w14:paraId="0C020CB7" w14:textId="77777777">
      <w:pPr>
        <w:ind w:left="360"/>
        <w:rPr>
          <w:bCs/>
          <w:sz w:val="22"/>
          <w:szCs w:val="22"/>
        </w:rPr>
      </w:pPr>
    </w:p>
    <w:p w:rsidR="00B23A3B" w:rsidP="00091C5F" w:rsidRDefault="00FA08D7" w14:paraId="081CB853" w14:textId="77777777">
      <w:pPr>
        <w:ind w:left="360"/>
        <w:rPr>
          <w:bCs/>
          <w:sz w:val="22"/>
          <w:szCs w:val="22"/>
        </w:rPr>
      </w:pPr>
      <w:r w:rsidRPr="00091C5F">
        <w:rPr>
          <w:bCs/>
          <w:sz w:val="22"/>
          <w:szCs w:val="22"/>
        </w:rPr>
        <w:t>The rule also requires ISPs to disclose performance characteristics, including a service description and the impact of non-broadband Internet access services data services.</w:t>
      </w:r>
      <w:r w:rsidR="00456A69">
        <w:rPr>
          <w:bCs/>
          <w:sz w:val="22"/>
          <w:szCs w:val="22"/>
        </w:rPr>
        <w:t xml:space="preserve">  Specifically, the rule requires ISPs to disclose a general description of the service—including the service technology, expected and actual access speed and latency, and the suitability of the service for real-time applications—as well as what non-broadband Internet access service data services, if any, are offered to end users, and whether and how any non-broadband Internet access service data services may affect the last-mile capacity available for, and the performance of, broadband Internet access service.</w:t>
      </w:r>
      <w:r w:rsidRPr="00091C5F">
        <w:rPr>
          <w:bCs/>
          <w:sz w:val="22"/>
          <w:szCs w:val="22"/>
        </w:rPr>
        <w:t xml:space="preserve">  </w:t>
      </w:r>
    </w:p>
    <w:p w:rsidR="00B23A3B" w:rsidP="00091C5F" w:rsidRDefault="00B23A3B" w14:paraId="617D5AB0" w14:textId="77777777">
      <w:pPr>
        <w:ind w:left="360"/>
        <w:rPr>
          <w:bCs/>
          <w:sz w:val="22"/>
          <w:szCs w:val="22"/>
        </w:rPr>
      </w:pPr>
    </w:p>
    <w:p w:rsidRPr="00091C5F" w:rsidR="00FA08D7" w:rsidP="00091C5F" w:rsidRDefault="00FA08D7" w14:paraId="58DF6BF1" w14:textId="158ACFAB">
      <w:pPr>
        <w:ind w:left="360"/>
        <w:rPr>
          <w:bCs/>
          <w:sz w:val="22"/>
          <w:szCs w:val="22"/>
        </w:rPr>
      </w:pPr>
      <w:r w:rsidRPr="00091C5F">
        <w:rPr>
          <w:bCs/>
          <w:sz w:val="22"/>
          <w:szCs w:val="22"/>
        </w:rPr>
        <w:t xml:space="preserve">Finally, the rule requires ISPs to disclose </w:t>
      </w:r>
      <w:r w:rsidR="00456A69">
        <w:rPr>
          <w:bCs/>
          <w:sz w:val="22"/>
          <w:szCs w:val="22"/>
        </w:rPr>
        <w:t xml:space="preserve">commercial terms of service, including </w:t>
      </w:r>
      <w:r w:rsidRPr="00091C5F">
        <w:rPr>
          <w:bCs/>
          <w:sz w:val="22"/>
          <w:szCs w:val="22"/>
        </w:rPr>
        <w:t>price of the service, privacy policies, and redress options</w:t>
      </w:r>
      <w:r w:rsidRPr="00D43CC7">
        <w:rPr>
          <w:bCs/>
          <w:sz w:val="22"/>
          <w:szCs w:val="22"/>
        </w:rPr>
        <w:t>.</w:t>
      </w:r>
      <w:r w:rsidRPr="00D43CC7">
        <w:rPr>
          <w:rFonts w:ascii="Helvetica" w:hAnsi="Helvetica"/>
          <w:sz w:val="22"/>
          <w:szCs w:val="22"/>
        </w:rPr>
        <w:t xml:space="preserve">  </w:t>
      </w:r>
      <w:r w:rsidRPr="00D43CC7" w:rsidR="00456A69">
        <w:rPr>
          <w:sz w:val="22"/>
          <w:szCs w:val="22"/>
        </w:rPr>
        <w:t>Specifically, the rule requires disclosure of, for example, monthly prices, usage-based fees, and fees for early termination or additional network services; a complete and accurate disclosure about the ISP’s privacy practices</w:t>
      </w:r>
      <w:r w:rsidRPr="00D43CC7" w:rsidR="009D2E67">
        <w:rPr>
          <w:sz w:val="22"/>
          <w:szCs w:val="22"/>
        </w:rPr>
        <w:t>, if</w:t>
      </w:r>
      <w:r w:rsidRPr="00D43CC7" w:rsidR="00456A69">
        <w:rPr>
          <w:sz w:val="22"/>
          <w:szCs w:val="22"/>
        </w:rPr>
        <w:t xml:space="preserve"> any, including whether any network management practices entail inspection of network traffic, and whether traffic is stored, provided to third parties, or used by the ISP for non-</w:t>
      </w:r>
      <w:r w:rsidRPr="00D43CC7" w:rsidR="00456A69">
        <w:rPr>
          <w:sz w:val="22"/>
          <w:szCs w:val="22"/>
        </w:rPr>
        <w:lastRenderedPageBreak/>
        <w:t xml:space="preserve">network management purposes; and practices for resolving complaints and questions from consumers, entrepreneurs, and other small businesses.  </w:t>
      </w:r>
      <w:r w:rsidRPr="00091C5F">
        <w:rPr>
          <w:bCs/>
          <w:sz w:val="22"/>
          <w:szCs w:val="22"/>
        </w:rPr>
        <w:t>The rule requires ISPs to make such disclosure</w:t>
      </w:r>
      <w:r w:rsidR="00280943">
        <w:rPr>
          <w:bCs/>
          <w:sz w:val="22"/>
          <w:szCs w:val="22"/>
        </w:rPr>
        <w:t>s</w:t>
      </w:r>
      <w:r w:rsidRPr="00091C5F">
        <w:rPr>
          <w:bCs/>
          <w:sz w:val="22"/>
          <w:szCs w:val="22"/>
        </w:rPr>
        <w:t xml:space="preserve"> either via a publicly available, easily accessible website or through transmittal to the Commission, which will make such disclosures available via a publicly available, easily accessible website.  </w:t>
      </w:r>
    </w:p>
    <w:p w:rsidRPr="00091C5F" w:rsidR="0017140C" w:rsidP="00FA08D7" w:rsidRDefault="0017140C" w14:paraId="4D3091AD" w14:textId="5FEAEA2A">
      <w:pPr>
        <w:ind w:left="360" w:hanging="360"/>
        <w:rPr>
          <w:bCs/>
          <w:sz w:val="22"/>
          <w:szCs w:val="22"/>
        </w:rPr>
      </w:pPr>
    </w:p>
    <w:p w:rsidRPr="00080C35" w:rsidR="0017140C" w:rsidP="00080C35" w:rsidRDefault="00091C5F" w14:paraId="70210787" w14:textId="6C8BDFC5">
      <w:pPr>
        <w:ind w:left="360"/>
        <w:rPr>
          <w:sz w:val="22"/>
          <w:szCs w:val="22"/>
        </w:rPr>
      </w:pPr>
      <w:r>
        <w:rPr>
          <w:sz w:val="22"/>
          <w:szCs w:val="22"/>
        </w:rPr>
        <w:t xml:space="preserve">The </w:t>
      </w:r>
      <w:r>
        <w:rPr>
          <w:i/>
          <w:sz w:val="22"/>
          <w:szCs w:val="22"/>
        </w:rPr>
        <w:t>Restoring Internet Freedom Order</w:t>
      </w:r>
      <w:r>
        <w:rPr>
          <w:sz w:val="22"/>
          <w:szCs w:val="22"/>
        </w:rPr>
        <w:t xml:space="preserve"> eliminate</w:t>
      </w:r>
      <w:r w:rsidR="00357519">
        <w:rPr>
          <w:sz w:val="22"/>
          <w:szCs w:val="22"/>
        </w:rPr>
        <w:t>d</w:t>
      </w:r>
      <w:r>
        <w:rPr>
          <w:sz w:val="22"/>
          <w:szCs w:val="22"/>
        </w:rPr>
        <w:t xml:space="preserve"> the additional reporting obligations adopted in the </w:t>
      </w:r>
      <w:r w:rsidRPr="00B823A4">
        <w:rPr>
          <w:i/>
          <w:sz w:val="22"/>
          <w:szCs w:val="22"/>
        </w:rPr>
        <w:t>Title II Order</w:t>
      </w:r>
      <w:r>
        <w:rPr>
          <w:sz w:val="22"/>
          <w:szCs w:val="22"/>
        </w:rPr>
        <w:t xml:space="preserve"> and the related guidance in the 2016 Advisory Guidance</w:t>
      </w:r>
      <w:r w:rsidR="00357519">
        <w:rPr>
          <w:sz w:val="22"/>
          <w:szCs w:val="22"/>
        </w:rPr>
        <w:t>,</w:t>
      </w:r>
      <w:r w:rsidR="00A42545">
        <w:rPr>
          <w:rStyle w:val="FootnoteReference"/>
          <w:sz w:val="22"/>
          <w:szCs w:val="22"/>
        </w:rPr>
        <w:footnoteReference w:id="5"/>
      </w:r>
      <w:r>
        <w:rPr>
          <w:sz w:val="22"/>
          <w:szCs w:val="22"/>
        </w:rPr>
        <w:t xml:space="preserve"> and return</w:t>
      </w:r>
      <w:r w:rsidR="00357519">
        <w:rPr>
          <w:sz w:val="22"/>
          <w:szCs w:val="22"/>
        </w:rPr>
        <w:t>ed</w:t>
      </w:r>
      <w:r>
        <w:rPr>
          <w:sz w:val="22"/>
          <w:szCs w:val="22"/>
        </w:rPr>
        <w:t xml:space="preserve"> to the requirements established in the </w:t>
      </w:r>
      <w:r>
        <w:rPr>
          <w:i/>
          <w:sz w:val="22"/>
          <w:szCs w:val="22"/>
        </w:rPr>
        <w:t>Open Internet Order</w:t>
      </w:r>
      <w:r>
        <w:rPr>
          <w:sz w:val="22"/>
          <w:szCs w:val="22"/>
        </w:rPr>
        <w:t xml:space="preserve">.  </w:t>
      </w:r>
      <w:r w:rsidR="00080C35">
        <w:rPr>
          <w:sz w:val="22"/>
          <w:szCs w:val="22"/>
        </w:rPr>
        <w:t xml:space="preserve">In addition, the </w:t>
      </w:r>
      <w:r w:rsidR="00080C35">
        <w:rPr>
          <w:i/>
          <w:sz w:val="22"/>
          <w:szCs w:val="22"/>
        </w:rPr>
        <w:t xml:space="preserve">Restoring Internet Freedom Order </w:t>
      </w:r>
      <w:r w:rsidR="00080C35">
        <w:rPr>
          <w:sz w:val="22"/>
          <w:szCs w:val="22"/>
        </w:rPr>
        <w:t xml:space="preserve">eliminated the </w:t>
      </w:r>
      <w:r w:rsidR="00471B1D">
        <w:rPr>
          <w:sz w:val="22"/>
          <w:szCs w:val="22"/>
        </w:rPr>
        <w:t xml:space="preserve">direct notification requirement adopted in the </w:t>
      </w:r>
      <w:r w:rsidR="00471B1D">
        <w:rPr>
          <w:i/>
          <w:sz w:val="22"/>
          <w:szCs w:val="22"/>
        </w:rPr>
        <w:t>Title II Order</w:t>
      </w:r>
      <w:r w:rsidRPr="00F05985" w:rsidR="00471B1D">
        <w:rPr>
          <w:sz w:val="22"/>
          <w:szCs w:val="22"/>
        </w:rPr>
        <w:t>.</w:t>
      </w:r>
    </w:p>
    <w:p w:rsidRPr="00091C5F" w:rsidR="0017140C" w:rsidP="0017140C" w:rsidRDefault="0017140C" w14:paraId="347F74AD" w14:textId="714D0CAA">
      <w:pPr>
        <w:rPr>
          <w:sz w:val="22"/>
          <w:szCs w:val="22"/>
        </w:rPr>
      </w:pPr>
    </w:p>
    <w:p w:rsidRPr="00091C5F" w:rsidR="0017140C" w:rsidP="00091C5F" w:rsidRDefault="00CE641B" w14:paraId="33EBB9CA" w14:textId="35FCD423">
      <w:pPr>
        <w:ind w:left="360"/>
        <w:rPr>
          <w:sz w:val="22"/>
          <w:szCs w:val="22"/>
        </w:rPr>
      </w:pPr>
      <w:r>
        <w:rPr>
          <w:sz w:val="22"/>
          <w:szCs w:val="22"/>
        </w:rPr>
        <w:t>The transparency r</w:t>
      </w:r>
      <w:r w:rsidRPr="00707182" w:rsidR="00131F45">
        <w:rPr>
          <w:sz w:val="22"/>
          <w:szCs w:val="22"/>
        </w:rPr>
        <w:t xml:space="preserve">ule adopted in the </w:t>
      </w:r>
      <w:r w:rsidR="00131F45">
        <w:rPr>
          <w:i/>
          <w:sz w:val="22"/>
          <w:szCs w:val="22"/>
        </w:rPr>
        <w:t>Open Internet</w:t>
      </w:r>
      <w:r w:rsidRPr="00707182" w:rsidR="00131F45">
        <w:rPr>
          <w:i/>
          <w:sz w:val="22"/>
          <w:szCs w:val="22"/>
        </w:rPr>
        <w:t xml:space="preserve"> Order</w:t>
      </w:r>
      <w:r w:rsidRPr="00707182" w:rsidR="00131F45">
        <w:rPr>
          <w:sz w:val="22"/>
          <w:szCs w:val="22"/>
        </w:rPr>
        <w:t xml:space="preserve"> requires all </w:t>
      </w:r>
      <w:r w:rsidR="00131F45">
        <w:rPr>
          <w:sz w:val="22"/>
          <w:szCs w:val="22"/>
        </w:rPr>
        <w:t>ISPs</w:t>
      </w:r>
      <w:r w:rsidRPr="00707182" w:rsidR="00131F45">
        <w:rPr>
          <w:sz w:val="22"/>
          <w:szCs w:val="22"/>
        </w:rPr>
        <w:t xml:space="preserve"> to</w:t>
      </w:r>
      <w:r w:rsidR="00357519">
        <w:rPr>
          <w:sz w:val="22"/>
          <w:szCs w:val="22"/>
        </w:rPr>
        <w:t xml:space="preserve"> publicly</w:t>
      </w:r>
      <w:r w:rsidRPr="00707182" w:rsidR="00131F45">
        <w:rPr>
          <w:sz w:val="22"/>
          <w:szCs w:val="22"/>
        </w:rPr>
        <w:t xml:space="preserve"> disclose </w:t>
      </w:r>
      <w:r w:rsidR="004433FB">
        <w:rPr>
          <w:sz w:val="22"/>
          <w:szCs w:val="22"/>
        </w:rPr>
        <w:t xml:space="preserve">their </w:t>
      </w:r>
      <w:r w:rsidRPr="00707182" w:rsidR="00131F45">
        <w:rPr>
          <w:sz w:val="22"/>
          <w:szCs w:val="22"/>
        </w:rPr>
        <w:t xml:space="preserve">network management practices, performance characteristics, and commercial terms of their broadband services.  </w:t>
      </w:r>
      <w:r>
        <w:rPr>
          <w:sz w:val="22"/>
          <w:szCs w:val="22"/>
        </w:rPr>
        <w:t>T</w:t>
      </w:r>
      <w:r w:rsidRPr="00707182" w:rsidR="00131F45">
        <w:rPr>
          <w:sz w:val="22"/>
          <w:szCs w:val="22"/>
        </w:rPr>
        <w:t xml:space="preserve">he </w:t>
      </w:r>
      <w:r w:rsidR="00131F45">
        <w:rPr>
          <w:i/>
          <w:sz w:val="22"/>
          <w:szCs w:val="22"/>
        </w:rPr>
        <w:t xml:space="preserve">Restoring Internet Freedom </w:t>
      </w:r>
      <w:r w:rsidRPr="00FF4F42" w:rsidR="00131F45">
        <w:rPr>
          <w:i/>
          <w:sz w:val="22"/>
          <w:szCs w:val="22"/>
        </w:rPr>
        <w:t xml:space="preserve">Order </w:t>
      </w:r>
      <w:r w:rsidRPr="00707182" w:rsidR="00131F45">
        <w:rPr>
          <w:sz w:val="22"/>
          <w:szCs w:val="22"/>
        </w:rPr>
        <w:t>interpret</w:t>
      </w:r>
      <w:r w:rsidR="00357519">
        <w:rPr>
          <w:sz w:val="22"/>
          <w:szCs w:val="22"/>
        </w:rPr>
        <w:t>ed</w:t>
      </w:r>
      <w:r w:rsidRPr="00707182" w:rsidR="00131F45">
        <w:rPr>
          <w:sz w:val="22"/>
          <w:szCs w:val="22"/>
        </w:rPr>
        <w:t xml:space="preserve"> and applie</w:t>
      </w:r>
      <w:r w:rsidR="00357519">
        <w:rPr>
          <w:sz w:val="22"/>
          <w:szCs w:val="22"/>
        </w:rPr>
        <w:t>d</w:t>
      </w:r>
      <w:r w:rsidRPr="00707182" w:rsidR="00131F45">
        <w:rPr>
          <w:sz w:val="22"/>
          <w:szCs w:val="22"/>
        </w:rPr>
        <w:t xml:space="preserve"> the rule to </w:t>
      </w:r>
      <w:r w:rsidR="00357519">
        <w:rPr>
          <w:sz w:val="22"/>
          <w:szCs w:val="22"/>
        </w:rPr>
        <w:t xml:space="preserve">additionally </w:t>
      </w:r>
      <w:r w:rsidR="00131F45">
        <w:rPr>
          <w:sz w:val="22"/>
          <w:szCs w:val="22"/>
        </w:rPr>
        <w:t>require</w:t>
      </w:r>
      <w:r w:rsidRPr="00091C5F" w:rsidR="0017140C">
        <w:rPr>
          <w:sz w:val="22"/>
          <w:szCs w:val="22"/>
        </w:rPr>
        <w:t xml:space="preserve"> ISPs to disclose</w:t>
      </w:r>
      <w:r>
        <w:rPr>
          <w:sz w:val="22"/>
          <w:szCs w:val="22"/>
        </w:rPr>
        <w:t xml:space="preserve"> </w:t>
      </w:r>
      <w:r w:rsidRPr="00091C5F" w:rsidR="0017140C">
        <w:rPr>
          <w:sz w:val="22"/>
          <w:szCs w:val="22"/>
        </w:rPr>
        <w:t xml:space="preserve">any </w:t>
      </w:r>
      <w:r w:rsidRPr="00091C5F" w:rsidR="0017140C">
        <w:rPr>
          <w:bCs/>
          <w:sz w:val="22"/>
          <w:szCs w:val="22"/>
        </w:rPr>
        <w:t>blocking, throttling, affiliated prioritization, or paid prioritization in which they engage.</w:t>
      </w:r>
      <w:r w:rsidR="00A64082">
        <w:rPr>
          <w:bCs/>
          <w:sz w:val="22"/>
          <w:szCs w:val="22"/>
        </w:rPr>
        <w:t xml:space="preserve"> </w:t>
      </w:r>
      <w:r w:rsidRPr="00324193" w:rsidR="00324193">
        <w:t xml:space="preserve"> </w:t>
      </w:r>
      <w:r w:rsidRPr="00324193" w:rsidR="00324193">
        <w:rPr>
          <w:bCs/>
          <w:sz w:val="22"/>
          <w:szCs w:val="22"/>
        </w:rPr>
        <w:t>The Commission anticipate</w:t>
      </w:r>
      <w:r w:rsidR="00357519">
        <w:rPr>
          <w:bCs/>
          <w:sz w:val="22"/>
          <w:szCs w:val="22"/>
        </w:rPr>
        <w:t>d</w:t>
      </w:r>
      <w:r w:rsidRPr="00324193" w:rsidR="00324193">
        <w:rPr>
          <w:bCs/>
          <w:sz w:val="22"/>
          <w:szCs w:val="22"/>
        </w:rPr>
        <w:t xml:space="preserve"> that the revised disclosures </w:t>
      </w:r>
      <w:r w:rsidRPr="00324193" w:rsidR="00357519">
        <w:rPr>
          <w:bCs/>
          <w:sz w:val="22"/>
          <w:szCs w:val="22"/>
        </w:rPr>
        <w:t>w</w:t>
      </w:r>
      <w:r w:rsidR="00357519">
        <w:rPr>
          <w:bCs/>
          <w:sz w:val="22"/>
          <w:szCs w:val="22"/>
        </w:rPr>
        <w:t>ould</w:t>
      </w:r>
      <w:r w:rsidRPr="00324193" w:rsidR="00357519">
        <w:rPr>
          <w:bCs/>
          <w:sz w:val="22"/>
          <w:szCs w:val="22"/>
        </w:rPr>
        <w:t xml:space="preserve"> </w:t>
      </w:r>
      <w:r w:rsidRPr="00324193" w:rsidR="00324193">
        <w:rPr>
          <w:bCs/>
          <w:sz w:val="22"/>
          <w:szCs w:val="22"/>
        </w:rPr>
        <w:t xml:space="preserve">empower consumers and businesses with information about their broadband Internet access service, protecting the openness of the Internet. </w:t>
      </w:r>
      <w:r w:rsidR="00324193">
        <w:rPr>
          <w:bCs/>
          <w:sz w:val="22"/>
          <w:szCs w:val="22"/>
        </w:rPr>
        <w:t xml:space="preserve">    </w:t>
      </w:r>
    </w:p>
    <w:p w:rsidRPr="00091C5F" w:rsidR="00FA08D7" w:rsidP="00091C5F" w:rsidRDefault="00FA08D7" w14:paraId="650809EF" w14:textId="087791BF">
      <w:pPr>
        <w:rPr>
          <w:bCs/>
          <w:sz w:val="22"/>
          <w:szCs w:val="22"/>
        </w:rPr>
      </w:pPr>
    </w:p>
    <w:p w:rsidRPr="00091C5F" w:rsidR="00FA08D7" w:rsidP="00091C5F" w:rsidRDefault="00FA08D7" w14:paraId="2A3632D3" w14:textId="6DAAED12">
      <w:pPr>
        <w:ind w:left="360"/>
        <w:rPr>
          <w:sz w:val="22"/>
          <w:szCs w:val="22"/>
        </w:rPr>
      </w:pPr>
      <w:r w:rsidRPr="00091C5F">
        <w:rPr>
          <w:bCs/>
          <w:sz w:val="22"/>
          <w:szCs w:val="22"/>
        </w:rPr>
        <w:t xml:space="preserve">The information collection will assist the Commission in its statutory obligation to report to Congress on market entry barriers in the telecommunications market.  </w:t>
      </w:r>
    </w:p>
    <w:p w:rsidR="00FA08D7" w:rsidP="00091C5F" w:rsidRDefault="00FA08D7" w14:paraId="252112C9" w14:textId="2BAB7E6A">
      <w:pPr>
        <w:rPr>
          <w:sz w:val="22"/>
          <w:szCs w:val="22"/>
        </w:rPr>
      </w:pPr>
    </w:p>
    <w:p w:rsidRPr="00F661BE" w:rsidR="007A47E3" w:rsidP="007A47E3" w:rsidRDefault="007A47E3" w14:paraId="6A5DE6E2" w14:textId="12A432FF">
      <w:pPr>
        <w:ind w:left="360"/>
        <w:rPr>
          <w:sz w:val="22"/>
          <w:szCs w:val="22"/>
        </w:rPr>
      </w:pPr>
      <w:r w:rsidRPr="00D620F9">
        <w:rPr>
          <w:sz w:val="22"/>
          <w:szCs w:val="22"/>
        </w:rPr>
        <w:t>This collection does not affect individuals or households;</w:t>
      </w:r>
      <w:r w:rsidR="007226EC">
        <w:rPr>
          <w:sz w:val="22"/>
          <w:szCs w:val="22"/>
        </w:rPr>
        <w:t xml:space="preserve"> </w:t>
      </w:r>
      <w:r w:rsidR="00091C5F">
        <w:rPr>
          <w:sz w:val="22"/>
          <w:szCs w:val="22"/>
        </w:rPr>
        <w:t>ther</w:t>
      </w:r>
      <w:r w:rsidR="003B5B1E">
        <w:rPr>
          <w:sz w:val="22"/>
          <w:szCs w:val="22"/>
        </w:rPr>
        <w:t>e</w:t>
      </w:r>
      <w:r w:rsidR="00091C5F">
        <w:rPr>
          <w:sz w:val="22"/>
          <w:szCs w:val="22"/>
        </w:rPr>
        <w:t>fore</w:t>
      </w:r>
      <w:r w:rsidR="002B6115">
        <w:rPr>
          <w:sz w:val="22"/>
          <w:szCs w:val="22"/>
        </w:rPr>
        <w:t>,</w:t>
      </w:r>
      <w:r w:rsidRPr="00D620F9">
        <w:rPr>
          <w:sz w:val="22"/>
          <w:szCs w:val="22"/>
        </w:rPr>
        <w:t xml:space="preserve"> there are no impacts under the Privacy Act</w:t>
      </w:r>
      <w:r w:rsidR="00357519">
        <w:rPr>
          <w:sz w:val="22"/>
          <w:szCs w:val="22"/>
        </w:rPr>
        <w:t>,</w:t>
      </w:r>
      <w:r w:rsidRPr="00D620F9">
        <w:rPr>
          <w:sz w:val="22"/>
          <w:szCs w:val="22"/>
        </w:rPr>
        <w:t xml:space="preserve"> because it does not require the collection of </w:t>
      </w:r>
      <w:r w:rsidRPr="00F661BE">
        <w:rPr>
          <w:sz w:val="22"/>
          <w:szCs w:val="22"/>
        </w:rPr>
        <w:t>personally identifiable information (</w:t>
      </w:r>
      <w:r>
        <w:rPr>
          <w:sz w:val="22"/>
          <w:szCs w:val="22"/>
        </w:rPr>
        <w:t>“</w:t>
      </w:r>
      <w:r w:rsidRPr="00F661BE">
        <w:rPr>
          <w:sz w:val="22"/>
          <w:szCs w:val="22"/>
        </w:rPr>
        <w:t>PII</w:t>
      </w:r>
      <w:r>
        <w:rPr>
          <w:sz w:val="22"/>
          <w:szCs w:val="22"/>
        </w:rPr>
        <w:t>”</w:t>
      </w:r>
      <w:r w:rsidRPr="00F661BE">
        <w:rPr>
          <w:sz w:val="22"/>
          <w:szCs w:val="22"/>
        </w:rPr>
        <w:t>)</w:t>
      </w:r>
      <w:r>
        <w:rPr>
          <w:sz w:val="22"/>
          <w:szCs w:val="22"/>
        </w:rPr>
        <w:t xml:space="preserve"> from individuals</w:t>
      </w:r>
      <w:r w:rsidRPr="00D620F9">
        <w:rPr>
          <w:sz w:val="22"/>
          <w:szCs w:val="22"/>
        </w:rPr>
        <w:t>.</w:t>
      </w:r>
    </w:p>
    <w:p w:rsidR="007A47E3" w:rsidP="007A47E3" w:rsidRDefault="007A47E3" w14:paraId="2F6F6796" w14:textId="77777777">
      <w:pPr>
        <w:ind w:left="360" w:hanging="360"/>
        <w:rPr>
          <w:sz w:val="22"/>
          <w:szCs w:val="22"/>
        </w:rPr>
      </w:pPr>
      <w:r>
        <w:rPr>
          <w:sz w:val="22"/>
          <w:szCs w:val="22"/>
        </w:rPr>
        <w:tab/>
      </w:r>
    </w:p>
    <w:p w:rsidR="007A47E3" w:rsidP="007A47E3" w:rsidRDefault="007A47E3" w14:paraId="5FE5A627" w14:textId="539B03CC">
      <w:pPr>
        <w:ind w:left="360" w:hanging="360"/>
        <w:rPr>
          <w:sz w:val="22"/>
          <w:szCs w:val="22"/>
        </w:rPr>
      </w:pPr>
      <w:r>
        <w:rPr>
          <w:sz w:val="22"/>
          <w:szCs w:val="22"/>
        </w:rPr>
        <w:tab/>
      </w:r>
      <w:r w:rsidRPr="00593EA7">
        <w:rPr>
          <w:sz w:val="22"/>
          <w:szCs w:val="22"/>
        </w:rPr>
        <w:t xml:space="preserve">The statutory authority for the information collection requirements </w:t>
      </w:r>
      <w:r>
        <w:rPr>
          <w:sz w:val="22"/>
          <w:szCs w:val="22"/>
        </w:rPr>
        <w:t>is</w:t>
      </w:r>
      <w:r w:rsidRPr="00593EA7">
        <w:rPr>
          <w:sz w:val="22"/>
          <w:szCs w:val="22"/>
        </w:rPr>
        <w:t xml:space="preserve"> contained in 47 U.S.C. </w:t>
      </w:r>
      <w:r>
        <w:rPr>
          <w:sz w:val="22"/>
          <w:szCs w:val="22"/>
        </w:rPr>
        <w:t>Section</w:t>
      </w:r>
      <w:r w:rsidR="00C06EBE">
        <w:rPr>
          <w:sz w:val="22"/>
          <w:szCs w:val="22"/>
        </w:rPr>
        <w:t xml:space="preserve"> </w:t>
      </w:r>
      <w:r>
        <w:rPr>
          <w:color w:val="151414"/>
          <w:sz w:val="22"/>
          <w:szCs w:val="22"/>
        </w:rPr>
        <w:t>257</w:t>
      </w:r>
      <w:r w:rsidR="00C06EBE">
        <w:rPr>
          <w:color w:val="151414"/>
          <w:sz w:val="22"/>
          <w:szCs w:val="22"/>
        </w:rPr>
        <w:t>.</w:t>
      </w:r>
    </w:p>
    <w:p w:rsidRPr="00F661BE" w:rsidR="007A47E3" w:rsidP="007A47E3" w:rsidRDefault="007A47E3" w14:paraId="08241D02" w14:textId="77777777">
      <w:pPr>
        <w:ind w:left="360" w:hanging="360"/>
        <w:rPr>
          <w:sz w:val="22"/>
          <w:szCs w:val="22"/>
        </w:rPr>
      </w:pPr>
    </w:p>
    <w:p w:rsidRPr="00F661BE" w:rsidR="007A47E3" w:rsidP="007A47E3" w:rsidRDefault="007A47E3" w14:paraId="6C798C59" w14:textId="3F631CDB">
      <w:pPr>
        <w:ind w:left="360" w:hanging="360"/>
        <w:rPr>
          <w:sz w:val="22"/>
          <w:szCs w:val="22"/>
        </w:rPr>
      </w:pPr>
      <w:r w:rsidRPr="00F661BE">
        <w:rPr>
          <w:sz w:val="22"/>
          <w:szCs w:val="22"/>
        </w:rPr>
        <w:t>2.</w:t>
      </w:r>
      <w:r w:rsidRPr="00F661BE">
        <w:rPr>
          <w:sz w:val="22"/>
          <w:szCs w:val="22"/>
        </w:rPr>
        <w:tab/>
        <w:t xml:space="preserve">To fulfill their </w:t>
      </w:r>
      <w:r>
        <w:rPr>
          <w:sz w:val="22"/>
          <w:szCs w:val="22"/>
        </w:rPr>
        <w:t>disclosure obligation</w:t>
      </w:r>
      <w:r w:rsidRPr="00F661BE">
        <w:rPr>
          <w:sz w:val="22"/>
          <w:szCs w:val="22"/>
        </w:rPr>
        <w:t xml:space="preserve">, </w:t>
      </w:r>
      <w:r w:rsidR="003B5B1E">
        <w:rPr>
          <w:sz w:val="22"/>
          <w:szCs w:val="22"/>
        </w:rPr>
        <w:t>ISPs</w:t>
      </w:r>
      <w:r w:rsidRPr="00F661BE">
        <w:rPr>
          <w:sz w:val="22"/>
          <w:szCs w:val="22"/>
        </w:rPr>
        <w:t xml:space="preserve"> must post their network management practices</w:t>
      </w:r>
      <w:r>
        <w:rPr>
          <w:sz w:val="22"/>
          <w:szCs w:val="22"/>
        </w:rPr>
        <w:t>,</w:t>
      </w:r>
      <w:r w:rsidR="00CE641B">
        <w:rPr>
          <w:sz w:val="22"/>
          <w:szCs w:val="22"/>
        </w:rPr>
        <w:t xml:space="preserve"> performance characteristics, and commercial terms</w:t>
      </w:r>
      <w:r>
        <w:rPr>
          <w:sz w:val="22"/>
          <w:szCs w:val="22"/>
        </w:rPr>
        <w:t xml:space="preserve"> as defined above</w:t>
      </w:r>
      <w:r w:rsidRPr="00F661BE">
        <w:rPr>
          <w:sz w:val="22"/>
          <w:szCs w:val="22"/>
        </w:rPr>
        <w:t xml:space="preserve"> on their websites</w:t>
      </w:r>
      <w:r w:rsidR="00170867">
        <w:rPr>
          <w:sz w:val="22"/>
          <w:szCs w:val="22"/>
        </w:rPr>
        <w:t xml:space="preserve"> or through transmittal to the Commission</w:t>
      </w:r>
      <w:r w:rsidR="00006ABE">
        <w:rPr>
          <w:sz w:val="22"/>
          <w:szCs w:val="22"/>
        </w:rPr>
        <w:t>, which will make su</w:t>
      </w:r>
      <w:r w:rsidR="00027AA6">
        <w:rPr>
          <w:sz w:val="22"/>
          <w:szCs w:val="22"/>
        </w:rPr>
        <w:t>ch disclosures available via a publicly available, easily accessible website</w:t>
      </w:r>
      <w:r w:rsidR="00170867">
        <w:rPr>
          <w:sz w:val="22"/>
          <w:szCs w:val="22"/>
        </w:rPr>
        <w:t>.</w:t>
      </w:r>
      <w:r w:rsidRPr="00F661BE">
        <w:rPr>
          <w:sz w:val="22"/>
          <w:szCs w:val="22"/>
        </w:rPr>
        <w:t xml:space="preserve"> </w:t>
      </w:r>
      <w:r>
        <w:rPr>
          <w:sz w:val="22"/>
          <w:szCs w:val="22"/>
        </w:rPr>
        <w:t xml:space="preserve"> This disclosure requirement serves</w:t>
      </w:r>
      <w:r w:rsidRPr="00F661BE">
        <w:rPr>
          <w:sz w:val="22"/>
          <w:szCs w:val="22"/>
        </w:rPr>
        <w:t xml:space="preserve"> the following purposes: </w:t>
      </w:r>
      <w:r w:rsidR="00357519">
        <w:rPr>
          <w:sz w:val="22"/>
          <w:szCs w:val="22"/>
        </w:rPr>
        <w:t xml:space="preserve"> </w:t>
      </w:r>
      <w:r w:rsidRPr="00F661BE">
        <w:rPr>
          <w:sz w:val="22"/>
          <w:szCs w:val="22"/>
        </w:rPr>
        <w:t>(1)</w:t>
      </w:r>
      <w:r w:rsidR="00357519">
        <w:rPr>
          <w:sz w:val="22"/>
          <w:szCs w:val="22"/>
        </w:rPr>
        <w:t> </w:t>
      </w:r>
      <w:r w:rsidRPr="00F661BE">
        <w:rPr>
          <w:sz w:val="22"/>
          <w:szCs w:val="22"/>
        </w:rPr>
        <w:t xml:space="preserve">ensuring that </w:t>
      </w:r>
      <w:r>
        <w:rPr>
          <w:sz w:val="22"/>
          <w:szCs w:val="22"/>
        </w:rPr>
        <w:t>consumers</w:t>
      </w:r>
      <w:r w:rsidRPr="00F661BE">
        <w:rPr>
          <w:sz w:val="22"/>
          <w:szCs w:val="22"/>
        </w:rPr>
        <w:t xml:space="preserve"> of </w:t>
      </w:r>
      <w:r>
        <w:rPr>
          <w:sz w:val="22"/>
          <w:szCs w:val="22"/>
        </w:rPr>
        <w:t xml:space="preserve">broadband </w:t>
      </w:r>
      <w:r w:rsidRPr="00F661BE">
        <w:rPr>
          <w:sz w:val="22"/>
          <w:szCs w:val="22"/>
        </w:rPr>
        <w:t>service</w:t>
      </w:r>
      <w:r>
        <w:rPr>
          <w:sz w:val="22"/>
          <w:szCs w:val="22"/>
        </w:rPr>
        <w:t>s</w:t>
      </w:r>
      <w:r w:rsidRPr="00F661BE">
        <w:rPr>
          <w:sz w:val="22"/>
          <w:szCs w:val="22"/>
        </w:rPr>
        <w:t xml:space="preserve"> can make informed choices regarding the purchase and use of </w:t>
      </w:r>
      <w:r>
        <w:rPr>
          <w:sz w:val="22"/>
          <w:szCs w:val="22"/>
        </w:rPr>
        <w:t xml:space="preserve">the </w:t>
      </w:r>
      <w:r w:rsidRPr="00F661BE">
        <w:rPr>
          <w:sz w:val="22"/>
          <w:szCs w:val="22"/>
        </w:rPr>
        <w:t>service; (</w:t>
      </w:r>
      <w:r w:rsidR="00324193">
        <w:rPr>
          <w:sz w:val="22"/>
          <w:szCs w:val="22"/>
        </w:rPr>
        <w:t>2</w:t>
      </w:r>
      <w:r w:rsidRPr="00F661BE">
        <w:rPr>
          <w:sz w:val="22"/>
          <w:szCs w:val="22"/>
        </w:rPr>
        <w:t>)</w:t>
      </w:r>
      <w:r w:rsidR="00357519">
        <w:rPr>
          <w:sz w:val="22"/>
          <w:szCs w:val="22"/>
        </w:rPr>
        <w:t> </w:t>
      </w:r>
      <w:r w:rsidRPr="00F661BE">
        <w:rPr>
          <w:sz w:val="22"/>
          <w:szCs w:val="22"/>
        </w:rPr>
        <w:t>support</w:t>
      </w:r>
      <w:r>
        <w:rPr>
          <w:sz w:val="22"/>
          <w:szCs w:val="22"/>
        </w:rPr>
        <w:t>ing</w:t>
      </w:r>
      <w:r w:rsidRPr="00F661BE">
        <w:rPr>
          <w:sz w:val="22"/>
          <w:szCs w:val="22"/>
        </w:rPr>
        <w:t xml:space="preserve"> innovation, investment, and competition by ensuring that </w:t>
      </w:r>
      <w:r w:rsidR="00A83088">
        <w:rPr>
          <w:sz w:val="22"/>
          <w:szCs w:val="22"/>
        </w:rPr>
        <w:t>entrepreneurs and other small businesses have the technical information necessary to create and maintain online content, applications, services, and devices, and to assess the risks and benefits of embarking on new projects</w:t>
      </w:r>
      <w:r>
        <w:rPr>
          <w:sz w:val="22"/>
          <w:szCs w:val="22"/>
        </w:rPr>
        <w:t>;</w:t>
      </w:r>
      <w:r w:rsidR="00FE2B9C">
        <w:rPr>
          <w:sz w:val="22"/>
          <w:szCs w:val="22"/>
        </w:rPr>
        <w:t xml:space="preserve"> </w:t>
      </w:r>
      <w:r w:rsidRPr="00F661BE">
        <w:rPr>
          <w:sz w:val="22"/>
          <w:szCs w:val="22"/>
        </w:rPr>
        <w:t>(</w:t>
      </w:r>
      <w:r w:rsidR="00324193">
        <w:rPr>
          <w:sz w:val="22"/>
          <w:szCs w:val="22"/>
        </w:rPr>
        <w:t>3</w:t>
      </w:r>
      <w:r w:rsidRPr="00F661BE">
        <w:rPr>
          <w:sz w:val="22"/>
          <w:szCs w:val="22"/>
        </w:rPr>
        <w:t>)</w:t>
      </w:r>
      <w:r w:rsidR="00357519">
        <w:rPr>
          <w:sz w:val="22"/>
          <w:szCs w:val="22"/>
        </w:rPr>
        <w:t> </w:t>
      </w:r>
      <w:r w:rsidRPr="00F661BE">
        <w:rPr>
          <w:sz w:val="22"/>
          <w:szCs w:val="22"/>
        </w:rPr>
        <w:t>increas</w:t>
      </w:r>
      <w:r>
        <w:rPr>
          <w:sz w:val="22"/>
          <w:szCs w:val="22"/>
        </w:rPr>
        <w:t>ing</w:t>
      </w:r>
      <w:r w:rsidRPr="00F661BE">
        <w:rPr>
          <w:sz w:val="22"/>
          <w:szCs w:val="22"/>
        </w:rPr>
        <w:t xml:space="preserve"> the likelihood that </w:t>
      </w:r>
      <w:r w:rsidR="00B924C5">
        <w:rPr>
          <w:sz w:val="22"/>
          <w:szCs w:val="22"/>
        </w:rPr>
        <w:t>ISPs</w:t>
      </w:r>
      <w:r w:rsidRPr="00F661BE">
        <w:rPr>
          <w:sz w:val="22"/>
          <w:szCs w:val="22"/>
        </w:rPr>
        <w:t xml:space="preserve"> will abide by </w:t>
      </w:r>
      <w:r w:rsidRPr="003259BD">
        <w:rPr>
          <w:sz w:val="22"/>
          <w:szCs w:val="22"/>
        </w:rPr>
        <w:t>open Internet principles</w:t>
      </w:r>
      <w:r w:rsidRPr="003259BD" w:rsidR="004F6767">
        <w:rPr>
          <w:sz w:val="22"/>
          <w:szCs w:val="22"/>
        </w:rPr>
        <w:t>;</w:t>
      </w:r>
      <w:r w:rsidR="004F6767">
        <w:rPr>
          <w:sz w:val="22"/>
          <w:szCs w:val="22"/>
        </w:rPr>
        <w:t xml:space="preserve"> and (</w:t>
      </w:r>
      <w:r w:rsidR="00324193">
        <w:rPr>
          <w:sz w:val="22"/>
          <w:szCs w:val="22"/>
        </w:rPr>
        <w:t>4</w:t>
      </w:r>
      <w:r w:rsidR="004F6767">
        <w:rPr>
          <w:sz w:val="22"/>
          <w:szCs w:val="22"/>
        </w:rPr>
        <w:t>)</w:t>
      </w:r>
      <w:r w:rsidR="00357519">
        <w:rPr>
          <w:sz w:val="22"/>
          <w:szCs w:val="22"/>
        </w:rPr>
        <w:t> </w:t>
      </w:r>
      <w:r w:rsidR="004F6767">
        <w:rPr>
          <w:sz w:val="22"/>
          <w:szCs w:val="22"/>
        </w:rPr>
        <w:t xml:space="preserve">aid the Commission in identifying and addressing potential </w:t>
      </w:r>
      <w:r w:rsidRPr="004F6767" w:rsidR="004F6767">
        <w:rPr>
          <w:sz w:val="22"/>
          <w:szCs w:val="22"/>
        </w:rPr>
        <w:t>market entry barriers for entrepreneurs and other small businesses in the provision and ownership of information services</w:t>
      </w:r>
      <w:r w:rsidR="004F6767">
        <w:rPr>
          <w:sz w:val="22"/>
          <w:szCs w:val="22"/>
        </w:rPr>
        <w:t xml:space="preserve"> and</w:t>
      </w:r>
      <w:r w:rsidRPr="004F6767" w:rsidR="004F6767">
        <w:rPr>
          <w:sz w:val="22"/>
          <w:szCs w:val="22"/>
        </w:rPr>
        <w:t xml:space="preserve"> in the provision of parts or services to information </w:t>
      </w:r>
      <w:r w:rsidR="004F6767">
        <w:rPr>
          <w:sz w:val="22"/>
          <w:szCs w:val="22"/>
        </w:rPr>
        <w:t>service providers</w:t>
      </w:r>
      <w:r w:rsidR="00FE2B9C">
        <w:rPr>
          <w:sz w:val="22"/>
          <w:szCs w:val="22"/>
        </w:rPr>
        <w:t>.</w:t>
      </w:r>
      <w:r w:rsidRPr="00F661BE">
        <w:rPr>
          <w:sz w:val="22"/>
          <w:szCs w:val="22"/>
        </w:rPr>
        <w:t xml:space="preserve"> </w:t>
      </w:r>
    </w:p>
    <w:p w:rsidRPr="00F661BE" w:rsidR="007A47E3" w:rsidP="007A47E3" w:rsidRDefault="007A47E3" w14:paraId="0E0A1C22" w14:textId="77777777">
      <w:pPr>
        <w:ind w:left="360" w:hanging="360"/>
        <w:rPr>
          <w:sz w:val="22"/>
          <w:szCs w:val="22"/>
        </w:rPr>
      </w:pPr>
    </w:p>
    <w:p w:rsidRPr="00365825" w:rsidR="007A47E3" w:rsidP="007A47E3" w:rsidRDefault="007A47E3" w14:paraId="34E60A1C" w14:textId="5856C4BD">
      <w:pPr>
        <w:ind w:left="360" w:hanging="360"/>
        <w:rPr>
          <w:sz w:val="22"/>
          <w:szCs w:val="22"/>
        </w:rPr>
      </w:pPr>
      <w:r w:rsidRPr="00F661BE">
        <w:rPr>
          <w:sz w:val="22"/>
          <w:szCs w:val="22"/>
        </w:rPr>
        <w:t>3.</w:t>
      </w:r>
      <w:r w:rsidRPr="00F661BE">
        <w:rPr>
          <w:sz w:val="22"/>
          <w:szCs w:val="22"/>
        </w:rPr>
        <w:tab/>
      </w:r>
      <w:r>
        <w:rPr>
          <w:sz w:val="22"/>
          <w:szCs w:val="22"/>
        </w:rPr>
        <w:t xml:space="preserve">The disclosure requirement will be </w:t>
      </w:r>
      <w:r w:rsidR="00231404">
        <w:rPr>
          <w:sz w:val="22"/>
          <w:szCs w:val="22"/>
        </w:rPr>
        <w:t>accomplished via</w:t>
      </w:r>
      <w:r>
        <w:rPr>
          <w:sz w:val="22"/>
          <w:szCs w:val="22"/>
        </w:rPr>
        <w:t xml:space="preserve"> the Internet.  </w:t>
      </w:r>
      <w:r w:rsidR="003B5B1E">
        <w:rPr>
          <w:sz w:val="22"/>
          <w:szCs w:val="22"/>
        </w:rPr>
        <w:t>ISPs</w:t>
      </w:r>
      <w:r w:rsidRPr="00F661BE" w:rsidR="009E4C67">
        <w:rPr>
          <w:sz w:val="22"/>
          <w:szCs w:val="22"/>
        </w:rPr>
        <w:t xml:space="preserve"> </w:t>
      </w:r>
      <w:r w:rsidR="009E4C67">
        <w:rPr>
          <w:sz w:val="22"/>
          <w:szCs w:val="22"/>
        </w:rPr>
        <w:t>will</w:t>
      </w:r>
      <w:r w:rsidRPr="00F661BE" w:rsidR="009E4C67">
        <w:rPr>
          <w:sz w:val="22"/>
          <w:szCs w:val="22"/>
        </w:rPr>
        <w:t xml:space="preserve"> post their </w:t>
      </w:r>
      <w:r w:rsidR="00B924C5">
        <w:rPr>
          <w:sz w:val="22"/>
          <w:szCs w:val="22"/>
        </w:rPr>
        <w:t>transparency rule disclosures</w:t>
      </w:r>
      <w:r w:rsidR="009E4C67">
        <w:rPr>
          <w:sz w:val="22"/>
          <w:szCs w:val="22"/>
        </w:rPr>
        <w:t xml:space="preserve"> </w:t>
      </w:r>
      <w:r w:rsidRPr="00F661BE" w:rsidR="009E4C67">
        <w:rPr>
          <w:sz w:val="22"/>
          <w:szCs w:val="22"/>
        </w:rPr>
        <w:t>on their websites</w:t>
      </w:r>
      <w:r w:rsidR="009E4C67">
        <w:rPr>
          <w:sz w:val="22"/>
          <w:szCs w:val="22"/>
        </w:rPr>
        <w:t xml:space="preserve"> or through transmittal to the Commission, which will make such disclosures available via a publicly available, easily accessible website. </w:t>
      </w:r>
    </w:p>
    <w:p w:rsidRPr="00F661BE" w:rsidR="007A47E3" w:rsidP="007A47E3" w:rsidRDefault="007A47E3" w14:paraId="781EB221" w14:textId="77777777">
      <w:pPr>
        <w:ind w:left="360" w:hanging="360"/>
        <w:rPr>
          <w:sz w:val="22"/>
          <w:szCs w:val="22"/>
        </w:rPr>
      </w:pPr>
    </w:p>
    <w:p w:rsidRPr="00F03F75" w:rsidR="007A47E3" w:rsidP="007A47E3" w:rsidRDefault="007A47E3" w14:paraId="4CA493A6" w14:textId="6D32B817">
      <w:pPr>
        <w:ind w:left="360" w:hanging="360"/>
        <w:rPr>
          <w:sz w:val="22"/>
          <w:szCs w:val="22"/>
        </w:rPr>
      </w:pPr>
      <w:r w:rsidRPr="00F661BE">
        <w:rPr>
          <w:sz w:val="22"/>
          <w:szCs w:val="22"/>
        </w:rPr>
        <w:t>4.</w:t>
      </w:r>
      <w:r w:rsidRPr="00F661BE">
        <w:rPr>
          <w:sz w:val="22"/>
          <w:szCs w:val="22"/>
        </w:rPr>
        <w:tab/>
      </w:r>
      <w:r w:rsidR="004F6767">
        <w:rPr>
          <w:sz w:val="22"/>
          <w:szCs w:val="22"/>
        </w:rPr>
        <w:t>Absent the transparency rule, w</w:t>
      </w:r>
      <w:r>
        <w:rPr>
          <w:sz w:val="22"/>
          <w:szCs w:val="22"/>
        </w:rPr>
        <w:t xml:space="preserve">hile certain elements of the information that must be disclosed </w:t>
      </w:r>
      <w:r w:rsidR="004F6767">
        <w:rPr>
          <w:sz w:val="22"/>
          <w:szCs w:val="22"/>
        </w:rPr>
        <w:t xml:space="preserve">would </w:t>
      </w:r>
      <w:r>
        <w:rPr>
          <w:sz w:val="22"/>
          <w:szCs w:val="22"/>
        </w:rPr>
        <w:t xml:space="preserve">already be available to the public at scattered locations, the information </w:t>
      </w:r>
      <w:r w:rsidR="004F6767">
        <w:rPr>
          <w:sz w:val="22"/>
          <w:szCs w:val="22"/>
        </w:rPr>
        <w:t xml:space="preserve">would </w:t>
      </w:r>
      <w:r>
        <w:rPr>
          <w:sz w:val="22"/>
          <w:szCs w:val="22"/>
        </w:rPr>
        <w:t>not</w:t>
      </w:r>
      <w:r w:rsidR="003769CD">
        <w:rPr>
          <w:sz w:val="22"/>
          <w:szCs w:val="22"/>
        </w:rPr>
        <w:t xml:space="preserve"> </w:t>
      </w:r>
      <w:r>
        <w:rPr>
          <w:sz w:val="22"/>
          <w:szCs w:val="22"/>
        </w:rPr>
        <w:t xml:space="preserve">all </w:t>
      </w:r>
      <w:r w:rsidR="00F05985">
        <w:rPr>
          <w:sz w:val="22"/>
          <w:szCs w:val="22"/>
        </w:rPr>
        <w:t xml:space="preserve">be </w:t>
      </w:r>
      <w:r>
        <w:rPr>
          <w:sz w:val="22"/>
          <w:szCs w:val="22"/>
        </w:rPr>
        <w:t>currently and consistently available in a form, and at a level of detail, that serves the purposes of the transparency rule.  Thus, the disclosure requirements are not duplicative within the meaning of the Paperwork Reduction Act (PRA) and Office of Management and Budget (OMB) regulations.</w:t>
      </w:r>
      <w:r w:rsidR="00EF746C">
        <w:rPr>
          <w:rStyle w:val="FootnoteReference"/>
          <w:sz w:val="22"/>
          <w:szCs w:val="22"/>
        </w:rPr>
        <w:footnoteReference w:id="6"/>
      </w:r>
    </w:p>
    <w:p w:rsidRPr="00F661BE" w:rsidR="007A47E3" w:rsidP="007A47E3" w:rsidRDefault="007A47E3" w14:paraId="60C1244A" w14:textId="77777777">
      <w:pPr>
        <w:rPr>
          <w:sz w:val="22"/>
          <w:szCs w:val="22"/>
        </w:rPr>
      </w:pPr>
    </w:p>
    <w:p w:rsidR="007A47E3" w:rsidP="007A47E3" w:rsidRDefault="007A47E3" w14:paraId="6C9A14AE" w14:textId="77777777">
      <w:pPr>
        <w:ind w:left="360" w:hanging="360"/>
        <w:rPr>
          <w:sz w:val="22"/>
          <w:szCs w:val="22"/>
        </w:rPr>
      </w:pPr>
      <w:r w:rsidRPr="00F661BE">
        <w:rPr>
          <w:sz w:val="22"/>
          <w:szCs w:val="22"/>
        </w:rPr>
        <w:t>5.</w:t>
      </w:r>
      <w:r w:rsidRPr="00F661BE">
        <w:rPr>
          <w:sz w:val="22"/>
          <w:szCs w:val="22"/>
        </w:rPr>
        <w:tab/>
        <w:t xml:space="preserve">The impact of </w:t>
      </w:r>
      <w:r>
        <w:rPr>
          <w:sz w:val="22"/>
          <w:szCs w:val="22"/>
        </w:rPr>
        <w:t>the disclosure requirement</w:t>
      </w:r>
      <w:r w:rsidRPr="00F661BE">
        <w:rPr>
          <w:sz w:val="22"/>
          <w:szCs w:val="22"/>
        </w:rPr>
        <w:t xml:space="preserve"> on small businesses or other small entities </w:t>
      </w:r>
      <w:r>
        <w:rPr>
          <w:sz w:val="22"/>
          <w:szCs w:val="22"/>
        </w:rPr>
        <w:t xml:space="preserve">is </w:t>
      </w:r>
      <w:r w:rsidRPr="00F661BE">
        <w:rPr>
          <w:sz w:val="22"/>
          <w:szCs w:val="22"/>
        </w:rPr>
        <w:t xml:space="preserve">not </w:t>
      </w:r>
      <w:r>
        <w:rPr>
          <w:sz w:val="22"/>
          <w:szCs w:val="22"/>
        </w:rPr>
        <w:t xml:space="preserve">expected to </w:t>
      </w:r>
      <w:r w:rsidRPr="00F661BE">
        <w:rPr>
          <w:sz w:val="22"/>
          <w:szCs w:val="22"/>
        </w:rPr>
        <w:t xml:space="preserve">be significant.  </w:t>
      </w:r>
    </w:p>
    <w:p w:rsidR="007A47E3" w:rsidP="007A47E3" w:rsidRDefault="007A47E3" w14:paraId="6E184354" w14:textId="77777777">
      <w:pPr>
        <w:ind w:left="360" w:hanging="360"/>
        <w:rPr>
          <w:sz w:val="22"/>
          <w:szCs w:val="22"/>
        </w:rPr>
      </w:pPr>
    </w:p>
    <w:p w:rsidR="007A47E3" w:rsidP="007A47E3" w:rsidRDefault="007A47E3" w14:paraId="33DBF1EA" w14:textId="2FAAA5F2">
      <w:pPr>
        <w:ind w:left="360" w:hanging="360"/>
        <w:rPr>
          <w:sz w:val="22"/>
          <w:szCs w:val="22"/>
        </w:rPr>
      </w:pPr>
      <w:r>
        <w:rPr>
          <w:sz w:val="22"/>
          <w:szCs w:val="22"/>
        </w:rPr>
        <w:t>6.</w:t>
      </w:r>
      <w:r>
        <w:rPr>
          <w:sz w:val="22"/>
          <w:szCs w:val="22"/>
        </w:rPr>
        <w:tab/>
      </w:r>
      <w:r w:rsidR="003769CD">
        <w:rPr>
          <w:sz w:val="22"/>
          <w:szCs w:val="22"/>
        </w:rPr>
        <w:t>If</w:t>
      </w:r>
      <w:r w:rsidRPr="00F661BE">
        <w:rPr>
          <w:sz w:val="22"/>
          <w:szCs w:val="22"/>
        </w:rPr>
        <w:t xml:space="preserve"> such information is not </w:t>
      </w:r>
      <w:r>
        <w:rPr>
          <w:sz w:val="22"/>
          <w:szCs w:val="22"/>
        </w:rPr>
        <w:t>disclosed</w:t>
      </w:r>
      <w:r w:rsidRPr="00F661BE">
        <w:rPr>
          <w:sz w:val="22"/>
          <w:szCs w:val="22"/>
        </w:rPr>
        <w:t xml:space="preserve"> by </w:t>
      </w:r>
      <w:r w:rsidR="003B5B1E">
        <w:rPr>
          <w:sz w:val="22"/>
          <w:szCs w:val="22"/>
        </w:rPr>
        <w:t>ISPs</w:t>
      </w:r>
      <w:r w:rsidR="003769CD">
        <w:rPr>
          <w:sz w:val="22"/>
          <w:szCs w:val="22"/>
        </w:rPr>
        <w:t>, the Commission will be hindered in its obligations pursuant to section 257</w:t>
      </w:r>
      <w:r>
        <w:rPr>
          <w:sz w:val="22"/>
          <w:szCs w:val="22"/>
        </w:rPr>
        <w:t>.  All</w:t>
      </w:r>
      <w:r w:rsidRPr="00F661BE">
        <w:rPr>
          <w:sz w:val="22"/>
          <w:szCs w:val="22"/>
        </w:rPr>
        <w:t xml:space="preserve"> </w:t>
      </w:r>
      <w:r w:rsidR="003B5B1E">
        <w:rPr>
          <w:sz w:val="22"/>
          <w:szCs w:val="22"/>
        </w:rPr>
        <w:t>ISPs</w:t>
      </w:r>
      <w:r w:rsidRPr="00F661BE">
        <w:rPr>
          <w:sz w:val="22"/>
          <w:szCs w:val="22"/>
        </w:rPr>
        <w:t xml:space="preserve"> are </w:t>
      </w:r>
      <w:r>
        <w:rPr>
          <w:sz w:val="22"/>
          <w:szCs w:val="22"/>
        </w:rPr>
        <w:t xml:space="preserve">potentially </w:t>
      </w:r>
      <w:r w:rsidRPr="00F661BE">
        <w:rPr>
          <w:sz w:val="22"/>
          <w:szCs w:val="22"/>
        </w:rPr>
        <w:t>subject to enforcement action</w:t>
      </w:r>
      <w:r>
        <w:rPr>
          <w:sz w:val="22"/>
          <w:szCs w:val="22"/>
        </w:rPr>
        <w:t xml:space="preserve"> by the Federal Communications Commission</w:t>
      </w:r>
      <w:r w:rsidR="003B5B1E">
        <w:rPr>
          <w:sz w:val="22"/>
          <w:szCs w:val="22"/>
        </w:rPr>
        <w:t>, the Federal Communications Commission</w:t>
      </w:r>
      <w:r>
        <w:rPr>
          <w:sz w:val="22"/>
          <w:szCs w:val="22"/>
        </w:rPr>
        <w:t>’s Enforcement Bureau</w:t>
      </w:r>
      <w:r w:rsidR="003B5B1E">
        <w:rPr>
          <w:sz w:val="22"/>
          <w:szCs w:val="22"/>
        </w:rPr>
        <w:t>, and the Federal Trade Commission</w:t>
      </w:r>
      <w:r>
        <w:rPr>
          <w:sz w:val="22"/>
          <w:szCs w:val="22"/>
        </w:rPr>
        <w:t xml:space="preserve"> </w:t>
      </w:r>
      <w:r w:rsidRPr="00F661BE">
        <w:rPr>
          <w:sz w:val="22"/>
          <w:szCs w:val="22"/>
        </w:rPr>
        <w:t>if they do not meet the applicable requirements</w:t>
      </w:r>
      <w:r>
        <w:rPr>
          <w:sz w:val="22"/>
          <w:szCs w:val="22"/>
        </w:rPr>
        <w:t>.  In addition, members of the public may file informal complaints against providers</w:t>
      </w:r>
      <w:r w:rsidRPr="00F661BE">
        <w:rPr>
          <w:sz w:val="22"/>
          <w:szCs w:val="22"/>
        </w:rPr>
        <w:t>.</w:t>
      </w:r>
    </w:p>
    <w:p w:rsidR="007A47E3" w:rsidP="007A47E3" w:rsidRDefault="007A47E3" w14:paraId="17DC765A" w14:textId="77777777">
      <w:pPr>
        <w:ind w:left="360" w:hanging="360"/>
        <w:rPr>
          <w:sz w:val="22"/>
          <w:szCs w:val="22"/>
        </w:rPr>
      </w:pPr>
    </w:p>
    <w:p w:rsidRPr="00F661BE" w:rsidR="007A47E3" w:rsidP="007A47E3" w:rsidRDefault="007A47E3" w14:paraId="7FB51416" w14:textId="779806D4">
      <w:pPr>
        <w:ind w:left="360" w:hanging="360"/>
        <w:rPr>
          <w:sz w:val="22"/>
          <w:szCs w:val="22"/>
        </w:rPr>
      </w:pPr>
      <w:r>
        <w:rPr>
          <w:sz w:val="22"/>
          <w:szCs w:val="22"/>
        </w:rPr>
        <w:t>7.</w:t>
      </w:r>
      <w:r>
        <w:rPr>
          <w:sz w:val="22"/>
          <w:szCs w:val="22"/>
        </w:rPr>
        <w:tab/>
      </w:r>
      <w:r w:rsidRPr="00F661BE">
        <w:rPr>
          <w:sz w:val="22"/>
          <w:szCs w:val="22"/>
        </w:rPr>
        <w:t>The collections are not being conducted in any manner inconsistent with the guideline</w:t>
      </w:r>
      <w:r w:rsidR="007B02F7">
        <w:rPr>
          <w:sz w:val="22"/>
          <w:szCs w:val="22"/>
        </w:rPr>
        <w:t>s</w:t>
      </w:r>
      <w:r w:rsidRPr="00F661BE">
        <w:rPr>
          <w:sz w:val="22"/>
          <w:szCs w:val="22"/>
        </w:rPr>
        <w:t xml:space="preserve"> of 5 CFR Section 1320.</w:t>
      </w:r>
    </w:p>
    <w:p w:rsidR="007A47E3" w:rsidP="007A47E3" w:rsidRDefault="007A47E3" w14:paraId="60D09570" w14:textId="77777777">
      <w:pPr>
        <w:ind w:left="360" w:hanging="360"/>
        <w:rPr>
          <w:sz w:val="22"/>
          <w:szCs w:val="22"/>
        </w:rPr>
      </w:pPr>
    </w:p>
    <w:p w:rsidRPr="000E22A5" w:rsidR="007A47E3" w:rsidP="007B02F7" w:rsidRDefault="007A47E3" w14:paraId="3D01D6DC" w14:textId="3FBF1C1C">
      <w:pPr>
        <w:autoSpaceDE w:val="0"/>
        <w:autoSpaceDN w:val="0"/>
        <w:adjustRightInd w:val="0"/>
        <w:ind w:left="360"/>
        <w:rPr>
          <w:rFonts w:eastAsiaTheme="minorHAnsi"/>
          <w:sz w:val="22"/>
          <w:szCs w:val="22"/>
        </w:rPr>
      </w:pPr>
      <w:r>
        <w:rPr>
          <w:sz w:val="22"/>
          <w:szCs w:val="22"/>
        </w:rPr>
        <w:t>8.</w:t>
      </w:r>
      <w:r>
        <w:rPr>
          <w:sz w:val="22"/>
          <w:szCs w:val="22"/>
        </w:rPr>
        <w:tab/>
      </w:r>
      <w:r w:rsidRPr="00F661BE">
        <w:rPr>
          <w:sz w:val="22"/>
          <w:szCs w:val="22"/>
        </w:rPr>
        <w:t xml:space="preserve">The </w:t>
      </w:r>
      <w:r w:rsidRPr="0032318F">
        <w:rPr>
          <w:sz w:val="22"/>
          <w:szCs w:val="22"/>
        </w:rPr>
        <w:t xml:space="preserve">Commission published a notice in the </w:t>
      </w:r>
      <w:r w:rsidRPr="0032318F">
        <w:rPr>
          <w:i/>
          <w:sz w:val="22"/>
          <w:szCs w:val="22"/>
        </w:rPr>
        <w:t>Federal Register</w:t>
      </w:r>
      <w:r w:rsidRPr="0032318F">
        <w:rPr>
          <w:sz w:val="22"/>
          <w:szCs w:val="22"/>
        </w:rPr>
        <w:t xml:space="preserve">, as required by 5 CFR Section 1320.8(d), </w:t>
      </w:r>
      <w:r w:rsidRPr="00A9586B">
        <w:rPr>
          <w:sz w:val="22"/>
          <w:szCs w:val="22"/>
        </w:rPr>
        <w:t xml:space="preserve">on </w:t>
      </w:r>
      <w:r w:rsidR="00B914B6">
        <w:rPr>
          <w:sz w:val="22"/>
          <w:szCs w:val="22"/>
        </w:rPr>
        <w:t xml:space="preserve">December 4, 2020 </w:t>
      </w:r>
      <w:r w:rsidRPr="00B914B6">
        <w:rPr>
          <w:sz w:val="22"/>
          <w:szCs w:val="22"/>
        </w:rPr>
        <w:t xml:space="preserve">at </w:t>
      </w:r>
      <w:r w:rsidRPr="00B914B6" w:rsidR="00B914B6">
        <w:rPr>
          <w:sz w:val="22"/>
          <w:szCs w:val="22"/>
        </w:rPr>
        <w:t>85</w:t>
      </w:r>
      <w:r w:rsidRPr="00B914B6" w:rsidR="007B02F7">
        <w:rPr>
          <w:sz w:val="22"/>
          <w:szCs w:val="22"/>
        </w:rPr>
        <w:t xml:space="preserve"> </w:t>
      </w:r>
      <w:r w:rsidRPr="00B914B6">
        <w:rPr>
          <w:sz w:val="22"/>
          <w:szCs w:val="22"/>
        </w:rPr>
        <w:t xml:space="preserve">FR </w:t>
      </w:r>
      <w:r w:rsidRPr="00B914B6" w:rsidR="00B914B6">
        <w:rPr>
          <w:sz w:val="22"/>
          <w:szCs w:val="22"/>
        </w:rPr>
        <w:t>78331</w:t>
      </w:r>
      <w:r w:rsidRPr="00F661BE">
        <w:rPr>
          <w:sz w:val="22"/>
          <w:szCs w:val="22"/>
        </w:rPr>
        <w:t xml:space="preserve"> seeking comments from the public on</w:t>
      </w:r>
      <w:r>
        <w:rPr>
          <w:sz w:val="22"/>
          <w:szCs w:val="22"/>
        </w:rPr>
        <w:t xml:space="preserve"> the</w:t>
      </w:r>
      <w:r w:rsidRPr="00F661BE">
        <w:rPr>
          <w:sz w:val="22"/>
          <w:szCs w:val="22"/>
        </w:rPr>
        <w:t xml:space="preserve"> information collection requirements</w:t>
      </w:r>
      <w:r>
        <w:rPr>
          <w:sz w:val="22"/>
          <w:szCs w:val="22"/>
        </w:rPr>
        <w:t>.</w:t>
      </w:r>
      <w:r w:rsidR="00DF5D44">
        <w:rPr>
          <w:sz w:val="22"/>
          <w:szCs w:val="22"/>
        </w:rPr>
        <w:t xml:space="preserve">  </w:t>
      </w:r>
      <w:r w:rsidRPr="00B914B6" w:rsidR="000152D3">
        <w:rPr>
          <w:sz w:val="22"/>
          <w:szCs w:val="22"/>
        </w:rPr>
        <w:t>The Commission did not receive any comments in response</w:t>
      </w:r>
      <w:r w:rsidRPr="00B914B6" w:rsidR="00525F8B">
        <w:rPr>
          <w:sz w:val="22"/>
          <w:szCs w:val="22"/>
        </w:rPr>
        <w:t xml:space="preserve"> to this notice</w:t>
      </w:r>
      <w:r w:rsidRPr="00B914B6" w:rsidR="000152D3">
        <w:rPr>
          <w:sz w:val="22"/>
          <w:szCs w:val="22"/>
        </w:rPr>
        <w:t>.</w:t>
      </w:r>
    </w:p>
    <w:p w:rsidRPr="00955A70" w:rsidR="007A47E3" w:rsidP="007A47E3" w:rsidRDefault="007A47E3" w14:paraId="0A9C825A" w14:textId="77777777">
      <w:pPr>
        <w:ind w:left="360"/>
        <w:rPr>
          <w:sz w:val="22"/>
          <w:szCs w:val="22"/>
        </w:rPr>
      </w:pPr>
    </w:p>
    <w:p w:rsidRPr="00955A70" w:rsidR="007A47E3" w:rsidP="007A47E3" w:rsidRDefault="007A47E3" w14:paraId="314174AA" w14:textId="77777777">
      <w:pPr>
        <w:ind w:left="360" w:hanging="360"/>
        <w:rPr>
          <w:sz w:val="22"/>
          <w:szCs w:val="22"/>
        </w:rPr>
      </w:pPr>
      <w:r w:rsidRPr="00955A70">
        <w:rPr>
          <w:sz w:val="22"/>
          <w:szCs w:val="22"/>
        </w:rPr>
        <w:t>9.</w:t>
      </w:r>
      <w:r w:rsidRPr="00955A70">
        <w:rPr>
          <w:sz w:val="22"/>
          <w:szCs w:val="22"/>
        </w:rPr>
        <w:tab/>
        <w:t xml:space="preserve">The Commission does not anticipate providing any payment or gift to respondents.  </w:t>
      </w:r>
    </w:p>
    <w:p w:rsidRPr="00955A70" w:rsidR="007A47E3" w:rsidP="007A47E3" w:rsidRDefault="007A47E3" w14:paraId="3725598D" w14:textId="77777777">
      <w:pPr>
        <w:ind w:left="360" w:hanging="360"/>
        <w:rPr>
          <w:sz w:val="22"/>
          <w:szCs w:val="22"/>
        </w:rPr>
      </w:pPr>
    </w:p>
    <w:p w:rsidRPr="00955A70" w:rsidR="007A47E3" w:rsidP="007A47E3" w:rsidRDefault="007A47E3" w14:paraId="2EE94E1D" w14:textId="77777777">
      <w:pPr>
        <w:ind w:left="360" w:hanging="360"/>
        <w:rPr>
          <w:sz w:val="22"/>
          <w:szCs w:val="22"/>
        </w:rPr>
      </w:pPr>
      <w:r w:rsidRPr="00955A70">
        <w:rPr>
          <w:sz w:val="22"/>
          <w:szCs w:val="22"/>
        </w:rPr>
        <w:t>10.</w:t>
      </w:r>
      <w:r w:rsidRPr="00955A70">
        <w:rPr>
          <w:sz w:val="22"/>
          <w:szCs w:val="22"/>
        </w:rPr>
        <w:tab/>
      </w:r>
      <w:r w:rsidRPr="00955A70">
        <w:rPr>
          <w:sz w:val="22"/>
          <w:szCs w:val="22"/>
          <w:shd w:val="clear" w:color="auto" w:fill="FFFFFF"/>
        </w:rPr>
        <w:t>The Commission is not requesting that respondents submit confidential information to the Commission.</w:t>
      </w:r>
    </w:p>
    <w:p w:rsidR="007A47E3" w:rsidP="007A47E3" w:rsidRDefault="007A47E3" w14:paraId="47668AD9" w14:textId="77777777">
      <w:pPr>
        <w:ind w:left="360" w:hanging="360"/>
        <w:rPr>
          <w:sz w:val="22"/>
          <w:szCs w:val="22"/>
        </w:rPr>
      </w:pPr>
    </w:p>
    <w:p w:rsidRPr="00955A70" w:rsidR="007A47E3" w:rsidP="007A47E3" w:rsidRDefault="007A47E3" w14:paraId="43E97847" w14:textId="0FCFE023">
      <w:pPr>
        <w:ind w:left="360" w:hanging="360"/>
        <w:rPr>
          <w:sz w:val="22"/>
          <w:szCs w:val="22"/>
        </w:rPr>
      </w:pPr>
      <w:r w:rsidRPr="00955A70">
        <w:rPr>
          <w:sz w:val="22"/>
          <w:szCs w:val="22"/>
        </w:rPr>
        <w:t>11.</w:t>
      </w:r>
      <w:r w:rsidRPr="00955A70">
        <w:rPr>
          <w:sz w:val="22"/>
          <w:szCs w:val="22"/>
        </w:rPr>
        <w:tab/>
        <w:t>There are no questions of a sensitive nature with respect to the information collected.</w:t>
      </w:r>
      <w:r>
        <w:rPr>
          <w:sz w:val="22"/>
          <w:szCs w:val="22"/>
        </w:rPr>
        <w:t xml:space="preserve">  </w:t>
      </w:r>
    </w:p>
    <w:p w:rsidRPr="00955A70" w:rsidR="007A47E3" w:rsidP="007A47E3" w:rsidRDefault="007A47E3" w14:paraId="6EB826A3" w14:textId="77777777">
      <w:pPr>
        <w:ind w:left="360" w:hanging="360"/>
        <w:rPr>
          <w:sz w:val="22"/>
          <w:szCs w:val="22"/>
        </w:rPr>
      </w:pPr>
    </w:p>
    <w:p w:rsidRPr="00955A70" w:rsidR="007A47E3" w:rsidP="007A47E3" w:rsidRDefault="007A47E3" w14:paraId="29AF3C2B" w14:textId="77777777">
      <w:pPr>
        <w:ind w:left="360" w:hanging="360"/>
        <w:rPr>
          <w:sz w:val="22"/>
          <w:szCs w:val="22"/>
        </w:rPr>
      </w:pPr>
      <w:r w:rsidRPr="00955A70">
        <w:rPr>
          <w:sz w:val="22"/>
          <w:szCs w:val="22"/>
        </w:rPr>
        <w:t>12.</w:t>
      </w:r>
      <w:r w:rsidRPr="00955A70">
        <w:rPr>
          <w:sz w:val="22"/>
          <w:szCs w:val="22"/>
        </w:rPr>
        <w:tab/>
        <w:t>Estimates of hour burden for the collection of information are as follows:</w:t>
      </w:r>
    </w:p>
    <w:p w:rsidR="007A47E3" w:rsidP="00B924C5" w:rsidRDefault="007A47E3" w14:paraId="29E035AA" w14:textId="60E7F44A">
      <w:pPr>
        <w:rPr>
          <w:b/>
          <w:i/>
          <w:sz w:val="22"/>
          <w:szCs w:val="22"/>
        </w:rPr>
      </w:pPr>
    </w:p>
    <w:p w:rsidRPr="00955A70" w:rsidR="007A47E3" w:rsidP="007A47E3" w:rsidRDefault="007A47E3" w14:paraId="1977889C" w14:textId="77777777">
      <w:pPr>
        <w:ind w:left="360"/>
        <w:rPr>
          <w:sz w:val="22"/>
          <w:szCs w:val="22"/>
        </w:rPr>
      </w:pPr>
      <w:r w:rsidRPr="00955A70">
        <w:rPr>
          <w:b/>
          <w:i/>
          <w:sz w:val="22"/>
          <w:szCs w:val="22"/>
        </w:rPr>
        <w:t>Information Collection Requirements:</w:t>
      </w:r>
    </w:p>
    <w:p w:rsidR="007A47E3" w:rsidP="007A47E3" w:rsidRDefault="007A47E3" w14:paraId="19C097F3" w14:textId="77777777">
      <w:pPr>
        <w:ind w:left="360"/>
        <w:rPr>
          <w:sz w:val="22"/>
          <w:szCs w:val="22"/>
        </w:rPr>
      </w:pPr>
    </w:p>
    <w:p w:rsidR="007A47E3" w:rsidP="007A47E3" w:rsidRDefault="00B924C5" w14:paraId="0C91FF80" w14:textId="26EFB29D">
      <w:pPr>
        <w:ind w:left="360"/>
        <w:rPr>
          <w:sz w:val="22"/>
          <w:szCs w:val="22"/>
        </w:rPr>
      </w:pPr>
      <w:r>
        <w:rPr>
          <w:sz w:val="22"/>
          <w:szCs w:val="22"/>
        </w:rPr>
        <w:t>The rule</w:t>
      </w:r>
      <w:r w:rsidRPr="00955A70" w:rsidR="007A47E3">
        <w:rPr>
          <w:sz w:val="22"/>
          <w:szCs w:val="22"/>
        </w:rPr>
        <w:t xml:space="preserve"> adopted in the </w:t>
      </w:r>
      <w:r w:rsidRPr="00EF746C" w:rsidR="00EF746C">
        <w:rPr>
          <w:i/>
          <w:sz w:val="22"/>
          <w:szCs w:val="22"/>
        </w:rPr>
        <w:t>Restoring</w:t>
      </w:r>
      <w:r w:rsidR="00EF746C">
        <w:rPr>
          <w:sz w:val="22"/>
          <w:szCs w:val="22"/>
        </w:rPr>
        <w:t xml:space="preserve"> </w:t>
      </w:r>
      <w:r w:rsidR="00856D19">
        <w:rPr>
          <w:i/>
          <w:sz w:val="22"/>
          <w:szCs w:val="22"/>
        </w:rPr>
        <w:t>Internet Freedom</w:t>
      </w:r>
      <w:r w:rsidRPr="00941EB4" w:rsidR="007A47E3">
        <w:rPr>
          <w:i/>
          <w:sz w:val="22"/>
          <w:szCs w:val="22"/>
        </w:rPr>
        <w:t xml:space="preserve"> Order</w:t>
      </w:r>
      <w:r w:rsidRPr="00955A70" w:rsidR="007A47E3">
        <w:rPr>
          <w:sz w:val="22"/>
          <w:szCs w:val="22"/>
        </w:rPr>
        <w:t xml:space="preserve"> require</w:t>
      </w:r>
      <w:r w:rsidR="00110219">
        <w:rPr>
          <w:sz w:val="22"/>
          <w:szCs w:val="22"/>
        </w:rPr>
        <w:t>s</w:t>
      </w:r>
      <w:r w:rsidRPr="00955A70" w:rsidR="007A47E3">
        <w:rPr>
          <w:sz w:val="22"/>
          <w:szCs w:val="22"/>
        </w:rPr>
        <w:t xml:space="preserve"> all </w:t>
      </w:r>
      <w:r w:rsidR="00EF746C">
        <w:rPr>
          <w:sz w:val="22"/>
          <w:szCs w:val="22"/>
        </w:rPr>
        <w:t>ISPs</w:t>
      </w:r>
      <w:r w:rsidRPr="00955A70" w:rsidR="007A47E3">
        <w:rPr>
          <w:sz w:val="22"/>
          <w:szCs w:val="22"/>
        </w:rPr>
        <w:t xml:space="preserve"> to publicly disclose their network management practices</w:t>
      </w:r>
      <w:r w:rsidR="001A380E">
        <w:rPr>
          <w:sz w:val="22"/>
          <w:szCs w:val="22"/>
        </w:rPr>
        <w:t>, performance characteristics, and commercial terms</w:t>
      </w:r>
      <w:r w:rsidRPr="00955A70" w:rsidR="007A47E3">
        <w:rPr>
          <w:sz w:val="22"/>
          <w:szCs w:val="22"/>
        </w:rPr>
        <w:t xml:space="preserve"> on their websites </w:t>
      </w:r>
      <w:r w:rsidR="00856D19">
        <w:rPr>
          <w:sz w:val="22"/>
          <w:szCs w:val="22"/>
        </w:rPr>
        <w:t>or through transmittal to the Commission</w:t>
      </w:r>
      <w:r w:rsidR="00A87C8B">
        <w:rPr>
          <w:sz w:val="22"/>
          <w:szCs w:val="22"/>
        </w:rPr>
        <w:t>, which will make such disclosures available via a publicly available, easily accessible website</w:t>
      </w:r>
      <w:r w:rsidR="00856D19">
        <w:rPr>
          <w:sz w:val="22"/>
          <w:szCs w:val="22"/>
        </w:rPr>
        <w:t xml:space="preserve">. </w:t>
      </w:r>
    </w:p>
    <w:p w:rsidR="000152D3" w:rsidP="007A47E3" w:rsidRDefault="000152D3" w14:paraId="3407455A" w14:textId="0DD9A10F">
      <w:pPr>
        <w:ind w:left="360"/>
        <w:rPr>
          <w:sz w:val="22"/>
          <w:szCs w:val="22"/>
        </w:rPr>
      </w:pPr>
    </w:p>
    <w:p w:rsidRPr="00707182" w:rsidR="000152D3" w:rsidP="000152D3" w:rsidRDefault="000152D3" w14:paraId="1AB150A1" w14:textId="2F3EA591">
      <w:pPr>
        <w:ind w:left="360"/>
        <w:rPr>
          <w:sz w:val="22"/>
          <w:szCs w:val="22"/>
        </w:rPr>
      </w:pPr>
      <w:r w:rsidRPr="001A3DF3">
        <w:rPr>
          <w:sz w:val="22"/>
          <w:szCs w:val="22"/>
        </w:rPr>
        <w:t xml:space="preserve">The </w:t>
      </w:r>
      <w:proofErr w:type="gramStart"/>
      <w:r w:rsidRPr="001A3DF3">
        <w:rPr>
          <w:sz w:val="22"/>
          <w:szCs w:val="22"/>
        </w:rPr>
        <w:t>currently</w:t>
      </w:r>
      <w:r w:rsidRPr="001A3DF3" w:rsidR="007B02F7">
        <w:rPr>
          <w:sz w:val="22"/>
          <w:szCs w:val="22"/>
        </w:rPr>
        <w:t>-</w:t>
      </w:r>
      <w:r w:rsidRPr="001A3DF3">
        <w:rPr>
          <w:sz w:val="22"/>
          <w:szCs w:val="22"/>
        </w:rPr>
        <w:t>approved</w:t>
      </w:r>
      <w:proofErr w:type="gramEnd"/>
      <w:r w:rsidRPr="001A3DF3" w:rsidDel="00780C5D">
        <w:rPr>
          <w:sz w:val="22"/>
          <w:szCs w:val="22"/>
        </w:rPr>
        <w:t xml:space="preserve"> </w:t>
      </w:r>
      <w:r w:rsidRPr="001A3DF3">
        <w:rPr>
          <w:sz w:val="22"/>
          <w:szCs w:val="22"/>
        </w:rPr>
        <w:t xml:space="preserve">information collection </w:t>
      </w:r>
      <w:r w:rsidRPr="001A3DF3" w:rsidR="00F45BCD">
        <w:rPr>
          <w:sz w:val="22"/>
          <w:szCs w:val="22"/>
        </w:rPr>
        <w:t>used information from the most recently available Internet Access Services Report, which is based on the number of providers filing a</w:t>
      </w:r>
      <w:r w:rsidRPr="001A3DF3" w:rsidR="00C33AFA">
        <w:rPr>
          <w:sz w:val="22"/>
          <w:szCs w:val="22"/>
        </w:rPr>
        <w:t>n FCC</w:t>
      </w:r>
      <w:r w:rsidRPr="001A3DF3" w:rsidR="00F45BCD">
        <w:rPr>
          <w:sz w:val="22"/>
          <w:szCs w:val="22"/>
        </w:rPr>
        <w:t xml:space="preserve"> Form 477.</w:t>
      </w:r>
      <w:r w:rsidRPr="001A3DF3" w:rsidR="00F45BCD">
        <w:rPr>
          <w:rStyle w:val="FootnoteReference"/>
          <w:sz w:val="22"/>
          <w:szCs w:val="22"/>
        </w:rPr>
        <w:footnoteReference w:id="7"/>
      </w:r>
      <w:r w:rsidR="00F45BCD">
        <w:rPr>
          <w:sz w:val="22"/>
          <w:szCs w:val="22"/>
        </w:rPr>
        <w:t xml:space="preserve">    </w:t>
      </w:r>
    </w:p>
    <w:p w:rsidRPr="00707182" w:rsidR="000152D3" w:rsidP="000152D3" w:rsidRDefault="000152D3" w14:paraId="1F6F0203" w14:textId="77777777">
      <w:pPr>
        <w:ind w:left="360"/>
        <w:rPr>
          <w:sz w:val="22"/>
          <w:szCs w:val="22"/>
        </w:rPr>
      </w:pPr>
    </w:p>
    <w:p w:rsidR="00110219" w:rsidP="000152D3" w:rsidRDefault="00110219" w14:paraId="2B2EF9D3" w14:textId="77F3B803">
      <w:pPr>
        <w:ind w:left="360"/>
        <w:rPr>
          <w:sz w:val="22"/>
          <w:szCs w:val="22"/>
        </w:rPr>
      </w:pPr>
    </w:p>
    <w:p w:rsidRPr="00110219" w:rsidR="00110219" w:rsidP="000152D3" w:rsidRDefault="00110219" w14:paraId="5BE73483" w14:textId="5FFC1FE0">
      <w:pPr>
        <w:ind w:left="360"/>
        <w:rPr>
          <w:sz w:val="22"/>
          <w:szCs w:val="22"/>
        </w:rPr>
      </w:pPr>
      <w:r>
        <w:rPr>
          <w:sz w:val="22"/>
          <w:szCs w:val="22"/>
        </w:rPr>
        <w:t>The revised transparency rule permits ISPs to make the required disclosures available on either the ISP’s website or to submit such disclosures to the Commission for publication on a Commission webpage.  Therefore, for those ISPs choosing to submit their disclosures to the Commission for publication on the Commission’s webpage, the Commission will need to collect certain limited information about filers</w:t>
      </w:r>
      <w:r w:rsidR="00033485">
        <w:rPr>
          <w:sz w:val="22"/>
          <w:szCs w:val="22"/>
        </w:rPr>
        <w:t>(</w:t>
      </w:r>
      <w:r>
        <w:rPr>
          <w:sz w:val="22"/>
          <w:szCs w:val="22"/>
        </w:rPr>
        <w:t>including, for example, the ISP’s name, trade name, or DBA name; the ISPs F</w:t>
      </w:r>
      <w:r w:rsidR="00C33AFA">
        <w:rPr>
          <w:sz w:val="22"/>
          <w:szCs w:val="22"/>
        </w:rPr>
        <w:t xml:space="preserve">CC </w:t>
      </w:r>
      <w:r>
        <w:rPr>
          <w:sz w:val="22"/>
          <w:szCs w:val="22"/>
        </w:rPr>
        <w:t>R</w:t>
      </w:r>
      <w:r w:rsidR="00C33AFA">
        <w:rPr>
          <w:sz w:val="22"/>
          <w:szCs w:val="22"/>
        </w:rPr>
        <w:t xml:space="preserve">egistration </w:t>
      </w:r>
      <w:r>
        <w:rPr>
          <w:sz w:val="22"/>
          <w:szCs w:val="22"/>
        </w:rPr>
        <w:t>N</w:t>
      </w:r>
      <w:r w:rsidR="00C33AFA">
        <w:rPr>
          <w:sz w:val="22"/>
          <w:szCs w:val="22"/>
        </w:rPr>
        <w:t>umber</w:t>
      </w:r>
      <w:r w:rsidR="00033485">
        <w:rPr>
          <w:sz w:val="22"/>
          <w:szCs w:val="22"/>
        </w:rPr>
        <w:t>),</w:t>
      </w:r>
      <w:r>
        <w:rPr>
          <w:sz w:val="22"/>
          <w:szCs w:val="22"/>
        </w:rPr>
        <w:t xml:space="preserve"> and </w:t>
      </w:r>
      <w:r w:rsidR="00065F45">
        <w:rPr>
          <w:sz w:val="22"/>
          <w:szCs w:val="22"/>
        </w:rPr>
        <w:t>a brief description of the</w:t>
      </w:r>
      <w:r>
        <w:rPr>
          <w:sz w:val="22"/>
          <w:szCs w:val="22"/>
        </w:rPr>
        <w:t xml:space="preserve"> broadband service that is the subject of the disclosure.  Such limited collection of information is necessary to allow for searchability for consumers.  </w:t>
      </w:r>
      <w:r w:rsidR="00C33AFA">
        <w:rPr>
          <w:sz w:val="22"/>
          <w:szCs w:val="22"/>
        </w:rPr>
        <w:t>The Commission</w:t>
      </w:r>
      <w:r>
        <w:rPr>
          <w:sz w:val="22"/>
          <w:szCs w:val="22"/>
        </w:rPr>
        <w:t xml:space="preserve"> expect</w:t>
      </w:r>
      <w:r w:rsidR="00C33AFA">
        <w:rPr>
          <w:sz w:val="22"/>
          <w:szCs w:val="22"/>
        </w:rPr>
        <w:t>s</w:t>
      </w:r>
      <w:r>
        <w:rPr>
          <w:sz w:val="22"/>
          <w:szCs w:val="22"/>
        </w:rPr>
        <w:t xml:space="preserve"> such information to result in a minimal burden on ISPs that choose to file their transparency rule disclosures with the Commission, and to approximate the burden imposed by posting such disclosures on the ISP’s own webpage.</w:t>
      </w:r>
    </w:p>
    <w:p w:rsidRPr="00707182" w:rsidR="000152D3" w:rsidP="000152D3" w:rsidRDefault="000152D3" w14:paraId="06C7C2F8" w14:textId="77777777">
      <w:pPr>
        <w:ind w:left="360"/>
        <w:rPr>
          <w:sz w:val="22"/>
          <w:szCs w:val="22"/>
        </w:rPr>
      </w:pPr>
    </w:p>
    <w:p w:rsidRPr="00955A70" w:rsidR="000152D3" w:rsidP="000152D3" w:rsidRDefault="000152D3" w14:paraId="71046535" w14:textId="6965E901">
      <w:pPr>
        <w:ind w:left="360"/>
        <w:rPr>
          <w:sz w:val="22"/>
          <w:szCs w:val="22"/>
        </w:rPr>
      </w:pPr>
      <w:r w:rsidRPr="00707182">
        <w:rPr>
          <w:sz w:val="22"/>
          <w:szCs w:val="22"/>
        </w:rPr>
        <w:t>The details of the modified collection for which the Commission seeks approval are set out below.</w:t>
      </w:r>
    </w:p>
    <w:p w:rsidR="007A47E3" w:rsidP="007A47E3" w:rsidRDefault="007A47E3" w14:paraId="58038A25" w14:textId="77777777">
      <w:pPr>
        <w:ind w:left="360"/>
        <w:rPr>
          <w:sz w:val="22"/>
          <w:szCs w:val="22"/>
        </w:rPr>
      </w:pPr>
    </w:p>
    <w:p w:rsidR="007A47E3" w:rsidP="007A47E3" w:rsidRDefault="007A47E3" w14:paraId="1AD79392" w14:textId="7F2FAB36">
      <w:pPr>
        <w:ind w:left="360"/>
        <w:rPr>
          <w:b/>
          <w:sz w:val="22"/>
          <w:szCs w:val="22"/>
        </w:rPr>
      </w:pPr>
      <w:r w:rsidRPr="00955A70">
        <w:rPr>
          <w:b/>
          <w:sz w:val="22"/>
          <w:szCs w:val="22"/>
        </w:rPr>
        <w:t xml:space="preserve">Number of Respondents: </w:t>
      </w:r>
      <w:r>
        <w:rPr>
          <w:b/>
          <w:sz w:val="22"/>
          <w:szCs w:val="22"/>
        </w:rPr>
        <w:t xml:space="preserve"> </w:t>
      </w:r>
      <w:r w:rsidRPr="00B914B6" w:rsidR="008F1C08">
        <w:rPr>
          <w:b/>
          <w:sz w:val="22"/>
          <w:szCs w:val="22"/>
        </w:rPr>
        <w:t>2,165</w:t>
      </w:r>
      <w:r>
        <w:rPr>
          <w:b/>
          <w:sz w:val="22"/>
          <w:szCs w:val="22"/>
        </w:rPr>
        <w:t xml:space="preserve"> </w:t>
      </w:r>
    </w:p>
    <w:p w:rsidR="00F45BCD" w:rsidP="007A47E3" w:rsidRDefault="00F45BCD" w14:paraId="4906CD10" w14:textId="77777777">
      <w:pPr>
        <w:ind w:left="360"/>
        <w:rPr>
          <w:sz w:val="22"/>
          <w:szCs w:val="22"/>
        </w:rPr>
      </w:pPr>
    </w:p>
    <w:p w:rsidRPr="00955A70" w:rsidR="007A47E3" w:rsidP="007A47E3" w:rsidRDefault="007A47E3" w14:paraId="5B45119E" w14:textId="33AA221B">
      <w:pPr>
        <w:ind w:left="360"/>
        <w:rPr>
          <w:sz w:val="22"/>
          <w:szCs w:val="22"/>
        </w:rPr>
      </w:pPr>
      <w:r w:rsidRPr="00955A70">
        <w:rPr>
          <w:sz w:val="22"/>
          <w:szCs w:val="22"/>
        </w:rPr>
        <w:t xml:space="preserve">There are approximately </w:t>
      </w:r>
      <w:r w:rsidRPr="00B914B6" w:rsidR="008F1C08">
        <w:rPr>
          <w:sz w:val="22"/>
          <w:szCs w:val="22"/>
        </w:rPr>
        <w:t>2,165</w:t>
      </w:r>
      <w:r w:rsidRPr="00955A70">
        <w:rPr>
          <w:sz w:val="22"/>
          <w:szCs w:val="22"/>
        </w:rPr>
        <w:t xml:space="preserve"> broadband </w:t>
      </w:r>
      <w:r w:rsidR="00D93F60">
        <w:rPr>
          <w:sz w:val="22"/>
          <w:szCs w:val="22"/>
        </w:rPr>
        <w:t>ISPs</w:t>
      </w:r>
      <w:r w:rsidRPr="00955A70">
        <w:rPr>
          <w:sz w:val="22"/>
          <w:szCs w:val="22"/>
        </w:rPr>
        <w:t xml:space="preserve"> that will be required to comply with the </w:t>
      </w:r>
      <w:r w:rsidR="00F45BCD">
        <w:rPr>
          <w:i/>
          <w:sz w:val="22"/>
          <w:szCs w:val="22"/>
        </w:rPr>
        <w:t xml:space="preserve">Restoring </w:t>
      </w:r>
      <w:r w:rsidR="00AB618A">
        <w:rPr>
          <w:i/>
          <w:sz w:val="22"/>
          <w:szCs w:val="22"/>
        </w:rPr>
        <w:t>Internet Freedom</w:t>
      </w:r>
      <w:r w:rsidRPr="00211A7C">
        <w:rPr>
          <w:i/>
          <w:sz w:val="22"/>
          <w:szCs w:val="22"/>
        </w:rPr>
        <w:t xml:space="preserve"> Order</w:t>
      </w:r>
      <w:r w:rsidRPr="00955A70">
        <w:rPr>
          <w:sz w:val="22"/>
          <w:szCs w:val="22"/>
        </w:rPr>
        <w:t xml:space="preserve"> transparency rule.</w:t>
      </w:r>
    </w:p>
    <w:p w:rsidR="007A47E3" w:rsidP="007A47E3" w:rsidRDefault="007A47E3" w14:paraId="03C1C27A" w14:textId="77777777">
      <w:pPr>
        <w:rPr>
          <w:sz w:val="22"/>
          <w:szCs w:val="22"/>
        </w:rPr>
      </w:pPr>
    </w:p>
    <w:p w:rsidRPr="00955A70" w:rsidR="007A47E3" w:rsidP="007A47E3" w:rsidRDefault="007A47E3" w14:paraId="3B4E8143" w14:textId="7BA238B9">
      <w:pPr>
        <w:ind w:left="360"/>
        <w:rPr>
          <w:b/>
          <w:sz w:val="22"/>
          <w:szCs w:val="22"/>
        </w:rPr>
      </w:pPr>
      <w:r w:rsidRPr="00955A70">
        <w:rPr>
          <w:b/>
          <w:sz w:val="22"/>
          <w:szCs w:val="22"/>
        </w:rPr>
        <w:t xml:space="preserve">Annual Number of Responses:  </w:t>
      </w:r>
      <w:r w:rsidRPr="00B914B6" w:rsidR="008F1C08">
        <w:rPr>
          <w:b/>
          <w:sz w:val="22"/>
          <w:szCs w:val="22"/>
        </w:rPr>
        <w:t>2,165</w:t>
      </w:r>
      <w:r w:rsidRPr="00955A70">
        <w:rPr>
          <w:b/>
          <w:sz w:val="22"/>
          <w:szCs w:val="22"/>
        </w:rPr>
        <w:t xml:space="preserve"> Responses</w:t>
      </w:r>
    </w:p>
    <w:p w:rsidRPr="00AD6942" w:rsidR="007A47E3" w:rsidP="00AD6942" w:rsidRDefault="00511074" w14:paraId="1AAFEF52" w14:textId="22AC13F7">
      <w:pPr>
        <w:ind w:left="720" w:hanging="360"/>
        <w:rPr>
          <w:b/>
          <w:sz w:val="22"/>
          <w:szCs w:val="22"/>
        </w:rPr>
      </w:pPr>
      <w:r w:rsidRPr="00B914B6">
        <w:rPr>
          <w:sz w:val="22"/>
          <w:szCs w:val="22"/>
        </w:rPr>
        <w:t>2,165</w:t>
      </w:r>
      <w:r w:rsidRPr="00955A70" w:rsidR="007A47E3">
        <w:rPr>
          <w:sz w:val="22"/>
          <w:szCs w:val="22"/>
        </w:rPr>
        <w:t xml:space="preserve"> respondents x 1 posting of information on </w:t>
      </w:r>
      <w:r w:rsidRPr="00852C79" w:rsidR="007A47E3">
        <w:rPr>
          <w:sz w:val="22"/>
          <w:szCs w:val="22"/>
        </w:rPr>
        <w:t xml:space="preserve">website </w:t>
      </w:r>
      <w:r w:rsidR="00AD6942">
        <w:rPr>
          <w:sz w:val="22"/>
          <w:szCs w:val="22"/>
        </w:rPr>
        <w:t xml:space="preserve">or submission to the </w:t>
      </w:r>
      <w:proofErr w:type="gramStart"/>
      <w:r w:rsidR="00AD6942">
        <w:rPr>
          <w:sz w:val="22"/>
          <w:szCs w:val="22"/>
        </w:rPr>
        <w:t xml:space="preserve">Commission </w:t>
      </w:r>
      <w:r w:rsidRPr="00852C79" w:rsidR="007A47E3">
        <w:rPr>
          <w:sz w:val="22"/>
          <w:szCs w:val="22"/>
        </w:rPr>
        <w:t xml:space="preserve"> =</w:t>
      </w:r>
      <w:proofErr w:type="gramEnd"/>
      <w:r w:rsidRPr="00852C79" w:rsidR="007A47E3">
        <w:rPr>
          <w:sz w:val="22"/>
          <w:szCs w:val="22"/>
        </w:rPr>
        <w:t xml:space="preserve"> </w:t>
      </w:r>
      <w:r w:rsidRPr="00B914B6">
        <w:rPr>
          <w:sz w:val="22"/>
          <w:szCs w:val="22"/>
        </w:rPr>
        <w:t>2,165</w:t>
      </w:r>
      <w:r w:rsidRPr="00AD6942" w:rsidR="00AD6942">
        <w:rPr>
          <w:sz w:val="22"/>
          <w:szCs w:val="22"/>
        </w:rPr>
        <w:t xml:space="preserve"> </w:t>
      </w:r>
      <w:r w:rsidRPr="00AD6942" w:rsidR="007A47E3">
        <w:rPr>
          <w:sz w:val="22"/>
          <w:szCs w:val="22"/>
        </w:rPr>
        <w:t>responses</w:t>
      </w:r>
    </w:p>
    <w:p w:rsidR="007A47E3" w:rsidP="007A47E3" w:rsidRDefault="007A47E3" w14:paraId="6A7CD79B" w14:textId="77777777">
      <w:pPr>
        <w:rPr>
          <w:sz w:val="22"/>
          <w:szCs w:val="22"/>
        </w:rPr>
      </w:pPr>
    </w:p>
    <w:p w:rsidR="007A47E3" w:rsidP="007A47E3" w:rsidRDefault="007A47E3" w14:paraId="526845B3" w14:textId="6E675AFA">
      <w:pPr>
        <w:ind w:left="360"/>
        <w:rPr>
          <w:b/>
          <w:sz w:val="22"/>
          <w:szCs w:val="22"/>
        </w:rPr>
      </w:pPr>
      <w:r w:rsidRPr="00852C79">
        <w:rPr>
          <w:b/>
          <w:sz w:val="22"/>
          <w:szCs w:val="22"/>
        </w:rPr>
        <w:t xml:space="preserve">Annual Number of Burden Hours:  </w:t>
      </w:r>
      <w:r w:rsidRPr="00B914B6" w:rsidR="00511074">
        <w:rPr>
          <w:b/>
          <w:sz w:val="22"/>
          <w:szCs w:val="22"/>
        </w:rPr>
        <w:t>2,165</w:t>
      </w:r>
      <w:r w:rsidRPr="00B914B6">
        <w:rPr>
          <w:sz w:val="22"/>
          <w:szCs w:val="22"/>
        </w:rPr>
        <w:t xml:space="preserve"> respondents x 1 posting of information on website or submission to Commission/respondent x 26 hours/year</w:t>
      </w:r>
      <w:r w:rsidRPr="00B914B6">
        <w:rPr>
          <w:b/>
          <w:sz w:val="22"/>
          <w:szCs w:val="22"/>
        </w:rPr>
        <w:t xml:space="preserve"> = </w:t>
      </w:r>
      <w:r w:rsidRPr="00B914B6" w:rsidR="00511074">
        <w:rPr>
          <w:b/>
          <w:sz w:val="22"/>
          <w:szCs w:val="22"/>
        </w:rPr>
        <w:t>56,290</w:t>
      </w:r>
      <w:r w:rsidRPr="00B914B6">
        <w:rPr>
          <w:b/>
          <w:sz w:val="22"/>
          <w:szCs w:val="22"/>
        </w:rPr>
        <w:t xml:space="preserve"> hours</w:t>
      </w:r>
    </w:p>
    <w:p w:rsidR="007A47E3" w:rsidP="007A47E3" w:rsidRDefault="007A47E3" w14:paraId="0546CF8E" w14:textId="77777777">
      <w:pPr>
        <w:ind w:left="360"/>
        <w:rPr>
          <w:b/>
          <w:sz w:val="22"/>
          <w:szCs w:val="22"/>
        </w:rPr>
      </w:pPr>
    </w:p>
    <w:p w:rsidRPr="00955A70" w:rsidR="007A47E3" w:rsidP="007A47E3" w:rsidRDefault="007A47E3" w14:paraId="089520CE" w14:textId="4539E904">
      <w:pPr>
        <w:ind w:left="360"/>
        <w:rPr>
          <w:sz w:val="22"/>
          <w:szCs w:val="22"/>
        </w:rPr>
      </w:pPr>
      <w:r w:rsidRPr="00852C79">
        <w:rPr>
          <w:sz w:val="22"/>
          <w:szCs w:val="22"/>
        </w:rPr>
        <w:t xml:space="preserve">The Commission believes that most </w:t>
      </w:r>
      <w:r w:rsidR="00AD6942">
        <w:rPr>
          <w:sz w:val="22"/>
          <w:szCs w:val="22"/>
        </w:rPr>
        <w:t>ISPs</w:t>
      </w:r>
      <w:r w:rsidRPr="00852C79">
        <w:rPr>
          <w:sz w:val="22"/>
          <w:szCs w:val="22"/>
        </w:rPr>
        <w:t xml:space="preserve"> already disclose most, and in some cases all, of the information required to comply with the rule.  As calculated below, the Commission therefore estimates that complying with the transparency requirement will require an average of</w:t>
      </w:r>
      <w:r>
        <w:rPr>
          <w:sz w:val="22"/>
          <w:szCs w:val="22"/>
        </w:rPr>
        <w:t xml:space="preserve"> 2</w:t>
      </w:r>
      <w:r w:rsidR="00A87C8B">
        <w:rPr>
          <w:sz w:val="22"/>
          <w:szCs w:val="22"/>
        </w:rPr>
        <w:t>6</w:t>
      </w:r>
      <w:r w:rsidRPr="00852C79">
        <w:rPr>
          <w:sz w:val="22"/>
          <w:szCs w:val="22"/>
        </w:rPr>
        <w:t xml:space="preserve"> hours to update disclosures </w:t>
      </w:r>
      <w:r>
        <w:rPr>
          <w:sz w:val="22"/>
          <w:szCs w:val="22"/>
        </w:rPr>
        <w:t xml:space="preserve">each </w:t>
      </w:r>
      <w:r w:rsidRPr="00852C79">
        <w:rPr>
          <w:sz w:val="22"/>
          <w:szCs w:val="22"/>
        </w:rPr>
        <w:t xml:space="preserve">year.  </w:t>
      </w:r>
      <w:r>
        <w:rPr>
          <w:sz w:val="22"/>
          <w:szCs w:val="22"/>
        </w:rPr>
        <w:t xml:space="preserve">This average incorporates estimates for the largest </w:t>
      </w:r>
      <w:r w:rsidR="00AD6942">
        <w:rPr>
          <w:sz w:val="22"/>
          <w:szCs w:val="22"/>
        </w:rPr>
        <w:t>ISPs</w:t>
      </w:r>
      <w:r>
        <w:rPr>
          <w:sz w:val="22"/>
          <w:szCs w:val="22"/>
        </w:rPr>
        <w:t xml:space="preserve">, who may incur greater burdens than the average to ensure compliance with the rule, as well as for small </w:t>
      </w:r>
      <w:r w:rsidR="00AD6942">
        <w:rPr>
          <w:sz w:val="22"/>
          <w:szCs w:val="22"/>
        </w:rPr>
        <w:t>ISPs</w:t>
      </w:r>
      <w:r>
        <w:rPr>
          <w:sz w:val="22"/>
          <w:szCs w:val="22"/>
        </w:rPr>
        <w:t xml:space="preserve">, who may incur </w:t>
      </w:r>
      <w:r w:rsidR="001A7682">
        <w:rPr>
          <w:sz w:val="22"/>
          <w:szCs w:val="22"/>
        </w:rPr>
        <w:t xml:space="preserve">fewer </w:t>
      </w:r>
      <w:r>
        <w:rPr>
          <w:sz w:val="22"/>
          <w:szCs w:val="22"/>
        </w:rPr>
        <w:t xml:space="preserve">burdens than the average. </w:t>
      </w:r>
    </w:p>
    <w:p w:rsidR="007A47E3" w:rsidP="007A47E3" w:rsidRDefault="007A47E3" w14:paraId="5C182460" w14:textId="77777777">
      <w:pPr>
        <w:ind w:left="360"/>
        <w:rPr>
          <w:b/>
          <w:sz w:val="22"/>
          <w:szCs w:val="22"/>
        </w:rPr>
      </w:pPr>
    </w:p>
    <w:p w:rsidR="007A47E3" w:rsidP="007A47E3" w:rsidRDefault="007A47E3" w14:paraId="253850CA" w14:textId="4D123708">
      <w:pPr>
        <w:ind w:left="360"/>
        <w:rPr>
          <w:b/>
          <w:sz w:val="22"/>
          <w:szCs w:val="22"/>
        </w:rPr>
      </w:pPr>
      <w:r w:rsidRPr="00955A70">
        <w:rPr>
          <w:b/>
          <w:sz w:val="22"/>
          <w:szCs w:val="22"/>
        </w:rPr>
        <w:t>Annual In</w:t>
      </w:r>
      <w:r w:rsidR="007B02F7">
        <w:rPr>
          <w:b/>
          <w:sz w:val="22"/>
          <w:szCs w:val="22"/>
        </w:rPr>
        <w:t>-</w:t>
      </w:r>
      <w:r w:rsidRPr="00955A70">
        <w:rPr>
          <w:b/>
          <w:sz w:val="22"/>
          <w:szCs w:val="22"/>
        </w:rPr>
        <w:t xml:space="preserve">House Cost Per Respondent:  </w:t>
      </w:r>
      <w:r w:rsidRPr="00B914B6">
        <w:rPr>
          <w:b/>
          <w:sz w:val="22"/>
          <w:szCs w:val="22"/>
        </w:rPr>
        <w:t>$</w:t>
      </w:r>
      <w:r w:rsidR="00707FB0">
        <w:rPr>
          <w:b/>
          <w:sz w:val="22"/>
          <w:szCs w:val="22"/>
        </w:rPr>
        <w:t>2,129.26</w:t>
      </w:r>
    </w:p>
    <w:p w:rsidR="007A47E3" w:rsidP="007A47E3" w:rsidRDefault="007A47E3" w14:paraId="7C802E05" w14:textId="77777777">
      <w:pPr>
        <w:ind w:left="360"/>
        <w:rPr>
          <w:b/>
          <w:sz w:val="22"/>
          <w:szCs w:val="22"/>
        </w:rPr>
      </w:pPr>
    </w:p>
    <w:p w:rsidRPr="00955A70" w:rsidR="007A47E3" w:rsidP="007A47E3" w:rsidRDefault="007A47E3" w14:paraId="5C727172" w14:textId="164E50F1">
      <w:pPr>
        <w:ind w:left="360"/>
        <w:rPr>
          <w:sz w:val="22"/>
          <w:szCs w:val="22"/>
        </w:rPr>
      </w:pPr>
      <w:r w:rsidRPr="00955A70">
        <w:rPr>
          <w:sz w:val="22"/>
          <w:szCs w:val="22"/>
        </w:rPr>
        <w:t xml:space="preserve">The Commission believes that the respondents will </w:t>
      </w:r>
      <w:r>
        <w:rPr>
          <w:sz w:val="22"/>
          <w:szCs w:val="22"/>
        </w:rPr>
        <w:t xml:space="preserve">generally </w:t>
      </w:r>
      <w:r w:rsidRPr="00955A70">
        <w:rPr>
          <w:sz w:val="22"/>
          <w:szCs w:val="22"/>
        </w:rPr>
        <w:t xml:space="preserve">use in-house personnel whose pay is comparable to mid- to senior-level federal employees </w:t>
      </w:r>
      <w:bookmarkStart w:name="_Hlk56082311" w:id="1"/>
      <w:r w:rsidRPr="00955A70">
        <w:rPr>
          <w:sz w:val="22"/>
          <w:szCs w:val="22"/>
        </w:rPr>
        <w:t>(</w:t>
      </w:r>
      <w:r w:rsidRPr="00576DFC">
        <w:rPr>
          <w:sz w:val="22"/>
          <w:szCs w:val="22"/>
        </w:rPr>
        <w:t xml:space="preserve">GS12/5, GS14/5, and GS15/5, plus 30% overhead).  Therefore, </w:t>
      </w:r>
      <w:r w:rsidRPr="001A3DF3">
        <w:rPr>
          <w:sz w:val="22"/>
          <w:szCs w:val="22"/>
        </w:rPr>
        <w:t xml:space="preserve">the Commission estimates respondents’ hourly costs to be </w:t>
      </w:r>
      <w:r w:rsidRPr="001A3DF3">
        <w:rPr>
          <w:sz w:val="22"/>
          <w:szCs w:val="22"/>
        </w:rPr>
        <w:lastRenderedPageBreak/>
        <w:t xml:space="preserve">about </w:t>
      </w:r>
      <w:r w:rsidRPr="00B914B6">
        <w:rPr>
          <w:sz w:val="22"/>
          <w:szCs w:val="22"/>
        </w:rPr>
        <w:t>$</w:t>
      </w:r>
      <w:r w:rsidRPr="00B914B6" w:rsidR="002B4848">
        <w:rPr>
          <w:sz w:val="22"/>
          <w:szCs w:val="22"/>
        </w:rPr>
        <w:t>6</w:t>
      </w:r>
      <w:r w:rsidRPr="00B914B6" w:rsidR="007B457D">
        <w:rPr>
          <w:sz w:val="22"/>
          <w:szCs w:val="22"/>
        </w:rPr>
        <w:t>1.55</w:t>
      </w:r>
      <w:r w:rsidRPr="00B914B6">
        <w:rPr>
          <w:sz w:val="22"/>
          <w:szCs w:val="22"/>
        </w:rPr>
        <w:t>($</w:t>
      </w:r>
      <w:r w:rsidRPr="00B914B6" w:rsidR="002B4848">
        <w:rPr>
          <w:sz w:val="22"/>
          <w:szCs w:val="22"/>
        </w:rPr>
        <w:t>4</w:t>
      </w:r>
      <w:r w:rsidRPr="00B914B6" w:rsidR="009A7A51">
        <w:rPr>
          <w:sz w:val="22"/>
          <w:szCs w:val="22"/>
        </w:rPr>
        <w:t>7.35</w:t>
      </w:r>
      <w:r w:rsidRPr="00B914B6">
        <w:rPr>
          <w:sz w:val="22"/>
          <w:szCs w:val="22"/>
        </w:rPr>
        <w:t xml:space="preserve"> x 1.3) for technical writers, staff administrators, and web administrators; $</w:t>
      </w:r>
      <w:r w:rsidRPr="00B914B6" w:rsidR="002B4848">
        <w:rPr>
          <w:sz w:val="22"/>
          <w:szCs w:val="22"/>
        </w:rPr>
        <w:t>8</w:t>
      </w:r>
      <w:r w:rsidRPr="00B914B6" w:rsidR="009A7A51">
        <w:rPr>
          <w:sz w:val="22"/>
          <w:szCs w:val="22"/>
        </w:rPr>
        <w:t>6</w:t>
      </w:r>
      <w:r w:rsidRPr="00B914B6" w:rsidR="002B4848">
        <w:rPr>
          <w:sz w:val="22"/>
          <w:szCs w:val="22"/>
        </w:rPr>
        <w:t>.</w:t>
      </w:r>
      <w:r w:rsidRPr="00B914B6" w:rsidR="009A7A51">
        <w:rPr>
          <w:sz w:val="22"/>
          <w:szCs w:val="22"/>
        </w:rPr>
        <w:t>50</w:t>
      </w:r>
      <w:r w:rsidRPr="00B914B6">
        <w:rPr>
          <w:sz w:val="22"/>
          <w:szCs w:val="22"/>
        </w:rPr>
        <w:t xml:space="preserve"> ($</w:t>
      </w:r>
      <w:r w:rsidRPr="00B914B6" w:rsidR="002B4848">
        <w:rPr>
          <w:sz w:val="22"/>
          <w:szCs w:val="22"/>
        </w:rPr>
        <w:t>6</w:t>
      </w:r>
      <w:r w:rsidRPr="00B914B6" w:rsidR="009A7A51">
        <w:rPr>
          <w:sz w:val="22"/>
          <w:szCs w:val="22"/>
        </w:rPr>
        <w:t>6.54</w:t>
      </w:r>
      <w:r w:rsidRPr="00B914B6">
        <w:rPr>
          <w:sz w:val="22"/>
          <w:szCs w:val="22"/>
        </w:rPr>
        <w:t xml:space="preserve"> x 1.3) </w:t>
      </w:r>
      <w:r w:rsidRPr="001A3DF3">
        <w:rPr>
          <w:sz w:val="22"/>
          <w:szCs w:val="22"/>
        </w:rPr>
        <w:t xml:space="preserve">for engineers; and </w:t>
      </w:r>
      <w:r w:rsidRPr="00B914B6">
        <w:rPr>
          <w:sz w:val="22"/>
          <w:szCs w:val="22"/>
        </w:rPr>
        <w:t>$</w:t>
      </w:r>
      <w:r w:rsidRPr="00B914B6" w:rsidR="002B4848">
        <w:rPr>
          <w:sz w:val="22"/>
          <w:szCs w:val="22"/>
        </w:rPr>
        <w:t>10</w:t>
      </w:r>
      <w:r w:rsidRPr="00B914B6" w:rsidR="009A7A51">
        <w:rPr>
          <w:sz w:val="22"/>
          <w:szCs w:val="22"/>
        </w:rPr>
        <w:t>1.75</w:t>
      </w:r>
      <w:r w:rsidRPr="00B914B6">
        <w:rPr>
          <w:sz w:val="22"/>
          <w:szCs w:val="22"/>
        </w:rPr>
        <w:t xml:space="preserve"> ($</w:t>
      </w:r>
      <w:r w:rsidRPr="00B914B6" w:rsidR="002B4848">
        <w:rPr>
          <w:sz w:val="22"/>
          <w:szCs w:val="22"/>
        </w:rPr>
        <w:t>7</w:t>
      </w:r>
      <w:r w:rsidRPr="00B914B6" w:rsidR="009A7A51">
        <w:rPr>
          <w:sz w:val="22"/>
          <w:szCs w:val="22"/>
        </w:rPr>
        <w:t>8.27</w:t>
      </w:r>
      <w:r w:rsidRPr="00B914B6">
        <w:rPr>
          <w:sz w:val="22"/>
          <w:szCs w:val="22"/>
        </w:rPr>
        <w:t xml:space="preserve"> x 1.3) </w:t>
      </w:r>
      <w:r w:rsidRPr="001A3DF3">
        <w:rPr>
          <w:sz w:val="22"/>
          <w:szCs w:val="22"/>
        </w:rPr>
        <w:t>for attorneys</w:t>
      </w:r>
      <w:r w:rsidRPr="00955A70">
        <w:rPr>
          <w:sz w:val="22"/>
          <w:szCs w:val="22"/>
        </w:rPr>
        <w:t xml:space="preserve"> to gather and post network management practices on a website</w:t>
      </w:r>
      <w:r w:rsidR="00B80EB0">
        <w:rPr>
          <w:sz w:val="22"/>
          <w:szCs w:val="22"/>
        </w:rPr>
        <w:t>, or prepare such disclosures for submission to the Commission’s website</w:t>
      </w:r>
      <w:r w:rsidRPr="00955A70">
        <w:rPr>
          <w:sz w:val="22"/>
          <w:szCs w:val="22"/>
        </w:rPr>
        <w:t>.</w:t>
      </w:r>
      <w:r w:rsidR="00B80EB0">
        <w:rPr>
          <w:sz w:val="22"/>
          <w:szCs w:val="22"/>
        </w:rPr>
        <w:t xml:space="preserve">  </w:t>
      </w:r>
      <w:r w:rsidRPr="00955A70">
        <w:rPr>
          <w:sz w:val="22"/>
          <w:szCs w:val="22"/>
        </w:rPr>
        <w:t xml:space="preserve">  </w:t>
      </w:r>
    </w:p>
    <w:p w:rsidR="002B4848" w:rsidP="007A47E3" w:rsidRDefault="002B4848" w14:paraId="1655B24F" w14:textId="77777777">
      <w:pPr>
        <w:rPr>
          <w:b/>
          <w:sz w:val="22"/>
          <w:szCs w:val="22"/>
          <w:u w:val="single"/>
        </w:rPr>
      </w:pPr>
    </w:p>
    <w:p w:rsidRPr="00B914B6" w:rsidR="007A47E3" w:rsidP="007A47E3" w:rsidRDefault="007A47E3" w14:paraId="4CCE6C36" w14:textId="25940DC0">
      <w:pPr>
        <w:ind w:left="360"/>
        <w:rPr>
          <w:b/>
          <w:sz w:val="22"/>
          <w:szCs w:val="22"/>
        </w:rPr>
      </w:pPr>
      <w:r w:rsidRPr="00B914B6">
        <w:rPr>
          <w:sz w:val="22"/>
          <w:szCs w:val="22"/>
        </w:rPr>
        <w:t xml:space="preserve">9.6 Engineer </w:t>
      </w:r>
      <w:proofErr w:type="spellStart"/>
      <w:r w:rsidRPr="00B914B6">
        <w:rPr>
          <w:sz w:val="22"/>
          <w:szCs w:val="22"/>
        </w:rPr>
        <w:t>hrs</w:t>
      </w:r>
      <w:proofErr w:type="spellEnd"/>
      <w:r w:rsidRPr="00B914B6">
        <w:rPr>
          <w:sz w:val="22"/>
          <w:szCs w:val="22"/>
        </w:rPr>
        <w:t xml:space="preserve"> x $</w:t>
      </w:r>
      <w:r w:rsidRPr="00B914B6" w:rsidR="002B4848">
        <w:rPr>
          <w:sz w:val="22"/>
          <w:szCs w:val="22"/>
        </w:rPr>
        <w:t>8</w:t>
      </w:r>
      <w:r w:rsidRPr="00B914B6" w:rsidR="009A7A51">
        <w:rPr>
          <w:sz w:val="22"/>
          <w:szCs w:val="22"/>
        </w:rPr>
        <w:t>6.50</w:t>
      </w:r>
      <w:r w:rsidRPr="00B914B6">
        <w:rPr>
          <w:sz w:val="22"/>
          <w:szCs w:val="22"/>
        </w:rPr>
        <w:t>/</w:t>
      </w:r>
      <w:proofErr w:type="spellStart"/>
      <w:r w:rsidRPr="00B914B6">
        <w:rPr>
          <w:sz w:val="22"/>
          <w:szCs w:val="22"/>
        </w:rPr>
        <w:t>hr</w:t>
      </w:r>
      <w:proofErr w:type="spellEnd"/>
      <w:r w:rsidRPr="00B914B6">
        <w:rPr>
          <w:sz w:val="22"/>
          <w:szCs w:val="22"/>
        </w:rPr>
        <w:t xml:space="preserve"> = </w:t>
      </w:r>
      <w:r w:rsidRPr="00B914B6">
        <w:rPr>
          <w:b/>
          <w:sz w:val="22"/>
          <w:szCs w:val="22"/>
        </w:rPr>
        <w:t>$</w:t>
      </w:r>
      <w:r w:rsidRPr="00B914B6" w:rsidR="009A7A51">
        <w:rPr>
          <w:b/>
          <w:sz w:val="22"/>
          <w:szCs w:val="22"/>
        </w:rPr>
        <w:t>830.40</w:t>
      </w:r>
    </w:p>
    <w:p w:rsidRPr="00B914B6" w:rsidR="007A47E3" w:rsidP="007A47E3" w:rsidRDefault="007A47E3" w14:paraId="261A291D" w14:textId="2F6A2E79">
      <w:pPr>
        <w:ind w:left="360"/>
        <w:rPr>
          <w:sz w:val="22"/>
          <w:szCs w:val="22"/>
        </w:rPr>
      </w:pPr>
      <w:r w:rsidRPr="00B914B6">
        <w:rPr>
          <w:sz w:val="22"/>
          <w:szCs w:val="22"/>
        </w:rPr>
        <w:t xml:space="preserve">2.2 Technical Writer </w:t>
      </w:r>
      <w:proofErr w:type="spellStart"/>
      <w:r w:rsidRPr="00B914B6">
        <w:rPr>
          <w:sz w:val="22"/>
          <w:szCs w:val="22"/>
        </w:rPr>
        <w:t>hrs</w:t>
      </w:r>
      <w:proofErr w:type="spellEnd"/>
      <w:r w:rsidRPr="00B914B6">
        <w:rPr>
          <w:sz w:val="22"/>
          <w:szCs w:val="22"/>
        </w:rPr>
        <w:t xml:space="preserve"> x $</w:t>
      </w:r>
      <w:r w:rsidRPr="00B914B6" w:rsidR="002B4848">
        <w:rPr>
          <w:sz w:val="22"/>
          <w:szCs w:val="22"/>
        </w:rPr>
        <w:t>6</w:t>
      </w:r>
      <w:r w:rsidRPr="00B914B6" w:rsidR="009A7A51">
        <w:rPr>
          <w:sz w:val="22"/>
          <w:szCs w:val="22"/>
        </w:rPr>
        <w:t>1.55</w:t>
      </w:r>
      <w:r w:rsidRPr="00B914B6">
        <w:rPr>
          <w:sz w:val="22"/>
          <w:szCs w:val="22"/>
        </w:rPr>
        <w:t>/</w:t>
      </w:r>
      <w:proofErr w:type="spellStart"/>
      <w:r w:rsidRPr="00B914B6">
        <w:rPr>
          <w:sz w:val="22"/>
          <w:szCs w:val="22"/>
        </w:rPr>
        <w:t>hr</w:t>
      </w:r>
      <w:proofErr w:type="spellEnd"/>
      <w:r w:rsidRPr="00B914B6">
        <w:rPr>
          <w:sz w:val="22"/>
          <w:szCs w:val="22"/>
        </w:rPr>
        <w:t xml:space="preserve"> = </w:t>
      </w:r>
      <w:r w:rsidRPr="00B914B6" w:rsidR="009A7A51">
        <w:rPr>
          <w:b/>
          <w:bCs/>
          <w:sz w:val="22"/>
          <w:szCs w:val="22"/>
        </w:rPr>
        <w:t>$135.41</w:t>
      </w:r>
    </w:p>
    <w:p w:rsidRPr="00B914B6" w:rsidR="007A47E3" w:rsidP="007A47E3" w:rsidRDefault="007A47E3" w14:paraId="54A7FAAD" w14:textId="70BE1385">
      <w:pPr>
        <w:tabs>
          <w:tab w:val="left" w:pos="360"/>
        </w:tabs>
        <w:rPr>
          <w:b/>
          <w:bCs/>
          <w:sz w:val="22"/>
          <w:szCs w:val="22"/>
        </w:rPr>
      </w:pPr>
      <w:r w:rsidRPr="00B914B6">
        <w:rPr>
          <w:sz w:val="22"/>
          <w:szCs w:val="22"/>
        </w:rPr>
        <w:tab/>
        <w:t xml:space="preserve">4.8 Staff Administrator </w:t>
      </w:r>
      <w:proofErr w:type="spellStart"/>
      <w:r w:rsidRPr="00B914B6">
        <w:rPr>
          <w:sz w:val="22"/>
          <w:szCs w:val="22"/>
        </w:rPr>
        <w:t>hrs</w:t>
      </w:r>
      <w:proofErr w:type="spellEnd"/>
      <w:r w:rsidRPr="00B914B6">
        <w:rPr>
          <w:sz w:val="22"/>
          <w:szCs w:val="22"/>
        </w:rPr>
        <w:t xml:space="preserve"> x $</w:t>
      </w:r>
      <w:r w:rsidRPr="00B914B6" w:rsidR="009A7A51">
        <w:rPr>
          <w:sz w:val="22"/>
          <w:szCs w:val="22"/>
        </w:rPr>
        <w:t>61.55</w:t>
      </w:r>
      <w:r w:rsidRPr="00B914B6">
        <w:rPr>
          <w:sz w:val="22"/>
          <w:szCs w:val="22"/>
        </w:rPr>
        <w:t>/</w:t>
      </w:r>
      <w:proofErr w:type="spellStart"/>
      <w:r w:rsidRPr="00B914B6">
        <w:rPr>
          <w:sz w:val="22"/>
          <w:szCs w:val="22"/>
        </w:rPr>
        <w:t>hr</w:t>
      </w:r>
      <w:proofErr w:type="spellEnd"/>
      <w:r w:rsidRPr="00B914B6">
        <w:rPr>
          <w:sz w:val="22"/>
          <w:szCs w:val="22"/>
        </w:rPr>
        <w:t xml:space="preserve"> = </w:t>
      </w:r>
      <w:r w:rsidRPr="00B914B6" w:rsidR="009A7A51">
        <w:rPr>
          <w:sz w:val="22"/>
          <w:szCs w:val="22"/>
        </w:rPr>
        <w:t>$</w:t>
      </w:r>
      <w:r w:rsidRPr="00B914B6" w:rsidR="009A7A51">
        <w:rPr>
          <w:b/>
          <w:bCs/>
          <w:sz w:val="22"/>
          <w:szCs w:val="22"/>
        </w:rPr>
        <w:t>295.44</w:t>
      </w:r>
    </w:p>
    <w:p w:rsidRPr="00B914B6" w:rsidR="007A47E3" w:rsidP="007A47E3" w:rsidRDefault="007A47E3" w14:paraId="4B48A114" w14:textId="65498FD0">
      <w:pPr>
        <w:ind w:left="360"/>
        <w:rPr>
          <w:sz w:val="22"/>
          <w:szCs w:val="22"/>
        </w:rPr>
      </w:pPr>
      <w:r w:rsidRPr="00B914B6">
        <w:rPr>
          <w:sz w:val="22"/>
          <w:szCs w:val="22"/>
        </w:rPr>
        <w:t xml:space="preserve">2.2 Web Administrator </w:t>
      </w:r>
      <w:proofErr w:type="spellStart"/>
      <w:r w:rsidRPr="00B914B6">
        <w:rPr>
          <w:sz w:val="22"/>
          <w:szCs w:val="22"/>
        </w:rPr>
        <w:t>hrs</w:t>
      </w:r>
      <w:proofErr w:type="spellEnd"/>
      <w:r w:rsidRPr="00B914B6">
        <w:rPr>
          <w:sz w:val="22"/>
          <w:szCs w:val="22"/>
        </w:rPr>
        <w:t xml:space="preserve"> x $</w:t>
      </w:r>
      <w:r w:rsidRPr="00B914B6" w:rsidR="002B4848">
        <w:rPr>
          <w:sz w:val="22"/>
          <w:szCs w:val="22"/>
        </w:rPr>
        <w:t>6</w:t>
      </w:r>
      <w:r w:rsidRPr="00B914B6" w:rsidR="009A7A51">
        <w:rPr>
          <w:sz w:val="22"/>
          <w:szCs w:val="22"/>
        </w:rPr>
        <w:t>1.55</w:t>
      </w:r>
      <w:r w:rsidRPr="00B914B6">
        <w:rPr>
          <w:sz w:val="22"/>
          <w:szCs w:val="22"/>
        </w:rPr>
        <w:t>/</w:t>
      </w:r>
      <w:proofErr w:type="spellStart"/>
      <w:r w:rsidRPr="00B914B6">
        <w:rPr>
          <w:sz w:val="22"/>
          <w:szCs w:val="22"/>
        </w:rPr>
        <w:t>hr</w:t>
      </w:r>
      <w:proofErr w:type="spellEnd"/>
      <w:r w:rsidRPr="00B914B6">
        <w:rPr>
          <w:sz w:val="22"/>
          <w:szCs w:val="22"/>
        </w:rPr>
        <w:t xml:space="preserve"> = </w:t>
      </w:r>
      <w:r w:rsidRPr="00B914B6" w:rsidR="00707FB0">
        <w:rPr>
          <w:b/>
          <w:bCs/>
          <w:sz w:val="22"/>
          <w:szCs w:val="22"/>
        </w:rPr>
        <w:t>$135.41</w:t>
      </w:r>
    </w:p>
    <w:p w:rsidRPr="00B914B6" w:rsidR="007A47E3" w:rsidP="007A47E3" w:rsidRDefault="007A47E3" w14:paraId="3C585B20" w14:textId="7D2AB8EE">
      <w:pPr>
        <w:ind w:left="360"/>
        <w:rPr>
          <w:b/>
          <w:sz w:val="22"/>
          <w:szCs w:val="22"/>
        </w:rPr>
      </w:pPr>
      <w:r w:rsidRPr="00B914B6">
        <w:rPr>
          <w:sz w:val="22"/>
          <w:szCs w:val="22"/>
        </w:rPr>
        <w:t xml:space="preserve">7.2 Attorney </w:t>
      </w:r>
      <w:proofErr w:type="spellStart"/>
      <w:r w:rsidRPr="00B914B6">
        <w:rPr>
          <w:sz w:val="22"/>
          <w:szCs w:val="22"/>
        </w:rPr>
        <w:t>hrs</w:t>
      </w:r>
      <w:proofErr w:type="spellEnd"/>
      <w:r w:rsidRPr="00B914B6">
        <w:rPr>
          <w:sz w:val="22"/>
          <w:szCs w:val="22"/>
        </w:rPr>
        <w:t xml:space="preserve"> x $</w:t>
      </w:r>
      <w:r w:rsidRPr="00B914B6" w:rsidR="002B4848">
        <w:rPr>
          <w:sz w:val="22"/>
          <w:szCs w:val="22"/>
        </w:rPr>
        <w:t>10</w:t>
      </w:r>
      <w:r w:rsidRPr="00B914B6" w:rsidR="009A7A51">
        <w:rPr>
          <w:sz w:val="22"/>
          <w:szCs w:val="22"/>
        </w:rPr>
        <w:t>1.75</w:t>
      </w:r>
      <w:r w:rsidRPr="00B914B6">
        <w:rPr>
          <w:sz w:val="22"/>
          <w:szCs w:val="22"/>
        </w:rPr>
        <w:t>/</w:t>
      </w:r>
      <w:proofErr w:type="spellStart"/>
      <w:r w:rsidRPr="00B914B6">
        <w:rPr>
          <w:sz w:val="22"/>
          <w:szCs w:val="22"/>
        </w:rPr>
        <w:t>hr</w:t>
      </w:r>
      <w:proofErr w:type="spellEnd"/>
      <w:r w:rsidRPr="00B914B6">
        <w:rPr>
          <w:sz w:val="22"/>
          <w:szCs w:val="22"/>
        </w:rPr>
        <w:t xml:space="preserve"> = </w:t>
      </w:r>
      <w:r w:rsidRPr="00B914B6" w:rsidR="00707FB0">
        <w:rPr>
          <w:b/>
          <w:bCs/>
          <w:sz w:val="22"/>
          <w:szCs w:val="22"/>
        </w:rPr>
        <w:t>$732.60</w:t>
      </w:r>
    </w:p>
    <w:p w:rsidRPr="00B914B6" w:rsidR="007A47E3" w:rsidP="007A47E3" w:rsidRDefault="007A47E3" w14:paraId="24ACB2D1" w14:textId="76BD0887">
      <w:pPr>
        <w:ind w:left="360"/>
        <w:rPr>
          <w:sz w:val="22"/>
          <w:szCs w:val="22"/>
        </w:rPr>
      </w:pPr>
      <w:r w:rsidRPr="00B914B6">
        <w:rPr>
          <w:sz w:val="22"/>
          <w:szCs w:val="22"/>
        </w:rPr>
        <w:t xml:space="preserve">Total = </w:t>
      </w:r>
      <w:r w:rsidRPr="00B914B6" w:rsidR="009A7A51">
        <w:rPr>
          <w:b/>
          <w:sz w:val="22"/>
          <w:szCs w:val="22"/>
        </w:rPr>
        <w:t>$</w:t>
      </w:r>
      <w:r w:rsidRPr="00B914B6" w:rsidR="00707FB0">
        <w:rPr>
          <w:b/>
          <w:sz w:val="22"/>
          <w:szCs w:val="22"/>
        </w:rPr>
        <w:t>2,129.26</w:t>
      </w:r>
    </w:p>
    <w:bookmarkEnd w:id="1"/>
    <w:p w:rsidRPr="00B914B6" w:rsidR="007A47E3" w:rsidP="007A47E3" w:rsidRDefault="007A47E3" w14:paraId="1054CDC0" w14:textId="77777777">
      <w:pPr>
        <w:rPr>
          <w:sz w:val="22"/>
          <w:szCs w:val="22"/>
        </w:rPr>
      </w:pPr>
    </w:p>
    <w:p w:rsidRPr="00B914B6" w:rsidR="007A47E3" w:rsidP="007A47E3" w:rsidRDefault="007A47E3" w14:paraId="2065FFB7" w14:textId="283164D0">
      <w:pPr>
        <w:ind w:left="360"/>
        <w:rPr>
          <w:b/>
          <w:sz w:val="22"/>
          <w:szCs w:val="22"/>
        </w:rPr>
      </w:pPr>
      <w:r w:rsidRPr="00B914B6">
        <w:rPr>
          <w:b/>
          <w:sz w:val="22"/>
          <w:szCs w:val="22"/>
        </w:rPr>
        <w:t xml:space="preserve">Total Annual Number of Respondents: </w:t>
      </w:r>
      <w:r w:rsidRPr="00B914B6" w:rsidR="002B4848">
        <w:rPr>
          <w:b/>
          <w:sz w:val="22"/>
          <w:szCs w:val="22"/>
        </w:rPr>
        <w:t xml:space="preserve"> </w:t>
      </w:r>
      <w:r w:rsidRPr="00B914B6" w:rsidR="00511074">
        <w:rPr>
          <w:b/>
          <w:sz w:val="22"/>
          <w:szCs w:val="22"/>
        </w:rPr>
        <w:t>2,165</w:t>
      </w:r>
      <w:r w:rsidRPr="00B914B6" w:rsidR="009A7A51">
        <w:rPr>
          <w:b/>
          <w:sz w:val="22"/>
          <w:szCs w:val="22"/>
        </w:rPr>
        <w:t xml:space="preserve"> </w:t>
      </w:r>
      <w:r w:rsidRPr="00B914B6">
        <w:rPr>
          <w:b/>
          <w:sz w:val="22"/>
          <w:szCs w:val="22"/>
        </w:rPr>
        <w:t>respondents</w:t>
      </w:r>
    </w:p>
    <w:p w:rsidRPr="00B914B6" w:rsidR="007A47E3" w:rsidP="007A47E3" w:rsidRDefault="007A47E3" w14:paraId="040FD578" w14:textId="6948C819">
      <w:pPr>
        <w:ind w:left="360"/>
        <w:rPr>
          <w:b/>
          <w:sz w:val="22"/>
          <w:szCs w:val="22"/>
        </w:rPr>
      </w:pPr>
      <w:r w:rsidRPr="00B914B6">
        <w:rPr>
          <w:b/>
          <w:sz w:val="22"/>
          <w:szCs w:val="22"/>
        </w:rPr>
        <w:t>Total Annual Number of Annual Reponses:</w:t>
      </w:r>
      <w:r w:rsidRPr="00B914B6" w:rsidR="002B4848">
        <w:rPr>
          <w:b/>
          <w:sz w:val="22"/>
          <w:szCs w:val="22"/>
        </w:rPr>
        <w:t xml:space="preserve"> </w:t>
      </w:r>
      <w:r w:rsidRPr="00B914B6">
        <w:rPr>
          <w:b/>
          <w:sz w:val="22"/>
          <w:szCs w:val="22"/>
        </w:rPr>
        <w:t xml:space="preserve"> </w:t>
      </w:r>
      <w:r w:rsidRPr="00B914B6" w:rsidR="00511074">
        <w:rPr>
          <w:b/>
          <w:sz w:val="22"/>
          <w:szCs w:val="22"/>
        </w:rPr>
        <w:t>2,165</w:t>
      </w:r>
      <w:r w:rsidRPr="00B914B6" w:rsidR="009A7A51">
        <w:rPr>
          <w:b/>
          <w:sz w:val="22"/>
          <w:szCs w:val="22"/>
        </w:rPr>
        <w:t xml:space="preserve"> </w:t>
      </w:r>
      <w:r w:rsidRPr="00B914B6">
        <w:rPr>
          <w:b/>
          <w:sz w:val="22"/>
          <w:szCs w:val="22"/>
        </w:rPr>
        <w:t>responses</w:t>
      </w:r>
    </w:p>
    <w:p w:rsidRPr="00B914B6" w:rsidR="007A47E3" w:rsidP="007A47E3" w:rsidRDefault="007A47E3" w14:paraId="6E7D02BB" w14:textId="6240586F">
      <w:pPr>
        <w:ind w:left="360"/>
        <w:rPr>
          <w:b/>
          <w:sz w:val="22"/>
          <w:szCs w:val="22"/>
        </w:rPr>
      </w:pPr>
      <w:r w:rsidRPr="00B914B6">
        <w:rPr>
          <w:b/>
          <w:sz w:val="22"/>
          <w:szCs w:val="22"/>
        </w:rPr>
        <w:t xml:space="preserve">Total Annual Burden Hours: </w:t>
      </w:r>
      <w:r w:rsidRPr="00B914B6">
        <w:rPr>
          <w:sz w:val="22"/>
          <w:szCs w:val="22"/>
        </w:rPr>
        <w:t xml:space="preserve"> </w:t>
      </w:r>
      <w:r w:rsidRPr="00B914B6" w:rsidR="00511074">
        <w:rPr>
          <w:b/>
          <w:bCs/>
          <w:sz w:val="22"/>
          <w:szCs w:val="22"/>
        </w:rPr>
        <w:t>56,290</w:t>
      </w:r>
      <w:r w:rsidRPr="00B914B6">
        <w:rPr>
          <w:sz w:val="22"/>
          <w:szCs w:val="22"/>
        </w:rPr>
        <w:t xml:space="preserve"> </w:t>
      </w:r>
      <w:r w:rsidRPr="00B914B6">
        <w:rPr>
          <w:b/>
          <w:sz w:val="22"/>
          <w:szCs w:val="22"/>
        </w:rPr>
        <w:t>hours</w:t>
      </w:r>
    </w:p>
    <w:p w:rsidR="007A47E3" w:rsidP="007A47E3" w:rsidRDefault="007A47E3" w14:paraId="4CDEAB3B" w14:textId="6F0F4C93">
      <w:pPr>
        <w:ind w:left="360"/>
        <w:rPr>
          <w:sz w:val="22"/>
          <w:szCs w:val="22"/>
          <w:lang w:eastAsia="ja-JP"/>
        </w:rPr>
      </w:pPr>
      <w:r w:rsidRPr="00B914B6">
        <w:rPr>
          <w:b/>
          <w:sz w:val="22"/>
          <w:szCs w:val="22"/>
        </w:rPr>
        <w:t xml:space="preserve">Total Annual In-House Costs Per Respondent: </w:t>
      </w:r>
      <w:r w:rsidRPr="00B914B6" w:rsidR="002B4848">
        <w:rPr>
          <w:b/>
          <w:sz w:val="22"/>
          <w:szCs w:val="22"/>
        </w:rPr>
        <w:t xml:space="preserve"> </w:t>
      </w:r>
      <w:r w:rsidRPr="00B914B6">
        <w:rPr>
          <w:b/>
          <w:sz w:val="22"/>
          <w:szCs w:val="22"/>
        </w:rPr>
        <w:t>$</w:t>
      </w:r>
      <w:r w:rsidR="00707FB0">
        <w:rPr>
          <w:b/>
          <w:sz w:val="22"/>
          <w:szCs w:val="22"/>
        </w:rPr>
        <w:t>2,129.26</w:t>
      </w:r>
    </w:p>
    <w:p w:rsidR="007A47E3" w:rsidP="007A47E3" w:rsidRDefault="007A47E3" w14:paraId="155BD479" w14:textId="77777777">
      <w:pPr>
        <w:ind w:left="360"/>
        <w:rPr>
          <w:sz w:val="22"/>
          <w:szCs w:val="22"/>
          <w:lang w:eastAsia="ja-JP"/>
        </w:rPr>
      </w:pPr>
    </w:p>
    <w:p w:rsidRPr="00B914B6" w:rsidR="007A47E3" w:rsidP="00B914B6" w:rsidRDefault="007A47E3" w14:paraId="304811A2" w14:textId="6406D882">
      <w:pPr>
        <w:ind w:left="360" w:hanging="360"/>
        <w:rPr>
          <w:sz w:val="22"/>
          <w:szCs w:val="22"/>
          <w:lang w:eastAsia="ja-JP"/>
        </w:rPr>
      </w:pPr>
      <w:r w:rsidRPr="000858ED">
        <w:rPr>
          <w:sz w:val="22"/>
          <w:szCs w:val="22"/>
          <w:lang w:eastAsia="ja-JP"/>
        </w:rPr>
        <w:t>13.</w:t>
      </w:r>
      <w:r>
        <w:rPr>
          <w:sz w:val="22"/>
          <w:szCs w:val="22"/>
          <w:lang w:eastAsia="ja-JP"/>
        </w:rPr>
        <w:t xml:space="preserve"> </w:t>
      </w:r>
      <w:r w:rsidRPr="000858ED">
        <w:rPr>
          <w:sz w:val="22"/>
          <w:szCs w:val="22"/>
        </w:rPr>
        <w:t xml:space="preserve">Although </w:t>
      </w:r>
      <w:r>
        <w:rPr>
          <w:sz w:val="22"/>
          <w:szCs w:val="22"/>
        </w:rPr>
        <w:t xml:space="preserve">the Commission </w:t>
      </w:r>
      <w:r w:rsidRPr="000858ED">
        <w:rPr>
          <w:sz w:val="22"/>
          <w:szCs w:val="22"/>
        </w:rPr>
        <w:t>expect</w:t>
      </w:r>
      <w:r w:rsidR="00450403">
        <w:rPr>
          <w:sz w:val="22"/>
          <w:szCs w:val="22"/>
        </w:rPr>
        <w:t>ed</w:t>
      </w:r>
      <w:r w:rsidRPr="000858ED">
        <w:rPr>
          <w:sz w:val="22"/>
          <w:szCs w:val="22"/>
        </w:rPr>
        <w:t xml:space="preserve"> most reporting requirements </w:t>
      </w:r>
      <w:r w:rsidRPr="000858ED" w:rsidR="00450403">
        <w:rPr>
          <w:sz w:val="22"/>
          <w:szCs w:val="22"/>
        </w:rPr>
        <w:t>w</w:t>
      </w:r>
      <w:r w:rsidR="00450403">
        <w:rPr>
          <w:sz w:val="22"/>
          <w:szCs w:val="22"/>
        </w:rPr>
        <w:t>ould</w:t>
      </w:r>
      <w:r w:rsidRPr="000858ED" w:rsidR="00450403">
        <w:rPr>
          <w:sz w:val="22"/>
          <w:szCs w:val="22"/>
        </w:rPr>
        <w:t xml:space="preserve"> </w:t>
      </w:r>
      <w:r w:rsidRPr="000858ED">
        <w:rPr>
          <w:sz w:val="22"/>
          <w:szCs w:val="22"/>
        </w:rPr>
        <w:t xml:space="preserve">be met by respondents’ in-house staff, </w:t>
      </w:r>
      <w:r w:rsidR="00450403">
        <w:rPr>
          <w:sz w:val="22"/>
          <w:szCs w:val="22"/>
        </w:rPr>
        <w:t xml:space="preserve">it was also expected that </w:t>
      </w:r>
      <w:r w:rsidRPr="000858ED">
        <w:rPr>
          <w:sz w:val="22"/>
          <w:szCs w:val="22"/>
        </w:rPr>
        <w:t>some of the larger respondents m</w:t>
      </w:r>
      <w:r w:rsidR="00450403">
        <w:rPr>
          <w:sz w:val="22"/>
          <w:szCs w:val="22"/>
        </w:rPr>
        <w:t>ight</w:t>
      </w:r>
      <w:r w:rsidRPr="000858ED">
        <w:rPr>
          <w:sz w:val="22"/>
          <w:szCs w:val="22"/>
        </w:rPr>
        <w:t xml:space="preserve"> have external costs for deploying their own performance measurement testing program. </w:t>
      </w:r>
      <w:r w:rsidR="007226EC">
        <w:rPr>
          <w:sz w:val="22"/>
          <w:szCs w:val="22"/>
        </w:rPr>
        <w:t xml:space="preserve"> </w:t>
      </w:r>
      <w:r w:rsidR="00450403">
        <w:rPr>
          <w:sz w:val="22"/>
          <w:szCs w:val="22"/>
        </w:rPr>
        <w:t xml:space="preserve">When this information collection was initiated, the Commission estimated that large wireline broadband ISPs who </w:t>
      </w:r>
      <w:r w:rsidR="00516502">
        <w:rPr>
          <w:sz w:val="22"/>
          <w:szCs w:val="22"/>
        </w:rPr>
        <w:t xml:space="preserve">opted to </w:t>
      </w:r>
      <w:r w:rsidR="00450403">
        <w:rPr>
          <w:sz w:val="22"/>
          <w:szCs w:val="22"/>
        </w:rPr>
        <w:t xml:space="preserve">deploy their own performance testing would have total annualized capital/start-up costs of $50,000.  We believe that any such start-up costs will have been </w:t>
      </w:r>
      <w:r w:rsidR="00516502">
        <w:rPr>
          <w:sz w:val="22"/>
          <w:szCs w:val="22"/>
        </w:rPr>
        <w:t xml:space="preserve">expended by now, leaving only </w:t>
      </w:r>
      <w:r w:rsidR="00DC0D9C">
        <w:rPr>
          <w:sz w:val="22"/>
          <w:szCs w:val="22"/>
        </w:rPr>
        <w:t>estimated annual maintenance and operation costs for those ISPs, if any, who maintain their own performance measurement testing program</w:t>
      </w:r>
      <w:r w:rsidR="00450403">
        <w:rPr>
          <w:sz w:val="22"/>
          <w:szCs w:val="22"/>
        </w:rPr>
        <w:t xml:space="preserve">. </w:t>
      </w:r>
    </w:p>
    <w:p w:rsidRPr="000858ED" w:rsidR="007A47E3" w:rsidP="007A47E3" w:rsidRDefault="007A47E3" w14:paraId="57D94ED0" w14:textId="77777777">
      <w:pPr>
        <w:autoSpaceDE w:val="0"/>
        <w:autoSpaceDN w:val="0"/>
        <w:adjustRightInd w:val="0"/>
        <w:rPr>
          <w:sz w:val="22"/>
          <w:szCs w:val="22"/>
          <w:lang w:eastAsia="ja-JP"/>
        </w:rPr>
      </w:pPr>
    </w:p>
    <w:p w:rsidRPr="000858ED" w:rsidR="007A47E3" w:rsidP="007A47E3" w:rsidRDefault="007A47E3" w14:paraId="46B16F08" w14:textId="612316F3">
      <w:pPr>
        <w:autoSpaceDE w:val="0"/>
        <w:autoSpaceDN w:val="0"/>
        <w:adjustRightInd w:val="0"/>
        <w:ind w:left="360" w:hanging="360"/>
        <w:rPr>
          <w:b/>
          <w:bCs/>
          <w:sz w:val="22"/>
          <w:szCs w:val="22"/>
        </w:rPr>
      </w:pPr>
      <w:r>
        <w:rPr>
          <w:sz w:val="22"/>
          <w:szCs w:val="22"/>
          <w:lang w:eastAsia="ja-JP"/>
        </w:rPr>
        <w:tab/>
      </w:r>
      <w:r w:rsidRPr="000858ED">
        <w:rPr>
          <w:sz w:val="22"/>
          <w:szCs w:val="22"/>
          <w:lang w:eastAsia="ja-JP"/>
        </w:rPr>
        <w:t xml:space="preserve">Total annual cost (Operation &amp; Management) for all respondents </w:t>
      </w:r>
      <w:r w:rsidRPr="000858ED">
        <w:rPr>
          <w:sz w:val="22"/>
          <w:szCs w:val="22"/>
        </w:rPr>
        <w:t xml:space="preserve">who will have this </w:t>
      </w:r>
      <w:r>
        <w:rPr>
          <w:sz w:val="22"/>
          <w:szCs w:val="22"/>
        </w:rPr>
        <w:tab/>
      </w:r>
      <w:r w:rsidRPr="000858ED">
        <w:rPr>
          <w:sz w:val="22"/>
          <w:szCs w:val="22"/>
        </w:rPr>
        <w:t>annual cost</w:t>
      </w:r>
      <w:r w:rsidRPr="000858ED">
        <w:rPr>
          <w:sz w:val="22"/>
          <w:szCs w:val="22"/>
          <w:lang w:eastAsia="ja-JP"/>
        </w:rPr>
        <w:t xml:space="preserve">:  </w:t>
      </w:r>
      <w:r w:rsidRPr="000858ED">
        <w:rPr>
          <w:b/>
          <w:bCs/>
          <w:sz w:val="22"/>
          <w:szCs w:val="22"/>
        </w:rPr>
        <w:t>$</w:t>
      </w:r>
      <w:r>
        <w:rPr>
          <w:b/>
          <w:bCs/>
          <w:sz w:val="22"/>
          <w:szCs w:val="22"/>
        </w:rPr>
        <w:t>510,000</w:t>
      </w:r>
    </w:p>
    <w:p w:rsidRPr="000858ED" w:rsidR="007A47E3" w:rsidP="007A47E3" w:rsidRDefault="007A47E3" w14:paraId="1FFD6E35" w14:textId="77777777">
      <w:pPr>
        <w:autoSpaceDE w:val="0"/>
        <w:autoSpaceDN w:val="0"/>
        <w:adjustRightInd w:val="0"/>
        <w:rPr>
          <w:b/>
          <w:bCs/>
          <w:sz w:val="22"/>
          <w:szCs w:val="22"/>
        </w:rPr>
      </w:pPr>
    </w:p>
    <w:p w:rsidR="007A47E3" w:rsidP="007A47E3" w:rsidRDefault="007A47E3" w14:paraId="5879BB19" w14:textId="77777777">
      <w:pPr>
        <w:ind w:left="360" w:hanging="360"/>
        <w:rPr>
          <w:sz w:val="22"/>
          <w:szCs w:val="22"/>
        </w:rPr>
      </w:pPr>
      <w:r>
        <w:rPr>
          <w:sz w:val="22"/>
          <w:szCs w:val="22"/>
        </w:rPr>
        <w:tab/>
      </w:r>
      <w:r>
        <w:rPr>
          <w:sz w:val="22"/>
          <w:szCs w:val="22"/>
        </w:rPr>
        <w:tab/>
      </w:r>
      <w:r w:rsidRPr="000858ED">
        <w:rPr>
          <w:sz w:val="22"/>
          <w:szCs w:val="22"/>
        </w:rPr>
        <w:t xml:space="preserve">$14,400 server lease costs + $6,000 consumer panel maintenance costs = $20,400 annual </w:t>
      </w:r>
      <w:r>
        <w:rPr>
          <w:sz w:val="22"/>
          <w:szCs w:val="22"/>
        </w:rPr>
        <w:tab/>
      </w:r>
      <w:r w:rsidRPr="000858ED">
        <w:rPr>
          <w:sz w:val="22"/>
          <w:szCs w:val="22"/>
        </w:rPr>
        <w:t>costs</w:t>
      </w:r>
      <w:r>
        <w:rPr>
          <w:sz w:val="22"/>
          <w:szCs w:val="22"/>
        </w:rPr>
        <w:t xml:space="preserve"> </w:t>
      </w:r>
      <w:r w:rsidRPr="000858ED">
        <w:rPr>
          <w:sz w:val="22"/>
          <w:szCs w:val="22"/>
        </w:rPr>
        <w:t>per respondent who will have this annual cost</w:t>
      </w:r>
    </w:p>
    <w:p w:rsidRPr="000858ED" w:rsidR="007A47E3" w:rsidP="007A47E3" w:rsidRDefault="007A47E3" w14:paraId="510B91BC" w14:textId="77777777">
      <w:pPr>
        <w:ind w:left="360" w:hanging="360"/>
        <w:rPr>
          <w:sz w:val="22"/>
          <w:szCs w:val="22"/>
        </w:rPr>
      </w:pPr>
      <w:r>
        <w:rPr>
          <w:sz w:val="22"/>
          <w:szCs w:val="22"/>
        </w:rPr>
        <w:tab/>
      </w:r>
      <w:r>
        <w:rPr>
          <w:sz w:val="22"/>
          <w:szCs w:val="22"/>
        </w:rPr>
        <w:tab/>
      </w:r>
      <w:r w:rsidRPr="000858ED">
        <w:rPr>
          <w:sz w:val="22"/>
          <w:szCs w:val="22"/>
        </w:rPr>
        <w:t>$20,400 annual costs per respondent x 25 respondents = $510,000</w:t>
      </w:r>
    </w:p>
    <w:p w:rsidRPr="000858ED" w:rsidR="007A47E3" w:rsidP="007A47E3" w:rsidRDefault="007A47E3" w14:paraId="43E2C977" w14:textId="77777777">
      <w:pPr>
        <w:rPr>
          <w:b/>
          <w:bCs/>
          <w:sz w:val="22"/>
          <w:szCs w:val="22"/>
        </w:rPr>
      </w:pPr>
    </w:p>
    <w:p w:rsidRPr="000858ED" w:rsidR="007A47E3" w:rsidP="007A47E3" w:rsidRDefault="007A47E3" w14:paraId="6E57B0D8" w14:textId="35018350">
      <w:pPr>
        <w:ind w:left="360" w:hanging="360"/>
        <w:rPr>
          <w:sz w:val="22"/>
          <w:szCs w:val="22"/>
        </w:rPr>
      </w:pPr>
      <w:r>
        <w:rPr>
          <w:bCs/>
          <w:sz w:val="22"/>
          <w:szCs w:val="22"/>
        </w:rPr>
        <w:tab/>
      </w:r>
      <w:r w:rsidRPr="000858ED">
        <w:rPr>
          <w:b/>
          <w:bCs/>
          <w:sz w:val="22"/>
          <w:szCs w:val="22"/>
        </w:rPr>
        <w:t xml:space="preserve">Total Annual </w:t>
      </w:r>
      <w:r>
        <w:rPr>
          <w:b/>
          <w:bCs/>
          <w:sz w:val="22"/>
          <w:szCs w:val="22"/>
        </w:rPr>
        <w:t xml:space="preserve">External </w:t>
      </w:r>
      <w:r w:rsidRPr="000858ED">
        <w:rPr>
          <w:b/>
          <w:bCs/>
          <w:sz w:val="22"/>
          <w:szCs w:val="22"/>
        </w:rPr>
        <w:t xml:space="preserve">Cost for </w:t>
      </w:r>
      <w:r>
        <w:rPr>
          <w:b/>
          <w:bCs/>
          <w:sz w:val="22"/>
          <w:szCs w:val="22"/>
        </w:rPr>
        <w:t>A</w:t>
      </w:r>
      <w:r w:rsidRPr="000858ED">
        <w:rPr>
          <w:b/>
          <w:bCs/>
          <w:sz w:val="22"/>
          <w:szCs w:val="22"/>
        </w:rPr>
        <w:t>ll Respondents:</w:t>
      </w:r>
      <w:r w:rsidR="002B4848">
        <w:rPr>
          <w:b/>
          <w:bCs/>
          <w:sz w:val="22"/>
          <w:szCs w:val="22"/>
        </w:rPr>
        <w:t xml:space="preserve"> </w:t>
      </w:r>
      <w:r w:rsidRPr="000858ED">
        <w:rPr>
          <w:b/>
          <w:bCs/>
          <w:sz w:val="22"/>
          <w:szCs w:val="22"/>
        </w:rPr>
        <w:t xml:space="preserve"> </w:t>
      </w:r>
      <w:r w:rsidRPr="00B914B6">
        <w:rPr>
          <w:b/>
          <w:bCs/>
          <w:sz w:val="22"/>
          <w:szCs w:val="22"/>
        </w:rPr>
        <w:t>$510,000</w:t>
      </w:r>
      <w:r w:rsidRPr="000858ED">
        <w:rPr>
          <w:b/>
          <w:bCs/>
          <w:sz w:val="22"/>
          <w:szCs w:val="22"/>
        </w:rPr>
        <w:t xml:space="preserve"> </w:t>
      </w:r>
    </w:p>
    <w:p w:rsidRPr="000858ED" w:rsidR="007A47E3" w:rsidP="007A47E3" w:rsidRDefault="007A47E3" w14:paraId="35284DC6" w14:textId="77777777">
      <w:pPr>
        <w:rPr>
          <w:sz w:val="22"/>
          <w:szCs w:val="22"/>
        </w:rPr>
      </w:pPr>
    </w:p>
    <w:p w:rsidRPr="001A3DF3" w:rsidR="00ED7496" w:rsidRDefault="007A47E3" w14:paraId="183A7901" w14:textId="2244A1F5">
      <w:pPr>
        <w:ind w:left="360" w:hanging="450"/>
        <w:rPr>
          <w:sz w:val="22"/>
          <w:szCs w:val="22"/>
        </w:rPr>
      </w:pPr>
      <w:r w:rsidRPr="00BB587C">
        <w:rPr>
          <w:sz w:val="22"/>
          <w:szCs w:val="22"/>
        </w:rPr>
        <w:t xml:space="preserve">14. </w:t>
      </w:r>
      <w:r>
        <w:rPr>
          <w:sz w:val="22"/>
          <w:szCs w:val="22"/>
        </w:rPr>
        <w:t xml:space="preserve"> </w:t>
      </w:r>
      <w:r w:rsidR="00DC0D9C">
        <w:rPr>
          <w:sz w:val="22"/>
          <w:szCs w:val="22"/>
        </w:rPr>
        <w:t>There are no continuing costs to the Commission</w:t>
      </w:r>
      <w:r w:rsidR="00DA1219">
        <w:rPr>
          <w:sz w:val="22"/>
          <w:szCs w:val="22"/>
        </w:rPr>
        <w:t xml:space="preserve"> arising from this information collection.</w:t>
      </w:r>
      <w:r w:rsidR="001A3DF3">
        <w:rPr>
          <w:sz w:val="22"/>
          <w:szCs w:val="22"/>
        </w:rPr>
        <w:t xml:space="preserve"> </w:t>
      </w:r>
      <w:r w:rsidR="00920881">
        <w:rPr>
          <w:sz w:val="22"/>
          <w:szCs w:val="22"/>
        </w:rPr>
        <w:t xml:space="preserve"> </w:t>
      </w:r>
      <w:r w:rsidRPr="001A3DF3" w:rsidR="006C5BD0">
        <w:rPr>
          <w:b/>
          <w:sz w:val="22"/>
          <w:szCs w:val="22"/>
        </w:rPr>
        <w:t xml:space="preserve"> </w:t>
      </w:r>
    </w:p>
    <w:p w:rsidRPr="001A3DF3" w:rsidR="007A47E3" w:rsidP="00EF746C" w:rsidRDefault="007A47E3" w14:paraId="3D25F4E5" w14:textId="028D455A">
      <w:pPr>
        <w:rPr>
          <w:sz w:val="22"/>
          <w:szCs w:val="22"/>
        </w:rPr>
      </w:pPr>
    </w:p>
    <w:p w:rsidR="007A47E3" w:rsidP="007A47E3" w:rsidRDefault="007A47E3" w14:paraId="7430CEBA" w14:textId="03D80DBF">
      <w:pPr>
        <w:tabs>
          <w:tab w:val="left" w:pos="270"/>
          <w:tab w:val="left" w:pos="360"/>
        </w:tabs>
        <w:ind w:left="360" w:hanging="450"/>
        <w:rPr>
          <w:sz w:val="22"/>
          <w:szCs w:val="22"/>
        </w:rPr>
      </w:pPr>
      <w:r w:rsidRPr="001A3DF3">
        <w:rPr>
          <w:sz w:val="22"/>
          <w:szCs w:val="22"/>
        </w:rPr>
        <w:t>15.</w:t>
      </w:r>
      <w:r w:rsidRPr="001A3DF3">
        <w:rPr>
          <w:sz w:val="22"/>
          <w:szCs w:val="22"/>
        </w:rPr>
        <w:tab/>
        <w:t xml:space="preserve">The Commission has re-evaluated the assessment of the burdens for this information collection and determined there has been </w:t>
      </w:r>
      <w:r w:rsidRPr="00B914B6" w:rsidR="00AD6942">
        <w:rPr>
          <w:sz w:val="22"/>
          <w:szCs w:val="22"/>
        </w:rPr>
        <w:t>a</w:t>
      </w:r>
      <w:r w:rsidRPr="00B914B6" w:rsidR="00511074">
        <w:rPr>
          <w:sz w:val="22"/>
          <w:szCs w:val="22"/>
        </w:rPr>
        <w:t>n</w:t>
      </w:r>
      <w:r w:rsidRPr="00B914B6" w:rsidR="00AD6942">
        <w:rPr>
          <w:sz w:val="22"/>
          <w:szCs w:val="22"/>
        </w:rPr>
        <w:t xml:space="preserve"> </w:t>
      </w:r>
      <w:r w:rsidR="00B914B6">
        <w:rPr>
          <w:sz w:val="22"/>
          <w:szCs w:val="22"/>
        </w:rPr>
        <w:t>adjustment/</w:t>
      </w:r>
      <w:r w:rsidRPr="00B914B6" w:rsidR="00511074">
        <w:rPr>
          <w:sz w:val="22"/>
          <w:szCs w:val="22"/>
        </w:rPr>
        <w:t>in</w:t>
      </w:r>
      <w:r w:rsidRPr="00B914B6" w:rsidR="00AD6942">
        <w:rPr>
          <w:sz w:val="22"/>
          <w:szCs w:val="22"/>
        </w:rPr>
        <w:t>crease</w:t>
      </w:r>
      <w:r w:rsidRPr="00B914B6">
        <w:rPr>
          <w:sz w:val="22"/>
          <w:szCs w:val="22"/>
        </w:rPr>
        <w:t xml:space="preserve"> in the total annual number of respondents of </w:t>
      </w:r>
      <w:r w:rsidRPr="00B914B6" w:rsidR="00511074">
        <w:rPr>
          <w:sz w:val="22"/>
          <w:szCs w:val="22"/>
        </w:rPr>
        <w:t>246</w:t>
      </w:r>
      <w:r w:rsidRPr="00B914B6">
        <w:rPr>
          <w:sz w:val="22"/>
          <w:szCs w:val="22"/>
        </w:rPr>
        <w:t xml:space="preserve"> </w:t>
      </w:r>
      <w:r w:rsidRPr="00B914B6" w:rsidR="005727B8">
        <w:rPr>
          <w:sz w:val="22"/>
          <w:szCs w:val="22"/>
        </w:rPr>
        <w:t>(</w:t>
      </w:r>
      <w:r w:rsidRPr="00B914B6">
        <w:rPr>
          <w:sz w:val="22"/>
          <w:szCs w:val="22"/>
        </w:rPr>
        <w:t xml:space="preserve">from </w:t>
      </w:r>
      <w:r w:rsidRPr="00B914B6" w:rsidR="00511074">
        <w:rPr>
          <w:sz w:val="22"/>
          <w:szCs w:val="22"/>
        </w:rPr>
        <w:t>1,919</w:t>
      </w:r>
      <w:r w:rsidRPr="00B914B6" w:rsidR="005727B8">
        <w:rPr>
          <w:sz w:val="22"/>
          <w:szCs w:val="22"/>
        </w:rPr>
        <w:t xml:space="preserve"> to </w:t>
      </w:r>
      <w:r w:rsidRPr="00B914B6" w:rsidR="00511074">
        <w:rPr>
          <w:sz w:val="22"/>
          <w:szCs w:val="22"/>
        </w:rPr>
        <w:t>2,165</w:t>
      </w:r>
      <w:r w:rsidRPr="00B914B6" w:rsidR="005727B8">
        <w:rPr>
          <w:sz w:val="22"/>
          <w:szCs w:val="22"/>
        </w:rPr>
        <w:t xml:space="preserve">), </w:t>
      </w:r>
      <w:r w:rsidRPr="00B914B6" w:rsidR="00511074">
        <w:rPr>
          <w:sz w:val="22"/>
          <w:szCs w:val="22"/>
        </w:rPr>
        <w:t xml:space="preserve">based on </w:t>
      </w:r>
      <w:r w:rsidRPr="00B914B6" w:rsidR="005727B8">
        <w:rPr>
          <w:sz w:val="22"/>
          <w:szCs w:val="22"/>
        </w:rPr>
        <w:t xml:space="preserve">the </w:t>
      </w:r>
      <w:r w:rsidRPr="00B914B6" w:rsidR="00511074">
        <w:rPr>
          <w:sz w:val="22"/>
          <w:szCs w:val="22"/>
        </w:rPr>
        <w:t xml:space="preserve">most recent data available from the </w:t>
      </w:r>
      <w:r w:rsidRPr="00B914B6" w:rsidR="005727B8">
        <w:rPr>
          <w:sz w:val="22"/>
          <w:szCs w:val="22"/>
        </w:rPr>
        <w:t>Commission’s Form 477.  For the same reason, the Commission has determined there has been a</w:t>
      </w:r>
      <w:r w:rsidRPr="00B914B6" w:rsidR="00511074">
        <w:rPr>
          <w:sz w:val="22"/>
          <w:szCs w:val="22"/>
        </w:rPr>
        <w:t>n increase of</w:t>
      </w:r>
      <w:r w:rsidRPr="00B914B6" w:rsidR="005727B8">
        <w:rPr>
          <w:sz w:val="22"/>
          <w:szCs w:val="22"/>
        </w:rPr>
        <w:t xml:space="preserve"> </w:t>
      </w:r>
      <w:r w:rsidRPr="00B914B6" w:rsidR="00511074">
        <w:rPr>
          <w:sz w:val="22"/>
          <w:szCs w:val="22"/>
        </w:rPr>
        <w:t>246</w:t>
      </w:r>
      <w:r w:rsidRPr="00B914B6" w:rsidR="005727B8">
        <w:rPr>
          <w:sz w:val="22"/>
          <w:szCs w:val="22"/>
        </w:rPr>
        <w:t xml:space="preserve"> in the total annual number of responses (from 1,919</w:t>
      </w:r>
      <w:r w:rsidRPr="00B914B6" w:rsidR="00511074">
        <w:rPr>
          <w:sz w:val="22"/>
          <w:szCs w:val="22"/>
        </w:rPr>
        <w:t xml:space="preserve"> to 2,165</w:t>
      </w:r>
      <w:r w:rsidRPr="00B914B6" w:rsidR="005727B8">
        <w:rPr>
          <w:sz w:val="22"/>
          <w:szCs w:val="22"/>
        </w:rPr>
        <w:t>)</w:t>
      </w:r>
      <w:r w:rsidRPr="00B914B6" w:rsidR="006878B4">
        <w:rPr>
          <w:sz w:val="22"/>
          <w:szCs w:val="22"/>
        </w:rPr>
        <w:t xml:space="preserve">, and a concomitant </w:t>
      </w:r>
      <w:r w:rsidR="003B7109">
        <w:rPr>
          <w:sz w:val="22"/>
          <w:szCs w:val="22"/>
        </w:rPr>
        <w:t xml:space="preserve">increase in the </w:t>
      </w:r>
      <w:r w:rsidR="006878B4">
        <w:rPr>
          <w:sz w:val="22"/>
          <w:szCs w:val="22"/>
        </w:rPr>
        <w:t xml:space="preserve">total annual </w:t>
      </w:r>
      <w:r w:rsidR="003B7109">
        <w:rPr>
          <w:sz w:val="22"/>
          <w:szCs w:val="22"/>
        </w:rPr>
        <w:t>burden hours</w:t>
      </w:r>
      <w:r w:rsidR="00707FB0">
        <w:rPr>
          <w:sz w:val="22"/>
          <w:szCs w:val="22"/>
        </w:rPr>
        <w:t xml:space="preserve"> of 6,396 (from </w:t>
      </w:r>
      <w:r w:rsidR="003B7109">
        <w:rPr>
          <w:sz w:val="22"/>
          <w:szCs w:val="22"/>
        </w:rPr>
        <w:t>49,894 to 56,290</w:t>
      </w:r>
      <w:r w:rsidR="00707FB0">
        <w:rPr>
          <w:sz w:val="22"/>
          <w:szCs w:val="22"/>
        </w:rPr>
        <w:t>)</w:t>
      </w:r>
      <w:r w:rsidR="003B7109">
        <w:rPr>
          <w:sz w:val="22"/>
          <w:szCs w:val="22"/>
        </w:rPr>
        <w:t xml:space="preserve">.  However, </w:t>
      </w:r>
      <w:r w:rsidR="0028422F">
        <w:rPr>
          <w:sz w:val="22"/>
          <w:szCs w:val="22"/>
        </w:rPr>
        <w:t xml:space="preserve">we are reporting </w:t>
      </w:r>
      <w:r w:rsidR="00956C72">
        <w:rPr>
          <w:sz w:val="22"/>
          <w:szCs w:val="22"/>
        </w:rPr>
        <w:t xml:space="preserve">a decrease in </w:t>
      </w:r>
      <w:r w:rsidR="003B7109">
        <w:rPr>
          <w:sz w:val="22"/>
          <w:szCs w:val="22"/>
        </w:rPr>
        <w:t xml:space="preserve">the total annual </w:t>
      </w:r>
      <w:r w:rsidR="006878B4">
        <w:rPr>
          <w:sz w:val="22"/>
          <w:szCs w:val="22"/>
        </w:rPr>
        <w:t xml:space="preserve">external </w:t>
      </w:r>
      <w:r w:rsidR="003B7109">
        <w:rPr>
          <w:sz w:val="22"/>
          <w:szCs w:val="22"/>
        </w:rPr>
        <w:t xml:space="preserve">costs </w:t>
      </w:r>
      <w:r w:rsidR="00707FB0">
        <w:rPr>
          <w:sz w:val="22"/>
          <w:szCs w:val="22"/>
        </w:rPr>
        <w:t xml:space="preserve">of 50,000 (from </w:t>
      </w:r>
      <w:r w:rsidR="00B914B6">
        <w:rPr>
          <w:sz w:val="22"/>
          <w:szCs w:val="22"/>
        </w:rPr>
        <w:t xml:space="preserve">$560,000 to $510,000) </w:t>
      </w:r>
      <w:r w:rsidR="006878B4">
        <w:rPr>
          <w:sz w:val="22"/>
          <w:szCs w:val="22"/>
        </w:rPr>
        <w:t xml:space="preserve">to respondents due to the elimination of the </w:t>
      </w:r>
      <w:r w:rsidR="003B7109">
        <w:rPr>
          <w:sz w:val="22"/>
          <w:szCs w:val="22"/>
        </w:rPr>
        <w:t>start-up costs</w:t>
      </w:r>
      <w:r w:rsidR="006878B4">
        <w:rPr>
          <w:sz w:val="22"/>
          <w:szCs w:val="22"/>
        </w:rPr>
        <w:t xml:space="preserve"> estimated when this collection was initiated, which we believe will have been expended by now</w:t>
      </w:r>
      <w:r w:rsidR="003B7109">
        <w:rPr>
          <w:sz w:val="22"/>
          <w:szCs w:val="22"/>
        </w:rPr>
        <w:t xml:space="preserve">. </w:t>
      </w:r>
    </w:p>
    <w:p w:rsidR="00B914B6" w:rsidP="007A47E3" w:rsidRDefault="00B914B6" w14:paraId="12941083" w14:textId="554A26F0">
      <w:pPr>
        <w:tabs>
          <w:tab w:val="left" w:pos="270"/>
          <w:tab w:val="left" w:pos="360"/>
        </w:tabs>
        <w:ind w:left="360" w:hanging="450"/>
        <w:rPr>
          <w:sz w:val="22"/>
          <w:szCs w:val="22"/>
        </w:rPr>
      </w:pPr>
    </w:p>
    <w:p w:rsidR="00B914B6" w:rsidP="007A47E3" w:rsidRDefault="00B914B6" w14:paraId="18C4AB9E" w14:textId="5B8F0FAB">
      <w:pPr>
        <w:tabs>
          <w:tab w:val="left" w:pos="270"/>
          <w:tab w:val="left" w:pos="360"/>
        </w:tabs>
        <w:ind w:left="360" w:hanging="450"/>
        <w:rPr>
          <w:sz w:val="22"/>
          <w:szCs w:val="22"/>
        </w:rPr>
      </w:pPr>
      <w:r>
        <w:rPr>
          <w:sz w:val="22"/>
          <w:szCs w:val="22"/>
        </w:rPr>
        <w:lastRenderedPageBreak/>
        <w:tab/>
        <w:t xml:space="preserve">There are no program changes this information collection. </w:t>
      </w:r>
    </w:p>
    <w:p w:rsidR="00D34CC3" w:rsidP="00152AB5" w:rsidRDefault="00D34CC3" w14:paraId="1E4E87B8" w14:textId="38EF3292">
      <w:pPr>
        <w:tabs>
          <w:tab w:val="left" w:pos="360"/>
        </w:tabs>
        <w:rPr>
          <w:sz w:val="22"/>
          <w:szCs w:val="22"/>
        </w:rPr>
      </w:pPr>
    </w:p>
    <w:p w:rsidRPr="00BB587C" w:rsidR="007A47E3" w:rsidP="00EF746C" w:rsidRDefault="007A47E3" w14:paraId="432E302F" w14:textId="19E0424C">
      <w:pPr>
        <w:tabs>
          <w:tab w:val="left" w:pos="360"/>
        </w:tabs>
        <w:ind w:left="360" w:hanging="450"/>
        <w:rPr>
          <w:sz w:val="22"/>
          <w:szCs w:val="22"/>
        </w:rPr>
      </w:pPr>
      <w:r w:rsidRPr="00BB587C">
        <w:rPr>
          <w:sz w:val="22"/>
          <w:szCs w:val="22"/>
        </w:rPr>
        <w:t>16.</w:t>
      </w:r>
      <w:r w:rsidRPr="00BB587C">
        <w:rPr>
          <w:sz w:val="22"/>
          <w:szCs w:val="22"/>
        </w:rPr>
        <w:tab/>
      </w:r>
      <w:r w:rsidR="00A87C8B">
        <w:rPr>
          <w:sz w:val="22"/>
          <w:szCs w:val="22"/>
        </w:rPr>
        <w:t xml:space="preserve">The rule adopted by the Commission provides two options to broadband </w:t>
      </w:r>
      <w:r w:rsidR="00D93F60">
        <w:rPr>
          <w:sz w:val="22"/>
          <w:szCs w:val="22"/>
        </w:rPr>
        <w:t>ISPs</w:t>
      </w:r>
      <w:r w:rsidR="00A87C8B">
        <w:rPr>
          <w:sz w:val="22"/>
          <w:szCs w:val="22"/>
        </w:rPr>
        <w:t>.</w:t>
      </w:r>
      <w:r w:rsidR="00604B9D">
        <w:rPr>
          <w:sz w:val="22"/>
          <w:szCs w:val="22"/>
        </w:rPr>
        <w:t xml:space="preserve"> </w:t>
      </w:r>
      <w:r w:rsidR="00A87C8B">
        <w:rPr>
          <w:sz w:val="22"/>
          <w:szCs w:val="22"/>
        </w:rPr>
        <w:t xml:space="preserve"> </w:t>
      </w:r>
      <w:r w:rsidR="00D93F60">
        <w:rPr>
          <w:sz w:val="22"/>
          <w:szCs w:val="22"/>
        </w:rPr>
        <w:t>ISPs</w:t>
      </w:r>
      <w:r w:rsidRPr="00F661BE" w:rsidR="00A87C8B">
        <w:rPr>
          <w:sz w:val="22"/>
          <w:szCs w:val="22"/>
        </w:rPr>
        <w:t xml:space="preserve"> </w:t>
      </w:r>
      <w:r w:rsidR="00A87C8B">
        <w:rPr>
          <w:sz w:val="22"/>
          <w:szCs w:val="22"/>
        </w:rPr>
        <w:t xml:space="preserve">can either </w:t>
      </w:r>
      <w:r w:rsidRPr="00F661BE" w:rsidR="00A87C8B">
        <w:rPr>
          <w:sz w:val="22"/>
          <w:szCs w:val="22"/>
        </w:rPr>
        <w:t xml:space="preserve">post their </w:t>
      </w:r>
      <w:r w:rsidR="00EF746C">
        <w:rPr>
          <w:sz w:val="22"/>
          <w:szCs w:val="22"/>
        </w:rPr>
        <w:t>transparency rules disclosures</w:t>
      </w:r>
      <w:r w:rsidR="00A87C8B">
        <w:rPr>
          <w:sz w:val="22"/>
          <w:szCs w:val="22"/>
        </w:rPr>
        <w:t xml:space="preserve"> </w:t>
      </w:r>
      <w:r w:rsidRPr="00F661BE" w:rsidR="00A87C8B">
        <w:rPr>
          <w:sz w:val="22"/>
          <w:szCs w:val="22"/>
        </w:rPr>
        <w:t>on their websites</w:t>
      </w:r>
      <w:r w:rsidR="00A87C8B">
        <w:rPr>
          <w:sz w:val="22"/>
          <w:szCs w:val="22"/>
        </w:rPr>
        <w:t xml:space="preserve"> or through transmittal to the Commission, which will make such disclosures available via a </w:t>
      </w:r>
      <w:proofErr w:type="gramStart"/>
      <w:r w:rsidR="00A87C8B">
        <w:rPr>
          <w:sz w:val="22"/>
          <w:szCs w:val="22"/>
        </w:rPr>
        <w:t>publicly</w:t>
      </w:r>
      <w:r w:rsidR="002B4848">
        <w:rPr>
          <w:sz w:val="22"/>
          <w:szCs w:val="22"/>
        </w:rPr>
        <w:t>-</w:t>
      </w:r>
      <w:r w:rsidR="00A87C8B">
        <w:rPr>
          <w:sz w:val="22"/>
          <w:szCs w:val="22"/>
        </w:rPr>
        <w:t>available</w:t>
      </w:r>
      <w:proofErr w:type="gramEnd"/>
      <w:r w:rsidR="00A87C8B">
        <w:rPr>
          <w:sz w:val="22"/>
          <w:szCs w:val="22"/>
        </w:rPr>
        <w:t xml:space="preserve">, easily accessible website. </w:t>
      </w:r>
    </w:p>
    <w:p w:rsidR="007A47E3" w:rsidP="007A47E3" w:rsidRDefault="007A47E3" w14:paraId="5DFB433B" w14:textId="77777777">
      <w:pPr>
        <w:ind w:left="360" w:hanging="360"/>
        <w:rPr>
          <w:sz w:val="22"/>
          <w:szCs w:val="22"/>
        </w:rPr>
      </w:pPr>
    </w:p>
    <w:p w:rsidRPr="00A6758F" w:rsidR="007A47E3" w:rsidP="007A47E3" w:rsidRDefault="007A47E3" w14:paraId="0B4F0534" w14:textId="26115B05">
      <w:pPr>
        <w:ind w:left="360" w:hanging="450"/>
        <w:rPr>
          <w:sz w:val="22"/>
          <w:szCs w:val="22"/>
        </w:rPr>
      </w:pPr>
      <w:r w:rsidRPr="00A6758F">
        <w:rPr>
          <w:sz w:val="22"/>
          <w:szCs w:val="22"/>
        </w:rPr>
        <w:t>17.</w:t>
      </w:r>
      <w:r w:rsidRPr="00A6758F">
        <w:rPr>
          <w:sz w:val="22"/>
          <w:szCs w:val="22"/>
        </w:rPr>
        <w:tab/>
        <w:t xml:space="preserve">The Commission is not seeking approval to </w:t>
      </w:r>
      <w:r w:rsidR="001A7682">
        <w:rPr>
          <w:sz w:val="22"/>
          <w:szCs w:val="22"/>
        </w:rPr>
        <w:t>avoid</w:t>
      </w:r>
      <w:r w:rsidRPr="00A6758F" w:rsidR="001A7682">
        <w:rPr>
          <w:sz w:val="22"/>
          <w:szCs w:val="22"/>
        </w:rPr>
        <w:t xml:space="preserve"> </w:t>
      </w:r>
      <w:r w:rsidRPr="00A6758F">
        <w:rPr>
          <w:sz w:val="22"/>
          <w:szCs w:val="22"/>
        </w:rPr>
        <w:t>display</w:t>
      </w:r>
      <w:r w:rsidR="001A7682">
        <w:rPr>
          <w:sz w:val="22"/>
          <w:szCs w:val="22"/>
        </w:rPr>
        <w:t>ing</w:t>
      </w:r>
      <w:r w:rsidRPr="00A6758F">
        <w:rPr>
          <w:sz w:val="22"/>
          <w:szCs w:val="22"/>
        </w:rPr>
        <w:t xml:space="preserve"> the expiration date for OMB approval of the information collection because the collection does not include a form number.</w:t>
      </w:r>
    </w:p>
    <w:p w:rsidR="007A47E3" w:rsidP="007A47E3" w:rsidRDefault="007A47E3" w14:paraId="71875C67" w14:textId="77777777">
      <w:pPr>
        <w:ind w:left="360" w:hanging="360"/>
        <w:rPr>
          <w:sz w:val="22"/>
          <w:szCs w:val="22"/>
        </w:rPr>
      </w:pPr>
    </w:p>
    <w:p w:rsidR="007A47E3" w:rsidP="007A47E3" w:rsidRDefault="007A47E3" w14:paraId="70F0C451" w14:textId="3DAFF880">
      <w:pPr>
        <w:ind w:left="360" w:hanging="450"/>
        <w:rPr>
          <w:sz w:val="22"/>
          <w:szCs w:val="22"/>
        </w:rPr>
      </w:pPr>
      <w:r w:rsidRPr="00A6758F">
        <w:rPr>
          <w:sz w:val="22"/>
          <w:szCs w:val="22"/>
        </w:rPr>
        <w:t xml:space="preserve">18. </w:t>
      </w:r>
      <w:r w:rsidRPr="00A6758F">
        <w:rPr>
          <w:sz w:val="22"/>
          <w:szCs w:val="22"/>
        </w:rPr>
        <w:tab/>
      </w:r>
      <w:r>
        <w:rPr>
          <w:sz w:val="22"/>
          <w:szCs w:val="22"/>
        </w:rPr>
        <w:t>T</w:t>
      </w:r>
      <w:r w:rsidRPr="00A6758F">
        <w:rPr>
          <w:sz w:val="22"/>
          <w:szCs w:val="22"/>
        </w:rPr>
        <w:t>here are no exceptions to the Certification Statement</w:t>
      </w:r>
      <w:r>
        <w:rPr>
          <w:sz w:val="22"/>
          <w:szCs w:val="22"/>
        </w:rPr>
        <w:t>.</w:t>
      </w:r>
    </w:p>
    <w:p w:rsidR="007A47E3" w:rsidP="007A47E3" w:rsidRDefault="007A47E3" w14:paraId="5FA83CA7" w14:textId="35572044">
      <w:pPr>
        <w:tabs>
          <w:tab w:val="left" w:pos="360"/>
        </w:tabs>
        <w:rPr>
          <w:b/>
          <w:sz w:val="22"/>
          <w:szCs w:val="22"/>
        </w:rPr>
      </w:pPr>
    </w:p>
    <w:p w:rsidR="007A47E3" w:rsidP="002B4848" w:rsidRDefault="007A47E3" w14:paraId="542BBBCB" w14:textId="485D40D0">
      <w:pPr>
        <w:keepNext/>
        <w:tabs>
          <w:tab w:val="left" w:pos="360"/>
        </w:tabs>
        <w:ind w:hanging="86"/>
        <w:rPr>
          <w:sz w:val="22"/>
          <w:szCs w:val="22"/>
        </w:rPr>
      </w:pPr>
      <w:r w:rsidRPr="00BB587C">
        <w:rPr>
          <w:b/>
          <w:sz w:val="22"/>
          <w:szCs w:val="22"/>
        </w:rPr>
        <w:t>B.</w:t>
      </w:r>
      <w:r w:rsidRPr="00BB587C">
        <w:rPr>
          <w:b/>
          <w:sz w:val="22"/>
          <w:szCs w:val="22"/>
        </w:rPr>
        <w:tab/>
        <w:t>Collections of Information Employing Statistical Methods</w:t>
      </w:r>
      <w:r>
        <w:rPr>
          <w:sz w:val="22"/>
          <w:szCs w:val="22"/>
        </w:rPr>
        <w:tab/>
      </w:r>
      <w:r>
        <w:rPr>
          <w:sz w:val="22"/>
          <w:szCs w:val="22"/>
        </w:rPr>
        <w:tab/>
      </w:r>
    </w:p>
    <w:p w:rsidR="002B4848" w:rsidP="002B4848" w:rsidRDefault="002B4848" w14:paraId="3C8C3452" w14:textId="77777777">
      <w:pPr>
        <w:keepNext/>
        <w:tabs>
          <w:tab w:val="left" w:pos="360"/>
        </w:tabs>
        <w:ind w:hanging="86"/>
        <w:rPr>
          <w:sz w:val="22"/>
          <w:szCs w:val="22"/>
        </w:rPr>
      </w:pPr>
    </w:p>
    <w:p w:rsidR="007A47E3" w:rsidP="007A47E3" w:rsidRDefault="007A47E3" w14:paraId="2CD02E84" w14:textId="280513C6">
      <w:pPr>
        <w:tabs>
          <w:tab w:val="left" w:pos="360"/>
        </w:tabs>
        <w:ind w:hanging="90"/>
      </w:pPr>
      <w:r>
        <w:rPr>
          <w:sz w:val="22"/>
          <w:szCs w:val="22"/>
        </w:rPr>
        <w:tab/>
      </w:r>
      <w:r>
        <w:rPr>
          <w:sz w:val="22"/>
          <w:szCs w:val="22"/>
        </w:rPr>
        <w:tab/>
      </w:r>
      <w:r w:rsidRPr="00BB587C">
        <w:rPr>
          <w:sz w:val="22"/>
          <w:szCs w:val="22"/>
        </w:rPr>
        <w:t>The Commission does not anticipate that th</w:t>
      </w:r>
      <w:r w:rsidR="002B4848">
        <w:rPr>
          <w:sz w:val="22"/>
          <w:szCs w:val="22"/>
        </w:rPr>
        <w:t>is information</w:t>
      </w:r>
      <w:r w:rsidRPr="00BB587C">
        <w:rPr>
          <w:sz w:val="22"/>
          <w:szCs w:val="22"/>
        </w:rPr>
        <w:t xml:space="preserve"> collection will employ any</w:t>
      </w:r>
      <w:r w:rsidR="002B4848">
        <w:rPr>
          <w:sz w:val="22"/>
          <w:szCs w:val="22"/>
        </w:rPr>
        <w:t xml:space="preserve"> </w:t>
      </w:r>
      <w:r w:rsidRPr="00BB587C">
        <w:rPr>
          <w:sz w:val="22"/>
          <w:szCs w:val="22"/>
        </w:rPr>
        <w:t>statistical methods</w:t>
      </w:r>
      <w:r w:rsidRPr="007E071F">
        <w:rPr>
          <w:sz w:val="22"/>
          <w:szCs w:val="22"/>
        </w:rPr>
        <w:t>.</w:t>
      </w:r>
    </w:p>
    <w:p w:rsidR="00D641D3" w:rsidRDefault="00D641D3" w14:paraId="49955AA4" w14:textId="77777777"/>
    <w:sectPr w:rsidR="00D641D3">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0EDA13" w14:textId="77777777" w:rsidR="00C52DEB" w:rsidRDefault="00C52DEB" w:rsidP="007A47E3">
      <w:r>
        <w:separator/>
      </w:r>
    </w:p>
  </w:endnote>
  <w:endnote w:type="continuationSeparator" w:id="0">
    <w:p w14:paraId="75377AF1" w14:textId="77777777" w:rsidR="00C52DEB" w:rsidRDefault="00C52DEB" w:rsidP="007A4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ABEDB6" w14:textId="265744E2" w:rsidR="007049EB" w:rsidRDefault="007049EB">
    <w:pPr>
      <w:pStyle w:val="Footer"/>
      <w:jc w:val="center"/>
    </w:pPr>
    <w:r>
      <w:fldChar w:fldCharType="begin"/>
    </w:r>
    <w:r>
      <w:instrText xml:space="preserve"> PAGE   \* MERGEFORMAT </w:instrText>
    </w:r>
    <w:r>
      <w:fldChar w:fldCharType="separate"/>
    </w:r>
    <w:r w:rsidR="00E86713">
      <w:rPr>
        <w:noProof/>
      </w:rPr>
      <w:t>1</w:t>
    </w:r>
    <w:r>
      <w:fldChar w:fldCharType="end"/>
    </w:r>
  </w:p>
  <w:p w14:paraId="6ACB57F9" w14:textId="77777777" w:rsidR="007049EB" w:rsidRDefault="007049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5A704F" w14:textId="77777777" w:rsidR="00C52DEB" w:rsidRDefault="00C52DEB" w:rsidP="007A47E3">
      <w:r>
        <w:separator/>
      </w:r>
    </w:p>
  </w:footnote>
  <w:footnote w:type="continuationSeparator" w:id="0">
    <w:p w14:paraId="40752E16" w14:textId="77777777" w:rsidR="00C52DEB" w:rsidRDefault="00C52DEB" w:rsidP="007A47E3">
      <w:r>
        <w:continuationSeparator/>
      </w:r>
    </w:p>
  </w:footnote>
  <w:footnote w:id="1">
    <w:p w14:paraId="63FC3464" w14:textId="35B563CE" w:rsidR="007049EB" w:rsidRDefault="007049EB" w:rsidP="006F4AB1">
      <w:pPr>
        <w:pStyle w:val="FootnoteText"/>
      </w:pPr>
      <w:r>
        <w:rPr>
          <w:rStyle w:val="FootnoteReference"/>
        </w:rPr>
        <w:footnoteRef/>
      </w:r>
      <w:r>
        <w:t xml:space="preserve"> </w:t>
      </w:r>
      <w:r>
        <w:rPr>
          <w:i/>
        </w:rPr>
        <w:t>Restoring Internet Freedom</w:t>
      </w:r>
      <w:r>
        <w:t>, Declaratory Ruling, Report and Order, and Order (2017) (</w:t>
      </w:r>
      <w:r w:rsidRPr="00EF746C">
        <w:rPr>
          <w:i/>
        </w:rPr>
        <w:t xml:space="preserve">Restoring </w:t>
      </w:r>
      <w:r>
        <w:rPr>
          <w:i/>
        </w:rPr>
        <w:t>Internet Freedom Order</w:t>
      </w:r>
      <w:r>
        <w:t xml:space="preserve">). </w:t>
      </w:r>
    </w:p>
  </w:footnote>
  <w:footnote w:id="2">
    <w:p w14:paraId="0F69637C" w14:textId="77777777" w:rsidR="007049EB" w:rsidRDefault="007049EB" w:rsidP="001F2AD5">
      <w:pPr>
        <w:pStyle w:val="FootnoteText"/>
      </w:pPr>
      <w:r>
        <w:rPr>
          <w:rStyle w:val="FootnoteReference"/>
        </w:rPr>
        <w:footnoteRef/>
      </w:r>
      <w:r>
        <w:t xml:space="preserve"> </w:t>
      </w:r>
      <w:r>
        <w:rPr>
          <w:i/>
        </w:rPr>
        <w:t>Protecting and Promoting the Open Internet</w:t>
      </w:r>
      <w:r>
        <w:t xml:space="preserve">, Report and Order on Remand, Declaratory Ruling, and Order, 31 FCC </w:t>
      </w:r>
      <w:proofErr w:type="spellStart"/>
      <w:r>
        <w:t>Rcd</w:t>
      </w:r>
      <w:proofErr w:type="spellEnd"/>
      <w:r>
        <w:t xml:space="preserve"> 1977 (2015) (</w:t>
      </w:r>
      <w:r>
        <w:rPr>
          <w:i/>
        </w:rPr>
        <w:t>Title II Order</w:t>
      </w:r>
      <w:r>
        <w:t>).</w:t>
      </w:r>
    </w:p>
  </w:footnote>
  <w:footnote w:id="3">
    <w:p w14:paraId="2A056799" w14:textId="621B8250" w:rsidR="007049EB" w:rsidRDefault="007049EB">
      <w:pPr>
        <w:pStyle w:val="FootnoteText"/>
      </w:pPr>
      <w:r>
        <w:rPr>
          <w:rStyle w:val="FootnoteReference"/>
        </w:rPr>
        <w:footnoteRef/>
      </w:r>
      <w:r>
        <w:t xml:space="preserve"> </w:t>
      </w:r>
      <w:r w:rsidRPr="00D2267F">
        <w:rPr>
          <w:i/>
        </w:rPr>
        <w:t>Preserving the Open Internet</w:t>
      </w:r>
      <w:r>
        <w:rPr>
          <w:i/>
        </w:rPr>
        <w:t>,</w:t>
      </w:r>
      <w:r w:rsidRPr="00D2267F">
        <w:rPr>
          <w:i/>
        </w:rPr>
        <w:t xml:space="preserve"> Broadband Industry Practices</w:t>
      </w:r>
      <w:r>
        <w:t>,</w:t>
      </w:r>
      <w:r w:rsidRPr="00D2267F">
        <w:rPr>
          <w:i/>
        </w:rPr>
        <w:t xml:space="preserve"> </w:t>
      </w:r>
      <w:r w:rsidRPr="00D33367">
        <w:t>Report and Order</w:t>
      </w:r>
      <w:r w:rsidRPr="00D2267F">
        <w:t>,</w:t>
      </w:r>
      <w:r>
        <w:t xml:space="preserve"> 25 FCC </w:t>
      </w:r>
      <w:proofErr w:type="spellStart"/>
      <w:r>
        <w:t>Rcd</w:t>
      </w:r>
      <w:proofErr w:type="spellEnd"/>
      <w:r>
        <w:t xml:space="preserve"> 17905 (2010) (</w:t>
      </w:r>
      <w:r>
        <w:rPr>
          <w:i/>
        </w:rPr>
        <w:t>Open Internet Order</w:t>
      </w:r>
      <w:r>
        <w:t>).</w:t>
      </w:r>
    </w:p>
  </w:footnote>
  <w:footnote w:id="4">
    <w:p w14:paraId="3CE14E0D" w14:textId="57796EBB" w:rsidR="007049EB" w:rsidRPr="00471B1D" w:rsidRDefault="007049EB" w:rsidP="00471B1D">
      <w:pPr>
        <w:pStyle w:val="FootnoteText"/>
      </w:pPr>
      <w:r w:rsidRPr="00471B1D">
        <w:rPr>
          <w:rStyle w:val="FootnoteReference"/>
        </w:rPr>
        <w:footnoteRef/>
      </w:r>
      <w:r w:rsidRPr="00471B1D">
        <w:t xml:space="preserve"> Prior to the </w:t>
      </w:r>
      <w:r w:rsidRPr="00471B1D">
        <w:rPr>
          <w:i/>
        </w:rPr>
        <w:t>Restor</w:t>
      </w:r>
      <w:r w:rsidRPr="004F6767">
        <w:rPr>
          <w:i/>
        </w:rPr>
        <w:t>ing I</w:t>
      </w:r>
      <w:r w:rsidRPr="00C33AFA">
        <w:rPr>
          <w:i/>
        </w:rPr>
        <w:t>nternet Freedom O</w:t>
      </w:r>
      <w:r w:rsidRPr="00EC6E5E">
        <w:rPr>
          <w:i/>
        </w:rPr>
        <w:t>r</w:t>
      </w:r>
      <w:r w:rsidRPr="00C33AFA">
        <w:rPr>
          <w:i/>
        </w:rPr>
        <w:t>der</w:t>
      </w:r>
      <w:r w:rsidRPr="00471B1D">
        <w:t xml:space="preserve">, the transparency rule was codified at 47 CFR </w:t>
      </w:r>
      <w:r w:rsidRPr="00EC6E5E">
        <w:t>§</w:t>
      </w:r>
      <w:r w:rsidR="00D43CC7">
        <w:t> </w:t>
      </w:r>
      <w:r w:rsidRPr="00EC6E5E">
        <w:t xml:space="preserve">8.3.  It </w:t>
      </w:r>
      <w:r w:rsidR="00D43CC7">
        <w:t xml:space="preserve">is </w:t>
      </w:r>
      <w:r>
        <w:t xml:space="preserve">now </w:t>
      </w:r>
      <w:r w:rsidRPr="00EC6E5E">
        <w:t xml:space="preserve">codified at </w:t>
      </w:r>
      <w:r w:rsidRPr="00471B1D">
        <w:t xml:space="preserve">47 CFR </w:t>
      </w:r>
      <w:r w:rsidRPr="00EC6E5E">
        <w:t>§</w:t>
      </w:r>
      <w:r w:rsidR="00D43CC7">
        <w:t> </w:t>
      </w:r>
      <w:r w:rsidRPr="00EC6E5E">
        <w:t>8.1.</w:t>
      </w:r>
    </w:p>
  </w:footnote>
  <w:footnote w:id="5">
    <w:p w14:paraId="52663B0A" w14:textId="3A6258AC" w:rsidR="00A42545" w:rsidRPr="00AC1161" w:rsidRDefault="00A42545">
      <w:pPr>
        <w:pStyle w:val="FootnoteText"/>
      </w:pPr>
      <w:r>
        <w:rPr>
          <w:rStyle w:val="FootnoteReference"/>
        </w:rPr>
        <w:footnoteRef/>
      </w:r>
      <w:r>
        <w:t xml:space="preserve"> The 2016 Advisory Guidance, released on delegated authority, provided examples of acceptable methodologies for disclosure of performance </w:t>
      </w:r>
      <w:proofErr w:type="gramStart"/>
      <w:r>
        <w:t>characteristics</w:t>
      </w:r>
      <w:proofErr w:type="gramEnd"/>
      <w:r>
        <w:t xml:space="preserve"> and offered guidance regarding compliance with the point of sale requirement.</w:t>
      </w:r>
      <w:r w:rsidR="00AC1161">
        <w:t xml:space="preserve">  </w:t>
      </w:r>
      <w:r w:rsidR="00AC1161">
        <w:rPr>
          <w:i/>
        </w:rPr>
        <w:t>Guidance on Open Internet Transparency Requirements</w:t>
      </w:r>
      <w:r w:rsidR="00AC1161">
        <w:t xml:space="preserve">, Public Notice, 31 FCC </w:t>
      </w:r>
      <w:proofErr w:type="spellStart"/>
      <w:r w:rsidR="00AC1161">
        <w:t>Rcd</w:t>
      </w:r>
      <w:proofErr w:type="spellEnd"/>
      <w:r w:rsidR="00AC1161">
        <w:t xml:space="preserve"> 5330 (2016).</w:t>
      </w:r>
    </w:p>
  </w:footnote>
  <w:footnote w:id="6">
    <w:p w14:paraId="6D972008" w14:textId="40B4AAA2" w:rsidR="007049EB" w:rsidRDefault="007049EB">
      <w:pPr>
        <w:pStyle w:val="FootnoteText"/>
      </w:pPr>
      <w:r>
        <w:rPr>
          <w:rStyle w:val="FootnoteReference"/>
        </w:rPr>
        <w:footnoteRef/>
      </w:r>
      <w:r>
        <w:t xml:space="preserve"> OMB PRA Guide at 42.</w:t>
      </w:r>
    </w:p>
  </w:footnote>
  <w:footnote w:id="7">
    <w:p w14:paraId="16C67286" w14:textId="7442B537" w:rsidR="007049EB" w:rsidRDefault="007049EB">
      <w:pPr>
        <w:pStyle w:val="FootnoteText"/>
      </w:pPr>
      <w:r>
        <w:rPr>
          <w:rStyle w:val="FootnoteReference"/>
        </w:rPr>
        <w:footnoteRef/>
      </w:r>
      <w:r>
        <w:t xml:space="preserve"> </w:t>
      </w:r>
      <w:r w:rsidRPr="00061369">
        <w:rPr>
          <w:i/>
        </w:rPr>
        <w:t>See</w:t>
      </w:r>
      <w:r>
        <w:t xml:space="preserve"> Internet Access Services Report, Figure 30, page 27 at: </w:t>
      </w:r>
      <w:r w:rsidR="008F1C08">
        <w:t xml:space="preserve"> </w:t>
      </w:r>
      <w:r w:rsidR="008F1C08" w:rsidRPr="008F1C08">
        <w:t>https://docs.fcc.gov/public/attachments/DOC-366980A1.pdf</w:t>
      </w:r>
      <w:hyperlink w:history="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865091" w14:textId="61DA5461" w:rsidR="007049EB" w:rsidRDefault="00B1797B" w:rsidP="00B1797B">
    <w:pPr>
      <w:ind w:left="7200"/>
      <w:rPr>
        <w:b/>
        <w:sz w:val="22"/>
        <w:szCs w:val="22"/>
      </w:rPr>
    </w:pPr>
    <w:r>
      <w:rPr>
        <w:b/>
        <w:sz w:val="22"/>
        <w:szCs w:val="22"/>
      </w:rPr>
      <w:t xml:space="preserve">   </w:t>
    </w:r>
    <w:r w:rsidR="007049EB" w:rsidRPr="00852C79">
      <w:rPr>
        <w:b/>
        <w:sz w:val="22"/>
        <w:szCs w:val="22"/>
      </w:rPr>
      <w:t>3060-</w:t>
    </w:r>
    <w:r w:rsidR="007049EB">
      <w:rPr>
        <w:b/>
        <w:sz w:val="22"/>
        <w:szCs w:val="22"/>
      </w:rPr>
      <w:t>1158</w:t>
    </w:r>
    <w:r>
      <w:rPr>
        <w:b/>
        <w:sz w:val="22"/>
        <w:szCs w:val="22"/>
      </w:rPr>
      <w:t xml:space="preserve"> </w:t>
    </w:r>
  </w:p>
  <w:p w14:paraId="0FE3EF53" w14:textId="64EC6E21" w:rsidR="00B914B6" w:rsidRPr="00C152E8" w:rsidRDefault="00B914B6" w:rsidP="00B914B6">
    <w:pPr>
      <w:ind w:left="6480"/>
      <w:rPr>
        <w:b/>
        <w:sz w:val="22"/>
        <w:szCs w:val="22"/>
      </w:rPr>
    </w:pPr>
    <w:r>
      <w:rPr>
        <w:b/>
        <w:sz w:val="22"/>
        <w:szCs w:val="22"/>
      </w:rPr>
      <w:t xml:space="preserve">        February 2021</w:t>
    </w:r>
  </w:p>
  <w:p w14:paraId="26CDC410" w14:textId="77777777" w:rsidR="007049EB" w:rsidRPr="00C152E8" w:rsidRDefault="007049EB" w:rsidP="00DE09BA">
    <w:pPr>
      <w:rPr>
        <w:sz w:val="22"/>
        <w:szCs w:val="22"/>
      </w:rPr>
    </w:pPr>
  </w:p>
  <w:p w14:paraId="3EE764D1" w14:textId="7986E72A" w:rsidR="007049EB" w:rsidRPr="00C152E8" w:rsidRDefault="007049EB" w:rsidP="00DE09BA">
    <w:pPr>
      <w:rPr>
        <w:sz w:val="22"/>
        <w:szCs w:val="22"/>
      </w:rPr>
    </w:pPr>
    <w:r>
      <w:rPr>
        <w:sz w:val="22"/>
        <w:szCs w:val="22"/>
      </w:rPr>
      <w:t xml:space="preserve">Transparency Rule Disclosures, Restoring Internet Freedom, Report and Order, WC Docket No. 17-108 </w:t>
    </w:r>
  </w:p>
  <w:p w14:paraId="4E1378F2" w14:textId="77777777" w:rsidR="007049EB" w:rsidRDefault="007049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21DE3"/>
    <w:multiLevelType w:val="hybridMultilevel"/>
    <w:tmpl w:val="82347B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308244B"/>
    <w:multiLevelType w:val="hybridMultilevel"/>
    <w:tmpl w:val="478E6E88"/>
    <w:lvl w:ilvl="0" w:tplc="B1AA75EC">
      <w:start w:val="1"/>
      <w:numFmt w:val="bullet"/>
      <w:lvlText w:val="o"/>
      <w:lvlJc w:val="left"/>
      <w:pPr>
        <w:ind w:left="1440" w:hanging="360"/>
      </w:pPr>
      <w:rPr>
        <w:rFonts w:ascii="Courier New" w:hAnsi="Courier New" w:hint="default"/>
        <w:b w:val="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FBA10DA"/>
    <w:multiLevelType w:val="hybridMultilevel"/>
    <w:tmpl w:val="6EB0F14E"/>
    <w:lvl w:ilvl="0" w:tplc="D4C8843E">
      <w:start w:val="1"/>
      <w:numFmt w:val="bullet"/>
      <w:lvlText w:val=""/>
      <w:lvlJc w:val="left"/>
      <w:pPr>
        <w:ind w:left="1800" w:hanging="360"/>
      </w:pPr>
      <w:rPr>
        <w:rFonts w:ascii="Symbol" w:hAnsi="Symbol" w:hint="default"/>
      </w:rPr>
    </w:lvl>
    <w:lvl w:ilvl="1" w:tplc="DD78D0DA" w:tentative="1">
      <w:start w:val="1"/>
      <w:numFmt w:val="bullet"/>
      <w:lvlText w:val="o"/>
      <w:lvlJc w:val="left"/>
      <w:pPr>
        <w:ind w:left="2520" w:hanging="360"/>
      </w:pPr>
      <w:rPr>
        <w:rFonts w:ascii="Courier New" w:hAnsi="Courier New" w:cs="Courier New" w:hint="default"/>
      </w:rPr>
    </w:lvl>
    <w:lvl w:ilvl="2" w:tplc="DFF4444A" w:tentative="1">
      <w:start w:val="1"/>
      <w:numFmt w:val="bullet"/>
      <w:lvlText w:val=""/>
      <w:lvlJc w:val="left"/>
      <w:pPr>
        <w:ind w:left="3240" w:hanging="360"/>
      </w:pPr>
      <w:rPr>
        <w:rFonts w:ascii="Wingdings" w:hAnsi="Wingdings" w:hint="default"/>
      </w:rPr>
    </w:lvl>
    <w:lvl w:ilvl="3" w:tplc="56043C8A" w:tentative="1">
      <w:start w:val="1"/>
      <w:numFmt w:val="bullet"/>
      <w:lvlText w:val=""/>
      <w:lvlJc w:val="left"/>
      <w:pPr>
        <w:ind w:left="3960" w:hanging="360"/>
      </w:pPr>
      <w:rPr>
        <w:rFonts w:ascii="Symbol" w:hAnsi="Symbol" w:hint="default"/>
      </w:rPr>
    </w:lvl>
    <w:lvl w:ilvl="4" w:tplc="EF5A06D8" w:tentative="1">
      <w:start w:val="1"/>
      <w:numFmt w:val="bullet"/>
      <w:lvlText w:val="o"/>
      <w:lvlJc w:val="left"/>
      <w:pPr>
        <w:ind w:left="4680" w:hanging="360"/>
      </w:pPr>
      <w:rPr>
        <w:rFonts w:ascii="Courier New" w:hAnsi="Courier New" w:cs="Courier New" w:hint="default"/>
      </w:rPr>
    </w:lvl>
    <w:lvl w:ilvl="5" w:tplc="CD96AFCA" w:tentative="1">
      <w:start w:val="1"/>
      <w:numFmt w:val="bullet"/>
      <w:lvlText w:val=""/>
      <w:lvlJc w:val="left"/>
      <w:pPr>
        <w:ind w:left="5400" w:hanging="360"/>
      </w:pPr>
      <w:rPr>
        <w:rFonts w:ascii="Wingdings" w:hAnsi="Wingdings" w:hint="default"/>
      </w:rPr>
    </w:lvl>
    <w:lvl w:ilvl="6" w:tplc="7D00DEC8" w:tentative="1">
      <w:start w:val="1"/>
      <w:numFmt w:val="bullet"/>
      <w:lvlText w:val=""/>
      <w:lvlJc w:val="left"/>
      <w:pPr>
        <w:ind w:left="6120" w:hanging="360"/>
      </w:pPr>
      <w:rPr>
        <w:rFonts w:ascii="Symbol" w:hAnsi="Symbol" w:hint="default"/>
      </w:rPr>
    </w:lvl>
    <w:lvl w:ilvl="7" w:tplc="47E0AA48" w:tentative="1">
      <w:start w:val="1"/>
      <w:numFmt w:val="bullet"/>
      <w:lvlText w:val="o"/>
      <w:lvlJc w:val="left"/>
      <w:pPr>
        <w:ind w:left="6840" w:hanging="360"/>
      </w:pPr>
      <w:rPr>
        <w:rFonts w:ascii="Courier New" w:hAnsi="Courier New" w:cs="Courier New" w:hint="default"/>
      </w:rPr>
    </w:lvl>
    <w:lvl w:ilvl="8" w:tplc="38240E48" w:tentative="1">
      <w:start w:val="1"/>
      <w:numFmt w:val="bullet"/>
      <w:lvlText w:val=""/>
      <w:lvlJc w:val="left"/>
      <w:pPr>
        <w:ind w:left="7560" w:hanging="360"/>
      </w:pPr>
      <w:rPr>
        <w:rFonts w:ascii="Wingdings" w:hAnsi="Wingdings" w:hint="default"/>
      </w:rPr>
    </w:lvl>
  </w:abstractNum>
  <w:abstractNum w:abstractNumId="3" w15:restartNumberingAfterBreak="0">
    <w:nsid w:val="45B03329"/>
    <w:multiLevelType w:val="hybridMultilevel"/>
    <w:tmpl w:val="DD2A1A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7C21F99"/>
    <w:multiLevelType w:val="hybridMultilevel"/>
    <w:tmpl w:val="C13492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1182925"/>
    <w:multiLevelType w:val="singleLevel"/>
    <w:tmpl w:val="A9EE9842"/>
    <w:lvl w:ilvl="0">
      <w:start w:val="1"/>
      <w:numFmt w:val="decimal"/>
      <w:pStyle w:val="ParaNum"/>
      <w:lvlText w:val="%1."/>
      <w:lvlJc w:val="left"/>
      <w:pPr>
        <w:tabs>
          <w:tab w:val="num" w:pos="1080"/>
        </w:tabs>
        <w:ind w:left="0" w:firstLine="720"/>
      </w:pPr>
    </w:lvl>
  </w:abstractNum>
  <w:num w:numId="1">
    <w:abstractNumId w:val="0"/>
  </w:num>
  <w:num w:numId="2">
    <w:abstractNumId w:val="3"/>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7E3"/>
    <w:rsid w:val="00006ABE"/>
    <w:rsid w:val="00012583"/>
    <w:rsid w:val="000152D3"/>
    <w:rsid w:val="00027AA6"/>
    <w:rsid w:val="00033485"/>
    <w:rsid w:val="000377C5"/>
    <w:rsid w:val="0005055A"/>
    <w:rsid w:val="00065F45"/>
    <w:rsid w:val="00076845"/>
    <w:rsid w:val="00080C35"/>
    <w:rsid w:val="00084043"/>
    <w:rsid w:val="00084FF0"/>
    <w:rsid w:val="00091C5F"/>
    <w:rsid w:val="00095DCB"/>
    <w:rsid w:val="000A0757"/>
    <w:rsid w:val="000D461D"/>
    <w:rsid w:val="000E22A5"/>
    <w:rsid w:val="00110219"/>
    <w:rsid w:val="00117D37"/>
    <w:rsid w:val="00121BB7"/>
    <w:rsid w:val="00131F45"/>
    <w:rsid w:val="00152AB5"/>
    <w:rsid w:val="00170867"/>
    <w:rsid w:val="0017140C"/>
    <w:rsid w:val="00173E0A"/>
    <w:rsid w:val="00181CE0"/>
    <w:rsid w:val="00186E1D"/>
    <w:rsid w:val="001A171C"/>
    <w:rsid w:val="001A380E"/>
    <w:rsid w:val="001A3DF3"/>
    <w:rsid w:val="001A7682"/>
    <w:rsid w:val="001B07F1"/>
    <w:rsid w:val="001C296E"/>
    <w:rsid w:val="001D6E8C"/>
    <w:rsid w:val="001F1F8A"/>
    <w:rsid w:val="001F2AD5"/>
    <w:rsid w:val="001F52C7"/>
    <w:rsid w:val="00200CD1"/>
    <w:rsid w:val="00202495"/>
    <w:rsid w:val="0020611E"/>
    <w:rsid w:val="002262DC"/>
    <w:rsid w:val="00231404"/>
    <w:rsid w:val="00237BD2"/>
    <w:rsid w:val="00255DF6"/>
    <w:rsid w:val="00280943"/>
    <w:rsid w:val="0028422F"/>
    <w:rsid w:val="002A52F0"/>
    <w:rsid w:val="002B4848"/>
    <w:rsid w:val="002B6115"/>
    <w:rsid w:val="002D5DF4"/>
    <w:rsid w:val="00306393"/>
    <w:rsid w:val="00314A1F"/>
    <w:rsid w:val="00324193"/>
    <w:rsid w:val="003259BD"/>
    <w:rsid w:val="00325F88"/>
    <w:rsid w:val="00343C64"/>
    <w:rsid w:val="00346AE2"/>
    <w:rsid w:val="003511DB"/>
    <w:rsid w:val="00357519"/>
    <w:rsid w:val="00364B89"/>
    <w:rsid w:val="003769CD"/>
    <w:rsid w:val="003B5B1E"/>
    <w:rsid w:val="003B7109"/>
    <w:rsid w:val="003D50B7"/>
    <w:rsid w:val="00417276"/>
    <w:rsid w:val="00430887"/>
    <w:rsid w:val="00434F2D"/>
    <w:rsid w:val="004433FB"/>
    <w:rsid w:val="00450403"/>
    <w:rsid w:val="00456A69"/>
    <w:rsid w:val="0046167D"/>
    <w:rsid w:val="00466FFE"/>
    <w:rsid w:val="00471B1D"/>
    <w:rsid w:val="004A0105"/>
    <w:rsid w:val="004A5944"/>
    <w:rsid w:val="004C1432"/>
    <w:rsid w:val="004C6E51"/>
    <w:rsid w:val="004D1A56"/>
    <w:rsid w:val="004E2785"/>
    <w:rsid w:val="004F6767"/>
    <w:rsid w:val="00503DF2"/>
    <w:rsid w:val="00511074"/>
    <w:rsid w:val="00516502"/>
    <w:rsid w:val="00525F8B"/>
    <w:rsid w:val="005450E6"/>
    <w:rsid w:val="005727B8"/>
    <w:rsid w:val="00575E33"/>
    <w:rsid w:val="00576DFC"/>
    <w:rsid w:val="00604B9D"/>
    <w:rsid w:val="0061605F"/>
    <w:rsid w:val="006205E6"/>
    <w:rsid w:val="00634A24"/>
    <w:rsid w:val="006568CD"/>
    <w:rsid w:val="006878B4"/>
    <w:rsid w:val="006967C8"/>
    <w:rsid w:val="006C5BD0"/>
    <w:rsid w:val="006F4AB1"/>
    <w:rsid w:val="007049EB"/>
    <w:rsid w:val="00707FB0"/>
    <w:rsid w:val="007226EC"/>
    <w:rsid w:val="0079069C"/>
    <w:rsid w:val="00790948"/>
    <w:rsid w:val="007A16EF"/>
    <w:rsid w:val="007A47E3"/>
    <w:rsid w:val="007B02F7"/>
    <w:rsid w:val="007B2E69"/>
    <w:rsid w:val="007B457D"/>
    <w:rsid w:val="007E6884"/>
    <w:rsid w:val="007F1CF3"/>
    <w:rsid w:val="00850972"/>
    <w:rsid w:val="00856C80"/>
    <w:rsid w:val="00856D19"/>
    <w:rsid w:val="00866240"/>
    <w:rsid w:val="008671F6"/>
    <w:rsid w:val="00877213"/>
    <w:rsid w:val="0088073C"/>
    <w:rsid w:val="008F1C08"/>
    <w:rsid w:val="00901F49"/>
    <w:rsid w:val="009160B0"/>
    <w:rsid w:val="00920881"/>
    <w:rsid w:val="00943A35"/>
    <w:rsid w:val="00956C72"/>
    <w:rsid w:val="00986117"/>
    <w:rsid w:val="009A501D"/>
    <w:rsid w:val="009A7A51"/>
    <w:rsid w:val="009D2E67"/>
    <w:rsid w:val="009E4C67"/>
    <w:rsid w:val="009E60FA"/>
    <w:rsid w:val="00A1332C"/>
    <w:rsid w:val="00A42545"/>
    <w:rsid w:val="00A64082"/>
    <w:rsid w:val="00A64B06"/>
    <w:rsid w:val="00A725DA"/>
    <w:rsid w:val="00A83088"/>
    <w:rsid w:val="00A87C8B"/>
    <w:rsid w:val="00A90E1C"/>
    <w:rsid w:val="00AB618A"/>
    <w:rsid w:val="00AC1161"/>
    <w:rsid w:val="00AC4BA9"/>
    <w:rsid w:val="00AD3DB2"/>
    <w:rsid w:val="00AD6942"/>
    <w:rsid w:val="00B15508"/>
    <w:rsid w:val="00B1720F"/>
    <w:rsid w:val="00B1797B"/>
    <w:rsid w:val="00B221E2"/>
    <w:rsid w:val="00B23A3B"/>
    <w:rsid w:val="00B25F11"/>
    <w:rsid w:val="00B40636"/>
    <w:rsid w:val="00B80EB0"/>
    <w:rsid w:val="00B914B6"/>
    <w:rsid w:val="00B924C5"/>
    <w:rsid w:val="00BB0C62"/>
    <w:rsid w:val="00BF0948"/>
    <w:rsid w:val="00C06EBE"/>
    <w:rsid w:val="00C1181E"/>
    <w:rsid w:val="00C231F6"/>
    <w:rsid w:val="00C31FBF"/>
    <w:rsid w:val="00C33AFA"/>
    <w:rsid w:val="00C52DEB"/>
    <w:rsid w:val="00C544C8"/>
    <w:rsid w:val="00C74227"/>
    <w:rsid w:val="00C97B1B"/>
    <w:rsid w:val="00CA218C"/>
    <w:rsid w:val="00CE641B"/>
    <w:rsid w:val="00CF3612"/>
    <w:rsid w:val="00D32BEF"/>
    <w:rsid w:val="00D34CC3"/>
    <w:rsid w:val="00D43CC7"/>
    <w:rsid w:val="00D56CF0"/>
    <w:rsid w:val="00D604BB"/>
    <w:rsid w:val="00D641D3"/>
    <w:rsid w:val="00D739D4"/>
    <w:rsid w:val="00D93F60"/>
    <w:rsid w:val="00DA1219"/>
    <w:rsid w:val="00DA438F"/>
    <w:rsid w:val="00DC0D9C"/>
    <w:rsid w:val="00DE0472"/>
    <w:rsid w:val="00DE09BA"/>
    <w:rsid w:val="00DE6377"/>
    <w:rsid w:val="00DF5D44"/>
    <w:rsid w:val="00E00835"/>
    <w:rsid w:val="00E0226C"/>
    <w:rsid w:val="00E06DAB"/>
    <w:rsid w:val="00E201A0"/>
    <w:rsid w:val="00E4152C"/>
    <w:rsid w:val="00E42DA3"/>
    <w:rsid w:val="00E5353D"/>
    <w:rsid w:val="00E56D14"/>
    <w:rsid w:val="00E61BCA"/>
    <w:rsid w:val="00E65023"/>
    <w:rsid w:val="00E7154B"/>
    <w:rsid w:val="00E86713"/>
    <w:rsid w:val="00E90E76"/>
    <w:rsid w:val="00EC0AC1"/>
    <w:rsid w:val="00EC6E5E"/>
    <w:rsid w:val="00ED7496"/>
    <w:rsid w:val="00EE012F"/>
    <w:rsid w:val="00EF1B7D"/>
    <w:rsid w:val="00EF746C"/>
    <w:rsid w:val="00F03F75"/>
    <w:rsid w:val="00F05985"/>
    <w:rsid w:val="00F1611E"/>
    <w:rsid w:val="00F176AD"/>
    <w:rsid w:val="00F27265"/>
    <w:rsid w:val="00F32CBB"/>
    <w:rsid w:val="00F441FC"/>
    <w:rsid w:val="00F45BCD"/>
    <w:rsid w:val="00F52E4D"/>
    <w:rsid w:val="00F740EF"/>
    <w:rsid w:val="00F8461C"/>
    <w:rsid w:val="00F8676D"/>
    <w:rsid w:val="00FA08D7"/>
    <w:rsid w:val="00FE2B79"/>
    <w:rsid w:val="00FE2B9C"/>
    <w:rsid w:val="00FE34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D7831D"/>
  <w15:docId w15:val="{417074A6-6A13-4C44-B8F7-8B300AD07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7E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A47E3"/>
    <w:pPr>
      <w:tabs>
        <w:tab w:val="center" w:pos="4320"/>
        <w:tab w:val="right" w:pos="8640"/>
      </w:tabs>
    </w:pPr>
  </w:style>
  <w:style w:type="character" w:customStyle="1" w:styleId="HeaderChar">
    <w:name w:val="Header Char"/>
    <w:basedOn w:val="DefaultParagraphFont"/>
    <w:link w:val="Header"/>
    <w:rsid w:val="007A47E3"/>
    <w:rPr>
      <w:rFonts w:ascii="Times New Roman" w:eastAsia="Times New Roman" w:hAnsi="Times New Roman" w:cs="Times New Roman"/>
      <w:sz w:val="24"/>
      <w:szCs w:val="24"/>
    </w:rPr>
  </w:style>
  <w:style w:type="paragraph" w:styleId="Footer">
    <w:name w:val="footer"/>
    <w:basedOn w:val="Normal"/>
    <w:link w:val="FooterChar"/>
    <w:rsid w:val="007A47E3"/>
    <w:pPr>
      <w:tabs>
        <w:tab w:val="center" w:pos="4320"/>
        <w:tab w:val="right" w:pos="8640"/>
      </w:tabs>
    </w:pPr>
  </w:style>
  <w:style w:type="character" w:customStyle="1" w:styleId="FooterChar">
    <w:name w:val="Footer Char"/>
    <w:basedOn w:val="DefaultParagraphFont"/>
    <w:link w:val="Footer"/>
    <w:rsid w:val="007A47E3"/>
    <w:rPr>
      <w:rFonts w:ascii="Times New Roman" w:eastAsia="Times New Roman" w:hAnsi="Times New Roman" w:cs="Times New Roman"/>
      <w:sz w:val="24"/>
      <w:szCs w:val="24"/>
    </w:rPr>
  </w:style>
  <w:style w:type="paragraph" w:styleId="FootnoteText">
    <w:name w:val="footnote text"/>
    <w:aliases w:val="ALTS FOOTNOTE,fn,Footnote Text Char1,Footnote Text Char Char,ALTS FOOTNOTE Char Char,fn Char Char,Footnote Text Char1 Char Char,Footnote Text Char Char Char Char,ALTS FOOTNOTE Char Char Char Char,fn Char Char Char Char,fn Char1,fn Char,f"/>
    <w:basedOn w:val="Normal"/>
    <w:link w:val="FootnoteTextChar"/>
    <w:rsid w:val="007A47E3"/>
    <w:rPr>
      <w:sz w:val="20"/>
      <w:szCs w:val="20"/>
    </w:rPr>
  </w:style>
  <w:style w:type="character" w:customStyle="1" w:styleId="FootnoteTextChar">
    <w:name w:val="Footnote Text Char"/>
    <w:aliases w:val="ALTS FOOTNOTE Char,fn Char2,Footnote Text Char1 Char,Footnote Text Char Char Char,ALTS FOOTNOTE Char Char Char,fn Char Char Char,Footnote Text Char1 Char Char Char,Footnote Text Char Char Char Char Char,fn Char Char Char Char Char"/>
    <w:basedOn w:val="DefaultParagraphFont"/>
    <w:link w:val="FootnoteText"/>
    <w:rsid w:val="007A47E3"/>
    <w:rPr>
      <w:rFonts w:ascii="Times New Roman" w:eastAsia="Times New Roman" w:hAnsi="Times New Roman" w:cs="Times New Roman"/>
      <w:sz w:val="20"/>
      <w:szCs w:val="20"/>
    </w:rPr>
  </w:style>
  <w:style w:type="character" w:styleId="FootnoteReference">
    <w:name w:val="footnote reference"/>
    <w:aliases w:val="Style 12,(NECG) Footnote Reference,Style 13,Appel note de bas de p,Style 124,fr,o,Style 3,FR,Style 6,Style 17,Footnote Reference/,-E Funotenzeichen,A,Footnote Reference1,Style 20,Style 34,Style 4,Style 7,Style 9,callout"/>
    <w:rsid w:val="007A47E3"/>
    <w:rPr>
      <w:vertAlign w:val="superscript"/>
    </w:rPr>
  </w:style>
  <w:style w:type="character" w:styleId="Hyperlink">
    <w:name w:val="Hyperlink"/>
    <w:rsid w:val="007A47E3"/>
    <w:rPr>
      <w:color w:val="0000FF"/>
      <w:u w:val="single"/>
    </w:rPr>
  </w:style>
  <w:style w:type="paragraph" w:styleId="BalloonText">
    <w:name w:val="Balloon Text"/>
    <w:basedOn w:val="Normal"/>
    <w:link w:val="BalloonTextChar"/>
    <w:uiPriority w:val="99"/>
    <w:semiHidden/>
    <w:unhideWhenUsed/>
    <w:rsid w:val="00A133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32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C0AC1"/>
    <w:rPr>
      <w:sz w:val="16"/>
      <w:szCs w:val="16"/>
    </w:rPr>
  </w:style>
  <w:style w:type="paragraph" w:styleId="CommentText">
    <w:name w:val="annotation text"/>
    <w:basedOn w:val="Normal"/>
    <w:link w:val="CommentTextChar"/>
    <w:uiPriority w:val="99"/>
    <w:semiHidden/>
    <w:unhideWhenUsed/>
    <w:rsid w:val="00EC0AC1"/>
    <w:rPr>
      <w:sz w:val="20"/>
      <w:szCs w:val="20"/>
    </w:rPr>
  </w:style>
  <w:style w:type="character" w:customStyle="1" w:styleId="CommentTextChar">
    <w:name w:val="Comment Text Char"/>
    <w:basedOn w:val="DefaultParagraphFont"/>
    <w:link w:val="CommentText"/>
    <w:uiPriority w:val="99"/>
    <w:semiHidden/>
    <w:rsid w:val="00EC0AC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C0AC1"/>
    <w:rPr>
      <w:b/>
      <w:bCs/>
    </w:rPr>
  </w:style>
  <w:style w:type="character" w:customStyle="1" w:styleId="CommentSubjectChar">
    <w:name w:val="Comment Subject Char"/>
    <w:basedOn w:val="CommentTextChar"/>
    <w:link w:val="CommentSubject"/>
    <w:uiPriority w:val="99"/>
    <w:semiHidden/>
    <w:rsid w:val="00EC0AC1"/>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9A501D"/>
    <w:rPr>
      <w:color w:val="954F72" w:themeColor="followedHyperlink"/>
      <w:u w:val="single"/>
    </w:rPr>
  </w:style>
  <w:style w:type="character" w:customStyle="1" w:styleId="UnresolvedMention1">
    <w:name w:val="Unresolved Mention1"/>
    <w:basedOn w:val="DefaultParagraphFont"/>
    <w:uiPriority w:val="99"/>
    <w:semiHidden/>
    <w:unhideWhenUsed/>
    <w:rsid w:val="009A501D"/>
    <w:rPr>
      <w:color w:val="808080"/>
      <w:shd w:val="clear" w:color="auto" w:fill="E6E6E6"/>
    </w:rPr>
  </w:style>
  <w:style w:type="paragraph" w:styleId="ListParagraph">
    <w:name w:val="List Paragraph"/>
    <w:basedOn w:val="Normal"/>
    <w:uiPriority w:val="34"/>
    <w:qFormat/>
    <w:rsid w:val="00255DF6"/>
    <w:pPr>
      <w:ind w:left="720"/>
      <w:contextualSpacing/>
    </w:pPr>
  </w:style>
  <w:style w:type="paragraph" w:styleId="Revision">
    <w:name w:val="Revision"/>
    <w:hidden/>
    <w:uiPriority w:val="99"/>
    <w:semiHidden/>
    <w:rsid w:val="00DE0472"/>
    <w:pPr>
      <w:spacing w:after="0" w:line="240" w:lineRule="auto"/>
    </w:pPr>
    <w:rPr>
      <w:rFonts w:ascii="Times New Roman" w:eastAsia="Times New Roman" w:hAnsi="Times New Roman" w:cs="Times New Roman"/>
      <w:sz w:val="24"/>
      <w:szCs w:val="24"/>
    </w:rPr>
  </w:style>
  <w:style w:type="paragraph" w:customStyle="1" w:styleId="ParaNum">
    <w:name w:val="ParaNum"/>
    <w:basedOn w:val="Normal"/>
    <w:link w:val="ParaNumChar"/>
    <w:rsid w:val="0079069C"/>
    <w:pPr>
      <w:widowControl w:val="0"/>
      <w:numPr>
        <w:numId w:val="5"/>
      </w:numPr>
      <w:tabs>
        <w:tab w:val="clear" w:pos="1080"/>
        <w:tab w:val="num" w:pos="1440"/>
      </w:tabs>
      <w:spacing w:after="120"/>
    </w:pPr>
    <w:rPr>
      <w:snapToGrid w:val="0"/>
      <w:kern w:val="28"/>
      <w:sz w:val="22"/>
      <w:szCs w:val="20"/>
    </w:rPr>
  </w:style>
  <w:style w:type="character" w:customStyle="1" w:styleId="ParaNumChar">
    <w:name w:val="ParaNum Char"/>
    <w:link w:val="ParaNum"/>
    <w:rsid w:val="0079069C"/>
    <w:rPr>
      <w:rFonts w:ascii="Times New Roman" w:eastAsia="Times New Roman" w:hAnsi="Times New Roman" w:cs="Times New Roman"/>
      <w:snapToGrid w:val="0"/>
      <w:kern w:val="28"/>
      <w:szCs w:val="20"/>
    </w:rPr>
  </w:style>
  <w:style w:type="character" w:styleId="UnresolvedMention">
    <w:name w:val="Unresolved Mention"/>
    <w:basedOn w:val="DefaultParagraphFont"/>
    <w:uiPriority w:val="99"/>
    <w:semiHidden/>
    <w:unhideWhenUsed/>
    <w:rsid w:val="008F1C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034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9501C-6643-4D06-9E0F-19167E031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2646</Words>
  <Characters>15085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Krutov</dc:creator>
  <cp:keywords/>
  <dc:description/>
  <cp:lastModifiedBy>Nicole Ongele</cp:lastModifiedBy>
  <cp:revision>2</cp:revision>
  <cp:lastPrinted>2018-03-08T14:45:00Z</cp:lastPrinted>
  <dcterms:created xsi:type="dcterms:W3CDTF">2021-02-04T17:53:00Z</dcterms:created>
  <dcterms:modified xsi:type="dcterms:W3CDTF">2021-02-04T17:53:00Z</dcterms:modified>
</cp:coreProperties>
</file>