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43153" w:rsidR="00927719" w:rsidRDefault="002C031D" w14:paraId="70F9B792" w14:textId="77777777">
      <w:pPr>
        <w:widowControl/>
        <w:tabs>
          <w:tab w:val="center" w:pos="4680"/>
        </w:tabs>
        <w:jc w:val="center"/>
        <w:rPr>
          <w:rFonts w:ascii="Times New Roman" w:hAnsi="Times New Roman"/>
          <w:color w:val="000000"/>
        </w:rPr>
      </w:pPr>
      <w:bookmarkStart w:name="_GoBack" w:id="0"/>
      <w:bookmarkEnd w:id="0"/>
      <w:r w:rsidRPr="00243153">
        <w:rPr>
          <w:rFonts w:ascii="Times New Roman" w:hAnsi="Times New Roman"/>
          <w:color w:val="000000"/>
        </w:rPr>
        <w:t>SUPPORTING STATEMENT</w:t>
      </w:r>
    </w:p>
    <w:p w:rsidRPr="00243153" w:rsidR="00927719" w:rsidRDefault="00562AA0" w14:paraId="370447F0" w14:textId="77777777">
      <w:pPr>
        <w:widowControl/>
        <w:tabs>
          <w:tab w:val="center" w:pos="4680"/>
        </w:tabs>
        <w:jc w:val="center"/>
        <w:rPr>
          <w:rFonts w:ascii="Times New Roman" w:hAnsi="Times New Roman"/>
          <w:color w:val="000000"/>
        </w:rPr>
      </w:pPr>
      <w:r w:rsidRPr="00243153">
        <w:rPr>
          <w:rFonts w:ascii="Times New Roman" w:hAnsi="Times New Roman"/>
          <w:color w:val="000000"/>
        </w:rPr>
        <w:t>Small Business Lending Survey</w:t>
      </w:r>
    </w:p>
    <w:p w:rsidRPr="00243153" w:rsidR="00927719" w:rsidRDefault="002C031D" w14:paraId="3A488B3E" w14:textId="3290A041">
      <w:pPr>
        <w:widowControl/>
        <w:tabs>
          <w:tab w:val="center" w:pos="4680"/>
        </w:tabs>
        <w:jc w:val="center"/>
        <w:rPr>
          <w:rFonts w:ascii="Times New Roman" w:hAnsi="Times New Roman"/>
          <w:color w:val="000000"/>
        </w:rPr>
      </w:pPr>
      <w:r w:rsidRPr="00243153">
        <w:rPr>
          <w:rFonts w:ascii="Times New Roman" w:hAnsi="Times New Roman"/>
          <w:color w:val="000000"/>
        </w:rPr>
        <w:t>3064-</w:t>
      </w:r>
      <w:r w:rsidR="00D60991">
        <w:rPr>
          <w:rFonts w:ascii="Times New Roman" w:hAnsi="Times New Roman"/>
          <w:color w:val="000000"/>
        </w:rPr>
        <w:t>0203</w:t>
      </w:r>
    </w:p>
    <w:p w:rsidRPr="00243153" w:rsidR="00927719" w:rsidRDefault="00927719" w14:paraId="0C12A730" w14:textId="77777777">
      <w:pPr>
        <w:widowControl/>
        <w:rPr>
          <w:rFonts w:ascii="Times New Roman" w:hAnsi="Times New Roman"/>
          <w:color w:val="000000"/>
        </w:rPr>
      </w:pPr>
    </w:p>
    <w:p w:rsidR="001B7643" w:rsidP="00243153" w:rsidRDefault="002C031D" w14:paraId="0A4C1ECD" w14:textId="39FF967C">
      <w:pPr>
        <w:rPr>
          <w:rFonts w:ascii="Times New Roman" w:hAnsi="Times New Roman"/>
          <w:color w:val="000000"/>
        </w:rPr>
      </w:pPr>
      <w:r w:rsidRPr="00243153">
        <w:rPr>
          <w:rFonts w:ascii="Times New Roman" w:hAnsi="Times New Roman"/>
          <w:color w:val="000000"/>
        </w:rPr>
        <w:t xml:space="preserve">The Federal Deposit Insurance Corporation (FDIC) is requesting approval from the Office of Management and Budget (OMB) </w:t>
      </w:r>
      <w:r w:rsidRPr="00243153" w:rsidR="00562AA0">
        <w:rPr>
          <w:rFonts w:ascii="Times New Roman" w:hAnsi="Times New Roman"/>
          <w:color w:val="000000"/>
        </w:rPr>
        <w:t xml:space="preserve">for </w:t>
      </w:r>
      <w:r w:rsidR="00D60991">
        <w:rPr>
          <w:rFonts w:ascii="Times New Roman" w:hAnsi="Times New Roman"/>
          <w:color w:val="000000"/>
        </w:rPr>
        <w:t>the reinstatement of a previously</w:t>
      </w:r>
      <w:r w:rsidR="00524B27">
        <w:rPr>
          <w:rFonts w:ascii="Times New Roman" w:hAnsi="Times New Roman"/>
          <w:color w:val="000000"/>
        </w:rPr>
        <w:t xml:space="preserve"> </w:t>
      </w:r>
      <w:r w:rsidR="00D60991">
        <w:rPr>
          <w:rFonts w:ascii="Times New Roman" w:hAnsi="Times New Roman"/>
          <w:color w:val="000000"/>
        </w:rPr>
        <w:t>approved and subsequently discontinued information</w:t>
      </w:r>
      <w:r w:rsidRPr="00243153" w:rsidR="00562AA0">
        <w:rPr>
          <w:rFonts w:ascii="Times New Roman" w:hAnsi="Times New Roman"/>
          <w:color w:val="000000"/>
        </w:rPr>
        <w:t xml:space="preserve"> collection</w:t>
      </w:r>
      <w:r w:rsidR="00767977">
        <w:rPr>
          <w:rFonts w:ascii="Times New Roman" w:hAnsi="Times New Roman"/>
          <w:color w:val="000000"/>
        </w:rPr>
        <w:t xml:space="preserve"> </w:t>
      </w:r>
      <w:r w:rsidR="00D60991">
        <w:rPr>
          <w:rFonts w:ascii="Times New Roman" w:hAnsi="Times New Roman"/>
          <w:color w:val="000000"/>
        </w:rPr>
        <w:t>related to</w:t>
      </w:r>
      <w:r w:rsidRPr="00243153" w:rsidR="00D60991">
        <w:rPr>
          <w:rFonts w:ascii="Times New Roman" w:hAnsi="Times New Roman"/>
          <w:color w:val="000000"/>
        </w:rPr>
        <w:t xml:space="preserve"> </w:t>
      </w:r>
      <w:r w:rsidRPr="00243153" w:rsidR="00562AA0">
        <w:rPr>
          <w:rFonts w:ascii="Times New Roman" w:hAnsi="Times New Roman"/>
          <w:color w:val="000000"/>
        </w:rPr>
        <w:t>the FDIC Small Business Lending Survey</w:t>
      </w:r>
      <w:r w:rsidR="00767977">
        <w:rPr>
          <w:rFonts w:ascii="Times New Roman" w:hAnsi="Times New Roman"/>
          <w:color w:val="000000"/>
        </w:rPr>
        <w:t xml:space="preserve"> </w:t>
      </w:r>
      <w:r w:rsidR="001D39C5">
        <w:rPr>
          <w:rFonts w:ascii="Times New Roman" w:hAnsi="Times New Roman"/>
          <w:color w:val="000000"/>
        </w:rPr>
        <w:t>(SBLS)</w:t>
      </w:r>
      <w:r w:rsidR="00275EE7">
        <w:rPr>
          <w:rFonts w:ascii="Times New Roman" w:hAnsi="Times New Roman"/>
          <w:color w:val="000000"/>
        </w:rPr>
        <w:t xml:space="preserve">.  </w:t>
      </w:r>
      <w:r w:rsidR="001D39C5">
        <w:rPr>
          <w:rFonts w:ascii="Times New Roman" w:hAnsi="Times New Roman"/>
          <w:color w:val="000000"/>
        </w:rPr>
        <w:t>The SBLS</w:t>
      </w:r>
      <w:r w:rsidRPr="00770B5C" w:rsidR="00770B5C">
        <w:rPr>
          <w:rFonts w:ascii="Times New Roman" w:hAnsi="Times New Roman"/>
          <w:color w:val="000000"/>
        </w:rPr>
        <w:t xml:space="preserve"> is a </w:t>
      </w:r>
      <w:r w:rsidRPr="00770B5C" w:rsidR="006E30E4">
        <w:rPr>
          <w:rFonts w:ascii="Times New Roman" w:hAnsi="Times New Roman"/>
          <w:color w:val="000000"/>
        </w:rPr>
        <w:t>nationally</w:t>
      </w:r>
      <w:r w:rsidR="00524B27">
        <w:rPr>
          <w:rFonts w:ascii="Times New Roman" w:hAnsi="Times New Roman"/>
          <w:color w:val="000000"/>
        </w:rPr>
        <w:t xml:space="preserve"> </w:t>
      </w:r>
      <w:r w:rsidRPr="00770B5C" w:rsidR="006E30E4">
        <w:rPr>
          <w:rFonts w:ascii="Times New Roman" w:hAnsi="Times New Roman"/>
          <w:color w:val="000000"/>
        </w:rPr>
        <w:t>representative</w:t>
      </w:r>
      <w:r w:rsidRPr="00770B5C" w:rsidR="00770B5C">
        <w:rPr>
          <w:rFonts w:ascii="Times New Roman" w:hAnsi="Times New Roman"/>
          <w:color w:val="000000"/>
        </w:rPr>
        <w:t xml:space="preserve"> survey </w:t>
      </w:r>
      <w:r w:rsidRPr="00243153" w:rsidR="00770B5C">
        <w:rPr>
          <w:rFonts w:ascii="Times New Roman" w:hAnsi="Times New Roman"/>
          <w:color w:val="000000"/>
        </w:rPr>
        <w:t>of FDIC-insured depository institutions (</w:t>
      </w:r>
      <w:r w:rsidRPr="004C70AB" w:rsidR="004C70AB">
        <w:rPr>
          <w:rFonts w:ascii="Times New Roman" w:hAnsi="Times New Roman"/>
          <w:color w:val="000000"/>
        </w:rPr>
        <w:t xml:space="preserve">commercial banks and savings institutions, </w:t>
      </w:r>
      <w:r w:rsidRPr="00243153" w:rsidR="00770B5C">
        <w:rPr>
          <w:rFonts w:ascii="Times New Roman" w:hAnsi="Times New Roman"/>
          <w:color w:val="000000"/>
        </w:rPr>
        <w:t xml:space="preserve">henceforth </w:t>
      </w:r>
      <w:r w:rsidR="001D39C5">
        <w:rPr>
          <w:rFonts w:ascii="Times New Roman" w:hAnsi="Times New Roman"/>
          <w:color w:val="000000"/>
        </w:rPr>
        <w:t xml:space="preserve">referred to </w:t>
      </w:r>
      <w:r w:rsidRPr="00243153" w:rsidR="00770B5C">
        <w:rPr>
          <w:rFonts w:ascii="Times New Roman" w:hAnsi="Times New Roman"/>
          <w:color w:val="000000"/>
        </w:rPr>
        <w:t>as “banks”)</w:t>
      </w:r>
      <w:r w:rsidR="001D39C5">
        <w:rPr>
          <w:rFonts w:ascii="Times New Roman" w:hAnsi="Times New Roman"/>
          <w:color w:val="000000"/>
        </w:rPr>
        <w:t xml:space="preserve"> </w:t>
      </w:r>
      <w:r w:rsidRPr="000B6C38" w:rsidR="000B6C38">
        <w:rPr>
          <w:rFonts w:ascii="Times New Roman" w:hAnsi="Times New Roman"/>
          <w:color w:val="000000"/>
        </w:rPr>
        <w:t xml:space="preserve">designed to </w:t>
      </w:r>
      <w:r w:rsidR="000B6C38">
        <w:rPr>
          <w:rFonts w:ascii="Times New Roman" w:hAnsi="Times New Roman"/>
          <w:color w:val="000000"/>
        </w:rPr>
        <w:t>produce a description of bank</w:t>
      </w:r>
      <w:r w:rsidR="00524B27">
        <w:rPr>
          <w:rFonts w:ascii="Times New Roman" w:hAnsi="Times New Roman"/>
          <w:color w:val="000000"/>
        </w:rPr>
        <w:t>s’</w:t>
      </w:r>
      <w:r w:rsidR="000B6C38">
        <w:rPr>
          <w:rFonts w:ascii="Times New Roman" w:hAnsi="Times New Roman"/>
          <w:color w:val="000000"/>
        </w:rPr>
        <w:t xml:space="preserve"> </w:t>
      </w:r>
      <w:r w:rsidRPr="00770B5C" w:rsidR="00770B5C">
        <w:rPr>
          <w:rFonts w:ascii="Times New Roman" w:hAnsi="Times New Roman"/>
          <w:color w:val="000000"/>
        </w:rPr>
        <w:t>small business lending practices and volumes</w:t>
      </w:r>
      <w:r w:rsidR="000B6C38">
        <w:rPr>
          <w:rFonts w:ascii="Times New Roman" w:hAnsi="Times New Roman"/>
          <w:color w:val="000000"/>
        </w:rPr>
        <w:t xml:space="preserve"> that is otherwise not available</w:t>
      </w:r>
      <w:r w:rsidRPr="00770B5C" w:rsidR="00770B5C">
        <w:rPr>
          <w:rFonts w:ascii="Times New Roman" w:hAnsi="Times New Roman"/>
          <w:color w:val="000000"/>
        </w:rPr>
        <w:t>.</w:t>
      </w:r>
      <w:r w:rsidR="001D39C5">
        <w:rPr>
          <w:rFonts w:ascii="Times New Roman" w:hAnsi="Times New Roman"/>
          <w:color w:val="000000"/>
        </w:rPr>
        <w:t xml:space="preserve"> </w:t>
      </w:r>
      <w:r w:rsidR="00524B27">
        <w:rPr>
          <w:rFonts w:ascii="Times New Roman" w:hAnsi="Times New Roman"/>
          <w:color w:val="000000"/>
        </w:rPr>
        <w:t xml:space="preserve"> </w:t>
      </w:r>
      <w:r w:rsidR="001B7643">
        <w:rPr>
          <w:rFonts w:ascii="Times New Roman" w:hAnsi="Times New Roman"/>
          <w:color w:val="000000"/>
        </w:rPr>
        <w:t xml:space="preserve">An initial SBLS was collected in 2016 </w:t>
      </w:r>
      <w:r w:rsidR="00D60991">
        <w:rPr>
          <w:rFonts w:ascii="Times New Roman" w:hAnsi="Times New Roman"/>
          <w:color w:val="000000"/>
        </w:rPr>
        <w:t xml:space="preserve">(SBLS 2016) </w:t>
      </w:r>
      <w:r w:rsidR="001B7643">
        <w:rPr>
          <w:rFonts w:ascii="Times New Roman" w:hAnsi="Times New Roman"/>
          <w:color w:val="000000"/>
        </w:rPr>
        <w:t xml:space="preserve">and the proposed </w:t>
      </w:r>
      <w:r w:rsidR="00D60991">
        <w:rPr>
          <w:rFonts w:ascii="Times New Roman" w:hAnsi="Times New Roman"/>
          <w:color w:val="000000"/>
        </w:rPr>
        <w:t xml:space="preserve">information </w:t>
      </w:r>
      <w:r w:rsidR="001B7643">
        <w:rPr>
          <w:rFonts w:ascii="Times New Roman" w:hAnsi="Times New Roman"/>
          <w:color w:val="000000"/>
        </w:rPr>
        <w:t>collection is planned for 2022 (SBLS 2022)</w:t>
      </w:r>
      <w:r w:rsidRPr="00243153" w:rsidR="001B7643">
        <w:rPr>
          <w:rFonts w:ascii="Times New Roman" w:hAnsi="Times New Roman"/>
          <w:color w:val="000000"/>
        </w:rPr>
        <w:t>.</w:t>
      </w:r>
    </w:p>
    <w:p w:rsidR="001B7643" w:rsidP="00243153" w:rsidRDefault="001B7643" w14:paraId="1D8321F4" w14:textId="77777777">
      <w:pPr>
        <w:rPr>
          <w:rFonts w:ascii="Times New Roman" w:hAnsi="Times New Roman"/>
          <w:color w:val="000000"/>
        </w:rPr>
      </w:pPr>
    </w:p>
    <w:p w:rsidRPr="00243153" w:rsidR="001F70C9" w:rsidP="00243153" w:rsidRDefault="004E0C2E" w14:paraId="42A491DD" w14:textId="61265417">
      <w:pPr>
        <w:rPr>
          <w:rFonts w:ascii="Times New Roman" w:hAnsi="Times New Roman"/>
          <w:szCs w:val="24"/>
        </w:rPr>
      </w:pPr>
      <w:r w:rsidRPr="00243153">
        <w:rPr>
          <w:rFonts w:ascii="Times New Roman" w:hAnsi="Times New Roman"/>
          <w:color w:val="000000"/>
        </w:rPr>
        <w:t>T</w:t>
      </w:r>
      <w:r w:rsidRPr="00243153" w:rsidR="00562AA0">
        <w:rPr>
          <w:rFonts w:ascii="Times New Roman" w:hAnsi="Times New Roman"/>
          <w:color w:val="000000"/>
        </w:rPr>
        <w:t xml:space="preserve">he </w:t>
      </w:r>
      <w:r w:rsidR="000D4D80">
        <w:rPr>
          <w:rFonts w:ascii="Times New Roman" w:hAnsi="Times New Roman"/>
          <w:color w:val="000000"/>
        </w:rPr>
        <w:t xml:space="preserve">proposed </w:t>
      </w:r>
      <w:r w:rsidR="001B7643">
        <w:rPr>
          <w:rFonts w:ascii="Times New Roman" w:hAnsi="Times New Roman"/>
          <w:color w:val="000000"/>
        </w:rPr>
        <w:t>collection</w:t>
      </w:r>
      <w:r w:rsidRPr="00243153" w:rsidR="001B7643">
        <w:rPr>
          <w:rFonts w:ascii="Times New Roman" w:hAnsi="Times New Roman"/>
          <w:color w:val="000000"/>
        </w:rPr>
        <w:t xml:space="preserve"> </w:t>
      </w:r>
      <w:r w:rsidRPr="00243153" w:rsidR="00562AA0">
        <w:rPr>
          <w:rFonts w:ascii="Times New Roman" w:hAnsi="Times New Roman"/>
          <w:color w:val="000000"/>
        </w:rPr>
        <w:t xml:space="preserve">will provide </w:t>
      </w:r>
      <w:r w:rsidR="00767977">
        <w:rPr>
          <w:rFonts w:ascii="Times New Roman" w:hAnsi="Times New Roman"/>
          <w:color w:val="000000"/>
        </w:rPr>
        <w:t xml:space="preserve">updated </w:t>
      </w:r>
      <w:r w:rsidR="006E30E4">
        <w:rPr>
          <w:rFonts w:ascii="Times New Roman" w:hAnsi="Times New Roman"/>
          <w:color w:val="000000"/>
        </w:rPr>
        <w:t xml:space="preserve">and more in-depth </w:t>
      </w:r>
      <w:r w:rsidRPr="00243153" w:rsidR="00562AA0">
        <w:rPr>
          <w:rFonts w:ascii="Times New Roman" w:hAnsi="Times New Roman"/>
          <w:color w:val="000000"/>
        </w:rPr>
        <w:t>information</w:t>
      </w:r>
      <w:r w:rsidR="006E30E4">
        <w:rPr>
          <w:rFonts w:ascii="Times New Roman" w:hAnsi="Times New Roman"/>
          <w:color w:val="000000"/>
        </w:rPr>
        <w:t xml:space="preserve"> </w:t>
      </w:r>
      <w:r w:rsidRPr="00243153" w:rsidR="00562AA0">
        <w:rPr>
          <w:rFonts w:ascii="Times New Roman" w:hAnsi="Times New Roman"/>
          <w:color w:val="000000"/>
        </w:rPr>
        <w:t>on</w:t>
      </w:r>
      <w:r w:rsidRPr="00243153" w:rsidR="00E50C84">
        <w:rPr>
          <w:rFonts w:ascii="Times New Roman" w:hAnsi="Times New Roman"/>
          <w:color w:val="000000"/>
        </w:rPr>
        <w:t xml:space="preserve"> </w:t>
      </w:r>
      <w:r w:rsidRPr="00243153" w:rsidR="00562AA0">
        <w:rPr>
          <w:rFonts w:ascii="Times New Roman" w:hAnsi="Times New Roman"/>
          <w:color w:val="000000"/>
        </w:rPr>
        <w:t>banks’</w:t>
      </w:r>
      <w:r w:rsidRPr="00243153" w:rsidR="00E50C84">
        <w:rPr>
          <w:rFonts w:ascii="Times New Roman" w:hAnsi="Times New Roman"/>
          <w:szCs w:val="24"/>
        </w:rPr>
        <w:t xml:space="preserve"> small business </w:t>
      </w:r>
      <w:r w:rsidR="00767977">
        <w:rPr>
          <w:rFonts w:ascii="Times New Roman" w:hAnsi="Times New Roman"/>
          <w:szCs w:val="24"/>
        </w:rPr>
        <w:t>loan processes and underwriting, markets and competition, and volume of small business originations</w:t>
      </w:r>
      <w:r w:rsidR="00B7327C">
        <w:rPr>
          <w:rFonts w:ascii="Times New Roman" w:hAnsi="Times New Roman"/>
          <w:szCs w:val="24"/>
        </w:rPr>
        <w:t>,</w:t>
      </w:r>
      <w:r w:rsidR="001B7643">
        <w:rPr>
          <w:rFonts w:ascii="Times New Roman" w:hAnsi="Times New Roman"/>
          <w:szCs w:val="24"/>
        </w:rPr>
        <w:t xml:space="preserve"> compared to that collected in SBLS 2016</w:t>
      </w:r>
      <w:r w:rsidR="00767977">
        <w:rPr>
          <w:rFonts w:ascii="Times New Roman" w:hAnsi="Times New Roman"/>
          <w:szCs w:val="24"/>
        </w:rPr>
        <w:t xml:space="preserve">. </w:t>
      </w:r>
      <w:r w:rsidR="00524B27">
        <w:rPr>
          <w:rFonts w:ascii="Times New Roman" w:hAnsi="Times New Roman"/>
          <w:szCs w:val="24"/>
        </w:rPr>
        <w:t xml:space="preserve"> </w:t>
      </w:r>
      <w:r w:rsidR="00767977">
        <w:rPr>
          <w:rFonts w:ascii="Times New Roman" w:hAnsi="Times New Roman"/>
          <w:szCs w:val="24"/>
        </w:rPr>
        <w:t xml:space="preserve">In addition, SBLS 2022 asks new questions related to bank </w:t>
      </w:r>
      <w:r w:rsidR="000D4D80">
        <w:rPr>
          <w:rFonts w:ascii="Times New Roman" w:hAnsi="Times New Roman"/>
          <w:szCs w:val="24"/>
        </w:rPr>
        <w:t>small</w:t>
      </w:r>
      <w:r w:rsidR="00767977">
        <w:rPr>
          <w:rFonts w:ascii="Times New Roman" w:hAnsi="Times New Roman"/>
          <w:szCs w:val="24"/>
        </w:rPr>
        <w:t xml:space="preserve"> business lending</w:t>
      </w:r>
      <w:r w:rsidR="001B7643">
        <w:rPr>
          <w:rFonts w:ascii="Times New Roman" w:hAnsi="Times New Roman"/>
          <w:szCs w:val="24"/>
        </w:rPr>
        <w:t xml:space="preserve"> </w:t>
      </w:r>
      <w:r w:rsidR="000D4D80">
        <w:rPr>
          <w:rFonts w:ascii="Times New Roman" w:hAnsi="Times New Roman"/>
          <w:szCs w:val="24"/>
        </w:rPr>
        <w:t>on the</w:t>
      </w:r>
      <w:r w:rsidR="00767977">
        <w:rPr>
          <w:rFonts w:ascii="Times New Roman" w:hAnsi="Times New Roman"/>
          <w:szCs w:val="24"/>
        </w:rPr>
        <w:t xml:space="preserve"> use of financial technology, </w:t>
      </w:r>
      <w:r w:rsidR="007E1B8E">
        <w:rPr>
          <w:rFonts w:ascii="Times New Roman" w:hAnsi="Times New Roman"/>
          <w:szCs w:val="24"/>
        </w:rPr>
        <w:t xml:space="preserve">response to the </w:t>
      </w:r>
      <w:r w:rsidR="00767977">
        <w:rPr>
          <w:rFonts w:ascii="Times New Roman" w:hAnsi="Times New Roman"/>
          <w:szCs w:val="24"/>
        </w:rPr>
        <w:t xml:space="preserve">coronavirus pandemic, </w:t>
      </w:r>
      <w:r w:rsidR="00C74F3C">
        <w:rPr>
          <w:rFonts w:ascii="Times New Roman" w:hAnsi="Times New Roman"/>
          <w:szCs w:val="24"/>
        </w:rPr>
        <w:t>and use of automation in their small business lending programs</w:t>
      </w:r>
      <w:r w:rsidR="00767977">
        <w:rPr>
          <w:rFonts w:ascii="Times New Roman" w:hAnsi="Times New Roman"/>
          <w:szCs w:val="24"/>
        </w:rPr>
        <w:t xml:space="preserve">. </w:t>
      </w:r>
      <w:r w:rsidR="002C2E08">
        <w:rPr>
          <w:rFonts w:ascii="Times New Roman" w:hAnsi="Times New Roman"/>
          <w:szCs w:val="24"/>
        </w:rPr>
        <w:t xml:space="preserve"> </w:t>
      </w:r>
      <w:r w:rsidR="00F77600">
        <w:rPr>
          <w:rFonts w:ascii="Times New Roman" w:hAnsi="Times New Roman"/>
          <w:szCs w:val="24"/>
        </w:rPr>
        <w:t>T</w:t>
      </w:r>
      <w:r w:rsidR="006E30E4">
        <w:rPr>
          <w:rFonts w:ascii="Times New Roman" w:hAnsi="Times New Roman"/>
          <w:szCs w:val="24"/>
        </w:rPr>
        <w:t xml:space="preserve">he information included in SBLS 2022 is </w:t>
      </w:r>
      <w:r w:rsidR="00F77600">
        <w:rPr>
          <w:rFonts w:ascii="Times New Roman" w:hAnsi="Times New Roman"/>
          <w:szCs w:val="24"/>
        </w:rPr>
        <w:t xml:space="preserve">complementary to information </w:t>
      </w:r>
      <w:r w:rsidR="006E30E4">
        <w:rPr>
          <w:rFonts w:ascii="Times New Roman" w:hAnsi="Times New Roman"/>
          <w:szCs w:val="24"/>
        </w:rPr>
        <w:t>currently captured in other regulatory reports</w:t>
      </w:r>
      <w:r w:rsidR="00126AFC">
        <w:rPr>
          <w:rFonts w:ascii="Times New Roman" w:hAnsi="Times New Roman"/>
          <w:szCs w:val="24"/>
        </w:rPr>
        <w:t xml:space="preserve"> </w:t>
      </w:r>
      <w:r w:rsidR="00F77600">
        <w:rPr>
          <w:rFonts w:ascii="Times New Roman" w:hAnsi="Times New Roman"/>
          <w:szCs w:val="24"/>
        </w:rPr>
        <w:t>and</w:t>
      </w:r>
      <w:r w:rsidR="00126AFC">
        <w:rPr>
          <w:rFonts w:ascii="Times New Roman" w:hAnsi="Times New Roman"/>
          <w:szCs w:val="24"/>
        </w:rPr>
        <w:t xml:space="preserve"> surveys</w:t>
      </w:r>
      <w:r w:rsidR="006E30E4">
        <w:rPr>
          <w:rFonts w:ascii="Times New Roman" w:hAnsi="Times New Roman"/>
          <w:szCs w:val="24"/>
        </w:rPr>
        <w:t>.</w:t>
      </w:r>
    </w:p>
    <w:p w:rsidR="00562AA0" w:rsidRDefault="00562AA0" w14:paraId="3E7C9251" w14:textId="05364575">
      <w:pPr>
        <w:widowControl/>
        <w:rPr>
          <w:rFonts w:ascii="Times New Roman" w:hAnsi="Times New Roman"/>
          <w:color w:val="000000"/>
        </w:rPr>
      </w:pPr>
    </w:p>
    <w:p w:rsidR="001B7643" w:rsidP="001B7643" w:rsidRDefault="001B7643" w14:paraId="3FDB0234" w14:textId="6C1EB2B1">
      <w:pPr>
        <w:rPr>
          <w:rFonts w:ascii="Times New Roman" w:hAnsi="Times New Roman"/>
          <w:color w:val="000000"/>
        </w:rPr>
      </w:pPr>
      <w:r w:rsidRPr="001D39C5">
        <w:rPr>
          <w:rFonts w:ascii="Times New Roman" w:hAnsi="Times New Roman"/>
          <w:color w:val="000000"/>
        </w:rPr>
        <w:t xml:space="preserve">The survey is sponsored by the FDIC and </w:t>
      </w:r>
      <w:r w:rsidR="00D60991">
        <w:rPr>
          <w:rFonts w:ascii="Times New Roman" w:hAnsi="Times New Roman"/>
          <w:color w:val="000000"/>
        </w:rPr>
        <w:t xml:space="preserve">will be </w:t>
      </w:r>
      <w:r w:rsidRPr="001D39C5">
        <w:rPr>
          <w:rFonts w:ascii="Times New Roman" w:hAnsi="Times New Roman"/>
          <w:color w:val="000000"/>
        </w:rPr>
        <w:t>administered</w:t>
      </w:r>
      <w:r w:rsidR="001D0B42">
        <w:rPr>
          <w:rFonts w:ascii="Times New Roman" w:hAnsi="Times New Roman"/>
          <w:color w:val="000000"/>
        </w:rPr>
        <w:t xml:space="preserve"> </w:t>
      </w:r>
      <w:r w:rsidRPr="001D39C5">
        <w:rPr>
          <w:rFonts w:ascii="Times New Roman" w:hAnsi="Times New Roman"/>
          <w:color w:val="000000"/>
        </w:rPr>
        <w:t>by the U.S. Census Bureau (Census).</w:t>
      </w:r>
    </w:p>
    <w:p w:rsidR="001B7643" w:rsidRDefault="001B7643" w14:paraId="0E134F61" w14:textId="77777777">
      <w:pPr>
        <w:widowControl/>
        <w:rPr>
          <w:rFonts w:ascii="Times New Roman" w:hAnsi="Times New Roman"/>
          <w:color w:val="000000"/>
        </w:rPr>
      </w:pPr>
    </w:p>
    <w:p w:rsidRPr="00243153" w:rsidR="00927719" w:rsidRDefault="002C031D" w14:paraId="4C060EC2" w14:textId="77777777">
      <w:pPr>
        <w:widowControl/>
        <w:tabs>
          <w:tab w:val="left" w:pos="432"/>
          <w:tab w:val="left" w:pos="1296"/>
          <w:tab w:val="left" w:pos="1728"/>
          <w:tab w:val="left" w:pos="4176"/>
        </w:tabs>
        <w:rPr>
          <w:rFonts w:ascii="Times New Roman" w:hAnsi="Times New Roman"/>
          <w:color w:val="000000"/>
        </w:rPr>
      </w:pPr>
      <w:r w:rsidRPr="00243153">
        <w:rPr>
          <w:rFonts w:ascii="Times New Roman" w:hAnsi="Times New Roman"/>
          <w:color w:val="000000"/>
        </w:rPr>
        <w:t>A.</w:t>
      </w:r>
      <w:r w:rsidRPr="00243153">
        <w:rPr>
          <w:rFonts w:ascii="Times New Roman" w:hAnsi="Times New Roman"/>
          <w:color w:val="000000"/>
        </w:rPr>
        <w:tab/>
      </w:r>
      <w:r w:rsidRPr="00243153">
        <w:rPr>
          <w:rFonts w:ascii="Times New Roman" w:hAnsi="Times New Roman"/>
          <w:color w:val="000000"/>
          <w:u w:val="single"/>
        </w:rPr>
        <w:t>JUSTIFICATION</w:t>
      </w:r>
    </w:p>
    <w:p w:rsidRPr="00243153" w:rsidR="00927719" w:rsidRDefault="00927719" w14:paraId="1F710072" w14:textId="77777777">
      <w:pPr>
        <w:widowControl/>
        <w:tabs>
          <w:tab w:val="left" w:pos="432"/>
          <w:tab w:val="left" w:pos="1296"/>
          <w:tab w:val="left" w:pos="1728"/>
          <w:tab w:val="left" w:pos="4176"/>
        </w:tabs>
        <w:rPr>
          <w:rFonts w:ascii="Times New Roman" w:hAnsi="Times New Roman"/>
          <w:color w:val="000000"/>
        </w:rPr>
      </w:pPr>
    </w:p>
    <w:p w:rsidRPr="00243153" w:rsidR="00927719" w:rsidRDefault="00D60991" w14:paraId="4D2AD255" w14:textId="6A0E87A2">
      <w:pPr>
        <w:widowControl/>
        <w:numPr>
          <w:ilvl w:val="0"/>
          <w:numId w:val="7"/>
        </w:numPr>
        <w:tabs>
          <w:tab w:val="left" w:pos="432"/>
          <w:tab w:val="left" w:pos="1728"/>
          <w:tab w:val="left" w:pos="4176"/>
        </w:tabs>
        <w:rPr>
          <w:rFonts w:ascii="Times New Roman" w:hAnsi="Times New Roman"/>
          <w:color w:val="000000"/>
          <w:u w:val="single"/>
        </w:rPr>
      </w:pPr>
      <w:r w:rsidRPr="00D60991">
        <w:rPr>
          <w:rFonts w:ascii="Times New Roman" w:hAnsi="Times New Roman"/>
          <w:bCs/>
          <w:iCs/>
          <w:u w:val="single"/>
        </w:rPr>
        <w:t>Circumstances that make the collection necessary:</w:t>
      </w:r>
    </w:p>
    <w:p w:rsidRPr="00243153" w:rsidR="00927719" w:rsidRDefault="00927719" w14:paraId="7ED3D434" w14:textId="77777777">
      <w:pPr>
        <w:widowControl/>
        <w:tabs>
          <w:tab w:val="left" w:pos="432"/>
          <w:tab w:val="left" w:pos="1296"/>
          <w:tab w:val="left" w:pos="1728"/>
          <w:tab w:val="left" w:pos="4176"/>
        </w:tabs>
        <w:ind w:left="1287"/>
        <w:rPr>
          <w:rFonts w:ascii="Times New Roman" w:hAnsi="Times New Roman"/>
          <w:color w:val="000000"/>
          <w:szCs w:val="24"/>
        </w:rPr>
      </w:pPr>
    </w:p>
    <w:p w:rsidRPr="00243153" w:rsidR="00F55592" w:rsidRDefault="00F55592" w14:paraId="1F80BA1E" w14:textId="514C0C64">
      <w:pPr>
        <w:widowControl/>
        <w:ind w:left="1282"/>
        <w:rPr>
          <w:rFonts w:ascii="Times New Roman" w:hAnsi="Times New Roman"/>
          <w:color w:val="000000"/>
        </w:rPr>
      </w:pPr>
      <w:r w:rsidRPr="00243153">
        <w:rPr>
          <w:rFonts w:ascii="Times New Roman" w:hAnsi="Times New Roman"/>
          <w:color w:val="000000"/>
        </w:rPr>
        <w:t xml:space="preserve">Small businesses are an important component of the U.S. economy. </w:t>
      </w:r>
      <w:r w:rsidR="00CD3997">
        <w:rPr>
          <w:rFonts w:ascii="Times New Roman" w:hAnsi="Times New Roman"/>
          <w:color w:val="000000"/>
        </w:rPr>
        <w:t xml:space="preserve"> </w:t>
      </w:r>
      <w:r w:rsidRPr="00243153">
        <w:rPr>
          <w:rFonts w:ascii="Times New Roman" w:hAnsi="Times New Roman"/>
          <w:color w:val="000000"/>
        </w:rPr>
        <w:t xml:space="preserve">According to the </w:t>
      </w:r>
      <w:r w:rsidRPr="00243153" w:rsidR="0076521A">
        <w:rPr>
          <w:rFonts w:ascii="Times New Roman" w:hAnsi="Times New Roman"/>
          <w:color w:val="000000"/>
        </w:rPr>
        <w:t>Small Business Administration</w:t>
      </w:r>
      <w:r w:rsidRPr="00243153" w:rsidR="005A3F4D">
        <w:rPr>
          <w:rFonts w:ascii="Times New Roman" w:hAnsi="Times New Roman"/>
          <w:color w:val="000000"/>
        </w:rPr>
        <w:t xml:space="preserve"> (SBA)</w:t>
      </w:r>
      <w:r w:rsidRPr="00243153" w:rsidR="0076521A">
        <w:rPr>
          <w:rFonts w:ascii="Times New Roman" w:hAnsi="Times New Roman"/>
          <w:color w:val="000000"/>
        </w:rPr>
        <w:t xml:space="preserve">, small firms accounted </w:t>
      </w:r>
      <w:r w:rsidRPr="006B1BD8" w:rsidR="0076521A">
        <w:rPr>
          <w:rFonts w:ascii="Times New Roman" w:hAnsi="Times New Roman"/>
          <w:color w:val="000000"/>
        </w:rPr>
        <w:t xml:space="preserve">for almost half of private-sector employment and </w:t>
      </w:r>
      <w:r w:rsidR="00941831">
        <w:rPr>
          <w:rFonts w:ascii="Times New Roman" w:hAnsi="Times New Roman"/>
          <w:color w:val="000000"/>
        </w:rPr>
        <w:t xml:space="preserve">over </w:t>
      </w:r>
      <w:r w:rsidRPr="006B1BD8" w:rsidR="0076521A">
        <w:rPr>
          <w:rFonts w:ascii="Times New Roman" w:hAnsi="Times New Roman"/>
          <w:color w:val="000000"/>
        </w:rPr>
        <w:t>6</w:t>
      </w:r>
      <w:r w:rsidR="006B1BD8">
        <w:rPr>
          <w:rFonts w:ascii="Times New Roman" w:hAnsi="Times New Roman"/>
          <w:color w:val="000000"/>
        </w:rPr>
        <w:t>5</w:t>
      </w:r>
      <w:r w:rsidRPr="006B1BD8" w:rsidR="0076521A">
        <w:rPr>
          <w:rFonts w:ascii="Times New Roman" w:hAnsi="Times New Roman"/>
          <w:color w:val="000000"/>
        </w:rPr>
        <w:t xml:space="preserve"> percent of net new jobs between </w:t>
      </w:r>
      <w:r w:rsidRPr="006B1BD8" w:rsidR="006B1BD8">
        <w:rPr>
          <w:rFonts w:ascii="Times New Roman" w:hAnsi="Times New Roman"/>
          <w:color w:val="000000"/>
        </w:rPr>
        <w:t>2000 and 201</w:t>
      </w:r>
      <w:r w:rsidR="00941831">
        <w:rPr>
          <w:rFonts w:ascii="Times New Roman" w:hAnsi="Times New Roman"/>
          <w:color w:val="000000"/>
        </w:rPr>
        <w:t>9</w:t>
      </w:r>
      <w:r w:rsidRPr="006B1BD8" w:rsidR="0076521A">
        <w:rPr>
          <w:rFonts w:ascii="Times New Roman" w:hAnsi="Times New Roman"/>
          <w:color w:val="000000"/>
        </w:rPr>
        <w:t>.</w:t>
      </w:r>
      <w:r w:rsidRPr="006B1BD8" w:rsidR="00902620">
        <w:rPr>
          <w:rStyle w:val="FootnoteReference"/>
          <w:rFonts w:ascii="Times New Roman" w:hAnsi="Times New Roman"/>
          <w:color w:val="000000"/>
        </w:rPr>
        <w:footnoteReference w:id="1"/>
      </w:r>
      <w:r w:rsidRPr="006B1BD8" w:rsidR="0076521A">
        <w:rPr>
          <w:rFonts w:ascii="Times New Roman" w:hAnsi="Times New Roman"/>
          <w:color w:val="000000"/>
        </w:rPr>
        <w:t xml:space="preserve">  Ma</w:t>
      </w:r>
      <w:r w:rsidRPr="00243153" w:rsidR="0076521A">
        <w:rPr>
          <w:rFonts w:ascii="Times New Roman" w:hAnsi="Times New Roman"/>
          <w:color w:val="000000"/>
        </w:rPr>
        <w:t>ny small businesses have little or no direct access to capital markets and are thus reliant on bank financing</w:t>
      </w:r>
      <w:r w:rsidRPr="00243153" w:rsidR="00121D80">
        <w:rPr>
          <w:rFonts w:ascii="Times New Roman" w:hAnsi="Times New Roman"/>
          <w:color w:val="000000"/>
        </w:rPr>
        <w:t>, both for operating expenses and for investment</w:t>
      </w:r>
      <w:r w:rsidRPr="00243153" w:rsidR="0076521A">
        <w:rPr>
          <w:rFonts w:ascii="Times New Roman" w:hAnsi="Times New Roman"/>
          <w:color w:val="000000"/>
        </w:rPr>
        <w:t>.  For banks, small business lending is an important way that they help meet their communities’ needs, especially for the many banks that primarily focus on commercial rather than consumer lending.</w:t>
      </w:r>
    </w:p>
    <w:p w:rsidRPr="00243153" w:rsidR="0076521A" w:rsidRDefault="0076521A" w14:paraId="2870C1AE" w14:textId="77777777">
      <w:pPr>
        <w:widowControl/>
        <w:ind w:left="1282"/>
        <w:rPr>
          <w:rFonts w:ascii="Times New Roman" w:hAnsi="Times New Roman"/>
          <w:color w:val="000000"/>
        </w:rPr>
      </w:pPr>
    </w:p>
    <w:p w:rsidR="0003151B" w:rsidRDefault="00121D80" w14:paraId="6792F1AC" w14:textId="78B178DF">
      <w:pPr>
        <w:widowControl/>
        <w:ind w:left="1282"/>
        <w:rPr>
          <w:rFonts w:ascii="Times New Roman" w:hAnsi="Times New Roman"/>
          <w:color w:val="000000"/>
        </w:rPr>
      </w:pPr>
      <w:r w:rsidRPr="00243153">
        <w:rPr>
          <w:rFonts w:ascii="Times New Roman" w:hAnsi="Times New Roman"/>
          <w:color w:val="000000"/>
        </w:rPr>
        <w:t xml:space="preserve">Despite the importance of small businesses to the U.S. economy and the importance of bank lending to small businesses, there is little high quality data on small business lending by banks.  </w:t>
      </w:r>
      <w:r w:rsidRPr="0003151B">
        <w:rPr>
          <w:rFonts w:ascii="Times New Roman" w:hAnsi="Times New Roman"/>
          <w:color w:val="000000"/>
        </w:rPr>
        <w:t xml:space="preserve">In the </w:t>
      </w:r>
      <w:r w:rsidRPr="0003151B" w:rsidR="00000383">
        <w:rPr>
          <w:rFonts w:ascii="Times New Roman" w:hAnsi="Times New Roman"/>
          <w:color w:val="000000"/>
        </w:rPr>
        <w:t xml:space="preserve">Consolidated </w:t>
      </w:r>
      <w:r w:rsidRPr="0003151B">
        <w:rPr>
          <w:rFonts w:ascii="Times New Roman" w:hAnsi="Times New Roman"/>
          <w:color w:val="000000"/>
        </w:rPr>
        <w:t xml:space="preserve">Report of </w:t>
      </w:r>
      <w:r w:rsidRPr="0003151B" w:rsidR="00000383">
        <w:rPr>
          <w:rFonts w:ascii="Times New Roman" w:hAnsi="Times New Roman"/>
          <w:color w:val="000000"/>
        </w:rPr>
        <w:t>Condition and Income</w:t>
      </w:r>
      <w:r w:rsidRPr="0003151B" w:rsidR="005A3F4D">
        <w:rPr>
          <w:rFonts w:ascii="Times New Roman" w:hAnsi="Times New Roman"/>
          <w:color w:val="000000"/>
        </w:rPr>
        <w:t xml:space="preserve"> (referred to henceforth as the </w:t>
      </w:r>
      <w:r w:rsidRPr="0003151B" w:rsidR="009913D2">
        <w:rPr>
          <w:rFonts w:ascii="Times New Roman" w:hAnsi="Times New Roman"/>
          <w:color w:val="000000"/>
        </w:rPr>
        <w:t>C</w:t>
      </w:r>
      <w:r w:rsidRPr="0003151B" w:rsidR="005A3F4D">
        <w:rPr>
          <w:rFonts w:ascii="Times New Roman" w:hAnsi="Times New Roman"/>
          <w:color w:val="000000"/>
        </w:rPr>
        <w:t xml:space="preserve">all </w:t>
      </w:r>
      <w:r w:rsidRPr="0003151B" w:rsidR="009913D2">
        <w:rPr>
          <w:rFonts w:ascii="Times New Roman" w:hAnsi="Times New Roman"/>
          <w:color w:val="000000"/>
        </w:rPr>
        <w:t>R</w:t>
      </w:r>
      <w:r w:rsidRPr="0003151B" w:rsidR="005A3F4D">
        <w:rPr>
          <w:rFonts w:ascii="Times New Roman" w:hAnsi="Times New Roman"/>
          <w:color w:val="000000"/>
        </w:rPr>
        <w:t>eport)</w:t>
      </w:r>
      <w:r w:rsidRPr="0003151B" w:rsidR="00000383">
        <w:rPr>
          <w:rFonts w:ascii="Times New Roman" w:hAnsi="Times New Roman"/>
          <w:color w:val="000000"/>
        </w:rPr>
        <w:t xml:space="preserve">, banks report their commercial lending </w:t>
      </w:r>
      <w:r w:rsidRPr="0003151B" w:rsidR="00DB2B3B">
        <w:rPr>
          <w:rFonts w:ascii="Times New Roman" w:hAnsi="Times New Roman"/>
          <w:color w:val="000000"/>
        </w:rPr>
        <w:t xml:space="preserve">in </w:t>
      </w:r>
      <w:r w:rsidRPr="0003151B" w:rsidR="00D93EAB">
        <w:rPr>
          <w:rFonts w:ascii="Times New Roman" w:hAnsi="Times New Roman"/>
          <w:color w:val="000000"/>
        </w:rPr>
        <w:t xml:space="preserve">total and separately for </w:t>
      </w:r>
      <w:r w:rsidRPr="0003151B" w:rsidR="00DB2B3B">
        <w:rPr>
          <w:rFonts w:ascii="Times New Roman" w:hAnsi="Times New Roman"/>
          <w:color w:val="000000"/>
        </w:rPr>
        <w:t xml:space="preserve">three </w:t>
      </w:r>
      <w:r w:rsidRPr="0003151B" w:rsidR="00000383">
        <w:rPr>
          <w:rFonts w:ascii="Times New Roman" w:hAnsi="Times New Roman"/>
          <w:color w:val="000000"/>
        </w:rPr>
        <w:t xml:space="preserve">loan size </w:t>
      </w:r>
      <w:r w:rsidRPr="0003151B" w:rsidR="00DB2B3B">
        <w:rPr>
          <w:rFonts w:ascii="Times New Roman" w:hAnsi="Times New Roman"/>
          <w:color w:val="000000"/>
        </w:rPr>
        <w:t xml:space="preserve">categories </w:t>
      </w:r>
      <w:r w:rsidRPr="0003151B" w:rsidR="00D93EAB">
        <w:rPr>
          <w:rFonts w:ascii="Times New Roman" w:hAnsi="Times New Roman"/>
          <w:color w:val="000000"/>
        </w:rPr>
        <w:t xml:space="preserve">($100,000 or less, greater than $100,000 to </w:t>
      </w:r>
      <w:r w:rsidRPr="0003151B" w:rsidR="003A0E72">
        <w:rPr>
          <w:rFonts w:ascii="Times New Roman" w:hAnsi="Times New Roman"/>
          <w:color w:val="000000"/>
        </w:rPr>
        <w:t>$250,000, and greater than $</w:t>
      </w:r>
      <w:r w:rsidRPr="0003151B" w:rsidR="00D93EAB">
        <w:rPr>
          <w:rFonts w:ascii="Times New Roman" w:hAnsi="Times New Roman"/>
          <w:color w:val="000000"/>
        </w:rPr>
        <w:t>250,000 to $1 million).</w:t>
      </w:r>
      <w:r w:rsidRPr="00243153" w:rsidR="00D93EAB">
        <w:rPr>
          <w:rFonts w:ascii="Times New Roman" w:hAnsi="Times New Roman"/>
          <w:color w:val="000000"/>
        </w:rPr>
        <w:t xml:space="preserve">  </w:t>
      </w:r>
      <w:r w:rsidR="001C29FC">
        <w:rPr>
          <w:rFonts w:ascii="Times New Roman" w:hAnsi="Times New Roman"/>
          <w:color w:val="000000"/>
        </w:rPr>
        <w:t>R</w:t>
      </w:r>
      <w:r w:rsidRPr="001C29FC" w:rsidR="001C29FC">
        <w:rPr>
          <w:rFonts w:ascii="Times New Roman" w:hAnsi="Times New Roman"/>
          <w:color w:val="000000"/>
        </w:rPr>
        <w:t xml:space="preserve">esearchers and policy makers often use the total amount of outstanding commercial loans of $1 </w:t>
      </w:r>
      <w:r w:rsidRPr="001C29FC" w:rsidR="001C29FC">
        <w:rPr>
          <w:rFonts w:ascii="Times New Roman" w:hAnsi="Times New Roman"/>
          <w:color w:val="000000"/>
        </w:rPr>
        <w:lastRenderedPageBreak/>
        <w:t xml:space="preserve">million or less from the Call Report as a </w:t>
      </w:r>
      <w:r w:rsidR="001B57B5">
        <w:rPr>
          <w:rFonts w:ascii="Times New Roman" w:hAnsi="Times New Roman"/>
          <w:color w:val="000000"/>
        </w:rPr>
        <w:t xml:space="preserve">loan-size </w:t>
      </w:r>
      <w:r w:rsidRPr="001C29FC" w:rsidR="001C29FC">
        <w:rPr>
          <w:rFonts w:ascii="Times New Roman" w:hAnsi="Times New Roman"/>
          <w:color w:val="000000"/>
        </w:rPr>
        <w:t>proxy for bank small business lending due to its availability and a lack of</w:t>
      </w:r>
      <w:r w:rsidR="001C29FC">
        <w:rPr>
          <w:rFonts w:ascii="Times New Roman" w:hAnsi="Times New Roman"/>
          <w:color w:val="000000"/>
        </w:rPr>
        <w:t xml:space="preserve"> alternatives</w:t>
      </w:r>
      <w:r w:rsidRPr="001C29FC" w:rsidR="001C29FC">
        <w:rPr>
          <w:rFonts w:ascii="Times New Roman" w:hAnsi="Times New Roman"/>
          <w:color w:val="000000"/>
        </w:rPr>
        <w:t>.</w:t>
      </w:r>
      <w:r w:rsidR="001C29FC">
        <w:rPr>
          <w:rFonts w:ascii="Times New Roman" w:hAnsi="Times New Roman"/>
          <w:color w:val="000000"/>
        </w:rPr>
        <w:t xml:space="preserve">  However, l</w:t>
      </w:r>
      <w:r w:rsidRPr="00243153" w:rsidR="005A3F4D">
        <w:rPr>
          <w:rFonts w:ascii="Times New Roman" w:hAnsi="Times New Roman"/>
          <w:color w:val="000000"/>
        </w:rPr>
        <w:t xml:space="preserve">oans with origination amounts of more than $1 million are often also extended to small businesses.  For example, the maximum loan amount for an SBA 7(a) loan is currently $5 million but the </w:t>
      </w:r>
      <w:r w:rsidRPr="00243153" w:rsidR="009913D2">
        <w:rPr>
          <w:rFonts w:ascii="Times New Roman" w:hAnsi="Times New Roman"/>
          <w:color w:val="000000"/>
        </w:rPr>
        <w:t>C</w:t>
      </w:r>
      <w:r w:rsidRPr="00243153" w:rsidR="005A3F4D">
        <w:rPr>
          <w:rFonts w:ascii="Times New Roman" w:hAnsi="Times New Roman"/>
          <w:color w:val="000000"/>
        </w:rPr>
        <w:t xml:space="preserve">all </w:t>
      </w:r>
      <w:r w:rsidRPr="00243153" w:rsidR="009913D2">
        <w:rPr>
          <w:rFonts w:ascii="Times New Roman" w:hAnsi="Times New Roman"/>
          <w:color w:val="000000"/>
        </w:rPr>
        <w:t>R</w:t>
      </w:r>
      <w:r w:rsidRPr="00243153" w:rsidR="005A3F4D">
        <w:rPr>
          <w:rFonts w:ascii="Times New Roman" w:hAnsi="Times New Roman"/>
          <w:color w:val="000000"/>
        </w:rPr>
        <w:t xml:space="preserve">eport data do not separately break out loans with origination amounts of greater than $1 million.  In addition, the </w:t>
      </w:r>
      <w:r w:rsidRPr="00243153" w:rsidR="009913D2">
        <w:rPr>
          <w:rFonts w:ascii="Times New Roman" w:hAnsi="Times New Roman"/>
          <w:color w:val="000000"/>
        </w:rPr>
        <w:t>C</w:t>
      </w:r>
      <w:r w:rsidRPr="00243153" w:rsidR="005A3F4D">
        <w:rPr>
          <w:rFonts w:ascii="Times New Roman" w:hAnsi="Times New Roman"/>
          <w:color w:val="000000"/>
        </w:rPr>
        <w:t xml:space="preserve">all </w:t>
      </w:r>
      <w:r w:rsidRPr="00243153" w:rsidR="009913D2">
        <w:rPr>
          <w:rFonts w:ascii="Times New Roman" w:hAnsi="Times New Roman"/>
          <w:color w:val="000000"/>
        </w:rPr>
        <w:t>R</w:t>
      </w:r>
      <w:r w:rsidRPr="00243153" w:rsidR="005A3F4D">
        <w:rPr>
          <w:rFonts w:ascii="Times New Roman" w:hAnsi="Times New Roman"/>
          <w:color w:val="000000"/>
        </w:rPr>
        <w:t xml:space="preserve">eport data contain no information </w:t>
      </w:r>
      <w:r w:rsidRPr="00243153" w:rsidR="00DB2B3B">
        <w:rPr>
          <w:rFonts w:ascii="Times New Roman" w:hAnsi="Times New Roman"/>
          <w:color w:val="000000"/>
        </w:rPr>
        <w:t>on borrower firm size</w:t>
      </w:r>
      <w:r w:rsidR="00CC4F23">
        <w:rPr>
          <w:rFonts w:ascii="Times New Roman" w:hAnsi="Times New Roman"/>
          <w:color w:val="000000"/>
        </w:rPr>
        <w:t>.</w:t>
      </w:r>
    </w:p>
    <w:p w:rsidR="00CC4F23" w:rsidRDefault="00CC4F23" w14:paraId="00515A4B" w14:textId="77777777">
      <w:pPr>
        <w:widowControl/>
        <w:ind w:left="1282"/>
        <w:rPr>
          <w:rFonts w:ascii="Times New Roman" w:hAnsi="Times New Roman"/>
          <w:color w:val="000000"/>
        </w:rPr>
      </w:pPr>
    </w:p>
    <w:p w:rsidRPr="00754277" w:rsidR="00754277" w:rsidRDefault="000D6F66" w14:paraId="617F8A19" w14:textId="454327A4">
      <w:pPr>
        <w:widowControl/>
        <w:ind w:left="1282"/>
        <w:rPr>
          <w:rFonts w:ascii="Times New Roman" w:hAnsi="Times New Roman"/>
          <w:color w:val="000000"/>
        </w:rPr>
      </w:pPr>
      <w:r>
        <w:rPr>
          <w:rFonts w:ascii="Times New Roman" w:hAnsi="Times New Roman"/>
          <w:color w:val="000000"/>
        </w:rPr>
        <w:t>T</w:t>
      </w:r>
      <w:r w:rsidR="00CC4F23">
        <w:rPr>
          <w:rFonts w:ascii="Times New Roman" w:hAnsi="Times New Roman"/>
          <w:color w:val="000000"/>
        </w:rPr>
        <w:t>he FDIC</w:t>
      </w:r>
      <w:r w:rsidR="00D41FEC">
        <w:rPr>
          <w:rFonts w:ascii="Times New Roman" w:hAnsi="Times New Roman"/>
          <w:color w:val="000000"/>
        </w:rPr>
        <w:t>’s</w:t>
      </w:r>
      <w:r w:rsidR="00CC4F23">
        <w:rPr>
          <w:rFonts w:ascii="Times New Roman" w:hAnsi="Times New Roman"/>
          <w:color w:val="000000"/>
        </w:rPr>
        <w:t xml:space="preserve"> </w:t>
      </w:r>
      <w:r>
        <w:rPr>
          <w:rFonts w:ascii="Times New Roman" w:hAnsi="Times New Roman"/>
          <w:color w:val="000000"/>
        </w:rPr>
        <w:t>SB</w:t>
      </w:r>
      <w:r w:rsidR="00F92C97">
        <w:rPr>
          <w:rFonts w:ascii="Times New Roman" w:hAnsi="Times New Roman"/>
          <w:color w:val="000000"/>
        </w:rPr>
        <w:t>L</w:t>
      </w:r>
      <w:r>
        <w:rPr>
          <w:rFonts w:ascii="Times New Roman" w:hAnsi="Times New Roman"/>
          <w:color w:val="000000"/>
        </w:rPr>
        <w:t xml:space="preserve">S 2016 </w:t>
      </w:r>
      <w:r w:rsidR="00D41FEC">
        <w:rPr>
          <w:rFonts w:ascii="Times New Roman" w:hAnsi="Times New Roman"/>
          <w:color w:val="000000"/>
        </w:rPr>
        <w:t xml:space="preserve">provided information </w:t>
      </w:r>
      <w:r w:rsidR="00CC4F23">
        <w:rPr>
          <w:rFonts w:ascii="Times New Roman" w:hAnsi="Times New Roman"/>
          <w:color w:val="000000"/>
        </w:rPr>
        <w:t xml:space="preserve">to </w:t>
      </w:r>
      <w:r w:rsidR="00D41FEC">
        <w:rPr>
          <w:rFonts w:ascii="Times New Roman" w:hAnsi="Times New Roman"/>
          <w:color w:val="000000"/>
        </w:rPr>
        <w:t xml:space="preserve">help </w:t>
      </w:r>
      <w:r w:rsidR="00CC4F23">
        <w:rPr>
          <w:rFonts w:ascii="Times New Roman" w:hAnsi="Times New Roman"/>
          <w:color w:val="000000"/>
        </w:rPr>
        <w:t xml:space="preserve">quantify the extent of misstatement </w:t>
      </w:r>
      <w:r w:rsidR="001C29FC">
        <w:rPr>
          <w:rFonts w:ascii="Times New Roman" w:hAnsi="Times New Roman"/>
          <w:color w:val="000000"/>
        </w:rPr>
        <w:t>of</w:t>
      </w:r>
      <w:r w:rsidRPr="001C29FC" w:rsidR="001C29FC">
        <w:rPr>
          <w:rFonts w:ascii="Times New Roman" w:hAnsi="Times New Roman"/>
          <w:color w:val="000000"/>
        </w:rPr>
        <w:t xml:space="preserve"> small business lending </w:t>
      </w:r>
      <w:r w:rsidR="007D2276">
        <w:rPr>
          <w:rFonts w:ascii="Times New Roman" w:hAnsi="Times New Roman"/>
          <w:color w:val="000000"/>
        </w:rPr>
        <w:t>when</w:t>
      </w:r>
      <w:r w:rsidR="001C29FC">
        <w:rPr>
          <w:rFonts w:ascii="Times New Roman" w:hAnsi="Times New Roman"/>
          <w:color w:val="000000"/>
        </w:rPr>
        <w:t xml:space="preserve"> </w:t>
      </w:r>
      <w:r w:rsidR="00D23232">
        <w:rPr>
          <w:rFonts w:ascii="Times New Roman" w:hAnsi="Times New Roman"/>
          <w:color w:val="000000"/>
        </w:rPr>
        <w:t>using the loan-size</w:t>
      </w:r>
      <w:r w:rsidR="00CC4F23">
        <w:rPr>
          <w:rFonts w:ascii="Times New Roman" w:hAnsi="Times New Roman"/>
          <w:color w:val="000000"/>
        </w:rPr>
        <w:t xml:space="preserve"> </w:t>
      </w:r>
      <w:r w:rsidR="00B95CB7">
        <w:rPr>
          <w:rFonts w:ascii="Times New Roman" w:hAnsi="Times New Roman"/>
          <w:color w:val="000000"/>
        </w:rPr>
        <w:t>proxy</w:t>
      </w:r>
      <w:r>
        <w:rPr>
          <w:rFonts w:ascii="Times New Roman" w:hAnsi="Times New Roman"/>
          <w:color w:val="000000"/>
        </w:rPr>
        <w:t>.  SBLS</w:t>
      </w:r>
      <w:r w:rsidR="00B95CB7">
        <w:rPr>
          <w:rFonts w:ascii="Times New Roman" w:hAnsi="Times New Roman"/>
          <w:color w:val="000000"/>
        </w:rPr>
        <w:t xml:space="preserve"> </w:t>
      </w:r>
      <w:r w:rsidR="0042434A">
        <w:rPr>
          <w:rFonts w:ascii="Times New Roman" w:hAnsi="Times New Roman"/>
          <w:color w:val="000000"/>
        </w:rPr>
        <w:t>2016</w:t>
      </w:r>
      <w:r w:rsidR="00D41FEC">
        <w:rPr>
          <w:rFonts w:ascii="Times New Roman" w:hAnsi="Times New Roman"/>
          <w:color w:val="000000"/>
        </w:rPr>
        <w:t xml:space="preserve"> </w:t>
      </w:r>
      <w:r w:rsidR="000654D3">
        <w:rPr>
          <w:rFonts w:ascii="Times New Roman" w:hAnsi="Times New Roman"/>
          <w:color w:val="000000"/>
        </w:rPr>
        <w:t>ask</w:t>
      </w:r>
      <w:r>
        <w:rPr>
          <w:rFonts w:ascii="Times New Roman" w:hAnsi="Times New Roman"/>
          <w:color w:val="000000"/>
        </w:rPr>
        <w:t>ed</w:t>
      </w:r>
      <w:r w:rsidR="000654D3">
        <w:rPr>
          <w:rFonts w:ascii="Times New Roman" w:hAnsi="Times New Roman"/>
          <w:color w:val="000000"/>
        </w:rPr>
        <w:t xml:space="preserve"> banks</w:t>
      </w:r>
      <w:r w:rsidR="0042434A">
        <w:rPr>
          <w:rFonts w:ascii="Times New Roman" w:hAnsi="Times New Roman"/>
          <w:color w:val="000000"/>
        </w:rPr>
        <w:t xml:space="preserve"> </w:t>
      </w:r>
      <w:r w:rsidR="001B57B5">
        <w:rPr>
          <w:rFonts w:ascii="Times New Roman" w:hAnsi="Times New Roman"/>
          <w:color w:val="000000"/>
        </w:rPr>
        <w:t xml:space="preserve">that </w:t>
      </w:r>
      <w:r w:rsidR="00D23232">
        <w:rPr>
          <w:rFonts w:ascii="Times New Roman" w:hAnsi="Times New Roman"/>
          <w:color w:val="000000"/>
        </w:rPr>
        <w:t>had</w:t>
      </w:r>
      <w:r w:rsidR="00D41FEC">
        <w:rPr>
          <w:rFonts w:ascii="Times New Roman" w:hAnsi="Times New Roman"/>
          <w:color w:val="000000"/>
        </w:rPr>
        <w:t xml:space="preserve"> data systems that </w:t>
      </w:r>
      <w:r w:rsidR="001B57B5">
        <w:rPr>
          <w:rFonts w:ascii="Times New Roman" w:hAnsi="Times New Roman"/>
          <w:color w:val="000000"/>
        </w:rPr>
        <w:t xml:space="preserve">can </w:t>
      </w:r>
      <w:r w:rsidR="00D41FEC">
        <w:rPr>
          <w:rFonts w:ascii="Times New Roman" w:hAnsi="Times New Roman"/>
          <w:color w:val="000000"/>
        </w:rPr>
        <w:t xml:space="preserve">capture borrower gross annual revenue (GAR) </w:t>
      </w:r>
      <w:r w:rsidR="000654D3">
        <w:rPr>
          <w:rFonts w:ascii="Times New Roman" w:hAnsi="Times New Roman"/>
          <w:color w:val="000000"/>
        </w:rPr>
        <w:t xml:space="preserve">to </w:t>
      </w:r>
      <w:r w:rsidR="00D41FEC">
        <w:rPr>
          <w:rFonts w:ascii="Times New Roman" w:hAnsi="Times New Roman"/>
          <w:color w:val="000000"/>
        </w:rPr>
        <w:t>split</w:t>
      </w:r>
      <w:r w:rsidR="000654D3">
        <w:rPr>
          <w:rFonts w:ascii="Times New Roman" w:hAnsi="Times New Roman"/>
          <w:color w:val="000000"/>
        </w:rPr>
        <w:t xml:space="preserve"> their</w:t>
      </w:r>
      <w:r w:rsidR="00231EDB">
        <w:rPr>
          <w:rFonts w:ascii="Times New Roman" w:hAnsi="Times New Roman"/>
          <w:color w:val="000000"/>
        </w:rPr>
        <w:t xml:space="preserve"> </w:t>
      </w:r>
      <w:r>
        <w:rPr>
          <w:rFonts w:ascii="Times New Roman" w:hAnsi="Times New Roman"/>
          <w:color w:val="000000"/>
        </w:rPr>
        <w:t>four</w:t>
      </w:r>
      <w:r w:rsidR="00885778">
        <w:rPr>
          <w:rFonts w:ascii="Times New Roman" w:hAnsi="Times New Roman"/>
          <w:color w:val="000000"/>
        </w:rPr>
        <w:t>th quarter</w:t>
      </w:r>
      <w:r>
        <w:rPr>
          <w:rFonts w:ascii="Times New Roman" w:hAnsi="Times New Roman"/>
          <w:color w:val="000000"/>
        </w:rPr>
        <w:t xml:space="preserve"> </w:t>
      </w:r>
      <w:r w:rsidR="00231EDB">
        <w:rPr>
          <w:rFonts w:ascii="Times New Roman" w:hAnsi="Times New Roman"/>
          <w:color w:val="000000"/>
        </w:rPr>
        <w:t>2015</w:t>
      </w:r>
      <w:r w:rsidR="000654D3">
        <w:rPr>
          <w:rFonts w:ascii="Times New Roman" w:hAnsi="Times New Roman"/>
          <w:color w:val="000000"/>
        </w:rPr>
        <w:t xml:space="preserve"> reported Call Report C&amp;I lending by </w:t>
      </w:r>
      <w:r w:rsidR="00D41FEC">
        <w:rPr>
          <w:rFonts w:ascii="Times New Roman" w:hAnsi="Times New Roman"/>
          <w:color w:val="000000"/>
        </w:rPr>
        <w:t xml:space="preserve">borrower </w:t>
      </w:r>
      <w:r w:rsidR="00B95CB7">
        <w:rPr>
          <w:rFonts w:ascii="Times New Roman" w:hAnsi="Times New Roman"/>
          <w:color w:val="000000"/>
        </w:rPr>
        <w:t xml:space="preserve">GAR.  Using the </w:t>
      </w:r>
      <w:r>
        <w:rPr>
          <w:rFonts w:ascii="Times New Roman" w:hAnsi="Times New Roman"/>
          <w:color w:val="000000"/>
        </w:rPr>
        <w:t>survey respo</w:t>
      </w:r>
      <w:r w:rsidR="00D41FEC">
        <w:rPr>
          <w:rFonts w:ascii="Times New Roman" w:hAnsi="Times New Roman"/>
          <w:color w:val="000000"/>
        </w:rPr>
        <w:t>n</w:t>
      </w:r>
      <w:r>
        <w:rPr>
          <w:rFonts w:ascii="Times New Roman" w:hAnsi="Times New Roman"/>
          <w:color w:val="000000"/>
        </w:rPr>
        <w:t>ses</w:t>
      </w:r>
      <w:r w:rsidR="00AC3667">
        <w:rPr>
          <w:rFonts w:ascii="Times New Roman" w:hAnsi="Times New Roman"/>
          <w:color w:val="000000"/>
        </w:rPr>
        <w:t xml:space="preserve"> of banks with $1 billion to $10 billion in assets</w:t>
      </w:r>
      <w:r w:rsidR="00B95CB7">
        <w:rPr>
          <w:rFonts w:ascii="Times New Roman" w:hAnsi="Times New Roman"/>
          <w:color w:val="000000"/>
        </w:rPr>
        <w:t xml:space="preserve">, and assuming that businesses with a GAR of $10 million or less are small, the FDIC documented that </w:t>
      </w:r>
      <w:r w:rsidR="00984EEF">
        <w:rPr>
          <w:rFonts w:ascii="Times New Roman" w:hAnsi="Times New Roman"/>
          <w:color w:val="000000"/>
        </w:rPr>
        <w:t>less than</w:t>
      </w:r>
      <w:r w:rsidRPr="00754277" w:rsidR="00B95CB7">
        <w:rPr>
          <w:rFonts w:ascii="Times New Roman" w:hAnsi="Times New Roman"/>
          <w:color w:val="000000"/>
        </w:rPr>
        <w:t xml:space="preserve"> half (48.0 percent) of </w:t>
      </w:r>
      <w:r w:rsidR="00B95CB7">
        <w:rPr>
          <w:rFonts w:ascii="Times New Roman" w:hAnsi="Times New Roman"/>
          <w:color w:val="000000"/>
        </w:rPr>
        <w:t xml:space="preserve">C&amp;I </w:t>
      </w:r>
      <w:r w:rsidRPr="00754277" w:rsidR="00B95CB7">
        <w:rPr>
          <w:rFonts w:ascii="Times New Roman" w:hAnsi="Times New Roman"/>
          <w:color w:val="000000"/>
        </w:rPr>
        <w:t>loan dollars</w:t>
      </w:r>
      <w:r w:rsidR="00B95CB7">
        <w:rPr>
          <w:rFonts w:ascii="Times New Roman" w:hAnsi="Times New Roman"/>
          <w:color w:val="000000"/>
        </w:rPr>
        <w:t xml:space="preserve"> outstanding </w:t>
      </w:r>
      <w:r w:rsidR="001B57B5">
        <w:rPr>
          <w:rFonts w:ascii="Times New Roman" w:hAnsi="Times New Roman"/>
          <w:color w:val="000000"/>
        </w:rPr>
        <w:t>to</w:t>
      </w:r>
      <w:r w:rsidRPr="00754277" w:rsidR="001B57B5">
        <w:rPr>
          <w:rFonts w:ascii="Times New Roman" w:hAnsi="Times New Roman"/>
          <w:color w:val="000000"/>
        </w:rPr>
        <w:t xml:space="preserve"> </w:t>
      </w:r>
      <w:r w:rsidRPr="00754277" w:rsidR="00B95CB7">
        <w:rPr>
          <w:rFonts w:ascii="Times New Roman" w:hAnsi="Times New Roman"/>
          <w:color w:val="000000"/>
        </w:rPr>
        <w:t>small businesses are</w:t>
      </w:r>
      <w:r w:rsidR="006C28E3">
        <w:rPr>
          <w:rFonts w:ascii="Times New Roman" w:hAnsi="Times New Roman"/>
          <w:color w:val="000000"/>
        </w:rPr>
        <w:t xml:space="preserve"> from </w:t>
      </w:r>
      <w:r w:rsidR="00D41FEC">
        <w:rPr>
          <w:rFonts w:ascii="Times New Roman" w:hAnsi="Times New Roman"/>
          <w:color w:val="000000"/>
        </w:rPr>
        <w:t xml:space="preserve">loans </w:t>
      </w:r>
      <w:r w:rsidR="006C28E3">
        <w:rPr>
          <w:rFonts w:ascii="Times New Roman" w:hAnsi="Times New Roman"/>
          <w:color w:val="000000"/>
        </w:rPr>
        <w:t xml:space="preserve">originated for </w:t>
      </w:r>
      <w:r w:rsidR="00B95CB7">
        <w:rPr>
          <w:rFonts w:ascii="Times New Roman" w:hAnsi="Times New Roman"/>
          <w:color w:val="000000"/>
        </w:rPr>
        <w:t xml:space="preserve">$1 million </w:t>
      </w:r>
      <w:r w:rsidR="006C28E3">
        <w:rPr>
          <w:rFonts w:ascii="Times New Roman" w:hAnsi="Times New Roman"/>
          <w:color w:val="000000"/>
        </w:rPr>
        <w:t>or less</w:t>
      </w:r>
      <w:r w:rsidR="00B95CB7">
        <w:rPr>
          <w:rFonts w:ascii="Times New Roman" w:hAnsi="Times New Roman"/>
          <w:color w:val="000000"/>
        </w:rPr>
        <w:t>.</w:t>
      </w:r>
      <w:r w:rsidR="00AC3667">
        <w:rPr>
          <w:rStyle w:val="FootnoteReference"/>
          <w:rFonts w:ascii="Times New Roman" w:hAnsi="Times New Roman"/>
          <w:color w:val="000000"/>
        </w:rPr>
        <w:footnoteReference w:id="2"/>
      </w:r>
      <w:r w:rsidR="006C28E3">
        <w:rPr>
          <w:rFonts w:ascii="Times New Roman" w:hAnsi="Times New Roman"/>
          <w:color w:val="000000"/>
        </w:rPr>
        <w:t xml:space="preserve">  </w:t>
      </w:r>
      <w:r w:rsidR="00480840">
        <w:rPr>
          <w:rFonts w:ascii="Times New Roman" w:hAnsi="Times New Roman"/>
          <w:color w:val="000000"/>
        </w:rPr>
        <w:t xml:space="preserve"> </w:t>
      </w:r>
    </w:p>
    <w:p w:rsidR="00754277" w:rsidRDefault="00754277" w14:paraId="7C4BB2CB" w14:textId="3E7CB4A7">
      <w:pPr>
        <w:widowControl/>
        <w:ind w:left="1282"/>
        <w:rPr>
          <w:rFonts w:ascii="Times New Roman" w:hAnsi="Times New Roman"/>
          <w:color w:val="000000"/>
        </w:rPr>
      </w:pPr>
    </w:p>
    <w:p w:rsidR="004A5358" w:rsidP="004A5358" w:rsidRDefault="004A5358" w14:paraId="1328BCDA" w14:textId="13D859E5">
      <w:pPr>
        <w:widowControl/>
        <w:ind w:left="1282"/>
        <w:rPr>
          <w:rFonts w:ascii="Times New Roman" w:hAnsi="Times New Roman"/>
          <w:color w:val="000000"/>
        </w:rPr>
      </w:pPr>
      <w:r>
        <w:rPr>
          <w:rFonts w:ascii="Times New Roman" w:hAnsi="Times New Roman"/>
          <w:color w:val="000000"/>
        </w:rPr>
        <w:t>The G</w:t>
      </w:r>
      <w:r w:rsidR="00D60991">
        <w:rPr>
          <w:rFonts w:ascii="Times New Roman" w:hAnsi="Times New Roman"/>
          <w:color w:val="000000"/>
        </w:rPr>
        <w:t xml:space="preserve">overnment </w:t>
      </w:r>
      <w:r>
        <w:rPr>
          <w:rFonts w:ascii="Times New Roman" w:hAnsi="Times New Roman"/>
          <w:color w:val="000000"/>
        </w:rPr>
        <w:t>A</w:t>
      </w:r>
      <w:r w:rsidR="00D60991">
        <w:rPr>
          <w:rFonts w:ascii="Times New Roman" w:hAnsi="Times New Roman"/>
          <w:color w:val="000000"/>
        </w:rPr>
        <w:t xml:space="preserve">ccountability </w:t>
      </w:r>
      <w:r>
        <w:rPr>
          <w:rFonts w:ascii="Times New Roman" w:hAnsi="Times New Roman"/>
          <w:color w:val="000000"/>
        </w:rPr>
        <w:t>O</w:t>
      </w:r>
      <w:r w:rsidR="00D60991">
        <w:rPr>
          <w:rFonts w:ascii="Times New Roman" w:hAnsi="Times New Roman"/>
          <w:color w:val="000000"/>
        </w:rPr>
        <w:t>ffice (GAO)</w:t>
      </w:r>
      <w:r>
        <w:rPr>
          <w:rFonts w:ascii="Times New Roman" w:hAnsi="Times New Roman"/>
          <w:color w:val="000000"/>
        </w:rPr>
        <w:t xml:space="preserve"> concluded in a 2018 report that using the Call Report proxy to measure small business lending limits</w:t>
      </w:r>
      <w:r w:rsidRPr="004A5358">
        <w:rPr>
          <w:rFonts w:ascii="Times New Roman" w:hAnsi="Times New Roman"/>
          <w:color w:val="000000"/>
        </w:rPr>
        <w:t xml:space="preserve"> </w:t>
      </w:r>
      <w:r>
        <w:rPr>
          <w:rFonts w:ascii="Times New Roman" w:hAnsi="Times New Roman"/>
          <w:color w:val="000000"/>
        </w:rPr>
        <w:t>“</w:t>
      </w:r>
      <w:r w:rsidRPr="004A5358" w:rsidR="001B57B5">
        <w:rPr>
          <w:rFonts w:ascii="Times New Roman" w:hAnsi="Times New Roman"/>
          <w:color w:val="000000"/>
        </w:rPr>
        <w:t>regulators</w:t>
      </w:r>
      <w:r w:rsidR="001B57B5">
        <w:rPr>
          <w:rFonts w:ascii="Times New Roman" w:hAnsi="Times New Roman"/>
          <w:color w:val="000000"/>
        </w:rPr>
        <w:t>’</w:t>
      </w:r>
      <w:r w:rsidRPr="004A5358" w:rsidR="001B57B5">
        <w:rPr>
          <w:rFonts w:ascii="Times New Roman" w:hAnsi="Times New Roman"/>
          <w:color w:val="000000"/>
        </w:rPr>
        <w:t xml:space="preserve"> </w:t>
      </w:r>
      <w:r w:rsidRPr="004A5358">
        <w:rPr>
          <w:rFonts w:ascii="Times New Roman" w:hAnsi="Times New Roman"/>
          <w:color w:val="000000"/>
        </w:rPr>
        <w:t>and policymakers</w:t>
      </w:r>
      <w:r w:rsidR="001B57B5">
        <w:rPr>
          <w:rFonts w:ascii="Times New Roman" w:hAnsi="Times New Roman"/>
          <w:color w:val="000000"/>
        </w:rPr>
        <w:t>’</w:t>
      </w:r>
      <w:r w:rsidRPr="004A5358">
        <w:rPr>
          <w:rFonts w:ascii="Times New Roman" w:hAnsi="Times New Roman"/>
          <w:color w:val="000000"/>
        </w:rPr>
        <w:t xml:space="preserve"> ability to assess actual changes in banks'</w:t>
      </w:r>
      <w:r>
        <w:rPr>
          <w:rFonts w:ascii="Times New Roman" w:hAnsi="Times New Roman"/>
          <w:color w:val="000000"/>
        </w:rPr>
        <w:t xml:space="preserve"> </w:t>
      </w:r>
      <w:r w:rsidRPr="004A5358">
        <w:rPr>
          <w:rFonts w:ascii="Times New Roman" w:hAnsi="Times New Roman"/>
          <w:color w:val="000000"/>
        </w:rPr>
        <w:t>small business lending, in</w:t>
      </w:r>
      <w:r>
        <w:rPr>
          <w:rFonts w:ascii="Times New Roman" w:hAnsi="Times New Roman"/>
          <w:color w:val="000000"/>
        </w:rPr>
        <w:t>cluding any effect of regulation</w:t>
      </w:r>
      <w:r w:rsidR="001C3A3E">
        <w:rPr>
          <w:rFonts w:ascii="Times New Roman" w:hAnsi="Times New Roman"/>
          <w:color w:val="000000"/>
        </w:rPr>
        <w:t>,</w:t>
      </w:r>
      <w:r>
        <w:rPr>
          <w:rFonts w:ascii="Times New Roman" w:hAnsi="Times New Roman"/>
          <w:color w:val="000000"/>
        </w:rPr>
        <w:t>”</w:t>
      </w:r>
      <w:r w:rsidR="001C3A3E">
        <w:rPr>
          <w:rFonts w:ascii="Times New Roman" w:hAnsi="Times New Roman"/>
          <w:color w:val="000000"/>
        </w:rPr>
        <w:t xml:space="preserve"> relying in part on the findings of SBLS 2016.</w:t>
      </w:r>
      <w:r>
        <w:rPr>
          <w:rStyle w:val="FootnoteReference"/>
          <w:rFonts w:ascii="Times New Roman" w:hAnsi="Times New Roman"/>
          <w:color w:val="000000"/>
        </w:rPr>
        <w:footnoteReference w:id="3"/>
      </w:r>
      <w:r>
        <w:rPr>
          <w:rFonts w:ascii="Times New Roman" w:hAnsi="Times New Roman"/>
          <w:color w:val="000000"/>
        </w:rPr>
        <w:t xml:space="preserve"> </w:t>
      </w:r>
      <w:r w:rsidR="00524B27">
        <w:rPr>
          <w:rFonts w:ascii="Times New Roman" w:hAnsi="Times New Roman"/>
          <w:color w:val="000000"/>
        </w:rPr>
        <w:t xml:space="preserve"> </w:t>
      </w:r>
      <w:r>
        <w:rPr>
          <w:rFonts w:ascii="Times New Roman" w:hAnsi="Times New Roman"/>
          <w:color w:val="000000"/>
        </w:rPr>
        <w:t xml:space="preserve">As a result, the GAO recommended that the Board of Governors of the Federal Reserve System, </w:t>
      </w:r>
      <w:r w:rsidR="001B57B5">
        <w:rPr>
          <w:rFonts w:ascii="Times New Roman" w:hAnsi="Times New Roman"/>
          <w:color w:val="000000"/>
        </w:rPr>
        <w:t xml:space="preserve">the </w:t>
      </w:r>
      <w:r>
        <w:rPr>
          <w:rFonts w:ascii="Times New Roman" w:hAnsi="Times New Roman"/>
          <w:color w:val="000000"/>
        </w:rPr>
        <w:t>Office of the Comptroller of the Currency, and the FDIC reevaluate, and modify as needed, the requirements for the data banks report in the Call Report to better reflect lending to small businesses.</w:t>
      </w:r>
      <w:r w:rsidR="00A87D4A">
        <w:rPr>
          <w:rFonts w:ascii="Times New Roman" w:hAnsi="Times New Roman"/>
          <w:color w:val="000000"/>
        </w:rPr>
        <w:t xml:space="preserve">  </w:t>
      </w:r>
      <w:r w:rsidR="00892D35">
        <w:rPr>
          <w:rFonts w:ascii="Times New Roman" w:hAnsi="Times New Roman"/>
          <w:color w:val="000000"/>
        </w:rPr>
        <w:t>In response, t</w:t>
      </w:r>
      <w:r w:rsidR="00A87D4A">
        <w:rPr>
          <w:rFonts w:ascii="Times New Roman" w:hAnsi="Times New Roman"/>
          <w:color w:val="000000"/>
        </w:rPr>
        <w:t>hese</w:t>
      </w:r>
      <w:r w:rsidR="00892D35">
        <w:rPr>
          <w:rFonts w:ascii="Times New Roman" w:hAnsi="Times New Roman"/>
          <w:color w:val="000000"/>
        </w:rPr>
        <w:t xml:space="preserve"> agencies</w:t>
      </w:r>
      <w:r w:rsidR="00A87D4A">
        <w:rPr>
          <w:rFonts w:ascii="Times New Roman" w:hAnsi="Times New Roman"/>
          <w:color w:val="000000"/>
        </w:rPr>
        <w:t xml:space="preserve"> </w:t>
      </w:r>
      <w:r w:rsidR="00892D35">
        <w:rPr>
          <w:rFonts w:ascii="Times New Roman" w:hAnsi="Times New Roman"/>
          <w:color w:val="000000"/>
        </w:rPr>
        <w:t xml:space="preserve">published a request for comment </w:t>
      </w:r>
      <w:r w:rsidR="00A87D4A">
        <w:rPr>
          <w:rFonts w:ascii="Times New Roman" w:hAnsi="Times New Roman"/>
          <w:color w:val="000000"/>
        </w:rPr>
        <w:t xml:space="preserve">in 2019 </w:t>
      </w:r>
      <w:r w:rsidR="00892D35">
        <w:rPr>
          <w:rFonts w:ascii="Times New Roman" w:hAnsi="Times New Roman"/>
          <w:color w:val="000000"/>
        </w:rPr>
        <w:t>seeking</w:t>
      </w:r>
      <w:r w:rsidR="00A87D4A">
        <w:rPr>
          <w:rFonts w:ascii="Times New Roman" w:hAnsi="Times New Roman"/>
          <w:color w:val="000000"/>
        </w:rPr>
        <w:t xml:space="preserve"> </w:t>
      </w:r>
      <w:r w:rsidRPr="00A87D4A" w:rsidR="00A87D4A">
        <w:rPr>
          <w:rFonts w:ascii="Times New Roman" w:hAnsi="Times New Roman"/>
          <w:color w:val="000000"/>
        </w:rPr>
        <w:t>feedback on ways to improve the usefulness of the Call Report data on loans to s</w:t>
      </w:r>
      <w:r w:rsidR="008B5501">
        <w:rPr>
          <w:rFonts w:ascii="Times New Roman" w:hAnsi="Times New Roman"/>
          <w:color w:val="000000"/>
        </w:rPr>
        <w:t>mall businesses</w:t>
      </w:r>
      <w:r w:rsidR="00A87D4A">
        <w:rPr>
          <w:rFonts w:ascii="Times New Roman" w:hAnsi="Times New Roman"/>
          <w:color w:val="000000"/>
        </w:rPr>
        <w:t>.</w:t>
      </w:r>
    </w:p>
    <w:p w:rsidR="007C40E4" w:rsidP="00F92C97" w:rsidRDefault="007C40E4" w14:paraId="1D851B69" w14:textId="77777777">
      <w:pPr>
        <w:widowControl/>
        <w:rPr>
          <w:rFonts w:ascii="Times New Roman" w:hAnsi="Times New Roman"/>
          <w:color w:val="000000"/>
        </w:rPr>
      </w:pPr>
    </w:p>
    <w:p w:rsidR="0003151B" w:rsidRDefault="00A3439D" w14:paraId="22AC17CE" w14:textId="4DD14795">
      <w:pPr>
        <w:widowControl/>
        <w:ind w:left="1282"/>
        <w:rPr>
          <w:rFonts w:ascii="Times New Roman" w:hAnsi="Times New Roman"/>
          <w:color w:val="000000"/>
        </w:rPr>
      </w:pPr>
      <w:r>
        <w:rPr>
          <w:rFonts w:ascii="Times New Roman" w:hAnsi="Times New Roman"/>
          <w:color w:val="000000"/>
        </w:rPr>
        <w:t>T</w:t>
      </w:r>
      <w:r w:rsidRPr="00C717B8" w:rsidR="006F505E">
        <w:rPr>
          <w:rFonts w:ascii="Times New Roman" w:hAnsi="Times New Roman"/>
          <w:color w:val="000000"/>
        </w:rPr>
        <w:t>he</w:t>
      </w:r>
      <w:r w:rsidR="00231EDB">
        <w:rPr>
          <w:rFonts w:ascii="Times New Roman" w:hAnsi="Times New Roman"/>
          <w:color w:val="000000"/>
        </w:rPr>
        <w:t xml:space="preserve"> proposed </w:t>
      </w:r>
      <w:r>
        <w:rPr>
          <w:rFonts w:ascii="Times New Roman" w:hAnsi="Times New Roman"/>
          <w:color w:val="000000"/>
        </w:rPr>
        <w:t xml:space="preserve">SBLS </w:t>
      </w:r>
      <w:r w:rsidR="00231EDB">
        <w:rPr>
          <w:rFonts w:ascii="Times New Roman" w:hAnsi="Times New Roman"/>
          <w:color w:val="000000"/>
        </w:rPr>
        <w:t>2022</w:t>
      </w:r>
      <w:r w:rsidRPr="00C717B8" w:rsidR="006F505E">
        <w:rPr>
          <w:rFonts w:ascii="Times New Roman" w:hAnsi="Times New Roman"/>
          <w:color w:val="000000"/>
        </w:rPr>
        <w:t xml:space="preserve"> </w:t>
      </w:r>
      <w:r w:rsidR="00A87D4A">
        <w:rPr>
          <w:rFonts w:ascii="Times New Roman" w:hAnsi="Times New Roman"/>
          <w:color w:val="000000"/>
        </w:rPr>
        <w:t xml:space="preserve">seeks to </w:t>
      </w:r>
      <w:r w:rsidR="00524B27">
        <w:rPr>
          <w:rFonts w:ascii="Times New Roman" w:hAnsi="Times New Roman"/>
          <w:color w:val="000000"/>
        </w:rPr>
        <w:t xml:space="preserve">collect </w:t>
      </w:r>
      <w:r w:rsidR="00A87D4A">
        <w:rPr>
          <w:rFonts w:ascii="Times New Roman" w:hAnsi="Times New Roman"/>
          <w:color w:val="000000"/>
        </w:rPr>
        <w:t xml:space="preserve">additional </w:t>
      </w:r>
      <w:r w:rsidR="00524B27">
        <w:rPr>
          <w:rFonts w:ascii="Times New Roman" w:hAnsi="Times New Roman"/>
          <w:color w:val="000000"/>
        </w:rPr>
        <w:t xml:space="preserve">information </w:t>
      </w:r>
      <w:r w:rsidR="00A87D4A">
        <w:rPr>
          <w:rFonts w:ascii="Times New Roman" w:hAnsi="Times New Roman"/>
          <w:color w:val="000000"/>
        </w:rPr>
        <w:t xml:space="preserve">on how to improve Call Report data on small business lending.  </w:t>
      </w:r>
      <w:r w:rsidR="00A35FFD">
        <w:rPr>
          <w:rFonts w:ascii="Times New Roman" w:hAnsi="Times New Roman"/>
          <w:color w:val="000000"/>
        </w:rPr>
        <w:t>The proposed collection</w:t>
      </w:r>
      <w:r>
        <w:rPr>
          <w:rFonts w:ascii="Times New Roman" w:hAnsi="Times New Roman"/>
          <w:color w:val="000000"/>
        </w:rPr>
        <w:t xml:space="preserve"> </w:t>
      </w:r>
      <w:r w:rsidRPr="00C717B8" w:rsidR="006F505E">
        <w:rPr>
          <w:rFonts w:ascii="Times New Roman" w:hAnsi="Times New Roman"/>
          <w:color w:val="000000"/>
        </w:rPr>
        <w:t>asks</w:t>
      </w:r>
      <w:r w:rsidR="002C261D">
        <w:rPr>
          <w:rFonts w:ascii="Times New Roman" w:hAnsi="Times New Roman"/>
          <w:color w:val="000000"/>
        </w:rPr>
        <w:t xml:space="preserve"> basic questions about banks’ ability to easily retrieve information on small business loans by business G</w:t>
      </w:r>
      <w:r w:rsidR="00DB7E2B">
        <w:rPr>
          <w:rFonts w:ascii="Times New Roman" w:hAnsi="Times New Roman"/>
          <w:color w:val="000000"/>
        </w:rPr>
        <w:t xml:space="preserve"> </w:t>
      </w:r>
      <w:r w:rsidR="002C261D">
        <w:rPr>
          <w:rFonts w:ascii="Times New Roman" w:hAnsi="Times New Roman"/>
          <w:color w:val="000000"/>
        </w:rPr>
        <w:t>AR</w:t>
      </w:r>
      <w:r w:rsidR="001C3A3E">
        <w:rPr>
          <w:rFonts w:ascii="Times New Roman" w:hAnsi="Times New Roman"/>
          <w:color w:val="000000"/>
        </w:rPr>
        <w:t>,</w:t>
      </w:r>
      <w:r w:rsidR="002C261D">
        <w:rPr>
          <w:rFonts w:ascii="Times New Roman" w:hAnsi="Times New Roman"/>
          <w:color w:val="000000"/>
        </w:rPr>
        <w:t xml:space="preserve"> whether they use </w:t>
      </w:r>
      <w:r w:rsidRPr="002C261D" w:rsidR="002C261D">
        <w:rPr>
          <w:rFonts w:ascii="Times New Roman" w:hAnsi="Times New Roman"/>
          <w:color w:val="000000"/>
        </w:rPr>
        <w:t>GAR or loan exposures to define small businesses, and if so, what the thresholds are</w:t>
      </w:r>
      <w:r w:rsidR="002C261D">
        <w:rPr>
          <w:rFonts w:ascii="Times New Roman" w:hAnsi="Times New Roman"/>
          <w:color w:val="000000"/>
        </w:rPr>
        <w:t>.  SBLS 2022 also asks</w:t>
      </w:r>
      <w:r w:rsidRPr="00C717B8" w:rsidR="006F505E">
        <w:rPr>
          <w:rFonts w:ascii="Times New Roman" w:hAnsi="Times New Roman"/>
          <w:color w:val="000000"/>
        </w:rPr>
        <w:t xml:space="preserve"> </w:t>
      </w:r>
      <w:r w:rsidR="00F52720">
        <w:rPr>
          <w:rFonts w:ascii="Times New Roman" w:hAnsi="Times New Roman"/>
          <w:color w:val="000000"/>
        </w:rPr>
        <w:t xml:space="preserve">similar </w:t>
      </w:r>
      <w:r w:rsidRPr="00C717B8" w:rsidR="006F505E">
        <w:rPr>
          <w:rFonts w:ascii="Times New Roman" w:hAnsi="Times New Roman"/>
          <w:color w:val="000000"/>
        </w:rPr>
        <w:t>questions about banks’ lending volumes for business purposes</w:t>
      </w:r>
      <w:r w:rsidR="00F52720">
        <w:rPr>
          <w:rFonts w:ascii="Times New Roman" w:hAnsi="Times New Roman"/>
          <w:color w:val="000000"/>
        </w:rPr>
        <w:t xml:space="preserve"> as in 2016, but </w:t>
      </w:r>
      <w:r w:rsidR="00147B20">
        <w:rPr>
          <w:rFonts w:ascii="Times New Roman" w:hAnsi="Times New Roman"/>
          <w:color w:val="000000"/>
        </w:rPr>
        <w:t>by finer gradations for both business size and loan size</w:t>
      </w:r>
      <w:r w:rsidR="002C261D">
        <w:rPr>
          <w:rFonts w:ascii="Times New Roman" w:hAnsi="Times New Roman"/>
          <w:color w:val="000000"/>
        </w:rPr>
        <w:t xml:space="preserve"> and by both</w:t>
      </w:r>
      <w:r w:rsidR="001C3A3E">
        <w:rPr>
          <w:rFonts w:ascii="Times New Roman" w:hAnsi="Times New Roman"/>
          <w:color w:val="000000"/>
        </w:rPr>
        <w:t xml:space="preserve"> loans</w:t>
      </w:r>
      <w:r w:rsidR="002C261D">
        <w:rPr>
          <w:rFonts w:ascii="Times New Roman" w:hAnsi="Times New Roman"/>
          <w:color w:val="000000"/>
        </w:rPr>
        <w:t xml:space="preserve"> outstanding and </w:t>
      </w:r>
      <w:r w:rsidR="001C3A3E">
        <w:rPr>
          <w:rFonts w:ascii="Times New Roman" w:hAnsi="Times New Roman"/>
          <w:color w:val="000000"/>
        </w:rPr>
        <w:t xml:space="preserve">loan </w:t>
      </w:r>
      <w:r w:rsidR="002C261D">
        <w:rPr>
          <w:rFonts w:ascii="Times New Roman" w:hAnsi="Times New Roman"/>
          <w:color w:val="000000"/>
        </w:rPr>
        <w:t>originations</w:t>
      </w:r>
      <w:r w:rsidR="006F505E">
        <w:rPr>
          <w:rFonts w:ascii="Times New Roman" w:hAnsi="Times New Roman"/>
          <w:color w:val="000000"/>
        </w:rPr>
        <w:t>.</w:t>
      </w:r>
      <w:r w:rsidR="002C261D">
        <w:rPr>
          <w:rFonts w:ascii="Times New Roman" w:hAnsi="Times New Roman"/>
          <w:color w:val="000000"/>
        </w:rPr>
        <w:t xml:space="preserve">  This combined information will help policy makers understand how </w:t>
      </w:r>
      <w:r w:rsidR="00015BC5">
        <w:rPr>
          <w:rFonts w:ascii="Times New Roman" w:hAnsi="Times New Roman"/>
          <w:color w:val="000000"/>
        </w:rPr>
        <w:t xml:space="preserve">best </w:t>
      </w:r>
      <w:r w:rsidR="002C261D">
        <w:rPr>
          <w:rFonts w:ascii="Times New Roman" w:hAnsi="Times New Roman"/>
          <w:color w:val="000000"/>
        </w:rPr>
        <w:t xml:space="preserve">to collect accurate information on small business lending </w:t>
      </w:r>
      <w:r w:rsidR="00015BC5">
        <w:rPr>
          <w:rFonts w:ascii="Times New Roman" w:hAnsi="Times New Roman"/>
          <w:color w:val="000000"/>
        </w:rPr>
        <w:t>while exerting</w:t>
      </w:r>
      <w:r w:rsidR="002C261D">
        <w:rPr>
          <w:rFonts w:ascii="Times New Roman" w:hAnsi="Times New Roman"/>
          <w:color w:val="000000"/>
        </w:rPr>
        <w:t xml:space="preserve"> the least burden on banks.</w:t>
      </w:r>
    </w:p>
    <w:p w:rsidR="001B57B5" w:rsidRDefault="001B57B5" w14:paraId="4EA36C12" w14:textId="77777777">
      <w:pPr>
        <w:widowControl/>
        <w:ind w:left="1282"/>
        <w:rPr>
          <w:rFonts w:ascii="Times New Roman" w:hAnsi="Times New Roman"/>
          <w:color w:val="000000"/>
        </w:rPr>
      </w:pPr>
    </w:p>
    <w:p w:rsidR="001B57B5" w:rsidP="001432A2" w:rsidRDefault="000044BD" w14:paraId="0C3883A0" w14:textId="41E3C5A9">
      <w:pPr>
        <w:widowControl/>
        <w:ind w:left="1282"/>
        <w:rPr>
          <w:rFonts w:ascii="Times New Roman" w:hAnsi="Times New Roman"/>
          <w:color w:val="000000"/>
        </w:rPr>
      </w:pPr>
      <w:r>
        <w:rPr>
          <w:rFonts w:ascii="Times New Roman" w:hAnsi="Times New Roman"/>
          <w:color w:val="000000"/>
        </w:rPr>
        <w:lastRenderedPageBreak/>
        <w:t>The proposed</w:t>
      </w:r>
      <w:r w:rsidR="002E68B0">
        <w:rPr>
          <w:rFonts w:ascii="Times New Roman" w:hAnsi="Times New Roman"/>
          <w:color w:val="000000"/>
        </w:rPr>
        <w:t xml:space="preserve"> </w:t>
      </w:r>
      <w:r w:rsidRPr="00C717B8" w:rsidR="00B0455C">
        <w:rPr>
          <w:rFonts w:ascii="Times New Roman" w:hAnsi="Times New Roman"/>
          <w:color w:val="000000"/>
        </w:rPr>
        <w:t>SBLS 2022</w:t>
      </w:r>
      <w:r>
        <w:rPr>
          <w:rFonts w:ascii="Times New Roman" w:hAnsi="Times New Roman"/>
          <w:color w:val="000000"/>
        </w:rPr>
        <w:t xml:space="preserve"> will provide other important data to complement existing sources of d</w:t>
      </w:r>
      <w:r w:rsidR="00B44086">
        <w:rPr>
          <w:rFonts w:ascii="Times New Roman" w:hAnsi="Times New Roman"/>
          <w:color w:val="000000"/>
        </w:rPr>
        <w:t>ata on small businesses lending</w:t>
      </w:r>
      <w:r w:rsidRPr="00C717B8" w:rsidR="00B0455C">
        <w:rPr>
          <w:rFonts w:ascii="Times New Roman" w:hAnsi="Times New Roman"/>
          <w:color w:val="000000"/>
        </w:rPr>
        <w:t>.</w:t>
      </w:r>
      <w:r w:rsidR="00524B27">
        <w:rPr>
          <w:rFonts w:ascii="Times New Roman" w:hAnsi="Times New Roman"/>
          <w:color w:val="000000"/>
        </w:rPr>
        <w:t xml:space="preserve"> </w:t>
      </w:r>
      <w:r w:rsidR="00B0455C">
        <w:rPr>
          <w:rFonts w:ascii="Times New Roman" w:hAnsi="Times New Roman"/>
          <w:color w:val="000000"/>
        </w:rPr>
        <w:t xml:space="preserve"> </w:t>
      </w:r>
      <w:r>
        <w:rPr>
          <w:rFonts w:ascii="Times New Roman" w:hAnsi="Times New Roman"/>
          <w:color w:val="000000"/>
        </w:rPr>
        <w:t xml:space="preserve">Similar to SBLS 2016, SBLS 2022 will </w:t>
      </w:r>
      <w:r w:rsidR="00860F3E">
        <w:rPr>
          <w:rFonts w:ascii="Times New Roman" w:hAnsi="Times New Roman"/>
          <w:color w:val="000000"/>
        </w:rPr>
        <w:t xml:space="preserve">document the </w:t>
      </w:r>
      <w:r w:rsidR="00A05958">
        <w:rPr>
          <w:rFonts w:ascii="Times New Roman" w:hAnsi="Times New Roman"/>
          <w:color w:val="000000"/>
        </w:rPr>
        <w:t xml:space="preserve">current </w:t>
      </w:r>
      <w:r w:rsidR="00860F3E">
        <w:rPr>
          <w:rFonts w:ascii="Times New Roman" w:hAnsi="Times New Roman"/>
          <w:color w:val="000000"/>
        </w:rPr>
        <w:t>types of credit offered, information banks use to underwrite</w:t>
      </w:r>
      <w:r w:rsidR="00E6210D">
        <w:rPr>
          <w:rFonts w:ascii="Times New Roman" w:hAnsi="Times New Roman"/>
          <w:color w:val="000000"/>
        </w:rPr>
        <w:t xml:space="preserve"> loans</w:t>
      </w:r>
      <w:r w:rsidR="00860F3E">
        <w:rPr>
          <w:rFonts w:ascii="Times New Roman" w:hAnsi="Times New Roman"/>
          <w:color w:val="000000"/>
        </w:rPr>
        <w:t>, the market area for small business loans</w:t>
      </w:r>
      <w:r w:rsidR="00B44086">
        <w:rPr>
          <w:rFonts w:ascii="Times New Roman" w:hAnsi="Times New Roman"/>
          <w:color w:val="000000"/>
        </w:rPr>
        <w:t xml:space="preserve">, </w:t>
      </w:r>
      <w:r w:rsidR="0055130F">
        <w:rPr>
          <w:rFonts w:ascii="Times New Roman" w:hAnsi="Times New Roman"/>
          <w:color w:val="000000"/>
        </w:rPr>
        <w:t xml:space="preserve">competition for small business lending, </w:t>
      </w:r>
      <w:r w:rsidR="00B44086">
        <w:rPr>
          <w:rFonts w:ascii="Times New Roman" w:hAnsi="Times New Roman"/>
          <w:color w:val="000000"/>
        </w:rPr>
        <w:t>and the practices used to conduct small business lending</w:t>
      </w:r>
      <w:r w:rsidR="00860F3E">
        <w:rPr>
          <w:rFonts w:ascii="Times New Roman" w:hAnsi="Times New Roman"/>
          <w:color w:val="000000"/>
        </w:rPr>
        <w:t xml:space="preserve">. </w:t>
      </w:r>
      <w:r w:rsidR="00524B27">
        <w:rPr>
          <w:rFonts w:ascii="Times New Roman" w:hAnsi="Times New Roman"/>
          <w:color w:val="000000"/>
        </w:rPr>
        <w:t xml:space="preserve"> </w:t>
      </w:r>
      <w:r w:rsidR="00A05958">
        <w:rPr>
          <w:rFonts w:ascii="Times New Roman" w:hAnsi="Times New Roman"/>
          <w:color w:val="000000"/>
        </w:rPr>
        <w:t>The information gleaned from repeating these topics will help policy makers understand the extent to which</w:t>
      </w:r>
      <w:r w:rsidR="007D2276">
        <w:rPr>
          <w:rFonts w:ascii="Times New Roman" w:hAnsi="Times New Roman"/>
          <w:color w:val="000000"/>
        </w:rPr>
        <w:t xml:space="preserve"> ongoing</w:t>
      </w:r>
      <w:r w:rsidR="00A05958">
        <w:rPr>
          <w:rFonts w:ascii="Times New Roman" w:hAnsi="Times New Roman"/>
          <w:color w:val="000000"/>
        </w:rPr>
        <w:t xml:space="preserve"> consolidation in the banking industry</w:t>
      </w:r>
      <w:r w:rsidR="00524B27">
        <w:rPr>
          <w:rFonts w:ascii="Times New Roman" w:hAnsi="Times New Roman"/>
          <w:color w:val="000000"/>
        </w:rPr>
        <w:t>—</w:t>
      </w:r>
      <w:r w:rsidR="00A05958">
        <w:rPr>
          <w:rFonts w:ascii="Times New Roman" w:hAnsi="Times New Roman"/>
          <w:color w:val="000000"/>
        </w:rPr>
        <w:t>in 2016 there were a little over 6,000 banks in the U.S. and currently there are less than 5,000</w:t>
      </w:r>
      <w:r w:rsidR="00524B27">
        <w:rPr>
          <w:rFonts w:ascii="Times New Roman" w:hAnsi="Times New Roman"/>
          <w:color w:val="000000"/>
        </w:rPr>
        <w:t>—</w:t>
      </w:r>
      <w:r w:rsidR="00A05958">
        <w:rPr>
          <w:rFonts w:ascii="Times New Roman" w:hAnsi="Times New Roman"/>
          <w:color w:val="000000"/>
        </w:rPr>
        <w:t>may have affected how banks conduct their small business lending and small businesses’ access to credit.</w:t>
      </w:r>
      <w:r w:rsidR="001432A2">
        <w:rPr>
          <w:rFonts w:ascii="Times New Roman" w:hAnsi="Times New Roman"/>
          <w:color w:val="000000"/>
        </w:rPr>
        <w:t xml:space="preserve">  </w:t>
      </w:r>
    </w:p>
    <w:p w:rsidR="001B57B5" w:rsidP="001432A2" w:rsidRDefault="001B57B5" w14:paraId="320BEA79" w14:textId="77777777">
      <w:pPr>
        <w:widowControl/>
        <w:ind w:left="1282"/>
        <w:rPr>
          <w:rFonts w:ascii="Times New Roman" w:hAnsi="Times New Roman"/>
          <w:color w:val="000000"/>
        </w:rPr>
      </w:pPr>
    </w:p>
    <w:p w:rsidR="001B57B5" w:rsidP="001432A2" w:rsidRDefault="00B44086" w14:paraId="4A8FDF23" w14:textId="67E4ED37">
      <w:pPr>
        <w:widowControl/>
        <w:ind w:left="1282"/>
        <w:rPr>
          <w:rFonts w:ascii="Times New Roman" w:hAnsi="Times New Roman"/>
          <w:color w:val="000000"/>
        </w:rPr>
      </w:pPr>
      <w:r>
        <w:rPr>
          <w:rFonts w:ascii="Times New Roman" w:hAnsi="Times New Roman"/>
          <w:color w:val="000000"/>
        </w:rPr>
        <w:t>The proposed collection</w:t>
      </w:r>
      <w:r w:rsidR="001432A2">
        <w:rPr>
          <w:rFonts w:ascii="Times New Roman" w:hAnsi="Times New Roman"/>
          <w:color w:val="000000"/>
        </w:rPr>
        <w:t xml:space="preserve"> will also</w:t>
      </w:r>
      <w:r>
        <w:rPr>
          <w:rFonts w:ascii="Times New Roman" w:hAnsi="Times New Roman"/>
          <w:color w:val="000000"/>
        </w:rPr>
        <w:t xml:space="preserve"> </w:t>
      </w:r>
      <w:r w:rsidR="00A05958">
        <w:rPr>
          <w:rFonts w:ascii="Times New Roman" w:hAnsi="Times New Roman"/>
          <w:color w:val="000000"/>
        </w:rPr>
        <w:t xml:space="preserve">provide new information </w:t>
      </w:r>
      <w:r>
        <w:rPr>
          <w:rFonts w:ascii="Times New Roman" w:hAnsi="Times New Roman"/>
          <w:color w:val="000000"/>
        </w:rPr>
        <w:t xml:space="preserve">on banks’ </w:t>
      </w:r>
      <w:r w:rsidR="00DC09E0">
        <w:rPr>
          <w:rFonts w:ascii="Times New Roman" w:hAnsi="Times New Roman"/>
          <w:color w:val="000000"/>
        </w:rPr>
        <w:t>current or planned use</w:t>
      </w:r>
      <w:r>
        <w:rPr>
          <w:rFonts w:ascii="Times New Roman" w:hAnsi="Times New Roman"/>
          <w:color w:val="000000"/>
        </w:rPr>
        <w:t xml:space="preserve"> of </w:t>
      </w:r>
      <w:r w:rsidR="00A05958">
        <w:rPr>
          <w:rFonts w:ascii="Times New Roman" w:hAnsi="Times New Roman"/>
          <w:color w:val="000000"/>
        </w:rPr>
        <w:t>fin</w:t>
      </w:r>
      <w:r w:rsidR="00C41D20">
        <w:rPr>
          <w:rFonts w:ascii="Times New Roman" w:hAnsi="Times New Roman"/>
          <w:color w:val="000000"/>
        </w:rPr>
        <w:t xml:space="preserve">ancial </w:t>
      </w:r>
      <w:r w:rsidR="00A05958">
        <w:rPr>
          <w:rFonts w:ascii="Times New Roman" w:hAnsi="Times New Roman"/>
          <w:color w:val="000000"/>
        </w:rPr>
        <w:t>tech</w:t>
      </w:r>
      <w:r w:rsidR="00C41D20">
        <w:rPr>
          <w:rFonts w:ascii="Times New Roman" w:hAnsi="Times New Roman"/>
          <w:color w:val="000000"/>
        </w:rPr>
        <w:t>nology</w:t>
      </w:r>
      <w:r>
        <w:rPr>
          <w:rFonts w:ascii="Times New Roman" w:hAnsi="Times New Roman"/>
          <w:color w:val="000000"/>
        </w:rPr>
        <w:t xml:space="preserve">, </w:t>
      </w:r>
      <w:r w:rsidR="00A05958">
        <w:rPr>
          <w:rFonts w:ascii="Times New Roman" w:hAnsi="Times New Roman"/>
          <w:color w:val="000000"/>
        </w:rPr>
        <w:t>whether and how banks use automated lending</w:t>
      </w:r>
      <w:r>
        <w:rPr>
          <w:rFonts w:ascii="Times New Roman" w:hAnsi="Times New Roman"/>
          <w:color w:val="000000"/>
        </w:rPr>
        <w:t xml:space="preserve">, and the effects of the coronavirus pandemic </w:t>
      </w:r>
      <w:r w:rsidR="00A05958">
        <w:rPr>
          <w:rFonts w:ascii="Times New Roman" w:hAnsi="Times New Roman"/>
          <w:color w:val="000000"/>
        </w:rPr>
        <w:t>with respect to</w:t>
      </w:r>
      <w:r>
        <w:rPr>
          <w:rFonts w:ascii="Times New Roman" w:hAnsi="Times New Roman"/>
          <w:color w:val="000000"/>
        </w:rPr>
        <w:t xml:space="preserve"> their small business loan program</w:t>
      </w:r>
      <w:r w:rsidR="00A05958">
        <w:rPr>
          <w:rFonts w:ascii="Times New Roman" w:hAnsi="Times New Roman"/>
          <w:color w:val="000000"/>
        </w:rPr>
        <w:t>s</w:t>
      </w:r>
      <w:r>
        <w:rPr>
          <w:rFonts w:ascii="Times New Roman" w:hAnsi="Times New Roman"/>
          <w:color w:val="000000"/>
        </w:rPr>
        <w:t xml:space="preserve">.  </w:t>
      </w:r>
    </w:p>
    <w:p w:rsidR="00C41D20" w:rsidP="001432A2" w:rsidRDefault="00C41D20" w14:paraId="08623388" w14:textId="77777777">
      <w:pPr>
        <w:widowControl/>
        <w:ind w:left="1282"/>
        <w:rPr>
          <w:rFonts w:ascii="Times New Roman" w:hAnsi="Times New Roman"/>
          <w:color w:val="000000"/>
        </w:rPr>
      </w:pPr>
    </w:p>
    <w:p w:rsidRPr="00243153" w:rsidR="00927719" w:rsidRDefault="002C031D" w14:paraId="7995980C" w14:textId="060C6668">
      <w:pPr>
        <w:widowControl/>
        <w:tabs>
          <w:tab w:val="left" w:pos="432"/>
          <w:tab w:val="left" w:pos="1296"/>
          <w:tab w:val="left" w:pos="1728"/>
          <w:tab w:val="left" w:pos="4176"/>
        </w:tabs>
        <w:ind w:firstLine="432"/>
        <w:rPr>
          <w:rFonts w:ascii="Times New Roman" w:hAnsi="Times New Roman"/>
          <w:color w:val="000000"/>
          <w:u w:val="single"/>
        </w:rPr>
      </w:pPr>
      <w:r w:rsidRPr="00243153">
        <w:rPr>
          <w:rFonts w:ascii="Times New Roman" w:hAnsi="Times New Roman"/>
          <w:color w:val="000000"/>
        </w:rPr>
        <w:t>2.</w:t>
      </w:r>
      <w:r w:rsidRPr="00243153">
        <w:rPr>
          <w:rFonts w:ascii="Times New Roman" w:hAnsi="Times New Roman"/>
          <w:color w:val="000000"/>
        </w:rPr>
        <w:tab/>
      </w:r>
      <w:r w:rsidRPr="00243153">
        <w:rPr>
          <w:rFonts w:ascii="Times New Roman" w:hAnsi="Times New Roman"/>
          <w:color w:val="000000"/>
          <w:u w:val="single"/>
        </w:rPr>
        <w:t xml:space="preserve">Use of </w:t>
      </w:r>
      <w:r w:rsidR="00C41D20">
        <w:rPr>
          <w:rFonts w:ascii="Times New Roman" w:hAnsi="Times New Roman"/>
          <w:color w:val="000000"/>
          <w:u w:val="single"/>
        </w:rPr>
        <w:t>i</w:t>
      </w:r>
      <w:r w:rsidRPr="00243153">
        <w:rPr>
          <w:rFonts w:ascii="Times New Roman" w:hAnsi="Times New Roman"/>
          <w:color w:val="000000"/>
          <w:u w:val="single"/>
        </w:rPr>
        <w:t xml:space="preserve">nformation </w:t>
      </w:r>
      <w:r w:rsidR="00C41D20">
        <w:rPr>
          <w:rFonts w:ascii="Times New Roman" w:hAnsi="Times New Roman"/>
          <w:color w:val="000000"/>
          <w:u w:val="single"/>
        </w:rPr>
        <w:t>c</w:t>
      </w:r>
      <w:r w:rsidRPr="00243153">
        <w:rPr>
          <w:rFonts w:ascii="Times New Roman" w:hAnsi="Times New Roman"/>
          <w:color w:val="000000"/>
          <w:u w:val="single"/>
        </w:rPr>
        <w:t>ollected</w:t>
      </w:r>
      <w:r w:rsidR="00C41D20">
        <w:rPr>
          <w:rFonts w:ascii="Times New Roman" w:hAnsi="Times New Roman"/>
          <w:color w:val="000000"/>
          <w:u w:val="single"/>
        </w:rPr>
        <w:t>:</w:t>
      </w:r>
    </w:p>
    <w:p w:rsidRPr="00243153" w:rsidR="00927719" w:rsidRDefault="00927719" w14:paraId="7AF6F413" w14:textId="77777777">
      <w:pPr>
        <w:widowControl/>
        <w:tabs>
          <w:tab w:val="left" w:pos="432"/>
          <w:tab w:val="left" w:pos="1296"/>
          <w:tab w:val="left" w:pos="1728"/>
          <w:tab w:val="left" w:pos="4176"/>
        </w:tabs>
        <w:rPr>
          <w:rFonts w:ascii="Times New Roman" w:hAnsi="Times New Roman"/>
          <w:color w:val="000000"/>
        </w:rPr>
      </w:pPr>
    </w:p>
    <w:p w:rsidR="00776A18" w:rsidP="00776A18" w:rsidRDefault="002C031D" w14:paraId="597774D5" w14:textId="3EDD33AB">
      <w:pPr>
        <w:widowControl/>
        <w:tabs>
          <w:tab w:val="left" w:pos="432"/>
          <w:tab w:val="left" w:pos="1296"/>
          <w:tab w:val="left" w:pos="1728"/>
          <w:tab w:val="left" w:pos="4176"/>
        </w:tabs>
        <w:ind w:left="1296"/>
        <w:rPr>
          <w:rFonts w:ascii="Times New Roman" w:hAnsi="Times New Roman"/>
        </w:rPr>
      </w:pPr>
      <w:bookmarkStart w:name="OLE_LINK1" w:id="7"/>
      <w:bookmarkStart w:name="OLE_LINK2" w:id="8"/>
      <w:r w:rsidRPr="00243153">
        <w:rPr>
          <w:rFonts w:ascii="Times New Roman" w:hAnsi="Times New Roman"/>
          <w:color w:val="000000"/>
          <w:szCs w:val="24"/>
        </w:rPr>
        <w:t xml:space="preserve">The FDIC </w:t>
      </w:r>
      <w:r w:rsidRPr="00243153" w:rsidR="00E1400D">
        <w:rPr>
          <w:rFonts w:ascii="Times New Roman" w:hAnsi="Times New Roman"/>
          <w:color w:val="000000"/>
          <w:szCs w:val="24"/>
        </w:rPr>
        <w:t xml:space="preserve">will </w:t>
      </w:r>
      <w:r w:rsidRPr="00243153">
        <w:rPr>
          <w:rFonts w:ascii="Times New Roman" w:hAnsi="Times New Roman"/>
          <w:color w:val="000000"/>
          <w:szCs w:val="24"/>
        </w:rPr>
        <w:t xml:space="preserve">use the information collected from the survey to </w:t>
      </w:r>
      <w:r w:rsidRPr="00243153">
        <w:rPr>
          <w:rFonts w:ascii="Times New Roman" w:hAnsi="Times New Roman"/>
        </w:rPr>
        <w:t>produce</w:t>
      </w:r>
      <w:r w:rsidR="00776A18">
        <w:rPr>
          <w:rFonts w:ascii="Times New Roman" w:hAnsi="Times New Roman"/>
        </w:rPr>
        <w:t xml:space="preserve"> a report of main findings, scheduled to be published in 2024</w:t>
      </w:r>
      <w:r w:rsidR="00141E90">
        <w:rPr>
          <w:rFonts w:ascii="Times New Roman" w:hAnsi="Times New Roman"/>
        </w:rPr>
        <w:t xml:space="preserve">, and </w:t>
      </w:r>
      <w:r w:rsidR="001B57B5">
        <w:rPr>
          <w:rFonts w:ascii="Times New Roman" w:hAnsi="Times New Roman"/>
        </w:rPr>
        <w:t xml:space="preserve">will </w:t>
      </w:r>
      <w:r w:rsidR="00141E90">
        <w:rPr>
          <w:rFonts w:ascii="Times New Roman" w:hAnsi="Times New Roman"/>
        </w:rPr>
        <w:t>share the findings with the industry, policy makers, and academics</w:t>
      </w:r>
      <w:r w:rsidR="00776A18">
        <w:rPr>
          <w:rFonts w:ascii="Times New Roman" w:hAnsi="Times New Roman"/>
        </w:rPr>
        <w:t xml:space="preserve">. </w:t>
      </w:r>
      <w:r w:rsidR="00524B27">
        <w:rPr>
          <w:rFonts w:ascii="Times New Roman" w:hAnsi="Times New Roman"/>
        </w:rPr>
        <w:t xml:space="preserve"> </w:t>
      </w:r>
      <w:r w:rsidR="00776A18">
        <w:rPr>
          <w:rFonts w:ascii="Times New Roman" w:hAnsi="Times New Roman"/>
        </w:rPr>
        <w:t>We plan to explore whether there are differences in bank practices for banks of different sizes</w:t>
      </w:r>
      <w:r w:rsidR="00770B5C">
        <w:rPr>
          <w:rFonts w:ascii="Times New Roman" w:hAnsi="Times New Roman"/>
        </w:rPr>
        <w:t xml:space="preserve"> and for banks with different business models</w:t>
      </w:r>
      <w:r w:rsidR="00776A18">
        <w:rPr>
          <w:rFonts w:ascii="Times New Roman" w:hAnsi="Times New Roman"/>
        </w:rPr>
        <w:t xml:space="preserve">, and </w:t>
      </w:r>
      <w:r w:rsidR="00770B5C">
        <w:rPr>
          <w:rFonts w:ascii="Times New Roman" w:hAnsi="Times New Roman"/>
        </w:rPr>
        <w:t xml:space="preserve">to </w:t>
      </w:r>
      <w:r w:rsidR="00776A18">
        <w:rPr>
          <w:rFonts w:ascii="Times New Roman" w:hAnsi="Times New Roman"/>
        </w:rPr>
        <w:t>doc</w:t>
      </w:r>
      <w:r w:rsidR="00CA6D71">
        <w:rPr>
          <w:rFonts w:ascii="Times New Roman" w:hAnsi="Times New Roman"/>
        </w:rPr>
        <w:t>ument changes over time in</w:t>
      </w:r>
      <w:r w:rsidR="007902BF">
        <w:rPr>
          <w:rFonts w:ascii="Times New Roman" w:hAnsi="Times New Roman"/>
        </w:rPr>
        <w:t xml:space="preserve"> responses to</w:t>
      </w:r>
      <w:r w:rsidR="00776A18">
        <w:rPr>
          <w:rFonts w:ascii="Times New Roman" w:hAnsi="Times New Roman"/>
        </w:rPr>
        <w:t xml:space="preserve"> questions that were retained from SBLS 2016</w:t>
      </w:r>
      <w:r w:rsidR="00CA6D71">
        <w:rPr>
          <w:rFonts w:ascii="Times New Roman" w:hAnsi="Times New Roman"/>
        </w:rPr>
        <w:t xml:space="preserve">. </w:t>
      </w:r>
      <w:bookmarkEnd w:id="7"/>
      <w:bookmarkEnd w:id="8"/>
      <w:r w:rsidR="00524B27">
        <w:rPr>
          <w:rFonts w:ascii="Times New Roman" w:hAnsi="Times New Roman"/>
        </w:rPr>
        <w:t xml:space="preserve"> </w:t>
      </w:r>
      <w:r w:rsidR="00CA6D71">
        <w:rPr>
          <w:rFonts w:ascii="Times New Roman" w:hAnsi="Times New Roman"/>
        </w:rPr>
        <w:t>The FDIC may also use the collected data to produce more detailed research studies that focus on specific topics</w:t>
      </w:r>
      <w:r w:rsidR="00770B5C">
        <w:rPr>
          <w:rFonts w:ascii="Times New Roman" w:hAnsi="Times New Roman"/>
        </w:rPr>
        <w:t>.</w:t>
      </w:r>
    </w:p>
    <w:p w:rsidRPr="00243153" w:rsidR="00927719" w:rsidP="003D4315" w:rsidRDefault="00927719" w14:paraId="00317D0D" w14:textId="77777777">
      <w:pPr>
        <w:widowControl/>
        <w:tabs>
          <w:tab w:val="left" w:pos="432"/>
          <w:tab w:val="left" w:pos="1296"/>
          <w:tab w:val="left" w:pos="1728"/>
          <w:tab w:val="left" w:pos="4176"/>
        </w:tabs>
        <w:ind w:left="1296"/>
        <w:rPr>
          <w:rFonts w:ascii="Times New Roman" w:hAnsi="Times New Roman"/>
          <w:color w:val="000000"/>
        </w:rPr>
      </w:pPr>
    </w:p>
    <w:p w:rsidRPr="00243153" w:rsidR="00927719" w:rsidRDefault="002C031D" w14:paraId="0597005E" w14:textId="2D3F39AA">
      <w:pPr>
        <w:widowControl/>
        <w:tabs>
          <w:tab w:val="left" w:pos="432"/>
          <w:tab w:val="left" w:pos="1296"/>
          <w:tab w:val="left" w:pos="1728"/>
          <w:tab w:val="left" w:pos="4176"/>
        </w:tabs>
        <w:ind w:firstLine="432"/>
        <w:rPr>
          <w:rFonts w:ascii="Times New Roman" w:hAnsi="Times New Roman"/>
          <w:color w:val="000000"/>
        </w:rPr>
      </w:pPr>
      <w:r w:rsidRPr="00243153">
        <w:rPr>
          <w:rFonts w:ascii="Times New Roman" w:hAnsi="Times New Roman"/>
          <w:color w:val="000000"/>
        </w:rPr>
        <w:t>3.</w:t>
      </w:r>
      <w:r w:rsidRPr="00243153">
        <w:rPr>
          <w:rFonts w:ascii="Times New Roman" w:hAnsi="Times New Roman"/>
          <w:color w:val="000000"/>
        </w:rPr>
        <w:tab/>
      </w:r>
      <w:r w:rsidRPr="00CF34FA" w:rsidR="00D976FA">
        <w:rPr>
          <w:rFonts w:ascii="Times New Roman" w:hAnsi="Times New Roman"/>
          <w:u w:val="single"/>
        </w:rPr>
        <w:t>Consideration of the use of improved information technology:</w:t>
      </w:r>
      <w:r w:rsidRPr="00243153">
        <w:rPr>
          <w:rFonts w:ascii="Times New Roman" w:hAnsi="Times New Roman"/>
          <w:color w:val="000000"/>
          <w:u w:val="single"/>
        </w:rPr>
        <w:t xml:space="preserve"> </w:t>
      </w:r>
    </w:p>
    <w:p w:rsidRPr="00243153" w:rsidR="00927719" w:rsidRDefault="00927719" w14:paraId="0CF5C2D0" w14:textId="77777777">
      <w:pPr>
        <w:widowControl/>
        <w:tabs>
          <w:tab w:val="left" w:pos="432"/>
          <w:tab w:val="left" w:pos="1296"/>
          <w:tab w:val="left" w:pos="1728"/>
          <w:tab w:val="left" w:pos="4176"/>
        </w:tabs>
        <w:rPr>
          <w:rFonts w:ascii="Times New Roman" w:hAnsi="Times New Roman"/>
          <w:color w:val="000000"/>
        </w:rPr>
      </w:pPr>
    </w:p>
    <w:p w:rsidRPr="00243153" w:rsidR="00E718F3" w:rsidP="00E7216A" w:rsidRDefault="002C031D" w14:paraId="4B3F4AF0" w14:textId="753E62C2">
      <w:pPr>
        <w:widowControl/>
        <w:tabs>
          <w:tab w:val="left" w:pos="432"/>
          <w:tab w:val="left" w:pos="1296"/>
          <w:tab w:val="left" w:pos="1728"/>
          <w:tab w:val="left" w:pos="4176"/>
        </w:tabs>
        <w:ind w:left="1296"/>
        <w:rPr>
          <w:rFonts w:ascii="Times New Roman" w:hAnsi="Times New Roman"/>
        </w:rPr>
      </w:pPr>
      <w:r w:rsidRPr="00243153">
        <w:rPr>
          <w:rFonts w:ascii="Times New Roman" w:hAnsi="Times New Roman"/>
        </w:rPr>
        <w:t>The Census Bureau</w:t>
      </w:r>
      <w:r w:rsidRPr="00243153" w:rsidR="000C5B10">
        <w:rPr>
          <w:rFonts w:ascii="Times New Roman" w:hAnsi="Times New Roman"/>
        </w:rPr>
        <w:t>, with which the FDIC has contracted to collect the survey data,</w:t>
      </w:r>
      <w:r w:rsidRPr="00243153" w:rsidR="00D653A6">
        <w:rPr>
          <w:rFonts w:ascii="Times New Roman" w:hAnsi="Times New Roman"/>
        </w:rPr>
        <w:t xml:space="preserve"> will </w:t>
      </w:r>
      <w:r w:rsidRPr="00243153" w:rsidR="0073058A">
        <w:rPr>
          <w:rFonts w:ascii="Times New Roman" w:hAnsi="Times New Roman"/>
        </w:rPr>
        <w:t xml:space="preserve">collect this </w:t>
      </w:r>
      <w:r w:rsidRPr="00243153" w:rsidR="00E718F3">
        <w:rPr>
          <w:rFonts w:ascii="Times New Roman" w:hAnsi="Times New Roman"/>
        </w:rPr>
        <w:t xml:space="preserve">data using a web interface that will be user-tested to ensure comprehensibility and ease-of-use.  In addition, </w:t>
      </w:r>
      <w:r w:rsidRPr="00243153" w:rsidR="00BE7A88">
        <w:rPr>
          <w:rFonts w:ascii="Times New Roman" w:hAnsi="Times New Roman"/>
        </w:rPr>
        <w:t xml:space="preserve">the </w:t>
      </w:r>
      <w:r w:rsidR="00047D36">
        <w:rPr>
          <w:rFonts w:ascii="Times New Roman" w:hAnsi="Times New Roman"/>
        </w:rPr>
        <w:t xml:space="preserve">survey is organized </w:t>
      </w:r>
      <w:r w:rsidRPr="00243153" w:rsidR="00BE7A88">
        <w:rPr>
          <w:rFonts w:ascii="Times New Roman" w:hAnsi="Times New Roman"/>
        </w:rPr>
        <w:t xml:space="preserve">into distinct sections that can be accessed independently and answered by different bank personnel, reducing the need to </w:t>
      </w:r>
      <w:r w:rsidRPr="00243153" w:rsidR="00047D36">
        <w:rPr>
          <w:rFonts w:ascii="Times New Roman" w:hAnsi="Times New Roman"/>
        </w:rPr>
        <w:t xml:space="preserve">potentially </w:t>
      </w:r>
      <w:r w:rsidRPr="00243153" w:rsidR="00BE7A88">
        <w:rPr>
          <w:rFonts w:ascii="Times New Roman" w:hAnsi="Times New Roman"/>
        </w:rPr>
        <w:t xml:space="preserve">coordinate among several respondents within a bank. </w:t>
      </w:r>
      <w:r w:rsidR="00524B27">
        <w:rPr>
          <w:rFonts w:ascii="Times New Roman" w:hAnsi="Times New Roman"/>
        </w:rPr>
        <w:t xml:space="preserve"> </w:t>
      </w:r>
      <w:r w:rsidR="00047D36">
        <w:rPr>
          <w:rFonts w:ascii="Times New Roman" w:hAnsi="Times New Roman"/>
        </w:rPr>
        <w:t>T</w:t>
      </w:r>
      <w:r w:rsidRPr="00243153" w:rsidR="00047D36">
        <w:rPr>
          <w:rFonts w:ascii="Times New Roman" w:hAnsi="Times New Roman"/>
        </w:rPr>
        <w:t xml:space="preserve">o </w:t>
      </w:r>
      <w:r w:rsidR="00047D36">
        <w:rPr>
          <w:rFonts w:ascii="Times New Roman" w:hAnsi="Times New Roman"/>
        </w:rPr>
        <w:t xml:space="preserve">help </w:t>
      </w:r>
      <w:r w:rsidRPr="00243153" w:rsidR="00047D36">
        <w:rPr>
          <w:rFonts w:ascii="Times New Roman" w:hAnsi="Times New Roman"/>
        </w:rPr>
        <w:t>ensure that the appropriate bank personnel respond to survey questions to which they have subject-matter expertise,</w:t>
      </w:r>
      <w:r w:rsidR="00373273">
        <w:rPr>
          <w:rFonts w:ascii="Times New Roman" w:hAnsi="Times New Roman"/>
        </w:rPr>
        <w:t xml:space="preserve"> we provide</w:t>
      </w:r>
      <w:r w:rsidR="00047D36">
        <w:rPr>
          <w:rFonts w:ascii="Times New Roman" w:hAnsi="Times New Roman"/>
        </w:rPr>
        <w:t xml:space="preserve"> suggested bank personnel for each section.</w:t>
      </w:r>
    </w:p>
    <w:p w:rsidR="006E0192" w:rsidRDefault="006E0192" w14:paraId="562AB4A3" w14:textId="1B227235">
      <w:pPr>
        <w:widowControl/>
        <w:rPr>
          <w:rFonts w:ascii="Times New Roman" w:hAnsi="Times New Roman"/>
          <w:color w:val="000000"/>
          <w:szCs w:val="24"/>
        </w:rPr>
      </w:pPr>
    </w:p>
    <w:p w:rsidRPr="006363B1" w:rsidR="00927719" w:rsidRDefault="002C031D" w14:paraId="3F60B279" w14:textId="2B176FCD">
      <w:pPr>
        <w:widowControl/>
        <w:numPr>
          <w:ilvl w:val="0"/>
          <w:numId w:val="8"/>
        </w:numPr>
        <w:tabs>
          <w:tab w:val="left" w:pos="432"/>
          <w:tab w:val="left" w:pos="1728"/>
          <w:tab w:val="left" w:pos="4176"/>
        </w:tabs>
        <w:rPr>
          <w:rFonts w:ascii="Times New Roman" w:hAnsi="Times New Roman"/>
          <w:color w:val="000000"/>
          <w:u w:val="single"/>
        </w:rPr>
      </w:pPr>
      <w:r w:rsidRPr="006363B1">
        <w:rPr>
          <w:rFonts w:ascii="Times New Roman" w:hAnsi="Times New Roman"/>
          <w:color w:val="000000"/>
          <w:u w:val="single"/>
        </w:rPr>
        <w:t xml:space="preserve">Efforts to </w:t>
      </w:r>
      <w:r w:rsidR="00C41D20">
        <w:rPr>
          <w:rFonts w:ascii="Times New Roman" w:hAnsi="Times New Roman"/>
          <w:color w:val="000000"/>
          <w:u w:val="single"/>
        </w:rPr>
        <w:t>i</w:t>
      </w:r>
      <w:r w:rsidRPr="006363B1">
        <w:rPr>
          <w:rFonts w:ascii="Times New Roman" w:hAnsi="Times New Roman"/>
          <w:color w:val="000000"/>
          <w:u w:val="single"/>
        </w:rPr>
        <w:t xml:space="preserve">dentify </w:t>
      </w:r>
      <w:r w:rsidR="00C41D20">
        <w:rPr>
          <w:rFonts w:ascii="Times New Roman" w:hAnsi="Times New Roman"/>
          <w:color w:val="000000"/>
          <w:u w:val="single"/>
        </w:rPr>
        <w:t>d</w:t>
      </w:r>
      <w:r w:rsidRPr="006363B1">
        <w:rPr>
          <w:rFonts w:ascii="Times New Roman" w:hAnsi="Times New Roman"/>
          <w:color w:val="000000"/>
          <w:u w:val="single"/>
        </w:rPr>
        <w:t>uplication</w:t>
      </w:r>
      <w:r w:rsidR="00C41D20">
        <w:rPr>
          <w:rFonts w:ascii="Times New Roman" w:hAnsi="Times New Roman"/>
          <w:color w:val="000000"/>
          <w:u w:val="single"/>
        </w:rPr>
        <w:t>:</w:t>
      </w:r>
      <w:r w:rsidRPr="006363B1">
        <w:rPr>
          <w:rFonts w:ascii="Times New Roman" w:hAnsi="Times New Roman"/>
          <w:color w:val="000000"/>
          <w:u w:val="single"/>
        </w:rPr>
        <w:t xml:space="preserve"> </w:t>
      </w:r>
    </w:p>
    <w:p w:rsidRPr="00243153" w:rsidR="00927719" w:rsidRDefault="00927719" w14:paraId="7BAB9CF4" w14:textId="77777777">
      <w:pPr>
        <w:widowControl/>
        <w:tabs>
          <w:tab w:val="left" w:pos="432"/>
          <w:tab w:val="left" w:pos="1728"/>
          <w:tab w:val="left" w:pos="4176"/>
        </w:tabs>
        <w:ind w:left="432"/>
        <w:rPr>
          <w:rFonts w:ascii="Times New Roman" w:hAnsi="Times New Roman"/>
          <w:color w:val="000000"/>
          <w:szCs w:val="24"/>
        </w:rPr>
      </w:pPr>
    </w:p>
    <w:p w:rsidR="00D976FA" w:rsidP="00D976FA" w:rsidRDefault="00D976FA" w14:paraId="27A3D629" w14:textId="60234FA8">
      <w:pPr>
        <w:widowControl/>
        <w:ind w:left="1282"/>
        <w:rPr>
          <w:rFonts w:ascii="Times New Roman" w:hAnsi="Times New Roman"/>
          <w:color w:val="000000"/>
        </w:rPr>
      </w:pPr>
      <w:r w:rsidRPr="001432A2">
        <w:rPr>
          <w:rFonts w:ascii="Times New Roman" w:hAnsi="Times New Roman"/>
          <w:color w:val="000000"/>
        </w:rPr>
        <w:t>The</w:t>
      </w:r>
      <w:r w:rsidR="00D9218C">
        <w:rPr>
          <w:rFonts w:ascii="Times New Roman" w:hAnsi="Times New Roman"/>
          <w:color w:val="000000"/>
        </w:rPr>
        <w:t xml:space="preserve">re is no other </w:t>
      </w:r>
      <w:r w:rsidRPr="001432A2">
        <w:rPr>
          <w:rFonts w:ascii="Times New Roman" w:hAnsi="Times New Roman"/>
          <w:color w:val="000000"/>
        </w:rPr>
        <w:t xml:space="preserve">survey </w:t>
      </w:r>
      <w:r w:rsidR="00D9218C">
        <w:rPr>
          <w:rFonts w:ascii="Times New Roman" w:hAnsi="Times New Roman"/>
          <w:color w:val="000000"/>
        </w:rPr>
        <w:t>or report that collects as comprehensive a set of information of small business lending by banks</w:t>
      </w:r>
      <w:r>
        <w:rPr>
          <w:rFonts w:ascii="Times New Roman" w:hAnsi="Times New Roman"/>
          <w:color w:val="000000"/>
        </w:rPr>
        <w:t>.</w:t>
      </w:r>
      <w:r w:rsidR="00D9218C">
        <w:rPr>
          <w:rFonts w:ascii="Times New Roman" w:hAnsi="Times New Roman"/>
          <w:color w:val="000000"/>
        </w:rPr>
        <w:t xml:space="preserve"> </w:t>
      </w:r>
      <w:r w:rsidR="00524B27">
        <w:rPr>
          <w:rFonts w:ascii="Times New Roman" w:hAnsi="Times New Roman"/>
          <w:color w:val="000000"/>
        </w:rPr>
        <w:t xml:space="preserve"> </w:t>
      </w:r>
      <w:r w:rsidR="00D9218C">
        <w:rPr>
          <w:rFonts w:ascii="Times New Roman" w:hAnsi="Times New Roman"/>
          <w:color w:val="000000"/>
        </w:rPr>
        <w:t xml:space="preserve">There are other information collections which have questions that duplicate a small number of </w:t>
      </w:r>
      <w:r w:rsidR="002D6FA5">
        <w:rPr>
          <w:rFonts w:ascii="Times New Roman" w:hAnsi="Times New Roman"/>
          <w:color w:val="000000"/>
        </w:rPr>
        <w:t>those</w:t>
      </w:r>
      <w:r w:rsidR="00D9218C">
        <w:rPr>
          <w:rFonts w:ascii="Times New Roman" w:hAnsi="Times New Roman"/>
          <w:color w:val="000000"/>
        </w:rPr>
        <w:t xml:space="preserve"> from the proposed survey, but these collections are either not nationally representative or have a narrow </w:t>
      </w:r>
      <w:r w:rsidR="001D4F89">
        <w:rPr>
          <w:rFonts w:ascii="Times New Roman" w:hAnsi="Times New Roman"/>
          <w:color w:val="000000"/>
        </w:rPr>
        <w:t>focus</w:t>
      </w:r>
      <w:r w:rsidR="00D9218C">
        <w:rPr>
          <w:rFonts w:ascii="Times New Roman" w:hAnsi="Times New Roman"/>
          <w:color w:val="000000"/>
        </w:rPr>
        <w:t xml:space="preserve"> that limits</w:t>
      </w:r>
      <w:r w:rsidR="00936AF6">
        <w:rPr>
          <w:rFonts w:ascii="Times New Roman" w:hAnsi="Times New Roman"/>
          <w:color w:val="000000"/>
        </w:rPr>
        <w:t xml:space="preserve"> their value as a replacement for the proposed survey</w:t>
      </w:r>
      <w:r w:rsidR="00D9218C">
        <w:rPr>
          <w:rFonts w:ascii="Times New Roman" w:hAnsi="Times New Roman"/>
          <w:color w:val="000000"/>
        </w:rPr>
        <w:t>.</w:t>
      </w:r>
    </w:p>
    <w:p w:rsidRPr="00243153" w:rsidR="00D976FA" w:rsidP="00D976FA" w:rsidRDefault="00D976FA" w14:paraId="535BB41E" w14:textId="77777777">
      <w:pPr>
        <w:widowControl/>
        <w:rPr>
          <w:rFonts w:ascii="Times New Roman" w:hAnsi="Times New Roman"/>
          <w:color w:val="000000"/>
        </w:rPr>
      </w:pPr>
      <w:r w:rsidRPr="00243153">
        <w:rPr>
          <w:rFonts w:ascii="Times New Roman" w:hAnsi="Times New Roman"/>
          <w:color w:val="000000"/>
        </w:rPr>
        <w:lastRenderedPageBreak/>
        <w:t xml:space="preserve"> </w:t>
      </w:r>
    </w:p>
    <w:p w:rsidR="007E1B8E" w:rsidRDefault="00936AF6" w14:paraId="6C1E55D1" w14:textId="1E38B4B6">
      <w:pPr>
        <w:widowControl/>
        <w:ind w:left="1282"/>
        <w:rPr>
          <w:rFonts w:ascii="Times New Roman" w:hAnsi="Times New Roman"/>
          <w:color w:val="000000"/>
        </w:rPr>
      </w:pPr>
      <w:r w:rsidRPr="00936AF6">
        <w:rPr>
          <w:rFonts w:ascii="Times New Roman" w:hAnsi="Times New Roman"/>
          <w:color w:val="000000"/>
        </w:rPr>
        <w:t xml:space="preserve">For example, the Board collects </w:t>
      </w:r>
      <w:r>
        <w:rPr>
          <w:rFonts w:ascii="Times New Roman" w:hAnsi="Times New Roman"/>
          <w:color w:val="000000"/>
        </w:rPr>
        <w:t>a report of small business lending</w:t>
      </w:r>
      <w:r w:rsidRPr="00936AF6">
        <w:rPr>
          <w:rFonts w:ascii="Times New Roman" w:hAnsi="Times New Roman"/>
          <w:color w:val="000000"/>
        </w:rPr>
        <w:t xml:space="preserve"> in connection with its measurement of monetary aggregates, bank credit, and the flow of funds.  </w:t>
      </w:r>
      <w:r>
        <w:rPr>
          <w:rFonts w:ascii="Times New Roman" w:hAnsi="Times New Roman"/>
          <w:color w:val="000000"/>
        </w:rPr>
        <w:t xml:space="preserve">The information on small business lending is reported only in aggregate and is intended to produce a picture of current credit conditions and identify changes that may indicate potential problems in this important economic sector.  </w:t>
      </w:r>
      <w:r w:rsidR="001D4F89">
        <w:rPr>
          <w:rFonts w:ascii="Times New Roman" w:hAnsi="Times New Roman"/>
          <w:color w:val="000000"/>
        </w:rPr>
        <w:t>In contrast, t</w:t>
      </w:r>
      <w:r w:rsidR="0012650C">
        <w:rPr>
          <w:rFonts w:ascii="Times New Roman" w:hAnsi="Times New Roman"/>
          <w:color w:val="000000"/>
        </w:rPr>
        <w:t>he</w:t>
      </w:r>
      <w:r w:rsidR="00E70918">
        <w:rPr>
          <w:rFonts w:ascii="Times New Roman" w:hAnsi="Times New Roman"/>
          <w:color w:val="000000"/>
        </w:rPr>
        <w:t xml:space="preserve"> </w:t>
      </w:r>
      <w:r w:rsidR="0012650C">
        <w:rPr>
          <w:rFonts w:ascii="Times New Roman" w:hAnsi="Times New Roman"/>
          <w:color w:val="000000"/>
        </w:rPr>
        <w:t>SBLS seeks to provide a</w:t>
      </w:r>
      <w:r w:rsidRPr="001D39C5" w:rsidR="007E1B8E">
        <w:rPr>
          <w:rFonts w:ascii="Times New Roman" w:hAnsi="Times New Roman"/>
          <w:color w:val="000000"/>
        </w:rPr>
        <w:t xml:space="preserve"> </w:t>
      </w:r>
      <w:r w:rsidR="0012650C">
        <w:rPr>
          <w:rFonts w:ascii="Times New Roman" w:hAnsi="Times New Roman"/>
          <w:color w:val="000000"/>
        </w:rPr>
        <w:t xml:space="preserve">more </w:t>
      </w:r>
      <w:r w:rsidRPr="001D39C5" w:rsidR="007E1B8E">
        <w:rPr>
          <w:rFonts w:ascii="Times New Roman" w:hAnsi="Times New Roman"/>
          <w:color w:val="000000"/>
        </w:rPr>
        <w:t>comprehensive</w:t>
      </w:r>
      <w:r w:rsidR="0012650C">
        <w:rPr>
          <w:rFonts w:ascii="Times New Roman" w:hAnsi="Times New Roman"/>
          <w:color w:val="000000"/>
        </w:rPr>
        <w:t xml:space="preserve"> view of </w:t>
      </w:r>
      <w:r w:rsidR="001D4F89">
        <w:rPr>
          <w:rFonts w:ascii="Times New Roman" w:hAnsi="Times New Roman"/>
          <w:color w:val="000000"/>
        </w:rPr>
        <w:t xml:space="preserve">how </w:t>
      </w:r>
      <w:r w:rsidR="0012650C">
        <w:rPr>
          <w:rFonts w:ascii="Times New Roman" w:hAnsi="Times New Roman"/>
          <w:color w:val="000000"/>
        </w:rPr>
        <w:t xml:space="preserve">small business lending </w:t>
      </w:r>
      <w:r w:rsidR="001D4F89">
        <w:rPr>
          <w:rFonts w:ascii="Times New Roman" w:hAnsi="Times New Roman"/>
          <w:color w:val="000000"/>
        </w:rPr>
        <w:t xml:space="preserve">is conducted </w:t>
      </w:r>
      <w:r w:rsidRPr="001D39C5" w:rsidR="007E1B8E">
        <w:rPr>
          <w:rFonts w:ascii="Times New Roman" w:hAnsi="Times New Roman"/>
          <w:color w:val="000000"/>
        </w:rPr>
        <w:t xml:space="preserve">by banks </w:t>
      </w:r>
      <w:r w:rsidR="001D4F89">
        <w:rPr>
          <w:rFonts w:ascii="Times New Roman" w:hAnsi="Times New Roman"/>
          <w:color w:val="000000"/>
        </w:rPr>
        <w:t>and how differing approaches relate to the volume and measurement of small business loans</w:t>
      </w:r>
      <w:r w:rsidRPr="001D39C5" w:rsidR="007E1B8E">
        <w:rPr>
          <w:rFonts w:ascii="Times New Roman" w:hAnsi="Times New Roman"/>
          <w:color w:val="000000"/>
        </w:rPr>
        <w:t xml:space="preserve">.  </w:t>
      </w:r>
    </w:p>
    <w:p w:rsidR="006E0192" w:rsidP="007E1B8E" w:rsidRDefault="006E0192" w14:paraId="0B58399A" w14:textId="169B4AF6">
      <w:pPr>
        <w:widowControl/>
        <w:ind w:left="1282"/>
        <w:rPr>
          <w:rFonts w:ascii="Times New Roman" w:hAnsi="Times New Roman"/>
          <w:color w:val="000000"/>
        </w:rPr>
      </w:pPr>
    </w:p>
    <w:p w:rsidR="0012650C" w:rsidP="006363B1" w:rsidRDefault="00E737D2" w14:paraId="5E97843A" w14:textId="79920E1C">
      <w:pPr>
        <w:widowControl/>
        <w:ind w:left="1282"/>
        <w:rPr>
          <w:rFonts w:ascii="Times New Roman" w:hAnsi="Times New Roman"/>
          <w:color w:val="000000"/>
        </w:rPr>
      </w:pPr>
      <w:r>
        <w:rPr>
          <w:rFonts w:ascii="Times New Roman" w:hAnsi="Times New Roman"/>
          <w:color w:val="000000"/>
        </w:rPr>
        <w:t>I</w:t>
      </w:r>
      <w:r w:rsidR="001513C9">
        <w:rPr>
          <w:rFonts w:ascii="Times New Roman" w:hAnsi="Times New Roman"/>
          <w:color w:val="000000"/>
        </w:rPr>
        <w:t xml:space="preserve">n early 2020 </w:t>
      </w:r>
      <w:r w:rsidR="0012650C">
        <w:rPr>
          <w:rFonts w:ascii="Times New Roman" w:hAnsi="Times New Roman"/>
          <w:color w:val="000000"/>
        </w:rPr>
        <w:t xml:space="preserve">FDIC staff approached staff </w:t>
      </w:r>
      <w:r w:rsidR="001513C9">
        <w:rPr>
          <w:rFonts w:ascii="Times New Roman" w:hAnsi="Times New Roman"/>
          <w:color w:val="000000"/>
        </w:rPr>
        <w:t>from</w:t>
      </w:r>
      <w:r w:rsidR="0096531A">
        <w:rPr>
          <w:rFonts w:ascii="Times New Roman" w:hAnsi="Times New Roman"/>
          <w:color w:val="000000"/>
        </w:rPr>
        <w:t xml:space="preserve"> </w:t>
      </w:r>
      <w:r w:rsidRPr="0096531A" w:rsidR="0096531A">
        <w:rPr>
          <w:rFonts w:ascii="Times New Roman" w:hAnsi="Times New Roman"/>
          <w:color w:val="000000"/>
        </w:rPr>
        <w:t>the Board of Governors of the Federal Reserve System</w:t>
      </w:r>
      <w:r w:rsidR="0096531A">
        <w:rPr>
          <w:rFonts w:ascii="Times New Roman" w:hAnsi="Times New Roman"/>
          <w:color w:val="000000"/>
        </w:rPr>
        <w:t>, the</w:t>
      </w:r>
      <w:r w:rsidR="001513C9">
        <w:rPr>
          <w:rFonts w:ascii="Times New Roman" w:hAnsi="Times New Roman"/>
          <w:color w:val="000000"/>
        </w:rPr>
        <w:t xml:space="preserve"> </w:t>
      </w:r>
      <w:r w:rsidRPr="0096531A" w:rsidR="0096531A">
        <w:rPr>
          <w:rFonts w:ascii="Times New Roman" w:hAnsi="Times New Roman"/>
          <w:color w:val="000000"/>
        </w:rPr>
        <w:t>Federal Reserve Bank of Kansas City</w:t>
      </w:r>
      <w:r w:rsidR="00493B7F">
        <w:rPr>
          <w:rFonts w:ascii="Times New Roman" w:hAnsi="Times New Roman"/>
          <w:color w:val="000000"/>
        </w:rPr>
        <w:t>,</w:t>
      </w:r>
      <w:r w:rsidRPr="0096531A" w:rsidR="0096531A">
        <w:rPr>
          <w:rFonts w:ascii="Times New Roman" w:hAnsi="Times New Roman"/>
          <w:color w:val="000000"/>
        </w:rPr>
        <w:t xml:space="preserve"> and the Federal Reserve Bank of New York</w:t>
      </w:r>
      <w:r w:rsidR="001B57B5">
        <w:rPr>
          <w:rFonts w:ascii="Times New Roman" w:hAnsi="Times New Roman"/>
          <w:color w:val="000000"/>
        </w:rPr>
        <w:t xml:space="preserve"> </w:t>
      </w:r>
      <w:r w:rsidR="001513C9">
        <w:rPr>
          <w:rFonts w:ascii="Times New Roman" w:hAnsi="Times New Roman"/>
          <w:color w:val="000000"/>
        </w:rPr>
        <w:t xml:space="preserve">who </w:t>
      </w:r>
      <w:r w:rsidR="007D2276">
        <w:rPr>
          <w:rFonts w:ascii="Times New Roman" w:hAnsi="Times New Roman"/>
          <w:color w:val="000000"/>
        </w:rPr>
        <w:t xml:space="preserve">are </w:t>
      </w:r>
      <w:r w:rsidR="001513C9">
        <w:rPr>
          <w:rFonts w:ascii="Times New Roman" w:hAnsi="Times New Roman"/>
          <w:color w:val="000000"/>
        </w:rPr>
        <w:t>currently</w:t>
      </w:r>
      <w:r w:rsidR="0096531A">
        <w:rPr>
          <w:rFonts w:ascii="Times New Roman" w:hAnsi="Times New Roman"/>
          <w:color w:val="000000"/>
        </w:rPr>
        <w:t xml:space="preserve"> or </w:t>
      </w:r>
      <w:r w:rsidR="007D2276">
        <w:rPr>
          <w:rFonts w:ascii="Times New Roman" w:hAnsi="Times New Roman"/>
          <w:color w:val="000000"/>
        </w:rPr>
        <w:t xml:space="preserve">have </w:t>
      </w:r>
      <w:r w:rsidR="0096531A">
        <w:rPr>
          <w:rFonts w:ascii="Times New Roman" w:hAnsi="Times New Roman"/>
          <w:color w:val="000000"/>
        </w:rPr>
        <w:t>previously</w:t>
      </w:r>
      <w:r w:rsidR="001513C9">
        <w:rPr>
          <w:rFonts w:ascii="Times New Roman" w:hAnsi="Times New Roman"/>
          <w:color w:val="000000"/>
        </w:rPr>
        <w:t xml:space="preserve"> work</w:t>
      </w:r>
      <w:r w:rsidR="0096531A">
        <w:rPr>
          <w:rFonts w:ascii="Times New Roman" w:hAnsi="Times New Roman"/>
          <w:color w:val="000000"/>
        </w:rPr>
        <w:t>ed</w:t>
      </w:r>
      <w:r w:rsidR="001513C9">
        <w:rPr>
          <w:rFonts w:ascii="Times New Roman" w:hAnsi="Times New Roman"/>
          <w:color w:val="000000"/>
        </w:rPr>
        <w:t xml:space="preserve"> on other surveys related to small business lending</w:t>
      </w:r>
      <w:r w:rsidR="001228A3">
        <w:rPr>
          <w:rFonts w:ascii="Times New Roman" w:hAnsi="Times New Roman"/>
          <w:color w:val="000000"/>
        </w:rPr>
        <w:t>.  The purpose of this outreach was</w:t>
      </w:r>
      <w:r w:rsidR="001513C9">
        <w:rPr>
          <w:rFonts w:ascii="Times New Roman" w:hAnsi="Times New Roman"/>
          <w:color w:val="000000"/>
        </w:rPr>
        <w:t xml:space="preserve"> to </w:t>
      </w:r>
      <w:r>
        <w:rPr>
          <w:rFonts w:ascii="Times New Roman" w:hAnsi="Times New Roman"/>
          <w:color w:val="000000"/>
        </w:rPr>
        <w:t xml:space="preserve">ensure that the questions </w:t>
      </w:r>
      <w:r w:rsidR="0096531A">
        <w:rPr>
          <w:rFonts w:ascii="Times New Roman" w:hAnsi="Times New Roman"/>
          <w:color w:val="000000"/>
        </w:rPr>
        <w:t xml:space="preserve">in SBLS 2022 </w:t>
      </w:r>
      <w:r w:rsidR="001B57B5">
        <w:rPr>
          <w:rFonts w:ascii="Times New Roman" w:hAnsi="Times New Roman"/>
          <w:color w:val="000000"/>
        </w:rPr>
        <w:t>a</w:t>
      </w:r>
      <w:r>
        <w:rPr>
          <w:rFonts w:ascii="Times New Roman" w:hAnsi="Times New Roman"/>
          <w:color w:val="000000"/>
        </w:rPr>
        <w:t>re complementary to</w:t>
      </w:r>
      <w:r w:rsidR="001228A3">
        <w:rPr>
          <w:rFonts w:ascii="Times New Roman" w:hAnsi="Times New Roman"/>
          <w:color w:val="000000"/>
        </w:rPr>
        <w:t>,</w:t>
      </w:r>
      <w:r>
        <w:rPr>
          <w:rFonts w:ascii="Times New Roman" w:hAnsi="Times New Roman"/>
          <w:color w:val="000000"/>
        </w:rPr>
        <w:t xml:space="preserve"> and not duplicative</w:t>
      </w:r>
      <w:r w:rsidR="00DB7E2B">
        <w:rPr>
          <w:rFonts w:ascii="Times New Roman" w:hAnsi="Times New Roman"/>
          <w:color w:val="000000"/>
        </w:rPr>
        <w:t xml:space="preserve"> of</w:t>
      </w:r>
      <w:r w:rsidR="001228A3">
        <w:rPr>
          <w:rFonts w:ascii="Times New Roman" w:hAnsi="Times New Roman"/>
          <w:color w:val="000000"/>
        </w:rPr>
        <w:t>,</w:t>
      </w:r>
      <w:r>
        <w:rPr>
          <w:rFonts w:ascii="Times New Roman" w:hAnsi="Times New Roman"/>
          <w:color w:val="000000"/>
        </w:rPr>
        <w:t xml:space="preserve"> existing surveys. </w:t>
      </w:r>
      <w:r w:rsidR="001B57B5">
        <w:rPr>
          <w:rFonts w:ascii="Times New Roman" w:hAnsi="Times New Roman"/>
          <w:color w:val="000000"/>
        </w:rPr>
        <w:t xml:space="preserve"> </w:t>
      </w:r>
      <w:r w:rsidR="001228A3">
        <w:rPr>
          <w:rFonts w:ascii="Times New Roman" w:hAnsi="Times New Roman"/>
          <w:color w:val="000000"/>
        </w:rPr>
        <w:t xml:space="preserve">In each case, the staff of the other organizations confirmed that the information in the SBLS is unique and </w:t>
      </w:r>
      <w:r w:rsidR="001513C9">
        <w:rPr>
          <w:rFonts w:ascii="Times New Roman" w:hAnsi="Times New Roman"/>
          <w:color w:val="000000"/>
        </w:rPr>
        <w:t xml:space="preserve">encouraged a </w:t>
      </w:r>
      <w:r>
        <w:rPr>
          <w:rFonts w:ascii="Times New Roman" w:hAnsi="Times New Roman"/>
          <w:color w:val="000000"/>
        </w:rPr>
        <w:t xml:space="preserve">second SBLS collection since </w:t>
      </w:r>
      <w:r w:rsidR="001228A3">
        <w:rPr>
          <w:rFonts w:ascii="Times New Roman" w:hAnsi="Times New Roman"/>
          <w:color w:val="000000"/>
        </w:rPr>
        <w:t>the</w:t>
      </w:r>
      <w:r>
        <w:rPr>
          <w:rFonts w:ascii="Times New Roman" w:hAnsi="Times New Roman"/>
          <w:color w:val="000000"/>
        </w:rPr>
        <w:t xml:space="preserve"> </w:t>
      </w:r>
      <w:r w:rsidR="001228A3">
        <w:rPr>
          <w:rFonts w:ascii="Times New Roman" w:hAnsi="Times New Roman"/>
          <w:color w:val="000000"/>
        </w:rPr>
        <w:t>proposed collection helps make sense of</w:t>
      </w:r>
      <w:r>
        <w:rPr>
          <w:rFonts w:ascii="Times New Roman" w:hAnsi="Times New Roman"/>
          <w:color w:val="000000"/>
        </w:rPr>
        <w:t xml:space="preserve"> the </w:t>
      </w:r>
      <w:r w:rsidR="001228A3">
        <w:rPr>
          <w:rFonts w:ascii="Times New Roman" w:hAnsi="Times New Roman"/>
          <w:color w:val="000000"/>
        </w:rPr>
        <w:t>findings in their own contemporaneous surveys</w:t>
      </w:r>
      <w:r>
        <w:rPr>
          <w:rFonts w:ascii="Times New Roman" w:hAnsi="Times New Roman"/>
          <w:color w:val="000000"/>
        </w:rPr>
        <w:t>.</w:t>
      </w:r>
    </w:p>
    <w:p w:rsidR="001513C9" w:rsidP="007E1B8E" w:rsidRDefault="001513C9" w14:paraId="168924A6" w14:textId="296AE328">
      <w:pPr>
        <w:widowControl/>
        <w:ind w:left="1282"/>
        <w:rPr>
          <w:rFonts w:ascii="Times New Roman" w:hAnsi="Times New Roman"/>
          <w:color w:val="000000"/>
        </w:rPr>
      </w:pPr>
    </w:p>
    <w:p w:rsidR="001B03F6" w:rsidP="006363B1" w:rsidRDefault="00E737D2" w14:paraId="33A9EF34" w14:textId="6CD08033">
      <w:pPr>
        <w:widowControl/>
        <w:tabs>
          <w:tab w:val="left" w:pos="432"/>
          <w:tab w:val="left" w:pos="1728"/>
          <w:tab w:val="left" w:pos="4176"/>
        </w:tabs>
        <w:ind w:left="1287"/>
        <w:rPr>
          <w:rFonts w:ascii="Times New Roman" w:hAnsi="Times New Roman"/>
          <w:color w:val="000000"/>
          <w:szCs w:val="24"/>
        </w:rPr>
      </w:pPr>
      <w:r>
        <w:rPr>
          <w:rFonts w:ascii="Times New Roman" w:hAnsi="Times New Roman"/>
          <w:color w:val="000000"/>
        </w:rPr>
        <w:t xml:space="preserve">FDIC staff also discussed the proposed survey or solicited expert feedback from staff at </w:t>
      </w:r>
      <w:r w:rsidR="00B46A7F">
        <w:rPr>
          <w:rFonts w:ascii="Times New Roman" w:hAnsi="Times New Roman"/>
          <w:color w:val="000000"/>
        </w:rPr>
        <w:t xml:space="preserve">other </w:t>
      </w:r>
      <w:r>
        <w:rPr>
          <w:rFonts w:ascii="Times New Roman" w:hAnsi="Times New Roman"/>
          <w:color w:val="000000"/>
        </w:rPr>
        <w:t>institutions who</w:t>
      </w:r>
      <w:r w:rsidR="00B46A7F">
        <w:rPr>
          <w:rFonts w:ascii="Times New Roman" w:hAnsi="Times New Roman"/>
          <w:color w:val="000000"/>
        </w:rPr>
        <w:t xml:space="preserve"> are not currently working on related surveys, but have an interest in the subject. </w:t>
      </w:r>
      <w:r w:rsidR="00524B27">
        <w:rPr>
          <w:rFonts w:ascii="Times New Roman" w:hAnsi="Times New Roman"/>
          <w:color w:val="000000"/>
        </w:rPr>
        <w:t xml:space="preserve"> </w:t>
      </w:r>
      <w:r w:rsidR="00B46A7F">
        <w:rPr>
          <w:rFonts w:ascii="Times New Roman" w:hAnsi="Times New Roman"/>
          <w:color w:val="000000"/>
        </w:rPr>
        <w:t xml:space="preserve">In particular, </w:t>
      </w:r>
      <w:r w:rsidR="00E70918">
        <w:rPr>
          <w:rFonts w:ascii="Times New Roman" w:hAnsi="Times New Roman"/>
          <w:color w:val="000000"/>
        </w:rPr>
        <w:t xml:space="preserve">FDIC staff </w:t>
      </w:r>
      <w:r w:rsidR="00CC3F08">
        <w:rPr>
          <w:rFonts w:ascii="Times New Roman" w:hAnsi="Times New Roman"/>
          <w:color w:val="000000"/>
        </w:rPr>
        <w:t xml:space="preserve">are in regular engagement with staff from the Consumer Financial Protection Bureau (CFPB), the agency mandated under </w:t>
      </w:r>
      <w:r w:rsidRPr="00CC3F08" w:rsidR="00CC3F08">
        <w:rPr>
          <w:rFonts w:ascii="Times New Roman" w:hAnsi="Times New Roman"/>
          <w:color w:val="000000"/>
        </w:rPr>
        <w:t>section 1071 of the Dodd-Frank Act</w:t>
      </w:r>
      <w:r w:rsidR="00CC3F08">
        <w:rPr>
          <w:rFonts w:ascii="Times New Roman" w:hAnsi="Times New Roman"/>
          <w:color w:val="000000"/>
        </w:rPr>
        <w:t xml:space="preserve"> to implement an annual data collection of small business lending. </w:t>
      </w:r>
      <w:r w:rsidR="00524B27">
        <w:rPr>
          <w:rFonts w:ascii="Times New Roman" w:hAnsi="Times New Roman"/>
          <w:color w:val="000000"/>
        </w:rPr>
        <w:t xml:space="preserve"> </w:t>
      </w:r>
      <w:r w:rsidR="00CC3F08">
        <w:rPr>
          <w:rFonts w:ascii="Times New Roman" w:hAnsi="Times New Roman"/>
          <w:color w:val="000000"/>
        </w:rPr>
        <w:t>The information collected under the proposed survey is expected to inform the development of the CFPB’s efforts</w:t>
      </w:r>
      <w:r w:rsidR="00283A14">
        <w:rPr>
          <w:rFonts w:ascii="Times New Roman" w:hAnsi="Times New Roman"/>
          <w:color w:val="000000"/>
        </w:rPr>
        <w:t>.</w:t>
      </w:r>
      <w:r w:rsidR="00524B27">
        <w:rPr>
          <w:rFonts w:ascii="Times New Roman" w:hAnsi="Times New Roman"/>
          <w:color w:val="000000"/>
        </w:rPr>
        <w:t xml:space="preserve">  </w:t>
      </w:r>
      <w:r w:rsidR="00283A14">
        <w:rPr>
          <w:rFonts w:ascii="Times New Roman" w:hAnsi="Times New Roman"/>
          <w:color w:val="000000"/>
        </w:rPr>
        <w:t xml:space="preserve">The CFPB expects to produce a </w:t>
      </w:r>
      <w:r w:rsidRPr="00CC3F08" w:rsidR="00CC3F08">
        <w:rPr>
          <w:rFonts w:ascii="Times New Roman" w:hAnsi="Times New Roman"/>
          <w:color w:val="000000"/>
        </w:rPr>
        <w:t>notice of proposed rulemaking</w:t>
      </w:r>
      <w:r w:rsidR="00CC3F08">
        <w:rPr>
          <w:rFonts w:ascii="Times New Roman" w:hAnsi="Times New Roman"/>
          <w:color w:val="000000"/>
        </w:rPr>
        <w:t xml:space="preserve"> </w:t>
      </w:r>
      <w:r w:rsidR="00283A14">
        <w:rPr>
          <w:rFonts w:ascii="Times New Roman" w:hAnsi="Times New Roman"/>
          <w:color w:val="000000"/>
        </w:rPr>
        <w:t xml:space="preserve">in </w:t>
      </w:r>
      <w:r w:rsidRPr="00CC3F08" w:rsidR="00CC3F08">
        <w:rPr>
          <w:rFonts w:ascii="Times New Roman" w:hAnsi="Times New Roman"/>
          <w:color w:val="000000"/>
        </w:rPr>
        <w:t>September 2021</w:t>
      </w:r>
      <w:r w:rsidR="00283A14">
        <w:rPr>
          <w:rFonts w:ascii="Times New Roman" w:hAnsi="Times New Roman"/>
          <w:color w:val="000000"/>
        </w:rPr>
        <w:t xml:space="preserve">; there is currently no specific timeline for </w:t>
      </w:r>
      <w:r w:rsidR="00CC3F08">
        <w:rPr>
          <w:rFonts w:ascii="Times New Roman" w:hAnsi="Times New Roman"/>
          <w:color w:val="000000"/>
        </w:rPr>
        <w:t>a final rule</w:t>
      </w:r>
      <w:r w:rsidR="00283A14">
        <w:rPr>
          <w:rFonts w:ascii="Times New Roman" w:hAnsi="Times New Roman"/>
          <w:color w:val="000000"/>
        </w:rPr>
        <w:t xml:space="preserve">. </w:t>
      </w:r>
      <w:r w:rsidR="00524B27">
        <w:rPr>
          <w:rFonts w:ascii="Times New Roman" w:hAnsi="Times New Roman"/>
          <w:color w:val="000000"/>
        </w:rPr>
        <w:t xml:space="preserve">  </w:t>
      </w:r>
      <w:r w:rsidR="00E70918">
        <w:rPr>
          <w:rFonts w:ascii="Times New Roman" w:hAnsi="Times New Roman"/>
          <w:color w:val="000000"/>
        </w:rPr>
        <w:t>W</w:t>
      </w:r>
      <w:r w:rsidR="00B46A7F">
        <w:rPr>
          <w:rFonts w:ascii="Times New Roman" w:hAnsi="Times New Roman"/>
          <w:color w:val="000000"/>
        </w:rPr>
        <w:t xml:space="preserve">e </w:t>
      </w:r>
      <w:r w:rsidR="00E70918">
        <w:rPr>
          <w:rFonts w:ascii="Times New Roman" w:hAnsi="Times New Roman"/>
          <w:color w:val="000000"/>
        </w:rPr>
        <w:t xml:space="preserve">also </w:t>
      </w:r>
      <w:r w:rsidR="00B46A7F">
        <w:rPr>
          <w:rFonts w:ascii="Times New Roman" w:hAnsi="Times New Roman"/>
          <w:color w:val="000000"/>
        </w:rPr>
        <w:t xml:space="preserve">engaged with staff from </w:t>
      </w:r>
      <w:r w:rsidR="00B46A7F">
        <w:rPr>
          <w:rFonts w:ascii="Times New Roman" w:hAnsi="Times New Roman"/>
          <w:color w:val="000000"/>
          <w:szCs w:val="24"/>
        </w:rPr>
        <w:t>the Small Business Administration</w:t>
      </w:r>
      <w:r w:rsidR="00025A99">
        <w:rPr>
          <w:rFonts w:ascii="Times New Roman" w:hAnsi="Times New Roman"/>
          <w:color w:val="000000"/>
          <w:szCs w:val="24"/>
        </w:rPr>
        <w:t xml:space="preserve"> who</w:t>
      </w:r>
      <w:r w:rsidR="00B46A7F">
        <w:rPr>
          <w:rFonts w:ascii="Times New Roman" w:hAnsi="Times New Roman"/>
          <w:color w:val="000000"/>
          <w:szCs w:val="24"/>
        </w:rPr>
        <w:t xml:space="preserve"> </w:t>
      </w:r>
      <w:r w:rsidR="00025A99">
        <w:rPr>
          <w:rFonts w:ascii="Times New Roman" w:hAnsi="Times New Roman"/>
          <w:color w:val="000000"/>
          <w:szCs w:val="24"/>
        </w:rPr>
        <w:t>expressed</w:t>
      </w:r>
      <w:r w:rsidRPr="001B03F6" w:rsidR="001B03F6">
        <w:rPr>
          <w:rFonts w:ascii="Times New Roman" w:hAnsi="Times New Roman"/>
          <w:color w:val="000000"/>
          <w:szCs w:val="24"/>
        </w:rPr>
        <w:t xml:space="preserve"> interest in the results </w:t>
      </w:r>
      <w:r w:rsidR="00B46A7F">
        <w:rPr>
          <w:rFonts w:ascii="Times New Roman" w:hAnsi="Times New Roman"/>
          <w:color w:val="000000"/>
          <w:szCs w:val="24"/>
        </w:rPr>
        <w:t xml:space="preserve">from </w:t>
      </w:r>
      <w:r w:rsidR="006363B1">
        <w:rPr>
          <w:rFonts w:ascii="Times New Roman" w:hAnsi="Times New Roman"/>
          <w:color w:val="000000"/>
          <w:szCs w:val="24"/>
        </w:rPr>
        <w:t xml:space="preserve">a </w:t>
      </w:r>
      <w:r w:rsidR="00B46A7F">
        <w:rPr>
          <w:rFonts w:ascii="Times New Roman" w:hAnsi="Times New Roman"/>
          <w:color w:val="000000"/>
          <w:szCs w:val="24"/>
        </w:rPr>
        <w:t>second collection of the SBLS</w:t>
      </w:r>
      <w:r w:rsidRPr="001B03F6" w:rsidR="001B03F6">
        <w:rPr>
          <w:rFonts w:ascii="Times New Roman" w:hAnsi="Times New Roman"/>
          <w:color w:val="000000"/>
          <w:szCs w:val="24"/>
        </w:rPr>
        <w:t xml:space="preserve">.  </w:t>
      </w:r>
    </w:p>
    <w:p w:rsidRPr="00243153" w:rsidR="003D4315" w:rsidRDefault="003D4315" w14:paraId="03C086F4" w14:textId="77777777">
      <w:pPr>
        <w:widowControl/>
        <w:tabs>
          <w:tab w:val="left" w:pos="432"/>
          <w:tab w:val="left" w:pos="1296"/>
          <w:tab w:val="left" w:pos="1728"/>
          <w:tab w:val="left" w:pos="4176"/>
        </w:tabs>
        <w:rPr>
          <w:rFonts w:ascii="Times New Roman" w:hAnsi="Times New Roman"/>
          <w:color w:val="000000"/>
          <w:szCs w:val="24"/>
        </w:rPr>
      </w:pPr>
    </w:p>
    <w:p w:rsidRPr="006363B1" w:rsidR="00927719" w:rsidRDefault="004A1CD3" w14:paraId="0C05E0AA" w14:textId="09752064">
      <w:pPr>
        <w:keepNext/>
        <w:widowControl/>
        <w:numPr>
          <w:ilvl w:val="0"/>
          <w:numId w:val="1"/>
        </w:numPr>
        <w:tabs>
          <w:tab w:val="left" w:pos="432"/>
          <w:tab w:val="left" w:pos="1728"/>
          <w:tab w:val="left" w:pos="4176"/>
        </w:tabs>
        <w:ind w:left="1282"/>
        <w:rPr>
          <w:rFonts w:ascii="Times New Roman" w:hAnsi="Times New Roman"/>
          <w:color w:val="000000"/>
          <w:u w:val="single"/>
        </w:rPr>
      </w:pPr>
      <w:r w:rsidRPr="00CF34FA">
        <w:rPr>
          <w:rFonts w:ascii="Times New Roman" w:hAnsi="Times New Roman"/>
          <w:u w:val="single"/>
        </w:rPr>
        <w:t>Methods used to minimize burden if the collection has a significant impact on a substantial number of small entities:</w:t>
      </w:r>
    </w:p>
    <w:p w:rsidRPr="00243153" w:rsidR="00927719" w:rsidRDefault="00927719" w14:paraId="58888FB2" w14:textId="77777777">
      <w:pPr>
        <w:keepNext/>
        <w:widowControl/>
        <w:tabs>
          <w:tab w:val="left" w:pos="432"/>
          <w:tab w:val="left" w:pos="1296"/>
          <w:tab w:val="left" w:pos="1728"/>
          <w:tab w:val="left" w:pos="4176"/>
        </w:tabs>
        <w:ind w:left="1282"/>
        <w:rPr>
          <w:rFonts w:ascii="Times New Roman" w:hAnsi="Times New Roman"/>
          <w:color w:val="000000"/>
        </w:rPr>
      </w:pPr>
    </w:p>
    <w:p w:rsidRPr="00243153" w:rsidR="00927719" w:rsidRDefault="003E3E17" w14:paraId="09FD8839" w14:textId="2288C2A5">
      <w:pPr>
        <w:widowControl/>
        <w:tabs>
          <w:tab w:val="left" w:pos="432"/>
          <w:tab w:val="left" w:pos="1296"/>
          <w:tab w:val="left" w:pos="1728"/>
          <w:tab w:val="left" w:pos="4176"/>
        </w:tabs>
        <w:ind w:left="1287"/>
        <w:rPr>
          <w:rFonts w:ascii="Times New Roman" w:hAnsi="Times New Roman"/>
          <w:color w:val="000000"/>
        </w:rPr>
      </w:pPr>
      <w:r w:rsidRPr="00243153">
        <w:rPr>
          <w:rFonts w:ascii="Times New Roman" w:hAnsi="Times New Roman"/>
          <w:color w:val="000000"/>
        </w:rPr>
        <w:t xml:space="preserve">The FDIC has made a concerted effort to streamline the survey and reduce the burden associated with providing responses.  </w:t>
      </w:r>
      <w:r w:rsidRPr="00243153" w:rsidR="00411FDC">
        <w:rPr>
          <w:rFonts w:ascii="Times New Roman" w:hAnsi="Times New Roman"/>
          <w:color w:val="000000"/>
        </w:rPr>
        <w:t>This effort included conducting three rounds of cognitive testing with 4</w:t>
      </w:r>
      <w:r w:rsidR="006E0192">
        <w:rPr>
          <w:rFonts w:ascii="Times New Roman" w:hAnsi="Times New Roman"/>
          <w:color w:val="000000"/>
        </w:rPr>
        <w:t>6</w:t>
      </w:r>
      <w:r w:rsidRPr="00243153" w:rsidR="00411FDC">
        <w:rPr>
          <w:rFonts w:ascii="Times New Roman" w:hAnsi="Times New Roman"/>
          <w:color w:val="000000"/>
        </w:rPr>
        <w:t xml:space="preserve"> banks of different sizes headquartered in </w:t>
      </w:r>
      <w:r w:rsidR="006E0192">
        <w:rPr>
          <w:rFonts w:ascii="Times New Roman" w:hAnsi="Times New Roman"/>
          <w:color w:val="000000"/>
        </w:rPr>
        <w:t>23</w:t>
      </w:r>
      <w:r w:rsidRPr="00243153" w:rsidR="00411FDC">
        <w:rPr>
          <w:rFonts w:ascii="Times New Roman" w:hAnsi="Times New Roman"/>
          <w:color w:val="000000"/>
        </w:rPr>
        <w:t xml:space="preserve"> states </w:t>
      </w:r>
      <w:r w:rsidRPr="00243153" w:rsidR="009913D2">
        <w:rPr>
          <w:rFonts w:ascii="Times New Roman" w:hAnsi="Times New Roman"/>
          <w:color w:val="000000"/>
        </w:rPr>
        <w:t xml:space="preserve">and serving </w:t>
      </w:r>
      <w:r w:rsidRPr="00243153" w:rsidR="00411FDC">
        <w:rPr>
          <w:rFonts w:ascii="Times New Roman" w:hAnsi="Times New Roman"/>
          <w:color w:val="000000"/>
        </w:rPr>
        <w:t>different types of market areas</w:t>
      </w:r>
      <w:r w:rsidRPr="00243153" w:rsidR="009913D2">
        <w:rPr>
          <w:rFonts w:ascii="Times New Roman" w:hAnsi="Times New Roman"/>
          <w:color w:val="000000"/>
        </w:rPr>
        <w:t xml:space="preserve">, </w:t>
      </w:r>
      <w:r w:rsidR="000C3FCA">
        <w:rPr>
          <w:rFonts w:ascii="Times New Roman" w:hAnsi="Times New Roman"/>
          <w:color w:val="000000"/>
        </w:rPr>
        <w:t>with the aim of ensuring</w:t>
      </w:r>
      <w:r w:rsidRPr="00243153" w:rsidR="00411FDC">
        <w:rPr>
          <w:rFonts w:ascii="Times New Roman" w:hAnsi="Times New Roman"/>
          <w:color w:val="000000"/>
        </w:rPr>
        <w:t xml:space="preserve"> that the survey will capture useful information while minimizing response burden.  </w:t>
      </w:r>
      <w:r w:rsidRPr="00243153" w:rsidR="007856CF">
        <w:rPr>
          <w:rFonts w:ascii="Times New Roman" w:hAnsi="Times New Roman"/>
          <w:color w:val="000000"/>
        </w:rPr>
        <w:t xml:space="preserve">In response to feedback from the cognitive testing, </w:t>
      </w:r>
      <w:r w:rsidRPr="00243153" w:rsidR="007D6ABE">
        <w:rPr>
          <w:rFonts w:ascii="Times New Roman" w:hAnsi="Times New Roman"/>
          <w:color w:val="000000"/>
        </w:rPr>
        <w:t xml:space="preserve">the FDIC has included in the survey only questions that rely on expert knowledge and do not require the gathering of data, or questions that require </w:t>
      </w:r>
      <w:r w:rsidRPr="00243153" w:rsidR="000C3FCA">
        <w:rPr>
          <w:rFonts w:ascii="Times New Roman" w:hAnsi="Times New Roman"/>
          <w:color w:val="000000"/>
        </w:rPr>
        <w:t xml:space="preserve">only </w:t>
      </w:r>
      <w:r w:rsidRPr="00243153" w:rsidR="007D6ABE">
        <w:rPr>
          <w:rFonts w:ascii="Times New Roman" w:hAnsi="Times New Roman"/>
          <w:color w:val="000000"/>
        </w:rPr>
        <w:t>data that can be provided from core data systems or from existing internal reports.  Additionally, the FDIC has reduced the number of questions that will be answered by small banks, specifically those with less than $1 bill</w:t>
      </w:r>
      <w:r w:rsidR="001B57B5">
        <w:rPr>
          <w:rFonts w:ascii="Times New Roman" w:hAnsi="Times New Roman"/>
          <w:color w:val="000000"/>
        </w:rPr>
        <w:t>i</w:t>
      </w:r>
      <w:r w:rsidRPr="00243153" w:rsidR="007D6ABE">
        <w:rPr>
          <w:rFonts w:ascii="Times New Roman" w:hAnsi="Times New Roman"/>
          <w:color w:val="000000"/>
        </w:rPr>
        <w:t>on in assets.</w:t>
      </w:r>
      <w:r w:rsidR="000C3FCA">
        <w:rPr>
          <w:rFonts w:ascii="Times New Roman" w:hAnsi="Times New Roman"/>
          <w:color w:val="000000"/>
        </w:rPr>
        <w:t xml:space="preserve"> </w:t>
      </w:r>
    </w:p>
    <w:p w:rsidRPr="00243153" w:rsidR="00BE7A88" w:rsidRDefault="00BE7A88" w14:paraId="5E5F9626" w14:textId="77777777">
      <w:pPr>
        <w:widowControl/>
        <w:tabs>
          <w:tab w:val="left" w:pos="432"/>
          <w:tab w:val="left" w:pos="1296"/>
          <w:tab w:val="left" w:pos="1728"/>
          <w:tab w:val="left" w:pos="4176"/>
        </w:tabs>
        <w:ind w:left="1287"/>
        <w:rPr>
          <w:rFonts w:ascii="Times New Roman" w:hAnsi="Times New Roman"/>
          <w:color w:val="000000"/>
        </w:rPr>
      </w:pPr>
    </w:p>
    <w:p w:rsidRPr="006363B1" w:rsidR="00927719" w:rsidRDefault="00B63C22" w14:paraId="1410066D" w14:textId="6D68532C">
      <w:pPr>
        <w:keepNext/>
        <w:keepLines/>
        <w:widowControl/>
        <w:numPr>
          <w:ilvl w:val="0"/>
          <w:numId w:val="1"/>
        </w:numPr>
        <w:tabs>
          <w:tab w:val="left" w:pos="432"/>
          <w:tab w:val="left" w:pos="1728"/>
          <w:tab w:val="left" w:pos="4176"/>
        </w:tabs>
        <w:rPr>
          <w:rFonts w:ascii="Times New Roman" w:hAnsi="Times New Roman"/>
          <w:color w:val="000000"/>
        </w:rPr>
      </w:pPr>
      <w:r w:rsidRPr="00CF34FA">
        <w:rPr>
          <w:rFonts w:ascii="Times New Roman" w:hAnsi="Times New Roman"/>
          <w:u w:val="single"/>
        </w:rPr>
        <w:t>Consequences to the Federal program if the collection were conducted less frequently:</w:t>
      </w:r>
    </w:p>
    <w:p w:rsidRPr="00243153" w:rsidR="00927719" w:rsidRDefault="00927719" w14:paraId="45D3362D" w14:textId="77777777">
      <w:pPr>
        <w:keepNext/>
        <w:keepLines/>
        <w:widowControl/>
        <w:tabs>
          <w:tab w:val="left" w:pos="432"/>
          <w:tab w:val="left" w:pos="1296"/>
          <w:tab w:val="left" w:pos="1728"/>
          <w:tab w:val="left" w:pos="4176"/>
        </w:tabs>
        <w:ind w:left="432"/>
        <w:rPr>
          <w:rFonts w:ascii="Times New Roman" w:hAnsi="Times New Roman"/>
          <w:color w:val="000000"/>
        </w:rPr>
      </w:pPr>
    </w:p>
    <w:p w:rsidRPr="009077EE" w:rsidR="00927719" w:rsidP="001F52A5" w:rsidRDefault="00BA7A90" w14:paraId="6333DB1A" w14:textId="36116015">
      <w:pPr>
        <w:widowControl/>
        <w:tabs>
          <w:tab w:val="left" w:pos="432"/>
          <w:tab w:val="left" w:pos="1296"/>
          <w:tab w:val="left" w:pos="1728"/>
          <w:tab w:val="left" w:pos="4176"/>
        </w:tabs>
        <w:ind w:left="1287"/>
        <w:rPr>
          <w:rFonts w:ascii="Times New Roman" w:hAnsi="Times New Roman"/>
          <w:color w:val="000000"/>
          <w:szCs w:val="24"/>
        </w:rPr>
      </w:pPr>
      <w:r>
        <w:rPr>
          <w:rFonts w:ascii="Times New Roman" w:hAnsi="Times New Roman"/>
        </w:rPr>
        <w:t xml:space="preserve">This information collection is conducted periodically.  </w:t>
      </w:r>
      <w:r w:rsidRPr="00243153" w:rsidR="009B34DD">
        <w:rPr>
          <w:rFonts w:ascii="Times New Roman" w:hAnsi="Times New Roman"/>
        </w:rPr>
        <w:t xml:space="preserve">The </w:t>
      </w:r>
      <w:r w:rsidR="00B46A7F">
        <w:rPr>
          <w:rFonts w:ascii="Times New Roman" w:hAnsi="Times New Roman"/>
        </w:rPr>
        <w:t>FDIC is proposing a second collection of the SBLS.</w:t>
      </w:r>
      <w:r w:rsidR="00524B27">
        <w:rPr>
          <w:rFonts w:ascii="Times New Roman" w:hAnsi="Times New Roman"/>
        </w:rPr>
        <w:t xml:space="preserve"> </w:t>
      </w:r>
      <w:r w:rsidR="00B46A7F">
        <w:rPr>
          <w:rFonts w:ascii="Times New Roman" w:hAnsi="Times New Roman"/>
        </w:rPr>
        <w:t xml:space="preserve"> </w:t>
      </w:r>
      <w:r w:rsidRPr="00B46A7F" w:rsidR="00B46A7F">
        <w:rPr>
          <w:rFonts w:ascii="Times New Roman" w:hAnsi="Times New Roman"/>
          <w:color w:val="000000"/>
        </w:rPr>
        <w:t xml:space="preserve">The last collection occurred in 2016 and the current collection </w:t>
      </w:r>
      <w:r w:rsidR="00B46A7F">
        <w:rPr>
          <w:rFonts w:ascii="Times New Roman" w:hAnsi="Times New Roman"/>
          <w:color w:val="000000"/>
        </w:rPr>
        <w:t xml:space="preserve">would </w:t>
      </w:r>
      <w:r w:rsidRPr="00B46A7F" w:rsidR="00B46A7F">
        <w:rPr>
          <w:rFonts w:ascii="Times New Roman" w:hAnsi="Times New Roman"/>
          <w:color w:val="000000"/>
        </w:rPr>
        <w:t>take place in 2022.</w:t>
      </w:r>
      <w:r w:rsidR="00B46A7F">
        <w:rPr>
          <w:rFonts w:ascii="Times New Roman" w:hAnsi="Times New Roman"/>
          <w:color w:val="000000"/>
        </w:rPr>
        <w:t xml:space="preserve"> </w:t>
      </w:r>
      <w:r w:rsidR="00524B27">
        <w:rPr>
          <w:rFonts w:ascii="Times New Roman" w:hAnsi="Times New Roman"/>
          <w:color w:val="000000"/>
        </w:rPr>
        <w:t xml:space="preserve"> </w:t>
      </w:r>
      <w:r w:rsidRPr="00B46A7F" w:rsidR="00B46A7F">
        <w:rPr>
          <w:rFonts w:ascii="Times New Roman" w:hAnsi="Times New Roman"/>
          <w:color w:val="000000"/>
        </w:rPr>
        <w:t xml:space="preserve">In the SBLS, questions may differ from collection-to-collection in order to give special attention to questions of most </w:t>
      </w:r>
      <w:r w:rsidRPr="009077EE" w:rsidR="00B46A7F">
        <w:rPr>
          <w:rFonts w:ascii="Times New Roman" w:hAnsi="Times New Roman"/>
          <w:color w:val="000000"/>
          <w:szCs w:val="24"/>
        </w:rPr>
        <w:t xml:space="preserve">interest at the time. </w:t>
      </w:r>
    </w:p>
    <w:p w:rsidRPr="009077EE" w:rsidR="00BE2C6D" w:rsidP="001F52A5" w:rsidRDefault="00BE2C6D" w14:paraId="1F66666C" w14:textId="77777777">
      <w:pPr>
        <w:widowControl/>
        <w:tabs>
          <w:tab w:val="left" w:pos="432"/>
          <w:tab w:val="left" w:pos="1296"/>
          <w:tab w:val="left" w:pos="1728"/>
          <w:tab w:val="left" w:pos="4176"/>
        </w:tabs>
        <w:ind w:left="1287"/>
        <w:rPr>
          <w:rFonts w:ascii="Times New Roman" w:hAnsi="Times New Roman"/>
          <w:color w:val="000000"/>
          <w:szCs w:val="24"/>
        </w:rPr>
      </w:pPr>
    </w:p>
    <w:p w:rsidRPr="00E70918" w:rsidR="00BA7A90" w:rsidP="00E70918" w:rsidRDefault="00BA7A90" w14:paraId="1A323C3E" w14:textId="77777777">
      <w:pPr>
        <w:pStyle w:val="ListParagraph"/>
        <w:numPr>
          <w:ilvl w:val="0"/>
          <w:numId w:val="1"/>
        </w:numPr>
        <w:rPr>
          <w:rFonts w:ascii="Times New Roman" w:hAnsi="Times New Roman"/>
          <w:szCs w:val="24"/>
        </w:rPr>
      </w:pPr>
      <w:r w:rsidRPr="00E70918">
        <w:rPr>
          <w:rFonts w:ascii="Times New Roman" w:hAnsi="Times New Roman" w:cs="Times New Roman"/>
          <w:sz w:val="24"/>
          <w:szCs w:val="24"/>
          <w:u w:val="single"/>
        </w:rPr>
        <w:t>Special circumstances necessitating collection inconsistent with 5 CFR Part 1320.5(d)(2):</w:t>
      </w:r>
    </w:p>
    <w:p w:rsidRPr="00243153" w:rsidR="00927719" w:rsidP="00E70918" w:rsidRDefault="00BA7A90" w14:paraId="7B76C2B7" w14:textId="481A594E">
      <w:pPr>
        <w:widowControl/>
        <w:tabs>
          <w:tab w:val="left" w:pos="432"/>
          <w:tab w:val="left" w:pos="1296"/>
          <w:tab w:val="left" w:pos="1728"/>
          <w:tab w:val="left" w:pos="4176"/>
        </w:tabs>
        <w:ind w:left="1296"/>
        <w:rPr>
          <w:rFonts w:ascii="Times New Roman" w:hAnsi="Times New Roman"/>
          <w:color w:val="000000"/>
        </w:rPr>
      </w:pPr>
      <w:r w:rsidRPr="009077EE">
        <w:rPr>
          <w:rFonts w:ascii="Times New Roman" w:hAnsi="Times New Roman"/>
        </w:rPr>
        <w:t>None.  The</w:t>
      </w:r>
      <w:r w:rsidRPr="009077EE">
        <w:rPr>
          <w:rFonts w:ascii="Times New Roman" w:hAnsi="Times New Roman"/>
          <w:bCs/>
          <w:iCs/>
        </w:rPr>
        <w:t xml:space="preserve"> information</w:t>
      </w:r>
      <w:r w:rsidRPr="00A5406C">
        <w:rPr>
          <w:rFonts w:ascii="Times New Roman" w:hAnsi="Times New Roman"/>
          <w:bCs/>
          <w:iCs/>
        </w:rPr>
        <w:t xml:space="preserve"> is collected in a manner consistent with 5 CFR </w:t>
      </w:r>
      <w:r w:rsidR="000C3FCA">
        <w:rPr>
          <w:rFonts w:ascii="Times New Roman" w:hAnsi="Times New Roman"/>
          <w:bCs/>
          <w:iCs/>
        </w:rPr>
        <w:t xml:space="preserve">Part </w:t>
      </w:r>
      <w:r w:rsidRPr="00A5406C">
        <w:rPr>
          <w:rFonts w:ascii="Times New Roman" w:hAnsi="Times New Roman"/>
          <w:bCs/>
          <w:iCs/>
        </w:rPr>
        <w:t>1320.5(d)(2).</w:t>
      </w:r>
      <w:r w:rsidRPr="00243153" w:rsidR="002C031D">
        <w:rPr>
          <w:rFonts w:ascii="Times New Roman" w:hAnsi="Times New Roman"/>
          <w:color w:val="000000"/>
        </w:rPr>
        <w:t xml:space="preserve"> </w:t>
      </w:r>
    </w:p>
    <w:p w:rsidRPr="00243153" w:rsidR="00927719" w:rsidRDefault="00927719" w14:paraId="1618D740" w14:textId="77777777">
      <w:pPr>
        <w:widowControl/>
        <w:tabs>
          <w:tab w:val="left" w:pos="432"/>
          <w:tab w:val="left" w:pos="1296"/>
          <w:tab w:val="left" w:pos="1728"/>
          <w:tab w:val="left" w:pos="4176"/>
        </w:tabs>
        <w:rPr>
          <w:rFonts w:ascii="Times New Roman" w:hAnsi="Times New Roman"/>
          <w:color w:val="000000"/>
        </w:rPr>
      </w:pPr>
    </w:p>
    <w:p w:rsidRPr="00B51494" w:rsidR="00927719" w:rsidRDefault="002C031D" w14:paraId="52067F80" w14:textId="0AD331C9">
      <w:pPr>
        <w:widowControl/>
        <w:tabs>
          <w:tab w:val="left" w:pos="432"/>
          <w:tab w:val="left" w:pos="1296"/>
          <w:tab w:val="left" w:pos="1728"/>
          <w:tab w:val="left" w:pos="4176"/>
        </w:tabs>
        <w:ind w:firstLine="432"/>
        <w:rPr>
          <w:rFonts w:ascii="Times New Roman" w:hAnsi="Times New Roman"/>
          <w:color w:val="000000"/>
        </w:rPr>
      </w:pPr>
      <w:r w:rsidRPr="00B51494">
        <w:rPr>
          <w:rFonts w:ascii="Times New Roman" w:hAnsi="Times New Roman"/>
          <w:color w:val="000000"/>
        </w:rPr>
        <w:t>8.</w:t>
      </w:r>
      <w:r w:rsidRPr="00B51494">
        <w:rPr>
          <w:rFonts w:ascii="Times New Roman" w:hAnsi="Times New Roman"/>
          <w:color w:val="000000"/>
        </w:rPr>
        <w:tab/>
      </w:r>
      <w:r w:rsidRPr="00CF34FA" w:rsidR="00BA7A90">
        <w:rPr>
          <w:rFonts w:ascii="Times New Roman" w:hAnsi="Times New Roman"/>
          <w:u w:val="single"/>
        </w:rPr>
        <w:t>Efforts to consult with persons outside the agency:</w:t>
      </w:r>
    </w:p>
    <w:p w:rsidRPr="00BA10D8" w:rsidR="00927719" w:rsidRDefault="00927719" w14:paraId="5E5635C1" w14:textId="77777777">
      <w:pPr>
        <w:widowControl/>
        <w:tabs>
          <w:tab w:val="left" w:pos="432"/>
          <w:tab w:val="left" w:pos="1296"/>
          <w:tab w:val="left" w:pos="1728"/>
          <w:tab w:val="left" w:pos="4176"/>
        </w:tabs>
        <w:rPr>
          <w:rFonts w:ascii="Times New Roman" w:hAnsi="Times New Roman"/>
          <w:color w:val="000000"/>
        </w:rPr>
      </w:pPr>
    </w:p>
    <w:p w:rsidRPr="001F52A5" w:rsidR="00E02668" w:rsidP="00E02668" w:rsidRDefault="00BA7A90" w14:paraId="2C59084D" w14:textId="4A7B4AFD">
      <w:pPr>
        <w:widowControl/>
        <w:tabs>
          <w:tab w:val="left" w:pos="432"/>
          <w:tab w:val="left" w:pos="1296"/>
          <w:tab w:val="left" w:pos="1728"/>
          <w:tab w:val="left" w:pos="4176"/>
        </w:tabs>
        <w:ind w:left="1287"/>
        <w:rPr>
          <w:rFonts w:ascii="Times New Roman" w:hAnsi="Times New Roman"/>
          <w:color w:val="000000"/>
        </w:rPr>
      </w:pPr>
      <w:r w:rsidRPr="00CF34FA">
        <w:rPr>
          <w:rFonts w:ascii="Times New Roman" w:hAnsi="Times New Roman"/>
        </w:rPr>
        <w:t xml:space="preserve">A notice seeking public comment for a 60-day period </w:t>
      </w:r>
      <w:r>
        <w:rPr>
          <w:rFonts w:ascii="Times New Roman" w:hAnsi="Times New Roman"/>
        </w:rPr>
        <w:t xml:space="preserve">on the reinstatement of this information collection </w:t>
      </w:r>
      <w:r w:rsidRPr="00CF34FA">
        <w:rPr>
          <w:rFonts w:ascii="Times New Roman" w:hAnsi="Times New Roman"/>
        </w:rPr>
        <w:t xml:space="preserve">was published in the </w:t>
      </w:r>
      <w:r w:rsidRPr="00CF34FA">
        <w:rPr>
          <w:rFonts w:ascii="Times New Roman" w:hAnsi="Times New Roman"/>
          <w:i/>
        </w:rPr>
        <w:t>Federal Register</w:t>
      </w:r>
      <w:r w:rsidRPr="00CF34FA">
        <w:rPr>
          <w:rFonts w:ascii="Times New Roman" w:hAnsi="Times New Roman"/>
        </w:rPr>
        <w:t xml:space="preserve"> on </w:t>
      </w:r>
      <w:r>
        <w:rPr>
          <w:rFonts w:ascii="Times New Roman" w:hAnsi="Times New Roman"/>
        </w:rPr>
        <w:t>April 21</w:t>
      </w:r>
      <w:r w:rsidRPr="00CF34FA">
        <w:rPr>
          <w:rFonts w:ascii="Times New Roman" w:hAnsi="Times New Roman"/>
        </w:rPr>
        <w:t xml:space="preserve">, 2021 (86 FR </w:t>
      </w:r>
      <w:r>
        <w:rPr>
          <w:rFonts w:ascii="Times New Roman" w:hAnsi="Times New Roman"/>
        </w:rPr>
        <w:t>20697</w:t>
      </w:r>
      <w:r w:rsidRPr="00CF34FA">
        <w:rPr>
          <w:rFonts w:ascii="Times New Roman" w:hAnsi="Times New Roman"/>
        </w:rPr>
        <w:t xml:space="preserve">).  No comments were received. </w:t>
      </w:r>
      <w:r w:rsidR="001F52A5">
        <w:rPr>
          <w:rFonts w:ascii="Times New Roman" w:hAnsi="Times New Roman"/>
          <w:color w:val="000000"/>
        </w:rPr>
        <w:t xml:space="preserve"> </w:t>
      </w:r>
      <w:r w:rsidRPr="001F52A5" w:rsidR="00E02668">
        <w:rPr>
          <w:rFonts w:ascii="Times New Roman" w:hAnsi="Times New Roman"/>
          <w:color w:val="000000"/>
        </w:rPr>
        <w:t xml:space="preserve"> </w:t>
      </w:r>
    </w:p>
    <w:p w:rsidRPr="00243153" w:rsidR="00927719" w:rsidP="001A2CAD" w:rsidRDefault="006E7111" w14:paraId="769AC1C4" w14:textId="77777777">
      <w:pPr>
        <w:widowControl/>
        <w:tabs>
          <w:tab w:val="left" w:pos="1350"/>
        </w:tabs>
        <w:ind w:left="1350"/>
        <w:rPr>
          <w:rFonts w:ascii="Times New Roman" w:hAnsi="Times New Roman"/>
          <w:color w:val="000000"/>
        </w:rPr>
      </w:pPr>
      <w:r w:rsidRPr="00243153">
        <w:rPr>
          <w:rFonts w:ascii="Times New Roman" w:hAnsi="Times New Roman"/>
          <w:color w:val="000000"/>
          <w:szCs w:val="24"/>
        </w:rPr>
        <w:t xml:space="preserve">  </w:t>
      </w:r>
    </w:p>
    <w:p w:rsidRPr="00243153" w:rsidR="00927719" w:rsidRDefault="002C031D" w14:paraId="2A0885A0" w14:textId="07305142">
      <w:pPr>
        <w:widowControl/>
        <w:numPr>
          <w:ilvl w:val="0"/>
          <w:numId w:val="2"/>
        </w:numPr>
        <w:tabs>
          <w:tab w:val="left" w:pos="432"/>
          <w:tab w:val="left" w:pos="1728"/>
          <w:tab w:val="left" w:pos="4176"/>
        </w:tabs>
        <w:rPr>
          <w:rFonts w:ascii="Times New Roman" w:hAnsi="Times New Roman"/>
          <w:color w:val="000000"/>
        </w:rPr>
      </w:pPr>
      <w:r w:rsidRPr="00243153">
        <w:rPr>
          <w:rFonts w:ascii="Times New Roman" w:hAnsi="Times New Roman"/>
          <w:color w:val="000000"/>
          <w:u w:val="single"/>
        </w:rPr>
        <w:t xml:space="preserve">Payment or </w:t>
      </w:r>
      <w:r w:rsidR="009077EE">
        <w:rPr>
          <w:rFonts w:ascii="Times New Roman" w:hAnsi="Times New Roman"/>
          <w:color w:val="000000"/>
          <w:u w:val="single"/>
        </w:rPr>
        <w:t>g</w:t>
      </w:r>
      <w:r w:rsidRPr="00243153">
        <w:rPr>
          <w:rFonts w:ascii="Times New Roman" w:hAnsi="Times New Roman"/>
          <w:color w:val="000000"/>
          <w:u w:val="single"/>
        </w:rPr>
        <w:t xml:space="preserve">ift to </w:t>
      </w:r>
      <w:r w:rsidR="009077EE">
        <w:rPr>
          <w:rFonts w:ascii="Times New Roman" w:hAnsi="Times New Roman"/>
          <w:color w:val="000000"/>
          <w:u w:val="single"/>
        </w:rPr>
        <w:t>r</w:t>
      </w:r>
      <w:r w:rsidRPr="00243153">
        <w:rPr>
          <w:rFonts w:ascii="Times New Roman" w:hAnsi="Times New Roman"/>
          <w:color w:val="000000"/>
          <w:u w:val="single"/>
        </w:rPr>
        <w:t>espondents</w:t>
      </w:r>
      <w:r w:rsidR="009077EE">
        <w:rPr>
          <w:rFonts w:ascii="Times New Roman" w:hAnsi="Times New Roman"/>
          <w:color w:val="000000"/>
          <w:u w:val="single"/>
        </w:rPr>
        <w:t>:</w:t>
      </w:r>
    </w:p>
    <w:p w:rsidRPr="00243153" w:rsidR="00927719" w:rsidRDefault="00927719" w14:paraId="23FB11EF" w14:textId="77777777">
      <w:pPr>
        <w:widowControl/>
        <w:tabs>
          <w:tab w:val="left" w:pos="432"/>
          <w:tab w:val="left" w:pos="1296"/>
          <w:tab w:val="left" w:pos="1728"/>
          <w:tab w:val="left" w:pos="4176"/>
        </w:tabs>
        <w:ind w:left="1290"/>
        <w:rPr>
          <w:rFonts w:ascii="Times New Roman" w:hAnsi="Times New Roman"/>
          <w:color w:val="000000"/>
        </w:rPr>
      </w:pPr>
    </w:p>
    <w:p w:rsidRPr="00243153" w:rsidR="00927719" w:rsidRDefault="002C031D" w14:paraId="71EBCA40" w14:textId="77777777">
      <w:pPr>
        <w:widowControl/>
        <w:tabs>
          <w:tab w:val="left" w:pos="432"/>
          <w:tab w:val="left" w:pos="1296"/>
          <w:tab w:val="left" w:pos="1728"/>
          <w:tab w:val="left" w:pos="4176"/>
        </w:tabs>
        <w:ind w:left="1290"/>
        <w:rPr>
          <w:rFonts w:ascii="Times New Roman" w:hAnsi="Times New Roman"/>
          <w:color w:val="000000"/>
        </w:rPr>
      </w:pPr>
      <w:r w:rsidRPr="00243153">
        <w:rPr>
          <w:rFonts w:ascii="Times New Roman" w:hAnsi="Times New Roman"/>
          <w:color w:val="000000"/>
        </w:rPr>
        <w:t xml:space="preserve">No </w:t>
      </w:r>
      <w:r w:rsidRPr="00243153" w:rsidR="00E02668">
        <w:rPr>
          <w:rFonts w:ascii="Times New Roman" w:hAnsi="Times New Roman"/>
          <w:color w:val="000000"/>
        </w:rPr>
        <w:t xml:space="preserve">payments or </w:t>
      </w:r>
      <w:r w:rsidRPr="00243153">
        <w:rPr>
          <w:rFonts w:ascii="Times New Roman" w:hAnsi="Times New Roman"/>
          <w:color w:val="000000"/>
        </w:rPr>
        <w:t xml:space="preserve">gifts will be given to respondents.  </w:t>
      </w:r>
    </w:p>
    <w:p w:rsidRPr="00243153" w:rsidR="00927719" w:rsidRDefault="00927719" w14:paraId="7DBADD93" w14:textId="77777777">
      <w:pPr>
        <w:widowControl/>
        <w:tabs>
          <w:tab w:val="left" w:pos="432"/>
          <w:tab w:val="left" w:pos="1296"/>
          <w:tab w:val="left" w:pos="1728"/>
          <w:tab w:val="left" w:pos="4176"/>
        </w:tabs>
        <w:ind w:left="1290"/>
        <w:rPr>
          <w:rFonts w:ascii="Times New Roman" w:hAnsi="Times New Roman"/>
          <w:color w:val="000000"/>
        </w:rPr>
      </w:pPr>
    </w:p>
    <w:p w:rsidRPr="00893053" w:rsidR="00927719" w:rsidP="00893053" w:rsidRDefault="00BA7A90" w14:paraId="04D35900" w14:textId="511F42D6">
      <w:pPr>
        <w:pStyle w:val="ListParagraph"/>
        <w:numPr>
          <w:ilvl w:val="0"/>
          <w:numId w:val="2"/>
        </w:numPr>
        <w:tabs>
          <w:tab w:val="left" w:pos="432"/>
          <w:tab w:val="left" w:pos="1728"/>
          <w:tab w:val="left" w:pos="4176"/>
        </w:tabs>
        <w:spacing w:after="0"/>
        <w:ind w:left="1282" w:hanging="850"/>
        <w:rPr>
          <w:rFonts w:ascii="Times New Roman" w:hAnsi="Times New Roman"/>
          <w:color w:val="000000"/>
        </w:rPr>
      </w:pPr>
      <w:r w:rsidRPr="00893053">
        <w:rPr>
          <w:rFonts w:ascii="Times New Roman" w:hAnsi="Times New Roman"/>
          <w:sz w:val="24"/>
          <w:u w:val="single"/>
        </w:rPr>
        <w:t>Any assurance of confidentiality:</w:t>
      </w:r>
    </w:p>
    <w:p w:rsidRPr="00243153" w:rsidR="00927719" w:rsidRDefault="00927719" w14:paraId="3B0A0D92" w14:textId="77777777">
      <w:pPr>
        <w:widowControl/>
        <w:tabs>
          <w:tab w:val="left" w:pos="432"/>
          <w:tab w:val="left" w:pos="1296"/>
          <w:tab w:val="left" w:pos="1728"/>
          <w:tab w:val="left" w:pos="4176"/>
        </w:tabs>
        <w:rPr>
          <w:rFonts w:ascii="Times New Roman" w:hAnsi="Times New Roman"/>
          <w:color w:val="000000"/>
        </w:rPr>
      </w:pPr>
    </w:p>
    <w:p w:rsidR="009077EE" w:rsidRDefault="00046FFC" w14:paraId="20A7FB34" w14:textId="46262D91">
      <w:pPr>
        <w:widowControl/>
        <w:tabs>
          <w:tab w:val="left" w:pos="432"/>
          <w:tab w:val="left" w:pos="1296"/>
          <w:tab w:val="left" w:pos="1728"/>
          <w:tab w:val="left" w:pos="4176"/>
        </w:tabs>
        <w:ind w:left="1296"/>
        <w:rPr>
          <w:rFonts w:ascii="Times New Roman" w:hAnsi="Times New Roman"/>
          <w:color w:val="000000"/>
          <w:szCs w:val="24"/>
        </w:rPr>
      </w:pPr>
      <w:r w:rsidRPr="00243153">
        <w:rPr>
          <w:rFonts w:ascii="Times New Roman" w:hAnsi="Times New Roman"/>
          <w:color w:val="000000"/>
        </w:rPr>
        <w:t xml:space="preserve">The Census Bureau will maintain the confidentiality of the data and information that are the subject of this study in accordance with applicable law, including but not limited to the Privacy Act.  </w:t>
      </w:r>
      <w:r w:rsidR="00FA6333">
        <w:rPr>
          <w:rFonts w:ascii="Times New Roman" w:hAnsi="Times New Roman"/>
          <w:color w:val="000000"/>
        </w:rPr>
        <w:t xml:space="preserve">Although </w:t>
      </w:r>
      <w:r w:rsidRPr="00243153">
        <w:rPr>
          <w:rFonts w:ascii="Times New Roman" w:hAnsi="Times New Roman"/>
          <w:color w:val="000000"/>
        </w:rPr>
        <w:t>Title 13 U.S.</w:t>
      </w:r>
      <w:r w:rsidR="000C3FCA">
        <w:rPr>
          <w:rFonts w:ascii="Times New Roman" w:hAnsi="Times New Roman"/>
          <w:color w:val="000000"/>
        </w:rPr>
        <w:t xml:space="preserve"> Code</w:t>
      </w:r>
      <w:r w:rsidRPr="00243153">
        <w:rPr>
          <w:rFonts w:ascii="Times New Roman" w:hAnsi="Times New Roman"/>
          <w:color w:val="000000"/>
        </w:rPr>
        <w:t xml:space="preserve"> Section 9 does not apply to the work, information, and data that are subject to this study</w:t>
      </w:r>
      <w:r w:rsidR="00FA6333">
        <w:rPr>
          <w:rFonts w:ascii="Times New Roman" w:hAnsi="Times New Roman"/>
          <w:color w:val="000000"/>
        </w:rPr>
        <w:t>, Census will, nonetheless, hold all data and information obtained in this survey up to the strict standards of Title 13 U.S.</w:t>
      </w:r>
      <w:r w:rsidR="000C3FCA">
        <w:rPr>
          <w:rFonts w:ascii="Times New Roman" w:hAnsi="Times New Roman"/>
          <w:color w:val="000000"/>
        </w:rPr>
        <w:t xml:space="preserve"> Code</w:t>
      </w:r>
      <w:r w:rsidR="00FA6333">
        <w:rPr>
          <w:rFonts w:ascii="Times New Roman" w:hAnsi="Times New Roman"/>
          <w:color w:val="000000"/>
        </w:rPr>
        <w:t xml:space="preserve"> Section 9.</w:t>
      </w:r>
      <w:r w:rsidRPr="00243153">
        <w:rPr>
          <w:rFonts w:ascii="Times New Roman" w:hAnsi="Times New Roman"/>
          <w:color w:val="000000"/>
        </w:rPr>
        <w:t xml:space="preserve">  The Census will take all necessary steps to protect the privacy of the respondents and commercial and proprietary information</w:t>
      </w:r>
      <w:r w:rsidR="0083398A">
        <w:rPr>
          <w:rFonts w:ascii="Times New Roman" w:hAnsi="Times New Roman"/>
          <w:color w:val="000000"/>
        </w:rPr>
        <w:t xml:space="preserve"> </w:t>
      </w:r>
      <w:r w:rsidRPr="009077EE" w:rsidR="0083398A">
        <w:rPr>
          <w:rFonts w:ascii="Times New Roman" w:hAnsi="Times New Roman"/>
          <w:color w:val="000000"/>
          <w:szCs w:val="24"/>
        </w:rPr>
        <w:t>to the extent allowed by law</w:t>
      </w:r>
      <w:r w:rsidRPr="009077EE">
        <w:rPr>
          <w:rFonts w:ascii="Times New Roman" w:hAnsi="Times New Roman"/>
          <w:color w:val="000000"/>
          <w:szCs w:val="24"/>
        </w:rPr>
        <w:t xml:space="preserve">. </w:t>
      </w:r>
    </w:p>
    <w:p w:rsidR="009077EE" w:rsidRDefault="009077EE" w14:paraId="3973F872" w14:textId="77777777">
      <w:pPr>
        <w:widowControl/>
        <w:tabs>
          <w:tab w:val="left" w:pos="432"/>
          <w:tab w:val="left" w:pos="1296"/>
          <w:tab w:val="left" w:pos="1728"/>
          <w:tab w:val="left" w:pos="4176"/>
        </w:tabs>
        <w:ind w:left="1296"/>
        <w:rPr>
          <w:rFonts w:ascii="Times New Roman" w:hAnsi="Times New Roman"/>
          <w:color w:val="000000"/>
          <w:szCs w:val="24"/>
        </w:rPr>
      </w:pPr>
    </w:p>
    <w:p w:rsidRPr="00E70918" w:rsidR="009077EE" w:rsidP="009077EE" w:rsidRDefault="009077EE" w14:paraId="5A8DAFAF" w14:textId="77777777">
      <w:pPr>
        <w:pStyle w:val="ListParagraph"/>
        <w:numPr>
          <w:ilvl w:val="0"/>
          <w:numId w:val="2"/>
        </w:numPr>
        <w:tabs>
          <w:tab w:val="left" w:pos="432"/>
          <w:tab w:val="left" w:pos="1728"/>
          <w:tab w:val="left" w:pos="4176"/>
        </w:tabs>
        <w:rPr>
          <w:rFonts w:ascii="Times New Roman" w:hAnsi="Times New Roman"/>
          <w:sz w:val="24"/>
          <w:szCs w:val="24"/>
          <w:u w:val="single"/>
        </w:rPr>
      </w:pPr>
      <w:r w:rsidRPr="00E70918">
        <w:rPr>
          <w:rFonts w:ascii="Times New Roman" w:hAnsi="Times New Roman"/>
          <w:sz w:val="24"/>
          <w:szCs w:val="24"/>
          <w:u w:val="single"/>
        </w:rPr>
        <w:t xml:space="preserve">Justification for questions of a sensitive nature: </w:t>
      </w:r>
    </w:p>
    <w:p w:rsidR="009077EE" w:rsidRDefault="009077EE" w14:paraId="479BE603" w14:textId="2DBF0448">
      <w:pPr>
        <w:widowControl/>
        <w:tabs>
          <w:tab w:val="left" w:pos="432"/>
          <w:tab w:val="left" w:pos="1296"/>
          <w:tab w:val="left" w:pos="1728"/>
          <w:tab w:val="left" w:pos="4176"/>
        </w:tabs>
        <w:ind w:left="1296"/>
        <w:rPr>
          <w:rFonts w:ascii="Times New Roman" w:hAnsi="Times New Roman"/>
          <w:color w:val="000000"/>
          <w:szCs w:val="24"/>
        </w:rPr>
      </w:pPr>
      <w:r w:rsidRPr="00584B47">
        <w:rPr>
          <w:rFonts w:ascii="Times New Roman" w:hAnsi="Times New Roman"/>
          <w:color w:val="000000"/>
          <w:szCs w:val="24"/>
        </w:rPr>
        <w:t>The study does not request any information of a sensitive nature.</w:t>
      </w:r>
    </w:p>
    <w:p w:rsidRPr="00E70918" w:rsidR="009077EE" w:rsidP="00E70918" w:rsidRDefault="009077EE" w14:paraId="7B1ABF1E" w14:textId="492859C3">
      <w:pPr>
        <w:tabs>
          <w:tab w:val="left" w:pos="432"/>
          <w:tab w:val="left" w:pos="1728"/>
          <w:tab w:val="left" w:pos="4176"/>
        </w:tabs>
        <w:rPr>
          <w:rFonts w:ascii="Times New Roman" w:hAnsi="Times New Roman"/>
          <w:color w:val="000000"/>
          <w:szCs w:val="24"/>
        </w:rPr>
      </w:pPr>
    </w:p>
    <w:p w:rsidRPr="00B51494" w:rsidR="00927719" w:rsidRDefault="002C031D" w14:paraId="018A7430" w14:textId="73DF4A95">
      <w:pPr>
        <w:keepLines/>
        <w:widowControl/>
        <w:tabs>
          <w:tab w:val="left" w:pos="432"/>
          <w:tab w:val="left" w:pos="1296"/>
          <w:tab w:val="left" w:pos="1728"/>
          <w:tab w:val="left" w:pos="4176"/>
        </w:tabs>
        <w:ind w:firstLine="432"/>
        <w:rPr>
          <w:rFonts w:ascii="Times New Roman" w:hAnsi="Times New Roman"/>
          <w:color w:val="000000"/>
        </w:rPr>
      </w:pPr>
      <w:r w:rsidRPr="00243153">
        <w:rPr>
          <w:rFonts w:ascii="Times New Roman" w:hAnsi="Times New Roman"/>
          <w:color w:val="000000"/>
        </w:rPr>
        <w:t>12.</w:t>
      </w:r>
      <w:r w:rsidRPr="00243153">
        <w:rPr>
          <w:rFonts w:ascii="Times New Roman" w:hAnsi="Times New Roman"/>
          <w:color w:val="000000"/>
        </w:rPr>
        <w:tab/>
      </w:r>
      <w:r w:rsidRPr="00AA7C8E" w:rsidR="002728C5">
        <w:rPr>
          <w:rFonts w:ascii="Times New Roman" w:hAnsi="Times New Roman"/>
          <w:u w:val="single"/>
        </w:rPr>
        <w:t>Estimate of hour burden including annualized hourly costs:</w:t>
      </w:r>
    </w:p>
    <w:p w:rsidR="00696C52" w:rsidP="00E70918" w:rsidRDefault="00696C52" w14:paraId="4B5C0FB7" w14:textId="77777777">
      <w:pPr>
        <w:keepLines/>
        <w:widowControl/>
        <w:tabs>
          <w:tab w:val="left" w:pos="432"/>
          <w:tab w:val="left" w:pos="1296"/>
          <w:tab w:val="left" w:pos="1728"/>
          <w:tab w:val="left" w:pos="4176"/>
        </w:tabs>
        <w:jc w:val="center"/>
        <w:rPr>
          <w:rFonts w:ascii="Times New Roman" w:hAnsi="Times New Roman"/>
          <w:color w:val="000000"/>
        </w:rPr>
      </w:pPr>
    </w:p>
    <w:p w:rsidR="00332171" w:rsidP="00885778" w:rsidRDefault="00332171" w14:paraId="1A2CA8A9" w14:textId="2C085F37">
      <w:pPr>
        <w:keepNext/>
        <w:keepLines/>
        <w:widowControl/>
        <w:tabs>
          <w:tab w:val="left" w:pos="432"/>
          <w:tab w:val="left" w:pos="1296"/>
          <w:tab w:val="left" w:pos="1728"/>
          <w:tab w:val="left" w:pos="4176"/>
        </w:tabs>
        <w:jc w:val="center"/>
        <w:rPr>
          <w:rFonts w:ascii="Times New Roman" w:hAnsi="Times New Roman"/>
          <w:color w:val="000000"/>
        </w:rPr>
      </w:pPr>
      <w:r w:rsidRPr="00E70918">
        <w:rPr>
          <w:rFonts w:ascii="Times New Roman" w:hAnsi="Times New Roman"/>
          <w:b/>
          <w:color w:val="000000"/>
        </w:rPr>
        <w:lastRenderedPageBreak/>
        <w:t>Estimated Annual Burden Hours:</w:t>
      </w:r>
    </w:p>
    <w:tbl>
      <w:tblPr>
        <w:tblW w:w="9530" w:type="dxa"/>
        <w:tblInd w:w="-113" w:type="dxa"/>
        <w:tblLook w:val="04A0" w:firstRow="1" w:lastRow="0" w:firstColumn="1" w:lastColumn="0" w:noHBand="0" w:noVBand="1"/>
      </w:tblPr>
      <w:tblGrid>
        <w:gridCol w:w="2621"/>
        <w:gridCol w:w="1477"/>
        <w:gridCol w:w="1027"/>
        <w:gridCol w:w="1260"/>
        <w:gridCol w:w="1230"/>
        <w:gridCol w:w="1035"/>
        <w:gridCol w:w="880"/>
      </w:tblGrid>
      <w:tr w:rsidRPr="002728C5" w:rsidR="002728C5" w:rsidTr="00E70918" w14:paraId="5913E1B0" w14:textId="77777777">
        <w:trPr>
          <w:trHeight w:val="432"/>
        </w:trPr>
        <w:tc>
          <w:tcPr>
            <w:tcW w:w="953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2728C5" w:rsidR="002728C5" w:rsidP="00885778" w:rsidRDefault="002728C5" w14:paraId="25195D0F" w14:textId="654FFD70">
            <w:pPr>
              <w:keepNext/>
              <w:widowControl/>
              <w:jc w:val="center"/>
              <w:rPr>
                <w:rFonts w:ascii="Times New Roman" w:hAnsi="Times New Roman"/>
                <w:snapToGrid/>
                <w:color w:val="000000"/>
                <w:sz w:val="18"/>
                <w:szCs w:val="18"/>
              </w:rPr>
            </w:pPr>
            <w:r w:rsidRPr="002728C5">
              <w:rPr>
                <w:rFonts w:ascii="Times New Roman" w:hAnsi="Times New Roman"/>
                <w:b/>
                <w:bCs/>
                <w:snapToGrid/>
                <w:color w:val="000000"/>
                <w:sz w:val="20"/>
              </w:rPr>
              <w:t>Summary of Estimated Annual Burden (OMB No. 3064-0</w:t>
            </w:r>
            <w:r>
              <w:rPr>
                <w:rFonts w:ascii="Times New Roman" w:hAnsi="Times New Roman"/>
                <w:b/>
                <w:bCs/>
                <w:snapToGrid/>
                <w:color w:val="000000"/>
                <w:sz w:val="20"/>
              </w:rPr>
              <w:t>203</w:t>
            </w:r>
            <w:r w:rsidRPr="002728C5">
              <w:rPr>
                <w:rFonts w:ascii="Times New Roman" w:hAnsi="Times New Roman"/>
                <w:b/>
                <w:bCs/>
                <w:snapToGrid/>
                <w:color w:val="000000"/>
                <w:sz w:val="20"/>
              </w:rPr>
              <w:t>)</w:t>
            </w:r>
          </w:p>
        </w:tc>
      </w:tr>
      <w:tr w:rsidRPr="002728C5" w:rsidR="002728C5" w:rsidTr="00E70918" w14:paraId="652611C8" w14:textId="77777777">
        <w:trPr>
          <w:trHeight w:val="1056"/>
        </w:trPr>
        <w:tc>
          <w:tcPr>
            <w:tcW w:w="2621" w:type="dxa"/>
            <w:tcBorders>
              <w:top w:val="nil"/>
              <w:left w:val="single" w:color="auto" w:sz="4" w:space="0"/>
              <w:bottom w:val="single" w:color="auto" w:sz="4" w:space="0"/>
              <w:right w:val="single" w:color="auto" w:sz="4" w:space="0"/>
            </w:tcBorders>
            <w:shd w:val="clear" w:color="auto" w:fill="auto"/>
            <w:vAlign w:val="center"/>
            <w:hideMark/>
          </w:tcPr>
          <w:p w:rsidRPr="002728C5" w:rsidR="002728C5" w:rsidP="00E70918" w:rsidRDefault="002728C5" w14:paraId="6AC60396" w14:textId="77777777">
            <w:pPr>
              <w:widowControl/>
              <w:jc w:val="center"/>
              <w:rPr>
                <w:rFonts w:ascii="Times New Roman" w:hAnsi="Times New Roman"/>
                <w:snapToGrid/>
                <w:color w:val="000000"/>
                <w:sz w:val="18"/>
                <w:szCs w:val="18"/>
              </w:rPr>
            </w:pPr>
            <w:r w:rsidRPr="002728C5">
              <w:rPr>
                <w:rFonts w:ascii="Times New Roman" w:hAnsi="Times New Roman"/>
                <w:snapToGrid/>
                <w:color w:val="000000"/>
                <w:sz w:val="18"/>
                <w:szCs w:val="18"/>
              </w:rPr>
              <w:t>IC Description</w:t>
            </w:r>
          </w:p>
        </w:tc>
        <w:tc>
          <w:tcPr>
            <w:tcW w:w="1477" w:type="dxa"/>
            <w:tcBorders>
              <w:top w:val="nil"/>
              <w:left w:val="nil"/>
              <w:bottom w:val="single" w:color="auto" w:sz="4" w:space="0"/>
              <w:right w:val="single" w:color="auto" w:sz="4" w:space="0"/>
            </w:tcBorders>
            <w:shd w:val="clear" w:color="auto" w:fill="auto"/>
            <w:vAlign w:val="center"/>
            <w:hideMark/>
          </w:tcPr>
          <w:p w:rsidRPr="002728C5" w:rsidR="002728C5" w:rsidP="007D2276" w:rsidRDefault="002728C5" w14:paraId="49848BDA" w14:textId="77777777">
            <w:pPr>
              <w:widowControl/>
              <w:jc w:val="center"/>
              <w:rPr>
                <w:rFonts w:ascii="Times New Roman" w:hAnsi="Times New Roman"/>
                <w:snapToGrid/>
                <w:color w:val="000000"/>
                <w:sz w:val="18"/>
                <w:szCs w:val="18"/>
              </w:rPr>
            </w:pPr>
            <w:r w:rsidRPr="002728C5">
              <w:rPr>
                <w:rFonts w:ascii="Times New Roman" w:hAnsi="Times New Roman"/>
                <w:snapToGrid/>
                <w:color w:val="000000"/>
                <w:sz w:val="18"/>
                <w:szCs w:val="18"/>
              </w:rPr>
              <w:t>Type of Burden (Obligation to Respond)</w:t>
            </w:r>
          </w:p>
        </w:tc>
        <w:tc>
          <w:tcPr>
            <w:tcW w:w="1027" w:type="dxa"/>
            <w:tcBorders>
              <w:top w:val="nil"/>
              <w:left w:val="nil"/>
              <w:bottom w:val="single" w:color="auto" w:sz="4" w:space="0"/>
              <w:right w:val="single" w:color="auto" w:sz="4" w:space="0"/>
            </w:tcBorders>
            <w:vAlign w:val="center"/>
          </w:tcPr>
          <w:p w:rsidRPr="002728C5" w:rsidR="002728C5" w:rsidP="007D2276" w:rsidRDefault="002728C5" w14:paraId="7CF5F57F" w14:textId="77777777">
            <w:pPr>
              <w:widowControl/>
              <w:jc w:val="center"/>
              <w:rPr>
                <w:rFonts w:ascii="Times New Roman" w:hAnsi="Times New Roman"/>
                <w:snapToGrid/>
                <w:color w:val="000000"/>
                <w:sz w:val="18"/>
                <w:szCs w:val="18"/>
              </w:rPr>
            </w:pPr>
            <w:r w:rsidRPr="002728C5">
              <w:rPr>
                <w:rFonts w:ascii="Times New Roman" w:hAnsi="Times New Roman"/>
                <w:snapToGrid/>
                <w:color w:val="000000"/>
                <w:sz w:val="18"/>
                <w:szCs w:val="18"/>
              </w:rPr>
              <w:t>Frequency of Response</w:t>
            </w:r>
          </w:p>
        </w:tc>
        <w:tc>
          <w:tcPr>
            <w:tcW w:w="1260" w:type="dxa"/>
            <w:tcBorders>
              <w:top w:val="nil"/>
              <w:left w:val="single" w:color="auto" w:sz="4" w:space="0"/>
              <w:bottom w:val="single" w:color="auto" w:sz="4" w:space="0"/>
              <w:right w:val="single" w:color="auto" w:sz="4" w:space="0"/>
            </w:tcBorders>
            <w:shd w:val="clear" w:color="auto" w:fill="auto"/>
            <w:vAlign w:val="center"/>
            <w:hideMark/>
          </w:tcPr>
          <w:p w:rsidRPr="002728C5" w:rsidR="002728C5" w:rsidP="00E70918" w:rsidRDefault="002728C5" w14:paraId="02D7F809" w14:textId="77777777">
            <w:pPr>
              <w:widowControl/>
              <w:jc w:val="center"/>
              <w:rPr>
                <w:rFonts w:ascii="Times New Roman" w:hAnsi="Times New Roman"/>
                <w:snapToGrid/>
                <w:color w:val="000000"/>
                <w:sz w:val="18"/>
                <w:szCs w:val="18"/>
              </w:rPr>
            </w:pPr>
            <w:r w:rsidRPr="002728C5">
              <w:rPr>
                <w:rFonts w:ascii="Times New Roman" w:hAnsi="Times New Roman"/>
                <w:snapToGrid/>
                <w:color w:val="000000"/>
                <w:sz w:val="18"/>
                <w:szCs w:val="18"/>
              </w:rPr>
              <w:t>Number of Respondents</w:t>
            </w:r>
          </w:p>
        </w:tc>
        <w:tc>
          <w:tcPr>
            <w:tcW w:w="1230" w:type="dxa"/>
            <w:tcBorders>
              <w:top w:val="nil"/>
              <w:left w:val="nil"/>
              <w:bottom w:val="single" w:color="auto" w:sz="4" w:space="0"/>
              <w:right w:val="single" w:color="auto" w:sz="4" w:space="0"/>
            </w:tcBorders>
            <w:shd w:val="clear" w:color="auto" w:fill="auto"/>
            <w:vAlign w:val="center"/>
            <w:hideMark/>
          </w:tcPr>
          <w:p w:rsidRPr="002728C5" w:rsidR="002728C5" w:rsidP="00E70918" w:rsidRDefault="002728C5" w14:paraId="32531E27" w14:textId="77777777">
            <w:pPr>
              <w:widowControl/>
              <w:jc w:val="center"/>
              <w:rPr>
                <w:rFonts w:ascii="Times New Roman" w:hAnsi="Times New Roman"/>
                <w:snapToGrid/>
                <w:color w:val="000000"/>
                <w:sz w:val="18"/>
                <w:szCs w:val="18"/>
              </w:rPr>
            </w:pPr>
            <w:r w:rsidRPr="002728C5">
              <w:rPr>
                <w:rFonts w:ascii="Times New Roman" w:hAnsi="Times New Roman"/>
                <w:snapToGrid/>
                <w:color w:val="000000"/>
                <w:sz w:val="18"/>
                <w:szCs w:val="18"/>
              </w:rPr>
              <w:t>Number of Responses / Respondent</w:t>
            </w:r>
          </w:p>
        </w:tc>
        <w:tc>
          <w:tcPr>
            <w:tcW w:w="1035" w:type="dxa"/>
            <w:tcBorders>
              <w:top w:val="nil"/>
              <w:left w:val="nil"/>
              <w:bottom w:val="single" w:color="auto" w:sz="4" w:space="0"/>
              <w:right w:val="single" w:color="auto" w:sz="4" w:space="0"/>
            </w:tcBorders>
            <w:shd w:val="clear" w:color="auto" w:fill="auto"/>
            <w:vAlign w:val="center"/>
            <w:hideMark/>
          </w:tcPr>
          <w:p w:rsidRPr="002728C5" w:rsidR="002728C5" w:rsidP="00E70918" w:rsidRDefault="002728C5" w14:paraId="39B89071" w14:textId="2A38B090">
            <w:pPr>
              <w:widowControl/>
              <w:jc w:val="center"/>
              <w:rPr>
                <w:rFonts w:ascii="Times New Roman" w:hAnsi="Times New Roman"/>
                <w:snapToGrid/>
                <w:color w:val="000000"/>
                <w:sz w:val="18"/>
                <w:szCs w:val="18"/>
              </w:rPr>
            </w:pPr>
            <w:r w:rsidRPr="002728C5">
              <w:rPr>
                <w:rFonts w:ascii="Times New Roman" w:hAnsi="Times New Roman"/>
                <w:snapToGrid/>
                <w:color w:val="000000"/>
                <w:sz w:val="18"/>
                <w:szCs w:val="18"/>
              </w:rPr>
              <w:t>Hours per Response</w:t>
            </w:r>
          </w:p>
        </w:tc>
        <w:tc>
          <w:tcPr>
            <w:tcW w:w="880" w:type="dxa"/>
            <w:tcBorders>
              <w:top w:val="nil"/>
              <w:left w:val="nil"/>
              <w:bottom w:val="single" w:color="auto" w:sz="4" w:space="0"/>
              <w:right w:val="single" w:color="auto" w:sz="4" w:space="0"/>
            </w:tcBorders>
            <w:shd w:val="clear" w:color="auto" w:fill="auto"/>
            <w:vAlign w:val="center"/>
            <w:hideMark/>
          </w:tcPr>
          <w:p w:rsidRPr="002728C5" w:rsidR="002728C5" w:rsidP="00E70918" w:rsidRDefault="002728C5" w14:paraId="788A1A76" w14:textId="77777777">
            <w:pPr>
              <w:widowControl/>
              <w:jc w:val="center"/>
              <w:rPr>
                <w:rFonts w:ascii="Times New Roman" w:hAnsi="Times New Roman"/>
                <w:snapToGrid/>
                <w:color w:val="000000"/>
                <w:sz w:val="18"/>
                <w:szCs w:val="18"/>
              </w:rPr>
            </w:pPr>
            <w:r w:rsidRPr="002728C5">
              <w:rPr>
                <w:rFonts w:ascii="Times New Roman" w:hAnsi="Times New Roman"/>
                <w:snapToGrid/>
                <w:color w:val="000000"/>
                <w:sz w:val="18"/>
                <w:szCs w:val="18"/>
              </w:rPr>
              <w:t>Annual Burden (Hours)</w:t>
            </w:r>
          </w:p>
        </w:tc>
      </w:tr>
      <w:tr w:rsidRPr="002728C5" w:rsidR="002728C5" w:rsidTr="00E70918" w14:paraId="5DE0F044" w14:textId="77777777">
        <w:trPr>
          <w:trHeight w:val="288"/>
        </w:trPr>
        <w:tc>
          <w:tcPr>
            <w:tcW w:w="2621" w:type="dxa"/>
            <w:tcBorders>
              <w:top w:val="nil"/>
              <w:left w:val="single" w:color="auto" w:sz="4" w:space="0"/>
              <w:bottom w:val="single" w:color="auto" w:sz="4" w:space="0"/>
              <w:right w:val="single" w:color="auto" w:sz="4" w:space="0"/>
            </w:tcBorders>
            <w:shd w:val="clear" w:color="auto" w:fill="auto"/>
            <w:vAlign w:val="center"/>
            <w:hideMark/>
          </w:tcPr>
          <w:p w:rsidRPr="002728C5" w:rsidR="002728C5" w:rsidP="002728C5" w:rsidRDefault="00ED55C8" w14:paraId="00851BAC" w14:textId="3B83E150">
            <w:pPr>
              <w:widowControl/>
              <w:rPr>
                <w:rFonts w:ascii="Times New Roman" w:hAnsi="Times New Roman" w:eastAsia="Source Sans Pro"/>
                <w:snapToGrid/>
                <w:color w:val="000000"/>
                <w:sz w:val="18"/>
                <w:szCs w:val="18"/>
                <w:lang w:bidi="en-US"/>
              </w:rPr>
            </w:pPr>
            <w:r>
              <w:rPr>
                <w:rFonts w:ascii="Times New Roman" w:hAnsi="Times New Roman" w:eastAsia="Source Sans Pro"/>
                <w:snapToGrid/>
                <w:color w:val="000000"/>
                <w:sz w:val="18"/>
                <w:szCs w:val="18"/>
                <w:lang w:bidi="en-US"/>
              </w:rPr>
              <w:t xml:space="preserve">Respondents with </w:t>
            </w:r>
            <w:r w:rsidR="002728C5">
              <w:rPr>
                <w:rFonts w:ascii="Times New Roman" w:hAnsi="Times New Roman" w:eastAsia="Source Sans Pro"/>
                <w:snapToGrid/>
                <w:color w:val="000000"/>
                <w:sz w:val="18"/>
                <w:szCs w:val="18"/>
                <w:lang w:bidi="en-US"/>
              </w:rPr>
              <w:t xml:space="preserve"> </w:t>
            </w:r>
            <w:r>
              <w:rPr>
                <w:rFonts w:ascii="Times New Roman" w:hAnsi="Times New Roman" w:eastAsia="Source Sans Pro"/>
                <w:snapToGrid/>
                <w:color w:val="000000"/>
                <w:sz w:val="18"/>
                <w:szCs w:val="18"/>
                <w:lang w:bidi="en-US"/>
              </w:rPr>
              <w:t>Gross Annual Revenue Less than $1 Billion</w:t>
            </w:r>
          </w:p>
        </w:tc>
        <w:tc>
          <w:tcPr>
            <w:tcW w:w="1477" w:type="dxa"/>
            <w:tcBorders>
              <w:top w:val="nil"/>
              <w:left w:val="nil"/>
              <w:bottom w:val="single" w:color="auto" w:sz="4" w:space="0"/>
              <w:right w:val="single" w:color="auto" w:sz="4" w:space="0"/>
            </w:tcBorders>
            <w:shd w:val="clear" w:color="auto" w:fill="auto"/>
            <w:noWrap/>
            <w:vAlign w:val="center"/>
            <w:hideMark/>
          </w:tcPr>
          <w:p w:rsidRPr="002728C5" w:rsidR="002728C5" w:rsidP="002728C5" w:rsidRDefault="002728C5" w14:paraId="0D834C2F" w14:textId="68FC2ED3">
            <w:pPr>
              <w:widowControl/>
              <w:jc w:val="center"/>
              <w:rPr>
                <w:rFonts w:ascii="Times New Roman" w:hAnsi="Times New Roman" w:eastAsia="Source Sans Pro"/>
                <w:snapToGrid/>
                <w:color w:val="000000"/>
                <w:sz w:val="18"/>
                <w:szCs w:val="18"/>
              </w:rPr>
            </w:pPr>
            <w:r w:rsidRPr="002728C5">
              <w:rPr>
                <w:rFonts w:ascii="Times New Roman" w:hAnsi="Times New Roman" w:eastAsia="Source Sans Pro"/>
                <w:snapToGrid/>
                <w:color w:val="000000"/>
                <w:sz w:val="18"/>
                <w:szCs w:val="18"/>
                <w:lang w:bidi="en-US"/>
              </w:rPr>
              <w:t>Reporting</w:t>
            </w:r>
            <w:r w:rsidR="00ED55C8">
              <w:rPr>
                <w:rFonts w:ascii="Times New Roman" w:hAnsi="Times New Roman" w:eastAsia="Source Sans Pro"/>
                <w:snapToGrid/>
                <w:color w:val="000000"/>
                <w:sz w:val="18"/>
                <w:szCs w:val="18"/>
                <w:lang w:bidi="en-US"/>
              </w:rPr>
              <w:t xml:space="preserve"> (Voluntary</w:t>
            </w:r>
            <w:r w:rsidRPr="002728C5">
              <w:rPr>
                <w:rFonts w:ascii="Times New Roman" w:hAnsi="Times New Roman" w:eastAsia="Source Sans Pro"/>
                <w:snapToGrid/>
                <w:color w:val="000000"/>
                <w:sz w:val="18"/>
                <w:szCs w:val="18"/>
                <w:lang w:bidi="en-US"/>
              </w:rPr>
              <w:t>)</w:t>
            </w:r>
          </w:p>
        </w:tc>
        <w:tc>
          <w:tcPr>
            <w:tcW w:w="1027" w:type="dxa"/>
            <w:tcBorders>
              <w:top w:val="single" w:color="auto" w:sz="4" w:space="0"/>
              <w:left w:val="nil"/>
              <w:bottom w:val="single" w:color="auto" w:sz="4" w:space="0"/>
              <w:right w:val="single" w:color="auto" w:sz="4" w:space="0"/>
            </w:tcBorders>
            <w:vAlign w:val="center"/>
          </w:tcPr>
          <w:p w:rsidRPr="002728C5" w:rsidR="002728C5" w:rsidP="002728C5" w:rsidRDefault="00ED55C8" w14:paraId="010E717C" w14:textId="2C92E08E">
            <w:pPr>
              <w:widowControl/>
              <w:jc w:val="center"/>
              <w:rPr>
                <w:rFonts w:ascii="Times New Roman" w:hAnsi="Times New Roman" w:eastAsia="Source Sans Pro"/>
                <w:snapToGrid/>
                <w:color w:val="000000"/>
                <w:sz w:val="18"/>
                <w:szCs w:val="18"/>
                <w:lang w:bidi="en-US"/>
              </w:rPr>
            </w:pPr>
            <w:r>
              <w:rPr>
                <w:rFonts w:ascii="Times New Roman" w:hAnsi="Times New Roman" w:eastAsia="Source Sans Pro"/>
                <w:snapToGrid/>
                <w:color w:val="000000"/>
                <w:sz w:val="18"/>
                <w:szCs w:val="18"/>
                <w:lang w:bidi="en-US"/>
              </w:rPr>
              <w:t>One time</w:t>
            </w:r>
          </w:p>
        </w:tc>
        <w:tc>
          <w:tcPr>
            <w:tcW w:w="1260" w:type="dxa"/>
            <w:tcBorders>
              <w:top w:val="nil"/>
              <w:left w:val="single" w:color="auto" w:sz="4" w:space="0"/>
              <w:bottom w:val="single" w:color="auto" w:sz="4" w:space="0"/>
              <w:right w:val="single" w:color="auto" w:sz="4" w:space="0"/>
            </w:tcBorders>
            <w:shd w:val="clear" w:color="auto" w:fill="auto"/>
            <w:noWrap/>
            <w:vAlign w:val="center"/>
            <w:hideMark/>
          </w:tcPr>
          <w:p w:rsidRPr="002728C5" w:rsidR="002728C5" w:rsidP="002728C5" w:rsidRDefault="00ED55C8" w14:paraId="222448D3" w14:textId="3358173A">
            <w:pPr>
              <w:widowControl/>
              <w:jc w:val="center"/>
              <w:rPr>
                <w:rFonts w:ascii="Times New Roman" w:hAnsi="Times New Roman" w:eastAsia="Source Sans Pro"/>
                <w:snapToGrid/>
                <w:color w:val="000000"/>
                <w:sz w:val="18"/>
                <w:szCs w:val="18"/>
              </w:rPr>
            </w:pPr>
            <w:r>
              <w:rPr>
                <w:rFonts w:ascii="Times New Roman" w:hAnsi="Times New Roman" w:eastAsia="Source Sans Pro"/>
                <w:snapToGrid/>
                <w:color w:val="000000"/>
                <w:sz w:val="18"/>
                <w:szCs w:val="18"/>
              </w:rPr>
              <w:t>1,152</w:t>
            </w:r>
          </w:p>
        </w:tc>
        <w:tc>
          <w:tcPr>
            <w:tcW w:w="1230" w:type="dxa"/>
            <w:tcBorders>
              <w:top w:val="nil"/>
              <w:left w:val="nil"/>
              <w:bottom w:val="single" w:color="auto" w:sz="4" w:space="0"/>
              <w:right w:val="single" w:color="auto" w:sz="4" w:space="0"/>
            </w:tcBorders>
            <w:shd w:val="clear" w:color="auto" w:fill="auto"/>
            <w:noWrap/>
            <w:vAlign w:val="center"/>
            <w:hideMark/>
          </w:tcPr>
          <w:p w:rsidRPr="002728C5" w:rsidR="002728C5" w:rsidP="002728C5" w:rsidRDefault="002728C5" w14:paraId="650A8D46" w14:textId="77777777">
            <w:pPr>
              <w:widowControl/>
              <w:jc w:val="center"/>
              <w:rPr>
                <w:rFonts w:ascii="Times New Roman" w:hAnsi="Times New Roman" w:eastAsia="Source Sans Pro"/>
                <w:snapToGrid/>
                <w:color w:val="000000"/>
                <w:sz w:val="18"/>
                <w:szCs w:val="18"/>
              </w:rPr>
            </w:pPr>
            <w:r w:rsidRPr="002728C5">
              <w:rPr>
                <w:rFonts w:ascii="Times New Roman" w:hAnsi="Times New Roman" w:eastAsia="Source Sans Pro"/>
                <w:snapToGrid/>
                <w:color w:val="000000"/>
                <w:sz w:val="18"/>
                <w:szCs w:val="18"/>
              </w:rPr>
              <w:t>1</w:t>
            </w:r>
          </w:p>
        </w:tc>
        <w:tc>
          <w:tcPr>
            <w:tcW w:w="1035" w:type="dxa"/>
            <w:tcBorders>
              <w:top w:val="nil"/>
              <w:left w:val="nil"/>
              <w:bottom w:val="single" w:color="auto" w:sz="4" w:space="0"/>
              <w:right w:val="single" w:color="auto" w:sz="4" w:space="0"/>
            </w:tcBorders>
            <w:shd w:val="clear" w:color="auto" w:fill="auto"/>
            <w:noWrap/>
            <w:vAlign w:val="center"/>
            <w:hideMark/>
          </w:tcPr>
          <w:p w:rsidRPr="002728C5" w:rsidR="002728C5" w:rsidP="002728C5" w:rsidRDefault="00ED55C8" w14:paraId="60DA901E" w14:textId="3958AEC5">
            <w:pPr>
              <w:widowControl/>
              <w:jc w:val="center"/>
              <w:rPr>
                <w:rFonts w:ascii="Times New Roman" w:hAnsi="Times New Roman" w:eastAsia="Source Sans Pro"/>
                <w:snapToGrid/>
                <w:color w:val="000000"/>
                <w:sz w:val="18"/>
                <w:szCs w:val="18"/>
              </w:rPr>
            </w:pPr>
            <w:r>
              <w:rPr>
                <w:rFonts w:ascii="Times New Roman" w:hAnsi="Times New Roman" w:eastAsia="Source Sans Pro"/>
                <w:snapToGrid/>
                <w:color w:val="000000"/>
                <w:sz w:val="18"/>
                <w:szCs w:val="18"/>
                <w:lang w:bidi="en-US"/>
              </w:rPr>
              <w:t>3.5</w:t>
            </w:r>
          </w:p>
        </w:tc>
        <w:tc>
          <w:tcPr>
            <w:tcW w:w="880" w:type="dxa"/>
            <w:tcBorders>
              <w:top w:val="nil"/>
              <w:left w:val="nil"/>
              <w:bottom w:val="single" w:color="auto" w:sz="4" w:space="0"/>
              <w:right w:val="single" w:color="auto" w:sz="4" w:space="0"/>
            </w:tcBorders>
            <w:shd w:val="clear" w:color="auto" w:fill="auto"/>
            <w:noWrap/>
            <w:vAlign w:val="center"/>
            <w:hideMark/>
          </w:tcPr>
          <w:p w:rsidRPr="002728C5" w:rsidR="002728C5" w:rsidP="002728C5" w:rsidRDefault="00ED55C8" w14:paraId="3BD7B8FF" w14:textId="56F16F5B">
            <w:pPr>
              <w:widowControl/>
              <w:jc w:val="center"/>
              <w:rPr>
                <w:rFonts w:ascii="Times New Roman" w:hAnsi="Times New Roman" w:eastAsia="Source Sans Pro"/>
                <w:snapToGrid/>
                <w:color w:val="000000"/>
                <w:sz w:val="18"/>
                <w:szCs w:val="18"/>
              </w:rPr>
            </w:pPr>
            <w:r>
              <w:rPr>
                <w:rFonts w:ascii="Times New Roman" w:hAnsi="Times New Roman" w:eastAsia="Source Sans Pro"/>
                <w:snapToGrid/>
                <w:color w:val="000000"/>
                <w:sz w:val="18"/>
                <w:szCs w:val="18"/>
              </w:rPr>
              <w:t>4,032</w:t>
            </w:r>
          </w:p>
        </w:tc>
      </w:tr>
      <w:tr w:rsidRPr="002728C5" w:rsidR="00ED55C8" w:rsidTr="00E70918" w14:paraId="1B2FAEF0" w14:textId="77777777">
        <w:trPr>
          <w:trHeight w:val="288"/>
        </w:trPr>
        <w:tc>
          <w:tcPr>
            <w:tcW w:w="2621" w:type="dxa"/>
            <w:tcBorders>
              <w:top w:val="nil"/>
              <w:left w:val="single" w:color="auto" w:sz="4" w:space="0"/>
              <w:bottom w:val="single" w:color="auto" w:sz="4" w:space="0"/>
              <w:right w:val="single" w:color="auto" w:sz="4" w:space="0"/>
            </w:tcBorders>
            <w:shd w:val="clear" w:color="auto" w:fill="auto"/>
            <w:vAlign w:val="center"/>
          </w:tcPr>
          <w:p w:rsidR="00ED55C8" w:rsidP="002728C5" w:rsidRDefault="00ED55C8" w14:paraId="2179A042" w14:textId="590C649B">
            <w:pPr>
              <w:widowControl/>
              <w:rPr>
                <w:rFonts w:ascii="Times New Roman" w:hAnsi="Times New Roman" w:eastAsia="Source Sans Pro"/>
                <w:snapToGrid/>
                <w:color w:val="000000"/>
                <w:sz w:val="18"/>
                <w:szCs w:val="18"/>
                <w:lang w:bidi="en-US"/>
              </w:rPr>
            </w:pPr>
            <w:r>
              <w:rPr>
                <w:rFonts w:ascii="Times New Roman" w:hAnsi="Times New Roman" w:eastAsia="Source Sans Pro"/>
                <w:snapToGrid/>
                <w:color w:val="000000"/>
                <w:sz w:val="18"/>
                <w:szCs w:val="18"/>
                <w:lang w:bidi="en-US"/>
              </w:rPr>
              <w:t>Respondents with  Gross Annual Revenue  $1 Billion or More</w:t>
            </w:r>
          </w:p>
        </w:tc>
        <w:tc>
          <w:tcPr>
            <w:tcW w:w="1477" w:type="dxa"/>
            <w:tcBorders>
              <w:top w:val="nil"/>
              <w:left w:val="nil"/>
              <w:bottom w:val="single" w:color="auto" w:sz="4" w:space="0"/>
              <w:right w:val="single" w:color="auto" w:sz="4" w:space="0"/>
            </w:tcBorders>
            <w:shd w:val="clear" w:color="auto" w:fill="auto"/>
            <w:noWrap/>
            <w:vAlign w:val="center"/>
          </w:tcPr>
          <w:p w:rsidRPr="002728C5" w:rsidR="00ED55C8" w:rsidP="002728C5" w:rsidRDefault="00ED55C8" w14:paraId="5205D44D" w14:textId="6C3EEEC5">
            <w:pPr>
              <w:widowControl/>
              <w:jc w:val="center"/>
              <w:rPr>
                <w:rFonts w:ascii="Times New Roman" w:hAnsi="Times New Roman" w:eastAsia="Source Sans Pro"/>
                <w:snapToGrid/>
                <w:color w:val="000000"/>
                <w:sz w:val="18"/>
                <w:szCs w:val="18"/>
                <w:lang w:bidi="en-US"/>
              </w:rPr>
            </w:pPr>
            <w:r w:rsidRPr="002728C5">
              <w:rPr>
                <w:rFonts w:ascii="Times New Roman" w:hAnsi="Times New Roman" w:eastAsia="Source Sans Pro"/>
                <w:snapToGrid/>
                <w:color w:val="000000"/>
                <w:sz w:val="18"/>
                <w:szCs w:val="18"/>
                <w:lang w:bidi="en-US"/>
              </w:rPr>
              <w:t>Reporting</w:t>
            </w:r>
            <w:r>
              <w:rPr>
                <w:rFonts w:ascii="Times New Roman" w:hAnsi="Times New Roman" w:eastAsia="Source Sans Pro"/>
                <w:snapToGrid/>
                <w:color w:val="000000"/>
                <w:sz w:val="18"/>
                <w:szCs w:val="18"/>
                <w:lang w:bidi="en-US"/>
              </w:rPr>
              <w:t xml:space="preserve"> (Voluntary</w:t>
            </w:r>
            <w:r w:rsidRPr="002728C5">
              <w:rPr>
                <w:rFonts w:ascii="Times New Roman" w:hAnsi="Times New Roman" w:eastAsia="Source Sans Pro"/>
                <w:snapToGrid/>
                <w:color w:val="000000"/>
                <w:sz w:val="18"/>
                <w:szCs w:val="18"/>
                <w:lang w:bidi="en-US"/>
              </w:rPr>
              <w:t>)</w:t>
            </w:r>
          </w:p>
        </w:tc>
        <w:tc>
          <w:tcPr>
            <w:tcW w:w="1027" w:type="dxa"/>
            <w:tcBorders>
              <w:top w:val="single" w:color="auto" w:sz="4" w:space="0"/>
              <w:left w:val="nil"/>
              <w:bottom w:val="single" w:color="auto" w:sz="4" w:space="0"/>
              <w:right w:val="single" w:color="auto" w:sz="4" w:space="0"/>
            </w:tcBorders>
            <w:vAlign w:val="center"/>
          </w:tcPr>
          <w:p w:rsidRPr="002728C5" w:rsidR="00ED55C8" w:rsidP="002728C5" w:rsidRDefault="00ED55C8" w14:paraId="44AE5D06" w14:textId="6446CCDC">
            <w:pPr>
              <w:widowControl/>
              <w:jc w:val="center"/>
              <w:rPr>
                <w:rFonts w:ascii="Times New Roman" w:hAnsi="Times New Roman" w:eastAsia="Source Sans Pro"/>
                <w:snapToGrid/>
                <w:color w:val="000000"/>
                <w:sz w:val="18"/>
                <w:szCs w:val="18"/>
                <w:lang w:bidi="en-US"/>
              </w:rPr>
            </w:pPr>
            <w:r>
              <w:rPr>
                <w:rFonts w:ascii="Times New Roman" w:hAnsi="Times New Roman" w:eastAsia="Source Sans Pro"/>
                <w:snapToGrid/>
                <w:color w:val="000000"/>
                <w:sz w:val="18"/>
                <w:szCs w:val="18"/>
                <w:lang w:bidi="en-US"/>
              </w:rPr>
              <w:t>One time</w:t>
            </w:r>
          </w:p>
        </w:tc>
        <w:tc>
          <w:tcPr>
            <w:tcW w:w="1260" w:type="dxa"/>
            <w:tcBorders>
              <w:top w:val="nil"/>
              <w:left w:val="single" w:color="auto" w:sz="4" w:space="0"/>
              <w:bottom w:val="single" w:color="auto" w:sz="4" w:space="0"/>
              <w:right w:val="single" w:color="auto" w:sz="4" w:space="0"/>
            </w:tcBorders>
            <w:shd w:val="clear" w:color="auto" w:fill="auto"/>
            <w:noWrap/>
            <w:vAlign w:val="center"/>
          </w:tcPr>
          <w:p w:rsidRPr="002728C5" w:rsidR="00ED55C8" w:rsidP="002728C5" w:rsidRDefault="00ED55C8" w14:paraId="70337ADB" w14:textId="50616C3E">
            <w:pPr>
              <w:widowControl/>
              <w:jc w:val="center"/>
              <w:rPr>
                <w:rFonts w:ascii="Times New Roman" w:hAnsi="Times New Roman" w:eastAsia="Source Sans Pro"/>
                <w:snapToGrid/>
                <w:color w:val="000000"/>
                <w:sz w:val="18"/>
                <w:szCs w:val="18"/>
              </w:rPr>
            </w:pPr>
            <w:r>
              <w:rPr>
                <w:rFonts w:ascii="Times New Roman" w:hAnsi="Times New Roman" w:eastAsia="Source Sans Pro"/>
                <w:snapToGrid/>
                <w:color w:val="000000"/>
                <w:sz w:val="18"/>
                <w:szCs w:val="18"/>
              </w:rPr>
              <w:t>848</w:t>
            </w:r>
          </w:p>
        </w:tc>
        <w:tc>
          <w:tcPr>
            <w:tcW w:w="1230" w:type="dxa"/>
            <w:tcBorders>
              <w:top w:val="nil"/>
              <w:left w:val="nil"/>
              <w:bottom w:val="single" w:color="auto" w:sz="4" w:space="0"/>
              <w:right w:val="single" w:color="auto" w:sz="4" w:space="0"/>
            </w:tcBorders>
            <w:shd w:val="clear" w:color="auto" w:fill="auto"/>
            <w:noWrap/>
            <w:vAlign w:val="center"/>
          </w:tcPr>
          <w:p w:rsidRPr="002728C5" w:rsidR="00ED55C8" w:rsidP="002728C5" w:rsidRDefault="00ED55C8" w14:paraId="01FD0EEF" w14:textId="2D9CB136">
            <w:pPr>
              <w:widowControl/>
              <w:jc w:val="center"/>
              <w:rPr>
                <w:rFonts w:ascii="Times New Roman" w:hAnsi="Times New Roman" w:eastAsia="Source Sans Pro"/>
                <w:snapToGrid/>
                <w:color w:val="000000"/>
                <w:sz w:val="18"/>
                <w:szCs w:val="18"/>
              </w:rPr>
            </w:pPr>
            <w:r>
              <w:rPr>
                <w:rFonts w:ascii="Times New Roman" w:hAnsi="Times New Roman" w:eastAsia="Source Sans Pro"/>
                <w:snapToGrid/>
                <w:color w:val="000000"/>
                <w:sz w:val="18"/>
                <w:szCs w:val="18"/>
              </w:rPr>
              <w:t>1</w:t>
            </w:r>
          </w:p>
        </w:tc>
        <w:tc>
          <w:tcPr>
            <w:tcW w:w="1035" w:type="dxa"/>
            <w:tcBorders>
              <w:top w:val="nil"/>
              <w:left w:val="nil"/>
              <w:bottom w:val="single" w:color="auto" w:sz="4" w:space="0"/>
              <w:right w:val="single" w:color="auto" w:sz="4" w:space="0"/>
            </w:tcBorders>
            <w:shd w:val="clear" w:color="auto" w:fill="auto"/>
            <w:noWrap/>
            <w:vAlign w:val="center"/>
          </w:tcPr>
          <w:p w:rsidRPr="002728C5" w:rsidR="00ED55C8" w:rsidP="002728C5" w:rsidRDefault="00ED55C8" w14:paraId="6432A58A" w14:textId="609EBFDB">
            <w:pPr>
              <w:widowControl/>
              <w:jc w:val="center"/>
              <w:rPr>
                <w:rFonts w:ascii="Times New Roman" w:hAnsi="Times New Roman" w:eastAsia="Source Sans Pro"/>
                <w:snapToGrid/>
                <w:color w:val="000000"/>
                <w:sz w:val="18"/>
                <w:szCs w:val="18"/>
                <w:lang w:bidi="en-US"/>
              </w:rPr>
            </w:pPr>
            <w:r>
              <w:rPr>
                <w:rFonts w:ascii="Times New Roman" w:hAnsi="Times New Roman" w:eastAsia="Source Sans Pro"/>
                <w:snapToGrid/>
                <w:color w:val="000000"/>
                <w:sz w:val="18"/>
                <w:szCs w:val="18"/>
                <w:lang w:bidi="en-US"/>
              </w:rPr>
              <w:t>6.5</w:t>
            </w:r>
          </w:p>
        </w:tc>
        <w:tc>
          <w:tcPr>
            <w:tcW w:w="880" w:type="dxa"/>
            <w:tcBorders>
              <w:top w:val="nil"/>
              <w:left w:val="nil"/>
              <w:bottom w:val="single" w:color="auto" w:sz="4" w:space="0"/>
              <w:right w:val="single" w:color="auto" w:sz="4" w:space="0"/>
            </w:tcBorders>
            <w:shd w:val="clear" w:color="auto" w:fill="auto"/>
            <w:noWrap/>
            <w:vAlign w:val="center"/>
          </w:tcPr>
          <w:p w:rsidRPr="002728C5" w:rsidR="00ED55C8" w:rsidP="002728C5" w:rsidRDefault="00332171" w14:paraId="06057A40" w14:textId="1AF43862">
            <w:pPr>
              <w:widowControl/>
              <w:jc w:val="center"/>
              <w:rPr>
                <w:rFonts w:ascii="Times New Roman" w:hAnsi="Times New Roman" w:eastAsia="Source Sans Pro"/>
                <w:snapToGrid/>
                <w:color w:val="000000"/>
                <w:sz w:val="18"/>
                <w:szCs w:val="18"/>
              </w:rPr>
            </w:pPr>
            <w:r>
              <w:rPr>
                <w:rFonts w:ascii="Times New Roman" w:hAnsi="Times New Roman" w:eastAsia="Source Sans Pro"/>
                <w:snapToGrid/>
                <w:color w:val="000000"/>
                <w:sz w:val="18"/>
                <w:szCs w:val="18"/>
              </w:rPr>
              <w:t>5,512</w:t>
            </w:r>
          </w:p>
        </w:tc>
      </w:tr>
      <w:tr w:rsidRPr="002728C5" w:rsidR="002728C5" w:rsidTr="00E70918" w14:paraId="0CBFAB13" w14:textId="77777777">
        <w:trPr>
          <w:trHeight w:val="288"/>
        </w:trPr>
        <w:tc>
          <w:tcPr>
            <w:tcW w:w="8650" w:type="dxa"/>
            <w:gridSpan w:val="6"/>
            <w:tcBorders>
              <w:top w:val="single" w:color="auto" w:sz="4" w:space="0"/>
              <w:left w:val="single" w:color="auto" w:sz="4" w:space="0"/>
              <w:bottom w:val="single" w:color="auto" w:sz="4" w:space="0"/>
            </w:tcBorders>
            <w:shd w:val="clear" w:color="auto" w:fill="auto"/>
            <w:vAlign w:val="center"/>
          </w:tcPr>
          <w:p w:rsidRPr="002728C5" w:rsidR="002728C5" w:rsidP="002728C5" w:rsidRDefault="002728C5" w14:paraId="196E548C" w14:textId="5A171151">
            <w:pPr>
              <w:widowControl/>
              <w:jc w:val="right"/>
              <w:rPr>
                <w:rFonts w:ascii="Times New Roman" w:hAnsi="Times New Roman" w:eastAsia="Source Sans Pro"/>
                <w:snapToGrid/>
                <w:color w:val="000000"/>
                <w:sz w:val="18"/>
                <w:szCs w:val="18"/>
                <w:lang w:bidi="en-US"/>
              </w:rPr>
            </w:pPr>
            <w:r w:rsidRPr="002728C5">
              <w:rPr>
                <w:rFonts w:ascii="Times New Roman" w:hAnsi="Times New Roman" w:eastAsia="Source Sans Pro"/>
                <w:snapToGrid/>
                <w:color w:val="000000"/>
                <w:sz w:val="18"/>
                <w:szCs w:val="18"/>
                <w:lang w:bidi="en-US"/>
              </w:rPr>
              <w:t xml:space="preserve">Total </w:t>
            </w:r>
            <w:r w:rsidR="00332171">
              <w:rPr>
                <w:rFonts w:ascii="Times New Roman" w:hAnsi="Times New Roman" w:eastAsia="Source Sans Pro"/>
                <w:snapToGrid/>
                <w:color w:val="000000"/>
                <w:sz w:val="18"/>
                <w:szCs w:val="18"/>
                <w:lang w:bidi="en-US"/>
              </w:rPr>
              <w:t xml:space="preserve">Estimated </w:t>
            </w:r>
            <w:r w:rsidRPr="002728C5">
              <w:rPr>
                <w:rFonts w:ascii="Times New Roman" w:hAnsi="Times New Roman" w:eastAsia="Source Sans Pro"/>
                <w:snapToGrid/>
                <w:color w:val="000000"/>
                <w:sz w:val="18"/>
                <w:szCs w:val="18"/>
                <w:lang w:bidi="en-US"/>
              </w:rPr>
              <w:t>Annual Burden Hours:</w:t>
            </w:r>
          </w:p>
        </w:tc>
        <w:tc>
          <w:tcPr>
            <w:tcW w:w="880" w:type="dxa"/>
            <w:tcBorders>
              <w:top w:val="nil"/>
              <w:left w:val="nil"/>
              <w:bottom w:val="single" w:color="auto" w:sz="4" w:space="0"/>
              <w:right w:val="single" w:color="auto" w:sz="4" w:space="0"/>
            </w:tcBorders>
            <w:shd w:val="clear" w:color="auto" w:fill="auto"/>
            <w:noWrap/>
            <w:vAlign w:val="center"/>
          </w:tcPr>
          <w:p w:rsidRPr="002728C5" w:rsidR="002728C5" w:rsidP="002728C5" w:rsidRDefault="00ED55C8" w14:paraId="38AE2B4B" w14:textId="36605B4F">
            <w:pPr>
              <w:widowControl/>
              <w:jc w:val="right"/>
              <w:rPr>
                <w:rFonts w:ascii="Times New Roman" w:hAnsi="Times New Roman" w:eastAsia="Source Sans Pro"/>
                <w:snapToGrid/>
                <w:color w:val="000000"/>
                <w:sz w:val="18"/>
                <w:szCs w:val="18"/>
                <w:lang w:bidi="en-US"/>
              </w:rPr>
            </w:pPr>
            <w:r>
              <w:rPr>
                <w:rFonts w:ascii="Times New Roman" w:hAnsi="Times New Roman" w:eastAsia="Source Sans Pro"/>
                <w:snapToGrid/>
                <w:color w:val="000000"/>
                <w:sz w:val="18"/>
                <w:szCs w:val="18"/>
                <w:lang w:bidi="en-US"/>
              </w:rPr>
              <w:t>9,544</w:t>
            </w:r>
          </w:p>
        </w:tc>
      </w:tr>
    </w:tbl>
    <w:p w:rsidR="00696C52" w:rsidRDefault="00696C52" w14:paraId="10A6842D" w14:textId="58397E7F">
      <w:pPr>
        <w:keepLines/>
        <w:widowControl/>
        <w:tabs>
          <w:tab w:val="left" w:pos="432"/>
          <w:tab w:val="left" w:pos="1296"/>
          <w:tab w:val="left" w:pos="1728"/>
          <w:tab w:val="left" w:pos="4176"/>
        </w:tabs>
        <w:rPr>
          <w:rFonts w:ascii="Times New Roman" w:hAnsi="Times New Roman"/>
          <w:color w:val="000000"/>
        </w:rPr>
      </w:pPr>
      <w:r w:rsidRPr="002728C5">
        <w:rPr>
          <w:rFonts w:ascii="Times New Roman" w:hAnsi="Times New Roman"/>
          <w:snapToGrid/>
          <w:color w:val="000000"/>
          <w:sz w:val="18"/>
          <w:szCs w:val="18"/>
        </w:rPr>
        <w:t>Source: FDIC.</w:t>
      </w:r>
    </w:p>
    <w:p w:rsidRPr="00BA10D8" w:rsidR="00696C52" w:rsidP="00E70918" w:rsidRDefault="00696C52" w14:paraId="56E0C08B" w14:textId="77777777">
      <w:pPr>
        <w:keepLines/>
        <w:widowControl/>
        <w:tabs>
          <w:tab w:val="left" w:pos="432"/>
          <w:tab w:val="left" w:pos="1296"/>
          <w:tab w:val="left" w:pos="1728"/>
          <w:tab w:val="left" w:pos="4176"/>
        </w:tabs>
        <w:jc w:val="center"/>
        <w:rPr>
          <w:rFonts w:ascii="Times New Roman" w:hAnsi="Times New Roman"/>
          <w:color w:val="000000"/>
        </w:rPr>
      </w:pPr>
    </w:p>
    <w:p w:rsidR="00332171" w:rsidP="00E70918" w:rsidRDefault="00332171" w14:paraId="0FF65B86" w14:textId="7E6830CF">
      <w:pPr>
        <w:widowControl/>
        <w:tabs>
          <w:tab w:val="left" w:pos="432"/>
          <w:tab w:val="left" w:pos="1296"/>
          <w:tab w:val="left" w:pos="1728"/>
          <w:tab w:val="left" w:pos="4176"/>
        </w:tabs>
        <w:jc w:val="center"/>
        <w:rPr>
          <w:rFonts w:ascii="Times New Roman" w:hAnsi="Times New Roman"/>
          <w:color w:val="000000"/>
        </w:rPr>
      </w:pPr>
      <w:r w:rsidRPr="00E70918">
        <w:rPr>
          <w:rFonts w:ascii="Times New Roman" w:hAnsi="Times New Roman"/>
          <w:b/>
          <w:color w:val="000000"/>
        </w:rPr>
        <w:t>Estimated Annual Cost of Burden Hours:</w:t>
      </w:r>
    </w:p>
    <w:tbl>
      <w:tblPr>
        <w:tblStyle w:val="TableGrid1"/>
        <w:tblW w:w="9450" w:type="dxa"/>
        <w:tblInd w:w="-185" w:type="dxa"/>
        <w:tblLook w:val="04A0" w:firstRow="1" w:lastRow="0" w:firstColumn="1" w:lastColumn="0" w:noHBand="0" w:noVBand="1"/>
      </w:tblPr>
      <w:tblGrid>
        <w:gridCol w:w="3420"/>
        <w:gridCol w:w="1980"/>
        <w:gridCol w:w="1890"/>
        <w:gridCol w:w="2160"/>
      </w:tblGrid>
      <w:tr w:rsidRPr="006526DB" w:rsidR="00696C52" w:rsidTr="00E70918" w14:paraId="49A5AFF6" w14:textId="77777777">
        <w:trPr>
          <w:trHeight w:val="126"/>
        </w:trPr>
        <w:tc>
          <w:tcPr>
            <w:tcW w:w="3420" w:type="dxa"/>
            <w:vMerge w:val="restart"/>
            <w:vAlign w:val="center"/>
          </w:tcPr>
          <w:p w:rsidRPr="00893053" w:rsidR="00696C52" w:rsidP="00C63FA5" w:rsidRDefault="00696C52" w14:paraId="6695911B" w14:textId="77777777">
            <w:pPr>
              <w:jc w:val="center"/>
              <w:rPr>
                <w:rFonts w:ascii="Times New Roman" w:hAnsi="Times New Roman"/>
                <w:color w:val="000000"/>
                <w:sz w:val="18"/>
                <w:szCs w:val="18"/>
              </w:rPr>
            </w:pPr>
            <w:r w:rsidRPr="00893053">
              <w:rPr>
                <w:rFonts w:ascii="Times New Roman" w:hAnsi="Times New Roman"/>
                <w:color w:val="000000"/>
                <w:sz w:val="18"/>
                <w:szCs w:val="18"/>
              </w:rPr>
              <w:t>Estimated Category of Personnel Responsible for Complying with the PRA Burden</w:t>
            </w:r>
          </w:p>
        </w:tc>
        <w:tc>
          <w:tcPr>
            <w:tcW w:w="1980" w:type="dxa"/>
            <w:vMerge w:val="restart"/>
            <w:vAlign w:val="center"/>
          </w:tcPr>
          <w:p w:rsidRPr="00893053" w:rsidR="00696C52" w:rsidP="00C63FA5" w:rsidRDefault="00696C52" w14:paraId="12ECB724" w14:textId="77777777">
            <w:pPr>
              <w:jc w:val="center"/>
              <w:rPr>
                <w:rFonts w:ascii="Times New Roman" w:hAnsi="Times New Roman"/>
                <w:color w:val="000000"/>
                <w:sz w:val="18"/>
                <w:szCs w:val="18"/>
              </w:rPr>
            </w:pPr>
            <w:r w:rsidRPr="00893053">
              <w:rPr>
                <w:rFonts w:ascii="Times New Roman" w:hAnsi="Times New Roman"/>
                <w:color w:val="000000"/>
                <w:sz w:val="18"/>
                <w:szCs w:val="18"/>
              </w:rPr>
              <w:t>Estimated hourly Compensation</w:t>
            </w:r>
          </w:p>
        </w:tc>
        <w:tc>
          <w:tcPr>
            <w:tcW w:w="4050" w:type="dxa"/>
            <w:gridSpan w:val="2"/>
          </w:tcPr>
          <w:p w:rsidRPr="00893053" w:rsidR="00696C52" w:rsidP="00C63FA5" w:rsidRDefault="00696C52" w14:paraId="1E3A9CFF" w14:textId="77777777">
            <w:pPr>
              <w:jc w:val="center"/>
              <w:rPr>
                <w:rFonts w:ascii="Times New Roman" w:hAnsi="Times New Roman"/>
                <w:color w:val="000000"/>
                <w:sz w:val="18"/>
                <w:szCs w:val="18"/>
              </w:rPr>
            </w:pPr>
            <w:r w:rsidRPr="00893053">
              <w:rPr>
                <w:rFonts w:ascii="Times New Roman" w:hAnsi="Times New Roman"/>
                <w:color w:val="000000"/>
                <w:sz w:val="18"/>
                <w:szCs w:val="18"/>
              </w:rPr>
              <w:t>Estimated weights</w:t>
            </w:r>
          </w:p>
        </w:tc>
      </w:tr>
      <w:tr w:rsidRPr="006526DB" w:rsidR="00696C52" w:rsidTr="00E70918" w14:paraId="78F8385A" w14:textId="77777777">
        <w:trPr>
          <w:trHeight w:val="126"/>
        </w:trPr>
        <w:tc>
          <w:tcPr>
            <w:tcW w:w="3420" w:type="dxa"/>
            <w:vMerge/>
            <w:vAlign w:val="center"/>
          </w:tcPr>
          <w:p w:rsidRPr="00893053" w:rsidR="00696C52" w:rsidP="00C63FA5" w:rsidRDefault="00696C52" w14:paraId="745C5B96" w14:textId="77777777">
            <w:pPr>
              <w:jc w:val="center"/>
              <w:rPr>
                <w:rFonts w:ascii="Times New Roman" w:hAnsi="Times New Roman"/>
                <w:sz w:val="18"/>
                <w:szCs w:val="18"/>
              </w:rPr>
            </w:pPr>
          </w:p>
        </w:tc>
        <w:tc>
          <w:tcPr>
            <w:tcW w:w="1980" w:type="dxa"/>
            <w:vMerge/>
            <w:vAlign w:val="center"/>
          </w:tcPr>
          <w:p w:rsidRPr="00893053" w:rsidR="00696C52" w:rsidP="00C63FA5" w:rsidRDefault="00696C52" w14:paraId="163286ED" w14:textId="77777777">
            <w:pPr>
              <w:jc w:val="center"/>
              <w:rPr>
                <w:rFonts w:ascii="Times New Roman" w:hAnsi="Times New Roman"/>
                <w:sz w:val="18"/>
                <w:szCs w:val="18"/>
              </w:rPr>
            </w:pPr>
          </w:p>
        </w:tc>
        <w:tc>
          <w:tcPr>
            <w:tcW w:w="1890" w:type="dxa"/>
            <w:vAlign w:val="center"/>
          </w:tcPr>
          <w:p w:rsidRPr="00893053" w:rsidR="00696C52" w:rsidP="00C63FA5" w:rsidRDefault="00696C52" w14:paraId="2B6EE846" w14:textId="77777777">
            <w:pPr>
              <w:jc w:val="center"/>
              <w:rPr>
                <w:rFonts w:ascii="Times New Roman" w:hAnsi="Times New Roman"/>
                <w:sz w:val="18"/>
                <w:szCs w:val="18"/>
              </w:rPr>
            </w:pPr>
            <w:r w:rsidRPr="00893053">
              <w:rPr>
                <w:rFonts w:ascii="Times New Roman" w:hAnsi="Times New Roman"/>
                <w:color w:val="000000"/>
                <w:sz w:val="18"/>
                <w:szCs w:val="18"/>
              </w:rPr>
              <w:t>Banks with less than $1 billion in assets</w:t>
            </w:r>
          </w:p>
        </w:tc>
        <w:tc>
          <w:tcPr>
            <w:tcW w:w="2160" w:type="dxa"/>
            <w:vAlign w:val="center"/>
          </w:tcPr>
          <w:p w:rsidRPr="00893053" w:rsidR="00696C52" w:rsidP="00C63FA5" w:rsidRDefault="00696C52" w14:paraId="58D1856B" w14:textId="77777777">
            <w:pPr>
              <w:jc w:val="center"/>
              <w:rPr>
                <w:rFonts w:ascii="Times New Roman" w:hAnsi="Times New Roman"/>
                <w:color w:val="000000"/>
                <w:sz w:val="18"/>
                <w:szCs w:val="18"/>
              </w:rPr>
            </w:pPr>
            <w:r w:rsidRPr="00893053">
              <w:rPr>
                <w:rFonts w:ascii="Times New Roman" w:hAnsi="Times New Roman"/>
                <w:color w:val="000000"/>
                <w:sz w:val="18"/>
                <w:szCs w:val="18"/>
              </w:rPr>
              <w:t>Banks with $1 billion or more in assets</w:t>
            </w:r>
          </w:p>
        </w:tc>
      </w:tr>
      <w:tr w:rsidRPr="006526DB" w:rsidR="00696C52" w:rsidTr="00E70918" w14:paraId="0595B0B3" w14:textId="77777777">
        <w:trPr>
          <w:trHeight w:val="253"/>
        </w:trPr>
        <w:tc>
          <w:tcPr>
            <w:tcW w:w="3420" w:type="dxa"/>
            <w:vAlign w:val="center"/>
          </w:tcPr>
          <w:p w:rsidRPr="00893053" w:rsidR="00696C52" w:rsidP="00C63FA5" w:rsidRDefault="00696C52" w14:paraId="6596D6C5" w14:textId="77777777">
            <w:pPr>
              <w:rPr>
                <w:rFonts w:ascii="Times New Roman" w:hAnsi="Times New Roman"/>
                <w:color w:val="000000"/>
                <w:sz w:val="18"/>
                <w:szCs w:val="18"/>
              </w:rPr>
            </w:pPr>
            <w:r w:rsidRPr="00893053">
              <w:rPr>
                <w:rFonts w:ascii="Times New Roman" w:hAnsi="Times New Roman"/>
                <w:color w:val="000000"/>
                <w:sz w:val="18"/>
                <w:szCs w:val="18"/>
              </w:rPr>
              <w:t>Executives and Managers</w:t>
            </w:r>
            <w:r w:rsidRPr="00893053">
              <w:rPr>
                <w:rFonts w:ascii="Times New Roman" w:hAnsi="Times New Roman"/>
                <w:color w:val="000000"/>
                <w:sz w:val="18"/>
                <w:szCs w:val="18"/>
                <w:vertAlign w:val="superscript"/>
              </w:rPr>
              <w:footnoteReference w:id="4"/>
            </w:r>
          </w:p>
        </w:tc>
        <w:tc>
          <w:tcPr>
            <w:tcW w:w="1980" w:type="dxa"/>
            <w:vAlign w:val="center"/>
          </w:tcPr>
          <w:p w:rsidRPr="00893053" w:rsidR="00696C52" w:rsidP="00C63FA5" w:rsidRDefault="00696C52" w14:paraId="66BA29FE" w14:textId="77777777">
            <w:pPr>
              <w:jc w:val="center"/>
              <w:rPr>
                <w:rFonts w:ascii="Times New Roman" w:hAnsi="Times New Roman"/>
                <w:color w:val="000000"/>
                <w:sz w:val="18"/>
                <w:szCs w:val="18"/>
              </w:rPr>
            </w:pPr>
            <w:r w:rsidRPr="00893053">
              <w:rPr>
                <w:rFonts w:ascii="Times New Roman" w:hAnsi="Times New Roman"/>
                <w:sz w:val="18"/>
                <w:szCs w:val="18"/>
              </w:rPr>
              <w:t>$123.30</w:t>
            </w:r>
          </w:p>
        </w:tc>
        <w:tc>
          <w:tcPr>
            <w:tcW w:w="1890" w:type="dxa"/>
            <w:vAlign w:val="center"/>
          </w:tcPr>
          <w:p w:rsidRPr="00893053" w:rsidR="00696C52" w:rsidP="00C63FA5" w:rsidRDefault="00696C52" w14:paraId="0EE9DABB" w14:textId="77777777">
            <w:pPr>
              <w:jc w:val="center"/>
              <w:rPr>
                <w:rFonts w:ascii="Times New Roman" w:hAnsi="Times New Roman"/>
                <w:color w:val="000000"/>
                <w:sz w:val="18"/>
                <w:szCs w:val="18"/>
              </w:rPr>
            </w:pPr>
            <w:r w:rsidRPr="00893053">
              <w:rPr>
                <w:rFonts w:ascii="Times New Roman" w:hAnsi="Times New Roman"/>
                <w:color w:val="000000"/>
                <w:sz w:val="18"/>
                <w:szCs w:val="18"/>
              </w:rPr>
              <w:t>90%</w:t>
            </w:r>
          </w:p>
        </w:tc>
        <w:tc>
          <w:tcPr>
            <w:tcW w:w="2160" w:type="dxa"/>
            <w:vAlign w:val="center"/>
          </w:tcPr>
          <w:p w:rsidRPr="00893053" w:rsidR="00696C52" w:rsidP="00C63FA5" w:rsidRDefault="00696C52" w14:paraId="3C78E929" w14:textId="77777777">
            <w:pPr>
              <w:jc w:val="center"/>
              <w:rPr>
                <w:rFonts w:ascii="Times New Roman" w:hAnsi="Times New Roman"/>
                <w:color w:val="000000"/>
                <w:sz w:val="18"/>
                <w:szCs w:val="18"/>
              </w:rPr>
            </w:pPr>
            <w:r w:rsidRPr="00893053">
              <w:rPr>
                <w:rFonts w:ascii="Times New Roman" w:hAnsi="Times New Roman"/>
                <w:color w:val="000000"/>
                <w:sz w:val="18"/>
                <w:szCs w:val="18"/>
              </w:rPr>
              <w:t>50%</w:t>
            </w:r>
          </w:p>
        </w:tc>
      </w:tr>
      <w:tr w:rsidRPr="006526DB" w:rsidR="00696C52" w:rsidTr="00E70918" w14:paraId="6005D0DD" w14:textId="77777777">
        <w:trPr>
          <w:trHeight w:val="131"/>
        </w:trPr>
        <w:tc>
          <w:tcPr>
            <w:tcW w:w="3420" w:type="dxa"/>
            <w:vAlign w:val="center"/>
          </w:tcPr>
          <w:p w:rsidRPr="00893053" w:rsidR="00696C52" w:rsidP="00C63FA5" w:rsidRDefault="00696C52" w14:paraId="5AA87E98" w14:textId="77777777">
            <w:pPr>
              <w:rPr>
                <w:rFonts w:ascii="Times New Roman" w:hAnsi="Times New Roman"/>
                <w:sz w:val="18"/>
                <w:szCs w:val="18"/>
              </w:rPr>
            </w:pPr>
            <w:r w:rsidRPr="00893053">
              <w:rPr>
                <w:rFonts w:ascii="Times New Roman" w:hAnsi="Times New Roman"/>
                <w:sz w:val="18"/>
                <w:szCs w:val="18"/>
              </w:rPr>
              <w:t>IT Specialists</w:t>
            </w:r>
            <w:r w:rsidRPr="00893053">
              <w:rPr>
                <w:rFonts w:ascii="Times New Roman" w:hAnsi="Times New Roman"/>
                <w:sz w:val="18"/>
                <w:szCs w:val="18"/>
                <w:vertAlign w:val="superscript"/>
              </w:rPr>
              <w:footnoteReference w:id="5"/>
            </w:r>
          </w:p>
        </w:tc>
        <w:tc>
          <w:tcPr>
            <w:tcW w:w="1980" w:type="dxa"/>
            <w:vAlign w:val="center"/>
          </w:tcPr>
          <w:p w:rsidRPr="00893053" w:rsidR="00696C52" w:rsidP="00C63FA5" w:rsidRDefault="00696C52" w14:paraId="0D0D7692" w14:textId="77777777">
            <w:pPr>
              <w:jc w:val="center"/>
              <w:rPr>
                <w:rFonts w:ascii="Times New Roman" w:hAnsi="Times New Roman"/>
                <w:color w:val="000000"/>
                <w:sz w:val="18"/>
                <w:szCs w:val="18"/>
              </w:rPr>
            </w:pPr>
            <w:r w:rsidRPr="00893053">
              <w:rPr>
                <w:rFonts w:ascii="Times New Roman" w:hAnsi="Times New Roman"/>
                <w:sz w:val="18"/>
                <w:szCs w:val="18"/>
              </w:rPr>
              <w:t>$92.30</w:t>
            </w:r>
          </w:p>
        </w:tc>
        <w:tc>
          <w:tcPr>
            <w:tcW w:w="1890" w:type="dxa"/>
          </w:tcPr>
          <w:p w:rsidRPr="00893053" w:rsidR="00696C52" w:rsidP="00C63FA5" w:rsidRDefault="00696C52" w14:paraId="588A8159" w14:textId="77777777">
            <w:pPr>
              <w:jc w:val="center"/>
              <w:rPr>
                <w:rFonts w:ascii="Times New Roman" w:hAnsi="Times New Roman"/>
                <w:color w:val="000000"/>
                <w:sz w:val="18"/>
                <w:szCs w:val="18"/>
              </w:rPr>
            </w:pPr>
            <w:r w:rsidRPr="00893053">
              <w:rPr>
                <w:rFonts w:ascii="Times New Roman" w:hAnsi="Times New Roman"/>
                <w:color w:val="000000"/>
                <w:sz w:val="18"/>
                <w:szCs w:val="18"/>
              </w:rPr>
              <w:t>10 %</w:t>
            </w:r>
          </w:p>
        </w:tc>
        <w:tc>
          <w:tcPr>
            <w:tcW w:w="2160" w:type="dxa"/>
            <w:vAlign w:val="center"/>
          </w:tcPr>
          <w:p w:rsidRPr="00893053" w:rsidR="00696C52" w:rsidP="00C63FA5" w:rsidRDefault="00696C52" w14:paraId="54912A04" w14:textId="77777777">
            <w:pPr>
              <w:jc w:val="center"/>
              <w:rPr>
                <w:rFonts w:ascii="Times New Roman" w:hAnsi="Times New Roman"/>
                <w:color w:val="000000"/>
                <w:sz w:val="18"/>
                <w:szCs w:val="18"/>
              </w:rPr>
            </w:pPr>
            <w:r w:rsidRPr="00893053">
              <w:rPr>
                <w:rFonts w:ascii="Times New Roman" w:hAnsi="Times New Roman"/>
                <w:color w:val="000000"/>
                <w:sz w:val="18"/>
                <w:szCs w:val="18"/>
              </w:rPr>
              <w:t>50%</w:t>
            </w:r>
          </w:p>
        </w:tc>
      </w:tr>
      <w:tr w:rsidRPr="006526DB" w:rsidR="00696C52" w:rsidTr="00E70918" w14:paraId="30557B87" w14:textId="77777777">
        <w:trPr>
          <w:trHeight w:val="126"/>
        </w:trPr>
        <w:tc>
          <w:tcPr>
            <w:tcW w:w="9450" w:type="dxa"/>
            <w:gridSpan w:val="4"/>
            <w:vAlign w:val="bottom"/>
          </w:tcPr>
          <w:p w:rsidRPr="00893053" w:rsidR="00696C52" w:rsidP="00C63FA5" w:rsidRDefault="00696C52" w14:paraId="5A2AA053" w14:textId="77777777">
            <w:pPr>
              <w:jc w:val="center"/>
              <w:rPr>
                <w:rFonts w:ascii="Times New Roman" w:hAnsi="Times New Roman"/>
                <w:sz w:val="18"/>
                <w:szCs w:val="18"/>
              </w:rPr>
            </w:pPr>
          </w:p>
        </w:tc>
      </w:tr>
      <w:tr w:rsidRPr="006526DB" w:rsidR="00696C52" w:rsidTr="00E70918" w14:paraId="1179E56A" w14:textId="77777777">
        <w:trPr>
          <w:trHeight w:val="126"/>
        </w:trPr>
        <w:tc>
          <w:tcPr>
            <w:tcW w:w="5400" w:type="dxa"/>
            <w:gridSpan w:val="2"/>
            <w:vAlign w:val="bottom"/>
          </w:tcPr>
          <w:p w:rsidRPr="00893053" w:rsidR="00696C52" w:rsidP="00C63FA5" w:rsidRDefault="00696C52" w14:paraId="5A70A8AF" w14:textId="77777777">
            <w:pPr>
              <w:jc w:val="right"/>
              <w:rPr>
                <w:rFonts w:ascii="Times New Roman" w:hAnsi="Times New Roman"/>
                <w:b/>
                <w:sz w:val="18"/>
                <w:szCs w:val="18"/>
              </w:rPr>
            </w:pPr>
            <w:r w:rsidRPr="00893053">
              <w:rPr>
                <w:rFonts w:ascii="Times New Roman" w:hAnsi="Times New Roman"/>
                <w:bCs/>
                <w:color w:val="000000"/>
                <w:sz w:val="18"/>
                <w:szCs w:val="18"/>
              </w:rPr>
              <w:t>Weighted hourly compensation</w:t>
            </w:r>
          </w:p>
        </w:tc>
        <w:tc>
          <w:tcPr>
            <w:tcW w:w="1890" w:type="dxa"/>
          </w:tcPr>
          <w:p w:rsidRPr="00893053" w:rsidR="00696C52" w:rsidP="00C63FA5" w:rsidRDefault="00696C52" w14:paraId="2F0415B8" w14:textId="77777777">
            <w:pPr>
              <w:jc w:val="center"/>
              <w:rPr>
                <w:rFonts w:ascii="Times New Roman" w:hAnsi="Times New Roman"/>
                <w:sz w:val="18"/>
                <w:szCs w:val="18"/>
              </w:rPr>
            </w:pPr>
            <w:r w:rsidRPr="00893053">
              <w:rPr>
                <w:rFonts w:ascii="Times New Roman" w:hAnsi="Times New Roman"/>
                <w:sz w:val="18"/>
                <w:szCs w:val="18"/>
              </w:rPr>
              <w:t>$120.20</w:t>
            </w:r>
          </w:p>
        </w:tc>
        <w:tc>
          <w:tcPr>
            <w:tcW w:w="2160" w:type="dxa"/>
          </w:tcPr>
          <w:p w:rsidRPr="00893053" w:rsidR="00696C52" w:rsidP="00C63FA5" w:rsidRDefault="00696C52" w14:paraId="4AC20D02" w14:textId="77777777">
            <w:pPr>
              <w:jc w:val="center"/>
              <w:rPr>
                <w:rFonts w:ascii="Times New Roman" w:hAnsi="Times New Roman"/>
                <w:sz w:val="18"/>
                <w:szCs w:val="18"/>
              </w:rPr>
            </w:pPr>
            <w:r w:rsidRPr="00893053">
              <w:rPr>
                <w:rFonts w:ascii="Times New Roman" w:hAnsi="Times New Roman"/>
                <w:sz w:val="18"/>
                <w:szCs w:val="18"/>
              </w:rPr>
              <w:t>$107.8</w:t>
            </w:r>
          </w:p>
        </w:tc>
      </w:tr>
      <w:tr w:rsidRPr="006526DB" w:rsidR="00696C52" w:rsidTr="00E70918" w14:paraId="4568C9DC" w14:textId="77777777">
        <w:trPr>
          <w:trHeight w:val="126"/>
        </w:trPr>
        <w:tc>
          <w:tcPr>
            <w:tcW w:w="5400" w:type="dxa"/>
            <w:gridSpan w:val="2"/>
            <w:vAlign w:val="bottom"/>
          </w:tcPr>
          <w:p w:rsidRPr="00893053" w:rsidR="00696C52" w:rsidP="00C63FA5" w:rsidRDefault="00696C52" w14:paraId="0C62C544" w14:textId="77777777">
            <w:pPr>
              <w:jc w:val="right"/>
              <w:rPr>
                <w:rFonts w:ascii="Times New Roman" w:hAnsi="Times New Roman"/>
                <w:b/>
                <w:sz w:val="18"/>
                <w:szCs w:val="18"/>
              </w:rPr>
            </w:pPr>
            <w:r w:rsidRPr="00893053">
              <w:rPr>
                <w:rFonts w:ascii="Times New Roman" w:hAnsi="Times New Roman"/>
                <w:bCs/>
                <w:color w:val="000000"/>
                <w:sz w:val="18"/>
                <w:szCs w:val="18"/>
              </w:rPr>
              <w:t>Estimated hours</w:t>
            </w:r>
          </w:p>
        </w:tc>
        <w:tc>
          <w:tcPr>
            <w:tcW w:w="1890" w:type="dxa"/>
            <w:vAlign w:val="center"/>
          </w:tcPr>
          <w:p w:rsidRPr="00893053" w:rsidR="00696C52" w:rsidP="00C63FA5" w:rsidRDefault="00696C52" w14:paraId="44366631" w14:textId="77777777">
            <w:pPr>
              <w:widowControl/>
              <w:jc w:val="center"/>
              <w:rPr>
                <w:rFonts w:ascii="Times New Roman" w:hAnsi="Times New Roman"/>
                <w:snapToGrid/>
                <w:sz w:val="18"/>
                <w:szCs w:val="18"/>
              </w:rPr>
            </w:pPr>
            <w:r w:rsidRPr="00893053">
              <w:rPr>
                <w:rFonts w:ascii="Times New Roman" w:hAnsi="Times New Roman"/>
                <w:snapToGrid/>
                <w:sz w:val="18"/>
                <w:szCs w:val="18"/>
              </w:rPr>
              <w:t>4,032</w:t>
            </w:r>
          </w:p>
        </w:tc>
        <w:tc>
          <w:tcPr>
            <w:tcW w:w="2160" w:type="dxa"/>
          </w:tcPr>
          <w:p w:rsidRPr="00893053" w:rsidR="00696C52" w:rsidP="00C63FA5" w:rsidRDefault="00696C52" w14:paraId="75FB513F" w14:textId="77777777">
            <w:pPr>
              <w:jc w:val="center"/>
              <w:rPr>
                <w:rFonts w:ascii="Times New Roman" w:hAnsi="Times New Roman"/>
                <w:sz w:val="18"/>
                <w:szCs w:val="18"/>
              </w:rPr>
            </w:pPr>
            <w:r w:rsidRPr="00893053">
              <w:rPr>
                <w:rFonts w:ascii="Times New Roman" w:hAnsi="Times New Roman"/>
                <w:sz w:val="18"/>
                <w:szCs w:val="18"/>
              </w:rPr>
              <w:t>5,512</w:t>
            </w:r>
          </w:p>
        </w:tc>
      </w:tr>
      <w:tr w:rsidRPr="006526DB" w:rsidR="00696C52" w:rsidTr="00E70918" w14:paraId="78560B0C" w14:textId="77777777">
        <w:trPr>
          <w:trHeight w:val="126"/>
        </w:trPr>
        <w:tc>
          <w:tcPr>
            <w:tcW w:w="5400" w:type="dxa"/>
            <w:gridSpan w:val="2"/>
            <w:vAlign w:val="bottom"/>
          </w:tcPr>
          <w:p w:rsidRPr="00893053" w:rsidR="00696C52" w:rsidP="00C63FA5" w:rsidRDefault="00696C52" w14:paraId="6014CD05" w14:textId="77777777">
            <w:pPr>
              <w:jc w:val="right"/>
              <w:rPr>
                <w:rFonts w:ascii="Times New Roman" w:hAnsi="Times New Roman"/>
                <w:sz w:val="18"/>
                <w:szCs w:val="18"/>
              </w:rPr>
            </w:pPr>
            <w:r w:rsidRPr="00893053">
              <w:rPr>
                <w:rFonts w:ascii="Times New Roman" w:hAnsi="Times New Roman"/>
                <w:bCs/>
                <w:color w:val="000000"/>
                <w:sz w:val="18"/>
                <w:szCs w:val="18"/>
              </w:rPr>
              <w:t>Estimated cost of burden hours</w:t>
            </w:r>
          </w:p>
        </w:tc>
        <w:tc>
          <w:tcPr>
            <w:tcW w:w="1890" w:type="dxa"/>
          </w:tcPr>
          <w:p w:rsidRPr="00893053" w:rsidR="00696C52" w:rsidP="00C63FA5" w:rsidRDefault="00696C52" w14:paraId="190A1954" w14:textId="77777777">
            <w:pPr>
              <w:jc w:val="center"/>
              <w:rPr>
                <w:rFonts w:ascii="Times New Roman" w:hAnsi="Times New Roman"/>
                <w:sz w:val="18"/>
                <w:szCs w:val="18"/>
              </w:rPr>
            </w:pPr>
            <w:r w:rsidRPr="00893053">
              <w:rPr>
                <w:rFonts w:ascii="Times New Roman" w:hAnsi="Times New Roman"/>
                <w:sz w:val="18"/>
                <w:szCs w:val="18"/>
              </w:rPr>
              <w:t>$484,646</w:t>
            </w:r>
          </w:p>
        </w:tc>
        <w:tc>
          <w:tcPr>
            <w:tcW w:w="2160" w:type="dxa"/>
          </w:tcPr>
          <w:p w:rsidRPr="00893053" w:rsidR="00696C52" w:rsidP="00C63FA5" w:rsidRDefault="00696C52" w14:paraId="337A5D32" w14:textId="77777777">
            <w:pPr>
              <w:jc w:val="center"/>
              <w:rPr>
                <w:rFonts w:ascii="Times New Roman" w:hAnsi="Times New Roman"/>
                <w:sz w:val="18"/>
                <w:szCs w:val="18"/>
              </w:rPr>
            </w:pPr>
            <w:r w:rsidRPr="00893053">
              <w:rPr>
                <w:rFonts w:ascii="Times New Roman" w:hAnsi="Times New Roman"/>
                <w:color w:val="000000"/>
                <w:sz w:val="18"/>
                <w:szCs w:val="18"/>
              </w:rPr>
              <w:t>$594,194</w:t>
            </w:r>
          </w:p>
        </w:tc>
      </w:tr>
      <w:tr w:rsidRPr="006526DB" w:rsidR="00696C52" w:rsidTr="00E70918" w14:paraId="7322BD14" w14:textId="77777777">
        <w:trPr>
          <w:trHeight w:val="126"/>
        </w:trPr>
        <w:tc>
          <w:tcPr>
            <w:tcW w:w="5400" w:type="dxa"/>
            <w:gridSpan w:val="2"/>
            <w:vAlign w:val="bottom"/>
          </w:tcPr>
          <w:p w:rsidRPr="00893053" w:rsidR="00696C52" w:rsidP="00C63FA5" w:rsidRDefault="00696C52" w14:paraId="17F2BAEE" w14:textId="77777777">
            <w:pPr>
              <w:jc w:val="center"/>
              <w:rPr>
                <w:rFonts w:ascii="Times New Roman" w:hAnsi="Times New Roman"/>
                <w:b/>
                <w:sz w:val="18"/>
                <w:szCs w:val="18"/>
              </w:rPr>
            </w:pPr>
            <w:r w:rsidRPr="00893053">
              <w:rPr>
                <w:rFonts w:ascii="Times New Roman" w:hAnsi="Times New Roman"/>
                <w:b/>
                <w:bCs/>
                <w:color w:val="000000"/>
                <w:sz w:val="18"/>
                <w:szCs w:val="18"/>
              </w:rPr>
              <w:t>Total estimated annual cost of burden hours</w:t>
            </w:r>
          </w:p>
        </w:tc>
        <w:tc>
          <w:tcPr>
            <w:tcW w:w="4050" w:type="dxa"/>
            <w:gridSpan w:val="2"/>
          </w:tcPr>
          <w:p w:rsidRPr="00893053" w:rsidR="00696C52" w:rsidP="00C63FA5" w:rsidRDefault="00696C52" w14:paraId="55FA01C5" w14:textId="77777777">
            <w:pPr>
              <w:jc w:val="center"/>
              <w:rPr>
                <w:rFonts w:ascii="Times New Roman" w:hAnsi="Times New Roman"/>
                <w:b/>
                <w:color w:val="000000"/>
                <w:sz w:val="18"/>
                <w:szCs w:val="18"/>
              </w:rPr>
            </w:pPr>
            <w:r w:rsidRPr="00893053">
              <w:rPr>
                <w:rFonts w:ascii="Times New Roman" w:hAnsi="Times New Roman"/>
                <w:b/>
                <w:color w:val="000000"/>
                <w:sz w:val="18"/>
                <w:szCs w:val="18"/>
              </w:rPr>
              <w:t>$1,078,840</w:t>
            </w:r>
          </w:p>
        </w:tc>
      </w:tr>
    </w:tbl>
    <w:p w:rsidRPr="00BE2C6D" w:rsidR="00BE2C6D" w:rsidP="00E70918" w:rsidRDefault="00696C52" w14:paraId="22606D54" w14:textId="32CBD3CB">
      <w:pPr>
        <w:widowControl/>
        <w:rPr>
          <w:rFonts w:ascii="Times New Roman" w:hAnsi="Times New Roman"/>
          <w:snapToGrid/>
          <w:sz w:val="20"/>
        </w:rPr>
      </w:pPr>
      <w:r>
        <w:rPr>
          <w:rFonts w:ascii="Times New Roman" w:hAnsi="Times New Roman"/>
          <w:snapToGrid/>
          <w:sz w:val="20"/>
        </w:rPr>
        <w:t>Sour</w:t>
      </w:r>
      <w:r w:rsidRPr="00BE2C6D" w:rsidR="00BE2C6D">
        <w:rPr>
          <w:rFonts w:ascii="Times New Roman" w:hAnsi="Times New Roman"/>
          <w:snapToGrid/>
          <w:sz w:val="20"/>
        </w:rPr>
        <w:t xml:space="preserve">ce: Bureau of Labor Statistics: </w:t>
      </w:r>
      <w:r w:rsidR="00524B27">
        <w:rPr>
          <w:rFonts w:ascii="Times New Roman" w:hAnsi="Times New Roman"/>
          <w:snapToGrid/>
          <w:sz w:val="20"/>
        </w:rPr>
        <w:t>“</w:t>
      </w:r>
      <w:r w:rsidRPr="00BE2C6D" w:rsidR="00BE2C6D">
        <w:rPr>
          <w:rFonts w:ascii="Times New Roman" w:hAnsi="Times New Roman"/>
          <w:snapToGrid/>
          <w:sz w:val="20"/>
        </w:rPr>
        <w:t>National Industry-Specific Occupational Employment and Wage Estimates: Industry: Credit Intermediation and Related Activities (5221 And 5223 only)</w:t>
      </w:r>
      <w:r w:rsidR="00524B27">
        <w:rPr>
          <w:rFonts w:ascii="Times New Roman" w:hAnsi="Times New Roman"/>
          <w:snapToGrid/>
          <w:sz w:val="20"/>
        </w:rPr>
        <w:t>”</w:t>
      </w:r>
      <w:r w:rsidRPr="00BE2C6D" w:rsidR="00BE2C6D">
        <w:rPr>
          <w:rFonts w:ascii="Times New Roman" w:hAnsi="Times New Roman"/>
          <w:snapToGrid/>
          <w:sz w:val="20"/>
        </w:rPr>
        <w:t xml:space="preserve"> (May 2019), Employer Cost of Employee Compensation (December 2020), Consumer Price Index (December 2020).</w:t>
      </w:r>
    </w:p>
    <w:p w:rsidRPr="00BE2C6D" w:rsidR="00BE2C6D" w:rsidP="00BE2C6D" w:rsidRDefault="00BE2C6D" w14:paraId="684EFEDD" w14:textId="77777777">
      <w:pPr>
        <w:widowControl/>
        <w:rPr>
          <w:rFonts w:ascii="Times New Roman" w:hAnsi="Times New Roman"/>
          <w:snapToGrid/>
          <w:sz w:val="20"/>
        </w:rPr>
      </w:pPr>
    </w:p>
    <w:p w:rsidRPr="00BE2C6D" w:rsidR="00BE2C6D" w:rsidP="00E70918" w:rsidRDefault="00BE2C6D" w14:paraId="39944BD6" w14:textId="367C665F">
      <w:pPr>
        <w:widowControl/>
        <w:rPr>
          <w:rFonts w:ascii="Times New Roman" w:hAnsi="Times New Roman"/>
          <w:snapToGrid/>
          <w:sz w:val="20"/>
        </w:rPr>
      </w:pPr>
      <w:r w:rsidRPr="00BE2C6D">
        <w:rPr>
          <w:rFonts w:ascii="Times New Roman" w:hAnsi="Times New Roman"/>
          <w:snapToGrid/>
          <w:sz w:val="20"/>
        </w:rPr>
        <w:t xml:space="preserve">Note: The 75th percentile wage information reported by the BLS in the Specific Occupational Employment and Wage Estimates does not include health benefits and other non-monetary benefits. </w:t>
      </w:r>
      <w:r w:rsidR="00524B27">
        <w:rPr>
          <w:rFonts w:ascii="Times New Roman" w:hAnsi="Times New Roman"/>
          <w:snapToGrid/>
          <w:sz w:val="20"/>
        </w:rPr>
        <w:t xml:space="preserve"> </w:t>
      </w:r>
      <w:r w:rsidRPr="00BE2C6D">
        <w:rPr>
          <w:rFonts w:ascii="Times New Roman" w:hAnsi="Times New Roman"/>
          <w:snapToGrid/>
          <w:sz w:val="20"/>
        </w:rPr>
        <w:t xml:space="preserve">According to the December 2020 Employer Cost of Employee Compensation data compensation rates for health and other benefits are 34 percent of total compensation. </w:t>
      </w:r>
      <w:r w:rsidR="00524B27">
        <w:rPr>
          <w:rFonts w:ascii="Times New Roman" w:hAnsi="Times New Roman"/>
          <w:snapToGrid/>
          <w:sz w:val="20"/>
        </w:rPr>
        <w:t xml:space="preserve"> </w:t>
      </w:r>
      <w:r w:rsidRPr="00BE2C6D">
        <w:rPr>
          <w:rFonts w:ascii="Times New Roman" w:hAnsi="Times New Roman"/>
          <w:snapToGrid/>
          <w:sz w:val="20"/>
        </w:rPr>
        <w:t>Additionally, the wage has been adjusted for inflation according BLS data on the Consumer Price Index for Urban Consumers (CPI-U) so that it is contemporaneous with the non-wage compensation statistic. The inflation rate was 1.71 percent between May 2019 and December 2020.</w:t>
      </w:r>
    </w:p>
    <w:p w:rsidR="00332171" w:rsidRDefault="00332171" w14:paraId="3BC6B93B" w14:textId="41337E5C">
      <w:pPr>
        <w:widowControl/>
        <w:tabs>
          <w:tab w:val="left" w:pos="432"/>
          <w:tab w:val="left" w:pos="1296"/>
          <w:tab w:val="left" w:pos="1728"/>
          <w:tab w:val="left" w:pos="4176"/>
        </w:tabs>
        <w:ind w:left="1296"/>
        <w:rPr>
          <w:rFonts w:ascii="Times New Roman" w:hAnsi="Times New Roman"/>
          <w:color w:val="000000"/>
        </w:rPr>
      </w:pPr>
    </w:p>
    <w:p w:rsidRPr="00696C52" w:rsidR="001B7CAE" w:rsidRDefault="001B7CAE" w14:paraId="3BEC9D59" w14:textId="50531F01">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 xml:space="preserve">Total Estimated Annual Labor Cost: </w:t>
      </w:r>
      <w:r w:rsidRPr="00E70918" w:rsidR="00696C52">
        <w:rPr>
          <w:rFonts w:ascii="Times New Roman" w:hAnsi="Times New Roman"/>
          <w:color w:val="000000"/>
          <w:szCs w:val="24"/>
        </w:rPr>
        <w:t>$1,078,840</w:t>
      </w:r>
    </w:p>
    <w:p w:rsidR="00332171" w:rsidRDefault="00332171" w14:paraId="425E1930" w14:textId="77777777">
      <w:pPr>
        <w:widowControl/>
        <w:tabs>
          <w:tab w:val="left" w:pos="432"/>
          <w:tab w:val="left" w:pos="1296"/>
          <w:tab w:val="left" w:pos="1728"/>
          <w:tab w:val="left" w:pos="4176"/>
        </w:tabs>
        <w:ind w:left="1296"/>
        <w:rPr>
          <w:rFonts w:ascii="Times New Roman" w:hAnsi="Times New Roman"/>
          <w:color w:val="000000"/>
        </w:rPr>
      </w:pPr>
    </w:p>
    <w:p w:rsidRPr="00243153" w:rsidR="00927719" w:rsidRDefault="002C031D" w14:paraId="7A17D887" w14:textId="3710C111">
      <w:pPr>
        <w:widowControl/>
        <w:tabs>
          <w:tab w:val="left" w:pos="432"/>
          <w:tab w:val="left" w:pos="1296"/>
          <w:tab w:val="left" w:pos="1728"/>
          <w:tab w:val="left" w:pos="4176"/>
        </w:tabs>
        <w:ind w:left="1296" w:hanging="864"/>
        <w:rPr>
          <w:rFonts w:ascii="Times New Roman" w:hAnsi="Times New Roman"/>
          <w:color w:val="000000"/>
        </w:rPr>
      </w:pPr>
      <w:r w:rsidRPr="00243153">
        <w:rPr>
          <w:rFonts w:ascii="Times New Roman" w:hAnsi="Times New Roman"/>
          <w:color w:val="000000"/>
        </w:rPr>
        <w:t>13.</w:t>
      </w:r>
      <w:r w:rsidRPr="00243153">
        <w:rPr>
          <w:rFonts w:ascii="Times New Roman" w:hAnsi="Times New Roman"/>
          <w:color w:val="000000"/>
        </w:rPr>
        <w:tab/>
      </w:r>
      <w:r w:rsidRPr="00CF34FA" w:rsidR="001B7CAE">
        <w:rPr>
          <w:rFonts w:ascii="Times New Roman" w:hAnsi="Times New Roman"/>
          <w:u w:val="single"/>
        </w:rPr>
        <w:t>Estimate of start-up cost to respondents:</w:t>
      </w:r>
    </w:p>
    <w:p w:rsidRPr="00243153" w:rsidR="00927719" w:rsidRDefault="00927719" w14:paraId="7FDA9E90" w14:textId="77777777">
      <w:pPr>
        <w:widowControl/>
        <w:tabs>
          <w:tab w:val="left" w:pos="432"/>
          <w:tab w:val="left" w:pos="1296"/>
          <w:tab w:val="left" w:pos="1728"/>
          <w:tab w:val="left" w:pos="4176"/>
        </w:tabs>
        <w:rPr>
          <w:rFonts w:ascii="Times New Roman" w:hAnsi="Times New Roman"/>
          <w:color w:val="000000"/>
        </w:rPr>
      </w:pPr>
    </w:p>
    <w:p w:rsidRPr="00243153" w:rsidR="00927719" w:rsidRDefault="002C031D" w14:paraId="0101ED55" w14:textId="77777777">
      <w:pPr>
        <w:widowControl/>
        <w:tabs>
          <w:tab w:val="left" w:pos="432"/>
          <w:tab w:val="left" w:pos="1296"/>
          <w:tab w:val="left" w:pos="1728"/>
          <w:tab w:val="left" w:pos="4176"/>
        </w:tabs>
        <w:ind w:left="1296"/>
        <w:rPr>
          <w:rFonts w:ascii="Times New Roman" w:hAnsi="Times New Roman"/>
          <w:color w:val="000000"/>
        </w:rPr>
      </w:pPr>
      <w:r w:rsidRPr="00243153">
        <w:rPr>
          <w:rFonts w:ascii="Times New Roman" w:hAnsi="Times New Roman"/>
          <w:color w:val="000000"/>
        </w:rPr>
        <w:t xml:space="preserve">There are no anticipated capital, start-up, or operating costs. </w:t>
      </w:r>
    </w:p>
    <w:p w:rsidRPr="00243153" w:rsidR="00927719" w:rsidRDefault="00927719" w14:paraId="41FA8276" w14:textId="77777777">
      <w:pPr>
        <w:widowControl/>
        <w:tabs>
          <w:tab w:val="left" w:pos="432"/>
          <w:tab w:val="left" w:pos="1296"/>
          <w:tab w:val="left" w:pos="1728"/>
          <w:tab w:val="left" w:pos="4176"/>
        </w:tabs>
        <w:ind w:left="1296"/>
        <w:rPr>
          <w:rFonts w:ascii="Times New Roman" w:hAnsi="Times New Roman"/>
          <w:color w:val="000000"/>
        </w:rPr>
      </w:pPr>
    </w:p>
    <w:p w:rsidRPr="00243153" w:rsidR="00927719" w:rsidRDefault="002C031D" w14:paraId="426BC5A1" w14:textId="66716590">
      <w:pPr>
        <w:widowControl/>
        <w:numPr>
          <w:ilvl w:val="0"/>
          <w:numId w:val="3"/>
        </w:numPr>
        <w:tabs>
          <w:tab w:val="left" w:pos="432"/>
          <w:tab w:val="left" w:pos="1728"/>
          <w:tab w:val="left" w:pos="4176"/>
        </w:tabs>
        <w:rPr>
          <w:rFonts w:ascii="Times New Roman" w:hAnsi="Times New Roman"/>
          <w:color w:val="000000"/>
        </w:rPr>
      </w:pPr>
      <w:r w:rsidRPr="00243153">
        <w:rPr>
          <w:rFonts w:ascii="Times New Roman" w:hAnsi="Times New Roman"/>
          <w:color w:val="000000"/>
          <w:u w:val="single"/>
        </w:rPr>
        <w:t xml:space="preserve">Estimates of </w:t>
      </w:r>
      <w:r w:rsidR="00D85B45">
        <w:rPr>
          <w:rFonts w:ascii="Times New Roman" w:hAnsi="Times New Roman"/>
          <w:color w:val="000000"/>
          <w:u w:val="single"/>
        </w:rPr>
        <w:t>a</w:t>
      </w:r>
      <w:r w:rsidRPr="00243153">
        <w:rPr>
          <w:rFonts w:ascii="Times New Roman" w:hAnsi="Times New Roman"/>
          <w:color w:val="000000"/>
          <w:u w:val="single"/>
        </w:rPr>
        <w:t xml:space="preserve">nnualized </w:t>
      </w:r>
      <w:r w:rsidR="00D85B45">
        <w:rPr>
          <w:rFonts w:ascii="Times New Roman" w:hAnsi="Times New Roman"/>
          <w:color w:val="000000"/>
          <w:u w:val="single"/>
        </w:rPr>
        <w:t>c</w:t>
      </w:r>
      <w:r w:rsidRPr="00243153">
        <w:rPr>
          <w:rFonts w:ascii="Times New Roman" w:hAnsi="Times New Roman"/>
          <w:color w:val="000000"/>
          <w:u w:val="single"/>
        </w:rPr>
        <w:t xml:space="preserve">ost to the </w:t>
      </w:r>
      <w:r w:rsidR="00D85B45">
        <w:rPr>
          <w:rFonts w:ascii="Times New Roman" w:hAnsi="Times New Roman"/>
          <w:color w:val="000000"/>
          <w:u w:val="single"/>
        </w:rPr>
        <w:t>f</w:t>
      </w:r>
      <w:r w:rsidRPr="00243153">
        <w:rPr>
          <w:rFonts w:ascii="Times New Roman" w:hAnsi="Times New Roman"/>
          <w:color w:val="000000"/>
          <w:u w:val="single"/>
        </w:rPr>
        <w:t xml:space="preserve">ederal </w:t>
      </w:r>
      <w:r w:rsidR="00D85B45">
        <w:rPr>
          <w:rFonts w:ascii="Times New Roman" w:hAnsi="Times New Roman"/>
          <w:color w:val="000000"/>
          <w:u w:val="single"/>
        </w:rPr>
        <w:t>g</w:t>
      </w:r>
      <w:r w:rsidRPr="00243153">
        <w:rPr>
          <w:rFonts w:ascii="Times New Roman" w:hAnsi="Times New Roman"/>
          <w:color w:val="000000"/>
          <w:u w:val="single"/>
        </w:rPr>
        <w:t>overnment</w:t>
      </w:r>
    </w:p>
    <w:p w:rsidRPr="00243153" w:rsidR="00927719" w:rsidRDefault="00927719" w14:paraId="3B8991D9" w14:textId="77777777">
      <w:pPr>
        <w:widowControl/>
        <w:tabs>
          <w:tab w:val="left" w:pos="432"/>
          <w:tab w:val="left" w:pos="1296"/>
          <w:tab w:val="left" w:pos="1728"/>
          <w:tab w:val="left" w:pos="4176"/>
        </w:tabs>
        <w:ind w:left="435"/>
        <w:rPr>
          <w:rFonts w:ascii="Times New Roman" w:hAnsi="Times New Roman"/>
          <w:color w:val="000000"/>
        </w:rPr>
      </w:pPr>
    </w:p>
    <w:p w:rsidRPr="00243153" w:rsidR="00927719" w:rsidRDefault="002C031D" w14:paraId="27ACFBF0" w14:textId="2753A58C">
      <w:pPr>
        <w:widowControl/>
        <w:tabs>
          <w:tab w:val="left" w:pos="432"/>
          <w:tab w:val="left" w:pos="1296"/>
          <w:tab w:val="left" w:pos="1728"/>
          <w:tab w:val="left" w:pos="4176"/>
        </w:tabs>
        <w:ind w:left="1290"/>
        <w:rPr>
          <w:rFonts w:ascii="Times New Roman" w:hAnsi="Times New Roman"/>
          <w:color w:val="000000"/>
        </w:rPr>
      </w:pPr>
      <w:r w:rsidRPr="00750493">
        <w:rPr>
          <w:rFonts w:ascii="Times New Roman" w:hAnsi="Times New Roman"/>
          <w:color w:val="000000"/>
        </w:rPr>
        <w:t xml:space="preserve">The estimated </w:t>
      </w:r>
      <w:r w:rsidRPr="00750493" w:rsidR="008B2C72">
        <w:rPr>
          <w:rFonts w:ascii="Times New Roman" w:hAnsi="Times New Roman"/>
          <w:color w:val="000000"/>
        </w:rPr>
        <w:t xml:space="preserve">annual </w:t>
      </w:r>
      <w:r w:rsidRPr="00750493">
        <w:rPr>
          <w:rFonts w:ascii="Times New Roman" w:hAnsi="Times New Roman"/>
          <w:color w:val="000000"/>
        </w:rPr>
        <w:t xml:space="preserve">cost to the FDIC is approximately </w:t>
      </w:r>
      <w:r w:rsidRPr="00750493" w:rsidR="001A2CAD">
        <w:rPr>
          <w:rFonts w:ascii="Times New Roman" w:hAnsi="Times New Roman"/>
          <w:color w:val="000000"/>
        </w:rPr>
        <w:t>$</w:t>
      </w:r>
      <w:r w:rsidRPr="00283A14" w:rsidR="00283A14">
        <w:rPr>
          <w:rFonts w:ascii="Times New Roman" w:hAnsi="Times New Roman"/>
          <w:color w:val="000000"/>
        </w:rPr>
        <w:t>346,038</w:t>
      </w:r>
      <w:r w:rsidRPr="00750493">
        <w:rPr>
          <w:rFonts w:ascii="Times New Roman" w:hAnsi="Times New Roman"/>
          <w:color w:val="000000"/>
        </w:rPr>
        <w:t>.</w:t>
      </w:r>
    </w:p>
    <w:p w:rsidRPr="00243153" w:rsidR="00927719" w:rsidRDefault="00927719" w14:paraId="3249F251" w14:textId="77777777">
      <w:pPr>
        <w:widowControl/>
        <w:tabs>
          <w:tab w:val="left" w:pos="432"/>
          <w:tab w:val="left" w:pos="1296"/>
          <w:tab w:val="left" w:pos="1728"/>
          <w:tab w:val="left" w:pos="4176"/>
        </w:tabs>
        <w:ind w:left="1290"/>
        <w:rPr>
          <w:rFonts w:ascii="Times New Roman" w:hAnsi="Times New Roman"/>
          <w:color w:val="000000"/>
        </w:rPr>
      </w:pPr>
    </w:p>
    <w:p w:rsidRPr="00E70918" w:rsidR="001B7CAE" w:rsidP="00E70918" w:rsidRDefault="001B7CAE" w14:paraId="67B48415" w14:textId="77777777">
      <w:pPr>
        <w:pStyle w:val="ListParagraph"/>
        <w:numPr>
          <w:ilvl w:val="0"/>
          <w:numId w:val="3"/>
        </w:numPr>
        <w:rPr>
          <w:rFonts w:ascii="Times New Roman" w:hAnsi="Times New Roman"/>
          <w:szCs w:val="24"/>
        </w:rPr>
      </w:pPr>
      <w:r w:rsidRPr="00E70918">
        <w:rPr>
          <w:rFonts w:ascii="Times New Roman" w:hAnsi="Times New Roman" w:cs="Times New Roman"/>
          <w:sz w:val="24"/>
          <w:szCs w:val="24"/>
          <w:u w:val="single"/>
        </w:rPr>
        <w:t>Analysis of change in burden:</w:t>
      </w:r>
    </w:p>
    <w:p w:rsidR="00A20E2A" w:rsidP="002D3CA4" w:rsidRDefault="009A08AA" w14:paraId="799C72A4" w14:textId="074D48BF">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lastRenderedPageBreak/>
        <w:t>The estimated annual bu</w:t>
      </w:r>
      <w:r w:rsidR="009077EE">
        <w:rPr>
          <w:rFonts w:ascii="Times New Roman" w:hAnsi="Times New Roman"/>
          <w:color w:val="000000"/>
        </w:rPr>
        <w:t>r</w:t>
      </w:r>
      <w:r>
        <w:rPr>
          <w:rFonts w:ascii="Times New Roman" w:hAnsi="Times New Roman"/>
          <w:color w:val="000000"/>
        </w:rPr>
        <w:t xml:space="preserve">den has increased by 2,044 hours from 7,500 </w:t>
      </w:r>
      <w:r w:rsidR="009077EE">
        <w:rPr>
          <w:rFonts w:ascii="Times New Roman" w:hAnsi="Times New Roman"/>
          <w:color w:val="000000"/>
        </w:rPr>
        <w:t>h</w:t>
      </w:r>
      <w:r>
        <w:rPr>
          <w:rFonts w:ascii="Times New Roman" w:hAnsi="Times New Roman"/>
          <w:color w:val="000000"/>
        </w:rPr>
        <w:t>ours in the SBLS 2016 to an estimated 9,544 hours for the proposed SBLS 2022.  T</w:t>
      </w:r>
      <w:r w:rsidR="00A20E2A">
        <w:rPr>
          <w:rFonts w:ascii="Times New Roman" w:hAnsi="Times New Roman"/>
          <w:color w:val="000000"/>
        </w:rPr>
        <w:t xml:space="preserve">he increase is due to a </w:t>
      </w:r>
      <w:r w:rsidR="00790DCF">
        <w:rPr>
          <w:rFonts w:ascii="Times New Roman" w:hAnsi="Times New Roman"/>
          <w:color w:val="000000"/>
        </w:rPr>
        <w:t>redistribution of the expected type of respondent with a shift of 348 respondents from the “</w:t>
      </w:r>
      <w:r w:rsidRPr="00790DCF" w:rsidR="00790DCF">
        <w:rPr>
          <w:rFonts w:ascii="Times New Roman" w:hAnsi="Times New Roman"/>
          <w:color w:val="000000"/>
          <w:lang w:bidi="en-US"/>
        </w:rPr>
        <w:t>Respondents with Gross Annual Revenue Less than $1 Billion</w:t>
      </w:r>
      <w:r w:rsidR="00790DCF">
        <w:rPr>
          <w:rFonts w:ascii="Times New Roman" w:hAnsi="Times New Roman"/>
          <w:color w:val="000000"/>
        </w:rPr>
        <w:t xml:space="preserve">” category </w:t>
      </w:r>
      <w:r w:rsidR="003D3AC9">
        <w:rPr>
          <w:rFonts w:ascii="Times New Roman" w:hAnsi="Times New Roman"/>
          <w:color w:val="000000"/>
        </w:rPr>
        <w:t>to the “</w:t>
      </w:r>
      <w:r w:rsidRPr="003D3AC9" w:rsidR="003D3AC9">
        <w:rPr>
          <w:rFonts w:ascii="Times New Roman" w:hAnsi="Times New Roman"/>
          <w:color w:val="000000"/>
          <w:lang w:bidi="en-US"/>
        </w:rPr>
        <w:t xml:space="preserve">Respondents with Gross Annual Revenue </w:t>
      </w:r>
      <w:r w:rsidR="003D3AC9">
        <w:rPr>
          <w:rFonts w:ascii="Times New Roman" w:hAnsi="Times New Roman"/>
          <w:color w:val="000000"/>
          <w:lang w:bidi="en-US"/>
        </w:rPr>
        <w:t>of</w:t>
      </w:r>
      <w:r w:rsidRPr="003D3AC9" w:rsidR="003D3AC9">
        <w:rPr>
          <w:rFonts w:ascii="Times New Roman" w:hAnsi="Times New Roman"/>
          <w:color w:val="000000"/>
          <w:lang w:bidi="en-US"/>
        </w:rPr>
        <w:t xml:space="preserve"> $1 Billion</w:t>
      </w:r>
      <w:r w:rsidR="003D3AC9">
        <w:rPr>
          <w:rFonts w:ascii="Times New Roman" w:hAnsi="Times New Roman"/>
          <w:color w:val="000000"/>
          <w:lang w:bidi="en-US"/>
        </w:rPr>
        <w:t xml:space="preserve"> or More” category</w:t>
      </w:r>
      <w:r w:rsidR="0027001C">
        <w:rPr>
          <w:rFonts w:ascii="Times New Roman" w:hAnsi="Times New Roman"/>
          <w:color w:val="000000"/>
          <w:lang w:bidi="en-US"/>
        </w:rPr>
        <w:t>,</w:t>
      </w:r>
      <w:r w:rsidR="003D3AC9">
        <w:rPr>
          <w:rFonts w:ascii="Times New Roman" w:hAnsi="Times New Roman"/>
          <w:color w:val="000000"/>
          <w:lang w:bidi="en-US"/>
        </w:rPr>
        <w:t xml:space="preserve"> which has a higher estimated time per response.  In addition, the FDIC has increased its estimated time per response for both respondent categories as </w:t>
      </w:r>
      <w:r w:rsidR="00A20E2A">
        <w:rPr>
          <w:rFonts w:ascii="Times New Roman" w:hAnsi="Times New Roman"/>
          <w:color w:val="000000"/>
        </w:rPr>
        <w:t>shown below:</w:t>
      </w:r>
    </w:p>
    <w:p w:rsidR="00A63D1D" w:rsidP="002D3CA4" w:rsidRDefault="00A63D1D" w14:paraId="1F2420F9" w14:textId="77777777">
      <w:pPr>
        <w:widowControl/>
        <w:tabs>
          <w:tab w:val="left" w:pos="432"/>
          <w:tab w:val="left" w:pos="1296"/>
          <w:tab w:val="left" w:pos="1728"/>
          <w:tab w:val="left" w:pos="4176"/>
        </w:tabs>
        <w:ind w:left="1296"/>
        <w:rPr>
          <w:rFonts w:ascii="Times New Roman" w:hAnsi="Times New Roman"/>
          <w:color w:val="000000"/>
        </w:rPr>
      </w:pPr>
    </w:p>
    <w:tbl>
      <w:tblPr>
        <w:tblStyle w:val="TableGrid"/>
        <w:tblW w:w="8599" w:type="dxa"/>
        <w:tblInd w:w="607" w:type="dxa"/>
        <w:tblLayout w:type="fixed"/>
        <w:tblLook w:val="04A0" w:firstRow="1" w:lastRow="0" w:firstColumn="1" w:lastColumn="0" w:noHBand="0" w:noVBand="1"/>
      </w:tblPr>
      <w:tblGrid>
        <w:gridCol w:w="1849"/>
        <w:gridCol w:w="1170"/>
        <w:gridCol w:w="990"/>
        <w:gridCol w:w="1170"/>
        <w:gridCol w:w="1170"/>
        <w:gridCol w:w="990"/>
        <w:gridCol w:w="1260"/>
      </w:tblGrid>
      <w:tr w:rsidRPr="00A20E2A" w:rsidR="00A20E2A" w:rsidTr="00E70918" w14:paraId="29C1F87F" w14:textId="77777777">
        <w:tc>
          <w:tcPr>
            <w:tcW w:w="1849" w:type="dxa"/>
            <w:shd w:val="clear" w:color="auto" w:fill="D9D9D9" w:themeFill="background1" w:themeFillShade="D9"/>
            <w:vAlign w:val="center"/>
          </w:tcPr>
          <w:p w:rsidRPr="00C41D20" w:rsidR="00A20E2A" w:rsidP="00C41D20" w:rsidRDefault="00A20E2A" w14:paraId="60DEE8F1" w14:textId="7EE7C8EA">
            <w:pPr>
              <w:widowControl/>
              <w:tabs>
                <w:tab w:val="left" w:pos="432"/>
                <w:tab w:val="left" w:pos="1296"/>
                <w:tab w:val="left" w:pos="1728"/>
                <w:tab w:val="left" w:pos="4176"/>
              </w:tabs>
              <w:jc w:val="center"/>
              <w:rPr>
                <w:rFonts w:ascii="Times New Roman" w:hAnsi="Times New Roman"/>
                <w:color w:val="000000"/>
                <w:sz w:val="20"/>
              </w:rPr>
            </w:pPr>
          </w:p>
        </w:tc>
        <w:tc>
          <w:tcPr>
            <w:tcW w:w="3330" w:type="dxa"/>
            <w:gridSpan w:val="3"/>
            <w:shd w:val="clear" w:color="auto" w:fill="D9D9D9" w:themeFill="background1" w:themeFillShade="D9"/>
            <w:vAlign w:val="center"/>
          </w:tcPr>
          <w:p w:rsidRPr="00C41D20" w:rsidR="00A20E2A" w:rsidP="00C41D20" w:rsidRDefault="00A20E2A" w14:paraId="2A2E2774" w14:textId="586EF3CA">
            <w:pPr>
              <w:widowControl/>
              <w:tabs>
                <w:tab w:val="left" w:pos="432"/>
                <w:tab w:val="left" w:pos="1296"/>
                <w:tab w:val="left" w:pos="1728"/>
                <w:tab w:val="left" w:pos="4176"/>
              </w:tabs>
              <w:jc w:val="center"/>
              <w:rPr>
                <w:rFonts w:ascii="Times New Roman" w:hAnsi="Times New Roman"/>
                <w:color w:val="000000"/>
                <w:sz w:val="20"/>
              </w:rPr>
            </w:pPr>
            <w:r w:rsidRPr="00C41D20">
              <w:rPr>
                <w:rFonts w:ascii="Times New Roman" w:hAnsi="Times New Roman"/>
                <w:color w:val="000000"/>
                <w:sz w:val="20"/>
              </w:rPr>
              <w:t>SBLS 2016</w:t>
            </w:r>
          </w:p>
        </w:tc>
        <w:tc>
          <w:tcPr>
            <w:tcW w:w="3420" w:type="dxa"/>
            <w:gridSpan w:val="3"/>
            <w:shd w:val="clear" w:color="auto" w:fill="D9D9D9" w:themeFill="background1" w:themeFillShade="D9"/>
            <w:vAlign w:val="center"/>
          </w:tcPr>
          <w:p w:rsidRPr="00C41D20" w:rsidR="00A20E2A" w:rsidP="00C41D20" w:rsidRDefault="00A20E2A" w14:paraId="5FC87F21" w14:textId="4FE40A6A">
            <w:pPr>
              <w:widowControl/>
              <w:tabs>
                <w:tab w:val="left" w:pos="432"/>
                <w:tab w:val="left" w:pos="1296"/>
                <w:tab w:val="left" w:pos="1728"/>
                <w:tab w:val="left" w:pos="4176"/>
              </w:tabs>
              <w:jc w:val="center"/>
              <w:rPr>
                <w:rFonts w:ascii="Times New Roman" w:hAnsi="Times New Roman"/>
                <w:color w:val="000000"/>
                <w:sz w:val="20"/>
              </w:rPr>
            </w:pPr>
            <w:r>
              <w:rPr>
                <w:rFonts w:ascii="Times New Roman" w:hAnsi="Times New Roman"/>
                <w:color w:val="000000"/>
                <w:sz w:val="20"/>
              </w:rPr>
              <w:t>SBLS 2022</w:t>
            </w:r>
          </w:p>
        </w:tc>
      </w:tr>
      <w:tr w:rsidRPr="00790DCF" w:rsidR="00790DCF" w:rsidTr="00E70918" w14:paraId="7D44C912" w14:textId="77777777">
        <w:tc>
          <w:tcPr>
            <w:tcW w:w="1849" w:type="dxa"/>
            <w:shd w:val="clear" w:color="auto" w:fill="D9D9D9" w:themeFill="background1" w:themeFillShade="D9"/>
            <w:vAlign w:val="center"/>
          </w:tcPr>
          <w:p w:rsidRPr="00C41D20" w:rsidR="00A20E2A" w:rsidP="00A20E2A" w:rsidRDefault="00A20E2A" w14:paraId="6E788F65" w14:textId="22C8F690">
            <w:pPr>
              <w:widowControl/>
              <w:tabs>
                <w:tab w:val="left" w:pos="432"/>
                <w:tab w:val="left" w:pos="1296"/>
                <w:tab w:val="left" w:pos="1728"/>
                <w:tab w:val="left" w:pos="4176"/>
              </w:tabs>
              <w:jc w:val="center"/>
              <w:rPr>
                <w:rFonts w:ascii="Times New Roman" w:hAnsi="Times New Roman"/>
                <w:color w:val="000000"/>
                <w:sz w:val="18"/>
                <w:szCs w:val="18"/>
              </w:rPr>
            </w:pPr>
            <w:r w:rsidRPr="00C41D20">
              <w:rPr>
                <w:rFonts w:ascii="Times New Roman" w:hAnsi="Times New Roman"/>
                <w:color w:val="000000"/>
                <w:sz w:val="18"/>
                <w:szCs w:val="18"/>
              </w:rPr>
              <w:t>IC Description</w:t>
            </w:r>
          </w:p>
        </w:tc>
        <w:tc>
          <w:tcPr>
            <w:tcW w:w="1170" w:type="dxa"/>
            <w:shd w:val="clear" w:color="auto" w:fill="D9D9D9" w:themeFill="background1" w:themeFillShade="D9"/>
            <w:vAlign w:val="center"/>
          </w:tcPr>
          <w:p w:rsidRPr="00C41D20" w:rsidR="00A20E2A" w:rsidP="00A20E2A" w:rsidRDefault="00A20E2A" w14:paraId="2221FBF8" w14:textId="498EE957">
            <w:pPr>
              <w:widowControl/>
              <w:tabs>
                <w:tab w:val="left" w:pos="432"/>
                <w:tab w:val="left" w:pos="1296"/>
                <w:tab w:val="left" w:pos="1728"/>
                <w:tab w:val="left" w:pos="4176"/>
              </w:tabs>
              <w:jc w:val="center"/>
              <w:rPr>
                <w:rFonts w:ascii="Times New Roman" w:hAnsi="Times New Roman"/>
                <w:color w:val="000000"/>
                <w:sz w:val="18"/>
                <w:szCs w:val="18"/>
              </w:rPr>
            </w:pPr>
            <w:r w:rsidRPr="00C41D20">
              <w:rPr>
                <w:rFonts w:ascii="Times New Roman" w:hAnsi="Times New Roman"/>
                <w:color w:val="000000"/>
                <w:sz w:val="18"/>
                <w:szCs w:val="18"/>
              </w:rPr>
              <w:t>No. of Respondents</w:t>
            </w:r>
          </w:p>
        </w:tc>
        <w:tc>
          <w:tcPr>
            <w:tcW w:w="990" w:type="dxa"/>
            <w:shd w:val="clear" w:color="auto" w:fill="D9D9D9" w:themeFill="background1" w:themeFillShade="D9"/>
            <w:vAlign w:val="center"/>
          </w:tcPr>
          <w:p w:rsidRPr="00C41D20" w:rsidR="00A20E2A" w:rsidP="00A20E2A" w:rsidRDefault="00A20E2A" w14:paraId="0CCC30B0" w14:textId="543B98C9">
            <w:pPr>
              <w:widowControl/>
              <w:tabs>
                <w:tab w:val="left" w:pos="432"/>
                <w:tab w:val="left" w:pos="1296"/>
                <w:tab w:val="left" w:pos="1728"/>
                <w:tab w:val="left" w:pos="4176"/>
              </w:tabs>
              <w:jc w:val="center"/>
              <w:rPr>
                <w:rFonts w:ascii="Times New Roman" w:hAnsi="Times New Roman"/>
                <w:color w:val="000000"/>
                <w:sz w:val="18"/>
                <w:szCs w:val="18"/>
              </w:rPr>
            </w:pPr>
            <w:r w:rsidRPr="00C41D20">
              <w:rPr>
                <w:rFonts w:ascii="Times New Roman" w:hAnsi="Times New Roman"/>
                <w:color w:val="000000"/>
                <w:sz w:val="18"/>
                <w:szCs w:val="18"/>
              </w:rPr>
              <w:t>Time per Response (Hours)</w:t>
            </w:r>
          </w:p>
        </w:tc>
        <w:tc>
          <w:tcPr>
            <w:tcW w:w="1170" w:type="dxa"/>
            <w:shd w:val="clear" w:color="auto" w:fill="D9D9D9" w:themeFill="background1" w:themeFillShade="D9"/>
            <w:vAlign w:val="center"/>
          </w:tcPr>
          <w:p w:rsidRPr="00C41D20" w:rsidR="00A20E2A" w:rsidP="00A20E2A" w:rsidRDefault="00A20E2A" w14:paraId="10749061" w14:textId="64DDE941">
            <w:pPr>
              <w:widowControl/>
              <w:tabs>
                <w:tab w:val="left" w:pos="432"/>
                <w:tab w:val="left" w:pos="1296"/>
                <w:tab w:val="left" w:pos="1728"/>
                <w:tab w:val="left" w:pos="4176"/>
              </w:tabs>
              <w:jc w:val="center"/>
              <w:rPr>
                <w:rFonts w:ascii="Times New Roman" w:hAnsi="Times New Roman"/>
                <w:color w:val="000000"/>
                <w:sz w:val="18"/>
                <w:szCs w:val="18"/>
              </w:rPr>
            </w:pPr>
            <w:r w:rsidRPr="00C41D20">
              <w:rPr>
                <w:rFonts w:ascii="Times New Roman" w:hAnsi="Times New Roman"/>
                <w:color w:val="000000"/>
                <w:sz w:val="18"/>
                <w:szCs w:val="18"/>
              </w:rPr>
              <w:t>Estimated Annual Burden</w:t>
            </w:r>
          </w:p>
        </w:tc>
        <w:tc>
          <w:tcPr>
            <w:tcW w:w="1170" w:type="dxa"/>
            <w:shd w:val="clear" w:color="auto" w:fill="D9D9D9" w:themeFill="background1" w:themeFillShade="D9"/>
            <w:vAlign w:val="center"/>
          </w:tcPr>
          <w:p w:rsidRPr="00C41D20" w:rsidR="00A20E2A" w:rsidP="00A20E2A" w:rsidRDefault="00A20E2A" w14:paraId="62D394CE" w14:textId="5D9B83F6">
            <w:pPr>
              <w:widowControl/>
              <w:tabs>
                <w:tab w:val="left" w:pos="432"/>
                <w:tab w:val="left" w:pos="1296"/>
                <w:tab w:val="left" w:pos="1728"/>
                <w:tab w:val="left" w:pos="4176"/>
              </w:tabs>
              <w:jc w:val="center"/>
              <w:rPr>
                <w:rFonts w:ascii="Times New Roman" w:hAnsi="Times New Roman"/>
                <w:color w:val="000000"/>
                <w:sz w:val="18"/>
                <w:szCs w:val="18"/>
              </w:rPr>
            </w:pPr>
            <w:r w:rsidRPr="00C41D20">
              <w:rPr>
                <w:rFonts w:ascii="Times New Roman" w:hAnsi="Times New Roman"/>
                <w:color w:val="000000"/>
                <w:sz w:val="18"/>
                <w:szCs w:val="18"/>
              </w:rPr>
              <w:t>No. of Respondents</w:t>
            </w:r>
          </w:p>
        </w:tc>
        <w:tc>
          <w:tcPr>
            <w:tcW w:w="990" w:type="dxa"/>
            <w:shd w:val="clear" w:color="auto" w:fill="D9D9D9" w:themeFill="background1" w:themeFillShade="D9"/>
            <w:vAlign w:val="center"/>
          </w:tcPr>
          <w:p w:rsidRPr="00C41D20" w:rsidR="00A20E2A" w:rsidP="00A20E2A" w:rsidRDefault="00A20E2A" w14:paraId="6A008C2F" w14:textId="7B2C0529">
            <w:pPr>
              <w:widowControl/>
              <w:tabs>
                <w:tab w:val="left" w:pos="432"/>
                <w:tab w:val="left" w:pos="1296"/>
                <w:tab w:val="left" w:pos="1728"/>
                <w:tab w:val="left" w:pos="4176"/>
              </w:tabs>
              <w:jc w:val="center"/>
              <w:rPr>
                <w:rFonts w:ascii="Times New Roman" w:hAnsi="Times New Roman"/>
                <w:color w:val="000000"/>
                <w:sz w:val="18"/>
                <w:szCs w:val="18"/>
              </w:rPr>
            </w:pPr>
            <w:r w:rsidRPr="00C41D20">
              <w:rPr>
                <w:rFonts w:ascii="Times New Roman" w:hAnsi="Times New Roman"/>
                <w:color w:val="000000"/>
                <w:sz w:val="18"/>
                <w:szCs w:val="18"/>
              </w:rPr>
              <w:t>Time per Response (Hours)</w:t>
            </w:r>
          </w:p>
        </w:tc>
        <w:tc>
          <w:tcPr>
            <w:tcW w:w="1260" w:type="dxa"/>
            <w:shd w:val="clear" w:color="auto" w:fill="D9D9D9" w:themeFill="background1" w:themeFillShade="D9"/>
            <w:vAlign w:val="center"/>
          </w:tcPr>
          <w:p w:rsidRPr="00C41D20" w:rsidR="00A20E2A" w:rsidP="00A20E2A" w:rsidRDefault="00A20E2A" w14:paraId="320ECFC0" w14:textId="46DE6560">
            <w:pPr>
              <w:widowControl/>
              <w:tabs>
                <w:tab w:val="left" w:pos="432"/>
                <w:tab w:val="left" w:pos="1296"/>
                <w:tab w:val="left" w:pos="1728"/>
                <w:tab w:val="left" w:pos="4176"/>
              </w:tabs>
              <w:jc w:val="center"/>
              <w:rPr>
                <w:rFonts w:ascii="Times New Roman" w:hAnsi="Times New Roman"/>
                <w:color w:val="000000"/>
                <w:sz w:val="18"/>
                <w:szCs w:val="18"/>
              </w:rPr>
            </w:pPr>
            <w:r w:rsidRPr="00C41D20">
              <w:rPr>
                <w:rFonts w:ascii="Times New Roman" w:hAnsi="Times New Roman"/>
                <w:color w:val="000000"/>
                <w:sz w:val="18"/>
                <w:szCs w:val="18"/>
              </w:rPr>
              <w:t>Estimated Annual Burden</w:t>
            </w:r>
          </w:p>
        </w:tc>
      </w:tr>
      <w:tr w:rsidRPr="00A20E2A" w:rsidR="00A20E2A" w:rsidTr="00E70918" w14:paraId="4D08A3AC" w14:textId="77777777">
        <w:tc>
          <w:tcPr>
            <w:tcW w:w="1849" w:type="dxa"/>
          </w:tcPr>
          <w:p w:rsidRPr="00C41D20" w:rsidR="00A20E2A" w:rsidP="002D3CA4" w:rsidRDefault="00790DCF" w14:paraId="1166DC02" w14:textId="5B8A2B8A">
            <w:pPr>
              <w:widowControl/>
              <w:tabs>
                <w:tab w:val="left" w:pos="432"/>
                <w:tab w:val="left" w:pos="1296"/>
                <w:tab w:val="left" w:pos="1728"/>
                <w:tab w:val="left" w:pos="4176"/>
              </w:tabs>
              <w:rPr>
                <w:rFonts w:ascii="Times New Roman" w:hAnsi="Times New Roman"/>
                <w:color w:val="000000"/>
                <w:sz w:val="18"/>
                <w:szCs w:val="18"/>
              </w:rPr>
            </w:pPr>
            <w:r w:rsidRPr="00C41D20">
              <w:rPr>
                <w:rFonts w:ascii="Times New Roman" w:hAnsi="Times New Roman"/>
                <w:color w:val="000000"/>
                <w:sz w:val="18"/>
                <w:szCs w:val="18"/>
                <w:lang w:bidi="en-US"/>
              </w:rPr>
              <w:t>Respondents with  Gross Annual Revenue Less than $1 Billion</w:t>
            </w:r>
          </w:p>
        </w:tc>
        <w:tc>
          <w:tcPr>
            <w:tcW w:w="1170" w:type="dxa"/>
            <w:vAlign w:val="center"/>
          </w:tcPr>
          <w:p w:rsidRPr="00C41D20" w:rsidR="00A20E2A" w:rsidP="00C41D20" w:rsidRDefault="00790DCF" w14:paraId="3212F139" w14:textId="3EAA3919">
            <w:pPr>
              <w:widowControl/>
              <w:tabs>
                <w:tab w:val="left" w:pos="432"/>
                <w:tab w:val="left" w:pos="1296"/>
                <w:tab w:val="left" w:pos="1728"/>
                <w:tab w:val="left" w:pos="4176"/>
              </w:tabs>
              <w:jc w:val="center"/>
              <w:rPr>
                <w:rFonts w:ascii="Times New Roman" w:hAnsi="Times New Roman"/>
                <w:color w:val="000000"/>
                <w:sz w:val="18"/>
                <w:szCs w:val="18"/>
              </w:rPr>
            </w:pPr>
            <w:r w:rsidRPr="00C41D20">
              <w:rPr>
                <w:rFonts w:ascii="Times New Roman" w:hAnsi="Times New Roman"/>
                <w:color w:val="000000"/>
                <w:sz w:val="18"/>
                <w:szCs w:val="18"/>
              </w:rPr>
              <w:t>1,500</w:t>
            </w:r>
          </w:p>
        </w:tc>
        <w:tc>
          <w:tcPr>
            <w:tcW w:w="990" w:type="dxa"/>
            <w:vAlign w:val="center"/>
          </w:tcPr>
          <w:p w:rsidRPr="00C41D20" w:rsidR="00A20E2A" w:rsidP="00C41D20" w:rsidRDefault="00790DCF" w14:paraId="1BBCEFE6" w14:textId="1B1F2DAA">
            <w:pPr>
              <w:widowControl/>
              <w:tabs>
                <w:tab w:val="left" w:pos="432"/>
                <w:tab w:val="left" w:pos="1296"/>
                <w:tab w:val="left" w:pos="1728"/>
                <w:tab w:val="left" w:pos="4176"/>
              </w:tabs>
              <w:jc w:val="center"/>
              <w:rPr>
                <w:rFonts w:ascii="Times New Roman" w:hAnsi="Times New Roman"/>
                <w:color w:val="000000"/>
                <w:sz w:val="18"/>
                <w:szCs w:val="18"/>
              </w:rPr>
            </w:pPr>
            <w:r w:rsidRPr="00C41D20">
              <w:rPr>
                <w:rFonts w:ascii="Times New Roman" w:hAnsi="Times New Roman"/>
                <w:color w:val="000000"/>
                <w:sz w:val="18"/>
                <w:szCs w:val="18"/>
              </w:rPr>
              <w:t>3</w:t>
            </w:r>
          </w:p>
        </w:tc>
        <w:tc>
          <w:tcPr>
            <w:tcW w:w="1170" w:type="dxa"/>
            <w:vAlign w:val="center"/>
          </w:tcPr>
          <w:p w:rsidRPr="00C41D20" w:rsidR="00A20E2A" w:rsidP="00C41D20" w:rsidRDefault="00790DCF" w14:paraId="3A4C1C61" w14:textId="10BDBE05">
            <w:pPr>
              <w:widowControl/>
              <w:tabs>
                <w:tab w:val="left" w:pos="432"/>
                <w:tab w:val="left" w:pos="1296"/>
                <w:tab w:val="left" w:pos="1728"/>
                <w:tab w:val="left" w:pos="4176"/>
              </w:tabs>
              <w:jc w:val="center"/>
              <w:rPr>
                <w:rFonts w:ascii="Times New Roman" w:hAnsi="Times New Roman"/>
                <w:color w:val="000000"/>
                <w:sz w:val="18"/>
                <w:szCs w:val="18"/>
              </w:rPr>
            </w:pPr>
            <w:r w:rsidRPr="00C41D20">
              <w:rPr>
                <w:rFonts w:ascii="Times New Roman" w:hAnsi="Times New Roman"/>
                <w:color w:val="000000"/>
                <w:sz w:val="18"/>
                <w:szCs w:val="18"/>
              </w:rPr>
              <w:t>4,500</w:t>
            </w:r>
          </w:p>
        </w:tc>
        <w:tc>
          <w:tcPr>
            <w:tcW w:w="1170" w:type="dxa"/>
            <w:vAlign w:val="center"/>
          </w:tcPr>
          <w:p w:rsidRPr="00C41D20" w:rsidR="00A20E2A" w:rsidP="00C41D20" w:rsidRDefault="00790DCF" w14:paraId="14E97634" w14:textId="724860D2">
            <w:pPr>
              <w:widowControl/>
              <w:tabs>
                <w:tab w:val="left" w:pos="432"/>
                <w:tab w:val="left" w:pos="1296"/>
                <w:tab w:val="left" w:pos="1728"/>
                <w:tab w:val="left" w:pos="4176"/>
              </w:tabs>
              <w:jc w:val="center"/>
              <w:rPr>
                <w:rFonts w:ascii="Times New Roman" w:hAnsi="Times New Roman"/>
                <w:color w:val="000000"/>
                <w:sz w:val="18"/>
                <w:szCs w:val="18"/>
              </w:rPr>
            </w:pPr>
            <w:r w:rsidRPr="00C41D20">
              <w:rPr>
                <w:rFonts w:ascii="Times New Roman" w:hAnsi="Times New Roman"/>
                <w:color w:val="000000"/>
                <w:sz w:val="18"/>
                <w:szCs w:val="18"/>
              </w:rPr>
              <w:t>1,152</w:t>
            </w:r>
          </w:p>
        </w:tc>
        <w:tc>
          <w:tcPr>
            <w:tcW w:w="990" w:type="dxa"/>
            <w:vAlign w:val="center"/>
          </w:tcPr>
          <w:p w:rsidRPr="00C41D20" w:rsidR="00A20E2A" w:rsidP="00C41D20" w:rsidRDefault="00790DCF" w14:paraId="5B686EDF" w14:textId="29A4E4BF">
            <w:pPr>
              <w:widowControl/>
              <w:tabs>
                <w:tab w:val="left" w:pos="432"/>
                <w:tab w:val="left" w:pos="1296"/>
                <w:tab w:val="left" w:pos="1728"/>
                <w:tab w:val="left" w:pos="4176"/>
              </w:tabs>
              <w:jc w:val="center"/>
              <w:rPr>
                <w:rFonts w:ascii="Times New Roman" w:hAnsi="Times New Roman"/>
                <w:color w:val="000000"/>
                <w:sz w:val="18"/>
                <w:szCs w:val="18"/>
              </w:rPr>
            </w:pPr>
            <w:r w:rsidRPr="00C41D20">
              <w:rPr>
                <w:rFonts w:ascii="Times New Roman" w:hAnsi="Times New Roman"/>
                <w:color w:val="000000"/>
                <w:sz w:val="18"/>
                <w:szCs w:val="18"/>
              </w:rPr>
              <w:t>3.5</w:t>
            </w:r>
          </w:p>
        </w:tc>
        <w:tc>
          <w:tcPr>
            <w:tcW w:w="1260" w:type="dxa"/>
            <w:vAlign w:val="center"/>
          </w:tcPr>
          <w:p w:rsidRPr="00C41D20" w:rsidR="00A20E2A" w:rsidP="00C41D20" w:rsidRDefault="00790DCF" w14:paraId="507253E0" w14:textId="7DDDC6CA">
            <w:pPr>
              <w:widowControl/>
              <w:tabs>
                <w:tab w:val="left" w:pos="432"/>
                <w:tab w:val="left" w:pos="1296"/>
                <w:tab w:val="left" w:pos="1728"/>
                <w:tab w:val="left" w:pos="4176"/>
              </w:tabs>
              <w:jc w:val="center"/>
              <w:rPr>
                <w:rFonts w:ascii="Times New Roman" w:hAnsi="Times New Roman"/>
                <w:color w:val="000000"/>
                <w:sz w:val="18"/>
                <w:szCs w:val="18"/>
              </w:rPr>
            </w:pPr>
            <w:r w:rsidRPr="00C41D20">
              <w:rPr>
                <w:rFonts w:ascii="Times New Roman" w:hAnsi="Times New Roman"/>
                <w:color w:val="000000"/>
                <w:sz w:val="18"/>
                <w:szCs w:val="18"/>
              </w:rPr>
              <w:t>4,032</w:t>
            </w:r>
          </w:p>
        </w:tc>
      </w:tr>
      <w:tr w:rsidRPr="00A20E2A" w:rsidR="00A20E2A" w:rsidTr="00E70918" w14:paraId="467947FC" w14:textId="77777777">
        <w:tc>
          <w:tcPr>
            <w:tcW w:w="1849" w:type="dxa"/>
          </w:tcPr>
          <w:p w:rsidRPr="00C41D20" w:rsidR="00A20E2A" w:rsidP="002D3CA4" w:rsidRDefault="00790DCF" w14:paraId="5F7BDB85" w14:textId="0EC48F15">
            <w:pPr>
              <w:widowControl/>
              <w:tabs>
                <w:tab w:val="left" w:pos="432"/>
                <w:tab w:val="left" w:pos="1296"/>
                <w:tab w:val="left" w:pos="1728"/>
                <w:tab w:val="left" w:pos="4176"/>
              </w:tabs>
              <w:rPr>
                <w:rFonts w:ascii="Times New Roman" w:hAnsi="Times New Roman"/>
                <w:color w:val="000000"/>
                <w:sz w:val="18"/>
                <w:szCs w:val="18"/>
              </w:rPr>
            </w:pPr>
            <w:r>
              <w:rPr>
                <w:rFonts w:ascii="Times New Roman" w:hAnsi="Times New Roman" w:eastAsia="Source Sans Pro"/>
                <w:snapToGrid/>
                <w:color w:val="000000"/>
                <w:sz w:val="18"/>
                <w:szCs w:val="18"/>
                <w:lang w:bidi="en-US"/>
              </w:rPr>
              <w:t>Respondents with  Gross Annual Revenue  $1 Billion or More</w:t>
            </w:r>
          </w:p>
        </w:tc>
        <w:tc>
          <w:tcPr>
            <w:tcW w:w="1170" w:type="dxa"/>
            <w:vAlign w:val="center"/>
          </w:tcPr>
          <w:p w:rsidRPr="00C41D20" w:rsidR="00A20E2A" w:rsidP="00C41D20" w:rsidRDefault="00790DCF" w14:paraId="2DA15595" w14:textId="0BC6C866">
            <w:pPr>
              <w:widowControl/>
              <w:tabs>
                <w:tab w:val="left" w:pos="432"/>
                <w:tab w:val="left" w:pos="1296"/>
                <w:tab w:val="left" w:pos="1728"/>
                <w:tab w:val="left" w:pos="4176"/>
              </w:tabs>
              <w:jc w:val="center"/>
              <w:rPr>
                <w:rFonts w:ascii="Times New Roman" w:hAnsi="Times New Roman"/>
                <w:color w:val="000000"/>
                <w:sz w:val="18"/>
                <w:szCs w:val="18"/>
              </w:rPr>
            </w:pPr>
            <w:r w:rsidRPr="00C41D20">
              <w:rPr>
                <w:rFonts w:ascii="Times New Roman" w:hAnsi="Times New Roman"/>
                <w:color w:val="000000"/>
                <w:sz w:val="18"/>
                <w:szCs w:val="18"/>
              </w:rPr>
              <w:t>500</w:t>
            </w:r>
          </w:p>
        </w:tc>
        <w:tc>
          <w:tcPr>
            <w:tcW w:w="990" w:type="dxa"/>
            <w:vAlign w:val="center"/>
          </w:tcPr>
          <w:p w:rsidRPr="00C41D20" w:rsidR="00A20E2A" w:rsidP="00C41D20" w:rsidRDefault="00790DCF" w14:paraId="215D0DEC" w14:textId="2A517B86">
            <w:pPr>
              <w:widowControl/>
              <w:tabs>
                <w:tab w:val="left" w:pos="432"/>
                <w:tab w:val="left" w:pos="1296"/>
                <w:tab w:val="left" w:pos="1728"/>
                <w:tab w:val="left" w:pos="4176"/>
              </w:tabs>
              <w:jc w:val="center"/>
              <w:rPr>
                <w:rFonts w:ascii="Times New Roman" w:hAnsi="Times New Roman"/>
                <w:color w:val="000000"/>
                <w:sz w:val="18"/>
                <w:szCs w:val="18"/>
              </w:rPr>
            </w:pPr>
            <w:r w:rsidRPr="00C41D20">
              <w:rPr>
                <w:rFonts w:ascii="Times New Roman" w:hAnsi="Times New Roman"/>
                <w:color w:val="000000"/>
                <w:sz w:val="18"/>
                <w:szCs w:val="18"/>
              </w:rPr>
              <w:t>6</w:t>
            </w:r>
          </w:p>
        </w:tc>
        <w:tc>
          <w:tcPr>
            <w:tcW w:w="1170" w:type="dxa"/>
            <w:vAlign w:val="center"/>
          </w:tcPr>
          <w:p w:rsidRPr="00C41D20" w:rsidR="00A20E2A" w:rsidP="00C41D20" w:rsidRDefault="00790DCF" w14:paraId="09EBD394" w14:textId="65292C42">
            <w:pPr>
              <w:widowControl/>
              <w:tabs>
                <w:tab w:val="left" w:pos="432"/>
                <w:tab w:val="left" w:pos="1296"/>
                <w:tab w:val="left" w:pos="1728"/>
                <w:tab w:val="left" w:pos="4176"/>
              </w:tabs>
              <w:jc w:val="center"/>
              <w:rPr>
                <w:rFonts w:ascii="Times New Roman" w:hAnsi="Times New Roman"/>
                <w:color w:val="000000"/>
                <w:sz w:val="18"/>
                <w:szCs w:val="18"/>
              </w:rPr>
            </w:pPr>
            <w:r w:rsidRPr="00C41D20">
              <w:rPr>
                <w:rFonts w:ascii="Times New Roman" w:hAnsi="Times New Roman"/>
                <w:color w:val="000000"/>
                <w:sz w:val="18"/>
                <w:szCs w:val="18"/>
              </w:rPr>
              <w:t>3,000</w:t>
            </w:r>
          </w:p>
        </w:tc>
        <w:tc>
          <w:tcPr>
            <w:tcW w:w="1170" w:type="dxa"/>
            <w:vAlign w:val="center"/>
          </w:tcPr>
          <w:p w:rsidRPr="00C41D20" w:rsidR="00A20E2A" w:rsidP="00C41D20" w:rsidRDefault="00790DCF" w14:paraId="37209B20" w14:textId="2FE625A9">
            <w:pPr>
              <w:widowControl/>
              <w:tabs>
                <w:tab w:val="left" w:pos="432"/>
                <w:tab w:val="left" w:pos="1296"/>
                <w:tab w:val="left" w:pos="1728"/>
                <w:tab w:val="left" w:pos="4176"/>
              </w:tabs>
              <w:jc w:val="center"/>
              <w:rPr>
                <w:rFonts w:ascii="Times New Roman" w:hAnsi="Times New Roman"/>
                <w:color w:val="000000"/>
                <w:sz w:val="18"/>
                <w:szCs w:val="18"/>
              </w:rPr>
            </w:pPr>
            <w:r w:rsidRPr="00C41D20">
              <w:rPr>
                <w:rFonts w:ascii="Times New Roman" w:hAnsi="Times New Roman"/>
                <w:color w:val="000000"/>
                <w:sz w:val="18"/>
                <w:szCs w:val="18"/>
              </w:rPr>
              <w:t>848</w:t>
            </w:r>
          </w:p>
        </w:tc>
        <w:tc>
          <w:tcPr>
            <w:tcW w:w="990" w:type="dxa"/>
            <w:vAlign w:val="center"/>
          </w:tcPr>
          <w:p w:rsidRPr="00C41D20" w:rsidR="00A20E2A" w:rsidP="00C41D20" w:rsidRDefault="00790DCF" w14:paraId="78EBE39A" w14:textId="2142204B">
            <w:pPr>
              <w:widowControl/>
              <w:tabs>
                <w:tab w:val="left" w:pos="432"/>
                <w:tab w:val="left" w:pos="1296"/>
                <w:tab w:val="left" w:pos="1728"/>
                <w:tab w:val="left" w:pos="4176"/>
              </w:tabs>
              <w:jc w:val="center"/>
              <w:rPr>
                <w:rFonts w:ascii="Times New Roman" w:hAnsi="Times New Roman"/>
                <w:color w:val="000000"/>
                <w:sz w:val="18"/>
                <w:szCs w:val="18"/>
              </w:rPr>
            </w:pPr>
            <w:r w:rsidRPr="00C41D20">
              <w:rPr>
                <w:rFonts w:ascii="Times New Roman" w:hAnsi="Times New Roman"/>
                <w:color w:val="000000"/>
                <w:sz w:val="18"/>
                <w:szCs w:val="18"/>
              </w:rPr>
              <w:t>6.5</w:t>
            </w:r>
          </w:p>
        </w:tc>
        <w:tc>
          <w:tcPr>
            <w:tcW w:w="1260" w:type="dxa"/>
            <w:vAlign w:val="center"/>
          </w:tcPr>
          <w:p w:rsidRPr="00C41D20" w:rsidR="00A20E2A" w:rsidP="00C41D20" w:rsidRDefault="00790DCF" w14:paraId="0C878801" w14:textId="48CA7177">
            <w:pPr>
              <w:widowControl/>
              <w:tabs>
                <w:tab w:val="left" w:pos="432"/>
                <w:tab w:val="left" w:pos="1296"/>
                <w:tab w:val="left" w:pos="1728"/>
                <w:tab w:val="left" w:pos="4176"/>
              </w:tabs>
              <w:jc w:val="center"/>
              <w:rPr>
                <w:rFonts w:ascii="Times New Roman" w:hAnsi="Times New Roman"/>
                <w:color w:val="000000"/>
                <w:sz w:val="18"/>
                <w:szCs w:val="18"/>
              </w:rPr>
            </w:pPr>
            <w:r w:rsidRPr="00C41D20">
              <w:rPr>
                <w:rFonts w:ascii="Times New Roman" w:hAnsi="Times New Roman"/>
                <w:color w:val="000000"/>
                <w:sz w:val="18"/>
                <w:szCs w:val="18"/>
              </w:rPr>
              <w:t>5,512</w:t>
            </w:r>
          </w:p>
        </w:tc>
      </w:tr>
      <w:tr w:rsidRPr="00A20E2A" w:rsidR="00A20E2A" w:rsidTr="00E70918" w14:paraId="4A5B3010" w14:textId="77777777">
        <w:tc>
          <w:tcPr>
            <w:tcW w:w="1849" w:type="dxa"/>
          </w:tcPr>
          <w:p w:rsidRPr="00C41D20" w:rsidR="00A20E2A" w:rsidP="002D3CA4" w:rsidRDefault="00A20E2A" w14:paraId="35CB5C2C" w14:textId="77777777">
            <w:pPr>
              <w:widowControl/>
              <w:tabs>
                <w:tab w:val="left" w:pos="432"/>
                <w:tab w:val="left" w:pos="1296"/>
                <w:tab w:val="left" w:pos="1728"/>
                <w:tab w:val="left" w:pos="4176"/>
              </w:tabs>
              <w:rPr>
                <w:rFonts w:ascii="Times New Roman" w:hAnsi="Times New Roman"/>
                <w:color w:val="000000"/>
                <w:sz w:val="18"/>
                <w:szCs w:val="18"/>
              </w:rPr>
            </w:pPr>
          </w:p>
        </w:tc>
        <w:tc>
          <w:tcPr>
            <w:tcW w:w="1170" w:type="dxa"/>
          </w:tcPr>
          <w:p w:rsidRPr="00C41D20" w:rsidR="00A20E2A" w:rsidP="00C41D20" w:rsidRDefault="003D3AC9" w14:paraId="559BE4B7" w14:textId="211F1FB8">
            <w:pPr>
              <w:widowControl/>
              <w:tabs>
                <w:tab w:val="left" w:pos="432"/>
                <w:tab w:val="left" w:pos="1296"/>
                <w:tab w:val="left" w:pos="1728"/>
                <w:tab w:val="left" w:pos="4176"/>
              </w:tabs>
              <w:jc w:val="center"/>
              <w:rPr>
                <w:rFonts w:ascii="Times New Roman" w:hAnsi="Times New Roman"/>
                <w:color w:val="000000"/>
                <w:sz w:val="18"/>
                <w:szCs w:val="18"/>
              </w:rPr>
            </w:pPr>
            <w:r>
              <w:rPr>
                <w:rFonts w:ascii="Times New Roman" w:hAnsi="Times New Roman"/>
                <w:color w:val="000000"/>
                <w:sz w:val="18"/>
                <w:szCs w:val="18"/>
              </w:rPr>
              <w:t>2,000</w:t>
            </w:r>
          </w:p>
        </w:tc>
        <w:tc>
          <w:tcPr>
            <w:tcW w:w="990" w:type="dxa"/>
          </w:tcPr>
          <w:p w:rsidRPr="00C41D20" w:rsidR="00A20E2A" w:rsidP="00C41D20" w:rsidRDefault="00A20E2A" w14:paraId="58A22D6D" w14:textId="77777777">
            <w:pPr>
              <w:widowControl/>
              <w:tabs>
                <w:tab w:val="left" w:pos="432"/>
                <w:tab w:val="left" w:pos="1296"/>
                <w:tab w:val="left" w:pos="1728"/>
                <w:tab w:val="left" w:pos="4176"/>
              </w:tabs>
              <w:jc w:val="center"/>
              <w:rPr>
                <w:rFonts w:ascii="Times New Roman" w:hAnsi="Times New Roman"/>
                <w:color w:val="000000"/>
                <w:sz w:val="18"/>
                <w:szCs w:val="18"/>
              </w:rPr>
            </w:pPr>
          </w:p>
        </w:tc>
        <w:tc>
          <w:tcPr>
            <w:tcW w:w="1170" w:type="dxa"/>
          </w:tcPr>
          <w:p w:rsidRPr="00C41D20" w:rsidR="00A20E2A" w:rsidP="00C41D20" w:rsidRDefault="00790DCF" w14:paraId="60B58C7B" w14:textId="3F9730EF">
            <w:pPr>
              <w:widowControl/>
              <w:tabs>
                <w:tab w:val="left" w:pos="432"/>
                <w:tab w:val="left" w:pos="1296"/>
                <w:tab w:val="left" w:pos="1728"/>
                <w:tab w:val="left" w:pos="4176"/>
              </w:tabs>
              <w:jc w:val="center"/>
              <w:rPr>
                <w:rFonts w:ascii="Times New Roman" w:hAnsi="Times New Roman"/>
                <w:color w:val="000000"/>
                <w:sz w:val="18"/>
                <w:szCs w:val="18"/>
              </w:rPr>
            </w:pPr>
            <w:r w:rsidRPr="00C41D20">
              <w:rPr>
                <w:rFonts w:ascii="Times New Roman" w:hAnsi="Times New Roman"/>
                <w:color w:val="000000"/>
                <w:sz w:val="18"/>
                <w:szCs w:val="18"/>
              </w:rPr>
              <w:t>7,500</w:t>
            </w:r>
          </w:p>
        </w:tc>
        <w:tc>
          <w:tcPr>
            <w:tcW w:w="1170" w:type="dxa"/>
          </w:tcPr>
          <w:p w:rsidRPr="00C41D20" w:rsidR="00A20E2A" w:rsidP="00C41D20" w:rsidRDefault="003D3AC9" w14:paraId="2FDB3B61" w14:textId="411E71A7">
            <w:pPr>
              <w:widowControl/>
              <w:tabs>
                <w:tab w:val="left" w:pos="432"/>
                <w:tab w:val="left" w:pos="1296"/>
                <w:tab w:val="left" w:pos="1728"/>
                <w:tab w:val="left" w:pos="4176"/>
              </w:tabs>
              <w:jc w:val="center"/>
              <w:rPr>
                <w:rFonts w:ascii="Times New Roman" w:hAnsi="Times New Roman"/>
                <w:color w:val="000000"/>
                <w:sz w:val="18"/>
                <w:szCs w:val="18"/>
              </w:rPr>
            </w:pPr>
            <w:r>
              <w:rPr>
                <w:rFonts w:ascii="Times New Roman" w:hAnsi="Times New Roman"/>
                <w:color w:val="000000"/>
                <w:sz w:val="18"/>
                <w:szCs w:val="18"/>
              </w:rPr>
              <w:t>2,000</w:t>
            </w:r>
          </w:p>
        </w:tc>
        <w:tc>
          <w:tcPr>
            <w:tcW w:w="990" w:type="dxa"/>
          </w:tcPr>
          <w:p w:rsidRPr="00C41D20" w:rsidR="00A20E2A" w:rsidP="00C41D20" w:rsidRDefault="00A20E2A" w14:paraId="0881B2E9" w14:textId="77777777">
            <w:pPr>
              <w:widowControl/>
              <w:tabs>
                <w:tab w:val="left" w:pos="432"/>
                <w:tab w:val="left" w:pos="1296"/>
                <w:tab w:val="left" w:pos="1728"/>
                <w:tab w:val="left" w:pos="4176"/>
              </w:tabs>
              <w:jc w:val="center"/>
              <w:rPr>
                <w:rFonts w:ascii="Times New Roman" w:hAnsi="Times New Roman"/>
                <w:color w:val="000000"/>
                <w:sz w:val="18"/>
                <w:szCs w:val="18"/>
              </w:rPr>
            </w:pPr>
          </w:p>
        </w:tc>
        <w:tc>
          <w:tcPr>
            <w:tcW w:w="1260" w:type="dxa"/>
          </w:tcPr>
          <w:p w:rsidRPr="00C41D20" w:rsidR="00A20E2A" w:rsidP="00C41D20" w:rsidRDefault="00790DCF" w14:paraId="72B950BC" w14:textId="33DE4D5E">
            <w:pPr>
              <w:widowControl/>
              <w:tabs>
                <w:tab w:val="left" w:pos="432"/>
                <w:tab w:val="left" w:pos="1296"/>
                <w:tab w:val="left" w:pos="1728"/>
                <w:tab w:val="left" w:pos="4176"/>
              </w:tabs>
              <w:jc w:val="center"/>
              <w:rPr>
                <w:rFonts w:ascii="Times New Roman" w:hAnsi="Times New Roman"/>
                <w:color w:val="000000"/>
                <w:sz w:val="18"/>
                <w:szCs w:val="18"/>
              </w:rPr>
            </w:pPr>
            <w:r w:rsidRPr="00C41D20">
              <w:rPr>
                <w:rFonts w:ascii="Times New Roman" w:hAnsi="Times New Roman"/>
                <w:color w:val="000000"/>
                <w:sz w:val="18"/>
                <w:szCs w:val="18"/>
              </w:rPr>
              <w:t>9,544</w:t>
            </w:r>
          </w:p>
        </w:tc>
      </w:tr>
    </w:tbl>
    <w:p w:rsidRPr="00243153" w:rsidR="00927719" w:rsidRDefault="00927719" w14:paraId="642730E2" w14:textId="77777777">
      <w:pPr>
        <w:widowControl/>
        <w:tabs>
          <w:tab w:val="left" w:pos="432"/>
          <w:tab w:val="left" w:pos="1296"/>
          <w:tab w:val="left" w:pos="1728"/>
          <w:tab w:val="left" w:pos="4176"/>
        </w:tabs>
        <w:rPr>
          <w:rFonts w:ascii="Times New Roman" w:hAnsi="Times New Roman"/>
          <w:color w:val="000000"/>
        </w:rPr>
      </w:pPr>
    </w:p>
    <w:p w:rsidRPr="00E70918" w:rsidR="00927719" w:rsidP="00E70918" w:rsidRDefault="0050232F" w14:paraId="4E8B4B9B" w14:textId="75BF99EB">
      <w:pPr>
        <w:pStyle w:val="ListParagraph"/>
        <w:numPr>
          <w:ilvl w:val="0"/>
          <w:numId w:val="3"/>
        </w:numPr>
        <w:tabs>
          <w:tab w:val="left" w:pos="432"/>
          <w:tab w:val="left" w:pos="1728"/>
          <w:tab w:val="left" w:pos="4176"/>
        </w:tabs>
        <w:rPr>
          <w:rFonts w:ascii="Times New Roman" w:hAnsi="Times New Roman"/>
          <w:color w:val="000000"/>
          <w:szCs w:val="24"/>
        </w:rPr>
      </w:pPr>
      <w:r w:rsidRPr="00E70918">
        <w:rPr>
          <w:rFonts w:ascii="Times New Roman" w:hAnsi="Times New Roman"/>
          <w:sz w:val="24"/>
          <w:szCs w:val="24"/>
          <w:u w:val="single"/>
        </w:rPr>
        <w:t>Information regarding collections whose results are planned to be published for</w:t>
      </w:r>
      <w:r w:rsidR="00696C52">
        <w:rPr>
          <w:rFonts w:ascii="Times New Roman" w:hAnsi="Times New Roman"/>
          <w:sz w:val="24"/>
          <w:szCs w:val="24"/>
          <w:u w:val="single"/>
        </w:rPr>
        <w:t xml:space="preserve"> </w:t>
      </w:r>
      <w:r w:rsidRPr="00E70918">
        <w:rPr>
          <w:rFonts w:ascii="Times New Roman" w:hAnsi="Times New Roman"/>
          <w:sz w:val="24"/>
          <w:szCs w:val="24"/>
          <w:u w:val="single"/>
        </w:rPr>
        <w:t>statistical use:</w:t>
      </w:r>
    </w:p>
    <w:p w:rsidRPr="00243153" w:rsidR="00927719" w:rsidRDefault="00DE4ED8" w14:paraId="4A4FBA0D" w14:textId="13144805">
      <w:pPr>
        <w:widowControl/>
        <w:tabs>
          <w:tab w:val="left" w:pos="432"/>
          <w:tab w:val="left" w:pos="1296"/>
          <w:tab w:val="left" w:pos="1728"/>
          <w:tab w:val="left" w:pos="4176"/>
        </w:tabs>
        <w:ind w:left="1296"/>
        <w:rPr>
          <w:rFonts w:ascii="Times New Roman" w:hAnsi="Times New Roman"/>
          <w:color w:val="000000"/>
        </w:rPr>
      </w:pPr>
      <w:r w:rsidRPr="00243153">
        <w:rPr>
          <w:rFonts w:ascii="Times New Roman" w:hAnsi="Times New Roman"/>
          <w:color w:val="000000"/>
          <w:szCs w:val="24"/>
        </w:rPr>
        <w:t xml:space="preserve">The FDIC will use the information collected from the survey to </w:t>
      </w:r>
      <w:r w:rsidRPr="00243153">
        <w:rPr>
          <w:rFonts w:ascii="Times New Roman" w:hAnsi="Times New Roman"/>
        </w:rPr>
        <w:t>produce</w:t>
      </w:r>
      <w:r>
        <w:rPr>
          <w:rFonts w:ascii="Times New Roman" w:hAnsi="Times New Roman"/>
        </w:rPr>
        <w:t xml:space="preserve"> a report of main findings, scheduled to be published in 2024, and will share the findings with the industry, policy makers, and academics. </w:t>
      </w:r>
      <w:r w:rsidR="00524B27">
        <w:rPr>
          <w:rFonts w:ascii="Times New Roman" w:hAnsi="Times New Roman"/>
        </w:rPr>
        <w:t xml:space="preserve"> </w:t>
      </w:r>
      <w:r>
        <w:rPr>
          <w:rFonts w:ascii="Times New Roman" w:hAnsi="Times New Roman"/>
        </w:rPr>
        <w:t xml:space="preserve">We plan to explore whether there are differences in bank practices for banks of different sizes and for banks with different business models, and to document changes over time in responses to questions that were retained from SBLS 2016. </w:t>
      </w:r>
      <w:r w:rsidR="0050232F">
        <w:rPr>
          <w:rFonts w:ascii="Times New Roman" w:hAnsi="Times New Roman"/>
          <w:color w:val="000000"/>
        </w:rPr>
        <w:t xml:space="preserve"> </w:t>
      </w:r>
    </w:p>
    <w:p w:rsidRPr="00243153" w:rsidR="00927719" w:rsidRDefault="00927719" w14:paraId="6FA16BD2" w14:textId="77777777">
      <w:pPr>
        <w:widowControl/>
        <w:tabs>
          <w:tab w:val="left" w:pos="432"/>
          <w:tab w:val="left" w:pos="1296"/>
          <w:tab w:val="left" w:pos="1728"/>
          <w:tab w:val="left" w:pos="4176"/>
        </w:tabs>
        <w:ind w:left="1296"/>
        <w:rPr>
          <w:rFonts w:ascii="Times New Roman" w:hAnsi="Times New Roman"/>
          <w:color w:val="000000"/>
        </w:rPr>
      </w:pPr>
    </w:p>
    <w:p w:rsidRPr="00243153" w:rsidR="00927719" w:rsidRDefault="002C031D" w14:paraId="1EB25519" w14:textId="4A8F4272">
      <w:pPr>
        <w:widowControl/>
        <w:tabs>
          <w:tab w:val="left" w:pos="432"/>
          <w:tab w:val="left" w:pos="1296"/>
          <w:tab w:val="left" w:pos="1728"/>
          <w:tab w:val="left" w:pos="4176"/>
        </w:tabs>
        <w:ind w:left="1296" w:hanging="864"/>
        <w:rPr>
          <w:rFonts w:ascii="Times New Roman" w:hAnsi="Times New Roman"/>
          <w:color w:val="000000"/>
        </w:rPr>
      </w:pPr>
      <w:r w:rsidRPr="00243153">
        <w:rPr>
          <w:rFonts w:ascii="Times New Roman" w:hAnsi="Times New Roman"/>
          <w:color w:val="000000"/>
        </w:rPr>
        <w:t>17.</w:t>
      </w:r>
      <w:r w:rsidRPr="00243153">
        <w:rPr>
          <w:rFonts w:ascii="Times New Roman" w:hAnsi="Times New Roman"/>
          <w:color w:val="000000"/>
        </w:rPr>
        <w:tab/>
      </w:r>
      <w:r w:rsidRPr="00243153">
        <w:rPr>
          <w:rFonts w:ascii="Times New Roman" w:hAnsi="Times New Roman"/>
          <w:color w:val="000000"/>
          <w:u w:val="single"/>
        </w:rPr>
        <w:t xml:space="preserve">Exceptions to </w:t>
      </w:r>
      <w:r w:rsidR="00D85B45">
        <w:rPr>
          <w:rFonts w:ascii="Times New Roman" w:hAnsi="Times New Roman"/>
          <w:color w:val="000000"/>
          <w:u w:val="single"/>
        </w:rPr>
        <w:t>e</w:t>
      </w:r>
      <w:r w:rsidRPr="00243153">
        <w:rPr>
          <w:rFonts w:ascii="Times New Roman" w:hAnsi="Times New Roman"/>
          <w:color w:val="000000"/>
          <w:u w:val="single"/>
        </w:rPr>
        <w:t xml:space="preserve">xpiration </w:t>
      </w:r>
      <w:r w:rsidR="00D85B45">
        <w:rPr>
          <w:rFonts w:ascii="Times New Roman" w:hAnsi="Times New Roman"/>
          <w:color w:val="000000"/>
          <w:u w:val="single"/>
        </w:rPr>
        <w:t>d</w:t>
      </w:r>
      <w:r w:rsidRPr="00243153">
        <w:rPr>
          <w:rFonts w:ascii="Times New Roman" w:hAnsi="Times New Roman"/>
          <w:color w:val="000000"/>
          <w:u w:val="single"/>
        </w:rPr>
        <w:t xml:space="preserve">ate </w:t>
      </w:r>
      <w:r w:rsidR="00D85B45">
        <w:rPr>
          <w:rFonts w:ascii="Times New Roman" w:hAnsi="Times New Roman"/>
          <w:color w:val="000000"/>
          <w:u w:val="single"/>
        </w:rPr>
        <w:t>d</w:t>
      </w:r>
      <w:r w:rsidRPr="00243153">
        <w:rPr>
          <w:rFonts w:ascii="Times New Roman" w:hAnsi="Times New Roman"/>
          <w:color w:val="000000"/>
          <w:u w:val="single"/>
        </w:rPr>
        <w:t>isplay</w:t>
      </w:r>
    </w:p>
    <w:p w:rsidRPr="00243153" w:rsidR="00927719" w:rsidRDefault="00927719" w14:paraId="3A7752A9" w14:textId="77777777">
      <w:pPr>
        <w:widowControl/>
        <w:tabs>
          <w:tab w:val="left" w:pos="432"/>
          <w:tab w:val="left" w:pos="1296"/>
          <w:tab w:val="left" w:pos="1728"/>
          <w:tab w:val="left" w:pos="4176"/>
        </w:tabs>
        <w:rPr>
          <w:rFonts w:ascii="Times New Roman" w:hAnsi="Times New Roman"/>
          <w:color w:val="000000"/>
        </w:rPr>
      </w:pPr>
    </w:p>
    <w:p w:rsidRPr="00243153" w:rsidR="00927719" w:rsidRDefault="003A2078" w14:paraId="0EAAE82D" w14:textId="77777777">
      <w:pPr>
        <w:widowControl/>
        <w:tabs>
          <w:tab w:val="left" w:pos="432"/>
          <w:tab w:val="left" w:pos="1296"/>
          <w:tab w:val="left" w:pos="1728"/>
          <w:tab w:val="left" w:pos="4176"/>
        </w:tabs>
        <w:ind w:left="1296"/>
        <w:rPr>
          <w:rFonts w:ascii="Times New Roman" w:hAnsi="Times New Roman"/>
          <w:color w:val="000000"/>
        </w:rPr>
      </w:pPr>
      <w:r w:rsidRPr="00243153">
        <w:rPr>
          <w:rFonts w:ascii="Times New Roman" w:hAnsi="Times New Roman"/>
          <w:color w:val="000000"/>
        </w:rPr>
        <w:t>None.</w:t>
      </w:r>
    </w:p>
    <w:p w:rsidRPr="00243153" w:rsidR="00927719" w:rsidRDefault="00927719" w14:paraId="4D99C476" w14:textId="77777777">
      <w:pPr>
        <w:keepNext/>
        <w:widowControl/>
        <w:tabs>
          <w:tab w:val="left" w:pos="432"/>
          <w:tab w:val="left" w:pos="1296"/>
          <w:tab w:val="left" w:pos="1728"/>
          <w:tab w:val="left" w:pos="4176"/>
        </w:tabs>
        <w:rPr>
          <w:rFonts w:ascii="Times New Roman" w:hAnsi="Times New Roman"/>
          <w:color w:val="000000"/>
        </w:rPr>
      </w:pPr>
    </w:p>
    <w:p w:rsidRPr="00243153" w:rsidR="00927719" w:rsidRDefault="002C031D" w14:paraId="1F12D2F6" w14:textId="74F4ED12">
      <w:pPr>
        <w:keepNext/>
        <w:widowControl/>
        <w:numPr>
          <w:ilvl w:val="0"/>
          <w:numId w:val="4"/>
        </w:numPr>
        <w:tabs>
          <w:tab w:val="left" w:pos="432"/>
          <w:tab w:val="left" w:pos="1728"/>
          <w:tab w:val="left" w:pos="4176"/>
        </w:tabs>
        <w:rPr>
          <w:rFonts w:ascii="Times New Roman" w:hAnsi="Times New Roman"/>
          <w:color w:val="000000"/>
        </w:rPr>
      </w:pPr>
      <w:r w:rsidRPr="00243153">
        <w:rPr>
          <w:rFonts w:ascii="Times New Roman" w:hAnsi="Times New Roman"/>
          <w:color w:val="000000"/>
          <w:u w:val="single"/>
        </w:rPr>
        <w:t xml:space="preserve">Exceptions to </w:t>
      </w:r>
      <w:r w:rsidR="00D85B45">
        <w:rPr>
          <w:rFonts w:ascii="Times New Roman" w:hAnsi="Times New Roman"/>
          <w:color w:val="000000"/>
          <w:u w:val="single"/>
        </w:rPr>
        <w:t>c</w:t>
      </w:r>
      <w:r w:rsidRPr="00243153">
        <w:rPr>
          <w:rFonts w:ascii="Times New Roman" w:hAnsi="Times New Roman"/>
          <w:color w:val="000000"/>
          <w:u w:val="single"/>
        </w:rPr>
        <w:t>ertification</w:t>
      </w:r>
    </w:p>
    <w:p w:rsidRPr="00243153" w:rsidR="00927719" w:rsidRDefault="00927719" w14:paraId="3033F704" w14:textId="77777777">
      <w:pPr>
        <w:keepNext/>
        <w:widowControl/>
        <w:tabs>
          <w:tab w:val="left" w:pos="432"/>
          <w:tab w:val="left" w:pos="1296"/>
          <w:tab w:val="left" w:pos="1728"/>
          <w:tab w:val="left" w:pos="4176"/>
        </w:tabs>
        <w:ind w:left="435"/>
        <w:rPr>
          <w:rFonts w:ascii="Times New Roman" w:hAnsi="Times New Roman"/>
          <w:color w:val="000000"/>
        </w:rPr>
      </w:pPr>
    </w:p>
    <w:p w:rsidRPr="00243153" w:rsidR="00927719" w:rsidRDefault="002C031D" w14:paraId="54983183" w14:textId="77777777">
      <w:pPr>
        <w:keepNext/>
        <w:widowControl/>
        <w:tabs>
          <w:tab w:val="left" w:pos="432"/>
          <w:tab w:val="left" w:pos="1296"/>
          <w:tab w:val="left" w:pos="1728"/>
          <w:tab w:val="left" w:pos="4176"/>
        </w:tabs>
        <w:ind w:left="435"/>
        <w:rPr>
          <w:rFonts w:ascii="Times New Roman" w:hAnsi="Times New Roman"/>
          <w:color w:val="000000"/>
          <w:szCs w:val="24"/>
        </w:rPr>
      </w:pPr>
      <w:r w:rsidRPr="00243153">
        <w:rPr>
          <w:rFonts w:ascii="Times New Roman" w:hAnsi="Times New Roman"/>
          <w:color w:val="000000"/>
        </w:rPr>
        <w:tab/>
        <w:t>None.</w:t>
      </w:r>
    </w:p>
    <w:p w:rsidRPr="00243153" w:rsidR="00927719" w:rsidRDefault="00927719" w14:paraId="6DB05F5B" w14:textId="77777777">
      <w:pPr>
        <w:widowControl/>
        <w:tabs>
          <w:tab w:val="left" w:pos="432"/>
          <w:tab w:val="left" w:pos="1296"/>
          <w:tab w:val="left" w:pos="1728"/>
          <w:tab w:val="left" w:pos="4176"/>
        </w:tabs>
        <w:rPr>
          <w:rFonts w:ascii="Times New Roman" w:hAnsi="Times New Roman"/>
          <w:color w:val="000000"/>
          <w:szCs w:val="24"/>
        </w:rPr>
      </w:pPr>
    </w:p>
    <w:p w:rsidRPr="00243153" w:rsidR="00927719" w:rsidRDefault="002C031D" w14:paraId="1AF333C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u w:val="single"/>
        </w:rPr>
      </w:pPr>
      <w:r w:rsidRPr="00243153">
        <w:rPr>
          <w:rFonts w:ascii="Times New Roman" w:hAnsi="Times New Roman"/>
          <w:szCs w:val="24"/>
          <w:u w:val="single"/>
        </w:rPr>
        <w:t>ATTACHMENTS</w:t>
      </w:r>
    </w:p>
    <w:p w:rsidRPr="00243153" w:rsidR="00927719" w:rsidRDefault="002C031D" w14:paraId="7F1673C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243153">
        <w:rPr>
          <w:rFonts w:ascii="Times New Roman" w:hAnsi="Times New Roman"/>
          <w:szCs w:val="24"/>
        </w:rPr>
        <w:t>A1.</w:t>
      </w:r>
      <w:r w:rsidRPr="00243153">
        <w:rPr>
          <w:rFonts w:ascii="Times New Roman" w:hAnsi="Times New Roman"/>
          <w:szCs w:val="24"/>
        </w:rPr>
        <w:tab/>
      </w:r>
      <w:r w:rsidRPr="00243153" w:rsidR="00026A81">
        <w:rPr>
          <w:rFonts w:ascii="Times New Roman" w:hAnsi="Times New Roman"/>
          <w:szCs w:val="24"/>
        </w:rPr>
        <w:t>FDIC Small Business Lending Survey</w:t>
      </w:r>
      <w:r w:rsidRPr="00243153" w:rsidR="0060464E">
        <w:rPr>
          <w:rFonts w:ascii="Times New Roman" w:hAnsi="Times New Roman"/>
          <w:szCs w:val="24"/>
        </w:rPr>
        <w:t xml:space="preserve"> </w:t>
      </w:r>
    </w:p>
    <w:p w:rsidR="00026A81" w:rsidP="00026A81" w:rsidRDefault="002C031D" w14:paraId="1B65216B" w14:textId="4A7C56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sidRPr="00243153">
        <w:rPr>
          <w:rFonts w:ascii="Times New Roman" w:hAnsi="Times New Roman"/>
          <w:szCs w:val="24"/>
        </w:rPr>
        <w:t>A2.</w:t>
      </w:r>
      <w:r w:rsidRPr="00243153">
        <w:rPr>
          <w:rFonts w:ascii="Times New Roman" w:hAnsi="Times New Roman"/>
          <w:szCs w:val="24"/>
        </w:rPr>
        <w:tab/>
      </w:r>
      <w:r w:rsidRPr="00243153" w:rsidR="00026A81">
        <w:rPr>
          <w:rFonts w:ascii="Times New Roman" w:hAnsi="Times New Roman"/>
          <w:szCs w:val="24"/>
        </w:rPr>
        <w:t>Advance Letter</w:t>
      </w:r>
      <w:r w:rsidR="00D85B45">
        <w:rPr>
          <w:rFonts w:ascii="Times New Roman" w:hAnsi="Times New Roman"/>
          <w:szCs w:val="24"/>
        </w:rPr>
        <w:t xml:space="preserve"> (</w:t>
      </w:r>
      <w:r w:rsidRPr="00E43695" w:rsidR="00D85B45">
        <w:rPr>
          <w:rFonts w:ascii="Times New Roman" w:hAnsi="Times New Roman"/>
          <w:szCs w:val="24"/>
        </w:rPr>
        <w:t>SBLS-A</w:t>
      </w:r>
      <w:r w:rsidR="00D85B45">
        <w:rPr>
          <w:rFonts w:ascii="Times New Roman" w:hAnsi="Times New Roman"/>
          <w:szCs w:val="24"/>
        </w:rPr>
        <w:t>)</w:t>
      </w:r>
    </w:p>
    <w:p w:rsidR="00927719" w:rsidRDefault="00927719" w14:paraId="11BFC44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p>
    <w:p w:rsidR="00927719" w:rsidRDefault="00927719" w14:paraId="04DA0A20" w14:textId="77777777">
      <w:pPr>
        <w:widowControl/>
        <w:tabs>
          <w:tab w:val="left" w:pos="432"/>
          <w:tab w:val="left" w:pos="1296"/>
          <w:tab w:val="left" w:pos="1728"/>
          <w:tab w:val="left" w:pos="4176"/>
        </w:tabs>
        <w:rPr>
          <w:rFonts w:ascii="Times New Roman" w:hAnsi="Times New Roman"/>
          <w:color w:val="000000"/>
          <w:szCs w:val="24"/>
        </w:rPr>
      </w:pPr>
    </w:p>
    <w:sectPr w:rsidR="00927719" w:rsidSect="00417EA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01078" w14:textId="77777777" w:rsidR="00363289" w:rsidRDefault="00363289">
      <w:r>
        <w:separator/>
      </w:r>
    </w:p>
  </w:endnote>
  <w:endnote w:type="continuationSeparator" w:id="0">
    <w:p w14:paraId="60C95CC6" w14:textId="77777777" w:rsidR="00363289" w:rsidRDefault="0036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fredo's Dance">
    <w:altName w:val="Times New Roman"/>
    <w:charset w:val="00"/>
    <w:family w:val="auto"/>
    <w:pitch w:val="variable"/>
    <w:sig w:usb0="00000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ACBDF" w14:textId="77777777" w:rsidR="00D85B45" w:rsidRDefault="00D85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523910"/>
      <w:docPartObj>
        <w:docPartGallery w:val="Page Numbers (Bottom of Page)"/>
        <w:docPartUnique/>
      </w:docPartObj>
    </w:sdtPr>
    <w:sdtEndPr>
      <w:rPr>
        <w:noProof/>
      </w:rPr>
    </w:sdtEndPr>
    <w:sdtContent>
      <w:p w14:paraId="2D8C53B0" w14:textId="2A88FAA5" w:rsidR="00EB5E29" w:rsidRDefault="00EB5E29">
        <w:pPr>
          <w:pStyle w:val="Footer"/>
          <w:jc w:val="center"/>
        </w:pPr>
        <w:r w:rsidRPr="008945E0">
          <w:rPr>
            <w:rFonts w:ascii="Times New Roman" w:hAnsi="Times New Roman"/>
          </w:rPr>
          <w:fldChar w:fldCharType="begin"/>
        </w:r>
        <w:r w:rsidRPr="008945E0">
          <w:rPr>
            <w:rFonts w:ascii="Times New Roman" w:hAnsi="Times New Roman"/>
          </w:rPr>
          <w:instrText xml:space="preserve"> PAGE   \* MERGEFORMAT </w:instrText>
        </w:r>
        <w:r w:rsidRPr="008945E0">
          <w:rPr>
            <w:rFonts w:ascii="Times New Roman" w:hAnsi="Times New Roman"/>
          </w:rPr>
          <w:fldChar w:fldCharType="separate"/>
        </w:r>
        <w:r w:rsidR="00657328">
          <w:rPr>
            <w:rFonts w:ascii="Times New Roman" w:hAnsi="Times New Roman"/>
            <w:noProof/>
          </w:rPr>
          <w:t>4</w:t>
        </w:r>
        <w:r w:rsidRPr="008945E0">
          <w:rPr>
            <w:rFonts w:ascii="Times New Roman" w:hAnsi="Times New Roman"/>
            <w:noProof/>
          </w:rPr>
          <w:fldChar w:fldCharType="end"/>
        </w:r>
      </w:p>
    </w:sdtContent>
  </w:sdt>
  <w:p w14:paraId="7B735CBA" w14:textId="77777777" w:rsidR="00EB5E29" w:rsidRDefault="00EB5E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936BF" w14:textId="77777777" w:rsidR="00D85B45" w:rsidRDefault="00D85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FB16D" w14:textId="77777777" w:rsidR="00363289" w:rsidRDefault="00363289">
      <w:r>
        <w:separator/>
      </w:r>
    </w:p>
  </w:footnote>
  <w:footnote w:type="continuationSeparator" w:id="0">
    <w:p w14:paraId="6708D411" w14:textId="77777777" w:rsidR="00363289" w:rsidRDefault="00363289">
      <w:r>
        <w:continuationSeparator/>
      </w:r>
    </w:p>
  </w:footnote>
  <w:footnote w:id="1">
    <w:p w14:paraId="48F5AC8A" w14:textId="786BC355" w:rsidR="00902620" w:rsidRPr="00941831" w:rsidRDefault="00902620">
      <w:pPr>
        <w:pStyle w:val="FootnoteText"/>
        <w:rPr>
          <w:rFonts w:ascii="Times New Roman" w:hAnsi="Times New Roman"/>
        </w:rPr>
      </w:pPr>
      <w:r w:rsidRPr="00941831">
        <w:rPr>
          <w:rStyle w:val="FootnoteReference"/>
          <w:rFonts w:ascii="Times New Roman" w:hAnsi="Times New Roman"/>
        </w:rPr>
        <w:footnoteRef/>
      </w:r>
      <w:r w:rsidRPr="00941831">
        <w:rPr>
          <w:rFonts w:ascii="Times New Roman" w:hAnsi="Times New Roman"/>
        </w:rPr>
        <w:t xml:space="preserve"> </w:t>
      </w:r>
      <w:r w:rsidR="00E6210D" w:rsidRPr="00257BE4">
        <w:rPr>
          <w:rFonts w:ascii="Times New Roman" w:hAnsi="Times New Roman"/>
          <w:snapToGrid/>
        </w:rPr>
        <w:t xml:space="preserve">SBA, “Frequently Asked Questions About Small Businesses,” </w:t>
      </w:r>
      <w:hyperlink r:id="rId1" w:history="1">
        <w:r w:rsidR="00E6210D" w:rsidRPr="00257BE4">
          <w:rPr>
            <w:rFonts w:ascii="Times New Roman" w:hAnsi="Times New Roman"/>
            <w:snapToGrid/>
            <w:color w:val="0000FF"/>
            <w:u w:val="single"/>
          </w:rPr>
          <w:t>https://cdn.advocacy.sba.gov/wp-content/uploads/2020/11/05122043/Small-Business-FAQ-2020.pdf</w:t>
        </w:r>
      </w:hyperlink>
      <w:r w:rsidRPr="00941831">
        <w:rPr>
          <w:rFonts w:ascii="Times New Roman" w:hAnsi="Times New Roman"/>
        </w:rPr>
        <w:t xml:space="preserve">, accessed </w:t>
      </w:r>
      <w:r w:rsidR="00941831" w:rsidRPr="00941831">
        <w:rPr>
          <w:rFonts w:ascii="Times New Roman" w:hAnsi="Times New Roman"/>
        </w:rPr>
        <w:t>June 9, 2021</w:t>
      </w:r>
      <w:r w:rsidRPr="00941831">
        <w:rPr>
          <w:rFonts w:ascii="Times New Roman" w:hAnsi="Times New Roman"/>
        </w:rPr>
        <w:t>.</w:t>
      </w:r>
    </w:p>
  </w:footnote>
  <w:footnote w:id="2">
    <w:p w14:paraId="28C95CB4" w14:textId="7BDFB1A8" w:rsidR="00E6210D" w:rsidRDefault="00AC3667" w:rsidP="00E6210D">
      <w:pPr>
        <w:pStyle w:val="CommentText"/>
        <w:rPr>
          <w:rFonts w:ascii="Times New Roman" w:hAnsi="Times New Roman"/>
          <w:snapToGrid/>
        </w:rPr>
      </w:pPr>
      <w:r w:rsidRPr="001B57B5">
        <w:rPr>
          <w:rStyle w:val="FootnoteReference"/>
          <w:rFonts w:ascii="Times New Roman" w:hAnsi="Times New Roman"/>
        </w:rPr>
        <w:footnoteRef/>
      </w:r>
      <w:r w:rsidRPr="00750493">
        <w:rPr>
          <w:rFonts w:ascii="Times New Roman" w:hAnsi="Times New Roman"/>
        </w:rPr>
        <w:t xml:space="preserve"> </w:t>
      </w:r>
      <w:bookmarkStart w:id="1" w:name="OLE_LINK11"/>
      <w:bookmarkStart w:id="2" w:name="OLE_LINK12"/>
      <w:r w:rsidR="00E6210D" w:rsidRPr="00750493">
        <w:rPr>
          <w:rFonts w:ascii="Times New Roman" w:hAnsi="Times New Roman"/>
        </w:rPr>
        <w:t>For more findings from SBLS 2016 on the measurement of small business lending using the Call Report proxy, see</w:t>
      </w:r>
    </w:p>
    <w:p w14:paraId="38F96D34" w14:textId="3CE8C12C" w:rsidR="00AC3667" w:rsidRPr="00750493" w:rsidRDefault="00E6210D" w:rsidP="00893053">
      <w:pPr>
        <w:pStyle w:val="CommentText"/>
        <w:rPr>
          <w:rFonts w:ascii="Times New Roman" w:hAnsi="Times New Roman"/>
        </w:rPr>
      </w:pPr>
      <w:r>
        <w:rPr>
          <w:rFonts w:ascii="Times New Roman" w:hAnsi="Times New Roman"/>
          <w:snapToGrid/>
        </w:rPr>
        <w:t xml:space="preserve">FDIC, “Small Business Lending Survey,” 2018, </w:t>
      </w:r>
      <w:hyperlink r:id="rId2" w:history="1">
        <w:r w:rsidRPr="00751F56">
          <w:rPr>
            <w:rStyle w:val="Hyperlink"/>
            <w:rFonts w:ascii="Times New Roman" w:hAnsi="Times New Roman"/>
            <w:snapToGrid/>
          </w:rPr>
          <w:t>https://www.fdic.gov/bank/historical/sbls/index.html</w:t>
        </w:r>
      </w:hyperlink>
      <w:r w:rsidR="007A040E">
        <w:rPr>
          <w:rFonts w:ascii="Times New Roman" w:hAnsi="Times New Roman"/>
          <w:snapToGrid/>
        </w:rPr>
        <w:t xml:space="preserve">, </w:t>
      </w:r>
      <w:r w:rsidR="00893053">
        <w:rPr>
          <w:rFonts w:ascii="Times New Roman" w:hAnsi="Times New Roman"/>
          <w:snapToGrid/>
        </w:rPr>
        <w:t>a</w:t>
      </w:r>
      <w:r>
        <w:rPr>
          <w:rFonts w:ascii="Times New Roman" w:hAnsi="Times New Roman"/>
          <w:snapToGrid/>
        </w:rPr>
        <w:t>nd</w:t>
      </w:r>
      <w:r w:rsidR="00893053">
        <w:rPr>
          <w:rFonts w:ascii="Times New Roman" w:hAnsi="Times New Roman"/>
          <w:snapToGrid/>
        </w:rPr>
        <w:t xml:space="preserve"> </w:t>
      </w:r>
      <w:r>
        <w:rPr>
          <w:rFonts w:ascii="Times New Roman" w:hAnsi="Times New Roman"/>
          <w:snapToGrid/>
        </w:rPr>
        <w:t>Jacob Goldston and Yan Y. Lee, “</w:t>
      </w:r>
      <w:r w:rsidRPr="006E3C9D">
        <w:rPr>
          <w:rFonts w:ascii="Times New Roman" w:hAnsi="Times New Roman"/>
          <w:snapToGrid/>
        </w:rPr>
        <w:t>Measurement of Small Business Lending Using Call Reports: Further Insights From the Small Business Lending Survey</w:t>
      </w:r>
      <w:r>
        <w:rPr>
          <w:rFonts w:ascii="Times New Roman" w:hAnsi="Times New Roman"/>
          <w:snapToGrid/>
        </w:rPr>
        <w:t xml:space="preserve">,” (Staff Study, no. 2020-04, Federal Deposit Insurance Corporation, July 2020), </w:t>
      </w:r>
      <w:hyperlink r:id="rId3" w:history="1">
        <w:r w:rsidRPr="00751F56">
          <w:rPr>
            <w:rStyle w:val="Hyperlink"/>
            <w:rFonts w:ascii="Times New Roman" w:hAnsi="Times New Roman"/>
            <w:snapToGrid/>
          </w:rPr>
          <w:t>https://www.fdic.gov/analysis/cfr/staff-studies/2020-04.pdf</w:t>
        </w:r>
      </w:hyperlink>
      <w:r>
        <w:rPr>
          <w:rFonts w:ascii="Times New Roman" w:hAnsi="Times New Roman"/>
          <w:snapToGrid/>
        </w:rPr>
        <w:t>.</w:t>
      </w:r>
      <w:bookmarkEnd w:id="1"/>
      <w:bookmarkEnd w:id="2"/>
    </w:p>
  </w:footnote>
  <w:footnote w:id="3">
    <w:p w14:paraId="0B09E260" w14:textId="27008B44" w:rsidR="004A5358" w:rsidRDefault="004A5358">
      <w:pPr>
        <w:pStyle w:val="FootnoteText"/>
      </w:pPr>
      <w:r w:rsidRPr="00750493">
        <w:rPr>
          <w:rStyle w:val="FootnoteReference"/>
          <w:rFonts w:ascii="Times New Roman" w:hAnsi="Times New Roman"/>
        </w:rPr>
        <w:footnoteRef/>
      </w:r>
      <w:bookmarkStart w:id="3" w:name="OLE_LINK3"/>
      <w:bookmarkStart w:id="4" w:name="OLE_LINK4"/>
      <w:r w:rsidRPr="00750493">
        <w:rPr>
          <w:rFonts w:ascii="Times New Roman" w:hAnsi="Times New Roman"/>
        </w:rPr>
        <w:t xml:space="preserve"> </w:t>
      </w:r>
      <w:bookmarkStart w:id="5" w:name="OLE_LINK7"/>
      <w:bookmarkStart w:id="6" w:name="OLE_LINK8"/>
      <w:r w:rsidR="00E6210D">
        <w:rPr>
          <w:rFonts w:ascii="Times New Roman" w:hAnsi="Times New Roman"/>
        </w:rPr>
        <w:t>GAO, “Community Banks</w:t>
      </w:r>
      <w:r w:rsidR="00E6210D" w:rsidRPr="00E023C1">
        <w:rPr>
          <w:rFonts w:ascii="Times New Roman" w:hAnsi="Times New Roman"/>
        </w:rPr>
        <w:t>: Effect of Regulations on Small Business Lending and Institutions Appears Modest, but Lending Data Could Be Improved</w:t>
      </w:r>
      <w:r w:rsidR="00E6210D">
        <w:rPr>
          <w:rFonts w:ascii="Times New Roman" w:hAnsi="Times New Roman"/>
        </w:rPr>
        <w:t xml:space="preserve">,” </w:t>
      </w:r>
      <w:hyperlink r:id="rId4" w:history="1">
        <w:r w:rsidR="007A040E" w:rsidRPr="00751F56">
          <w:rPr>
            <w:rStyle w:val="Hyperlink"/>
            <w:rFonts w:ascii="Times New Roman" w:hAnsi="Times New Roman"/>
          </w:rPr>
          <w:t>https://www.gao.gov/assets/700/694255.pdf</w:t>
        </w:r>
      </w:hyperlink>
      <w:r w:rsidR="007A040E">
        <w:rPr>
          <w:rFonts w:ascii="Times New Roman" w:hAnsi="Times New Roman"/>
        </w:rPr>
        <w:t>, a</w:t>
      </w:r>
      <w:r w:rsidR="00E6210D">
        <w:rPr>
          <w:rFonts w:ascii="Times New Roman" w:hAnsi="Times New Roman"/>
        </w:rPr>
        <w:t>ccessed July 16, 2021.</w:t>
      </w:r>
      <w:bookmarkEnd w:id="3"/>
      <w:bookmarkEnd w:id="4"/>
      <w:r>
        <w:t xml:space="preserve"> </w:t>
      </w:r>
      <w:bookmarkEnd w:id="5"/>
      <w:bookmarkEnd w:id="6"/>
    </w:p>
  </w:footnote>
  <w:footnote w:id="4">
    <w:p w14:paraId="5B44FB9F" w14:textId="77777777" w:rsidR="00696C52" w:rsidRPr="00C41D20" w:rsidRDefault="00696C52" w:rsidP="00696C52">
      <w:pPr>
        <w:pStyle w:val="FootnoteText"/>
        <w:rPr>
          <w:rFonts w:ascii="Times New Roman" w:hAnsi="Times New Roman"/>
        </w:rPr>
      </w:pPr>
      <w:r w:rsidRPr="00C41D20">
        <w:rPr>
          <w:rStyle w:val="FootnoteReference"/>
          <w:rFonts w:ascii="Times New Roman" w:hAnsi="Times New Roman"/>
        </w:rPr>
        <w:footnoteRef/>
      </w:r>
      <w:r w:rsidRPr="00C41D20">
        <w:rPr>
          <w:rFonts w:ascii="Times New Roman" w:hAnsi="Times New Roman"/>
        </w:rPr>
        <w:t xml:space="preserve"> </w:t>
      </w:r>
      <w:r w:rsidRPr="00C41D20">
        <w:rPr>
          <w:rFonts w:ascii="Times New Roman" w:hAnsi="Times New Roman"/>
          <w:sz w:val="18"/>
          <w:szCs w:val="18"/>
        </w:rPr>
        <w:t>Occupation (SOC Code): Management Occupations (110000).</w:t>
      </w:r>
    </w:p>
  </w:footnote>
  <w:footnote w:id="5">
    <w:p w14:paraId="0075DB55" w14:textId="77777777" w:rsidR="00696C52" w:rsidRPr="00C41D20" w:rsidRDefault="00696C52" w:rsidP="00696C52">
      <w:pPr>
        <w:pStyle w:val="FootnoteText"/>
        <w:rPr>
          <w:rFonts w:ascii="Times New Roman" w:hAnsi="Times New Roman"/>
          <w:sz w:val="18"/>
          <w:szCs w:val="18"/>
        </w:rPr>
      </w:pPr>
      <w:r w:rsidRPr="00C41D20">
        <w:rPr>
          <w:rStyle w:val="FootnoteReference"/>
          <w:rFonts w:ascii="Times New Roman" w:hAnsi="Times New Roman"/>
        </w:rPr>
        <w:footnoteRef/>
      </w:r>
      <w:r w:rsidRPr="00C41D20">
        <w:rPr>
          <w:rFonts w:ascii="Times New Roman" w:hAnsi="Times New Roman"/>
        </w:rPr>
        <w:t xml:space="preserve"> </w:t>
      </w:r>
      <w:r w:rsidRPr="00C41D20">
        <w:rPr>
          <w:rFonts w:ascii="Times New Roman" w:hAnsi="Times New Roman"/>
          <w:sz w:val="18"/>
          <w:szCs w:val="18"/>
          <w:shd w:val="clear" w:color="auto" w:fill="FFFFFF"/>
        </w:rPr>
        <w:t>Occupation (SOC Code): Computer and Mathematical Occupations (150000).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4762C" w14:textId="77777777" w:rsidR="00D85B45" w:rsidRDefault="00D85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1FB0D" w14:textId="77777777" w:rsidR="00D85B45" w:rsidRDefault="00D85B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F3186" w14:textId="77777777" w:rsidR="00D85B45" w:rsidRDefault="00D85B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color w:val="000000"/>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9A634F1"/>
    <w:multiLevelType w:val="hybridMultilevel"/>
    <w:tmpl w:val="75B07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32590B"/>
    <w:multiLevelType w:val="hybridMultilevel"/>
    <w:tmpl w:val="8A704DE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21B73249"/>
    <w:multiLevelType w:val="hybridMultilevel"/>
    <w:tmpl w:val="13A61932"/>
    <w:lvl w:ilvl="0" w:tplc="1A208698">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BD2C1B"/>
    <w:multiLevelType w:val="multilevel"/>
    <w:tmpl w:val="AB6271D0"/>
    <w:lvl w:ilvl="0">
      <w:start w:val="9"/>
      <w:numFmt w:val="decimal"/>
      <w:lvlText w:val="%1."/>
      <w:lvlJc w:val="left"/>
      <w:pPr>
        <w:tabs>
          <w:tab w:val="num" w:pos="1290"/>
        </w:tabs>
        <w:ind w:left="1290" w:hanging="85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2E703965"/>
    <w:multiLevelType w:val="singleLevel"/>
    <w:tmpl w:val="1B4C93C4"/>
    <w:lvl w:ilvl="0">
      <w:start w:val="18"/>
      <w:numFmt w:val="decimal"/>
      <w:lvlText w:val="%1."/>
      <w:lvlJc w:val="left"/>
      <w:pPr>
        <w:tabs>
          <w:tab w:val="num" w:pos="1290"/>
        </w:tabs>
        <w:ind w:left="1290" w:hanging="855"/>
      </w:pPr>
      <w:rPr>
        <w:rFonts w:hint="default"/>
      </w:rPr>
    </w:lvl>
  </w:abstractNum>
  <w:abstractNum w:abstractNumId="6" w15:restartNumberingAfterBreak="0">
    <w:nsid w:val="32854B65"/>
    <w:multiLevelType w:val="singleLevel"/>
    <w:tmpl w:val="575E362A"/>
    <w:lvl w:ilvl="0">
      <w:start w:val="14"/>
      <w:numFmt w:val="decimal"/>
      <w:lvlText w:val="%1."/>
      <w:lvlJc w:val="left"/>
      <w:pPr>
        <w:tabs>
          <w:tab w:val="num" w:pos="1290"/>
        </w:tabs>
        <w:ind w:left="1290" w:hanging="855"/>
      </w:pPr>
      <w:rPr>
        <w:rFonts w:hint="default"/>
      </w:rPr>
    </w:lvl>
  </w:abstractNum>
  <w:abstractNum w:abstractNumId="7" w15:restartNumberingAfterBreak="0">
    <w:nsid w:val="352621A9"/>
    <w:multiLevelType w:val="singleLevel"/>
    <w:tmpl w:val="F1EA4D98"/>
    <w:lvl w:ilvl="0">
      <w:start w:val="5"/>
      <w:numFmt w:val="decimal"/>
      <w:lvlText w:val="%1."/>
      <w:lvlJc w:val="left"/>
      <w:pPr>
        <w:tabs>
          <w:tab w:val="num" w:pos="1287"/>
        </w:tabs>
        <w:ind w:left="1287" w:hanging="855"/>
      </w:pPr>
      <w:rPr>
        <w:rFonts w:hint="default"/>
        <w:u w:val="none"/>
      </w:rPr>
    </w:lvl>
  </w:abstractNum>
  <w:abstractNum w:abstractNumId="8" w15:restartNumberingAfterBreak="0">
    <w:nsid w:val="401E6FA6"/>
    <w:multiLevelType w:val="hybridMultilevel"/>
    <w:tmpl w:val="BE4E676C"/>
    <w:lvl w:ilvl="0" w:tplc="9F90DD5C">
      <w:start w:val="4"/>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9" w15:restartNumberingAfterBreak="0">
    <w:nsid w:val="41440033"/>
    <w:multiLevelType w:val="hybridMultilevel"/>
    <w:tmpl w:val="CE284DA6"/>
    <w:lvl w:ilvl="0" w:tplc="312602D8">
      <w:start w:val="1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1B4034"/>
    <w:multiLevelType w:val="hybridMultilevel"/>
    <w:tmpl w:val="7B74B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AF17A2"/>
    <w:multiLevelType w:val="hybridMultilevel"/>
    <w:tmpl w:val="095A0A16"/>
    <w:lvl w:ilvl="0" w:tplc="F07C58B8">
      <w:start w:val="1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15:restartNumberingAfterBreak="0">
    <w:nsid w:val="75E65642"/>
    <w:multiLevelType w:val="hybridMultilevel"/>
    <w:tmpl w:val="F9FAAE1A"/>
    <w:lvl w:ilvl="0" w:tplc="04090017">
      <w:start w:val="1"/>
      <w:numFmt w:val="lowerLetter"/>
      <w:lvlText w:val="%1)"/>
      <w:lvlJc w:val="left"/>
      <w:pPr>
        <w:tabs>
          <w:tab w:val="num" w:pos="1152"/>
        </w:tabs>
        <w:ind w:left="1152" w:hanging="360"/>
      </w:pPr>
    </w:lvl>
    <w:lvl w:ilvl="1" w:tplc="04090019">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3" w15:restartNumberingAfterBreak="0">
    <w:nsid w:val="78442D35"/>
    <w:multiLevelType w:val="hybridMultilevel"/>
    <w:tmpl w:val="05307BFE"/>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803481"/>
    <w:multiLevelType w:val="hybridMultilevel"/>
    <w:tmpl w:val="F22C33CE"/>
    <w:lvl w:ilvl="0" w:tplc="D3C2420A">
      <w:start w:val="1"/>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abstractNumId w:val="7"/>
  </w:num>
  <w:num w:numId="2">
    <w:abstractNumId w:val="4"/>
  </w:num>
  <w:num w:numId="3">
    <w:abstractNumId w:val="6"/>
  </w:num>
  <w:num w:numId="4">
    <w:abstractNumId w:val="5"/>
  </w:num>
  <w:num w:numId="5">
    <w:abstractNumId w:val="12"/>
  </w:num>
  <w:num w:numId="6">
    <w:abstractNumId w:val="13"/>
  </w:num>
  <w:num w:numId="7">
    <w:abstractNumId w:val="14"/>
  </w:num>
  <w:num w:numId="8">
    <w:abstractNumId w:val="8"/>
  </w:num>
  <w:num w:numId="9">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0"/>
  </w:num>
  <w:num w:numId="11">
    <w:abstractNumId w:val="1"/>
  </w:num>
  <w:num w:numId="12">
    <w:abstractNumId w:val="11"/>
  </w:num>
  <w:num w:numId="13">
    <w:abstractNumId w:val="3"/>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E18"/>
    <w:rsid w:val="00000383"/>
    <w:rsid w:val="000044BD"/>
    <w:rsid w:val="00005005"/>
    <w:rsid w:val="00015BC5"/>
    <w:rsid w:val="00025A99"/>
    <w:rsid w:val="00026A81"/>
    <w:rsid w:val="00030F2F"/>
    <w:rsid w:val="0003151B"/>
    <w:rsid w:val="0004364A"/>
    <w:rsid w:val="00046B7D"/>
    <w:rsid w:val="00046FFC"/>
    <w:rsid w:val="00047D36"/>
    <w:rsid w:val="000572A9"/>
    <w:rsid w:val="000576A5"/>
    <w:rsid w:val="00060419"/>
    <w:rsid w:val="000654D3"/>
    <w:rsid w:val="00066970"/>
    <w:rsid w:val="00092B0C"/>
    <w:rsid w:val="000A5A15"/>
    <w:rsid w:val="000B6C38"/>
    <w:rsid w:val="000C3FCA"/>
    <w:rsid w:val="000C5B10"/>
    <w:rsid w:val="000D27F7"/>
    <w:rsid w:val="000D4D80"/>
    <w:rsid w:val="000D6F66"/>
    <w:rsid w:val="000F6F0C"/>
    <w:rsid w:val="001153F3"/>
    <w:rsid w:val="00116914"/>
    <w:rsid w:val="00121D80"/>
    <w:rsid w:val="001228A3"/>
    <w:rsid w:val="0012650C"/>
    <w:rsid w:val="00126AFC"/>
    <w:rsid w:val="00135EFD"/>
    <w:rsid w:val="00136BE3"/>
    <w:rsid w:val="00141E90"/>
    <w:rsid w:val="001432A2"/>
    <w:rsid w:val="00147B20"/>
    <w:rsid w:val="001513C9"/>
    <w:rsid w:val="001539CD"/>
    <w:rsid w:val="00164AA5"/>
    <w:rsid w:val="001A2B77"/>
    <w:rsid w:val="001A2CAD"/>
    <w:rsid w:val="001A47C4"/>
    <w:rsid w:val="001A58A5"/>
    <w:rsid w:val="001B03F6"/>
    <w:rsid w:val="001B57B5"/>
    <w:rsid w:val="001B7643"/>
    <w:rsid w:val="001B7CAE"/>
    <w:rsid w:val="001C05D2"/>
    <w:rsid w:val="001C29FC"/>
    <w:rsid w:val="001C394B"/>
    <w:rsid w:val="001C3A3E"/>
    <w:rsid w:val="001C6117"/>
    <w:rsid w:val="001D0B42"/>
    <w:rsid w:val="001D39C5"/>
    <w:rsid w:val="001D4F89"/>
    <w:rsid w:val="001E1E40"/>
    <w:rsid w:val="001E7B4D"/>
    <w:rsid w:val="001F20D5"/>
    <w:rsid w:val="001F30B0"/>
    <w:rsid w:val="001F35F2"/>
    <w:rsid w:val="001F52A5"/>
    <w:rsid w:val="001F70C9"/>
    <w:rsid w:val="002209DC"/>
    <w:rsid w:val="002233B4"/>
    <w:rsid w:val="00230871"/>
    <w:rsid w:val="00231EDB"/>
    <w:rsid w:val="00243153"/>
    <w:rsid w:val="00246D87"/>
    <w:rsid w:val="002523CF"/>
    <w:rsid w:val="00254E9C"/>
    <w:rsid w:val="00257BE4"/>
    <w:rsid w:val="00260F9A"/>
    <w:rsid w:val="002637A0"/>
    <w:rsid w:val="0026479C"/>
    <w:rsid w:val="0027001C"/>
    <w:rsid w:val="002728C5"/>
    <w:rsid w:val="00274FFB"/>
    <w:rsid w:val="00275EE7"/>
    <w:rsid w:val="002833E5"/>
    <w:rsid w:val="00283A14"/>
    <w:rsid w:val="0028659B"/>
    <w:rsid w:val="00286891"/>
    <w:rsid w:val="0028779F"/>
    <w:rsid w:val="00292943"/>
    <w:rsid w:val="00294331"/>
    <w:rsid w:val="00294AAE"/>
    <w:rsid w:val="002A614B"/>
    <w:rsid w:val="002A7207"/>
    <w:rsid w:val="002B34D1"/>
    <w:rsid w:val="002B7EAC"/>
    <w:rsid w:val="002C031D"/>
    <w:rsid w:val="002C261D"/>
    <w:rsid w:val="002C2E08"/>
    <w:rsid w:val="002D16C7"/>
    <w:rsid w:val="002D1B1A"/>
    <w:rsid w:val="002D3CA4"/>
    <w:rsid w:val="002D570C"/>
    <w:rsid w:val="002D6FA5"/>
    <w:rsid w:val="002E2A48"/>
    <w:rsid w:val="002E4549"/>
    <w:rsid w:val="002E68B0"/>
    <w:rsid w:val="002F4878"/>
    <w:rsid w:val="00302628"/>
    <w:rsid w:val="003070C1"/>
    <w:rsid w:val="003104F4"/>
    <w:rsid w:val="00316538"/>
    <w:rsid w:val="0032269B"/>
    <w:rsid w:val="00332171"/>
    <w:rsid w:val="00340E6B"/>
    <w:rsid w:val="00342AE2"/>
    <w:rsid w:val="00343304"/>
    <w:rsid w:val="003441E1"/>
    <w:rsid w:val="00363289"/>
    <w:rsid w:val="00367B76"/>
    <w:rsid w:val="00370CAB"/>
    <w:rsid w:val="00373273"/>
    <w:rsid w:val="00390B6D"/>
    <w:rsid w:val="00394B69"/>
    <w:rsid w:val="003A0E72"/>
    <w:rsid w:val="003A2078"/>
    <w:rsid w:val="003A5207"/>
    <w:rsid w:val="003D32A1"/>
    <w:rsid w:val="003D3AC9"/>
    <w:rsid w:val="003D4315"/>
    <w:rsid w:val="003D56A3"/>
    <w:rsid w:val="003E3E17"/>
    <w:rsid w:val="003F4538"/>
    <w:rsid w:val="003F5497"/>
    <w:rsid w:val="00400B70"/>
    <w:rsid w:val="00411BDD"/>
    <w:rsid w:val="00411FDC"/>
    <w:rsid w:val="00417EA6"/>
    <w:rsid w:val="0042434A"/>
    <w:rsid w:val="00430254"/>
    <w:rsid w:val="00440FB0"/>
    <w:rsid w:val="004429E3"/>
    <w:rsid w:val="00460856"/>
    <w:rsid w:val="00460939"/>
    <w:rsid w:val="00471E18"/>
    <w:rsid w:val="004755B5"/>
    <w:rsid w:val="00480840"/>
    <w:rsid w:val="004876D2"/>
    <w:rsid w:val="00492256"/>
    <w:rsid w:val="00493B7F"/>
    <w:rsid w:val="004A1CD3"/>
    <w:rsid w:val="004A29EC"/>
    <w:rsid w:val="004A5358"/>
    <w:rsid w:val="004A539F"/>
    <w:rsid w:val="004B44C2"/>
    <w:rsid w:val="004C0527"/>
    <w:rsid w:val="004C5021"/>
    <w:rsid w:val="004C70AB"/>
    <w:rsid w:val="004D73AE"/>
    <w:rsid w:val="004E0C2E"/>
    <w:rsid w:val="004E2BD7"/>
    <w:rsid w:val="004F21CC"/>
    <w:rsid w:val="0050232F"/>
    <w:rsid w:val="005061A9"/>
    <w:rsid w:val="00510CB9"/>
    <w:rsid w:val="00513AEA"/>
    <w:rsid w:val="00524B27"/>
    <w:rsid w:val="005500E9"/>
    <w:rsid w:val="0055130F"/>
    <w:rsid w:val="00553862"/>
    <w:rsid w:val="00553A41"/>
    <w:rsid w:val="005561E1"/>
    <w:rsid w:val="00562AA0"/>
    <w:rsid w:val="00564DF1"/>
    <w:rsid w:val="00574928"/>
    <w:rsid w:val="0059290E"/>
    <w:rsid w:val="0059451C"/>
    <w:rsid w:val="005A3F4D"/>
    <w:rsid w:val="005A4137"/>
    <w:rsid w:val="005B5C33"/>
    <w:rsid w:val="005C1F5C"/>
    <w:rsid w:val="005D7FA9"/>
    <w:rsid w:val="005E1D30"/>
    <w:rsid w:val="0060464E"/>
    <w:rsid w:val="006065FC"/>
    <w:rsid w:val="00623A8A"/>
    <w:rsid w:val="006363B1"/>
    <w:rsid w:val="006402B3"/>
    <w:rsid w:val="00657328"/>
    <w:rsid w:val="00667BE0"/>
    <w:rsid w:val="00683D70"/>
    <w:rsid w:val="00695324"/>
    <w:rsid w:val="00696C52"/>
    <w:rsid w:val="006A12E3"/>
    <w:rsid w:val="006B1BD8"/>
    <w:rsid w:val="006C28E3"/>
    <w:rsid w:val="006D0771"/>
    <w:rsid w:val="006D5AB6"/>
    <w:rsid w:val="006E0192"/>
    <w:rsid w:val="006E1CA5"/>
    <w:rsid w:val="006E30E4"/>
    <w:rsid w:val="006E3C9D"/>
    <w:rsid w:val="006E7111"/>
    <w:rsid w:val="006F505E"/>
    <w:rsid w:val="00710865"/>
    <w:rsid w:val="0071183A"/>
    <w:rsid w:val="0073058A"/>
    <w:rsid w:val="00730A4A"/>
    <w:rsid w:val="00734C2F"/>
    <w:rsid w:val="00735243"/>
    <w:rsid w:val="00750493"/>
    <w:rsid w:val="00754277"/>
    <w:rsid w:val="00757D88"/>
    <w:rsid w:val="0076521A"/>
    <w:rsid w:val="00767977"/>
    <w:rsid w:val="00770B5C"/>
    <w:rsid w:val="00774011"/>
    <w:rsid w:val="00776A18"/>
    <w:rsid w:val="00776F5B"/>
    <w:rsid w:val="007856CF"/>
    <w:rsid w:val="007902BF"/>
    <w:rsid w:val="00790DCF"/>
    <w:rsid w:val="007A040E"/>
    <w:rsid w:val="007B4FCB"/>
    <w:rsid w:val="007C3A52"/>
    <w:rsid w:val="007C40E4"/>
    <w:rsid w:val="007C5734"/>
    <w:rsid w:val="007C6E10"/>
    <w:rsid w:val="007D1D50"/>
    <w:rsid w:val="007D2276"/>
    <w:rsid w:val="007D6ABE"/>
    <w:rsid w:val="007E1B8E"/>
    <w:rsid w:val="007E3815"/>
    <w:rsid w:val="007F1DE3"/>
    <w:rsid w:val="0081759F"/>
    <w:rsid w:val="0083398A"/>
    <w:rsid w:val="008447FB"/>
    <w:rsid w:val="00853204"/>
    <w:rsid w:val="00860F3E"/>
    <w:rsid w:val="008650D4"/>
    <w:rsid w:val="00885778"/>
    <w:rsid w:val="00890C0C"/>
    <w:rsid w:val="00892D35"/>
    <w:rsid w:val="00893053"/>
    <w:rsid w:val="00893482"/>
    <w:rsid w:val="008945E0"/>
    <w:rsid w:val="008946D0"/>
    <w:rsid w:val="00896649"/>
    <w:rsid w:val="008B1715"/>
    <w:rsid w:val="008B1998"/>
    <w:rsid w:val="008B2C72"/>
    <w:rsid w:val="008B5501"/>
    <w:rsid w:val="008C2E4A"/>
    <w:rsid w:val="008E16E3"/>
    <w:rsid w:val="008E3601"/>
    <w:rsid w:val="008E5DEF"/>
    <w:rsid w:val="00902620"/>
    <w:rsid w:val="009043AE"/>
    <w:rsid w:val="009077EE"/>
    <w:rsid w:val="00927719"/>
    <w:rsid w:val="00930018"/>
    <w:rsid w:val="009302A0"/>
    <w:rsid w:val="00936AF6"/>
    <w:rsid w:val="00941831"/>
    <w:rsid w:val="009437F2"/>
    <w:rsid w:val="00962DAE"/>
    <w:rsid w:val="0096531A"/>
    <w:rsid w:val="00984EEF"/>
    <w:rsid w:val="00990320"/>
    <w:rsid w:val="009913D2"/>
    <w:rsid w:val="009973AD"/>
    <w:rsid w:val="009A08AA"/>
    <w:rsid w:val="009A0EE7"/>
    <w:rsid w:val="009B34DD"/>
    <w:rsid w:val="009B5BE4"/>
    <w:rsid w:val="009B62AA"/>
    <w:rsid w:val="009B658E"/>
    <w:rsid w:val="009D315A"/>
    <w:rsid w:val="009D5601"/>
    <w:rsid w:val="00A05958"/>
    <w:rsid w:val="00A1442C"/>
    <w:rsid w:val="00A20E2A"/>
    <w:rsid w:val="00A2572F"/>
    <w:rsid w:val="00A27E1D"/>
    <w:rsid w:val="00A33058"/>
    <w:rsid w:val="00A3439D"/>
    <w:rsid w:val="00A35FFD"/>
    <w:rsid w:val="00A406E1"/>
    <w:rsid w:val="00A54716"/>
    <w:rsid w:val="00A54C12"/>
    <w:rsid w:val="00A56213"/>
    <w:rsid w:val="00A632B1"/>
    <w:rsid w:val="00A63D1D"/>
    <w:rsid w:val="00A64CA8"/>
    <w:rsid w:val="00A770AC"/>
    <w:rsid w:val="00A87D4A"/>
    <w:rsid w:val="00A90090"/>
    <w:rsid w:val="00A913A4"/>
    <w:rsid w:val="00A9781A"/>
    <w:rsid w:val="00AA3040"/>
    <w:rsid w:val="00AB0557"/>
    <w:rsid w:val="00AB3153"/>
    <w:rsid w:val="00AC3667"/>
    <w:rsid w:val="00AE6755"/>
    <w:rsid w:val="00AF4538"/>
    <w:rsid w:val="00AF6742"/>
    <w:rsid w:val="00B03F30"/>
    <w:rsid w:val="00B0455C"/>
    <w:rsid w:val="00B05299"/>
    <w:rsid w:val="00B17BBC"/>
    <w:rsid w:val="00B35476"/>
    <w:rsid w:val="00B40548"/>
    <w:rsid w:val="00B405E5"/>
    <w:rsid w:val="00B44086"/>
    <w:rsid w:val="00B45B7A"/>
    <w:rsid w:val="00B46A7F"/>
    <w:rsid w:val="00B51494"/>
    <w:rsid w:val="00B63C22"/>
    <w:rsid w:val="00B64CBC"/>
    <w:rsid w:val="00B7327C"/>
    <w:rsid w:val="00B75AA1"/>
    <w:rsid w:val="00B931C2"/>
    <w:rsid w:val="00B93EDB"/>
    <w:rsid w:val="00B95CB7"/>
    <w:rsid w:val="00BA10D8"/>
    <w:rsid w:val="00BA5C04"/>
    <w:rsid w:val="00BA7A90"/>
    <w:rsid w:val="00BD7559"/>
    <w:rsid w:val="00BE2C6D"/>
    <w:rsid w:val="00BE7A88"/>
    <w:rsid w:val="00BF4621"/>
    <w:rsid w:val="00C149B6"/>
    <w:rsid w:val="00C41D20"/>
    <w:rsid w:val="00C537C2"/>
    <w:rsid w:val="00C55831"/>
    <w:rsid w:val="00C61F2A"/>
    <w:rsid w:val="00C717B8"/>
    <w:rsid w:val="00C74F3C"/>
    <w:rsid w:val="00C96071"/>
    <w:rsid w:val="00C97832"/>
    <w:rsid w:val="00CA1414"/>
    <w:rsid w:val="00CA1F9C"/>
    <w:rsid w:val="00CA6D71"/>
    <w:rsid w:val="00CB5EBC"/>
    <w:rsid w:val="00CC3F08"/>
    <w:rsid w:val="00CC4F23"/>
    <w:rsid w:val="00CC5F45"/>
    <w:rsid w:val="00CD3997"/>
    <w:rsid w:val="00CF51A5"/>
    <w:rsid w:val="00D15D89"/>
    <w:rsid w:val="00D23232"/>
    <w:rsid w:val="00D41FEC"/>
    <w:rsid w:val="00D4527C"/>
    <w:rsid w:val="00D60991"/>
    <w:rsid w:val="00D62D0A"/>
    <w:rsid w:val="00D653A6"/>
    <w:rsid w:val="00D674FE"/>
    <w:rsid w:val="00D80256"/>
    <w:rsid w:val="00D85B45"/>
    <w:rsid w:val="00D91575"/>
    <w:rsid w:val="00D9218C"/>
    <w:rsid w:val="00D93EAB"/>
    <w:rsid w:val="00D976FA"/>
    <w:rsid w:val="00DA2EFC"/>
    <w:rsid w:val="00DB1E66"/>
    <w:rsid w:val="00DB2B3B"/>
    <w:rsid w:val="00DB7862"/>
    <w:rsid w:val="00DB7E2B"/>
    <w:rsid w:val="00DC09E0"/>
    <w:rsid w:val="00DD25B1"/>
    <w:rsid w:val="00DD667A"/>
    <w:rsid w:val="00DE46E4"/>
    <w:rsid w:val="00DE4ED8"/>
    <w:rsid w:val="00E023C1"/>
    <w:rsid w:val="00E02668"/>
    <w:rsid w:val="00E1400D"/>
    <w:rsid w:val="00E14FD2"/>
    <w:rsid w:val="00E31460"/>
    <w:rsid w:val="00E34B40"/>
    <w:rsid w:val="00E400C7"/>
    <w:rsid w:val="00E50C84"/>
    <w:rsid w:val="00E6210D"/>
    <w:rsid w:val="00E70918"/>
    <w:rsid w:val="00E718F3"/>
    <w:rsid w:val="00E7216A"/>
    <w:rsid w:val="00E737D2"/>
    <w:rsid w:val="00E86FFE"/>
    <w:rsid w:val="00E87277"/>
    <w:rsid w:val="00EA1AD4"/>
    <w:rsid w:val="00EA34EF"/>
    <w:rsid w:val="00EB5E29"/>
    <w:rsid w:val="00ED2368"/>
    <w:rsid w:val="00ED55C8"/>
    <w:rsid w:val="00EE01E3"/>
    <w:rsid w:val="00EE2436"/>
    <w:rsid w:val="00F029F5"/>
    <w:rsid w:val="00F11735"/>
    <w:rsid w:val="00F14CF8"/>
    <w:rsid w:val="00F21553"/>
    <w:rsid w:val="00F239E0"/>
    <w:rsid w:val="00F244EE"/>
    <w:rsid w:val="00F25F8B"/>
    <w:rsid w:val="00F30159"/>
    <w:rsid w:val="00F51E06"/>
    <w:rsid w:val="00F52720"/>
    <w:rsid w:val="00F55592"/>
    <w:rsid w:val="00F57A8B"/>
    <w:rsid w:val="00F65EEB"/>
    <w:rsid w:val="00F67B29"/>
    <w:rsid w:val="00F73A18"/>
    <w:rsid w:val="00F7725C"/>
    <w:rsid w:val="00F77600"/>
    <w:rsid w:val="00F837FE"/>
    <w:rsid w:val="00F85421"/>
    <w:rsid w:val="00F87B71"/>
    <w:rsid w:val="00F92C97"/>
    <w:rsid w:val="00FA2596"/>
    <w:rsid w:val="00FA6333"/>
    <w:rsid w:val="00FA71CD"/>
    <w:rsid w:val="00FB0D93"/>
    <w:rsid w:val="00FD37D4"/>
    <w:rsid w:val="00FE2193"/>
    <w:rsid w:val="00FE2395"/>
    <w:rsid w:val="00FE3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760CF6"/>
  <w15:docId w15:val="{2E8C073A-B4E2-449C-842C-4B13DECF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spacing w:after="120" w:line="480" w:lineRule="auto"/>
      <w:ind w:left="360"/>
    </w:pPr>
  </w:style>
  <w:style w:type="table" w:styleId="TableGrid">
    <w:name w:val="Table Grid"/>
    <w:basedOn w:val="Table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Level2">
    <w:name w:val="Level 2"/>
    <w:basedOn w:val="Normal"/>
    <w:pPr>
      <w:numPr>
        <w:ilvl w:val="1"/>
        <w:numId w:val="9"/>
      </w:numPr>
      <w:autoSpaceDE w:val="0"/>
      <w:autoSpaceDN w:val="0"/>
      <w:adjustRightInd w:val="0"/>
      <w:ind w:left="1440" w:hanging="720"/>
      <w:outlineLvl w:val="1"/>
    </w:pPr>
    <w:rPr>
      <w:rFonts w:ascii="Alfredo's Dance" w:hAnsi="Alfredo's Dance"/>
      <w:snapToGrid/>
      <w:szCs w:val="24"/>
    </w:rPr>
  </w:style>
  <w:style w:type="paragraph" w:styleId="Revision">
    <w:name w:val="Revision"/>
    <w:hidden/>
    <w:uiPriority w:val="99"/>
    <w:semiHidden/>
    <w:rPr>
      <w:rFonts w:ascii="Courier" w:hAnsi="Courier"/>
      <w:snapToGrid w:val="0"/>
      <w:sz w:val="24"/>
    </w:rPr>
  </w:style>
  <w:style w:type="character" w:customStyle="1" w:styleId="FooterChar">
    <w:name w:val="Footer Char"/>
    <w:basedOn w:val="DefaultParagraphFont"/>
    <w:link w:val="Footer"/>
    <w:uiPriority w:val="99"/>
    <w:rsid w:val="00EB5E29"/>
    <w:rPr>
      <w:rFonts w:ascii="Courier" w:hAnsi="Courier"/>
      <w:snapToGrid w:val="0"/>
      <w:sz w:val="24"/>
    </w:rPr>
  </w:style>
  <w:style w:type="character" w:styleId="Hyperlink">
    <w:name w:val="Hyperlink"/>
    <w:basedOn w:val="DefaultParagraphFont"/>
    <w:rsid w:val="004A539F"/>
    <w:rPr>
      <w:color w:val="0000FF" w:themeColor="hyperlink"/>
      <w:u w:val="single"/>
    </w:rPr>
  </w:style>
  <w:style w:type="paragraph" w:styleId="EndnoteText">
    <w:name w:val="endnote text"/>
    <w:basedOn w:val="Normal"/>
    <w:link w:val="EndnoteTextChar"/>
    <w:rsid w:val="0076521A"/>
    <w:pPr>
      <w:widowControl/>
    </w:pPr>
    <w:rPr>
      <w:rFonts w:ascii="Times New Roman" w:hAnsi="Times New Roman"/>
      <w:snapToGrid/>
      <w:sz w:val="20"/>
    </w:rPr>
  </w:style>
  <w:style w:type="character" w:customStyle="1" w:styleId="EndnoteTextChar">
    <w:name w:val="Endnote Text Char"/>
    <w:basedOn w:val="DefaultParagraphFont"/>
    <w:link w:val="EndnoteText"/>
    <w:rsid w:val="0076521A"/>
  </w:style>
  <w:style w:type="character" w:styleId="EndnoteReference">
    <w:name w:val="endnote reference"/>
    <w:basedOn w:val="DefaultParagraphFont"/>
    <w:rsid w:val="0076521A"/>
    <w:rPr>
      <w:vertAlign w:val="superscript"/>
    </w:rPr>
  </w:style>
  <w:style w:type="paragraph" w:styleId="FootnoteText">
    <w:name w:val="footnote text"/>
    <w:basedOn w:val="Normal"/>
    <w:link w:val="FootnoteTextChar"/>
    <w:rsid w:val="00902620"/>
    <w:rPr>
      <w:sz w:val="20"/>
    </w:rPr>
  </w:style>
  <w:style w:type="character" w:customStyle="1" w:styleId="FootnoteTextChar">
    <w:name w:val="Footnote Text Char"/>
    <w:basedOn w:val="DefaultParagraphFont"/>
    <w:link w:val="FootnoteText"/>
    <w:rsid w:val="00902620"/>
    <w:rPr>
      <w:rFonts w:ascii="Courier" w:hAnsi="Courier"/>
      <w:snapToGrid w:val="0"/>
    </w:rPr>
  </w:style>
  <w:style w:type="character" w:styleId="FootnoteReference">
    <w:name w:val="footnote reference"/>
    <w:basedOn w:val="DefaultParagraphFont"/>
    <w:rsid w:val="00902620"/>
    <w:rPr>
      <w:vertAlign w:val="superscript"/>
    </w:rPr>
  </w:style>
  <w:style w:type="character" w:styleId="FollowedHyperlink">
    <w:name w:val="FollowedHyperlink"/>
    <w:basedOn w:val="DefaultParagraphFont"/>
    <w:semiHidden/>
    <w:unhideWhenUsed/>
    <w:rsid w:val="006B1BD8"/>
    <w:rPr>
      <w:color w:val="800080" w:themeColor="followedHyperlink"/>
      <w:u w:val="single"/>
    </w:rPr>
  </w:style>
  <w:style w:type="paragraph" w:customStyle="1" w:styleId="Sincerely">
    <w:name w:val="Sincerely"/>
    <w:basedOn w:val="Normal"/>
    <w:uiPriority w:val="1"/>
    <w:qFormat/>
    <w:rsid w:val="00776A18"/>
    <w:pPr>
      <w:widowControl/>
      <w:autoSpaceDE w:val="0"/>
      <w:autoSpaceDN w:val="0"/>
      <w:adjustRightInd w:val="0"/>
      <w:spacing w:before="360" w:after="240" w:line="288" w:lineRule="auto"/>
      <w:textAlignment w:val="center"/>
    </w:pPr>
    <w:rPr>
      <w:rFonts w:ascii="Source Sans Pro" w:eastAsiaTheme="minorHAnsi" w:hAnsi="Source Sans Pro" w:cs="Source Sans Pro"/>
      <w:snapToGrid/>
      <w:sz w:val="20"/>
    </w:rPr>
  </w:style>
  <w:style w:type="paragraph" w:styleId="ListParagraph">
    <w:name w:val="List Paragraph"/>
    <w:basedOn w:val="Normal"/>
    <w:uiPriority w:val="34"/>
    <w:qFormat/>
    <w:rsid w:val="00B51494"/>
    <w:pPr>
      <w:widowControl/>
      <w:spacing w:after="200" w:line="276" w:lineRule="auto"/>
      <w:ind w:left="720"/>
      <w:contextualSpacing/>
    </w:pPr>
    <w:rPr>
      <w:rFonts w:asciiTheme="minorHAnsi" w:eastAsiaTheme="minorHAnsi" w:hAnsiTheme="minorHAnsi" w:cstheme="minorBidi"/>
      <w:snapToGrid/>
      <w:sz w:val="22"/>
      <w:szCs w:val="22"/>
    </w:rPr>
  </w:style>
  <w:style w:type="table" w:customStyle="1" w:styleId="TableGrid1">
    <w:name w:val="Table Grid1"/>
    <w:basedOn w:val="TableNormal"/>
    <w:next w:val="TableGrid"/>
    <w:uiPriority w:val="39"/>
    <w:rsid w:val="00332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42513">
      <w:bodyDiv w:val="1"/>
      <w:marLeft w:val="0"/>
      <w:marRight w:val="0"/>
      <w:marTop w:val="0"/>
      <w:marBottom w:val="0"/>
      <w:divBdr>
        <w:top w:val="none" w:sz="0" w:space="0" w:color="auto"/>
        <w:left w:val="none" w:sz="0" w:space="0" w:color="auto"/>
        <w:bottom w:val="none" w:sz="0" w:space="0" w:color="auto"/>
        <w:right w:val="none" w:sz="0" w:space="0" w:color="auto"/>
      </w:divBdr>
    </w:div>
    <w:div w:id="483278310">
      <w:bodyDiv w:val="1"/>
      <w:marLeft w:val="0"/>
      <w:marRight w:val="0"/>
      <w:marTop w:val="0"/>
      <w:marBottom w:val="0"/>
      <w:divBdr>
        <w:top w:val="none" w:sz="0" w:space="0" w:color="auto"/>
        <w:left w:val="none" w:sz="0" w:space="0" w:color="auto"/>
        <w:bottom w:val="none" w:sz="0" w:space="0" w:color="auto"/>
        <w:right w:val="none" w:sz="0" w:space="0" w:color="auto"/>
      </w:divBdr>
    </w:div>
    <w:div w:id="1041175949">
      <w:bodyDiv w:val="1"/>
      <w:marLeft w:val="0"/>
      <w:marRight w:val="0"/>
      <w:marTop w:val="0"/>
      <w:marBottom w:val="0"/>
      <w:divBdr>
        <w:top w:val="none" w:sz="0" w:space="0" w:color="auto"/>
        <w:left w:val="none" w:sz="0" w:space="0" w:color="auto"/>
        <w:bottom w:val="none" w:sz="0" w:space="0" w:color="auto"/>
        <w:right w:val="none" w:sz="0" w:space="0" w:color="auto"/>
      </w:divBdr>
    </w:div>
    <w:div w:id="1124739379">
      <w:bodyDiv w:val="1"/>
      <w:marLeft w:val="0"/>
      <w:marRight w:val="0"/>
      <w:marTop w:val="0"/>
      <w:marBottom w:val="0"/>
      <w:divBdr>
        <w:top w:val="none" w:sz="0" w:space="0" w:color="auto"/>
        <w:left w:val="none" w:sz="0" w:space="0" w:color="auto"/>
        <w:bottom w:val="none" w:sz="0" w:space="0" w:color="auto"/>
        <w:right w:val="none" w:sz="0" w:space="0" w:color="auto"/>
      </w:divBdr>
    </w:div>
    <w:div w:id="1293902806">
      <w:bodyDiv w:val="1"/>
      <w:marLeft w:val="0"/>
      <w:marRight w:val="0"/>
      <w:marTop w:val="0"/>
      <w:marBottom w:val="0"/>
      <w:divBdr>
        <w:top w:val="none" w:sz="0" w:space="0" w:color="auto"/>
        <w:left w:val="none" w:sz="0" w:space="0" w:color="auto"/>
        <w:bottom w:val="none" w:sz="0" w:space="0" w:color="auto"/>
        <w:right w:val="none" w:sz="0" w:space="0" w:color="auto"/>
      </w:divBdr>
    </w:div>
    <w:div w:id="174602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fdic.gov/analysis/cfr/staff-studies/2020-04.pdf" TargetMode="External"/><Relationship Id="rId2" Type="http://schemas.openxmlformats.org/officeDocument/2006/relationships/hyperlink" Target="https://www.fdic.gov/bank/historical/sbls/index.html" TargetMode="External"/><Relationship Id="rId1" Type="http://schemas.openxmlformats.org/officeDocument/2006/relationships/hyperlink" Target="https://cdn.advocacy.sba.gov/wp-content/uploads/2020/11/05122043/Small-Business-FAQ-2020.pdf" TargetMode="External"/><Relationship Id="rId4" Type="http://schemas.openxmlformats.org/officeDocument/2006/relationships/hyperlink" Target="https://www.gao.gov/assets/700/69425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AA1EB5DC9884B9A1D3EE1FFDFE095" ma:contentTypeVersion="2" ma:contentTypeDescription="Create a new document." ma:contentTypeScope="" ma:versionID="d99d498089acd85f7fcb33c0f7f63a75">
  <xsd:schema xmlns:xsd="http://www.w3.org/2001/XMLSchema" xmlns:xs="http://www.w3.org/2001/XMLSchema" xmlns:p="http://schemas.microsoft.com/office/2006/metadata/properties" xmlns:ns2="703e93fe-f175-4839-ab23-cfec04b95854" targetNamespace="http://schemas.microsoft.com/office/2006/metadata/properties" ma:root="true" ma:fieldsID="10af0025ccd2b4fc9d1f4685c7439158" ns2:_="">
    <xsd:import namespace="703e93fe-f175-4839-ab23-cfec04b9585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e93fe-f175-4839-ab23-cfec04b95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286A5-0A49-4EA6-B983-AEC854B91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e93fe-f175-4839-ab23-cfec04b95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2DDF97-1CB1-4542-8B85-25A27A6F061A}">
  <ds:schemaRefs>
    <ds:schemaRef ds:uri="http://schemas.microsoft.com/sharepoint/v3/contenttype/forms"/>
  </ds:schemaRefs>
</ds:datastoreItem>
</file>

<file path=customXml/itemProps3.xml><?xml version="1.0" encoding="utf-8"?>
<ds:datastoreItem xmlns:ds="http://schemas.openxmlformats.org/officeDocument/2006/customXml" ds:itemID="{EDD9E3D0-47A4-4C5D-B05B-8A646FF748E1}">
  <ds:schemaRefs>
    <ds:schemaRef ds:uri="703e93fe-f175-4839-ab23-cfec04b95854"/>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D5A002F-6E73-4D28-9F9B-C472A62F7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2531</Words>
  <Characters>14428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16926</CharactersWithSpaces>
  <SharedDoc>false</SharedDoc>
  <HLinks>
    <vt:vector size="6" baseType="variant">
      <vt:variant>
        <vt:i4>1572875</vt:i4>
      </vt:variant>
      <vt:variant>
        <vt:i4>0</vt:i4>
      </vt:variant>
      <vt:variant>
        <vt:i4>0</vt:i4>
      </vt:variant>
      <vt:variant>
        <vt:i4>5</vt:i4>
      </vt:variant>
      <vt:variant>
        <vt:lpwstr>http://www.census.gov/prod/2006pubs/tp-66.pdf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VBest</dc:creator>
  <cp:lastModifiedBy>Cabeza, Manuel E.</cp:lastModifiedBy>
  <cp:revision>2</cp:revision>
  <cp:lastPrinted>2016-05-11T14:44:00Z</cp:lastPrinted>
  <dcterms:created xsi:type="dcterms:W3CDTF">2021-08-27T20:16:00Z</dcterms:created>
  <dcterms:modified xsi:type="dcterms:W3CDTF">2021-08-27T20:16:00Z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0x0101007EDAA1EB5DC9884B9A1D3EE1FFDFE095</vt:lpwstr>
  </property>
</Properties>
</file>