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2425" w:rsidR="00183ADC" w:rsidRDefault="00183ADC">
      <w:pPr>
        <w:jc w:val="center"/>
        <w:rPr>
          <w:b/>
        </w:rPr>
      </w:pPr>
      <w:r w:rsidRPr="00742425">
        <w:rPr>
          <w:b/>
        </w:rPr>
        <w:t>SUPPORTING STATEMENT</w:t>
      </w:r>
    </w:p>
    <w:p w:rsidR="00245B0D" w:rsidP="00245B0D" w:rsidRDefault="00245B0D">
      <w:pPr>
        <w:jc w:val="center"/>
      </w:pPr>
      <w:r>
        <w:t>ACCOUNT BASED DISCLOSURES</w:t>
      </w:r>
      <w:r w:rsidRPr="000E1F22">
        <w:t xml:space="preserve"> </w:t>
      </w:r>
      <w:r>
        <w:t>IN</w:t>
      </w:r>
      <w:r w:rsidRPr="000E1F22" w:rsidR="000E1F22">
        <w:t xml:space="preserve"> CONNECTION WITH</w:t>
      </w:r>
    </w:p>
    <w:p w:rsidR="000E1F22" w:rsidP="000E1F22" w:rsidRDefault="000E1F22">
      <w:pPr>
        <w:jc w:val="center"/>
      </w:pPr>
      <w:r w:rsidRPr="000E1F22">
        <w:t xml:space="preserve"> </w:t>
      </w:r>
      <w:r w:rsidR="00245B0D">
        <w:t xml:space="preserve">CONSUMER FINANCIAL PROTECTION BUREAU </w:t>
      </w:r>
      <w:r w:rsidRPr="000E1F22">
        <w:t>REGULATION</w:t>
      </w:r>
      <w:r w:rsidR="00245B0D">
        <w:t xml:space="preserve">S </w:t>
      </w:r>
      <w:r w:rsidR="00DF3627">
        <w:t>E</w:t>
      </w:r>
      <w:r w:rsidR="00245B0D">
        <w:t xml:space="preserve"> AND DD</w:t>
      </w:r>
    </w:p>
    <w:p w:rsidR="00245B0D" w:rsidP="000E1F22" w:rsidRDefault="00245B0D">
      <w:pPr>
        <w:jc w:val="center"/>
      </w:pPr>
      <w:r>
        <w:t>AND</w:t>
      </w:r>
    </w:p>
    <w:p w:rsidRPr="000E1F22" w:rsidR="00245B0D" w:rsidP="000E1F22" w:rsidRDefault="00245B0D">
      <w:pPr>
        <w:jc w:val="center"/>
      </w:pPr>
      <w:r>
        <w:t>FEDERAL RESERVE REGULATION CC</w:t>
      </w:r>
    </w:p>
    <w:p w:rsidR="00183ADC" w:rsidP="000E1F22" w:rsidRDefault="000E1F22">
      <w:pPr>
        <w:jc w:val="center"/>
      </w:pPr>
      <w:r w:rsidRPr="000E1F22">
        <w:t xml:space="preserve"> </w:t>
      </w:r>
      <w:r w:rsidR="00183ADC">
        <w:t>(</w:t>
      </w:r>
      <w:r w:rsidR="00927725">
        <w:t xml:space="preserve">OMB CONTROL NO. </w:t>
      </w:r>
      <w:r w:rsidR="00245B0D">
        <w:t>3064-0084</w:t>
      </w:r>
      <w:r w:rsidR="00183ADC">
        <w:t>)</w:t>
      </w:r>
    </w:p>
    <w:p w:rsidR="00183ADC" w:rsidRDefault="00183ADC">
      <w:pPr>
        <w:jc w:val="center"/>
      </w:pPr>
    </w:p>
    <w:p w:rsidR="00183ADC" w:rsidRDefault="00183ADC">
      <w:pPr>
        <w:jc w:val="center"/>
        <w:rPr>
          <w:u w:val="single"/>
        </w:rPr>
      </w:pPr>
    </w:p>
    <w:p w:rsidR="00183ADC" w:rsidRDefault="00183ADC">
      <w:r>
        <w:rPr>
          <w:u w:val="single"/>
        </w:rPr>
        <w:t>INTRODUCTION</w:t>
      </w:r>
    </w:p>
    <w:p w:rsidR="00183ADC" w:rsidRDefault="00183ADC"/>
    <w:p w:rsidR="006304BC" w:rsidP="001449F1" w:rsidRDefault="00927725">
      <w:pPr>
        <w:spacing w:after="120"/>
      </w:pPr>
      <w:r w:rsidRPr="00927725">
        <w:t>The FDIC is requesting OMB ap</w:t>
      </w:r>
      <w:r w:rsidR="008F3A99">
        <w:t>proval to extend, with revisions</w:t>
      </w:r>
      <w:r w:rsidRPr="00927725">
        <w:t xml:space="preserve">, </w:t>
      </w:r>
      <w:r w:rsidRPr="001449F1" w:rsidR="001449F1">
        <w:t xml:space="preserve">the information collection covering </w:t>
      </w:r>
      <w:r w:rsidR="00CE2B14">
        <w:t xml:space="preserve">reporting, recordkeeping and </w:t>
      </w:r>
      <w:bookmarkStart w:name="_GoBack" w:id="0"/>
      <w:bookmarkEnd w:id="0"/>
      <w:r w:rsidRPr="001449F1" w:rsidR="001449F1">
        <w:t xml:space="preserve">disclosure requirements imposed by Consumer Financial Protection Bureau (CFPB) </w:t>
      </w:r>
      <w:r w:rsidR="00245B0D">
        <w:t>R</w:t>
      </w:r>
      <w:r w:rsidRPr="001449F1" w:rsidR="001449F1">
        <w:t>egulation</w:t>
      </w:r>
      <w:r w:rsidR="00245B0D">
        <w:t>s</w:t>
      </w:r>
      <w:r w:rsidRPr="001449F1" w:rsidR="001449F1">
        <w:t xml:space="preserve"> </w:t>
      </w:r>
      <w:r w:rsidR="00245B0D">
        <w:t>E and DD; and for Federal Reserve Regulation CC</w:t>
      </w:r>
      <w:r w:rsidRPr="001449F1" w:rsidR="001449F1">
        <w:t xml:space="preserve"> for those institutions impacted by the regulation</w:t>
      </w:r>
      <w:r w:rsidR="00245B0D">
        <w:t>s</w:t>
      </w:r>
      <w:r w:rsidRPr="001449F1" w:rsidR="001449F1">
        <w:t xml:space="preserve"> over which the FDIC has enforcement authority.  This information collection </w:t>
      </w:r>
      <w:r w:rsidR="00245B0D">
        <w:t>is currently</w:t>
      </w:r>
      <w:r w:rsidRPr="001449F1" w:rsidR="001449F1">
        <w:t xml:space="preserve"> approve</w:t>
      </w:r>
      <w:r w:rsidR="00245B0D">
        <w:t>d under Control Number 3064-0084 and the approval</w:t>
      </w:r>
      <w:r w:rsidRPr="001449F1" w:rsidR="001449F1">
        <w:t xml:space="preserve"> </w:t>
      </w:r>
      <w:r w:rsidR="001449F1">
        <w:t>expires on May 31, 2021</w:t>
      </w:r>
      <w:r w:rsidRPr="001449F1" w:rsidR="001449F1">
        <w:t xml:space="preserve">.  </w:t>
      </w:r>
      <w:r w:rsidRPr="006304BC" w:rsidR="006304BC">
        <w:t xml:space="preserve">  </w:t>
      </w:r>
    </w:p>
    <w:p w:rsidR="00183ADC" w:rsidRDefault="00183ADC"/>
    <w:p w:rsidR="00183ADC" w:rsidP="007518E6" w:rsidRDefault="00183ADC">
      <w:pPr>
        <w:numPr>
          <w:ilvl w:val="0"/>
          <w:numId w:val="5"/>
        </w:numPr>
        <w:tabs>
          <w:tab w:val="center" w:pos="-360"/>
        </w:tabs>
        <w:spacing w:after="120"/>
        <w:ind w:left="540"/>
      </w:pPr>
      <w:r>
        <w:rPr>
          <w:u w:val="single"/>
        </w:rPr>
        <w:t>JUSTIFICATION</w:t>
      </w:r>
    </w:p>
    <w:p w:rsidRPr="00553D78" w:rsidR="00553D78" w:rsidP="00553D78" w:rsidRDefault="00553D78">
      <w:pPr>
        <w:tabs>
          <w:tab w:val="left" w:pos="-1440"/>
        </w:tabs>
        <w:ind w:left="720" w:hanging="360"/>
      </w:pPr>
    </w:p>
    <w:p w:rsidR="00553D78" w:rsidP="005944E5" w:rsidRDefault="00553D78">
      <w:pPr>
        <w:numPr>
          <w:ilvl w:val="0"/>
          <w:numId w:val="6"/>
        </w:numPr>
        <w:tabs>
          <w:tab w:val="left" w:pos="-1440"/>
        </w:tabs>
        <w:rPr>
          <w:b/>
          <w:bCs/>
          <w:iCs/>
          <w:szCs w:val="24"/>
          <w:u w:val="single"/>
        </w:rPr>
      </w:pPr>
      <w:r w:rsidRPr="00553D78">
        <w:rPr>
          <w:b/>
          <w:bCs/>
          <w:iCs/>
          <w:szCs w:val="24"/>
          <w:u w:val="single"/>
        </w:rPr>
        <w:t xml:space="preserve">Circumstances that make the collection </w:t>
      </w:r>
      <w:r w:rsidRPr="00553D78">
        <w:rPr>
          <w:b/>
          <w:bCs/>
          <w:iCs/>
          <w:u w:val="single"/>
        </w:rPr>
        <w:t>necessary</w:t>
      </w:r>
      <w:r w:rsidRPr="00553D78">
        <w:rPr>
          <w:b/>
          <w:bCs/>
          <w:iCs/>
          <w:szCs w:val="24"/>
          <w:u w:val="single"/>
        </w:rPr>
        <w:t>:</w:t>
      </w:r>
    </w:p>
    <w:p w:rsidRPr="00553D78" w:rsidR="005944E5" w:rsidP="005944E5" w:rsidRDefault="005944E5">
      <w:pPr>
        <w:tabs>
          <w:tab w:val="left" w:pos="-1440"/>
        </w:tabs>
        <w:ind w:left="720"/>
      </w:pPr>
    </w:p>
    <w:p w:rsidR="00DF2454" w:rsidP="00DF2454" w:rsidRDefault="00DF2454">
      <w:pPr>
        <w:spacing w:after="240"/>
        <w:ind w:left="720"/>
      </w:pPr>
      <w:r w:rsidRPr="00DF2454">
        <w:t>Regulation E implements the Electronic Fund Transfer Act and is authorized by 15 U.S.C. § 1693b.</w:t>
      </w:r>
      <w:r w:rsidRPr="00DF2454">
        <w:rPr>
          <w:vertAlign w:val="superscript"/>
        </w:rPr>
        <w:footnoteReference w:id="1"/>
      </w:r>
      <w:r w:rsidRPr="00DF2454">
        <w:t xml:space="preserve"> It affects institutions that offer electronic fund transfer (EFT) services and prepaid accounts, and it affects issuers of prepaid gift cards and gift certificates. Regulation DD implements the Truth in Savings Act and is authorized by 12 U.S.C. § 4308(a).</w:t>
      </w:r>
      <w:r w:rsidRPr="00DF2454">
        <w:rPr>
          <w:vertAlign w:val="superscript"/>
        </w:rPr>
        <w:footnoteReference w:id="2"/>
      </w:r>
      <w:r w:rsidRPr="00DF2454">
        <w:t xml:space="preserve">  It affects institutions that offer deposit accounts to consumers. Regulation CC implements the Expedited Funds Availability Act and is authorized by 12 U.S.C. §§ 4008 and 5014.</w:t>
      </w:r>
      <w:r w:rsidRPr="00DF2454">
        <w:rPr>
          <w:vertAlign w:val="superscript"/>
        </w:rPr>
        <w:footnoteReference w:id="3"/>
      </w:r>
      <w:r w:rsidRPr="00DF2454">
        <w:t xml:space="preserve">  It affects institutions that provide transaction accounts to customers. For Regulations E and DD, the FDIC has enforcement responsibility for state nonmember banks, savings institutions, and insured state branches of foreign banks with $10 billion or less in total assets.</w:t>
      </w:r>
      <w:r w:rsidRPr="00DF2454">
        <w:rPr>
          <w:vertAlign w:val="superscript"/>
        </w:rPr>
        <w:footnoteReference w:id="4"/>
      </w:r>
      <w:r w:rsidRPr="00DF2454">
        <w:t xml:space="preserve"> For regulation CC, the FDIC has enforcement authority for all state nonmember banks, savings institutions, and insured state branches of foreign banks.</w:t>
      </w:r>
      <w:r w:rsidRPr="00DF2454">
        <w:rPr>
          <w:vertAlign w:val="superscript"/>
        </w:rPr>
        <w:footnoteReference w:id="5"/>
      </w:r>
    </w:p>
    <w:p w:rsidRPr="00DF2454" w:rsidR="00DF2454" w:rsidP="00DF2454" w:rsidRDefault="00DF2454">
      <w:pPr>
        <w:spacing w:after="240"/>
        <w:ind w:left="720"/>
      </w:pPr>
      <w:r w:rsidRPr="00DF2454">
        <w:t>Regulation E is designed to ensure consumers receive adequate disclosure of basic terms, costs, and rights relating to EFT services provided to them so that they can make informed decisions. Institutions offering EFT services must disclose to consumers certain information, including: initial and updated EFT terms,</w:t>
      </w:r>
      <w:r w:rsidRPr="00DF2454">
        <w:rPr>
          <w:vertAlign w:val="superscript"/>
        </w:rPr>
        <w:footnoteReference w:id="6"/>
      </w:r>
      <w:r w:rsidRPr="00DF2454">
        <w:t xml:space="preserve"> the consumer’s potential liability for unauthorized transfers,</w:t>
      </w:r>
      <w:r w:rsidRPr="00DF2454">
        <w:rPr>
          <w:vertAlign w:val="superscript"/>
        </w:rPr>
        <w:footnoteReference w:id="7"/>
      </w:r>
      <w:r w:rsidRPr="00DF2454">
        <w:t xml:space="preserve"> and error resolution rights and procedures.</w:t>
      </w:r>
      <w:r w:rsidRPr="00DF2454">
        <w:rPr>
          <w:vertAlign w:val="superscript"/>
        </w:rPr>
        <w:footnoteReference w:id="8"/>
      </w:r>
      <w:r w:rsidRPr="00DF2454">
        <w:t xml:space="preserve"> </w:t>
      </w:r>
    </w:p>
    <w:p w:rsidRPr="00DF2454" w:rsidR="00DF2454" w:rsidP="00DF2454" w:rsidRDefault="00DF2454">
      <w:pPr>
        <w:spacing w:after="240"/>
        <w:ind w:left="720"/>
      </w:pPr>
      <w:r w:rsidRPr="00DF2454">
        <w:t>Regulation DD also has similar consumer protection disclosure requirements that are intended to assist consumers in comparing deposit accounts offered by institutions, principally through the disclosure of fees, the annual percentage yield, and other account terms. Regulation DD requires depository institutions to disclose yields, fees, and other terms concerning deposit accounts to consumers at account opening, upon request, and when changes in terms occur.</w:t>
      </w:r>
      <w:r w:rsidRPr="00DF2454">
        <w:rPr>
          <w:vertAlign w:val="superscript"/>
        </w:rPr>
        <w:footnoteReference w:id="9"/>
      </w:r>
      <w:r w:rsidRPr="00DF2454">
        <w:t xml:space="preserve"> Depository institutions that provide periodic statements are required to include information about fees imposed, interest earned, </w:t>
      </w:r>
      <w:r w:rsidRPr="00DF2454">
        <w:lastRenderedPageBreak/>
        <w:t>and the annual percentage yield (APY) earned during those statement periods.</w:t>
      </w:r>
      <w:r w:rsidRPr="00DF2454">
        <w:rPr>
          <w:vertAlign w:val="superscript"/>
        </w:rPr>
        <w:footnoteReference w:id="10"/>
      </w:r>
      <w:r w:rsidRPr="00DF2454">
        <w:t xml:space="preserve"> It also contains rules about advertising deposit accounts.</w:t>
      </w:r>
      <w:r w:rsidRPr="00DF2454">
        <w:rPr>
          <w:vertAlign w:val="superscript"/>
        </w:rPr>
        <w:footnoteReference w:id="11"/>
      </w:r>
    </w:p>
    <w:p w:rsidRPr="00DF2454" w:rsidR="00DF2454" w:rsidP="00DF2454" w:rsidRDefault="00DF2454">
      <w:pPr>
        <w:spacing w:after="240"/>
        <w:ind w:left="720"/>
      </w:pPr>
      <w:r w:rsidRPr="00DF2454">
        <w:t>Like Regulations E and DD, Regulation CC has consumer protection disclosure requirements.  Specifically, Regulation CC requires depository institutions to make funds deposited in transaction accounts available within specified time periods,</w:t>
      </w:r>
      <w:r w:rsidRPr="00DF2454">
        <w:rPr>
          <w:vertAlign w:val="superscript"/>
        </w:rPr>
        <w:footnoteReference w:id="12"/>
      </w:r>
      <w:r w:rsidRPr="00DF2454">
        <w:t xml:space="preserve"> disclose their availability policies to customers,</w:t>
      </w:r>
      <w:r w:rsidRPr="00DF2454">
        <w:rPr>
          <w:vertAlign w:val="superscript"/>
        </w:rPr>
        <w:footnoteReference w:id="13"/>
      </w:r>
      <w:r w:rsidRPr="00DF2454">
        <w:t xml:space="preserve"> and begin accruing interest on such deposits promptly.</w:t>
      </w:r>
      <w:r w:rsidRPr="00DF2454">
        <w:rPr>
          <w:vertAlign w:val="superscript"/>
        </w:rPr>
        <w:footnoteReference w:id="14"/>
      </w:r>
      <w:r w:rsidRPr="00DF2454">
        <w:t xml:space="preserve">  The disclosures are intended to alert customers that their ability to use deposited funds may be delayed,</w:t>
      </w:r>
      <w:r w:rsidRPr="00DF2454">
        <w:rPr>
          <w:vertAlign w:val="superscript"/>
        </w:rPr>
        <w:footnoteReference w:id="15"/>
      </w:r>
      <w:r w:rsidRPr="00DF2454">
        <w:t xml:space="preserve"> prevent unintentional (and costly) overdrafts,</w:t>
      </w:r>
      <w:r w:rsidRPr="00DF2454">
        <w:rPr>
          <w:vertAlign w:val="superscript"/>
        </w:rPr>
        <w:footnoteReference w:id="16"/>
      </w:r>
      <w:r w:rsidRPr="00DF2454">
        <w:t xml:space="preserve"> and allow customers to compare the policies of different institutions before deciding at which institution to deposit funds. The regulation also requires notice to the depositary bank and to a customer of nonpayment of a check.</w:t>
      </w:r>
      <w:r w:rsidRPr="00DF2454">
        <w:rPr>
          <w:vertAlign w:val="superscript"/>
        </w:rPr>
        <w:footnoteReference w:id="17"/>
      </w:r>
      <w:r w:rsidRPr="00DF2454">
        <w:t xml:space="preserve">  </w:t>
      </w:r>
    </w:p>
    <w:p w:rsidR="005944E5" w:rsidP="005944E5" w:rsidRDefault="003643DB">
      <w:pPr>
        <w:spacing w:after="240"/>
        <w:ind w:left="720" w:hanging="270"/>
        <w:rPr>
          <w:b/>
          <w:bCs/>
          <w:iCs/>
          <w:szCs w:val="24"/>
          <w:u w:val="single"/>
        </w:rPr>
      </w:pPr>
      <w:r>
        <w:t>2</w:t>
      </w:r>
      <w:r w:rsidRPr="00553D78">
        <w:t>.</w:t>
      </w:r>
      <w:r w:rsidRPr="00553D78">
        <w:tab/>
      </w:r>
      <w:r w:rsidRPr="00E656E5">
        <w:rPr>
          <w:b/>
          <w:bCs/>
          <w:iCs/>
          <w:szCs w:val="24"/>
          <w:u w:val="single"/>
        </w:rPr>
        <w:t xml:space="preserve">Use of </w:t>
      </w:r>
      <w:r w:rsidRPr="00E656E5">
        <w:rPr>
          <w:b/>
          <w:u w:val="single"/>
        </w:rPr>
        <w:t>the</w:t>
      </w:r>
      <w:r w:rsidRPr="00E656E5">
        <w:rPr>
          <w:b/>
          <w:bCs/>
          <w:iCs/>
          <w:szCs w:val="24"/>
          <w:u w:val="single"/>
        </w:rPr>
        <w:t xml:space="preserve"> </w:t>
      </w:r>
      <w:r w:rsidRPr="00E656E5">
        <w:rPr>
          <w:b/>
          <w:bCs/>
          <w:iCs/>
          <w:u w:val="single"/>
        </w:rPr>
        <w:t>information</w:t>
      </w:r>
      <w:r w:rsidRPr="00E656E5">
        <w:rPr>
          <w:b/>
          <w:bCs/>
          <w:iCs/>
          <w:szCs w:val="24"/>
          <w:u w:val="single"/>
        </w:rPr>
        <w:t>:</w:t>
      </w:r>
    </w:p>
    <w:p w:rsidR="00183ADC" w:rsidP="002A0B79" w:rsidRDefault="00DF2454">
      <w:pPr>
        <w:spacing w:after="240"/>
        <w:ind w:left="720"/>
      </w:pPr>
      <w:r>
        <w:t xml:space="preserve">Regulations </w:t>
      </w:r>
      <w:r w:rsidR="00DF3627">
        <w:t xml:space="preserve">E, </w:t>
      </w:r>
      <w:r>
        <w:t>CC</w:t>
      </w:r>
      <w:r w:rsidR="00DF3627">
        <w:t xml:space="preserve"> and </w:t>
      </w:r>
      <w:r>
        <w:t>DD promote</w:t>
      </w:r>
      <w:r w:rsidR="002A0B79">
        <w:t xml:space="preserve"> the</w:t>
      </w:r>
      <w:r>
        <w:t xml:space="preserve"> informed use of account services</w:t>
      </w:r>
      <w:r w:rsidR="002A0B79">
        <w:t xml:space="preserve"> by ensuring a</w:t>
      </w:r>
      <w:r>
        <w:t>dequate disclosure of relevant terms</w:t>
      </w:r>
      <w:r w:rsidR="002A0B79">
        <w:t>.  The Regulation</w:t>
      </w:r>
      <w:r>
        <w:t>s impose</w:t>
      </w:r>
      <w:r w:rsidR="00D62D38">
        <w:t xml:space="preserve"> </w:t>
      </w:r>
      <w:r w:rsidR="002A0B79">
        <w:t>third-party disclosure re</w:t>
      </w:r>
      <w:r w:rsidR="00D62D38">
        <w:t>quirements on affected institutions and are</w:t>
      </w:r>
      <w:r w:rsidR="002A0B79">
        <w:t xml:space="preserve"> intended to provide consumers meaningful and useful information about the te</w:t>
      </w:r>
      <w:r w:rsidR="00D62D38">
        <w:t>rms, costs</w:t>
      </w:r>
      <w:r w:rsidR="00DF3627">
        <w:t xml:space="preserve"> and rights relating to</w:t>
      </w:r>
      <w:r w:rsidR="00D62D38">
        <w:t xml:space="preserve"> services</w:t>
      </w:r>
      <w:r w:rsidR="00DF3627">
        <w:t xml:space="preserve"> and </w:t>
      </w:r>
      <w:r w:rsidR="00D62D38">
        <w:t>consumer</w:t>
      </w:r>
      <w:r w:rsidR="002A0B79">
        <w:t xml:space="preserve"> products to allow them to make informed decisions about which </w:t>
      </w:r>
      <w:r w:rsidR="00D62D38">
        <w:t xml:space="preserve">institution and </w:t>
      </w:r>
      <w:r w:rsidR="002A0B79">
        <w:t>product best suits their needs.</w:t>
      </w:r>
    </w:p>
    <w:p w:rsidRPr="003643DB" w:rsidR="003643DB" w:rsidP="003643DB" w:rsidRDefault="003643DB">
      <w:pPr>
        <w:keepNext/>
        <w:tabs>
          <w:tab w:val="left" w:pos="-1440"/>
        </w:tabs>
        <w:ind w:left="720" w:hanging="360"/>
      </w:pPr>
      <w:r w:rsidRPr="003643DB">
        <w:t>3.</w:t>
      </w:r>
      <w:r w:rsidRPr="003643DB">
        <w:tab/>
      </w:r>
      <w:r w:rsidRPr="003643DB">
        <w:rPr>
          <w:b/>
          <w:bCs/>
          <w:iCs/>
          <w:u w:val="single"/>
        </w:rPr>
        <w:t>Consideration</w:t>
      </w:r>
      <w:r w:rsidRPr="003643DB">
        <w:rPr>
          <w:b/>
          <w:bCs/>
          <w:iCs/>
          <w:szCs w:val="24"/>
          <w:u w:val="single"/>
        </w:rPr>
        <w:t xml:space="preserve"> of the use of improved information technology:</w:t>
      </w:r>
    </w:p>
    <w:p w:rsidR="002A0B79" w:rsidP="002A0B79" w:rsidRDefault="002A0B79">
      <w:pPr>
        <w:ind w:left="720"/>
      </w:pPr>
    </w:p>
    <w:p w:rsidRPr="00DF3627" w:rsidR="00DF3627" w:rsidP="00DF3627" w:rsidRDefault="00DF3627">
      <w:pPr>
        <w:ind w:left="720"/>
      </w:pPr>
      <w:r w:rsidRPr="00DF3627">
        <w:t xml:space="preserve">The information collections in Regulations E, CC and DD are primarily third party disclosures.  Institutions may provide electronic disclosures consistent with the Electronic Signatures in Global and National Commerce Act (E-Sign Act), 15 U.S.C. §§ 7001 </w:t>
      </w:r>
      <w:r w:rsidRPr="00DF3627">
        <w:rPr>
          <w:u w:val="single"/>
        </w:rPr>
        <w:t>et</w:t>
      </w:r>
      <w:r w:rsidRPr="00DF3627">
        <w:t xml:space="preserve"> </w:t>
      </w:r>
      <w:r w:rsidRPr="00DF3627">
        <w:rPr>
          <w:u w:val="single"/>
        </w:rPr>
        <w:t>seq</w:t>
      </w:r>
      <w:r w:rsidRPr="00DF3627">
        <w:t>., 12 C.F.R. § 1005.17 and 12 C.F.R. § 1030.03(a).</w:t>
      </w:r>
    </w:p>
    <w:p w:rsidR="002A0B79" w:rsidP="002A0B79" w:rsidRDefault="002A0B79">
      <w:pPr>
        <w:ind w:left="720"/>
      </w:pPr>
    </w:p>
    <w:p w:rsidR="00183ADC" w:rsidP="005944E5" w:rsidRDefault="00183ADC">
      <w:pPr>
        <w:tabs>
          <w:tab w:val="left" w:pos="-1440"/>
        </w:tabs>
        <w:spacing w:after="120"/>
        <w:ind w:left="360"/>
        <w:rPr>
          <w:u w:val="single"/>
        </w:rPr>
      </w:pPr>
      <w:r>
        <w:t>4.</w:t>
      </w:r>
      <w:r>
        <w:tab/>
      </w:r>
      <w:r w:rsidRPr="005944E5">
        <w:rPr>
          <w:b/>
          <w:u w:val="single"/>
        </w:rPr>
        <w:t>Efforts to Identify Duplication</w:t>
      </w:r>
    </w:p>
    <w:p w:rsidR="0060683B" w:rsidP="0060683B" w:rsidRDefault="00DF3627">
      <w:pPr>
        <w:ind w:left="720"/>
      </w:pPr>
      <w:r w:rsidRPr="00DF3627">
        <w:t>Regulations E, CC and DD require account related disclosures when specified e</w:t>
      </w:r>
      <w:r>
        <w:t xml:space="preserve">vents occur and the content of the disclosures </w:t>
      </w:r>
      <w:r w:rsidRPr="00DF3627">
        <w:t>do not overlap.  If institutions provide periodic statements concerning accounts, Regulation E and CC require certain disclosures, of different content, to be provided in those periodic statements.</w:t>
      </w:r>
    </w:p>
    <w:p w:rsidR="00DF3627" w:rsidP="0060683B" w:rsidRDefault="00DF3627">
      <w:pPr>
        <w:ind w:left="720"/>
      </w:pPr>
    </w:p>
    <w:p w:rsidR="003643DB" w:rsidP="00D412B7" w:rsidRDefault="003643DB">
      <w:pPr>
        <w:widowControl/>
        <w:tabs>
          <w:tab w:val="left" w:pos="-1440"/>
        </w:tabs>
        <w:ind w:left="720" w:hanging="360"/>
        <w:rPr>
          <w:b/>
          <w:bCs/>
          <w:iCs/>
          <w:u w:val="single"/>
        </w:rPr>
      </w:pPr>
      <w:r w:rsidRPr="003643DB">
        <w:t>5.</w:t>
      </w:r>
      <w:r w:rsidRPr="003643DB">
        <w:tab/>
      </w:r>
      <w:r w:rsidRPr="003643DB">
        <w:rPr>
          <w:b/>
          <w:bCs/>
          <w:iCs/>
          <w:u w:val="single"/>
        </w:rPr>
        <w:t>Methods used to minimize burden if the collection has a significant impact on a substantial number of small entities:</w:t>
      </w:r>
    </w:p>
    <w:p w:rsidRPr="003643DB" w:rsidR="005944E5" w:rsidP="003643DB" w:rsidRDefault="005944E5">
      <w:pPr>
        <w:tabs>
          <w:tab w:val="left" w:pos="-1440"/>
        </w:tabs>
        <w:ind w:left="720" w:hanging="360"/>
      </w:pPr>
    </w:p>
    <w:p w:rsidR="00183ADC" w:rsidP="00AA2DC4" w:rsidRDefault="00DF3627">
      <w:pPr>
        <w:spacing w:after="240"/>
        <w:ind w:left="720"/>
      </w:pPr>
      <w:r w:rsidRPr="00DF3627">
        <w:t>Generally, the relevant statutes require the disclosures to be made notwithstanding th</w:t>
      </w:r>
      <w:r>
        <w:t>e size of the institution</w:t>
      </w:r>
      <w:r w:rsidRPr="008E64CC" w:rsidR="008E64CC">
        <w:t>.</w:t>
      </w:r>
    </w:p>
    <w:p w:rsidR="003643DB" w:rsidP="003643DB" w:rsidRDefault="003643DB">
      <w:pPr>
        <w:keepNext/>
        <w:keepLines/>
        <w:tabs>
          <w:tab w:val="left" w:pos="-1440"/>
        </w:tabs>
        <w:ind w:left="720" w:hanging="360"/>
        <w:rPr>
          <w:b/>
          <w:bCs/>
          <w:iCs/>
          <w:u w:val="single"/>
        </w:rPr>
      </w:pPr>
      <w:r w:rsidRPr="003643DB">
        <w:t>6.</w:t>
      </w:r>
      <w:r w:rsidRPr="003643DB">
        <w:tab/>
      </w:r>
      <w:r w:rsidRPr="003643DB">
        <w:rPr>
          <w:b/>
          <w:bCs/>
          <w:iCs/>
          <w:u w:val="single"/>
        </w:rPr>
        <w:t>Consequences to the Federal program if the collection were conducted less frequently:</w:t>
      </w:r>
    </w:p>
    <w:p w:rsidRPr="003643DB" w:rsidR="005944E5" w:rsidP="003643DB" w:rsidRDefault="005944E5">
      <w:pPr>
        <w:keepNext/>
        <w:keepLines/>
        <w:tabs>
          <w:tab w:val="left" w:pos="-1440"/>
        </w:tabs>
        <w:ind w:left="720" w:hanging="360"/>
        <w:rPr>
          <w:b/>
          <w:bCs/>
          <w:iCs/>
          <w:u w:val="single"/>
        </w:rPr>
      </w:pPr>
    </w:p>
    <w:p w:rsidR="00183ADC" w:rsidP="00AA2DC4" w:rsidRDefault="005277B2">
      <w:pPr>
        <w:spacing w:after="240"/>
        <w:ind w:left="720"/>
      </w:pPr>
      <w:r w:rsidRPr="005277B2">
        <w:t>The disclosure requirements are event based and may not be made less frequently consistent with the underlying statute</w:t>
      </w:r>
      <w:r w:rsidR="00DF3627">
        <w:t>s</w:t>
      </w:r>
      <w:r w:rsidRPr="005277B2">
        <w:t xml:space="preserve"> and </w:t>
      </w:r>
      <w:r>
        <w:t>regulation</w:t>
      </w:r>
      <w:r w:rsidR="00DF3627">
        <w:t>s</w:t>
      </w:r>
      <w:r w:rsidR="00183ADC">
        <w:t>.</w:t>
      </w:r>
    </w:p>
    <w:p w:rsidRPr="003643DB" w:rsidR="003643DB" w:rsidP="003643DB" w:rsidRDefault="003643DB">
      <w:pPr>
        <w:tabs>
          <w:tab w:val="left" w:pos="-1440"/>
        </w:tabs>
        <w:ind w:left="720" w:hanging="360"/>
        <w:rPr>
          <w:b/>
          <w:bCs/>
          <w:iCs/>
        </w:rPr>
      </w:pPr>
      <w:r w:rsidRPr="003643DB">
        <w:t>7.</w:t>
      </w:r>
      <w:r w:rsidRPr="003643DB">
        <w:tab/>
      </w:r>
      <w:r w:rsidRPr="003643DB">
        <w:rPr>
          <w:b/>
          <w:bCs/>
          <w:iCs/>
          <w:u w:val="single"/>
        </w:rPr>
        <w:t>Special circumstances necessitating collection inconsistent with 5 CFR Part 1320.5(d)(2):</w:t>
      </w:r>
    </w:p>
    <w:p w:rsidRPr="003643DB" w:rsidR="003643DB" w:rsidP="003643DB" w:rsidRDefault="003643DB"/>
    <w:p w:rsidR="003643DB" w:rsidP="003643DB" w:rsidRDefault="003643DB">
      <w:pPr>
        <w:ind w:left="720"/>
        <w:rPr>
          <w:bCs/>
          <w:iCs/>
          <w:szCs w:val="24"/>
        </w:rPr>
      </w:pPr>
      <w:r w:rsidRPr="003643DB">
        <w:rPr>
          <w:bCs/>
          <w:iCs/>
          <w:szCs w:val="24"/>
        </w:rPr>
        <w:t xml:space="preserve">None.  </w:t>
      </w:r>
      <w:r w:rsidRPr="003643DB">
        <w:t>The</w:t>
      </w:r>
      <w:r w:rsidRPr="003643DB">
        <w:rPr>
          <w:bCs/>
          <w:iCs/>
          <w:szCs w:val="24"/>
        </w:rPr>
        <w:t xml:space="preserve"> information is collected in a manner consistent with 5 CFR 1320.5(d)(2).</w:t>
      </w:r>
    </w:p>
    <w:p w:rsidRPr="003643DB" w:rsidR="005944E5" w:rsidP="003643DB" w:rsidRDefault="005944E5">
      <w:pPr>
        <w:ind w:left="720"/>
      </w:pPr>
    </w:p>
    <w:p w:rsidRPr="003643DB" w:rsidR="003643DB" w:rsidP="003643DB" w:rsidRDefault="003643DB">
      <w:pPr>
        <w:tabs>
          <w:tab w:val="left" w:pos="-1440"/>
        </w:tabs>
        <w:ind w:left="720" w:hanging="360"/>
      </w:pPr>
      <w:r w:rsidRPr="003643DB">
        <w:t>8.</w:t>
      </w:r>
      <w:r w:rsidRPr="003643DB">
        <w:tab/>
      </w:r>
      <w:r w:rsidRPr="003643DB">
        <w:rPr>
          <w:b/>
          <w:bCs/>
          <w:iCs/>
          <w:u w:val="single"/>
        </w:rPr>
        <w:t>Efforts</w:t>
      </w:r>
      <w:r w:rsidRPr="003643DB">
        <w:rPr>
          <w:b/>
          <w:bCs/>
          <w:iCs/>
          <w:szCs w:val="24"/>
          <w:u w:val="single"/>
        </w:rPr>
        <w:t xml:space="preserve"> to consult with persons outside the agency:</w:t>
      </w:r>
    </w:p>
    <w:p w:rsidR="005277B2" w:rsidP="00ED79BB" w:rsidRDefault="005277B2">
      <w:pPr>
        <w:widowControl/>
        <w:ind w:left="720"/>
      </w:pPr>
    </w:p>
    <w:p w:rsidR="00ED79BB" w:rsidP="00ED79BB" w:rsidRDefault="00ED79BB">
      <w:pPr>
        <w:widowControl/>
        <w:ind w:left="720"/>
      </w:pPr>
      <w:r>
        <w:t xml:space="preserve">A notice seeking public comment for a 60-day period was published in the </w:t>
      </w:r>
      <w:r>
        <w:rPr>
          <w:i/>
        </w:rPr>
        <w:t>Federal Register</w:t>
      </w:r>
      <w:r w:rsidR="005277B2">
        <w:t xml:space="preserve"> on February 25, 2021</w:t>
      </w:r>
      <w:r>
        <w:t xml:space="preserve"> (</w:t>
      </w:r>
      <w:r w:rsidR="005277B2">
        <w:t>86 FR 11771</w:t>
      </w:r>
      <w:r>
        <w:t xml:space="preserve">).  No comments were received. </w:t>
      </w:r>
    </w:p>
    <w:p w:rsidR="00ED79BB" w:rsidP="00ED79BB" w:rsidRDefault="00ED79BB">
      <w:pPr>
        <w:widowControl/>
        <w:ind w:left="1440"/>
      </w:pPr>
    </w:p>
    <w:p w:rsidR="003643DB" w:rsidP="003643DB" w:rsidRDefault="003643DB">
      <w:pPr>
        <w:tabs>
          <w:tab w:val="left" w:pos="-1440"/>
        </w:tabs>
        <w:ind w:left="720" w:hanging="360"/>
        <w:rPr>
          <w:b/>
          <w:spacing w:val="-5"/>
          <w:szCs w:val="24"/>
          <w:u w:val="single"/>
        </w:rPr>
      </w:pPr>
      <w:r w:rsidRPr="003643DB">
        <w:t>9.</w:t>
      </w:r>
      <w:r w:rsidRPr="003643DB">
        <w:tab/>
      </w:r>
      <w:r w:rsidRPr="003643DB">
        <w:rPr>
          <w:b/>
          <w:bCs/>
          <w:iCs/>
          <w:u w:val="single"/>
        </w:rPr>
        <w:t>Payment</w:t>
      </w:r>
      <w:r w:rsidRPr="003643DB">
        <w:rPr>
          <w:b/>
          <w:spacing w:val="-10"/>
          <w:szCs w:val="24"/>
          <w:u w:val="single"/>
        </w:rPr>
        <w:t xml:space="preserve"> </w:t>
      </w:r>
      <w:r w:rsidRPr="003643DB">
        <w:rPr>
          <w:b/>
          <w:spacing w:val="1"/>
          <w:szCs w:val="24"/>
          <w:u w:val="single"/>
        </w:rPr>
        <w:t>or</w:t>
      </w:r>
      <w:r w:rsidRPr="003643DB">
        <w:rPr>
          <w:b/>
          <w:spacing w:val="-7"/>
          <w:szCs w:val="24"/>
          <w:u w:val="single"/>
        </w:rPr>
        <w:t xml:space="preserve"> </w:t>
      </w:r>
      <w:r w:rsidRPr="003643DB">
        <w:rPr>
          <w:b/>
          <w:spacing w:val="-5"/>
          <w:szCs w:val="24"/>
          <w:u w:val="single"/>
        </w:rPr>
        <w:t>gifts to respondents:</w:t>
      </w:r>
    </w:p>
    <w:p w:rsidRPr="003643DB" w:rsidR="005944E5" w:rsidP="003643DB" w:rsidRDefault="005944E5">
      <w:pPr>
        <w:tabs>
          <w:tab w:val="left" w:pos="-1440"/>
        </w:tabs>
        <w:ind w:left="720" w:hanging="360"/>
      </w:pPr>
    </w:p>
    <w:p w:rsidR="00183ADC" w:rsidP="008C7B1A" w:rsidRDefault="00183ADC">
      <w:pPr>
        <w:spacing w:after="120"/>
        <w:ind w:left="720"/>
      </w:pPr>
      <w:r>
        <w:t>None.</w:t>
      </w:r>
    </w:p>
    <w:p w:rsidR="003643DB" w:rsidP="003643DB" w:rsidRDefault="003643DB">
      <w:pPr>
        <w:keepNext/>
        <w:tabs>
          <w:tab w:val="left" w:pos="-1440"/>
        </w:tabs>
        <w:ind w:left="720" w:hanging="360"/>
        <w:rPr>
          <w:b/>
          <w:bCs/>
          <w:iCs/>
          <w:szCs w:val="24"/>
          <w:u w:val="single"/>
        </w:rPr>
      </w:pPr>
      <w:r w:rsidRPr="003643DB">
        <w:t>10.</w:t>
      </w:r>
      <w:r w:rsidRPr="003643DB">
        <w:tab/>
      </w:r>
      <w:r w:rsidRPr="003643DB">
        <w:rPr>
          <w:b/>
          <w:bCs/>
          <w:iCs/>
          <w:u w:val="single"/>
        </w:rPr>
        <w:t>Any</w:t>
      </w:r>
      <w:r w:rsidRPr="003643DB">
        <w:rPr>
          <w:b/>
          <w:bCs/>
          <w:iCs/>
          <w:szCs w:val="24"/>
          <w:u w:val="single"/>
        </w:rPr>
        <w:t xml:space="preserve"> assurance of confidentiality:</w:t>
      </w:r>
    </w:p>
    <w:p w:rsidRPr="003643DB" w:rsidR="005944E5" w:rsidP="003643DB" w:rsidRDefault="005944E5">
      <w:pPr>
        <w:keepNext/>
        <w:tabs>
          <w:tab w:val="left" w:pos="-1440"/>
        </w:tabs>
        <w:ind w:left="720" w:hanging="360"/>
      </w:pPr>
    </w:p>
    <w:p w:rsidRPr="00ED79BB" w:rsidR="00ED79BB" w:rsidP="005277B2" w:rsidRDefault="00D44580">
      <w:pPr>
        <w:spacing w:after="240"/>
        <w:ind w:left="720"/>
      </w:pPr>
      <w:r w:rsidRPr="00D44580">
        <w:t xml:space="preserve">Since </w:t>
      </w:r>
      <w:r>
        <w:t>the regulations only contain a third-party disclosure requirements</w:t>
      </w:r>
      <w:r w:rsidRPr="00D44580">
        <w:t xml:space="preserve">, no issue of confidentiality arises.  </w:t>
      </w:r>
      <w:r>
        <w:t>The discl</w:t>
      </w:r>
      <w:r w:rsidRPr="00D44580">
        <w:t>osure of information to consumers with regard to the availability of funds is available to the public.</w:t>
      </w:r>
      <w:r>
        <w:t xml:space="preserve"> </w:t>
      </w:r>
      <w:r w:rsidRPr="005277B2" w:rsidR="005277B2">
        <w:t>Any information collected by the FDIC will be kept private to the extent permitted by law.</w:t>
      </w:r>
    </w:p>
    <w:p w:rsidR="003643DB" w:rsidP="003643DB" w:rsidRDefault="003643DB">
      <w:pPr>
        <w:tabs>
          <w:tab w:val="left" w:pos="-1440"/>
        </w:tabs>
        <w:ind w:left="720" w:hanging="360"/>
        <w:rPr>
          <w:b/>
          <w:bCs/>
          <w:spacing w:val="-1"/>
          <w:szCs w:val="24"/>
          <w:u w:val="single"/>
        </w:rPr>
      </w:pPr>
      <w:r w:rsidRPr="003643DB">
        <w:t>11.</w:t>
      </w:r>
      <w:r w:rsidRPr="003643DB">
        <w:tab/>
      </w:r>
      <w:r w:rsidRPr="003643DB">
        <w:rPr>
          <w:b/>
          <w:bCs/>
          <w:iCs/>
          <w:u w:val="single"/>
        </w:rPr>
        <w:t>Justification</w:t>
      </w:r>
      <w:r w:rsidRPr="003643DB">
        <w:rPr>
          <w:b/>
          <w:bCs/>
          <w:spacing w:val="-1"/>
          <w:szCs w:val="24"/>
          <w:u w:val="single"/>
        </w:rPr>
        <w:t xml:space="preserve"> </w:t>
      </w:r>
      <w:r w:rsidRPr="003643DB">
        <w:rPr>
          <w:b/>
          <w:u w:val="single"/>
        </w:rPr>
        <w:t>for</w:t>
      </w:r>
      <w:r w:rsidRPr="003643DB">
        <w:rPr>
          <w:b/>
          <w:bCs/>
          <w:spacing w:val="-1"/>
          <w:szCs w:val="24"/>
          <w:u w:val="single"/>
        </w:rPr>
        <w:t xml:space="preserve"> questions of a sensitive nature:</w:t>
      </w:r>
    </w:p>
    <w:p w:rsidRPr="003643DB" w:rsidR="005944E5" w:rsidP="003643DB" w:rsidRDefault="005944E5">
      <w:pPr>
        <w:tabs>
          <w:tab w:val="left" w:pos="-1440"/>
        </w:tabs>
        <w:ind w:left="720" w:hanging="360"/>
        <w:rPr>
          <w:b/>
          <w:spacing w:val="-1"/>
          <w:szCs w:val="24"/>
        </w:rPr>
      </w:pPr>
    </w:p>
    <w:p w:rsidR="00ED79BB" w:rsidP="00AA2DC4" w:rsidRDefault="003643DB">
      <w:pPr>
        <w:spacing w:after="240"/>
        <w:ind w:left="720"/>
      </w:pPr>
      <w:r>
        <w:t>No sensitive information is collected</w:t>
      </w:r>
      <w:r w:rsidR="00183ADC">
        <w:t>.</w:t>
      </w:r>
    </w:p>
    <w:p w:rsidRPr="003643DB" w:rsidR="003643DB" w:rsidP="003643DB" w:rsidRDefault="00ED79BB">
      <w:pPr>
        <w:keepNext/>
        <w:tabs>
          <w:tab w:val="left" w:pos="-1440"/>
        </w:tabs>
        <w:ind w:left="720" w:hanging="360"/>
      </w:pPr>
      <w:r>
        <w:br w:type="page"/>
      </w:r>
    </w:p>
    <w:p w:rsidRPr="00D44580" w:rsidR="005277B2" w:rsidP="00D44580" w:rsidRDefault="003643DB">
      <w:pPr>
        <w:keepNext/>
        <w:tabs>
          <w:tab w:val="left" w:pos="-1440"/>
        </w:tabs>
        <w:ind w:left="720" w:hanging="360"/>
        <w:rPr>
          <w:b/>
          <w:bCs/>
          <w:iCs/>
          <w:szCs w:val="24"/>
          <w:u w:val="single"/>
        </w:rPr>
      </w:pPr>
      <w:r w:rsidRPr="003643DB">
        <w:lastRenderedPageBreak/>
        <w:t>12.</w:t>
      </w:r>
      <w:r w:rsidRPr="003643DB">
        <w:tab/>
      </w:r>
      <w:r w:rsidRPr="003643DB">
        <w:rPr>
          <w:b/>
          <w:bCs/>
          <w:iCs/>
          <w:u w:val="single"/>
        </w:rPr>
        <w:t>Estimate</w:t>
      </w:r>
      <w:r w:rsidRPr="003643DB">
        <w:rPr>
          <w:b/>
          <w:bCs/>
          <w:iCs/>
          <w:szCs w:val="24"/>
          <w:u w:val="single"/>
        </w:rPr>
        <w:t xml:space="preserve"> of hour burden including annualized hourly costs:</w:t>
      </w:r>
    </w:p>
    <w:p w:rsidRPr="005277B2" w:rsidR="00D44580" w:rsidP="005277B2" w:rsidRDefault="00D44580">
      <w:pPr>
        <w:tabs>
          <w:tab w:val="left" w:pos="-1440"/>
        </w:tabs>
        <w:ind w:left="360"/>
      </w:pPr>
    </w:p>
    <w:p w:rsidRPr="00D44580" w:rsidR="00D44580" w:rsidP="00D44580" w:rsidRDefault="00D44580">
      <w:pPr>
        <w:tabs>
          <w:tab w:val="left" w:pos="-1440"/>
        </w:tabs>
        <w:ind w:left="360"/>
        <w:rPr>
          <w:b/>
          <w:bCs/>
        </w:rPr>
      </w:pPr>
      <w:r w:rsidRPr="00D44580">
        <w:rPr>
          <w:b/>
        </w:rPr>
        <w:t>Estimated</w:t>
      </w:r>
      <w:r w:rsidRPr="00D44580">
        <w:rPr>
          <w:b/>
          <w:bCs/>
        </w:rPr>
        <w:t xml:space="preserve"> Number of Respondents, Responses and Burden Hours</w:t>
      </w:r>
    </w:p>
    <w:p w:rsidRPr="00D44580" w:rsidR="00D44580" w:rsidP="00D44580" w:rsidRDefault="00D44580">
      <w:pPr>
        <w:tabs>
          <w:tab w:val="left" w:pos="-1440"/>
        </w:tabs>
        <w:rPr>
          <w:bCs/>
        </w:rPr>
      </w:pPr>
    </w:p>
    <w:p w:rsidRPr="00D44580" w:rsidR="005277B2" w:rsidP="00D44580" w:rsidRDefault="00D44580">
      <w:pPr>
        <w:tabs>
          <w:tab w:val="left" w:pos="-1440"/>
        </w:tabs>
        <w:ind w:left="360"/>
        <w:rPr>
          <w:b/>
        </w:rPr>
      </w:pPr>
      <w:r w:rsidRPr="00D44580">
        <w:rPr>
          <w:b/>
        </w:rPr>
        <w:t>Regulation E</w:t>
      </w:r>
    </w:p>
    <w:p w:rsidR="00D44580" w:rsidP="00D44580" w:rsidRDefault="00D44580">
      <w:pPr>
        <w:tabs>
          <w:tab w:val="left" w:pos="-1440"/>
        </w:tabs>
      </w:pPr>
    </w:p>
    <w:p w:rsidRPr="00D44580" w:rsidR="00D44580" w:rsidP="00D44580" w:rsidRDefault="00D44580">
      <w:pPr>
        <w:tabs>
          <w:tab w:val="left" w:pos="-1440"/>
        </w:tabs>
        <w:ind w:left="360"/>
      </w:pPr>
      <w:r w:rsidRPr="00D44580">
        <w:t>Potential respondents to the IC line items associated with Regulation E include state nonmember banks, savings institutions, and insured state branches of foreign banks with $10 billion or less in consolidated assets. As of December 31, 2020, the FDIC supervises 3,172 such institutions.</w:t>
      </w:r>
      <w:r w:rsidRPr="00D44580">
        <w:rPr>
          <w:vertAlign w:val="superscript"/>
        </w:rPr>
        <w:footnoteReference w:id="18"/>
      </w:r>
      <w:r w:rsidRPr="00D44580">
        <w:t xml:space="preserve"> Of these institutions, 2,380 are considered small for the purposes of the RFA.</w:t>
      </w:r>
      <w:r w:rsidRPr="00D44580">
        <w:rPr>
          <w:vertAlign w:val="superscript"/>
        </w:rPr>
        <w:footnoteReference w:id="19"/>
      </w:r>
      <w:r>
        <w:t xml:space="preserve">  Table 1 below shows</w:t>
      </w:r>
      <w:r w:rsidRPr="00D44580">
        <w:t xml:space="preserve"> the </w:t>
      </w:r>
      <w:r>
        <w:t>information collection (</w:t>
      </w:r>
      <w:r w:rsidRPr="00D44580">
        <w:t>IC</w:t>
      </w:r>
      <w:r>
        <w:t>)</w:t>
      </w:r>
      <w:r w:rsidRPr="00D44580">
        <w:t xml:space="preserve"> line items associated with Regulation E, with corresponding estimates of the annual number of respondents, responses, and hourly burdens. The methodologies for the estimate of the annual number of respondents are as follows: </w:t>
      </w:r>
    </w:p>
    <w:p w:rsidRPr="00D44580" w:rsidR="00D44580" w:rsidP="00D44580" w:rsidRDefault="00D44580">
      <w:pPr>
        <w:tabs>
          <w:tab w:val="left" w:pos="-1440"/>
        </w:tabs>
        <w:ind w:left="360"/>
      </w:pPr>
    </w:p>
    <w:p w:rsidRPr="00D44580" w:rsidR="00D44580" w:rsidP="00D44580" w:rsidRDefault="00D44580">
      <w:pPr>
        <w:numPr>
          <w:ilvl w:val="0"/>
          <w:numId w:val="20"/>
        </w:numPr>
        <w:tabs>
          <w:tab w:val="left" w:pos="-1440"/>
        </w:tabs>
      </w:pPr>
      <w:r w:rsidRPr="00D44580">
        <w:t>Three items (line items 1, 3, and 4) under Regulation E apply to all state nonmember banks, savings institutions, and insured state branches of foreign banks with $10 billion or less in total assets.</w:t>
      </w:r>
      <w:r>
        <w:t xml:space="preserve"> T</w:t>
      </w:r>
      <w:r w:rsidRPr="00D44580">
        <w:t>here are 3,172 such institutions. This estimate represents a decrease of 503 institutions from the previous estimate. A decrease of 448 institutions can be attributed to the decline in the number of FDIC-supervised institutions since September 30, 2017. The remaining decrease of 55 institutions can be attributed to the transfer of supervisory authority for Regulations E and DD to the CFPB for state nonmember banks, savings institutions, and insured state branches of foreign banks with more than $10 billion in consolidated assets.</w:t>
      </w:r>
      <w:r w:rsidRPr="00D44580">
        <w:rPr>
          <w:vertAlign w:val="superscript"/>
        </w:rPr>
        <w:footnoteReference w:id="20"/>
      </w:r>
      <w:r w:rsidRPr="00D44580">
        <w:t xml:space="preserve"> This transfer of authority was not considered in the 2018 ICR estimate. Of the 3,172 estimated respondents, 2,380 are small f</w:t>
      </w:r>
      <w:r w:rsidR="008F3A99">
        <w:t xml:space="preserve">or </w:t>
      </w:r>
      <w:r w:rsidRPr="00D44580">
        <w:t>purposes of the RFA.</w:t>
      </w:r>
      <w:r w:rsidRPr="00D44580">
        <w:rPr>
          <w:vertAlign w:val="superscript"/>
        </w:rPr>
        <w:footnoteReference w:id="21"/>
      </w:r>
    </w:p>
    <w:p w:rsidRPr="00D44580" w:rsidR="00D44580" w:rsidP="00D44580" w:rsidRDefault="00D44580">
      <w:pPr>
        <w:tabs>
          <w:tab w:val="left" w:pos="-1440"/>
        </w:tabs>
        <w:ind w:left="360"/>
      </w:pPr>
    </w:p>
    <w:p w:rsidRPr="00D44580" w:rsidR="00D44580" w:rsidP="00D44580" w:rsidRDefault="00D44580">
      <w:pPr>
        <w:numPr>
          <w:ilvl w:val="0"/>
          <w:numId w:val="20"/>
        </w:numPr>
        <w:tabs>
          <w:tab w:val="left" w:pos="-1440"/>
        </w:tabs>
      </w:pPr>
      <w:r w:rsidRPr="00D44580">
        <w:t>There are two line items that apply to institutions that are FDIC-supervised, have $10 billion or less in consolidated assets, and are engaged in issuing payroll cards (line items 2 and 5). To estimate the number of respon</w:t>
      </w:r>
      <w:r w:rsidR="008F3A99">
        <w:t>dents to these line items, FDIC uses</w:t>
      </w:r>
      <w:r w:rsidRPr="00D44580">
        <w:t xml:space="preserve"> the CFPB’s Prepaid Account Agreements Database, which identifie</w:t>
      </w:r>
      <w:r w:rsidR="008F3A99">
        <w:t>s agreements by product type.  T</w:t>
      </w:r>
      <w:r w:rsidRPr="00D44580">
        <w:t>his database</w:t>
      </w:r>
      <w:r w:rsidR="008F3A99">
        <w:t xml:space="preserve"> shows eight</w:t>
      </w:r>
      <w:r w:rsidRPr="00D44580">
        <w:t xml:space="preserve"> institutions that have prepaid product agreements under the product type “Payroll”.</w:t>
      </w:r>
      <w:r w:rsidRPr="00D44580">
        <w:rPr>
          <w:vertAlign w:val="superscript"/>
        </w:rPr>
        <w:footnoteReference w:id="22"/>
      </w:r>
      <w:r w:rsidRPr="00D44580">
        <w:t xml:space="preserve"> </w:t>
      </w:r>
      <w:r w:rsidR="008F3A99">
        <w:t>FDIC</w:t>
      </w:r>
      <w:r w:rsidRPr="00D44580">
        <w:t xml:space="preserve"> therefore estimate</w:t>
      </w:r>
      <w:r w:rsidR="008F3A99">
        <w:t>s</w:t>
      </w:r>
      <w:r w:rsidRPr="00D44580">
        <w:t xml:space="preserve"> eight respondents to these items. This estimate represents an increase of two respondents. This increase is due to a change in </w:t>
      </w:r>
      <w:r w:rsidR="008F3A99">
        <w:t xml:space="preserve">estimation </w:t>
      </w:r>
      <w:r w:rsidRPr="00D44580">
        <w:t>methodology.</w:t>
      </w:r>
      <w:r w:rsidRPr="00D44580">
        <w:rPr>
          <w:vertAlign w:val="superscript"/>
        </w:rPr>
        <w:footnoteReference w:id="23"/>
      </w:r>
      <w:r w:rsidRPr="00D44580">
        <w:t xml:space="preserve">  Of these eight institutions, two are small for the purposes of the RFA.</w:t>
      </w:r>
      <w:r w:rsidRPr="00D44580">
        <w:rPr>
          <w:vertAlign w:val="superscript"/>
        </w:rPr>
        <w:footnoteReference w:id="24"/>
      </w:r>
      <w:r w:rsidRPr="00D44580">
        <w:t xml:space="preserve"> </w:t>
      </w:r>
    </w:p>
    <w:p w:rsidRPr="00D44580" w:rsidR="00D44580" w:rsidP="00D44580" w:rsidRDefault="00D44580">
      <w:pPr>
        <w:tabs>
          <w:tab w:val="left" w:pos="-1440"/>
        </w:tabs>
        <w:ind w:left="360"/>
      </w:pPr>
    </w:p>
    <w:p w:rsidRPr="00D44580" w:rsidR="00D44580" w:rsidP="00D44580" w:rsidRDefault="00D44580">
      <w:pPr>
        <w:numPr>
          <w:ilvl w:val="0"/>
          <w:numId w:val="20"/>
        </w:numPr>
        <w:tabs>
          <w:tab w:val="left" w:pos="-1440"/>
        </w:tabs>
      </w:pPr>
      <w:r w:rsidRPr="00D44580">
        <w:t>There are ten line items (numbered 6 to15) tha</w:t>
      </w:r>
      <w:r w:rsidR="006818DF">
        <w:t>t apply to FDIC-supervised institutions</w:t>
      </w:r>
      <w:r w:rsidRPr="00D44580">
        <w:t xml:space="preserve"> subject to the CFPB’s Prepaid Accounts Rule, which modified Regulation E and was effective starting in 2019. Banks issuing prepaid account agreements are required to submit to the CFPB documents containing, among other things, the general terms and conditions of these agreements.</w:t>
      </w:r>
      <w:r w:rsidRPr="00D44580">
        <w:rPr>
          <w:vertAlign w:val="superscript"/>
        </w:rPr>
        <w:footnoteReference w:id="25"/>
      </w:r>
      <w:r w:rsidRPr="00D44580">
        <w:t xml:space="preserve"> For ease of exposition, Table 1 groups these line items into a. items that apply to new products, b. implementation items that apply to new entrants, and c. ongoing items that apply to active products that are not new. </w:t>
      </w:r>
      <w:r w:rsidRPr="00D44580">
        <w:lastRenderedPageBreak/>
        <w:t xml:space="preserve">These items were not </w:t>
      </w:r>
      <w:r w:rsidR="006818DF">
        <w:t>included</w:t>
      </w:r>
      <w:r w:rsidRPr="00D44580">
        <w:t xml:space="preserve"> in the 2018 ICR.</w:t>
      </w:r>
    </w:p>
    <w:p w:rsidRPr="00D44580" w:rsidR="00D44580" w:rsidP="00D44580" w:rsidRDefault="00D44580">
      <w:pPr>
        <w:tabs>
          <w:tab w:val="left" w:pos="-1440"/>
        </w:tabs>
        <w:ind w:left="360"/>
      </w:pPr>
    </w:p>
    <w:p w:rsidRPr="00D44580" w:rsidR="00D44580" w:rsidP="00D44580" w:rsidRDefault="00D44580">
      <w:pPr>
        <w:numPr>
          <w:ilvl w:val="1"/>
          <w:numId w:val="20"/>
        </w:numPr>
        <w:tabs>
          <w:tab w:val="left" w:pos="-1440"/>
        </w:tabs>
      </w:pPr>
      <w:r w:rsidRPr="00D44580">
        <w:t xml:space="preserve">There are two line items that apply to new products under the CFPB’s Prepaid Accounts Rule (line items 6 and 7). These are disclosure burdens that FDIC-supervised institutions must incur when they launch a new prepaid product. Because the Prepaid Accounts Rule was implemented in 2019, we only have complete data for 2019 and 2020. </w:t>
      </w:r>
      <w:r w:rsidR="003D7B74">
        <w:t xml:space="preserve"> </w:t>
      </w:r>
      <w:r w:rsidRPr="00D44580">
        <w:t xml:space="preserve">As such, </w:t>
      </w:r>
      <w:r w:rsidR="006818DF">
        <w:t>FDIC</w:t>
      </w:r>
      <w:r w:rsidRPr="00D44580">
        <w:t xml:space="preserve"> estimate</w:t>
      </w:r>
      <w:r w:rsidR="006818DF">
        <w:t>s</w:t>
      </w:r>
      <w:r w:rsidRPr="00D44580">
        <w:t xml:space="preserve"> the number of new products in each year by taking the number of new products in 2020, products with agreements that became effective in 2020 that did not have a prior agreement in 2019.</w:t>
      </w:r>
      <w:r w:rsidRPr="00D44580">
        <w:rPr>
          <w:vertAlign w:val="superscript"/>
        </w:rPr>
        <w:footnoteReference w:id="26"/>
      </w:r>
      <w:r w:rsidRPr="00D44580">
        <w:t xml:space="preserve"> </w:t>
      </w:r>
      <w:r w:rsidR="006818DF">
        <w:t>FDIC</w:t>
      </w:r>
      <w:r w:rsidRPr="00D44580">
        <w:t xml:space="preserve"> found four institutions with new prepaid products in 2020</w:t>
      </w:r>
      <w:r w:rsidR="003D7B74">
        <w:t xml:space="preserve"> and</w:t>
      </w:r>
      <w:r w:rsidRPr="00D44580">
        <w:t xml:space="preserve"> therefore estimate</w:t>
      </w:r>
      <w:r w:rsidR="003D7B74">
        <w:t>s</w:t>
      </w:r>
      <w:r w:rsidRPr="00D44580">
        <w:t xml:space="preserve">, on average, four respondents to these line items annually. These four banks introduced 213 new products in 2020. </w:t>
      </w:r>
      <w:r w:rsidR="003D7B74">
        <w:t>FDIC</w:t>
      </w:r>
      <w:r w:rsidRPr="00D44580">
        <w:t xml:space="preserve"> therefore estimate</w:t>
      </w:r>
      <w:r w:rsidR="003D7B74">
        <w:t>s</w:t>
      </w:r>
      <w:r w:rsidRPr="00D44580">
        <w:t>, on average, 53 responses per respondent to these line items. Of the four institutions with new products in 2020, two are small for the purposes of the RFA.</w:t>
      </w:r>
      <w:r w:rsidRPr="00D44580">
        <w:rPr>
          <w:vertAlign w:val="superscript"/>
        </w:rPr>
        <w:footnoteReference w:id="27"/>
      </w:r>
    </w:p>
    <w:p w:rsidRPr="00D44580" w:rsidR="00D44580" w:rsidP="00D44580" w:rsidRDefault="00D44580">
      <w:pPr>
        <w:tabs>
          <w:tab w:val="left" w:pos="-1440"/>
        </w:tabs>
        <w:ind w:left="360"/>
      </w:pPr>
    </w:p>
    <w:p w:rsidRPr="00D44580" w:rsidR="00D44580" w:rsidP="00D44580" w:rsidRDefault="00D44580">
      <w:pPr>
        <w:numPr>
          <w:ilvl w:val="1"/>
          <w:numId w:val="20"/>
        </w:numPr>
        <w:tabs>
          <w:tab w:val="left" w:pos="-1440"/>
        </w:tabs>
      </w:pPr>
      <w:r w:rsidRPr="00D44580">
        <w:t xml:space="preserve">There are four line items that are implementation burdens under the CFPB’s Prepaid Accounts Rule (line items 8 through 11). These implementation burdens apply to new entrants to prepaid products. Because the Prepaid Accounts Rule was implemented in 2019, we only have complete data for 2019 and 2020. As such, </w:t>
      </w:r>
      <w:r w:rsidR="003D7B74">
        <w:t xml:space="preserve">FDIC </w:t>
      </w:r>
      <w:r w:rsidRPr="00D44580">
        <w:t>estimate</w:t>
      </w:r>
      <w:r w:rsidR="003D7B74">
        <w:t>s</w:t>
      </w:r>
      <w:r w:rsidRPr="00D44580">
        <w:t xml:space="preserve"> the annual number of new entrants by taking the number of institutions with agreements in 2020 that did not have agreements in 2019. </w:t>
      </w:r>
      <w:r w:rsidR="003D7B74">
        <w:t>FDIC</w:t>
      </w:r>
      <w:r w:rsidRPr="00D44580">
        <w:t xml:space="preserve"> </w:t>
      </w:r>
      <w:r w:rsidR="003D7B74">
        <w:t>found</w:t>
      </w:r>
      <w:r w:rsidRPr="00D44580">
        <w:t xml:space="preserve"> one such institution. This institution is </w:t>
      </w:r>
      <w:r w:rsidR="003D7B74">
        <w:t xml:space="preserve">considered </w:t>
      </w:r>
      <w:r w:rsidRPr="00D44580">
        <w:t>small for the purposes of the RFA</w:t>
      </w:r>
      <w:r w:rsidRPr="00D44580">
        <w:rPr>
          <w:vertAlign w:val="superscript"/>
        </w:rPr>
        <w:footnoteReference w:id="28"/>
      </w:r>
    </w:p>
    <w:p w:rsidRPr="00D44580" w:rsidR="00D44580" w:rsidP="00D44580" w:rsidRDefault="00D44580">
      <w:pPr>
        <w:tabs>
          <w:tab w:val="left" w:pos="-1440"/>
        </w:tabs>
        <w:ind w:left="360"/>
      </w:pPr>
    </w:p>
    <w:p w:rsidRPr="00D44580" w:rsidR="00D44580" w:rsidP="00D44580" w:rsidRDefault="00D44580">
      <w:pPr>
        <w:numPr>
          <w:ilvl w:val="1"/>
          <w:numId w:val="20"/>
        </w:numPr>
        <w:tabs>
          <w:tab w:val="left" w:pos="-1440"/>
        </w:tabs>
      </w:pPr>
      <w:r w:rsidRPr="00D44580">
        <w:t>There are four line items that are ongoing burdens under the CFPB’s Prepaid Accounts Rule (line items 12 through 15). These ongoing burdens apply to the upkeep of systems and processes after a new entrant completes the corresponding implementation burden described above. As of December 31, 2020, there are 14 FDIC-supervised institutions with ac</w:t>
      </w:r>
      <w:r w:rsidR="003D7B74">
        <w:t>tive prepaid product agreements</w:t>
      </w:r>
      <w:r w:rsidRPr="00D44580">
        <w:t xml:space="preserve">. Given </w:t>
      </w:r>
      <w:r w:rsidR="003D7B74">
        <w:t>FDIC’s</w:t>
      </w:r>
      <w:r w:rsidRPr="00D44580">
        <w:t xml:space="preserve"> previous estimate of one new implementing entrant in each year, </w:t>
      </w:r>
      <w:r w:rsidR="003D7B74">
        <w:t>FDIC</w:t>
      </w:r>
      <w:r w:rsidRPr="00D44580">
        <w:t xml:space="preserve"> estimate</w:t>
      </w:r>
      <w:r w:rsidR="003D7B74">
        <w:t>s</w:t>
      </w:r>
      <w:r w:rsidRPr="00D44580">
        <w:t xml:space="preserve"> that the number of ongoing respondent to increase by one respondent a year, for a total of 15 and 16 respondents in the second and third years of this ICR, respectively. </w:t>
      </w:r>
      <w:r w:rsidR="003D7B74">
        <w:t xml:space="preserve">FDIC </w:t>
      </w:r>
      <w:r w:rsidRPr="00D44580">
        <w:t>therefore estimate</w:t>
      </w:r>
      <w:r w:rsidR="003D7B74">
        <w:t>s</w:t>
      </w:r>
      <w:r w:rsidRPr="00D44580">
        <w:t xml:space="preserve"> an annual average of 15 respondents per year.  Of the initial 14 respondents, six are small for the purposes of the RFA.</w:t>
      </w:r>
      <w:r w:rsidRPr="00D44580">
        <w:rPr>
          <w:vertAlign w:val="superscript"/>
        </w:rPr>
        <w:footnoteReference w:id="29"/>
      </w:r>
      <w:r w:rsidRPr="00D44580">
        <w:t xml:space="preserve"> Assuming the entrants are also small, there will be an average of seven small respondents each year. </w:t>
      </w:r>
    </w:p>
    <w:p w:rsidRPr="00D44580" w:rsidR="00D44580" w:rsidP="00D44580" w:rsidRDefault="00D44580">
      <w:pPr>
        <w:tabs>
          <w:tab w:val="left" w:pos="-1440"/>
        </w:tabs>
        <w:ind w:left="360"/>
      </w:pPr>
    </w:p>
    <w:p w:rsidRPr="00D44580" w:rsidR="00D44580" w:rsidP="00D44580" w:rsidRDefault="00D44580">
      <w:pPr>
        <w:numPr>
          <w:ilvl w:val="0"/>
          <w:numId w:val="20"/>
        </w:numPr>
        <w:tabs>
          <w:tab w:val="left" w:pos="-1440"/>
        </w:tabs>
      </w:pPr>
      <w:r w:rsidRPr="00D44580">
        <w:t>Four line items (numbered 16 to 19) apply to banks that issue gift cards and gift certificates. Using the CFPB’s Prepaid</w:t>
      </w:r>
      <w:r w:rsidR="003D7B74">
        <w:t xml:space="preserve"> Accounts Agreements Database, FDIC</w:t>
      </w:r>
      <w:r w:rsidRPr="00D44580">
        <w:t xml:space="preserve"> initially estimated the number of respondents by counting the number of FDIC-supervised institutions with less than $10 billion in total assets where the product had “Gift” in the name. One such bank exists. </w:t>
      </w:r>
      <w:r w:rsidR="003D7B74">
        <w:t>However, FDIC is uncertain whether</w:t>
      </w:r>
      <w:r w:rsidRPr="00D44580">
        <w:t xml:space="preserve"> the CFPB’s Prepaid Accounts Agreements Database</w:t>
      </w:r>
      <w:r w:rsidR="00400C52">
        <w:t xml:space="preserve"> is</w:t>
      </w:r>
      <w:r w:rsidRPr="00D44580">
        <w:t xml:space="preserve"> a reliable indicator of the number of banks offering gift cards, because the CFPB did not require gift card providers to submit accounts agreements to the Prepaid Rule account agreement database as gift cards are not subject to the Rule. Most gift cards are offered by retailers. Given the lack of data, the </w:t>
      </w:r>
      <w:r w:rsidR="00400C52">
        <w:t>FDIC</w:t>
      </w:r>
      <w:r w:rsidRPr="00D44580">
        <w:t xml:space="preserve"> believe</w:t>
      </w:r>
      <w:r w:rsidR="00400C52">
        <w:t>s</w:t>
      </w:r>
      <w:r w:rsidRPr="00D44580">
        <w:t xml:space="preserve"> that estimating the number of FDIC-supervised institutions with less than $10 billion in total assets involved in issuing gift cards and gift certificates by taking the number of banks that issue multiple prepaid products is an appropriate methodology. For ease of exposition, Table 1 groups these line items into </w:t>
      </w:r>
      <w:r w:rsidR="00400C52">
        <w:t>(</w:t>
      </w:r>
      <w:r w:rsidRPr="00D44580">
        <w:t>a</w:t>
      </w:r>
      <w:r w:rsidR="00400C52">
        <w:t>)</w:t>
      </w:r>
      <w:r w:rsidRPr="00D44580">
        <w:t xml:space="preserve"> implementation items th</w:t>
      </w:r>
      <w:r w:rsidR="00400C52">
        <w:t xml:space="preserve">at apply to new entrants and (b) </w:t>
      </w:r>
      <w:r w:rsidRPr="00D44580">
        <w:t>ongoing items that apply to existing issuers.</w:t>
      </w:r>
      <w:r w:rsidRPr="00D44580">
        <w:br/>
      </w:r>
    </w:p>
    <w:p w:rsidRPr="00D44580" w:rsidR="00D44580" w:rsidP="00D44580" w:rsidRDefault="00D44580">
      <w:pPr>
        <w:numPr>
          <w:ilvl w:val="1"/>
          <w:numId w:val="20"/>
        </w:numPr>
        <w:tabs>
          <w:tab w:val="left" w:pos="-1440"/>
        </w:tabs>
      </w:pPr>
      <w:r w:rsidRPr="00D44580">
        <w:t xml:space="preserve">There are two line items that are implementation burdens for banks issuing gift cards and gift certificates (line items 16 and 17). These implementation burdens apply to new entrants to gift cards and gift certificates. Because the Prepaid Accounts </w:t>
      </w:r>
      <w:r w:rsidR="00400C52">
        <w:t>Rule was implemented in 2019, FDIC only has</w:t>
      </w:r>
      <w:r w:rsidRPr="00D44580">
        <w:t xml:space="preserve"> complete da</w:t>
      </w:r>
      <w:r w:rsidR="00400C52">
        <w:t xml:space="preserve">ta for 2019 and 2020. As such, </w:t>
      </w:r>
      <w:r w:rsidR="00400C52">
        <w:lastRenderedPageBreak/>
        <w:t>FDIC</w:t>
      </w:r>
      <w:r w:rsidRPr="00D44580">
        <w:t xml:space="preserve"> estimate</w:t>
      </w:r>
      <w:r w:rsidR="00400C52">
        <w:t>s</w:t>
      </w:r>
      <w:r w:rsidRPr="00D44580">
        <w:t xml:space="preserve"> the annual number of new entrants by taking the number of institutions with multiple products in 2020 that did not</w:t>
      </w:r>
      <w:r w:rsidR="00400C52">
        <w:t xml:space="preserve"> have agreements in 2019. FDIC found</w:t>
      </w:r>
      <w:r w:rsidRPr="00D44580">
        <w:t xml:space="preserve"> zero such institutions</w:t>
      </w:r>
      <w:r w:rsidR="00400C52">
        <w:t>. Therefore, FDIC is estimating</w:t>
      </w:r>
      <w:r w:rsidRPr="00D44580">
        <w:t xml:space="preserve"> one respondent to these line items as a conservative placeholder for any future entrants. This estimate represents a decrease of five respondents from the previous estimate. This decrease is due to a change in methodology.</w:t>
      </w:r>
      <w:r w:rsidRPr="00D44580">
        <w:rPr>
          <w:vertAlign w:val="superscript"/>
        </w:rPr>
        <w:footnoteReference w:id="30"/>
      </w:r>
      <w:r w:rsidRPr="00D44580">
        <w:t xml:space="preserve"> </w:t>
      </w:r>
      <w:r w:rsidRPr="00D44580">
        <w:br/>
      </w:r>
    </w:p>
    <w:p w:rsidRPr="00D44580" w:rsidR="00D44580" w:rsidP="00D44580" w:rsidRDefault="00D44580">
      <w:pPr>
        <w:numPr>
          <w:ilvl w:val="1"/>
          <w:numId w:val="20"/>
        </w:numPr>
        <w:tabs>
          <w:tab w:val="left" w:pos="-1440"/>
        </w:tabs>
      </w:pPr>
      <w:r w:rsidRPr="00D44580">
        <w:t>There are two line items that are ongoing burdens for banks issuing gift cards and gift certificates (line items 18 and 19)</w:t>
      </w:r>
      <w:r w:rsidR="00400C52">
        <w:t>. As discussed above, FDIC</w:t>
      </w:r>
      <w:r w:rsidRPr="00D44580">
        <w:t xml:space="preserve"> estimate</w:t>
      </w:r>
      <w:r w:rsidR="00400C52">
        <w:t xml:space="preserve">s </w:t>
      </w:r>
      <w:r w:rsidRPr="00D44580">
        <w:t>the number of banks issuing gift cards and gift certificates by counting the number of banks actively issuing multiple products. As of December 31, 2020 there are ten such banks. As discussed above, there is no indication of new entra</w:t>
      </w:r>
      <w:r w:rsidR="00400C52">
        <w:t>nts with multiple products, so FDIC</w:t>
      </w:r>
      <w:r w:rsidRPr="00D44580">
        <w:t xml:space="preserve"> estimate</w:t>
      </w:r>
      <w:r w:rsidR="00400C52">
        <w:t>s</w:t>
      </w:r>
      <w:r w:rsidRPr="00D44580">
        <w:t xml:space="preserve"> that there will be ten respondents to these items in the first, second, and third years, for an average of ten respondents per year. This estimate represents an increase of four respondents from the previous estimate. This increase is due to a change in methodology.</w:t>
      </w:r>
      <w:r w:rsidRPr="00D44580">
        <w:rPr>
          <w:vertAlign w:val="superscript"/>
        </w:rPr>
        <w:footnoteReference w:id="31"/>
      </w:r>
      <w:r w:rsidRPr="00D44580">
        <w:t xml:space="preserve"> </w:t>
      </w:r>
      <w:r w:rsidR="00400C52">
        <w:t>T</w:t>
      </w:r>
      <w:r w:rsidRPr="00D44580">
        <w:t xml:space="preserve">hree </w:t>
      </w:r>
      <w:r w:rsidR="00400C52">
        <w:t xml:space="preserve">respondents </w:t>
      </w:r>
      <w:r w:rsidRPr="00D44580">
        <w:t>are small</w:t>
      </w:r>
      <w:r w:rsidR="00400C52">
        <w:t xml:space="preserve"> entities</w:t>
      </w:r>
      <w:r w:rsidRPr="00D44580">
        <w:t xml:space="preserve"> for the purposes of the RFA.</w:t>
      </w:r>
      <w:r w:rsidRPr="00D44580">
        <w:rPr>
          <w:vertAlign w:val="superscript"/>
        </w:rPr>
        <w:footnoteReference w:id="32"/>
      </w:r>
      <w:r w:rsidRPr="00D44580">
        <w:t xml:space="preserve"> </w:t>
      </w:r>
    </w:p>
    <w:p w:rsidRPr="00D44580" w:rsidR="00D44580" w:rsidP="00D44580" w:rsidRDefault="00D44580">
      <w:pPr>
        <w:tabs>
          <w:tab w:val="left" w:pos="-1440"/>
        </w:tabs>
        <w:ind w:left="360"/>
      </w:pPr>
    </w:p>
    <w:p w:rsidRPr="00D44580" w:rsidR="00D44580" w:rsidP="00D44580" w:rsidRDefault="009805EE">
      <w:pPr>
        <w:numPr>
          <w:ilvl w:val="0"/>
          <w:numId w:val="20"/>
        </w:numPr>
        <w:tabs>
          <w:tab w:val="left" w:pos="-1440"/>
        </w:tabs>
      </w:pPr>
      <w:r>
        <w:t>The FDIC</w:t>
      </w:r>
      <w:r w:rsidRPr="00D44580" w:rsidR="00D44580">
        <w:t xml:space="preserve"> reviewed </w:t>
      </w:r>
      <w:r>
        <w:t>the information collection line</w:t>
      </w:r>
      <w:r w:rsidRPr="00D44580" w:rsidR="00D44580">
        <w:t xml:space="preserve">s related to the overdraft opt-in disclosures (1005.17, FRB r-1343) and the line item related to the systems change to implement a disclosure update (1005.20(e)(3)), and </w:t>
      </w:r>
      <w:r>
        <w:t>it has</w:t>
      </w:r>
      <w:r w:rsidRPr="00D44580" w:rsidR="00D44580">
        <w:t xml:space="preserve"> determined that these ICs are one-time burdens that </w:t>
      </w:r>
      <w:r>
        <w:t>do not</w:t>
      </w:r>
      <w:r w:rsidRPr="00D44580" w:rsidR="00D44580">
        <w:t xml:space="preserve"> impose </w:t>
      </w:r>
      <w:r>
        <w:t xml:space="preserve">ongoing </w:t>
      </w:r>
      <w:r w:rsidRPr="00D44580" w:rsidR="00D44580">
        <w:t>burden on the public. The overdraft opt-in disclosures (1005.17, FRB r-1343) state that a financial institution shall not assess an overdraft fee for paying ATM and one-time debit card transactions that overdraw a consumer’s account, unless the consumer affirmatively consents, or opts in, to the institution’s payment of overdrafts for these transactions, pursuant to an opt-in notice that is substantially similar to Model Form A-9. The item related to the systems change to implement a disclosure update (1005.20(e)(3)) was incurred by institutions engaged in issuing gift cards and gift certificates. The</w:t>
      </w:r>
      <w:r>
        <w:t xml:space="preserve"> FDIC</w:t>
      </w:r>
      <w:r w:rsidRPr="00D44580" w:rsidR="00D44580">
        <w:t xml:space="preserve"> note</w:t>
      </w:r>
      <w:r>
        <w:t>s</w:t>
      </w:r>
      <w:r w:rsidRPr="00D44580" w:rsidR="00D44580">
        <w:t xml:space="preserve"> that affected institutions have already incurred the burdens associated with these ICs and will not need to implement systems changes related to this burden a second time. The FDIC believe</w:t>
      </w:r>
      <w:r>
        <w:t>s</w:t>
      </w:r>
      <w:r w:rsidRPr="00D44580" w:rsidR="00D44580">
        <w:t xml:space="preserve"> that, on </w:t>
      </w:r>
      <w:r w:rsidRPr="00D44580" w:rsidR="003B0E5E">
        <w:t>an</w:t>
      </w:r>
      <w:r w:rsidRPr="00D44580" w:rsidR="00D44580">
        <w:t xml:space="preserve"> </w:t>
      </w:r>
      <w:r>
        <w:t>ongoing</w:t>
      </w:r>
      <w:r w:rsidRPr="00D44580" w:rsidR="00D44580">
        <w:t xml:space="preserve"> basis</w:t>
      </w:r>
      <w:r>
        <w:t>, there is no additional</w:t>
      </w:r>
      <w:r w:rsidRPr="00D44580" w:rsidR="00D44580">
        <w:t xml:space="preserve"> burden as the disclosure was sufficiently accounted for once incorporated into the current initial account disclosure section 1005.7(b).</w:t>
      </w:r>
      <w:r w:rsidRPr="00D44580" w:rsidR="00D44580">
        <w:rPr>
          <w:vertAlign w:val="superscript"/>
        </w:rPr>
        <w:footnoteReference w:id="33"/>
      </w:r>
    </w:p>
    <w:p w:rsidRPr="00D44580" w:rsidR="00D44580" w:rsidP="00D44580" w:rsidRDefault="00D44580">
      <w:pPr>
        <w:tabs>
          <w:tab w:val="left" w:pos="-1440"/>
        </w:tabs>
        <w:ind w:left="360"/>
      </w:pPr>
      <w:r w:rsidRPr="00D44580">
        <w:tab/>
      </w:r>
    </w:p>
    <w:p w:rsidRPr="00D44580" w:rsidR="00D44580" w:rsidP="00D44580" w:rsidRDefault="00D44580">
      <w:pPr>
        <w:tabs>
          <w:tab w:val="left" w:pos="-1440"/>
        </w:tabs>
        <w:ind w:left="360"/>
      </w:pPr>
      <w:r w:rsidRPr="00D44580">
        <w:t xml:space="preserve">The estimates for time per response and annual number of responses per respondent vary by line item. </w:t>
      </w:r>
      <w:r w:rsidR="009805EE">
        <w:t>FDIC based</w:t>
      </w:r>
      <w:r w:rsidRPr="00D44580">
        <w:t xml:space="preserve"> these estimates for the new line items related to the Prepaid Accounts</w:t>
      </w:r>
      <w:r w:rsidR="00EF45E7">
        <w:t xml:space="preserve"> rule </w:t>
      </w:r>
      <w:r w:rsidRPr="00D44580">
        <w:t>on the number of products listed in the CFPB’s Prepaid Accounts Database (to find responses per respondent) and the CFPB’s estimates in its ICR (to find the estimated time per response).</w:t>
      </w:r>
      <w:r w:rsidRPr="00D44580">
        <w:rPr>
          <w:vertAlign w:val="superscript"/>
        </w:rPr>
        <w:footnoteReference w:id="34"/>
      </w:r>
      <w:r w:rsidRPr="00D44580">
        <w:t xml:space="preserve"> For the other line items, the </w:t>
      </w:r>
      <w:r w:rsidR="00EF45E7">
        <w:t>FDIC</w:t>
      </w:r>
      <w:r w:rsidRPr="00D44580">
        <w:t xml:space="preserve"> determined that the estimates from the 2018 ICR remained reasonable.</w:t>
      </w:r>
    </w:p>
    <w:p w:rsidRPr="00D44580" w:rsidR="00D44580" w:rsidP="00D44580" w:rsidRDefault="00D44580">
      <w:pPr>
        <w:tabs>
          <w:tab w:val="left" w:pos="-1440"/>
        </w:tabs>
        <w:ind w:left="360"/>
      </w:pPr>
    </w:p>
    <w:p w:rsidR="00D44580" w:rsidP="00D44580" w:rsidRDefault="00D44580">
      <w:pPr>
        <w:tabs>
          <w:tab w:val="left" w:pos="-1440"/>
        </w:tabs>
        <w:ind w:left="360"/>
      </w:pPr>
      <w:r w:rsidRPr="00D44580">
        <w:t>The estimated annual number of respondents, responses, and burdens for the ICs under Regulation E are delineated in Table 1 below:</w:t>
      </w:r>
    </w:p>
    <w:p w:rsidR="00EF45E7" w:rsidP="00D44580" w:rsidRDefault="00EF45E7">
      <w:pPr>
        <w:tabs>
          <w:tab w:val="left" w:pos="-1440"/>
        </w:tabs>
        <w:ind w:left="360"/>
      </w:pPr>
    </w:p>
    <w:p w:rsidRPr="0086448E" w:rsidR="0086448E" w:rsidP="0086448E" w:rsidRDefault="0086448E">
      <w:pPr>
        <w:tabs>
          <w:tab w:val="left" w:pos="-1440"/>
        </w:tabs>
        <w:ind w:left="360"/>
        <w:jc w:val="center"/>
        <w:rPr>
          <w:b/>
        </w:rPr>
      </w:pPr>
      <w:r w:rsidRPr="0086448E">
        <w:rPr>
          <w:b/>
          <w:bCs/>
        </w:rPr>
        <w:t>Table 1:</w:t>
      </w:r>
      <w:r w:rsidRPr="0086448E">
        <w:rPr>
          <w:b/>
        </w:rPr>
        <w:t xml:space="preserve"> Summary of Annual Burden for Regulation E (OMB No. 3064-0084)</w:t>
      </w:r>
    </w:p>
    <w:tbl>
      <w:tblPr>
        <w:tblW w:w="0" w:type="auto"/>
        <w:tblCellMar>
          <w:top w:w="15" w:type="dxa"/>
          <w:bottom w:w="15" w:type="dxa"/>
        </w:tblCellMar>
        <w:tblLook w:val="04A0" w:firstRow="1" w:lastRow="0" w:firstColumn="1" w:lastColumn="0" w:noHBand="0" w:noVBand="1"/>
      </w:tblPr>
      <w:tblGrid>
        <w:gridCol w:w="3114"/>
        <w:gridCol w:w="1428"/>
        <w:gridCol w:w="1244"/>
        <w:gridCol w:w="1295"/>
        <w:gridCol w:w="1125"/>
        <w:gridCol w:w="1144"/>
      </w:tblGrid>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rPr>
                <w:snapToGrid/>
                <w:sz w:val="20"/>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86448E" w:rsidR="0086448E" w:rsidP="0086448E" w:rsidRDefault="0086448E">
            <w:pPr>
              <w:widowControl/>
              <w:jc w:val="center"/>
              <w:rPr>
                <w:snapToGrid/>
                <w:color w:val="000000"/>
                <w:sz w:val="16"/>
                <w:szCs w:val="16"/>
              </w:rPr>
            </w:pPr>
            <w:r w:rsidRPr="0086448E">
              <w:rPr>
                <w:snapToGrid/>
                <w:color w:val="000000"/>
                <w:sz w:val="16"/>
                <w:szCs w:val="16"/>
              </w:rPr>
              <w:t>Type of Burden (Obligation to Respond)</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86448E" w:rsidR="0086448E" w:rsidP="0086448E" w:rsidRDefault="0086448E">
            <w:pPr>
              <w:widowControl/>
              <w:jc w:val="center"/>
              <w:rPr>
                <w:snapToGrid/>
                <w:color w:val="000000"/>
                <w:sz w:val="16"/>
                <w:szCs w:val="16"/>
              </w:rPr>
            </w:pPr>
            <w:r w:rsidRPr="0086448E">
              <w:rPr>
                <w:snapToGrid/>
                <w:color w:val="000000"/>
                <w:sz w:val="16"/>
                <w:szCs w:val="16"/>
              </w:rPr>
              <w:t>Estimated Number of Respondents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86448E" w:rsidR="0086448E" w:rsidP="0086448E" w:rsidRDefault="0086448E">
            <w:pPr>
              <w:widowControl/>
              <w:jc w:val="center"/>
              <w:rPr>
                <w:snapToGrid/>
                <w:color w:val="000000"/>
                <w:sz w:val="16"/>
                <w:szCs w:val="16"/>
              </w:rPr>
            </w:pPr>
            <w:r w:rsidRPr="0086448E">
              <w:rPr>
                <w:snapToGrid/>
                <w:color w:val="000000"/>
                <w:sz w:val="16"/>
                <w:szCs w:val="16"/>
              </w:rPr>
              <w:t>Estimated Number of Responses/ Respondent</w:t>
            </w:r>
          </w:p>
        </w:tc>
        <w:tc>
          <w:tcPr>
            <w:tcW w:w="0" w:type="auto"/>
            <w:tcBorders>
              <w:top w:val="single" w:color="auto" w:sz="4" w:space="0"/>
              <w:left w:val="single" w:color="auto" w:sz="4" w:space="0"/>
              <w:bottom w:val="single" w:color="auto" w:sz="4" w:space="0"/>
              <w:right w:val="single" w:color="auto" w:sz="4" w:space="0"/>
            </w:tcBorders>
            <w:vAlign w:val="center"/>
          </w:tcPr>
          <w:p w:rsidRPr="0086448E" w:rsidR="0086448E" w:rsidP="0086448E" w:rsidRDefault="00E63717">
            <w:pPr>
              <w:widowControl/>
              <w:jc w:val="center"/>
              <w:rPr>
                <w:snapToGrid/>
                <w:color w:val="000000"/>
                <w:sz w:val="16"/>
                <w:szCs w:val="16"/>
              </w:rPr>
            </w:pPr>
            <w:r>
              <w:rPr>
                <w:snapToGrid/>
                <w:color w:val="000000"/>
                <w:sz w:val="16"/>
                <w:szCs w:val="16"/>
              </w:rPr>
              <w:t>Estimated Time per Response (H</w:t>
            </w:r>
            <w:r w:rsidRPr="0086448E" w:rsidR="0086448E">
              <w:rPr>
                <w:snapToGrid/>
                <w:color w:val="000000"/>
                <w:sz w:val="16"/>
                <w:szCs w:val="16"/>
              </w:rPr>
              <w:t>ours)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86448E" w:rsidR="0086448E" w:rsidP="0086448E" w:rsidRDefault="0086448E">
            <w:pPr>
              <w:widowControl/>
              <w:jc w:val="center"/>
              <w:rPr>
                <w:snapToGrid/>
                <w:color w:val="000000"/>
                <w:sz w:val="16"/>
                <w:szCs w:val="16"/>
              </w:rPr>
            </w:pPr>
            <w:r w:rsidRPr="0086448E">
              <w:rPr>
                <w:snapToGrid/>
                <w:color w:val="000000"/>
                <w:sz w:val="16"/>
                <w:szCs w:val="16"/>
              </w:rPr>
              <w:t>Total Annual Estimated Burden</w:t>
            </w:r>
            <w:r w:rsidR="00E63717">
              <w:rPr>
                <w:snapToGrid/>
                <w:color w:val="000000"/>
                <w:sz w:val="16"/>
                <w:szCs w:val="16"/>
              </w:rPr>
              <w:t xml:space="preserve"> (Hours)</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rPr>
                <w:b/>
                <w:bCs/>
                <w:snapToGrid/>
                <w:color w:val="000000"/>
                <w:sz w:val="16"/>
                <w:szCs w:val="16"/>
              </w:rPr>
            </w:pPr>
            <w:r w:rsidRPr="0086448E">
              <w:rPr>
                <w:b/>
                <w:bCs/>
                <w:snapToGrid/>
                <w:color w:val="000000"/>
                <w:sz w:val="16"/>
                <w:szCs w:val="16"/>
              </w:rPr>
              <w:t>Regulation E - 12 C.F.R. Part 1005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86448E" w:rsidR="0086448E" w:rsidP="0086448E" w:rsidRDefault="0086448E">
            <w:pPr>
              <w:widowControl/>
              <w:rPr>
                <w:b/>
                <w:bCs/>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vAlign w:val="center"/>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86448E" w:rsidR="0086448E" w:rsidP="0086448E" w:rsidRDefault="0086448E">
            <w:pPr>
              <w:widowControl/>
              <w:jc w:val="center"/>
              <w:rPr>
                <w:snapToGrid/>
                <w:sz w:val="20"/>
              </w:rPr>
            </w:pP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86448E" w:rsidR="0086448E" w:rsidP="0086448E" w:rsidRDefault="0086448E">
            <w:pPr>
              <w:widowControl/>
              <w:rPr>
                <w:i/>
                <w:iCs/>
                <w:snapToGrid/>
                <w:color w:val="000000"/>
                <w:sz w:val="16"/>
                <w:szCs w:val="16"/>
              </w:rPr>
            </w:pPr>
            <w:r w:rsidRPr="0086448E">
              <w:rPr>
                <w:i/>
                <w:iCs/>
                <w:snapToGrid/>
                <w:color w:val="000000"/>
                <w:sz w:val="16"/>
                <w:szCs w:val="16"/>
              </w:rPr>
              <w:t>Initial disclosures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rPr>
                <w:i/>
                <w:iCs/>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numPr>
                <w:ilvl w:val="0"/>
                <w:numId w:val="21"/>
              </w:numPr>
              <w:contextualSpacing/>
              <w:rPr>
                <w:snapToGrid/>
                <w:color w:val="000000"/>
                <w:sz w:val="16"/>
                <w:szCs w:val="16"/>
              </w:rPr>
            </w:pPr>
            <w:r w:rsidRPr="0086448E">
              <w:rPr>
                <w:snapToGrid/>
                <w:color w:val="000000" w:themeColor="text1"/>
                <w:sz w:val="16"/>
                <w:szCs w:val="16"/>
              </w:rPr>
              <w:t>General (1005.7(b))</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3,172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83</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0.025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sz w:val="16"/>
                <w:szCs w:val="16"/>
              </w:rPr>
              <w:t>6,582</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numPr>
                <w:ilvl w:val="0"/>
                <w:numId w:val="21"/>
              </w:numPr>
              <w:contextualSpacing/>
              <w:rPr>
                <w:snapToGrid/>
                <w:color w:val="000000"/>
                <w:sz w:val="16"/>
                <w:szCs w:val="16"/>
              </w:rPr>
            </w:pPr>
            <w:r w:rsidRPr="0086448E">
              <w:rPr>
                <w:snapToGrid/>
                <w:color w:val="000000" w:themeColor="text1"/>
                <w:sz w:val="16"/>
                <w:szCs w:val="16"/>
              </w:rPr>
              <w:t>Payroll cards (1005.18(c)(1))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themeColor="text1"/>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5,000</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0.025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sz w:val="16"/>
                <w:szCs w:val="16"/>
              </w:rPr>
              <w:t>1,000</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numPr>
                <w:ilvl w:val="0"/>
                <w:numId w:val="21"/>
              </w:numPr>
              <w:contextualSpacing/>
              <w:rPr>
                <w:iCs/>
                <w:snapToGrid/>
                <w:color w:val="000000"/>
                <w:sz w:val="16"/>
                <w:szCs w:val="16"/>
              </w:rPr>
            </w:pPr>
            <w:r w:rsidRPr="0086448E">
              <w:rPr>
                <w:iCs/>
                <w:snapToGrid/>
                <w:color w:val="000000"/>
                <w:sz w:val="16"/>
                <w:szCs w:val="16"/>
              </w:rPr>
              <w:t>Change in terms (1005.8(a))</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3,172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113</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0.017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sz w:val="16"/>
                <w:szCs w:val="16"/>
              </w:rPr>
              <w:t>6,093</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rPr>
                <w:i/>
                <w:iCs/>
                <w:snapToGrid/>
                <w:color w:val="000000"/>
                <w:sz w:val="16"/>
                <w:szCs w:val="16"/>
              </w:rPr>
            </w:pPr>
            <w:r w:rsidRPr="0086448E">
              <w:rPr>
                <w:i/>
                <w:iCs/>
                <w:snapToGrid/>
                <w:color w:val="000000"/>
                <w:sz w:val="16"/>
                <w:szCs w:val="16"/>
              </w:rPr>
              <w:t>Error resolution rules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rPr>
                <w:i/>
                <w:iCs/>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16"/>
                <w:szCs w:val="16"/>
              </w:rPr>
            </w:pP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numPr>
                <w:ilvl w:val="0"/>
                <w:numId w:val="21"/>
              </w:numPr>
              <w:contextualSpacing/>
              <w:rPr>
                <w:snapToGrid/>
                <w:color w:val="000000"/>
                <w:sz w:val="16"/>
                <w:szCs w:val="16"/>
              </w:rPr>
            </w:pPr>
            <w:r w:rsidRPr="0086448E">
              <w:rPr>
                <w:snapToGrid/>
                <w:color w:val="000000"/>
                <w:sz w:val="16"/>
                <w:szCs w:val="16"/>
              </w:rPr>
              <w:t>General (1005.8(b) and 1005.11)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3,172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3</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sz w:val="16"/>
                <w:szCs w:val="16"/>
              </w:rPr>
              <w:t>4,758</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numPr>
                <w:ilvl w:val="0"/>
                <w:numId w:val="21"/>
              </w:numPr>
              <w:contextualSpacing/>
              <w:rPr>
                <w:snapToGrid/>
                <w:color w:val="000000"/>
                <w:sz w:val="16"/>
                <w:szCs w:val="16"/>
              </w:rPr>
            </w:pPr>
            <w:r w:rsidRPr="0086448E">
              <w:rPr>
                <w:snapToGrid/>
                <w:color w:val="000000"/>
                <w:sz w:val="16"/>
                <w:szCs w:val="16"/>
              </w:rPr>
              <w:t>Payroll cards (1005.18)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themeColor="text1"/>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8</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16"/>
                <w:szCs w:val="16"/>
              </w:rPr>
            </w:pPr>
            <w:r w:rsidRPr="0086448E">
              <w:rPr>
                <w:snapToGrid/>
                <w:sz w:val="16"/>
                <w:szCs w:val="16"/>
              </w:rPr>
              <w:t>32</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rPr>
                <w:snapToGrid/>
                <w:color w:val="000000"/>
                <w:sz w:val="16"/>
                <w:szCs w:val="16"/>
              </w:rPr>
            </w:pPr>
            <w:r w:rsidRPr="0086448E">
              <w:rPr>
                <w:i/>
                <w:snapToGrid/>
                <w:color w:val="000000"/>
                <w:sz w:val="16"/>
                <w:szCs w:val="16"/>
              </w:rPr>
              <w:t>Prepaid Accounts Rule (1005.18) – New Products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themeColor="text1"/>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sz w:val="16"/>
                <w:szCs w:val="16"/>
              </w:rPr>
              <w:lastRenderedPageBreak/>
              <w:t>Short Form Disclosure (1005.18(b)(2) and 100.515(c)</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sz w:val="16"/>
                <w:szCs w:val="16"/>
              </w:rPr>
              <w:t xml:space="preserve">Disclosure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themeColor="text1"/>
                <w:sz w:val="16"/>
                <w:szCs w:val="16"/>
              </w:rPr>
            </w:pPr>
            <w:r w:rsidRPr="0086448E">
              <w:rPr>
                <w:snapToGrid/>
                <w:color w:val="000000" w:themeColor="text1"/>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53</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sz w:val="16"/>
                <w:szCs w:val="16"/>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8,480</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sz w:val="16"/>
                <w:szCs w:val="16"/>
              </w:rPr>
              <w:t>Long Form Disclosure 1005.18(b)(4) and 1005.15(c)</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sz w:val="16"/>
                <w:szCs w:val="16"/>
              </w:rPr>
              <w:t xml:space="preserve">Disclosure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themeColor="text1"/>
                <w:sz w:val="16"/>
                <w:szCs w:val="16"/>
              </w:rPr>
            </w:pPr>
            <w:r w:rsidRPr="0086448E">
              <w:rPr>
                <w:snapToGrid/>
                <w:color w:val="000000" w:themeColor="text1"/>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53</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1,696</w:t>
            </w:r>
            <w:r w:rsidRPr="0086448E" w:rsidDel="00401134">
              <w:rPr>
                <w:snapToGrid/>
                <w:sz w:val="16"/>
                <w:szCs w:val="16"/>
              </w:rPr>
              <w:t xml:space="preserve"> </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rPr>
                <w:i/>
                <w:snapToGrid/>
                <w:color w:val="000000"/>
                <w:sz w:val="16"/>
                <w:szCs w:val="16"/>
              </w:rPr>
            </w:pPr>
            <w:r w:rsidRPr="0086448E">
              <w:rPr>
                <w:i/>
                <w:snapToGrid/>
                <w:color w:val="000000"/>
                <w:sz w:val="16"/>
                <w:szCs w:val="16"/>
              </w:rPr>
              <w:t>Prepaid Accounts Rule (1005.18) - Implementation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sz w:val="16"/>
                <w:szCs w:val="16"/>
              </w:rPr>
            </w:pPr>
            <w:r w:rsidRPr="0086448E">
              <w:rPr>
                <w:snapToGrid/>
                <w:sz w:val="16"/>
                <w:szCs w:val="16"/>
              </w:rPr>
              <w:t>Short Form Additional Fee Type Disclosure (1005.18(b)(2)(ix) implementation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sz w:val="16"/>
                <w:szCs w:val="16"/>
              </w:rPr>
            </w:pPr>
            <w:r w:rsidRPr="0086448E">
              <w:rPr>
                <w:snapToGrid/>
                <w:sz w:val="16"/>
                <w:szCs w:val="16"/>
              </w:rPr>
              <w:t xml:space="preserve">Disclosure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sz w:val="16"/>
                <w:szCs w:val="16"/>
              </w:rPr>
            </w:pPr>
            <w:r w:rsidRPr="0086448E">
              <w:rPr>
                <w:snapToGrid/>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4</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sz w:val="16"/>
                <w:szCs w:val="16"/>
              </w:rPr>
              <w:t>Access to Prepaid Account Information 1005.18(c)(5) and 1005.15(d) implementation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sz w:val="16"/>
                <w:szCs w:val="16"/>
              </w:rPr>
              <w:t xml:space="preserve">Recordkeeping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sz w:val="16"/>
                <w:szCs w:val="16"/>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24</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sz w:val="16"/>
                <w:szCs w:val="16"/>
              </w:rPr>
              <w:t>Error Resolution 1005.18(e)(2) and 1005.1511 implementation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sz w:val="16"/>
                <w:szCs w:val="16"/>
              </w:rPr>
              <w:t xml:space="preserve">Recordkeeping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8</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sz w:val="16"/>
                <w:szCs w:val="16"/>
              </w:rPr>
              <w:t>Submission of Agreements (1005.19)(b) implementation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sz w:val="16"/>
                <w:szCs w:val="16"/>
              </w:rPr>
              <w:t xml:space="preserve">Reporting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rPr>
                <w:i/>
                <w:snapToGrid/>
                <w:sz w:val="16"/>
                <w:szCs w:val="16"/>
              </w:rPr>
            </w:pPr>
            <w:r w:rsidRPr="0086448E">
              <w:rPr>
                <w:i/>
                <w:snapToGrid/>
                <w:sz w:val="16"/>
                <w:szCs w:val="16"/>
              </w:rPr>
              <w:t>Prepaid Accounts Rule - Ongoing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sz w:val="16"/>
                <w:szCs w:val="16"/>
              </w:rPr>
              <w:t>Short Form Additional Fee Type Disclosure (1005.18(b)(2)(ix) ongoing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sz w:val="16"/>
                <w:szCs w:val="16"/>
              </w:rPr>
              <w:t xml:space="preserve">Disclosure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8</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sz w:val="16"/>
                <w:szCs w:val="16"/>
              </w:rPr>
            </w:pPr>
            <w:r w:rsidRPr="0086448E">
              <w:rPr>
                <w:snapToGrid/>
                <w:sz w:val="16"/>
                <w:szCs w:val="16"/>
              </w:rPr>
              <w:t>Access to Prepaid Account Information 1005.18(c)(5) and 1005.15(d) ongoing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sz w:val="16"/>
                <w:szCs w:val="16"/>
              </w:rPr>
            </w:pPr>
            <w:r w:rsidRPr="0086448E">
              <w:rPr>
                <w:snapToGrid/>
                <w:sz w:val="16"/>
                <w:szCs w:val="16"/>
              </w:rPr>
              <w:t xml:space="preserve">Recordkeeping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sz w:val="16"/>
                <w:szCs w:val="16"/>
              </w:rPr>
            </w:pPr>
            <w:r w:rsidRPr="0086448E">
              <w:rPr>
                <w:snapToGrid/>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8</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sz w:val="16"/>
                <w:szCs w:val="16"/>
              </w:rPr>
              <w:t>Error Resolution (1005.18 (e)(2) and 1055.11 ongoing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sz w:val="16"/>
                <w:szCs w:val="16"/>
              </w:rPr>
              <w:t xml:space="preserve">Recordkeeping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8</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sz w:val="16"/>
                <w:szCs w:val="16"/>
              </w:rPr>
              <w:t>Submission of Agreements (1005.19(b) ongoing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sz w:val="16"/>
                <w:szCs w:val="16"/>
              </w:rPr>
              <w:t xml:space="preserve">Reporting </w:t>
            </w:r>
            <w:r w:rsidRPr="0086448E">
              <w:rPr>
                <w:snapToGrid/>
                <w:color w:val="000000"/>
                <w:sz w:val="16"/>
                <w:szCs w:val="16"/>
              </w:rPr>
              <w:t>(Mandatory)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8</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rPr>
                <w:i/>
                <w:iCs/>
                <w:snapToGrid/>
                <w:color w:val="000000"/>
                <w:sz w:val="16"/>
                <w:szCs w:val="16"/>
              </w:rPr>
            </w:pPr>
            <w:r w:rsidRPr="0086448E">
              <w:rPr>
                <w:i/>
                <w:iCs/>
                <w:snapToGrid/>
                <w:color w:val="000000"/>
                <w:sz w:val="16"/>
                <w:szCs w:val="16"/>
              </w:rPr>
              <w:t>Gift card/gift certificate (section 1005.20, FRB R-1377) - Implementation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rPr>
                <w:i/>
                <w:iCs/>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numPr>
                <w:ilvl w:val="0"/>
                <w:numId w:val="21"/>
              </w:numPr>
              <w:contextualSpacing/>
              <w:rPr>
                <w:snapToGrid/>
                <w:color w:val="000000"/>
                <w:sz w:val="16"/>
                <w:szCs w:val="16"/>
              </w:rPr>
            </w:pPr>
            <w:r w:rsidRPr="0086448E">
              <w:rPr>
                <w:snapToGrid/>
                <w:color w:val="000000"/>
                <w:sz w:val="16"/>
                <w:szCs w:val="16"/>
              </w:rPr>
              <w:t>Exclusion policies &amp; procedures (1005.20(b)(2)) implementation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Recordkeeping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40</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color w:val="000000"/>
                <w:sz w:val="16"/>
                <w:szCs w:val="16"/>
              </w:rPr>
              <w:t>Policy &amp; procedures (1005.20(e)(1)) implementation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Recordkeeping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r w:rsidRPr="0086448E">
              <w:rPr>
                <w:snapToGrid/>
                <w:sz w:val="16"/>
                <w:szCs w:val="16"/>
              </w:rPr>
              <w:t>40</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rPr>
                <w:snapToGrid/>
                <w:color w:val="000000"/>
                <w:sz w:val="16"/>
                <w:szCs w:val="16"/>
              </w:rPr>
            </w:pPr>
            <w:r w:rsidRPr="0086448E">
              <w:rPr>
                <w:i/>
                <w:iCs/>
                <w:snapToGrid/>
                <w:color w:val="000000"/>
                <w:sz w:val="16"/>
                <w:szCs w:val="16"/>
              </w:rPr>
              <w:t>Gift card/gift certificate (section 1005.20, FRB R-1377) - Ongoing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numPr>
                <w:ilvl w:val="0"/>
                <w:numId w:val="21"/>
              </w:numPr>
              <w:contextualSpacing/>
              <w:rPr>
                <w:snapToGrid/>
                <w:color w:val="000000"/>
                <w:sz w:val="16"/>
                <w:szCs w:val="16"/>
              </w:rPr>
            </w:pPr>
            <w:r w:rsidRPr="0086448E">
              <w:rPr>
                <w:snapToGrid/>
                <w:color w:val="000000"/>
                <w:sz w:val="16"/>
                <w:szCs w:val="16"/>
              </w:rPr>
              <w:t>Exclusion policies &amp; procedures (1005.20(b)(2) ongoing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Recordkeeping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80</w:t>
            </w:r>
          </w:p>
        </w:tc>
      </w:tr>
      <w:tr w:rsidRPr="0086448E" w:rsidR="00E63717" w:rsidTr="00DD3E7F">
        <w:trPr>
          <w:trHeight w:val="43"/>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numPr>
                <w:ilvl w:val="0"/>
                <w:numId w:val="21"/>
              </w:numPr>
              <w:contextualSpacing/>
              <w:rPr>
                <w:snapToGrid/>
                <w:color w:val="000000"/>
                <w:sz w:val="16"/>
                <w:szCs w:val="16"/>
              </w:rPr>
            </w:pPr>
            <w:r w:rsidRPr="0086448E">
              <w:rPr>
                <w:snapToGrid/>
                <w:color w:val="000000"/>
                <w:sz w:val="16"/>
                <w:szCs w:val="16"/>
              </w:rPr>
              <w:t>Policy &amp; procedures (1005.20(e)(1)) ongoing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Recordkeeping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r w:rsidRPr="0086448E">
              <w:rPr>
                <w:snapToGrid/>
                <w:color w:val="000000"/>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color w:val="000000"/>
                <w:sz w:val="16"/>
                <w:szCs w:val="16"/>
              </w:rPr>
            </w:pPr>
            <w:r w:rsidRPr="0086448E">
              <w:rPr>
                <w:snapToGrid/>
                <w:sz w:val="16"/>
                <w:szCs w:val="16"/>
              </w:rPr>
              <w:t>80</w:t>
            </w: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right"/>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86448E" w:rsidR="0086448E" w:rsidP="0086448E" w:rsidRDefault="0086448E">
            <w:pPr>
              <w:widowControl/>
              <w:jc w:val="center"/>
              <w:rPr>
                <w:snapToGrid/>
                <w:sz w:val="16"/>
                <w:szCs w:val="16"/>
              </w:rPr>
            </w:pPr>
          </w:p>
        </w:tc>
      </w:tr>
      <w:tr w:rsidRPr="0086448E" w:rsidR="00E63717" w:rsidTr="00DD3E7F">
        <w:trPr>
          <w:trHeight w:val="48"/>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rPr>
                <w:b/>
                <w:bCs/>
                <w:snapToGrid/>
                <w:color w:val="000000"/>
                <w:sz w:val="16"/>
                <w:szCs w:val="16"/>
              </w:rPr>
            </w:pPr>
            <w:r w:rsidRPr="0086448E">
              <w:rPr>
                <w:b/>
                <w:bCs/>
                <w:snapToGrid/>
                <w:color w:val="000000"/>
                <w:sz w:val="16"/>
                <w:szCs w:val="16"/>
              </w:rPr>
              <w:t>Subtotal Regulation E Burden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86448E" w:rsidR="0086448E" w:rsidP="0086448E" w:rsidRDefault="0086448E">
            <w:pPr>
              <w:widowControl/>
              <w:jc w:val="right"/>
              <w:rPr>
                <w:b/>
                <w:bCs/>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sz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86448E" w:rsidR="0086448E" w:rsidP="0086448E" w:rsidRDefault="0086448E">
            <w:pPr>
              <w:widowControl/>
              <w:jc w:val="center"/>
              <w:rPr>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448E" w:rsidR="0086448E" w:rsidP="0086448E" w:rsidRDefault="0086448E">
            <w:pPr>
              <w:widowControl/>
              <w:jc w:val="center"/>
              <w:rPr>
                <w:snapToGrid/>
                <w:color w:val="000000"/>
                <w:sz w:val="16"/>
                <w:szCs w:val="16"/>
              </w:rPr>
            </w:pPr>
            <w:r w:rsidRPr="0086448E">
              <w:rPr>
                <w:snapToGrid/>
                <w:color w:val="000000"/>
                <w:sz w:val="16"/>
                <w:szCs w:val="16"/>
              </w:rPr>
              <w:t>28,950</w:t>
            </w:r>
          </w:p>
        </w:tc>
      </w:tr>
    </w:tbl>
    <w:p w:rsidR="0086448E" w:rsidP="00D44580" w:rsidRDefault="0086448E">
      <w:pPr>
        <w:tabs>
          <w:tab w:val="left" w:pos="-1440"/>
        </w:tabs>
        <w:ind w:left="360"/>
      </w:pPr>
    </w:p>
    <w:p w:rsidRPr="00D44580" w:rsidR="00F64E0B" w:rsidP="00F64E0B" w:rsidRDefault="00F64E0B">
      <w:pPr>
        <w:tabs>
          <w:tab w:val="left" w:pos="-1440"/>
        </w:tabs>
        <w:ind w:left="360"/>
        <w:rPr>
          <w:b/>
        </w:rPr>
      </w:pPr>
      <w:r>
        <w:rPr>
          <w:b/>
        </w:rPr>
        <w:t>Regulation DD</w:t>
      </w:r>
    </w:p>
    <w:p w:rsidRPr="00F64E0B" w:rsidR="00F64E0B" w:rsidP="00F64E0B" w:rsidRDefault="00F64E0B">
      <w:pPr>
        <w:tabs>
          <w:tab w:val="left" w:pos="-1440"/>
        </w:tabs>
        <w:ind w:left="360"/>
      </w:pPr>
    </w:p>
    <w:p w:rsidRPr="00F64E0B" w:rsidR="00F64E0B" w:rsidP="00F64E0B" w:rsidRDefault="00F64E0B">
      <w:pPr>
        <w:tabs>
          <w:tab w:val="left" w:pos="-1440"/>
        </w:tabs>
        <w:ind w:left="360"/>
      </w:pPr>
      <w:r w:rsidRPr="00F64E0B">
        <w:t xml:space="preserve">Potential respondents to </w:t>
      </w:r>
      <w:r>
        <w:t>information collection</w:t>
      </w:r>
      <w:r w:rsidR="00E63717">
        <w:t xml:space="preserve"> line items</w:t>
      </w:r>
      <w:r w:rsidRPr="00F64E0B">
        <w:t xml:space="preserve"> associated with Regulation DD include state nonmember banks, savings institutions, and insured state branches of foreign banks with $10 billion or less in consolidated assets. As of December 31, 2020, the FDIC supervises 3,172 such institutions.</w:t>
      </w:r>
      <w:r w:rsidRPr="00F64E0B">
        <w:rPr>
          <w:vertAlign w:val="superscript"/>
        </w:rPr>
        <w:footnoteReference w:id="35"/>
      </w:r>
      <w:r w:rsidRPr="00F64E0B">
        <w:t xml:space="preserve"> Of these institutions, 2,380 are considered small for the purposes of the RFA.</w:t>
      </w:r>
      <w:r w:rsidRPr="00F64E0B">
        <w:rPr>
          <w:vertAlign w:val="superscript"/>
        </w:rPr>
        <w:footnoteReference w:id="36"/>
      </w:r>
    </w:p>
    <w:p w:rsidRPr="00F64E0B" w:rsidR="00F64E0B" w:rsidP="00F64E0B" w:rsidRDefault="00F64E0B">
      <w:pPr>
        <w:tabs>
          <w:tab w:val="left" w:pos="-1440"/>
        </w:tabs>
        <w:ind w:left="360"/>
      </w:pPr>
    </w:p>
    <w:p w:rsidRPr="00F64E0B" w:rsidR="00F64E0B" w:rsidP="00F64E0B" w:rsidRDefault="00F64E0B">
      <w:pPr>
        <w:tabs>
          <w:tab w:val="left" w:pos="-1440"/>
        </w:tabs>
        <w:ind w:left="360"/>
      </w:pPr>
      <w:r w:rsidRPr="00F64E0B">
        <w:t xml:space="preserve">All five items under Regulation DD apply to all state nonmember banks, savings institutions, and insured state branches of foreign banks with $10 billion or less in total assets. As discussed above, as of December 31, 2020 there </w:t>
      </w:r>
      <w:r w:rsidR="00E63717">
        <w:t>are 3,172 such institutions. T</w:t>
      </w:r>
      <w:r w:rsidRPr="00F64E0B">
        <w:t xml:space="preserve">herefore </w:t>
      </w:r>
      <w:r w:rsidR="00E63717">
        <w:t xml:space="preserve">FDIC </w:t>
      </w:r>
      <w:r w:rsidRPr="00F64E0B">
        <w:t>estimate</w:t>
      </w:r>
      <w:r w:rsidR="00E63717">
        <w:t>s</w:t>
      </w:r>
      <w:r w:rsidRPr="00F64E0B">
        <w:t xml:space="preserve"> 3,172 respondents to these eight line items. This estimate represents a decrease of 503 institutions from the previous estimate. A decrease of 448 institutions can be attributed to the decline in the number of FDIC-supervised institutions since September 30, 2017. The remaining decrease of 55 institutions can be attributed to the transfer of supervisory authority for Regulations E and DD to the CFPB for state nonmember banks, savings institutions, and insured state branches of foreign banks with more than $10 billion in consolidated assets.</w:t>
      </w:r>
      <w:r w:rsidRPr="00F64E0B">
        <w:rPr>
          <w:vertAlign w:val="superscript"/>
        </w:rPr>
        <w:footnoteReference w:id="37"/>
      </w:r>
      <w:r w:rsidRPr="00F64E0B">
        <w:t xml:space="preserve"> This transfer of authority was not considered in the previous ICR. Of the 3,172 estimated respondents, 2,380 are small for the purposes of the RFA.</w:t>
      </w:r>
    </w:p>
    <w:p w:rsidRPr="00F64E0B" w:rsidR="00F64E0B" w:rsidP="00F64E0B" w:rsidRDefault="00F64E0B">
      <w:pPr>
        <w:tabs>
          <w:tab w:val="left" w:pos="-1440"/>
        </w:tabs>
        <w:ind w:left="360"/>
      </w:pPr>
    </w:p>
    <w:p w:rsidR="00E63717" w:rsidP="00F64E0B" w:rsidRDefault="00F64E0B">
      <w:pPr>
        <w:tabs>
          <w:tab w:val="left" w:pos="-1440"/>
        </w:tabs>
        <w:ind w:left="360"/>
      </w:pPr>
      <w:r w:rsidRPr="00F64E0B">
        <w:t xml:space="preserve">The estimates for time per response and number of responses per respondent vary by line item. </w:t>
      </w:r>
      <w:r w:rsidR="00E63717">
        <w:t xml:space="preserve">The FDIC has </w:t>
      </w:r>
      <w:r w:rsidRPr="00F64E0B">
        <w:t>reviewed these estimates and determined that the estimates from th</w:t>
      </w:r>
      <w:r w:rsidR="00E63717">
        <w:t>e 2018 ICR remained reasonable.</w:t>
      </w:r>
    </w:p>
    <w:p w:rsidRPr="00F64E0B" w:rsidR="00F64E0B" w:rsidP="00F64E0B" w:rsidRDefault="00E63717">
      <w:pPr>
        <w:tabs>
          <w:tab w:val="left" w:pos="-1440"/>
        </w:tabs>
        <w:ind w:left="360"/>
      </w:pPr>
      <w:r w:rsidRPr="00F64E0B">
        <w:t xml:space="preserve"> </w:t>
      </w:r>
    </w:p>
    <w:p w:rsidRPr="00F64E0B" w:rsidR="00F64E0B" w:rsidP="00F64E0B" w:rsidRDefault="00F64E0B">
      <w:pPr>
        <w:tabs>
          <w:tab w:val="left" w:pos="-1440"/>
        </w:tabs>
        <w:ind w:left="360"/>
      </w:pPr>
      <w:r w:rsidRPr="00F64E0B">
        <w:t>The estimated annual number of respondents, responses, and burdens for the ICs under Regulation DD are delineated in Table 2 below:</w:t>
      </w:r>
    </w:p>
    <w:p w:rsidR="0086448E" w:rsidP="00D44580" w:rsidRDefault="0086448E">
      <w:pPr>
        <w:tabs>
          <w:tab w:val="left" w:pos="-1440"/>
        </w:tabs>
        <w:ind w:left="360"/>
      </w:pPr>
    </w:p>
    <w:p w:rsidRPr="00E63717" w:rsidR="00E63717" w:rsidP="00E63717" w:rsidRDefault="00E63717">
      <w:pPr>
        <w:widowControl/>
        <w:tabs>
          <w:tab w:val="left" w:pos="1440"/>
          <w:tab w:val="left" w:pos="5040"/>
        </w:tabs>
        <w:jc w:val="center"/>
        <w:rPr>
          <w:rFonts w:ascii="Source Sans Pro" w:hAnsi="Source Sans Pro"/>
          <w:b/>
          <w:snapToGrid/>
          <w:sz w:val="20"/>
        </w:rPr>
      </w:pPr>
      <w:r w:rsidRPr="00E63717">
        <w:rPr>
          <w:rFonts w:ascii="Source Sans Pro" w:hAnsi="Source Sans Pro"/>
          <w:b/>
          <w:snapToGrid/>
          <w:sz w:val="20"/>
        </w:rPr>
        <w:t>Table 2: Summary of Annual Burden for Regulation DD (OMB No. 3064-0084)</w:t>
      </w:r>
    </w:p>
    <w:tbl>
      <w:tblPr>
        <w:tblW w:w="0" w:type="auto"/>
        <w:tblCellMar>
          <w:top w:w="15" w:type="dxa"/>
          <w:bottom w:w="15" w:type="dxa"/>
        </w:tblCellMar>
        <w:tblLook w:val="04A0" w:firstRow="1" w:lastRow="0" w:firstColumn="1" w:lastColumn="0" w:noHBand="0" w:noVBand="1"/>
      </w:tblPr>
      <w:tblGrid>
        <w:gridCol w:w="3055"/>
        <w:gridCol w:w="1249"/>
        <w:gridCol w:w="1034"/>
        <w:gridCol w:w="1677"/>
        <w:gridCol w:w="1260"/>
        <w:gridCol w:w="1075"/>
      </w:tblGrid>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tcPr>
          <w:p w:rsidRPr="00E63717" w:rsidR="00E63717" w:rsidP="00E63717" w:rsidRDefault="00E63717">
            <w:pPr>
              <w:widowControl/>
              <w:rPr>
                <w:b/>
                <w:bCs/>
                <w:snapToGrid/>
                <w:color w:val="000000"/>
                <w:sz w:val="16"/>
                <w:szCs w:val="16"/>
              </w:rPr>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Pr="00E63717" w:rsidR="00E63717" w:rsidP="00E63717" w:rsidRDefault="00E63717">
            <w:pPr>
              <w:widowControl/>
              <w:rPr>
                <w:b/>
                <w:bCs/>
                <w:snapToGrid/>
                <w:color w:val="000000"/>
                <w:sz w:val="16"/>
                <w:szCs w:val="16"/>
              </w:rPr>
            </w:pPr>
            <w:r w:rsidRPr="00E63717">
              <w:rPr>
                <w:snapToGrid/>
                <w:sz w:val="16"/>
                <w:szCs w:val="16"/>
              </w:rPr>
              <w:t>Type of Burden (Obligation to Respond)</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E63717" w:rsidR="00E63717" w:rsidP="00E63717" w:rsidRDefault="00E63717">
            <w:pPr>
              <w:widowControl/>
              <w:jc w:val="center"/>
              <w:rPr>
                <w:snapToGrid/>
                <w:sz w:val="16"/>
                <w:szCs w:val="16"/>
              </w:rPr>
            </w:pPr>
            <w:r w:rsidRPr="00E63717">
              <w:rPr>
                <w:snapToGrid/>
                <w:sz w:val="16"/>
                <w:szCs w:val="16"/>
              </w:rPr>
              <w:t>Estimated Number of Respondents</w:t>
            </w:r>
          </w:p>
        </w:tc>
        <w:tc>
          <w:tcPr>
            <w:tcW w:w="1677" w:type="dxa"/>
            <w:tcBorders>
              <w:top w:val="single" w:color="auto" w:sz="4" w:space="0"/>
              <w:left w:val="single" w:color="auto" w:sz="4" w:space="0"/>
              <w:bottom w:val="single" w:color="auto" w:sz="4" w:space="0"/>
              <w:right w:val="single" w:color="auto" w:sz="4" w:space="0"/>
            </w:tcBorders>
            <w:shd w:val="clear" w:color="auto" w:fill="auto"/>
          </w:tcPr>
          <w:p w:rsidRPr="00E63717" w:rsidR="00E63717" w:rsidP="00E63717" w:rsidRDefault="00E63717">
            <w:pPr>
              <w:widowControl/>
              <w:jc w:val="center"/>
              <w:rPr>
                <w:snapToGrid/>
                <w:sz w:val="16"/>
                <w:szCs w:val="16"/>
              </w:rPr>
            </w:pPr>
            <w:r w:rsidRPr="00E63717">
              <w:rPr>
                <w:snapToGrid/>
                <w:sz w:val="16"/>
                <w:szCs w:val="16"/>
              </w:rPr>
              <w:t>Estimated Number of Responses/ Respondent</w:t>
            </w:r>
          </w:p>
        </w:tc>
        <w:tc>
          <w:tcPr>
            <w:tcW w:w="1260" w:type="dxa"/>
            <w:tcBorders>
              <w:top w:val="single" w:color="auto" w:sz="4" w:space="0"/>
              <w:left w:val="single" w:color="auto" w:sz="4" w:space="0"/>
              <w:bottom w:val="single" w:color="auto" w:sz="4" w:space="0"/>
              <w:right w:val="single" w:color="auto" w:sz="4" w:space="0"/>
            </w:tcBorders>
          </w:tcPr>
          <w:p w:rsidRPr="00E63717" w:rsidR="00E63717" w:rsidP="00E63717" w:rsidRDefault="00E63717">
            <w:pPr>
              <w:widowControl/>
              <w:jc w:val="center"/>
              <w:rPr>
                <w:snapToGrid/>
                <w:sz w:val="16"/>
                <w:szCs w:val="16"/>
              </w:rPr>
            </w:pPr>
            <w:r>
              <w:rPr>
                <w:snapToGrid/>
                <w:sz w:val="16"/>
                <w:szCs w:val="16"/>
              </w:rPr>
              <w:t>Estimated Time per Response (H</w:t>
            </w:r>
            <w:r w:rsidRPr="00E63717">
              <w:rPr>
                <w:snapToGrid/>
                <w:sz w:val="16"/>
                <w:szCs w:val="16"/>
              </w:rPr>
              <w:t>ours)</w:t>
            </w:r>
          </w:p>
        </w:tc>
        <w:tc>
          <w:tcPr>
            <w:tcW w:w="1075" w:type="dxa"/>
            <w:tcBorders>
              <w:top w:val="single" w:color="auto" w:sz="4" w:space="0"/>
              <w:left w:val="single" w:color="auto" w:sz="4" w:space="0"/>
              <w:bottom w:val="single" w:color="auto" w:sz="4" w:space="0"/>
              <w:right w:val="single" w:color="auto" w:sz="4" w:space="0"/>
            </w:tcBorders>
            <w:shd w:val="clear" w:color="auto" w:fill="auto"/>
            <w:noWrap/>
          </w:tcPr>
          <w:p w:rsidRPr="00E63717" w:rsidR="00E63717" w:rsidP="00E63717" w:rsidRDefault="00E63717">
            <w:pPr>
              <w:widowControl/>
              <w:jc w:val="center"/>
              <w:rPr>
                <w:snapToGrid/>
                <w:sz w:val="16"/>
                <w:szCs w:val="16"/>
              </w:rPr>
            </w:pPr>
            <w:r w:rsidRPr="00E63717">
              <w:rPr>
                <w:snapToGrid/>
                <w:sz w:val="16"/>
                <w:szCs w:val="16"/>
              </w:rPr>
              <w:t>Total Annual Estimated Burden</w:t>
            </w:r>
            <w:r>
              <w:rPr>
                <w:snapToGrid/>
                <w:sz w:val="16"/>
                <w:szCs w:val="16"/>
              </w:rPr>
              <w:t xml:space="preserve"> Hours)</w:t>
            </w:r>
          </w:p>
        </w:tc>
      </w:tr>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rPr>
                <w:b/>
                <w:bCs/>
                <w:snapToGrid/>
                <w:color w:val="000000"/>
                <w:sz w:val="16"/>
                <w:szCs w:val="16"/>
              </w:rPr>
            </w:pPr>
            <w:r w:rsidRPr="00E63717">
              <w:rPr>
                <w:b/>
                <w:bCs/>
                <w:snapToGrid/>
                <w:color w:val="000000"/>
                <w:sz w:val="16"/>
                <w:szCs w:val="16"/>
              </w:rPr>
              <w:t xml:space="preserve">Regulation DD - 12 C.F.R. Part 1030 </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3717" w:rsidR="00E63717" w:rsidP="00E63717" w:rsidRDefault="00E63717">
            <w:pPr>
              <w:widowControl/>
              <w:rPr>
                <w:b/>
                <w:bCs/>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63717" w:rsidR="00E63717" w:rsidP="00E63717" w:rsidRDefault="00E63717">
            <w:pPr>
              <w:widowControl/>
              <w:jc w:val="center"/>
              <w:rPr>
                <w:snapToGrid/>
                <w:sz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3717" w:rsidR="00E63717" w:rsidP="00E63717" w:rsidRDefault="00E63717">
            <w:pPr>
              <w:widowControl/>
              <w:jc w:val="center"/>
              <w:rPr>
                <w:snapToGrid/>
                <w:sz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E63717" w:rsidR="00E63717" w:rsidP="00E63717" w:rsidRDefault="00E63717">
            <w:pPr>
              <w:widowControl/>
              <w:jc w:val="center"/>
              <w:rPr>
                <w:snapToGrid/>
                <w:sz w:val="20"/>
              </w:rPr>
            </w:pP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63717" w:rsidR="00E63717" w:rsidP="00E63717" w:rsidRDefault="00E63717">
            <w:pPr>
              <w:widowControl/>
              <w:jc w:val="center"/>
              <w:rPr>
                <w:snapToGrid/>
                <w:sz w:val="16"/>
                <w:szCs w:val="16"/>
              </w:rPr>
            </w:pPr>
          </w:p>
        </w:tc>
      </w:tr>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3717" w:rsidR="00E63717" w:rsidP="00E63717" w:rsidRDefault="00E63717">
            <w:pPr>
              <w:widowControl/>
              <w:numPr>
                <w:ilvl w:val="0"/>
                <w:numId w:val="22"/>
              </w:numPr>
              <w:ind w:left="338"/>
              <w:contextualSpacing/>
              <w:jc w:val="both"/>
              <w:rPr>
                <w:iCs/>
                <w:snapToGrid/>
                <w:color w:val="000000"/>
                <w:sz w:val="16"/>
                <w:szCs w:val="16"/>
              </w:rPr>
            </w:pPr>
            <w:r w:rsidRPr="00E63717">
              <w:rPr>
                <w:iCs/>
                <w:snapToGrid/>
                <w:color w:val="000000"/>
                <w:sz w:val="16"/>
                <w:szCs w:val="16"/>
              </w:rPr>
              <w:t>Account disclosures (upon request and new accounts) (section 1030.4)</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3,172</w:t>
            </w: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170</w:t>
            </w:r>
          </w:p>
        </w:tc>
        <w:tc>
          <w:tcPr>
            <w:tcW w:w="1260" w:type="dxa"/>
            <w:tcBorders>
              <w:top w:val="single" w:color="auto" w:sz="4" w:space="0"/>
              <w:left w:val="single" w:color="auto" w:sz="4" w:space="0"/>
              <w:bottom w:val="single" w:color="auto" w:sz="4" w:space="0"/>
              <w:right w:val="single" w:color="auto" w:sz="4" w:space="0"/>
            </w:tcBorders>
            <w:vAlign w:val="bottom"/>
          </w:tcPr>
          <w:p w:rsidRPr="00E63717" w:rsidR="00E63717" w:rsidP="00E63717" w:rsidRDefault="00E63717">
            <w:pPr>
              <w:widowControl/>
              <w:jc w:val="center"/>
              <w:rPr>
                <w:snapToGrid/>
                <w:color w:val="000000"/>
                <w:sz w:val="16"/>
                <w:szCs w:val="16"/>
              </w:rPr>
            </w:pPr>
            <w:r w:rsidRPr="00E63717">
              <w:rPr>
                <w:snapToGrid/>
                <w:color w:val="000000"/>
                <w:sz w:val="16"/>
                <w:szCs w:val="16"/>
              </w:rPr>
              <w:t>0.025</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63717" w:rsidR="00E63717" w:rsidP="00E63717" w:rsidRDefault="00E63717">
            <w:pPr>
              <w:widowControl/>
              <w:jc w:val="center"/>
              <w:rPr>
                <w:snapToGrid/>
                <w:color w:val="000000"/>
                <w:sz w:val="16"/>
                <w:szCs w:val="16"/>
              </w:rPr>
            </w:pPr>
            <w:r w:rsidRPr="00E63717">
              <w:rPr>
                <w:snapToGrid/>
                <w:sz w:val="16"/>
                <w:szCs w:val="16"/>
              </w:rPr>
              <w:t>13,481</w:t>
            </w:r>
          </w:p>
        </w:tc>
      </w:tr>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3717" w:rsidR="00E63717" w:rsidP="00E63717" w:rsidRDefault="00E63717">
            <w:pPr>
              <w:widowControl/>
              <w:jc w:val="both"/>
              <w:rPr>
                <w:i/>
                <w:iCs/>
                <w:snapToGrid/>
                <w:color w:val="000000"/>
                <w:sz w:val="16"/>
                <w:szCs w:val="16"/>
              </w:rPr>
            </w:pPr>
            <w:r w:rsidRPr="00E63717">
              <w:rPr>
                <w:i/>
                <w:iCs/>
                <w:snapToGrid/>
                <w:color w:val="000000"/>
                <w:sz w:val="16"/>
                <w:szCs w:val="16"/>
              </w:rPr>
              <w:lastRenderedPageBreak/>
              <w:t xml:space="preserve">Subsequent notices (section 1030.5) </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rPr>
                <w:i/>
                <w:iCs/>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sz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sz w:val="20"/>
              </w:rPr>
            </w:pPr>
          </w:p>
        </w:tc>
        <w:tc>
          <w:tcPr>
            <w:tcW w:w="1260" w:type="dxa"/>
            <w:tcBorders>
              <w:top w:val="single" w:color="auto" w:sz="4" w:space="0"/>
              <w:left w:val="single" w:color="auto" w:sz="4" w:space="0"/>
              <w:bottom w:val="single" w:color="auto" w:sz="4" w:space="0"/>
              <w:right w:val="single" w:color="auto" w:sz="4" w:space="0"/>
            </w:tcBorders>
            <w:vAlign w:val="bottom"/>
          </w:tcPr>
          <w:p w:rsidRPr="00E63717" w:rsidR="00E63717" w:rsidP="00E63717" w:rsidRDefault="00E63717">
            <w:pPr>
              <w:widowControl/>
              <w:jc w:val="center"/>
              <w:rPr>
                <w:snapToGrid/>
                <w:sz w:val="20"/>
              </w:rPr>
            </w:pP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63717" w:rsidR="00E63717" w:rsidP="00E63717" w:rsidRDefault="00E63717">
            <w:pPr>
              <w:widowControl/>
              <w:jc w:val="center"/>
              <w:rPr>
                <w:snapToGrid/>
                <w:sz w:val="16"/>
                <w:szCs w:val="16"/>
              </w:rPr>
            </w:pPr>
          </w:p>
        </w:tc>
      </w:tr>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numPr>
                <w:ilvl w:val="0"/>
                <w:numId w:val="22"/>
              </w:numPr>
              <w:ind w:left="338"/>
              <w:contextualSpacing/>
              <w:jc w:val="both"/>
              <w:rPr>
                <w:snapToGrid/>
                <w:color w:val="000000"/>
                <w:sz w:val="16"/>
                <w:szCs w:val="16"/>
              </w:rPr>
            </w:pPr>
            <w:r w:rsidRPr="00E63717">
              <w:rPr>
                <w:snapToGrid/>
                <w:color w:val="000000" w:themeColor="text1"/>
                <w:sz w:val="16"/>
                <w:szCs w:val="16"/>
              </w:rPr>
              <w:t>Change in terms</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3,172</w:t>
            </w: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380</w:t>
            </w:r>
          </w:p>
        </w:tc>
        <w:tc>
          <w:tcPr>
            <w:tcW w:w="1260" w:type="dxa"/>
            <w:tcBorders>
              <w:top w:val="single" w:color="auto" w:sz="4" w:space="0"/>
              <w:left w:val="single" w:color="auto" w:sz="4" w:space="0"/>
              <w:bottom w:val="single" w:color="auto" w:sz="4" w:space="0"/>
              <w:right w:val="single" w:color="auto" w:sz="4" w:space="0"/>
            </w:tcBorders>
            <w:vAlign w:val="bottom"/>
          </w:tcPr>
          <w:p w:rsidRPr="00E63717" w:rsidR="00E63717" w:rsidP="00E63717" w:rsidRDefault="00E63717">
            <w:pPr>
              <w:widowControl/>
              <w:jc w:val="center"/>
              <w:rPr>
                <w:snapToGrid/>
                <w:color w:val="000000"/>
                <w:sz w:val="16"/>
                <w:szCs w:val="16"/>
              </w:rPr>
            </w:pPr>
            <w:r w:rsidRPr="00E63717">
              <w:rPr>
                <w:snapToGrid/>
                <w:color w:val="000000"/>
                <w:sz w:val="16"/>
                <w:szCs w:val="16"/>
              </w:rPr>
              <w:t>0.017</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63717" w:rsidR="00E63717" w:rsidP="00E63717" w:rsidRDefault="00E63717">
            <w:pPr>
              <w:widowControl/>
              <w:jc w:val="center"/>
              <w:rPr>
                <w:snapToGrid/>
                <w:color w:val="000000"/>
                <w:sz w:val="16"/>
                <w:szCs w:val="16"/>
              </w:rPr>
            </w:pPr>
            <w:r w:rsidRPr="00E63717">
              <w:rPr>
                <w:snapToGrid/>
                <w:sz w:val="16"/>
                <w:szCs w:val="16"/>
              </w:rPr>
              <w:t>20,491</w:t>
            </w:r>
          </w:p>
        </w:tc>
      </w:tr>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numPr>
                <w:ilvl w:val="0"/>
                <w:numId w:val="22"/>
              </w:numPr>
              <w:ind w:left="338"/>
              <w:contextualSpacing/>
              <w:jc w:val="both"/>
              <w:rPr>
                <w:iCs/>
                <w:snapToGrid/>
                <w:color w:val="000000"/>
                <w:sz w:val="16"/>
                <w:szCs w:val="16"/>
              </w:rPr>
            </w:pPr>
            <w:r w:rsidRPr="00E63717">
              <w:rPr>
                <w:iCs/>
                <w:snapToGrid/>
                <w:color w:val="000000"/>
                <w:sz w:val="16"/>
                <w:szCs w:val="16"/>
              </w:rPr>
              <w:t>Prematurity (renewal) notices to consumers</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3,172</w:t>
            </w: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340</w:t>
            </w:r>
          </w:p>
        </w:tc>
        <w:tc>
          <w:tcPr>
            <w:tcW w:w="1260" w:type="dxa"/>
            <w:tcBorders>
              <w:top w:val="single" w:color="auto" w:sz="4" w:space="0"/>
              <w:left w:val="single" w:color="auto" w:sz="4" w:space="0"/>
              <w:bottom w:val="single" w:color="auto" w:sz="4" w:space="0"/>
              <w:right w:val="single" w:color="auto" w:sz="4" w:space="0"/>
            </w:tcBorders>
            <w:vAlign w:val="bottom"/>
          </w:tcPr>
          <w:p w:rsidRPr="00E63717" w:rsidR="00E63717" w:rsidP="00E63717" w:rsidRDefault="00E63717">
            <w:pPr>
              <w:widowControl/>
              <w:jc w:val="center"/>
              <w:rPr>
                <w:snapToGrid/>
                <w:color w:val="000000"/>
                <w:sz w:val="16"/>
                <w:szCs w:val="16"/>
              </w:rPr>
            </w:pPr>
            <w:r w:rsidRPr="00E63717">
              <w:rPr>
                <w:snapToGrid/>
                <w:color w:val="000000"/>
                <w:sz w:val="16"/>
                <w:szCs w:val="16"/>
              </w:rPr>
              <w:t>0.017</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63717" w:rsidR="00E63717" w:rsidP="00E63717" w:rsidRDefault="00E63717">
            <w:pPr>
              <w:widowControl/>
              <w:jc w:val="center"/>
              <w:rPr>
                <w:snapToGrid/>
                <w:color w:val="000000"/>
                <w:sz w:val="16"/>
                <w:szCs w:val="16"/>
              </w:rPr>
            </w:pPr>
            <w:r w:rsidRPr="00E63717">
              <w:rPr>
                <w:snapToGrid/>
                <w:sz w:val="16"/>
                <w:szCs w:val="16"/>
              </w:rPr>
              <w:t>18,334</w:t>
            </w:r>
          </w:p>
        </w:tc>
      </w:tr>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numPr>
                <w:ilvl w:val="0"/>
                <w:numId w:val="22"/>
              </w:numPr>
              <w:ind w:left="338"/>
              <w:contextualSpacing/>
              <w:jc w:val="both"/>
              <w:rPr>
                <w:snapToGrid/>
                <w:color w:val="000000"/>
                <w:sz w:val="16"/>
                <w:szCs w:val="16"/>
              </w:rPr>
            </w:pPr>
            <w:r w:rsidRPr="00E63717">
              <w:rPr>
                <w:snapToGrid/>
                <w:color w:val="000000" w:themeColor="text1"/>
                <w:sz w:val="16"/>
                <w:szCs w:val="16"/>
              </w:rPr>
              <w:t>Disclosures on periodic statements (section 1030.6)</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3,172</w:t>
            </w: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12</w:t>
            </w:r>
          </w:p>
        </w:tc>
        <w:tc>
          <w:tcPr>
            <w:tcW w:w="1260" w:type="dxa"/>
            <w:tcBorders>
              <w:top w:val="single" w:color="auto" w:sz="4" w:space="0"/>
              <w:left w:val="single" w:color="auto" w:sz="4" w:space="0"/>
              <w:bottom w:val="single" w:color="auto" w:sz="4" w:space="0"/>
              <w:right w:val="single" w:color="auto" w:sz="4" w:space="0"/>
            </w:tcBorders>
            <w:vAlign w:val="bottom"/>
          </w:tcPr>
          <w:p w:rsidRPr="00E63717" w:rsidR="00E63717" w:rsidP="00E63717" w:rsidRDefault="00E63717">
            <w:pPr>
              <w:widowControl/>
              <w:jc w:val="center"/>
              <w:rPr>
                <w:snapToGrid/>
                <w:color w:val="000000"/>
                <w:sz w:val="16"/>
                <w:szCs w:val="16"/>
              </w:rPr>
            </w:pPr>
            <w:r w:rsidRPr="00E63717">
              <w:rPr>
                <w:snapToGrid/>
                <w:color w:val="000000"/>
                <w:sz w:val="16"/>
                <w:szCs w:val="16"/>
              </w:rPr>
              <w:t>4</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63717" w:rsidR="00E63717" w:rsidP="00E63717" w:rsidRDefault="00E63717">
            <w:pPr>
              <w:widowControl/>
              <w:jc w:val="center"/>
              <w:rPr>
                <w:snapToGrid/>
                <w:color w:val="000000"/>
                <w:sz w:val="16"/>
                <w:szCs w:val="16"/>
              </w:rPr>
            </w:pPr>
            <w:r w:rsidRPr="00E63717">
              <w:rPr>
                <w:snapToGrid/>
                <w:sz w:val="16"/>
                <w:szCs w:val="16"/>
              </w:rPr>
              <w:t>152,256</w:t>
            </w:r>
          </w:p>
        </w:tc>
      </w:tr>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numPr>
                <w:ilvl w:val="0"/>
                <w:numId w:val="22"/>
              </w:numPr>
              <w:ind w:left="338"/>
              <w:contextualSpacing/>
              <w:jc w:val="both"/>
              <w:rPr>
                <w:iCs/>
                <w:snapToGrid/>
                <w:color w:val="000000"/>
                <w:sz w:val="16"/>
                <w:szCs w:val="16"/>
              </w:rPr>
            </w:pPr>
            <w:r w:rsidRPr="00E63717">
              <w:rPr>
                <w:iCs/>
                <w:snapToGrid/>
                <w:color w:val="000000"/>
                <w:sz w:val="16"/>
                <w:szCs w:val="16"/>
              </w:rPr>
              <w:t>Advertising (section 1030.8)</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Disclosure (Mandatory)</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3,172</w:t>
            </w: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color w:val="000000"/>
                <w:sz w:val="16"/>
                <w:szCs w:val="16"/>
              </w:rPr>
            </w:pPr>
            <w:r w:rsidRPr="00E63717">
              <w:rPr>
                <w:snapToGrid/>
                <w:color w:val="000000"/>
                <w:sz w:val="16"/>
                <w:szCs w:val="16"/>
              </w:rPr>
              <w:t>12</w:t>
            </w:r>
          </w:p>
        </w:tc>
        <w:tc>
          <w:tcPr>
            <w:tcW w:w="1260" w:type="dxa"/>
            <w:tcBorders>
              <w:top w:val="single" w:color="auto" w:sz="4" w:space="0"/>
              <w:left w:val="single" w:color="auto" w:sz="4" w:space="0"/>
              <w:bottom w:val="single" w:color="auto" w:sz="4" w:space="0"/>
              <w:right w:val="single" w:color="auto" w:sz="4" w:space="0"/>
            </w:tcBorders>
            <w:vAlign w:val="bottom"/>
          </w:tcPr>
          <w:p w:rsidRPr="00E63717" w:rsidR="00E63717" w:rsidP="00E63717" w:rsidRDefault="00E63717">
            <w:pPr>
              <w:widowControl/>
              <w:jc w:val="center"/>
              <w:rPr>
                <w:snapToGrid/>
                <w:color w:val="000000"/>
                <w:sz w:val="16"/>
                <w:szCs w:val="16"/>
              </w:rPr>
            </w:pPr>
            <w:r w:rsidRPr="00E63717">
              <w:rPr>
                <w:snapToGrid/>
                <w:color w:val="000000"/>
                <w:sz w:val="16"/>
                <w:szCs w:val="16"/>
              </w:rPr>
              <w:t>0.5</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63717" w:rsidR="00E63717" w:rsidP="00E63717" w:rsidRDefault="00E63717">
            <w:pPr>
              <w:widowControl/>
              <w:jc w:val="center"/>
              <w:rPr>
                <w:snapToGrid/>
                <w:color w:val="000000"/>
                <w:sz w:val="16"/>
                <w:szCs w:val="16"/>
              </w:rPr>
            </w:pPr>
            <w:r w:rsidRPr="00E63717">
              <w:rPr>
                <w:snapToGrid/>
                <w:sz w:val="16"/>
                <w:szCs w:val="16"/>
              </w:rPr>
              <w:t>19,032</w:t>
            </w:r>
          </w:p>
        </w:tc>
      </w:tr>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rPr>
                <w:snapToGrid/>
                <w:color w:val="000000"/>
                <w:sz w:val="16"/>
                <w:szCs w:val="16"/>
              </w:rPr>
            </w:pPr>
          </w:p>
        </w:tc>
        <w:tc>
          <w:tcPr>
            <w:tcW w:w="12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jc w:val="right"/>
              <w:rPr>
                <w:snapToGrid/>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sz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sz w:val="20"/>
              </w:rPr>
            </w:pPr>
          </w:p>
        </w:tc>
        <w:tc>
          <w:tcPr>
            <w:tcW w:w="1260" w:type="dxa"/>
            <w:tcBorders>
              <w:top w:val="single" w:color="auto" w:sz="4" w:space="0"/>
              <w:left w:val="single" w:color="auto" w:sz="4" w:space="0"/>
              <w:bottom w:val="single" w:color="auto" w:sz="4" w:space="0"/>
              <w:right w:val="single" w:color="auto" w:sz="4" w:space="0"/>
            </w:tcBorders>
            <w:vAlign w:val="bottom"/>
          </w:tcPr>
          <w:p w:rsidRPr="00E63717" w:rsidR="00E63717" w:rsidP="00E63717" w:rsidRDefault="00E63717">
            <w:pPr>
              <w:widowControl/>
              <w:jc w:val="center"/>
              <w:rPr>
                <w:snapToGrid/>
                <w:sz w:val="20"/>
              </w:rPr>
            </w:pP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63717" w:rsidR="00E63717" w:rsidP="00E63717" w:rsidRDefault="00E63717">
            <w:pPr>
              <w:widowControl/>
              <w:jc w:val="center"/>
              <w:rPr>
                <w:snapToGrid/>
                <w:sz w:val="16"/>
                <w:szCs w:val="16"/>
              </w:rPr>
            </w:pPr>
          </w:p>
        </w:tc>
      </w:tr>
      <w:tr w:rsidRPr="00E63717" w:rsidR="00E63717" w:rsidTr="00DD3E7F">
        <w:trPr>
          <w:trHeight w:val="48"/>
        </w:trPr>
        <w:tc>
          <w:tcPr>
            <w:tcW w:w="30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rPr>
                <w:b/>
                <w:bCs/>
                <w:snapToGrid/>
                <w:color w:val="000000"/>
                <w:sz w:val="16"/>
                <w:szCs w:val="16"/>
              </w:rPr>
            </w:pPr>
            <w:r w:rsidRPr="00E63717">
              <w:rPr>
                <w:b/>
                <w:bCs/>
                <w:snapToGrid/>
                <w:color w:val="000000"/>
                <w:sz w:val="16"/>
                <w:szCs w:val="16"/>
              </w:rPr>
              <w:t>Subtotal Reg</w:t>
            </w:r>
            <w:r>
              <w:rPr>
                <w:b/>
                <w:bCs/>
                <w:snapToGrid/>
                <w:color w:val="000000"/>
                <w:sz w:val="16"/>
                <w:szCs w:val="16"/>
              </w:rPr>
              <w:t xml:space="preserve">ulation </w:t>
            </w:r>
            <w:r w:rsidRPr="00E63717">
              <w:rPr>
                <w:b/>
                <w:bCs/>
                <w:snapToGrid/>
                <w:color w:val="000000"/>
                <w:sz w:val="16"/>
                <w:szCs w:val="16"/>
              </w:rPr>
              <w:t xml:space="preserve"> DD Burden</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63717" w:rsidR="00E63717" w:rsidP="00E63717" w:rsidRDefault="00E63717">
            <w:pPr>
              <w:widowControl/>
              <w:jc w:val="right"/>
              <w:rPr>
                <w:b/>
                <w:bCs/>
                <w:snapToGrid/>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sz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63717" w:rsidR="00E63717" w:rsidP="00E63717" w:rsidRDefault="00E63717">
            <w:pPr>
              <w:widowControl/>
              <w:jc w:val="center"/>
              <w:rPr>
                <w:snapToGrid/>
                <w:sz w:val="20"/>
              </w:rPr>
            </w:pPr>
          </w:p>
        </w:tc>
        <w:tc>
          <w:tcPr>
            <w:tcW w:w="1260" w:type="dxa"/>
            <w:tcBorders>
              <w:top w:val="single" w:color="auto" w:sz="4" w:space="0"/>
              <w:left w:val="single" w:color="auto" w:sz="4" w:space="0"/>
              <w:bottom w:val="single" w:color="auto" w:sz="4" w:space="0"/>
              <w:right w:val="single" w:color="auto" w:sz="4" w:space="0"/>
            </w:tcBorders>
            <w:vAlign w:val="bottom"/>
          </w:tcPr>
          <w:p w:rsidRPr="00E63717" w:rsidR="00E63717" w:rsidP="00E63717" w:rsidRDefault="00E63717">
            <w:pPr>
              <w:widowControl/>
              <w:jc w:val="center"/>
              <w:rPr>
                <w:snapToGrid/>
                <w:color w:val="000000"/>
                <w:sz w:val="16"/>
                <w:szCs w:val="16"/>
              </w:rPr>
            </w:pP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63717" w:rsidR="00E63717" w:rsidP="00E63717" w:rsidRDefault="00E63717">
            <w:pPr>
              <w:widowControl/>
              <w:jc w:val="center"/>
              <w:rPr>
                <w:snapToGrid/>
                <w:color w:val="000000"/>
                <w:sz w:val="16"/>
                <w:szCs w:val="16"/>
              </w:rPr>
            </w:pPr>
            <w:r w:rsidRPr="00E63717">
              <w:rPr>
                <w:snapToGrid/>
                <w:sz w:val="16"/>
                <w:szCs w:val="16"/>
              </w:rPr>
              <w:t>223,594</w:t>
            </w:r>
          </w:p>
        </w:tc>
      </w:tr>
    </w:tbl>
    <w:p w:rsidRPr="00E63717" w:rsidR="00E63717" w:rsidP="00E63717" w:rsidRDefault="00E63717">
      <w:pPr>
        <w:widowControl/>
        <w:rPr>
          <w:rFonts w:ascii="Source Sans Pro" w:hAnsi="Source Sans Pro"/>
          <w:snapToGrid/>
          <w:sz w:val="20"/>
        </w:rPr>
      </w:pPr>
      <w:r w:rsidRPr="00E63717">
        <w:rPr>
          <w:rFonts w:ascii="Source Sans Pro" w:hAnsi="Source Sans Pro"/>
          <w:snapToGrid/>
          <w:sz w:val="20"/>
        </w:rPr>
        <w:t xml:space="preserve">Source: </w:t>
      </w:r>
      <w:r w:rsidRPr="00E63717">
        <w:rPr>
          <w:rFonts w:ascii="Source Sans Pro" w:hAnsi="Source Sans Pro"/>
          <w:i/>
          <w:snapToGrid/>
          <w:sz w:val="20"/>
        </w:rPr>
        <w:t>FDIC</w:t>
      </w:r>
    </w:p>
    <w:p w:rsidR="00EF45E7" w:rsidP="00D44580" w:rsidRDefault="00EF45E7">
      <w:pPr>
        <w:tabs>
          <w:tab w:val="left" w:pos="-1440"/>
        </w:tabs>
        <w:ind w:left="360"/>
      </w:pPr>
    </w:p>
    <w:p w:rsidRPr="00D44580" w:rsidR="00DD3E7F" w:rsidP="00DD3E7F" w:rsidRDefault="00DD3E7F">
      <w:pPr>
        <w:tabs>
          <w:tab w:val="left" w:pos="-1440"/>
        </w:tabs>
        <w:ind w:left="360"/>
        <w:rPr>
          <w:b/>
        </w:rPr>
      </w:pPr>
      <w:r>
        <w:rPr>
          <w:b/>
        </w:rPr>
        <w:t>Regulation CC</w:t>
      </w:r>
    </w:p>
    <w:p w:rsidR="00DD3E7F" w:rsidP="00D44580" w:rsidRDefault="00DD3E7F">
      <w:pPr>
        <w:tabs>
          <w:tab w:val="left" w:pos="-1440"/>
        </w:tabs>
        <w:ind w:left="360"/>
      </w:pPr>
    </w:p>
    <w:p w:rsidRPr="00AB166B" w:rsidR="00AB166B" w:rsidP="00AB166B" w:rsidRDefault="00AB166B">
      <w:pPr>
        <w:tabs>
          <w:tab w:val="left" w:pos="-1440"/>
        </w:tabs>
        <w:ind w:left="360"/>
      </w:pPr>
      <w:r w:rsidRPr="00AB166B">
        <w:rPr>
          <w:bCs/>
        </w:rPr>
        <w:t xml:space="preserve">Potential respondents to Regulation CC </w:t>
      </w:r>
      <w:r w:rsidRPr="00AB166B">
        <w:t>include all state nonmember banks, savings institutions, and insured state branches of foreign banks. As of December 31, 2020, the FDIC supervises 3,227 such institutions.</w:t>
      </w:r>
      <w:r w:rsidRPr="00AB166B">
        <w:rPr>
          <w:vertAlign w:val="superscript"/>
        </w:rPr>
        <w:footnoteReference w:id="38"/>
      </w:r>
      <w:r w:rsidRPr="00AB166B">
        <w:t xml:space="preserve"> Of these institutions, 2,380 are considered small for the purposes of the Regulatory Flexibility Act (RFA).</w:t>
      </w:r>
      <w:r w:rsidRPr="00AB166B">
        <w:rPr>
          <w:vertAlign w:val="superscript"/>
        </w:rPr>
        <w:footnoteReference w:id="39"/>
      </w:r>
      <w:r w:rsidRPr="00AB166B">
        <w:t xml:space="preserve"> </w:t>
      </w:r>
    </w:p>
    <w:p w:rsidRPr="00AB166B" w:rsidR="00AB166B" w:rsidP="00AB166B" w:rsidRDefault="00AB166B">
      <w:pPr>
        <w:tabs>
          <w:tab w:val="left" w:pos="-1440"/>
        </w:tabs>
        <w:ind w:left="360"/>
      </w:pPr>
    </w:p>
    <w:p w:rsidR="00AB166B" w:rsidP="00AB166B" w:rsidRDefault="00AB166B">
      <w:pPr>
        <w:tabs>
          <w:tab w:val="left" w:pos="-1440"/>
        </w:tabs>
        <w:ind w:left="360"/>
      </w:pPr>
      <w:r w:rsidRPr="00AB166B">
        <w:t xml:space="preserve">For 10 of the 11 items, this estimate represents a decrease of 448 institutions from the previous estimate and is due to the decline in the number of FDIC-supervised institutions since September 30, 2017. For one item, the fifth line item under Regulation CC, titled “Notice to consumers of changes in policy (section 229.18(e)),” this estimate represents a </w:t>
      </w:r>
      <w:r>
        <w:t xml:space="preserve">3,211 </w:t>
      </w:r>
      <w:r w:rsidRPr="00AB166B">
        <w:t xml:space="preserve">respondent increase from the previous estimate. This increase is due to a change in </w:t>
      </w:r>
      <w:r>
        <w:t xml:space="preserve">estimation </w:t>
      </w:r>
      <w:r w:rsidRPr="00AB166B">
        <w:t>methodology.</w:t>
      </w:r>
      <w:r w:rsidRPr="00AB166B">
        <w:rPr>
          <w:vertAlign w:val="superscript"/>
        </w:rPr>
        <w:footnoteReference w:id="40"/>
      </w:r>
      <w:r w:rsidRPr="00AB166B">
        <w:t xml:space="preserve"> </w:t>
      </w:r>
    </w:p>
    <w:p w:rsidRPr="00AB166B" w:rsidR="00AB166B" w:rsidP="00AB166B" w:rsidRDefault="00AB166B">
      <w:pPr>
        <w:tabs>
          <w:tab w:val="left" w:pos="-1440"/>
        </w:tabs>
        <w:ind w:left="360"/>
      </w:pPr>
    </w:p>
    <w:p w:rsidR="00AB166B" w:rsidP="00AB166B" w:rsidRDefault="00AB166B">
      <w:pPr>
        <w:tabs>
          <w:tab w:val="left" w:pos="-1440"/>
        </w:tabs>
        <w:ind w:left="360"/>
      </w:pPr>
      <w:r w:rsidRPr="00AB166B">
        <w:t xml:space="preserve">The estimates for time per response and frequency of response vary by line item. The </w:t>
      </w:r>
      <w:r>
        <w:t>FDIC has</w:t>
      </w:r>
      <w:r w:rsidRPr="00AB166B">
        <w:t xml:space="preserve"> reviewed these estimates and determined that the estimates from the 2018 ICR remained reasonable for 10 of 11 IC line items. The estimate for the remaining item, the fifth line item under Regulation CC, titled “Notice to consumers of changes in policy (section 229.18(e)),” was updated to be consistent with the estimates for the line items titled “Change in terms” under Regulations E and DD for Estimated Time Per Response and the item titled “Consumer awareness disclosure” for Estimated Number of Reponses per Respondent. </w:t>
      </w:r>
    </w:p>
    <w:p w:rsidRPr="00AB166B" w:rsidR="00AB166B" w:rsidP="00AB166B" w:rsidRDefault="00AB166B">
      <w:pPr>
        <w:tabs>
          <w:tab w:val="left" w:pos="-1440"/>
        </w:tabs>
        <w:ind w:left="360"/>
      </w:pPr>
    </w:p>
    <w:p w:rsidRPr="00AB166B" w:rsidR="00AB166B" w:rsidP="00AB166B" w:rsidRDefault="00AB166B">
      <w:pPr>
        <w:tabs>
          <w:tab w:val="left" w:pos="-1440"/>
        </w:tabs>
        <w:ind w:left="360"/>
      </w:pPr>
      <w:r w:rsidRPr="00AB166B">
        <w:t>The estimated annual number of respondents, responses, and burdens for the ICs under Regulation CC are delineated in Table 3 below:</w:t>
      </w:r>
    </w:p>
    <w:p w:rsidR="00DD3E7F" w:rsidP="00D44580" w:rsidRDefault="00DD3E7F">
      <w:pPr>
        <w:tabs>
          <w:tab w:val="left" w:pos="-1440"/>
        </w:tabs>
        <w:ind w:left="360"/>
      </w:pPr>
    </w:p>
    <w:p w:rsidRPr="00DF645D" w:rsidR="00DF645D" w:rsidP="00DF645D" w:rsidRDefault="00DF645D">
      <w:pPr>
        <w:widowControl/>
        <w:rPr>
          <w:rFonts w:ascii="Source Sans Pro" w:hAnsi="Source Sans Pro"/>
          <w:snapToGrid/>
          <w:sz w:val="20"/>
        </w:rPr>
      </w:pPr>
    </w:p>
    <w:p w:rsidRPr="00DF645D" w:rsidR="00DF645D" w:rsidP="00DF645D" w:rsidRDefault="00DF645D">
      <w:pPr>
        <w:widowControl/>
        <w:jc w:val="center"/>
        <w:rPr>
          <w:rFonts w:ascii="Source Sans Pro" w:hAnsi="Source Sans Pro"/>
          <w:b/>
          <w:snapToGrid/>
          <w:sz w:val="20"/>
        </w:rPr>
      </w:pPr>
      <w:r w:rsidRPr="00DF645D">
        <w:rPr>
          <w:rFonts w:ascii="Source Sans Pro" w:hAnsi="Source Sans Pro"/>
          <w:b/>
          <w:snapToGrid/>
          <w:sz w:val="20"/>
        </w:rPr>
        <w:t>Table 3: Summary of Annual Burden for Regulation CC (OMB No. 3064-0084)</w:t>
      </w:r>
    </w:p>
    <w:tbl>
      <w:tblPr>
        <w:tblW w:w="0" w:type="auto"/>
        <w:tblCellMar>
          <w:top w:w="15" w:type="dxa"/>
          <w:bottom w:w="15" w:type="dxa"/>
        </w:tblCellMar>
        <w:tblLook w:val="04A0" w:firstRow="1" w:lastRow="0" w:firstColumn="1" w:lastColumn="0" w:noHBand="0" w:noVBand="1"/>
      </w:tblPr>
      <w:tblGrid>
        <w:gridCol w:w="3325"/>
        <w:gridCol w:w="1236"/>
        <w:gridCol w:w="1034"/>
        <w:gridCol w:w="1440"/>
        <w:gridCol w:w="1240"/>
        <w:gridCol w:w="1075"/>
      </w:tblGrid>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tcPr>
          <w:p w:rsidRPr="00DF645D" w:rsidR="00DF645D" w:rsidP="00DF645D" w:rsidRDefault="00DF645D">
            <w:pPr>
              <w:widowControl/>
              <w:rPr>
                <w:b/>
                <w:bCs/>
                <w:snapToGrid/>
                <w:color w:val="000000"/>
                <w:sz w:val="16"/>
                <w:szCs w:val="16"/>
              </w:rPr>
            </w:pPr>
          </w:p>
        </w:tc>
        <w:tc>
          <w:tcPr>
            <w:tcW w:w="1236" w:type="dxa"/>
            <w:tcBorders>
              <w:top w:val="single" w:color="auto" w:sz="4" w:space="0"/>
              <w:left w:val="single" w:color="auto" w:sz="4" w:space="0"/>
              <w:bottom w:val="single" w:color="auto" w:sz="4" w:space="0"/>
              <w:right w:val="single" w:color="auto" w:sz="4" w:space="0"/>
            </w:tcBorders>
            <w:shd w:val="clear" w:color="auto" w:fill="auto"/>
          </w:tcPr>
          <w:p w:rsidRPr="00DF645D" w:rsidR="00DF645D" w:rsidP="00DF645D" w:rsidRDefault="00DF645D">
            <w:pPr>
              <w:widowControl/>
              <w:rPr>
                <w:b/>
                <w:bCs/>
                <w:snapToGrid/>
                <w:color w:val="000000"/>
                <w:sz w:val="16"/>
                <w:szCs w:val="16"/>
              </w:rPr>
            </w:pPr>
            <w:r w:rsidRPr="00DF645D">
              <w:rPr>
                <w:snapToGrid/>
                <w:sz w:val="16"/>
                <w:szCs w:val="16"/>
              </w:rPr>
              <w:t>Type of Burden (Obligation to Respond)</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DF645D" w:rsidR="00DF645D" w:rsidP="00DF645D" w:rsidRDefault="00DF645D">
            <w:pPr>
              <w:widowControl/>
              <w:jc w:val="center"/>
              <w:rPr>
                <w:snapToGrid/>
                <w:sz w:val="20"/>
              </w:rPr>
            </w:pPr>
            <w:r w:rsidRPr="00DF645D">
              <w:rPr>
                <w:snapToGrid/>
                <w:sz w:val="16"/>
                <w:szCs w:val="16"/>
              </w:rPr>
              <w:t>Estimated Number of Respondents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F645D" w:rsidR="00DF645D" w:rsidP="00DF645D" w:rsidRDefault="00DF645D">
            <w:pPr>
              <w:widowControl/>
              <w:jc w:val="center"/>
              <w:rPr>
                <w:snapToGrid/>
                <w:sz w:val="20"/>
              </w:rPr>
            </w:pPr>
            <w:r w:rsidRPr="00DF645D">
              <w:rPr>
                <w:snapToGrid/>
                <w:sz w:val="16"/>
                <w:szCs w:val="16"/>
              </w:rPr>
              <w:t>Estimated Number of Responses/ Respondent</w:t>
            </w:r>
          </w:p>
        </w:tc>
        <w:tc>
          <w:tcPr>
            <w:tcW w:w="1240" w:type="dxa"/>
            <w:tcBorders>
              <w:top w:val="single" w:color="auto" w:sz="4" w:space="0"/>
              <w:left w:val="single" w:color="auto" w:sz="4" w:space="0"/>
              <w:bottom w:val="single" w:color="auto" w:sz="4" w:space="0"/>
              <w:right w:val="single" w:color="auto" w:sz="4" w:space="0"/>
            </w:tcBorders>
          </w:tcPr>
          <w:p w:rsidRPr="00DF645D" w:rsidR="00DF645D" w:rsidP="00DF645D" w:rsidRDefault="00DF645D">
            <w:pPr>
              <w:widowControl/>
              <w:jc w:val="center"/>
              <w:rPr>
                <w:snapToGrid/>
                <w:sz w:val="20"/>
              </w:rPr>
            </w:pPr>
            <w:r>
              <w:rPr>
                <w:snapToGrid/>
                <w:sz w:val="16"/>
                <w:szCs w:val="16"/>
              </w:rPr>
              <w:t>Estimated Time per Response (H</w:t>
            </w:r>
            <w:r w:rsidRPr="00DF645D">
              <w:rPr>
                <w:snapToGrid/>
                <w:sz w:val="16"/>
                <w:szCs w:val="16"/>
              </w:rPr>
              <w:t>ours)</w:t>
            </w:r>
          </w:p>
        </w:tc>
        <w:tc>
          <w:tcPr>
            <w:tcW w:w="1075" w:type="dxa"/>
            <w:tcBorders>
              <w:top w:val="single" w:color="auto" w:sz="4" w:space="0"/>
              <w:left w:val="single" w:color="auto" w:sz="4" w:space="0"/>
              <w:bottom w:val="single" w:color="auto" w:sz="4" w:space="0"/>
              <w:right w:val="single" w:color="auto" w:sz="4" w:space="0"/>
            </w:tcBorders>
            <w:shd w:val="clear" w:color="auto" w:fill="auto"/>
            <w:noWrap/>
          </w:tcPr>
          <w:p w:rsidRPr="00DF645D" w:rsidR="00DF645D" w:rsidP="00DF645D" w:rsidRDefault="00DF645D">
            <w:pPr>
              <w:widowControl/>
              <w:jc w:val="center"/>
              <w:rPr>
                <w:snapToGrid/>
                <w:sz w:val="16"/>
                <w:szCs w:val="16"/>
              </w:rPr>
            </w:pPr>
            <w:r w:rsidRPr="00DF645D">
              <w:rPr>
                <w:snapToGrid/>
                <w:sz w:val="16"/>
                <w:szCs w:val="16"/>
              </w:rPr>
              <w:t>Total Annual Estimated Burden</w:t>
            </w:r>
            <w:r>
              <w:rPr>
                <w:snapToGrid/>
                <w:sz w:val="16"/>
                <w:szCs w:val="16"/>
              </w:rPr>
              <w:t xml:space="preserve"> (Hours)</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rPr>
                <w:b/>
                <w:bCs/>
                <w:snapToGrid/>
                <w:color w:val="000000"/>
                <w:sz w:val="16"/>
                <w:szCs w:val="16"/>
              </w:rPr>
            </w:pPr>
            <w:r w:rsidRPr="00DF645D">
              <w:rPr>
                <w:b/>
                <w:bCs/>
                <w:snapToGrid/>
                <w:color w:val="000000"/>
                <w:sz w:val="16"/>
                <w:szCs w:val="16"/>
              </w:rPr>
              <w:t>Regulation CC - 12 C.F.R. Part 229</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645D" w:rsidR="00DF645D" w:rsidP="00DF645D" w:rsidRDefault="00DF645D">
            <w:pPr>
              <w:widowControl/>
              <w:rPr>
                <w:b/>
                <w:bCs/>
                <w:snapToGrid/>
                <w:color w:val="000000"/>
                <w:sz w:val="16"/>
                <w:szCs w:val="16"/>
              </w:rPr>
            </w:pP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645D" w:rsidR="00DF645D" w:rsidP="00DF645D" w:rsidRDefault="00DF645D">
            <w:pPr>
              <w:widowControl/>
              <w:jc w:val="center"/>
              <w:rPr>
                <w:snapToGrid/>
                <w:sz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645D" w:rsidR="00DF645D" w:rsidP="00DF645D" w:rsidRDefault="00DF645D">
            <w:pPr>
              <w:widowControl/>
              <w:jc w:val="center"/>
              <w:rPr>
                <w:snapToGrid/>
                <w:sz w:val="20"/>
              </w:rPr>
            </w:pPr>
          </w:p>
        </w:tc>
        <w:tc>
          <w:tcPr>
            <w:tcW w:w="1240" w:type="dxa"/>
            <w:tcBorders>
              <w:top w:val="single" w:color="auto" w:sz="4" w:space="0"/>
              <w:left w:val="single" w:color="auto" w:sz="4" w:space="0"/>
              <w:bottom w:val="single" w:color="auto" w:sz="4" w:space="0"/>
              <w:right w:val="single" w:color="auto" w:sz="4" w:space="0"/>
            </w:tcBorders>
            <w:vAlign w:val="center"/>
          </w:tcPr>
          <w:p w:rsidRPr="00DF645D" w:rsidR="00DF645D" w:rsidP="00DF645D" w:rsidRDefault="00DF645D">
            <w:pPr>
              <w:widowControl/>
              <w:jc w:val="center"/>
              <w:rPr>
                <w:snapToGrid/>
                <w:sz w:val="20"/>
              </w:rPr>
            </w:pP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sz w:val="16"/>
                <w:szCs w:val="16"/>
              </w:rPr>
            </w:pPr>
          </w:p>
        </w:tc>
      </w:tr>
      <w:tr w:rsidRPr="00DF645D" w:rsidR="00DF645D" w:rsidTr="004D28FC">
        <w:trPr>
          <w:trHeight w:val="65"/>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645D" w:rsidR="00DF645D" w:rsidP="00DF645D" w:rsidRDefault="00DF645D">
            <w:pPr>
              <w:widowControl/>
              <w:numPr>
                <w:ilvl w:val="0"/>
                <w:numId w:val="24"/>
              </w:numPr>
              <w:contextualSpacing/>
              <w:jc w:val="both"/>
              <w:rPr>
                <w:iCs/>
                <w:snapToGrid/>
                <w:color w:val="000000"/>
                <w:sz w:val="16"/>
                <w:szCs w:val="16"/>
              </w:rPr>
            </w:pPr>
            <w:r w:rsidRPr="00DF645D">
              <w:rPr>
                <w:iCs/>
                <w:snapToGrid/>
                <w:color w:val="000000"/>
                <w:sz w:val="16"/>
                <w:szCs w:val="16"/>
              </w:rPr>
              <w:t>Specific availability policy disclosure (initial notice to consumers, upon request, upon change in policy) (sections 229.16, 229.17 and 229.18(d))</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140</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0.017</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7680</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t>Case-by-case hold notice to consumers(section 229.16(c))</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717</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0.05</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115688</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t>Notice of exceptions to hold policy (section 229.13(g))</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247</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0.05</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39853</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t>Notice posted where consumers make deposits (including at ATMs)</w:t>
            </w:r>
            <w:r w:rsidRPr="00DF645D">
              <w:rPr>
                <w:iCs/>
                <w:snapToGrid/>
                <w:color w:val="000000"/>
                <w:sz w:val="16"/>
                <w:szCs w:val="16"/>
                <w:vertAlign w:val="superscript"/>
              </w:rPr>
              <w:t>4</w:t>
            </w:r>
            <w:r w:rsidRPr="00DF645D">
              <w:rPr>
                <w:iCs/>
                <w:snapToGrid/>
                <w:color w:val="000000"/>
                <w:sz w:val="16"/>
                <w:szCs w:val="16"/>
              </w:rPr>
              <w:t xml:space="preserve">(sections 229.18(b) and 229.18(c)) </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1</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0.25</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807</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lastRenderedPageBreak/>
              <w:t>Notice to consumers of changes in policy (section 229.18(e))</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170</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0.017</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9,326</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t>Annual notice of new ATMs (section 229.18(e))</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1</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5</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16,135</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t>Notice of nonpayment - notice to depositary bank (section 229.33(a) and (d))</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2,211</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0.017</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121,293</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t>Response to consumer’s re</w:t>
            </w:r>
            <w:r w:rsidR="003B0E5E">
              <w:rPr>
                <w:iCs/>
                <w:snapToGrid/>
                <w:color w:val="000000"/>
                <w:sz w:val="16"/>
                <w:szCs w:val="16"/>
              </w:rPr>
              <w:t>-</w:t>
            </w:r>
            <w:r w:rsidRPr="00DF645D">
              <w:rPr>
                <w:iCs/>
                <w:snapToGrid/>
                <w:color w:val="000000"/>
                <w:sz w:val="16"/>
                <w:szCs w:val="16"/>
              </w:rPr>
              <w:t>credit claim (validation, denial, reversal) (section 229.54(e))</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12</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0.25</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9,681</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t>Bank’s claim against an indemnifying bank (section 229.55)</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rPr>
            </w:pPr>
            <w:r w:rsidRPr="00DF645D">
              <w:rPr>
                <w:snapToGrid/>
                <w:color w:val="000000"/>
                <w:sz w:val="16"/>
                <w:szCs w:val="16"/>
              </w:rPr>
              <w:t>Reporting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5</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0.25</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4,034</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t>Consumer awareness disclosure (section 229.57)</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Disclosure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170</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0.017</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9,326</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numPr>
                <w:ilvl w:val="0"/>
                <w:numId w:val="24"/>
              </w:numPr>
              <w:ind w:left="338"/>
              <w:contextualSpacing/>
              <w:jc w:val="both"/>
              <w:rPr>
                <w:iCs/>
                <w:snapToGrid/>
                <w:color w:val="000000"/>
                <w:sz w:val="16"/>
                <w:szCs w:val="16"/>
              </w:rPr>
            </w:pPr>
            <w:r w:rsidRPr="00DF645D">
              <w:rPr>
                <w:iCs/>
                <w:snapToGrid/>
                <w:color w:val="000000"/>
                <w:sz w:val="16"/>
                <w:szCs w:val="16"/>
              </w:rPr>
              <w:t>Reg</w:t>
            </w:r>
            <w:r>
              <w:rPr>
                <w:iCs/>
                <w:snapToGrid/>
                <w:color w:val="000000"/>
                <w:sz w:val="16"/>
                <w:szCs w:val="16"/>
              </w:rPr>
              <w:t>ulation</w:t>
            </w:r>
            <w:r w:rsidRPr="00DF645D">
              <w:rPr>
                <w:iCs/>
                <w:snapToGrid/>
                <w:color w:val="000000"/>
                <w:sz w:val="16"/>
                <w:szCs w:val="16"/>
              </w:rPr>
              <w:t xml:space="preserve"> CC Consumer Burden - Expedited re</w:t>
            </w:r>
            <w:r>
              <w:rPr>
                <w:iCs/>
                <w:snapToGrid/>
                <w:color w:val="000000"/>
                <w:sz w:val="16"/>
                <w:szCs w:val="16"/>
              </w:rPr>
              <w:t>-</w:t>
            </w:r>
            <w:r w:rsidRPr="00DF645D">
              <w:rPr>
                <w:iCs/>
                <w:snapToGrid/>
                <w:color w:val="000000"/>
                <w:sz w:val="16"/>
                <w:szCs w:val="16"/>
              </w:rPr>
              <w:t>credit claim notice (section 229.54(a) and (b)(2))</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Reporting (Mandatory)</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3,227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color w:val="000000"/>
                <w:sz w:val="16"/>
                <w:szCs w:val="16"/>
              </w:rPr>
            </w:pPr>
            <w:r w:rsidRPr="00DF645D">
              <w:rPr>
                <w:snapToGrid/>
                <w:color w:val="000000"/>
                <w:sz w:val="16"/>
                <w:szCs w:val="16"/>
              </w:rPr>
              <w:t>8</w:t>
            </w: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r w:rsidRPr="00DF645D">
              <w:rPr>
                <w:snapToGrid/>
                <w:color w:val="000000"/>
                <w:sz w:val="16"/>
                <w:szCs w:val="16"/>
              </w:rPr>
              <w:t>0.25</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6,454</w:t>
            </w: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center"/>
              <w:rPr>
                <w:snapToGrid/>
                <w:color w:val="000000"/>
                <w:sz w:val="16"/>
                <w:szCs w:val="16"/>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right"/>
              <w:rPr>
                <w:snapToGrid/>
                <w:sz w:val="20"/>
              </w:rPr>
            </w:pP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sz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sz w:val="20"/>
              </w:rPr>
            </w:pP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sz w:val="20"/>
              </w:rPr>
            </w:pP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sz w:val="16"/>
                <w:szCs w:val="16"/>
              </w:rPr>
            </w:pPr>
          </w:p>
        </w:tc>
      </w:tr>
      <w:tr w:rsidRPr="00DF645D" w:rsidR="00DF645D" w:rsidTr="004D28FC">
        <w:trPr>
          <w:trHeight w:val="48"/>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rPr>
                <w:b/>
                <w:bCs/>
                <w:snapToGrid/>
                <w:color w:val="000000"/>
                <w:sz w:val="16"/>
                <w:szCs w:val="16"/>
              </w:rPr>
            </w:pPr>
            <w:r w:rsidRPr="00DF645D">
              <w:rPr>
                <w:b/>
                <w:bCs/>
                <w:snapToGrid/>
                <w:color w:val="000000"/>
                <w:sz w:val="16"/>
                <w:szCs w:val="16"/>
              </w:rPr>
              <w:t>Subtotal Reg</w:t>
            </w:r>
            <w:r>
              <w:rPr>
                <w:b/>
                <w:bCs/>
                <w:snapToGrid/>
                <w:color w:val="000000"/>
                <w:sz w:val="16"/>
                <w:szCs w:val="16"/>
              </w:rPr>
              <w:t>ulation</w:t>
            </w:r>
            <w:r w:rsidRPr="00DF645D">
              <w:rPr>
                <w:b/>
                <w:bCs/>
                <w:snapToGrid/>
                <w:color w:val="000000"/>
                <w:sz w:val="16"/>
                <w:szCs w:val="16"/>
              </w:rPr>
              <w:t xml:space="preserve"> CC Burden</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F645D" w:rsidR="00DF645D" w:rsidP="00DF645D" w:rsidRDefault="00DF645D">
            <w:pPr>
              <w:widowControl/>
              <w:jc w:val="right"/>
              <w:rPr>
                <w:b/>
                <w:bCs/>
                <w:snapToGrid/>
                <w:color w:val="000000"/>
                <w:sz w:val="16"/>
                <w:szCs w:val="16"/>
              </w:rPr>
            </w:pP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sz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jc w:val="center"/>
              <w:rPr>
                <w:snapToGrid/>
                <w:sz w:val="20"/>
              </w:rPr>
            </w:pPr>
          </w:p>
        </w:tc>
        <w:tc>
          <w:tcPr>
            <w:tcW w:w="1240" w:type="dxa"/>
            <w:tcBorders>
              <w:top w:val="single" w:color="auto" w:sz="4" w:space="0"/>
              <w:left w:val="single" w:color="auto" w:sz="4" w:space="0"/>
              <w:bottom w:val="single" w:color="auto" w:sz="4" w:space="0"/>
              <w:right w:val="single" w:color="auto" w:sz="4" w:space="0"/>
            </w:tcBorders>
            <w:vAlign w:val="bottom"/>
          </w:tcPr>
          <w:p w:rsidRPr="00DF645D" w:rsidR="00DF645D" w:rsidP="00DF645D" w:rsidRDefault="00DF645D">
            <w:pPr>
              <w:widowControl/>
              <w:jc w:val="center"/>
              <w:rPr>
                <w:snapToGrid/>
                <w:color w:val="000000"/>
                <w:sz w:val="16"/>
                <w:szCs w:val="16"/>
              </w:rPr>
            </w:pP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center"/>
              <w:rPr>
                <w:snapToGrid/>
                <w:color w:val="000000"/>
                <w:sz w:val="16"/>
                <w:szCs w:val="16"/>
              </w:rPr>
            </w:pPr>
            <w:r w:rsidRPr="00DF645D">
              <w:rPr>
                <w:snapToGrid/>
                <w:sz w:val="16"/>
                <w:szCs w:val="16"/>
              </w:rPr>
              <w:t>340,277</w:t>
            </w:r>
          </w:p>
        </w:tc>
      </w:tr>
    </w:tbl>
    <w:p w:rsidRPr="00DF645D" w:rsidR="00DF645D" w:rsidP="00DF645D" w:rsidRDefault="00DF645D">
      <w:pPr>
        <w:widowControl/>
        <w:rPr>
          <w:rFonts w:ascii="Source Sans Pro" w:hAnsi="Source Sans Pro"/>
          <w:snapToGrid/>
          <w:sz w:val="20"/>
        </w:rPr>
      </w:pPr>
      <w:r w:rsidRPr="00DF645D">
        <w:rPr>
          <w:rFonts w:ascii="Source Sans Pro" w:hAnsi="Source Sans Pro"/>
          <w:snapToGrid/>
          <w:sz w:val="20"/>
        </w:rPr>
        <w:t xml:space="preserve">Source: </w:t>
      </w:r>
      <w:r w:rsidRPr="00DF645D">
        <w:rPr>
          <w:rFonts w:ascii="Source Sans Pro" w:hAnsi="Source Sans Pro"/>
          <w:i/>
          <w:snapToGrid/>
          <w:sz w:val="20"/>
        </w:rPr>
        <w:t>FDIC</w:t>
      </w:r>
    </w:p>
    <w:p w:rsidR="00DF645D" w:rsidP="00D44580" w:rsidRDefault="00DF645D">
      <w:pPr>
        <w:tabs>
          <w:tab w:val="left" w:pos="-1440"/>
        </w:tabs>
        <w:ind w:left="360"/>
      </w:pPr>
    </w:p>
    <w:p w:rsidR="00DF645D" w:rsidP="00D44580" w:rsidRDefault="00DF645D">
      <w:pPr>
        <w:tabs>
          <w:tab w:val="left" w:pos="-1440"/>
        </w:tabs>
        <w:ind w:left="360"/>
        <w:rPr>
          <w:b/>
        </w:rPr>
      </w:pPr>
      <w:r w:rsidRPr="00DF645D">
        <w:rPr>
          <w:b/>
        </w:rPr>
        <w:t>Summary of Burdens for the three Regulations</w:t>
      </w:r>
    </w:p>
    <w:p w:rsidR="00DF645D" w:rsidP="00D44580" w:rsidRDefault="00DF645D">
      <w:pPr>
        <w:tabs>
          <w:tab w:val="left" w:pos="-1440"/>
        </w:tabs>
        <w:ind w:left="360"/>
      </w:pPr>
    </w:p>
    <w:p w:rsidRPr="00DF645D" w:rsidR="00DF645D" w:rsidP="00DF645D" w:rsidRDefault="00DF645D">
      <w:pPr>
        <w:widowControl/>
        <w:jc w:val="center"/>
        <w:rPr>
          <w:rFonts w:ascii="Source Sans Pro" w:hAnsi="Source Sans Pro"/>
          <w:b/>
          <w:snapToGrid/>
          <w:sz w:val="20"/>
        </w:rPr>
      </w:pPr>
      <w:r w:rsidRPr="00DF645D">
        <w:rPr>
          <w:rFonts w:ascii="Source Sans Pro" w:hAnsi="Source Sans Pro"/>
          <w:b/>
          <w:snapToGrid/>
          <w:sz w:val="20"/>
        </w:rPr>
        <w:t>Table 4: Summary of Annual Burden (OMB No. 3064-0084)</w:t>
      </w:r>
    </w:p>
    <w:tbl>
      <w:tblPr>
        <w:tblW w:w="6480" w:type="dxa"/>
        <w:tblInd w:w="1435" w:type="dxa"/>
        <w:tblLayout w:type="fixed"/>
        <w:tblCellMar>
          <w:top w:w="15" w:type="dxa"/>
          <w:bottom w:w="15" w:type="dxa"/>
        </w:tblCellMar>
        <w:tblLook w:val="04A0" w:firstRow="1" w:lastRow="0" w:firstColumn="1" w:lastColumn="0" w:noHBand="0" w:noVBand="1"/>
      </w:tblPr>
      <w:tblGrid>
        <w:gridCol w:w="2700"/>
        <w:gridCol w:w="3780"/>
      </w:tblGrid>
      <w:tr w:rsidRPr="00DF645D" w:rsidR="00DF645D" w:rsidTr="00DF645D">
        <w:trPr>
          <w:trHeight w:val="48"/>
        </w:trPr>
        <w:tc>
          <w:tcPr>
            <w:tcW w:w="2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rPr>
                <w:rFonts w:ascii="Source Sans Pro" w:hAnsi="Source Sans Pro"/>
                <w:snapToGrid/>
                <w:sz w:val="20"/>
              </w:rPr>
            </w:pP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645D" w:rsidR="00DF645D" w:rsidP="00DF645D" w:rsidRDefault="00DF645D">
            <w:pPr>
              <w:widowControl/>
              <w:jc w:val="center"/>
              <w:rPr>
                <w:rFonts w:ascii="Source Sans Pro" w:hAnsi="Source Sans Pro"/>
                <w:snapToGrid/>
                <w:color w:val="000000"/>
                <w:sz w:val="20"/>
              </w:rPr>
            </w:pPr>
            <w:r w:rsidRPr="00DF645D">
              <w:rPr>
                <w:rFonts w:ascii="Source Sans Pro" w:hAnsi="Source Sans Pro"/>
                <w:snapToGrid/>
                <w:color w:val="000000"/>
                <w:sz w:val="20"/>
              </w:rPr>
              <w:t xml:space="preserve">Total </w:t>
            </w:r>
            <w:r>
              <w:rPr>
                <w:rFonts w:ascii="Source Sans Pro" w:hAnsi="Source Sans Pro"/>
                <w:snapToGrid/>
                <w:color w:val="000000"/>
                <w:sz w:val="20"/>
              </w:rPr>
              <w:t xml:space="preserve">Estimated </w:t>
            </w:r>
            <w:r w:rsidRPr="00DF645D">
              <w:rPr>
                <w:rFonts w:ascii="Source Sans Pro" w:hAnsi="Source Sans Pro"/>
                <w:snapToGrid/>
                <w:color w:val="000000"/>
                <w:sz w:val="20"/>
              </w:rPr>
              <w:t>Annual Burden</w:t>
            </w:r>
          </w:p>
        </w:tc>
      </w:tr>
      <w:tr w:rsidRPr="00DF645D" w:rsidR="00DF645D" w:rsidTr="00DF645D">
        <w:trPr>
          <w:trHeight w:val="48"/>
        </w:trPr>
        <w:tc>
          <w:tcPr>
            <w:tcW w:w="2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645D" w:rsidR="00DF645D" w:rsidP="00DF645D" w:rsidRDefault="00DF645D">
            <w:pPr>
              <w:widowControl/>
              <w:rPr>
                <w:rFonts w:ascii="Source Sans Pro" w:hAnsi="Source Sans Pro"/>
                <w:bCs/>
                <w:snapToGrid/>
                <w:color w:val="000000"/>
                <w:sz w:val="20"/>
              </w:rPr>
            </w:pPr>
            <w:r w:rsidRPr="00DF645D">
              <w:rPr>
                <w:rFonts w:ascii="Source Sans Pro" w:hAnsi="Source Sans Pro"/>
                <w:bCs/>
                <w:snapToGrid/>
                <w:color w:val="000000"/>
                <w:sz w:val="20"/>
              </w:rPr>
              <w:t>Subtotal Regulation E</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645D" w:rsidR="00DF645D" w:rsidP="00DF645D" w:rsidRDefault="00DF645D">
            <w:pPr>
              <w:widowControl/>
              <w:jc w:val="right"/>
              <w:rPr>
                <w:rFonts w:ascii="Source Sans Pro" w:hAnsi="Source Sans Pro"/>
                <w:snapToGrid/>
                <w:sz w:val="20"/>
              </w:rPr>
            </w:pPr>
            <w:r w:rsidRPr="00DF645D">
              <w:rPr>
                <w:rFonts w:ascii="Source Sans Pro" w:hAnsi="Source Sans Pro"/>
                <w:snapToGrid/>
                <w:sz w:val="20"/>
              </w:rPr>
              <w:t>28,950</w:t>
            </w:r>
            <w:r>
              <w:rPr>
                <w:rFonts w:ascii="Source Sans Pro" w:hAnsi="Source Sans Pro"/>
                <w:snapToGrid/>
                <w:sz w:val="20"/>
              </w:rPr>
              <w:t xml:space="preserve"> Hours</w:t>
            </w:r>
          </w:p>
        </w:tc>
      </w:tr>
      <w:tr w:rsidRPr="00DF645D" w:rsidR="00DF645D" w:rsidTr="00DF645D">
        <w:trPr>
          <w:trHeight w:val="48"/>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rsidRPr="00DF645D" w:rsidR="00DF645D" w:rsidP="00DF645D" w:rsidRDefault="00DF645D">
            <w:pPr>
              <w:widowControl/>
              <w:rPr>
                <w:rFonts w:ascii="Source Sans Pro" w:hAnsi="Source Sans Pro"/>
                <w:iCs/>
                <w:snapToGrid/>
                <w:color w:val="000000"/>
                <w:sz w:val="20"/>
              </w:rPr>
            </w:pPr>
            <w:r w:rsidRPr="00DF645D">
              <w:rPr>
                <w:rFonts w:ascii="Source Sans Pro" w:hAnsi="Source Sans Pro"/>
                <w:iCs/>
                <w:snapToGrid/>
                <w:color w:val="000000"/>
                <w:sz w:val="20"/>
              </w:rPr>
              <w:t>Subtotal Regulation DD</w:t>
            </w:r>
          </w:p>
        </w:tc>
        <w:tc>
          <w:tcPr>
            <w:tcW w:w="37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right"/>
              <w:rPr>
                <w:rFonts w:ascii="Source Sans Pro" w:hAnsi="Source Sans Pro"/>
                <w:snapToGrid/>
                <w:sz w:val="20"/>
              </w:rPr>
            </w:pPr>
            <w:r w:rsidRPr="00DF645D">
              <w:rPr>
                <w:rFonts w:ascii="Source Sans Pro" w:hAnsi="Source Sans Pro"/>
                <w:snapToGrid/>
                <w:sz w:val="20"/>
              </w:rPr>
              <w:t>223,594</w:t>
            </w:r>
            <w:r>
              <w:rPr>
                <w:rFonts w:ascii="Source Sans Pro" w:hAnsi="Source Sans Pro"/>
                <w:snapToGrid/>
                <w:sz w:val="20"/>
              </w:rPr>
              <w:t xml:space="preserve"> Hours</w:t>
            </w:r>
          </w:p>
        </w:tc>
      </w:tr>
      <w:tr w:rsidRPr="00DF645D" w:rsidR="00DF645D" w:rsidTr="00DF645D">
        <w:trPr>
          <w:trHeight w:val="43"/>
        </w:trPr>
        <w:tc>
          <w:tcPr>
            <w:tcW w:w="2700" w:type="dxa"/>
            <w:tcBorders>
              <w:top w:val="single" w:color="auto" w:sz="4" w:space="0"/>
              <w:left w:val="single" w:color="auto" w:sz="4" w:space="0"/>
              <w:bottom w:val="single" w:color="auto" w:sz="4" w:space="0"/>
              <w:right w:val="single" w:color="auto" w:sz="4" w:space="0"/>
            </w:tcBorders>
            <w:shd w:val="clear" w:color="auto" w:fill="auto"/>
            <w:vAlign w:val="bottom"/>
          </w:tcPr>
          <w:p w:rsidRPr="00DF645D" w:rsidR="00DF645D" w:rsidP="00DF645D" w:rsidRDefault="00DF645D">
            <w:pPr>
              <w:widowControl/>
              <w:rPr>
                <w:rFonts w:ascii="Source Sans Pro" w:hAnsi="Source Sans Pro"/>
                <w:snapToGrid/>
                <w:color w:val="000000"/>
                <w:sz w:val="20"/>
              </w:rPr>
            </w:pPr>
            <w:r w:rsidRPr="00DF645D">
              <w:rPr>
                <w:rFonts w:ascii="Source Sans Pro" w:hAnsi="Source Sans Pro"/>
                <w:snapToGrid/>
                <w:color w:val="000000"/>
                <w:sz w:val="20"/>
              </w:rPr>
              <w:t>Subtotal Regulation CC</w:t>
            </w:r>
          </w:p>
        </w:tc>
        <w:tc>
          <w:tcPr>
            <w:tcW w:w="37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right"/>
              <w:rPr>
                <w:rFonts w:ascii="Source Sans Pro" w:hAnsi="Source Sans Pro"/>
                <w:snapToGrid/>
                <w:color w:val="000000"/>
                <w:sz w:val="20"/>
              </w:rPr>
            </w:pPr>
            <w:r w:rsidRPr="00DF645D">
              <w:rPr>
                <w:rFonts w:ascii="Source Sans Pro" w:hAnsi="Source Sans Pro"/>
                <w:snapToGrid/>
                <w:color w:val="000000"/>
                <w:sz w:val="20"/>
              </w:rPr>
              <w:t>340,277</w:t>
            </w:r>
            <w:r>
              <w:rPr>
                <w:rFonts w:ascii="Source Sans Pro" w:hAnsi="Source Sans Pro"/>
                <w:snapToGrid/>
                <w:color w:val="000000"/>
                <w:sz w:val="20"/>
              </w:rPr>
              <w:t xml:space="preserve"> Hours</w:t>
            </w:r>
          </w:p>
        </w:tc>
      </w:tr>
      <w:tr w:rsidRPr="00DF645D" w:rsidR="00DF645D" w:rsidTr="00DF645D">
        <w:trPr>
          <w:trHeight w:val="48"/>
        </w:trPr>
        <w:tc>
          <w:tcPr>
            <w:tcW w:w="2700" w:type="dxa"/>
            <w:tcBorders>
              <w:top w:val="single" w:color="auto" w:sz="4" w:space="0"/>
              <w:left w:val="single" w:color="auto" w:sz="4" w:space="0"/>
              <w:bottom w:val="single" w:color="auto" w:sz="4" w:space="0"/>
              <w:right w:val="single" w:color="auto" w:sz="4" w:space="0"/>
            </w:tcBorders>
            <w:shd w:val="clear" w:color="auto" w:fill="auto"/>
            <w:vAlign w:val="bottom"/>
          </w:tcPr>
          <w:p w:rsidRPr="00DF645D" w:rsidR="00DF645D" w:rsidP="00DF645D" w:rsidRDefault="00DF645D">
            <w:pPr>
              <w:widowControl/>
              <w:jc w:val="right"/>
              <w:rPr>
                <w:rFonts w:ascii="Source Sans Pro" w:hAnsi="Source Sans Pro"/>
                <w:snapToGrid/>
                <w:color w:val="000000"/>
                <w:sz w:val="20"/>
              </w:rPr>
            </w:pPr>
          </w:p>
        </w:tc>
        <w:tc>
          <w:tcPr>
            <w:tcW w:w="37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right"/>
              <w:rPr>
                <w:rFonts w:ascii="Source Sans Pro" w:hAnsi="Source Sans Pro"/>
                <w:snapToGrid/>
                <w:color w:val="000000"/>
                <w:sz w:val="20"/>
              </w:rPr>
            </w:pPr>
          </w:p>
        </w:tc>
      </w:tr>
      <w:tr w:rsidRPr="00DF645D" w:rsidR="00DF645D" w:rsidTr="00DF645D">
        <w:trPr>
          <w:trHeight w:val="48"/>
        </w:trPr>
        <w:tc>
          <w:tcPr>
            <w:tcW w:w="2700" w:type="dxa"/>
            <w:tcBorders>
              <w:top w:val="single" w:color="auto" w:sz="4" w:space="0"/>
              <w:left w:val="single" w:color="auto" w:sz="4" w:space="0"/>
              <w:bottom w:val="single" w:color="auto" w:sz="4" w:space="0"/>
              <w:right w:val="single" w:color="auto" w:sz="4" w:space="0"/>
            </w:tcBorders>
            <w:shd w:val="clear" w:color="auto" w:fill="auto"/>
            <w:vAlign w:val="bottom"/>
          </w:tcPr>
          <w:p w:rsidRPr="00DF645D" w:rsidR="00DF645D" w:rsidP="00DF645D" w:rsidRDefault="00DF645D">
            <w:pPr>
              <w:widowControl/>
              <w:rPr>
                <w:rFonts w:ascii="Source Sans Pro" w:hAnsi="Source Sans Pro"/>
                <w:b/>
                <w:iCs/>
                <w:snapToGrid/>
                <w:color w:val="000000"/>
                <w:sz w:val="20"/>
              </w:rPr>
            </w:pPr>
            <w:r w:rsidRPr="00DF645D">
              <w:rPr>
                <w:rFonts w:ascii="Source Sans Pro" w:hAnsi="Source Sans Pro"/>
                <w:b/>
                <w:iCs/>
                <w:snapToGrid/>
                <w:color w:val="000000"/>
                <w:sz w:val="20"/>
              </w:rPr>
              <w:t>Total Burden</w:t>
            </w:r>
          </w:p>
        </w:tc>
        <w:tc>
          <w:tcPr>
            <w:tcW w:w="37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F645D" w:rsidR="00DF645D" w:rsidP="00DF645D" w:rsidRDefault="00DF645D">
            <w:pPr>
              <w:widowControl/>
              <w:jc w:val="right"/>
              <w:rPr>
                <w:rFonts w:ascii="Source Sans Pro" w:hAnsi="Source Sans Pro"/>
                <w:snapToGrid/>
                <w:color w:val="000000"/>
                <w:sz w:val="20"/>
              </w:rPr>
            </w:pPr>
            <w:r w:rsidRPr="00DF645D">
              <w:rPr>
                <w:rFonts w:ascii="Source Sans Pro" w:hAnsi="Source Sans Pro"/>
                <w:snapToGrid/>
                <w:color w:val="000000"/>
                <w:sz w:val="20"/>
              </w:rPr>
              <w:t>592,821</w:t>
            </w:r>
            <w:r>
              <w:rPr>
                <w:rFonts w:ascii="Source Sans Pro" w:hAnsi="Source Sans Pro"/>
                <w:snapToGrid/>
                <w:color w:val="000000"/>
                <w:sz w:val="20"/>
              </w:rPr>
              <w:t xml:space="preserve"> Hours</w:t>
            </w:r>
          </w:p>
        </w:tc>
      </w:tr>
    </w:tbl>
    <w:p w:rsidRPr="00DF645D" w:rsidR="00DF645D" w:rsidP="00DF645D" w:rsidRDefault="00DF645D">
      <w:pPr>
        <w:widowControl/>
        <w:ind w:left="720" w:firstLine="720"/>
        <w:rPr>
          <w:rFonts w:ascii="Source Sans Pro" w:hAnsi="Source Sans Pro"/>
          <w:snapToGrid/>
          <w:sz w:val="20"/>
        </w:rPr>
      </w:pPr>
      <w:r w:rsidRPr="00DF645D">
        <w:rPr>
          <w:rFonts w:ascii="Source Sans Pro" w:hAnsi="Source Sans Pro"/>
          <w:snapToGrid/>
          <w:sz w:val="20"/>
        </w:rPr>
        <w:t xml:space="preserve">Source: </w:t>
      </w:r>
      <w:r w:rsidRPr="00DF645D">
        <w:rPr>
          <w:rFonts w:ascii="Source Sans Pro" w:hAnsi="Source Sans Pro"/>
          <w:i/>
          <w:snapToGrid/>
          <w:sz w:val="20"/>
        </w:rPr>
        <w:t>FDIC</w:t>
      </w:r>
    </w:p>
    <w:p w:rsidR="00A26E36" w:rsidP="003E4818" w:rsidRDefault="00A26E36">
      <w:pPr>
        <w:tabs>
          <w:tab w:val="left" w:pos="-1440"/>
        </w:tabs>
      </w:pPr>
    </w:p>
    <w:p w:rsidRPr="005A44ED" w:rsidR="005A44ED" w:rsidP="005A44ED" w:rsidRDefault="005A44ED">
      <w:pPr>
        <w:tabs>
          <w:tab w:val="left" w:pos="-1440"/>
        </w:tabs>
        <w:ind w:left="360"/>
        <w:rPr>
          <w:b/>
        </w:rPr>
      </w:pPr>
      <w:r w:rsidRPr="005A44ED">
        <w:rPr>
          <w:b/>
        </w:rPr>
        <w:t>Hourly Burden Cost Estimate</w:t>
      </w:r>
    </w:p>
    <w:p w:rsidRPr="005A44ED" w:rsidR="005A44ED" w:rsidP="005A44ED" w:rsidRDefault="005A44ED">
      <w:pPr>
        <w:tabs>
          <w:tab w:val="left" w:pos="-1440"/>
        </w:tabs>
        <w:ind w:left="360"/>
        <w:rPr>
          <w:b/>
        </w:rPr>
      </w:pPr>
    </w:p>
    <w:p w:rsidRPr="005A44ED" w:rsidR="005A44ED" w:rsidP="005A44ED" w:rsidRDefault="005A44ED">
      <w:pPr>
        <w:tabs>
          <w:tab w:val="left" w:pos="-1440"/>
        </w:tabs>
        <w:ind w:left="360"/>
      </w:pPr>
      <w:r w:rsidRPr="005A44ED">
        <w:t>To estimate the weighted average hourly compens</w:t>
      </w:r>
      <w:r>
        <w:t>ation cost of these employees, FDIC</w:t>
      </w:r>
      <w:r w:rsidRPr="005A44ED">
        <w:t xml:space="preserve"> use</w:t>
      </w:r>
      <w:r>
        <w:t>s</w:t>
      </w:r>
      <w:r w:rsidRPr="005A44ED">
        <w:t xml:space="preserve"> the 75</w:t>
      </w:r>
      <w:r w:rsidRPr="005A44ED">
        <w:rPr>
          <w:vertAlign w:val="superscript"/>
        </w:rPr>
        <w:t>th</w:t>
      </w:r>
      <w:r w:rsidRPr="005A44ED">
        <w:t> percentile hourly wages reported by the Bureau of Labor Statistics (BLS) National Industry-Specific Occupational Employment and Wage Estimates for the relevant occupations in the Depository Credit Intermediation sector, as of December, 2020.  </w:t>
      </w:r>
    </w:p>
    <w:p w:rsidRPr="005A44ED" w:rsidR="005A44ED" w:rsidP="005A44ED" w:rsidRDefault="005A44ED">
      <w:pPr>
        <w:tabs>
          <w:tab w:val="left" w:pos="-1440"/>
        </w:tabs>
        <w:ind w:left="360"/>
      </w:pPr>
    </w:p>
    <w:p w:rsidRPr="005A44ED" w:rsidR="005A44ED" w:rsidP="005A44ED" w:rsidRDefault="005A44ED">
      <w:pPr>
        <w:tabs>
          <w:tab w:val="left" w:pos="-1440"/>
        </w:tabs>
        <w:ind w:left="360"/>
      </w:pPr>
      <w:r w:rsidRPr="005A44ED">
        <w:t xml:space="preserve">The hourly wage rates reported do not include non-monetary compensation. According to the December 2020 Employer Cost of Employee Compensation data, compensation rates for health and other benefits are 34 percent of total compensation. To account </w:t>
      </w:r>
      <w:r>
        <w:t>for non-monetary compensation, FDIC</w:t>
      </w:r>
      <w:r w:rsidRPr="005A44ED">
        <w:t xml:space="preserve"> adjust</w:t>
      </w:r>
      <w:r>
        <w:t>s</w:t>
      </w:r>
      <w:r w:rsidRPr="005A44ED">
        <w:t xml:space="preserve"> the hourly wage rates repor</w:t>
      </w:r>
      <w:r>
        <w:t>ted by BLS by that percentage. It</w:t>
      </w:r>
      <w:r w:rsidRPr="005A44ED">
        <w:t xml:space="preserve"> also adjust</w:t>
      </w:r>
      <w:r>
        <w:t>s</w:t>
      </w:r>
      <w:r w:rsidRPr="005A44ED">
        <w:t xml:space="preserve"> the hourly wage by 1.71</w:t>
      </w:r>
      <w:r w:rsidRPr="005A44ED" w:rsidDel="00EE2994">
        <w:t xml:space="preserve"> </w:t>
      </w:r>
      <w:r w:rsidRPr="005A44ED">
        <w:t>percent based on changes in the Consumer Price Index for Urban Consumers (CPI-U) from May 2019 and December 2020</w:t>
      </w:r>
      <w:r w:rsidRPr="005A44ED" w:rsidDel="00EE2994">
        <w:t xml:space="preserve"> </w:t>
      </w:r>
      <w:r w:rsidRPr="005A44ED">
        <w:t>to account for inflation and ensure that the wage information is contemporaneous with the non-monetary compensation statistic.</w:t>
      </w:r>
    </w:p>
    <w:p w:rsidRPr="005A44ED" w:rsidR="005A44ED" w:rsidP="005A44ED" w:rsidRDefault="005A44ED">
      <w:pPr>
        <w:tabs>
          <w:tab w:val="left" w:pos="-1440"/>
        </w:tabs>
        <w:ind w:left="360"/>
      </w:pPr>
    </w:p>
    <w:p w:rsidR="003E4818" w:rsidP="003E4818" w:rsidRDefault="005A44ED">
      <w:pPr>
        <w:tabs>
          <w:tab w:val="left" w:pos="-1440"/>
        </w:tabs>
        <w:ind w:left="360"/>
      </w:pPr>
      <w:r w:rsidRPr="005A44ED">
        <w:t xml:space="preserve">After </w:t>
      </w:r>
      <w:r>
        <w:t xml:space="preserve">calculating these adjustments, </w:t>
      </w:r>
      <w:r w:rsidR="003E4818">
        <w:t xml:space="preserve">FDIC </w:t>
      </w:r>
      <w:r w:rsidRPr="003E4818" w:rsidR="003E4818">
        <w:t>use</w:t>
      </w:r>
      <w:r w:rsidR="003E4818">
        <w:t>s</w:t>
      </w:r>
      <w:r w:rsidRPr="003E4818" w:rsidR="003E4818">
        <w:t xml:space="preserve"> the total estimated hourly compensation of compliance officers </w:t>
      </w:r>
      <w:r w:rsidR="003E4818">
        <w:t xml:space="preserve">($67.35) </w:t>
      </w:r>
      <w:r w:rsidRPr="003E4818" w:rsidR="003E4818">
        <w:t xml:space="preserve">for all line items except for the ninth line under “Regulation </w:t>
      </w:r>
      <w:r w:rsidR="003E4818">
        <w:t xml:space="preserve">CC – 12 C.F.R. Part 229” </w:t>
      </w:r>
      <w:r w:rsidRPr="003E4818" w:rsidR="003E4818">
        <w:t>” titled “Bank’s claim agains</w:t>
      </w:r>
      <w:r w:rsidR="003E4818">
        <w:t>t an indemnifying bank”. There FDIC</w:t>
      </w:r>
      <w:r w:rsidRPr="003E4818" w:rsidR="003E4818">
        <w:t xml:space="preserve"> use</w:t>
      </w:r>
      <w:r w:rsidR="003E4818">
        <w:t>s</w:t>
      </w:r>
      <w:r w:rsidRPr="003E4818" w:rsidR="003E4818">
        <w:t xml:space="preserve"> the total estimated hourly compensation of legal occupations</w:t>
      </w:r>
      <w:r w:rsidR="003E4818">
        <w:t xml:space="preserve"> ($151.44)</w:t>
      </w:r>
      <w:r w:rsidRPr="003E4818" w:rsidR="003E4818">
        <w:t>. This estimated allocation of labor is unchanged from the previous estimate</w:t>
      </w:r>
      <w:r w:rsidR="003E4818">
        <w:t>.</w:t>
      </w:r>
    </w:p>
    <w:p w:rsidR="003E4818" w:rsidP="003E4818" w:rsidRDefault="003E4818">
      <w:pPr>
        <w:tabs>
          <w:tab w:val="left" w:pos="-1440"/>
        </w:tabs>
        <w:ind w:left="360"/>
      </w:pPr>
    </w:p>
    <w:p w:rsidRPr="003E4818" w:rsidR="003E4818" w:rsidP="003E4818" w:rsidRDefault="003E4818">
      <w:pPr>
        <w:tabs>
          <w:tab w:val="left" w:pos="-1440"/>
        </w:tabs>
        <w:ind w:left="360"/>
      </w:pPr>
      <w:r>
        <w:t>FDIC</w:t>
      </w:r>
      <w:r w:rsidRPr="003E4818">
        <w:t xml:space="preserve"> estimate</w:t>
      </w:r>
      <w:r>
        <w:t>s</w:t>
      </w:r>
      <w:r w:rsidRPr="003E4818">
        <w:t xml:space="preserve"> the total annual cost burden for this ICR by taking the product of the estimated number of respondents, estimated time per response, frequency of responses, and total estimated hourly compensation of the relevant occupation for each line item , and then summing those values, as shown below in Table </w:t>
      </w:r>
      <w:r>
        <w:t>5</w:t>
      </w:r>
      <w:r w:rsidRPr="003E4818">
        <w:t>:</w:t>
      </w:r>
    </w:p>
    <w:p w:rsidRPr="003E4818" w:rsidR="003E4818" w:rsidP="003E4818" w:rsidRDefault="003E4818">
      <w:pPr>
        <w:tabs>
          <w:tab w:val="left" w:pos="-1440"/>
        </w:tabs>
        <w:ind w:left="360"/>
      </w:pPr>
    </w:p>
    <w:p w:rsidRPr="003E4818" w:rsidR="003E4818" w:rsidP="003E4818" w:rsidRDefault="003E4818">
      <w:pPr>
        <w:widowControl/>
        <w:jc w:val="center"/>
        <w:rPr>
          <w:rFonts w:ascii="Source Sans Pro" w:hAnsi="Source Sans Pro"/>
          <w:b/>
          <w:snapToGrid/>
          <w:sz w:val="20"/>
        </w:rPr>
      </w:pPr>
      <w:r>
        <w:rPr>
          <w:rFonts w:ascii="Source Sans Pro" w:hAnsi="Source Sans Pro"/>
          <w:b/>
          <w:snapToGrid/>
          <w:sz w:val="20"/>
        </w:rPr>
        <w:t>Table 5</w:t>
      </w:r>
      <w:r w:rsidRPr="003E4818">
        <w:rPr>
          <w:rFonts w:ascii="Source Sans Pro" w:hAnsi="Source Sans Pro"/>
          <w:b/>
          <w:snapToGrid/>
          <w:sz w:val="20"/>
        </w:rPr>
        <w:t>: Total Estimated Cost Burden (OMB Control No. 3064-0084)</w:t>
      </w:r>
    </w:p>
    <w:tbl>
      <w:tblPr>
        <w:tblStyle w:val="TableGrid1"/>
        <w:tblW w:w="9358" w:type="dxa"/>
        <w:tblLook w:val="04A0" w:firstRow="1" w:lastRow="0" w:firstColumn="1" w:lastColumn="0" w:noHBand="0" w:noVBand="1"/>
      </w:tblPr>
      <w:tblGrid>
        <w:gridCol w:w="2385"/>
        <w:gridCol w:w="1792"/>
        <w:gridCol w:w="1727"/>
        <w:gridCol w:w="1727"/>
        <w:gridCol w:w="1727"/>
      </w:tblGrid>
      <w:tr w:rsidRPr="003E4818" w:rsidR="003E4818" w:rsidTr="004D28FC">
        <w:trPr>
          <w:trHeight w:val="402"/>
        </w:trPr>
        <w:tc>
          <w:tcPr>
            <w:tcW w:w="2385" w:type="dxa"/>
            <w:vAlign w:val="center"/>
          </w:tcPr>
          <w:p w:rsidRPr="003E4818" w:rsidR="003E4818" w:rsidP="003E4818" w:rsidRDefault="003E4818">
            <w:pPr>
              <w:widowControl/>
              <w:jc w:val="center"/>
              <w:rPr>
                <w:rFonts w:ascii="Source Sans Pro" w:hAnsi="Source Sans Pro"/>
                <w:sz w:val="20"/>
              </w:rPr>
            </w:pPr>
            <w:r w:rsidRPr="003E4818">
              <w:rPr>
                <w:rFonts w:ascii="Source Sans Pro" w:hAnsi="Source Sans Pro"/>
                <w:color w:val="000000"/>
                <w:sz w:val="20"/>
              </w:rPr>
              <w:t>Relevant Line Item(s)</w:t>
            </w:r>
          </w:p>
        </w:tc>
        <w:tc>
          <w:tcPr>
            <w:tcW w:w="1792" w:type="dxa"/>
            <w:vAlign w:val="center"/>
          </w:tcPr>
          <w:p w:rsidRPr="003E4818" w:rsidR="003E4818" w:rsidP="003E4818" w:rsidRDefault="003E4818">
            <w:pPr>
              <w:widowControl/>
              <w:jc w:val="center"/>
              <w:rPr>
                <w:rFonts w:ascii="Source Sans Pro" w:hAnsi="Source Sans Pro"/>
                <w:sz w:val="20"/>
              </w:rPr>
            </w:pPr>
            <w:r w:rsidRPr="003E4818">
              <w:rPr>
                <w:rFonts w:ascii="Source Sans Pro" w:hAnsi="Source Sans Pro"/>
                <w:color w:val="000000"/>
                <w:sz w:val="20"/>
              </w:rPr>
              <w:t>Occupation (SOC Code)</w:t>
            </w:r>
          </w:p>
        </w:tc>
        <w:tc>
          <w:tcPr>
            <w:tcW w:w="1727" w:type="dxa"/>
            <w:vAlign w:val="center"/>
          </w:tcPr>
          <w:p w:rsidRPr="003E4818" w:rsidR="003E4818" w:rsidP="003E4818" w:rsidRDefault="003E4818">
            <w:pPr>
              <w:widowControl/>
              <w:jc w:val="center"/>
              <w:rPr>
                <w:rFonts w:ascii="Source Sans Pro" w:hAnsi="Source Sans Pro"/>
                <w:sz w:val="20"/>
              </w:rPr>
            </w:pPr>
            <w:r w:rsidRPr="003E4818">
              <w:rPr>
                <w:rFonts w:ascii="Source Sans Pro" w:hAnsi="Source Sans Pro"/>
                <w:color w:val="000000"/>
                <w:sz w:val="20"/>
              </w:rPr>
              <w:t>Total Estimated Hourly Compensation</w:t>
            </w:r>
          </w:p>
        </w:tc>
        <w:tc>
          <w:tcPr>
            <w:tcW w:w="1727" w:type="dxa"/>
            <w:vAlign w:val="center"/>
          </w:tcPr>
          <w:p w:rsidRPr="003E4818" w:rsidR="003E4818" w:rsidP="003E4818" w:rsidRDefault="003E4818">
            <w:pPr>
              <w:widowControl/>
              <w:jc w:val="center"/>
              <w:rPr>
                <w:rFonts w:ascii="Source Sans Pro" w:hAnsi="Source Sans Pro"/>
                <w:color w:val="000000"/>
                <w:sz w:val="20"/>
              </w:rPr>
            </w:pPr>
            <w:r w:rsidRPr="003E4818">
              <w:rPr>
                <w:rFonts w:ascii="Source Sans Pro" w:hAnsi="Source Sans Pro"/>
                <w:color w:val="000000"/>
                <w:sz w:val="20"/>
              </w:rPr>
              <w:t>Annual Estimated Burden Hours</w:t>
            </w:r>
          </w:p>
        </w:tc>
        <w:tc>
          <w:tcPr>
            <w:tcW w:w="1727" w:type="dxa"/>
            <w:vAlign w:val="center"/>
          </w:tcPr>
          <w:p w:rsidRPr="003E4818" w:rsidR="003E4818" w:rsidP="003E4818" w:rsidRDefault="003E4818">
            <w:pPr>
              <w:widowControl/>
              <w:jc w:val="center"/>
              <w:rPr>
                <w:rFonts w:ascii="Source Sans Pro" w:hAnsi="Source Sans Pro"/>
                <w:color w:val="000000"/>
                <w:sz w:val="20"/>
              </w:rPr>
            </w:pPr>
            <w:r w:rsidRPr="003E4818">
              <w:rPr>
                <w:rFonts w:ascii="Source Sans Pro" w:hAnsi="Source Sans Pro"/>
                <w:color w:val="000000"/>
                <w:sz w:val="20"/>
              </w:rPr>
              <w:t>Annual Estimated Cost Burden</w:t>
            </w:r>
          </w:p>
        </w:tc>
      </w:tr>
      <w:tr w:rsidRPr="003E4818" w:rsidR="003E4818" w:rsidTr="004D28FC">
        <w:trPr>
          <w:trHeight w:val="206"/>
        </w:trPr>
        <w:tc>
          <w:tcPr>
            <w:tcW w:w="2385" w:type="dxa"/>
            <w:vAlign w:val="center"/>
          </w:tcPr>
          <w:p w:rsidRPr="003E4818" w:rsidR="003E4818" w:rsidP="003E4818" w:rsidRDefault="003E4818">
            <w:pPr>
              <w:widowControl/>
              <w:rPr>
                <w:rFonts w:ascii="Source Sans Pro" w:hAnsi="Source Sans Pro"/>
                <w:color w:val="000000"/>
                <w:sz w:val="20"/>
              </w:rPr>
            </w:pPr>
            <w:r w:rsidRPr="003E4818">
              <w:rPr>
                <w:rFonts w:ascii="Source Sans Pro" w:hAnsi="Source Sans Pro"/>
                <w:color w:val="000000" w:themeColor="text1"/>
                <w:sz w:val="20"/>
              </w:rPr>
              <w:lastRenderedPageBreak/>
              <w:t>All line items except for the ninth item line under “Regulation CC – 12 C.F.R. Part 229”</w:t>
            </w:r>
          </w:p>
        </w:tc>
        <w:tc>
          <w:tcPr>
            <w:tcW w:w="1792" w:type="dxa"/>
            <w:vAlign w:val="center"/>
          </w:tcPr>
          <w:p w:rsidRPr="003E4818" w:rsidR="003E4818" w:rsidP="003E4818" w:rsidRDefault="003E4818">
            <w:pPr>
              <w:widowControl/>
              <w:jc w:val="center"/>
              <w:rPr>
                <w:rFonts w:ascii="Source Sans Pro" w:hAnsi="Source Sans Pro"/>
                <w:color w:val="000000"/>
                <w:sz w:val="20"/>
              </w:rPr>
            </w:pPr>
            <w:r w:rsidRPr="003E4818">
              <w:rPr>
                <w:rFonts w:ascii="Source Sans Pro" w:hAnsi="Source Sans Pro"/>
                <w:color w:val="000000" w:themeColor="text1"/>
                <w:sz w:val="20"/>
              </w:rPr>
              <w:t>Compliance Officers (131040)</w:t>
            </w:r>
          </w:p>
        </w:tc>
        <w:tc>
          <w:tcPr>
            <w:tcW w:w="1727" w:type="dxa"/>
            <w:vAlign w:val="center"/>
          </w:tcPr>
          <w:p w:rsidRPr="003E4818" w:rsidR="003E4818" w:rsidP="005C590C" w:rsidRDefault="003E4818">
            <w:pPr>
              <w:widowControl/>
              <w:jc w:val="right"/>
              <w:rPr>
                <w:rFonts w:ascii="Source Sans Pro" w:hAnsi="Source Sans Pro"/>
                <w:color w:val="000000"/>
                <w:sz w:val="20"/>
              </w:rPr>
            </w:pPr>
            <w:r w:rsidRPr="003E4818">
              <w:rPr>
                <w:rFonts w:ascii="Source Sans Pro" w:hAnsi="Source Sans Pro"/>
                <w:color w:val="000000" w:themeColor="text1"/>
                <w:sz w:val="20"/>
              </w:rPr>
              <w:t>$67.35</w:t>
            </w:r>
          </w:p>
        </w:tc>
        <w:tc>
          <w:tcPr>
            <w:tcW w:w="1727" w:type="dxa"/>
            <w:vAlign w:val="center"/>
          </w:tcPr>
          <w:p w:rsidRPr="003E4818" w:rsidR="003E4818" w:rsidP="005C590C" w:rsidRDefault="003E4818">
            <w:pPr>
              <w:widowControl/>
              <w:jc w:val="right"/>
              <w:rPr>
                <w:rFonts w:ascii="Source Sans Pro" w:hAnsi="Source Sans Pro"/>
                <w:color w:val="000000" w:themeColor="text1"/>
                <w:sz w:val="20"/>
              </w:rPr>
            </w:pPr>
            <w:r w:rsidRPr="003E4818">
              <w:rPr>
                <w:rFonts w:ascii="Source Sans Pro" w:hAnsi="Source Sans Pro"/>
                <w:color w:val="000000" w:themeColor="text1"/>
                <w:sz w:val="20"/>
              </w:rPr>
              <w:t>588,247</w:t>
            </w:r>
          </w:p>
        </w:tc>
        <w:tc>
          <w:tcPr>
            <w:tcW w:w="1727" w:type="dxa"/>
            <w:vAlign w:val="center"/>
          </w:tcPr>
          <w:p w:rsidRPr="003E4818" w:rsidR="003E4818" w:rsidP="005C590C" w:rsidRDefault="003E4818">
            <w:pPr>
              <w:widowControl/>
              <w:jc w:val="right"/>
              <w:rPr>
                <w:rFonts w:ascii="Source Sans Pro" w:hAnsi="Source Sans Pro"/>
                <w:color w:val="000000" w:themeColor="text1"/>
                <w:sz w:val="20"/>
              </w:rPr>
            </w:pPr>
            <w:r w:rsidRPr="003E4818">
              <w:rPr>
                <w:rFonts w:ascii="Source Sans Pro" w:hAnsi="Source Sans Pro"/>
                <w:color w:val="000000" w:themeColor="text1"/>
                <w:sz w:val="20"/>
              </w:rPr>
              <w:t>$39,618,435</w:t>
            </w:r>
          </w:p>
        </w:tc>
      </w:tr>
      <w:tr w:rsidRPr="003E4818" w:rsidR="003E4818" w:rsidTr="004D28FC">
        <w:trPr>
          <w:trHeight w:val="817"/>
        </w:trPr>
        <w:tc>
          <w:tcPr>
            <w:tcW w:w="2385" w:type="dxa"/>
            <w:vAlign w:val="center"/>
          </w:tcPr>
          <w:p w:rsidRPr="003E4818" w:rsidR="003E4818" w:rsidP="003E4818" w:rsidRDefault="003E4818">
            <w:pPr>
              <w:widowControl/>
              <w:rPr>
                <w:rFonts w:ascii="Source Sans Pro" w:hAnsi="Source Sans Pro"/>
                <w:color w:val="000000"/>
                <w:sz w:val="20"/>
              </w:rPr>
            </w:pPr>
            <w:r w:rsidRPr="003E4818">
              <w:rPr>
                <w:rFonts w:ascii="Source Sans Pro" w:hAnsi="Source Sans Pro"/>
                <w:color w:val="000000"/>
                <w:sz w:val="20"/>
              </w:rPr>
              <w:t>Ninth line item under “Regulation CC – 12 C.F.R. Part 229” titled “Bank’s claim against an indemnifying bank”</w:t>
            </w:r>
          </w:p>
        </w:tc>
        <w:tc>
          <w:tcPr>
            <w:tcW w:w="1792" w:type="dxa"/>
            <w:vAlign w:val="center"/>
          </w:tcPr>
          <w:p w:rsidRPr="003E4818" w:rsidR="003E4818" w:rsidP="003E4818" w:rsidRDefault="003E4818">
            <w:pPr>
              <w:widowControl/>
              <w:jc w:val="center"/>
              <w:rPr>
                <w:rFonts w:ascii="Source Sans Pro" w:hAnsi="Source Sans Pro"/>
                <w:color w:val="000000"/>
                <w:sz w:val="20"/>
              </w:rPr>
            </w:pPr>
            <w:r w:rsidRPr="003E4818">
              <w:rPr>
                <w:rFonts w:ascii="Source Sans Pro" w:hAnsi="Source Sans Pro"/>
                <w:color w:val="000000" w:themeColor="text1"/>
                <w:sz w:val="20"/>
              </w:rPr>
              <w:t>Legal Occupations (230000)</w:t>
            </w:r>
          </w:p>
        </w:tc>
        <w:tc>
          <w:tcPr>
            <w:tcW w:w="1727" w:type="dxa"/>
            <w:vAlign w:val="center"/>
          </w:tcPr>
          <w:p w:rsidRPr="003E4818" w:rsidR="003E4818" w:rsidP="005C590C" w:rsidRDefault="003E4818">
            <w:pPr>
              <w:widowControl/>
              <w:jc w:val="right"/>
              <w:rPr>
                <w:rFonts w:ascii="Source Sans Pro" w:hAnsi="Source Sans Pro"/>
                <w:color w:val="000000"/>
                <w:sz w:val="20"/>
              </w:rPr>
            </w:pPr>
            <w:r w:rsidRPr="003E4818">
              <w:rPr>
                <w:rFonts w:ascii="Source Sans Pro" w:hAnsi="Source Sans Pro"/>
                <w:color w:val="000000"/>
                <w:sz w:val="20"/>
              </w:rPr>
              <w:t>$151.44</w:t>
            </w:r>
          </w:p>
        </w:tc>
        <w:tc>
          <w:tcPr>
            <w:tcW w:w="1727" w:type="dxa"/>
            <w:vAlign w:val="center"/>
          </w:tcPr>
          <w:p w:rsidRPr="003E4818" w:rsidR="003E4818" w:rsidP="005C590C" w:rsidRDefault="003E4818">
            <w:pPr>
              <w:widowControl/>
              <w:jc w:val="right"/>
              <w:rPr>
                <w:rFonts w:ascii="Source Sans Pro" w:hAnsi="Source Sans Pro"/>
                <w:color w:val="000000"/>
                <w:sz w:val="20"/>
              </w:rPr>
            </w:pPr>
            <w:r w:rsidRPr="003E4818">
              <w:rPr>
                <w:rFonts w:ascii="Source Sans Pro" w:hAnsi="Source Sans Pro"/>
                <w:color w:val="000000"/>
                <w:sz w:val="20"/>
              </w:rPr>
              <w:t>4,034</w:t>
            </w:r>
          </w:p>
        </w:tc>
        <w:tc>
          <w:tcPr>
            <w:tcW w:w="1727" w:type="dxa"/>
            <w:vAlign w:val="center"/>
          </w:tcPr>
          <w:p w:rsidRPr="003E4818" w:rsidR="003E4818" w:rsidP="005C590C" w:rsidRDefault="003E4818">
            <w:pPr>
              <w:widowControl/>
              <w:jc w:val="right"/>
              <w:rPr>
                <w:rFonts w:ascii="Source Sans Pro" w:hAnsi="Source Sans Pro"/>
                <w:color w:val="000000"/>
                <w:sz w:val="20"/>
              </w:rPr>
            </w:pPr>
            <w:r w:rsidRPr="003E4818">
              <w:rPr>
                <w:rFonts w:ascii="Source Sans Pro" w:hAnsi="Source Sans Pro"/>
                <w:color w:val="000000"/>
                <w:sz w:val="20"/>
              </w:rPr>
              <w:t>$610,909</w:t>
            </w:r>
          </w:p>
        </w:tc>
      </w:tr>
      <w:tr w:rsidRPr="003E4818" w:rsidR="003E4818" w:rsidTr="004D28FC">
        <w:trPr>
          <w:trHeight w:val="817"/>
        </w:trPr>
        <w:tc>
          <w:tcPr>
            <w:tcW w:w="2385" w:type="dxa"/>
            <w:vAlign w:val="center"/>
          </w:tcPr>
          <w:p w:rsidRPr="003E4818" w:rsidR="003E4818" w:rsidP="005C590C" w:rsidRDefault="003E4818">
            <w:pPr>
              <w:widowControl/>
              <w:rPr>
                <w:rFonts w:ascii="Source Sans Pro" w:hAnsi="Source Sans Pro"/>
                <w:color w:val="000000"/>
                <w:sz w:val="20"/>
              </w:rPr>
            </w:pPr>
            <w:r w:rsidRPr="003E4818">
              <w:rPr>
                <w:rFonts w:ascii="Source Sans Pro" w:hAnsi="Source Sans Pro"/>
                <w:color w:val="000000"/>
                <w:sz w:val="20"/>
              </w:rPr>
              <w:t>Total</w:t>
            </w:r>
          </w:p>
        </w:tc>
        <w:tc>
          <w:tcPr>
            <w:tcW w:w="1792" w:type="dxa"/>
            <w:vAlign w:val="center"/>
          </w:tcPr>
          <w:p w:rsidRPr="003E4818" w:rsidR="003E4818" w:rsidP="003E4818" w:rsidRDefault="003E4818">
            <w:pPr>
              <w:widowControl/>
              <w:jc w:val="center"/>
              <w:rPr>
                <w:rFonts w:ascii="Source Sans Pro" w:hAnsi="Source Sans Pro"/>
                <w:color w:val="000000" w:themeColor="text1"/>
                <w:sz w:val="20"/>
              </w:rPr>
            </w:pPr>
          </w:p>
        </w:tc>
        <w:tc>
          <w:tcPr>
            <w:tcW w:w="1727" w:type="dxa"/>
            <w:vAlign w:val="center"/>
          </w:tcPr>
          <w:p w:rsidRPr="003E4818" w:rsidR="003E4818" w:rsidP="005C590C" w:rsidRDefault="003E4818">
            <w:pPr>
              <w:widowControl/>
              <w:jc w:val="right"/>
              <w:rPr>
                <w:rFonts w:ascii="Source Sans Pro" w:hAnsi="Source Sans Pro"/>
                <w:color w:val="000000"/>
                <w:sz w:val="20"/>
              </w:rPr>
            </w:pPr>
          </w:p>
        </w:tc>
        <w:tc>
          <w:tcPr>
            <w:tcW w:w="1727" w:type="dxa"/>
            <w:vAlign w:val="center"/>
          </w:tcPr>
          <w:p w:rsidRPr="003E4818" w:rsidR="003E4818" w:rsidP="005C590C" w:rsidRDefault="003E4818">
            <w:pPr>
              <w:widowControl/>
              <w:jc w:val="right"/>
              <w:rPr>
                <w:rFonts w:ascii="Source Sans Pro" w:hAnsi="Source Sans Pro"/>
                <w:color w:val="000000"/>
                <w:sz w:val="20"/>
              </w:rPr>
            </w:pPr>
            <w:r w:rsidRPr="003E4818">
              <w:rPr>
                <w:rFonts w:ascii="Source Sans Pro" w:hAnsi="Source Sans Pro"/>
                <w:color w:val="000000" w:themeColor="text1"/>
                <w:sz w:val="20"/>
              </w:rPr>
              <w:t>592,821</w:t>
            </w:r>
          </w:p>
        </w:tc>
        <w:tc>
          <w:tcPr>
            <w:tcW w:w="1727" w:type="dxa"/>
            <w:vAlign w:val="center"/>
          </w:tcPr>
          <w:p w:rsidRPr="003E4818" w:rsidR="003E4818" w:rsidP="005C590C" w:rsidRDefault="003E4818">
            <w:pPr>
              <w:widowControl/>
              <w:jc w:val="right"/>
              <w:rPr>
                <w:rFonts w:ascii="Source Sans Pro" w:hAnsi="Source Sans Pro"/>
                <w:color w:val="000000"/>
                <w:sz w:val="20"/>
              </w:rPr>
            </w:pPr>
            <w:r w:rsidRPr="003E4818">
              <w:rPr>
                <w:rFonts w:ascii="Source Sans Pro" w:hAnsi="Source Sans Pro"/>
                <w:color w:val="000000" w:themeColor="text1"/>
                <w:sz w:val="20"/>
              </w:rPr>
              <w:t xml:space="preserve"> $40,229,344</w:t>
            </w:r>
          </w:p>
        </w:tc>
      </w:tr>
    </w:tbl>
    <w:p w:rsidRPr="005A44ED" w:rsidR="005A44ED" w:rsidP="005C590C" w:rsidRDefault="005A44ED">
      <w:pPr>
        <w:tabs>
          <w:tab w:val="left" w:pos="-1440"/>
        </w:tabs>
        <w:rPr>
          <w:sz w:val="20"/>
        </w:rPr>
      </w:pPr>
    </w:p>
    <w:tbl>
      <w:tblPr>
        <w:tblW w:w="10021" w:type="dxa"/>
        <w:tblInd w:w="-245" w:type="dxa"/>
        <w:tblCellMar>
          <w:top w:w="43" w:type="dxa"/>
          <w:left w:w="115" w:type="dxa"/>
          <w:bottom w:w="43" w:type="dxa"/>
          <w:right w:w="115" w:type="dxa"/>
        </w:tblCellMar>
        <w:tblLook w:val="04A0" w:firstRow="1" w:lastRow="0" w:firstColumn="1" w:lastColumn="0" w:noHBand="0" w:noVBand="1"/>
      </w:tblPr>
      <w:tblGrid>
        <w:gridCol w:w="3625"/>
        <w:gridCol w:w="2277"/>
        <w:gridCol w:w="1821"/>
        <w:gridCol w:w="2298"/>
      </w:tblGrid>
      <w:tr w:rsidRPr="002A24FB" w:rsidR="002A24FB" w:rsidTr="00A53182">
        <w:trPr>
          <w:trHeight w:val="123"/>
        </w:trPr>
        <w:tc>
          <w:tcPr>
            <w:tcW w:w="3625" w:type="dxa"/>
            <w:tcBorders>
              <w:top w:val="nil"/>
              <w:left w:val="nil"/>
              <w:bottom w:val="nil"/>
              <w:right w:val="nil"/>
            </w:tcBorders>
            <w:shd w:val="clear" w:color="auto" w:fill="auto"/>
            <w:noWrap/>
            <w:hideMark/>
          </w:tcPr>
          <w:p w:rsidRPr="002A24FB" w:rsidR="002A24FB" w:rsidP="005A44ED" w:rsidRDefault="002A24FB">
            <w:pPr>
              <w:widowControl/>
              <w:rPr>
                <w:snapToGrid/>
                <w:color w:val="000000"/>
                <w:sz w:val="20"/>
                <w:szCs w:val="22"/>
              </w:rPr>
            </w:pPr>
          </w:p>
        </w:tc>
        <w:tc>
          <w:tcPr>
            <w:tcW w:w="2277" w:type="dxa"/>
            <w:tcBorders>
              <w:top w:val="nil"/>
              <w:left w:val="nil"/>
              <w:bottom w:val="nil"/>
              <w:right w:val="nil"/>
            </w:tcBorders>
            <w:shd w:val="clear" w:color="auto" w:fill="auto"/>
            <w:hideMark/>
          </w:tcPr>
          <w:p w:rsidRPr="002A24FB" w:rsidR="002A24FB" w:rsidP="002A24FB" w:rsidRDefault="002A24FB">
            <w:pPr>
              <w:widowControl/>
              <w:rPr>
                <w:snapToGrid/>
                <w:color w:val="000000"/>
                <w:sz w:val="20"/>
                <w:szCs w:val="22"/>
              </w:rPr>
            </w:pPr>
          </w:p>
        </w:tc>
        <w:tc>
          <w:tcPr>
            <w:tcW w:w="1821" w:type="dxa"/>
            <w:tcBorders>
              <w:top w:val="nil"/>
              <w:left w:val="nil"/>
              <w:bottom w:val="nil"/>
              <w:right w:val="nil"/>
            </w:tcBorders>
            <w:shd w:val="clear" w:color="auto" w:fill="auto"/>
            <w:hideMark/>
          </w:tcPr>
          <w:p w:rsidRPr="002A24FB" w:rsidR="002A24FB" w:rsidP="002A24FB" w:rsidRDefault="002A24FB">
            <w:pPr>
              <w:widowControl/>
              <w:rPr>
                <w:snapToGrid/>
                <w:sz w:val="20"/>
              </w:rPr>
            </w:pPr>
          </w:p>
        </w:tc>
        <w:tc>
          <w:tcPr>
            <w:tcW w:w="2298" w:type="dxa"/>
            <w:tcBorders>
              <w:top w:val="nil"/>
              <w:left w:val="nil"/>
              <w:bottom w:val="nil"/>
              <w:right w:val="nil"/>
            </w:tcBorders>
            <w:shd w:val="clear" w:color="auto" w:fill="auto"/>
            <w:hideMark/>
          </w:tcPr>
          <w:p w:rsidRPr="002A24FB" w:rsidR="002A24FB" w:rsidP="002A24FB" w:rsidRDefault="002A24FB">
            <w:pPr>
              <w:widowControl/>
              <w:rPr>
                <w:snapToGrid/>
                <w:sz w:val="20"/>
              </w:rPr>
            </w:pPr>
          </w:p>
        </w:tc>
      </w:tr>
    </w:tbl>
    <w:p w:rsidR="003643DB" w:rsidP="003643DB" w:rsidRDefault="003643DB">
      <w:pPr>
        <w:keepNext/>
        <w:tabs>
          <w:tab w:val="left" w:pos="-1440"/>
        </w:tabs>
        <w:ind w:left="720" w:hanging="360"/>
        <w:rPr>
          <w:b/>
          <w:bCs/>
          <w:szCs w:val="24"/>
          <w:u w:val="single"/>
        </w:rPr>
      </w:pPr>
      <w:r w:rsidRPr="003643DB">
        <w:t>13.</w:t>
      </w:r>
      <w:r w:rsidRPr="003643DB">
        <w:tab/>
      </w:r>
      <w:r w:rsidRPr="003643DB">
        <w:rPr>
          <w:b/>
          <w:bCs/>
          <w:iCs/>
          <w:u w:val="single"/>
        </w:rPr>
        <w:t>Estimate</w:t>
      </w:r>
      <w:r w:rsidRPr="003643DB">
        <w:rPr>
          <w:b/>
          <w:bCs/>
          <w:szCs w:val="24"/>
          <w:u w:val="single"/>
        </w:rPr>
        <w:t xml:space="preserve"> of </w:t>
      </w:r>
      <w:r w:rsidRPr="003643DB">
        <w:rPr>
          <w:b/>
          <w:u w:val="single"/>
        </w:rPr>
        <w:t>start</w:t>
      </w:r>
      <w:r w:rsidRPr="003643DB">
        <w:rPr>
          <w:b/>
          <w:bCs/>
          <w:szCs w:val="24"/>
          <w:u w:val="single"/>
        </w:rPr>
        <w:t>-up costs to respondents:</w:t>
      </w:r>
    </w:p>
    <w:p w:rsidRPr="003643DB" w:rsidR="005944E5" w:rsidP="003643DB" w:rsidRDefault="005944E5">
      <w:pPr>
        <w:keepNext/>
        <w:tabs>
          <w:tab w:val="left" w:pos="-1440"/>
        </w:tabs>
        <w:ind w:left="720" w:hanging="360"/>
        <w:rPr>
          <w:b/>
          <w:u w:val="single"/>
        </w:rPr>
      </w:pPr>
    </w:p>
    <w:p w:rsidR="00183ADC" w:rsidP="00AA2DC4" w:rsidRDefault="00183ADC">
      <w:pPr>
        <w:spacing w:after="240"/>
        <w:ind w:left="720"/>
      </w:pPr>
      <w:r>
        <w:t>None.</w:t>
      </w:r>
    </w:p>
    <w:p w:rsidR="003643DB" w:rsidP="00D412B7" w:rsidRDefault="003643DB">
      <w:pPr>
        <w:keepNext/>
        <w:widowControl/>
        <w:tabs>
          <w:tab w:val="left" w:pos="-1440"/>
        </w:tabs>
        <w:ind w:left="720" w:hanging="360"/>
        <w:rPr>
          <w:b/>
          <w:bCs/>
          <w:iCs/>
          <w:szCs w:val="24"/>
          <w:u w:val="single"/>
        </w:rPr>
      </w:pPr>
      <w:r w:rsidRPr="003643DB">
        <w:t>14.</w:t>
      </w:r>
      <w:r w:rsidRPr="003643DB">
        <w:tab/>
      </w:r>
      <w:r w:rsidRPr="003643DB">
        <w:rPr>
          <w:b/>
          <w:bCs/>
          <w:iCs/>
          <w:u w:val="single"/>
        </w:rPr>
        <w:t>Estimate</w:t>
      </w:r>
      <w:r w:rsidRPr="003643DB">
        <w:rPr>
          <w:b/>
          <w:bCs/>
          <w:iCs/>
          <w:szCs w:val="24"/>
          <w:u w:val="single"/>
        </w:rPr>
        <w:t xml:space="preserve"> of annualized costs to the government:</w:t>
      </w:r>
    </w:p>
    <w:p w:rsidRPr="003643DB" w:rsidR="005944E5" w:rsidP="00D412B7" w:rsidRDefault="005944E5">
      <w:pPr>
        <w:keepNext/>
        <w:widowControl/>
        <w:tabs>
          <w:tab w:val="left" w:pos="-1440"/>
        </w:tabs>
        <w:ind w:left="720" w:hanging="360"/>
      </w:pPr>
    </w:p>
    <w:p w:rsidR="00BE2844" w:rsidP="008C7B1A" w:rsidRDefault="00B92A7F">
      <w:pPr>
        <w:spacing w:after="120"/>
        <w:ind w:left="720"/>
      </w:pPr>
      <w:r>
        <w:t>None.</w:t>
      </w:r>
    </w:p>
    <w:p w:rsidR="003643DB" w:rsidP="003643DB" w:rsidRDefault="003643DB">
      <w:pPr>
        <w:keepNext/>
        <w:tabs>
          <w:tab w:val="left" w:pos="-1440"/>
        </w:tabs>
        <w:ind w:left="720" w:hanging="360"/>
        <w:rPr>
          <w:b/>
          <w:bCs/>
          <w:iCs/>
          <w:szCs w:val="24"/>
          <w:u w:val="single"/>
        </w:rPr>
      </w:pPr>
      <w:r w:rsidRPr="003643DB">
        <w:t>15.</w:t>
      </w:r>
      <w:r w:rsidRPr="003643DB">
        <w:tab/>
      </w:r>
      <w:r w:rsidRPr="003643DB">
        <w:rPr>
          <w:b/>
          <w:bCs/>
          <w:iCs/>
          <w:u w:val="single"/>
        </w:rPr>
        <w:t>Analysis</w:t>
      </w:r>
      <w:r w:rsidRPr="003643DB">
        <w:rPr>
          <w:b/>
          <w:bCs/>
          <w:iCs/>
          <w:szCs w:val="24"/>
          <w:u w:val="single"/>
        </w:rPr>
        <w:t xml:space="preserve"> </w:t>
      </w:r>
      <w:r w:rsidRPr="003643DB">
        <w:rPr>
          <w:b/>
          <w:u w:val="single"/>
        </w:rPr>
        <w:t>of</w:t>
      </w:r>
      <w:r w:rsidRPr="003643DB">
        <w:rPr>
          <w:b/>
          <w:bCs/>
          <w:iCs/>
          <w:szCs w:val="24"/>
          <w:u w:val="single"/>
        </w:rPr>
        <w:t xml:space="preserve"> change in burden:</w:t>
      </w:r>
    </w:p>
    <w:p w:rsidRPr="003643DB" w:rsidR="005944E5" w:rsidP="003643DB" w:rsidRDefault="005944E5">
      <w:pPr>
        <w:keepNext/>
        <w:tabs>
          <w:tab w:val="left" w:pos="-1440"/>
        </w:tabs>
        <w:ind w:left="720" w:hanging="360"/>
      </w:pPr>
    </w:p>
    <w:p w:rsidR="00183ADC" w:rsidP="007467A5" w:rsidRDefault="00A2142A">
      <w:pPr>
        <w:spacing w:after="240"/>
        <w:ind w:left="720"/>
      </w:pPr>
      <w:r>
        <w:t>See discussion in Section 12 for an analysis of the change in burden.</w:t>
      </w:r>
    </w:p>
    <w:p w:rsidR="00BD466F" w:rsidP="00BD466F" w:rsidRDefault="00BD466F">
      <w:pPr>
        <w:tabs>
          <w:tab w:val="left" w:pos="-1440"/>
        </w:tabs>
        <w:ind w:left="720" w:hanging="360"/>
        <w:rPr>
          <w:b/>
          <w:szCs w:val="24"/>
          <w:u w:val="single"/>
        </w:rPr>
      </w:pPr>
      <w:r w:rsidRPr="00BD466F">
        <w:t>16.</w:t>
      </w:r>
      <w:r w:rsidRPr="00BD466F">
        <w:tab/>
      </w:r>
      <w:r w:rsidRPr="00BD466F">
        <w:rPr>
          <w:b/>
          <w:bCs/>
          <w:iCs/>
          <w:u w:val="single"/>
        </w:rPr>
        <w:t>Information</w:t>
      </w:r>
      <w:r w:rsidRPr="00BD466F">
        <w:rPr>
          <w:b/>
          <w:szCs w:val="24"/>
          <w:u w:val="single"/>
        </w:rPr>
        <w:t xml:space="preserve"> regarding collections whose results are planned to be published for statistical use:</w:t>
      </w:r>
    </w:p>
    <w:p w:rsidRPr="00BD466F" w:rsidR="005944E5" w:rsidP="00BD466F" w:rsidRDefault="005944E5">
      <w:pPr>
        <w:tabs>
          <w:tab w:val="left" w:pos="-1440"/>
        </w:tabs>
        <w:ind w:left="720" w:hanging="360"/>
        <w:rPr>
          <w:b/>
          <w:szCs w:val="24"/>
          <w:u w:val="single"/>
        </w:rPr>
      </w:pPr>
    </w:p>
    <w:p w:rsidR="00183ADC" w:rsidP="00AA2DC4" w:rsidRDefault="00B92A7F">
      <w:pPr>
        <w:spacing w:after="240"/>
        <w:ind w:left="720"/>
      </w:pPr>
      <w:r>
        <w:t>The information collected will not be published.</w:t>
      </w:r>
    </w:p>
    <w:p w:rsidR="00183ADC" w:rsidP="005944E5" w:rsidRDefault="00183ADC">
      <w:pPr>
        <w:tabs>
          <w:tab w:val="left" w:pos="-1440"/>
        </w:tabs>
        <w:spacing w:after="120"/>
        <w:ind w:firstLine="360"/>
      </w:pPr>
      <w:r>
        <w:t>17.</w:t>
      </w:r>
      <w:r>
        <w:tab/>
      </w:r>
      <w:r w:rsidRPr="005944E5" w:rsidR="00951D11">
        <w:rPr>
          <w:b/>
          <w:u w:val="single"/>
        </w:rPr>
        <w:t>Exceptions</w:t>
      </w:r>
      <w:r w:rsidRPr="005944E5">
        <w:rPr>
          <w:b/>
          <w:u w:val="single"/>
        </w:rPr>
        <w:t xml:space="preserve"> </w:t>
      </w:r>
      <w:r w:rsidRPr="005944E5" w:rsidR="00AA3F52">
        <w:rPr>
          <w:b/>
          <w:u w:val="single"/>
        </w:rPr>
        <w:t xml:space="preserve">to Display </w:t>
      </w:r>
      <w:r w:rsidRPr="005944E5">
        <w:rPr>
          <w:b/>
          <w:u w:val="single"/>
        </w:rPr>
        <w:t>of Expiration Date</w:t>
      </w:r>
    </w:p>
    <w:p w:rsidR="00183ADC" w:rsidP="00AA2DC4" w:rsidRDefault="00183ADC">
      <w:pPr>
        <w:spacing w:after="240"/>
        <w:ind w:left="720"/>
      </w:pPr>
      <w:r>
        <w:t>Not applicable.</w:t>
      </w:r>
    </w:p>
    <w:p w:rsidR="00183ADC" w:rsidP="005944E5" w:rsidRDefault="00183ADC">
      <w:pPr>
        <w:tabs>
          <w:tab w:val="left" w:pos="-1440"/>
        </w:tabs>
        <w:spacing w:after="120"/>
        <w:ind w:firstLine="360"/>
      </w:pPr>
      <w:r>
        <w:t>18.</w:t>
      </w:r>
      <w:r>
        <w:tab/>
      </w:r>
      <w:r w:rsidRPr="005944E5">
        <w:rPr>
          <w:b/>
          <w:u w:val="single"/>
        </w:rPr>
        <w:t>Exceptions to Certification</w:t>
      </w:r>
    </w:p>
    <w:p w:rsidR="00183ADC" w:rsidP="00AA2DC4" w:rsidRDefault="00183ADC">
      <w:pPr>
        <w:spacing w:after="240"/>
        <w:ind w:left="720"/>
      </w:pPr>
      <w:r>
        <w:t>None.</w:t>
      </w:r>
    </w:p>
    <w:p w:rsidR="00183ADC" w:rsidP="007518E6" w:rsidRDefault="00183ADC">
      <w:pPr>
        <w:numPr>
          <w:ilvl w:val="0"/>
          <w:numId w:val="5"/>
        </w:numPr>
        <w:tabs>
          <w:tab w:val="center" w:pos="-360"/>
        </w:tabs>
        <w:spacing w:after="120"/>
        <w:ind w:left="540"/>
      </w:pPr>
      <w:r>
        <w:rPr>
          <w:u w:val="single"/>
        </w:rPr>
        <w:t>STATISTICAL METHODS</w:t>
      </w:r>
    </w:p>
    <w:p w:rsidR="00183ADC" w:rsidP="00AA2DC4" w:rsidRDefault="00183ADC">
      <w:pPr>
        <w:spacing w:after="240"/>
        <w:ind w:left="720"/>
      </w:pPr>
      <w:r>
        <w:t>Not applicable.</w:t>
      </w:r>
    </w:p>
    <w:p w:rsidR="000B339C" w:rsidRDefault="000B339C">
      <w:pPr>
        <w:widowControl/>
      </w:pPr>
    </w:p>
    <w:sectPr w:rsidR="000B339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E7F" w:rsidRDefault="00DD3E7F">
      <w:r>
        <w:separator/>
      </w:r>
    </w:p>
  </w:endnote>
  <w:endnote w:type="continuationSeparator" w:id="0">
    <w:p w:rsidR="00DD3E7F" w:rsidRDefault="00DD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E7F" w:rsidRDefault="00DD3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3E7F" w:rsidRDefault="00DD3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E7F" w:rsidRDefault="00DD3E7F">
    <w:pPr>
      <w:spacing w:line="240" w:lineRule="exact"/>
    </w:pPr>
  </w:p>
  <w:p w:rsidR="00DD3E7F" w:rsidRDefault="00DD3E7F">
    <w:pPr>
      <w:framePr w:wrap="around" w:vAnchor="text" w:hAnchor="margin" w:xAlign="center" w:y="1"/>
      <w:jc w:val="right"/>
    </w:pPr>
    <w:r>
      <w:fldChar w:fldCharType="begin"/>
    </w:r>
    <w:r>
      <w:instrText xml:space="preserve">PAGE </w:instrText>
    </w:r>
    <w:r>
      <w:fldChar w:fldCharType="separate"/>
    </w:r>
    <w:r w:rsidR="00CE2B14">
      <w:rPr>
        <w:noProof/>
      </w:rPr>
      <w:t>2</w:t>
    </w:r>
    <w:r>
      <w:fldChar w:fldCharType="end"/>
    </w:r>
  </w:p>
  <w:p w:rsidR="00DD3E7F" w:rsidRDefault="00DD3E7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14" w:rsidRDefault="00CE2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E7F" w:rsidRDefault="00DD3E7F">
      <w:r>
        <w:separator/>
      </w:r>
    </w:p>
  </w:footnote>
  <w:footnote w:type="continuationSeparator" w:id="0">
    <w:p w:rsidR="00DD3E7F" w:rsidRDefault="00DD3E7F">
      <w:r>
        <w:continuationSeparator/>
      </w:r>
    </w:p>
  </w:footnote>
  <w:footnote w:id="1">
    <w:p w:rsidR="00DD3E7F" w:rsidRPr="002E0837" w:rsidRDefault="00DD3E7F" w:rsidP="00DF2454">
      <w:pPr>
        <w:pStyle w:val="FootnoteText"/>
        <w:rPr>
          <w:rFonts w:eastAsia="Source Sans Pro"/>
        </w:rPr>
      </w:pPr>
      <w:r w:rsidRPr="002E0837">
        <w:rPr>
          <w:rStyle w:val="FootnoteReference"/>
          <w:rFonts w:eastAsia="Source Sans Pro"/>
          <w:vertAlign w:val="superscript"/>
        </w:rPr>
        <w:footnoteRef/>
      </w:r>
      <w:r w:rsidRPr="002E0837">
        <w:rPr>
          <w:rFonts w:eastAsia="Source Sans Pro"/>
          <w:vertAlign w:val="superscript"/>
        </w:rPr>
        <w:t xml:space="preserve"> </w:t>
      </w:r>
      <w:r w:rsidRPr="002E0837">
        <w:rPr>
          <w:rFonts w:eastAsia="Source Sans Pro"/>
        </w:rPr>
        <w:t>12 C.F.R. 1005.</w:t>
      </w:r>
    </w:p>
  </w:footnote>
  <w:footnote w:id="2">
    <w:p w:rsidR="00DD3E7F" w:rsidRPr="002E0837" w:rsidRDefault="00DD3E7F" w:rsidP="00DF2454">
      <w:pPr>
        <w:pStyle w:val="FootnoteText"/>
      </w:pPr>
      <w:r w:rsidRPr="002E0837">
        <w:rPr>
          <w:rStyle w:val="FootnoteReference"/>
          <w:vertAlign w:val="superscript"/>
        </w:rPr>
        <w:footnoteRef/>
      </w:r>
      <w:r w:rsidRPr="002E0837">
        <w:t xml:space="preserve"> 12 C.F.R. 1030.</w:t>
      </w:r>
    </w:p>
  </w:footnote>
  <w:footnote w:id="3">
    <w:p w:rsidR="00DD3E7F" w:rsidRPr="002E0837" w:rsidRDefault="00DD3E7F" w:rsidP="00DF2454">
      <w:pPr>
        <w:pStyle w:val="FootnoteText"/>
      </w:pPr>
      <w:r w:rsidRPr="002E0837">
        <w:rPr>
          <w:rStyle w:val="FootnoteReference"/>
          <w:vertAlign w:val="superscript"/>
        </w:rPr>
        <w:footnoteRef/>
      </w:r>
      <w:r w:rsidRPr="002E0837">
        <w:rPr>
          <w:vertAlign w:val="superscript"/>
        </w:rPr>
        <w:t xml:space="preserve"> </w:t>
      </w:r>
      <w:r w:rsidRPr="002E0837">
        <w:t>12 C.F.R. 229.</w:t>
      </w:r>
    </w:p>
  </w:footnote>
  <w:footnote w:id="4">
    <w:p w:rsidR="00DD3E7F" w:rsidRPr="002E0837" w:rsidRDefault="00DD3E7F" w:rsidP="00DF2454">
      <w:pPr>
        <w:pStyle w:val="FootnoteText"/>
      </w:pPr>
      <w:r w:rsidRPr="002E0837">
        <w:rPr>
          <w:rStyle w:val="FootnoteReference"/>
          <w:vertAlign w:val="superscript"/>
        </w:rPr>
        <w:footnoteRef/>
      </w:r>
      <w:r w:rsidRPr="002E0837">
        <w:rPr>
          <w:vertAlign w:val="superscript"/>
        </w:rPr>
        <w:t xml:space="preserve"> </w:t>
      </w:r>
      <w:r w:rsidRPr="002E0837">
        <w:t>Regulation E, 15 U.S.C. § 1693o; Regulation DD, 12 U.S.C. § 4309; CFPB enforcement authority for insured depository institutions delineated in 12 U.S.C. § 5516.</w:t>
      </w:r>
    </w:p>
  </w:footnote>
  <w:footnote w:id="5">
    <w:p w:rsidR="00DD3E7F" w:rsidRPr="002E0837" w:rsidRDefault="00DD3E7F" w:rsidP="00DF2454">
      <w:pPr>
        <w:pStyle w:val="FootnoteText"/>
      </w:pPr>
      <w:r w:rsidRPr="002E0837">
        <w:rPr>
          <w:rStyle w:val="FootnoteReference"/>
          <w:vertAlign w:val="superscript"/>
        </w:rPr>
        <w:footnoteRef/>
      </w:r>
      <w:r w:rsidRPr="002E0837">
        <w:rPr>
          <w:vertAlign w:val="superscript"/>
        </w:rPr>
        <w:t xml:space="preserve"> </w:t>
      </w:r>
      <w:r w:rsidRPr="002E0837">
        <w:t>12 C.F.R. 229.3 (a)(1)(iii).</w:t>
      </w:r>
    </w:p>
  </w:footnote>
  <w:footnote w:id="6">
    <w:p w:rsidR="00DD3E7F" w:rsidRPr="002E0837" w:rsidRDefault="00DD3E7F" w:rsidP="00DF2454">
      <w:pPr>
        <w:pStyle w:val="FootnoteText"/>
      </w:pPr>
      <w:r w:rsidRPr="002E0837">
        <w:rPr>
          <w:rStyle w:val="FootnoteReference"/>
          <w:vertAlign w:val="superscript"/>
        </w:rPr>
        <w:footnoteRef/>
      </w:r>
      <w:r w:rsidRPr="002E0837">
        <w:t xml:space="preserve"> 12 C.F.R. 1005.7(b) and 1005.8(a), </w:t>
      </w:r>
    </w:p>
  </w:footnote>
  <w:footnote w:id="7">
    <w:p w:rsidR="00DD3E7F" w:rsidRPr="00DF3627" w:rsidRDefault="00DD3E7F" w:rsidP="00DF2454">
      <w:pPr>
        <w:pStyle w:val="FootnoteText"/>
      </w:pPr>
      <w:r w:rsidRPr="00DF3627">
        <w:rPr>
          <w:rStyle w:val="FootnoteReference"/>
          <w:vertAlign w:val="superscript"/>
        </w:rPr>
        <w:footnoteRef/>
      </w:r>
      <w:r w:rsidRPr="00DF3627">
        <w:rPr>
          <w:vertAlign w:val="superscript"/>
        </w:rPr>
        <w:t xml:space="preserve"> </w:t>
      </w:r>
      <w:r w:rsidRPr="00DF3627">
        <w:t>12 C.F.R. 1005.17(c)(2), 1005.17(c)(1), and 1005.17.</w:t>
      </w:r>
    </w:p>
  </w:footnote>
  <w:footnote w:id="8">
    <w:p w:rsidR="00DD3E7F" w:rsidRPr="00DF3627" w:rsidRDefault="00DD3E7F" w:rsidP="00DF2454">
      <w:pPr>
        <w:pStyle w:val="FootnoteText"/>
      </w:pPr>
      <w:r w:rsidRPr="00DF3627">
        <w:rPr>
          <w:rStyle w:val="FootnoteReference"/>
          <w:vertAlign w:val="superscript"/>
        </w:rPr>
        <w:footnoteRef/>
      </w:r>
      <w:r w:rsidRPr="00DF3627">
        <w:rPr>
          <w:vertAlign w:val="superscript"/>
        </w:rPr>
        <w:t xml:space="preserve"> </w:t>
      </w:r>
      <w:r w:rsidRPr="00DF3627">
        <w:t>12 C.F.R. 1005.8(b), 1005.11, and 1005.18.</w:t>
      </w:r>
    </w:p>
  </w:footnote>
  <w:footnote w:id="9">
    <w:p w:rsidR="00DD3E7F" w:rsidRPr="00DF3627" w:rsidRDefault="00DD3E7F" w:rsidP="00DF2454">
      <w:pPr>
        <w:pStyle w:val="FootnoteText"/>
      </w:pPr>
      <w:r w:rsidRPr="00DF3627">
        <w:rPr>
          <w:rStyle w:val="FootnoteReference"/>
          <w:vertAlign w:val="superscript"/>
        </w:rPr>
        <w:footnoteRef/>
      </w:r>
      <w:r w:rsidRPr="00DF3627">
        <w:rPr>
          <w:vertAlign w:val="superscript"/>
        </w:rPr>
        <w:t xml:space="preserve"> </w:t>
      </w:r>
      <w:r w:rsidRPr="00DF3627">
        <w:t>12 C.F.R. 1030.4.</w:t>
      </w:r>
    </w:p>
  </w:footnote>
  <w:footnote w:id="10">
    <w:p w:rsidR="00DD3E7F" w:rsidRPr="00DF3627" w:rsidRDefault="00DD3E7F" w:rsidP="00DF2454">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1030.6.</w:t>
      </w:r>
    </w:p>
  </w:footnote>
  <w:footnote w:id="11">
    <w:p w:rsidR="00DD3E7F" w:rsidRPr="00DF3627" w:rsidRDefault="00DD3E7F" w:rsidP="00DF2454">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1030.8.</w:t>
      </w:r>
    </w:p>
  </w:footnote>
  <w:footnote w:id="12">
    <w:p w:rsidR="00DD3E7F" w:rsidRPr="00DF3627" w:rsidRDefault="00DD3E7F" w:rsidP="00DF2454">
      <w:pPr>
        <w:pStyle w:val="FootnoteText"/>
      </w:pPr>
      <w:r w:rsidRPr="00DF3627">
        <w:rPr>
          <w:rStyle w:val="FootnoteReference"/>
          <w:vertAlign w:val="superscript"/>
        </w:rPr>
        <w:footnoteRef/>
      </w:r>
      <w:r w:rsidRPr="00DF3627">
        <w:t xml:space="preserve"> 12 C.F.R. 229.10.</w:t>
      </w:r>
    </w:p>
  </w:footnote>
  <w:footnote w:id="13">
    <w:p w:rsidR="00DD3E7F" w:rsidRPr="00DF3627" w:rsidRDefault="00DD3E7F" w:rsidP="00DF2454">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229.16, 229.17, and 229.18(d).</w:t>
      </w:r>
    </w:p>
  </w:footnote>
  <w:footnote w:id="14">
    <w:p w:rsidR="00DD3E7F" w:rsidRPr="00DF3627" w:rsidRDefault="00DD3E7F" w:rsidP="00DF2454">
      <w:pPr>
        <w:pStyle w:val="FootnoteText"/>
      </w:pPr>
      <w:r w:rsidRPr="00DF3627">
        <w:rPr>
          <w:rStyle w:val="FootnoteReference"/>
          <w:vertAlign w:val="superscript"/>
        </w:rPr>
        <w:footnoteRef/>
      </w:r>
      <w:r w:rsidRPr="00DF3627">
        <w:t xml:space="preserve"> 12 C.F.R. 229.14.</w:t>
      </w:r>
    </w:p>
  </w:footnote>
  <w:footnote w:id="15">
    <w:p w:rsidR="00DD3E7F" w:rsidRPr="00DF3627" w:rsidRDefault="00DD3E7F" w:rsidP="00DF2454">
      <w:pPr>
        <w:pStyle w:val="FootnoteText"/>
      </w:pPr>
      <w:r w:rsidRPr="00DF3627">
        <w:rPr>
          <w:rStyle w:val="FootnoteReference"/>
          <w:vertAlign w:val="superscript"/>
        </w:rPr>
        <w:footnoteRef/>
      </w:r>
      <w:r w:rsidRPr="00DF3627">
        <w:t xml:space="preserve"> 12 C.F.R. 229.13 (g).</w:t>
      </w:r>
    </w:p>
  </w:footnote>
  <w:footnote w:id="16">
    <w:p w:rsidR="00DD3E7F" w:rsidRPr="00DF3627" w:rsidRDefault="00DD3E7F" w:rsidP="00DF2454">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1005.20, FRB R-1377.</w:t>
      </w:r>
    </w:p>
  </w:footnote>
  <w:footnote w:id="17">
    <w:p w:rsidR="00DD3E7F" w:rsidRPr="00DF3627" w:rsidRDefault="00DD3E7F" w:rsidP="00DF2454">
      <w:pPr>
        <w:pStyle w:val="FootnoteText"/>
      </w:pPr>
      <w:r w:rsidRPr="00DF3627">
        <w:rPr>
          <w:rStyle w:val="FootnoteReference"/>
          <w:vertAlign w:val="superscript"/>
        </w:rPr>
        <w:footnoteRef/>
      </w:r>
      <w:r w:rsidRPr="00DF3627">
        <w:rPr>
          <w:rStyle w:val="FootnoteReference"/>
          <w:vertAlign w:val="superscript"/>
        </w:rPr>
        <w:t xml:space="preserve"> </w:t>
      </w:r>
      <w:r w:rsidRPr="00DF3627">
        <w:t>12 C.F.R. 229.33(a) and (d).</w:t>
      </w:r>
    </w:p>
  </w:footnote>
  <w:footnote w:id="18">
    <w:p w:rsidR="00DD3E7F" w:rsidRPr="002E0837" w:rsidRDefault="00DD3E7F" w:rsidP="00D44580">
      <w:pPr>
        <w:pStyle w:val="FootnoteText"/>
      </w:pPr>
      <w:r w:rsidRPr="002E0837">
        <w:rPr>
          <w:rStyle w:val="FootnoteReference"/>
          <w:vertAlign w:val="superscript"/>
        </w:rPr>
        <w:footnoteRef/>
      </w:r>
      <w:r w:rsidRPr="002E0837">
        <w:t xml:space="preserve"> FDIC Call Report data, December 31, 2020.</w:t>
      </w:r>
    </w:p>
  </w:footnote>
  <w:footnote w:id="19">
    <w:p w:rsidR="00DD3E7F" w:rsidRPr="002E0837" w:rsidRDefault="00DD3E7F" w:rsidP="00D44580">
      <w:pPr>
        <w:pStyle w:val="FootnoteText"/>
      </w:pPr>
      <w:r w:rsidRPr="006818DF">
        <w:rPr>
          <w:rStyle w:val="FootnoteReference"/>
          <w:vertAlign w:val="superscript"/>
        </w:rPr>
        <w:footnoteRef/>
      </w:r>
      <w:r w:rsidRPr="006818DF">
        <w:rPr>
          <w:rStyle w:val="FootnoteReference"/>
          <w:vertAlign w:val="superscript"/>
        </w:rPr>
        <w:t xml:space="preserve"> </w:t>
      </w:r>
      <w:r w:rsidRPr="002E0837">
        <w:t>The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respondent’s affiliated and acquired assets, averaged over the preceding four quarters, to determine whether the respondent is “small” for the purposes of RFA.</w:t>
      </w:r>
    </w:p>
  </w:footnote>
  <w:footnote w:id="20">
    <w:p w:rsidR="00DD3E7F" w:rsidRPr="002E0837" w:rsidRDefault="00DD3E7F" w:rsidP="00D44580">
      <w:pPr>
        <w:pStyle w:val="FootnoteText"/>
      </w:pPr>
      <w:r w:rsidRPr="006818DF">
        <w:rPr>
          <w:rStyle w:val="FootnoteReference"/>
          <w:vertAlign w:val="superscript"/>
        </w:rPr>
        <w:footnoteRef/>
      </w:r>
      <w:r w:rsidRPr="006818DF">
        <w:rPr>
          <w:rStyle w:val="FootnoteReference"/>
          <w:vertAlign w:val="superscript"/>
        </w:rPr>
        <w:t xml:space="preserve"> </w:t>
      </w:r>
      <w:r w:rsidRPr="002E0837">
        <w:t>See 12 USC 5516.</w:t>
      </w:r>
    </w:p>
  </w:footnote>
  <w:footnote w:id="21">
    <w:p w:rsidR="00DD3E7F" w:rsidRPr="002E0837" w:rsidRDefault="00DD3E7F" w:rsidP="00D44580">
      <w:pPr>
        <w:pStyle w:val="FootnoteText"/>
      </w:pPr>
      <w:r w:rsidRPr="006818DF">
        <w:rPr>
          <w:rStyle w:val="FootnoteReference"/>
          <w:vertAlign w:val="superscript"/>
        </w:rPr>
        <w:footnoteRef/>
      </w:r>
      <w:r w:rsidRPr="006818DF">
        <w:rPr>
          <w:rStyle w:val="FootnoteReference"/>
          <w:vertAlign w:val="superscript"/>
        </w:rPr>
        <w:t xml:space="preserve"> </w:t>
      </w:r>
      <w:r w:rsidRPr="002E0837">
        <w:t>FDIC Call Report data, December 31, 2020.</w:t>
      </w:r>
    </w:p>
  </w:footnote>
  <w:footnote w:id="22">
    <w:p w:rsidR="00DD3E7F" w:rsidRPr="002E0837" w:rsidRDefault="00DD3E7F" w:rsidP="00D44580">
      <w:pPr>
        <w:pStyle w:val="FootnoteText"/>
      </w:pPr>
      <w:r w:rsidRPr="006818DF">
        <w:rPr>
          <w:rStyle w:val="FootnoteReference"/>
          <w:vertAlign w:val="superscript"/>
        </w:rPr>
        <w:footnoteRef/>
      </w:r>
      <w:r w:rsidRPr="002E0837">
        <w:t xml:space="preserve"> </w:t>
      </w:r>
      <w:r>
        <w:t>FDIC</w:t>
      </w:r>
      <w:r w:rsidRPr="002E0837">
        <w:t xml:space="preserve"> exclude</w:t>
      </w:r>
      <w:r>
        <w:t>d</w:t>
      </w:r>
      <w:r w:rsidRPr="002E0837">
        <w:t xml:space="preserve"> products issued by The Bancorp Bank, because The Bancorp Bank’s prepaid accounts are </w:t>
      </w:r>
      <w:r>
        <w:t xml:space="preserve">usually </w:t>
      </w:r>
      <w:r w:rsidRPr="002E0837">
        <w:t>managed by program</w:t>
      </w:r>
      <w:r>
        <w:t xml:space="preserve"> managers.  CFPB has taken the information collection burden where</w:t>
      </w:r>
      <w:r w:rsidRPr="002E0837">
        <w:t xml:space="preserve"> funds are managed by a third party and not by an FDIC-supe</w:t>
      </w:r>
      <w:r>
        <w:t>rvised institution</w:t>
      </w:r>
      <w:r w:rsidRPr="002E0837">
        <w:t>.</w:t>
      </w:r>
    </w:p>
  </w:footnote>
  <w:footnote w:id="23">
    <w:p w:rsidR="00DD3E7F" w:rsidRPr="003D7B74" w:rsidRDefault="00DD3E7F" w:rsidP="00D44580">
      <w:pPr>
        <w:pStyle w:val="FootnoteText"/>
      </w:pPr>
      <w:r w:rsidRPr="003D7B74">
        <w:rPr>
          <w:rStyle w:val="FootnoteReference"/>
          <w:vertAlign w:val="superscript"/>
        </w:rPr>
        <w:footnoteRef/>
      </w:r>
      <w:r w:rsidRPr="003D7B74">
        <w:rPr>
          <w:vertAlign w:val="superscript"/>
        </w:rPr>
        <w:t xml:space="preserve"> </w:t>
      </w:r>
      <w:r w:rsidRPr="003D7B74">
        <w:t>The previous estimate used Call Report Data from September 30, 2017 and estimated respondents by counting FDIC-supervised institutions where item ENTTYPE was equal to 15, indicating a the institution was a “CONSUMER (NON=BANK) BANK). The CFPB Prepaid Accounts Database is a more precise data source that gives an accurate estimate, as opposed to the previous estimate which was an approximation.</w:t>
      </w:r>
    </w:p>
  </w:footnote>
  <w:footnote w:id="24">
    <w:p w:rsidR="00DD3E7F" w:rsidRPr="003D7B74" w:rsidRDefault="00DD3E7F" w:rsidP="00D44580">
      <w:pPr>
        <w:pStyle w:val="FootnoteText"/>
      </w:pPr>
      <w:r w:rsidRPr="003D7B74">
        <w:rPr>
          <w:rStyle w:val="FootnoteReference"/>
          <w:vertAlign w:val="superscript"/>
        </w:rPr>
        <w:footnoteRef/>
      </w:r>
      <w:r w:rsidRPr="003D7B74">
        <w:rPr>
          <w:rStyle w:val="FootnoteReference"/>
          <w:vertAlign w:val="superscript"/>
        </w:rPr>
        <w:t xml:space="preserve"> </w:t>
      </w:r>
      <w:r w:rsidRPr="003D7B74">
        <w:t>FDIC Call Report data, December 31, 2020.</w:t>
      </w:r>
    </w:p>
  </w:footnote>
  <w:footnote w:id="25">
    <w:p w:rsidR="00DD3E7F" w:rsidRPr="003D7B74" w:rsidRDefault="00DD3E7F" w:rsidP="00D44580">
      <w:pPr>
        <w:pStyle w:val="FootnoteText"/>
      </w:pPr>
      <w:r w:rsidRPr="003D7B74">
        <w:rPr>
          <w:rStyle w:val="FootnoteReference"/>
          <w:vertAlign w:val="superscript"/>
        </w:rPr>
        <w:footnoteRef/>
      </w:r>
      <w:r>
        <w:t xml:space="preserve"> See footnote 22</w:t>
      </w:r>
      <w:r w:rsidR="003B0E5E">
        <w:t>.</w:t>
      </w:r>
    </w:p>
  </w:footnote>
  <w:footnote w:id="26">
    <w:p w:rsidR="00DD3E7F" w:rsidRPr="003D7B74" w:rsidRDefault="00DD3E7F" w:rsidP="00D44580">
      <w:pPr>
        <w:pStyle w:val="FootnoteText"/>
      </w:pPr>
      <w:r w:rsidRPr="003D7B74">
        <w:rPr>
          <w:rStyle w:val="FootnoteReference"/>
          <w:vertAlign w:val="superscript"/>
        </w:rPr>
        <w:footnoteRef/>
      </w:r>
      <w:r w:rsidRPr="003D7B74">
        <w:rPr>
          <w:rStyle w:val="FootnoteReference"/>
          <w:vertAlign w:val="superscript"/>
        </w:rPr>
        <w:t xml:space="preserve"> </w:t>
      </w:r>
      <w:r>
        <w:t>FDIC</w:t>
      </w:r>
      <w:r w:rsidRPr="003D7B74">
        <w:t xml:space="preserve"> do</w:t>
      </w:r>
      <w:r>
        <w:t>es</w:t>
      </w:r>
      <w:r w:rsidRPr="003D7B74">
        <w:t xml:space="preserve"> not include new products in 2019 in </w:t>
      </w:r>
      <w:r>
        <w:t>its estimate</w:t>
      </w:r>
      <w:r w:rsidRPr="003D7B74">
        <w:t xml:space="preserve"> because</w:t>
      </w:r>
      <w:r>
        <w:t>,</w:t>
      </w:r>
      <w:r w:rsidRPr="003D7B74">
        <w:t xml:space="preserve"> based on the timing of the rule’s implementation</w:t>
      </w:r>
      <w:r>
        <w:t>,</w:t>
      </w:r>
      <w:r w:rsidRPr="003D7B74">
        <w:t xml:space="preserve"> there was a glut of new product agreements that are not necessarily new products. </w:t>
      </w:r>
    </w:p>
  </w:footnote>
  <w:footnote w:id="27">
    <w:p w:rsidR="00DD3E7F" w:rsidRPr="003D7B74" w:rsidRDefault="00DD3E7F" w:rsidP="00D44580">
      <w:pPr>
        <w:pStyle w:val="FootnoteText"/>
      </w:pPr>
      <w:r w:rsidRPr="003D7B74">
        <w:rPr>
          <w:rStyle w:val="FootnoteReference"/>
          <w:vertAlign w:val="superscript"/>
        </w:rPr>
        <w:footnoteRef/>
      </w:r>
      <w:r w:rsidRPr="003D7B74">
        <w:t xml:space="preserve"> FDIC Call Report data, December 31, 2020.</w:t>
      </w:r>
    </w:p>
  </w:footnote>
  <w:footnote w:id="28">
    <w:p w:rsidR="00DD3E7F" w:rsidRPr="003D7B74" w:rsidRDefault="00DD3E7F" w:rsidP="00D44580">
      <w:pPr>
        <w:pStyle w:val="FootnoteText"/>
      </w:pPr>
      <w:r w:rsidRPr="003D7B74">
        <w:rPr>
          <w:rStyle w:val="FootnoteReference"/>
          <w:vertAlign w:val="superscript"/>
        </w:rPr>
        <w:footnoteRef/>
      </w:r>
      <w:r w:rsidRPr="003D7B74">
        <w:rPr>
          <w:rStyle w:val="FootnoteReference"/>
          <w:vertAlign w:val="superscript"/>
        </w:rPr>
        <w:t xml:space="preserve"> </w:t>
      </w:r>
      <w:r w:rsidRPr="003D7B74">
        <w:t>Id.</w:t>
      </w:r>
    </w:p>
  </w:footnote>
  <w:footnote w:id="29">
    <w:p w:rsidR="00DD3E7F" w:rsidRPr="0086448E" w:rsidRDefault="00DD3E7F" w:rsidP="00D44580">
      <w:pPr>
        <w:pStyle w:val="FootnoteText"/>
      </w:pPr>
      <w:r w:rsidRPr="0086448E">
        <w:rPr>
          <w:rStyle w:val="FootnoteReference"/>
          <w:vertAlign w:val="superscript"/>
        </w:rPr>
        <w:footnoteRef/>
      </w:r>
      <w:r w:rsidRPr="0086448E">
        <w:t xml:space="preserve"> Id.</w:t>
      </w:r>
    </w:p>
  </w:footnote>
  <w:footnote w:id="30">
    <w:p w:rsidR="00DD3E7F" w:rsidRPr="0086448E" w:rsidRDefault="00DD3E7F" w:rsidP="00D44580">
      <w:pPr>
        <w:pStyle w:val="FootnoteText"/>
      </w:pPr>
      <w:r w:rsidRPr="0086448E">
        <w:rPr>
          <w:rStyle w:val="FootnoteReference"/>
          <w:vertAlign w:val="superscript"/>
        </w:rPr>
        <w:footnoteRef/>
      </w:r>
      <w:r w:rsidRPr="0086448E">
        <w:rPr>
          <w:rStyle w:val="FootnoteReference"/>
          <w:vertAlign w:val="superscript"/>
        </w:rPr>
        <w:t xml:space="preserve"> </w:t>
      </w:r>
      <w:r w:rsidRPr="0086448E">
        <w:t>The previous estimate used Call Report Data from September 30, 2017 and estimated respondents by counting FDIC-supervised institutions where item ENTTYPE was equal to 15, indicating a the institution was a “CONSUMER (NON=BANK) BANK). The CFPB Prepaid Accounts Database is a more precise data source that gives us an accurate estimate, as opposed to the previous estimate, which was an approximation.</w:t>
      </w:r>
    </w:p>
  </w:footnote>
  <w:footnote w:id="31">
    <w:p w:rsidR="00DD3E7F" w:rsidRPr="0086448E" w:rsidRDefault="00DD3E7F" w:rsidP="00D44580">
      <w:pPr>
        <w:pStyle w:val="FootnoteText"/>
      </w:pPr>
      <w:r w:rsidRPr="0086448E">
        <w:rPr>
          <w:rStyle w:val="FootnoteReference"/>
          <w:vertAlign w:val="superscript"/>
        </w:rPr>
        <w:footnoteRef/>
      </w:r>
      <w:r w:rsidRPr="0086448E">
        <w:t xml:space="preserve"> Id.</w:t>
      </w:r>
    </w:p>
  </w:footnote>
  <w:footnote w:id="32">
    <w:p w:rsidR="00DD3E7F" w:rsidRPr="0086448E" w:rsidRDefault="00DD3E7F" w:rsidP="00D44580">
      <w:pPr>
        <w:pStyle w:val="FootnoteText"/>
      </w:pPr>
      <w:r w:rsidRPr="0086448E">
        <w:rPr>
          <w:rStyle w:val="FootnoteReference"/>
          <w:vertAlign w:val="superscript"/>
        </w:rPr>
        <w:footnoteRef/>
      </w:r>
      <w:r w:rsidRPr="0086448E">
        <w:t xml:space="preserve"> FDIC Call Report data, December 31, 2020.</w:t>
      </w:r>
    </w:p>
  </w:footnote>
  <w:footnote w:id="33">
    <w:p w:rsidR="00DD3E7F" w:rsidRPr="0086448E" w:rsidRDefault="00DD3E7F" w:rsidP="00D44580">
      <w:pPr>
        <w:pStyle w:val="FootnoteText"/>
      </w:pPr>
      <w:r w:rsidRPr="0086448E">
        <w:rPr>
          <w:rStyle w:val="FootnoteReference"/>
          <w:vertAlign w:val="superscript"/>
        </w:rPr>
        <w:footnoteRef/>
      </w:r>
      <w:r w:rsidRPr="0086448E">
        <w:rPr>
          <w:rStyle w:val="FootnoteReference"/>
          <w:vertAlign w:val="superscript"/>
        </w:rPr>
        <w:t xml:space="preserve"> </w:t>
      </w:r>
      <w:r w:rsidRPr="0086448E">
        <w:t>This conclusion is consistent with the FRB’s determination, as documented in their ICR (OMB No. 7100-0200), last approved in 2019.</w:t>
      </w:r>
    </w:p>
  </w:footnote>
  <w:footnote w:id="34">
    <w:p w:rsidR="00DD3E7F" w:rsidRPr="0086448E" w:rsidRDefault="00DD3E7F" w:rsidP="00D44580">
      <w:pPr>
        <w:pStyle w:val="FootnoteText"/>
      </w:pPr>
      <w:r w:rsidRPr="0086448E">
        <w:rPr>
          <w:rStyle w:val="FootnoteReference"/>
          <w:vertAlign w:val="superscript"/>
        </w:rPr>
        <w:footnoteRef/>
      </w:r>
      <w:r w:rsidRPr="0086448E">
        <w:rPr>
          <w:rStyle w:val="FootnoteReference"/>
          <w:vertAlign w:val="superscript"/>
        </w:rPr>
        <w:t xml:space="preserve"> </w:t>
      </w:r>
      <w:r w:rsidRPr="0086448E">
        <w:t>The CFPB reports its estimates under OMB Control No. 3170-0014.</w:t>
      </w:r>
    </w:p>
  </w:footnote>
  <w:footnote w:id="35">
    <w:p w:rsidR="00DD3E7F" w:rsidRPr="00E63717" w:rsidRDefault="00DD3E7F" w:rsidP="00F64E0B">
      <w:pPr>
        <w:pStyle w:val="FootnoteText"/>
      </w:pPr>
      <w:r w:rsidRPr="00E63717">
        <w:rPr>
          <w:rStyle w:val="FootnoteReference"/>
          <w:vertAlign w:val="superscript"/>
        </w:rPr>
        <w:footnoteRef/>
      </w:r>
      <w:r w:rsidRPr="00E63717">
        <w:t xml:space="preserve"> FDIC Call Report data, December 31, 2020.</w:t>
      </w:r>
    </w:p>
  </w:footnote>
  <w:footnote w:id="36">
    <w:p w:rsidR="00DD3E7F" w:rsidRPr="005C7811" w:rsidRDefault="00DD3E7F" w:rsidP="00F64E0B">
      <w:pPr>
        <w:pStyle w:val="FootnoteText"/>
        <w:rPr>
          <w:rFonts w:ascii="Source Sans Pro" w:hAnsi="Source Sans Pro"/>
          <w:sz w:val="18"/>
          <w:szCs w:val="18"/>
        </w:rPr>
      </w:pPr>
      <w:r w:rsidRPr="00E63717">
        <w:rPr>
          <w:rStyle w:val="FootnoteReference"/>
          <w:vertAlign w:val="superscript"/>
        </w:rPr>
        <w:footnoteRef/>
      </w:r>
      <w:r w:rsidRPr="00E63717">
        <w:rPr>
          <w:vertAlign w:val="superscript"/>
        </w:rPr>
        <w:t xml:space="preserve"> </w:t>
      </w:r>
      <w:r w:rsidRPr="00E63717">
        <w:t>Id.</w:t>
      </w:r>
    </w:p>
  </w:footnote>
  <w:footnote w:id="37">
    <w:p w:rsidR="00DD3E7F" w:rsidRPr="00A93A4A" w:rsidRDefault="00DD3E7F" w:rsidP="00F64E0B">
      <w:pPr>
        <w:pStyle w:val="FootnoteText"/>
        <w:rPr>
          <w:rFonts w:ascii="Source Sans Pro" w:hAnsi="Source Sans Pro"/>
          <w:sz w:val="18"/>
          <w:szCs w:val="18"/>
        </w:rPr>
      </w:pPr>
      <w:r w:rsidRPr="00A93A4A">
        <w:rPr>
          <w:rStyle w:val="FootnoteReference"/>
          <w:rFonts w:ascii="Source Sans Pro" w:hAnsi="Source Sans Pro"/>
          <w:sz w:val="18"/>
          <w:szCs w:val="18"/>
        </w:rPr>
        <w:footnoteRef/>
      </w:r>
      <w:r w:rsidRPr="00A93A4A">
        <w:rPr>
          <w:rFonts w:ascii="Source Sans Pro" w:hAnsi="Source Sans Pro"/>
          <w:sz w:val="18"/>
          <w:szCs w:val="18"/>
        </w:rPr>
        <w:t xml:space="preserve"> </w:t>
      </w:r>
      <w:r w:rsidRPr="00A93A4A">
        <w:rPr>
          <w:rFonts w:ascii="Source Sans Pro" w:hAnsi="Source Sans Pro"/>
          <w:i/>
          <w:sz w:val="18"/>
          <w:szCs w:val="18"/>
        </w:rPr>
        <w:t>See</w:t>
      </w:r>
      <w:r w:rsidRPr="00A93A4A">
        <w:rPr>
          <w:rFonts w:ascii="Source Sans Pro" w:hAnsi="Source Sans Pro"/>
          <w:sz w:val="18"/>
          <w:szCs w:val="18"/>
        </w:rPr>
        <w:t xml:space="preserve"> 12 USC 5516.</w:t>
      </w:r>
    </w:p>
  </w:footnote>
  <w:footnote w:id="38">
    <w:p w:rsidR="00AB166B" w:rsidRPr="00A93A4A" w:rsidRDefault="00AB166B" w:rsidP="00AB166B">
      <w:pPr>
        <w:pStyle w:val="FootnoteText"/>
        <w:rPr>
          <w:rFonts w:ascii="Source Sans Pro" w:hAnsi="Source Sans Pro"/>
          <w:sz w:val="18"/>
          <w:szCs w:val="18"/>
        </w:rPr>
      </w:pPr>
      <w:r w:rsidRPr="00A93A4A">
        <w:rPr>
          <w:rStyle w:val="FootnoteReference"/>
          <w:rFonts w:ascii="Source Sans Pro" w:hAnsi="Source Sans Pro"/>
          <w:sz w:val="18"/>
          <w:szCs w:val="18"/>
        </w:rPr>
        <w:footnoteRef/>
      </w:r>
      <w:r w:rsidRPr="00A93A4A">
        <w:rPr>
          <w:rFonts w:ascii="Source Sans Pro" w:hAnsi="Source Sans Pro"/>
          <w:sz w:val="18"/>
          <w:szCs w:val="18"/>
        </w:rPr>
        <w:t xml:space="preserve"> FDIC Call Report data, December 31, 2020.</w:t>
      </w:r>
    </w:p>
  </w:footnote>
  <w:footnote w:id="39">
    <w:p w:rsidR="00AB166B" w:rsidRPr="00211F18" w:rsidRDefault="00AB166B" w:rsidP="00AB166B">
      <w:pPr>
        <w:pStyle w:val="FootnoteText"/>
        <w:rPr>
          <w:rFonts w:ascii="Source Sans Pro" w:hAnsi="Source Sans Pro"/>
          <w:sz w:val="18"/>
          <w:szCs w:val="18"/>
        </w:rPr>
      </w:pPr>
      <w:r w:rsidRPr="00211F18">
        <w:rPr>
          <w:rStyle w:val="FootnoteReference"/>
          <w:rFonts w:ascii="Source Sans Pro" w:hAnsi="Source Sans Pro"/>
          <w:sz w:val="18"/>
          <w:szCs w:val="18"/>
        </w:rPr>
        <w:footnoteRef/>
      </w:r>
      <w:r w:rsidRPr="00211F18">
        <w:rPr>
          <w:rFonts w:ascii="Source Sans Pro" w:hAnsi="Source Sans Pro"/>
          <w:sz w:val="18"/>
          <w:szCs w:val="18"/>
        </w:rPr>
        <w:t xml:space="preserve"> </w:t>
      </w:r>
      <w:r w:rsidRPr="00A93A4A">
        <w:rPr>
          <w:rFonts w:ascii="Source Sans Pro" w:hAnsi="Source Sans Pro"/>
          <w:sz w:val="18"/>
          <w:szCs w:val="18"/>
        </w:rPr>
        <w:t>Id.</w:t>
      </w:r>
    </w:p>
  </w:footnote>
  <w:footnote w:id="40">
    <w:p w:rsidR="00AB166B" w:rsidRPr="00A93A4A" w:rsidRDefault="00AB166B" w:rsidP="00AB166B">
      <w:pPr>
        <w:pStyle w:val="FootnoteText"/>
        <w:rPr>
          <w:rFonts w:ascii="Source Sans Pro" w:hAnsi="Source Sans Pro"/>
          <w:sz w:val="18"/>
          <w:szCs w:val="18"/>
        </w:rPr>
      </w:pPr>
      <w:r w:rsidRPr="00A93A4A">
        <w:rPr>
          <w:rStyle w:val="FootnoteReference"/>
          <w:rFonts w:ascii="Source Sans Pro" w:hAnsi="Source Sans Pro"/>
          <w:sz w:val="18"/>
          <w:szCs w:val="18"/>
        </w:rPr>
        <w:footnoteRef/>
      </w:r>
      <w:r w:rsidRPr="00A93A4A">
        <w:rPr>
          <w:rFonts w:ascii="Source Sans Pro" w:hAnsi="Source Sans Pro"/>
          <w:sz w:val="18"/>
          <w:szCs w:val="18"/>
        </w:rPr>
        <w:t xml:space="preserve"> The 2018 ICR estimated the number of respondents by assuming that 0.4</w:t>
      </w:r>
      <w:r>
        <w:rPr>
          <w:rFonts w:ascii="Source Sans Pro" w:hAnsi="Source Sans Pro"/>
          <w:sz w:val="18"/>
          <w:szCs w:val="18"/>
        </w:rPr>
        <w:t xml:space="preserve"> percent</w:t>
      </w:r>
      <w:r w:rsidRPr="00A93A4A">
        <w:rPr>
          <w:rFonts w:ascii="Source Sans Pro" w:hAnsi="Source Sans Pro"/>
          <w:sz w:val="18"/>
          <w:szCs w:val="18"/>
        </w:rPr>
        <w:t xml:space="preserve"> of FDIC-supervised institutions would be subject to this IC line item. I could not find an explanation for the assumptions behind this methodology. The SMEs and I revised this estimate to bring it in line with both the other estimated number of respondents under Regulation CC and with the methodology for the items titled “Change in terms” under Regulations E and DD, which assumes all respondents in the universe of potential respondents to each regulation would be respondents to that particular item.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14" w:rsidRDefault="00CE2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14" w:rsidRDefault="00CE2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14" w:rsidRDefault="00CE2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69D"/>
    <w:multiLevelType w:val="hybridMultilevel"/>
    <w:tmpl w:val="26BE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B1C63"/>
    <w:multiLevelType w:val="hybridMultilevel"/>
    <w:tmpl w:val="F5E05D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6036B"/>
    <w:multiLevelType w:val="hybridMultilevel"/>
    <w:tmpl w:val="26BEA4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E01DF3"/>
    <w:multiLevelType w:val="hybridMultilevel"/>
    <w:tmpl w:val="8668C4C6"/>
    <w:lvl w:ilvl="0" w:tplc="F4948B4C">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795F44"/>
    <w:multiLevelType w:val="hybridMultilevel"/>
    <w:tmpl w:val="D6A27E6E"/>
    <w:lvl w:ilvl="0" w:tplc="D9CCF2FE">
      <w:start w:val="1"/>
      <w:numFmt w:val="decimal"/>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4946B4"/>
    <w:multiLevelType w:val="hybridMultilevel"/>
    <w:tmpl w:val="312830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740232"/>
    <w:multiLevelType w:val="hybridMultilevel"/>
    <w:tmpl w:val="5E60F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07FD6"/>
    <w:multiLevelType w:val="hybridMultilevel"/>
    <w:tmpl w:val="20EA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06910"/>
    <w:multiLevelType w:val="hybridMultilevel"/>
    <w:tmpl w:val="9D5407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E3D874F6">
      <w:start w:val="1"/>
      <w:numFmt w:val="lowerRoman"/>
      <w:lvlText w:val="%3."/>
      <w:lvlJc w:val="right"/>
      <w:pPr>
        <w:ind w:left="1627" w:hanging="187"/>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372D23"/>
    <w:multiLevelType w:val="singleLevel"/>
    <w:tmpl w:val="BAD2918E"/>
    <w:lvl w:ilvl="0">
      <w:start w:val="1"/>
      <w:numFmt w:val="decimal"/>
      <w:lvlText w:val="%1."/>
      <w:lvlJc w:val="left"/>
      <w:pPr>
        <w:tabs>
          <w:tab w:val="num" w:pos="360"/>
        </w:tabs>
        <w:ind w:left="360" w:hanging="360"/>
      </w:pPr>
      <w:rPr>
        <w:rFonts w:hint="default"/>
      </w:rPr>
    </w:lvl>
  </w:abstractNum>
  <w:abstractNum w:abstractNumId="10" w15:restartNumberingAfterBreak="0">
    <w:nsid w:val="38CC174A"/>
    <w:multiLevelType w:val="hybridMultilevel"/>
    <w:tmpl w:val="FAA898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16867814">
      <w:start w:val="1"/>
      <w:numFmt w:val="lowerRoman"/>
      <w:lvlText w:val="%3."/>
      <w:lvlJc w:val="right"/>
      <w:pPr>
        <w:ind w:left="1627" w:hanging="187"/>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D68CA"/>
    <w:multiLevelType w:val="hybridMultilevel"/>
    <w:tmpl w:val="D03623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11284C"/>
    <w:multiLevelType w:val="hybridMultilevel"/>
    <w:tmpl w:val="3E0477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E6026A90">
      <w:start w:val="1"/>
      <w:numFmt w:val="lowerRoman"/>
      <w:lvlText w:val="%3."/>
      <w:lvlJc w:val="right"/>
      <w:pPr>
        <w:ind w:left="1800" w:hanging="180"/>
      </w:pPr>
      <w:rPr>
        <w:i w:val="0"/>
      </w:rPr>
    </w:lvl>
    <w:lvl w:ilvl="3" w:tplc="E6C23EC2">
      <w:start w:val="1"/>
      <w:numFmt w:val="decimal"/>
      <w:lvlText w:val="%4."/>
      <w:lvlJc w:val="left"/>
      <w:pPr>
        <w:ind w:left="2520" w:hanging="360"/>
      </w:pPr>
      <w:rPr>
        <w:i w:val="0"/>
        <w:color w:val="auto"/>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66648E"/>
    <w:multiLevelType w:val="hybridMultilevel"/>
    <w:tmpl w:val="89CE4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359FD"/>
    <w:multiLevelType w:val="hybridMultilevel"/>
    <w:tmpl w:val="3006C7BE"/>
    <w:lvl w:ilvl="0" w:tplc="E6026A90">
      <w:start w:val="1"/>
      <w:numFmt w:val="lowerRoman"/>
      <w:lvlText w:val="%1."/>
      <w:lvlJc w:val="right"/>
      <w:pPr>
        <w:ind w:left="1620" w:hanging="180"/>
      </w:pPr>
      <w:rPr>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3FB4166E"/>
    <w:multiLevelType w:val="hybridMultilevel"/>
    <w:tmpl w:val="9CB2D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50A2B"/>
    <w:multiLevelType w:val="hybridMultilevel"/>
    <w:tmpl w:val="485201FE"/>
    <w:lvl w:ilvl="0" w:tplc="D0B8A910">
      <w:start w:val="1"/>
      <w:numFmt w:val="upperLetter"/>
      <w:lvlText w:val="%1."/>
      <w:lvlJc w:val="left"/>
      <w:pPr>
        <w:ind w:left="-180" w:hanging="54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48397EDE"/>
    <w:multiLevelType w:val="hybridMultilevel"/>
    <w:tmpl w:val="9D5407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E3D874F6">
      <w:start w:val="1"/>
      <w:numFmt w:val="lowerRoman"/>
      <w:lvlText w:val="%3."/>
      <w:lvlJc w:val="right"/>
      <w:pPr>
        <w:ind w:left="1627" w:hanging="187"/>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7C6773"/>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5C295F58"/>
    <w:multiLevelType w:val="hybridMultilevel"/>
    <w:tmpl w:val="C97E6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B3E9E"/>
    <w:multiLevelType w:val="hybridMultilevel"/>
    <w:tmpl w:val="F5E05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A61EFD"/>
    <w:multiLevelType w:val="singleLevel"/>
    <w:tmpl w:val="0EA8836E"/>
    <w:lvl w:ilvl="0">
      <w:start w:val="14"/>
      <w:numFmt w:val="decimal"/>
      <w:lvlText w:val="%1."/>
      <w:lvlJc w:val="left"/>
      <w:pPr>
        <w:tabs>
          <w:tab w:val="num" w:pos="2160"/>
        </w:tabs>
        <w:ind w:left="2160" w:hanging="720"/>
      </w:pPr>
      <w:rPr>
        <w:rFonts w:hint="default"/>
        <w:u w:val="none"/>
      </w:rPr>
    </w:lvl>
  </w:abstractNum>
  <w:abstractNum w:abstractNumId="22" w15:restartNumberingAfterBreak="0">
    <w:nsid w:val="704B4184"/>
    <w:multiLevelType w:val="hybridMultilevel"/>
    <w:tmpl w:val="53DEC02A"/>
    <w:lvl w:ilvl="0" w:tplc="0428D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4661AE"/>
    <w:multiLevelType w:val="hybridMultilevel"/>
    <w:tmpl w:val="40C6363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9"/>
  </w:num>
  <w:num w:numId="4">
    <w:abstractNumId w:val="3"/>
  </w:num>
  <w:num w:numId="5">
    <w:abstractNumId w:val="16"/>
  </w:num>
  <w:num w:numId="6">
    <w:abstractNumId w:val="23"/>
  </w:num>
  <w:num w:numId="7">
    <w:abstractNumId w:val="19"/>
  </w:num>
  <w:num w:numId="8">
    <w:abstractNumId w:val="13"/>
  </w:num>
  <w:num w:numId="9">
    <w:abstractNumId w:val="7"/>
  </w:num>
  <w:num w:numId="10">
    <w:abstractNumId w:val="12"/>
  </w:num>
  <w:num w:numId="11">
    <w:abstractNumId w:val="20"/>
  </w:num>
  <w:num w:numId="12">
    <w:abstractNumId w:val="1"/>
  </w:num>
  <w:num w:numId="13">
    <w:abstractNumId w:val="11"/>
  </w:num>
  <w:num w:numId="14">
    <w:abstractNumId w:val="10"/>
  </w:num>
  <w:num w:numId="15">
    <w:abstractNumId w:val="14"/>
  </w:num>
  <w:num w:numId="16">
    <w:abstractNumId w:val="17"/>
  </w:num>
  <w:num w:numId="17">
    <w:abstractNumId w:val="8"/>
  </w:num>
  <w:num w:numId="18">
    <w:abstractNumId w:val="5"/>
  </w:num>
  <w:num w:numId="19">
    <w:abstractNumId w:val="6"/>
  </w:num>
  <w:num w:numId="20">
    <w:abstractNumId w:val="15"/>
  </w:num>
  <w:num w:numId="21">
    <w:abstractNumId w:val="4"/>
  </w:num>
  <w:num w:numId="22">
    <w:abstractNumId w:val="0"/>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removePersonalInformation/>
  <w:removeDateAndTime/>
  <w:embedSystemFonts/>
  <w:bordersDoNotSurroundHeader/>
  <w:bordersDoNotSurroundFooter/>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1F"/>
    <w:rsid w:val="00042FF0"/>
    <w:rsid w:val="000577E7"/>
    <w:rsid w:val="000636B7"/>
    <w:rsid w:val="000961FB"/>
    <w:rsid w:val="000B339C"/>
    <w:rsid w:val="000B5D6A"/>
    <w:rsid w:val="000C6255"/>
    <w:rsid w:val="000E1F22"/>
    <w:rsid w:val="00126AE4"/>
    <w:rsid w:val="00141FDC"/>
    <w:rsid w:val="001449F1"/>
    <w:rsid w:val="0016693A"/>
    <w:rsid w:val="00183ADC"/>
    <w:rsid w:val="00190EB5"/>
    <w:rsid w:val="001C0F42"/>
    <w:rsid w:val="001E7962"/>
    <w:rsid w:val="00204AB5"/>
    <w:rsid w:val="00245B0D"/>
    <w:rsid w:val="002664B7"/>
    <w:rsid w:val="002831B6"/>
    <w:rsid w:val="002A0B79"/>
    <w:rsid w:val="002A24FB"/>
    <w:rsid w:val="002A2844"/>
    <w:rsid w:val="002C2925"/>
    <w:rsid w:val="002D0F7F"/>
    <w:rsid w:val="002E0837"/>
    <w:rsid w:val="002E42C2"/>
    <w:rsid w:val="002F070E"/>
    <w:rsid w:val="00345D2D"/>
    <w:rsid w:val="00361A80"/>
    <w:rsid w:val="003643DB"/>
    <w:rsid w:val="00372ABF"/>
    <w:rsid w:val="003915C9"/>
    <w:rsid w:val="003B0E5E"/>
    <w:rsid w:val="003D7B74"/>
    <w:rsid w:val="003E4818"/>
    <w:rsid w:val="00400C52"/>
    <w:rsid w:val="00417297"/>
    <w:rsid w:val="00442901"/>
    <w:rsid w:val="004B114B"/>
    <w:rsid w:val="004C4544"/>
    <w:rsid w:val="004E2A0F"/>
    <w:rsid w:val="005277B2"/>
    <w:rsid w:val="00545093"/>
    <w:rsid w:val="00553D78"/>
    <w:rsid w:val="00574D61"/>
    <w:rsid w:val="005944E5"/>
    <w:rsid w:val="005A44ED"/>
    <w:rsid w:val="005A51ED"/>
    <w:rsid w:val="005C590C"/>
    <w:rsid w:val="005C7544"/>
    <w:rsid w:val="005E1E0D"/>
    <w:rsid w:val="005E560B"/>
    <w:rsid w:val="005F7977"/>
    <w:rsid w:val="0060683B"/>
    <w:rsid w:val="006304BC"/>
    <w:rsid w:val="006818DF"/>
    <w:rsid w:val="006931F0"/>
    <w:rsid w:val="006B5DDF"/>
    <w:rsid w:val="006C097F"/>
    <w:rsid w:val="00742425"/>
    <w:rsid w:val="00745BB2"/>
    <w:rsid w:val="007467A5"/>
    <w:rsid w:val="0075031D"/>
    <w:rsid w:val="007518E6"/>
    <w:rsid w:val="00772C14"/>
    <w:rsid w:val="00776FD2"/>
    <w:rsid w:val="007B1A5A"/>
    <w:rsid w:val="007C12DF"/>
    <w:rsid w:val="007D6D9F"/>
    <w:rsid w:val="007E7C97"/>
    <w:rsid w:val="007F5A1C"/>
    <w:rsid w:val="008129C4"/>
    <w:rsid w:val="00813DD6"/>
    <w:rsid w:val="0086448E"/>
    <w:rsid w:val="00892724"/>
    <w:rsid w:val="008B2979"/>
    <w:rsid w:val="008C7B1A"/>
    <w:rsid w:val="008C7B8D"/>
    <w:rsid w:val="008E64CC"/>
    <w:rsid w:val="008F0A28"/>
    <w:rsid w:val="008F3A99"/>
    <w:rsid w:val="008F4B26"/>
    <w:rsid w:val="00927725"/>
    <w:rsid w:val="009419EC"/>
    <w:rsid w:val="00951D11"/>
    <w:rsid w:val="00955276"/>
    <w:rsid w:val="009805EE"/>
    <w:rsid w:val="00987CB9"/>
    <w:rsid w:val="00997AE0"/>
    <w:rsid w:val="009C1D2B"/>
    <w:rsid w:val="009C3192"/>
    <w:rsid w:val="009F3125"/>
    <w:rsid w:val="00A16596"/>
    <w:rsid w:val="00A2142A"/>
    <w:rsid w:val="00A26E36"/>
    <w:rsid w:val="00A53182"/>
    <w:rsid w:val="00A556B5"/>
    <w:rsid w:val="00AA2DC4"/>
    <w:rsid w:val="00AA3F52"/>
    <w:rsid w:val="00AB166B"/>
    <w:rsid w:val="00AE5E54"/>
    <w:rsid w:val="00B750BC"/>
    <w:rsid w:val="00B76661"/>
    <w:rsid w:val="00B8185C"/>
    <w:rsid w:val="00B875E1"/>
    <w:rsid w:val="00B92A7F"/>
    <w:rsid w:val="00BB0E34"/>
    <w:rsid w:val="00BB5B0A"/>
    <w:rsid w:val="00BD0EF7"/>
    <w:rsid w:val="00BD466F"/>
    <w:rsid w:val="00BE2844"/>
    <w:rsid w:val="00C3435F"/>
    <w:rsid w:val="00C432E7"/>
    <w:rsid w:val="00C940F6"/>
    <w:rsid w:val="00CC7E80"/>
    <w:rsid w:val="00CE2B14"/>
    <w:rsid w:val="00CF5BF9"/>
    <w:rsid w:val="00D105B5"/>
    <w:rsid w:val="00D412B7"/>
    <w:rsid w:val="00D44580"/>
    <w:rsid w:val="00D47C7C"/>
    <w:rsid w:val="00D62D38"/>
    <w:rsid w:val="00D86FA9"/>
    <w:rsid w:val="00D87CD9"/>
    <w:rsid w:val="00D921A1"/>
    <w:rsid w:val="00DD3E7F"/>
    <w:rsid w:val="00DF2454"/>
    <w:rsid w:val="00DF3627"/>
    <w:rsid w:val="00DF645D"/>
    <w:rsid w:val="00E0471F"/>
    <w:rsid w:val="00E60C1D"/>
    <w:rsid w:val="00E63717"/>
    <w:rsid w:val="00E7717A"/>
    <w:rsid w:val="00E854B4"/>
    <w:rsid w:val="00EB1DA8"/>
    <w:rsid w:val="00ED7692"/>
    <w:rsid w:val="00ED79BB"/>
    <w:rsid w:val="00EF45E7"/>
    <w:rsid w:val="00F54404"/>
    <w:rsid w:val="00F64E0B"/>
    <w:rsid w:val="00F711F2"/>
    <w:rsid w:val="00FC565C"/>
    <w:rsid w:val="00FD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24F7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F711F2"/>
    <w:rPr>
      <w:sz w:val="16"/>
      <w:szCs w:val="16"/>
    </w:rPr>
  </w:style>
  <w:style w:type="paragraph" w:styleId="CommentText">
    <w:name w:val="annotation text"/>
    <w:basedOn w:val="Normal"/>
    <w:link w:val="CommentTextChar"/>
    <w:rsid w:val="00F711F2"/>
    <w:rPr>
      <w:sz w:val="20"/>
    </w:rPr>
  </w:style>
  <w:style w:type="character" w:customStyle="1" w:styleId="CommentTextChar">
    <w:name w:val="Comment Text Char"/>
    <w:link w:val="CommentText"/>
    <w:rsid w:val="00F711F2"/>
    <w:rPr>
      <w:snapToGrid w:val="0"/>
    </w:rPr>
  </w:style>
  <w:style w:type="paragraph" w:styleId="CommentSubject">
    <w:name w:val="annotation subject"/>
    <w:basedOn w:val="CommentText"/>
    <w:next w:val="CommentText"/>
    <w:link w:val="CommentSubjectChar"/>
    <w:rsid w:val="00F711F2"/>
    <w:rPr>
      <w:b/>
      <w:bCs/>
    </w:rPr>
  </w:style>
  <w:style w:type="character" w:customStyle="1" w:styleId="CommentSubjectChar">
    <w:name w:val="Comment Subject Char"/>
    <w:link w:val="CommentSubject"/>
    <w:rsid w:val="00F711F2"/>
    <w:rPr>
      <w:b/>
      <w:bCs/>
      <w:snapToGrid w:val="0"/>
    </w:rPr>
  </w:style>
  <w:style w:type="paragraph" w:styleId="BalloonText">
    <w:name w:val="Balloon Text"/>
    <w:basedOn w:val="Normal"/>
    <w:link w:val="BalloonTextChar"/>
    <w:rsid w:val="00F711F2"/>
    <w:rPr>
      <w:rFonts w:ascii="Tahoma" w:hAnsi="Tahoma" w:cs="Tahoma"/>
      <w:sz w:val="16"/>
      <w:szCs w:val="16"/>
    </w:rPr>
  </w:style>
  <w:style w:type="character" w:customStyle="1" w:styleId="BalloonTextChar">
    <w:name w:val="Balloon Text Char"/>
    <w:link w:val="BalloonText"/>
    <w:rsid w:val="00F711F2"/>
    <w:rPr>
      <w:rFonts w:ascii="Tahoma" w:hAnsi="Tahoma" w:cs="Tahoma"/>
      <w:snapToGrid w:val="0"/>
      <w:sz w:val="16"/>
      <w:szCs w:val="16"/>
    </w:rPr>
  </w:style>
  <w:style w:type="table" w:styleId="TableGrid">
    <w:name w:val="Table Grid"/>
    <w:basedOn w:val="TableNormal"/>
    <w:rsid w:val="000B5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8185C"/>
    <w:rPr>
      <w:sz w:val="20"/>
    </w:rPr>
  </w:style>
  <w:style w:type="character" w:customStyle="1" w:styleId="FootnoteTextChar">
    <w:name w:val="Footnote Text Char"/>
    <w:link w:val="FootnoteText"/>
    <w:rsid w:val="00B8185C"/>
    <w:rPr>
      <w:snapToGrid w:val="0"/>
    </w:rPr>
  </w:style>
  <w:style w:type="character" w:styleId="Emphasis">
    <w:name w:val="Emphasis"/>
    <w:uiPriority w:val="20"/>
    <w:qFormat/>
    <w:rsid w:val="00B8185C"/>
    <w:rPr>
      <w:i/>
      <w:iCs/>
    </w:rPr>
  </w:style>
  <w:style w:type="paragraph" w:styleId="ListParagraph">
    <w:name w:val="List Paragraph"/>
    <w:basedOn w:val="Normal"/>
    <w:uiPriority w:val="34"/>
    <w:qFormat/>
    <w:rsid w:val="00A26E36"/>
    <w:pPr>
      <w:ind w:left="720"/>
      <w:contextualSpacing/>
    </w:pPr>
  </w:style>
  <w:style w:type="table" w:customStyle="1" w:styleId="TableGrid1">
    <w:name w:val="Table Grid1"/>
    <w:basedOn w:val="TableNormal"/>
    <w:next w:val="TableGrid"/>
    <w:uiPriority w:val="39"/>
    <w:rsid w:val="003E48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744">
      <w:bodyDiv w:val="1"/>
      <w:marLeft w:val="0"/>
      <w:marRight w:val="0"/>
      <w:marTop w:val="0"/>
      <w:marBottom w:val="0"/>
      <w:divBdr>
        <w:top w:val="none" w:sz="0" w:space="0" w:color="auto"/>
        <w:left w:val="none" w:sz="0" w:space="0" w:color="auto"/>
        <w:bottom w:val="none" w:sz="0" w:space="0" w:color="auto"/>
        <w:right w:val="none" w:sz="0" w:space="0" w:color="auto"/>
      </w:divBdr>
    </w:div>
    <w:div w:id="537162157">
      <w:bodyDiv w:val="1"/>
      <w:marLeft w:val="0"/>
      <w:marRight w:val="0"/>
      <w:marTop w:val="0"/>
      <w:marBottom w:val="0"/>
      <w:divBdr>
        <w:top w:val="none" w:sz="0" w:space="0" w:color="auto"/>
        <w:left w:val="none" w:sz="0" w:space="0" w:color="auto"/>
        <w:bottom w:val="none" w:sz="0" w:space="0" w:color="auto"/>
        <w:right w:val="none" w:sz="0" w:space="0" w:color="auto"/>
      </w:divBdr>
    </w:div>
    <w:div w:id="710157467">
      <w:bodyDiv w:val="1"/>
      <w:marLeft w:val="0"/>
      <w:marRight w:val="0"/>
      <w:marTop w:val="0"/>
      <w:marBottom w:val="0"/>
      <w:divBdr>
        <w:top w:val="none" w:sz="0" w:space="0" w:color="auto"/>
        <w:left w:val="none" w:sz="0" w:space="0" w:color="auto"/>
        <w:bottom w:val="none" w:sz="0" w:space="0" w:color="auto"/>
        <w:right w:val="none" w:sz="0" w:space="0" w:color="auto"/>
      </w:divBdr>
    </w:div>
    <w:div w:id="1105536338">
      <w:bodyDiv w:val="1"/>
      <w:marLeft w:val="0"/>
      <w:marRight w:val="0"/>
      <w:marTop w:val="0"/>
      <w:marBottom w:val="0"/>
      <w:divBdr>
        <w:top w:val="none" w:sz="0" w:space="0" w:color="auto"/>
        <w:left w:val="none" w:sz="0" w:space="0" w:color="auto"/>
        <w:bottom w:val="none" w:sz="0" w:space="0" w:color="auto"/>
        <w:right w:val="none" w:sz="0" w:space="0" w:color="auto"/>
      </w:divBdr>
    </w:div>
    <w:div w:id="1181705898">
      <w:bodyDiv w:val="1"/>
      <w:marLeft w:val="0"/>
      <w:marRight w:val="0"/>
      <w:marTop w:val="0"/>
      <w:marBottom w:val="0"/>
      <w:divBdr>
        <w:top w:val="none" w:sz="0" w:space="0" w:color="auto"/>
        <w:left w:val="none" w:sz="0" w:space="0" w:color="auto"/>
        <w:bottom w:val="none" w:sz="0" w:space="0" w:color="auto"/>
        <w:right w:val="none" w:sz="0" w:space="0" w:color="auto"/>
      </w:divBdr>
    </w:div>
    <w:div w:id="1261648258">
      <w:bodyDiv w:val="1"/>
      <w:marLeft w:val="0"/>
      <w:marRight w:val="0"/>
      <w:marTop w:val="0"/>
      <w:marBottom w:val="0"/>
      <w:divBdr>
        <w:top w:val="none" w:sz="0" w:space="0" w:color="auto"/>
        <w:left w:val="none" w:sz="0" w:space="0" w:color="auto"/>
        <w:bottom w:val="none" w:sz="0" w:space="0" w:color="auto"/>
        <w:right w:val="none" w:sz="0" w:space="0" w:color="auto"/>
      </w:divBdr>
    </w:div>
    <w:div w:id="171110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B05E-5D6C-4C55-9890-0AE53B8B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4145</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2021-05-24T16:43:00Z</dcterms:created>
  <dcterms:modified xsi:type="dcterms:W3CDTF">2021-05-25T13:28:00Z</dcterms:modified>
</cp:coreProperties>
</file>