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4015" w:rsidR="00E94015" w:rsidP="00E94015" w:rsidRDefault="00E94015">
      <w:pPr>
        <w:jc w:val="center"/>
        <w:rPr>
          <w:rFonts w:ascii="Times New Roman" w:hAnsi="Times New Roman"/>
          <w:b/>
        </w:rPr>
      </w:pPr>
      <w:bookmarkStart w:name="_GoBack" w:id="0"/>
      <w:bookmarkEnd w:id="0"/>
      <w:r w:rsidRPr="00E94015">
        <w:rPr>
          <w:rFonts w:ascii="Times New Roman" w:hAnsi="Times New Roman"/>
          <w:b/>
        </w:rPr>
        <w:t>SUPPORTING STATEMENT</w:t>
      </w:r>
    </w:p>
    <w:p w:rsidRPr="00E94015" w:rsidR="005E4479" w:rsidRDefault="005E4479">
      <w:pPr>
        <w:widowControl/>
        <w:tabs>
          <w:tab w:val="center" w:pos="4680"/>
        </w:tabs>
        <w:jc w:val="center"/>
        <w:rPr>
          <w:rFonts w:ascii="Times New Roman" w:hAnsi="Times New Roman"/>
          <w:caps/>
        </w:rPr>
      </w:pPr>
      <w:r w:rsidRPr="00E94015">
        <w:rPr>
          <w:rFonts w:ascii="Times New Roman" w:hAnsi="Times New Roman"/>
          <w:caps/>
        </w:rPr>
        <w:t>Uniform Application/Uniform Termination for</w:t>
      </w:r>
    </w:p>
    <w:p w:rsidRPr="00E94015" w:rsidR="005E4479" w:rsidRDefault="005E4479">
      <w:pPr>
        <w:widowControl/>
        <w:tabs>
          <w:tab w:val="center" w:pos="4680"/>
        </w:tabs>
        <w:jc w:val="center"/>
        <w:rPr>
          <w:rFonts w:ascii="Times New Roman" w:hAnsi="Times New Roman"/>
          <w:caps/>
        </w:rPr>
      </w:pPr>
      <w:r w:rsidRPr="00E94015">
        <w:rPr>
          <w:rFonts w:ascii="Times New Roman" w:hAnsi="Times New Roman"/>
          <w:caps/>
        </w:rPr>
        <w:t>Municipal Securities Principal or Representative</w:t>
      </w:r>
    </w:p>
    <w:p w:rsidRPr="00E94015" w:rsidR="00332B08" w:rsidRDefault="00332B08">
      <w:pPr>
        <w:widowControl/>
        <w:tabs>
          <w:tab w:val="center" w:pos="4680"/>
        </w:tabs>
        <w:jc w:val="center"/>
        <w:rPr>
          <w:rFonts w:ascii="Times New Roman" w:hAnsi="Times New Roman"/>
          <w:caps/>
        </w:rPr>
      </w:pPr>
      <w:r w:rsidRPr="00E94015">
        <w:rPr>
          <w:rFonts w:ascii="Times New Roman" w:hAnsi="Times New Roman"/>
          <w:caps/>
        </w:rPr>
        <w:t xml:space="preserve">(OMB </w:t>
      </w:r>
      <w:r w:rsidRPr="00E94015" w:rsidR="005E4479">
        <w:rPr>
          <w:rFonts w:ascii="Times New Roman" w:hAnsi="Times New Roman"/>
          <w:caps/>
        </w:rPr>
        <w:t xml:space="preserve">Control </w:t>
      </w:r>
      <w:r w:rsidRPr="00E94015">
        <w:rPr>
          <w:rFonts w:ascii="Times New Roman" w:hAnsi="Times New Roman"/>
          <w:caps/>
        </w:rPr>
        <w:t>No. 3064</w:t>
      </w:r>
      <w:r w:rsidRPr="00E94015">
        <w:rPr>
          <w:rFonts w:ascii="Times New Roman" w:hAnsi="Times New Roman"/>
          <w:caps/>
        </w:rPr>
        <w:noBreakHyphen/>
        <w:t>0022)</w:t>
      </w:r>
    </w:p>
    <w:p w:rsidR="00332B08" w:rsidRDefault="00332B08">
      <w:pPr>
        <w:widowControl/>
        <w:rPr>
          <w:rFonts w:ascii="Times New Roman" w:hAnsi="Times New Roman"/>
        </w:rPr>
      </w:pPr>
    </w:p>
    <w:p w:rsidR="00332B08" w:rsidRDefault="00332B08">
      <w:pPr>
        <w:widowControl/>
        <w:rPr>
          <w:rFonts w:ascii="Times New Roman" w:hAnsi="Times New Roman"/>
        </w:rPr>
      </w:pPr>
    </w:p>
    <w:p w:rsidR="00332B08" w:rsidRDefault="00332B08">
      <w:pPr>
        <w:widowControl/>
        <w:rPr>
          <w:rFonts w:ascii="Times New Roman" w:hAnsi="Times New Roman"/>
        </w:rPr>
      </w:pPr>
      <w:r>
        <w:rPr>
          <w:rFonts w:ascii="Times New Roman" w:hAnsi="Times New Roman"/>
          <w:u w:val="single"/>
        </w:rPr>
        <w:t>INTRODUCTION</w:t>
      </w:r>
    </w:p>
    <w:p w:rsidR="00332B08" w:rsidRDefault="00332B08">
      <w:pPr>
        <w:widowControl/>
        <w:rPr>
          <w:rFonts w:ascii="Times New Roman" w:hAnsi="Times New Roman"/>
        </w:rPr>
      </w:pPr>
    </w:p>
    <w:p w:rsidR="00332B08" w:rsidRDefault="00332B08">
      <w:pPr>
        <w:widowControl/>
        <w:rPr>
          <w:rFonts w:ascii="Times New Roman" w:hAnsi="Times New Roman"/>
        </w:rPr>
      </w:pPr>
      <w:r>
        <w:rPr>
          <w:rFonts w:ascii="Times New Roman" w:hAnsi="Times New Roman"/>
        </w:rPr>
        <w:t xml:space="preserve">The FDIC is requesting OMB approval to </w:t>
      </w:r>
      <w:r w:rsidR="00655246">
        <w:rPr>
          <w:rFonts w:ascii="Times New Roman" w:hAnsi="Times New Roman"/>
        </w:rPr>
        <w:t>extend, without change,</w:t>
      </w:r>
      <w:r>
        <w:rPr>
          <w:rFonts w:ascii="Times New Roman" w:hAnsi="Times New Roman"/>
        </w:rPr>
        <w:t xml:space="preserve"> the information collection </w:t>
      </w:r>
      <w:r w:rsidR="00655246">
        <w:rPr>
          <w:rFonts w:ascii="Times New Roman" w:hAnsi="Times New Roman"/>
        </w:rPr>
        <w:t>entitled “Uniform Application and Termination Notice for Municipal Securities Principal or Representative Associated with a Bank Municipal Securities Dealer.”</w:t>
      </w:r>
      <w:r>
        <w:rPr>
          <w:rFonts w:ascii="Times New Roman" w:hAnsi="Times New Roman"/>
        </w:rPr>
        <w:t xml:space="preserve">  An insured state nonmember bank that serves as a municipal securities dealer must file Form MSD</w:t>
      </w:r>
      <w:r>
        <w:rPr>
          <w:rFonts w:ascii="Times New Roman" w:hAnsi="Times New Roman"/>
        </w:rPr>
        <w:noBreakHyphen/>
        <w:t>4 or Form MSD</w:t>
      </w:r>
      <w:r>
        <w:rPr>
          <w:rFonts w:ascii="Times New Roman" w:hAnsi="Times New Roman"/>
        </w:rPr>
        <w:noBreakHyphen/>
        <w:t>5, as applicable, to permit an employee to become associated with, or to terminate the association with, the municipal securities dealer.  The filing requirements are based on rules promulgated by the Municipal Securities Rulemaking Board under the authority of the 1975 Amendments to the Securities Exchange Act of 1934 (15 U.S.C. 78o</w:t>
      </w:r>
      <w:r>
        <w:rPr>
          <w:rFonts w:ascii="Times New Roman" w:hAnsi="Times New Roman"/>
        </w:rPr>
        <w:noBreakHyphen/>
        <w:t>4).</w:t>
      </w:r>
    </w:p>
    <w:p w:rsidR="0047333E" w:rsidRDefault="0047333E">
      <w:pPr>
        <w:widowControl/>
        <w:rPr>
          <w:rFonts w:ascii="Times New Roman" w:hAnsi="Times New Roman"/>
        </w:rPr>
      </w:pPr>
    </w:p>
    <w:p w:rsidR="00332B08" w:rsidRDefault="0047333E">
      <w:pPr>
        <w:widowControl/>
        <w:rPr>
          <w:rFonts w:ascii="Times New Roman" w:hAnsi="Times New Roman"/>
        </w:rPr>
      </w:pPr>
      <w:r>
        <w:rPr>
          <w:rFonts w:ascii="Times New Roman" w:hAnsi="Times New Roman"/>
        </w:rPr>
        <w:t xml:space="preserve">The current clearance for the collection expires on April 30, 2021.  There is no change in the method or substance of the collection.  </w:t>
      </w:r>
    </w:p>
    <w:p w:rsidR="0047333E" w:rsidRDefault="0047333E">
      <w:pPr>
        <w:widowControl/>
        <w:rPr>
          <w:rFonts w:ascii="Times New Roman" w:hAnsi="Times New Roman"/>
        </w:rPr>
      </w:pPr>
    </w:p>
    <w:p w:rsidR="00332B08" w:rsidRDefault="00332B08">
      <w:pPr>
        <w:widowControl/>
        <w:tabs>
          <w:tab w:val="left" w:pos="-144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The 1975 Amendments to the Securities Exchange Act of 1934 established a comprehensive framework for the regulation of the activities of municipal securities dealers.  Under Section 15B(a) of the Securities Exchange Act, municipal securities dealers which are banks, or separately identifiable departments or divisions of banks engaging in municipal securities activities, are required to be registered with the Securities and Exchange Commission in accordance with such rules as the Municipal Securities Rulemaking Board (MSRB), a rulemaking authority established by the 1975 Amendments, may prescribe as necessary or appropriate in the public interest or for the protection of investors.</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One of the areas in which the Act directed the MSRB to promulgate rules is the qualifications of persons associated with municipal securities dealers as municipal securities principals and municipal securities representatives as those positions are defined in MSRB Rule G</w:t>
      </w:r>
      <w:r>
        <w:rPr>
          <w:rFonts w:ascii="Times New Roman" w:hAnsi="Times New Roman"/>
        </w:rPr>
        <w:noBreakHyphen/>
        <w:t>3.  Paragraph (b) of MSRB Rule G</w:t>
      </w:r>
      <w:r>
        <w:rPr>
          <w:rFonts w:ascii="Times New Roman" w:hAnsi="Times New Roman"/>
        </w:rPr>
        <w:noBreakHyphen/>
        <w:t xml:space="preserve">7 </w:t>
      </w:r>
      <w:r w:rsidR="0047333E">
        <w:rPr>
          <w:rFonts w:ascii="Times New Roman" w:hAnsi="Times New Roman"/>
        </w:rPr>
        <w:t>“</w:t>
      </w:r>
      <w:r>
        <w:rPr>
          <w:rFonts w:ascii="Times New Roman" w:hAnsi="Times New Roman"/>
        </w:rPr>
        <w:t xml:space="preserve">Information </w:t>
      </w:r>
    </w:p>
    <w:p w:rsidR="00332B08" w:rsidRDefault="00332B08">
      <w:pPr>
        <w:widowControl/>
        <w:ind w:left="1440"/>
        <w:rPr>
          <w:rFonts w:ascii="Times New Roman" w:hAnsi="Times New Roman"/>
        </w:rPr>
      </w:pPr>
      <w:r>
        <w:rPr>
          <w:rFonts w:ascii="Times New Roman" w:hAnsi="Times New Roman"/>
        </w:rPr>
        <w:t>Concerning Associated Persons,</w:t>
      </w:r>
      <w:r w:rsidR="0047333E">
        <w:rPr>
          <w:rFonts w:ascii="Times New Roman" w:hAnsi="Times New Roman"/>
        </w:rPr>
        <w:t>”</w:t>
      </w:r>
      <w:r>
        <w:rPr>
          <w:rFonts w:ascii="Times New Roman" w:hAnsi="Times New Roman"/>
        </w:rPr>
        <w:t xml:space="preserve"> requires persons who are or seek to be associated with municipal securities dealers as municipal securities principals or municipal securities representatives to provide certain background information and conversely, require the municipal securities dealers to obtain the information from such persons.  Generally, the information required to be furnished relates to employment history and professional background including any disciplinary </w:t>
      </w:r>
      <w:r>
        <w:rPr>
          <w:rFonts w:ascii="Times New Roman" w:hAnsi="Times New Roman"/>
        </w:rPr>
        <w:lastRenderedPageBreak/>
        <w:t>sanctions and any claimed bases for exemption from MSRB examination requirements.</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Paragraph (b) of MSRB Rule G</w:t>
      </w:r>
      <w:r>
        <w:rPr>
          <w:rFonts w:ascii="Times New Roman" w:hAnsi="Times New Roman"/>
        </w:rPr>
        <w:noBreakHyphen/>
        <w:t xml:space="preserve">7 provides that a </w:t>
      </w:r>
      <w:r w:rsidR="0047333E">
        <w:rPr>
          <w:rFonts w:ascii="Times New Roman" w:hAnsi="Times New Roman"/>
        </w:rPr>
        <w:t>“</w:t>
      </w:r>
      <w:r>
        <w:rPr>
          <w:rFonts w:ascii="Times New Roman" w:hAnsi="Times New Roman"/>
        </w:rPr>
        <w:t>completed Form U</w:t>
      </w:r>
      <w:r>
        <w:rPr>
          <w:rFonts w:ascii="Times New Roman" w:hAnsi="Times New Roman"/>
        </w:rPr>
        <w:noBreakHyphen/>
        <w:t>4 or similar form prescribed . . . in the case of a bank municipal securities dealer, by the appropriate regulatory agency, containing the foregoing information, shall satisfy the requirements of this paragraph.”  The FDIC and the other two Federal bank regulatory agencies, the Comptroller of the Currency, and the Federal Reserve Board, have prescribed Form MSD-4 to satisfy the provisions of Paragraph (b) of MSRB Rule G-7.  State nonmember bank municipal security dealers submit Form MSD-4 to the FDIC as their appropriate regulatory agency for each person associated with the dealer as a municipal securities principal or municipal securities representative.</w:t>
      </w:r>
    </w:p>
    <w:p w:rsidR="00332B08" w:rsidRDefault="00332B08">
      <w:pPr>
        <w:widowControl/>
        <w:ind w:left="1440"/>
        <w:rPr>
          <w:rFonts w:ascii="Times New Roman" w:hAnsi="Times New Roman"/>
        </w:rPr>
      </w:pPr>
    </w:p>
    <w:p w:rsidR="00332B08" w:rsidRDefault="00332B08">
      <w:pPr>
        <w:widowControl/>
        <w:ind w:left="1440"/>
        <w:rPr>
          <w:rFonts w:ascii="Times New Roman" w:hAnsi="Times New Roman"/>
        </w:rPr>
      </w:pPr>
      <w:r>
        <w:rPr>
          <w:rFonts w:ascii="Times New Roman" w:hAnsi="Times New Roman"/>
        </w:rPr>
        <w:t>The FDIC, Comptroller of the Currency, and the Federal Reserve Board, have prescribed Form MSD-5 for notification by a bank municipal securities dealer that a municipal securities principal’s or a municipal securities representative’s association with the dealer has terminated and the reason for such termination.  State nonmember bank municipal security dealers submit Form MSD-5 to the FDIC as their appropriate regulatory agency for each person terminating their association with the dealer as a municipal securities principal or municipal securities representative.</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Paragraph (e) of MSRB Rule G</w:t>
      </w:r>
      <w:r>
        <w:rPr>
          <w:rFonts w:ascii="Times New Roman" w:hAnsi="Times New Roman"/>
        </w:rPr>
        <w:noBreakHyphen/>
        <w:t>7 requires that every municipal securities dealer shall maintain and preserve a copy of the application form (Form MSD</w:t>
      </w:r>
      <w:r>
        <w:rPr>
          <w:rFonts w:ascii="Times New Roman" w:hAnsi="Times New Roman"/>
        </w:rPr>
        <w:noBreakHyphen/>
        <w:t>4) until at least three years after the associated person's employment with the municipal securities dealer has terminated.</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The FDIC reviews the information reported for the purpose of determining the applicant's compliance with the professional qualifications requirements for municipal securities principals and municipal securities representatives set forth in the General Rules of the Municipal Securities Rulemaking Board.  These rules are designed for investor protection by eliminating improper and unethical trading and selling practices.</w:t>
      </w:r>
    </w:p>
    <w:p w:rsidR="00332B08" w:rsidRDefault="00332B08">
      <w:pPr>
        <w:widowControl/>
        <w:rPr>
          <w:rFonts w:ascii="Times New Roman" w:hAnsi="Times New Roman"/>
        </w:rPr>
      </w:pPr>
    </w:p>
    <w:p w:rsidRPr="00771BA2" w:rsidR="00332B08" w:rsidRDefault="00332B08">
      <w:pPr>
        <w:widowControl/>
        <w:tabs>
          <w:tab w:val="left" w:pos="-1440"/>
        </w:tabs>
        <w:ind w:firstLine="720"/>
        <w:rPr>
          <w:rFonts w:ascii="Times New Roman" w:hAnsi="Times New Roman"/>
        </w:rPr>
      </w:pPr>
      <w:r>
        <w:rPr>
          <w:rFonts w:ascii="Times New Roman" w:hAnsi="Times New Roman"/>
        </w:rPr>
        <w:t>3.</w:t>
      </w:r>
      <w:r>
        <w:rPr>
          <w:rFonts w:ascii="Times New Roman" w:hAnsi="Times New Roman"/>
        </w:rPr>
        <w:tab/>
      </w:r>
      <w:r w:rsidRPr="00771BA2">
        <w:rPr>
          <w:rFonts w:ascii="Times New Roman" w:hAnsi="Times New Roman"/>
          <w:u w:val="single"/>
        </w:rPr>
        <w:t>Use of Technology to Reduce Burden</w:t>
      </w:r>
    </w:p>
    <w:p w:rsidRPr="00771BA2" w:rsidR="00332B08" w:rsidRDefault="00332B08">
      <w:pPr>
        <w:widowControl/>
        <w:rPr>
          <w:rFonts w:ascii="Times New Roman" w:hAnsi="Times New Roman"/>
        </w:rPr>
      </w:pPr>
    </w:p>
    <w:p w:rsidR="00332B08" w:rsidRDefault="00771BA2">
      <w:pPr>
        <w:widowControl/>
        <w:ind w:left="1440"/>
        <w:rPr>
          <w:rFonts w:ascii="Times New Roman" w:hAnsi="Times New Roman"/>
        </w:rPr>
      </w:pPr>
      <w:bookmarkStart w:name="OLE_LINK1" w:id="1"/>
      <w:r>
        <w:rPr>
          <w:rFonts w:ascii="Times New Roman" w:hAnsi="Times New Roman"/>
        </w:rPr>
        <w:t xml:space="preserve">The forms are in electronic (fillable pdf) format and can be downloaded at the FDIC’s public website </w:t>
      </w:r>
      <w:hyperlink w:history="1" r:id="rId7">
        <w:r w:rsidRPr="00233E24">
          <w:rPr>
            <w:rStyle w:val="Hyperlink"/>
            <w:rFonts w:ascii="Times New Roman" w:hAnsi="Times New Roman"/>
          </w:rPr>
          <w:t>www.fdic.gov/forms</w:t>
        </w:r>
      </w:hyperlink>
      <w:r w:rsidRPr="00771BA2" w:rsidR="00332B08">
        <w:rPr>
          <w:rFonts w:ascii="Times New Roman" w:hAnsi="Times New Roman"/>
        </w:rPr>
        <w:t>.</w:t>
      </w:r>
      <w:r>
        <w:rPr>
          <w:rFonts w:ascii="Times New Roman" w:hAnsi="Times New Roman"/>
        </w:rPr>
        <w:t xml:space="preserve">  Respondents have the choice of submitting the completed and signed forms to a designate</w:t>
      </w:r>
      <w:r w:rsidR="00977115">
        <w:rPr>
          <w:rFonts w:ascii="Times New Roman" w:hAnsi="Times New Roman"/>
        </w:rPr>
        <w:t>d</w:t>
      </w:r>
      <w:r>
        <w:rPr>
          <w:rFonts w:ascii="Times New Roman" w:hAnsi="Times New Roman"/>
        </w:rPr>
        <w:t xml:space="preserve"> email address or via U.S. Mail as indicated in the forms’ instructions.  FDIC is currently evaluating available solutions</w:t>
      </w:r>
      <w:r w:rsidR="00977115">
        <w:rPr>
          <w:rFonts w:ascii="Times New Roman" w:hAnsi="Times New Roman"/>
        </w:rPr>
        <w:t>,</w:t>
      </w:r>
      <w:r>
        <w:rPr>
          <w:rFonts w:ascii="Times New Roman" w:hAnsi="Times New Roman"/>
        </w:rPr>
        <w:t xml:space="preserve"> and if an acceptable burden-reducing option is practical, submission methodology may be modified to promote fully-electronic access, completion and submission of the forms.</w:t>
      </w:r>
    </w:p>
    <w:bookmarkEnd w:id="1"/>
    <w:p w:rsidR="00332B08" w:rsidRDefault="00332B08">
      <w:pPr>
        <w:widowControl/>
        <w:ind w:left="1440"/>
        <w:rPr>
          <w:rFonts w:ascii="Times New Roman" w:hAnsi="Times New Roman"/>
        </w:rPr>
      </w:pPr>
    </w:p>
    <w:p w:rsidR="00332B08" w:rsidRDefault="00332B08">
      <w:pPr>
        <w:widowControl/>
        <w:rPr>
          <w:rFonts w:ascii="Times New Roman" w:hAnsi="Times New Roman"/>
          <w:u w:val="single"/>
        </w:rPr>
      </w:pPr>
      <w:r>
        <w:rPr>
          <w:rFonts w:ascii="Times New Roman" w:hAnsi="Times New Roman"/>
        </w:rPr>
        <w:tab/>
        <w:t>4.</w:t>
      </w:r>
      <w:r>
        <w:rPr>
          <w:rFonts w:ascii="Times New Roman" w:hAnsi="Times New Roman"/>
        </w:rPr>
        <w:tab/>
      </w:r>
      <w:r>
        <w:rPr>
          <w:rFonts w:ascii="Times New Roman" w:hAnsi="Times New Roman"/>
          <w:u w:val="single"/>
        </w:rPr>
        <w:t>Efforts to Identify Duplication</w:t>
      </w:r>
    </w:p>
    <w:p w:rsidR="00332B08" w:rsidRDefault="00332B08">
      <w:pPr>
        <w:widowControl/>
        <w:ind w:left="1440"/>
        <w:rPr>
          <w:rFonts w:ascii="Times New Roman" w:hAnsi="Times New Roman"/>
        </w:rPr>
      </w:pPr>
    </w:p>
    <w:p w:rsidR="00332B08" w:rsidRDefault="00332B08">
      <w:pPr>
        <w:widowControl/>
        <w:ind w:left="1440"/>
        <w:rPr>
          <w:rFonts w:ascii="Times New Roman" w:hAnsi="Times New Roman"/>
        </w:rPr>
      </w:pPr>
      <w:r>
        <w:rPr>
          <w:rFonts w:ascii="Times New Roman" w:hAnsi="Times New Roman"/>
        </w:rPr>
        <w:t>The information reported is not duplicated by any other reporting system.  It is unique to the applicant wishing to be associated with a particular bank municipal securities dealer under the jurisdiction of the FDIC.  There is no other source of this personal qualifications information except from the individual applicant.</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Minimizing the Burden on Small Banks</w:t>
      </w:r>
    </w:p>
    <w:p w:rsidR="00332B08" w:rsidRDefault="00332B08">
      <w:pPr>
        <w:widowControl/>
        <w:rPr>
          <w:rFonts w:ascii="Times New Roman" w:hAnsi="Times New Roman"/>
        </w:rPr>
      </w:pPr>
    </w:p>
    <w:p w:rsidR="00332B08" w:rsidP="0047333E" w:rsidRDefault="00785656">
      <w:pPr>
        <w:widowControl/>
        <w:ind w:left="1440"/>
        <w:rPr>
          <w:rFonts w:ascii="Times New Roman" w:hAnsi="Times New Roman"/>
        </w:rPr>
      </w:pPr>
      <w:r w:rsidRPr="00785656">
        <w:rPr>
          <w:rFonts w:ascii="Times New Roman" w:hAnsi="Times New Roman"/>
        </w:rPr>
        <w:t xml:space="preserve">The collection does not have an impact on a substantial number of small entities.  </w:t>
      </w:r>
      <w:r w:rsidRPr="0047333E" w:rsidR="0047333E">
        <w:rPr>
          <w:rFonts w:ascii="Times New Roman" w:hAnsi="Times New Roman"/>
        </w:rPr>
        <w:t xml:space="preserve">In particular, according to Call Report data as of </w:t>
      </w:r>
      <w:r w:rsidR="0047333E">
        <w:rPr>
          <w:rFonts w:ascii="Times New Roman" w:hAnsi="Times New Roman"/>
        </w:rPr>
        <w:t>September 30, 2020, t</w:t>
      </w:r>
      <w:r w:rsidRPr="0047333E" w:rsidR="0047333E">
        <w:rPr>
          <w:rFonts w:ascii="Times New Roman" w:hAnsi="Times New Roman"/>
          <w:lang w:bidi="en-US"/>
        </w:rPr>
        <w:t>he FDIC supervises 3,245 state nonmember banks, state savings associations, and insured state-licensed domestic branches of foreign banks. Any of these institutions could potentially become a municipal securities dealer and, therefore, become subject</w:t>
      </w:r>
      <w:r w:rsidR="00FF7C46">
        <w:rPr>
          <w:rFonts w:ascii="Times New Roman" w:hAnsi="Times New Roman"/>
          <w:lang w:bidi="en-US"/>
        </w:rPr>
        <w:t xml:space="preserve"> to this information collection</w:t>
      </w:r>
      <w:r w:rsidRPr="0047333E" w:rsidR="0047333E">
        <w:rPr>
          <w:rFonts w:ascii="Times New Roman" w:hAnsi="Times New Roman"/>
          <w:lang w:bidi="en-US"/>
        </w:rPr>
        <w:t>. However, only two FDIC-supervised institutions are currently municipal securities dealers</w:t>
      </w:r>
      <w:r w:rsidR="0047333E">
        <w:rPr>
          <w:rFonts w:ascii="Times New Roman" w:hAnsi="Times New Roman"/>
          <w:lang w:bidi="en-US"/>
        </w:rPr>
        <w:t xml:space="preserve"> and neither has</w:t>
      </w:r>
      <w:r w:rsidRPr="0047333E" w:rsidR="0047333E">
        <w:rPr>
          <w:rFonts w:ascii="Times New Roman" w:hAnsi="Times New Roman"/>
        </w:rPr>
        <w:t xml:space="preserve"> total assets of less than $600 million</w:t>
      </w:r>
      <w:r w:rsidR="00FF7C46">
        <w:rPr>
          <w:rFonts w:ascii="Times New Roman" w:hAnsi="Times New Roman"/>
        </w:rPr>
        <w:t xml:space="preserve">.  Therefore, there are no entities </w:t>
      </w:r>
      <w:r w:rsidRPr="0047333E" w:rsidR="0047333E">
        <w:rPr>
          <w:rFonts w:ascii="Times New Roman" w:hAnsi="Times New Roman"/>
        </w:rPr>
        <w:t>meeting the Small Business Administration’s definition of a “small entity.”</w:t>
      </w:r>
      <w:r w:rsidR="0047333E">
        <w:rPr>
          <w:rFonts w:ascii="Times New Roman" w:hAnsi="Times New Roman"/>
        </w:rPr>
        <w:t xml:space="preserve"> </w:t>
      </w:r>
      <w:r w:rsidRPr="00785656">
        <w:rPr>
          <w:rFonts w:ascii="Times New Roman" w:hAnsi="Times New Roman"/>
        </w:rPr>
        <w:t xml:space="preserve"> </w:t>
      </w:r>
    </w:p>
    <w:p w:rsidR="0047333E" w:rsidP="0047333E" w:rsidRDefault="0047333E">
      <w:pPr>
        <w:widowControl/>
        <w:ind w:left="1440"/>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Collections</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The form is submitted only on making application to become associated with a bank municipal securities dealer as a municipal securities principal or representative.  Amending statements are also required to correct inaccuracies or to make the application more complete.  The form is also submitted on the occasion of termination of being associated with a bank municipal securities dealer.</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None.</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8.</w:t>
      </w:r>
      <w:r>
        <w:rPr>
          <w:rFonts w:ascii="Times New Roman" w:hAnsi="Times New Roman"/>
        </w:rPr>
        <w:tab/>
      </w:r>
      <w:bookmarkStart w:name="OLE_LINK2" w:id="2"/>
      <w:r w:rsidRPr="00785656" w:rsidR="00785656">
        <w:rPr>
          <w:rFonts w:ascii="Times New Roman" w:hAnsi="Times New Roman"/>
          <w:u w:val="single"/>
        </w:rPr>
        <w:t>Consultation with Persons Outside the FDIC:</w:t>
      </w:r>
    </w:p>
    <w:p w:rsidR="00332B08" w:rsidRDefault="00332B08">
      <w:pPr>
        <w:widowControl/>
        <w:rPr>
          <w:rFonts w:ascii="Times New Roman" w:hAnsi="Times New Roman"/>
        </w:rPr>
      </w:pPr>
    </w:p>
    <w:p w:rsidR="00332B08" w:rsidRDefault="00FF7C46">
      <w:pPr>
        <w:widowControl/>
        <w:ind w:left="1440"/>
        <w:rPr>
          <w:rFonts w:ascii="Times New Roman" w:hAnsi="Times New Roman"/>
        </w:rPr>
      </w:pPr>
      <w:r>
        <w:rPr>
          <w:rFonts w:ascii="Times New Roman" w:hAnsi="Times New Roman"/>
        </w:rPr>
        <w:t>A</w:t>
      </w:r>
      <w:r w:rsidR="00655246">
        <w:rPr>
          <w:rFonts w:ascii="Times New Roman" w:hAnsi="Times New Roman"/>
        </w:rPr>
        <w:t xml:space="preserve"> notice seeking public </w:t>
      </w:r>
      <w:r>
        <w:rPr>
          <w:rFonts w:ascii="Times New Roman" w:hAnsi="Times New Roman"/>
        </w:rPr>
        <w:t xml:space="preserve">comment </w:t>
      </w:r>
      <w:r w:rsidR="00655246">
        <w:rPr>
          <w:rFonts w:ascii="Times New Roman" w:hAnsi="Times New Roman"/>
        </w:rPr>
        <w:t>for a 60-day period</w:t>
      </w:r>
      <w:r>
        <w:rPr>
          <w:rFonts w:ascii="Times New Roman" w:hAnsi="Times New Roman"/>
        </w:rPr>
        <w:t xml:space="preserve"> was published in the </w:t>
      </w:r>
      <w:r>
        <w:rPr>
          <w:rFonts w:ascii="Times New Roman" w:hAnsi="Times New Roman"/>
          <w:i/>
        </w:rPr>
        <w:t>Federal Register</w:t>
      </w:r>
      <w:r>
        <w:rPr>
          <w:rFonts w:ascii="Times New Roman" w:hAnsi="Times New Roman"/>
        </w:rPr>
        <w:t xml:space="preserve"> on February 17, 2020</w:t>
      </w:r>
      <w:r w:rsidR="00785656">
        <w:rPr>
          <w:rFonts w:ascii="Times New Roman" w:hAnsi="Times New Roman"/>
        </w:rPr>
        <w:t xml:space="preserve"> (86</w:t>
      </w:r>
      <w:r w:rsidR="00655246">
        <w:rPr>
          <w:rFonts w:ascii="Times New Roman" w:hAnsi="Times New Roman"/>
        </w:rPr>
        <w:t xml:space="preserve"> FR </w:t>
      </w:r>
      <w:r w:rsidR="00785656">
        <w:rPr>
          <w:rFonts w:ascii="Times New Roman" w:hAnsi="Times New Roman"/>
        </w:rPr>
        <w:t>9935</w:t>
      </w:r>
      <w:r w:rsidR="004C0C45">
        <w:rPr>
          <w:rFonts w:ascii="Times New Roman" w:hAnsi="Times New Roman"/>
        </w:rPr>
        <w:t xml:space="preserve">, </w:t>
      </w:r>
      <w:r w:rsidR="00785656">
        <w:rPr>
          <w:rFonts w:ascii="Times New Roman" w:hAnsi="Times New Roman"/>
        </w:rPr>
        <w:t>February</w:t>
      </w:r>
      <w:r w:rsidR="004C0C45">
        <w:rPr>
          <w:rFonts w:ascii="Times New Roman" w:hAnsi="Times New Roman"/>
        </w:rPr>
        <w:t xml:space="preserve"> </w:t>
      </w:r>
      <w:r w:rsidR="00785656">
        <w:rPr>
          <w:rFonts w:ascii="Times New Roman" w:hAnsi="Times New Roman"/>
        </w:rPr>
        <w:t>17</w:t>
      </w:r>
      <w:r w:rsidR="004C0C45">
        <w:rPr>
          <w:rFonts w:ascii="Times New Roman" w:hAnsi="Times New Roman"/>
        </w:rPr>
        <w:t>, 20</w:t>
      </w:r>
      <w:r w:rsidR="00785656">
        <w:rPr>
          <w:rFonts w:ascii="Times New Roman" w:hAnsi="Times New Roman"/>
        </w:rPr>
        <w:t>21</w:t>
      </w:r>
      <w:r w:rsidR="004C0C45">
        <w:rPr>
          <w:rFonts w:ascii="Times New Roman" w:hAnsi="Times New Roman"/>
        </w:rPr>
        <w:t>).</w:t>
      </w:r>
      <w:r w:rsidR="00332B08">
        <w:rPr>
          <w:rFonts w:ascii="Times New Roman" w:hAnsi="Times New Roman"/>
        </w:rPr>
        <w:t xml:space="preserve">  No comments were received. </w:t>
      </w:r>
    </w:p>
    <w:bookmarkEnd w:id="2"/>
    <w:p w:rsidR="00332B08" w:rsidRDefault="00332B08">
      <w:pPr>
        <w:widowControl/>
        <w:rPr>
          <w:rFonts w:ascii="Times New Roman" w:hAnsi="Times New Roman"/>
        </w:rPr>
      </w:pPr>
    </w:p>
    <w:p w:rsidR="00332B08" w:rsidRDefault="00332B08">
      <w:pPr>
        <w:widowControl/>
        <w:tabs>
          <w:tab w:val="left" w:pos="-1440"/>
        </w:tabs>
        <w:ind w:left="144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None.</w:t>
      </w:r>
    </w:p>
    <w:p w:rsidR="00332B08" w:rsidRDefault="00FF7C46">
      <w:pPr>
        <w:widowControl/>
        <w:rPr>
          <w:rFonts w:ascii="Times New Roman" w:hAnsi="Times New Roman"/>
        </w:rPr>
      </w:pPr>
      <w:r>
        <w:rPr>
          <w:rFonts w:ascii="Times New Roman" w:hAnsi="Times New Roman"/>
        </w:rPr>
        <w:br w:type="page"/>
      </w:r>
    </w:p>
    <w:p w:rsidR="00332B08" w:rsidRDefault="00332B08">
      <w:pPr>
        <w:widowControl/>
        <w:tabs>
          <w:tab w:val="left" w:pos="-1440"/>
        </w:tabs>
        <w:ind w:firstLine="720"/>
        <w:rPr>
          <w:rFonts w:ascii="Times New Roman" w:hAnsi="Times New Roman"/>
        </w:rPr>
      </w:pPr>
      <w:r>
        <w:rPr>
          <w:rFonts w:ascii="Times New Roman" w:hAnsi="Times New Roman"/>
        </w:rPr>
        <w:lastRenderedPageBreak/>
        <w:t>10.</w:t>
      </w:r>
      <w:r>
        <w:rPr>
          <w:rFonts w:ascii="Times New Roman" w:hAnsi="Times New Roman"/>
        </w:rPr>
        <w:tab/>
      </w:r>
      <w:r>
        <w:rPr>
          <w:rFonts w:ascii="Times New Roman" w:hAnsi="Times New Roman"/>
          <w:u w:val="single"/>
        </w:rPr>
        <w:t>Confidentiality</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 xml:space="preserve">The </w:t>
      </w:r>
      <w:r w:rsidR="00033574">
        <w:rPr>
          <w:rFonts w:ascii="Times New Roman" w:hAnsi="Times New Roman"/>
        </w:rPr>
        <w:t>information reported is kept private to the extent allowed by law.</w:t>
      </w:r>
      <w:r w:rsidR="00FF7C46">
        <w:rPr>
          <w:rFonts w:ascii="Times New Roman" w:hAnsi="Times New Roman"/>
        </w:rPr>
        <w:t xml:space="preserve"> </w:t>
      </w:r>
      <w:r w:rsidRPr="0084051A" w:rsidR="00FF7C46">
        <w:rPr>
          <w:rFonts w:ascii="Times New Roman" w:hAnsi="Times New Roman"/>
          <w:szCs w:val="24"/>
        </w:rPr>
        <w:t>A</w:t>
      </w:r>
      <w:r w:rsidR="006F0661">
        <w:rPr>
          <w:rFonts w:ascii="Times New Roman" w:hAnsi="Times New Roman"/>
          <w:szCs w:val="24"/>
        </w:rPr>
        <w:t xml:space="preserve">ny </w:t>
      </w:r>
      <w:r w:rsidRPr="0084051A" w:rsidR="00FF7C46">
        <w:rPr>
          <w:rFonts w:ascii="Times New Roman" w:hAnsi="Times New Roman"/>
          <w:szCs w:val="24"/>
        </w:rPr>
        <w:t>information deemed to be of a confidential nature is exempt from public disclosure in accordance with the provisions of the Freedom of Information Act (5 U.S.C. 552).</w:t>
      </w:r>
    </w:p>
    <w:p w:rsidR="00033574" w:rsidP="00033574" w:rsidRDefault="00033574">
      <w:pPr>
        <w:widowControl/>
        <w:ind w:left="1440"/>
        <w:rPr>
          <w:rFonts w:ascii="Times New Roman" w:hAnsi="Times New Roman"/>
          <w:u w:val="single"/>
        </w:rPr>
      </w:pPr>
    </w:p>
    <w:p w:rsidRPr="00033574" w:rsidR="00332B08" w:rsidP="00033574" w:rsidRDefault="00332B08">
      <w:pPr>
        <w:widowControl/>
        <w:numPr>
          <w:ilvl w:val="0"/>
          <w:numId w:val="1"/>
        </w:numPr>
        <w:rPr>
          <w:rFonts w:ascii="Times New Roman" w:hAnsi="Times New Roman"/>
          <w:u w:val="single"/>
        </w:rPr>
      </w:pPr>
      <w:r w:rsidRPr="00033574">
        <w:rPr>
          <w:rFonts w:ascii="Times New Roman" w:hAnsi="Times New Roman"/>
          <w:u w:val="single"/>
        </w:rPr>
        <w:t>Questions of a Sensitive Nature</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There are no questions on the application relating to sexual behavior and attitudes, and religious beliefs.  However, there are other questions of a personal nature.  One is concerned with the applicant's possible conviction of any felony or misdemeanor within the past 10 years (#25).  There is also a question about disciplinary action pertaining to the applicant's past violations relating to securities matters (#23).  These questions are necessary to determine the applicant's fitness to be associated with a bank municipal securities dealer where proper and ethical trading and selling practices are vital to the protection of the investor.</w:t>
      </w:r>
    </w:p>
    <w:p w:rsidR="00332B08" w:rsidRDefault="00332B08">
      <w:pPr>
        <w:widowControl/>
        <w:rPr>
          <w:rFonts w:ascii="Times New Roman" w:hAnsi="Times New Roman"/>
        </w:rPr>
      </w:pPr>
    </w:p>
    <w:p w:rsidR="00332B08" w:rsidP="00785656" w:rsidRDefault="00785656">
      <w:pPr>
        <w:widowControl/>
        <w:numPr>
          <w:ilvl w:val="0"/>
          <w:numId w:val="1"/>
        </w:numPr>
        <w:tabs>
          <w:tab w:val="left" w:pos="-1440"/>
        </w:tabs>
        <w:rPr>
          <w:rFonts w:ascii="Times New Roman" w:hAnsi="Times New Roman"/>
          <w:u w:val="single"/>
        </w:rPr>
      </w:pPr>
      <w:r w:rsidRPr="00785656">
        <w:rPr>
          <w:rFonts w:ascii="Times New Roman" w:hAnsi="Times New Roman"/>
          <w:u w:val="single"/>
        </w:rPr>
        <w:t>Estimate of Annual Burden</w:t>
      </w:r>
    </w:p>
    <w:p w:rsidR="000900AE" w:rsidP="000900AE" w:rsidRDefault="000900AE">
      <w:pPr>
        <w:widowControl/>
        <w:tabs>
          <w:tab w:val="left" w:pos="-1440"/>
        </w:tabs>
        <w:rPr>
          <w:rFonts w:ascii="Times New Roman" w:hAnsi="Times New Roman"/>
          <w:u w:val="single"/>
        </w:rPr>
      </w:pPr>
    </w:p>
    <w:tbl>
      <w:tblPr>
        <w:tblpPr w:leftFromText="180" w:rightFromText="180" w:vertAnchor="text" w:horzAnchor="margin" w:tblpY="94"/>
        <w:tblW w:w="9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07"/>
        <w:gridCol w:w="3230"/>
        <w:gridCol w:w="936"/>
        <w:gridCol w:w="1413"/>
        <w:gridCol w:w="1377"/>
        <w:gridCol w:w="681"/>
        <w:gridCol w:w="846"/>
      </w:tblGrid>
      <w:tr w:rsidRPr="000900AE" w:rsidR="00FF7C46" w:rsidTr="00B44B3F">
        <w:trPr>
          <w:trHeight w:val="145"/>
        </w:trPr>
        <w:tc>
          <w:tcPr>
            <w:tcW w:w="907" w:type="dxa"/>
          </w:tcPr>
          <w:p w:rsidRPr="000900AE" w:rsidR="00FF7C46" w:rsidP="000900AE" w:rsidRDefault="00FF7C46">
            <w:pPr>
              <w:widowControl/>
              <w:jc w:val="center"/>
              <w:rPr>
                <w:rFonts w:ascii="Arial" w:hAnsi="Arial" w:eastAsia="Calibri" w:cs="Arial"/>
                <w:b/>
                <w:bCs/>
                <w:snapToGrid/>
                <w:color w:val="000000"/>
                <w:sz w:val="16"/>
                <w:szCs w:val="16"/>
              </w:rPr>
            </w:pPr>
          </w:p>
        </w:tc>
        <w:tc>
          <w:tcPr>
            <w:tcW w:w="8483" w:type="dxa"/>
            <w:gridSpan w:val="6"/>
            <w:tcMar>
              <w:top w:w="15" w:type="dxa"/>
              <w:left w:w="15" w:type="dxa"/>
              <w:bottom w:w="0" w:type="dxa"/>
              <w:right w:w="15" w:type="dxa"/>
            </w:tcMar>
            <w:vAlign w:val="center"/>
            <w:hideMark/>
          </w:tcPr>
          <w:p w:rsidRPr="000900AE" w:rsidR="00FF7C46" w:rsidP="000900AE" w:rsidRDefault="00FF7C46">
            <w:pPr>
              <w:widowControl/>
              <w:jc w:val="center"/>
              <w:rPr>
                <w:rFonts w:ascii="Arial" w:hAnsi="Arial" w:eastAsia="Calibri" w:cs="Arial"/>
                <w:b/>
                <w:bCs/>
                <w:snapToGrid/>
                <w:color w:val="000000"/>
                <w:sz w:val="16"/>
                <w:szCs w:val="16"/>
              </w:rPr>
            </w:pPr>
            <w:r w:rsidRPr="000900AE">
              <w:rPr>
                <w:rFonts w:ascii="Arial" w:hAnsi="Arial" w:eastAsia="Calibri" w:cs="Arial"/>
                <w:b/>
                <w:bCs/>
                <w:snapToGrid/>
                <w:color w:val="000000"/>
                <w:sz w:val="16"/>
                <w:szCs w:val="16"/>
              </w:rPr>
              <w:t>Summary of Annual Burden and Internal Cost (3064-0022)</w:t>
            </w:r>
          </w:p>
        </w:tc>
      </w:tr>
      <w:tr w:rsidRPr="000900AE" w:rsidR="00FF7C46" w:rsidTr="00B44B3F">
        <w:trPr>
          <w:trHeight w:val="185"/>
        </w:trPr>
        <w:tc>
          <w:tcPr>
            <w:tcW w:w="4137" w:type="dxa"/>
            <w:gridSpan w:val="2"/>
            <w:noWrap/>
            <w:tcMar>
              <w:top w:w="15" w:type="dxa"/>
              <w:left w:w="15" w:type="dxa"/>
              <w:bottom w:w="0" w:type="dxa"/>
              <w:right w:w="15" w:type="dxa"/>
            </w:tcMar>
            <w:vAlign w:val="center"/>
            <w:hideMark/>
          </w:tcPr>
          <w:p w:rsidRPr="000900AE" w:rsidR="00FF7C46" w:rsidP="00FF7C46" w:rsidRDefault="00FF7C46">
            <w:pPr>
              <w:widowControl/>
              <w:rPr>
                <w:rFonts w:ascii="Times New Roman" w:hAnsi="Times New Roman" w:eastAsia="Calibri"/>
                <w:b/>
                <w:bCs/>
                <w:snapToGrid/>
                <w:color w:val="000000"/>
                <w:sz w:val="16"/>
                <w:szCs w:val="16"/>
              </w:rPr>
            </w:pPr>
            <w:r w:rsidRPr="000900AE">
              <w:rPr>
                <w:rFonts w:ascii="Times New Roman" w:hAnsi="Times New Roman" w:eastAsia="Calibri"/>
                <w:b/>
                <w:bCs/>
                <w:snapToGrid/>
                <w:color w:val="000000"/>
                <w:sz w:val="18"/>
                <w:szCs w:val="18"/>
              </w:rPr>
              <w:t>Information Collection (IC) Description</w:t>
            </w:r>
          </w:p>
        </w:tc>
        <w:tc>
          <w:tcPr>
            <w:tcW w:w="936"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Type of Burden</w:t>
            </w:r>
          </w:p>
        </w:tc>
        <w:tc>
          <w:tcPr>
            <w:tcW w:w="1413"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Estimated Number of Respondents</w:t>
            </w:r>
          </w:p>
        </w:tc>
        <w:tc>
          <w:tcPr>
            <w:tcW w:w="1377" w:type="dxa"/>
            <w:tcMar>
              <w:top w:w="15" w:type="dxa"/>
              <w:left w:w="15" w:type="dxa"/>
              <w:bottom w:w="0" w:type="dxa"/>
              <w:right w:w="15" w:type="dxa"/>
            </w:tcMar>
            <w:vAlign w:val="center"/>
            <w:hideMark/>
          </w:tcPr>
          <w:p w:rsidR="00FF7C46" w:rsidP="00FF7C46" w:rsidRDefault="00FF7C46">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Estimated Frequency</w:t>
            </w:r>
          </w:p>
          <w:p w:rsidRPr="000900AE" w:rsidR="00FF7C46" w:rsidP="00FF7C46" w:rsidRDefault="00FF7C46">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 xml:space="preserve"> of Responses</w:t>
            </w:r>
          </w:p>
        </w:tc>
        <w:tc>
          <w:tcPr>
            <w:tcW w:w="681" w:type="dxa"/>
            <w:vAlign w:val="center"/>
          </w:tcPr>
          <w:p w:rsidRPr="000900AE" w:rsidR="00FF7C46" w:rsidP="00FF7C46" w:rsidRDefault="00FF7C46">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Estimated Time per Response</w:t>
            </w:r>
          </w:p>
        </w:tc>
        <w:tc>
          <w:tcPr>
            <w:tcW w:w="846" w:type="dxa"/>
            <w:tcMar>
              <w:top w:w="15" w:type="dxa"/>
              <w:left w:w="15" w:type="dxa"/>
              <w:bottom w:w="0" w:type="dxa"/>
              <w:right w:w="15" w:type="dxa"/>
            </w:tcMar>
            <w:vAlign w:val="center"/>
            <w:hideMark/>
          </w:tcPr>
          <w:p w:rsidRPr="000900AE" w:rsidR="00FF7C46" w:rsidP="006F0661" w:rsidRDefault="00FF7C46">
            <w:pPr>
              <w:widowControl/>
              <w:jc w:val="center"/>
              <w:rPr>
                <w:rFonts w:ascii="Times New Roman" w:hAnsi="Times New Roman" w:eastAsia="Calibri"/>
                <w:snapToGrid/>
                <w:color w:val="000000"/>
                <w:sz w:val="16"/>
                <w:szCs w:val="16"/>
              </w:rPr>
            </w:pPr>
            <w:r>
              <w:rPr>
                <w:rFonts w:ascii="Times New Roman" w:hAnsi="Times New Roman" w:eastAsia="Calibri"/>
                <w:snapToGrid/>
                <w:color w:val="000000"/>
                <w:sz w:val="16"/>
                <w:szCs w:val="16"/>
              </w:rPr>
              <w:t xml:space="preserve">Total </w:t>
            </w:r>
            <w:r w:rsidR="006F0661">
              <w:rPr>
                <w:rFonts w:ascii="Times New Roman" w:hAnsi="Times New Roman" w:eastAsia="Calibri"/>
                <w:snapToGrid/>
                <w:color w:val="000000"/>
                <w:sz w:val="16"/>
                <w:szCs w:val="16"/>
              </w:rPr>
              <w:t xml:space="preserve"> Estimated </w:t>
            </w:r>
            <w:r>
              <w:rPr>
                <w:rFonts w:ascii="Times New Roman" w:hAnsi="Times New Roman" w:eastAsia="Calibri"/>
                <w:snapToGrid/>
                <w:color w:val="000000"/>
                <w:sz w:val="16"/>
                <w:szCs w:val="16"/>
              </w:rPr>
              <w:t>Annual Burden</w:t>
            </w:r>
          </w:p>
        </w:tc>
      </w:tr>
      <w:tr w:rsidRPr="000900AE" w:rsidR="00FF7C46" w:rsidTr="00B44B3F">
        <w:trPr>
          <w:trHeight w:val="47"/>
        </w:trPr>
        <w:tc>
          <w:tcPr>
            <w:tcW w:w="4137" w:type="dxa"/>
            <w:gridSpan w:val="2"/>
            <w:tcMar>
              <w:top w:w="15" w:type="dxa"/>
              <w:left w:w="15" w:type="dxa"/>
              <w:bottom w:w="0" w:type="dxa"/>
              <w:right w:w="15" w:type="dxa"/>
            </w:tcMar>
            <w:vAlign w:val="center"/>
            <w:hideMark/>
          </w:tcPr>
          <w:p w:rsidRPr="000900AE" w:rsidR="00FF7C46" w:rsidP="00FF7C46" w:rsidRDefault="00FF7C46">
            <w:pPr>
              <w:widowControl/>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shd w:val="clear" w:color="auto" w:fill="FFFFFF"/>
              </w:rPr>
              <w:t>Uniform Termination Notice for Securities Principal or Representative</w:t>
            </w:r>
            <w:r w:rsidRPr="00C52DA2">
              <w:rPr>
                <w:rFonts w:ascii="Times New Roman" w:hAnsi="Times New Roman" w:eastAsia="Calibri"/>
                <w:snapToGrid/>
                <w:color w:val="000000"/>
                <w:sz w:val="18"/>
                <w:szCs w:val="18"/>
                <w:shd w:val="clear" w:color="auto" w:fill="FFFFFF"/>
              </w:rPr>
              <w:t xml:space="preserve"> (Form MSD-5)</w:t>
            </w:r>
          </w:p>
        </w:tc>
        <w:tc>
          <w:tcPr>
            <w:tcW w:w="936"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Reporting</w:t>
            </w:r>
          </w:p>
        </w:tc>
        <w:tc>
          <w:tcPr>
            <w:tcW w:w="1413"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2</w:t>
            </w:r>
          </w:p>
        </w:tc>
        <w:tc>
          <w:tcPr>
            <w:tcW w:w="1377"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1</w:t>
            </w:r>
          </w:p>
        </w:tc>
        <w:tc>
          <w:tcPr>
            <w:tcW w:w="681" w:type="dxa"/>
            <w:vAlign w:val="center"/>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1 hour</w:t>
            </w:r>
          </w:p>
        </w:tc>
        <w:tc>
          <w:tcPr>
            <w:tcW w:w="846"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1 hour</w:t>
            </w:r>
          </w:p>
        </w:tc>
      </w:tr>
      <w:tr w:rsidRPr="000900AE" w:rsidR="00FF7C46" w:rsidTr="00B44B3F">
        <w:trPr>
          <w:trHeight w:val="47"/>
        </w:trPr>
        <w:tc>
          <w:tcPr>
            <w:tcW w:w="4137" w:type="dxa"/>
            <w:gridSpan w:val="2"/>
            <w:tcMar>
              <w:top w:w="15" w:type="dxa"/>
              <w:left w:w="15" w:type="dxa"/>
              <w:bottom w:w="0" w:type="dxa"/>
              <w:right w:w="15" w:type="dxa"/>
            </w:tcMar>
            <w:vAlign w:val="center"/>
            <w:hideMark/>
          </w:tcPr>
          <w:p w:rsidRPr="000900AE" w:rsidR="00FF7C46" w:rsidP="00FF7C46" w:rsidRDefault="00FF7C46">
            <w:pPr>
              <w:widowControl/>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shd w:val="clear" w:color="auto" w:fill="FFFFFF"/>
              </w:rPr>
              <w:t>Uniform Application for Municipal Securities Principal or Representative</w:t>
            </w:r>
            <w:r w:rsidRPr="00C52DA2">
              <w:rPr>
                <w:rFonts w:ascii="Times New Roman" w:hAnsi="Times New Roman" w:eastAsia="Calibri"/>
                <w:snapToGrid/>
                <w:color w:val="000000"/>
                <w:sz w:val="18"/>
                <w:szCs w:val="18"/>
                <w:shd w:val="clear" w:color="auto" w:fill="FFFFFF"/>
              </w:rPr>
              <w:t xml:space="preserve"> (Form MSD-4)</w:t>
            </w:r>
          </w:p>
        </w:tc>
        <w:tc>
          <w:tcPr>
            <w:tcW w:w="936"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Reporting</w:t>
            </w:r>
          </w:p>
        </w:tc>
        <w:tc>
          <w:tcPr>
            <w:tcW w:w="1413"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2</w:t>
            </w:r>
          </w:p>
        </w:tc>
        <w:tc>
          <w:tcPr>
            <w:tcW w:w="1377"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2</w:t>
            </w:r>
          </w:p>
        </w:tc>
        <w:tc>
          <w:tcPr>
            <w:tcW w:w="681" w:type="dxa"/>
            <w:vAlign w:val="center"/>
          </w:tcPr>
          <w:p w:rsidRPr="000900AE" w:rsidR="00FF7C46" w:rsidP="00FF7C46" w:rsidRDefault="00FF7C46">
            <w:pPr>
              <w:widowControl/>
              <w:jc w:val="center"/>
              <w:rPr>
                <w:rFonts w:ascii="Times New Roman" w:hAnsi="Times New Roman" w:eastAsia="Calibri"/>
                <w:snapToGrid/>
                <w:sz w:val="18"/>
                <w:szCs w:val="18"/>
              </w:rPr>
            </w:pPr>
            <w:r w:rsidRPr="000900AE">
              <w:rPr>
                <w:rFonts w:ascii="Times New Roman" w:hAnsi="Times New Roman" w:eastAsia="Calibri"/>
                <w:snapToGrid/>
                <w:sz w:val="18"/>
                <w:szCs w:val="18"/>
              </w:rPr>
              <w:t>1 hour</w:t>
            </w:r>
          </w:p>
        </w:tc>
        <w:tc>
          <w:tcPr>
            <w:tcW w:w="846" w:type="dxa"/>
            <w:tcMar>
              <w:top w:w="15" w:type="dxa"/>
              <w:left w:w="15" w:type="dxa"/>
              <w:bottom w:w="0" w:type="dxa"/>
              <w:right w:w="15" w:type="dxa"/>
            </w:tcMar>
            <w:vAlign w:val="center"/>
            <w:hideMark/>
          </w:tcPr>
          <w:p w:rsidRPr="000900AE" w:rsidR="00FF7C46" w:rsidP="00FF7C46" w:rsidRDefault="00FF7C46">
            <w:pPr>
              <w:widowControl/>
              <w:jc w:val="center"/>
              <w:rPr>
                <w:rFonts w:ascii="Times New Roman" w:hAnsi="Times New Roman" w:eastAsia="Calibri"/>
                <w:snapToGrid/>
                <w:sz w:val="18"/>
                <w:szCs w:val="18"/>
              </w:rPr>
            </w:pPr>
            <w:r w:rsidRPr="000900AE">
              <w:rPr>
                <w:rFonts w:ascii="Times New Roman" w:hAnsi="Times New Roman" w:eastAsia="Calibri"/>
                <w:snapToGrid/>
                <w:sz w:val="18"/>
                <w:szCs w:val="18"/>
              </w:rPr>
              <w:t>1 hour</w:t>
            </w:r>
          </w:p>
        </w:tc>
      </w:tr>
      <w:tr w:rsidRPr="000900AE" w:rsidR="00FF7C46" w:rsidTr="00B44B3F">
        <w:trPr>
          <w:trHeight w:val="47"/>
        </w:trPr>
        <w:tc>
          <w:tcPr>
            <w:tcW w:w="4137" w:type="dxa"/>
            <w:gridSpan w:val="2"/>
            <w:tcMar>
              <w:top w:w="15" w:type="dxa"/>
              <w:left w:w="15" w:type="dxa"/>
              <w:bottom w:w="0" w:type="dxa"/>
              <w:right w:w="15" w:type="dxa"/>
            </w:tcMar>
            <w:vAlign w:val="center"/>
          </w:tcPr>
          <w:p w:rsidRPr="00C52DA2" w:rsidR="00FF7C46" w:rsidP="00B44B3F" w:rsidRDefault="00FF7C46">
            <w:pPr>
              <w:widowControl/>
              <w:jc w:val="right"/>
              <w:rPr>
                <w:rFonts w:ascii="Times New Roman" w:hAnsi="Times New Roman" w:eastAsia="Calibri"/>
                <w:snapToGrid/>
                <w:color w:val="000000"/>
                <w:sz w:val="18"/>
                <w:szCs w:val="18"/>
                <w:shd w:val="clear" w:color="auto" w:fill="FFFFFF"/>
              </w:rPr>
            </w:pPr>
            <w:r w:rsidRPr="00C52DA2">
              <w:rPr>
                <w:rFonts w:ascii="Times New Roman" w:hAnsi="Times New Roman"/>
                <w:b/>
                <w:bCs/>
                <w:color w:val="000000"/>
                <w:sz w:val="18"/>
              </w:rPr>
              <w:t>TOTAL HOURLY BURDEN</w:t>
            </w:r>
          </w:p>
        </w:tc>
        <w:tc>
          <w:tcPr>
            <w:tcW w:w="936" w:type="dxa"/>
            <w:tcMar>
              <w:top w:w="15" w:type="dxa"/>
              <w:left w:w="15" w:type="dxa"/>
              <w:bottom w:w="0" w:type="dxa"/>
              <w:right w:w="15" w:type="dxa"/>
            </w:tcMar>
            <w:vAlign w:val="center"/>
          </w:tcPr>
          <w:p w:rsidRPr="000900AE" w:rsidR="00FF7C46" w:rsidP="00FF7C46" w:rsidRDefault="00FF7C46">
            <w:pPr>
              <w:widowControl/>
              <w:jc w:val="center"/>
              <w:rPr>
                <w:rFonts w:ascii="Arial" w:hAnsi="Arial" w:eastAsia="Calibri" w:cs="Arial"/>
                <w:snapToGrid/>
                <w:color w:val="000000"/>
                <w:sz w:val="18"/>
                <w:szCs w:val="18"/>
              </w:rPr>
            </w:pPr>
          </w:p>
        </w:tc>
        <w:tc>
          <w:tcPr>
            <w:tcW w:w="1413" w:type="dxa"/>
            <w:tcMar>
              <w:top w:w="15" w:type="dxa"/>
              <w:left w:w="15" w:type="dxa"/>
              <w:bottom w:w="0" w:type="dxa"/>
              <w:right w:w="15" w:type="dxa"/>
            </w:tcMar>
            <w:vAlign w:val="center"/>
          </w:tcPr>
          <w:p w:rsidRPr="000900AE" w:rsidR="00FF7C46" w:rsidP="00FF7C46" w:rsidRDefault="00FF7C46">
            <w:pPr>
              <w:widowControl/>
              <w:jc w:val="center"/>
              <w:rPr>
                <w:rFonts w:ascii="Arial" w:hAnsi="Arial" w:eastAsia="Calibri" w:cs="Arial"/>
                <w:snapToGrid/>
                <w:color w:val="000000"/>
                <w:sz w:val="18"/>
                <w:szCs w:val="18"/>
              </w:rPr>
            </w:pPr>
          </w:p>
        </w:tc>
        <w:tc>
          <w:tcPr>
            <w:tcW w:w="1377" w:type="dxa"/>
            <w:tcMar>
              <w:top w:w="15" w:type="dxa"/>
              <w:left w:w="15" w:type="dxa"/>
              <w:bottom w:w="0" w:type="dxa"/>
              <w:right w:w="15" w:type="dxa"/>
            </w:tcMar>
            <w:vAlign w:val="center"/>
          </w:tcPr>
          <w:p w:rsidRPr="000900AE" w:rsidR="00FF7C46" w:rsidP="00FF7C46" w:rsidRDefault="00FF7C46">
            <w:pPr>
              <w:widowControl/>
              <w:jc w:val="center"/>
              <w:rPr>
                <w:rFonts w:ascii="Arial" w:hAnsi="Arial" w:eastAsia="Calibri" w:cs="Arial"/>
                <w:snapToGrid/>
                <w:color w:val="000000"/>
                <w:sz w:val="18"/>
                <w:szCs w:val="18"/>
              </w:rPr>
            </w:pPr>
          </w:p>
        </w:tc>
        <w:tc>
          <w:tcPr>
            <w:tcW w:w="681" w:type="dxa"/>
          </w:tcPr>
          <w:p w:rsidRPr="00C52DA2" w:rsidR="00FF7C46" w:rsidP="00FF7C46" w:rsidRDefault="00FF7C46">
            <w:pPr>
              <w:widowControl/>
              <w:jc w:val="center"/>
              <w:rPr>
                <w:rFonts w:ascii="Times New Roman" w:hAnsi="Times New Roman" w:eastAsia="Calibri"/>
                <w:snapToGrid/>
                <w:sz w:val="18"/>
                <w:szCs w:val="18"/>
              </w:rPr>
            </w:pPr>
          </w:p>
        </w:tc>
        <w:tc>
          <w:tcPr>
            <w:tcW w:w="846" w:type="dxa"/>
            <w:tcMar>
              <w:top w:w="15" w:type="dxa"/>
              <w:left w:w="15" w:type="dxa"/>
              <w:bottom w:w="0" w:type="dxa"/>
              <w:right w:w="15" w:type="dxa"/>
            </w:tcMar>
            <w:vAlign w:val="center"/>
          </w:tcPr>
          <w:p w:rsidRPr="00C52DA2" w:rsidR="00FF7C46" w:rsidP="00FF7C46" w:rsidRDefault="00FF7C46">
            <w:pPr>
              <w:widowControl/>
              <w:jc w:val="center"/>
              <w:rPr>
                <w:rFonts w:ascii="Times New Roman" w:hAnsi="Times New Roman" w:eastAsia="Calibri"/>
                <w:snapToGrid/>
                <w:sz w:val="18"/>
                <w:szCs w:val="18"/>
              </w:rPr>
            </w:pPr>
            <w:r w:rsidRPr="00C52DA2">
              <w:rPr>
                <w:rFonts w:ascii="Times New Roman" w:hAnsi="Times New Roman" w:eastAsia="Calibri"/>
                <w:snapToGrid/>
                <w:sz w:val="18"/>
                <w:szCs w:val="18"/>
              </w:rPr>
              <w:t>2 hours</w:t>
            </w:r>
          </w:p>
        </w:tc>
      </w:tr>
    </w:tbl>
    <w:p w:rsidR="004C0C45" w:rsidP="000900AE" w:rsidRDefault="000900AE">
      <w:pPr>
        <w:widowControl/>
        <w:tabs>
          <w:tab w:val="left" w:pos="-1440"/>
        </w:tabs>
        <w:rPr>
          <w:rFonts w:ascii="Times New Roman" w:hAnsi="Times New Roman"/>
        </w:rPr>
      </w:pPr>
      <w:r>
        <w:rPr>
          <w:rFonts w:ascii="Times New Roman" w:hAnsi="Times New Roman"/>
        </w:rPr>
        <w:tab/>
      </w:r>
      <w:r>
        <w:rPr>
          <w:rFonts w:ascii="Times New Roman" w:hAnsi="Times New Roman"/>
        </w:rPr>
        <w:tab/>
      </w:r>
    </w:p>
    <w:p w:rsidRPr="00377132" w:rsidR="00C52DA2" w:rsidP="00C52DA2" w:rsidRDefault="00C52DA2">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sidR="006F0661">
        <w:rPr>
          <w:rFonts w:ascii="Times New Roman" w:hAnsi="Times New Roman"/>
        </w:rPr>
        <w:t>estimated</w:t>
      </w:r>
      <w:r w:rsidRPr="00377132" w:rsidR="006F0661">
        <w:rPr>
          <w:rFonts w:ascii="Times New Roman" w:hAnsi="Times New Roman"/>
        </w:rPr>
        <w:t xml:space="preserve"> </w:t>
      </w:r>
      <w:r w:rsidR="006F0661">
        <w:rPr>
          <w:rFonts w:ascii="Times New Roman" w:hAnsi="Times New Roman"/>
        </w:rPr>
        <w:t>a</w:t>
      </w:r>
      <w:r w:rsidRPr="00377132">
        <w:rPr>
          <w:rFonts w:ascii="Times New Roman" w:hAnsi="Times New Roman"/>
        </w:rPr>
        <w:t xml:space="preserve">nnual </w:t>
      </w:r>
      <w:r w:rsidR="006F0661">
        <w:rPr>
          <w:rFonts w:ascii="Times New Roman" w:hAnsi="Times New Roman"/>
        </w:rPr>
        <w:t>b</w:t>
      </w:r>
      <w:r w:rsidRPr="00377132">
        <w:rPr>
          <w:rFonts w:ascii="Times New Roman" w:hAnsi="Times New Roman"/>
        </w:rPr>
        <w:t xml:space="preserve">urden:  </w:t>
      </w:r>
      <w:r>
        <w:rPr>
          <w:rFonts w:ascii="Times New Roman" w:hAnsi="Times New Roman"/>
        </w:rPr>
        <w:t>2</w:t>
      </w:r>
      <w:r w:rsidRPr="00377132">
        <w:rPr>
          <w:rFonts w:ascii="Times New Roman" w:hAnsi="Times New Roman"/>
        </w:rPr>
        <w:t xml:space="preserve"> hours</w:t>
      </w:r>
    </w:p>
    <w:p w:rsidRPr="00377132" w:rsidR="00C52DA2" w:rsidP="00C52DA2" w:rsidRDefault="00C52DA2">
      <w:pPr>
        <w:tabs>
          <w:tab w:val="left" w:pos="-1440"/>
        </w:tabs>
        <w:spacing w:line="360" w:lineRule="auto"/>
        <w:ind w:left="1440"/>
        <w:contextualSpacing/>
        <w:rPr>
          <w:rFonts w:ascii="Times New Roman" w:hAnsi="Times New Roman"/>
        </w:rPr>
      </w:pPr>
      <w:r w:rsidRPr="00377132">
        <w:rPr>
          <w:rFonts w:ascii="Times New Roman" w:hAnsi="Times New Roman"/>
        </w:rPr>
        <w:t>The total estimated annual cost for all respondents is:</w:t>
      </w:r>
    </w:p>
    <w:p w:rsidR="00C52DA2" w:rsidP="00C52DA2" w:rsidRDefault="00C52DA2">
      <w:pPr>
        <w:tabs>
          <w:tab w:val="left" w:pos="-1440"/>
        </w:tabs>
        <w:spacing w:line="360" w:lineRule="auto"/>
        <w:ind w:left="1440"/>
        <w:contextualSpacing/>
        <w:rPr>
          <w:rFonts w:ascii="Times New Roman" w:hAnsi="Times New Roman"/>
        </w:rPr>
      </w:pPr>
      <w:r>
        <w:rPr>
          <w:rFonts w:ascii="Times New Roman" w:hAnsi="Times New Roman"/>
        </w:rPr>
        <w:t>2</w:t>
      </w:r>
      <w:r w:rsidRPr="00377132">
        <w:rPr>
          <w:rFonts w:ascii="Times New Roman" w:hAnsi="Times New Roman"/>
        </w:rPr>
        <w:t xml:space="preserve"> hours x $</w:t>
      </w:r>
      <w:r>
        <w:rPr>
          <w:rFonts w:ascii="Times New Roman" w:hAnsi="Times New Roman"/>
        </w:rPr>
        <w:t>51.30</w:t>
      </w:r>
      <w:r w:rsidRPr="00377132">
        <w:rPr>
          <w:rFonts w:ascii="Times New Roman" w:hAnsi="Times New Roman"/>
        </w:rPr>
        <w:t xml:space="preserve"> = $</w:t>
      </w:r>
      <w:r>
        <w:rPr>
          <w:rFonts w:ascii="Times New Roman" w:hAnsi="Times New Roman"/>
        </w:rPr>
        <w:t>102.60</w:t>
      </w:r>
    </w:p>
    <w:p w:rsidR="00C52DA2" w:rsidP="000900AE" w:rsidRDefault="00C52DA2">
      <w:pPr>
        <w:widowControl/>
        <w:tabs>
          <w:tab w:val="left" w:pos="-1440"/>
        </w:tabs>
        <w:rPr>
          <w:rFonts w:ascii="Times New Roman" w:hAnsi="Times New Roman"/>
        </w:rPr>
      </w:pPr>
    </w:p>
    <w:tbl>
      <w:tblPr>
        <w:tblW w:w="9639" w:type="dxa"/>
        <w:tblCellMar>
          <w:top w:w="43" w:type="dxa"/>
          <w:left w:w="115" w:type="dxa"/>
          <w:bottom w:w="43" w:type="dxa"/>
          <w:right w:w="115" w:type="dxa"/>
        </w:tblCellMar>
        <w:tblLook w:val="04A0" w:firstRow="1" w:lastRow="0" w:firstColumn="1" w:lastColumn="0" w:noHBand="0" w:noVBand="1"/>
      </w:tblPr>
      <w:tblGrid>
        <w:gridCol w:w="3157"/>
        <w:gridCol w:w="2168"/>
        <w:gridCol w:w="1735"/>
        <w:gridCol w:w="2579"/>
      </w:tblGrid>
      <w:tr w:rsidRPr="00C52DA2" w:rsidR="00C52DA2" w:rsidTr="00C52DA2">
        <w:trPr>
          <w:trHeight w:val="394"/>
        </w:trPr>
        <w:tc>
          <w:tcPr>
            <w:tcW w:w="31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Estimated Category of Personnel Responsible for Complying with the PRA Burden</w:t>
            </w:r>
          </w:p>
        </w:tc>
        <w:tc>
          <w:tcPr>
            <w:tcW w:w="2168" w:type="dxa"/>
            <w:tcBorders>
              <w:top w:val="single" w:color="auto" w:sz="4" w:space="0"/>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Total Estimated Hourly Compensation</w:t>
            </w:r>
          </w:p>
        </w:tc>
        <w:tc>
          <w:tcPr>
            <w:tcW w:w="1735" w:type="dxa"/>
            <w:tcBorders>
              <w:top w:val="single" w:color="auto" w:sz="4" w:space="0"/>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Estimated Weights</w:t>
            </w:r>
          </w:p>
        </w:tc>
        <w:tc>
          <w:tcPr>
            <w:tcW w:w="2579" w:type="dxa"/>
            <w:tcBorders>
              <w:top w:val="single" w:color="auto" w:sz="4" w:space="0"/>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Estimated Total Weighted Labor Cost Component</w:t>
            </w:r>
            <w:r w:rsidRPr="00C52DA2">
              <w:rPr>
                <w:rFonts w:ascii="Times New Roman" w:hAnsi="Times New Roman"/>
                <w:sz w:val="18"/>
                <w:vertAlign w:val="superscript"/>
              </w:rPr>
              <w:t>a</w:t>
            </w:r>
          </w:p>
        </w:tc>
      </w:tr>
      <w:tr w:rsidRPr="00C52DA2" w:rsidR="00C52DA2" w:rsidTr="00C52DA2">
        <w:trPr>
          <w:trHeight w:val="153"/>
        </w:trPr>
        <w:tc>
          <w:tcPr>
            <w:tcW w:w="3157" w:type="dxa"/>
            <w:tcBorders>
              <w:top w:val="nil"/>
              <w:left w:val="single" w:color="auto" w:sz="4" w:space="0"/>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Executives and Managers</w:t>
            </w:r>
          </w:p>
        </w:tc>
        <w:tc>
          <w:tcPr>
            <w:tcW w:w="2168"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$123.02</w:t>
            </w:r>
          </w:p>
        </w:tc>
        <w:tc>
          <w:tcPr>
            <w:tcW w:w="1735"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20%</w:t>
            </w:r>
          </w:p>
        </w:tc>
        <w:tc>
          <w:tcPr>
            <w:tcW w:w="2579"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$24.60</w:t>
            </w:r>
          </w:p>
        </w:tc>
      </w:tr>
      <w:tr w:rsidRPr="00C52DA2" w:rsidR="00C52DA2" w:rsidTr="00C52DA2">
        <w:trPr>
          <w:trHeight w:val="72"/>
        </w:trPr>
        <w:tc>
          <w:tcPr>
            <w:tcW w:w="3157" w:type="dxa"/>
            <w:tcBorders>
              <w:top w:val="nil"/>
              <w:left w:val="single" w:color="auto" w:sz="4" w:space="0"/>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Clerical</w:t>
            </w:r>
          </w:p>
        </w:tc>
        <w:tc>
          <w:tcPr>
            <w:tcW w:w="2168"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$33.37</w:t>
            </w:r>
          </w:p>
        </w:tc>
        <w:tc>
          <w:tcPr>
            <w:tcW w:w="1735"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80%</w:t>
            </w:r>
          </w:p>
        </w:tc>
        <w:tc>
          <w:tcPr>
            <w:tcW w:w="2579"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$26.69</w:t>
            </w:r>
          </w:p>
        </w:tc>
      </w:tr>
      <w:tr w:rsidRPr="00C52DA2" w:rsidR="00C52DA2" w:rsidTr="00C52DA2">
        <w:trPr>
          <w:trHeight w:val="373"/>
        </w:trPr>
        <w:tc>
          <w:tcPr>
            <w:tcW w:w="3157" w:type="dxa"/>
            <w:tcBorders>
              <w:top w:val="nil"/>
              <w:left w:val="single" w:color="auto" w:sz="4" w:space="0"/>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Total Estimated Weighted Average Hourly Compensation Rate</w:t>
            </w:r>
          </w:p>
        </w:tc>
        <w:tc>
          <w:tcPr>
            <w:tcW w:w="2168"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 </w:t>
            </w:r>
          </w:p>
        </w:tc>
        <w:tc>
          <w:tcPr>
            <w:tcW w:w="1735"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100%</w:t>
            </w:r>
          </w:p>
        </w:tc>
        <w:tc>
          <w:tcPr>
            <w:tcW w:w="2579" w:type="dxa"/>
            <w:tcBorders>
              <w:top w:val="nil"/>
              <w:left w:val="nil"/>
              <w:bottom w:val="single" w:color="auto" w:sz="4" w:space="0"/>
              <w:right w:val="single" w:color="auto" w:sz="4" w:space="0"/>
            </w:tcBorders>
            <w:shd w:val="clear" w:color="auto" w:fill="auto"/>
            <w:vAlign w:val="center"/>
            <w:hideMark/>
          </w:tcPr>
          <w:p w:rsidRPr="00C52DA2" w:rsidR="00C52DA2" w:rsidP="00C52DA2" w:rsidRDefault="00C52DA2">
            <w:pPr>
              <w:widowControl/>
              <w:tabs>
                <w:tab w:val="left" w:pos="-1440"/>
              </w:tabs>
              <w:rPr>
                <w:rFonts w:ascii="Times New Roman" w:hAnsi="Times New Roman"/>
                <w:sz w:val="18"/>
              </w:rPr>
            </w:pPr>
            <w:r w:rsidRPr="00C52DA2">
              <w:rPr>
                <w:rFonts w:ascii="Times New Roman" w:hAnsi="Times New Roman"/>
                <w:sz w:val="18"/>
              </w:rPr>
              <w:t xml:space="preserve">$51.30 </w:t>
            </w:r>
          </w:p>
        </w:tc>
      </w:tr>
    </w:tbl>
    <w:p w:rsidRPr="00C52DA2" w:rsidR="00C52DA2" w:rsidP="000900AE" w:rsidRDefault="00C52DA2">
      <w:pPr>
        <w:widowControl/>
        <w:tabs>
          <w:tab w:val="left" w:pos="-1440"/>
        </w:tabs>
        <w:rPr>
          <w:rFonts w:ascii="Times New Roman" w:hAnsi="Times New Roman"/>
          <w:sz w:val="18"/>
        </w:rPr>
      </w:pPr>
      <w:r w:rsidRPr="00C52DA2">
        <w:rPr>
          <w:rFonts w:ascii="Times New Roman" w:hAnsi="Times New Roman"/>
          <w:color w:val="000000"/>
          <w:sz w:val="18"/>
          <w:szCs w:val="22"/>
        </w:rPr>
        <w:t>Source: Bureau of Labor Statistics: "National Industry-Specific Occupational Employment and Wage Estimates: Industry: Credit Intermediation and Related Activities (5221 And 5223 only)" (May 2019), Employer Cost of Employee Compensation (September 2020), Consumer Price Index (September 2020).</w:t>
      </w:r>
    </w:p>
    <w:p w:rsidR="00A8251B" w:rsidP="000900AE" w:rsidRDefault="00A8251B">
      <w:pPr>
        <w:widowControl/>
        <w:tabs>
          <w:tab w:val="left" w:pos="-1440"/>
        </w:tabs>
        <w:rPr>
          <w:rFonts w:ascii="Times New Roman" w:hAnsi="Times New Roman"/>
        </w:rPr>
      </w:pPr>
    </w:p>
    <w:p w:rsidR="00332B08" w:rsidP="000900AE" w:rsidRDefault="00332B08">
      <w:pPr>
        <w:widowControl/>
        <w:numPr>
          <w:ilvl w:val="0"/>
          <w:numId w:val="1"/>
        </w:numPr>
        <w:tabs>
          <w:tab w:val="left" w:pos="-1440"/>
        </w:tabs>
        <w:rPr>
          <w:rFonts w:ascii="Times New Roman" w:hAnsi="Times New Roman"/>
        </w:rPr>
      </w:pPr>
      <w:r>
        <w:rPr>
          <w:rFonts w:ascii="Times New Roman" w:hAnsi="Times New Roman"/>
          <w:u w:val="single"/>
        </w:rPr>
        <w:lastRenderedPageBreak/>
        <w:t xml:space="preserve">Total Annual </w:t>
      </w:r>
      <w:r w:rsidR="00995870">
        <w:rPr>
          <w:rFonts w:ascii="Times New Roman" w:hAnsi="Times New Roman"/>
          <w:u w:val="single"/>
        </w:rPr>
        <w:t xml:space="preserve">External </w:t>
      </w:r>
      <w:r>
        <w:rPr>
          <w:rFonts w:ascii="Times New Roman" w:hAnsi="Times New Roman"/>
          <w:u w:val="single"/>
        </w:rPr>
        <w:t>Cost Burden</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None.</w:t>
      </w:r>
    </w:p>
    <w:p w:rsidR="00332B08" w:rsidRDefault="00332B08">
      <w:pPr>
        <w:widowControl/>
        <w:rPr>
          <w:rFonts w:ascii="Times New Roman" w:hAnsi="Times New Roman"/>
        </w:rPr>
      </w:pPr>
    </w:p>
    <w:p w:rsidR="00332B08" w:rsidRDefault="00332B08">
      <w:pPr>
        <w:widowControl/>
        <w:tabs>
          <w:tab w:val="left" w:pos="-1440"/>
        </w:tabs>
        <w:ind w:left="144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Annualized cost to the Federal Government</w:t>
      </w:r>
    </w:p>
    <w:p w:rsidR="00332B08" w:rsidRDefault="00332B08">
      <w:pPr>
        <w:widowControl/>
        <w:rPr>
          <w:rFonts w:ascii="Times New Roman" w:hAnsi="Times New Roman"/>
        </w:rPr>
      </w:pPr>
    </w:p>
    <w:p w:rsidR="00332B08" w:rsidRDefault="00332B08">
      <w:pPr>
        <w:widowControl/>
        <w:rPr>
          <w:rFonts w:ascii="Times New Roman" w:hAnsi="Times New Roman"/>
        </w:rPr>
      </w:pPr>
      <w:r>
        <w:rPr>
          <w:rFonts w:ascii="Times New Roman" w:hAnsi="Times New Roman"/>
        </w:rPr>
        <w:tab/>
      </w:r>
      <w:r>
        <w:rPr>
          <w:rFonts w:ascii="Times New Roman" w:hAnsi="Times New Roman"/>
        </w:rPr>
        <w:tab/>
        <w:t>None.</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15.</w:t>
      </w:r>
      <w:r>
        <w:rPr>
          <w:rFonts w:ascii="Times New Roman" w:hAnsi="Times New Roman"/>
        </w:rPr>
        <w:tab/>
      </w:r>
      <w:r w:rsidR="00033574">
        <w:rPr>
          <w:rFonts w:ascii="Times New Roman" w:hAnsi="Times New Roman"/>
          <w:u w:val="single"/>
        </w:rPr>
        <w:t>Change in</w:t>
      </w:r>
      <w:r>
        <w:rPr>
          <w:rFonts w:ascii="Times New Roman" w:hAnsi="Times New Roman"/>
          <w:u w:val="single"/>
        </w:rPr>
        <w:t xml:space="preserve"> Burden</w:t>
      </w:r>
    </w:p>
    <w:p w:rsidR="00332B08" w:rsidRDefault="00332B08">
      <w:pPr>
        <w:widowControl/>
        <w:rPr>
          <w:rFonts w:ascii="Times New Roman" w:hAnsi="Times New Roman"/>
        </w:rPr>
      </w:pPr>
    </w:p>
    <w:p w:rsidRPr="00A8251B" w:rsidR="00A8251B" w:rsidP="006F0661" w:rsidRDefault="006F0661">
      <w:pPr>
        <w:widowControl/>
        <w:ind w:left="1440"/>
        <w:rPr>
          <w:rFonts w:ascii="Times New Roman" w:hAnsi="Times New Roman"/>
          <w:b/>
          <w:lang w:bidi="en-US"/>
        </w:rPr>
      </w:pPr>
      <w:r>
        <w:rPr>
          <w:rFonts w:ascii="Times New Roman" w:hAnsi="Times New Roman"/>
        </w:rPr>
        <w:t>There is no change in the method or substance of the collection.  However, t</w:t>
      </w:r>
      <w:r w:rsidRPr="004C0C45" w:rsidR="004C0C45">
        <w:rPr>
          <w:rFonts w:ascii="Times New Roman" w:hAnsi="Times New Roman"/>
        </w:rPr>
        <w:t xml:space="preserve">he overall reduction in burden hours is a result of </w:t>
      </w:r>
      <w:r w:rsidR="00A8251B">
        <w:rPr>
          <w:rFonts w:ascii="Times New Roman" w:hAnsi="Times New Roman"/>
        </w:rPr>
        <w:t xml:space="preserve">three factors. </w:t>
      </w:r>
      <w:r w:rsidRPr="00A8251B" w:rsidR="00A8251B">
        <w:rPr>
          <w:rFonts w:ascii="Times New Roman" w:hAnsi="Times New Roman"/>
          <w:lang w:bidi="en-US"/>
        </w:rPr>
        <w:t>First, the revised occupational distribution results in a lower hourly cost compared with the previously approved ICR, $51.30 per hour compared with $76.75 per hour. Second, the FDIC estimates it will receive one fewer Form MSD-4 per year and one fewer Form MSD-5 per year. Finally, the cost decline arising from the latter two factors is only partially offset by the upward revision of the time per response for Form MSD-4 from fifteen minutes to one hour.</w:t>
      </w:r>
    </w:p>
    <w:p w:rsidR="00332B08" w:rsidRDefault="00332B08">
      <w:pPr>
        <w:widowControl/>
        <w:rPr>
          <w:rFonts w:ascii="Times New Roman" w:hAnsi="Times New Roman"/>
        </w:rPr>
      </w:pPr>
    </w:p>
    <w:p w:rsidR="00332B08" w:rsidRDefault="00332B08">
      <w:pPr>
        <w:widowControl/>
        <w:tabs>
          <w:tab w:val="left" w:pos="-1440"/>
        </w:tabs>
        <w:ind w:firstLine="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Publication</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No publication is made of this collection of information.  The information is used internally within the FDIC to ensure compliance with the rules of the Municipal Securities Rulemaking Board.</w:t>
      </w:r>
    </w:p>
    <w:p w:rsidR="00332B08" w:rsidRDefault="00332B08">
      <w:pPr>
        <w:widowControl/>
        <w:rPr>
          <w:rFonts w:ascii="Times New Roman" w:hAnsi="Times New Roman"/>
        </w:rPr>
      </w:pPr>
    </w:p>
    <w:p w:rsidR="00332B08" w:rsidRDefault="00332B08">
      <w:pPr>
        <w:widowControl/>
        <w:tabs>
          <w:tab w:val="left" w:pos="-1440"/>
        </w:tabs>
        <w:ind w:left="1440" w:hanging="720"/>
        <w:rPr>
          <w:rFonts w:ascii="Times New Roman" w:hAnsi="Times New Roman"/>
        </w:rPr>
      </w:pPr>
      <w:r>
        <w:rPr>
          <w:rFonts w:ascii="Times New Roman" w:hAnsi="Times New Roman"/>
        </w:rPr>
        <w:t>17.</w:t>
      </w:r>
      <w:r>
        <w:rPr>
          <w:rFonts w:ascii="Times New Roman" w:hAnsi="Times New Roman"/>
        </w:rPr>
        <w:tab/>
      </w:r>
      <w:r w:rsidRPr="004C0C45" w:rsidR="006B7BF9">
        <w:rPr>
          <w:rFonts w:ascii="Times New Roman" w:hAnsi="Times New Roman"/>
          <w:u w:val="single"/>
        </w:rPr>
        <w:t>Exceptions to</w:t>
      </w:r>
      <w:r w:rsidRPr="004C0C45" w:rsidR="004C0C45">
        <w:rPr>
          <w:rFonts w:ascii="Times New Roman" w:hAnsi="Times New Roman"/>
          <w:u w:val="single"/>
        </w:rPr>
        <w:t xml:space="preserve"> </w:t>
      </w:r>
      <w:r w:rsidRPr="004C0C45">
        <w:rPr>
          <w:rFonts w:ascii="Times New Roman" w:hAnsi="Times New Roman"/>
          <w:u w:val="single"/>
        </w:rPr>
        <w:t>Display of Expiration Date</w:t>
      </w:r>
    </w:p>
    <w:p w:rsidR="00332B08" w:rsidRDefault="00332B08">
      <w:pPr>
        <w:widowControl/>
        <w:rPr>
          <w:rFonts w:ascii="Times New Roman" w:hAnsi="Times New Roman"/>
        </w:rPr>
      </w:pPr>
    </w:p>
    <w:p w:rsidR="00332B08" w:rsidRDefault="006F0661">
      <w:pPr>
        <w:widowControl/>
        <w:ind w:left="1440"/>
        <w:rPr>
          <w:rFonts w:ascii="Times New Roman" w:hAnsi="Times New Roman"/>
        </w:rPr>
      </w:pPr>
      <w:r>
        <w:rPr>
          <w:rFonts w:ascii="Times New Roman" w:hAnsi="Times New Roman"/>
        </w:rPr>
        <w:t>Not applicable</w:t>
      </w:r>
      <w:r w:rsidR="00332B08">
        <w:rPr>
          <w:rFonts w:ascii="Times New Roman" w:hAnsi="Times New Roman"/>
        </w:rPr>
        <w:t>.</w:t>
      </w:r>
    </w:p>
    <w:p w:rsidR="00332B08" w:rsidRDefault="00332B08">
      <w:pPr>
        <w:widowControl/>
        <w:rPr>
          <w:rFonts w:ascii="Times New Roman" w:hAnsi="Times New Roman"/>
        </w:rPr>
      </w:pPr>
    </w:p>
    <w:p w:rsidR="00332B08" w:rsidRDefault="00332B08">
      <w:pPr>
        <w:widowControl/>
        <w:tabs>
          <w:tab w:val="left" w:pos="-1440"/>
        </w:tabs>
        <w:ind w:left="144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332B08" w:rsidRDefault="00332B08">
      <w:pPr>
        <w:widowControl/>
        <w:rPr>
          <w:rFonts w:ascii="Times New Roman" w:hAnsi="Times New Roman"/>
        </w:rPr>
      </w:pPr>
    </w:p>
    <w:p w:rsidR="00332B08" w:rsidRDefault="00332B08">
      <w:pPr>
        <w:widowControl/>
        <w:ind w:left="1440"/>
        <w:rPr>
          <w:rFonts w:ascii="Times New Roman" w:hAnsi="Times New Roman"/>
        </w:rPr>
      </w:pPr>
      <w:r>
        <w:rPr>
          <w:rFonts w:ascii="Times New Roman" w:hAnsi="Times New Roman"/>
        </w:rPr>
        <w:t>None.</w:t>
      </w:r>
    </w:p>
    <w:p w:rsidR="00332B08" w:rsidRDefault="00332B08">
      <w:pPr>
        <w:widowControl/>
        <w:rPr>
          <w:rFonts w:ascii="Times New Roman" w:hAnsi="Times New Roman"/>
        </w:rPr>
      </w:pPr>
    </w:p>
    <w:p w:rsidR="00332B08" w:rsidRDefault="00332B08">
      <w:pPr>
        <w:widowControl/>
        <w:tabs>
          <w:tab w:val="left" w:pos="-1440"/>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332B08" w:rsidRDefault="00332B08">
      <w:pPr>
        <w:widowControl/>
        <w:rPr>
          <w:rFonts w:ascii="Times New Roman" w:hAnsi="Times New Roman"/>
        </w:rPr>
      </w:pPr>
    </w:p>
    <w:p w:rsidR="00332B08" w:rsidRDefault="00332B08">
      <w:pPr>
        <w:widowControl/>
        <w:ind w:firstLine="720"/>
        <w:rPr>
          <w:rFonts w:ascii="Times New Roman" w:hAnsi="Times New Roman"/>
        </w:rPr>
      </w:pPr>
      <w:r>
        <w:rPr>
          <w:rFonts w:ascii="Times New Roman" w:hAnsi="Times New Roman"/>
        </w:rPr>
        <w:t>Not applicable.</w:t>
      </w:r>
    </w:p>
    <w:p w:rsidR="00332B08" w:rsidRDefault="00332B08">
      <w:pPr>
        <w:widowControl/>
        <w:rPr>
          <w:rFonts w:ascii="Times New Roman" w:hAnsi="Times New Roman"/>
        </w:rPr>
      </w:pPr>
    </w:p>
    <w:p w:rsidR="00332B08" w:rsidRDefault="00332B08">
      <w:pPr>
        <w:widowControl/>
        <w:rPr>
          <w:rFonts w:ascii="Times New Roman" w:hAnsi="Times New Roman"/>
        </w:rPr>
      </w:pPr>
    </w:p>
    <w:p w:rsidR="00332B08" w:rsidRDefault="00332B08">
      <w:pPr>
        <w:widowControl/>
        <w:rPr>
          <w:rFonts w:ascii="Times New Roman" w:hAnsi="Times New Roman"/>
        </w:rPr>
      </w:pPr>
    </w:p>
    <w:p w:rsidR="00332B08" w:rsidRDefault="00332B08">
      <w:pPr>
        <w:widowControl/>
        <w:rPr>
          <w:rFonts w:ascii="Times New Roman" w:hAnsi="Times New Roman"/>
        </w:rPr>
      </w:pPr>
    </w:p>
    <w:p w:rsidR="00332B08" w:rsidRDefault="00332B08">
      <w:pPr>
        <w:widowControl/>
        <w:rPr>
          <w:rFonts w:ascii="Times New Roman" w:hAnsi="Times New Roman"/>
        </w:rPr>
      </w:pPr>
    </w:p>
    <w:sectPr w:rsidR="00332B0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56C" w:rsidRDefault="001A356C">
      <w:r>
        <w:separator/>
      </w:r>
    </w:p>
  </w:endnote>
  <w:endnote w:type="continuationSeparator" w:id="0">
    <w:p w:rsidR="001A356C" w:rsidRDefault="001A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08" w:rsidRDefault="00332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2B08" w:rsidRDefault="00332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08" w:rsidRDefault="00332B08">
    <w:pPr>
      <w:pStyle w:val="Header"/>
      <w:tabs>
        <w:tab w:val="clear" w:pos="4320"/>
        <w:tab w:val="clear" w:pos="8640"/>
      </w:tabs>
      <w:spacing w:line="240" w:lineRule="exact"/>
    </w:pPr>
  </w:p>
  <w:p w:rsidR="00332B08" w:rsidRDefault="00332B08">
    <w:pPr>
      <w:framePr w:wrap="around" w:vAnchor="text" w:hAnchor="margin" w:xAlign="center" w:y="1"/>
      <w:jc w:val="center"/>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B11EA">
      <w:rPr>
        <w:rFonts w:ascii="Times New Roman" w:hAnsi="Times New Roman"/>
        <w:noProof/>
      </w:rPr>
      <w:t>3</w:t>
    </w:r>
    <w:r>
      <w:rPr>
        <w:rFonts w:ascii="Times New Roman" w:hAnsi="Times New Roman"/>
      </w:rPr>
      <w:fldChar w:fldCharType="end"/>
    </w:r>
    <w:r>
      <w:rPr>
        <w:rFonts w:ascii="Times New Roman" w:hAnsi="Times New Roman"/>
      </w:rPr>
      <w:t>-</w:t>
    </w:r>
  </w:p>
  <w:p w:rsidR="00332B08" w:rsidRDefault="00332B08">
    <w:pPr>
      <w:tabs>
        <w:tab w:val="left" w:pos="144"/>
        <w:tab w:val="left" w:pos="864"/>
        <w:tab w:val="left" w:pos="1584"/>
        <w:tab w:val="left" w:pos="2304"/>
        <w:tab w:val="left" w:pos="3024"/>
        <w:tab w:val="left" w:pos="3744"/>
      </w:tabs>
      <w:ind w:left="-432" w:right="28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BC" w:rsidRDefault="003E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56C" w:rsidRDefault="001A356C">
      <w:r>
        <w:separator/>
      </w:r>
    </w:p>
  </w:footnote>
  <w:footnote w:type="continuationSeparator" w:id="0">
    <w:p w:rsidR="001A356C" w:rsidRDefault="001A3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BC" w:rsidRDefault="003E2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BC" w:rsidRDefault="003E2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BC" w:rsidRDefault="003E2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265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95E5CD0"/>
    <w:multiLevelType w:val="singleLevel"/>
    <w:tmpl w:val="B73059DC"/>
    <w:lvl w:ilvl="0">
      <w:start w:val="4"/>
      <w:numFmt w:val="decimal"/>
      <w:lvlText w:val="%1."/>
      <w:lvlJc w:val="left"/>
      <w:pPr>
        <w:tabs>
          <w:tab w:val="num" w:pos="2160"/>
        </w:tabs>
        <w:ind w:left="2160" w:hanging="720"/>
      </w:pPr>
      <w:rPr>
        <w:rFonts w:hint="default"/>
      </w:rPr>
    </w:lvl>
  </w:abstractNum>
  <w:abstractNum w:abstractNumId="2" w15:restartNumberingAfterBreak="0">
    <w:nsid w:val="505920CB"/>
    <w:multiLevelType w:val="singleLevel"/>
    <w:tmpl w:val="73864DB6"/>
    <w:lvl w:ilvl="0">
      <w:start w:val="4"/>
      <w:numFmt w:val="decimal"/>
      <w:lvlText w:val="%1."/>
      <w:lvlJc w:val="left"/>
      <w:pPr>
        <w:tabs>
          <w:tab w:val="num" w:pos="1080"/>
        </w:tabs>
        <w:ind w:left="1080" w:hanging="360"/>
      </w:pPr>
      <w:rPr>
        <w:rFonts w:hint="default"/>
      </w:rPr>
    </w:lvl>
  </w:abstractNum>
  <w:abstractNum w:abstractNumId="3" w15:restartNumberingAfterBreak="0">
    <w:nsid w:val="5E5F3306"/>
    <w:multiLevelType w:val="singleLevel"/>
    <w:tmpl w:val="51520E06"/>
    <w:lvl w:ilvl="0">
      <w:start w:val="4"/>
      <w:numFmt w:val="decimal"/>
      <w:lvlText w:val="%1."/>
      <w:lvlJc w:val="left"/>
      <w:pPr>
        <w:tabs>
          <w:tab w:val="num" w:pos="1080"/>
        </w:tabs>
        <w:ind w:left="1080" w:hanging="360"/>
      </w:pPr>
      <w:rPr>
        <w:rFonts w:hint="default"/>
        <w:u w:val="single"/>
      </w:rPr>
    </w:lvl>
  </w:abstractNum>
  <w:abstractNum w:abstractNumId="4" w15:restartNumberingAfterBreak="0">
    <w:nsid w:val="6B154CB2"/>
    <w:multiLevelType w:val="singleLevel"/>
    <w:tmpl w:val="0C3EEB96"/>
    <w:lvl w:ilvl="0">
      <w:start w:val="11"/>
      <w:numFmt w:val="decimal"/>
      <w:lvlText w:val="%1."/>
      <w:lvlJc w:val="left"/>
      <w:pPr>
        <w:tabs>
          <w:tab w:val="num" w:pos="1440"/>
        </w:tabs>
        <w:ind w:left="1440" w:hanging="720"/>
      </w:pPr>
      <w:rPr>
        <w:rFonts w:hint="default"/>
        <w:u w:val="no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E4"/>
    <w:rsid w:val="00033574"/>
    <w:rsid w:val="00053D12"/>
    <w:rsid w:val="000900AE"/>
    <w:rsid w:val="000B5CE0"/>
    <w:rsid w:val="000D30E2"/>
    <w:rsid w:val="001A356C"/>
    <w:rsid w:val="002A36EA"/>
    <w:rsid w:val="003324A2"/>
    <w:rsid w:val="00332B08"/>
    <w:rsid w:val="003848D8"/>
    <w:rsid w:val="003C6A24"/>
    <w:rsid w:val="003E24BC"/>
    <w:rsid w:val="00406459"/>
    <w:rsid w:val="00454306"/>
    <w:rsid w:val="00466F9C"/>
    <w:rsid w:val="0047333E"/>
    <w:rsid w:val="00491728"/>
    <w:rsid w:val="004A3066"/>
    <w:rsid w:val="004C0C45"/>
    <w:rsid w:val="005D6EA6"/>
    <w:rsid w:val="005E4479"/>
    <w:rsid w:val="00655246"/>
    <w:rsid w:val="006B7BF9"/>
    <w:rsid w:val="006F0661"/>
    <w:rsid w:val="00771BA2"/>
    <w:rsid w:val="00785656"/>
    <w:rsid w:val="007E66A2"/>
    <w:rsid w:val="008467E4"/>
    <w:rsid w:val="00977115"/>
    <w:rsid w:val="00995870"/>
    <w:rsid w:val="00A8251B"/>
    <w:rsid w:val="00AD05E9"/>
    <w:rsid w:val="00B44B3F"/>
    <w:rsid w:val="00C52DA2"/>
    <w:rsid w:val="00C82D8C"/>
    <w:rsid w:val="00C93C51"/>
    <w:rsid w:val="00CA21C1"/>
    <w:rsid w:val="00DD3785"/>
    <w:rsid w:val="00DE5172"/>
    <w:rsid w:val="00E94015"/>
    <w:rsid w:val="00EB11EA"/>
    <w:rsid w:val="00EC5A01"/>
    <w:rsid w:val="00F13BD2"/>
    <w:rsid w:val="00F22EC8"/>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A2"/>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467E4"/>
    <w:rPr>
      <w:rFonts w:ascii="Tahoma" w:hAnsi="Tahoma" w:cs="Tahoma"/>
      <w:sz w:val="16"/>
      <w:szCs w:val="16"/>
    </w:rPr>
  </w:style>
  <w:style w:type="table" w:styleId="TableGrid">
    <w:name w:val="Table Grid"/>
    <w:basedOn w:val="TableNormal"/>
    <w:uiPriority w:val="59"/>
    <w:rsid w:val="004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71BA2"/>
    <w:rPr>
      <w:color w:val="0000FF"/>
      <w:u w:val="single"/>
    </w:rPr>
  </w:style>
  <w:style w:type="paragraph" w:styleId="FootnoteText">
    <w:name w:val="footnote text"/>
    <w:basedOn w:val="Normal"/>
    <w:link w:val="FootnoteTextChar"/>
    <w:rsid w:val="0047333E"/>
    <w:rPr>
      <w:sz w:val="20"/>
    </w:rPr>
  </w:style>
  <w:style w:type="character" w:customStyle="1" w:styleId="FootnoteTextChar">
    <w:name w:val="Footnote Text Char"/>
    <w:link w:val="FootnoteText"/>
    <w:rsid w:val="0047333E"/>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6319">
      <w:bodyDiv w:val="1"/>
      <w:marLeft w:val="0"/>
      <w:marRight w:val="0"/>
      <w:marTop w:val="0"/>
      <w:marBottom w:val="0"/>
      <w:divBdr>
        <w:top w:val="none" w:sz="0" w:space="0" w:color="auto"/>
        <w:left w:val="none" w:sz="0" w:space="0" w:color="auto"/>
        <w:bottom w:val="none" w:sz="0" w:space="0" w:color="auto"/>
        <w:right w:val="none" w:sz="0" w:space="0" w:color="auto"/>
      </w:divBdr>
    </w:div>
    <w:div w:id="16387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dic.gov/for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2021-04-27T11:35:00Z</dcterms:created>
  <dcterms:modified xsi:type="dcterms:W3CDTF">2021-04-27T11:35:00Z</dcterms:modified>
</cp:coreProperties>
</file>