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2D0F" w:rsidR="00994EDE" w:rsidRDefault="00994EDE">
      <w:pPr>
        <w:widowControl/>
        <w:tabs>
          <w:tab w:val="center" w:pos="4680"/>
          <w:tab w:val="left" w:pos="4896"/>
        </w:tabs>
        <w:rPr>
          <w:rFonts w:ascii="Times New Roman" w:hAnsi="Times New Roman"/>
          <w:b/>
        </w:rPr>
      </w:pPr>
      <w:r>
        <w:rPr>
          <w:rFonts w:ascii="Times New Roman" w:hAnsi="Times New Roman"/>
        </w:rPr>
        <w:tab/>
      </w:r>
      <w:r w:rsidRPr="00CE2D0F">
        <w:rPr>
          <w:rFonts w:ascii="Times New Roman" w:hAnsi="Times New Roman"/>
          <w:b/>
        </w:rPr>
        <w:t>SUPPORTING STATEMENT</w:t>
      </w:r>
    </w:p>
    <w:p w:rsidR="00994EDE" w:rsidRDefault="00994EDE">
      <w:pPr>
        <w:widowControl/>
        <w:tabs>
          <w:tab w:val="center" w:pos="4680"/>
          <w:tab w:val="left" w:pos="4896"/>
        </w:tabs>
        <w:rPr>
          <w:rFonts w:ascii="Times New Roman" w:hAnsi="Times New Roman"/>
        </w:rPr>
      </w:pPr>
      <w:r>
        <w:rPr>
          <w:rFonts w:ascii="Times New Roman" w:hAnsi="Times New Roman"/>
        </w:rPr>
        <w:tab/>
        <w:t>REQUEST FOR DEREGISTRATION FOR REGISTERED TRANSFER AGENTS</w:t>
      </w:r>
    </w:p>
    <w:p w:rsidR="00994EDE" w:rsidRDefault="00994EDE">
      <w:pPr>
        <w:widowControl/>
        <w:tabs>
          <w:tab w:val="center" w:pos="4680"/>
          <w:tab w:val="left" w:pos="4896"/>
        </w:tabs>
        <w:rPr>
          <w:rFonts w:ascii="Times New Roman" w:hAnsi="Times New Roman"/>
        </w:rPr>
      </w:pPr>
      <w:r>
        <w:rPr>
          <w:rFonts w:ascii="Times New Roman" w:hAnsi="Times New Roman"/>
        </w:rPr>
        <w:tab/>
        <w:t>(OMB No. 3064</w:t>
      </w:r>
      <w:r>
        <w:rPr>
          <w:rFonts w:ascii="Times New Roman" w:hAnsi="Times New Roman"/>
        </w:rPr>
        <w:noBreakHyphen/>
        <w:t>0027)</w:t>
      </w: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rPr>
          <w:rFonts w:ascii="Times New Roman" w:hAnsi="Times New Roman"/>
        </w:rPr>
      </w:pPr>
      <w:r>
        <w:rPr>
          <w:rFonts w:ascii="Times New Roman" w:hAnsi="Times New Roman"/>
          <w:u w:val="single"/>
        </w:rPr>
        <w:t>INTRODUCTION</w:t>
      </w: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rPr>
          <w:rFonts w:ascii="Times New Roman" w:hAnsi="Times New Roman"/>
        </w:rPr>
      </w:pPr>
      <w:r>
        <w:rPr>
          <w:rFonts w:ascii="Times New Roman" w:hAnsi="Times New Roman"/>
        </w:rPr>
        <w:t xml:space="preserve">The FDIC is requesting OMB approval to </w:t>
      </w:r>
      <w:r w:rsidR="00563A78">
        <w:rPr>
          <w:rFonts w:ascii="Times New Roman" w:hAnsi="Times New Roman"/>
        </w:rPr>
        <w:t>extend, without change, the information collection entitled “Request for Deregistration for Registered Transfer Agents</w:t>
      </w:r>
      <w:r>
        <w:rPr>
          <w:rFonts w:ascii="Times New Roman" w:hAnsi="Times New Roman"/>
        </w:rPr>
        <w:t>.</w:t>
      </w:r>
      <w:r w:rsidR="00563A78">
        <w:rPr>
          <w:rFonts w:ascii="Times New Roman" w:hAnsi="Times New Roman"/>
        </w:rPr>
        <w:t>”</w:t>
      </w:r>
      <w:r>
        <w:rPr>
          <w:rFonts w:ascii="Times New Roman" w:hAnsi="Times New Roman"/>
        </w:rPr>
        <w:t xml:space="preserve">  The current clearance for the collection expires on </w:t>
      </w:r>
      <w:r w:rsidR="00CE2D0F">
        <w:rPr>
          <w:rFonts w:ascii="Times New Roman" w:hAnsi="Times New Roman"/>
        </w:rPr>
        <w:t>April 30, 2021</w:t>
      </w:r>
      <w:r>
        <w:rPr>
          <w:rFonts w:ascii="Times New Roman" w:hAnsi="Times New Roman"/>
        </w:rPr>
        <w:t>.  There is no change in the method or substance of the collection.  The information collection requirements are contained in FDIC regulation 12 CFR 341.5.</w:t>
      </w: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rPr>
          <w:rFonts w:ascii="Times New Roman" w:hAnsi="Times New Roman"/>
        </w:rPr>
      </w:pPr>
      <w:r>
        <w:rPr>
          <w:rFonts w:ascii="Times New Roman" w:hAnsi="Times New Roman"/>
        </w:rPr>
        <w:t>Under the Securities Exchange Act of 1934 (15 U.S.C. 78q</w:t>
      </w:r>
      <w:r>
        <w:rPr>
          <w:rFonts w:ascii="Times New Roman" w:hAnsi="Times New Roman"/>
        </w:rPr>
        <w:noBreakHyphen/>
        <w:t>1), an insured nonmember bank (or a subsidiary of such a bank) that functions as a transfer agent may withdraw from registration as a transfer agent by filing a written notice of withdrawal with the FDIC.  The FDIC requires such banks to file FDIC Form 6342/12 as the written notice of withdrawal.</w:t>
      </w: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994EDE" w:rsidRDefault="00994EDE">
      <w:pPr>
        <w:widowControl/>
        <w:tabs>
          <w:tab w:val="left" w:pos="432"/>
          <w:tab w:val="left" w:pos="1152"/>
          <w:tab w:val="left" w:pos="1872"/>
          <w:tab w:val="left" w:pos="2448"/>
          <w:tab w:val="left" w:pos="4896"/>
        </w:tabs>
        <w:rPr>
          <w:rFonts w:ascii="Times New Roman" w:hAnsi="Times New Roman"/>
        </w:rPr>
      </w:pPr>
    </w:p>
    <w:p w:rsidRPr="002701C6" w:rsidR="00994EDE" w:rsidRDefault="00994EDE">
      <w:pPr>
        <w:widowControl/>
        <w:tabs>
          <w:tab w:val="left" w:pos="432"/>
          <w:tab w:val="left" w:pos="1152"/>
          <w:tab w:val="left" w:pos="1872"/>
          <w:tab w:val="left" w:pos="2448"/>
          <w:tab w:val="left" w:pos="4896"/>
        </w:tabs>
        <w:ind w:firstLine="432"/>
        <w:rPr>
          <w:rFonts w:ascii="Times New Roman" w:hAnsi="Times New Roman"/>
        </w:rPr>
      </w:pPr>
      <w:r>
        <w:rPr>
          <w:rFonts w:ascii="Times New Roman" w:hAnsi="Times New Roman"/>
        </w:rPr>
        <w:t>1.</w:t>
      </w:r>
      <w:r>
        <w:rPr>
          <w:rFonts w:ascii="Times New Roman" w:hAnsi="Times New Roman"/>
        </w:rPr>
        <w:tab/>
      </w:r>
      <w:r w:rsidRPr="002701C6" w:rsidR="002701C6">
        <w:rPr>
          <w:rFonts w:ascii="Times New Roman" w:hAnsi="Times New Roman"/>
          <w:bCs/>
          <w:iCs/>
          <w:u w:val="single"/>
        </w:rPr>
        <w:t>Circumstances that make the collection necessary:</w:t>
      </w: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ind w:left="1152"/>
        <w:rPr>
          <w:rFonts w:ascii="Times New Roman" w:hAnsi="Times New Roman"/>
        </w:rPr>
      </w:pPr>
      <w:r>
        <w:rPr>
          <w:rFonts w:ascii="Times New Roman" w:hAnsi="Times New Roman"/>
        </w:rPr>
        <w:t>Section 17A(c</w:t>
      </w:r>
      <w:proofErr w:type="gramStart"/>
      <w:r>
        <w:rPr>
          <w:rFonts w:ascii="Times New Roman" w:hAnsi="Times New Roman"/>
        </w:rPr>
        <w:t>)(</w:t>
      </w:r>
      <w:proofErr w:type="gramEnd"/>
      <w:r>
        <w:rPr>
          <w:rFonts w:ascii="Times New Roman" w:hAnsi="Times New Roman"/>
        </w:rPr>
        <w:t>4)(B) of the Securities Exchange Act of 1934 (15 U.S.C. 78q</w:t>
      </w:r>
      <w:r>
        <w:rPr>
          <w:rFonts w:ascii="Times New Roman" w:hAnsi="Times New Roman"/>
        </w:rPr>
        <w:noBreakHyphen/>
        <w:t>1) provides for the withdrawal from registration of a registered transfer agent by filing a written notice of withdrawal (deregistration) with the appropriate regulatory agency.  Section 341.5 of FDIC regulation 12 CFR 341 requires any transfer agent (insured nonmember bank) registered under 12 CFR 34l that ceases to engage in the functions of a transfer agent to file a deregistration form with the FDIC.  The form is filed with the FDIC at its Washington, D.C. headquarters and is effective upon acceptance and acknowledgment by the FDIC.  (OMB approved information collection requirements relating to the registration of transfer agents under 12 CFR 341 are contained in the reporting system entitled "Transfer Agent Registration and Amendment Form," OMB No. 3064</w:t>
      </w:r>
      <w:r>
        <w:rPr>
          <w:rFonts w:ascii="Times New Roman" w:hAnsi="Times New Roman"/>
        </w:rPr>
        <w:noBreakHyphen/>
        <w:t>0026.)</w:t>
      </w:r>
    </w:p>
    <w:p w:rsidR="00994EDE" w:rsidRDefault="00994EDE">
      <w:pPr>
        <w:widowControl/>
        <w:tabs>
          <w:tab w:val="left" w:pos="432"/>
          <w:tab w:val="left" w:pos="1152"/>
          <w:tab w:val="left" w:pos="1872"/>
          <w:tab w:val="left" w:pos="2448"/>
          <w:tab w:val="left" w:pos="4896"/>
        </w:tabs>
        <w:rPr>
          <w:rFonts w:ascii="Times New Roman" w:hAnsi="Times New Roman"/>
        </w:rPr>
      </w:pPr>
    </w:p>
    <w:p w:rsidR="00994EDE" w:rsidRDefault="00994EDE">
      <w:pPr>
        <w:widowControl/>
        <w:tabs>
          <w:tab w:val="left" w:pos="432"/>
          <w:tab w:val="left" w:pos="1152"/>
          <w:tab w:val="left" w:pos="1872"/>
          <w:tab w:val="left" w:pos="2448"/>
          <w:tab w:val="left" w:pos="4896"/>
        </w:tabs>
        <w:ind w:left="1152"/>
        <w:rPr>
          <w:rFonts w:ascii="Times New Roman" w:hAnsi="Times New Roman"/>
        </w:rPr>
      </w:pPr>
      <w:r>
        <w:rPr>
          <w:rFonts w:ascii="Times New Roman" w:hAnsi="Times New Roman"/>
        </w:rPr>
        <w:t>The deregistration form (FDIC Form 6342/12) is a one</w:t>
      </w:r>
      <w:r>
        <w:rPr>
          <w:rFonts w:ascii="Times New Roman" w:hAnsi="Times New Roman"/>
        </w:rPr>
        <w:noBreakHyphen/>
        <w:t>page document containing information that identifies the transfer agent requesting withdrawal, the reasons for withdrawal, the name and location of the possessor of the transfer agent's records and the successor, if any, and the status of the transfer agent's accounts.</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 xml:space="preserve">Use of </w:t>
      </w:r>
      <w:r w:rsidR="002701C6">
        <w:rPr>
          <w:rFonts w:ascii="Times New Roman" w:hAnsi="Times New Roman"/>
          <w:u w:val="single"/>
        </w:rPr>
        <w:t>the information:</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 xml:space="preserve">The form provides the documentation and basis for the FDIC to remove the transfer agent from the active file.  It also allows the FDIC to verify that deregistration is appropriate, is in the public interest, and results in no loss of protection of </w:t>
      </w:r>
      <w:r w:rsidR="00563A78">
        <w:rPr>
          <w:rFonts w:ascii="Times New Roman" w:hAnsi="Times New Roman"/>
        </w:rPr>
        <w:t xml:space="preserve">affected </w:t>
      </w:r>
      <w:r>
        <w:rPr>
          <w:rFonts w:ascii="Times New Roman" w:hAnsi="Times New Roman"/>
        </w:rPr>
        <w:t>investors.</w:t>
      </w: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p>
    <w:p w:rsidR="00994EDE" w:rsidRDefault="00994EDE">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3.</w:t>
      </w:r>
      <w:r>
        <w:rPr>
          <w:rFonts w:ascii="Times New Roman" w:hAnsi="Times New Roman"/>
        </w:rPr>
        <w:tab/>
      </w:r>
      <w:r w:rsidRPr="002701C6" w:rsidR="002701C6">
        <w:rPr>
          <w:rFonts w:ascii="Times New Roman" w:hAnsi="Times New Roman"/>
          <w:u w:val="single"/>
        </w:rPr>
        <w:t>Consideration of the use of improved information technology:</w:t>
      </w:r>
    </w:p>
    <w:p w:rsidR="00994EDE" w:rsidRDefault="00994EDE">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Default="00C81EE6">
      <w:pPr>
        <w:widowControl/>
        <w:ind w:left="1008"/>
        <w:rPr>
          <w:rFonts w:ascii="Times New Roman" w:hAnsi="Times New Roman"/>
        </w:rPr>
      </w:pPr>
      <w:r>
        <w:rPr>
          <w:rFonts w:ascii="Times New Roman" w:hAnsi="Times New Roman"/>
        </w:rPr>
        <w:t xml:space="preserve">The forms are in electronic (fillable pdf) format and can be downloaded at the FDIC’s public website </w:t>
      </w:r>
      <w:hyperlink w:history="1" r:id="rId8">
        <w:r>
          <w:rPr>
            <w:rStyle w:val="Hyperlink"/>
            <w:rFonts w:ascii="Times New Roman" w:hAnsi="Times New Roman"/>
          </w:rPr>
          <w:t>www.fdic.gov/forms</w:t>
        </w:r>
      </w:hyperlink>
      <w:r>
        <w:rPr>
          <w:rFonts w:ascii="Times New Roman" w:hAnsi="Times New Roman"/>
        </w:rPr>
        <w:t xml:space="preserve"> .  Respondents have the choice of submitting the completed and signed forms to a designate email address or via U.S. Mail as indicated in the forms’ instructions.  FDIC is currently evaluating available solutions and if an acceptable burden-reducing option is practical, submission methodology may be modified to promote fully-electronic access, completion and submission of the forms.</w:t>
      </w:r>
    </w:p>
    <w:p w:rsidR="00994EDE" w:rsidRDefault="00994EDE">
      <w:pPr>
        <w:keepLines/>
        <w:widowControl/>
        <w:tabs>
          <w:tab w:val="left" w:pos="288"/>
          <w:tab w:val="left" w:pos="1008"/>
          <w:tab w:val="left" w:pos="1728"/>
          <w:tab w:val="left" w:pos="2448"/>
          <w:tab w:val="left" w:pos="3168"/>
          <w:tab w:val="left" w:pos="3888"/>
        </w:tabs>
        <w:ind w:left="1008"/>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The information collected does not duplicate information existing elsewhere.  The transfer agent submits the form to deregister.  Similar information is not available elsewhere.  It is only available at the source, the transfer agent, where the action is initiated.</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P="002701C6" w:rsidRDefault="00994EDE">
      <w:pPr>
        <w:widowControl/>
        <w:tabs>
          <w:tab w:val="left" w:pos="288"/>
          <w:tab w:val="left" w:pos="1008"/>
          <w:tab w:val="left" w:pos="1728"/>
          <w:tab w:val="left" w:pos="2448"/>
          <w:tab w:val="left" w:pos="3168"/>
          <w:tab w:val="left" w:pos="3888"/>
        </w:tabs>
        <w:ind w:left="1008" w:hanging="720"/>
        <w:rPr>
          <w:rFonts w:ascii="Times New Roman" w:hAnsi="Times New Roman"/>
        </w:rPr>
      </w:pPr>
      <w:r>
        <w:rPr>
          <w:rFonts w:ascii="Times New Roman" w:hAnsi="Times New Roman"/>
        </w:rPr>
        <w:t>5.</w:t>
      </w:r>
      <w:r>
        <w:rPr>
          <w:rFonts w:ascii="Times New Roman" w:hAnsi="Times New Roman"/>
        </w:rPr>
        <w:tab/>
      </w:r>
      <w:r w:rsidRPr="002701C6" w:rsidR="002701C6">
        <w:rPr>
          <w:rFonts w:ascii="Times New Roman" w:hAnsi="Times New Roman"/>
          <w:u w:val="single"/>
        </w:rPr>
        <w:t>Methods used to minimize burden if the collection has a significant impact on a substantial number of small entities:</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 xml:space="preserve">All banks, regardless of size, acting as transfer agents, submit the same information to become deregistered.  The information requested is considered to be the minimum needed by the FDIC to take appropriate action in deregistering a transfer agent.  </w:t>
      </w: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6.</w:t>
      </w:r>
      <w:r>
        <w:rPr>
          <w:rFonts w:ascii="Times New Roman" w:hAnsi="Times New Roman"/>
        </w:rPr>
        <w:tab/>
      </w:r>
      <w:r w:rsidRPr="002701C6" w:rsidR="002701C6">
        <w:rPr>
          <w:rFonts w:ascii="Times New Roman" w:hAnsi="Times New Roman"/>
          <w:u w:val="single"/>
        </w:rPr>
        <w:t>Consequences to the Federal program if the collection were conducted less frequently:</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The information is not collected on a periodic basis.  A bank submits the information only when it seeks to be deregistered as a transfer agent.</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P="002701C6" w:rsidRDefault="00994EDE">
      <w:pPr>
        <w:widowControl/>
        <w:tabs>
          <w:tab w:val="left" w:pos="288"/>
          <w:tab w:val="left" w:pos="1008"/>
          <w:tab w:val="left" w:pos="1728"/>
          <w:tab w:val="left" w:pos="2448"/>
          <w:tab w:val="left" w:pos="3168"/>
          <w:tab w:val="left" w:pos="3888"/>
        </w:tabs>
        <w:ind w:left="1008" w:hanging="720"/>
        <w:rPr>
          <w:rFonts w:ascii="Times New Roman" w:hAnsi="Times New Roman"/>
        </w:rPr>
      </w:pPr>
      <w:r>
        <w:rPr>
          <w:rFonts w:ascii="Times New Roman" w:hAnsi="Times New Roman"/>
        </w:rPr>
        <w:t>7.</w:t>
      </w:r>
      <w:r>
        <w:rPr>
          <w:rFonts w:ascii="Times New Roman" w:hAnsi="Times New Roman"/>
        </w:rPr>
        <w:tab/>
      </w:r>
      <w:r w:rsidRPr="002701C6" w:rsidR="002701C6">
        <w:rPr>
          <w:rFonts w:ascii="Times New Roman" w:hAnsi="Times New Roman"/>
          <w:u w:val="single"/>
        </w:rPr>
        <w:t>Special circumstances necessitating collection inconsistent with 5 CFR Part 1320.5(d</w:t>
      </w:r>
      <w:proofErr w:type="gramStart"/>
      <w:r w:rsidRPr="002701C6" w:rsidR="002701C6">
        <w:rPr>
          <w:rFonts w:ascii="Times New Roman" w:hAnsi="Times New Roman"/>
          <w:u w:val="single"/>
        </w:rPr>
        <w:t>)(</w:t>
      </w:r>
      <w:proofErr w:type="gramEnd"/>
      <w:r w:rsidRPr="002701C6" w:rsidR="002701C6">
        <w:rPr>
          <w:rFonts w:ascii="Times New Roman" w:hAnsi="Times New Roman"/>
          <w:u w:val="single"/>
        </w:rPr>
        <w:t>2):</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None.</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8.</w:t>
      </w:r>
      <w:r>
        <w:rPr>
          <w:rFonts w:ascii="Times New Roman" w:hAnsi="Times New Roman"/>
        </w:rPr>
        <w:tab/>
      </w:r>
      <w:r w:rsidRPr="002701C6" w:rsidR="002701C6">
        <w:rPr>
          <w:rFonts w:ascii="Times New Roman" w:hAnsi="Times New Roman"/>
          <w:u w:val="single"/>
        </w:rPr>
        <w:t>Efforts to consult with persons outside the agency:</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1C7588" w:rsidP="001C7588" w:rsidRDefault="001C7588">
      <w:pPr>
        <w:widowControl/>
        <w:ind w:left="1008"/>
        <w:rPr>
          <w:rFonts w:ascii="Times New Roman" w:hAnsi="Times New Roman"/>
        </w:rPr>
      </w:pPr>
      <w:r>
        <w:rPr>
          <w:rFonts w:ascii="Times New Roman" w:hAnsi="Times New Roman"/>
        </w:rPr>
        <w:t xml:space="preserve">A notice seeking public comment for a 60-day period was published in the </w:t>
      </w:r>
      <w:r>
        <w:rPr>
          <w:rFonts w:ascii="Times New Roman" w:hAnsi="Times New Roman"/>
          <w:i/>
        </w:rPr>
        <w:t>Federal Register</w:t>
      </w:r>
      <w:r>
        <w:rPr>
          <w:rFonts w:ascii="Times New Roman" w:hAnsi="Times New Roman"/>
        </w:rPr>
        <w:t xml:space="preserve"> on February 17, 2021 (86 FR 9935).  No comments were received. </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Pr>
          <w:rFonts w:ascii="Times New Roman" w:hAnsi="Times New Roman"/>
        </w:rPr>
        <w:t>9.</w:t>
      </w:r>
      <w:r>
        <w:rPr>
          <w:rFonts w:ascii="Times New Roman" w:hAnsi="Times New Roman"/>
        </w:rPr>
        <w:tab/>
      </w:r>
      <w:r w:rsidR="002701C6">
        <w:rPr>
          <w:rFonts w:ascii="Times New Roman" w:hAnsi="Times New Roman"/>
          <w:u w:val="single"/>
        </w:rPr>
        <w:t>Payment or g</w:t>
      </w:r>
      <w:r>
        <w:rPr>
          <w:rFonts w:ascii="Times New Roman" w:hAnsi="Times New Roman"/>
          <w:u w:val="single"/>
        </w:rPr>
        <w:t>ift</w:t>
      </w:r>
      <w:r w:rsidR="002701C6">
        <w:rPr>
          <w:rFonts w:ascii="Times New Roman" w:hAnsi="Times New Roman"/>
          <w:u w:val="single"/>
        </w:rPr>
        <w:t>s to r</w:t>
      </w:r>
      <w:r>
        <w:rPr>
          <w:rFonts w:ascii="Times New Roman" w:hAnsi="Times New Roman"/>
          <w:u w:val="single"/>
        </w:rPr>
        <w:t>espondents</w:t>
      </w:r>
      <w:r w:rsidR="002701C6">
        <w:rPr>
          <w:rFonts w:ascii="Times New Roman" w:hAnsi="Times New Roman"/>
          <w:u w:val="single"/>
        </w:rPr>
        <w:t>:</w:t>
      </w:r>
    </w:p>
    <w:p w:rsidR="00994EDE" w:rsidRDefault="00994EDE">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keepLines/>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None.</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lastRenderedPageBreak/>
        <w:t>10.</w:t>
      </w:r>
      <w:r>
        <w:rPr>
          <w:rFonts w:ascii="Times New Roman" w:hAnsi="Times New Roman"/>
        </w:rPr>
        <w:tab/>
      </w:r>
      <w:r w:rsidRPr="002701C6" w:rsidR="002701C6">
        <w:rPr>
          <w:rFonts w:ascii="Times New Roman" w:hAnsi="Times New Roman"/>
          <w:u w:val="single"/>
        </w:rPr>
        <w:t>Any assurance of confidentiality:</w:t>
      </w:r>
    </w:p>
    <w:p w:rsidR="00994EDE" w:rsidRDefault="00994EDE">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Default="001C7588">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1C7588">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11.</w:t>
      </w:r>
      <w:r>
        <w:rPr>
          <w:rFonts w:ascii="Times New Roman" w:hAnsi="Times New Roman"/>
        </w:rPr>
        <w:tab/>
      </w:r>
      <w:r w:rsidRPr="002701C6" w:rsidR="002701C6">
        <w:rPr>
          <w:rFonts w:ascii="Times New Roman" w:hAnsi="Times New Roman"/>
          <w:u w:val="single"/>
        </w:rPr>
        <w:t>Justification for questions of a sensitive nature:</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This collection contains no information of a sensitive nature.</w:t>
      </w:r>
    </w:p>
    <w:p w:rsidR="00994EDE" w:rsidRDefault="00994EDE">
      <w:pPr>
        <w:widowControl/>
        <w:tabs>
          <w:tab w:val="left" w:pos="288"/>
          <w:tab w:val="left" w:pos="1008"/>
          <w:tab w:val="left" w:pos="1728"/>
          <w:tab w:val="left" w:pos="2448"/>
          <w:tab w:val="left" w:pos="3168"/>
          <w:tab w:val="left" w:pos="3888"/>
        </w:tabs>
        <w:rPr>
          <w:rFonts w:ascii="Times New Roman" w:hAnsi="Times New Roman"/>
        </w:rPr>
      </w:pPr>
    </w:p>
    <w:p w:rsidR="00994EDE" w:rsidRDefault="00994EDE">
      <w:pPr>
        <w:widowControl/>
        <w:tabs>
          <w:tab w:val="left" w:pos="288"/>
          <w:tab w:val="left" w:pos="1008"/>
          <w:tab w:val="left" w:pos="1728"/>
          <w:tab w:val="left" w:pos="2448"/>
          <w:tab w:val="left" w:pos="3168"/>
          <w:tab w:val="left" w:pos="3888"/>
        </w:tabs>
        <w:ind w:firstLine="288"/>
        <w:rPr>
          <w:rFonts w:ascii="Times New Roman" w:hAnsi="Times New Roman"/>
        </w:rPr>
      </w:pPr>
      <w:r>
        <w:rPr>
          <w:rFonts w:ascii="Times New Roman" w:hAnsi="Times New Roman"/>
        </w:rPr>
        <w:t>12.</w:t>
      </w:r>
      <w:r>
        <w:rPr>
          <w:rFonts w:ascii="Times New Roman" w:hAnsi="Times New Roman"/>
        </w:rPr>
        <w:tab/>
      </w:r>
      <w:r w:rsidR="001C7588">
        <w:rPr>
          <w:rFonts w:ascii="Times New Roman" w:hAnsi="Times New Roman"/>
          <w:u w:val="single"/>
        </w:rPr>
        <w:t xml:space="preserve">Estimate of </w:t>
      </w:r>
      <w:r w:rsidR="002701C6">
        <w:rPr>
          <w:rFonts w:ascii="Times New Roman" w:hAnsi="Times New Roman"/>
          <w:u w:val="single"/>
        </w:rPr>
        <w:t>hour b</w:t>
      </w:r>
      <w:r>
        <w:rPr>
          <w:rFonts w:ascii="Times New Roman" w:hAnsi="Times New Roman"/>
          <w:u w:val="single"/>
        </w:rPr>
        <w:t>urden</w:t>
      </w:r>
      <w:r w:rsidR="002701C6">
        <w:rPr>
          <w:rFonts w:ascii="Times New Roman" w:hAnsi="Times New Roman"/>
          <w:u w:val="single"/>
        </w:rPr>
        <w:t xml:space="preserve"> including annualized hourly costs:</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E47A40" w:rsidP="00E47A40" w:rsidRDefault="001C7588">
      <w:pPr>
        <w:widowControl/>
        <w:tabs>
          <w:tab w:val="left" w:pos="-1440"/>
        </w:tab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p>
    <w:tbl>
      <w:tblPr>
        <w:tblpPr w:leftFromText="180" w:rightFromText="180" w:vertAnchor="text" w:horzAnchor="margin" w:tblpY="94"/>
        <w:tblW w:w="9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07"/>
        <w:gridCol w:w="2978"/>
        <w:gridCol w:w="1080"/>
        <w:gridCol w:w="1170"/>
        <w:gridCol w:w="1170"/>
        <w:gridCol w:w="990"/>
        <w:gridCol w:w="1095"/>
      </w:tblGrid>
      <w:tr w:rsidRPr="000900AE" w:rsidR="00E47A40" w:rsidTr="006505EA">
        <w:trPr>
          <w:trHeight w:val="145"/>
        </w:trPr>
        <w:tc>
          <w:tcPr>
            <w:tcW w:w="907" w:type="dxa"/>
          </w:tcPr>
          <w:p w:rsidRPr="000900AE" w:rsidR="00E47A40" w:rsidP="006505EA" w:rsidRDefault="00E47A40">
            <w:pPr>
              <w:widowControl/>
              <w:jc w:val="center"/>
              <w:rPr>
                <w:rFonts w:ascii="Arial" w:hAnsi="Arial" w:eastAsia="Calibri" w:cs="Arial"/>
                <w:b/>
                <w:bCs/>
                <w:snapToGrid/>
                <w:color w:val="000000"/>
                <w:sz w:val="16"/>
                <w:szCs w:val="16"/>
              </w:rPr>
            </w:pPr>
          </w:p>
        </w:tc>
        <w:tc>
          <w:tcPr>
            <w:tcW w:w="8483" w:type="dxa"/>
            <w:gridSpan w:val="6"/>
            <w:tcMar>
              <w:top w:w="15" w:type="dxa"/>
              <w:left w:w="15" w:type="dxa"/>
              <w:bottom w:w="0" w:type="dxa"/>
              <w:right w:w="15" w:type="dxa"/>
            </w:tcMar>
            <w:vAlign w:val="center"/>
            <w:hideMark/>
          </w:tcPr>
          <w:p w:rsidRPr="000900AE" w:rsidR="00E47A40" w:rsidP="00E47A40" w:rsidRDefault="00E47A40">
            <w:pPr>
              <w:widowControl/>
              <w:jc w:val="center"/>
              <w:rPr>
                <w:rFonts w:ascii="Arial" w:hAnsi="Arial" w:eastAsia="Calibri" w:cs="Arial"/>
                <w:b/>
                <w:bCs/>
                <w:snapToGrid/>
                <w:color w:val="000000"/>
                <w:sz w:val="16"/>
                <w:szCs w:val="16"/>
              </w:rPr>
            </w:pPr>
            <w:r w:rsidRPr="000900AE">
              <w:rPr>
                <w:rFonts w:ascii="Arial" w:hAnsi="Arial" w:eastAsia="Calibri" w:cs="Arial"/>
                <w:b/>
                <w:bCs/>
                <w:snapToGrid/>
                <w:color w:val="000000"/>
                <w:sz w:val="16"/>
                <w:szCs w:val="16"/>
              </w:rPr>
              <w:t>Summary of Annual Burden and Internal Cost (3064-002</w:t>
            </w:r>
            <w:r>
              <w:rPr>
                <w:rFonts w:ascii="Arial" w:hAnsi="Arial" w:eastAsia="Calibri" w:cs="Arial"/>
                <w:b/>
                <w:bCs/>
                <w:snapToGrid/>
                <w:color w:val="000000"/>
                <w:sz w:val="16"/>
                <w:szCs w:val="16"/>
              </w:rPr>
              <w:t>7</w:t>
            </w:r>
            <w:r w:rsidRPr="000900AE">
              <w:rPr>
                <w:rFonts w:ascii="Arial" w:hAnsi="Arial" w:eastAsia="Calibri" w:cs="Arial"/>
                <w:b/>
                <w:bCs/>
                <w:snapToGrid/>
                <w:color w:val="000000"/>
                <w:sz w:val="16"/>
                <w:szCs w:val="16"/>
              </w:rPr>
              <w:t>)</w:t>
            </w:r>
          </w:p>
        </w:tc>
      </w:tr>
      <w:tr w:rsidRPr="000900AE" w:rsidR="00E47A40" w:rsidTr="00E90A8F">
        <w:trPr>
          <w:trHeight w:val="185"/>
        </w:trPr>
        <w:tc>
          <w:tcPr>
            <w:tcW w:w="3885" w:type="dxa"/>
            <w:gridSpan w:val="2"/>
            <w:noWrap/>
            <w:tcMar>
              <w:top w:w="15" w:type="dxa"/>
              <w:left w:w="15" w:type="dxa"/>
              <w:bottom w:w="0" w:type="dxa"/>
              <w:right w:w="15" w:type="dxa"/>
            </w:tcMar>
            <w:vAlign w:val="center"/>
            <w:hideMark/>
          </w:tcPr>
          <w:p w:rsidRPr="000900AE" w:rsidR="00E47A40" w:rsidP="006505EA" w:rsidRDefault="00E47A40">
            <w:pPr>
              <w:widowControl/>
              <w:rPr>
                <w:rFonts w:ascii="Times New Roman" w:hAnsi="Times New Roman" w:eastAsia="Calibri"/>
                <w:b/>
                <w:bCs/>
                <w:snapToGrid/>
                <w:color w:val="000000"/>
                <w:sz w:val="16"/>
                <w:szCs w:val="16"/>
              </w:rPr>
            </w:pPr>
            <w:r w:rsidRPr="000900AE">
              <w:rPr>
                <w:rFonts w:ascii="Times New Roman" w:hAnsi="Times New Roman" w:eastAsia="Calibri"/>
                <w:b/>
                <w:bCs/>
                <w:snapToGrid/>
                <w:color w:val="000000"/>
                <w:sz w:val="18"/>
                <w:szCs w:val="18"/>
              </w:rPr>
              <w:t>Information Collection (IC) Description</w:t>
            </w:r>
          </w:p>
        </w:tc>
        <w:tc>
          <w:tcPr>
            <w:tcW w:w="1080"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Type of Burden</w:t>
            </w:r>
          </w:p>
        </w:tc>
        <w:tc>
          <w:tcPr>
            <w:tcW w:w="1170"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Estimated Number of Respondents</w:t>
            </w:r>
          </w:p>
        </w:tc>
        <w:tc>
          <w:tcPr>
            <w:tcW w:w="1170" w:type="dxa"/>
            <w:tcMar>
              <w:top w:w="15" w:type="dxa"/>
              <w:left w:w="15" w:type="dxa"/>
              <w:bottom w:w="0" w:type="dxa"/>
              <w:right w:w="15" w:type="dxa"/>
            </w:tcMar>
            <w:vAlign w:val="center"/>
            <w:hideMark/>
          </w:tcPr>
          <w:p w:rsidR="00E47A40" w:rsidP="006505EA" w:rsidRDefault="00E47A40">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Estimated Frequency</w:t>
            </w:r>
          </w:p>
          <w:p w:rsidRPr="000900AE" w:rsidR="00E47A40" w:rsidP="006505EA" w:rsidRDefault="00E47A40">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 xml:space="preserve"> of Responses</w:t>
            </w:r>
          </w:p>
        </w:tc>
        <w:tc>
          <w:tcPr>
            <w:tcW w:w="990" w:type="dxa"/>
            <w:vAlign w:val="center"/>
          </w:tcPr>
          <w:p w:rsidRPr="000900AE" w:rsidR="00E47A40" w:rsidP="006505EA" w:rsidRDefault="00E47A40">
            <w:pPr>
              <w:widowControl/>
              <w:jc w:val="center"/>
              <w:rPr>
                <w:rFonts w:ascii="Times New Roman" w:hAnsi="Times New Roman" w:eastAsia="Calibri"/>
                <w:snapToGrid/>
                <w:color w:val="000000"/>
                <w:sz w:val="16"/>
                <w:szCs w:val="16"/>
              </w:rPr>
            </w:pPr>
            <w:r w:rsidRPr="000900AE">
              <w:rPr>
                <w:rFonts w:ascii="Times New Roman" w:hAnsi="Times New Roman" w:eastAsia="Calibri"/>
                <w:snapToGrid/>
                <w:color w:val="000000"/>
                <w:sz w:val="16"/>
                <w:szCs w:val="16"/>
              </w:rPr>
              <w:t>Estimated Time per Response</w:t>
            </w:r>
          </w:p>
        </w:tc>
        <w:tc>
          <w:tcPr>
            <w:tcW w:w="1095"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6"/>
                <w:szCs w:val="16"/>
              </w:rPr>
            </w:pPr>
            <w:r>
              <w:rPr>
                <w:rFonts w:ascii="Times New Roman" w:hAnsi="Times New Roman" w:eastAsia="Calibri"/>
                <w:snapToGrid/>
                <w:color w:val="000000"/>
                <w:sz w:val="16"/>
                <w:szCs w:val="16"/>
              </w:rPr>
              <w:t>Total  Estimated Annual Burden</w:t>
            </w:r>
          </w:p>
        </w:tc>
      </w:tr>
      <w:tr w:rsidRPr="000900AE" w:rsidR="00E47A40" w:rsidTr="00E90A8F">
        <w:trPr>
          <w:trHeight w:val="47"/>
        </w:trPr>
        <w:tc>
          <w:tcPr>
            <w:tcW w:w="3885" w:type="dxa"/>
            <w:gridSpan w:val="2"/>
            <w:tcMar>
              <w:top w:w="15" w:type="dxa"/>
              <w:left w:w="15" w:type="dxa"/>
              <w:bottom w:w="0" w:type="dxa"/>
              <w:right w:w="15" w:type="dxa"/>
            </w:tcMar>
            <w:vAlign w:val="center"/>
            <w:hideMark/>
          </w:tcPr>
          <w:p w:rsidRPr="000900AE" w:rsidR="00E47A40" w:rsidP="006505EA" w:rsidRDefault="00E47A40">
            <w:pPr>
              <w:widowControl/>
              <w:rPr>
                <w:rFonts w:ascii="Times New Roman" w:hAnsi="Times New Roman" w:eastAsia="Calibri"/>
                <w:snapToGrid/>
                <w:color w:val="000000"/>
                <w:sz w:val="18"/>
                <w:szCs w:val="18"/>
              </w:rPr>
            </w:pPr>
            <w:r w:rsidRPr="00E47A40">
              <w:rPr>
                <w:rFonts w:ascii="Times New Roman" w:hAnsi="Times New Roman" w:eastAsia="Calibri"/>
                <w:snapToGrid/>
                <w:color w:val="000000"/>
                <w:sz w:val="18"/>
                <w:szCs w:val="18"/>
                <w:shd w:val="clear" w:color="auto" w:fill="FFFFFF"/>
                <w:lang w:bidi="en-US"/>
              </w:rPr>
              <w:t>Request for Deregistration for Registered Transfer Agents</w:t>
            </w:r>
          </w:p>
        </w:tc>
        <w:tc>
          <w:tcPr>
            <w:tcW w:w="1080"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Reporting</w:t>
            </w:r>
          </w:p>
        </w:tc>
        <w:tc>
          <w:tcPr>
            <w:tcW w:w="1170"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8"/>
                <w:szCs w:val="18"/>
              </w:rPr>
            </w:pPr>
            <w:r>
              <w:rPr>
                <w:rFonts w:ascii="Times New Roman" w:hAnsi="Times New Roman" w:eastAsia="Calibri"/>
                <w:snapToGrid/>
                <w:color w:val="000000"/>
                <w:sz w:val="18"/>
                <w:szCs w:val="18"/>
              </w:rPr>
              <w:t>1</w:t>
            </w:r>
          </w:p>
        </w:tc>
        <w:tc>
          <w:tcPr>
            <w:tcW w:w="1170"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8"/>
                <w:szCs w:val="18"/>
              </w:rPr>
            </w:pPr>
            <w:r w:rsidRPr="000900AE">
              <w:rPr>
                <w:rFonts w:ascii="Times New Roman" w:hAnsi="Times New Roman" w:eastAsia="Calibri"/>
                <w:snapToGrid/>
                <w:color w:val="000000"/>
                <w:sz w:val="18"/>
                <w:szCs w:val="18"/>
              </w:rPr>
              <w:t>1</w:t>
            </w:r>
          </w:p>
        </w:tc>
        <w:tc>
          <w:tcPr>
            <w:tcW w:w="990" w:type="dxa"/>
            <w:vAlign w:val="center"/>
          </w:tcPr>
          <w:p w:rsidRPr="000900AE" w:rsidR="00E47A40" w:rsidP="006505EA" w:rsidRDefault="00E47A40">
            <w:pPr>
              <w:widowControl/>
              <w:jc w:val="center"/>
              <w:rPr>
                <w:rFonts w:ascii="Times New Roman" w:hAnsi="Times New Roman" w:eastAsia="Calibri"/>
                <w:snapToGrid/>
                <w:color w:val="000000"/>
                <w:sz w:val="18"/>
                <w:szCs w:val="18"/>
              </w:rPr>
            </w:pPr>
            <w:r>
              <w:rPr>
                <w:rFonts w:ascii="Times New Roman" w:hAnsi="Times New Roman" w:eastAsia="Calibri"/>
                <w:snapToGrid/>
                <w:color w:val="000000"/>
                <w:sz w:val="18"/>
                <w:szCs w:val="18"/>
              </w:rPr>
              <w:t>0.42</w:t>
            </w:r>
            <w:r w:rsidR="00E90A8F">
              <w:rPr>
                <w:rFonts w:ascii="Times New Roman" w:hAnsi="Times New Roman" w:eastAsia="Calibri"/>
                <w:snapToGrid/>
                <w:color w:val="000000"/>
                <w:sz w:val="18"/>
                <w:szCs w:val="18"/>
              </w:rPr>
              <w:t xml:space="preserve"> </w:t>
            </w:r>
            <w:r w:rsidRPr="000900AE">
              <w:rPr>
                <w:rFonts w:ascii="Times New Roman" w:hAnsi="Times New Roman" w:eastAsia="Calibri"/>
                <w:snapToGrid/>
                <w:color w:val="000000"/>
                <w:sz w:val="18"/>
                <w:szCs w:val="18"/>
              </w:rPr>
              <w:t>hour</w:t>
            </w:r>
            <w:r w:rsidR="00E90A8F">
              <w:rPr>
                <w:rFonts w:ascii="Times New Roman" w:hAnsi="Times New Roman" w:eastAsia="Calibri"/>
                <w:snapToGrid/>
                <w:color w:val="000000"/>
                <w:sz w:val="18"/>
                <w:szCs w:val="18"/>
              </w:rPr>
              <w:t>s</w:t>
            </w:r>
          </w:p>
        </w:tc>
        <w:tc>
          <w:tcPr>
            <w:tcW w:w="1095" w:type="dxa"/>
            <w:tcMar>
              <w:top w:w="15" w:type="dxa"/>
              <w:left w:w="15" w:type="dxa"/>
              <w:bottom w:w="0" w:type="dxa"/>
              <w:right w:w="15" w:type="dxa"/>
            </w:tcMar>
            <w:vAlign w:val="center"/>
            <w:hideMark/>
          </w:tcPr>
          <w:p w:rsidRPr="000900AE" w:rsidR="00E47A40" w:rsidP="006505EA" w:rsidRDefault="00E47A40">
            <w:pPr>
              <w:widowControl/>
              <w:jc w:val="center"/>
              <w:rPr>
                <w:rFonts w:ascii="Times New Roman" w:hAnsi="Times New Roman" w:eastAsia="Calibri"/>
                <w:snapToGrid/>
                <w:color w:val="000000"/>
                <w:sz w:val="18"/>
                <w:szCs w:val="18"/>
              </w:rPr>
            </w:pPr>
            <w:r>
              <w:rPr>
                <w:rFonts w:ascii="Times New Roman" w:hAnsi="Times New Roman" w:eastAsia="Calibri"/>
                <w:snapToGrid/>
                <w:color w:val="000000"/>
                <w:sz w:val="18"/>
                <w:szCs w:val="18"/>
              </w:rPr>
              <w:t>0.42</w:t>
            </w:r>
            <w:r w:rsidRPr="000900AE">
              <w:rPr>
                <w:rFonts w:ascii="Times New Roman" w:hAnsi="Times New Roman" w:eastAsia="Calibri"/>
                <w:snapToGrid/>
                <w:color w:val="000000"/>
                <w:sz w:val="18"/>
                <w:szCs w:val="18"/>
              </w:rPr>
              <w:t xml:space="preserve"> hour</w:t>
            </w:r>
            <w:r w:rsidR="00E90A8F">
              <w:rPr>
                <w:rFonts w:ascii="Times New Roman" w:hAnsi="Times New Roman" w:eastAsia="Calibri"/>
                <w:snapToGrid/>
                <w:color w:val="000000"/>
                <w:sz w:val="18"/>
                <w:szCs w:val="18"/>
              </w:rPr>
              <w:t>s</w:t>
            </w:r>
          </w:p>
        </w:tc>
      </w:tr>
      <w:tr w:rsidRPr="000900AE" w:rsidR="00E47A40" w:rsidTr="00E90A8F">
        <w:trPr>
          <w:trHeight w:val="47"/>
        </w:trPr>
        <w:tc>
          <w:tcPr>
            <w:tcW w:w="3885" w:type="dxa"/>
            <w:gridSpan w:val="2"/>
            <w:tcMar>
              <w:top w:w="15" w:type="dxa"/>
              <w:left w:w="15" w:type="dxa"/>
              <w:bottom w:w="0" w:type="dxa"/>
              <w:right w:w="15" w:type="dxa"/>
            </w:tcMar>
            <w:vAlign w:val="center"/>
          </w:tcPr>
          <w:p w:rsidRPr="00C52DA2" w:rsidR="00E47A40" w:rsidP="006505EA" w:rsidRDefault="00E47A40">
            <w:pPr>
              <w:widowControl/>
              <w:jc w:val="right"/>
              <w:rPr>
                <w:rFonts w:ascii="Times New Roman" w:hAnsi="Times New Roman" w:eastAsia="Calibri"/>
                <w:snapToGrid/>
                <w:color w:val="000000"/>
                <w:sz w:val="18"/>
                <w:szCs w:val="18"/>
                <w:shd w:val="clear" w:color="auto" w:fill="FFFFFF"/>
              </w:rPr>
            </w:pPr>
            <w:r w:rsidRPr="00C52DA2">
              <w:rPr>
                <w:rFonts w:ascii="Times New Roman" w:hAnsi="Times New Roman"/>
                <w:b/>
                <w:bCs/>
                <w:color w:val="000000"/>
                <w:sz w:val="18"/>
              </w:rPr>
              <w:t>TOTAL HOURLY BURDEN</w:t>
            </w:r>
          </w:p>
        </w:tc>
        <w:tc>
          <w:tcPr>
            <w:tcW w:w="1080" w:type="dxa"/>
            <w:tcMar>
              <w:top w:w="15" w:type="dxa"/>
              <w:left w:w="15" w:type="dxa"/>
              <w:bottom w:w="0" w:type="dxa"/>
              <w:right w:w="15" w:type="dxa"/>
            </w:tcMar>
            <w:vAlign w:val="center"/>
          </w:tcPr>
          <w:p w:rsidRPr="000900AE" w:rsidR="00E47A40" w:rsidP="006505EA" w:rsidRDefault="00E47A40">
            <w:pPr>
              <w:widowControl/>
              <w:jc w:val="center"/>
              <w:rPr>
                <w:rFonts w:ascii="Arial" w:hAnsi="Arial" w:eastAsia="Calibri" w:cs="Arial"/>
                <w:snapToGrid/>
                <w:color w:val="000000"/>
                <w:sz w:val="18"/>
                <w:szCs w:val="18"/>
              </w:rPr>
            </w:pPr>
          </w:p>
        </w:tc>
        <w:tc>
          <w:tcPr>
            <w:tcW w:w="1170" w:type="dxa"/>
            <w:tcMar>
              <w:top w:w="15" w:type="dxa"/>
              <w:left w:w="15" w:type="dxa"/>
              <w:bottom w:w="0" w:type="dxa"/>
              <w:right w:w="15" w:type="dxa"/>
            </w:tcMar>
            <w:vAlign w:val="center"/>
          </w:tcPr>
          <w:p w:rsidRPr="000900AE" w:rsidR="00E47A40" w:rsidP="006505EA" w:rsidRDefault="00E47A40">
            <w:pPr>
              <w:widowControl/>
              <w:jc w:val="center"/>
              <w:rPr>
                <w:rFonts w:ascii="Arial" w:hAnsi="Arial" w:eastAsia="Calibri" w:cs="Arial"/>
                <w:snapToGrid/>
                <w:color w:val="000000"/>
                <w:sz w:val="18"/>
                <w:szCs w:val="18"/>
              </w:rPr>
            </w:pPr>
          </w:p>
        </w:tc>
        <w:tc>
          <w:tcPr>
            <w:tcW w:w="1170" w:type="dxa"/>
            <w:tcMar>
              <w:top w:w="15" w:type="dxa"/>
              <w:left w:w="15" w:type="dxa"/>
              <w:bottom w:w="0" w:type="dxa"/>
              <w:right w:w="15" w:type="dxa"/>
            </w:tcMar>
            <w:vAlign w:val="center"/>
          </w:tcPr>
          <w:p w:rsidRPr="000900AE" w:rsidR="00E47A40" w:rsidP="006505EA" w:rsidRDefault="00E47A40">
            <w:pPr>
              <w:widowControl/>
              <w:jc w:val="center"/>
              <w:rPr>
                <w:rFonts w:ascii="Arial" w:hAnsi="Arial" w:eastAsia="Calibri" w:cs="Arial"/>
                <w:snapToGrid/>
                <w:color w:val="000000"/>
                <w:sz w:val="18"/>
                <w:szCs w:val="18"/>
              </w:rPr>
            </w:pPr>
          </w:p>
        </w:tc>
        <w:tc>
          <w:tcPr>
            <w:tcW w:w="990" w:type="dxa"/>
          </w:tcPr>
          <w:p w:rsidRPr="00C52DA2" w:rsidR="00E47A40" w:rsidP="006505EA" w:rsidRDefault="00E47A40">
            <w:pPr>
              <w:widowControl/>
              <w:jc w:val="center"/>
              <w:rPr>
                <w:rFonts w:ascii="Times New Roman" w:hAnsi="Times New Roman" w:eastAsia="Calibri"/>
                <w:snapToGrid/>
                <w:sz w:val="18"/>
                <w:szCs w:val="18"/>
              </w:rPr>
            </w:pPr>
          </w:p>
        </w:tc>
        <w:tc>
          <w:tcPr>
            <w:tcW w:w="1095" w:type="dxa"/>
            <w:tcMar>
              <w:top w:w="15" w:type="dxa"/>
              <w:left w:w="15" w:type="dxa"/>
              <w:bottom w:w="0" w:type="dxa"/>
              <w:right w:w="15" w:type="dxa"/>
            </w:tcMar>
            <w:vAlign w:val="center"/>
          </w:tcPr>
          <w:p w:rsidRPr="00C52DA2" w:rsidR="00E47A40" w:rsidP="006505EA" w:rsidRDefault="00E47A40">
            <w:pPr>
              <w:widowControl/>
              <w:jc w:val="center"/>
              <w:rPr>
                <w:rFonts w:ascii="Times New Roman" w:hAnsi="Times New Roman" w:eastAsia="Calibri"/>
                <w:snapToGrid/>
                <w:sz w:val="18"/>
                <w:szCs w:val="18"/>
              </w:rPr>
            </w:pPr>
            <w:r>
              <w:rPr>
                <w:rFonts w:ascii="Times New Roman" w:hAnsi="Times New Roman" w:eastAsia="Calibri"/>
                <w:snapToGrid/>
                <w:sz w:val="18"/>
                <w:szCs w:val="18"/>
              </w:rPr>
              <w:t xml:space="preserve">0.42 </w:t>
            </w:r>
            <w:r w:rsidRPr="00C52DA2">
              <w:rPr>
                <w:rFonts w:ascii="Times New Roman" w:hAnsi="Times New Roman" w:eastAsia="Calibri"/>
                <w:snapToGrid/>
                <w:sz w:val="18"/>
                <w:szCs w:val="18"/>
              </w:rPr>
              <w:t>hours</w:t>
            </w:r>
          </w:p>
        </w:tc>
      </w:tr>
    </w:tbl>
    <w:p w:rsidR="00E47A40" w:rsidP="00E47A40" w:rsidRDefault="00E47A40">
      <w:pPr>
        <w:widowControl/>
        <w:tabs>
          <w:tab w:val="left" w:pos="-1440"/>
        </w:tabs>
        <w:rPr>
          <w:rFonts w:ascii="Times New Roman" w:hAnsi="Times New Roman"/>
        </w:rPr>
      </w:pPr>
      <w:r>
        <w:rPr>
          <w:rFonts w:ascii="Times New Roman" w:hAnsi="Times New Roman"/>
        </w:rPr>
        <w:tab/>
      </w:r>
      <w:r>
        <w:rPr>
          <w:rFonts w:ascii="Times New Roman" w:hAnsi="Times New Roman"/>
        </w:rPr>
        <w:tab/>
      </w:r>
    </w:p>
    <w:p w:rsidRPr="00377132" w:rsidR="00E47A40" w:rsidP="00E47A40" w:rsidRDefault="00E47A40">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Pr>
          <w:rFonts w:ascii="Times New Roman" w:hAnsi="Times New Roman"/>
        </w:rPr>
        <w:t>0.42</w:t>
      </w:r>
      <w:r w:rsidRPr="00377132">
        <w:rPr>
          <w:rFonts w:ascii="Times New Roman" w:hAnsi="Times New Roman"/>
        </w:rPr>
        <w:t xml:space="preserve"> hours</w:t>
      </w:r>
    </w:p>
    <w:p w:rsidRPr="00377132" w:rsidR="00E47A40" w:rsidP="00E47A40" w:rsidRDefault="00E47A40">
      <w:pPr>
        <w:tabs>
          <w:tab w:val="left" w:pos="-1440"/>
        </w:tabs>
        <w:spacing w:line="360" w:lineRule="auto"/>
        <w:ind w:left="1440"/>
        <w:contextualSpacing/>
        <w:rPr>
          <w:rFonts w:ascii="Times New Roman" w:hAnsi="Times New Roman"/>
        </w:rPr>
      </w:pPr>
      <w:r w:rsidRPr="00377132">
        <w:rPr>
          <w:rFonts w:ascii="Times New Roman" w:hAnsi="Times New Roman"/>
        </w:rPr>
        <w:t>The total estimated annual cost for all respondents is:</w:t>
      </w:r>
    </w:p>
    <w:p w:rsidR="00E47A40" w:rsidP="00E47A40" w:rsidRDefault="00E47A40">
      <w:pPr>
        <w:tabs>
          <w:tab w:val="left" w:pos="-1440"/>
        </w:tabs>
        <w:spacing w:line="360" w:lineRule="auto"/>
        <w:ind w:left="1440"/>
        <w:contextualSpacing/>
        <w:rPr>
          <w:rFonts w:ascii="Times New Roman" w:hAnsi="Times New Roman"/>
        </w:rPr>
      </w:pPr>
      <w:r>
        <w:rPr>
          <w:rFonts w:ascii="Times New Roman" w:hAnsi="Times New Roman"/>
        </w:rPr>
        <w:t>0.42</w:t>
      </w:r>
      <w:r w:rsidRPr="00377132">
        <w:rPr>
          <w:rFonts w:ascii="Times New Roman" w:hAnsi="Times New Roman"/>
        </w:rPr>
        <w:t xml:space="preserve"> hours x $</w:t>
      </w:r>
      <w:r>
        <w:rPr>
          <w:rFonts w:ascii="Times New Roman" w:hAnsi="Times New Roman"/>
        </w:rPr>
        <w:t>51.41</w:t>
      </w:r>
      <w:r w:rsidRPr="00377132">
        <w:rPr>
          <w:rFonts w:ascii="Times New Roman" w:hAnsi="Times New Roman"/>
        </w:rPr>
        <w:t xml:space="preserve"> = $</w:t>
      </w:r>
      <w:r>
        <w:rPr>
          <w:rFonts w:ascii="Times New Roman" w:hAnsi="Times New Roman"/>
        </w:rPr>
        <w:t>21.49</w:t>
      </w:r>
    </w:p>
    <w:p w:rsidR="00E47A40" w:rsidP="00E47A40" w:rsidRDefault="00E47A40">
      <w:pPr>
        <w:widowControl/>
        <w:tabs>
          <w:tab w:val="left" w:pos="-1440"/>
        </w:tabs>
        <w:rPr>
          <w:rFonts w:ascii="Times New Roman" w:hAnsi="Times New Roman"/>
        </w:rPr>
      </w:pPr>
    </w:p>
    <w:tbl>
      <w:tblPr>
        <w:tblW w:w="9639" w:type="dxa"/>
        <w:tblCellMar>
          <w:top w:w="43" w:type="dxa"/>
          <w:left w:w="115" w:type="dxa"/>
          <w:bottom w:w="43" w:type="dxa"/>
          <w:right w:w="115" w:type="dxa"/>
        </w:tblCellMar>
        <w:tblLook w:val="04A0" w:firstRow="1" w:lastRow="0" w:firstColumn="1" w:lastColumn="0" w:noHBand="0" w:noVBand="1"/>
      </w:tblPr>
      <w:tblGrid>
        <w:gridCol w:w="3157"/>
        <w:gridCol w:w="2168"/>
        <w:gridCol w:w="1735"/>
        <w:gridCol w:w="2579"/>
      </w:tblGrid>
      <w:tr w:rsidRPr="00C52DA2" w:rsidR="00E47A40" w:rsidTr="006505EA">
        <w:trPr>
          <w:trHeight w:val="394"/>
        </w:trPr>
        <w:tc>
          <w:tcPr>
            <w:tcW w:w="31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Estimated Category of Personnel Responsible for Complying with the PRA Burden</w:t>
            </w:r>
          </w:p>
        </w:tc>
        <w:tc>
          <w:tcPr>
            <w:tcW w:w="2168" w:type="dxa"/>
            <w:tcBorders>
              <w:top w:val="single" w:color="auto" w:sz="4" w:space="0"/>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Total Estimated Hourly Compensation</w:t>
            </w:r>
          </w:p>
        </w:tc>
        <w:tc>
          <w:tcPr>
            <w:tcW w:w="1735" w:type="dxa"/>
            <w:tcBorders>
              <w:top w:val="single" w:color="auto" w:sz="4" w:space="0"/>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Estimated Weights</w:t>
            </w:r>
          </w:p>
        </w:tc>
        <w:tc>
          <w:tcPr>
            <w:tcW w:w="2579" w:type="dxa"/>
            <w:tcBorders>
              <w:top w:val="single" w:color="auto" w:sz="4" w:space="0"/>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Estimated Total Weighted Labor Cost Component</w:t>
            </w:r>
          </w:p>
        </w:tc>
      </w:tr>
      <w:tr w:rsidRPr="00C52DA2" w:rsidR="00E47A40" w:rsidTr="006505EA">
        <w:trPr>
          <w:trHeight w:val="153"/>
        </w:trPr>
        <w:tc>
          <w:tcPr>
            <w:tcW w:w="3157" w:type="dxa"/>
            <w:tcBorders>
              <w:top w:val="nil"/>
              <w:left w:val="single" w:color="auto" w:sz="4" w:space="0"/>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Executives and Managers</w:t>
            </w:r>
            <w:r w:rsidR="00A907C9">
              <w:rPr>
                <w:rFonts w:ascii="Times New Roman" w:hAnsi="Times New Roman"/>
                <w:sz w:val="18"/>
              </w:rPr>
              <w:t>+</w:t>
            </w:r>
          </w:p>
        </w:tc>
        <w:tc>
          <w:tcPr>
            <w:tcW w:w="2168"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Pr>
                <w:rFonts w:ascii="Times New Roman" w:hAnsi="Times New Roman"/>
                <w:sz w:val="18"/>
              </w:rPr>
              <w:t>$123.30</w:t>
            </w:r>
          </w:p>
        </w:tc>
        <w:tc>
          <w:tcPr>
            <w:tcW w:w="1735"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20%</w:t>
            </w:r>
          </w:p>
        </w:tc>
        <w:tc>
          <w:tcPr>
            <w:tcW w:w="2579"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Pr>
                <w:rFonts w:ascii="Times New Roman" w:hAnsi="Times New Roman"/>
                <w:sz w:val="18"/>
              </w:rPr>
              <w:t>$24.66</w:t>
            </w:r>
          </w:p>
        </w:tc>
      </w:tr>
      <w:tr w:rsidRPr="00C52DA2" w:rsidR="00E47A40" w:rsidTr="006505EA">
        <w:trPr>
          <w:trHeight w:val="72"/>
        </w:trPr>
        <w:tc>
          <w:tcPr>
            <w:tcW w:w="3157" w:type="dxa"/>
            <w:tcBorders>
              <w:top w:val="nil"/>
              <w:left w:val="single" w:color="auto" w:sz="4" w:space="0"/>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Clerical</w:t>
            </w:r>
            <w:r w:rsidR="00A907C9">
              <w:rPr>
                <w:rFonts w:ascii="Times New Roman" w:hAnsi="Times New Roman"/>
                <w:sz w:val="18"/>
              </w:rPr>
              <w:t>++</w:t>
            </w:r>
          </w:p>
        </w:tc>
        <w:tc>
          <w:tcPr>
            <w:tcW w:w="2168" w:type="dxa"/>
            <w:tcBorders>
              <w:top w:val="nil"/>
              <w:left w:val="nil"/>
              <w:bottom w:val="single" w:color="auto" w:sz="4" w:space="0"/>
              <w:right w:val="single" w:color="auto" w:sz="4" w:space="0"/>
            </w:tcBorders>
            <w:shd w:val="clear" w:color="auto" w:fill="auto"/>
            <w:vAlign w:val="center"/>
            <w:hideMark/>
          </w:tcPr>
          <w:p w:rsidRPr="00C52DA2" w:rsidR="00E47A40" w:rsidP="00E47A40" w:rsidRDefault="00E47A40">
            <w:pPr>
              <w:widowControl/>
              <w:tabs>
                <w:tab w:val="left" w:pos="-1440"/>
              </w:tabs>
              <w:rPr>
                <w:rFonts w:ascii="Times New Roman" w:hAnsi="Times New Roman"/>
                <w:sz w:val="18"/>
              </w:rPr>
            </w:pPr>
            <w:r w:rsidRPr="00C52DA2">
              <w:rPr>
                <w:rFonts w:ascii="Times New Roman" w:hAnsi="Times New Roman"/>
                <w:sz w:val="18"/>
              </w:rPr>
              <w:t>$33.</w:t>
            </w:r>
            <w:r>
              <w:rPr>
                <w:rFonts w:ascii="Times New Roman" w:hAnsi="Times New Roman"/>
                <w:sz w:val="18"/>
              </w:rPr>
              <w:t>44</w:t>
            </w:r>
          </w:p>
        </w:tc>
        <w:tc>
          <w:tcPr>
            <w:tcW w:w="1735"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80%</w:t>
            </w:r>
          </w:p>
        </w:tc>
        <w:tc>
          <w:tcPr>
            <w:tcW w:w="2579"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Pr>
                <w:rFonts w:ascii="Times New Roman" w:hAnsi="Times New Roman"/>
                <w:sz w:val="18"/>
              </w:rPr>
              <w:t>$26.75</w:t>
            </w:r>
          </w:p>
        </w:tc>
      </w:tr>
      <w:tr w:rsidRPr="00C52DA2" w:rsidR="00E47A40" w:rsidTr="006505EA">
        <w:trPr>
          <w:trHeight w:val="373"/>
        </w:trPr>
        <w:tc>
          <w:tcPr>
            <w:tcW w:w="3157" w:type="dxa"/>
            <w:tcBorders>
              <w:top w:val="nil"/>
              <w:left w:val="single" w:color="auto" w:sz="4" w:space="0"/>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Total Estimated Weighted Average Hourly Compensation Rate</w:t>
            </w:r>
          </w:p>
        </w:tc>
        <w:tc>
          <w:tcPr>
            <w:tcW w:w="2168"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 </w:t>
            </w:r>
          </w:p>
        </w:tc>
        <w:tc>
          <w:tcPr>
            <w:tcW w:w="1735" w:type="dxa"/>
            <w:tcBorders>
              <w:top w:val="nil"/>
              <w:left w:val="nil"/>
              <w:bottom w:val="single" w:color="auto" w:sz="4" w:space="0"/>
              <w:right w:val="single" w:color="auto" w:sz="4" w:space="0"/>
            </w:tcBorders>
            <w:shd w:val="clear" w:color="auto" w:fill="auto"/>
            <w:vAlign w:val="center"/>
            <w:hideMark/>
          </w:tcPr>
          <w:p w:rsidRPr="00C52DA2" w:rsidR="00E47A40" w:rsidP="006505EA" w:rsidRDefault="00E47A40">
            <w:pPr>
              <w:widowControl/>
              <w:tabs>
                <w:tab w:val="left" w:pos="-1440"/>
              </w:tabs>
              <w:rPr>
                <w:rFonts w:ascii="Times New Roman" w:hAnsi="Times New Roman"/>
                <w:sz w:val="18"/>
              </w:rPr>
            </w:pPr>
            <w:r w:rsidRPr="00C52DA2">
              <w:rPr>
                <w:rFonts w:ascii="Times New Roman" w:hAnsi="Times New Roman"/>
                <w:sz w:val="18"/>
              </w:rPr>
              <w:t>100%</w:t>
            </w:r>
          </w:p>
        </w:tc>
        <w:tc>
          <w:tcPr>
            <w:tcW w:w="2579" w:type="dxa"/>
            <w:tcBorders>
              <w:top w:val="nil"/>
              <w:left w:val="nil"/>
              <w:bottom w:val="single" w:color="auto" w:sz="4" w:space="0"/>
              <w:right w:val="single" w:color="auto" w:sz="4" w:space="0"/>
            </w:tcBorders>
            <w:shd w:val="clear" w:color="auto" w:fill="auto"/>
            <w:vAlign w:val="center"/>
            <w:hideMark/>
          </w:tcPr>
          <w:p w:rsidRPr="00C52DA2" w:rsidR="00E47A40" w:rsidP="00E47A40" w:rsidRDefault="00E47A40">
            <w:pPr>
              <w:widowControl/>
              <w:tabs>
                <w:tab w:val="left" w:pos="-1440"/>
              </w:tabs>
              <w:rPr>
                <w:rFonts w:ascii="Times New Roman" w:hAnsi="Times New Roman"/>
                <w:sz w:val="18"/>
              </w:rPr>
            </w:pPr>
            <w:r w:rsidRPr="00C52DA2">
              <w:rPr>
                <w:rFonts w:ascii="Times New Roman" w:hAnsi="Times New Roman"/>
                <w:sz w:val="18"/>
              </w:rPr>
              <w:t>$51.</w:t>
            </w:r>
            <w:r>
              <w:rPr>
                <w:rFonts w:ascii="Times New Roman" w:hAnsi="Times New Roman"/>
                <w:sz w:val="18"/>
              </w:rPr>
              <w:t>41</w:t>
            </w:r>
            <w:r w:rsidRPr="00C52DA2">
              <w:rPr>
                <w:rFonts w:ascii="Times New Roman" w:hAnsi="Times New Roman"/>
                <w:sz w:val="18"/>
              </w:rPr>
              <w:t xml:space="preserve"> </w:t>
            </w:r>
          </w:p>
        </w:tc>
      </w:tr>
    </w:tbl>
    <w:p w:rsidR="00E47A40" w:rsidP="00E47A40" w:rsidRDefault="00A907C9">
      <w:pPr>
        <w:widowControl/>
        <w:tabs>
          <w:tab w:val="left" w:pos="-1440"/>
        </w:tabs>
        <w:rPr>
          <w:rFonts w:ascii="Times New Roman" w:hAnsi="Times New Roman"/>
          <w:sz w:val="18"/>
          <w:lang w:bidi="en-US"/>
        </w:rPr>
      </w:pPr>
      <w:r w:rsidRPr="00A907C9">
        <w:rPr>
          <w:rFonts w:ascii="Times New Roman" w:hAnsi="Times New Roman"/>
          <w:sz w:val="18"/>
        </w:rPr>
        <w:t xml:space="preserve">+ </w:t>
      </w:r>
      <w:r w:rsidRPr="00A907C9">
        <w:rPr>
          <w:rFonts w:ascii="Times New Roman" w:hAnsi="Times New Roman"/>
          <w:sz w:val="18"/>
          <w:lang w:bidi="en-US"/>
        </w:rPr>
        <w:t>Estimated hourly compensation of Management Occupations in the Credit Intermediation and Related Activities sector as of December 2020. This estimate includes the May 2019 75th percentile hourly wage rate reported by the Bureau of Labor Statistics, National Industry-Specific Occupational Employment and Wage Estimates. This wage rate has been adjusted for changes in the Consumer Price Index for all Urban Consumers between May 2019 and December 2020 (1.71 percent) and grossed up by 34 percent to account for non-monetary compensation as reported by the December 2020 Employer Costs for Employee Compensation Data.</w:t>
      </w:r>
    </w:p>
    <w:p w:rsidR="00A907C9" w:rsidP="00E47A40" w:rsidRDefault="00A907C9">
      <w:pPr>
        <w:widowControl/>
        <w:tabs>
          <w:tab w:val="left" w:pos="-1440"/>
        </w:tabs>
        <w:rPr>
          <w:rFonts w:ascii="Times New Roman" w:hAnsi="Times New Roman"/>
          <w:sz w:val="18"/>
          <w:lang w:bidi="en-US"/>
        </w:rPr>
      </w:pPr>
    </w:p>
    <w:p w:rsidRPr="00A907C9" w:rsidR="00A907C9" w:rsidP="00E47A40" w:rsidRDefault="00A907C9">
      <w:pPr>
        <w:widowControl/>
        <w:tabs>
          <w:tab w:val="left" w:pos="-1440"/>
        </w:tabs>
        <w:rPr>
          <w:rFonts w:ascii="Times New Roman" w:hAnsi="Times New Roman"/>
          <w:sz w:val="18"/>
        </w:rPr>
      </w:pPr>
      <w:r>
        <w:rPr>
          <w:rFonts w:ascii="Times New Roman" w:hAnsi="Times New Roman"/>
          <w:sz w:val="18"/>
          <w:lang w:bidi="en-US"/>
        </w:rPr>
        <w:t>++</w:t>
      </w:r>
      <w:r w:rsidRPr="00A907C9">
        <w:rPr>
          <w:rFonts w:ascii="Source Sans Pro" w:hAnsi="Source Sans Pro" w:eastAsia="Source Sans Pro" w:cs="Source Sans Pro"/>
          <w:snapToGrid/>
          <w:sz w:val="20"/>
          <w:lang w:bidi="en-US"/>
        </w:rPr>
        <w:t xml:space="preserve"> </w:t>
      </w:r>
      <w:r w:rsidRPr="00A907C9">
        <w:rPr>
          <w:rFonts w:ascii="Times New Roman" w:hAnsi="Times New Roman"/>
          <w:sz w:val="18"/>
          <w:lang w:bidi="en-US"/>
        </w:rPr>
        <w:t>Estimated hourly compensation of Office and Administrative Support Occupations in the Credit Intermediation and Related Activities sector as of December 2020. This estimate includes the May 2019 75th percentile hourly wage rate reported by the Bureau of Labor Statistics, National Industry-Specific Occupational Employment and Wage Estimates. This wage rate has been adjusted for changes in the Consumer Price Index for all Urban Consumers between May 2019 and December 2020 (1.71 percent) and grossed up by 34 percent to account for non-monetary compensation as reported by the December 2020 Employer Costs for Employee Compensation Data.</w:t>
      </w:r>
    </w:p>
    <w:p w:rsidR="007D7E3F" w:rsidRDefault="007D7E3F">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Pr>
          <w:rFonts w:ascii="Times New Roman" w:hAnsi="Times New Roman"/>
        </w:rPr>
        <w:t>13.</w:t>
      </w:r>
      <w:r>
        <w:rPr>
          <w:rFonts w:ascii="Times New Roman" w:hAnsi="Times New Roman"/>
        </w:rPr>
        <w:tab/>
      </w:r>
      <w:r w:rsidR="002701C6">
        <w:rPr>
          <w:rFonts w:ascii="Times New Roman" w:hAnsi="Times New Roman"/>
          <w:u w:val="single"/>
        </w:rPr>
        <w:t>Estimate of start-up cost to respondents:</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left="1008"/>
        <w:rPr>
          <w:rFonts w:ascii="Times New Roman" w:hAnsi="Times New Roman"/>
        </w:rPr>
      </w:pPr>
      <w:r>
        <w:rPr>
          <w:rFonts w:ascii="Times New Roman" w:hAnsi="Times New Roman"/>
        </w:rPr>
        <w:t>None.</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Pr>
          <w:rFonts w:ascii="Times New Roman" w:hAnsi="Times New Roman"/>
        </w:rPr>
        <w:lastRenderedPageBreak/>
        <w:t>14.</w:t>
      </w:r>
      <w:r>
        <w:rPr>
          <w:rFonts w:ascii="Times New Roman" w:hAnsi="Times New Roman"/>
        </w:rPr>
        <w:tab/>
      </w:r>
      <w:r w:rsidRPr="00586542" w:rsidR="00586542">
        <w:rPr>
          <w:rFonts w:ascii="Times New Roman" w:hAnsi="Times New Roman"/>
          <w:u w:val="single"/>
        </w:rPr>
        <w:t>Estimate of annualized</w:t>
      </w:r>
      <w:r w:rsidR="00586542">
        <w:rPr>
          <w:rFonts w:ascii="Times New Roman" w:hAnsi="Times New Roman"/>
          <w:u w:val="single"/>
        </w:rPr>
        <w:t xml:space="preserve"> cost</w:t>
      </w:r>
      <w:r w:rsidR="002701C6">
        <w:rPr>
          <w:rFonts w:ascii="Times New Roman" w:hAnsi="Times New Roman"/>
          <w:u w:val="single"/>
        </w:rPr>
        <w:t>s</w:t>
      </w:r>
      <w:r w:rsidR="00586542">
        <w:rPr>
          <w:rFonts w:ascii="Times New Roman" w:hAnsi="Times New Roman"/>
          <w:u w:val="single"/>
        </w:rPr>
        <w:t xml:space="preserve"> to the g</w:t>
      </w:r>
      <w:r>
        <w:rPr>
          <w:rFonts w:ascii="Times New Roman" w:hAnsi="Times New Roman"/>
          <w:u w:val="single"/>
        </w:rPr>
        <w:t>overnment</w:t>
      </w:r>
      <w:r w:rsidR="002701C6">
        <w:rPr>
          <w:rFonts w:ascii="Times New Roman" w:hAnsi="Times New Roman"/>
          <w:u w:val="single"/>
        </w:rPr>
        <w:t>:</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r>
        <w:rPr>
          <w:rFonts w:ascii="Times New Roman" w:hAnsi="Times New Roman"/>
        </w:rPr>
        <w:tab/>
      </w:r>
      <w:r>
        <w:rPr>
          <w:rFonts w:ascii="Times New Roman" w:hAnsi="Times New Roman"/>
        </w:rPr>
        <w:tab/>
        <w:t>None.</w:t>
      </w:r>
    </w:p>
    <w:p w:rsidR="00994EDE" w:rsidRDefault="00994EDE">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Pr>
          <w:rFonts w:ascii="Times New Roman" w:hAnsi="Times New Roman"/>
        </w:rPr>
        <w:t>15.</w:t>
      </w:r>
      <w:r>
        <w:rPr>
          <w:rFonts w:ascii="Times New Roman" w:hAnsi="Times New Roman"/>
        </w:rPr>
        <w:tab/>
      </w:r>
      <w:r w:rsidRPr="00586542" w:rsidR="00586542">
        <w:rPr>
          <w:rFonts w:ascii="Times New Roman" w:hAnsi="Times New Roman"/>
          <w:u w:val="single"/>
        </w:rPr>
        <w:t>Analysis of c</w:t>
      </w:r>
      <w:r w:rsidR="00586542">
        <w:rPr>
          <w:rFonts w:ascii="Times New Roman" w:hAnsi="Times New Roman"/>
          <w:u w:val="single"/>
        </w:rPr>
        <w:t>hange in b</w:t>
      </w:r>
      <w:r w:rsidRPr="00586542">
        <w:rPr>
          <w:rFonts w:ascii="Times New Roman" w:hAnsi="Times New Roman"/>
          <w:u w:val="single"/>
        </w:rPr>
        <w:t>urden</w:t>
      </w:r>
      <w:r w:rsidR="00586542">
        <w:rPr>
          <w:rFonts w:ascii="Times New Roman" w:hAnsi="Times New Roman"/>
          <w:u w:val="single"/>
        </w:rPr>
        <w:t>:</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Pr="00A907C9" w:rsidR="00A907C9" w:rsidDel="008C14A7" w:rsidP="00A907C9" w:rsidRDefault="00C07C2D">
      <w:pPr>
        <w:widowControl/>
        <w:tabs>
          <w:tab w:val="left" w:pos="288"/>
          <w:tab w:val="left" w:pos="1008"/>
          <w:tab w:val="left" w:pos="1440"/>
          <w:tab w:val="left" w:pos="1872"/>
          <w:tab w:val="left" w:pos="3168"/>
          <w:tab w:val="left" w:pos="3888"/>
          <w:tab w:val="left" w:pos="7344"/>
        </w:tabs>
        <w:ind w:left="1008"/>
        <w:rPr>
          <w:rFonts w:ascii="Times New Roman" w:hAnsi="Times New Roman"/>
          <w:b/>
          <w:bCs/>
          <w:lang w:bidi="en-US"/>
        </w:rPr>
      </w:pPr>
      <w:r>
        <w:rPr>
          <w:rFonts w:ascii="Times New Roman" w:hAnsi="Times New Roman"/>
        </w:rPr>
        <w:t xml:space="preserve">There is no change in the substance or methodology of this information collection.  </w:t>
      </w:r>
      <w:r>
        <w:rPr>
          <w:rFonts w:ascii="Times New Roman" w:hAnsi="Times New Roman"/>
          <w:lang w:bidi="en-US"/>
        </w:rPr>
        <w:t>Estimated annual burden remains the same</w:t>
      </w:r>
      <w:bookmarkStart w:name="_GoBack" w:id="0"/>
      <w:bookmarkEnd w:id="0"/>
      <w:r w:rsidR="000F577B">
        <w:rPr>
          <w:rFonts w:ascii="Times New Roman" w:hAnsi="Times New Roman"/>
          <w:lang w:bidi="en-US"/>
        </w:rPr>
        <w:t>.</w:t>
      </w:r>
      <w:r w:rsidRPr="00A907C9" w:rsidR="00A907C9">
        <w:rPr>
          <w:rFonts w:ascii="Times New Roman" w:hAnsi="Times New Roman"/>
          <w:lang w:bidi="en-US"/>
        </w:rPr>
        <w:t xml:space="preserve"> </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Pr>
          <w:rFonts w:ascii="Times New Roman" w:hAnsi="Times New Roman"/>
        </w:rPr>
        <w:t>16.</w:t>
      </w:r>
      <w:r>
        <w:rPr>
          <w:rFonts w:ascii="Times New Roman" w:hAnsi="Times New Roman"/>
        </w:rPr>
        <w:tab/>
      </w:r>
      <w:r w:rsidRPr="00586542" w:rsidR="00586542">
        <w:rPr>
          <w:rFonts w:ascii="Times New Roman" w:hAnsi="Times New Roman"/>
          <w:u w:val="single"/>
        </w:rPr>
        <w:t>Information regarding collections whose results are planned to be published for statistical use</w:t>
      </w:r>
      <w:r w:rsidR="00586542">
        <w:rPr>
          <w:rFonts w:ascii="Times New Roman" w:hAnsi="Times New Roman"/>
          <w:u w:val="single"/>
        </w:rPr>
        <w:t>:</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1C7588">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1C7588">
        <w:rPr>
          <w:rFonts w:ascii="Times New Roman" w:hAnsi="Times New Roman"/>
        </w:rPr>
        <w:t xml:space="preserve">No publication is made of this collection of information.  </w:t>
      </w:r>
    </w:p>
    <w:p w:rsidR="001C7588" w:rsidRDefault="001C7588">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00994EDE" w:rsidRDefault="001C7588">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Pr>
          <w:rFonts w:ascii="Times New Roman" w:hAnsi="Times New Roman"/>
          <w:u w:val="single"/>
        </w:rPr>
        <w:t>Exceptions to Display of Expiration Date</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00994EDE" w:rsidRDefault="00994EDE">
      <w:pPr>
        <w:widowControl/>
        <w:tabs>
          <w:tab w:val="left" w:pos="288"/>
          <w:tab w:val="left" w:pos="1008"/>
          <w:tab w:val="left" w:pos="1440"/>
          <w:tab w:val="left" w:pos="1872"/>
          <w:tab w:val="left" w:pos="3168"/>
          <w:tab w:val="left" w:pos="3888"/>
          <w:tab w:val="left" w:pos="7344"/>
        </w:tabs>
        <w:ind w:left="1008"/>
        <w:rPr>
          <w:rFonts w:ascii="Times New Roman" w:hAnsi="Times New Roman"/>
        </w:rPr>
      </w:pPr>
      <w:r>
        <w:rPr>
          <w:rFonts w:ascii="Times New Roman" w:hAnsi="Times New Roman"/>
        </w:rPr>
        <w:t>The new expiration date will be shown.</w:t>
      </w:r>
    </w:p>
    <w:p w:rsidR="00994EDE" w:rsidRDefault="00994EDE">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left="1008"/>
        <w:rPr>
          <w:rFonts w:ascii="Times New Roman" w:hAnsi="Times New Roman"/>
        </w:rPr>
      </w:pPr>
      <w:r>
        <w:rPr>
          <w:rFonts w:ascii="Times New Roman" w:hAnsi="Times New Roman"/>
        </w:rPr>
        <w:t>None.</w:t>
      </w:r>
    </w:p>
    <w:p w:rsidR="00994EDE" w:rsidRDefault="00994EDE">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994EDE" w:rsidRDefault="00994EDE">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Default="00994EDE">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Pr>
          <w:rFonts w:ascii="Times New Roman" w:hAnsi="Times New Roman"/>
        </w:rPr>
        <w:t>N</w:t>
      </w:r>
      <w:r w:rsidR="008426CB">
        <w:rPr>
          <w:rFonts w:ascii="Times New Roman" w:hAnsi="Times New Roman"/>
        </w:rPr>
        <w:t>ot applicable</w:t>
      </w:r>
      <w:r>
        <w:rPr>
          <w:rFonts w:ascii="Times New Roman" w:hAnsi="Times New Roman"/>
        </w:rPr>
        <w:t>.</w:t>
      </w:r>
    </w:p>
    <w:sectPr w:rsidR="00994ED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EA" w:rsidRDefault="006505EA">
      <w:r>
        <w:separator/>
      </w:r>
    </w:p>
  </w:endnote>
  <w:endnote w:type="continuationSeparator" w:id="0">
    <w:p w:rsidR="006505EA" w:rsidRDefault="0065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E" w:rsidRDefault="00994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4EDE" w:rsidRDefault="0099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E" w:rsidRDefault="0099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E" w:rsidRDefault="0099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EA" w:rsidRDefault="006505EA">
      <w:r>
        <w:separator/>
      </w:r>
    </w:p>
  </w:footnote>
  <w:footnote w:type="continuationSeparator" w:id="0">
    <w:p w:rsidR="006505EA" w:rsidRDefault="0065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E" w:rsidRDefault="0099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E" w:rsidRDefault="0099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DE" w:rsidRDefault="0099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863D6"/>
    <w:rsid w:val="000F577B"/>
    <w:rsid w:val="001C7588"/>
    <w:rsid w:val="002701C6"/>
    <w:rsid w:val="00520F64"/>
    <w:rsid w:val="00547707"/>
    <w:rsid w:val="00551535"/>
    <w:rsid w:val="00563A78"/>
    <w:rsid w:val="00586542"/>
    <w:rsid w:val="0063384E"/>
    <w:rsid w:val="006505EA"/>
    <w:rsid w:val="00680823"/>
    <w:rsid w:val="007D7E3F"/>
    <w:rsid w:val="00823A18"/>
    <w:rsid w:val="008426CB"/>
    <w:rsid w:val="00845C62"/>
    <w:rsid w:val="008D0235"/>
    <w:rsid w:val="008E4EB0"/>
    <w:rsid w:val="00945A45"/>
    <w:rsid w:val="00994EDE"/>
    <w:rsid w:val="00A907C9"/>
    <w:rsid w:val="00C07C2D"/>
    <w:rsid w:val="00C36DBB"/>
    <w:rsid w:val="00C81EE6"/>
    <w:rsid w:val="00CE2D0F"/>
    <w:rsid w:val="00D17E74"/>
    <w:rsid w:val="00D566F2"/>
    <w:rsid w:val="00DD39B4"/>
    <w:rsid w:val="00E47A40"/>
    <w:rsid w:val="00E9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63D6"/>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ic.gov/for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EC31-5608-407E-AC4D-78EA82E9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7442</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2011-11-15T15:59:00Z</cp:lastPrinted>
  <dcterms:created xsi:type="dcterms:W3CDTF">2021-04-19T19:00:00Z</dcterms:created>
  <dcterms:modified xsi:type="dcterms:W3CDTF">2021-04-19T19:01:00Z</dcterms:modified>
</cp:coreProperties>
</file>