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2425" w:rsidR="00183ADC" w:rsidRDefault="00183ADC">
      <w:pPr>
        <w:jc w:val="center"/>
        <w:rPr>
          <w:b/>
        </w:rPr>
      </w:pPr>
      <w:r w:rsidRPr="00742425">
        <w:rPr>
          <w:b/>
        </w:rPr>
        <w:t>SUPPORTING STATEMENT</w:t>
      </w:r>
    </w:p>
    <w:p w:rsidR="00183ADC" w:rsidRDefault="00183ADC">
      <w:pPr>
        <w:jc w:val="center"/>
      </w:pPr>
      <w:r>
        <w:t>FOREIGN BANKS</w:t>
      </w:r>
    </w:p>
    <w:p w:rsidR="00183ADC" w:rsidRDefault="00183ADC">
      <w:pPr>
        <w:jc w:val="center"/>
      </w:pPr>
      <w:r>
        <w:t>(</w:t>
      </w:r>
      <w:r w:rsidR="00927725">
        <w:t xml:space="preserve">OMB CONTROL NO. </w:t>
      </w:r>
      <w:r>
        <w:t>3064-0114)</w:t>
      </w:r>
    </w:p>
    <w:p w:rsidR="00183ADC" w:rsidRDefault="00183ADC">
      <w:pPr>
        <w:jc w:val="center"/>
      </w:pPr>
    </w:p>
    <w:p w:rsidR="00183ADC" w:rsidRDefault="00183ADC">
      <w:pPr>
        <w:jc w:val="center"/>
        <w:rPr>
          <w:u w:val="single"/>
        </w:rPr>
      </w:pPr>
    </w:p>
    <w:p w:rsidR="00183ADC" w:rsidRDefault="00183ADC">
      <w:r>
        <w:rPr>
          <w:u w:val="single"/>
        </w:rPr>
        <w:t>INTRODUCTION</w:t>
      </w:r>
      <w:bookmarkStart w:name="_GoBack" w:id="0"/>
      <w:bookmarkEnd w:id="0"/>
    </w:p>
    <w:p w:rsidR="00183ADC" w:rsidRDefault="00183ADC"/>
    <w:p w:rsidR="00183ADC" w:rsidP="009C1D2B" w:rsidRDefault="00927725">
      <w:pPr>
        <w:spacing w:after="120"/>
      </w:pPr>
      <w:r w:rsidRPr="00927725">
        <w:t xml:space="preserve">The FDIC is requesting OMB approval to extend, without change, the information collection entitled </w:t>
      </w:r>
      <w:r>
        <w:t xml:space="preserve">“Foreign Banks.” </w:t>
      </w:r>
      <w:r w:rsidR="009C1D2B">
        <w:t xml:space="preserve">which has been cleared by OMB (Control No. 3064-0114) and currently expires on </w:t>
      </w:r>
      <w:r>
        <w:t>April 30,</w:t>
      </w:r>
      <w:r w:rsidR="009C1D2B">
        <w:t xml:space="preserve"> 20</w:t>
      </w:r>
      <w:r>
        <w:t>21</w:t>
      </w:r>
      <w:r w:rsidR="009C1D2B">
        <w:t xml:space="preserve">.  </w:t>
      </w:r>
      <w:r w:rsidR="00183ADC">
        <w:t xml:space="preserve">  </w:t>
      </w:r>
    </w:p>
    <w:p w:rsidR="006304BC" w:rsidP="009C1D2B" w:rsidRDefault="006304BC">
      <w:pPr>
        <w:spacing w:after="120"/>
      </w:pPr>
      <w:r w:rsidRPr="006304BC">
        <w:t xml:space="preserve">This information collection consists of, among other things, internal recordkeeping by insured branches of foreign banks, and reporting requirements related to an insured branch's pledge of assets to the FDIC.  </w:t>
      </w:r>
    </w:p>
    <w:p w:rsidR="00183ADC" w:rsidRDefault="00183ADC"/>
    <w:p w:rsidR="00183ADC" w:rsidP="007518E6" w:rsidRDefault="00183ADC">
      <w:pPr>
        <w:numPr>
          <w:ilvl w:val="0"/>
          <w:numId w:val="5"/>
        </w:numPr>
        <w:tabs>
          <w:tab w:val="center" w:pos="-360"/>
        </w:tabs>
        <w:spacing w:after="120"/>
        <w:ind w:left="540"/>
      </w:pPr>
      <w:r>
        <w:rPr>
          <w:u w:val="single"/>
        </w:rPr>
        <w:t>JUSTIFICATION</w:t>
      </w:r>
    </w:p>
    <w:p w:rsidRPr="00553D78" w:rsidR="00553D78" w:rsidP="00553D78" w:rsidRDefault="00553D78">
      <w:pPr>
        <w:tabs>
          <w:tab w:val="left" w:pos="-1440"/>
        </w:tabs>
        <w:ind w:left="720" w:hanging="360"/>
      </w:pPr>
    </w:p>
    <w:p w:rsidR="00553D78" w:rsidP="005944E5" w:rsidRDefault="00553D78">
      <w:pPr>
        <w:numPr>
          <w:ilvl w:val="0"/>
          <w:numId w:val="6"/>
        </w:numPr>
        <w:tabs>
          <w:tab w:val="left" w:pos="-1440"/>
        </w:tabs>
        <w:rPr>
          <w:b/>
          <w:bCs/>
          <w:iCs/>
          <w:szCs w:val="24"/>
          <w:u w:val="single"/>
        </w:rPr>
      </w:pPr>
      <w:r w:rsidRPr="00553D78">
        <w:rPr>
          <w:b/>
          <w:bCs/>
          <w:iCs/>
          <w:szCs w:val="24"/>
          <w:u w:val="single"/>
        </w:rPr>
        <w:t xml:space="preserve">Circumstances that make the collection </w:t>
      </w:r>
      <w:r w:rsidRPr="00553D78">
        <w:rPr>
          <w:b/>
          <w:bCs/>
          <w:iCs/>
          <w:u w:val="single"/>
        </w:rPr>
        <w:t>necessary</w:t>
      </w:r>
      <w:r w:rsidRPr="00553D78">
        <w:rPr>
          <w:b/>
          <w:bCs/>
          <w:iCs/>
          <w:szCs w:val="24"/>
          <w:u w:val="single"/>
        </w:rPr>
        <w:t>:</w:t>
      </w:r>
    </w:p>
    <w:p w:rsidRPr="00553D78" w:rsidR="005944E5" w:rsidP="005944E5" w:rsidRDefault="005944E5">
      <w:pPr>
        <w:tabs>
          <w:tab w:val="left" w:pos="-1440"/>
        </w:tabs>
        <w:ind w:left="720"/>
      </w:pPr>
    </w:p>
    <w:p w:rsidR="00183ADC" w:rsidP="005944E5" w:rsidRDefault="00183ADC">
      <w:pPr>
        <w:spacing w:after="240"/>
        <w:ind w:left="630"/>
      </w:pPr>
      <w:r>
        <w:t>A uniform standardized process is required to permit state-licensed branches of foreign banks to comply with, and seek exceptions to, various legal requirements and prohibitions relating to branches of foreign banks that operate in the U.S.</w:t>
      </w:r>
    </w:p>
    <w:p w:rsidR="005944E5" w:rsidP="005944E5" w:rsidRDefault="003643DB">
      <w:pPr>
        <w:spacing w:after="240"/>
        <w:ind w:left="720" w:hanging="270"/>
        <w:rPr>
          <w:b/>
          <w:bCs/>
          <w:iCs/>
          <w:szCs w:val="24"/>
          <w:u w:val="single"/>
        </w:rPr>
      </w:pPr>
      <w:r>
        <w:t>2</w:t>
      </w:r>
      <w:r w:rsidRPr="00553D78">
        <w:t>.</w:t>
      </w:r>
      <w:r w:rsidRPr="00553D78">
        <w:tab/>
      </w:r>
      <w:r w:rsidRPr="00E656E5">
        <w:rPr>
          <w:b/>
          <w:bCs/>
          <w:iCs/>
          <w:szCs w:val="24"/>
          <w:u w:val="single"/>
        </w:rPr>
        <w:t xml:space="preserve">Use of </w:t>
      </w:r>
      <w:r w:rsidRPr="00E656E5">
        <w:rPr>
          <w:b/>
          <w:u w:val="single"/>
        </w:rPr>
        <w:t>the</w:t>
      </w:r>
      <w:r w:rsidRPr="00E656E5">
        <w:rPr>
          <w:b/>
          <w:bCs/>
          <w:iCs/>
          <w:szCs w:val="24"/>
          <w:u w:val="single"/>
        </w:rPr>
        <w:t xml:space="preserve"> </w:t>
      </w:r>
      <w:r w:rsidRPr="00E656E5">
        <w:rPr>
          <w:b/>
          <w:bCs/>
          <w:iCs/>
          <w:u w:val="single"/>
        </w:rPr>
        <w:t>information</w:t>
      </w:r>
      <w:r w:rsidRPr="00E656E5">
        <w:rPr>
          <w:b/>
          <w:bCs/>
          <w:iCs/>
          <w:szCs w:val="24"/>
          <w:u w:val="single"/>
        </w:rPr>
        <w:t>:</w:t>
      </w:r>
    </w:p>
    <w:p w:rsidR="00553D78" w:rsidP="005944E5" w:rsidRDefault="00183ADC">
      <w:pPr>
        <w:spacing w:after="240"/>
        <w:ind w:left="720"/>
      </w:pPr>
      <w:r>
        <w:t xml:space="preserve">The information is used by the FDIC to determine compliance with various provisions of the International Banking Act, the FDI Act, and the FDIC’s regulations implementing those laws. </w:t>
      </w:r>
    </w:p>
    <w:p w:rsidR="00553D78" w:rsidP="005944E5" w:rsidRDefault="00553D78">
      <w:pPr>
        <w:spacing w:after="240"/>
        <w:ind w:left="720"/>
      </w:pPr>
      <w:r>
        <w:rPr>
          <w:u w:val="single"/>
        </w:rPr>
        <w:t>Application for consent to move an insured branch of a foreign bank.</w:t>
      </w:r>
    </w:p>
    <w:p w:rsidR="00553D78" w:rsidP="005944E5" w:rsidRDefault="00553D78">
      <w:pPr>
        <w:spacing w:after="240"/>
        <w:ind w:left="720"/>
      </w:pPr>
      <w:r>
        <w:t>The FDIC’s regulations at 12 CFR 303.184 provide an administrative procedure for insured branches of foreign banks to apply to the FDIC for permission to move.  The application constitutes an information collection under the PRA.</w:t>
      </w:r>
    </w:p>
    <w:p w:rsidR="00553D78" w:rsidP="005944E5" w:rsidRDefault="00553D78">
      <w:pPr>
        <w:spacing w:after="240"/>
        <w:ind w:left="720"/>
      </w:pPr>
      <w:r w:rsidRPr="00D412B7">
        <w:rPr>
          <w:u w:val="single"/>
        </w:rPr>
        <w:t>Application</w:t>
      </w:r>
      <w:r w:rsidRPr="007518E6">
        <w:rPr>
          <w:u w:val="single"/>
        </w:rPr>
        <w:t xml:space="preserve"> </w:t>
      </w:r>
      <w:r>
        <w:rPr>
          <w:u w:val="single"/>
        </w:rPr>
        <w:t>for consent to operate as a noninsured branch</w:t>
      </w:r>
    </w:p>
    <w:p w:rsidR="00553D78" w:rsidP="005944E5" w:rsidRDefault="00553D78">
      <w:pPr>
        <w:spacing w:after="240"/>
        <w:ind w:left="720"/>
      </w:pPr>
      <w:r>
        <w:t>The International Banking Act at 12 U.S.C. 3104 (c)  prohibits a noninsured state-licensed branch of a foreign bank from receiving deposits of less than $100,000 unless the FDIC determines by regulation or order that the branch is not engaged in domestic retail deposit activities requiring deposit insurance.  FDIC rules at 12 CFR 303.186 set forth a procedure for a noninsured state-licensed branch of a foreign bank to apply for exceptions to the prohibition.  The application constitutes an information collection under the PRA.</w:t>
      </w:r>
    </w:p>
    <w:p w:rsidR="00553D78" w:rsidP="00D412B7" w:rsidRDefault="00553D78">
      <w:pPr>
        <w:keepNext/>
        <w:keepLines/>
        <w:spacing w:after="240"/>
        <w:ind w:left="720"/>
      </w:pPr>
      <w:r>
        <w:rPr>
          <w:u w:val="single"/>
        </w:rPr>
        <w:lastRenderedPageBreak/>
        <w:t>Approval to Conduct Activities Not Permissible for Federal Branches</w:t>
      </w:r>
    </w:p>
    <w:p w:rsidR="00553D78" w:rsidP="005944E5" w:rsidRDefault="00553D78">
      <w:pPr>
        <w:spacing w:after="240"/>
        <w:ind w:left="720"/>
      </w:pPr>
      <w:r>
        <w:t>The International Banking Act at 12 U.S.C. 3105(h) provides that such a branch may not engage in any activity which is not permissible for a federal branch of a foreign bank unless (i) the Board of Governors of the Federal Reserve System has determined that the activity is consistent with safe and sound banking practice, and (ii) the FDIC has determined that the activity would pose no significant risk to the deposit insurance fund.  FDIC rules at 12 CFR 303.187 set out procedures to apply for permission to engage in, or continue to engage in, an activity which is not permissible for a federal branch of a foreign bank.  The sections also provide for the submission of a plan to discontinue those activities determined to pose significant risk to the deposit insurance fund.  The application and the plan constitute information collections under the PRA.</w:t>
      </w:r>
    </w:p>
    <w:p w:rsidR="00553D78" w:rsidP="005944E5" w:rsidRDefault="00553D78">
      <w:pPr>
        <w:spacing w:after="240"/>
        <w:ind w:left="720"/>
      </w:pPr>
      <w:r>
        <w:rPr>
          <w:u w:val="single"/>
        </w:rPr>
        <w:t xml:space="preserve">Recordkeeping by </w:t>
      </w:r>
      <w:r w:rsidRPr="00D412B7">
        <w:rPr>
          <w:u w:val="single"/>
        </w:rPr>
        <w:t>Insured</w:t>
      </w:r>
      <w:r>
        <w:rPr>
          <w:u w:val="single"/>
        </w:rPr>
        <w:t xml:space="preserve"> Branches of Foreign Banks</w:t>
      </w:r>
    </w:p>
    <w:p w:rsidR="00553D78" w:rsidP="005944E5" w:rsidRDefault="00553D78">
      <w:pPr>
        <w:spacing w:after="240"/>
        <w:ind w:left="720"/>
      </w:pPr>
      <w:r>
        <w:t>In connection with granting insurance to such a branch, the FDI Act at 12 U.S.C. 1815(b) requires the FDIC to consider the probable adequacy and reliability of information to be supplied by the bank to the FDIC to enable the FDIC to carry out its functions.  Since such a branch meets the definition of an “insured depository institution” and the FDIC is designated as its appropriate federal banking agency, the branch is subject to examination and supervision by the FDIC.  Accordingly, the FDIC’s rules at 12 CFR 347.205 require such a branch to maintain a set of accounts and records in English, and to maintain its records as a separate entity with assets and liabilities separate from the foreign bank’s head office, other branches, etc.  These record-keeping requirements constitute information collections under the PRA.</w:t>
      </w:r>
    </w:p>
    <w:p w:rsidR="00553D78" w:rsidP="005944E5" w:rsidRDefault="00553D78">
      <w:pPr>
        <w:spacing w:after="240"/>
        <w:ind w:left="720"/>
      </w:pPr>
      <w:r>
        <w:rPr>
          <w:u w:val="single"/>
        </w:rPr>
        <w:t>Pledge of Assets by Insured Branches of Foreign Banks</w:t>
      </w:r>
    </w:p>
    <w:p w:rsidR="00553D78" w:rsidP="005944E5" w:rsidRDefault="00553D78">
      <w:pPr>
        <w:spacing w:after="240"/>
        <w:ind w:left="720"/>
      </w:pPr>
      <w:r>
        <w:t>The FDI Act at 12 U.S.C. 1815(c) requires such branches to pledge assets to the FDIC, to protect the Bank Insurance Fund from the risk of insuring an entity whose assets are largely outside the United States.  In its rules at 12 CFR 347.209(e)(4), the FDIC specifies procedures under which pledged assets are placed in the hands of a third party depository, and at 347.209(e)(6) requires the branch and the depository to make certain reports to the FDIC to verify that the pledge requirements are being carried out.  The reports, and documentation for the pledges, constitute collections of information under the PRA.</w:t>
      </w:r>
    </w:p>
    <w:p w:rsidR="00183ADC" w:rsidP="005944E5" w:rsidRDefault="00183ADC">
      <w:pPr>
        <w:spacing w:after="240"/>
      </w:pPr>
    </w:p>
    <w:p w:rsidRPr="003643DB" w:rsidR="003643DB" w:rsidP="003643DB" w:rsidRDefault="003643DB">
      <w:pPr>
        <w:keepNext/>
        <w:tabs>
          <w:tab w:val="left" w:pos="-1440"/>
        </w:tabs>
        <w:ind w:left="720" w:hanging="360"/>
      </w:pPr>
      <w:r w:rsidRPr="003643DB">
        <w:t>3.</w:t>
      </w:r>
      <w:r w:rsidRPr="003643DB">
        <w:tab/>
      </w:r>
      <w:r w:rsidRPr="003643DB">
        <w:rPr>
          <w:b/>
          <w:bCs/>
          <w:iCs/>
          <w:u w:val="single"/>
        </w:rPr>
        <w:t>Consideration</w:t>
      </w:r>
      <w:r w:rsidRPr="003643DB">
        <w:rPr>
          <w:b/>
          <w:bCs/>
          <w:iCs/>
          <w:szCs w:val="24"/>
          <w:u w:val="single"/>
        </w:rPr>
        <w:t xml:space="preserve"> of the use of improved information technology:</w:t>
      </w:r>
    </w:p>
    <w:p w:rsidR="00183ADC" w:rsidP="00AA2DC4" w:rsidRDefault="00183ADC">
      <w:pPr>
        <w:spacing w:after="240"/>
        <w:ind w:left="720"/>
      </w:pPr>
      <w:r>
        <w:t>No s</w:t>
      </w:r>
      <w:r w:rsidR="00927725">
        <w:t>pecial technology is required</w:t>
      </w:r>
      <w:r>
        <w:t xml:space="preserve"> for these collections; banks may use any technology they find appropriate.</w:t>
      </w:r>
    </w:p>
    <w:p w:rsidR="00183ADC" w:rsidP="005944E5" w:rsidRDefault="00183ADC">
      <w:pPr>
        <w:tabs>
          <w:tab w:val="left" w:pos="-1440"/>
        </w:tabs>
        <w:spacing w:after="120"/>
        <w:ind w:left="360"/>
        <w:rPr>
          <w:u w:val="single"/>
        </w:rPr>
      </w:pPr>
      <w:r>
        <w:t>4.</w:t>
      </w:r>
      <w:r>
        <w:tab/>
      </w:r>
      <w:r w:rsidRPr="005944E5">
        <w:rPr>
          <w:b/>
          <w:u w:val="single"/>
        </w:rPr>
        <w:t>Efforts to Identify Duplication</w:t>
      </w:r>
    </w:p>
    <w:p w:rsidR="00183ADC" w:rsidP="00AA2DC4" w:rsidRDefault="00183ADC">
      <w:pPr>
        <w:spacing w:after="240"/>
        <w:ind w:left="720"/>
      </w:pPr>
      <w:r>
        <w:t>The information cannot be obtained from other sources.</w:t>
      </w:r>
    </w:p>
    <w:p w:rsidR="003643DB" w:rsidP="00D412B7" w:rsidRDefault="003643DB">
      <w:pPr>
        <w:widowControl/>
        <w:tabs>
          <w:tab w:val="left" w:pos="-1440"/>
        </w:tabs>
        <w:ind w:left="720" w:hanging="360"/>
        <w:rPr>
          <w:b/>
          <w:bCs/>
          <w:iCs/>
          <w:u w:val="single"/>
        </w:rPr>
      </w:pPr>
      <w:r w:rsidRPr="003643DB">
        <w:lastRenderedPageBreak/>
        <w:t>5.</w:t>
      </w:r>
      <w:r w:rsidRPr="003643DB">
        <w:tab/>
      </w:r>
      <w:r w:rsidRPr="003643DB">
        <w:rPr>
          <w:b/>
          <w:bCs/>
          <w:iCs/>
          <w:u w:val="single"/>
        </w:rPr>
        <w:t>Methods used to minimize burden if the collection has a significant impact on a substantial number of small entities:</w:t>
      </w:r>
    </w:p>
    <w:p w:rsidRPr="003643DB" w:rsidR="005944E5" w:rsidP="003643DB" w:rsidRDefault="005944E5">
      <w:pPr>
        <w:tabs>
          <w:tab w:val="left" w:pos="-1440"/>
        </w:tabs>
        <w:ind w:left="720" w:hanging="360"/>
      </w:pPr>
    </w:p>
    <w:p w:rsidR="00183ADC" w:rsidP="00AA2DC4" w:rsidRDefault="00183ADC">
      <w:pPr>
        <w:spacing w:after="240"/>
        <w:ind w:left="720"/>
      </w:pPr>
      <w:r>
        <w:t>The requirement has been designed to impose the minimal burden consistent with the FDIC’s supervisory obligations.  The FDIC permits smaller institutions to utilize less formalized systems, if consistent with their activities.</w:t>
      </w:r>
    </w:p>
    <w:p w:rsidR="003643DB" w:rsidP="003643DB" w:rsidRDefault="003643DB">
      <w:pPr>
        <w:keepNext/>
        <w:keepLines/>
        <w:tabs>
          <w:tab w:val="left" w:pos="-1440"/>
        </w:tabs>
        <w:ind w:left="720" w:hanging="360"/>
        <w:rPr>
          <w:b/>
          <w:bCs/>
          <w:iCs/>
          <w:u w:val="single"/>
        </w:rPr>
      </w:pPr>
      <w:r w:rsidRPr="003643DB">
        <w:t>6.</w:t>
      </w:r>
      <w:r w:rsidRPr="003643DB">
        <w:tab/>
      </w:r>
      <w:r w:rsidRPr="003643DB">
        <w:rPr>
          <w:b/>
          <w:bCs/>
          <w:iCs/>
          <w:u w:val="single"/>
        </w:rPr>
        <w:t>Consequences to the Federal program if the collection were conducted less frequently:</w:t>
      </w:r>
    </w:p>
    <w:p w:rsidRPr="003643DB" w:rsidR="005944E5" w:rsidP="003643DB" w:rsidRDefault="005944E5">
      <w:pPr>
        <w:keepNext/>
        <w:keepLines/>
        <w:tabs>
          <w:tab w:val="left" w:pos="-1440"/>
        </w:tabs>
        <w:ind w:left="720" w:hanging="360"/>
        <w:rPr>
          <w:b/>
          <w:bCs/>
          <w:iCs/>
          <w:u w:val="single"/>
        </w:rPr>
      </w:pPr>
    </w:p>
    <w:p w:rsidR="00183ADC" w:rsidP="008C7B1A" w:rsidRDefault="00183ADC">
      <w:pPr>
        <w:spacing w:after="120"/>
        <w:ind w:left="720"/>
      </w:pPr>
      <w:r>
        <w:t xml:space="preserve">Application for consent to </w:t>
      </w:r>
      <w:r w:rsidR="00997AE0">
        <w:t xml:space="preserve">move or </w:t>
      </w:r>
      <w:r w:rsidR="008F4B26">
        <w:t xml:space="preserve">to </w:t>
      </w:r>
      <w:r>
        <w:t>operate, approval to conduct activities, and recordkeeping:  the information is collected only once.</w:t>
      </w:r>
    </w:p>
    <w:p w:rsidR="00183ADC" w:rsidP="00AA2DC4" w:rsidRDefault="00183ADC">
      <w:pPr>
        <w:spacing w:after="240"/>
        <w:ind w:left="720"/>
      </w:pPr>
      <w:r>
        <w:t>Pledge of assets: Quarterly reporting of securities and liabilities is required; less frequent reporting would not permit the FDIC to exercise its insurance function prudentially,   because the value of the securities pledged and the amount of the branch’s liabilities fluctuate constantly.  Concurrent reporting of documents conveyed by the insured branch to the depository in connection with pledging new assets is prudent because the form of such documentation determines the enforceability and validity of the pledge.</w:t>
      </w:r>
    </w:p>
    <w:p w:rsidRPr="003643DB" w:rsidR="003643DB" w:rsidP="003643DB" w:rsidRDefault="003643DB">
      <w:pPr>
        <w:tabs>
          <w:tab w:val="left" w:pos="-1440"/>
        </w:tabs>
        <w:ind w:left="720" w:hanging="360"/>
        <w:rPr>
          <w:b/>
          <w:bCs/>
          <w:iCs/>
        </w:rPr>
      </w:pPr>
      <w:r w:rsidRPr="003643DB">
        <w:t>7.</w:t>
      </w:r>
      <w:r w:rsidRPr="003643DB">
        <w:tab/>
      </w:r>
      <w:r w:rsidRPr="003643DB">
        <w:rPr>
          <w:b/>
          <w:bCs/>
          <w:iCs/>
          <w:u w:val="single"/>
        </w:rPr>
        <w:t>Special circumstances necessitating collection inconsistent with 5 CFR Part 1320.5(d)(2):</w:t>
      </w:r>
    </w:p>
    <w:p w:rsidRPr="003643DB" w:rsidR="003643DB" w:rsidP="003643DB" w:rsidRDefault="003643DB"/>
    <w:p w:rsidR="003643DB" w:rsidP="003643DB" w:rsidRDefault="003643DB">
      <w:pPr>
        <w:ind w:left="720"/>
        <w:rPr>
          <w:bCs/>
          <w:iCs/>
          <w:szCs w:val="24"/>
        </w:rPr>
      </w:pPr>
      <w:r w:rsidRPr="003643DB">
        <w:rPr>
          <w:bCs/>
          <w:iCs/>
          <w:szCs w:val="24"/>
        </w:rPr>
        <w:t xml:space="preserve">None.  </w:t>
      </w:r>
      <w:r w:rsidRPr="003643DB">
        <w:t>The</w:t>
      </w:r>
      <w:r w:rsidRPr="003643DB">
        <w:rPr>
          <w:bCs/>
          <w:iCs/>
          <w:szCs w:val="24"/>
        </w:rPr>
        <w:t xml:space="preserve"> information is collected in a manner consistent with 5 CFR 1320.5(d)(2).</w:t>
      </w:r>
    </w:p>
    <w:p w:rsidRPr="003643DB" w:rsidR="005944E5" w:rsidP="003643DB" w:rsidRDefault="005944E5">
      <w:pPr>
        <w:ind w:left="720"/>
      </w:pPr>
    </w:p>
    <w:p w:rsidRPr="003643DB" w:rsidR="003643DB" w:rsidP="003643DB" w:rsidRDefault="003643DB">
      <w:pPr>
        <w:tabs>
          <w:tab w:val="left" w:pos="-1440"/>
        </w:tabs>
        <w:ind w:left="720" w:hanging="360"/>
      </w:pPr>
      <w:r w:rsidRPr="003643DB">
        <w:t>8.</w:t>
      </w:r>
      <w:r w:rsidRPr="003643DB">
        <w:tab/>
      </w:r>
      <w:r w:rsidRPr="003643DB">
        <w:rPr>
          <w:b/>
          <w:bCs/>
          <w:iCs/>
          <w:u w:val="single"/>
        </w:rPr>
        <w:t>Efforts</w:t>
      </w:r>
      <w:r w:rsidRPr="003643DB">
        <w:rPr>
          <w:b/>
          <w:bCs/>
          <w:iCs/>
          <w:szCs w:val="24"/>
          <w:u w:val="single"/>
        </w:rPr>
        <w:t xml:space="preserve"> to consult with persons outside the agency:</w:t>
      </w:r>
    </w:p>
    <w:p w:rsidR="00ED79BB" w:rsidP="00ED79BB" w:rsidRDefault="00ED79BB">
      <w:pPr>
        <w:widowControl/>
        <w:ind w:left="720"/>
      </w:pPr>
      <w:r>
        <w:t xml:space="preserve">A notice seeking public comment for a 60-day period was published in the </w:t>
      </w:r>
      <w:r>
        <w:rPr>
          <w:i/>
        </w:rPr>
        <w:t>Federal Register</w:t>
      </w:r>
      <w:r>
        <w:t xml:space="preserve"> on February 17, 2020 (86 FR 9935, February 17, 2021).  No comments were received. </w:t>
      </w:r>
    </w:p>
    <w:p w:rsidR="00ED79BB" w:rsidP="00ED79BB" w:rsidRDefault="00ED79BB">
      <w:pPr>
        <w:widowControl/>
        <w:ind w:left="1440"/>
      </w:pPr>
    </w:p>
    <w:p w:rsidR="003643DB" w:rsidP="003643DB" w:rsidRDefault="003643DB">
      <w:pPr>
        <w:tabs>
          <w:tab w:val="left" w:pos="-1440"/>
        </w:tabs>
        <w:ind w:left="720" w:hanging="360"/>
        <w:rPr>
          <w:b/>
          <w:spacing w:val="-5"/>
          <w:szCs w:val="24"/>
          <w:u w:val="single"/>
        </w:rPr>
      </w:pPr>
      <w:r w:rsidRPr="003643DB">
        <w:t>9.</w:t>
      </w:r>
      <w:r w:rsidRPr="003643DB">
        <w:tab/>
      </w:r>
      <w:r w:rsidRPr="003643DB">
        <w:rPr>
          <w:b/>
          <w:bCs/>
          <w:iCs/>
          <w:u w:val="single"/>
        </w:rPr>
        <w:t>Payment</w:t>
      </w:r>
      <w:r w:rsidRPr="003643DB">
        <w:rPr>
          <w:b/>
          <w:spacing w:val="-10"/>
          <w:szCs w:val="24"/>
          <w:u w:val="single"/>
        </w:rPr>
        <w:t xml:space="preserve"> </w:t>
      </w:r>
      <w:r w:rsidRPr="003643DB">
        <w:rPr>
          <w:b/>
          <w:spacing w:val="1"/>
          <w:szCs w:val="24"/>
          <w:u w:val="single"/>
        </w:rPr>
        <w:t>or</w:t>
      </w:r>
      <w:r w:rsidRPr="003643DB">
        <w:rPr>
          <w:b/>
          <w:spacing w:val="-7"/>
          <w:szCs w:val="24"/>
          <w:u w:val="single"/>
        </w:rPr>
        <w:t xml:space="preserve"> </w:t>
      </w:r>
      <w:r w:rsidRPr="003643DB">
        <w:rPr>
          <w:b/>
          <w:spacing w:val="-5"/>
          <w:szCs w:val="24"/>
          <w:u w:val="single"/>
        </w:rPr>
        <w:t>gifts to respondents:</w:t>
      </w:r>
    </w:p>
    <w:p w:rsidRPr="003643DB" w:rsidR="005944E5" w:rsidP="003643DB" w:rsidRDefault="005944E5">
      <w:pPr>
        <w:tabs>
          <w:tab w:val="left" w:pos="-1440"/>
        </w:tabs>
        <w:ind w:left="720" w:hanging="360"/>
      </w:pPr>
    </w:p>
    <w:p w:rsidR="00183ADC" w:rsidP="008C7B1A" w:rsidRDefault="00183ADC">
      <w:pPr>
        <w:spacing w:after="120"/>
        <w:ind w:left="720"/>
      </w:pPr>
      <w:r>
        <w:t>None.</w:t>
      </w:r>
    </w:p>
    <w:p w:rsidR="003643DB" w:rsidP="003643DB" w:rsidRDefault="003643DB">
      <w:pPr>
        <w:keepNext/>
        <w:tabs>
          <w:tab w:val="left" w:pos="-1440"/>
        </w:tabs>
        <w:ind w:left="720" w:hanging="360"/>
        <w:rPr>
          <w:b/>
          <w:bCs/>
          <w:iCs/>
          <w:szCs w:val="24"/>
          <w:u w:val="single"/>
        </w:rPr>
      </w:pPr>
      <w:r w:rsidRPr="003643DB">
        <w:t>10.</w:t>
      </w:r>
      <w:r w:rsidRPr="003643DB">
        <w:tab/>
      </w:r>
      <w:r w:rsidRPr="003643DB">
        <w:rPr>
          <w:b/>
          <w:bCs/>
          <w:iCs/>
          <w:u w:val="single"/>
        </w:rPr>
        <w:t>Any</w:t>
      </w:r>
      <w:r w:rsidRPr="003643DB">
        <w:rPr>
          <w:b/>
          <w:bCs/>
          <w:iCs/>
          <w:szCs w:val="24"/>
          <w:u w:val="single"/>
        </w:rPr>
        <w:t xml:space="preserve"> assurance of confidentiality:</w:t>
      </w:r>
    </w:p>
    <w:p w:rsidRPr="003643DB" w:rsidR="005944E5" w:rsidP="003643DB" w:rsidRDefault="005944E5">
      <w:pPr>
        <w:keepNext/>
        <w:tabs>
          <w:tab w:val="left" w:pos="-1440"/>
        </w:tabs>
        <w:ind w:left="720" w:hanging="360"/>
      </w:pPr>
    </w:p>
    <w:p w:rsidRPr="00ED79BB" w:rsidR="00ED79BB" w:rsidP="00ED79BB" w:rsidRDefault="00ED79BB">
      <w:pPr>
        <w:spacing w:after="240"/>
        <w:ind w:left="720"/>
      </w:pPr>
      <w:r w:rsidRPr="00ED79BB">
        <w:t>The information reported is kept private to the extent allowed by law. Any information deemed to be of a confidential nature is exempt from public disclosure in accordance with the provisions of the Freedom of Information Act (5 U.S.C. 552).</w:t>
      </w:r>
    </w:p>
    <w:p w:rsidR="003643DB" w:rsidP="003643DB" w:rsidRDefault="003643DB">
      <w:pPr>
        <w:tabs>
          <w:tab w:val="left" w:pos="-1440"/>
        </w:tabs>
        <w:ind w:left="720" w:hanging="360"/>
        <w:rPr>
          <w:b/>
          <w:bCs/>
          <w:spacing w:val="-1"/>
          <w:szCs w:val="24"/>
          <w:u w:val="single"/>
        </w:rPr>
      </w:pPr>
      <w:r w:rsidRPr="003643DB">
        <w:t>11.</w:t>
      </w:r>
      <w:r w:rsidRPr="003643DB">
        <w:tab/>
      </w:r>
      <w:r w:rsidRPr="003643DB">
        <w:rPr>
          <w:b/>
          <w:bCs/>
          <w:iCs/>
          <w:u w:val="single"/>
        </w:rPr>
        <w:t>Justification</w:t>
      </w:r>
      <w:r w:rsidRPr="003643DB">
        <w:rPr>
          <w:b/>
          <w:bCs/>
          <w:spacing w:val="-1"/>
          <w:szCs w:val="24"/>
          <w:u w:val="single"/>
        </w:rPr>
        <w:t xml:space="preserve"> </w:t>
      </w:r>
      <w:r w:rsidRPr="003643DB">
        <w:rPr>
          <w:b/>
          <w:u w:val="single"/>
        </w:rPr>
        <w:t>for</w:t>
      </w:r>
      <w:r w:rsidRPr="003643DB">
        <w:rPr>
          <w:b/>
          <w:bCs/>
          <w:spacing w:val="-1"/>
          <w:szCs w:val="24"/>
          <w:u w:val="single"/>
        </w:rPr>
        <w:t xml:space="preserve"> questions of a sensitive nature:</w:t>
      </w:r>
    </w:p>
    <w:p w:rsidRPr="003643DB" w:rsidR="005944E5" w:rsidP="003643DB" w:rsidRDefault="005944E5">
      <w:pPr>
        <w:tabs>
          <w:tab w:val="left" w:pos="-1440"/>
        </w:tabs>
        <w:ind w:left="720" w:hanging="360"/>
        <w:rPr>
          <w:b/>
          <w:spacing w:val="-1"/>
          <w:szCs w:val="24"/>
        </w:rPr>
      </w:pPr>
    </w:p>
    <w:p w:rsidR="00ED79BB" w:rsidP="00AA2DC4" w:rsidRDefault="003643DB">
      <w:pPr>
        <w:spacing w:after="240"/>
        <w:ind w:left="720"/>
      </w:pPr>
      <w:r>
        <w:t>No sensitive information is collected</w:t>
      </w:r>
      <w:r w:rsidR="00183ADC">
        <w:t>.</w:t>
      </w:r>
    </w:p>
    <w:p w:rsidRPr="003643DB" w:rsidR="003643DB" w:rsidP="003643DB" w:rsidRDefault="00ED79BB">
      <w:pPr>
        <w:keepNext/>
        <w:tabs>
          <w:tab w:val="left" w:pos="-1440"/>
        </w:tabs>
        <w:ind w:left="720" w:hanging="360"/>
      </w:pPr>
      <w:r>
        <w:br w:type="page"/>
      </w:r>
    </w:p>
    <w:p w:rsidRPr="005944E5" w:rsidR="00183ADC" w:rsidP="005944E5" w:rsidRDefault="003643DB">
      <w:pPr>
        <w:keepNext/>
        <w:tabs>
          <w:tab w:val="left" w:pos="-1440"/>
        </w:tabs>
        <w:ind w:left="720" w:hanging="360"/>
        <w:rPr>
          <w:b/>
          <w:bCs/>
          <w:iCs/>
          <w:szCs w:val="24"/>
          <w:u w:val="single"/>
        </w:rPr>
      </w:pPr>
      <w:r w:rsidRPr="003643DB">
        <w:t>12.</w:t>
      </w:r>
      <w:r w:rsidRPr="003643DB">
        <w:tab/>
      </w:r>
      <w:r w:rsidRPr="003643DB">
        <w:rPr>
          <w:b/>
          <w:bCs/>
          <w:iCs/>
          <w:u w:val="single"/>
        </w:rPr>
        <w:t>Estimate</w:t>
      </w:r>
      <w:r w:rsidRPr="003643DB">
        <w:rPr>
          <w:b/>
          <w:bCs/>
          <w:iCs/>
          <w:szCs w:val="24"/>
          <w:u w:val="single"/>
        </w:rPr>
        <w:t xml:space="preserve"> of hour burden including annualized hourly costs:</w:t>
      </w:r>
    </w:p>
    <w:tbl>
      <w:tblPr>
        <w:tblpPr w:leftFromText="180" w:rightFromText="180" w:vertAnchor="text" w:horzAnchor="margin" w:tblpXSpec="center" w:tblpY="302"/>
        <w:tblW w:w="10005" w:type="dxa"/>
        <w:tblCellMar>
          <w:left w:w="0" w:type="dxa"/>
          <w:right w:w="0" w:type="dxa"/>
        </w:tblCellMar>
        <w:tblLook w:val="04A0" w:firstRow="1" w:lastRow="0" w:firstColumn="1" w:lastColumn="0" w:noHBand="0" w:noVBand="1"/>
      </w:tblPr>
      <w:tblGrid>
        <w:gridCol w:w="3525"/>
        <w:gridCol w:w="1440"/>
        <w:gridCol w:w="1350"/>
        <w:gridCol w:w="1260"/>
        <w:gridCol w:w="1260"/>
        <w:gridCol w:w="1170"/>
      </w:tblGrid>
      <w:tr w:rsidRPr="00CC7E80" w:rsidR="002A24FB" w:rsidTr="00D105B5">
        <w:trPr>
          <w:trHeight w:val="132"/>
        </w:trPr>
        <w:tc>
          <w:tcPr>
            <w:tcW w:w="10005" w:type="dxa"/>
            <w:gridSpan w:val="6"/>
            <w:tcBorders>
              <w:top w:val="single" w:color="auto" w:sz="4" w:space="0"/>
              <w:left w:val="single" w:color="auto" w:sz="4" w:space="0"/>
              <w:bottom w:val="single" w:color="auto" w:sz="4" w:space="0"/>
              <w:right w:val="single" w:color="auto" w:sz="4" w:space="0"/>
            </w:tcBorders>
          </w:tcPr>
          <w:p w:rsidRPr="00CC7E80" w:rsidR="002A24FB" w:rsidP="00CC7E80" w:rsidRDefault="002A24FB">
            <w:pPr>
              <w:widowControl/>
              <w:jc w:val="center"/>
              <w:rPr>
                <w:rFonts w:eastAsia="Calibri"/>
                <w:b/>
                <w:bCs/>
                <w:snapToGrid/>
                <w:color w:val="000000"/>
                <w:sz w:val="16"/>
                <w:szCs w:val="16"/>
              </w:rPr>
            </w:pPr>
            <w:r w:rsidRPr="00CC7E80">
              <w:rPr>
                <w:rFonts w:eastAsia="Calibri"/>
                <w:b/>
                <w:bCs/>
                <w:snapToGrid/>
                <w:color w:val="000000"/>
                <w:sz w:val="16"/>
                <w:szCs w:val="16"/>
              </w:rPr>
              <w:t>Summary of Annual Burden and Internal Cost (3064-0114)</w:t>
            </w:r>
          </w:p>
        </w:tc>
      </w:tr>
      <w:tr w:rsidRPr="00CC7E80" w:rsidR="00C940F6" w:rsidTr="00C940F6">
        <w:trPr>
          <w:trHeight w:val="569"/>
        </w:trPr>
        <w:tc>
          <w:tcPr>
            <w:tcW w:w="352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hideMark/>
          </w:tcPr>
          <w:p w:rsidRPr="00CC7E80" w:rsidR="00C940F6" w:rsidP="00CC7E80" w:rsidRDefault="00C940F6">
            <w:pPr>
              <w:widowControl/>
              <w:jc w:val="center"/>
              <w:rPr>
                <w:rFonts w:eastAsia="Calibri"/>
                <w:b/>
                <w:bCs/>
                <w:snapToGrid/>
                <w:color w:val="000000"/>
                <w:sz w:val="16"/>
                <w:szCs w:val="16"/>
              </w:rPr>
            </w:pPr>
            <w:r w:rsidRPr="00CC7E80">
              <w:rPr>
                <w:rFonts w:eastAsia="Calibri"/>
                <w:b/>
                <w:bCs/>
                <w:snapToGrid/>
                <w:color w:val="000000"/>
                <w:sz w:val="18"/>
                <w:szCs w:val="18"/>
              </w:rPr>
              <w:t>Information Collection (IC) Description</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6"/>
                <w:szCs w:val="16"/>
              </w:rPr>
            </w:pPr>
            <w:r w:rsidRPr="00CC7E80">
              <w:rPr>
                <w:rFonts w:eastAsia="Calibri"/>
                <w:snapToGrid/>
                <w:color w:val="000000"/>
                <w:sz w:val="16"/>
                <w:szCs w:val="16"/>
              </w:rPr>
              <w:t>Type of Burden</w:t>
            </w:r>
          </w:p>
        </w:tc>
        <w:tc>
          <w:tcPr>
            <w:tcW w:w="1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6"/>
                <w:szCs w:val="16"/>
              </w:rPr>
            </w:pPr>
            <w:r w:rsidRPr="00CC7E80">
              <w:rPr>
                <w:rFonts w:eastAsia="Calibri"/>
                <w:snapToGrid/>
                <w:color w:val="000000"/>
                <w:sz w:val="16"/>
                <w:szCs w:val="16"/>
              </w:rPr>
              <w:t>Estimated Number of Respondents</w:t>
            </w:r>
          </w:p>
        </w:tc>
        <w:tc>
          <w:tcPr>
            <w:tcW w:w="1260" w:type="dxa"/>
            <w:tcBorders>
              <w:top w:val="single" w:color="auto" w:sz="4" w:space="0"/>
              <w:left w:val="single" w:color="auto" w:sz="4" w:space="0"/>
              <w:bottom w:val="single" w:color="auto" w:sz="4" w:space="0"/>
              <w:right w:val="single" w:color="auto" w:sz="4" w:space="0"/>
            </w:tcBorders>
          </w:tcPr>
          <w:p w:rsidRPr="00CC7E80" w:rsidR="00C940F6" w:rsidP="00CC7E80" w:rsidRDefault="00C940F6">
            <w:pPr>
              <w:widowControl/>
              <w:jc w:val="center"/>
              <w:rPr>
                <w:rFonts w:eastAsia="Calibri"/>
                <w:snapToGrid/>
                <w:color w:val="000000"/>
                <w:sz w:val="16"/>
                <w:szCs w:val="16"/>
              </w:rPr>
            </w:pPr>
            <w:r>
              <w:rPr>
                <w:rFonts w:eastAsia="Calibri"/>
                <w:snapToGrid/>
                <w:color w:val="000000"/>
                <w:sz w:val="16"/>
                <w:szCs w:val="16"/>
              </w:rPr>
              <w:t>Estimated Frequency of Responses</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6"/>
                <w:szCs w:val="16"/>
              </w:rPr>
            </w:pPr>
            <w:r w:rsidRPr="00CC7E80">
              <w:rPr>
                <w:rFonts w:eastAsia="Calibri"/>
                <w:snapToGrid/>
                <w:color w:val="000000"/>
                <w:sz w:val="16"/>
                <w:szCs w:val="16"/>
              </w:rPr>
              <w:t xml:space="preserve">Estimated </w:t>
            </w:r>
            <w:r>
              <w:rPr>
                <w:rFonts w:eastAsia="Calibri"/>
                <w:snapToGrid/>
                <w:color w:val="000000"/>
                <w:sz w:val="16"/>
                <w:szCs w:val="16"/>
              </w:rPr>
              <w:t>Time per Response</w:t>
            </w: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6"/>
                <w:szCs w:val="16"/>
              </w:rPr>
            </w:pPr>
            <w:r>
              <w:rPr>
                <w:rFonts w:eastAsia="Calibri"/>
                <w:snapToGrid/>
                <w:color w:val="000000"/>
                <w:sz w:val="16"/>
                <w:szCs w:val="16"/>
              </w:rPr>
              <w:t>Total Estimated Annual Burden</w:t>
            </w:r>
          </w:p>
        </w:tc>
      </w:tr>
      <w:tr w:rsidRPr="00CC7E80" w:rsidR="00C940F6" w:rsidTr="00C940F6">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rPr>
                <w:rFonts w:eastAsia="Calibri"/>
                <w:snapToGrid/>
                <w:color w:val="000000"/>
                <w:sz w:val="18"/>
                <w:szCs w:val="18"/>
              </w:rPr>
            </w:pPr>
            <w:r w:rsidRPr="00CC7E80">
              <w:rPr>
                <w:rFonts w:eastAsia="Calibri"/>
                <w:snapToGrid/>
                <w:color w:val="000000"/>
                <w:sz w:val="18"/>
                <w:szCs w:val="18"/>
                <w:shd w:val="clear" w:color="auto" w:fill="FFFFFF"/>
              </w:rPr>
              <w:t>Moving a Branch</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Reporting</w:t>
            </w:r>
          </w:p>
        </w:tc>
        <w:tc>
          <w:tcPr>
            <w:tcW w:w="1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tcPr>
          <w:p w:rsidRPr="00CC7E80" w:rsidR="00C940F6" w:rsidP="009F3125" w:rsidRDefault="00C940F6">
            <w:pPr>
              <w:widowControl/>
              <w:jc w:val="center"/>
              <w:rPr>
                <w:rFonts w:eastAsia="Calibri"/>
                <w:snapToGrid/>
                <w:color w:val="000000"/>
                <w:sz w:val="18"/>
                <w:szCs w:val="18"/>
              </w:rPr>
            </w:pPr>
            <w:r>
              <w:rPr>
                <w:rFonts w:eastAsia="Calibri"/>
                <w:snapToGrid/>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8 hours</w:t>
            </w: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8 hours</w:t>
            </w:r>
          </w:p>
        </w:tc>
      </w:tr>
      <w:tr w:rsidRPr="00CC7E80" w:rsidR="00C940F6" w:rsidTr="00C940F6">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rPr>
                <w:rFonts w:eastAsia="Calibri"/>
                <w:snapToGrid/>
                <w:color w:val="000000"/>
                <w:sz w:val="18"/>
                <w:szCs w:val="18"/>
                <w:shd w:val="clear" w:color="auto" w:fill="FFFFFF"/>
              </w:rPr>
            </w:pPr>
            <w:r w:rsidRPr="00CC7E80">
              <w:rPr>
                <w:rFonts w:eastAsia="Calibri"/>
                <w:snapToGrid/>
                <w:color w:val="000000"/>
                <w:sz w:val="18"/>
                <w:szCs w:val="18"/>
                <w:shd w:val="clear" w:color="auto" w:fill="FFFFFF"/>
              </w:rPr>
              <w:t>Consent to Operate</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Reporting</w:t>
            </w:r>
          </w:p>
        </w:tc>
        <w:tc>
          <w:tcPr>
            <w:tcW w:w="1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tcPr>
          <w:p w:rsidRPr="00CC7E80" w:rsidR="00C940F6" w:rsidP="009F3125" w:rsidRDefault="00C940F6">
            <w:pPr>
              <w:widowControl/>
              <w:jc w:val="center"/>
              <w:rPr>
                <w:rFonts w:eastAsia="Calibri"/>
                <w:snapToGrid/>
                <w:color w:val="000000"/>
                <w:sz w:val="18"/>
                <w:szCs w:val="18"/>
              </w:rPr>
            </w:pPr>
            <w:r>
              <w:rPr>
                <w:rFonts w:eastAsia="Calibri"/>
                <w:snapToGrid/>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8 hours</w:t>
            </w: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8 hours</w:t>
            </w:r>
          </w:p>
        </w:tc>
      </w:tr>
      <w:tr w:rsidRPr="00CC7E80" w:rsidR="00C940F6" w:rsidTr="00C940F6">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rPr>
                <w:rFonts w:eastAsia="Calibri"/>
                <w:snapToGrid/>
                <w:color w:val="000000"/>
                <w:sz w:val="18"/>
                <w:szCs w:val="18"/>
                <w:shd w:val="clear" w:color="auto" w:fill="FFFFFF"/>
              </w:rPr>
            </w:pPr>
            <w:r w:rsidRPr="00CC7E80">
              <w:rPr>
                <w:rFonts w:eastAsia="Calibri"/>
                <w:snapToGrid/>
                <w:color w:val="000000"/>
                <w:sz w:val="18"/>
                <w:szCs w:val="18"/>
                <w:shd w:val="clear" w:color="auto" w:fill="FFFFFF"/>
              </w:rPr>
              <w:t>Approval to Conduct Activities</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Reporting</w:t>
            </w:r>
          </w:p>
        </w:tc>
        <w:tc>
          <w:tcPr>
            <w:tcW w:w="1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tcPr>
          <w:p w:rsidRPr="00CC7E80" w:rsidR="00C940F6" w:rsidP="009F3125" w:rsidRDefault="00C940F6">
            <w:pPr>
              <w:widowControl/>
              <w:jc w:val="center"/>
              <w:rPr>
                <w:rFonts w:eastAsia="Calibri"/>
                <w:snapToGrid/>
                <w:color w:val="000000"/>
                <w:sz w:val="18"/>
                <w:szCs w:val="18"/>
              </w:rPr>
            </w:pPr>
            <w:r>
              <w:rPr>
                <w:rFonts w:eastAsia="Calibri"/>
                <w:snapToGrid/>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8 hours</w:t>
            </w: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8 hours</w:t>
            </w:r>
          </w:p>
        </w:tc>
      </w:tr>
      <w:tr w:rsidRPr="00CC7E80" w:rsidR="00C940F6" w:rsidTr="00C940F6">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rPr>
                <w:rFonts w:eastAsia="Calibri"/>
                <w:snapToGrid/>
                <w:color w:val="000000"/>
                <w:sz w:val="18"/>
                <w:szCs w:val="18"/>
                <w:shd w:val="clear" w:color="auto" w:fill="FFFFFF"/>
              </w:rPr>
            </w:pPr>
            <w:r w:rsidRPr="00CC7E80">
              <w:rPr>
                <w:rFonts w:eastAsia="Calibri"/>
                <w:snapToGrid/>
                <w:color w:val="000000"/>
                <w:sz w:val="18"/>
                <w:szCs w:val="18"/>
                <w:shd w:val="clear" w:color="auto" w:fill="FFFFFF"/>
              </w:rPr>
              <w:t>Pledge of Assets Documents</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Reporting</w:t>
            </w:r>
          </w:p>
        </w:tc>
        <w:tc>
          <w:tcPr>
            <w:tcW w:w="1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10</w:t>
            </w:r>
          </w:p>
        </w:tc>
        <w:tc>
          <w:tcPr>
            <w:tcW w:w="1260" w:type="dxa"/>
            <w:tcBorders>
              <w:top w:val="single" w:color="auto" w:sz="4" w:space="0"/>
              <w:left w:val="single" w:color="auto" w:sz="4" w:space="0"/>
              <w:bottom w:val="single" w:color="auto" w:sz="4" w:space="0"/>
              <w:right w:val="single" w:color="auto" w:sz="4" w:space="0"/>
            </w:tcBorders>
          </w:tcPr>
          <w:p w:rsidRPr="00CC7E80" w:rsidR="00C940F6" w:rsidP="009F3125" w:rsidRDefault="00C940F6">
            <w:pPr>
              <w:widowControl/>
              <w:jc w:val="center"/>
              <w:rPr>
                <w:rFonts w:eastAsia="Calibri"/>
                <w:snapToGrid/>
                <w:color w:val="000000"/>
                <w:sz w:val="18"/>
                <w:szCs w:val="18"/>
              </w:rPr>
            </w:pPr>
            <w:r>
              <w:rPr>
                <w:rFonts w:eastAsia="Calibri"/>
                <w:snapToGrid/>
                <w:color w:val="000000"/>
                <w:sz w:val="18"/>
                <w:szCs w:val="18"/>
              </w:rPr>
              <w:t>4</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.25 hours</w:t>
            </w: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Pr>
                <w:rFonts w:eastAsia="Calibri"/>
                <w:snapToGrid/>
                <w:color w:val="000000"/>
                <w:sz w:val="18"/>
                <w:szCs w:val="18"/>
              </w:rPr>
              <w:t>10</w:t>
            </w:r>
            <w:r w:rsidRPr="00CC7E80">
              <w:rPr>
                <w:rFonts w:eastAsia="Calibri"/>
                <w:snapToGrid/>
                <w:color w:val="000000"/>
                <w:sz w:val="18"/>
                <w:szCs w:val="18"/>
              </w:rPr>
              <w:t xml:space="preserve"> hours</w:t>
            </w:r>
          </w:p>
        </w:tc>
      </w:tr>
      <w:tr w:rsidRPr="00CC7E80" w:rsidR="00C940F6" w:rsidTr="00C940F6">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rPr>
                <w:rFonts w:eastAsia="Calibri"/>
                <w:snapToGrid/>
                <w:color w:val="000000"/>
                <w:sz w:val="18"/>
                <w:szCs w:val="18"/>
                <w:shd w:val="clear" w:color="auto" w:fill="FFFFFF"/>
              </w:rPr>
            </w:pPr>
            <w:r w:rsidRPr="00CC7E80">
              <w:rPr>
                <w:rFonts w:eastAsia="Calibri"/>
                <w:snapToGrid/>
                <w:color w:val="000000"/>
                <w:sz w:val="18"/>
                <w:szCs w:val="18"/>
                <w:shd w:val="clear" w:color="auto" w:fill="FFFFFF"/>
              </w:rPr>
              <w:t>Pledge of Assets Reports</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Reporting</w:t>
            </w:r>
          </w:p>
        </w:tc>
        <w:tc>
          <w:tcPr>
            <w:tcW w:w="1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10</w:t>
            </w:r>
          </w:p>
        </w:tc>
        <w:tc>
          <w:tcPr>
            <w:tcW w:w="1260" w:type="dxa"/>
            <w:tcBorders>
              <w:top w:val="single" w:color="auto" w:sz="4" w:space="0"/>
              <w:left w:val="single" w:color="auto" w:sz="4" w:space="0"/>
              <w:bottom w:val="single" w:color="auto" w:sz="4" w:space="0"/>
              <w:right w:val="single" w:color="auto" w:sz="4" w:space="0"/>
            </w:tcBorders>
          </w:tcPr>
          <w:p w:rsidRPr="00CC7E80" w:rsidR="00C940F6" w:rsidP="009F3125" w:rsidRDefault="00C940F6">
            <w:pPr>
              <w:widowControl/>
              <w:jc w:val="center"/>
              <w:rPr>
                <w:rFonts w:eastAsia="Calibri"/>
                <w:snapToGrid/>
                <w:color w:val="000000"/>
                <w:sz w:val="18"/>
                <w:szCs w:val="18"/>
              </w:rPr>
            </w:pPr>
            <w:r>
              <w:rPr>
                <w:rFonts w:eastAsia="Calibri"/>
                <w:snapToGrid/>
                <w:color w:val="000000"/>
                <w:sz w:val="18"/>
                <w:szCs w:val="18"/>
              </w:rPr>
              <w:t>4</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sidRPr="00CC7E80">
              <w:rPr>
                <w:rFonts w:eastAsia="Calibri"/>
                <w:snapToGrid/>
                <w:color w:val="000000"/>
                <w:sz w:val="18"/>
                <w:szCs w:val="18"/>
              </w:rPr>
              <w:t>2 hours</w:t>
            </w: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9F3125" w:rsidRDefault="00C940F6">
            <w:pPr>
              <w:widowControl/>
              <w:jc w:val="center"/>
              <w:rPr>
                <w:rFonts w:eastAsia="Calibri"/>
                <w:snapToGrid/>
                <w:color w:val="000000"/>
                <w:sz w:val="18"/>
                <w:szCs w:val="18"/>
              </w:rPr>
            </w:pPr>
            <w:r>
              <w:rPr>
                <w:rFonts w:eastAsia="Calibri"/>
                <w:snapToGrid/>
                <w:color w:val="000000"/>
                <w:sz w:val="18"/>
                <w:szCs w:val="18"/>
              </w:rPr>
              <w:t xml:space="preserve">80 </w:t>
            </w:r>
            <w:r w:rsidRPr="00CC7E80">
              <w:rPr>
                <w:rFonts w:eastAsia="Calibri"/>
                <w:snapToGrid/>
                <w:color w:val="000000"/>
                <w:sz w:val="18"/>
                <w:szCs w:val="18"/>
              </w:rPr>
              <w:t>hours</w:t>
            </w:r>
          </w:p>
        </w:tc>
      </w:tr>
      <w:tr w:rsidRPr="00CC7E80" w:rsidR="00C940F6" w:rsidTr="00D105B5">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772C14" w:rsidR="00C940F6" w:rsidP="00CC7E80" w:rsidRDefault="00C940F6">
            <w:pPr>
              <w:widowControl/>
              <w:jc w:val="right"/>
              <w:rPr>
                <w:rFonts w:eastAsia="Calibri"/>
                <w:i/>
                <w:snapToGrid/>
                <w:color w:val="000000"/>
                <w:sz w:val="18"/>
                <w:szCs w:val="18"/>
                <w:shd w:val="clear" w:color="auto" w:fill="FFFFFF"/>
              </w:rPr>
            </w:pPr>
            <w:r w:rsidRPr="00772C14">
              <w:rPr>
                <w:rFonts w:eastAsia="Calibri"/>
                <w:i/>
                <w:snapToGrid/>
                <w:color w:val="000000"/>
                <w:sz w:val="18"/>
                <w:szCs w:val="18"/>
                <w:shd w:val="clear" w:color="auto" w:fill="FFFFFF"/>
              </w:rPr>
              <w:t>TOTAL REPORTING BURDEN</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CC7E80" w:rsidR="00C940F6" w:rsidP="00CC7E80" w:rsidRDefault="00C940F6">
            <w:pPr>
              <w:widowControl/>
              <w:jc w:val="center"/>
              <w:rPr>
                <w:rFonts w:eastAsia="Calibri"/>
                <w:snapToGrid/>
                <w:color w:val="000000"/>
                <w:sz w:val="18"/>
                <w:szCs w:val="18"/>
              </w:rPr>
            </w:pPr>
          </w:p>
        </w:tc>
        <w:tc>
          <w:tcPr>
            <w:tcW w:w="504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C940F6" w:rsidR="00C940F6" w:rsidP="00C940F6" w:rsidRDefault="00C940F6">
            <w:pPr>
              <w:widowControl/>
              <w:jc w:val="right"/>
              <w:rPr>
                <w:rFonts w:eastAsia="Calibri"/>
                <w:i/>
                <w:snapToGrid/>
                <w:color w:val="000000"/>
                <w:sz w:val="18"/>
                <w:szCs w:val="18"/>
              </w:rPr>
            </w:pPr>
            <w:r w:rsidRPr="00C940F6">
              <w:rPr>
                <w:rFonts w:eastAsia="Calibri"/>
                <w:i/>
                <w:snapToGrid/>
                <w:color w:val="000000"/>
                <w:sz w:val="18"/>
                <w:szCs w:val="18"/>
              </w:rPr>
              <w:t>114 hours</w:t>
            </w:r>
          </w:p>
        </w:tc>
      </w:tr>
      <w:tr w:rsidRPr="00CC7E80" w:rsidR="00C940F6" w:rsidTr="00C940F6">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rPr>
                <w:rFonts w:eastAsia="Calibri"/>
                <w:snapToGrid/>
                <w:color w:val="000000"/>
                <w:sz w:val="18"/>
                <w:szCs w:val="18"/>
                <w:shd w:val="clear" w:color="auto" w:fill="FFFFFF"/>
              </w:rPr>
            </w:pPr>
            <w:r w:rsidRPr="00CC7E80">
              <w:rPr>
                <w:rFonts w:eastAsia="Calibri"/>
                <w:snapToGrid/>
                <w:color w:val="000000"/>
                <w:sz w:val="18"/>
                <w:szCs w:val="18"/>
                <w:shd w:val="clear" w:color="auto" w:fill="FFFFFF"/>
              </w:rPr>
              <w:t>Recordkeeping</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8"/>
                <w:szCs w:val="18"/>
              </w:rPr>
            </w:pPr>
            <w:r w:rsidRPr="00CC7E80">
              <w:rPr>
                <w:rFonts w:eastAsia="Calibri"/>
                <w:snapToGrid/>
                <w:color w:val="000000"/>
                <w:sz w:val="18"/>
                <w:szCs w:val="18"/>
              </w:rPr>
              <w:t>Recordkeeping</w:t>
            </w:r>
          </w:p>
        </w:tc>
        <w:tc>
          <w:tcPr>
            <w:tcW w:w="13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8"/>
                <w:szCs w:val="18"/>
              </w:rPr>
            </w:pPr>
            <w:r w:rsidRPr="00CC7E80">
              <w:rPr>
                <w:rFonts w:eastAsia="Calibri"/>
                <w:snapToGrid/>
                <w:color w:val="000000"/>
                <w:sz w:val="18"/>
                <w:szCs w:val="18"/>
              </w:rPr>
              <w:t>10</w:t>
            </w:r>
          </w:p>
        </w:tc>
        <w:tc>
          <w:tcPr>
            <w:tcW w:w="1260" w:type="dxa"/>
            <w:tcBorders>
              <w:top w:val="single" w:color="auto" w:sz="4" w:space="0"/>
              <w:left w:val="single" w:color="auto" w:sz="4" w:space="0"/>
              <w:bottom w:val="single" w:color="auto" w:sz="4" w:space="0"/>
              <w:right w:val="single" w:color="auto" w:sz="4" w:space="0"/>
            </w:tcBorders>
          </w:tcPr>
          <w:p w:rsidRPr="00CC7E80" w:rsidR="00C940F6" w:rsidP="00CC7E80" w:rsidRDefault="00C940F6">
            <w:pPr>
              <w:widowControl/>
              <w:jc w:val="center"/>
              <w:rPr>
                <w:rFonts w:eastAsia="Calibri"/>
                <w:snapToGrid/>
                <w:color w:val="000000"/>
                <w:sz w:val="18"/>
                <w:szCs w:val="18"/>
              </w:rPr>
            </w:pPr>
            <w:r>
              <w:rPr>
                <w:rFonts w:eastAsia="Calibri"/>
                <w:snapToGrid/>
                <w:color w:val="000000"/>
                <w:sz w:val="18"/>
                <w:szCs w:val="18"/>
              </w:rPr>
              <w:t>1</w:t>
            </w: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8"/>
                <w:szCs w:val="18"/>
              </w:rPr>
            </w:pPr>
            <w:r w:rsidRPr="00CC7E80">
              <w:rPr>
                <w:rFonts w:eastAsia="Calibri"/>
                <w:snapToGrid/>
                <w:color w:val="000000"/>
                <w:sz w:val="18"/>
                <w:szCs w:val="18"/>
              </w:rPr>
              <w:t>1</w:t>
            </w:r>
            <w:r>
              <w:rPr>
                <w:rFonts w:eastAsia="Calibri"/>
                <w:snapToGrid/>
                <w:color w:val="000000"/>
                <w:sz w:val="18"/>
                <w:szCs w:val="18"/>
              </w:rPr>
              <w:t>20 hours</w:t>
            </w: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CC7E80" w:rsidR="00C940F6" w:rsidP="00CC7E80" w:rsidRDefault="00C940F6">
            <w:pPr>
              <w:widowControl/>
              <w:jc w:val="center"/>
              <w:rPr>
                <w:rFonts w:eastAsia="Calibri"/>
                <w:snapToGrid/>
                <w:color w:val="000000"/>
                <w:sz w:val="18"/>
                <w:szCs w:val="18"/>
              </w:rPr>
            </w:pPr>
            <w:r w:rsidRPr="00CC7E80">
              <w:rPr>
                <w:rFonts w:eastAsia="Calibri"/>
                <w:snapToGrid/>
                <w:color w:val="000000"/>
                <w:sz w:val="18"/>
                <w:szCs w:val="18"/>
              </w:rPr>
              <w:t>1</w:t>
            </w:r>
            <w:r>
              <w:rPr>
                <w:rFonts w:eastAsia="Calibri"/>
                <w:snapToGrid/>
                <w:color w:val="000000"/>
                <w:sz w:val="18"/>
                <w:szCs w:val="18"/>
              </w:rPr>
              <w:t>,</w:t>
            </w:r>
            <w:r w:rsidRPr="00CC7E80">
              <w:rPr>
                <w:rFonts w:eastAsia="Calibri"/>
                <w:snapToGrid/>
                <w:color w:val="000000"/>
                <w:sz w:val="18"/>
                <w:szCs w:val="18"/>
              </w:rPr>
              <w:t>20</w:t>
            </w:r>
            <w:r>
              <w:rPr>
                <w:rFonts w:eastAsia="Calibri"/>
                <w:snapToGrid/>
                <w:color w:val="000000"/>
                <w:sz w:val="18"/>
                <w:szCs w:val="18"/>
              </w:rPr>
              <w:t>0</w:t>
            </w:r>
            <w:r w:rsidRPr="00CC7E80">
              <w:rPr>
                <w:rFonts w:eastAsia="Calibri"/>
                <w:snapToGrid/>
                <w:color w:val="000000"/>
                <w:sz w:val="18"/>
                <w:szCs w:val="18"/>
              </w:rPr>
              <w:t xml:space="preserve"> hours</w:t>
            </w:r>
          </w:p>
        </w:tc>
      </w:tr>
      <w:tr w:rsidRPr="00CC7E80" w:rsidR="00C940F6" w:rsidTr="00D105B5">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772C14" w:rsidR="00C940F6" w:rsidP="00772C14" w:rsidRDefault="00C940F6">
            <w:pPr>
              <w:widowControl/>
              <w:jc w:val="right"/>
              <w:rPr>
                <w:rFonts w:eastAsia="Calibri"/>
                <w:i/>
                <w:snapToGrid/>
                <w:color w:val="000000"/>
                <w:sz w:val="18"/>
                <w:szCs w:val="18"/>
                <w:shd w:val="clear" w:color="auto" w:fill="FFFFFF"/>
              </w:rPr>
            </w:pPr>
            <w:r w:rsidRPr="00772C14">
              <w:rPr>
                <w:rFonts w:eastAsia="Calibri"/>
                <w:i/>
                <w:snapToGrid/>
                <w:color w:val="000000"/>
                <w:sz w:val="18"/>
                <w:szCs w:val="18"/>
                <w:shd w:val="clear" w:color="auto" w:fill="FFFFFF"/>
              </w:rPr>
              <w:t>TOTAL RECORDKEEPING BURDEN</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CC7E80" w:rsidR="00C940F6" w:rsidP="00CC7E80" w:rsidRDefault="00C940F6">
            <w:pPr>
              <w:widowControl/>
              <w:jc w:val="center"/>
              <w:rPr>
                <w:rFonts w:eastAsia="Calibri"/>
                <w:snapToGrid/>
                <w:color w:val="000000"/>
                <w:sz w:val="18"/>
                <w:szCs w:val="18"/>
              </w:rPr>
            </w:pPr>
          </w:p>
        </w:tc>
        <w:tc>
          <w:tcPr>
            <w:tcW w:w="504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C940F6" w:rsidR="00C940F6" w:rsidP="00C940F6" w:rsidRDefault="00C940F6">
            <w:pPr>
              <w:widowControl/>
              <w:jc w:val="right"/>
              <w:rPr>
                <w:rFonts w:eastAsia="Calibri"/>
                <w:i/>
                <w:snapToGrid/>
                <w:color w:val="000000"/>
                <w:sz w:val="18"/>
                <w:szCs w:val="18"/>
              </w:rPr>
            </w:pPr>
            <w:r w:rsidRPr="00C940F6">
              <w:rPr>
                <w:rFonts w:eastAsia="Calibri"/>
                <w:i/>
                <w:snapToGrid/>
                <w:color w:val="000000"/>
                <w:sz w:val="18"/>
                <w:szCs w:val="18"/>
              </w:rPr>
              <w:t>1,200 hours</w:t>
            </w:r>
          </w:p>
        </w:tc>
      </w:tr>
      <w:tr w:rsidRPr="00CC7E80" w:rsidR="00C940F6" w:rsidTr="00D105B5">
        <w:trPr>
          <w:trHeight w:val="43"/>
        </w:trPr>
        <w:tc>
          <w:tcPr>
            <w:tcW w:w="3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772C14" w:rsidR="00C940F6" w:rsidP="00CC7E80" w:rsidRDefault="00C940F6">
            <w:pPr>
              <w:widowControl/>
              <w:jc w:val="right"/>
              <w:rPr>
                <w:rFonts w:eastAsia="Calibri"/>
                <w:b/>
                <w:snapToGrid/>
                <w:color w:val="000000"/>
                <w:sz w:val="18"/>
                <w:szCs w:val="18"/>
                <w:shd w:val="clear" w:color="auto" w:fill="FFFFFF"/>
              </w:rPr>
            </w:pPr>
            <w:r w:rsidRPr="00772C14">
              <w:rPr>
                <w:rFonts w:eastAsia="Calibri"/>
                <w:b/>
                <w:snapToGrid/>
                <w:color w:val="000000"/>
                <w:sz w:val="18"/>
                <w:szCs w:val="18"/>
                <w:shd w:val="clear" w:color="auto" w:fill="FFFFFF"/>
              </w:rPr>
              <w:t>TOTAL HOURLY BURDEN</w:t>
            </w:r>
          </w:p>
        </w:tc>
        <w:tc>
          <w:tcPr>
            <w:tcW w:w="14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CC7E80" w:rsidR="00C940F6" w:rsidP="00CC7E80" w:rsidRDefault="00C940F6">
            <w:pPr>
              <w:widowControl/>
              <w:jc w:val="center"/>
              <w:rPr>
                <w:rFonts w:eastAsia="Calibri"/>
                <w:snapToGrid/>
                <w:color w:val="000000"/>
                <w:sz w:val="18"/>
                <w:szCs w:val="18"/>
              </w:rPr>
            </w:pPr>
          </w:p>
        </w:tc>
        <w:tc>
          <w:tcPr>
            <w:tcW w:w="504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rsidRPr="009F3125" w:rsidR="00C940F6" w:rsidP="00C940F6" w:rsidRDefault="00C940F6">
            <w:pPr>
              <w:widowControl/>
              <w:jc w:val="right"/>
              <w:rPr>
                <w:rFonts w:eastAsia="Calibri"/>
                <w:b/>
                <w:snapToGrid/>
                <w:color w:val="000000"/>
                <w:sz w:val="18"/>
                <w:szCs w:val="18"/>
              </w:rPr>
            </w:pPr>
            <w:r w:rsidRPr="009F3125">
              <w:rPr>
                <w:rFonts w:eastAsia="Calibri"/>
                <w:b/>
                <w:snapToGrid/>
                <w:color w:val="000000"/>
                <w:sz w:val="18"/>
                <w:szCs w:val="18"/>
              </w:rPr>
              <w:t>1,314 hours</w:t>
            </w:r>
          </w:p>
        </w:tc>
      </w:tr>
    </w:tbl>
    <w:p w:rsidR="000B5D6A" w:rsidRDefault="000B5D6A">
      <w:pPr>
        <w:tabs>
          <w:tab w:val="left" w:pos="-1440"/>
        </w:tabs>
        <w:ind w:left="360"/>
      </w:pPr>
    </w:p>
    <w:p w:rsidR="00CC7E80" w:rsidRDefault="00CC7E80">
      <w:pPr>
        <w:tabs>
          <w:tab w:val="left" w:pos="-1440"/>
        </w:tabs>
        <w:ind w:left="360"/>
      </w:pPr>
    </w:p>
    <w:p w:rsidRPr="00A53182" w:rsidR="00A53182" w:rsidP="00A53182" w:rsidRDefault="00A53182">
      <w:pPr>
        <w:tabs>
          <w:tab w:val="left" w:pos="-1440"/>
        </w:tabs>
        <w:spacing w:line="360" w:lineRule="auto"/>
        <w:ind w:left="1440"/>
        <w:contextualSpacing/>
      </w:pPr>
      <w:r w:rsidRPr="00A53182">
        <w:t xml:space="preserve">Total estimated annual burden:  </w:t>
      </w:r>
      <w:r>
        <w:t>1,314</w:t>
      </w:r>
      <w:r w:rsidRPr="00A53182">
        <w:t xml:space="preserve"> hours</w:t>
      </w:r>
    </w:p>
    <w:p w:rsidRPr="00A53182" w:rsidR="00A53182" w:rsidP="00A53182" w:rsidRDefault="00A53182">
      <w:pPr>
        <w:tabs>
          <w:tab w:val="left" w:pos="-1440"/>
        </w:tabs>
        <w:spacing w:line="360" w:lineRule="auto"/>
        <w:ind w:left="1440"/>
        <w:contextualSpacing/>
      </w:pPr>
      <w:r w:rsidRPr="00A53182">
        <w:t>The total estimated annual cost for all respondents is:</w:t>
      </w:r>
    </w:p>
    <w:p w:rsidRPr="00A53182" w:rsidR="00A53182" w:rsidP="00A53182" w:rsidRDefault="00A53182">
      <w:pPr>
        <w:tabs>
          <w:tab w:val="left" w:pos="-1440"/>
        </w:tabs>
        <w:spacing w:line="360" w:lineRule="auto"/>
        <w:ind w:left="1440"/>
        <w:contextualSpacing/>
      </w:pPr>
      <w:r>
        <w:t xml:space="preserve">1,314 </w:t>
      </w:r>
      <w:r w:rsidRPr="00A53182">
        <w:t>hours x $</w:t>
      </w:r>
      <w:r>
        <w:t>63</w:t>
      </w:r>
      <w:r w:rsidRPr="00A53182">
        <w:t>.</w:t>
      </w:r>
      <w:r>
        <w:t>2</w:t>
      </w:r>
      <w:r w:rsidR="000577E7">
        <w:t>8</w:t>
      </w:r>
      <w:r w:rsidRPr="00A53182">
        <w:t xml:space="preserve"> = $</w:t>
      </w:r>
      <w:r w:rsidR="000577E7">
        <w:t>83,152</w:t>
      </w:r>
    </w:p>
    <w:tbl>
      <w:tblPr>
        <w:tblW w:w="10021" w:type="dxa"/>
        <w:tblInd w:w="-245" w:type="dxa"/>
        <w:tblCellMar>
          <w:top w:w="43" w:type="dxa"/>
          <w:left w:w="115" w:type="dxa"/>
          <w:bottom w:w="43" w:type="dxa"/>
          <w:right w:w="115" w:type="dxa"/>
        </w:tblCellMar>
        <w:tblLook w:val="04A0" w:firstRow="1" w:lastRow="0" w:firstColumn="1" w:lastColumn="0" w:noHBand="0" w:noVBand="1"/>
      </w:tblPr>
      <w:tblGrid>
        <w:gridCol w:w="3625"/>
        <w:gridCol w:w="2277"/>
        <w:gridCol w:w="1821"/>
        <w:gridCol w:w="2298"/>
      </w:tblGrid>
      <w:tr w:rsidRPr="002A24FB" w:rsidR="002A24FB" w:rsidTr="002A24FB">
        <w:trPr>
          <w:trHeight w:val="146"/>
        </w:trPr>
        <w:tc>
          <w:tcPr>
            <w:tcW w:w="10021" w:type="dxa"/>
            <w:gridSpan w:val="4"/>
            <w:tcBorders>
              <w:top w:val="nil"/>
              <w:left w:val="nil"/>
              <w:bottom w:val="nil"/>
              <w:right w:val="nil"/>
            </w:tcBorders>
            <w:shd w:val="clear" w:color="auto" w:fill="auto"/>
            <w:noWrap/>
            <w:vAlign w:val="bottom"/>
            <w:hideMark/>
          </w:tcPr>
          <w:p w:rsidRPr="002A24FB" w:rsidR="002A24FB" w:rsidP="002A24FB" w:rsidRDefault="002A24FB">
            <w:pPr>
              <w:widowControl/>
              <w:jc w:val="center"/>
              <w:rPr>
                <w:b/>
                <w:bCs/>
                <w:snapToGrid/>
                <w:color w:val="000000"/>
                <w:szCs w:val="24"/>
              </w:rPr>
            </w:pPr>
          </w:p>
        </w:tc>
      </w:tr>
      <w:tr w:rsidRPr="002A24FB" w:rsidR="002A24FB" w:rsidTr="002A24FB">
        <w:trPr>
          <w:trHeight w:val="127"/>
        </w:trPr>
        <w:tc>
          <w:tcPr>
            <w:tcW w:w="100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2A24FB" w:rsidR="002A24FB" w:rsidP="002A24FB" w:rsidRDefault="002A24FB">
            <w:pPr>
              <w:widowControl/>
              <w:jc w:val="center"/>
              <w:rPr>
                <w:rFonts w:ascii="Source Sans Pro" w:hAnsi="Source Sans Pro"/>
                <w:snapToGrid/>
                <w:color w:val="000000"/>
                <w:sz w:val="20"/>
              </w:rPr>
            </w:pPr>
            <w:r w:rsidRPr="002A24FB">
              <w:rPr>
                <w:rFonts w:ascii="Source Sans Pro" w:hAnsi="Source Sans Pro"/>
                <w:b/>
                <w:bCs/>
                <w:snapToGrid/>
                <w:color w:val="000000"/>
                <w:sz w:val="20"/>
              </w:rPr>
              <w:t>Summary of Hourly Burden Cost Estimate (OMB No. 3064-0114)</w:t>
            </w:r>
          </w:p>
        </w:tc>
      </w:tr>
      <w:tr w:rsidRPr="002A24FB" w:rsidR="002A24FB" w:rsidTr="00A53182">
        <w:trPr>
          <w:trHeight w:val="329"/>
        </w:trPr>
        <w:tc>
          <w:tcPr>
            <w:tcW w:w="36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A24FB" w:rsidR="002A24FB" w:rsidP="002A24FB" w:rsidRDefault="002A24FB">
            <w:pPr>
              <w:widowControl/>
              <w:jc w:val="center"/>
              <w:rPr>
                <w:rFonts w:ascii="Source Sans Pro" w:hAnsi="Source Sans Pro"/>
                <w:snapToGrid/>
                <w:color w:val="000000"/>
                <w:sz w:val="20"/>
              </w:rPr>
            </w:pPr>
            <w:r w:rsidRPr="002A24FB">
              <w:rPr>
                <w:rFonts w:ascii="Source Sans Pro" w:hAnsi="Source Sans Pro"/>
                <w:snapToGrid/>
                <w:color w:val="000000"/>
                <w:sz w:val="20"/>
              </w:rPr>
              <w:t>Estimated Category of Personnel Responsible for Complying with the PRA Burden</w:t>
            </w:r>
          </w:p>
        </w:tc>
        <w:tc>
          <w:tcPr>
            <w:tcW w:w="2277" w:type="dxa"/>
            <w:tcBorders>
              <w:top w:val="single" w:color="auto" w:sz="4" w:space="0"/>
              <w:left w:val="nil"/>
              <w:bottom w:val="single" w:color="auto" w:sz="4" w:space="0"/>
              <w:right w:val="single" w:color="auto" w:sz="4" w:space="0"/>
            </w:tcBorders>
            <w:shd w:val="clear" w:color="auto" w:fill="auto"/>
            <w:vAlign w:val="center"/>
            <w:hideMark/>
          </w:tcPr>
          <w:p w:rsidRPr="002A24FB" w:rsidR="002A24FB" w:rsidP="002A24FB" w:rsidRDefault="002A24FB">
            <w:pPr>
              <w:widowControl/>
              <w:jc w:val="center"/>
              <w:rPr>
                <w:rFonts w:ascii="Source Sans Pro" w:hAnsi="Source Sans Pro"/>
                <w:snapToGrid/>
                <w:color w:val="000000"/>
                <w:sz w:val="20"/>
              </w:rPr>
            </w:pPr>
            <w:r w:rsidRPr="002A24FB">
              <w:rPr>
                <w:rFonts w:ascii="Source Sans Pro" w:hAnsi="Source Sans Pro"/>
                <w:snapToGrid/>
                <w:color w:val="000000"/>
                <w:sz w:val="20"/>
              </w:rPr>
              <w:t>Total Estimated Hourly Compensation</w:t>
            </w:r>
          </w:p>
        </w:tc>
        <w:tc>
          <w:tcPr>
            <w:tcW w:w="1821" w:type="dxa"/>
            <w:tcBorders>
              <w:top w:val="single" w:color="auto" w:sz="4" w:space="0"/>
              <w:left w:val="nil"/>
              <w:bottom w:val="single" w:color="auto" w:sz="4" w:space="0"/>
              <w:right w:val="single" w:color="auto" w:sz="4" w:space="0"/>
            </w:tcBorders>
            <w:shd w:val="clear" w:color="auto" w:fill="auto"/>
            <w:vAlign w:val="center"/>
            <w:hideMark/>
          </w:tcPr>
          <w:p w:rsidRPr="002A24FB" w:rsidR="002A24FB" w:rsidP="002A24FB" w:rsidRDefault="002A24FB">
            <w:pPr>
              <w:widowControl/>
              <w:jc w:val="center"/>
              <w:rPr>
                <w:rFonts w:ascii="Source Sans Pro" w:hAnsi="Source Sans Pro"/>
                <w:snapToGrid/>
                <w:color w:val="000000"/>
                <w:sz w:val="20"/>
              </w:rPr>
            </w:pPr>
            <w:r w:rsidRPr="002A24FB">
              <w:rPr>
                <w:rFonts w:ascii="Source Sans Pro" w:hAnsi="Source Sans Pro"/>
                <w:snapToGrid/>
                <w:color w:val="000000"/>
                <w:sz w:val="20"/>
              </w:rPr>
              <w:t>Estimated Weights</w:t>
            </w:r>
          </w:p>
        </w:tc>
        <w:tc>
          <w:tcPr>
            <w:tcW w:w="2298" w:type="dxa"/>
            <w:tcBorders>
              <w:top w:val="single" w:color="auto" w:sz="4" w:space="0"/>
              <w:left w:val="nil"/>
              <w:bottom w:val="single" w:color="auto" w:sz="4" w:space="0"/>
              <w:right w:val="single" w:color="auto" w:sz="4" w:space="0"/>
            </w:tcBorders>
            <w:shd w:val="clear" w:color="auto" w:fill="auto"/>
            <w:vAlign w:val="center"/>
            <w:hideMark/>
          </w:tcPr>
          <w:p w:rsidRPr="002A24FB" w:rsidR="002A24FB" w:rsidP="002A2844" w:rsidRDefault="002A24FB">
            <w:pPr>
              <w:widowControl/>
              <w:jc w:val="center"/>
              <w:rPr>
                <w:rFonts w:ascii="Source Sans Pro" w:hAnsi="Source Sans Pro"/>
                <w:snapToGrid/>
                <w:color w:val="000000"/>
                <w:sz w:val="20"/>
                <w:vertAlign w:val="superscript"/>
              </w:rPr>
            </w:pPr>
            <w:r w:rsidRPr="002A24FB">
              <w:rPr>
                <w:rFonts w:ascii="Source Sans Pro" w:hAnsi="Source Sans Pro"/>
                <w:snapToGrid/>
                <w:color w:val="000000"/>
                <w:sz w:val="20"/>
              </w:rPr>
              <w:t>Estimated Total Weighted Labor Cost Component</w:t>
            </w:r>
            <w:r w:rsidR="002A2844">
              <w:rPr>
                <w:rFonts w:ascii="Source Sans Pro" w:hAnsi="Source Sans Pro"/>
                <w:snapToGrid/>
                <w:color w:val="000000"/>
                <w:sz w:val="22"/>
                <w:vertAlign w:val="superscript"/>
              </w:rPr>
              <w:t>+</w:t>
            </w:r>
          </w:p>
        </w:tc>
      </w:tr>
      <w:tr w:rsidRPr="002A24FB" w:rsidR="002A24FB" w:rsidTr="00A53182">
        <w:trPr>
          <w:trHeight w:val="281"/>
        </w:trPr>
        <w:tc>
          <w:tcPr>
            <w:tcW w:w="3625" w:type="dxa"/>
            <w:tcBorders>
              <w:top w:val="nil"/>
              <w:left w:val="single" w:color="auto" w:sz="4" w:space="0"/>
              <w:bottom w:val="single" w:color="auto" w:sz="4" w:space="0"/>
              <w:right w:val="single" w:color="auto" w:sz="4" w:space="0"/>
            </w:tcBorders>
            <w:shd w:val="clear" w:color="auto" w:fill="auto"/>
            <w:vAlign w:val="center"/>
            <w:hideMark/>
          </w:tcPr>
          <w:p w:rsidRPr="002A24FB" w:rsidR="002A24FB" w:rsidP="002A2844" w:rsidRDefault="002A24FB">
            <w:pPr>
              <w:widowControl/>
              <w:rPr>
                <w:rFonts w:ascii="Source Sans Pro" w:hAnsi="Source Sans Pro"/>
                <w:snapToGrid/>
                <w:color w:val="000000"/>
                <w:sz w:val="20"/>
                <w:vertAlign w:val="superscript"/>
              </w:rPr>
            </w:pPr>
            <w:r w:rsidRPr="002A24FB">
              <w:rPr>
                <w:rFonts w:ascii="Source Sans Pro" w:hAnsi="Source Sans Pro"/>
                <w:snapToGrid/>
                <w:color w:val="000000"/>
                <w:sz w:val="20"/>
              </w:rPr>
              <w:t>Executives and Managers</w:t>
            </w:r>
            <w:r w:rsidR="002A2844">
              <w:rPr>
                <w:rFonts w:ascii="Source Sans Pro" w:hAnsi="Source Sans Pro"/>
                <w:snapToGrid/>
                <w:color w:val="000000"/>
                <w:sz w:val="22"/>
                <w:vertAlign w:val="superscript"/>
              </w:rPr>
              <w:t>++</w:t>
            </w:r>
          </w:p>
        </w:tc>
        <w:tc>
          <w:tcPr>
            <w:tcW w:w="2277" w:type="dxa"/>
            <w:tcBorders>
              <w:top w:val="nil"/>
              <w:left w:val="nil"/>
              <w:bottom w:val="single" w:color="auto" w:sz="4" w:space="0"/>
              <w:right w:val="single" w:color="auto" w:sz="4" w:space="0"/>
            </w:tcBorders>
            <w:shd w:val="clear" w:color="auto" w:fill="auto"/>
            <w:vAlign w:val="center"/>
            <w:hideMark/>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$123.30</w:t>
            </w:r>
          </w:p>
        </w:tc>
        <w:tc>
          <w:tcPr>
            <w:tcW w:w="1821" w:type="dxa"/>
            <w:tcBorders>
              <w:top w:val="nil"/>
              <w:left w:val="nil"/>
              <w:bottom w:val="single" w:color="auto" w:sz="4" w:space="0"/>
              <w:right w:val="single" w:color="auto" w:sz="4" w:space="0"/>
            </w:tcBorders>
            <w:shd w:val="clear" w:color="auto" w:fill="auto"/>
            <w:vAlign w:val="center"/>
            <w:hideMark/>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16%</w:t>
            </w:r>
          </w:p>
        </w:tc>
        <w:tc>
          <w:tcPr>
            <w:tcW w:w="2298" w:type="dxa"/>
            <w:tcBorders>
              <w:top w:val="nil"/>
              <w:left w:val="nil"/>
              <w:bottom w:val="single" w:color="auto" w:sz="4" w:space="0"/>
              <w:right w:val="single" w:color="auto" w:sz="4" w:space="0"/>
            </w:tcBorders>
            <w:shd w:val="clear" w:color="auto" w:fill="auto"/>
            <w:vAlign w:val="center"/>
            <w:hideMark/>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$19.71</w:t>
            </w:r>
          </w:p>
        </w:tc>
      </w:tr>
      <w:tr w:rsidRPr="002A24FB" w:rsidR="002A24FB" w:rsidTr="00A53182">
        <w:trPr>
          <w:trHeight w:val="135"/>
        </w:trPr>
        <w:tc>
          <w:tcPr>
            <w:tcW w:w="3625" w:type="dxa"/>
            <w:tcBorders>
              <w:top w:val="nil"/>
              <w:left w:val="single" w:color="auto" w:sz="4" w:space="0"/>
              <w:bottom w:val="single" w:color="auto" w:sz="4" w:space="0"/>
              <w:right w:val="single" w:color="auto" w:sz="4" w:space="0"/>
            </w:tcBorders>
            <w:shd w:val="clear" w:color="auto" w:fill="auto"/>
            <w:vAlign w:val="center"/>
          </w:tcPr>
          <w:p w:rsidRPr="002A24FB" w:rsidR="002A24FB" w:rsidP="002A2844" w:rsidRDefault="002A24FB">
            <w:pPr>
              <w:widowControl/>
              <w:rPr>
                <w:rFonts w:ascii="Source Sans Pro" w:hAnsi="Source Sans Pro"/>
                <w:snapToGrid/>
                <w:color w:val="000000"/>
                <w:sz w:val="20"/>
                <w:vertAlign w:val="superscript"/>
              </w:rPr>
            </w:pPr>
            <w:r w:rsidRPr="002A24FB">
              <w:rPr>
                <w:rFonts w:ascii="Source Sans Pro" w:hAnsi="Source Sans Pro"/>
                <w:snapToGrid/>
                <w:color w:val="000000"/>
                <w:sz w:val="20"/>
              </w:rPr>
              <w:t>Compliance Officer</w:t>
            </w:r>
            <w:r w:rsidR="002A2844">
              <w:rPr>
                <w:rFonts w:ascii="Source Sans Pro" w:hAnsi="Source Sans Pro"/>
                <w:snapToGrid/>
                <w:color w:val="000000"/>
                <w:sz w:val="22"/>
                <w:vertAlign w:val="superscript"/>
              </w:rPr>
              <w:t>+++</w:t>
            </w:r>
          </w:p>
        </w:tc>
        <w:tc>
          <w:tcPr>
            <w:tcW w:w="2277" w:type="dxa"/>
            <w:tcBorders>
              <w:top w:val="nil"/>
              <w:left w:val="nil"/>
              <w:bottom w:val="single" w:color="auto" w:sz="4" w:space="0"/>
              <w:right w:val="single" w:color="auto" w:sz="4" w:space="0"/>
            </w:tcBorders>
            <w:shd w:val="clear" w:color="auto" w:fill="auto"/>
            <w:vAlign w:val="center"/>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$67.35</w:t>
            </w:r>
          </w:p>
        </w:tc>
        <w:tc>
          <w:tcPr>
            <w:tcW w:w="1821" w:type="dxa"/>
            <w:tcBorders>
              <w:top w:val="nil"/>
              <w:left w:val="nil"/>
              <w:bottom w:val="single" w:color="auto" w:sz="4" w:space="0"/>
              <w:right w:val="single" w:color="auto" w:sz="4" w:space="0"/>
            </w:tcBorders>
            <w:shd w:val="clear" w:color="auto" w:fill="auto"/>
            <w:vAlign w:val="center"/>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46%</w:t>
            </w:r>
          </w:p>
        </w:tc>
        <w:tc>
          <w:tcPr>
            <w:tcW w:w="2298" w:type="dxa"/>
            <w:tcBorders>
              <w:top w:val="nil"/>
              <w:left w:val="nil"/>
              <w:bottom w:val="single" w:color="auto" w:sz="4" w:space="0"/>
              <w:right w:val="single" w:color="auto" w:sz="4" w:space="0"/>
            </w:tcBorders>
            <w:shd w:val="clear" w:color="auto" w:fill="auto"/>
            <w:vAlign w:val="center"/>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$30.75</w:t>
            </w:r>
          </w:p>
        </w:tc>
      </w:tr>
      <w:tr w:rsidRPr="002A24FB" w:rsidR="002A24FB" w:rsidTr="00A53182">
        <w:trPr>
          <w:trHeight w:val="135"/>
        </w:trPr>
        <w:tc>
          <w:tcPr>
            <w:tcW w:w="3625" w:type="dxa"/>
            <w:tcBorders>
              <w:top w:val="nil"/>
              <w:left w:val="single" w:color="auto" w:sz="4" w:space="0"/>
              <w:bottom w:val="single" w:color="auto" w:sz="4" w:space="0"/>
              <w:right w:val="single" w:color="auto" w:sz="4" w:space="0"/>
            </w:tcBorders>
            <w:shd w:val="clear" w:color="auto" w:fill="auto"/>
            <w:vAlign w:val="center"/>
          </w:tcPr>
          <w:p w:rsidRPr="002A24FB" w:rsidR="002A24FB" w:rsidP="002A2844" w:rsidRDefault="002A24FB">
            <w:pPr>
              <w:widowControl/>
              <w:rPr>
                <w:rFonts w:ascii="Source Sans Pro" w:hAnsi="Source Sans Pro"/>
                <w:snapToGrid/>
                <w:color w:val="000000"/>
                <w:sz w:val="20"/>
                <w:vertAlign w:val="superscript"/>
              </w:rPr>
            </w:pPr>
            <w:r w:rsidRPr="002A24FB">
              <w:rPr>
                <w:rFonts w:ascii="Source Sans Pro" w:hAnsi="Source Sans Pro"/>
                <w:snapToGrid/>
                <w:color w:val="000000"/>
                <w:sz w:val="20"/>
              </w:rPr>
              <w:t>Clerical</w:t>
            </w:r>
            <w:r w:rsidR="002A2844">
              <w:rPr>
                <w:rFonts w:ascii="Source Sans Pro" w:hAnsi="Source Sans Pro"/>
                <w:snapToGrid/>
                <w:color w:val="000000"/>
                <w:sz w:val="22"/>
                <w:vertAlign w:val="superscript"/>
              </w:rPr>
              <w:t>++++</w:t>
            </w:r>
          </w:p>
        </w:tc>
        <w:tc>
          <w:tcPr>
            <w:tcW w:w="2277" w:type="dxa"/>
            <w:tcBorders>
              <w:top w:val="nil"/>
              <w:left w:val="nil"/>
              <w:bottom w:val="single" w:color="auto" w:sz="4" w:space="0"/>
              <w:right w:val="single" w:color="auto" w:sz="4" w:space="0"/>
            </w:tcBorders>
            <w:shd w:val="clear" w:color="auto" w:fill="auto"/>
            <w:vAlign w:val="center"/>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$33.44</w:t>
            </w:r>
          </w:p>
        </w:tc>
        <w:tc>
          <w:tcPr>
            <w:tcW w:w="1821" w:type="dxa"/>
            <w:tcBorders>
              <w:top w:val="nil"/>
              <w:left w:val="nil"/>
              <w:bottom w:val="single" w:color="auto" w:sz="4" w:space="0"/>
              <w:right w:val="single" w:color="auto" w:sz="4" w:space="0"/>
            </w:tcBorders>
            <w:shd w:val="clear" w:color="auto" w:fill="auto"/>
            <w:vAlign w:val="center"/>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38%</w:t>
            </w:r>
          </w:p>
        </w:tc>
        <w:tc>
          <w:tcPr>
            <w:tcW w:w="2298" w:type="dxa"/>
            <w:tcBorders>
              <w:top w:val="nil"/>
              <w:left w:val="nil"/>
              <w:bottom w:val="single" w:color="auto" w:sz="4" w:space="0"/>
              <w:right w:val="single" w:color="auto" w:sz="4" w:space="0"/>
            </w:tcBorders>
            <w:shd w:val="clear" w:color="auto" w:fill="auto"/>
            <w:vAlign w:val="center"/>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$12.83</w:t>
            </w:r>
          </w:p>
        </w:tc>
      </w:tr>
      <w:tr w:rsidRPr="002A24FB" w:rsidR="002A24FB" w:rsidTr="00A53182">
        <w:trPr>
          <w:trHeight w:val="7"/>
        </w:trPr>
        <w:tc>
          <w:tcPr>
            <w:tcW w:w="3625" w:type="dxa"/>
            <w:tcBorders>
              <w:top w:val="nil"/>
              <w:left w:val="single" w:color="auto" w:sz="4" w:space="0"/>
              <w:bottom w:val="single" w:color="auto" w:sz="4" w:space="0"/>
              <w:right w:val="single" w:color="auto" w:sz="4" w:space="0"/>
            </w:tcBorders>
            <w:shd w:val="clear" w:color="auto" w:fill="auto"/>
            <w:vAlign w:val="center"/>
            <w:hideMark/>
          </w:tcPr>
          <w:p w:rsidRPr="002A24FB" w:rsidR="002A24FB" w:rsidP="002A24FB" w:rsidRDefault="002A24FB">
            <w:pPr>
              <w:widowControl/>
              <w:rPr>
                <w:rFonts w:ascii="Source Sans Pro" w:hAnsi="Source Sans Pro"/>
                <w:snapToGrid/>
                <w:color w:val="000000"/>
                <w:sz w:val="20"/>
              </w:rPr>
            </w:pPr>
            <w:r w:rsidRPr="002A24FB">
              <w:rPr>
                <w:rFonts w:ascii="Source Sans Pro" w:hAnsi="Source Sans Pro"/>
                <w:snapToGrid/>
                <w:color w:val="000000"/>
                <w:sz w:val="20"/>
              </w:rPr>
              <w:t>Total Estimated Weighted Average Hourly Compensation Rate</w:t>
            </w:r>
          </w:p>
        </w:tc>
        <w:tc>
          <w:tcPr>
            <w:tcW w:w="2277" w:type="dxa"/>
            <w:tcBorders>
              <w:top w:val="nil"/>
              <w:left w:val="nil"/>
              <w:bottom w:val="single" w:color="auto" w:sz="4" w:space="0"/>
              <w:right w:val="single" w:color="auto" w:sz="4" w:space="0"/>
            </w:tcBorders>
            <w:shd w:val="clear" w:color="auto" w:fill="auto"/>
            <w:vAlign w:val="center"/>
            <w:hideMark/>
          </w:tcPr>
          <w:p w:rsidRPr="002A24FB" w:rsidR="002A24FB" w:rsidP="002A24FB" w:rsidRDefault="002A24FB">
            <w:pPr>
              <w:widowControl/>
              <w:rPr>
                <w:rFonts w:ascii="Source Sans Pro" w:hAnsi="Source Sans Pro" w:cs="Calibri"/>
                <w:snapToGrid/>
                <w:color w:val="000000"/>
                <w:sz w:val="20"/>
              </w:rPr>
            </w:pPr>
            <w:r w:rsidRPr="002A24FB">
              <w:rPr>
                <w:rFonts w:ascii="Source Sans Pro" w:hAnsi="Source Sans Pro" w:cs="Calibri"/>
                <w:snapToGrid/>
                <w:color w:val="000000"/>
                <w:sz w:val="20"/>
              </w:rPr>
              <w:t> </w:t>
            </w:r>
          </w:p>
        </w:tc>
        <w:tc>
          <w:tcPr>
            <w:tcW w:w="1821" w:type="dxa"/>
            <w:tcBorders>
              <w:top w:val="nil"/>
              <w:left w:val="nil"/>
              <w:bottom w:val="single" w:color="auto" w:sz="4" w:space="0"/>
              <w:right w:val="single" w:color="auto" w:sz="4" w:space="0"/>
            </w:tcBorders>
            <w:shd w:val="clear" w:color="auto" w:fill="auto"/>
            <w:vAlign w:val="center"/>
            <w:hideMark/>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100%</w:t>
            </w:r>
          </w:p>
        </w:tc>
        <w:tc>
          <w:tcPr>
            <w:tcW w:w="2298" w:type="dxa"/>
            <w:tcBorders>
              <w:top w:val="nil"/>
              <w:left w:val="nil"/>
              <w:bottom w:val="single" w:color="auto" w:sz="4" w:space="0"/>
              <w:right w:val="single" w:color="auto" w:sz="4" w:space="0"/>
            </w:tcBorders>
            <w:shd w:val="clear" w:color="auto" w:fill="auto"/>
            <w:vAlign w:val="center"/>
            <w:hideMark/>
          </w:tcPr>
          <w:p w:rsidRPr="002A24FB" w:rsidR="002A24FB" w:rsidP="002A24FB" w:rsidRDefault="002A24FB">
            <w:pPr>
              <w:widowControl/>
              <w:jc w:val="right"/>
              <w:rPr>
                <w:rFonts w:ascii="Source Sans Pro" w:hAnsi="Source Sans Pro"/>
                <w:snapToGrid/>
                <w:color w:val="000000"/>
                <w:sz w:val="20"/>
              </w:rPr>
            </w:pPr>
            <w:r w:rsidRPr="002A24FB">
              <w:rPr>
                <w:rFonts w:ascii="Source Sans Pro" w:hAnsi="Source Sans Pro"/>
                <w:snapToGrid/>
                <w:color w:val="000000"/>
                <w:sz w:val="20"/>
              </w:rPr>
              <w:t>$63.28</w:t>
            </w:r>
          </w:p>
        </w:tc>
      </w:tr>
      <w:tr w:rsidRPr="002A24FB" w:rsidR="002A24FB" w:rsidTr="002A24FB">
        <w:trPr>
          <w:trHeight w:val="574"/>
        </w:trPr>
        <w:tc>
          <w:tcPr>
            <w:tcW w:w="10021" w:type="dxa"/>
            <w:gridSpan w:val="4"/>
            <w:tcBorders>
              <w:top w:val="nil"/>
              <w:left w:val="nil"/>
              <w:bottom w:val="nil"/>
              <w:right w:val="nil"/>
            </w:tcBorders>
            <w:shd w:val="clear" w:color="auto" w:fill="auto"/>
            <w:hideMark/>
          </w:tcPr>
          <w:p w:rsidRPr="002A24FB" w:rsidR="002A24FB" w:rsidP="002A24FB" w:rsidRDefault="002A24FB">
            <w:pPr>
              <w:widowControl/>
              <w:rPr>
                <w:rFonts w:ascii="Source Sans Pro" w:hAnsi="Source Sans Pro"/>
                <w:snapToGrid/>
                <w:color w:val="000000"/>
                <w:sz w:val="20"/>
                <w:szCs w:val="22"/>
              </w:rPr>
            </w:pPr>
            <w:r w:rsidRPr="002A24FB">
              <w:rPr>
                <w:rFonts w:ascii="Source Sans Pro" w:hAnsi="Source Sans Pro"/>
                <w:snapToGrid/>
                <w:color w:val="000000"/>
                <w:sz w:val="20"/>
                <w:szCs w:val="22"/>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r w:rsidRPr="002A24FB" w:rsidR="002A24FB" w:rsidTr="002A24FB">
        <w:trPr>
          <w:trHeight w:val="137"/>
        </w:trPr>
        <w:tc>
          <w:tcPr>
            <w:tcW w:w="10021" w:type="dxa"/>
            <w:gridSpan w:val="4"/>
            <w:tcBorders>
              <w:top w:val="nil"/>
              <w:left w:val="nil"/>
              <w:bottom w:val="nil"/>
              <w:right w:val="nil"/>
            </w:tcBorders>
            <w:shd w:val="clear" w:color="auto" w:fill="auto"/>
            <w:noWrap/>
          </w:tcPr>
          <w:p w:rsidRPr="002A24FB" w:rsidR="002A24FB" w:rsidP="002A24FB" w:rsidRDefault="002A2844">
            <w:pPr>
              <w:widowControl/>
              <w:suppressAutoHyphens/>
              <w:ind w:right="-86"/>
              <w:rPr>
                <w:rFonts w:ascii="Source Sans Pro" w:hAnsi="Source Sans Pro" w:cs="Source Sans Pro"/>
                <w:snapToGrid/>
                <w:color w:val="000000"/>
                <w:sz w:val="20"/>
                <w:szCs w:val="22"/>
              </w:rPr>
            </w:pPr>
            <w:r>
              <w:rPr>
                <w:rFonts w:ascii="Source Sans Pro" w:hAnsi="Source Sans Pro"/>
                <w:snapToGrid/>
                <w:color w:val="000000"/>
                <w:sz w:val="20"/>
                <w:szCs w:val="22"/>
              </w:rPr>
              <w:t>+</w:t>
            </w:r>
            <w:r w:rsidRPr="002A24FB" w:rsidR="002A24FB">
              <w:rPr>
                <w:rFonts w:ascii="Source Sans Pro" w:hAnsi="Source Sans Pro" w:cs="Source Sans Pro"/>
                <w:snapToGrid/>
                <w:color w:val="000000"/>
                <w:sz w:val="20"/>
                <w:szCs w:val="22"/>
              </w:rPr>
              <w:t xml:space="preserve"> The total weighted average hourly compensation rate does not equal the sum of its components due to rounding.</w:t>
            </w:r>
          </w:p>
        </w:tc>
      </w:tr>
      <w:tr w:rsidRPr="002A24FB" w:rsidR="002A24FB" w:rsidTr="002A24FB">
        <w:trPr>
          <w:trHeight w:val="135"/>
        </w:trPr>
        <w:tc>
          <w:tcPr>
            <w:tcW w:w="10021" w:type="dxa"/>
            <w:gridSpan w:val="4"/>
            <w:tcBorders>
              <w:top w:val="nil"/>
              <w:left w:val="nil"/>
              <w:bottom w:val="nil"/>
              <w:right w:val="nil"/>
            </w:tcBorders>
            <w:shd w:val="clear" w:color="auto" w:fill="auto"/>
            <w:noWrap/>
            <w:hideMark/>
          </w:tcPr>
          <w:p w:rsidRPr="002A24FB" w:rsidR="002A24FB" w:rsidP="002A24FB" w:rsidRDefault="002A2844">
            <w:pPr>
              <w:widowControl/>
              <w:rPr>
                <w:rFonts w:ascii="Source Sans Pro" w:hAnsi="Source Sans Pro"/>
                <w:snapToGrid/>
                <w:color w:val="000000"/>
                <w:sz w:val="20"/>
                <w:szCs w:val="22"/>
              </w:rPr>
            </w:pPr>
            <w:r>
              <w:rPr>
                <w:rFonts w:ascii="Source Sans Pro" w:hAnsi="Source Sans Pro"/>
                <w:snapToGrid/>
                <w:color w:val="000000"/>
                <w:sz w:val="20"/>
                <w:szCs w:val="22"/>
              </w:rPr>
              <w:t>++</w:t>
            </w:r>
            <w:r w:rsidRPr="002A24FB" w:rsidR="002A24FB">
              <w:rPr>
                <w:rFonts w:ascii="Source Sans Pro" w:hAnsi="Source Sans Pro" w:eastAsia="Source Sans Pro" w:cs="Source Sans Pro"/>
                <w:snapToGrid/>
                <w:sz w:val="20"/>
                <w:lang w:bidi="en-US"/>
              </w:rPr>
              <w:t xml:space="preserve"> </w:t>
            </w:r>
            <w:r w:rsidRPr="002A24FB" w:rsidR="002A24FB">
              <w:rPr>
                <w:rFonts w:ascii="Source Sans Pro" w:hAnsi="Source Sans Pro"/>
                <w:snapToGrid/>
                <w:color w:val="000000"/>
                <w:sz w:val="20"/>
                <w:szCs w:val="22"/>
              </w:rPr>
              <w:t>Occupation (SOC Code): Management Occupations (110000).</w:t>
            </w:r>
          </w:p>
        </w:tc>
      </w:tr>
      <w:tr w:rsidRPr="002A24FB" w:rsidR="002A24FB" w:rsidTr="002A24FB">
        <w:trPr>
          <w:trHeight w:val="135"/>
        </w:trPr>
        <w:tc>
          <w:tcPr>
            <w:tcW w:w="10021" w:type="dxa"/>
            <w:gridSpan w:val="4"/>
            <w:tcBorders>
              <w:top w:val="nil"/>
              <w:left w:val="nil"/>
              <w:bottom w:val="nil"/>
              <w:right w:val="nil"/>
            </w:tcBorders>
            <w:shd w:val="clear" w:color="auto" w:fill="auto"/>
            <w:noWrap/>
          </w:tcPr>
          <w:p w:rsidRPr="002A24FB" w:rsidR="002A24FB" w:rsidP="002A24FB" w:rsidRDefault="002A2844">
            <w:pPr>
              <w:widowControl/>
              <w:rPr>
                <w:rFonts w:ascii="Source Sans Pro" w:hAnsi="Source Sans Pro"/>
                <w:snapToGrid/>
                <w:color w:val="000000"/>
                <w:sz w:val="20"/>
                <w:szCs w:val="22"/>
              </w:rPr>
            </w:pPr>
            <w:r>
              <w:rPr>
                <w:rFonts w:ascii="Source Sans Pro" w:hAnsi="Source Sans Pro"/>
                <w:snapToGrid/>
                <w:color w:val="000000"/>
                <w:sz w:val="20"/>
                <w:szCs w:val="22"/>
              </w:rPr>
              <w:t>+++</w:t>
            </w:r>
            <w:r w:rsidRPr="002A24FB" w:rsidR="002A24FB">
              <w:rPr>
                <w:rFonts w:ascii="Source Sans Pro" w:hAnsi="Source Sans Pro"/>
                <w:snapToGrid/>
                <w:color w:val="000000"/>
                <w:sz w:val="20"/>
                <w:szCs w:val="22"/>
              </w:rPr>
              <w:t xml:space="preserve"> Occupation (SOC Code): Compliance Officers (131040).</w:t>
            </w:r>
          </w:p>
        </w:tc>
      </w:tr>
      <w:tr w:rsidRPr="002A24FB" w:rsidR="002A24FB" w:rsidTr="002A24FB">
        <w:trPr>
          <w:trHeight w:val="135"/>
        </w:trPr>
        <w:tc>
          <w:tcPr>
            <w:tcW w:w="10021" w:type="dxa"/>
            <w:gridSpan w:val="4"/>
            <w:tcBorders>
              <w:top w:val="nil"/>
              <w:left w:val="nil"/>
              <w:bottom w:val="nil"/>
              <w:right w:val="nil"/>
            </w:tcBorders>
            <w:shd w:val="clear" w:color="auto" w:fill="auto"/>
            <w:noWrap/>
          </w:tcPr>
          <w:p w:rsidRPr="002A24FB" w:rsidR="002A24FB" w:rsidP="002A24FB" w:rsidRDefault="002A2844">
            <w:pPr>
              <w:widowControl/>
              <w:rPr>
                <w:rFonts w:ascii="Source Sans Pro" w:hAnsi="Source Sans Pro"/>
                <w:snapToGrid/>
                <w:color w:val="000000"/>
                <w:sz w:val="20"/>
                <w:szCs w:val="22"/>
              </w:rPr>
            </w:pPr>
            <w:r>
              <w:rPr>
                <w:rFonts w:ascii="Source Sans Pro" w:hAnsi="Source Sans Pro"/>
                <w:snapToGrid/>
                <w:color w:val="000000"/>
                <w:sz w:val="20"/>
                <w:szCs w:val="22"/>
              </w:rPr>
              <w:t>++++</w:t>
            </w:r>
            <w:r w:rsidRPr="002A24FB" w:rsidR="002A24FB">
              <w:rPr>
                <w:rFonts w:ascii="Source Sans Pro" w:hAnsi="Source Sans Pro"/>
                <w:snapToGrid/>
                <w:color w:val="000000"/>
                <w:sz w:val="20"/>
                <w:szCs w:val="22"/>
              </w:rPr>
              <w:t xml:space="preserve"> Occupation (SOC Code): Office and Administrative Support Occupations (430000).</w:t>
            </w:r>
          </w:p>
        </w:tc>
      </w:tr>
      <w:tr w:rsidRPr="002A24FB" w:rsidR="002A24FB" w:rsidTr="00A53182">
        <w:trPr>
          <w:trHeight w:val="123"/>
        </w:trPr>
        <w:tc>
          <w:tcPr>
            <w:tcW w:w="3625" w:type="dxa"/>
            <w:tcBorders>
              <w:top w:val="nil"/>
              <w:left w:val="nil"/>
              <w:bottom w:val="nil"/>
              <w:right w:val="nil"/>
            </w:tcBorders>
            <w:shd w:val="clear" w:color="auto" w:fill="auto"/>
            <w:noWrap/>
            <w:hideMark/>
          </w:tcPr>
          <w:p w:rsidRPr="002A24FB" w:rsidR="002A24FB" w:rsidP="002A24FB" w:rsidRDefault="002A24FB">
            <w:pPr>
              <w:widowControl/>
              <w:rPr>
                <w:snapToGrid/>
                <w:color w:val="000000"/>
                <w:sz w:val="20"/>
                <w:szCs w:val="22"/>
              </w:rPr>
            </w:pPr>
          </w:p>
        </w:tc>
        <w:tc>
          <w:tcPr>
            <w:tcW w:w="2277" w:type="dxa"/>
            <w:tcBorders>
              <w:top w:val="nil"/>
              <w:left w:val="nil"/>
              <w:bottom w:val="nil"/>
              <w:right w:val="nil"/>
            </w:tcBorders>
            <w:shd w:val="clear" w:color="auto" w:fill="auto"/>
            <w:hideMark/>
          </w:tcPr>
          <w:p w:rsidRPr="002A24FB" w:rsidR="002A24FB" w:rsidP="002A24FB" w:rsidRDefault="002A24FB">
            <w:pPr>
              <w:widowControl/>
              <w:rPr>
                <w:snapToGrid/>
                <w:color w:val="000000"/>
                <w:sz w:val="20"/>
                <w:szCs w:val="22"/>
              </w:rPr>
            </w:pPr>
          </w:p>
        </w:tc>
        <w:tc>
          <w:tcPr>
            <w:tcW w:w="1821" w:type="dxa"/>
            <w:tcBorders>
              <w:top w:val="nil"/>
              <w:left w:val="nil"/>
              <w:bottom w:val="nil"/>
              <w:right w:val="nil"/>
            </w:tcBorders>
            <w:shd w:val="clear" w:color="auto" w:fill="auto"/>
            <w:hideMark/>
          </w:tcPr>
          <w:p w:rsidRPr="002A24FB" w:rsidR="002A24FB" w:rsidP="002A24FB" w:rsidRDefault="002A24FB">
            <w:pPr>
              <w:widowControl/>
              <w:rPr>
                <w:snapToGrid/>
                <w:sz w:val="20"/>
              </w:rPr>
            </w:pPr>
          </w:p>
        </w:tc>
        <w:tc>
          <w:tcPr>
            <w:tcW w:w="2298" w:type="dxa"/>
            <w:tcBorders>
              <w:top w:val="nil"/>
              <w:left w:val="nil"/>
              <w:bottom w:val="nil"/>
              <w:right w:val="nil"/>
            </w:tcBorders>
            <w:shd w:val="clear" w:color="auto" w:fill="auto"/>
            <w:hideMark/>
          </w:tcPr>
          <w:p w:rsidRPr="002A24FB" w:rsidR="002A24FB" w:rsidP="002A24FB" w:rsidRDefault="002A24FB">
            <w:pPr>
              <w:widowControl/>
              <w:rPr>
                <w:snapToGrid/>
                <w:sz w:val="20"/>
              </w:rPr>
            </w:pPr>
          </w:p>
        </w:tc>
      </w:tr>
    </w:tbl>
    <w:p w:rsidR="003643DB" w:rsidP="003643DB" w:rsidRDefault="003643DB">
      <w:pPr>
        <w:keepNext/>
        <w:tabs>
          <w:tab w:val="left" w:pos="-1440"/>
        </w:tabs>
        <w:ind w:left="720" w:hanging="360"/>
        <w:rPr>
          <w:b/>
          <w:bCs/>
          <w:szCs w:val="24"/>
          <w:u w:val="single"/>
        </w:rPr>
      </w:pPr>
      <w:r w:rsidRPr="003643DB">
        <w:t>13.</w:t>
      </w:r>
      <w:r w:rsidRPr="003643DB">
        <w:tab/>
      </w:r>
      <w:r w:rsidRPr="003643DB">
        <w:rPr>
          <w:b/>
          <w:bCs/>
          <w:iCs/>
          <w:u w:val="single"/>
        </w:rPr>
        <w:t>Estimate</w:t>
      </w:r>
      <w:r w:rsidRPr="003643DB">
        <w:rPr>
          <w:b/>
          <w:bCs/>
          <w:szCs w:val="24"/>
          <w:u w:val="single"/>
        </w:rPr>
        <w:t xml:space="preserve"> of </w:t>
      </w:r>
      <w:r w:rsidRPr="003643DB">
        <w:rPr>
          <w:b/>
          <w:u w:val="single"/>
        </w:rPr>
        <w:t>start</w:t>
      </w:r>
      <w:r w:rsidRPr="003643DB">
        <w:rPr>
          <w:b/>
          <w:bCs/>
          <w:szCs w:val="24"/>
          <w:u w:val="single"/>
        </w:rPr>
        <w:t>-up costs to respondents:</w:t>
      </w:r>
    </w:p>
    <w:p w:rsidRPr="003643DB" w:rsidR="005944E5" w:rsidP="003643DB" w:rsidRDefault="005944E5">
      <w:pPr>
        <w:keepNext/>
        <w:tabs>
          <w:tab w:val="left" w:pos="-1440"/>
        </w:tabs>
        <w:ind w:left="720" w:hanging="360"/>
        <w:rPr>
          <w:b/>
          <w:u w:val="single"/>
        </w:rPr>
      </w:pPr>
    </w:p>
    <w:p w:rsidR="00183ADC" w:rsidP="00AA2DC4" w:rsidRDefault="00183ADC">
      <w:pPr>
        <w:spacing w:after="240"/>
        <w:ind w:left="720"/>
      </w:pPr>
      <w:r>
        <w:t>None.</w:t>
      </w:r>
    </w:p>
    <w:p w:rsidR="003643DB" w:rsidP="00D412B7" w:rsidRDefault="003643DB">
      <w:pPr>
        <w:keepNext/>
        <w:widowControl/>
        <w:tabs>
          <w:tab w:val="left" w:pos="-1440"/>
        </w:tabs>
        <w:ind w:left="720" w:hanging="360"/>
        <w:rPr>
          <w:b/>
          <w:bCs/>
          <w:iCs/>
          <w:szCs w:val="24"/>
          <w:u w:val="single"/>
        </w:rPr>
      </w:pPr>
      <w:r w:rsidRPr="003643DB">
        <w:lastRenderedPageBreak/>
        <w:t>14.</w:t>
      </w:r>
      <w:r w:rsidRPr="003643DB">
        <w:tab/>
      </w:r>
      <w:r w:rsidRPr="003643DB">
        <w:rPr>
          <w:b/>
          <w:bCs/>
          <w:iCs/>
          <w:u w:val="single"/>
        </w:rPr>
        <w:t>Estimate</w:t>
      </w:r>
      <w:r w:rsidRPr="003643DB">
        <w:rPr>
          <w:b/>
          <w:bCs/>
          <w:iCs/>
          <w:szCs w:val="24"/>
          <w:u w:val="single"/>
        </w:rPr>
        <w:t xml:space="preserve"> of annualized costs to the government:</w:t>
      </w:r>
    </w:p>
    <w:p w:rsidRPr="003643DB" w:rsidR="005944E5" w:rsidP="00D412B7" w:rsidRDefault="005944E5">
      <w:pPr>
        <w:keepNext/>
        <w:widowControl/>
        <w:tabs>
          <w:tab w:val="left" w:pos="-1440"/>
        </w:tabs>
        <w:ind w:left="720" w:hanging="360"/>
      </w:pPr>
    </w:p>
    <w:p w:rsidR="00BE2844" w:rsidP="008C7B1A" w:rsidRDefault="00B92A7F">
      <w:pPr>
        <w:spacing w:after="120"/>
        <w:ind w:left="720"/>
      </w:pPr>
      <w:r>
        <w:t>None.</w:t>
      </w:r>
    </w:p>
    <w:p w:rsidR="003643DB" w:rsidP="003643DB" w:rsidRDefault="003643DB">
      <w:pPr>
        <w:keepNext/>
        <w:tabs>
          <w:tab w:val="left" w:pos="-1440"/>
        </w:tabs>
        <w:ind w:left="720" w:hanging="360"/>
        <w:rPr>
          <w:b/>
          <w:bCs/>
          <w:iCs/>
          <w:szCs w:val="24"/>
          <w:u w:val="single"/>
        </w:rPr>
      </w:pPr>
      <w:r w:rsidRPr="003643DB">
        <w:t>15.</w:t>
      </w:r>
      <w:r w:rsidRPr="003643DB">
        <w:tab/>
      </w:r>
      <w:r w:rsidRPr="003643DB">
        <w:rPr>
          <w:b/>
          <w:bCs/>
          <w:iCs/>
          <w:u w:val="single"/>
        </w:rPr>
        <w:t>Analysis</w:t>
      </w:r>
      <w:r w:rsidRPr="003643DB">
        <w:rPr>
          <w:b/>
          <w:bCs/>
          <w:iCs/>
          <w:szCs w:val="24"/>
          <w:u w:val="single"/>
        </w:rPr>
        <w:t xml:space="preserve"> </w:t>
      </w:r>
      <w:r w:rsidRPr="003643DB">
        <w:rPr>
          <w:b/>
          <w:u w:val="single"/>
        </w:rPr>
        <w:t>of</w:t>
      </w:r>
      <w:r w:rsidRPr="003643DB">
        <w:rPr>
          <w:b/>
          <w:bCs/>
          <w:iCs/>
          <w:szCs w:val="24"/>
          <w:u w:val="single"/>
        </w:rPr>
        <w:t xml:space="preserve"> change in burden:</w:t>
      </w:r>
    </w:p>
    <w:p w:rsidRPr="003643DB" w:rsidR="005944E5" w:rsidP="003643DB" w:rsidRDefault="005944E5">
      <w:pPr>
        <w:keepNext/>
        <w:tabs>
          <w:tab w:val="left" w:pos="-1440"/>
        </w:tabs>
        <w:ind w:left="720" w:hanging="360"/>
      </w:pPr>
    </w:p>
    <w:p w:rsidR="00183ADC" w:rsidP="007467A5" w:rsidRDefault="00AA3F52">
      <w:pPr>
        <w:spacing w:after="240"/>
        <w:ind w:left="720"/>
      </w:pPr>
      <w:r>
        <w:t xml:space="preserve">There is no change in the method or substance of the </w:t>
      </w:r>
      <w:r w:rsidR="00BD466F">
        <w:t xml:space="preserve">information </w:t>
      </w:r>
      <w:r>
        <w:t>collection</w:t>
      </w:r>
      <w:r w:rsidR="00BD466F">
        <w:t xml:space="preserve"> and no change in burden</w:t>
      </w:r>
      <w:r>
        <w:t xml:space="preserve">.  </w:t>
      </w:r>
    </w:p>
    <w:p w:rsidR="00BD466F" w:rsidP="00BD466F" w:rsidRDefault="00BD466F">
      <w:pPr>
        <w:tabs>
          <w:tab w:val="left" w:pos="-1440"/>
        </w:tabs>
        <w:ind w:left="720" w:hanging="360"/>
        <w:rPr>
          <w:b/>
          <w:szCs w:val="24"/>
          <w:u w:val="single"/>
        </w:rPr>
      </w:pPr>
      <w:r w:rsidRPr="00BD466F">
        <w:t>16.</w:t>
      </w:r>
      <w:r w:rsidRPr="00BD466F">
        <w:tab/>
      </w:r>
      <w:r w:rsidRPr="00BD466F">
        <w:rPr>
          <w:b/>
          <w:bCs/>
          <w:iCs/>
          <w:u w:val="single"/>
        </w:rPr>
        <w:t>Information</w:t>
      </w:r>
      <w:r w:rsidRPr="00BD466F">
        <w:rPr>
          <w:b/>
          <w:szCs w:val="24"/>
          <w:u w:val="single"/>
        </w:rPr>
        <w:t xml:space="preserve"> regarding collections whose results are planned to be published for statistical use:</w:t>
      </w:r>
    </w:p>
    <w:p w:rsidRPr="00BD466F" w:rsidR="005944E5" w:rsidP="00BD466F" w:rsidRDefault="005944E5">
      <w:pPr>
        <w:tabs>
          <w:tab w:val="left" w:pos="-1440"/>
        </w:tabs>
        <w:ind w:left="720" w:hanging="360"/>
        <w:rPr>
          <w:b/>
          <w:szCs w:val="24"/>
          <w:u w:val="single"/>
        </w:rPr>
      </w:pPr>
    </w:p>
    <w:p w:rsidR="00183ADC" w:rsidP="00AA2DC4" w:rsidRDefault="00B92A7F">
      <w:pPr>
        <w:spacing w:after="240"/>
        <w:ind w:left="720"/>
      </w:pPr>
      <w:r>
        <w:t>The information collected will not be published.</w:t>
      </w:r>
    </w:p>
    <w:p w:rsidR="00183ADC" w:rsidP="005944E5" w:rsidRDefault="00183ADC">
      <w:pPr>
        <w:tabs>
          <w:tab w:val="left" w:pos="-1440"/>
        </w:tabs>
        <w:spacing w:after="120"/>
        <w:ind w:firstLine="360"/>
      </w:pPr>
      <w:r>
        <w:t>17.</w:t>
      </w:r>
      <w:r>
        <w:tab/>
      </w:r>
      <w:r w:rsidRPr="005944E5" w:rsidR="00951D11">
        <w:rPr>
          <w:b/>
          <w:u w:val="single"/>
        </w:rPr>
        <w:t>Exceptions</w:t>
      </w:r>
      <w:r w:rsidRPr="005944E5">
        <w:rPr>
          <w:b/>
          <w:u w:val="single"/>
        </w:rPr>
        <w:t xml:space="preserve"> </w:t>
      </w:r>
      <w:r w:rsidRPr="005944E5" w:rsidR="00AA3F52">
        <w:rPr>
          <w:b/>
          <w:u w:val="single"/>
        </w:rPr>
        <w:t xml:space="preserve">to Display </w:t>
      </w:r>
      <w:r w:rsidRPr="005944E5">
        <w:rPr>
          <w:b/>
          <w:u w:val="single"/>
        </w:rPr>
        <w:t>of Expiration Date</w:t>
      </w:r>
    </w:p>
    <w:p w:rsidR="00183ADC" w:rsidP="00AA2DC4" w:rsidRDefault="00183ADC">
      <w:pPr>
        <w:spacing w:after="240"/>
        <w:ind w:left="720"/>
      </w:pPr>
      <w:r>
        <w:t>Not applicable.</w:t>
      </w:r>
    </w:p>
    <w:p w:rsidR="00183ADC" w:rsidP="005944E5" w:rsidRDefault="00183ADC">
      <w:pPr>
        <w:tabs>
          <w:tab w:val="left" w:pos="-1440"/>
        </w:tabs>
        <w:spacing w:after="120"/>
        <w:ind w:firstLine="360"/>
      </w:pPr>
      <w:r>
        <w:t>18.</w:t>
      </w:r>
      <w:r>
        <w:tab/>
      </w:r>
      <w:r w:rsidRPr="005944E5">
        <w:rPr>
          <w:b/>
          <w:u w:val="single"/>
        </w:rPr>
        <w:t>Exceptions to Certification</w:t>
      </w:r>
    </w:p>
    <w:p w:rsidR="00183ADC" w:rsidP="00AA2DC4" w:rsidRDefault="00183ADC">
      <w:pPr>
        <w:spacing w:after="240"/>
        <w:ind w:left="720"/>
      </w:pPr>
      <w:r>
        <w:t>None.</w:t>
      </w:r>
    </w:p>
    <w:p w:rsidR="00183ADC" w:rsidP="007518E6" w:rsidRDefault="00183ADC">
      <w:pPr>
        <w:numPr>
          <w:ilvl w:val="0"/>
          <w:numId w:val="5"/>
        </w:numPr>
        <w:tabs>
          <w:tab w:val="center" w:pos="-360"/>
        </w:tabs>
        <w:spacing w:after="120"/>
        <w:ind w:left="540"/>
      </w:pPr>
      <w:r>
        <w:rPr>
          <w:u w:val="single"/>
        </w:rPr>
        <w:t>STATISTICAL METHODS</w:t>
      </w:r>
    </w:p>
    <w:p w:rsidR="00183ADC" w:rsidP="00AA2DC4" w:rsidRDefault="00183ADC">
      <w:pPr>
        <w:spacing w:after="240"/>
        <w:ind w:left="720"/>
      </w:pPr>
      <w:r>
        <w:t>Not applicable.</w:t>
      </w:r>
    </w:p>
    <w:sectPr w:rsidR="00183AD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17A" w:rsidRDefault="00E7717A">
      <w:r>
        <w:separator/>
      </w:r>
    </w:p>
  </w:endnote>
  <w:endnote w:type="continuationSeparator" w:id="0">
    <w:p w:rsidR="00E7717A" w:rsidRDefault="00E7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DC" w:rsidRDefault="00183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3ADC" w:rsidRDefault="00183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ADC" w:rsidRDefault="00183ADC">
    <w:pPr>
      <w:spacing w:line="240" w:lineRule="exact"/>
    </w:pPr>
  </w:p>
  <w:p w:rsidR="00183ADC" w:rsidRDefault="00183ADC">
    <w:pPr>
      <w:framePr w:wrap="around" w:vAnchor="text" w:hAnchor="margin" w:xAlign="center" w:y="1"/>
      <w:jc w:val="right"/>
    </w:pPr>
    <w:r>
      <w:fldChar w:fldCharType="begin"/>
    </w:r>
    <w:r>
      <w:instrText xml:space="preserve">PAGE </w:instrText>
    </w:r>
    <w:r>
      <w:fldChar w:fldCharType="separate"/>
    </w:r>
    <w:r w:rsidR="007E7C97">
      <w:rPr>
        <w:noProof/>
      </w:rPr>
      <w:t>1</w:t>
    </w:r>
    <w:r>
      <w:fldChar w:fldCharType="end"/>
    </w:r>
  </w:p>
  <w:p w:rsidR="00183ADC" w:rsidRDefault="00183AD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77" w:rsidRDefault="005F7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17A" w:rsidRDefault="00E7717A">
      <w:r>
        <w:separator/>
      </w:r>
    </w:p>
  </w:footnote>
  <w:footnote w:type="continuationSeparator" w:id="0">
    <w:p w:rsidR="00E7717A" w:rsidRDefault="00E7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77" w:rsidRDefault="005F7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77" w:rsidRDefault="005F7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77" w:rsidRDefault="005F7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DF3"/>
    <w:multiLevelType w:val="hybridMultilevel"/>
    <w:tmpl w:val="8668C4C6"/>
    <w:lvl w:ilvl="0" w:tplc="F4948B4C">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372D23"/>
    <w:multiLevelType w:val="singleLevel"/>
    <w:tmpl w:val="BAD2918E"/>
    <w:lvl w:ilvl="0">
      <w:start w:val="1"/>
      <w:numFmt w:val="decimal"/>
      <w:lvlText w:val="%1."/>
      <w:lvlJc w:val="left"/>
      <w:pPr>
        <w:tabs>
          <w:tab w:val="num" w:pos="360"/>
        </w:tabs>
        <w:ind w:left="360" w:hanging="360"/>
      </w:pPr>
      <w:rPr>
        <w:rFonts w:hint="default"/>
      </w:rPr>
    </w:lvl>
  </w:abstractNum>
  <w:abstractNum w:abstractNumId="2" w15:restartNumberingAfterBreak="0">
    <w:nsid w:val="47750A2B"/>
    <w:multiLevelType w:val="hybridMultilevel"/>
    <w:tmpl w:val="485201FE"/>
    <w:lvl w:ilvl="0" w:tplc="D0B8A910">
      <w:start w:val="1"/>
      <w:numFmt w:val="upperLetter"/>
      <w:lvlText w:val="%1."/>
      <w:lvlJc w:val="left"/>
      <w:pPr>
        <w:ind w:left="-180" w:hanging="54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5B7C6773"/>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EA61EFD"/>
    <w:multiLevelType w:val="singleLevel"/>
    <w:tmpl w:val="0EA8836E"/>
    <w:lvl w:ilvl="0">
      <w:start w:val="14"/>
      <w:numFmt w:val="decimal"/>
      <w:lvlText w:val="%1."/>
      <w:lvlJc w:val="left"/>
      <w:pPr>
        <w:tabs>
          <w:tab w:val="num" w:pos="2160"/>
        </w:tabs>
        <w:ind w:left="2160" w:hanging="720"/>
      </w:pPr>
      <w:rPr>
        <w:rFonts w:hint="default"/>
        <w:u w:val="none"/>
      </w:rPr>
    </w:lvl>
  </w:abstractNum>
  <w:abstractNum w:abstractNumId="5" w15:restartNumberingAfterBreak="0">
    <w:nsid w:val="784661AE"/>
    <w:multiLevelType w:val="hybridMultilevel"/>
    <w:tmpl w:val="40C6363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removePersonalInformation/>
  <w:removeDateAndTime/>
  <w:embedSystemFonts/>
  <w:bordersDoNotSurroundHeader/>
  <w:bordersDoNotSurroundFooter/>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1F"/>
    <w:rsid w:val="00042FF0"/>
    <w:rsid w:val="000577E7"/>
    <w:rsid w:val="000636B7"/>
    <w:rsid w:val="000961FB"/>
    <w:rsid w:val="000B5D6A"/>
    <w:rsid w:val="000C6255"/>
    <w:rsid w:val="00126AE4"/>
    <w:rsid w:val="0016693A"/>
    <w:rsid w:val="00183ADC"/>
    <w:rsid w:val="00190EB5"/>
    <w:rsid w:val="001C0F42"/>
    <w:rsid w:val="00204AB5"/>
    <w:rsid w:val="002664B7"/>
    <w:rsid w:val="002831B6"/>
    <w:rsid w:val="002A24FB"/>
    <w:rsid w:val="002A2844"/>
    <w:rsid w:val="002C2925"/>
    <w:rsid w:val="002D0F7F"/>
    <w:rsid w:val="002F070E"/>
    <w:rsid w:val="00345D2D"/>
    <w:rsid w:val="003643DB"/>
    <w:rsid w:val="003915C9"/>
    <w:rsid w:val="00442901"/>
    <w:rsid w:val="004B114B"/>
    <w:rsid w:val="004C4544"/>
    <w:rsid w:val="004E2A0F"/>
    <w:rsid w:val="00545093"/>
    <w:rsid w:val="00553D78"/>
    <w:rsid w:val="00574D61"/>
    <w:rsid w:val="005944E5"/>
    <w:rsid w:val="005A51ED"/>
    <w:rsid w:val="005C7544"/>
    <w:rsid w:val="005E1E0D"/>
    <w:rsid w:val="005E560B"/>
    <w:rsid w:val="005F7977"/>
    <w:rsid w:val="006304BC"/>
    <w:rsid w:val="006931F0"/>
    <w:rsid w:val="006B5DDF"/>
    <w:rsid w:val="006C097F"/>
    <w:rsid w:val="00742425"/>
    <w:rsid w:val="00745BB2"/>
    <w:rsid w:val="007467A5"/>
    <w:rsid w:val="0075031D"/>
    <w:rsid w:val="007518E6"/>
    <w:rsid w:val="00772C14"/>
    <w:rsid w:val="00776FD2"/>
    <w:rsid w:val="007B1A5A"/>
    <w:rsid w:val="007C12DF"/>
    <w:rsid w:val="007E7C97"/>
    <w:rsid w:val="007F5A1C"/>
    <w:rsid w:val="008129C4"/>
    <w:rsid w:val="008C7B1A"/>
    <w:rsid w:val="008C7B8D"/>
    <w:rsid w:val="008F0A28"/>
    <w:rsid w:val="008F4B26"/>
    <w:rsid w:val="00927725"/>
    <w:rsid w:val="009419EC"/>
    <w:rsid w:val="00951D11"/>
    <w:rsid w:val="00997AE0"/>
    <w:rsid w:val="009C1D2B"/>
    <w:rsid w:val="009C3192"/>
    <w:rsid w:val="009F3125"/>
    <w:rsid w:val="00A16596"/>
    <w:rsid w:val="00A53182"/>
    <w:rsid w:val="00A556B5"/>
    <w:rsid w:val="00AA2DC4"/>
    <w:rsid w:val="00AA3F52"/>
    <w:rsid w:val="00AE5E54"/>
    <w:rsid w:val="00B76661"/>
    <w:rsid w:val="00B8185C"/>
    <w:rsid w:val="00B875E1"/>
    <w:rsid w:val="00B92A7F"/>
    <w:rsid w:val="00BB0E34"/>
    <w:rsid w:val="00BB5B0A"/>
    <w:rsid w:val="00BD0EF7"/>
    <w:rsid w:val="00BD466F"/>
    <w:rsid w:val="00BE2844"/>
    <w:rsid w:val="00C3435F"/>
    <w:rsid w:val="00C940F6"/>
    <w:rsid w:val="00CC7E80"/>
    <w:rsid w:val="00CF5BF9"/>
    <w:rsid w:val="00D105B5"/>
    <w:rsid w:val="00D412B7"/>
    <w:rsid w:val="00D47C7C"/>
    <w:rsid w:val="00D86FA9"/>
    <w:rsid w:val="00D87CD9"/>
    <w:rsid w:val="00D921A1"/>
    <w:rsid w:val="00E0471F"/>
    <w:rsid w:val="00E60C1D"/>
    <w:rsid w:val="00E7717A"/>
    <w:rsid w:val="00E854B4"/>
    <w:rsid w:val="00EB1DA8"/>
    <w:rsid w:val="00ED7692"/>
    <w:rsid w:val="00ED79BB"/>
    <w:rsid w:val="00F54404"/>
    <w:rsid w:val="00F711F2"/>
    <w:rsid w:val="00FD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F711F2"/>
    <w:rPr>
      <w:sz w:val="16"/>
      <w:szCs w:val="16"/>
    </w:rPr>
  </w:style>
  <w:style w:type="paragraph" w:styleId="CommentText">
    <w:name w:val="annotation text"/>
    <w:basedOn w:val="Normal"/>
    <w:link w:val="CommentTextChar"/>
    <w:rsid w:val="00F711F2"/>
    <w:rPr>
      <w:sz w:val="20"/>
    </w:rPr>
  </w:style>
  <w:style w:type="character" w:customStyle="1" w:styleId="CommentTextChar">
    <w:name w:val="Comment Text Char"/>
    <w:link w:val="CommentText"/>
    <w:rsid w:val="00F711F2"/>
    <w:rPr>
      <w:snapToGrid w:val="0"/>
    </w:rPr>
  </w:style>
  <w:style w:type="paragraph" w:styleId="CommentSubject">
    <w:name w:val="annotation subject"/>
    <w:basedOn w:val="CommentText"/>
    <w:next w:val="CommentText"/>
    <w:link w:val="CommentSubjectChar"/>
    <w:rsid w:val="00F711F2"/>
    <w:rPr>
      <w:b/>
      <w:bCs/>
    </w:rPr>
  </w:style>
  <w:style w:type="character" w:customStyle="1" w:styleId="CommentSubjectChar">
    <w:name w:val="Comment Subject Char"/>
    <w:link w:val="CommentSubject"/>
    <w:rsid w:val="00F711F2"/>
    <w:rPr>
      <w:b/>
      <w:bCs/>
      <w:snapToGrid w:val="0"/>
    </w:rPr>
  </w:style>
  <w:style w:type="paragraph" w:styleId="BalloonText">
    <w:name w:val="Balloon Text"/>
    <w:basedOn w:val="Normal"/>
    <w:link w:val="BalloonTextChar"/>
    <w:rsid w:val="00F711F2"/>
    <w:rPr>
      <w:rFonts w:ascii="Tahoma" w:hAnsi="Tahoma" w:cs="Tahoma"/>
      <w:sz w:val="16"/>
      <w:szCs w:val="16"/>
    </w:rPr>
  </w:style>
  <w:style w:type="character" w:customStyle="1" w:styleId="BalloonTextChar">
    <w:name w:val="Balloon Text Char"/>
    <w:link w:val="BalloonText"/>
    <w:rsid w:val="00F711F2"/>
    <w:rPr>
      <w:rFonts w:ascii="Tahoma" w:hAnsi="Tahoma" w:cs="Tahoma"/>
      <w:snapToGrid w:val="0"/>
      <w:sz w:val="16"/>
      <w:szCs w:val="16"/>
    </w:rPr>
  </w:style>
  <w:style w:type="table" w:styleId="TableGrid">
    <w:name w:val="Table Grid"/>
    <w:basedOn w:val="TableNormal"/>
    <w:rsid w:val="000B5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8185C"/>
    <w:rPr>
      <w:sz w:val="20"/>
    </w:rPr>
  </w:style>
  <w:style w:type="character" w:customStyle="1" w:styleId="FootnoteTextChar">
    <w:name w:val="Footnote Text Char"/>
    <w:link w:val="FootnoteText"/>
    <w:rsid w:val="00B8185C"/>
    <w:rPr>
      <w:snapToGrid w:val="0"/>
    </w:rPr>
  </w:style>
  <w:style w:type="character" w:styleId="Emphasis">
    <w:name w:val="Emphasis"/>
    <w:uiPriority w:val="20"/>
    <w:qFormat/>
    <w:rsid w:val="00B81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744">
      <w:bodyDiv w:val="1"/>
      <w:marLeft w:val="0"/>
      <w:marRight w:val="0"/>
      <w:marTop w:val="0"/>
      <w:marBottom w:val="0"/>
      <w:divBdr>
        <w:top w:val="none" w:sz="0" w:space="0" w:color="auto"/>
        <w:left w:val="none" w:sz="0" w:space="0" w:color="auto"/>
        <w:bottom w:val="none" w:sz="0" w:space="0" w:color="auto"/>
        <w:right w:val="none" w:sz="0" w:space="0" w:color="auto"/>
      </w:divBdr>
    </w:div>
    <w:div w:id="537162157">
      <w:bodyDiv w:val="1"/>
      <w:marLeft w:val="0"/>
      <w:marRight w:val="0"/>
      <w:marTop w:val="0"/>
      <w:marBottom w:val="0"/>
      <w:divBdr>
        <w:top w:val="none" w:sz="0" w:space="0" w:color="auto"/>
        <w:left w:val="none" w:sz="0" w:space="0" w:color="auto"/>
        <w:bottom w:val="none" w:sz="0" w:space="0" w:color="auto"/>
        <w:right w:val="none" w:sz="0" w:space="0" w:color="auto"/>
      </w:divBdr>
    </w:div>
    <w:div w:id="710157467">
      <w:bodyDiv w:val="1"/>
      <w:marLeft w:val="0"/>
      <w:marRight w:val="0"/>
      <w:marTop w:val="0"/>
      <w:marBottom w:val="0"/>
      <w:divBdr>
        <w:top w:val="none" w:sz="0" w:space="0" w:color="auto"/>
        <w:left w:val="none" w:sz="0" w:space="0" w:color="auto"/>
        <w:bottom w:val="none" w:sz="0" w:space="0" w:color="auto"/>
        <w:right w:val="none" w:sz="0" w:space="0" w:color="auto"/>
      </w:divBdr>
    </w:div>
    <w:div w:id="1105536338">
      <w:bodyDiv w:val="1"/>
      <w:marLeft w:val="0"/>
      <w:marRight w:val="0"/>
      <w:marTop w:val="0"/>
      <w:marBottom w:val="0"/>
      <w:divBdr>
        <w:top w:val="none" w:sz="0" w:space="0" w:color="auto"/>
        <w:left w:val="none" w:sz="0" w:space="0" w:color="auto"/>
        <w:bottom w:val="none" w:sz="0" w:space="0" w:color="auto"/>
        <w:right w:val="none" w:sz="0" w:space="0" w:color="auto"/>
      </w:divBdr>
    </w:div>
    <w:div w:id="1181705898">
      <w:bodyDiv w:val="1"/>
      <w:marLeft w:val="0"/>
      <w:marRight w:val="0"/>
      <w:marTop w:val="0"/>
      <w:marBottom w:val="0"/>
      <w:divBdr>
        <w:top w:val="none" w:sz="0" w:space="0" w:color="auto"/>
        <w:left w:val="none" w:sz="0" w:space="0" w:color="auto"/>
        <w:bottom w:val="none" w:sz="0" w:space="0" w:color="auto"/>
        <w:right w:val="none" w:sz="0" w:space="0" w:color="auto"/>
      </w:divBdr>
    </w:div>
    <w:div w:id="1261648258">
      <w:bodyDiv w:val="1"/>
      <w:marLeft w:val="0"/>
      <w:marRight w:val="0"/>
      <w:marTop w:val="0"/>
      <w:marBottom w:val="0"/>
      <w:divBdr>
        <w:top w:val="none" w:sz="0" w:space="0" w:color="auto"/>
        <w:left w:val="none" w:sz="0" w:space="0" w:color="auto"/>
        <w:bottom w:val="none" w:sz="0" w:space="0" w:color="auto"/>
        <w:right w:val="none" w:sz="0" w:space="0" w:color="auto"/>
      </w:divBdr>
    </w:div>
    <w:div w:id="171110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8FDB-A760-417F-AE75-AA0053F3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2021-04-27T13:34:00Z</dcterms:created>
  <dcterms:modified xsi:type="dcterms:W3CDTF">2021-04-27T13:34:00Z</dcterms:modified>
</cp:coreProperties>
</file>